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D7" w:rsidRPr="005B7825" w:rsidRDefault="00695AD7" w:rsidP="00C465B2">
      <w:pPr>
        <w:jc w:val="center"/>
        <w:rPr>
          <w:rFonts w:ascii="Times" w:hAnsi="Times"/>
          <w:b/>
        </w:rPr>
      </w:pPr>
      <w:r w:rsidRPr="005B7825">
        <w:rPr>
          <w:rFonts w:ascii="Times" w:hAnsi="Times"/>
          <w:b/>
        </w:rPr>
        <w:t>Supporting Statement for the</w:t>
      </w:r>
    </w:p>
    <w:p w:rsidR="00695AD7" w:rsidRPr="005B7825" w:rsidRDefault="00695AD7" w:rsidP="00695AD7">
      <w:pPr>
        <w:jc w:val="center"/>
        <w:rPr>
          <w:rFonts w:ascii="Times" w:hAnsi="Times"/>
          <w:b/>
        </w:rPr>
      </w:pPr>
      <w:r w:rsidRPr="005B7825">
        <w:rPr>
          <w:rFonts w:ascii="Times" w:hAnsi="Times"/>
          <w:b/>
        </w:rPr>
        <w:t>Senior Loan Officer Opinion Survey on Bank Lending Practices</w:t>
      </w:r>
    </w:p>
    <w:p w:rsidR="00695AD7" w:rsidRPr="005B7825" w:rsidRDefault="00695AD7" w:rsidP="00695AD7">
      <w:pPr>
        <w:jc w:val="center"/>
        <w:rPr>
          <w:rFonts w:ascii="Times" w:hAnsi="Times"/>
          <w:b/>
        </w:rPr>
      </w:pPr>
      <w:r w:rsidRPr="005B7825">
        <w:rPr>
          <w:rFonts w:ascii="Times" w:hAnsi="Times"/>
          <w:b/>
        </w:rPr>
        <w:t>(FR 2018; OMB No. 7100</w:t>
      </w:r>
      <w:r w:rsidRPr="005B7825">
        <w:rPr>
          <w:rFonts w:ascii="Times" w:hAnsi="Times"/>
          <w:b/>
        </w:rPr>
        <w:noBreakHyphen/>
        <w:t>0058)</w:t>
      </w:r>
    </w:p>
    <w:p w:rsidR="00695AD7" w:rsidRPr="00695AD7" w:rsidRDefault="00695AD7" w:rsidP="00695AD7"/>
    <w:p w:rsidR="00F725CD" w:rsidRDefault="005E731F">
      <w:pPr>
        <w:widowControl/>
        <w:rPr>
          <w:rFonts w:ascii="Times New Roman" w:hAnsi="Times New Roman"/>
          <w:b/>
          <w:bCs/>
        </w:rPr>
      </w:pPr>
      <w:r w:rsidRPr="00A73034">
        <w:rPr>
          <w:rFonts w:ascii="Times New Roman" w:hAnsi="Times New Roman"/>
          <w:b/>
          <w:bCs/>
        </w:rPr>
        <w:t>Summary</w:t>
      </w:r>
    </w:p>
    <w:p w:rsidR="00F725CD" w:rsidRDefault="00F725CD">
      <w:pPr>
        <w:widowControl/>
        <w:rPr>
          <w:rFonts w:ascii="Times New Roman" w:hAnsi="Times New Roman"/>
          <w:b/>
          <w:bCs/>
        </w:rPr>
      </w:pPr>
    </w:p>
    <w:p w:rsidR="005E731F" w:rsidRPr="00A73034" w:rsidRDefault="005E731F" w:rsidP="005D7B99">
      <w:pPr>
        <w:widowControl/>
        <w:ind w:firstLine="720"/>
        <w:rPr>
          <w:rFonts w:ascii="Times New Roman" w:hAnsi="Times New Roman"/>
        </w:rPr>
      </w:pPr>
      <w:r w:rsidRPr="00653A37">
        <w:rPr>
          <w:rFonts w:ascii="Times New Roman" w:hAnsi="Times New Roman"/>
        </w:rPr>
        <w:t xml:space="preserve">The </w:t>
      </w:r>
      <w:r w:rsidR="00695AD7">
        <w:rPr>
          <w:rFonts w:ascii="Times New Roman" w:hAnsi="Times New Roman"/>
        </w:rPr>
        <w:t xml:space="preserve">Board of Governors of the Federal Reserve System, under delegated authority from the Office of Management and </w:t>
      </w:r>
      <w:r w:rsidR="00091EFB">
        <w:rPr>
          <w:rFonts w:ascii="Times New Roman" w:hAnsi="Times New Roman"/>
        </w:rPr>
        <w:t>Budget (OMB</w:t>
      </w:r>
      <w:r w:rsidR="00695AD7">
        <w:rPr>
          <w:rFonts w:ascii="Times New Roman" w:hAnsi="Times New Roman"/>
        </w:rPr>
        <w:t>)</w:t>
      </w:r>
      <w:r w:rsidRPr="00653A37">
        <w:rPr>
          <w:rFonts w:ascii="Times New Roman" w:hAnsi="Times New Roman"/>
        </w:rPr>
        <w:t xml:space="preserve"> proposes to extend for three years, with </w:t>
      </w:r>
      <w:r w:rsidR="002C5C5A" w:rsidRPr="00653A37">
        <w:rPr>
          <w:rFonts w:ascii="Times New Roman" w:hAnsi="Times New Roman"/>
        </w:rPr>
        <w:t>revision</w:t>
      </w:r>
      <w:r w:rsidRPr="00653A37">
        <w:rPr>
          <w:rFonts w:ascii="Times New Roman" w:hAnsi="Times New Roman"/>
        </w:rPr>
        <w:t>, the Senior Loan Officer Opinion Survey on Bank Lending Practices (FR 2018; OMB No. 7100</w:t>
      </w:r>
      <w:r w:rsidRPr="00653A37">
        <w:rPr>
          <w:rFonts w:ascii="Times New Roman" w:hAnsi="Times New Roman"/>
        </w:rPr>
        <w:noBreakHyphen/>
        <w:t xml:space="preserve">0058).  </w:t>
      </w:r>
      <w:r w:rsidR="00653A37" w:rsidRPr="00653A37">
        <w:rPr>
          <w:rFonts w:ascii="Times New Roman" w:hAnsi="Times New Roman"/>
        </w:rPr>
        <w:t>A senior loan officer at each respondent bank completes this voluntary survey through an electronic submissi</w:t>
      </w:r>
      <w:r w:rsidR="000F0771">
        <w:rPr>
          <w:rFonts w:ascii="Times New Roman" w:hAnsi="Times New Roman"/>
        </w:rPr>
        <w:t xml:space="preserve">on, up to six times a year.  </w:t>
      </w:r>
      <w:r w:rsidRPr="00653A37">
        <w:rPr>
          <w:rFonts w:ascii="Times New Roman" w:hAnsi="Times New Roman"/>
        </w:rPr>
        <w:t>Consistent with the Senior Financial Officer Survey (FR 2023; OMB No. 7100-0223), senior staff at the Reserve Banks with knowledge of bank lending practices usually administers the</w:t>
      </w:r>
      <w:r w:rsidRPr="00A73034">
        <w:rPr>
          <w:rFonts w:ascii="Times New Roman" w:hAnsi="Times New Roman"/>
        </w:rPr>
        <w:t xml:space="preserve"> </w:t>
      </w:r>
      <w:r w:rsidR="002321E6">
        <w:rPr>
          <w:rFonts w:ascii="Times New Roman" w:hAnsi="Times New Roman"/>
        </w:rPr>
        <w:t>survey</w:t>
      </w:r>
      <w:r w:rsidRPr="00A73034">
        <w:rPr>
          <w:rFonts w:ascii="Times New Roman" w:hAnsi="Times New Roman"/>
        </w:rPr>
        <w:t>.  The current reporting panel consists of up to 60 large domestically chartered commercial banks and up to 24 large U.S. branches and agencies of foreign banks.</w:t>
      </w:r>
      <w:r w:rsidR="005D7B99" w:rsidRPr="00A73034">
        <w:rPr>
          <w:rFonts w:ascii="Times New Roman" w:hAnsi="Times New Roman"/>
        </w:rPr>
        <w:t xml:space="preserve">  </w:t>
      </w:r>
      <w:r w:rsidRPr="00A73034">
        <w:rPr>
          <w:rFonts w:ascii="Times New Roman" w:hAnsi="Times New Roman"/>
        </w:rPr>
        <w:t xml:space="preserve">The purpose of the survey is to provide qualitative and limited quantitative information on credit availability and demand, as well as </w:t>
      </w:r>
      <w:r w:rsidR="0070692A" w:rsidRPr="00A73034">
        <w:rPr>
          <w:rFonts w:ascii="Times New Roman" w:hAnsi="Times New Roman"/>
        </w:rPr>
        <w:t xml:space="preserve">on </w:t>
      </w:r>
      <w:r w:rsidRPr="00A73034">
        <w:rPr>
          <w:rFonts w:ascii="Times New Roman" w:hAnsi="Times New Roman"/>
        </w:rPr>
        <w:t>evolving developments and lending practices in the U.S. loan markets.  A portion of the questions in each survey typically covers special topics of timely interest; therefore, a sample form is not included in this proposal.</w:t>
      </w:r>
    </w:p>
    <w:p w:rsidR="005E731F" w:rsidRPr="00A73034" w:rsidRDefault="005E731F" w:rsidP="008B52DE">
      <w:pPr>
        <w:widowControl/>
        <w:rPr>
          <w:rFonts w:ascii="Times New Roman" w:hAnsi="Times New Roman"/>
        </w:rPr>
      </w:pPr>
    </w:p>
    <w:p w:rsidR="005E731F" w:rsidRPr="00A73034" w:rsidRDefault="005E731F" w:rsidP="005E731F">
      <w:pPr>
        <w:widowControl/>
        <w:ind w:firstLine="720"/>
        <w:rPr>
          <w:rFonts w:ascii="Times New Roman" w:hAnsi="Times New Roman"/>
        </w:rPr>
      </w:pPr>
      <w:r w:rsidRPr="00A73034">
        <w:rPr>
          <w:rFonts w:ascii="Times New Roman" w:hAnsi="Times New Roman"/>
        </w:rPr>
        <w:t>Although the Federal Reserve has the authority to conduct the survey up to six times a year, the survey has typically been conducted only four times a year since 1992.  Consistent with the FR 2023, other types of respondents, such as other depository institutions, bank holding companies, or other financial entities, may be surveyed</w:t>
      </w:r>
      <w:r w:rsidR="00770970">
        <w:rPr>
          <w:rFonts w:ascii="Times New Roman" w:hAnsi="Times New Roman"/>
        </w:rPr>
        <w:t>,</w:t>
      </w:r>
      <w:r w:rsidRPr="00A73034">
        <w:rPr>
          <w:rFonts w:ascii="Times New Roman" w:hAnsi="Times New Roman"/>
        </w:rPr>
        <w:t xml:space="preserve"> if appropriate.</w:t>
      </w:r>
    </w:p>
    <w:p w:rsidR="005E731F" w:rsidRPr="00A73034" w:rsidRDefault="005E731F" w:rsidP="008B52DE">
      <w:pPr>
        <w:widowControl/>
        <w:rPr>
          <w:rFonts w:ascii="Times New Roman" w:hAnsi="Times New Roman"/>
        </w:rPr>
      </w:pPr>
    </w:p>
    <w:p w:rsidR="00770970" w:rsidRDefault="00770970" w:rsidP="00FB72E3">
      <w:pPr>
        <w:tabs>
          <w:tab w:val="left" w:pos="559"/>
        </w:tabs>
        <w:rPr>
          <w:rFonts w:ascii="Times New Roman" w:hAnsi="Times New Roman"/>
          <w:b/>
          <w:bCs/>
        </w:rPr>
      </w:pPr>
      <w:r>
        <w:rPr>
          <w:rFonts w:ascii="Times New Roman" w:hAnsi="Times New Roman"/>
        </w:rPr>
        <w:tab/>
      </w:r>
      <w:r w:rsidR="005E731F" w:rsidRPr="00A73034">
        <w:rPr>
          <w:rFonts w:ascii="Times New Roman" w:hAnsi="Times New Roman"/>
        </w:rPr>
        <w:t>The respondents’ answers provide information that is critical to the Federal Reserve’s monitoring of bank lending prac</w:t>
      </w:r>
      <w:r w:rsidR="00695AD7">
        <w:rPr>
          <w:rFonts w:ascii="Times New Roman" w:hAnsi="Times New Roman"/>
        </w:rPr>
        <w:t>tices and credit markets.  The Federal Reserve</w:t>
      </w:r>
      <w:r w:rsidR="005E731F" w:rsidRPr="00A73034">
        <w:rPr>
          <w:rFonts w:ascii="Times New Roman" w:hAnsi="Times New Roman"/>
        </w:rPr>
        <w:t xml:space="preserve"> relies on the regular opportunity to solicit information from banks within the framework of the survey.  Survey results from 1997 to present are available to the public on the Federal Reserve Board’s website.</w:t>
      </w:r>
      <w:r w:rsidR="005E731F" w:rsidRPr="00A73034">
        <w:rPr>
          <w:rStyle w:val="FootnoteReference"/>
          <w:rFonts w:ascii="Times New Roman" w:hAnsi="Times New Roman"/>
          <w:vertAlign w:val="superscript"/>
        </w:rPr>
        <w:footnoteReference w:id="1"/>
      </w:r>
      <w:r w:rsidR="005E731F" w:rsidRPr="00A73034">
        <w:rPr>
          <w:rFonts w:ascii="Times New Roman" w:hAnsi="Times New Roman"/>
          <w:vertAlign w:val="superscript"/>
        </w:rPr>
        <w:t xml:space="preserve"> </w:t>
      </w:r>
      <w:r w:rsidR="005E731F" w:rsidRPr="00A73034">
        <w:rPr>
          <w:rFonts w:ascii="Times New Roman" w:hAnsi="Times New Roman"/>
        </w:rPr>
        <w:t xml:space="preserve"> </w:t>
      </w:r>
      <w:r w:rsidR="00832C64">
        <w:rPr>
          <w:rFonts w:ascii="Times New Roman" w:hAnsi="Times New Roman"/>
          <w:b/>
          <w:bCs/>
        </w:rPr>
        <w:tab/>
      </w:r>
    </w:p>
    <w:p w:rsidR="00770970" w:rsidRDefault="00770970" w:rsidP="00FB72E3">
      <w:pPr>
        <w:tabs>
          <w:tab w:val="left" w:pos="559"/>
        </w:tabs>
        <w:rPr>
          <w:rFonts w:ascii="Times New Roman" w:hAnsi="Times New Roman"/>
          <w:b/>
          <w:bCs/>
        </w:rPr>
      </w:pPr>
    </w:p>
    <w:p w:rsidR="00FB72E3" w:rsidRDefault="00770970" w:rsidP="002C07B5">
      <w:pPr>
        <w:widowControl/>
        <w:tabs>
          <w:tab w:val="left" w:pos="559"/>
        </w:tabs>
        <w:rPr>
          <w:rFonts w:ascii="Times New Roman" w:hAnsi="Times New Roman"/>
        </w:rPr>
      </w:pPr>
      <w:r>
        <w:rPr>
          <w:rFonts w:ascii="Times New Roman" w:hAnsi="Times New Roman"/>
          <w:b/>
          <w:bCs/>
        </w:rPr>
        <w:tab/>
      </w:r>
      <w:r w:rsidR="005D7B99" w:rsidRPr="00A73034">
        <w:rPr>
          <w:rFonts w:ascii="Times New Roman" w:hAnsi="Times New Roman"/>
        </w:rPr>
        <w:t>Given the recent need for additional information and analysis on commercial real estate</w:t>
      </w:r>
      <w:r w:rsidR="000E26F7">
        <w:rPr>
          <w:rFonts w:ascii="Times New Roman" w:hAnsi="Times New Roman"/>
        </w:rPr>
        <w:t xml:space="preserve"> </w:t>
      </w:r>
      <w:r w:rsidR="005D7B99" w:rsidRPr="00A73034">
        <w:rPr>
          <w:rFonts w:ascii="Times New Roman" w:hAnsi="Times New Roman"/>
        </w:rPr>
        <w:t>and small business lending</w:t>
      </w:r>
      <w:r w:rsidR="002C2471">
        <w:rPr>
          <w:rFonts w:ascii="Times New Roman" w:hAnsi="Times New Roman"/>
        </w:rPr>
        <w:t xml:space="preserve"> that is less concentrated among the largest banks</w:t>
      </w:r>
      <w:r w:rsidR="007623E9">
        <w:rPr>
          <w:rFonts w:ascii="Times New Roman" w:hAnsi="Times New Roman"/>
        </w:rPr>
        <w:t>,</w:t>
      </w:r>
      <w:r w:rsidR="005D7B99" w:rsidRPr="00A73034">
        <w:rPr>
          <w:rFonts w:ascii="Times New Roman" w:hAnsi="Times New Roman"/>
        </w:rPr>
        <w:t xml:space="preserve"> </w:t>
      </w:r>
      <w:r w:rsidR="0086680F">
        <w:rPr>
          <w:rFonts w:ascii="Times New Roman" w:hAnsi="Times New Roman"/>
        </w:rPr>
        <w:t>t</w:t>
      </w:r>
      <w:r w:rsidR="00695AD7" w:rsidRPr="00CA2EDB">
        <w:rPr>
          <w:rFonts w:ascii="Times New Roman" w:hAnsi="Times New Roman"/>
        </w:rPr>
        <w:t xml:space="preserve">he </w:t>
      </w:r>
      <w:r w:rsidR="00312EE7">
        <w:rPr>
          <w:rFonts w:ascii="Times New Roman" w:hAnsi="Times New Roman"/>
        </w:rPr>
        <w:t>Federal Reserve</w:t>
      </w:r>
      <w:r w:rsidR="005D7B99" w:rsidRPr="00A73034">
        <w:rPr>
          <w:rFonts w:ascii="Times New Roman" w:hAnsi="Times New Roman"/>
        </w:rPr>
        <w:t xml:space="preserve"> </w:t>
      </w:r>
      <w:r w:rsidR="00832C64">
        <w:rPr>
          <w:rFonts w:ascii="Times New Roman" w:hAnsi="Times New Roman"/>
        </w:rPr>
        <w:t xml:space="preserve">proposes </w:t>
      </w:r>
      <w:r w:rsidR="005D7B99" w:rsidRPr="00A73034">
        <w:rPr>
          <w:rFonts w:ascii="Times New Roman" w:hAnsi="Times New Roman"/>
        </w:rPr>
        <w:t xml:space="preserve">to increase the </w:t>
      </w:r>
      <w:r>
        <w:rPr>
          <w:rFonts w:ascii="Times New Roman" w:hAnsi="Times New Roman"/>
        </w:rPr>
        <w:t xml:space="preserve">reporting </w:t>
      </w:r>
      <w:r w:rsidR="005D7B99" w:rsidRPr="00A73034">
        <w:rPr>
          <w:rFonts w:ascii="Times New Roman" w:hAnsi="Times New Roman"/>
        </w:rPr>
        <w:t xml:space="preserve">panel by 20 </w:t>
      </w:r>
      <w:r w:rsidR="00832C64">
        <w:rPr>
          <w:rFonts w:ascii="Times New Roman" w:hAnsi="Times New Roman"/>
        </w:rPr>
        <w:t xml:space="preserve">domestically chartered commercial </w:t>
      </w:r>
      <w:r w:rsidR="005D7B99" w:rsidRPr="00A73034">
        <w:rPr>
          <w:rFonts w:ascii="Times New Roman" w:hAnsi="Times New Roman"/>
        </w:rPr>
        <w:t xml:space="preserve">banks </w:t>
      </w:r>
      <w:r w:rsidR="00832C64">
        <w:rPr>
          <w:rFonts w:ascii="Times New Roman" w:hAnsi="Times New Roman"/>
        </w:rPr>
        <w:t xml:space="preserve">with </w:t>
      </w:r>
      <w:r w:rsidR="005D7B99" w:rsidRPr="00A73034">
        <w:rPr>
          <w:rFonts w:ascii="Times New Roman" w:hAnsi="Times New Roman"/>
        </w:rPr>
        <w:t xml:space="preserve">total assets </w:t>
      </w:r>
      <w:r w:rsidR="00832C64">
        <w:rPr>
          <w:rFonts w:ascii="Times New Roman" w:hAnsi="Times New Roman"/>
        </w:rPr>
        <w:t>between $2 and</w:t>
      </w:r>
      <w:r w:rsidR="005D7B99" w:rsidRPr="00A73034">
        <w:rPr>
          <w:rFonts w:ascii="Times New Roman" w:hAnsi="Times New Roman"/>
        </w:rPr>
        <w:t xml:space="preserve"> </w:t>
      </w:r>
      <w:r>
        <w:rPr>
          <w:rFonts w:ascii="Times New Roman" w:hAnsi="Times New Roman"/>
        </w:rPr>
        <w:t>$</w:t>
      </w:r>
      <w:r w:rsidR="005D7B99" w:rsidRPr="00A73034">
        <w:rPr>
          <w:rFonts w:ascii="Times New Roman" w:hAnsi="Times New Roman"/>
        </w:rPr>
        <w:t>10 billion</w:t>
      </w:r>
      <w:r w:rsidR="002C2471">
        <w:rPr>
          <w:rFonts w:ascii="Times New Roman" w:hAnsi="Times New Roman"/>
        </w:rPr>
        <w:t xml:space="preserve"> to gain a greater variety of opinions on lending conditions in those markets</w:t>
      </w:r>
      <w:r w:rsidR="005D7B99" w:rsidRPr="00A73034">
        <w:rPr>
          <w:rFonts w:ascii="Times New Roman" w:hAnsi="Times New Roman"/>
        </w:rPr>
        <w:t xml:space="preserve">.  </w:t>
      </w:r>
      <w:r w:rsidR="00832C64">
        <w:rPr>
          <w:rFonts w:ascii="Times New Roman" w:hAnsi="Times New Roman"/>
        </w:rPr>
        <w:t>The proposed revisions to the FR 2018 would change the estimated annual reporting burden from 1,008 hours to 1,248 hours, an increase of 240 hours.</w:t>
      </w:r>
    </w:p>
    <w:p w:rsidR="00FB72E3" w:rsidRPr="00A73034" w:rsidRDefault="005D7B99" w:rsidP="00E03415">
      <w:pPr>
        <w:widowControl/>
        <w:rPr>
          <w:rFonts w:ascii="Times New Roman" w:hAnsi="Times New Roman"/>
        </w:rPr>
      </w:pPr>
      <w:r w:rsidRPr="00A73034">
        <w:rPr>
          <w:rFonts w:ascii="Times New Roman" w:hAnsi="Times New Roman"/>
        </w:rPr>
        <w:t xml:space="preserve">  </w:t>
      </w:r>
    </w:p>
    <w:p w:rsidR="004D3C8F" w:rsidRDefault="004D3C8F">
      <w:pPr>
        <w:widowControl/>
        <w:autoSpaceDE/>
        <w:autoSpaceDN/>
        <w:adjustRightInd/>
        <w:spacing w:after="200" w:line="276" w:lineRule="auto"/>
        <w:rPr>
          <w:rFonts w:ascii="Times New Roman" w:hAnsi="Times New Roman"/>
          <w:b/>
          <w:bCs/>
        </w:rPr>
      </w:pPr>
      <w:r>
        <w:rPr>
          <w:rFonts w:ascii="Times New Roman" w:hAnsi="Times New Roman"/>
          <w:b/>
          <w:bCs/>
        </w:rPr>
        <w:br w:type="page"/>
      </w:r>
    </w:p>
    <w:p w:rsidR="00FB72E3" w:rsidRPr="00A73034" w:rsidRDefault="005E731F">
      <w:pPr>
        <w:widowControl/>
        <w:rPr>
          <w:rFonts w:ascii="Times New Roman" w:hAnsi="Times New Roman"/>
          <w:b/>
          <w:bCs/>
        </w:rPr>
      </w:pPr>
      <w:r w:rsidRPr="00A73034">
        <w:rPr>
          <w:rFonts w:ascii="Times New Roman" w:hAnsi="Times New Roman"/>
          <w:b/>
          <w:bCs/>
        </w:rPr>
        <w:lastRenderedPageBreak/>
        <w:t>Background</w:t>
      </w:r>
    </w:p>
    <w:p w:rsidR="00FB72E3" w:rsidRPr="00A73034" w:rsidRDefault="00FB72E3">
      <w:pPr>
        <w:widowControl/>
        <w:rPr>
          <w:rFonts w:ascii="Times New Roman" w:hAnsi="Times New Roman"/>
        </w:rPr>
      </w:pPr>
    </w:p>
    <w:p w:rsidR="005E731F" w:rsidRPr="00A73034" w:rsidRDefault="005E731F" w:rsidP="005E731F">
      <w:pPr>
        <w:widowControl/>
        <w:ind w:firstLine="720"/>
        <w:rPr>
          <w:rFonts w:ascii="Times New Roman" w:hAnsi="Times New Roman"/>
        </w:rPr>
      </w:pPr>
      <w:r w:rsidRPr="00A73034">
        <w:rPr>
          <w:rFonts w:ascii="Times New Roman" w:hAnsi="Times New Roman"/>
        </w:rPr>
        <w:t>The Federal Reserve initiated a survey on bank lending practices in 1964.  Until 1981, it was conducted quarterly at 120 respondent banks and consisted of 22 standard questions, seeking qualitative information with respect to changes in bank lending practices in the three months precedi</w:t>
      </w:r>
      <w:r w:rsidR="0070692A" w:rsidRPr="00A73034">
        <w:rPr>
          <w:rFonts w:ascii="Times New Roman" w:hAnsi="Times New Roman"/>
        </w:rPr>
        <w:t>ng the survey date.  The survey’</w:t>
      </w:r>
      <w:r w:rsidRPr="00A73034">
        <w:rPr>
          <w:rFonts w:ascii="Times New Roman" w:hAnsi="Times New Roman"/>
        </w:rPr>
        <w:t>s original questions dealt with perceived changes in business loan demand, willingness to m</w:t>
      </w:r>
      <w:r w:rsidR="00D57E02" w:rsidRPr="00A73034">
        <w:rPr>
          <w:rFonts w:ascii="Times New Roman" w:hAnsi="Times New Roman"/>
        </w:rPr>
        <w:t>ake business loans, various non-</w:t>
      </w:r>
      <w:r w:rsidRPr="00A73034">
        <w:rPr>
          <w:rFonts w:ascii="Times New Roman" w:hAnsi="Times New Roman"/>
        </w:rPr>
        <w:t xml:space="preserve">rate aspects of business loan pricing, and willingness to extend consumer, mortgage, and certain other types of loans.  </w:t>
      </w:r>
    </w:p>
    <w:p w:rsidR="005E731F" w:rsidRPr="00A73034" w:rsidRDefault="005E731F" w:rsidP="005E731F">
      <w:pPr>
        <w:widowControl/>
        <w:ind w:firstLine="720"/>
        <w:rPr>
          <w:rFonts w:ascii="Times New Roman" w:hAnsi="Times New Roman"/>
        </w:rPr>
      </w:pPr>
    </w:p>
    <w:p w:rsidR="005E731F" w:rsidRPr="00A73034" w:rsidRDefault="005E731F" w:rsidP="005E731F">
      <w:pPr>
        <w:widowControl/>
        <w:ind w:firstLine="720"/>
        <w:rPr>
          <w:rFonts w:ascii="Times New Roman" w:hAnsi="Times New Roman"/>
        </w:rPr>
      </w:pPr>
      <w:r w:rsidRPr="00A73034">
        <w:rPr>
          <w:rFonts w:ascii="Times New Roman" w:hAnsi="Times New Roman"/>
        </w:rPr>
        <w:t>In 1981, the number of respondents was decreased by half, the number of core questions was reduced to six, and a provision was made to include additional questions in each survey that would address current topics on bank lending practices.  In 1984, the authorized frequency was increased from four to eight times a year, most of the remaining core questions were dropped, and the survey came to consist mainly of questions focusing on one or more topics of current interest.  For example, banks were queried about the market for interest rate swaps, the market for business loan sales and participations, business lending to middle market firms, and the effects of tax changes on bank lending.  In 1987, the Federal Reserve reduced the authorized frequency from eight to six times a year after determining that this would reduce the burden on respondents without c</w:t>
      </w:r>
      <w:r w:rsidR="0070692A" w:rsidRPr="00A73034">
        <w:rPr>
          <w:rFonts w:ascii="Times New Roman" w:hAnsi="Times New Roman"/>
        </w:rPr>
        <w:t>ompromising the Federal Reserve’</w:t>
      </w:r>
      <w:r w:rsidRPr="00A73034">
        <w:rPr>
          <w:rFonts w:ascii="Times New Roman" w:hAnsi="Times New Roman"/>
        </w:rPr>
        <w:t>s ability to keep abreast of important banking developments.</w:t>
      </w:r>
      <w:r w:rsidRPr="00A73034">
        <w:rPr>
          <w:rStyle w:val="FootnoteReference"/>
          <w:rFonts w:ascii="Times New Roman" w:hAnsi="Times New Roman"/>
          <w:vertAlign w:val="superscript"/>
        </w:rPr>
        <w:footnoteReference w:id="2"/>
      </w:r>
      <w:r w:rsidRPr="00A73034">
        <w:rPr>
          <w:rFonts w:ascii="Times New Roman" w:hAnsi="Times New Roman"/>
          <w:vertAlign w:val="superscript"/>
        </w:rPr>
        <w:t xml:space="preserve"> </w:t>
      </w:r>
      <w:r w:rsidRPr="00A73034">
        <w:rPr>
          <w:rFonts w:ascii="Times New Roman" w:hAnsi="Times New Roman"/>
        </w:rPr>
        <w:t xml:space="preserve"> </w:t>
      </w:r>
    </w:p>
    <w:p w:rsidR="005E731F" w:rsidRPr="00A73034" w:rsidRDefault="005E731F" w:rsidP="005E731F">
      <w:pPr>
        <w:widowControl/>
        <w:ind w:firstLine="720"/>
        <w:rPr>
          <w:rFonts w:ascii="Times New Roman" w:hAnsi="Times New Roman"/>
        </w:rPr>
      </w:pPr>
    </w:p>
    <w:p w:rsidR="005E731F" w:rsidRPr="00A73034" w:rsidRDefault="005E731F" w:rsidP="005E731F">
      <w:pPr>
        <w:widowControl/>
        <w:ind w:firstLine="720"/>
        <w:rPr>
          <w:rFonts w:ascii="Times New Roman" w:hAnsi="Times New Roman"/>
        </w:rPr>
      </w:pPr>
      <w:r w:rsidRPr="00A73034">
        <w:rPr>
          <w:rFonts w:ascii="Times New Roman" w:hAnsi="Times New Roman"/>
        </w:rPr>
        <w:t xml:space="preserve">The last major modification to the survey occurred in August 1990, when the respondent panel was enlarged to include 18 of the largest U.S. branches and agencies of foreign banks.  In November 1994, the Federal Reserve increased the number of foreign banks surveyed to 24 to make the foreign bank coverage more thorough and to rectify an under-representation of branches and agencies of European banks. </w:t>
      </w:r>
    </w:p>
    <w:p w:rsidR="005E731F" w:rsidRPr="00A73034" w:rsidRDefault="005E731F" w:rsidP="008B52DE">
      <w:pPr>
        <w:widowControl/>
        <w:rPr>
          <w:rFonts w:ascii="Times New Roman" w:hAnsi="Times New Roman"/>
        </w:rPr>
      </w:pPr>
    </w:p>
    <w:p w:rsidR="00FB72E3" w:rsidRPr="00A73034" w:rsidRDefault="005E731F">
      <w:pPr>
        <w:widowControl/>
        <w:rPr>
          <w:rFonts w:ascii="Times New Roman" w:hAnsi="Times New Roman"/>
          <w:b/>
          <w:bCs/>
        </w:rPr>
      </w:pPr>
      <w:r w:rsidRPr="00A73034">
        <w:rPr>
          <w:rFonts w:ascii="Times New Roman" w:hAnsi="Times New Roman"/>
          <w:b/>
          <w:bCs/>
        </w:rPr>
        <w:t>Justification</w:t>
      </w:r>
    </w:p>
    <w:p w:rsidR="00FB72E3" w:rsidRPr="00A73034" w:rsidRDefault="00FB72E3">
      <w:pPr>
        <w:widowControl/>
        <w:rPr>
          <w:rFonts w:ascii="Times New Roman" w:hAnsi="Times New Roman"/>
          <w:b/>
          <w:bCs/>
        </w:rPr>
      </w:pPr>
    </w:p>
    <w:p w:rsidR="005E731F" w:rsidRPr="00A73034" w:rsidRDefault="005E731F" w:rsidP="005E731F">
      <w:pPr>
        <w:widowControl/>
        <w:ind w:firstLine="720"/>
        <w:rPr>
          <w:rFonts w:ascii="Times New Roman" w:hAnsi="Times New Roman"/>
        </w:rPr>
      </w:pPr>
      <w:r w:rsidRPr="00A73034">
        <w:rPr>
          <w:rFonts w:ascii="Times New Roman" w:hAnsi="Times New Roman"/>
        </w:rPr>
        <w:t xml:space="preserve">The information obtained from the survey provides valuable insights on credit market and banking developments and is helpful in the formulation of monetary policy.  Information from the survey is reported regularly to the Board of Governors and to the Federal Open Market Committee as an appendix to the </w:t>
      </w:r>
      <w:proofErr w:type="spellStart"/>
      <w:r w:rsidRPr="00A73034">
        <w:rPr>
          <w:rFonts w:ascii="Times New Roman" w:hAnsi="Times New Roman"/>
        </w:rPr>
        <w:t>Tealbook</w:t>
      </w:r>
      <w:proofErr w:type="spellEnd"/>
      <w:r w:rsidRPr="00A73034">
        <w:rPr>
          <w:rFonts w:ascii="Times New Roman" w:hAnsi="Times New Roman"/>
        </w:rPr>
        <w:t xml:space="preserve"> and in other internal briefing materials.  This information has been particularly valuable in recent </w:t>
      </w:r>
      <w:r w:rsidR="002C2471">
        <w:rPr>
          <w:rFonts w:ascii="Times New Roman" w:hAnsi="Times New Roman"/>
        </w:rPr>
        <w:t>years</w:t>
      </w:r>
      <w:r w:rsidR="002C2471" w:rsidRPr="00A73034">
        <w:rPr>
          <w:rFonts w:ascii="Times New Roman" w:hAnsi="Times New Roman"/>
        </w:rPr>
        <w:t xml:space="preserve"> </w:t>
      </w:r>
      <w:r w:rsidRPr="00A73034">
        <w:rPr>
          <w:rFonts w:ascii="Times New Roman" w:hAnsi="Times New Roman"/>
        </w:rPr>
        <w:t>as it has provided the Federal Reserve with insight into the effects of the financial crisis on the availability of credit to households and businesses.  The survey has also attracted considerable attention from the business press and is used in academic research on banking and macroeconomic activity.</w:t>
      </w:r>
      <w:r w:rsidRPr="00A73034">
        <w:rPr>
          <w:rStyle w:val="FootnoteReference"/>
          <w:rFonts w:ascii="Times New Roman" w:hAnsi="Times New Roman"/>
          <w:vertAlign w:val="superscript"/>
        </w:rPr>
        <w:footnoteReference w:id="3"/>
      </w:r>
      <w:r w:rsidRPr="00A73034">
        <w:rPr>
          <w:rFonts w:ascii="Times New Roman" w:hAnsi="Times New Roman"/>
        </w:rPr>
        <w:t xml:space="preserve">  </w:t>
      </w:r>
      <w:r w:rsidR="00FF279A" w:rsidRPr="00A73034">
        <w:rPr>
          <w:rFonts w:ascii="Times New Roman" w:hAnsi="Times New Roman"/>
        </w:rPr>
        <w:t xml:space="preserve">Aggregate survey responses have been used to study the </w:t>
      </w:r>
      <w:r w:rsidR="00D4792E">
        <w:rPr>
          <w:rFonts w:ascii="Times New Roman" w:hAnsi="Times New Roman"/>
        </w:rPr>
        <w:t xml:space="preserve">potential </w:t>
      </w:r>
      <w:r w:rsidR="00FF279A" w:rsidRPr="00A73034">
        <w:rPr>
          <w:rFonts w:ascii="Times New Roman" w:hAnsi="Times New Roman"/>
        </w:rPr>
        <w:t xml:space="preserve">effects of the more stringent international capital </w:t>
      </w:r>
      <w:r w:rsidR="00FF279A" w:rsidRPr="00A73034">
        <w:rPr>
          <w:rFonts w:ascii="Times New Roman" w:hAnsi="Times New Roman"/>
        </w:rPr>
        <w:lastRenderedPageBreak/>
        <w:t>requirements commonly referred to as Basel III.</w:t>
      </w:r>
      <w:r w:rsidR="00FF279A" w:rsidRPr="00A73034">
        <w:rPr>
          <w:rStyle w:val="FootnoteReference"/>
          <w:rFonts w:ascii="Times New Roman" w:hAnsi="Times New Roman"/>
          <w:vertAlign w:val="superscript"/>
        </w:rPr>
        <w:footnoteReference w:id="4"/>
      </w:r>
      <w:r w:rsidR="00FF279A" w:rsidRPr="00A73034">
        <w:rPr>
          <w:rFonts w:ascii="Times New Roman" w:hAnsi="Times New Roman"/>
        </w:rPr>
        <w:t xml:space="preserve">  </w:t>
      </w:r>
      <w:r w:rsidRPr="00A73034">
        <w:rPr>
          <w:rFonts w:ascii="Times New Roman" w:hAnsi="Times New Roman"/>
        </w:rPr>
        <w:t>The results are also includ</w:t>
      </w:r>
      <w:r w:rsidR="0070692A" w:rsidRPr="00A73034">
        <w:rPr>
          <w:rFonts w:ascii="Times New Roman" w:hAnsi="Times New Roman"/>
        </w:rPr>
        <w:t>ed in the Federal Reserve Board’</w:t>
      </w:r>
      <w:r w:rsidRPr="00A73034">
        <w:rPr>
          <w:rFonts w:ascii="Times New Roman" w:hAnsi="Times New Roman"/>
        </w:rPr>
        <w:t xml:space="preserve">s reports to Congress on </w:t>
      </w:r>
      <w:r w:rsidRPr="00A73034">
        <w:rPr>
          <w:rFonts w:ascii="Times New Roman" w:hAnsi="Times New Roman"/>
          <w:i/>
        </w:rPr>
        <w:t>Availability of Credit to Small Businesses</w:t>
      </w:r>
      <w:r w:rsidRPr="00A73034">
        <w:rPr>
          <w:rFonts w:ascii="Times New Roman" w:hAnsi="Times New Roman"/>
        </w:rPr>
        <w:t xml:space="preserve">, which are produced every five years pursuant to Section 2227 of the Economic Growth and Regulatory Paperwork Reduction Act of 1996.  The survey results have also been useful in enabling the Federal Reserve to keep abreast of complex banking developments that have evolved over time.  </w:t>
      </w:r>
    </w:p>
    <w:p w:rsidR="005E731F" w:rsidRPr="00A73034" w:rsidRDefault="005E731F" w:rsidP="005E731F">
      <w:pPr>
        <w:widowControl/>
        <w:ind w:firstLine="720"/>
        <w:rPr>
          <w:rFonts w:ascii="Times New Roman" w:hAnsi="Times New Roman"/>
        </w:rPr>
      </w:pPr>
    </w:p>
    <w:p w:rsidR="005E731F" w:rsidRPr="00A73034" w:rsidRDefault="005E731F" w:rsidP="005E731F">
      <w:pPr>
        <w:widowControl/>
        <w:ind w:firstLine="720"/>
        <w:rPr>
          <w:rFonts w:ascii="Times New Roman" w:hAnsi="Times New Roman"/>
        </w:rPr>
      </w:pPr>
      <w:r w:rsidRPr="00A73034">
        <w:rPr>
          <w:rFonts w:ascii="Times New Roman" w:hAnsi="Times New Roman"/>
        </w:rPr>
        <w:t xml:space="preserve">In the last several years, the survey has provided critical information on a number of important banking topics.  Recent special questions have addressed issues in rapidly changing credit markets:  changes in banks’ lending policies </w:t>
      </w:r>
      <w:r w:rsidR="002C2471">
        <w:rPr>
          <w:rFonts w:ascii="Times New Roman" w:hAnsi="Times New Roman"/>
        </w:rPr>
        <w:t>to banks and nonfinancial firms with significant exposure to the euro area</w:t>
      </w:r>
      <w:r w:rsidRPr="00A73034">
        <w:rPr>
          <w:rFonts w:ascii="Times New Roman" w:hAnsi="Times New Roman"/>
        </w:rPr>
        <w:t xml:space="preserve">, banks’ involvement in the syndicated loan market, and banks’ expectations about changes in asset quality and credit standards over the coming year.  Regarding consumer lending, the survey has provided valuable information on timely topics including the securitization of mortgage loans, credit card lending, student loans, and home equity lines of credit. </w:t>
      </w:r>
    </w:p>
    <w:p w:rsidR="005E731F" w:rsidRPr="00A73034" w:rsidRDefault="005E731F" w:rsidP="00D41457">
      <w:pPr>
        <w:widowControl/>
        <w:rPr>
          <w:rFonts w:ascii="Times New Roman" w:hAnsi="Times New Roman"/>
        </w:rPr>
      </w:pPr>
    </w:p>
    <w:p w:rsidR="00FB72E3" w:rsidRPr="00A73034" w:rsidRDefault="005E731F">
      <w:pPr>
        <w:widowControl/>
        <w:rPr>
          <w:rFonts w:ascii="Times New Roman" w:hAnsi="Times New Roman"/>
          <w:b/>
          <w:bCs/>
        </w:rPr>
      </w:pPr>
      <w:r w:rsidRPr="00A73034">
        <w:rPr>
          <w:rFonts w:ascii="Times New Roman" w:hAnsi="Times New Roman"/>
          <w:b/>
          <w:bCs/>
        </w:rPr>
        <w:t>Description of Information Collection</w:t>
      </w:r>
    </w:p>
    <w:p w:rsidR="00FB72E3" w:rsidRPr="00A73034" w:rsidRDefault="00FB72E3">
      <w:pPr>
        <w:widowControl/>
        <w:rPr>
          <w:rFonts w:ascii="Times New Roman" w:hAnsi="Times New Roman"/>
        </w:rPr>
      </w:pPr>
    </w:p>
    <w:p w:rsidR="005E731F" w:rsidRPr="00A73034" w:rsidRDefault="005E731F" w:rsidP="00D41457">
      <w:pPr>
        <w:widowControl/>
        <w:ind w:firstLine="720"/>
        <w:rPr>
          <w:rFonts w:ascii="Times New Roman" w:hAnsi="Times New Roman"/>
        </w:rPr>
      </w:pPr>
      <w:r w:rsidRPr="00A73034">
        <w:rPr>
          <w:rFonts w:ascii="Times New Roman" w:hAnsi="Times New Roman"/>
        </w:rPr>
        <w:t>The questions on the FR 2018 survey are generally qualitative.  They are drafted with the intent to elicit useful information without imposing undue reporting burden.  To understand certain banking practices, however, the Federal Reserve occasionally needs to ask quantitative questions.  The Federal Reserve has sought to limit the difficulty and quantitative content of survey questions, insofar as an adequate understanding of the subject matter allows.  When quantitative information is requested, respondents generally are asked to provide approximate or rough estimates, usually in terms of percentages rather than dollar amounts.  A respondent may decline to answer a particular question when answering would entail excessive burden. Experience has shown that only a small number of respondents decline to answer any particular question</w:t>
      </w:r>
      <w:r w:rsidR="00D4792E">
        <w:rPr>
          <w:rFonts w:ascii="Times New Roman" w:hAnsi="Times New Roman"/>
        </w:rPr>
        <w:t xml:space="preserve"> related to business lines in which their bank is active</w:t>
      </w:r>
      <w:r w:rsidR="002C2471">
        <w:rPr>
          <w:rFonts w:ascii="Times New Roman" w:hAnsi="Times New Roman"/>
        </w:rPr>
        <w:t>.</w:t>
      </w:r>
      <w:r w:rsidRPr="00A73034">
        <w:rPr>
          <w:rFonts w:ascii="Times New Roman" w:hAnsi="Times New Roman"/>
        </w:rPr>
        <w:t xml:space="preserve"> </w:t>
      </w:r>
      <w:proofErr w:type="gramStart"/>
      <w:r w:rsidR="002C2471">
        <w:rPr>
          <w:rFonts w:ascii="Times New Roman" w:hAnsi="Times New Roman"/>
        </w:rPr>
        <w:t>R</w:t>
      </w:r>
      <w:r w:rsidRPr="00A73034">
        <w:rPr>
          <w:rFonts w:ascii="Times New Roman" w:hAnsi="Times New Roman"/>
        </w:rPr>
        <w:t xml:space="preserve">esponse rates overall have </w:t>
      </w:r>
      <w:r w:rsidR="002C2471">
        <w:rPr>
          <w:rFonts w:ascii="Times New Roman" w:hAnsi="Times New Roman"/>
        </w:rPr>
        <w:t xml:space="preserve">been high and </w:t>
      </w:r>
      <w:r w:rsidRPr="00A73034">
        <w:rPr>
          <w:rFonts w:ascii="Times New Roman" w:hAnsi="Times New Roman"/>
        </w:rPr>
        <w:t>resulted in adequate and informative answers.</w:t>
      </w:r>
      <w:proofErr w:type="gramEnd"/>
      <w:r w:rsidRPr="00A73034">
        <w:rPr>
          <w:rFonts w:ascii="Times New Roman" w:hAnsi="Times New Roman"/>
        </w:rPr>
        <w:t xml:space="preserve"> </w:t>
      </w:r>
    </w:p>
    <w:p w:rsidR="005E731F" w:rsidRPr="00A73034" w:rsidRDefault="005E731F" w:rsidP="005E731F">
      <w:pPr>
        <w:widowControl/>
        <w:ind w:firstLine="720"/>
        <w:rPr>
          <w:rFonts w:ascii="Times New Roman" w:hAnsi="Times New Roman"/>
        </w:rPr>
      </w:pPr>
      <w:r w:rsidRPr="00A73034">
        <w:rPr>
          <w:rFonts w:ascii="Times New Roman" w:hAnsi="Times New Roman"/>
        </w:rPr>
        <w:tab/>
      </w:r>
    </w:p>
    <w:p w:rsidR="005E731F" w:rsidRPr="00A73034" w:rsidRDefault="00950079" w:rsidP="005E731F">
      <w:pPr>
        <w:widowControl/>
        <w:ind w:firstLine="720"/>
        <w:rPr>
          <w:rFonts w:ascii="Times New Roman" w:hAnsi="Times New Roman"/>
        </w:rPr>
      </w:pPr>
      <w:r w:rsidRPr="00A73034">
        <w:rPr>
          <w:rFonts w:ascii="Times New Roman" w:hAnsi="Times New Roman"/>
        </w:rPr>
        <w:t xml:space="preserve">Since May 1990, the survey has included approximately 20 questions designed to measure changes in credit standards and terms on bank loans and perceived changes in the demand for bank credit.  </w:t>
      </w:r>
      <w:r w:rsidR="005E731F" w:rsidRPr="00A73034">
        <w:rPr>
          <w:rFonts w:ascii="Times New Roman" w:hAnsi="Times New Roman"/>
        </w:rPr>
        <w:t xml:space="preserve">The survey has also normally included a number of special questions about developments in banking practices.  The Federal Reserve distributes two versions of the survey, one to domestically chartered institutions and one to U.S. branches and agencies of foreign banks.  The survey tailored to the branches and agencies of foreign banks contains fewer questions.  Specifically, it omits both the recurring and the special questions on </w:t>
      </w:r>
      <w:r w:rsidR="002C2471">
        <w:rPr>
          <w:rFonts w:ascii="Times New Roman" w:hAnsi="Times New Roman"/>
        </w:rPr>
        <w:t xml:space="preserve">residential mortgage and </w:t>
      </w:r>
      <w:r w:rsidR="005E731F" w:rsidRPr="00A73034">
        <w:rPr>
          <w:rFonts w:ascii="Times New Roman" w:hAnsi="Times New Roman"/>
        </w:rPr>
        <w:t>consumer lending because the branches and agencies typically make few, if any, loans</w:t>
      </w:r>
      <w:r w:rsidR="002C2471">
        <w:rPr>
          <w:rFonts w:ascii="Times New Roman" w:hAnsi="Times New Roman"/>
        </w:rPr>
        <w:t xml:space="preserve"> to households</w:t>
      </w:r>
      <w:r w:rsidR="005E731F" w:rsidRPr="00A73034">
        <w:rPr>
          <w:rFonts w:ascii="Times New Roman" w:hAnsi="Times New Roman"/>
        </w:rPr>
        <w:t>.</w:t>
      </w:r>
    </w:p>
    <w:p w:rsidR="00FB72E3" w:rsidRPr="00A73034" w:rsidRDefault="00FB72E3" w:rsidP="00D41457">
      <w:pPr>
        <w:widowControl/>
        <w:ind w:firstLine="360"/>
        <w:rPr>
          <w:rFonts w:ascii="Times New Roman" w:hAnsi="Times New Roman"/>
        </w:rPr>
      </w:pPr>
    </w:p>
    <w:p w:rsidR="004D3C8F" w:rsidRDefault="004D3C8F">
      <w:pPr>
        <w:widowControl/>
        <w:autoSpaceDE/>
        <w:autoSpaceDN/>
        <w:adjustRightInd/>
        <w:spacing w:after="200" w:line="276" w:lineRule="auto"/>
        <w:rPr>
          <w:rFonts w:ascii="Times New Roman" w:hAnsi="Times New Roman"/>
          <w:b/>
          <w:bCs/>
        </w:rPr>
      </w:pPr>
      <w:r>
        <w:rPr>
          <w:rFonts w:ascii="Times New Roman" w:hAnsi="Times New Roman"/>
          <w:b/>
          <w:bCs/>
        </w:rPr>
        <w:br w:type="page"/>
      </w:r>
    </w:p>
    <w:p w:rsidR="00FB72E3" w:rsidRPr="00A73034" w:rsidRDefault="005E731F" w:rsidP="00331844">
      <w:pPr>
        <w:widowControl/>
        <w:autoSpaceDE/>
        <w:autoSpaceDN/>
        <w:adjustRightInd/>
        <w:spacing w:after="200" w:line="276" w:lineRule="auto"/>
        <w:rPr>
          <w:rFonts w:ascii="Times New Roman" w:hAnsi="Times New Roman"/>
        </w:rPr>
      </w:pPr>
      <w:r w:rsidRPr="00A73034">
        <w:rPr>
          <w:rFonts w:ascii="Times New Roman" w:hAnsi="Times New Roman"/>
          <w:b/>
          <w:bCs/>
        </w:rPr>
        <w:lastRenderedPageBreak/>
        <w:t>Reporting Panel</w:t>
      </w:r>
    </w:p>
    <w:p w:rsidR="00A15258" w:rsidRPr="00A73034" w:rsidRDefault="005E731F" w:rsidP="005E731F">
      <w:pPr>
        <w:widowControl/>
        <w:ind w:firstLine="720"/>
        <w:rPr>
          <w:rFonts w:ascii="Times New Roman" w:hAnsi="Times New Roman"/>
        </w:rPr>
      </w:pPr>
      <w:proofErr w:type="gramStart"/>
      <w:r w:rsidRPr="00A73034">
        <w:rPr>
          <w:rFonts w:ascii="Times New Roman" w:hAnsi="Times New Roman"/>
          <w:b/>
          <w:bCs/>
        </w:rPr>
        <w:t>Domestically Chartered Commercial Banks</w:t>
      </w:r>
      <w:r w:rsidRPr="00A73034">
        <w:rPr>
          <w:rFonts w:ascii="Times New Roman" w:hAnsi="Times New Roman"/>
        </w:rPr>
        <w:t>.</w:t>
      </w:r>
      <w:proofErr w:type="gramEnd"/>
      <w:r w:rsidRPr="00A73034">
        <w:rPr>
          <w:rFonts w:ascii="Times New Roman" w:hAnsi="Times New Roman"/>
        </w:rPr>
        <w:t xml:space="preserve">  Since 1981, </w:t>
      </w:r>
      <w:r w:rsidR="005B4458">
        <w:rPr>
          <w:rFonts w:ascii="Times New Roman" w:hAnsi="Times New Roman"/>
        </w:rPr>
        <w:t>the Federal Reserve</w:t>
      </w:r>
      <w:r w:rsidRPr="00A73034">
        <w:rPr>
          <w:rFonts w:ascii="Times New Roman" w:hAnsi="Times New Roman"/>
        </w:rPr>
        <w:t xml:space="preserve"> has tried to maintain a panel of 60 insured, domestically chartered commercial banks.  To ensure adequate geographic coverage, the survey panel of domestic banks spans all Federal Reserve Districts, while balancing the need to keep it heavily weighted toward the largest banks.  When the largest banks in a District are not among its respondents, it is generally because the banks are specialized (for example, credit card banks) or because they are part of a holding company that is already represented in another District.  The presence of the largest banks in the survey is critical, as they play an important role in developing and practicing new banking techniques.  However, the panel also includes a fair number of large and medium-size regional banks, which allows for a greater diversity of responses and provides a broader view of the banking system.  </w:t>
      </w:r>
    </w:p>
    <w:p w:rsidR="00A15258" w:rsidRPr="00A73034" w:rsidRDefault="00A15258" w:rsidP="005E731F">
      <w:pPr>
        <w:widowControl/>
        <w:ind w:firstLine="720"/>
        <w:rPr>
          <w:rFonts w:ascii="Times New Roman" w:hAnsi="Times New Roman"/>
        </w:rPr>
      </w:pPr>
    </w:p>
    <w:p w:rsidR="005E731F" w:rsidRPr="00A73034" w:rsidRDefault="005E731F" w:rsidP="005E731F">
      <w:pPr>
        <w:widowControl/>
        <w:ind w:firstLine="720"/>
        <w:rPr>
          <w:rFonts w:ascii="Times New Roman" w:hAnsi="Times New Roman"/>
          <w:b/>
          <w:bCs/>
        </w:rPr>
      </w:pPr>
      <w:r w:rsidRPr="00A73034">
        <w:rPr>
          <w:rFonts w:ascii="Times New Roman" w:hAnsi="Times New Roman"/>
        </w:rPr>
        <w:t xml:space="preserve">As of </w:t>
      </w:r>
      <w:r w:rsidR="002E0180">
        <w:rPr>
          <w:rFonts w:ascii="Times New Roman" w:hAnsi="Times New Roman"/>
        </w:rPr>
        <w:t>September</w:t>
      </w:r>
      <w:r w:rsidR="002E0180" w:rsidRPr="00A73034">
        <w:rPr>
          <w:rFonts w:ascii="Times New Roman" w:hAnsi="Times New Roman"/>
        </w:rPr>
        <w:t xml:space="preserve"> </w:t>
      </w:r>
      <w:r w:rsidRPr="00A73034">
        <w:rPr>
          <w:rFonts w:ascii="Times New Roman" w:hAnsi="Times New Roman"/>
        </w:rPr>
        <w:t>30, 2011, the current panel of domestic respondents contained 55 banks, 3</w:t>
      </w:r>
      <w:r w:rsidR="002E0180">
        <w:rPr>
          <w:rFonts w:ascii="Times New Roman" w:hAnsi="Times New Roman"/>
        </w:rPr>
        <w:t>4</w:t>
      </w:r>
      <w:r w:rsidRPr="00A73034">
        <w:rPr>
          <w:rFonts w:ascii="Times New Roman" w:hAnsi="Times New Roman"/>
        </w:rPr>
        <w:t xml:space="preserve"> of which had </w:t>
      </w:r>
      <w:r w:rsidR="0070692A" w:rsidRPr="00A73034">
        <w:rPr>
          <w:rFonts w:ascii="Times New Roman" w:hAnsi="Times New Roman"/>
        </w:rPr>
        <w:t>assets of $20 billion or more</w:t>
      </w:r>
      <w:r w:rsidRPr="00A73034">
        <w:rPr>
          <w:rFonts w:ascii="Times New Roman" w:hAnsi="Times New Roman"/>
          <w:i/>
          <w:iCs/>
        </w:rPr>
        <w:t>.</w:t>
      </w:r>
      <w:r w:rsidRPr="00A73034">
        <w:rPr>
          <w:rFonts w:ascii="Times New Roman" w:hAnsi="Times New Roman"/>
        </w:rPr>
        <w:t xml:space="preserve">  The assets of the panel banks totaled $7.</w:t>
      </w:r>
      <w:r w:rsidR="00771A3E">
        <w:rPr>
          <w:rFonts w:ascii="Times New Roman" w:hAnsi="Times New Roman"/>
        </w:rPr>
        <w:t>5</w:t>
      </w:r>
      <w:r w:rsidRPr="00A73034">
        <w:rPr>
          <w:rFonts w:ascii="Times New Roman" w:hAnsi="Times New Roman"/>
        </w:rPr>
        <w:t xml:space="preserve"> trillion and accounted for about 6</w:t>
      </w:r>
      <w:r w:rsidR="00771A3E">
        <w:rPr>
          <w:rFonts w:ascii="Times New Roman" w:hAnsi="Times New Roman"/>
        </w:rPr>
        <w:t>9</w:t>
      </w:r>
      <w:r w:rsidRPr="00A73034">
        <w:rPr>
          <w:rFonts w:ascii="Times New Roman" w:hAnsi="Times New Roman"/>
        </w:rPr>
        <w:t xml:space="preserve"> percent of the $10.</w:t>
      </w:r>
      <w:r w:rsidR="00771A3E">
        <w:rPr>
          <w:rFonts w:ascii="Times New Roman" w:hAnsi="Times New Roman"/>
        </w:rPr>
        <w:t>9</w:t>
      </w:r>
      <w:r w:rsidRPr="00A73034">
        <w:rPr>
          <w:rFonts w:ascii="Times New Roman" w:hAnsi="Times New Roman"/>
        </w:rPr>
        <w:t xml:space="preserve"> trillion in total assets at domestically chartered institutions.</w:t>
      </w:r>
    </w:p>
    <w:p w:rsidR="00832C64" w:rsidRPr="00A73034" w:rsidRDefault="00832C64" w:rsidP="00832C64">
      <w:pPr>
        <w:widowControl/>
        <w:rPr>
          <w:rFonts w:ascii="Times New Roman" w:hAnsi="Times New Roman"/>
        </w:rPr>
      </w:pPr>
    </w:p>
    <w:p w:rsidR="00832C64" w:rsidRPr="00A73034" w:rsidRDefault="00832C64" w:rsidP="00832C64">
      <w:pPr>
        <w:widowControl/>
        <w:ind w:firstLine="720"/>
        <w:rPr>
          <w:rFonts w:ascii="Times New Roman" w:hAnsi="Times New Roman"/>
        </w:rPr>
      </w:pPr>
      <w:proofErr w:type="gramStart"/>
      <w:r w:rsidRPr="00A73034">
        <w:rPr>
          <w:rFonts w:ascii="Times New Roman" w:hAnsi="Times New Roman"/>
          <w:b/>
          <w:bCs/>
        </w:rPr>
        <w:t>Selection Criteria for the Domestic Bank Panel.</w:t>
      </w:r>
      <w:proofErr w:type="gramEnd"/>
      <w:r w:rsidRPr="00A73034">
        <w:rPr>
          <w:rFonts w:ascii="Times New Roman" w:hAnsi="Times New Roman"/>
          <w:b/>
          <w:bCs/>
        </w:rPr>
        <w:t xml:space="preserve">  </w:t>
      </w:r>
      <w:r w:rsidRPr="00A73034">
        <w:rPr>
          <w:rFonts w:ascii="Times New Roman" w:hAnsi="Times New Roman"/>
        </w:rPr>
        <w:t xml:space="preserve">In selecting the panel, </w:t>
      </w:r>
      <w:r w:rsidR="005B4458">
        <w:rPr>
          <w:rFonts w:ascii="Times New Roman" w:hAnsi="Times New Roman"/>
        </w:rPr>
        <w:t>the Federal Reserve</w:t>
      </w:r>
      <w:r w:rsidR="00547428">
        <w:rPr>
          <w:rFonts w:ascii="Times New Roman" w:hAnsi="Times New Roman"/>
        </w:rPr>
        <w:t xml:space="preserve"> </w:t>
      </w:r>
      <w:r w:rsidRPr="00A73034">
        <w:rPr>
          <w:rFonts w:ascii="Times New Roman" w:hAnsi="Times New Roman"/>
        </w:rPr>
        <w:t>generally impose</w:t>
      </w:r>
      <w:r w:rsidR="00D4792E">
        <w:rPr>
          <w:rFonts w:ascii="Times New Roman" w:hAnsi="Times New Roman"/>
        </w:rPr>
        <w:t>s</w:t>
      </w:r>
      <w:r w:rsidRPr="00A73034">
        <w:rPr>
          <w:rFonts w:ascii="Times New Roman" w:hAnsi="Times New Roman"/>
        </w:rPr>
        <w:t xml:space="preserve"> three </w:t>
      </w:r>
      <w:r w:rsidR="00A161E1">
        <w:rPr>
          <w:rFonts w:ascii="Times New Roman" w:hAnsi="Times New Roman"/>
        </w:rPr>
        <w:t>types</w:t>
      </w:r>
      <w:r w:rsidR="00D4792E">
        <w:rPr>
          <w:rFonts w:ascii="Times New Roman" w:hAnsi="Times New Roman"/>
        </w:rPr>
        <w:t xml:space="preserve"> of </w:t>
      </w:r>
      <w:r w:rsidRPr="00A73034">
        <w:rPr>
          <w:rFonts w:ascii="Times New Roman" w:hAnsi="Times New Roman"/>
        </w:rPr>
        <w:t xml:space="preserve">constraints.  The first is size: </w:t>
      </w:r>
      <w:r w:rsidR="005B4458">
        <w:rPr>
          <w:rFonts w:ascii="Times New Roman" w:hAnsi="Times New Roman"/>
        </w:rPr>
        <w:t>the Federal Reserve</w:t>
      </w:r>
      <w:r w:rsidRPr="00A73034">
        <w:rPr>
          <w:rFonts w:ascii="Times New Roman" w:hAnsi="Times New Roman"/>
        </w:rPr>
        <w:t xml:space="preserve"> </w:t>
      </w:r>
      <w:r w:rsidR="00D4792E">
        <w:rPr>
          <w:rFonts w:ascii="Times New Roman" w:hAnsi="Times New Roman"/>
        </w:rPr>
        <w:t xml:space="preserve">has been </w:t>
      </w:r>
      <w:r w:rsidRPr="00A73034">
        <w:rPr>
          <w:rFonts w:ascii="Times New Roman" w:hAnsi="Times New Roman"/>
        </w:rPr>
        <w:t>eliminat</w:t>
      </w:r>
      <w:r w:rsidR="00D4792E">
        <w:rPr>
          <w:rFonts w:ascii="Times New Roman" w:hAnsi="Times New Roman"/>
        </w:rPr>
        <w:t>ing</w:t>
      </w:r>
      <w:r w:rsidRPr="00A73034">
        <w:rPr>
          <w:rFonts w:ascii="Times New Roman" w:hAnsi="Times New Roman"/>
        </w:rPr>
        <w:t xml:space="preserve"> banks having less than $</w:t>
      </w:r>
      <w:r w:rsidR="000E26F7">
        <w:rPr>
          <w:rFonts w:ascii="Times New Roman" w:hAnsi="Times New Roman"/>
        </w:rPr>
        <w:t>3</w:t>
      </w:r>
      <w:r w:rsidRPr="00A73034">
        <w:rPr>
          <w:rFonts w:ascii="Times New Roman" w:hAnsi="Times New Roman"/>
        </w:rPr>
        <w:t xml:space="preserve"> billion in assets or for which commercial and industrial (C&amp;I) loans are less than 5 percent of total </w:t>
      </w:r>
      <w:r w:rsidR="002321E6">
        <w:rPr>
          <w:rFonts w:ascii="Times New Roman" w:hAnsi="Times New Roman"/>
        </w:rPr>
        <w:t>assets</w:t>
      </w:r>
      <w:r w:rsidRPr="00A73034">
        <w:rPr>
          <w:rFonts w:ascii="Times New Roman" w:hAnsi="Times New Roman"/>
        </w:rPr>
        <w:t>, with few exceptions.</w:t>
      </w:r>
      <w:r w:rsidRPr="00A73034">
        <w:rPr>
          <w:rStyle w:val="FootnoteReference"/>
          <w:rFonts w:ascii="Times New Roman" w:hAnsi="Times New Roman"/>
          <w:vertAlign w:val="superscript"/>
        </w:rPr>
        <w:footnoteReference w:id="5"/>
      </w:r>
      <w:r w:rsidRPr="00A73034">
        <w:rPr>
          <w:rFonts w:ascii="Times New Roman" w:hAnsi="Times New Roman"/>
        </w:rPr>
        <w:t xml:space="preserve">  The second</w:t>
      </w:r>
      <w:r w:rsidR="005B4458">
        <w:rPr>
          <w:rFonts w:ascii="Times New Roman" w:hAnsi="Times New Roman"/>
        </w:rPr>
        <w:t xml:space="preserve"> is geographic diversity: the Federal Reserve</w:t>
      </w:r>
      <w:r w:rsidRPr="00A73034">
        <w:rPr>
          <w:rFonts w:ascii="Times New Roman" w:hAnsi="Times New Roman"/>
        </w:rPr>
        <w:t xml:space="preserve"> </w:t>
      </w:r>
      <w:r w:rsidR="00A161E1">
        <w:rPr>
          <w:rFonts w:ascii="Times New Roman" w:hAnsi="Times New Roman"/>
        </w:rPr>
        <w:t xml:space="preserve">typically </w:t>
      </w:r>
      <w:r w:rsidR="00547428">
        <w:rPr>
          <w:rFonts w:ascii="Times New Roman" w:hAnsi="Times New Roman"/>
        </w:rPr>
        <w:t>ha</w:t>
      </w:r>
      <w:r w:rsidR="00D4792E">
        <w:rPr>
          <w:rFonts w:ascii="Times New Roman" w:hAnsi="Times New Roman"/>
        </w:rPr>
        <w:t>s been</w:t>
      </w:r>
      <w:r w:rsidR="00547428" w:rsidRPr="00A73034">
        <w:rPr>
          <w:rFonts w:ascii="Times New Roman" w:hAnsi="Times New Roman"/>
        </w:rPr>
        <w:t xml:space="preserve"> </w:t>
      </w:r>
      <w:r w:rsidRPr="00A73034">
        <w:rPr>
          <w:rFonts w:ascii="Times New Roman" w:hAnsi="Times New Roman"/>
        </w:rPr>
        <w:t>includ</w:t>
      </w:r>
      <w:r w:rsidR="00A161E1">
        <w:rPr>
          <w:rFonts w:ascii="Times New Roman" w:hAnsi="Times New Roman"/>
        </w:rPr>
        <w:t>ing</w:t>
      </w:r>
      <w:r w:rsidRPr="00A73034">
        <w:rPr>
          <w:rFonts w:ascii="Times New Roman" w:hAnsi="Times New Roman"/>
        </w:rPr>
        <w:t xml:space="preserve"> banks in each District. The third is mutual independen</w:t>
      </w:r>
      <w:r w:rsidR="005B4458">
        <w:rPr>
          <w:rFonts w:ascii="Times New Roman" w:hAnsi="Times New Roman"/>
        </w:rPr>
        <w:t xml:space="preserve">ce: </w:t>
      </w:r>
      <w:r w:rsidR="005832B9">
        <w:rPr>
          <w:rFonts w:ascii="Times New Roman" w:hAnsi="Times New Roman"/>
        </w:rPr>
        <w:t>w</w:t>
      </w:r>
      <w:r w:rsidR="005B4458">
        <w:rPr>
          <w:rFonts w:ascii="Times New Roman" w:hAnsi="Times New Roman"/>
        </w:rPr>
        <w:t>ith some exceptions, the Federal Reserve</w:t>
      </w:r>
      <w:r w:rsidRPr="00A73034">
        <w:rPr>
          <w:rFonts w:ascii="Times New Roman" w:hAnsi="Times New Roman"/>
        </w:rPr>
        <w:t xml:space="preserve"> eliminates a bank from consideration if it is a subsidiary of a bank holding company that is already represented in the panel (because its responses would likely not be independent of those of the related bank already providing responses).</w:t>
      </w:r>
      <w:r w:rsidRPr="00A73034">
        <w:rPr>
          <w:rStyle w:val="FootnoteReference"/>
          <w:rFonts w:ascii="Times New Roman" w:hAnsi="Times New Roman"/>
          <w:vertAlign w:val="superscript"/>
        </w:rPr>
        <w:footnoteReference w:id="6"/>
      </w:r>
    </w:p>
    <w:p w:rsidR="00832C64" w:rsidRDefault="00832C64" w:rsidP="00832C64">
      <w:pPr>
        <w:widowControl/>
        <w:ind w:firstLine="720"/>
        <w:rPr>
          <w:rFonts w:ascii="Times New Roman" w:hAnsi="Times New Roman"/>
        </w:rPr>
      </w:pPr>
    </w:p>
    <w:p w:rsidR="00B146B4" w:rsidRDefault="00832C64" w:rsidP="00832C64">
      <w:pPr>
        <w:widowControl/>
        <w:ind w:firstLine="720"/>
        <w:rPr>
          <w:rFonts w:ascii="Times New Roman" w:hAnsi="Times New Roman"/>
        </w:rPr>
      </w:pPr>
      <w:proofErr w:type="gramStart"/>
      <w:r w:rsidRPr="00A73034">
        <w:rPr>
          <w:rFonts w:ascii="Times New Roman" w:hAnsi="Times New Roman"/>
          <w:b/>
          <w:bCs/>
        </w:rPr>
        <w:t>U.S. Branches and Agencies of Foreign Banks.</w:t>
      </w:r>
      <w:proofErr w:type="gramEnd"/>
      <w:r w:rsidRPr="00A73034">
        <w:rPr>
          <w:rFonts w:ascii="Times New Roman" w:hAnsi="Times New Roman"/>
        </w:rPr>
        <w:t xml:space="preserve">  The current panel includes 22 institutions.  </w:t>
      </w:r>
      <w:r w:rsidR="00515678">
        <w:rPr>
          <w:rFonts w:ascii="Times New Roman" w:hAnsi="Times New Roman"/>
        </w:rPr>
        <w:t>I</w:t>
      </w:r>
      <w:r w:rsidRPr="00A73034">
        <w:rPr>
          <w:rFonts w:ascii="Times New Roman" w:hAnsi="Times New Roman"/>
        </w:rPr>
        <w:t xml:space="preserve">n September 2008, the share of C&amp;I loans held by respondent U.S. branches and agencies of foreign banks ($184.8 billion) relative to the universe of foreign branches and agencies ($323.5 billion) equaled roughly 57 percent.  In </w:t>
      </w:r>
      <w:r w:rsidR="002E0180">
        <w:rPr>
          <w:rFonts w:ascii="Times New Roman" w:hAnsi="Times New Roman"/>
        </w:rPr>
        <w:t>September</w:t>
      </w:r>
      <w:r w:rsidR="002E0180" w:rsidRPr="00A73034">
        <w:rPr>
          <w:rFonts w:ascii="Times New Roman" w:hAnsi="Times New Roman"/>
        </w:rPr>
        <w:t xml:space="preserve"> </w:t>
      </w:r>
      <w:r w:rsidRPr="00A73034">
        <w:rPr>
          <w:rFonts w:ascii="Times New Roman" w:hAnsi="Times New Roman"/>
        </w:rPr>
        <w:t>2011, the share of C&amp;I loans held by respondent U.S. branches and agencies of foreign banks ($</w:t>
      </w:r>
      <w:r w:rsidR="002E0180">
        <w:rPr>
          <w:rFonts w:ascii="Times New Roman" w:hAnsi="Times New Roman"/>
        </w:rPr>
        <w:t>132.5</w:t>
      </w:r>
      <w:r w:rsidRPr="00A73034">
        <w:rPr>
          <w:rFonts w:ascii="Times New Roman" w:hAnsi="Times New Roman"/>
        </w:rPr>
        <w:t xml:space="preserve"> billion) relative to the universe of foreign branches and agencies ($</w:t>
      </w:r>
      <w:r w:rsidR="002E0180">
        <w:rPr>
          <w:rFonts w:ascii="Times New Roman" w:hAnsi="Times New Roman"/>
        </w:rPr>
        <w:t>241.7</w:t>
      </w:r>
      <w:r w:rsidRPr="00A73034">
        <w:rPr>
          <w:rFonts w:ascii="Times New Roman" w:hAnsi="Times New Roman"/>
        </w:rPr>
        <w:t xml:space="preserve"> billion) fell to 55 percent.  To keep the panel representative with respect to the parent banks’ countries of origin going forward, branches and agencies would continue to be added to the panel based on location of the parent bank as well as size.</w:t>
      </w:r>
    </w:p>
    <w:p w:rsidR="00832C64" w:rsidRPr="00A73034" w:rsidRDefault="00832C64" w:rsidP="00832C64">
      <w:pPr>
        <w:widowControl/>
        <w:rPr>
          <w:rFonts w:ascii="Times New Roman" w:hAnsi="Times New Roman"/>
        </w:rPr>
      </w:pPr>
    </w:p>
    <w:p w:rsidR="00832C64" w:rsidRPr="00A73034" w:rsidRDefault="00832C64" w:rsidP="004D3C8F">
      <w:pPr>
        <w:widowControl/>
        <w:ind w:firstLine="720"/>
        <w:rPr>
          <w:rFonts w:ascii="Times New Roman" w:hAnsi="Times New Roman"/>
        </w:rPr>
      </w:pPr>
      <w:proofErr w:type="gramStart"/>
      <w:r w:rsidRPr="00A73034">
        <w:rPr>
          <w:rFonts w:ascii="Times New Roman" w:hAnsi="Times New Roman"/>
          <w:b/>
          <w:bCs/>
        </w:rPr>
        <w:t>Optional Panel.</w:t>
      </w:r>
      <w:proofErr w:type="gramEnd"/>
      <w:r w:rsidR="005B4458">
        <w:rPr>
          <w:rFonts w:ascii="Times New Roman" w:hAnsi="Times New Roman"/>
        </w:rPr>
        <w:t xml:space="preserve">  The </w:t>
      </w:r>
      <w:r w:rsidRPr="00A73034">
        <w:rPr>
          <w:rFonts w:ascii="Times New Roman" w:hAnsi="Times New Roman"/>
        </w:rPr>
        <w:t xml:space="preserve">panels of large domestically chartered commercial banks and 24 U.S. branches and agencies of foreign banks </w:t>
      </w:r>
      <w:r w:rsidR="00283B04">
        <w:rPr>
          <w:rFonts w:ascii="Times New Roman" w:hAnsi="Times New Roman"/>
        </w:rPr>
        <w:t xml:space="preserve">would </w:t>
      </w:r>
      <w:r w:rsidRPr="00A73034">
        <w:rPr>
          <w:rFonts w:ascii="Times New Roman" w:hAnsi="Times New Roman"/>
        </w:rPr>
        <w:t>be appropriate for most survey topics.  In some situations, however, panels based on alternative criteria may be more appropriate or may provide useful additional i</w:t>
      </w:r>
      <w:r w:rsidR="005B4458">
        <w:rPr>
          <w:rFonts w:ascii="Times New Roman" w:hAnsi="Times New Roman"/>
        </w:rPr>
        <w:t>nformation.  Consequently, the Federal Reserve</w:t>
      </w:r>
      <w:r w:rsidRPr="00A73034">
        <w:rPr>
          <w:rFonts w:ascii="Times New Roman" w:hAnsi="Times New Roman"/>
        </w:rPr>
        <w:t xml:space="preserve"> has the option to survey other types of respondents (such as other depository institutions, bank holding companies, </w:t>
      </w:r>
      <w:r w:rsidRPr="00A73034">
        <w:rPr>
          <w:rFonts w:ascii="Times New Roman" w:hAnsi="Times New Roman"/>
        </w:rPr>
        <w:lastRenderedPageBreak/>
        <w:t>or other financial entities) in addition to the current panel.  For example, it may be useful to survey institutional loan investors to gain a better understanding of how that part of the syndicated loan market works.  This option enhances the potential scope and utility of the survey and is consistent with the FR 2023.</w:t>
      </w:r>
      <w:r w:rsidRPr="00A73034">
        <w:rPr>
          <w:rStyle w:val="FootnoteReference"/>
          <w:rFonts w:ascii="Times New Roman" w:hAnsi="Times New Roman"/>
          <w:vertAlign w:val="superscript"/>
        </w:rPr>
        <w:t xml:space="preserve"> </w:t>
      </w:r>
      <w:r w:rsidRPr="00A73034">
        <w:rPr>
          <w:rFonts w:ascii="Times New Roman" w:hAnsi="Times New Roman"/>
        </w:rPr>
        <w:t xml:space="preserve">Also consistent with the FR </w:t>
      </w:r>
      <w:r w:rsidRPr="00312EE7">
        <w:rPr>
          <w:rFonts w:ascii="Times New Roman" w:hAnsi="Times New Roman"/>
        </w:rPr>
        <w:t>2023, the surveys of optional panels would be cond</w:t>
      </w:r>
      <w:r w:rsidR="00312EE7" w:rsidRPr="00312EE7">
        <w:rPr>
          <w:rFonts w:ascii="Times New Roman" w:hAnsi="Times New Roman"/>
        </w:rPr>
        <w:t xml:space="preserve">ucted either by </w:t>
      </w:r>
      <w:r w:rsidR="001A071D">
        <w:rPr>
          <w:rFonts w:ascii="Times New Roman" w:hAnsi="Times New Roman"/>
        </w:rPr>
        <w:t xml:space="preserve">Federal </w:t>
      </w:r>
      <w:r w:rsidR="00312EE7" w:rsidRPr="00312EE7">
        <w:rPr>
          <w:rFonts w:ascii="Times New Roman" w:hAnsi="Times New Roman"/>
        </w:rPr>
        <w:t xml:space="preserve">Reserve Bank </w:t>
      </w:r>
      <w:r w:rsidR="001A071D">
        <w:rPr>
          <w:rFonts w:ascii="Times New Roman" w:hAnsi="Times New Roman"/>
        </w:rPr>
        <w:t xml:space="preserve">staff </w:t>
      </w:r>
      <w:r w:rsidR="00312EE7" w:rsidRPr="00312EE7">
        <w:rPr>
          <w:rFonts w:ascii="Times New Roman" w:hAnsi="Times New Roman"/>
        </w:rPr>
        <w:t xml:space="preserve">or </w:t>
      </w:r>
      <w:r w:rsidR="00312EE7">
        <w:rPr>
          <w:rFonts w:ascii="Times New Roman" w:hAnsi="Times New Roman"/>
        </w:rPr>
        <w:t>Federal Reserve</w:t>
      </w:r>
      <w:r w:rsidR="001A071D">
        <w:rPr>
          <w:rFonts w:ascii="Times New Roman" w:hAnsi="Times New Roman"/>
        </w:rPr>
        <w:t xml:space="preserve"> Board</w:t>
      </w:r>
      <w:r w:rsidR="00312EE7">
        <w:rPr>
          <w:rFonts w:ascii="Times New Roman" w:hAnsi="Times New Roman"/>
        </w:rPr>
        <w:t xml:space="preserve"> staff</w:t>
      </w:r>
      <w:r w:rsidRPr="00312EE7">
        <w:rPr>
          <w:rFonts w:ascii="Times New Roman" w:hAnsi="Times New Roman"/>
        </w:rPr>
        <w:t>, as appropriate.</w:t>
      </w:r>
    </w:p>
    <w:p w:rsidR="004D3C8F" w:rsidRDefault="004D3C8F" w:rsidP="004D3C8F">
      <w:pPr>
        <w:widowControl/>
        <w:autoSpaceDE/>
        <w:autoSpaceDN/>
        <w:adjustRightInd/>
        <w:rPr>
          <w:rFonts w:ascii="Times New Roman" w:hAnsi="Times New Roman"/>
          <w:b/>
        </w:rPr>
      </w:pPr>
    </w:p>
    <w:p w:rsidR="003C1B40" w:rsidRPr="00A73034" w:rsidRDefault="003C1B40" w:rsidP="007623E9">
      <w:pPr>
        <w:widowControl/>
        <w:autoSpaceDE/>
        <w:autoSpaceDN/>
        <w:adjustRightInd/>
        <w:ind w:firstLine="720"/>
        <w:rPr>
          <w:rFonts w:ascii="Times New Roman" w:hAnsi="Times New Roman"/>
        </w:rPr>
      </w:pPr>
      <w:r w:rsidRPr="00A73034">
        <w:rPr>
          <w:rFonts w:ascii="Times New Roman" w:hAnsi="Times New Roman"/>
          <w:b/>
        </w:rPr>
        <w:t>Proposed Revisions</w:t>
      </w:r>
    </w:p>
    <w:p w:rsidR="004D3C8F" w:rsidRPr="00A73034" w:rsidRDefault="004D3C8F" w:rsidP="004D3C8F">
      <w:pPr>
        <w:rPr>
          <w:rFonts w:ascii="Times New Roman" w:hAnsi="Times New Roman"/>
        </w:rPr>
      </w:pPr>
    </w:p>
    <w:p w:rsidR="003C1B40" w:rsidRPr="00A73034" w:rsidRDefault="005B4458" w:rsidP="004D3C8F">
      <w:pPr>
        <w:widowControl/>
        <w:ind w:firstLine="720"/>
        <w:rPr>
          <w:rFonts w:ascii="Times New Roman" w:hAnsi="Times New Roman"/>
        </w:rPr>
      </w:pPr>
      <w:r>
        <w:rPr>
          <w:rFonts w:ascii="Times New Roman" w:hAnsi="Times New Roman"/>
        </w:rPr>
        <w:t>The Federal Reserve</w:t>
      </w:r>
      <w:r w:rsidR="003C1B40" w:rsidRPr="00A73034">
        <w:rPr>
          <w:rFonts w:ascii="Times New Roman" w:hAnsi="Times New Roman"/>
        </w:rPr>
        <w:t xml:space="preserve"> </w:t>
      </w:r>
      <w:r w:rsidR="00063949" w:rsidRPr="00A73034">
        <w:rPr>
          <w:rFonts w:ascii="Times New Roman" w:hAnsi="Times New Roman"/>
        </w:rPr>
        <w:t xml:space="preserve">proposes to: (1) </w:t>
      </w:r>
      <w:r w:rsidR="00547428" w:rsidRPr="00A73034">
        <w:rPr>
          <w:rFonts w:ascii="Times New Roman" w:hAnsi="Times New Roman"/>
        </w:rPr>
        <w:t>reduce the minimum asset size for panel institutions from $3 billion to $2 billion</w:t>
      </w:r>
      <w:r w:rsidR="00547428" w:rsidRPr="00A73034" w:rsidDel="00547428">
        <w:rPr>
          <w:rFonts w:ascii="Times New Roman" w:hAnsi="Times New Roman"/>
        </w:rPr>
        <w:t xml:space="preserve"> </w:t>
      </w:r>
      <w:r w:rsidR="003C1B40" w:rsidRPr="00A73034">
        <w:rPr>
          <w:rFonts w:ascii="Times New Roman" w:hAnsi="Times New Roman"/>
        </w:rPr>
        <w:t xml:space="preserve">and (2) </w:t>
      </w:r>
      <w:bookmarkStart w:id="0" w:name="OLE_LINK6"/>
      <w:r w:rsidR="00547428" w:rsidRPr="00A73034">
        <w:rPr>
          <w:rFonts w:ascii="Times New Roman" w:hAnsi="Times New Roman"/>
        </w:rPr>
        <w:t>add 20 domestically chartered commercial banks with $2 to $10 billion in total assets</w:t>
      </w:r>
      <w:bookmarkEnd w:id="0"/>
      <w:r w:rsidR="00547428" w:rsidRPr="00A73034">
        <w:rPr>
          <w:rFonts w:ascii="Times New Roman" w:hAnsi="Times New Roman"/>
        </w:rPr>
        <w:t xml:space="preserve"> to the current reporting panel</w:t>
      </w:r>
      <w:r w:rsidR="003C1B40" w:rsidRPr="00A73034">
        <w:rPr>
          <w:rFonts w:ascii="Times New Roman" w:hAnsi="Times New Roman"/>
        </w:rPr>
        <w:t xml:space="preserve">. </w:t>
      </w:r>
      <w:r w:rsidR="00A15258" w:rsidRPr="00A73034">
        <w:rPr>
          <w:rFonts w:ascii="Times New Roman" w:hAnsi="Times New Roman"/>
        </w:rPr>
        <w:t xml:space="preserve"> </w:t>
      </w:r>
      <w:r>
        <w:rPr>
          <w:rFonts w:ascii="Times New Roman" w:hAnsi="Times New Roman"/>
        </w:rPr>
        <w:t>The Federal Reserve</w:t>
      </w:r>
      <w:r w:rsidR="003C1B40" w:rsidRPr="00A73034">
        <w:rPr>
          <w:rFonts w:ascii="Times New Roman" w:hAnsi="Times New Roman"/>
        </w:rPr>
        <w:t xml:space="preserve"> believes that the addition to the panel would provide deeper coverage of commercial real estate loans and small business lending, as well as a more comprehensive picture of differences in lending conditions at the largest banks and regional banks. </w:t>
      </w:r>
    </w:p>
    <w:p w:rsidR="00F725CD" w:rsidRDefault="00F725CD">
      <w:pPr>
        <w:widowControl/>
        <w:rPr>
          <w:rFonts w:ascii="Times New Roman" w:hAnsi="Times New Roman"/>
        </w:rPr>
      </w:pPr>
    </w:p>
    <w:p w:rsidR="002F1997" w:rsidRDefault="00515678" w:rsidP="003C1B40">
      <w:pPr>
        <w:widowControl/>
        <w:ind w:firstLine="720"/>
        <w:rPr>
          <w:rFonts w:ascii="Times New Roman" w:hAnsi="Times New Roman"/>
        </w:rPr>
      </w:pPr>
      <w:r>
        <w:rPr>
          <w:rFonts w:ascii="Times New Roman" w:hAnsi="Times New Roman"/>
        </w:rPr>
        <w:t>Expanding</w:t>
      </w:r>
      <w:r w:rsidR="00FE356D">
        <w:rPr>
          <w:rFonts w:ascii="Times New Roman" w:hAnsi="Times New Roman"/>
        </w:rPr>
        <w:t xml:space="preserve"> </w:t>
      </w:r>
      <w:r w:rsidR="00FE356D" w:rsidRPr="00A73034">
        <w:rPr>
          <w:rFonts w:ascii="Times New Roman" w:hAnsi="Times New Roman"/>
        </w:rPr>
        <w:t>the panel by 20 banks with assets of $2 to $</w:t>
      </w:r>
      <w:r w:rsidR="00FE356D">
        <w:rPr>
          <w:rFonts w:ascii="Times New Roman" w:hAnsi="Times New Roman"/>
        </w:rPr>
        <w:t xml:space="preserve">10 billion will </w:t>
      </w:r>
      <w:r>
        <w:rPr>
          <w:rFonts w:ascii="Times New Roman" w:hAnsi="Times New Roman"/>
        </w:rPr>
        <w:t>improve</w:t>
      </w:r>
      <w:r w:rsidR="00FE356D">
        <w:rPr>
          <w:rFonts w:ascii="Times New Roman" w:hAnsi="Times New Roman"/>
        </w:rPr>
        <w:t xml:space="preserve"> the </w:t>
      </w:r>
      <w:r w:rsidR="002739E0">
        <w:rPr>
          <w:rFonts w:ascii="Times New Roman" w:hAnsi="Times New Roman"/>
        </w:rPr>
        <w:t xml:space="preserve">robustness of the </w:t>
      </w:r>
      <w:r w:rsidR="00FE356D">
        <w:rPr>
          <w:rFonts w:ascii="Times New Roman" w:hAnsi="Times New Roman"/>
        </w:rPr>
        <w:t xml:space="preserve">survey </w:t>
      </w:r>
      <w:r w:rsidR="002739E0">
        <w:rPr>
          <w:rFonts w:ascii="Times New Roman" w:hAnsi="Times New Roman"/>
        </w:rPr>
        <w:t>results for regional and community banks as a result of the</w:t>
      </w:r>
      <w:r w:rsidR="00FE356D">
        <w:rPr>
          <w:rFonts w:ascii="Times New Roman" w:hAnsi="Times New Roman"/>
        </w:rPr>
        <w:t xml:space="preserve"> diversification of the sample. </w:t>
      </w:r>
      <w:r w:rsidR="002F1997">
        <w:rPr>
          <w:rFonts w:ascii="Times New Roman" w:hAnsi="Times New Roman"/>
        </w:rPr>
        <w:t>Therefore,</w:t>
      </w:r>
      <w:r w:rsidR="00FE356D">
        <w:rPr>
          <w:rFonts w:ascii="Times New Roman" w:hAnsi="Times New Roman"/>
        </w:rPr>
        <w:t xml:space="preserve"> </w:t>
      </w:r>
      <w:r w:rsidR="002F1997">
        <w:rPr>
          <w:rFonts w:ascii="Times New Roman" w:hAnsi="Times New Roman"/>
        </w:rPr>
        <w:t>t</w:t>
      </w:r>
      <w:r w:rsidR="00FE356D">
        <w:rPr>
          <w:rFonts w:ascii="Times New Roman" w:hAnsi="Times New Roman"/>
        </w:rPr>
        <w:t xml:space="preserve">he survey will provide more insight on regional </w:t>
      </w:r>
      <w:r w:rsidR="002F1997">
        <w:rPr>
          <w:rFonts w:ascii="Times New Roman" w:hAnsi="Times New Roman"/>
        </w:rPr>
        <w:t xml:space="preserve">banking </w:t>
      </w:r>
      <w:r w:rsidR="00FE356D">
        <w:rPr>
          <w:rFonts w:ascii="Times New Roman" w:hAnsi="Times New Roman"/>
        </w:rPr>
        <w:t xml:space="preserve">practices </w:t>
      </w:r>
      <w:r w:rsidR="002F1997">
        <w:rPr>
          <w:rFonts w:ascii="Times New Roman" w:hAnsi="Times New Roman"/>
        </w:rPr>
        <w:t xml:space="preserve">and how developments in the economy are affecting </w:t>
      </w:r>
      <w:r w:rsidR="00FE356D">
        <w:rPr>
          <w:rFonts w:ascii="Times New Roman" w:hAnsi="Times New Roman"/>
        </w:rPr>
        <w:t>small</w:t>
      </w:r>
      <w:r w:rsidR="002F1997">
        <w:rPr>
          <w:rFonts w:ascii="Times New Roman" w:hAnsi="Times New Roman"/>
        </w:rPr>
        <w:t>er</w:t>
      </w:r>
      <w:r w:rsidR="00FE356D">
        <w:rPr>
          <w:rFonts w:ascii="Times New Roman" w:hAnsi="Times New Roman"/>
        </w:rPr>
        <w:t xml:space="preserve"> banks.</w:t>
      </w:r>
      <w:r w:rsidR="00D722B6">
        <w:rPr>
          <w:rFonts w:ascii="Times New Roman" w:hAnsi="Times New Roman"/>
        </w:rPr>
        <w:t xml:space="preserve"> </w:t>
      </w:r>
      <w:r w:rsidR="002F1997">
        <w:rPr>
          <w:rFonts w:ascii="Times New Roman" w:hAnsi="Times New Roman"/>
        </w:rPr>
        <w:t xml:space="preserve"> The increased coverage is especially important for assessing C&amp;I lending to smaller firms and commercial real estate lending, two areas of intense discussion among the public and policymakers in recent years. </w:t>
      </w:r>
    </w:p>
    <w:p w:rsidR="00FE356D" w:rsidRPr="00A73034" w:rsidRDefault="00D722B6" w:rsidP="003C1B40">
      <w:pPr>
        <w:widowControl/>
        <w:ind w:firstLine="720"/>
        <w:rPr>
          <w:rFonts w:ascii="Times New Roman" w:hAnsi="Times New Roman"/>
        </w:rPr>
      </w:pPr>
      <w:r>
        <w:rPr>
          <w:rFonts w:ascii="Times New Roman" w:hAnsi="Times New Roman"/>
        </w:rPr>
        <w:t xml:space="preserve"> </w:t>
      </w:r>
    </w:p>
    <w:p w:rsidR="003C1B40" w:rsidRDefault="003C1B40" w:rsidP="004D3C8F">
      <w:pPr>
        <w:widowControl/>
        <w:ind w:firstLine="720"/>
        <w:jc w:val="both"/>
        <w:rPr>
          <w:rFonts w:ascii="Times New Roman" w:hAnsi="Times New Roman"/>
        </w:rPr>
      </w:pPr>
      <w:r w:rsidRPr="00A73034">
        <w:rPr>
          <w:rFonts w:ascii="Times New Roman" w:hAnsi="Times New Roman"/>
        </w:rPr>
        <w:t xml:space="preserve">By increasing </w:t>
      </w:r>
      <w:bookmarkStart w:id="1" w:name="OLE_LINK7"/>
      <w:r w:rsidRPr="00A73034">
        <w:rPr>
          <w:rFonts w:ascii="Times New Roman" w:hAnsi="Times New Roman"/>
        </w:rPr>
        <w:t>the panel by 20 banks with assets of $2</w:t>
      </w:r>
      <w:r w:rsidR="00AD4217" w:rsidRPr="00A73034">
        <w:rPr>
          <w:rFonts w:ascii="Times New Roman" w:hAnsi="Times New Roman"/>
        </w:rPr>
        <w:t xml:space="preserve"> to </w:t>
      </w:r>
      <w:r w:rsidR="00FD4441" w:rsidRPr="00A73034">
        <w:rPr>
          <w:rFonts w:ascii="Times New Roman" w:hAnsi="Times New Roman"/>
        </w:rPr>
        <w:t>$</w:t>
      </w:r>
      <w:r w:rsidRPr="00A73034">
        <w:rPr>
          <w:rFonts w:ascii="Times New Roman" w:hAnsi="Times New Roman"/>
        </w:rPr>
        <w:t xml:space="preserve">10 billion, </w:t>
      </w:r>
      <w:bookmarkEnd w:id="1"/>
      <w:r w:rsidR="00AD4217" w:rsidRPr="00A73034">
        <w:rPr>
          <w:rFonts w:ascii="Times New Roman" w:hAnsi="Times New Roman"/>
        </w:rPr>
        <w:t>t</w:t>
      </w:r>
      <w:r w:rsidRPr="00A73034">
        <w:rPr>
          <w:rFonts w:ascii="Times New Roman" w:hAnsi="Times New Roman"/>
        </w:rPr>
        <w:t xml:space="preserve">he </w:t>
      </w:r>
      <w:r w:rsidR="002F1997">
        <w:rPr>
          <w:rFonts w:ascii="Times New Roman" w:hAnsi="Times New Roman"/>
        </w:rPr>
        <w:t xml:space="preserve">overall </w:t>
      </w:r>
      <w:r w:rsidRPr="00A73034">
        <w:rPr>
          <w:rFonts w:ascii="Times New Roman" w:hAnsi="Times New Roman"/>
        </w:rPr>
        <w:t xml:space="preserve">share of C&amp;I loans at surveyed institutions that were made in original amounts smaller than $1 million (“Small C&amp;I”) </w:t>
      </w:r>
      <w:r w:rsidR="00AD4217" w:rsidRPr="00A73034">
        <w:rPr>
          <w:rFonts w:ascii="Times New Roman" w:hAnsi="Times New Roman"/>
        </w:rPr>
        <w:t>would</w:t>
      </w:r>
      <w:r w:rsidRPr="00A73034">
        <w:rPr>
          <w:rFonts w:ascii="Times New Roman" w:hAnsi="Times New Roman"/>
        </w:rPr>
        <w:t xml:space="preserve"> increase by 1.3 percentage points</w:t>
      </w:r>
      <w:r w:rsidR="002F1997">
        <w:rPr>
          <w:rFonts w:ascii="Times New Roman" w:hAnsi="Times New Roman"/>
        </w:rPr>
        <w:t>, which represents a 33 percent increase in coverage outside of the largest banks (those with more than $20 billion in assets)</w:t>
      </w:r>
      <w:r w:rsidRPr="00A73034">
        <w:rPr>
          <w:rFonts w:ascii="Times New Roman" w:hAnsi="Times New Roman"/>
        </w:rPr>
        <w:t xml:space="preserve">.  </w:t>
      </w:r>
      <w:r w:rsidR="002F1997">
        <w:rPr>
          <w:rFonts w:ascii="Times New Roman" w:hAnsi="Times New Roman"/>
        </w:rPr>
        <w:t>Likewise, overall c</w:t>
      </w:r>
      <w:r w:rsidRPr="00A73034">
        <w:rPr>
          <w:rFonts w:ascii="Times New Roman" w:hAnsi="Times New Roman"/>
        </w:rPr>
        <w:t xml:space="preserve">overage of commercial real estate </w:t>
      </w:r>
      <w:r w:rsidR="00AD4217" w:rsidRPr="00A73034">
        <w:rPr>
          <w:rFonts w:ascii="Times New Roman" w:hAnsi="Times New Roman"/>
        </w:rPr>
        <w:t>would</w:t>
      </w:r>
      <w:r w:rsidRPr="00A73034">
        <w:rPr>
          <w:rFonts w:ascii="Times New Roman" w:hAnsi="Times New Roman"/>
        </w:rPr>
        <w:t xml:space="preserve"> increase </w:t>
      </w:r>
      <w:r w:rsidR="000E26F7">
        <w:rPr>
          <w:rFonts w:ascii="Times New Roman" w:hAnsi="Times New Roman"/>
        </w:rPr>
        <w:t>by 1.6 percentage points</w:t>
      </w:r>
      <w:r w:rsidR="002F1997">
        <w:rPr>
          <w:rFonts w:ascii="Times New Roman" w:hAnsi="Times New Roman"/>
        </w:rPr>
        <w:t>, an increase in coverage outside of the largest banks of 37 percent</w:t>
      </w:r>
      <w:r w:rsidRPr="00A73034">
        <w:rPr>
          <w:rFonts w:ascii="Times New Roman" w:hAnsi="Times New Roman"/>
        </w:rPr>
        <w:t>.</w:t>
      </w:r>
    </w:p>
    <w:p w:rsidR="00F60131" w:rsidRDefault="00F60131" w:rsidP="004D3C8F">
      <w:pPr>
        <w:widowControl/>
        <w:ind w:firstLine="720"/>
        <w:jc w:val="both"/>
        <w:rPr>
          <w:rFonts w:ascii="Times New Roman" w:hAnsi="Times New Roman"/>
        </w:rPr>
      </w:pPr>
    </w:p>
    <w:p w:rsidR="00FB72E3" w:rsidRPr="00A73034" w:rsidRDefault="005E731F" w:rsidP="004D3C8F">
      <w:pPr>
        <w:widowControl/>
        <w:ind w:firstLine="720"/>
        <w:rPr>
          <w:rFonts w:ascii="Times New Roman" w:hAnsi="Times New Roman"/>
          <w:b/>
          <w:bCs/>
        </w:rPr>
      </w:pPr>
      <w:r w:rsidRPr="00A73034">
        <w:rPr>
          <w:rFonts w:ascii="Times New Roman" w:hAnsi="Times New Roman"/>
          <w:b/>
          <w:bCs/>
        </w:rPr>
        <w:t>Frequency</w:t>
      </w:r>
    </w:p>
    <w:p w:rsidR="004D3C8F" w:rsidRDefault="004D3C8F" w:rsidP="004D3C8F">
      <w:pPr>
        <w:widowControl/>
        <w:ind w:firstLine="720"/>
        <w:rPr>
          <w:rFonts w:ascii="Times New Roman" w:hAnsi="Times New Roman"/>
        </w:rPr>
      </w:pPr>
    </w:p>
    <w:p w:rsidR="005E731F" w:rsidRPr="00A73034" w:rsidRDefault="005E731F" w:rsidP="004D3C8F">
      <w:pPr>
        <w:widowControl/>
        <w:ind w:firstLine="720"/>
        <w:rPr>
          <w:rFonts w:ascii="Times New Roman" w:hAnsi="Times New Roman"/>
        </w:rPr>
      </w:pPr>
      <w:r w:rsidRPr="00A73034">
        <w:rPr>
          <w:rFonts w:ascii="Times New Roman" w:hAnsi="Times New Roman"/>
        </w:rPr>
        <w:t xml:space="preserve">This voluntary survey is conducted up to six times a year and </w:t>
      </w:r>
      <w:r w:rsidR="002F7A7D">
        <w:rPr>
          <w:rFonts w:ascii="Times New Roman" w:hAnsi="Times New Roman"/>
        </w:rPr>
        <w:t>the Federal Reserve</w:t>
      </w:r>
      <w:r w:rsidRPr="00A73034">
        <w:rPr>
          <w:rFonts w:ascii="Times New Roman" w:hAnsi="Times New Roman"/>
        </w:rPr>
        <w:t xml:space="preserve"> recommends no change in the frequency of this survey.</w:t>
      </w:r>
    </w:p>
    <w:p w:rsidR="005E731F" w:rsidRPr="00A73034" w:rsidRDefault="005E731F" w:rsidP="004D3C8F">
      <w:pPr>
        <w:widowControl/>
        <w:ind w:firstLine="720"/>
        <w:rPr>
          <w:rFonts w:ascii="Times New Roman" w:hAnsi="Times New Roman"/>
        </w:rPr>
      </w:pPr>
    </w:p>
    <w:p w:rsidR="005E731F" w:rsidRPr="00A73034" w:rsidRDefault="005E731F" w:rsidP="004D3C8F">
      <w:pPr>
        <w:widowControl/>
        <w:rPr>
          <w:rFonts w:ascii="Times New Roman" w:hAnsi="Times New Roman"/>
          <w:b/>
          <w:bCs/>
        </w:rPr>
      </w:pPr>
      <w:r w:rsidRPr="00A73034">
        <w:rPr>
          <w:rFonts w:ascii="Times New Roman" w:hAnsi="Times New Roman"/>
          <w:b/>
          <w:bCs/>
        </w:rPr>
        <w:t>Time Schedule for Information Collection and Publication</w:t>
      </w:r>
    </w:p>
    <w:p w:rsidR="004D3C8F" w:rsidRDefault="004D3C8F" w:rsidP="004D3C8F">
      <w:pPr>
        <w:widowControl/>
        <w:ind w:firstLine="720"/>
        <w:rPr>
          <w:rFonts w:ascii="Times New Roman" w:hAnsi="Times New Roman"/>
        </w:rPr>
      </w:pPr>
    </w:p>
    <w:p w:rsidR="005E731F" w:rsidRDefault="003D7AE4" w:rsidP="004D3C8F">
      <w:pPr>
        <w:widowControl/>
        <w:ind w:firstLine="720"/>
        <w:rPr>
          <w:rFonts w:ascii="Times New Roman" w:hAnsi="Times New Roman"/>
        </w:rPr>
      </w:pPr>
      <w:r w:rsidRPr="00A73034">
        <w:rPr>
          <w:rFonts w:ascii="Times New Roman" w:hAnsi="Times New Roman"/>
        </w:rPr>
        <w:t>T</w:t>
      </w:r>
      <w:r w:rsidR="005E731F" w:rsidRPr="00A73034">
        <w:rPr>
          <w:rFonts w:ascii="Times New Roman" w:hAnsi="Times New Roman"/>
        </w:rPr>
        <w:t xml:space="preserve">he survey is generally </w:t>
      </w:r>
      <w:r w:rsidR="00957169">
        <w:rPr>
          <w:rFonts w:ascii="Times New Roman" w:hAnsi="Times New Roman"/>
        </w:rPr>
        <w:t>completed through an electronic submission.</w:t>
      </w:r>
      <w:r w:rsidR="00553465">
        <w:rPr>
          <w:rFonts w:ascii="Times New Roman" w:hAnsi="Times New Roman"/>
        </w:rPr>
        <w:t xml:space="preserve">  Reserve Banks e-mail the survey questions to a senior loan officer at each respondent bank.  </w:t>
      </w:r>
      <w:r w:rsidR="00312EE7">
        <w:rPr>
          <w:rFonts w:ascii="Times New Roman" w:hAnsi="Times New Roman"/>
        </w:rPr>
        <w:t>Reserve Banks</w:t>
      </w:r>
      <w:r w:rsidR="00957169">
        <w:rPr>
          <w:rFonts w:ascii="Times New Roman" w:hAnsi="Times New Roman"/>
        </w:rPr>
        <w:t xml:space="preserve"> </w:t>
      </w:r>
      <w:r w:rsidR="00957169" w:rsidRPr="00957169">
        <w:rPr>
          <w:rFonts w:ascii="Times New Roman" w:hAnsi="Times New Roman"/>
        </w:rPr>
        <w:t xml:space="preserve">conduct follow-up telephone </w:t>
      </w:r>
      <w:r w:rsidR="00957169">
        <w:rPr>
          <w:rFonts w:ascii="Times New Roman" w:hAnsi="Times New Roman"/>
        </w:rPr>
        <w:t>interviews with institutions</w:t>
      </w:r>
      <w:r w:rsidR="00957169" w:rsidRPr="00957169">
        <w:rPr>
          <w:rFonts w:ascii="Times New Roman" w:hAnsi="Times New Roman"/>
        </w:rPr>
        <w:t xml:space="preserve"> that did not respond</w:t>
      </w:r>
      <w:r w:rsidR="00AD38F4">
        <w:rPr>
          <w:rFonts w:ascii="Times New Roman" w:hAnsi="Times New Roman"/>
        </w:rPr>
        <w:t xml:space="preserve"> or if the responses require further information</w:t>
      </w:r>
      <w:r w:rsidR="00957169" w:rsidRPr="00A73034">
        <w:rPr>
          <w:rFonts w:ascii="Times New Roman" w:hAnsi="Times New Roman"/>
        </w:rPr>
        <w:t xml:space="preserve">.  </w:t>
      </w:r>
      <w:r w:rsidR="005E731F" w:rsidRPr="00A73034">
        <w:rPr>
          <w:rFonts w:ascii="Times New Roman" w:hAnsi="Times New Roman"/>
        </w:rPr>
        <w:t xml:space="preserve">The Reserve Banks electronically transmit survey responses to the Federal Reserve Board, where the data are tabulated and summarized in a public release, which is made available on the Federal Reserve’s website.  The survey results also are discussed in </w:t>
      </w:r>
      <w:r w:rsidR="00511F42" w:rsidRPr="00A73034">
        <w:rPr>
          <w:rFonts w:ascii="Times New Roman" w:hAnsi="Times New Roman"/>
        </w:rPr>
        <w:t xml:space="preserve">the </w:t>
      </w:r>
      <w:r w:rsidR="000558D8" w:rsidRPr="00A73034">
        <w:rPr>
          <w:rFonts w:ascii="Times New Roman" w:hAnsi="Times New Roman"/>
        </w:rPr>
        <w:t xml:space="preserve">semiannual </w:t>
      </w:r>
      <w:r w:rsidR="000558D8" w:rsidRPr="00A73034">
        <w:rPr>
          <w:rFonts w:ascii="Times New Roman" w:hAnsi="Times New Roman"/>
          <w:i/>
          <w:iCs/>
        </w:rPr>
        <w:t>Monetary Policy Report</w:t>
      </w:r>
      <w:r w:rsidR="005E731F" w:rsidRPr="00A73034">
        <w:rPr>
          <w:rFonts w:ascii="Times New Roman" w:hAnsi="Times New Roman"/>
        </w:rPr>
        <w:t xml:space="preserve"> </w:t>
      </w:r>
      <w:r w:rsidR="000558D8" w:rsidRPr="00A73034">
        <w:rPr>
          <w:rFonts w:ascii="Times New Roman" w:hAnsi="Times New Roman"/>
        </w:rPr>
        <w:t>to Congress</w:t>
      </w:r>
      <w:r w:rsidR="005E731F" w:rsidRPr="00A73034">
        <w:rPr>
          <w:rFonts w:ascii="Times New Roman" w:hAnsi="Times New Roman"/>
        </w:rPr>
        <w:t>.</w:t>
      </w:r>
    </w:p>
    <w:p w:rsidR="002321E6" w:rsidRDefault="002321E6" w:rsidP="005E731F">
      <w:pPr>
        <w:widowControl/>
        <w:ind w:firstLine="720"/>
        <w:rPr>
          <w:rFonts w:ascii="Times New Roman" w:hAnsi="Times New Roman"/>
        </w:rPr>
      </w:pPr>
    </w:p>
    <w:p w:rsidR="005E731F" w:rsidRPr="00A73034" w:rsidRDefault="005E731F" w:rsidP="004D3C8F">
      <w:pPr>
        <w:widowControl/>
        <w:rPr>
          <w:rFonts w:ascii="Times New Roman" w:hAnsi="Times New Roman"/>
          <w:b/>
          <w:bCs/>
        </w:rPr>
      </w:pPr>
      <w:r w:rsidRPr="00A73034">
        <w:rPr>
          <w:rFonts w:ascii="Times New Roman" w:hAnsi="Times New Roman"/>
          <w:b/>
          <w:bCs/>
        </w:rPr>
        <w:lastRenderedPageBreak/>
        <w:t>Legal Status</w:t>
      </w:r>
    </w:p>
    <w:p w:rsidR="004D3C8F" w:rsidRDefault="004D3C8F" w:rsidP="004D3C8F">
      <w:pPr>
        <w:widowControl/>
        <w:ind w:firstLine="720"/>
        <w:rPr>
          <w:rFonts w:ascii="Times New Roman" w:hAnsi="Times New Roman"/>
        </w:rPr>
      </w:pPr>
    </w:p>
    <w:p w:rsidR="005E731F" w:rsidRDefault="0070692A" w:rsidP="004D3C8F">
      <w:pPr>
        <w:widowControl/>
        <w:ind w:firstLine="720"/>
        <w:rPr>
          <w:rFonts w:ascii="Times New Roman" w:hAnsi="Times New Roman"/>
        </w:rPr>
      </w:pPr>
      <w:r w:rsidRPr="00A73034">
        <w:rPr>
          <w:rFonts w:ascii="Times New Roman" w:hAnsi="Times New Roman"/>
        </w:rPr>
        <w:t>The Federal Reserve Board’</w:t>
      </w:r>
      <w:r w:rsidR="005E731F" w:rsidRPr="00A73034">
        <w:rPr>
          <w:rFonts w:ascii="Times New Roman" w:hAnsi="Times New Roman"/>
        </w:rPr>
        <w:t>s Legal Division has determined that the Senior Loan Officer Opinion Survey on Bank Lending Practices is authorized by Sections 2A</w:t>
      </w:r>
      <w:r w:rsidR="006466A3">
        <w:rPr>
          <w:rFonts w:ascii="Times New Roman" w:hAnsi="Times New Roman"/>
        </w:rPr>
        <w:t>, 12A</w:t>
      </w:r>
      <w:r w:rsidR="005E731F" w:rsidRPr="00A73034">
        <w:rPr>
          <w:rFonts w:ascii="Times New Roman" w:hAnsi="Times New Roman"/>
        </w:rPr>
        <w:t xml:space="preserve"> </w:t>
      </w:r>
      <w:r w:rsidR="006466A3">
        <w:rPr>
          <w:rFonts w:ascii="Times New Roman" w:hAnsi="Times New Roman"/>
        </w:rPr>
        <w:t xml:space="preserve">and 11 </w:t>
      </w:r>
      <w:r w:rsidR="005E731F" w:rsidRPr="00A73034">
        <w:rPr>
          <w:rFonts w:ascii="Times New Roman" w:hAnsi="Times New Roman"/>
        </w:rPr>
        <w:t>of the Federal Reserve Act</w:t>
      </w:r>
      <w:r w:rsidR="00E04B94">
        <w:rPr>
          <w:rFonts w:ascii="Times New Roman" w:hAnsi="Times New Roman"/>
        </w:rPr>
        <w:t xml:space="preserve"> (12 U.S.C. §§ 225a, 248(a) </w:t>
      </w:r>
      <w:r w:rsidR="006466A3">
        <w:rPr>
          <w:rFonts w:ascii="Times New Roman" w:hAnsi="Times New Roman"/>
        </w:rPr>
        <w:t xml:space="preserve">and 12 U.S.C. </w:t>
      </w:r>
      <w:r w:rsidR="006466A3" w:rsidRPr="00A73034">
        <w:rPr>
          <w:rFonts w:ascii="Times New Roman" w:hAnsi="Times New Roman"/>
        </w:rPr>
        <w:t>§</w:t>
      </w:r>
      <w:r w:rsidR="006466A3">
        <w:rPr>
          <w:rFonts w:ascii="Times New Roman" w:hAnsi="Times New Roman"/>
        </w:rPr>
        <w:t xml:space="preserve">263)) </w:t>
      </w:r>
      <w:r w:rsidR="005E731F" w:rsidRPr="00A73034">
        <w:rPr>
          <w:rFonts w:ascii="Times New Roman" w:hAnsi="Times New Roman"/>
        </w:rPr>
        <w:t>and Section 7</w:t>
      </w:r>
      <w:r w:rsidR="006466A3">
        <w:rPr>
          <w:rFonts w:ascii="Times New Roman" w:hAnsi="Times New Roman"/>
        </w:rPr>
        <w:t xml:space="preserve"> </w:t>
      </w:r>
      <w:r w:rsidR="005E731F" w:rsidRPr="00A73034">
        <w:rPr>
          <w:rFonts w:ascii="Times New Roman" w:hAnsi="Times New Roman"/>
        </w:rPr>
        <w:t xml:space="preserve">of the International Banking Act </w:t>
      </w:r>
      <w:r w:rsidR="006466A3">
        <w:rPr>
          <w:rFonts w:ascii="Times New Roman" w:hAnsi="Times New Roman"/>
        </w:rPr>
        <w:t xml:space="preserve">(12 U.S.C. </w:t>
      </w:r>
      <w:r w:rsidR="005E731F" w:rsidRPr="00A73034">
        <w:rPr>
          <w:rFonts w:ascii="Times New Roman" w:hAnsi="Times New Roman"/>
        </w:rPr>
        <w:t xml:space="preserve">3105(c)(2)) and is voluntary.  The individual bank information provided by each respondent is accorded confidential treatment under authority of exemption </w:t>
      </w:r>
      <w:r w:rsidR="00F60131">
        <w:rPr>
          <w:rFonts w:ascii="Times New Roman" w:hAnsi="Times New Roman"/>
        </w:rPr>
        <w:t>4</w:t>
      </w:r>
      <w:r w:rsidR="005E731F" w:rsidRPr="00A73034">
        <w:rPr>
          <w:rFonts w:ascii="Times New Roman" w:hAnsi="Times New Roman"/>
        </w:rPr>
        <w:t xml:space="preserve"> of the Freedom of Information Act (5 U.S.C. §552 (b</w:t>
      </w:r>
      <w:proofErr w:type="gramStart"/>
      <w:r w:rsidR="005E731F" w:rsidRPr="00A73034">
        <w:rPr>
          <w:rFonts w:ascii="Times New Roman" w:hAnsi="Times New Roman"/>
        </w:rPr>
        <w:t>)(</w:t>
      </w:r>
      <w:proofErr w:type="gramEnd"/>
      <w:r w:rsidR="005E731F" w:rsidRPr="00A73034">
        <w:rPr>
          <w:rFonts w:ascii="Times New Roman" w:hAnsi="Times New Roman"/>
        </w:rPr>
        <w:t xml:space="preserve">4)).  </w:t>
      </w:r>
    </w:p>
    <w:p w:rsidR="00957169" w:rsidRPr="00A73034" w:rsidRDefault="00957169" w:rsidP="004D3C8F">
      <w:pPr>
        <w:pStyle w:val="Header"/>
        <w:widowControl/>
        <w:tabs>
          <w:tab w:val="clear" w:pos="4320"/>
          <w:tab w:val="clear" w:pos="8640"/>
        </w:tabs>
        <w:outlineLvl w:val="0"/>
        <w:rPr>
          <w:rFonts w:ascii="Times New Roman" w:hAnsi="Times New Roman"/>
        </w:rPr>
      </w:pPr>
    </w:p>
    <w:p w:rsidR="005E731F" w:rsidRPr="00A73034" w:rsidRDefault="005E731F" w:rsidP="004D3C8F">
      <w:pPr>
        <w:widowControl/>
        <w:tabs>
          <w:tab w:val="left" w:pos="360"/>
        </w:tabs>
        <w:rPr>
          <w:rFonts w:ascii="Times New Roman" w:hAnsi="Times New Roman"/>
          <w:b/>
          <w:bCs/>
        </w:rPr>
      </w:pPr>
      <w:r w:rsidRPr="00A73034">
        <w:rPr>
          <w:rFonts w:ascii="Times New Roman" w:hAnsi="Times New Roman"/>
          <w:b/>
          <w:bCs/>
        </w:rPr>
        <w:t>Estimate of Respondent Burden</w:t>
      </w:r>
    </w:p>
    <w:p w:rsidR="004D3C8F" w:rsidRDefault="004D3C8F" w:rsidP="004D3C8F">
      <w:pPr>
        <w:widowControl/>
        <w:ind w:firstLine="720"/>
        <w:rPr>
          <w:rFonts w:ascii="Times New Roman" w:hAnsi="Times New Roman"/>
          <w:color w:val="000000"/>
        </w:rPr>
      </w:pPr>
    </w:p>
    <w:p w:rsidR="005E731F" w:rsidRPr="00A73034" w:rsidRDefault="00FB72E3" w:rsidP="004D3C8F">
      <w:pPr>
        <w:widowControl/>
        <w:ind w:firstLine="720"/>
        <w:rPr>
          <w:rFonts w:ascii="Times New Roman" w:hAnsi="Times New Roman"/>
        </w:rPr>
      </w:pPr>
      <w:r w:rsidRPr="00A73034">
        <w:rPr>
          <w:rFonts w:ascii="Times New Roman" w:hAnsi="Times New Roman"/>
          <w:color w:val="000000"/>
        </w:rPr>
        <w:t>The current annual burden for the FR 2018 is estimated to be 1,</w:t>
      </w:r>
      <w:r w:rsidR="00B75100" w:rsidRPr="00A73034">
        <w:rPr>
          <w:rFonts w:ascii="Times New Roman" w:hAnsi="Times New Roman"/>
          <w:color w:val="000000"/>
        </w:rPr>
        <w:t>00</w:t>
      </w:r>
      <w:r w:rsidRPr="00A73034">
        <w:rPr>
          <w:rFonts w:ascii="Times New Roman" w:hAnsi="Times New Roman"/>
          <w:color w:val="000000"/>
        </w:rPr>
        <w:t xml:space="preserve">8 hours annually, as shown in the following table.  </w:t>
      </w:r>
      <w:r w:rsidRPr="00A73034">
        <w:rPr>
          <w:rFonts w:ascii="Times New Roman" w:hAnsi="Times New Roman"/>
        </w:rPr>
        <w:t>Based on the proposed revision to add 20 domestically chartered commercial banks with $2 to $10 billion in total assets to the current reporting panel</w:t>
      </w:r>
      <w:r w:rsidRPr="00A73034">
        <w:rPr>
          <w:rFonts w:ascii="Times New Roman" w:hAnsi="Times New Roman"/>
          <w:color w:val="000000"/>
        </w:rPr>
        <w:t xml:space="preserve">, the total annual burden would increase from 1,008 hours to 1,248 hours.  </w:t>
      </w:r>
      <w:r w:rsidR="005E731F" w:rsidRPr="00A73034">
        <w:rPr>
          <w:rFonts w:ascii="Times New Roman" w:hAnsi="Times New Roman"/>
        </w:rPr>
        <w:t xml:space="preserve">Actual respondent burden for this survey varies, depending on how many of the six authorized surveys are actually carried out and on the specific content of each questionnaire.  Based on input from respondents and Reserve Banks as well as its own experience in conducting telephone interviews, </w:t>
      </w:r>
      <w:r w:rsidR="002F7A7D">
        <w:rPr>
          <w:rFonts w:ascii="Times New Roman" w:hAnsi="Times New Roman"/>
        </w:rPr>
        <w:t>the Federal Reserve</w:t>
      </w:r>
      <w:r w:rsidR="005E731F" w:rsidRPr="00A73034">
        <w:rPr>
          <w:rFonts w:ascii="Times New Roman" w:hAnsi="Times New Roman"/>
        </w:rPr>
        <w:t xml:space="preserve"> estimates that, </w:t>
      </w:r>
      <w:r w:rsidR="005E731F" w:rsidRPr="00A73034">
        <w:rPr>
          <w:rFonts w:ascii="Times New Roman" w:hAnsi="Times New Roman"/>
          <w:iCs/>
        </w:rPr>
        <w:t>on average</w:t>
      </w:r>
      <w:r w:rsidR="005E731F" w:rsidRPr="00A73034">
        <w:rPr>
          <w:rFonts w:ascii="Times New Roman" w:hAnsi="Times New Roman"/>
        </w:rPr>
        <w:t xml:space="preserve">, a typical telephone interview takes </w:t>
      </w:r>
      <w:r w:rsidR="00AD4217" w:rsidRPr="00A73034">
        <w:rPr>
          <w:rFonts w:ascii="Times New Roman" w:hAnsi="Times New Roman"/>
        </w:rPr>
        <w:t xml:space="preserve">approximately </w:t>
      </w:r>
      <w:r w:rsidR="0070692A" w:rsidRPr="00A73034">
        <w:rPr>
          <w:rFonts w:ascii="Times New Roman" w:hAnsi="Times New Roman"/>
        </w:rPr>
        <w:t>two hours of a respondent’</w:t>
      </w:r>
      <w:r w:rsidR="005E731F" w:rsidRPr="00A73034">
        <w:rPr>
          <w:rFonts w:ascii="Times New Roman" w:hAnsi="Times New Roman"/>
        </w:rPr>
        <w:t>s time.</w:t>
      </w:r>
      <w:r w:rsidR="005E731F" w:rsidRPr="00A73034">
        <w:rPr>
          <w:rStyle w:val="FootnoteReference"/>
          <w:rFonts w:ascii="Times New Roman" w:hAnsi="Times New Roman"/>
          <w:vertAlign w:val="superscript"/>
        </w:rPr>
        <w:footnoteReference w:id="7"/>
      </w:r>
      <w:r w:rsidR="005E731F" w:rsidRPr="00A73034">
        <w:rPr>
          <w:rFonts w:ascii="Times New Roman" w:hAnsi="Times New Roman"/>
        </w:rPr>
        <w:t xml:space="preserve">  The FR 2018</w:t>
      </w:r>
      <w:r w:rsidR="00C555B3" w:rsidRPr="00A73034">
        <w:rPr>
          <w:rFonts w:ascii="Times New Roman" w:hAnsi="Times New Roman"/>
        </w:rPr>
        <w:t xml:space="preserve"> survey</w:t>
      </w:r>
      <w:r w:rsidR="005E731F" w:rsidRPr="00A73034">
        <w:rPr>
          <w:rFonts w:ascii="Times New Roman" w:hAnsi="Times New Roman"/>
        </w:rPr>
        <w:t xml:space="preserve"> represents less than 1 percent of </w:t>
      </w:r>
      <w:r w:rsidR="00C555B3" w:rsidRPr="00A73034">
        <w:rPr>
          <w:rFonts w:ascii="Times New Roman" w:hAnsi="Times New Roman"/>
        </w:rPr>
        <w:t xml:space="preserve">the </w:t>
      </w:r>
      <w:r w:rsidR="005E731F" w:rsidRPr="00A73034">
        <w:rPr>
          <w:rFonts w:ascii="Times New Roman" w:hAnsi="Times New Roman"/>
        </w:rPr>
        <w:t>total Federal Reserve System</w:t>
      </w:r>
      <w:r w:rsidR="00C555B3" w:rsidRPr="00A73034">
        <w:rPr>
          <w:rFonts w:ascii="Times New Roman" w:hAnsi="Times New Roman"/>
        </w:rPr>
        <w:t xml:space="preserve"> paperwork burden</w:t>
      </w:r>
      <w:r w:rsidR="005E731F" w:rsidRPr="00A73034">
        <w:rPr>
          <w:rFonts w:ascii="Times New Roman" w:hAnsi="Times New Roman"/>
        </w:rPr>
        <w:t xml:space="preserve">. </w:t>
      </w:r>
    </w:p>
    <w:p w:rsidR="00296438" w:rsidRPr="00A73034" w:rsidRDefault="00296438" w:rsidP="005E731F">
      <w:pPr>
        <w:widowControl/>
        <w:tabs>
          <w:tab w:val="left" w:pos="360"/>
        </w:tabs>
        <w:ind w:firstLine="720"/>
        <w:jc w:val="center"/>
        <w:rPr>
          <w:rFonts w:ascii="Times New Roman" w:hAnsi="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296438" w:rsidRPr="00A73034" w:rsidTr="00A226B1">
        <w:tc>
          <w:tcPr>
            <w:tcW w:w="1915" w:type="dxa"/>
            <w:vAlign w:val="bottom"/>
          </w:tcPr>
          <w:p w:rsidR="00296438" w:rsidRPr="00A73034" w:rsidRDefault="00296438" w:rsidP="00FB72E3">
            <w:pPr>
              <w:jc w:val="center"/>
              <w:rPr>
                <w:rFonts w:ascii="Times New Roman" w:hAnsi="Times New Roman"/>
                <w:i/>
                <w:szCs w:val="24"/>
              </w:rPr>
            </w:pPr>
          </w:p>
        </w:tc>
        <w:tc>
          <w:tcPr>
            <w:tcW w:w="1915" w:type="dxa"/>
            <w:vAlign w:val="center"/>
          </w:tcPr>
          <w:p w:rsidR="00282182" w:rsidRDefault="00296438" w:rsidP="00A226B1">
            <w:pPr>
              <w:jc w:val="center"/>
              <w:rPr>
                <w:rFonts w:ascii="Times New Roman" w:hAnsi="Times New Roman"/>
                <w:i/>
                <w:szCs w:val="24"/>
              </w:rPr>
            </w:pPr>
            <w:r w:rsidRPr="00A73034">
              <w:rPr>
                <w:rFonts w:ascii="Times New Roman" w:hAnsi="Times New Roman"/>
                <w:i/>
                <w:szCs w:val="24"/>
              </w:rPr>
              <w:t>Number</w:t>
            </w:r>
          </w:p>
          <w:p w:rsidR="00282182" w:rsidRDefault="00282182" w:rsidP="00A226B1">
            <w:pPr>
              <w:jc w:val="center"/>
              <w:rPr>
                <w:rFonts w:ascii="Times New Roman" w:hAnsi="Times New Roman"/>
                <w:i/>
                <w:szCs w:val="24"/>
              </w:rPr>
            </w:pPr>
            <w:r>
              <w:rPr>
                <w:rFonts w:ascii="Times New Roman" w:hAnsi="Times New Roman"/>
                <w:i/>
                <w:szCs w:val="24"/>
              </w:rPr>
              <w:t>o</w:t>
            </w:r>
            <w:r w:rsidR="00296438" w:rsidRPr="00A73034">
              <w:rPr>
                <w:rFonts w:ascii="Times New Roman" w:hAnsi="Times New Roman"/>
                <w:i/>
                <w:szCs w:val="24"/>
              </w:rPr>
              <w:t>f</w:t>
            </w:r>
          </w:p>
          <w:p w:rsidR="00296438" w:rsidRPr="00A73034" w:rsidRDefault="00296438" w:rsidP="00A226B1">
            <w:pPr>
              <w:jc w:val="center"/>
              <w:rPr>
                <w:rFonts w:ascii="Times New Roman" w:hAnsi="Times New Roman"/>
                <w:i/>
                <w:szCs w:val="24"/>
              </w:rPr>
            </w:pPr>
            <w:r w:rsidRPr="00A73034">
              <w:rPr>
                <w:rFonts w:ascii="Times New Roman" w:hAnsi="Times New Roman"/>
                <w:i/>
                <w:szCs w:val="24"/>
              </w:rPr>
              <w:t>respondents</w:t>
            </w:r>
          </w:p>
        </w:tc>
        <w:tc>
          <w:tcPr>
            <w:tcW w:w="1915" w:type="dxa"/>
            <w:vAlign w:val="center"/>
          </w:tcPr>
          <w:p w:rsidR="00296438" w:rsidRPr="00A73034" w:rsidRDefault="00296438" w:rsidP="00A226B1">
            <w:pPr>
              <w:jc w:val="center"/>
              <w:rPr>
                <w:rFonts w:ascii="Times New Roman" w:hAnsi="Times New Roman"/>
                <w:i/>
                <w:szCs w:val="24"/>
              </w:rPr>
            </w:pPr>
            <w:r w:rsidRPr="00A73034">
              <w:rPr>
                <w:rFonts w:ascii="Times New Roman" w:hAnsi="Times New Roman"/>
                <w:i/>
                <w:szCs w:val="24"/>
              </w:rPr>
              <w:t xml:space="preserve">Annual </w:t>
            </w:r>
            <w:r w:rsidR="00A226B1">
              <w:rPr>
                <w:rFonts w:ascii="Times New Roman" w:hAnsi="Times New Roman"/>
                <w:i/>
                <w:szCs w:val="24"/>
              </w:rPr>
              <w:t>f</w:t>
            </w:r>
            <w:r w:rsidRPr="00A73034">
              <w:rPr>
                <w:rFonts w:ascii="Times New Roman" w:hAnsi="Times New Roman"/>
                <w:i/>
                <w:szCs w:val="24"/>
              </w:rPr>
              <w:t>requency</w:t>
            </w:r>
          </w:p>
        </w:tc>
        <w:tc>
          <w:tcPr>
            <w:tcW w:w="1915" w:type="dxa"/>
            <w:vAlign w:val="center"/>
          </w:tcPr>
          <w:p w:rsidR="00296438" w:rsidRPr="00A73034" w:rsidRDefault="00296438" w:rsidP="00A226B1">
            <w:pPr>
              <w:jc w:val="center"/>
              <w:rPr>
                <w:rFonts w:ascii="Times New Roman" w:hAnsi="Times New Roman"/>
                <w:i/>
                <w:szCs w:val="24"/>
              </w:rPr>
            </w:pPr>
            <w:r w:rsidRPr="00A73034">
              <w:rPr>
                <w:rFonts w:ascii="Times New Roman" w:hAnsi="Times New Roman"/>
                <w:i/>
                <w:szCs w:val="24"/>
              </w:rPr>
              <w:t>Estimated average hours per response</w:t>
            </w:r>
          </w:p>
        </w:tc>
        <w:tc>
          <w:tcPr>
            <w:tcW w:w="1916" w:type="dxa"/>
            <w:vAlign w:val="center"/>
          </w:tcPr>
          <w:p w:rsidR="00282182" w:rsidRDefault="00296438" w:rsidP="00A226B1">
            <w:pPr>
              <w:jc w:val="center"/>
              <w:rPr>
                <w:rFonts w:ascii="Times New Roman" w:hAnsi="Times New Roman"/>
                <w:i/>
                <w:szCs w:val="24"/>
              </w:rPr>
            </w:pPr>
            <w:r w:rsidRPr="00A73034">
              <w:rPr>
                <w:rFonts w:ascii="Times New Roman" w:hAnsi="Times New Roman"/>
                <w:i/>
                <w:szCs w:val="24"/>
              </w:rPr>
              <w:t>Estimated</w:t>
            </w:r>
          </w:p>
          <w:p w:rsidR="00282182" w:rsidRDefault="00282182" w:rsidP="00A226B1">
            <w:pPr>
              <w:jc w:val="center"/>
              <w:rPr>
                <w:rFonts w:ascii="Times New Roman" w:hAnsi="Times New Roman"/>
                <w:i/>
                <w:szCs w:val="24"/>
              </w:rPr>
            </w:pPr>
            <w:r w:rsidRPr="00A73034">
              <w:rPr>
                <w:rFonts w:ascii="Times New Roman" w:hAnsi="Times New Roman"/>
                <w:i/>
                <w:szCs w:val="24"/>
              </w:rPr>
              <w:t>A</w:t>
            </w:r>
            <w:r w:rsidR="00296438" w:rsidRPr="00A73034">
              <w:rPr>
                <w:rFonts w:ascii="Times New Roman" w:hAnsi="Times New Roman"/>
                <w:i/>
                <w:szCs w:val="24"/>
              </w:rPr>
              <w:t>nnual</w:t>
            </w:r>
          </w:p>
          <w:p w:rsidR="00296438" w:rsidRPr="00A73034" w:rsidRDefault="00296438" w:rsidP="00A226B1">
            <w:pPr>
              <w:jc w:val="center"/>
              <w:rPr>
                <w:rFonts w:ascii="Times New Roman" w:hAnsi="Times New Roman"/>
                <w:i/>
                <w:szCs w:val="24"/>
              </w:rPr>
            </w:pPr>
            <w:r w:rsidRPr="00A73034">
              <w:rPr>
                <w:rFonts w:ascii="Times New Roman" w:hAnsi="Times New Roman"/>
                <w:i/>
                <w:szCs w:val="24"/>
              </w:rPr>
              <w:t>burden hours</w:t>
            </w:r>
          </w:p>
        </w:tc>
      </w:tr>
      <w:tr w:rsidR="00296438" w:rsidRPr="00A73034" w:rsidTr="00FB72E3">
        <w:tc>
          <w:tcPr>
            <w:tcW w:w="1915" w:type="dxa"/>
            <w:vAlign w:val="bottom"/>
          </w:tcPr>
          <w:p w:rsidR="00296438" w:rsidRPr="00A73034" w:rsidRDefault="00296438" w:rsidP="00FB72E3">
            <w:pPr>
              <w:jc w:val="center"/>
              <w:rPr>
                <w:rFonts w:ascii="Times New Roman" w:hAnsi="Times New Roman"/>
                <w:i/>
                <w:szCs w:val="24"/>
              </w:rPr>
            </w:pPr>
          </w:p>
        </w:tc>
        <w:tc>
          <w:tcPr>
            <w:tcW w:w="1915" w:type="dxa"/>
            <w:vAlign w:val="bottom"/>
          </w:tcPr>
          <w:p w:rsidR="00296438" w:rsidRPr="00A73034" w:rsidRDefault="00296438" w:rsidP="00FB72E3">
            <w:pPr>
              <w:jc w:val="center"/>
              <w:rPr>
                <w:rFonts w:ascii="Times New Roman" w:hAnsi="Times New Roman"/>
                <w:i/>
                <w:szCs w:val="24"/>
              </w:rPr>
            </w:pPr>
          </w:p>
        </w:tc>
        <w:tc>
          <w:tcPr>
            <w:tcW w:w="1915" w:type="dxa"/>
            <w:vAlign w:val="bottom"/>
          </w:tcPr>
          <w:p w:rsidR="00296438" w:rsidRPr="00A73034" w:rsidRDefault="00296438" w:rsidP="00FB72E3">
            <w:pPr>
              <w:jc w:val="center"/>
              <w:rPr>
                <w:rFonts w:ascii="Times New Roman" w:hAnsi="Times New Roman"/>
                <w:i/>
                <w:szCs w:val="24"/>
              </w:rPr>
            </w:pPr>
          </w:p>
        </w:tc>
        <w:tc>
          <w:tcPr>
            <w:tcW w:w="1915" w:type="dxa"/>
            <w:vAlign w:val="bottom"/>
          </w:tcPr>
          <w:p w:rsidR="00296438" w:rsidRPr="00A73034" w:rsidRDefault="00296438" w:rsidP="00FB72E3">
            <w:pPr>
              <w:jc w:val="center"/>
              <w:rPr>
                <w:rFonts w:ascii="Times New Roman" w:hAnsi="Times New Roman"/>
                <w:i/>
                <w:szCs w:val="24"/>
              </w:rPr>
            </w:pPr>
          </w:p>
        </w:tc>
        <w:tc>
          <w:tcPr>
            <w:tcW w:w="1916" w:type="dxa"/>
            <w:vAlign w:val="bottom"/>
          </w:tcPr>
          <w:p w:rsidR="00296438" w:rsidRPr="00A73034" w:rsidRDefault="00296438" w:rsidP="00FB72E3">
            <w:pPr>
              <w:jc w:val="center"/>
              <w:rPr>
                <w:rFonts w:ascii="Times New Roman" w:hAnsi="Times New Roman"/>
                <w:i/>
                <w:szCs w:val="24"/>
              </w:rPr>
            </w:pPr>
          </w:p>
        </w:tc>
      </w:tr>
      <w:tr w:rsidR="00296438" w:rsidRPr="00A73034" w:rsidTr="00A226B1">
        <w:trPr>
          <w:trHeight w:val="276"/>
        </w:trPr>
        <w:tc>
          <w:tcPr>
            <w:tcW w:w="1915" w:type="dxa"/>
            <w:vAlign w:val="bottom"/>
          </w:tcPr>
          <w:p w:rsidR="00296438" w:rsidRPr="00A73034" w:rsidRDefault="00296438" w:rsidP="00A226B1">
            <w:pPr>
              <w:rPr>
                <w:rFonts w:ascii="Times New Roman" w:hAnsi="Times New Roman"/>
                <w:szCs w:val="24"/>
              </w:rPr>
            </w:pPr>
            <w:r w:rsidRPr="00A73034">
              <w:rPr>
                <w:rFonts w:ascii="Times New Roman" w:hAnsi="Times New Roman"/>
                <w:szCs w:val="24"/>
              </w:rPr>
              <w:t>Current</w:t>
            </w:r>
          </w:p>
        </w:tc>
        <w:tc>
          <w:tcPr>
            <w:tcW w:w="1915" w:type="dxa"/>
            <w:vAlign w:val="bottom"/>
          </w:tcPr>
          <w:p w:rsidR="00296438" w:rsidRPr="00A73034" w:rsidRDefault="003D073A" w:rsidP="003D073A">
            <w:pPr>
              <w:tabs>
                <w:tab w:val="right" w:pos="1055"/>
              </w:tabs>
              <w:rPr>
                <w:rFonts w:ascii="Times New Roman" w:hAnsi="Times New Roman"/>
                <w:szCs w:val="24"/>
              </w:rPr>
            </w:pPr>
            <w:r>
              <w:rPr>
                <w:rFonts w:ascii="Times New Roman" w:hAnsi="Times New Roman"/>
                <w:szCs w:val="24"/>
              </w:rPr>
              <w:tab/>
              <w:t>84</w:t>
            </w:r>
          </w:p>
        </w:tc>
        <w:tc>
          <w:tcPr>
            <w:tcW w:w="1915" w:type="dxa"/>
            <w:vAlign w:val="bottom"/>
          </w:tcPr>
          <w:p w:rsidR="00296438" w:rsidRPr="00A73034" w:rsidRDefault="00FB72E3" w:rsidP="00A226B1">
            <w:pPr>
              <w:jc w:val="center"/>
              <w:rPr>
                <w:rFonts w:ascii="Times New Roman" w:hAnsi="Times New Roman"/>
                <w:szCs w:val="24"/>
              </w:rPr>
            </w:pPr>
            <w:r w:rsidRPr="00A73034">
              <w:rPr>
                <w:rFonts w:ascii="Times New Roman" w:hAnsi="Times New Roman"/>
                <w:szCs w:val="24"/>
              </w:rPr>
              <w:t>6</w:t>
            </w:r>
          </w:p>
        </w:tc>
        <w:tc>
          <w:tcPr>
            <w:tcW w:w="1915" w:type="dxa"/>
            <w:vAlign w:val="bottom"/>
          </w:tcPr>
          <w:p w:rsidR="00296438" w:rsidRPr="00A73034" w:rsidRDefault="00FB72E3" w:rsidP="00A226B1">
            <w:pPr>
              <w:jc w:val="center"/>
              <w:rPr>
                <w:rFonts w:ascii="Times New Roman" w:hAnsi="Times New Roman"/>
                <w:szCs w:val="24"/>
              </w:rPr>
            </w:pPr>
            <w:r w:rsidRPr="00A73034">
              <w:rPr>
                <w:rFonts w:ascii="Times New Roman" w:hAnsi="Times New Roman"/>
                <w:szCs w:val="24"/>
              </w:rPr>
              <w:t>2</w:t>
            </w:r>
          </w:p>
        </w:tc>
        <w:tc>
          <w:tcPr>
            <w:tcW w:w="1916" w:type="dxa"/>
            <w:vAlign w:val="bottom"/>
          </w:tcPr>
          <w:p w:rsidR="00296438" w:rsidRPr="00A73034" w:rsidRDefault="00FB72E3" w:rsidP="00A226B1">
            <w:pPr>
              <w:jc w:val="center"/>
              <w:rPr>
                <w:rFonts w:ascii="Times New Roman" w:hAnsi="Times New Roman"/>
                <w:szCs w:val="24"/>
              </w:rPr>
            </w:pPr>
            <w:r w:rsidRPr="00A73034">
              <w:rPr>
                <w:rFonts w:ascii="Times New Roman" w:hAnsi="Times New Roman"/>
                <w:szCs w:val="24"/>
              </w:rPr>
              <w:t>1,008</w:t>
            </w:r>
          </w:p>
        </w:tc>
      </w:tr>
      <w:tr w:rsidR="00296438" w:rsidRPr="00A73034" w:rsidTr="00A226B1">
        <w:trPr>
          <w:trHeight w:val="276"/>
        </w:trPr>
        <w:tc>
          <w:tcPr>
            <w:tcW w:w="1915" w:type="dxa"/>
            <w:vAlign w:val="bottom"/>
          </w:tcPr>
          <w:p w:rsidR="00296438" w:rsidRPr="00A73034" w:rsidRDefault="00296438" w:rsidP="00A226B1">
            <w:pPr>
              <w:rPr>
                <w:rFonts w:ascii="Times New Roman" w:hAnsi="Times New Roman"/>
                <w:szCs w:val="24"/>
              </w:rPr>
            </w:pPr>
            <w:r w:rsidRPr="00A73034">
              <w:rPr>
                <w:rFonts w:ascii="Times New Roman" w:hAnsi="Times New Roman"/>
                <w:szCs w:val="24"/>
              </w:rPr>
              <w:t>Proposed</w:t>
            </w:r>
          </w:p>
        </w:tc>
        <w:tc>
          <w:tcPr>
            <w:tcW w:w="1915" w:type="dxa"/>
            <w:vAlign w:val="bottom"/>
          </w:tcPr>
          <w:p w:rsidR="00296438" w:rsidRPr="00A73034" w:rsidRDefault="003D073A" w:rsidP="003D073A">
            <w:pPr>
              <w:tabs>
                <w:tab w:val="right" w:pos="1055"/>
              </w:tabs>
              <w:rPr>
                <w:rFonts w:ascii="Times New Roman" w:hAnsi="Times New Roman"/>
                <w:szCs w:val="24"/>
              </w:rPr>
            </w:pPr>
            <w:r>
              <w:rPr>
                <w:rFonts w:ascii="Times New Roman" w:hAnsi="Times New Roman"/>
                <w:szCs w:val="24"/>
              </w:rPr>
              <w:tab/>
              <w:t>104</w:t>
            </w:r>
          </w:p>
        </w:tc>
        <w:tc>
          <w:tcPr>
            <w:tcW w:w="1915" w:type="dxa"/>
            <w:vAlign w:val="bottom"/>
          </w:tcPr>
          <w:p w:rsidR="00296438" w:rsidRPr="00A73034" w:rsidRDefault="00296438" w:rsidP="00A226B1">
            <w:pPr>
              <w:jc w:val="center"/>
              <w:rPr>
                <w:rFonts w:ascii="Times New Roman" w:hAnsi="Times New Roman"/>
                <w:szCs w:val="24"/>
              </w:rPr>
            </w:pPr>
            <w:r w:rsidRPr="00A73034">
              <w:rPr>
                <w:rFonts w:ascii="Times New Roman" w:hAnsi="Times New Roman"/>
                <w:szCs w:val="24"/>
              </w:rPr>
              <w:t>6</w:t>
            </w:r>
          </w:p>
        </w:tc>
        <w:tc>
          <w:tcPr>
            <w:tcW w:w="1915" w:type="dxa"/>
            <w:vAlign w:val="bottom"/>
          </w:tcPr>
          <w:p w:rsidR="00296438" w:rsidRPr="00A73034" w:rsidRDefault="00296438" w:rsidP="00A226B1">
            <w:pPr>
              <w:jc w:val="center"/>
              <w:rPr>
                <w:rFonts w:ascii="Times New Roman" w:hAnsi="Times New Roman"/>
                <w:szCs w:val="24"/>
              </w:rPr>
            </w:pPr>
            <w:r w:rsidRPr="00A73034">
              <w:rPr>
                <w:rFonts w:ascii="Times New Roman" w:hAnsi="Times New Roman"/>
                <w:szCs w:val="24"/>
              </w:rPr>
              <w:t>2</w:t>
            </w:r>
          </w:p>
        </w:tc>
        <w:tc>
          <w:tcPr>
            <w:tcW w:w="1916" w:type="dxa"/>
            <w:vAlign w:val="bottom"/>
          </w:tcPr>
          <w:p w:rsidR="00296438" w:rsidRPr="00A73034" w:rsidRDefault="00296438" w:rsidP="00A226B1">
            <w:pPr>
              <w:jc w:val="center"/>
              <w:rPr>
                <w:rFonts w:ascii="Times New Roman" w:hAnsi="Times New Roman"/>
                <w:szCs w:val="24"/>
                <w:u w:val="single"/>
              </w:rPr>
            </w:pPr>
            <w:r w:rsidRPr="00A73034">
              <w:rPr>
                <w:rFonts w:ascii="Times New Roman" w:hAnsi="Times New Roman"/>
                <w:szCs w:val="24"/>
                <w:u w:val="single"/>
              </w:rPr>
              <w:t>1,248</w:t>
            </w:r>
          </w:p>
        </w:tc>
      </w:tr>
      <w:tr w:rsidR="00296438" w:rsidRPr="00A73034" w:rsidTr="00A226B1">
        <w:tc>
          <w:tcPr>
            <w:tcW w:w="1915" w:type="dxa"/>
            <w:vAlign w:val="bottom"/>
          </w:tcPr>
          <w:p w:rsidR="00296438" w:rsidRPr="00A73034" w:rsidRDefault="00296438" w:rsidP="00A226B1">
            <w:pPr>
              <w:jc w:val="right"/>
              <w:rPr>
                <w:rFonts w:ascii="Times New Roman" w:hAnsi="Times New Roman"/>
                <w:i/>
                <w:szCs w:val="24"/>
              </w:rPr>
            </w:pPr>
          </w:p>
          <w:p w:rsidR="00296438" w:rsidRPr="00A73034" w:rsidRDefault="00296438" w:rsidP="00A226B1">
            <w:pPr>
              <w:jc w:val="right"/>
              <w:rPr>
                <w:rFonts w:ascii="Times New Roman" w:hAnsi="Times New Roman"/>
                <w:i/>
                <w:szCs w:val="24"/>
              </w:rPr>
            </w:pPr>
            <w:r w:rsidRPr="00A73034">
              <w:rPr>
                <w:rFonts w:ascii="Times New Roman" w:hAnsi="Times New Roman"/>
                <w:i/>
                <w:szCs w:val="24"/>
              </w:rPr>
              <w:t>Change</w:t>
            </w:r>
          </w:p>
        </w:tc>
        <w:tc>
          <w:tcPr>
            <w:tcW w:w="1915" w:type="dxa"/>
            <w:vAlign w:val="bottom"/>
          </w:tcPr>
          <w:p w:rsidR="00296438" w:rsidRPr="00A73034" w:rsidRDefault="003D073A" w:rsidP="003D073A">
            <w:pPr>
              <w:tabs>
                <w:tab w:val="right" w:pos="1055"/>
              </w:tabs>
              <w:rPr>
                <w:rFonts w:ascii="Times New Roman" w:hAnsi="Times New Roman"/>
                <w:szCs w:val="24"/>
              </w:rPr>
            </w:pPr>
            <w:r>
              <w:rPr>
                <w:rFonts w:ascii="Times New Roman" w:hAnsi="Times New Roman"/>
                <w:szCs w:val="24"/>
              </w:rPr>
              <w:tab/>
              <w:t>+20</w:t>
            </w:r>
          </w:p>
        </w:tc>
        <w:tc>
          <w:tcPr>
            <w:tcW w:w="1915" w:type="dxa"/>
            <w:vAlign w:val="bottom"/>
          </w:tcPr>
          <w:p w:rsidR="00296438" w:rsidRPr="00A73034" w:rsidRDefault="00296438" w:rsidP="00A226B1">
            <w:pPr>
              <w:jc w:val="center"/>
              <w:rPr>
                <w:rFonts w:ascii="Times New Roman" w:hAnsi="Times New Roman"/>
                <w:szCs w:val="24"/>
              </w:rPr>
            </w:pPr>
          </w:p>
        </w:tc>
        <w:tc>
          <w:tcPr>
            <w:tcW w:w="1915" w:type="dxa"/>
            <w:vAlign w:val="bottom"/>
          </w:tcPr>
          <w:p w:rsidR="00296438" w:rsidRPr="00A73034" w:rsidRDefault="00296438" w:rsidP="00A226B1">
            <w:pPr>
              <w:jc w:val="center"/>
              <w:rPr>
                <w:rFonts w:ascii="Times New Roman" w:hAnsi="Times New Roman"/>
                <w:szCs w:val="24"/>
              </w:rPr>
            </w:pPr>
          </w:p>
        </w:tc>
        <w:tc>
          <w:tcPr>
            <w:tcW w:w="1916" w:type="dxa"/>
            <w:vAlign w:val="bottom"/>
          </w:tcPr>
          <w:p w:rsidR="00FB72E3" w:rsidRPr="00A73034" w:rsidRDefault="00FB72E3" w:rsidP="00A226B1">
            <w:pPr>
              <w:jc w:val="center"/>
              <w:rPr>
                <w:rFonts w:ascii="Times New Roman" w:hAnsi="Times New Roman"/>
                <w:szCs w:val="24"/>
              </w:rPr>
            </w:pPr>
          </w:p>
          <w:p w:rsidR="00296438" w:rsidRPr="00A73034" w:rsidRDefault="00FB72E3" w:rsidP="00A226B1">
            <w:pPr>
              <w:jc w:val="center"/>
              <w:rPr>
                <w:rFonts w:ascii="Times New Roman" w:hAnsi="Times New Roman"/>
                <w:szCs w:val="24"/>
              </w:rPr>
            </w:pPr>
            <w:r w:rsidRPr="00A73034">
              <w:rPr>
                <w:rFonts w:ascii="Times New Roman" w:hAnsi="Times New Roman"/>
                <w:szCs w:val="24"/>
              </w:rPr>
              <w:t>+240</w:t>
            </w:r>
          </w:p>
        </w:tc>
      </w:tr>
    </w:tbl>
    <w:p w:rsidR="005E731F" w:rsidRPr="00A73034" w:rsidRDefault="005E731F" w:rsidP="005E731F">
      <w:pPr>
        <w:widowControl/>
        <w:tabs>
          <w:tab w:val="left" w:pos="360"/>
        </w:tabs>
        <w:rPr>
          <w:rFonts w:ascii="Times New Roman" w:hAnsi="Times New Roman"/>
        </w:rPr>
      </w:pPr>
    </w:p>
    <w:p w:rsidR="005E731F" w:rsidRPr="00A73034" w:rsidRDefault="00567C85" w:rsidP="005E731F">
      <w:pPr>
        <w:widowControl/>
        <w:tabs>
          <w:tab w:val="left" w:pos="360"/>
        </w:tabs>
        <w:rPr>
          <w:rFonts w:ascii="Times New Roman" w:hAnsi="Times New Roman"/>
          <w:vertAlign w:val="superscript"/>
        </w:rPr>
      </w:pPr>
      <w:r w:rsidRPr="00A73034">
        <w:rPr>
          <w:rFonts w:ascii="Times New Roman" w:hAnsi="Times New Roman"/>
        </w:rPr>
        <w:t>The total cost to the public is estimated to increase from the current level of $</w:t>
      </w:r>
      <w:r w:rsidR="00805501">
        <w:rPr>
          <w:rFonts w:ascii="Times New Roman" w:hAnsi="Times New Roman"/>
        </w:rPr>
        <w:t>40,522</w:t>
      </w:r>
      <w:r w:rsidRPr="00A73034">
        <w:rPr>
          <w:rFonts w:ascii="Times New Roman" w:hAnsi="Times New Roman"/>
        </w:rPr>
        <w:t xml:space="preserve"> to $</w:t>
      </w:r>
      <w:r w:rsidR="00805501">
        <w:rPr>
          <w:rFonts w:ascii="Times New Roman" w:hAnsi="Times New Roman"/>
        </w:rPr>
        <w:t xml:space="preserve">50,170 </w:t>
      </w:r>
      <w:r w:rsidRPr="00A73034">
        <w:rPr>
          <w:rFonts w:ascii="Times New Roman" w:hAnsi="Times New Roman"/>
        </w:rPr>
        <w:t>for the revised FR 2018</w:t>
      </w:r>
      <w:r w:rsidR="00683DBD" w:rsidRPr="00A73034">
        <w:rPr>
          <w:rFonts w:ascii="Times New Roman" w:hAnsi="Times New Roman"/>
        </w:rPr>
        <w:t>.</w:t>
      </w:r>
      <w:r w:rsidR="00683DBD" w:rsidRPr="00A73034">
        <w:rPr>
          <w:rStyle w:val="FootnoteReference"/>
          <w:rFonts w:ascii="Times New Roman" w:hAnsi="Times New Roman"/>
          <w:vertAlign w:val="superscript"/>
        </w:rPr>
        <w:footnoteReference w:id="8"/>
      </w:r>
    </w:p>
    <w:p w:rsidR="005E731F" w:rsidRPr="00A73034" w:rsidRDefault="005E731F" w:rsidP="004D3C8F">
      <w:pPr>
        <w:widowControl/>
        <w:ind w:firstLine="720"/>
        <w:rPr>
          <w:rFonts w:ascii="Times New Roman" w:hAnsi="Times New Roman"/>
        </w:rPr>
      </w:pPr>
    </w:p>
    <w:p w:rsidR="005E731F" w:rsidRPr="00A73034" w:rsidRDefault="005E731F" w:rsidP="004D3C8F">
      <w:pPr>
        <w:widowControl/>
        <w:rPr>
          <w:rFonts w:ascii="Times New Roman" w:hAnsi="Times New Roman"/>
          <w:b/>
          <w:bCs/>
        </w:rPr>
      </w:pPr>
      <w:r w:rsidRPr="00A73034">
        <w:rPr>
          <w:rFonts w:ascii="Times New Roman" w:hAnsi="Times New Roman"/>
          <w:b/>
          <w:bCs/>
        </w:rPr>
        <w:t>Estimate of Cost to the Federal Reserve System</w:t>
      </w:r>
    </w:p>
    <w:p w:rsidR="004D3C8F" w:rsidRDefault="004D3C8F" w:rsidP="004D3C8F">
      <w:pPr>
        <w:widowControl/>
        <w:ind w:firstLine="720"/>
        <w:rPr>
          <w:rFonts w:ascii="Times New Roman" w:hAnsi="Times New Roman"/>
        </w:rPr>
      </w:pPr>
    </w:p>
    <w:p w:rsidR="005E731F" w:rsidRDefault="0070692A" w:rsidP="004D3C8F">
      <w:pPr>
        <w:widowControl/>
        <w:ind w:firstLine="720"/>
        <w:rPr>
          <w:rFonts w:ascii="Times New Roman" w:hAnsi="Times New Roman"/>
        </w:rPr>
      </w:pPr>
      <w:r w:rsidRPr="00A73034">
        <w:rPr>
          <w:rFonts w:ascii="Times New Roman" w:hAnsi="Times New Roman"/>
        </w:rPr>
        <w:t>The Federal Reserve’</w:t>
      </w:r>
      <w:r w:rsidR="005E731F" w:rsidRPr="00A73034">
        <w:rPr>
          <w:rFonts w:ascii="Times New Roman" w:hAnsi="Times New Roman"/>
        </w:rPr>
        <w:t>s processing costs associated with this survey are nominal.</w:t>
      </w:r>
    </w:p>
    <w:p w:rsidR="006356DF" w:rsidRPr="00A73034" w:rsidRDefault="006356DF" w:rsidP="004D3C8F">
      <w:pPr>
        <w:widowControl/>
        <w:ind w:firstLine="720"/>
        <w:rPr>
          <w:rFonts w:ascii="Times New Roman" w:hAnsi="Times New Roman"/>
        </w:rPr>
      </w:pPr>
    </w:p>
    <w:p w:rsidR="004D3C8F" w:rsidRDefault="004D3C8F">
      <w:pPr>
        <w:widowControl/>
        <w:autoSpaceDE/>
        <w:autoSpaceDN/>
        <w:adjustRightInd/>
        <w:spacing w:after="200" w:line="276" w:lineRule="auto"/>
        <w:rPr>
          <w:rFonts w:ascii="Times New Roman" w:hAnsi="Times New Roman"/>
          <w:b/>
          <w:bCs/>
        </w:rPr>
      </w:pPr>
      <w:r>
        <w:rPr>
          <w:rFonts w:ascii="Times New Roman" w:hAnsi="Times New Roman"/>
          <w:b/>
          <w:bCs/>
        </w:rPr>
        <w:br w:type="page"/>
      </w:r>
    </w:p>
    <w:p w:rsidR="006356DF" w:rsidRPr="00A73034" w:rsidRDefault="006356DF" w:rsidP="004D3C8F">
      <w:pPr>
        <w:widowControl/>
        <w:rPr>
          <w:rFonts w:ascii="Times New Roman" w:hAnsi="Times New Roman"/>
        </w:rPr>
      </w:pPr>
      <w:r w:rsidRPr="00A73034">
        <w:rPr>
          <w:rFonts w:ascii="Times New Roman" w:hAnsi="Times New Roman"/>
          <w:b/>
          <w:bCs/>
        </w:rPr>
        <w:lastRenderedPageBreak/>
        <w:t xml:space="preserve">Consultation </w:t>
      </w:r>
      <w:proofErr w:type="gramStart"/>
      <w:r w:rsidRPr="00A73034">
        <w:rPr>
          <w:rFonts w:ascii="Times New Roman" w:hAnsi="Times New Roman"/>
          <w:b/>
          <w:bCs/>
        </w:rPr>
        <w:t>Outside</w:t>
      </w:r>
      <w:proofErr w:type="gramEnd"/>
      <w:r w:rsidRPr="00A73034">
        <w:rPr>
          <w:rFonts w:ascii="Times New Roman" w:hAnsi="Times New Roman"/>
          <w:b/>
          <w:bCs/>
        </w:rPr>
        <w:t xml:space="preserve"> the Agency</w:t>
      </w:r>
    </w:p>
    <w:p w:rsidR="004D3C8F" w:rsidRDefault="004D3C8F" w:rsidP="004D3C8F">
      <w:pPr>
        <w:ind w:firstLine="720"/>
        <w:rPr>
          <w:rFonts w:ascii="Times" w:hAnsi="Times"/>
        </w:rPr>
      </w:pPr>
    </w:p>
    <w:p w:rsidR="006356DF" w:rsidRPr="00EA6307" w:rsidRDefault="006356DF" w:rsidP="004D3C8F">
      <w:pPr>
        <w:ind w:firstLine="720"/>
        <w:rPr>
          <w:rFonts w:ascii="Times" w:hAnsi="Times"/>
          <w:i/>
          <w:iCs/>
        </w:rPr>
      </w:pPr>
      <w:r w:rsidRPr="001A071D">
        <w:rPr>
          <w:rFonts w:ascii="Times" w:hAnsi="Times"/>
        </w:rPr>
        <w:t>On February 6, 2012, the</w:t>
      </w:r>
      <w:r w:rsidRPr="00EA6307">
        <w:rPr>
          <w:rFonts w:ascii="Times" w:hAnsi="Times"/>
        </w:rPr>
        <w:t xml:space="preserve"> Federal Reserve published a notice in the </w:t>
      </w:r>
      <w:r w:rsidRPr="00EA6307">
        <w:rPr>
          <w:rFonts w:ascii="Times" w:hAnsi="Times"/>
          <w:i/>
          <w:iCs/>
        </w:rPr>
        <w:t>Federal Register</w:t>
      </w:r>
    </w:p>
    <w:p w:rsidR="006356DF" w:rsidRDefault="006356DF" w:rsidP="004D3C8F">
      <w:pPr>
        <w:pStyle w:val="Header"/>
        <w:widowControl/>
        <w:tabs>
          <w:tab w:val="clear" w:pos="4320"/>
          <w:tab w:val="clear" w:pos="8640"/>
        </w:tabs>
        <w:outlineLvl w:val="0"/>
        <w:rPr>
          <w:rFonts w:ascii="Times" w:hAnsi="Times"/>
        </w:rPr>
      </w:pPr>
      <w:r w:rsidRPr="001A071D">
        <w:rPr>
          <w:rFonts w:ascii="Times" w:hAnsi="Times"/>
        </w:rPr>
        <w:t>(77 FR 5802) requesting public comment for 60 days on the extension, with revision, of the FR 2018.  The comment period for this notice expire</w:t>
      </w:r>
      <w:r w:rsidR="00D52AFE">
        <w:rPr>
          <w:rFonts w:ascii="Times" w:hAnsi="Times"/>
        </w:rPr>
        <w:t>d</w:t>
      </w:r>
      <w:r w:rsidRPr="001A071D">
        <w:rPr>
          <w:rFonts w:ascii="Times" w:hAnsi="Times"/>
        </w:rPr>
        <w:t xml:space="preserve"> on April 6, 2012.</w:t>
      </w:r>
      <w:r w:rsidR="00D52AFE">
        <w:rPr>
          <w:rFonts w:ascii="Times" w:hAnsi="Times"/>
        </w:rPr>
        <w:t xml:space="preserve">  </w:t>
      </w:r>
      <w:r w:rsidR="00D52AFE" w:rsidRPr="004415E3">
        <w:rPr>
          <w:rFonts w:ascii="Times New Roman" w:hAnsi="Times New Roman"/>
        </w:rPr>
        <w:t>No comments were received</w:t>
      </w:r>
      <w:r w:rsidR="00D52AFE">
        <w:rPr>
          <w:rFonts w:ascii="Times New Roman" w:hAnsi="Times New Roman"/>
        </w:rPr>
        <w:t>; the revisions will be implemented as proposed</w:t>
      </w:r>
      <w:r w:rsidR="00D52AFE" w:rsidRPr="00B368E6">
        <w:rPr>
          <w:rFonts w:ascii="Times New Roman" w:hAnsi="Times New Roman"/>
        </w:rPr>
        <w:t xml:space="preserve">. On May 17, 2012, the Federal Reserve published a final notice in the </w:t>
      </w:r>
      <w:r w:rsidR="00D52AFE" w:rsidRPr="00B368E6">
        <w:rPr>
          <w:rFonts w:ascii="Times New Roman" w:hAnsi="Times New Roman"/>
          <w:i/>
          <w:iCs/>
        </w:rPr>
        <w:t xml:space="preserve">Federal Register </w:t>
      </w:r>
      <w:r w:rsidR="00D52AFE" w:rsidRPr="00B368E6">
        <w:rPr>
          <w:rFonts w:ascii="Times New Roman" w:hAnsi="Times New Roman"/>
        </w:rPr>
        <w:t>(</w:t>
      </w:r>
      <w:r w:rsidR="00B368E6">
        <w:rPr>
          <w:rFonts w:ascii="Times New Roman" w:hAnsi="Times New Roman"/>
        </w:rPr>
        <w:t>77</w:t>
      </w:r>
      <w:r w:rsidR="00D52AFE" w:rsidRPr="00B368E6">
        <w:rPr>
          <w:rFonts w:ascii="Times New Roman" w:hAnsi="Times New Roman"/>
        </w:rPr>
        <w:t xml:space="preserve"> FR </w:t>
      </w:r>
      <w:r w:rsidR="00B368E6">
        <w:rPr>
          <w:rFonts w:ascii="Times New Roman" w:hAnsi="Times New Roman"/>
        </w:rPr>
        <w:t>29346</w:t>
      </w:r>
      <w:r w:rsidR="00D52AFE" w:rsidRPr="00B368E6">
        <w:rPr>
          <w:rFonts w:ascii="Times New Roman" w:hAnsi="Times New Roman"/>
        </w:rPr>
        <w:t>).</w:t>
      </w:r>
    </w:p>
    <w:p w:rsidR="006356DF" w:rsidRPr="00A73034" w:rsidRDefault="006356DF" w:rsidP="004D3C8F">
      <w:pPr>
        <w:widowControl/>
        <w:tabs>
          <w:tab w:val="left" w:pos="360"/>
        </w:tabs>
        <w:rPr>
          <w:rFonts w:ascii="Times New Roman" w:hAnsi="Times New Roman"/>
          <w:b/>
          <w:bCs/>
        </w:rPr>
      </w:pPr>
    </w:p>
    <w:p w:rsidR="006356DF" w:rsidRPr="00A73034" w:rsidRDefault="006356DF" w:rsidP="004D3C8F">
      <w:pPr>
        <w:widowControl/>
        <w:tabs>
          <w:tab w:val="left" w:pos="360"/>
        </w:tabs>
        <w:rPr>
          <w:rFonts w:ascii="Times New Roman" w:hAnsi="Times New Roman"/>
          <w:b/>
          <w:bCs/>
        </w:rPr>
      </w:pPr>
      <w:r w:rsidRPr="00A73034">
        <w:rPr>
          <w:rFonts w:ascii="Times New Roman" w:hAnsi="Times New Roman"/>
          <w:b/>
          <w:bCs/>
        </w:rPr>
        <w:t>Sensitive Questions</w:t>
      </w:r>
    </w:p>
    <w:p w:rsidR="004D3C8F" w:rsidRDefault="004D3C8F" w:rsidP="004D3C8F">
      <w:pPr>
        <w:widowControl/>
        <w:ind w:firstLine="720"/>
        <w:rPr>
          <w:rFonts w:ascii="Times New Roman" w:hAnsi="Times New Roman"/>
        </w:rPr>
      </w:pPr>
    </w:p>
    <w:p w:rsidR="006356DF" w:rsidRPr="00A73034" w:rsidRDefault="006356DF" w:rsidP="004D3C8F">
      <w:pPr>
        <w:widowControl/>
        <w:ind w:firstLine="720"/>
        <w:rPr>
          <w:rFonts w:ascii="Times New Roman" w:hAnsi="Times New Roman"/>
        </w:rPr>
      </w:pPr>
      <w:r w:rsidRPr="00A73034">
        <w:rPr>
          <w:rFonts w:ascii="Times New Roman" w:hAnsi="Times New Roman"/>
        </w:rPr>
        <w:t>This collection of information contains no questions of a sensitive nature, as defined by OMB guidelines.</w:t>
      </w:r>
    </w:p>
    <w:p w:rsidR="00D41457" w:rsidRPr="00A73034" w:rsidRDefault="00D41457">
      <w:pPr>
        <w:rPr>
          <w:rFonts w:ascii="Times New Roman" w:hAnsi="Times New Roman"/>
        </w:rPr>
      </w:pPr>
    </w:p>
    <w:sectPr w:rsidR="00D41457" w:rsidRPr="00A73034" w:rsidSect="00565733">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E49" w:rsidRDefault="00F76E49" w:rsidP="005E731F">
      <w:r>
        <w:separator/>
      </w:r>
    </w:p>
  </w:endnote>
  <w:endnote w:type="continuationSeparator" w:id="0">
    <w:p w:rsidR="00F76E49" w:rsidRDefault="00F76E49" w:rsidP="005E73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49" w:rsidRDefault="00432FA4" w:rsidP="00D41457">
    <w:pPr>
      <w:pStyle w:val="Footer"/>
      <w:framePr w:wrap="around" w:vAnchor="text" w:hAnchor="margin" w:xAlign="center" w:y="1"/>
      <w:rPr>
        <w:rStyle w:val="PageNumber"/>
      </w:rPr>
    </w:pPr>
    <w:r>
      <w:rPr>
        <w:rStyle w:val="PageNumber"/>
      </w:rPr>
      <w:fldChar w:fldCharType="begin"/>
    </w:r>
    <w:r w:rsidR="00F76E49">
      <w:rPr>
        <w:rStyle w:val="PageNumber"/>
      </w:rPr>
      <w:instrText xml:space="preserve">PAGE  </w:instrText>
    </w:r>
    <w:r>
      <w:rPr>
        <w:rStyle w:val="PageNumber"/>
      </w:rPr>
      <w:fldChar w:fldCharType="end"/>
    </w:r>
  </w:p>
  <w:p w:rsidR="00F76E49" w:rsidRDefault="00F76E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49" w:rsidRPr="00222228" w:rsidRDefault="00432FA4" w:rsidP="00D41457">
    <w:pPr>
      <w:pStyle w:val="Footer"/>
      <w:framePr w:wrap="around" w:vAnchor="text" w:hAnchor="margin" w:xAlign="center" w:y="1"/>
      <w:rPr>
        <w:rStyle w:val="PageNumber"/>
        <w:rFonts w:ascii="Times New Roman" w:hAnsi="Times New Roman"/>
      </w:rPr>
    </w:pPr>
    <w:r w:rsidRPr="00222228">
      <w:rPr>
        <w:rStyle w:val="PageNumber"/>
        <w:rFonts w:ascii="Times New Roman" w:hAnsi="Times New Roman"/>
      </w:rPr>
      <w:fldChar w:fldCharType="begin"/>
    </w:r>
    <w:r w:rsidR="00F76E49" w:rsidRPr="00222228">
      <w:rPr>
        <w:rStyle w:val="PageNumber"/>
        <w:rFonts w:ascii="Times New Roman" w:hAnsi="Times New Roman"/>
      </w:rPr>
      <w:instrText xml:space="preserve">PAGE  </w:instrText>
    </w:r>
    <w:r w:rsidRPr="00222228">
      <w:rPr>
        <w:rStyle w:val="PageNumber"/>
        <w:rFonts w:ascii="Times New Roman" w:hAnsi="Times New Roman"/>
      </w:rPr>
      <w:fldChar w:fldCharType="separate"/>
    </w:r>
    <w:r w:rsidR="007623E9">
      <w:rPr>
        <w:rStyle w:val="PageNumber"/>
        <w:rFonts w:ascii="Times New Roman" w:hAnsi="Times New Roman"/>
        <w:noProof/>
      </w:rPr>
      <w:t>5</w:t>
    </w:r>
    <w:r w:rsidRPr="00222228">
      <w:rPr>
        <w:rStyle w:val="PageNumber"/>
        <w:rFonts w:ascii="Times New Roman" w:hAnsi="Times New Roman"/>
      </w:rPr>
      <w:fldChar w:fldCharType="end"/>
    </w:r>
  </w:p>
  <w:p w:rsidR="00F76E49" w:rsidRDefault="00F76E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E49" w:rsidRDefault="00F76E49" w:rsidP="005E731F">
      <w:r>
        <w:separator/>
      </w:r>
    </w:p>
  </w:footnote>
  <w:footnote w:type="continuationSeparator" w:id="0">
    <w:p w:rsidR="00F76E49" w:rsidRDefault="00F76E49" w:rsidP="005E731F">
      <w:r>
        <w:continuationSeparator/>
      </w:r>
    </w:p>
  </w:footnote>
  <w:footnote w:id="1">
    <w:p w:rsidR="00F76E49" w:rsidRPr="009362D7" w:rsidRDefault="00F76E49" w:rsidP="005E731F">
      <w:pPr>
        <w:pStyle w:val="FootnoteText"/>
        <w:rPr>
          <w:rFonts w:ascii="Times New Roman" w:hAnsi="Times New Roman"/>
        </w:rPr>
      </w:pPr>
      <w:r w:rsidRPr="009362D7">
        <w:rPr>
          <w:rStyle w:val="FootnoteReference"/>
          <w:rFonts w:ascii="Times New Roman" w:hAnsi="Times New Roman"/>
          <w:vertAlign w:val="superscript"/>
        </w:rPr>
        <w:footnoteRef/>
      </w:r>
      <w:r w:rsidRPr="009362D7">
        <w:rPr>
          <w:rFonts w:ascii="Times New Roman" w:hAnsi="Times New Roman"/>
          <w:vertAlign w:val="superscript"/>
        </w:rPr>
        <w:t xml:space="preserve"> </w:t>
      </w:r>
      <w:hyperlink r:id="rId1" w:history="1">
        <w:r w:rsidRPr="00874EA5">
          <w:rPr>
            <w:rStyle w:val="Hyperlink"/>
            <w:rFonts w:ascii="Times New Roman" w:hAnsi="Times New Roman"/>
          </w:rPr>
          <w:t>http://www.federalreserve.gov/boarddocs/SnLoanSurvey/</w:t>
        </w:r>
      </w:hyperlink>
      <w:r>
        <w:rPr>
          <w:rFonts w:ascii="Times New Roman" w:hAnsi="Times New Roman"/>
        </w:rPr>
        <w:t xml:space="preserve"> </w:t>
      </w:r>
    </w:p>
  </w:footnote>
  <w:footnote w:id="2">
    <w:p w:rsidR="00F76E49" w:rsidRPr="009362D7" w:rsidRDefault="00F76E49" w:rsidP="008B52DE">
      <w:pPr>
        <w:rPr>
          <w:rFonts w:ascii="Times New Roman" w:hAnsi="Times New Roman"/>
        </w:rPr>
      </w:pPr>
      <w:r w:rsidRPr="009362D7">
        <w:rPr>
          <w:rStyle w:val="FootnoteReference"/>
          <w:rFonts w:ascii="Times New Roman" w:hAnsi="Times New Roman"/>
          <w:sz w:val="20"/>
          <w:szCs w:val="20"/>
          <w:vertAlign w:val="superscript"/>
        </w:rPr>
        <w:footnoteRef/>
      </w:r>
      <w:r>
        <w:rPr>
          <w:rStyle w:val="FootnoteTextChar"/>
          <w:rFonts w:ascii="Times New Roman" w:hAnsi="Times New Roman"/>
        </w:rPr>
        <w:t xml:space="preserve"> </w:t>
      </w:r>
      <w:r w:rsidRPr="009362D7">
        <w:rPr>
          <w:rStyle w:val="FootnoteTextChar"/>
          <w:rFonts w:ascii="Times New Roman" w:hAnsi="Times New Roman"/>
        </w:rPr>
        <w:t xml:space="preserve">The survey was conducted five times in 1985, 1986, and 1987, four times in 1988 and 1989, five times in 1990, and six times in 1991.  Since that time, it has been conducted four times every year, except for 1998 and </w:t>
      </w:r>
      <w:smartTag w:uri="urn:schemas-microsoft-com:office:smarttags" w:element="metricconverter">
        <w:smartTagPr>
          <w:attr w:name="ProductID" w:val="2001, in"/>
        </w:smartTagPr>
        <w:r w:rsidRPr="009362D7">
          <w:rPr>
            <w:rStyle w:val="FootnoteTextChar"/>
            <w:rFonts w:ascii="Times New Roman" w:hAnsi="Times New Roman"/>
          </w:rPr>
          <w:t>2001, in</w:t>
        </w:r>
      </w:smartTag>
      <w:r w:rsidRPr="009362D7">
        <w:rPr>
          <w:rStyle w:val="FootnoteTextChar"/>
          <w:rFonts w:ascii="Times New Roman" w:hAnsi="Times New Roman"/>
        </w:rPr>
        <w:t xml:space="preserve"> which the survey was conducted five times.</w:t>
      </w:r>
    </w:p>
  </w:footnote>
  <w:footnote w:id="3">
    <w:p w:rsidR="00F76E49" w:rsidRDefault="00F76E49">
      <w:pPr>
        <w:pStyle w:val="FootnoteText"/>
        <w:rPr>
          <w:rFonts w:ascii="Times New Roman" w:hAnsi="Times New Roman"/>
        </w:rPr>
      </w:pPr>
      <w:r w:rsidRPr="009362D7">
        <w:rPr>
          <w:rStyle w:val="FootnoteReference"/>
          <w:rFonts w:ascii="Times New Roman" w:hAnsi="Times New Roman"/>
          <w:vertAlign w:val="superscript"/>
        </w:rPr>
        <w:footnoteRef/>
      </w:r>
      <w:r w:rsidRPr="009362D7">
        <w:rPr>
          <w:rFonts w:ascii="Times New Roman" w:hAnsi="Times New Roman"/>
        </w:rPr>
        <w:t xml:space="preserve"> Exampl</w:t>
      </w:r>
      <w:r>
        <w:rPr>
          <w:rFonts w:ascii="Times New Roman" w:hAnsi="Times New Roman"/>
        </w:rPr>
        <w:t xml:space="preserve">es of academic research include </w:t>
      </w:r>
      <w:r w:rsidRPr="00067345">
        <w:rPr>
          <w:rFonts w:ascii="Times New Roman" w:hAnsi="Times New Roman"/>
        </w:rPr>
        <w:t>William F. Bassett III</w:t>
      </w:r>
      <w:r>
        <w:rPr>
          <w:rFonts w:ascii="Times New Roman" w:hAnsi="Times New Roman"/>
        </w:rPr>
        <w:t xml:space="preserve">, </w:t>
      </w:r>
      <w:r w:rsidRPr="00067345">
        <w:rPr>
          <w:rFonts w:ascii="Times New Roman" w:hAnsi="Times New Roman"/>
        </w:rPr>
        <w:t xml:space="preserve">Mary Beth </w:t>
      </w:r>
      <w:proofErr w:type="spellStart"/>
      <w:r w:rsidRPr="00067345">
        <w:rPr>
          <w:rFonts w:ascii="Times New Roman" w:hAnsi="Times New Roman"/>
        </w:rPr>
        <w:t>Chosak</w:t>
      </w:r>
      <w:proofErr w:type="spellEnd"/>
      <w:r>
        <w:rPr>
          <w:rFonts w:ascii="Times New Roman" w:hAnsi="Times New Roman"/>
        </w:rPr>
        <w:t xml:space="preserve">, </w:t>
      </w:r>
      <w:r w:rsidRPr="00067345">
        <w:rPr>
          <w:rFonts w:ascii="Times New Roman" w:hAnsi="Times New Roman"/>
        </w:rPr>
        <w:t>John C. Driscoll</w:t>
      </w:r>
      <w:r>
        <w:rPr>
          <w:rFonts w:ascii="Times New Roman" w:hAnsi="Times New Roman"/>
        </w:rPr>
        <w:t xml:space="preserve">, and </w:t>
      </w:r>
      <w:proofErr w:type="spellStart"/>
      <w:r w:rsidRPr="00067345">
        <w:rPr>
          <w:rFonts w:ascii="Times New Roman" w:hAnsi="Times New Roman"/>
        </w:rPr>
        <w:t>Egon</w:t>
      </w:r>
      <w:proofErr w:type="spellEnd"/>
      <w:r w:rsidRPr="00067345">
        <w:rPr>
          <w:rFonts w:ascii="Times New Roman" w:hAnsi="Times New Roman"/>
        </w:rPr>
        <w:t xml:space="preserve"> </w:t>
      </w:r>
      <w:proofErr w:type="spellStart"/>
      <w:r w:rsidRPr="00067345">
        <w:rPr>
          <w:rFonts w:ascii="Times New Roman" w:hAnsi="Times New Roman"/>
        </w:rPr>
        <w:t>Zakrajsek</w:t>
      </w:r>
      <w:proofErr w:type="spellEnd"/>
      <w:r w:rsidRPr="009362D7">
        <w:rPr>
          <w:rFonts w:ascii="Times New Roman" w:hAnsi="Times New Roman"/>
        </w:rPr>
        <w:t xml:space="preserve"> </w:t>
      </w:r>
      <w:r>
        <w:rPr>
          <w:rFonts w:ascii="Times New Roman" w:hAnsi="Times New Roman"/>
        </w:rPr>
        <w:t xml:space="preserve">(2010). </w:t>
      </w:r>
      <w:proofErr w:type="gramStart"/>
      <w:r w:rsidRPr="009362D7">
        <w:rPr>
          <w:rFonts w:ascii="Times New Roman" w:hAnsi="Times New Roman"/>
        </w:rPr>
        <w:t>“Changes in Bank Lending St</w:t>
      </w:r>
      <w:r>
        <w:rPr>
          <w:rFonts w:ascii="Times New Roman" w:hAnsi="Times New Roman"/>
        </w:rPr>
        <w:t xml:space="preserve">andards and the </w:t>
      </w:r>
      <w:proofErr w:type="spellStart"/>
      <w:r>
        <w:rPr>
          <w:rFonts w:ascii="Times New Roman" w:hAnsi="Times New Roman"/>
        </w:rPr>
        <w:t>Macroeconomy</w:t>
      </w:r>
      <w:proofErr w:type="spellEnd"/>
      <w:r>
        <w:rPr>
          <w:rFonts w:ascii="Times New Roman" w:hAnsi="Times New Roman"/>
        </w:rPr>
        <w:t>,” SSRN.</w:t>
      </w:r>
      <w:proofErr w:type="gramEnd"/>
      <w:r>
        <w:rPr>
          <w:rFonts w:ascii="Times New Roman" w:hAnsi="Times New Roman"/>
        </w:rPr>
        <w:t xml:space="preserve"> (</w:t>
      </w:r>
      <w:hyperlink r:id="rId2" w:history="1">
        <w:r>
          <w:rPr>
            <w:rStyle w:val="Hyperlink"/>
            <w:rFonts w:ascii="Times New Roman" w:hAnsi="Times New Roman"/>
          </w:rPr>
          <w:t>http://ssrn.com/abstract_id=1758832</w:t>
        </w:r>
      </w:hyperlink>
      <w:r>
        <w:rPr>
          <w:rFonts w:ascii="Times New Roman" w:hAnsi="Times New Roman"/>
        </w:rPr>
        <w:t xml:space="preserve">). </w:t>
      </w:r>
      <w:r w:rsidRPr="00067345">
        <w:rPr>
          <w:rFonts w:ascii="Times New Roman" w:hAnsi="Times New Roman"/>
        </w:rPr>
        <w:t xml:space="preserve">Jose M. </w:t>
      </w:r>
      <w:proofErr w:type="spellStart"/>
      <w:r w:rsidRPr="00067345">
        <w:rPr>
          <w:rFonts w:ascii="Times New Roman" w:hAnsi="Times New Roman"/>
        </w:rPr>
        <w:t>Berrospide</w:t>
      </w:r>
      <w:proofErr w:type="spellEnd"/>
      <w:r w:rsidRPr="00067345">
        <w:rPr>
          <w:rFonts w:ascii="Times New Roman" w:hAnsi="Times New Roman"/>
        </w:rPr>
        <w:t xml:space="preserve"> and Rochelle M. Edge</w:t>
      </w:r>
      <w:r>
        <w:rPr>
          <w:rFonts w:ascii="Times New Roman" w:hAnsi="Times New Roman"/>
        </w:rPr>
        <w:t xml:space="preserve"> (2010). “</w:t>
      </w:r>
      <w:r w:rsidRPr="00067345">
        <w:rPr>
          <w:rFonts w:ascii="Times New Roman" w:hAnsi="Times New Roman"/>
        </w:rPr>
        <w:t>The Effects of Bank Capital on Lending: What Do We Know, and What Does it Mean?</w:t>
      </w:r>
      <w:r>
        <w:rPr>
          <w:rFonts w:ascii="Times New Roman" w:hAnsi="Times New Roman"/>
        </w:rPr>
        <w:t xml:space="preserve">” </w:t>
      </w:r>
      <w:r w:rsidRPr="00FF279A">
        <w:rPr>
          <w:rFonts w:ascii="Times New Roman" w:hAnsi="Times New Roman"/>
        </w:rPr>
        <w:t>Finance and Economics Discussion Series</w:t>
      </w:r>
      <w:r>
        <w:rPr>
          <w:rFonts w:ascii="Times New Roman" w:hAnsi="Times New Roman"/>
        </w:rPr>
        <w:t xml:space="preserve"> 2010-44. Washington:  Board of Governors of the Federal Reserve System, September.</w:t>
      </w:r>
    </w:p>
  </w:footnote>
  <w:footnote w:id="4">
    <w:p w:rsidR="00F76E49" w:rsidRDefault="00F76E49">
      <w:pPr>
        <w:pStyle w:val="FootnoteText"/>
        <w:rPr>
          <w:rFonts w:ascii="Times New Roman" w:hAnsi="Times New Roman"/>
        </w:rPr>
      </w:pPr>
      <w:r w:rsidRPr="004D7DFA">
        <w:rPr>
          <w:rStyle w:val="FootnoteReference"/>
          <w:rFonts w:ascii="Times New Roman" w:hAnsi="Times New Roman"/>
          <w:vertAlign w:val="superscript"/>
        </w:rPr>
        <w:footnoteRef/>
      </w:r>
      <w:r w:rsidRPr="004D7DFA">
        <w:rPr>
          <w:rFonts w:ascii="Times New Roman" w:hAnsi="Times New Roman"/>
          <w:vertAlign w:val="superscript"/>
        </w:rPr>
        <w:t xml:space="preserve"> </w:t>
      </w:r>
      <w:r>
        <w:rPr>
          <w:rFonts w:ascii="Times New Roman" w:hAnsi="Times New Roman"/>
        </w:rPr>
        <w:t>Examples of Basel III research include BIS (2010). “</w:t>
      </w:r>
      <w:r w:rsidRPr="00950079">
        <w:rPr>
          <w:rFonts w:ascii="Times New Roman" w:hAnsi="Times New Roman"/>
        </w:rPr>
        <w:t>As</w:t>
      </w:r>
      <w:r>
        <w:rPr>
          <w:rFonts w:ascii="Times New Roman" w:hAnsi="Times New Roman"/>
        </w:rPr>
        <w:t>sessing the Macroeconomic Impact of the Transition to Stronger Capital and Liquidity R</w:t>
      </w:r>
      <w:r w:rsidRPr="00950079">
        <w:rPr>
          <w:rFonts w:ascii="Times New Roman" w:hAnsi="Times New Roman"/>
        </w:rPr>
        <w:t>equirements</w:t>
      </w:r>
      <w:r>
        <w:rPr>
          <w:rFonts w:ascii="Times New Roman" w:hAnsi="Times New Roman"/>
        </w:rPr>
        <w:t xml:space="preserve">,” </w:t>
      </w:r>
      <w:r w:rsidRPr="000558D8">
        <w:rPr>
          <w:rFonts w:ascii="Times New Roman" w:hAnsi="Times New Roman"/>
        </w:rPr>
        <w:t>Macroeconomic Assessment Group</w:t>
      </w:r>
      <w:r>
        <w:rPr>
          <w:rFonts w:ascii="Times New Roman" w:hAnsi="Times New Roman"/>
        </w:rPr>
        <w:t xml:space="preserve">. </w:t>
      </w:r>
      <w:r w:rsidRPr="000558D8">
        <w:rPr>
          <w:rFonts w:ascii="Times New Roman" w:hAnsi="Times New Roman"/>
        </w:rPr>
        <w:t>Basel, Switzerland</w:t>
      </w:r>
      <w:r>
        <w:rPr>
          <w:rFonts w:ascii="Times New Roman" w:hAnsi="Times New Roman"/>
        </w:rPr>
        <w:t xml:space="preserve">:  </w:t>
      </w:r>
      <w:r w:rsidRPr="000558D8">
        <w:rPr>
          <w:rFonts w:ascii="Times New Roman" w:hAnsi="Times New Roman"/>
        </w:rPr>
        <w:t>Bank for International Settlements</w:t>
      </w:r>
      <w:r>
        <w:rPr>
          <w:rFonts w:ascii="Times New Roman" w:hAnsi="Times New Roman"/>
        </w:rPr>
        <w:t xml:space="preserve">, </w:t>
      </w:r>
      <w:proofErr w:type="spellStart"/>
      <w:r>
        <w:rPr>
          <w:rFonts w:ascii="Times New Roman" w:hAnsi="Times New Roman"/>
        </w:rPr>
        <w:t>August.</w:t>
      </w:r>
      <w:r w:rsidRPr="00950079">
        <w:rPr>
          <w:rFonts w:ascii="Times New Roman" w:hAnsi="Times New Roman"/>
        </w:rPr>
        <w:t>Angela</w:t>
      </w:r>
      <w:proofErr w:type="spellEnd"/>
      <w:r w:rsidRPr="00950079">
        <w:rPr>
          <w:rFonts w:ascii="Times New Roman" w:hAnsi="Times New Roman"/>
        </w:rPr>
        <w:t xml:space="preserve"> </w:t>
      </w:r>
      <w:proofErr w:type="spellStart"/>
      <w:proofErr w:type="gramStart"/>
      <w:r w:rsidRPr="00950079">
        <w:rPr>
          <w:rFonts w:ascii="Times New Roman" w:hAnsi="Times New Roman"/>
        </w:rPr>
        <w:t>Maddaloni</w:t>
      </w:r>
      <w:proofErr w:type="spellEnd"/>
      <w:r w:rsidRPr="00950079">
        <w:rPr>
          <w:rFonts w:ascii="Times New Roman" w:hAnsi="Times New Roman"/>
        </w:rPr>
        <w:t xml:space="preserve"> </w:t>
      </w:r>
      <w:r>
        <w:rPr>
          <w:rFonts w:ascii="Times New Roman" w:hAnsi="Times New Roman"/>
        </w:rPr>
        <w:t xml:space="preserve"> and</w:t>
      </w:r>
      <w:proofErr w:type="gramEnd"/>
      <w:r>
        <w:rPr>
          <w:rFonts w:ascii="Times New Roman" w:hAnsi="Times New Roman"/>
        </w:rPr>
        <w:t xml:space="preserve"> </w:t>
      </w:r>
      <w:r w:rsidRPr="00950079">
        <w:rPr>
          <w:rFonts w:ascii="Times New Roman" w:hAnsi="Times New Roman"/>
        </w:rPr>
        <w:t xml:space="preserve">Jose-Luis </w:t>
      </w:r>
      <w:proofErr w:type="spellStart"/>
      <w:r w:rsidRPr="00950079">
        <w:rPr>
          <w:rFonts w:ascii="Times New Roman" w:hAnsi="Times New Roman"/>
        </w:rPr>
        <w:t>Peydro</w:t>
      </w:r>
      <w:proofErr w:type="spellEnd"/>
      <w:r w:rsidRPr="00950079">
        <w:rPr>
          <w:rFonts w:ascii="Times New Roman" w:hAnsi="Times New Roman"/>
        </w:rPr>
        <w:t xml:space="preserve"> </w:t>
      </w:r>
      <w:r>
        <w:rPr>
          <w:rFonts w:ascii="Times New Roman" w:hAnsi="Times New Roman"/>
        </w:rPr>
        <w:t xml:space="preserve">(2010). </w:t>
      </w:r>
      <w:proofErr w:type="gramStart"/>
      <w:r w:rsidRPr="009362D7">
        <w:rPr>
          <w:rFonts w:ascii="Times New Roman" w:hAnsi="Times New Roman"/>
        </w:rPr>
        <w:t>“</w:t>
      </w:r>
      <w:r w:rsidRPr="00950079">
        <w:rPr>
          <w:rFonts w:ascii="Times New Roman" w:hAnsi="Times New Roman"/>
        </w:rPr>
        <w:t>Bank Risk-Taking, Securitization, Supervision, and Low Interest Rates: Evidence from Lending Standards</w:t>
      </w:r>
      <w:r>
        <w:rPr>
          <w:rFonts w:ascii="Times New Roman" w:hAnsi="Times New Roman"/>
        </w:rPr>
        <w:t>,” SSRN.</w:t>
      </w:r>
      <w:proofErr w:type="gramEnd"/>
      <w:r>
        <w:rPr>
          <w:rFonts w:ascii="Times New Roman" w:hAnsi="Times New Roman"/>
        </w:rPr>
        <w:t xml:space="preserve"> (</w:t>
      </w:r>
      <w:hyperlink r:id="rId3" w:history="1">
        <w:r w:rsidRPr="00A57F06">
          <w:rPr>
            <w:rStyle w:val="Hyperlink"/>
            <w:rFonts w:ascii="Times New Roman" w:hAnsi="Times New Roman"/>
          </w:rPr>
          <w:t>http://ssrn.com/abstract_id=1571697</w:t>
        </w:r>
      </w:hyperlink>
      <w:r>
        <w:rPr>
          <w:rFonts w:ascii="Times New Roman" w:hAnsi="Times New Roman"/>
        </w:rPr>
        <w:t>).</w:t>
      </w:r>
    </w:p>
  </w:footnote>
  <w:footnote w:id="5">
    <w:p w:rsidR="00F76E49" w:rsidRPr="009362D7" w:rsidRDefault="00F76E49" w:rsidP="00832C64">
      <w:pPr>
        <w:pStyle w:val="FootnoteText"/>
        <w:rPr>
          <w:rFonts w:ascii="Times New Roman" w:hAnsi="Times New Roman"/>
        </w:rPr>
      </w:pPr>
      <w:r w:rsidRPr="009362D7">
        <w:rPr>
          <w:rStyle w:val="FootnoteReference"/>
          <w:rFonts w:ascii="Times New Roman" w:hAnsi="Times New Roman"/>
          <w:vertAlign w:val="superscript"/>
        </w:rPr>
        <w:footnoteRef/>
      </w:r>
      <w:r w:rsidRPr="009362D7">
        <w:rPr>
          <w:rFonts w:ascii="Times New Roman" w:hAnsi="Times New Roman"/>
        </w:rPr>
        <w:t xml:space="preserve"> As of </w:t>
      </w:r>
      <w:r>
        <w:rPr>
          <w:rFonts w:ascii="Times New Roman" w:hAnsi="Times New Roman"/>
        </w:rPr>
        <w:t>September</w:t>
      </w:r>
      <w:r w:rsidRPr="009362D7">
        <w:rPr>
          <w:rFonts w:ascii="Times New Roman" w:hAnsi="Times New Roman"/>
        </w:rPr>
        <w:t xml:space="preserve"> 30, 2011, three banks had C&amp;I loans that were less than 5 percent of total assets.  </w:t>
      </w:r>
    </w:p>
  </w:footnote>
  <w:footnote w:id="6">
    <w:p w:rsidR="00F76E49" w:rsidRPr="009362D7" w:rsidRDefault="00F76E49" w:rsidP="00832C64">
      <w:pPr>
        <w:pStyle w:val="FootnoteText"/>
        <w:rPr>
          <w:rFonts w:ascii="Times New Roman" w:hAnsi="Times New Roman"/>
        </w:rPr>
      </w:pPr>
      <w:r w:rsidRPr="009362D7">
        <w:rPr>
          <w:rStyle w:val="FootnoteReference"/>
          <w:rFonts w:ascii="Times New Roman" w:hAnsi="Times New Roman"/>
          <w:vertAlign w:val="superscript"/>
        </w:rPr>
        <w:footnoteRef/>
      </w:r>
      <w:r w:rsidRPr="009362D7">
        <w:rPr>
          <w:rStyle w:val="FootnoteReference"/>
          <w:rFonts w:ascii="Times New Roman" w:hAnsi="Times New Roman"/>
          <w:vertAlign w:val="superscript"/>
        </w:rPr>
        <w:t xml:space="preserve"> </w:t>
      </w:r>
      <w:r w:rsidRPr="009362D7">
        <w:rPr>
          <w:rFonts w:ascii="Times New Roman" w:hAnsi="Times New Roman"/>
        </w:rPr>
        <w:t xml:space="preserve">In cases where two banks under a common parent company are included in the panel, </w:t>
      </w:r>
      <w:r>
        <w:rPr>
          <w:rFonts w:ascii="Times New Roman" w:hAnsi="Times New Roman"/>
        </w:rPr>
        <w:t>the Federal Reserve</w:t>
      </w:r>
      <w:r w:rsidRPr="009362D7">
        <w:rPr>
          <w:rFonts w:ascii="Times New Roman" w:hAnsi="Times New Roman"/>
        </w:rPr>
        <w:t xml:space="preserve"> has made efforts to determine that the banks’ responses to survey questions are independent.</w:t>
      </w:r>
    </w:p>
  </w:footnote>
  <w:footnote w:id="7">
    <w:p w:rsidR="00F76E49" w:rsidRPr="009362D7" w:rsidRDefault="00F76E49" w:rsidP="005E731F">
      <w:pPr>
        <w:pStyle w:val="FootnoteText"/>
        <w:rPr>
          <w:rFonts w:ascii="Times New Roman" w:hAnsi="Times New Roman"/>
        </w:rPr>
      </w:pPr>
      <w:r w:rsidRPr="009362D7">
        <w:rPr>
          <w:rStyle w:val="FootnoteReference"/>
          <w:rFonts w:ascii="Times New Roman" w:hAnsi="Times New Roman"/>
          <w:vertAlign w:val="superscript"/>
        </w:rPr>
        <w:footnoteRef/>
      </w:r>
      <w:r w:rsidRPr="009362D7">
        <w:rPr>
          <w:rFonts w:ascii="Times New Roman" w:hAnsi="Times New Roman"/>
        </w:rPr>
        <w:t xml:space="preserve"> Actual burden underlying the average two-hour response rate varies considerably not only from survey to survey, depending on the number and nature of the questions, but also among respondents for any one survey.</w:t>
      </w:r>
    </w:p>
  </w:footnote>
  <w:footnote w:id="8">
    <w:p w:rsidR="00F76E49" w:rsidRPr="009362D7" w:rsidRDefault="00F76E49" w:rsidP="00925FC4">
      <w:pPr>
        <w:rPr>
          <w:rFonts w:ascii="Times New Roman" w:hAnsi="Times New Roman"/>
          <w:sz w:val="20"/>
          <w:szCs w:val="20"/>
        </w:rPr>
      </w:pPr>
      <w:r w:rsidRPr="009362D7">
        <w:rPr>
          <w:rStyle w:val="FootnoteReference"/>
          <w:rFonts w:ascii="Times New Roman" w:hAnsi="Times New Roman"/>
          <w:sz w:val="20"/>
          <w:szCs w:val="20"/>
          <w:vertAlign w:val="superscript"/>
        </w:rPr>
        <w:footnoteRef/>
      </w:r>
      <w:r w:rsidRPr="009362D7">
        <w:rPr>
          <w:rFonts w:ascii="Times New Roman" w:hAnsi="Times New Roman"/>
          <w:sz w:val="20"/>
          <w:szCs w:val="20"/>
        </w:rPr>
        <w:t xml:space="preserve"> Total cost to the public was estimated using the following formula: percent of staff time, multiplied by annual burden hours, multiplied by hourly rate ((</w:t>
      </w:r>
      <w:r w:rsidRPr="00D213C1">
        <w:rPr>
          <w:rFonts w:ascii="Times New Roman" w:hAnsi="Times New Roman"/>
          <w:sz w:val="20"/>
          <w:szCs w:val="20"/>
        </w:rPr>
        <w:t>30% Office &amp; Administrative Support @ $16, 60% Financial Managers @ $50, and 10% Legal Counsel @ $54</w:t>
      </w:r>
      <w:r w:rsidRPr="009362D7">
        <w:rPr>
          <w:rFonts w:ascii="Times New Roman" w:hAnsi="Times New Roman"/>
          <w:sz w:val="20"/>
          <w:szCs w:val="20"/>
        </w:rPr>
        <w:t xml:space="preserve">).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49" w:rsidRDefault="00432FA4" w:rsidP="00D41457">
    <w:pPr>
      <w:pStyle w:val="Header"/>
      <w:framePr w:wrap="around" w:vAnchor="text" w:hAnchor="margin" w:xAlign="center" w:y="1"/>
      <w:rPr>
        <w:rStyle w:val="PageNumber"/>
      </w:rPr>
    </w:pPr>
    <w:r>
      <w:rPr>
        <w:rStyle w:val="PageNumber"/>
      </w:rPr>
      <w:fldChar w:fldCharType="begin"/>
    </w:r>
    <w:r w:rsidR="00F76E49">
      <w:rPr>
        <w:rStyle w:val="PageNumber"/>
      </w:rPr>
      <w:instrText xml:space="preserve">PAGE  </w:instrText>
    </w:r>
    <w:r>
      <w:rPr>
        <w:rStyle w:val="PageNumber"/>
      </w:rPr>
      <w:fldChar w:fldCharType="end"/>
    </w:r>
  </w:p>
  <w:p w:rsidR="00F76E49" w:rsidRDefault="00F76E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49" w:rsidRPr="00CB2616" w:rsidRDefault="00F76E49" w:rsidP="00D41457">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F76E49" w:rsidRDefault="00F76E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49" w:rsidRPr="00140302" w:rsidRDefault="00F76E49">
    <w:pPr>
      <w:pStyle w:val="Header"/>
      <w:ind w:right="-450"/>
      <w:rPr>
        <w:rFonts w:ascii="Times New Roman" w:hAnsi="Times New Roman"/>
        <w:b/>
        <w:bCs/>
      </w:rPr>
    </w:pPr>
    <w:r w:rsidRPr="00EA0EC1">
      <w:rPr>
        <w:rFonts w:ascii="Times New Roman" w:hAnsi="Times New Roman"/>
        <w:b/>
      </w:rPr>
      <w:t>DRAFT</w:t>
    </w:r>
    <w:r w:rsidRPr="00140302">
      <w:rPr>
        <w:rFonts w:ascii="Times New Roman" w:hAnsi="Times New Roman"/>
      </w:rPr>
      <w:tab/>
    </w:r>
    <w:r w:rsidRPr="00140302">
      <w:rPr>
        <w:rFonts w:ascii="Times New Roman" w:hAnsi="Times New Roman"/>
      </w:rPr>
      <w:tab/>
      <w:t xml:space="preserve">                 </w:t>
    </w:r>
    <w:r w:rsidRPr="00140302">
      <w:rPr>
        <w:rFonts w:ascii="Times New Roman" w:hAnsi="Times New Roman"/>
        <w:b/>
        <w:bCs/>
      </w:rPr>
      <w:t>INTERNAL FR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731F"/>
    <w:rsid w:val="00016744"/>
    <w:rsid w:val="00035097"/>
    <w:rsid w:val="000558D8"/>
    <w:rsid w:val="00063949"/>
    <w:rsid w:val="00065457"/>
    <w:rsid w:val="00067345"/>
    <w:rsid w:val="00073BFE"/>
    <w:rsid w:val="00087D0C"/>
    <w:rsid w:val="00091EFB"/>
    <w:rsid w:val="000B7BFB"/>
    <w:rsid w:val="000C584C"/>
    <w:rsid w:val="000D061B"/>
    <w:rsid w:val="000E26F7"/>
    <w:rsid w:val="000F0771"/>
    <w:rsid w:val="000F6D15"/>
    <w:rsid w:val="001119DD"/>
    <w:rsid w:val="001252D0"/>
    <w:rsid w:val="0012569B"/>
    <w:rsid w:val="00137AE1"/>
    <w:rsid w:val="001414C0"/>
    <w:rsid w:val="00184E5E"/>
    <w:rsid w:val="00186E4D"/>
    <w:rsid w:val="001A071D"/>
    <w:rsid w:val="001A3DE2"/>
    <w:rsid w:val="001C6730"/>
    <w:rsid w:val="002321E6"/>
    <w:rsid w:val="002555C2"/>
    <w:rsid w:val="002739E0"/>
    <w:rsid w:val="00282182"/>
    <w:rsid w:val="00283B04"/>
    <w:rsid w:val="00296438"/>
    <w:rsid w:val="00297D42"/>
    <w:rsid w:val="002A30A3"/>
    <w:rsid w:val="002A5819"/>
    <w:rsid w:val="002B63F5"/>
    <w:rsid w:val="002C07B5"/>
    <w:rsid w:val="002C131A"/>
    <w:rsid w:val="002C2471"/>
    <w:rsid w:val="002C5C5A"/>
    <w:rsid w:val="002D16A1"/>
    <w:rsid w:val="002E0180"/>
    <w:rsid w:val="002E07B2"/>
    <w:rsid w:val="002E3358"/>
    <w:rsid w:val="002F1997"/>
    <w:rsid w:val="002F4F58"/>
    <w:rsid w:val="002F5A5F"/>
    <w:rsid w:val="002F7A7D"/>
    <w:rsid w:val="00312EE7"/>
    <w:rsid w:val="00331844"/>
    <w:rsid w:val="003349B2"/>
    <w:rsid w:val="00385620"/>
    <w:rsid w:val="00386D0F"/>
    <w:rsid w:val="003A3F8D"/>
    <w:rsid w:val="003A7ED7"/>
    <w:rsid w:val="003C040B"/>
    <w:rsid w:val="003C1B40"/>
    <w:rsid w:val="003C3C3F"/>
    <w:rsid w:val="003C5C50"/>
    <w:rsid w:val="003D073A"/>
    <w:rsid w:val="003D7AE4"/>
    <w:rsid w:val="004048F9"/>
    <w:rsid w:val="00426EB6"/>
    <w:rsid w:val="00432FA4"/>
    <w:rsid w:val="00444270"/>
    <w:rsid w:val="00450688"/>
    <w:rsid w:val="00482CB0"/>
    <w:rsid w:val="0049054B"/>
    <w:rsid w:val="00497FC1"/>
    <w:rsid w:val="004B7CE2"/>
    <w:rsid w:val="004C0ADA"/>
    <w:rsid w:val="004D3C8F"/>
    <w:rsid w:val="004D7DFA"/>
    <w:rsid w:val="004E0B3D"/>
    <w:rsid w:val="004E3A1B"/>
    <w:rsid w:val="00506BF0"/>
    <w:rsid w:val="00511F42"/>
    <w:rsid w:val="00515678"/>
    <w:rsid w:val="005244EC"/>
    <w:rsid w:val="00547428"/>
    <w:rsid w:val="005515F4"/>
    <w:rsid w:val="00553465"/>
    <w:rsid w:val="00565733"/>
    <w:rsid w:val="00565800"/>
    <w:rsid w:val="00567C85"/>
    <w:rsid w:val="005768F7"/>
    <w:rsid w:val="005771B9"/>
    <w:rsid w:val="005832B9"/>
    <w:rsid w:val="005854F6"/>
    <w:rsid w:val="005B4458"/>
    <w:rsid w:val="005B46C1"/>
    <w:rsid w:val="005D4E50"/>
    <w:rsid w:val="005D7B99"/>
    <w:rsid w:val="005E731F"/>
    <w:rsid w:val="00622521"/>
    <w:rsid w:val="00627E79"/>
    <w:rsid w:val="006356DF"/>
    <w:rsid w:val="00637EDB"/>
    <w:rsid w:val="006466A3"/>
    <w:rsid w:val="00653A37"/>
    <w:rsid w:val="00672164"/>
    <w:rsid w:val="0067607E"/>
    <w:rsid w:val="006803C3"/>
    <w:rsid w:val="00681B9B"/>
    <w:rsid w:val="00683DBD"/>
    <w:rsid w:val="00695AD7"/>
    <w:rsid w:val="006D6996"/>
    <w:rsid w:val="0070692A"/>
    <w:rsid w:val="00714115"/>
    <w:rsid w:val="007453C2"/>
    <w:rsid w:val="007623E9"/>
    <w:rsid w:val="00763E9D"/>
    <w:rsid w:val="00763ED4"/>
    <w:rsid w:val="00765950"/>
    <w:rsid w:val="00770970"/>
    <w:rsid w:val="00771A3E"/>
    <w:rsid w:val="007745CF"/>
    <w:rsid w:val="007807A7"/>
    <w:rsid w:val="007B49FC"/>
    <w:rsid w:val="007C348A"/>
    <w:rsid w:val="007D53AB"/>
    <w:rsid w:val="007F7208"/>
    <w:rsid w:val="008042ED"/>
    <w:rsid w:val="00805501"/>
    <w:rsid w:val="00814D07"/>
    <w:rsid w:val="0082392A"/>
    <w:rsid w:val="00825CFC"/>
    <w:rsid w:val="00832C64"/>
    <w:rsid w:val="00835E15"/>
    <w:rsid w:val="00855EFF"/>
    <w:rsid w:val="00856724"/>
    <w:rsid w:val="0086680F"/>
    <w:rsid w:val="00883AD5"/>
    <w:rsid w:val="008B52DE"/>
    <w:rsid w:val="008C69CE"/>
    <w:rsid w:val="008C7308"/>
    <w:rsid w:val="008F5716"/>
    <w:rsid w:val="00925FC4"/>
    <w:rsid w:val="009362D7"/>
    <w:rsid w:val="00947EF1"/>
    <w:rsid w:val="00950079"/>
    <w:rsid w:val="00957169"/>
    <w:rsid w:val="0099615B"/>
    <w:rsid w:val="00997807"/>
    <w:rsid w:val="009B09D0"/>
    <w:rsid w:val="009B12DE"/>
    <w:rsid w:val="00A15258"/>
    <w:rsid w:val="00A161E1"/>
    <w:rsid w:val="00A226B1"/>
    <w:rsid w:val="00A32560"/>
    <w:rsid w:val="00A357B4"/>
    <w:rsid w:val="00A406AE"/>
    <w:rsid w:val="00A46FDB"/>
    <w:rsid w:val="00A47217"/>
    <w:rsid w:val="00A5779B"/>
    <w:rsid w:val="00A73034"/>
    <w:rsid w:val="00A76215"/>
    <w:rsid w:val="00A939F2"/>
    <w:rsid w:val="00A93E08"/>
    <w:rsid w:val="00AC6298"/>
    <w:rsid w:val="00AC76B8"/>
    <w:rsid w:val="00AD35BF"/>
    <w:rsid w:val="00AD38F4"/>
    <w:rsid w:val="00AD4217"/>
    <w:rsid w:val="00AD691D"/>
    <w:rsid w:val="00AD695D"/>
    <w:rsid w:val="00AD7426"/>
    <w:rsid w:val="00B146B4"/>
    <w:rsid w:val="00B3362E"/>
    <w:rsid w:val="00B3430E"/>
    <w:rsid w:val="00B368E6"/>
    <w:rsid w:val="00B57C40"/>
    <w:rsid w:val="00B60705"/>
    <w:rsid w:val="00B60DFC"/>
    <w:rsid w:val="00B63252"/>
    <w:rsid w:val="00B75100"/>
    <w:rsid w:val="00BB1B5B"/>
    <w:rsid w:val="00BB4A2A"/>
    <w:rsid w:val="00BC120D"/>
    <w:rsid w:val="00BC326E"/>
    <w:rsid w:val="00BC7101"/>
    <w:rsid w:val="00BE4FF0"/>
    <w:rsid w:val="00C26A19"/>
    <w:rsid w:val="00C45A7E"/>
    <w:rsid w:val="00C465B2"/>
    <w:rsid w:val="00C555B3"/>
    <w:rsid w:val="00C5560C"/>
    <w:rsid w:val="00C601C8"/>
    <w:rsid w:val="00C754EE"/>
    <w:rsid w:val="00C7587A"/>
    <w:rsid w:val="00C766EC"/>
    <w:rsid w:val="00C97CC8"/>
    <w:rsid w:val="00CA2EDB"/>
    <w:rsid w:val="00CE490F"/>
    <w:rsid w:val="00CF36E0"/>
    <w:rsid w:val="00D12325"/>
    <w:rsid w:val="00D41457"/>
    <w:rsid w:val="00D44F84"/>
    <w:rsid w:val="00D46BC8"/>
    <w:rsid w:val="00D4792E"/>
    <w:rsid w:val="00D52AFE"/>
    <w:rsid w:val="00D53D21"/>
    <w:rsid w:val="00D578A8"/>
    <w:rsid w:val="00D57E02"/>
    <w:rsid w:val="00D60FD2"/>
    <w:rsid w:val="00D655FE"/>
    <w:rsid w:val="00D722B6"/>
    <w:rsid w:val="00D80AEA"/>
    <w:rsid w:val="00E03415"/>
    <w:rsid w:val="00E04036"/>
    <w:rsid w:val="00E04B94"/>
    <w:rsid w:val="00E7485A"/>
    <w:rsid w:val="00E847E5"/>
    <w:rsid w:val="00E91280"/>
    <w:rsid w:val="00E9405F"/>
    <w:rsid w:val="00EA4B5B"/>
    <w:rsid w:val="00EA79A5"/>
    <w:rsid w:val="00EC466F"/>
    <w:rsid w:val="00ED43B1"/>
    <w:rsid w:val="00F133AB"/>
    <w:rsid w:val="00F34593"/>
    <w:rsid w:val="00F46F65"/>
    <w:rsid w:val="00F53E8D"/>
    <w:rsid w:val="00F60131"/>
    <w:rsid w:val="00F725CD"/>
    <w:rsid w:val="00F76E49"/>
    <w:rsid w:val="00F777C4"/>
    <w:rsid w:val="00F95C7F"/>
    <w:rsid w:val="00F95D1F"/>
    <w:rsid w:val="00FA176E"/>
    <w:rsid w:val="00FB72E3"/>
    <w:rsid w:val="00FD4441"/>
    <w:rsid w:val="00FD4B4B"/>
    <w:rsid w:val="00FE356D"/>
    <w:rsid w:val="00FF279A"/>
    <w:rsid w:val="00FF3D91"/>
    <w:rsid w:val="00FF7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31F"/>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5E731F"/>
    <w:pPr>
      <w:keepNext/>
      <w:widowControl/>
      <w:tabs>
        <w:tab w:val="center" w:pos="4680"/>
      </w:tabs>
      <w:outlineLvl w:val="0"/>
    </w:pPr>
    <w:rPr>
      <w:rFonts w:ascii="Times" w:hAnsi="Times" w:cs="Times"/>
      <w:b/>
      <w:bCs/>
      <w:smallCap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31F"/>
    <w:rPr>
      <w:rFonts w:ascii="Times" w:eastAsia="Times New Roman" w:hAnsi="Times" w:cs="Times"/>
      <w:b/>
      <w:bCs/>
      <w:smallCaps/>
      <w:sz w:val="30"/>
      <w:szCs w:val="30"/>
    </w:rPr>
  </w:style>
  <w:style w:type="character" w:styleId="FootnoteReference">
    <w:name w:val="footnote reference"/>
    <w:semiHidden/>
    <w:rsid w:val="005E731F"/>
  </w:style>
  <w:style w:type="paragraph" w:styleId="Footer">
    <w:name w:val="footer"/>
    <w:basedOn w:val="Normal"/>
    <w:link w:val="FooterChar"/>
    <w:rsid w:val="005E731F"/>
    <w:pPr>
      <w:tabs>
        <w:tab w:val="center" w:pos="4320"/>
        <w:tab w:val="right" w:pos="8640"/>
      </w:tabs>
    </w:pPr>
  </w:style>
  <w:style w:type="character" w:customStyle="1" w:styleId="FooterChar">
    <w:name w:val="Footer Char"/>
    <w:basedOn w:val="DefaultParagraphFont"/>
    <w:link w:val="Footer"/>
    <w:rsid w:val="005E731F"/>
    <w:rPr>
      <w:rFonts w:ascii="Courier" w:eastAsia="Times New Roman" w:hAnsi="Courier" w:cs="Times New Roman"/>
      <w:sz w:val="24"/>
      <w:szCs w:val="24"/>
    </w:rPr>
  </w:style>
  <w:style w:type="character" w:styleId="PageNumber">
    <w:name w:val="page number"/>
    <w:basedOn w:val="DefaultParagraphFont"/>
    <w:rsid w:val="005E731F"/>
  </w:style>
  <w:style w:type="paragraph" w:styleId="Header">
    <w:name w:val="header"/>
    <w:basedOn w:val="Normal"/>
    <w:link w:val="HeaderChar"/>
    <w:rsid w:val="005E731F"/>
    <w:pPr>
      <w:tabs>
        <w:tab w:val="center" w:pos="4320"/>
        <w:tab w:val="right" w:pos="8640"/>
      </w:tabs>
    </w:pPr>
  </w:style>
  <w:style w:type="character" w:customStyle="1" w:styleId="HeaderChar">
    <w:name w:val="Header Char"/>
    <w:basedOn w:val="DefaultParagraphFont"/>
    <w:link w:val="Header"/>
    <w:rsid w:val="005E731F"/>
    <w:rPr>
      <w:rFonts w:ascii="Courier" w:eastAsia="Times New Roman" w:hAnsi="Courier" w:cs="Times New Roman"/>
      <w:sz w:val="24"/>
      <w:szCs w:val="24"/>
    </w:rPr>
  </w:style>
  <w:style w:type="paragraph" w:styleId="FootnoteText">
    <w:name w:val="footnote text"/>
    <w:basedOn w:val="Normal"/>
    <w:link w:val="FootnoteTextChar"/>
    <w:semiHidden/>
    <w:rsid w:val="005E731F"/>
    <w:rPr>
      <w:sz w:val="20"/>
      <w:szCs w:val="20"/>
    </w:rPr>
  </w:style>
  <w:style w:type="character" w:customStyle="1" w:styleId="FootnoteTextChar">
    <w:name w:val="Footnote Text Char"/>
    <w:basedOn w:val="DefaultParagraphFont"/>
    <w:link w:val="FootnoteText"/>
    <w:semiHidden/>
    <w:rsid w:val="005E731F"/>
    <w:rPr>
      <w:rFonts w:ascii="Courier" w:eastAsia="Times New Roman" w:hAnsi="Courier" w:cs="Times New Roman"/>
      <w:sz w:val="20"/>
      <w:szCs w:val="20"/>
    </w:rPr>
  </w:style>
  <w:style w:type="character" w:styleId="CommentReference">
    <w:name w:val="annotation reference"/>
    <w:basedOn w:val="DefaultParagraphFont"/>
    <w:semiHidden/>
    <w:rsid w:val="005E731F"/>
    <w:rPr>
      <w:sz w:val="16"/>
      <w:szCs w:val="16"/>
    </w:rPr>
  </w:style>
  <w:style w:type="paragraph" w:styleId="CommentText">
    <w:name w:val="annotation text"/>
    <w:basedOn w:val="Normal"/>
    <w:link w:val="CommentTextChar"/>
    <w:semiHidden/>
    <w:rsid w:val="005E731F"/>
    <w:rPr>
      <w:sz w:val="20"/>
      <w:szCs w:val="20"/>
    </w:rPr>
  </w:style>
  <w:style w:type="character" w:customStyle="1" w:styleId="CommentTextChar">
    <w:name w:val="Comment Text Char"/>
    <w:basedOn w:val="DefaultParagraphFont"/>
    <w:link w:val="CommentText"/>
    <w:semiHidden/>
    <w:rsid w:val="005E731F"/>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5E731F"/>
    <w:rPr>
      <w:rFonts w:ascii="Tahoma" w:hAnsi="Tahoma" w:cs="Tahoma"/>
      <w:sz w:val="16"/>
      <w:szCs w:val="16"/>
    </w:rPr>
  </w:style>
  <w:style w:type="character" w:customStyle="1" w:styleId="BalloonTextChar">
    <w:name w:val="Balloon Text Char"/>
    <w:basedOn w:val="DefaultParagraphFont"/>
    <w:link w:val="BalloonText"/>
    <w:uiPriority w:val="99"/>
    <w:semiHidden/>
    <w:rsid w:val="005E731F"/>
    <w:rPr>
      <w:rFonts w:ascii="Tahoma" w:eastAsia="Times New Roman" w:hAnsi="Tahoma" w:cs="Tahoma"/>
      <w:sz w:val="16"/>
      <w:szCs w:val="16"/>
    </w:rPr>
  </w:style>
  <w:style w:type="character" w:styleId="Hyperlink">
    <w:name w:val="Hyperlink"/>
    <w:basedOn w:val="DefaultParagraphFont"/>
    <w:uiPriority w:val="99"/>
    <w:unhideWhenUsed/>
    <w:rsid w:val="00067345"/>
    <w:rPr>
      <w:color w:val="0000FF" w:themeColor="hyperlink"/>
      <w:u w:val="single"/>
    </w:rPr>
  </w:style>
  <w:style w:type="character" w:styleId="FollowedHyperlink">
    <w:name w:val="FollowedHyperlink"/>
    <w:basedOn w:val="DefaultParagraphFont"/>
    <w:uiPriority w:val="99"/>
    <w:semiHidden/>
    <w:unhideWhenUsed/>
    <w:rsid w:val="0095007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4217"/>
    <w:rPr>
      <w:b/>
      <w:bCs/>
    </w:rPr>
  </w:style>
  <w:style w:type="character" w:customStyle="1" w:styleId="CommentSubjectChar">
    <w:name w:val="Comment Subject Char"/>
    <w:basedOn w:val="CommentTextChar"/>
    <w:link w:val="CommentSubject"/>
    <w:uiPriority w:val="99"/>
    <w:semiHidden/>
    <w:rsid w:val="00AD4217"/>
    <w:rPr>
      <w:b/>
      <w:bCs/>
    </w:rPr>
  </w:style>
  <w:style w:type="paragraph" w:styleId="Revision">
    <w:name w:val="Revision"/>
    <w:hidden/>
    <w:uiPriority w:val="99"/>
    <w:semiHidden/>
    <w:rsid w:val="003D7AE4"/>
    <w:pPr>
      <w:spacing w:after="0" w:line="240" w:lineRule="auto"/>
    </w:pPr>
    <w:rPr>
      <w:rFonts w:ascii="Courier" w:eastAsia="Times New Roman" w:hAnsi="Courier" w:cs="Times New Roman"/>
      <w:sz w:val="24"/>
      <w:szCs w:val="24"/>
    </w:rPr>
  </w:style>
  <w:style w:type="table" w:styleId="TableGrid">
    <w:name w:val="Table Grid"/>
    <w:basedOn w:val="TableNormal"/>
    <w:uiPriority w:val="59"/>
    <w:rsid w:val="00296438"/>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rn.com/abstract_id=1571697" TargetMode="External"/><Relationship Id="rId2" Type="http://schemas.openxmlformats.org/officeDocument/2006/relationships/hyperlink" Target="http://ssrn.com/abstract_id=1758832" TargetMode="External"/><Relationship Id="rId1" Type="http://schemas.openxmlformats.org/officeDocument/2006/relationships/hyperlink" Target="http://www.federalreserve.gov/boarddocs/SnLoan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0D06-6948-449B-8701-3EB49E0A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m1cmv01</dc:creator>
  <cp:lastModifiedBy>m1nsp00</cp:lastModifiedBy>
  <cp:revision>6</cp:revision>
  <cp:lastPrinted>2012-05-18T14:57:00Z</cp:lastPrinted>
  <dcterms:created xsi:type="dcterms:W3CDTF">2012-05-15T13:01:00Z</dcterms:created>
  <dcterms:modified xsi:type="dcterms:W3CDTF">2012-05-18T19:45:00Z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e1c19be9-ce96-416e-aeef-7d0ec7d1c690</vt:lpwstr>
  </property>
</Properties>
</file>