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4F2" w:rsidRPr="00FA353A" w:rsidRDefault="00BE54F2" w:rsidP="0010698C">
      <w:pPr>
        <w:spacing w:after="0" w:line="276" w:lineRule="auto"/>
        <w:rPr>
          <w:rFonts w:ascii="Times New Roman" w:hAnsi="Times New Roman"/>
          <w:b/>
          <w:sz w:val="22"/>
          <w:szCs w:val="22"/>
        </w:rPr>
      </w:pPr>
      <w:r>
        <w:rPr>
          <w:rFonts w:ascii="Times New Roman" w:hAnsi="Times New Roman"/>
          <w:b/>
          <w:sz w:val="22"/>
          <w:szCs w:val="22"/>
        </w:rPr>
        <w:t>OMB Supporting Statement A</w:t>
      </w:r>
    </w:p>
    <w:p w:rsidR="00BE54F2" w:rsidRDefault="00BE54F2" w:rsidP="0010698C">
      <w:pPr>
        <w:spacing w:after="0" w:line="276" w:lineRule="auto"/>
        <w:rPr>
          <w:rFonts w:ascii="Times New Roman" w:hAnsi="Times New Roman"/>
          <w:b/>
          <w:sz w:val="22"/>
          <w:szCs w:val="22"/>
        </w:rPr>
      </w:pPr>
      <w:r w:rsidRPr="001E624D">
        <w:rPr>
          <w:rFonts w:ascii="Times New Roman" w:hAnsi="Times New Roman"/>
          <w:b/>
          <w:sz w:val="22"/>
          <w:szCs w:val="22"/>
        </w:rPr>
        <w:t xml:space="preserve">IMLS </w:t>
      </w:r>
      <w:r>
        <w:rPr>
          <w:rFonts w:ascii="Times New Roman" w:hAnsi="Times New Roman"/>
          <w:b/>
          <w:sz w:val="22"/>
          <w:szCs w:val="22"/>
        </w:rPr>
        <w:t xml:space="preserve">Study of the Sustainability of </w:t>
      </w:r>
      <w:r w:rsidRPr="001E624D">
        <w:rPr>
          <w:rFonts w:ascii="Times New Roman" w:hAnsi="Times New Roman"/>
          <w:b/>
          <w:sz w:val="22"/>
          <w:szCs w:val="22"/>
        </w:rPr>
        <w:t xml:space="preserve">Digitized Special Collections </w:t>
      </w:r>
    </w:p>
    <w:p w:rsidR="00574564" w:rsidRPr="00FA353A" w:rsidRDefault="00574564" w:rsidP="0010698C">
      <w:pPr>
        <w:spacing w:after="0" w:line="276" w:lineRule="auto"/>
        <w:rPr>
          <w:rFonts w:ascii="Times New Roman" w:hAnsi="Times New Roman"/>
          <w:b/>
          <w:sz w:val="22"/>
          <w:szCs w:val="22"/>
        </w:rPr>
      </w:pPr>
    </w:p>
    <w:p w:rsidR="00574564" w:rsidRPr="00FA353A" w:rsidRDefault="001E624D" w:rsidP="0010698C">
      <w:pPr>
        <w:spacing w:after="0" w:line="276" w:lineRule="auto"/>
        <w:rPr>
          <w:rFonts w:ascii="Times New Roman" w:hAnsi="Times New Roman"/>
          <w:b/>
          <w:sz w:val="22"/>
          <w:szCs w:val="22"/>
        </w:rPr>
      </w:pPr>
      <w:r w:rsidRPr="001E624D">
        <w:rPr>
          <w:rFonts w:ascii="Times New Roman" w:hAnsi="Times New Roman"/>
          <w:b/>
          <w:sz w:val="22"/>
          <w:szCs w:val="22"/>
        </w:rPr>
        <w:t>Part A: Justification</w:t>
      </w:r>
    </w:p>
    <w:p w:rsidR="00574564" w:rsidRPr="00FA353A" w:rsidRDefault="00574564" w:rsidP="0010698C">
      <w:pPr>
        <w:spacing w:after="0" w:line="276" w:lineRule="auto"/>
        <w:rPr>
          <w:rFonts w:ascii="Times New Roman" w:hAnsi="Times New Roman"/>
          <w:b/>
          <w:sz w:val="22"/>
          <w:szCs w:val="22"/>
        </w:rPr>
      </w:pPr>
    </w:p>
    <w:p w:rsidR="00574564" w:rsidRPr="00FA353A" w:rsidRDefault="001E624D" w:rsidP="0010698C">
      <w:pPr>
        <w:spacing w:after="0" w:line="276" w:lineRule="auto"/>
        <w:rPr>
          <w:rFonts w:ascii="Times New Roman" w:hAnsi="Times New Roman"/>
          <w:b/>
          <w:sz w:val="22"/>
          <w:szCs w:val="22"/>
        </w:rPr>
      </w:pPr>
      <w:r w:rsidRPr="001E624D">
        <w:rPr>
          <w:rFonts w:ascii="Times New Roman" w:hAnsi="Times New Roman"/>
          <w:b/>
          <w:sz w:val="22"/>
          <w:szCs w:val="22"/>
        </w:rPr>
        <w:t>A1 Circumstances Requiring Collection of Information</w:t>
      </w:r>
    </w:p>
    <w:p w:rsidR="00574564" w:rsidRPr="00FA353A" w:rsidRDefault="001E624D" w:rsidP="0010698C">
      <w:pPr>
        <w:spacing w:after="0" w:line="276" w:lineRule="auto"/>
        <w:rPr>
          <w:rFonts w:ascii="Times New Roman" w:hAnsi="Times New Roman"/>
          <w:sz w:val="22"/>
          <w:szCs w:val="22"/>
        </w:rPr>
      </w:pPr>
      <w:r w:rsidRPr="001E624D">
        <w:rPr>
          <w:rFonts w:ascii="Times New Roman" w:hAnsi="Times New Roman"/>
          <w:sz w:val="22"/>
          <w:szCs w:val="22"/>
        </w:rPr>
        <w:t>Over the past decade, public and private funders, universities, research libraries, archives, and other entities have invested tens of millions of dollars in the digitization of rare and unique holdings held by the nation’s libra</w:t>
      </w:r>
      <w:r w:rsidR="009D52C0">
        <w:rPr>
          <w:rFonts w:ascii="Times New Roman" w:hAnsi="Times New Roman"/>
          <w:sz w:val="22"/>
          <w:szCs w:val="22"/>
        </w:rPr>
        <w:t xml:space="preserve">ries and cultural institutions – </w:t>
      </w:r>
      <w:r w:rsidRPr="001E624D">
        <w:rPr>
          <w:rFonts w:ascii="Times New Roman" w:hAnsi="Times New Roman"/>
          <w:sz w:val="22"/>
          <w:szCs w:val="22"/>
        </w:rPr>
        <w:t xml:space="preserve">sometimes referred to as “special collections” content. The Institute of Museum and Library Services’ (IMLS) National Leadership Grants (NLG) program specifically supports projects that improve museum, archives, and library practices within the context of national strategic initiatives. Awards in the Advancing Digital Resources strand, for example, support “the creation, use, presentation, and preservation of significant digital resources as well as the development of tools to enhance access, use, and management of digital assets.” </w:t>
      </w:r>
    </w:p>
    <w:p w:rsidR="00574564" w:rsidRPr="00FA353A" w:rsidRDefault="00574564" w:rsidP="0010698C">
      <w:pPr>
        <w:spacing w:after="0" w:line="276" w:lineRule="auto"/>
        <w:rPr>
          <w:rFonts w:ascii="Times New Roman" w:hAnsi="Times New Roman"/>
          <w:sz w:val="22"/>
          <w:szCs w:val="22"/>
        </w:rPr>
      </w:pPr>
    </w:p>
    <w:p w:rsidR="00574564" w:rsidRPr="00FA353A" w:rsidRDefault="001E624D" w:rsidP="0010698C">
      <w:pPr>
        <w:spacing w:after="0" w:line="276" w:lineRule="auto"/>
        <w:rPr>
          <w:rFonts w:ascii="Times New Roman" w:hAnsi="Times New Roman"/>
          <w:sz w:val="22"/>
          <w:szCs w:val="22"/>
        </w:rPr>
      </w:pPr>
      <w:r w:rsidRPr="001E624D">
        <w:rPr>
          <w:rFonts w:ascii="Times New Roman" w:hAnsi="Times New Roman"/>
          <w:sz w:val="22"/>
          <w:szCs w:val="22"/>
        </w:rPr>
        <w:t xml:space="preserve">While many grantees use these IMLS funds to digitize content (whether from print, film, or audio originals), and while the act of digitization itself constitutes a significant step toward ensuring the long-term availability of this content, much less attention has been paid to the ongoing activities and costs needed in order to keep this digitized rare and unique content up-to-date, accessible, and valuable to users once it has been </w:t>
      </w:r>
      <w:r w:rsidR="008C4967">
        <w:rPr>
          <w:rFonts w:ascii="Times New Roman" w:hAnsi="Times New Roman"/>
          <w:sz w:val="22"/>
          <w:szCs w:val="22"/>
        </w:rPr>
        <w:t>convert</w:t>
      </w:r>
      <w:r w:rsidRPr="001E624D">
        <w:rPr>
          <w:rFonts w:ascii="Times New Roman" w:hAnsi="Times New Roman"/>
          <w:sz w:val="22"/>
          <w:szCs w:val="22"/>
        </w:rPr>
        <w:t xml:space="preserve">ed. Past research conducted by </w:t>
      </w:r>
      <w:proofErr w:type="spellStart"/>
      <w:r w:rsidRPr="001E624D">
        <w:rPr>
          <w:rFonts w:ascii="Times New Roman" w:hAnsi="Times New Roman"/>
          <w:sz w:val="22"/>
          <w:szCs w:val="22"/>
        </w:rPr>
        <w:t>Ithaka</w:t>
      </w:r>
      <w:proofErr w:type="spellEnd"/>
      <w:r w:rsidRPr="001E624D">
        <w:rPr>
          <w:rFonts w:ascii="Times New Roman" w:hAnsi="Times New Roman"/>
          <w:sz w:val="22"/>
          <w:szCs w:val="22"/>
        </w:rPr>
        <w:t xml:space="preserve"> S+R, including the report </w:t>
      </w:r>
      <w:r w:rsidRPr="001E624D">
        <w:rPr>
          <w:rFonts w:ascii="Times New Roman" w:hAnsi="Times New Roman"/>
          <w:i/>
          <w:sz w:val="22"/>
          <w:szCs w:val="22"/>
        </w:rPr>
        <w:t>Sustaining Digital Resources: An On-the-Ground View of Projects Today</w:t>
      </w:r>
      <w:r w:rsidRPr="001E624D">
        <w:rPr>
          <w:rFonts w:ascii="Times New Roman" w:hAnsi="Times New Roman"/>
          <w:sz w:val="22"/>
          <w:szCs w:val="22"/>
        </w:rPr>
        <w:t xml:space="preserve"> (2009), helped to identify a series of activities that universities, libraries, museums, and other cultural institutions have used to enhance the digital projects they have created. These activities range from intensive research on the needs of users of these resources, to developing creative cost management strategies and partnerships, to seeking external sources of revenue.</w:t>
      </w:r>
    </w:p>
    <w:p w:rsidR="00574564" w:rsidRPr="00FA353A" w:rsidRDefault="00574564" w:rsidP="0010698C">
      <w:pPr>
        <w:spacing w:after="0" w:line="276" w:lineRule="auto"/>
        <w:rPr>
          <w:rFonts w:ascii="Times New Roman" w:hAnsi="Times New Roman"/>
          <w:sz w:val="22"/>
          <w:szCs w:val="22"/>
        </w:rPr>
      </w:pPr>
    </w:p>
    <w:p w:rsidR="00574564" w:rsidRPr="00FA353A" w:rsidRDefault="001E624D" w:rsidP="0010698C">
      <w:pPr>
        <w:spacing w:line="276" w:lineRule="auto"/>
        <w:rPr>
          <w:rFonts w:ascii="Times New Roman" w:hAnsi="Times New Roman"/>
          <w:sz w:val="22"/>
          <w:szCs w:val="22"/>
        </w:rPr>
      </w:pPr>
      <w:proofErr w:type="spellStart"/>
      <w:r w:rsidRPr="00001ED7">
        <w:rPr>
          <w:rFonts w:ascii="Times New Roman" w:hAnsi="Times New Roman"/>
          <w:sz w:val="22"/>
          <w:szCs w:val="22"/>
        </w:rPr>
        <w:t>Ithaka</w:t>
      </w:r>
      <w:proofErr w:type="spellEnd"/>
      <w:r w:rsidRPr="00001ED7">
        <w:rPr>
          <w:rFonts w:ascii="Times New Roman" w:hAnsi="Times New Roman"/>
          <w:sz w:val="22"/>
          <w:szCs w:val="22"/>
        </w:rPr>
        <w:t xml:space="preserve"> S+R’s and </w:t>
      </w:r>
      <w:r w:rsidR="00AC50C0">
        <w:rPr>
          <w:rFonts w:ascii="Times New Roman" w:hAnsi="Times New Roman"/>
          <w:sz w:val="22"/>
          <w:szCs w:val="22"/>
        </w:rPr>
        <w:t xml:space="preserve">the </w:t>
      </w:r>
      <w:r w:rsidR="00001ED7" w:rsidRPr="00001ED7">
        <w:rPr>
          <w:rFonts w:ascii="Times New Roman" w:hAnsi="Times New Roman"/>
          <w:bCs/>
          <w:sz w:val="22"/>
          <w:szCs w:val="22"/>
        </w:rPr>
        <w:t>Association of Research Libraries</w:t>
      </w:r>
      <w:r w:rsidR="00AC50C0">
        <w:rPr>
          <w:rFonts w:ascii="Times New Roman" w:hAnsi="Times New Roman"/>
          <w:bCs/>
          <w:sz w:val="22"/>
          <w:szCs w:val="22"/>
        </w:rPr>
        <w:t>’</w:t>
      </w:r>
      <w:r w:rsidR="00AC50C0">
        <w:rPr>
          <w:rFonts w:ascii="Times New Roman" w:hAnsi="Times New Roman"/>
          <w:sz w:val="22"/>
          <w:szCs w:val="22"/>
        </w:rPr>
        <w:t xml:space="preserve"> (ARL)</w:t>
      </w:r>
      <w:r w:rsidRPr="001E624D">
        <w:rPr>
          <w:rFonts w:ascii="Times New Roman" w:hAnsi="Times New Roman"/>
          <w:sz w:val="22"/>
          <w:szCs w:val="22"/>
        </w:rPr>
        <w:t xml:space="preserve"> past research on this topic has shown that a failure to engage in these activities puts the original investment in scanning rare and unique content at risk. In some cases, if universities, libraries, museums, and other entities cannot successfully support the ongoing costs and activities needed for digitized content, a project within the institution might be shu</w:t>
      </w:r>
      <w:r w:rsidR="008C4967">
        <w:rPr>
          <w:rFonts w:ascii="Times New Roman" w:hAnsi="Times New Roman"/>
          <w:sz w:val="22"/>
          <w:szCs w:val="22"/>
        </w:rPr>
        <w:t>t down altogether, leaving the digitiz</w:t>
      </w:r>
      <w:r w:rsidRPr="001E624D">
        <w:rPr>
          <w:rFonts w:ascii="Times New Roman" w:hAnsi="Times New Roman"/>
          <w:sz w:val="22"/>
          <w:szCs w:val="22"/>
        </w:rPr>
        <w:t>ed content inaccessible to users. A less dramatic, but equally wasteful outcome, is that a great deal of digital content is created, but without proper attention to ongoing investment, placed online in such a way that few users can easily find and access the content in digital form, and few users find the content to be meaningful for their research, educational, or other purposes (because of outdated contextual information, non-functioning interface components, or other factors).</w:t>
      </w:r>
    </w:p>
    <w:p w:rsidR="004932E7" w:rsidRPr="00FA353A" w:rsidRDefault="00274588" w:rsidP="0010698C">
      <w:pPr>
        <w:pStyle w:val="ListParagraph"/>
        <w:spacing w:line="276" w:lineRule="auto"/>
        <w:ind w:left="0"/>
        <w:rPr>
          <w:rFonts w:ascii="Times New Roman" w:hAnsi="Times New Roman"/>
        </w:rPr>
      </w:pPr>
      <w:r>
        <w:rPr>
          <w:rFonts w:ascii="Times New Roman" w:hAnsi="Times New Roman"/>
        </w:rPr>
        <w:t xml:space="preserve">ARL, in partnership with </w:t>
      </w:r>
      <w:proofErr w:type="spellStart"/>
      <w:r>
        <w:rPr>
          <w:rFonts w:ascii="Times New Roman" w:hAnsi="Times New Roman"/>
        </w:rPr>
        <w:t>Ithaka</w:t>
      </w:r>
      <w:proofErr w:type="spellEnd"/>
      <w:r>
        <w:rPr>
          <w:rFonts w:ascii="Times New Roman" w:hAnsi="Times New Roman"/>
        </w:rPr>
        <w:t xml:space="preserve"> S+R, will engage in a study, funded by IMLS, to understand the </w:t>
      </w:r>
      <w:r w:rsidR="001E624D" w:rsidRPr="001E624D">
        <w:rPr>
          <w:rFonts w:ascii="Times New Roman" w:hAnsi="Times New Roman"/>
        </w:rPr>
        <w:t>range of activities and costs that libraries and cultural institutions currently undertake to create, manage, enhance</w:t>
      </w:r>
      <w:r w:rsidR="008C4967">
        <w:rPr>
          <w:rFonts w:ascii="Times New Roman" w:hAnsi="Times New Roman"/>
        </w:rPr>
        <w:t>,</w:t>
      </w:r>
      <w:r w:rsidR="001E624D" w:rsidRPr="001E624D">
        <w:rPr>
          <w:rFonts w:ascii="Times New Roman" w:hAnsi="Times New Roman"/>
        </w:rPr>
        <w:t xml:space="preserve"> and preserve digitized rare and unique content on an ongoing basi</w:t>
      </w:r>
      <w:r w:rsidR="008C4967">
        <w:rPr>
          <w:rFonts w:ascii="Times New Roman" w:hAnsi="Times New Roman"/>
        </w:rPr>
        <w:t xml:space="preserve">s. </w:t>
      </w:r>
      <w:r>
        <w:rPr>
          <w:rFonts w:ascii="Times New Roman" w:hAnsi="Times New Roman"/>
        </w:rPr>
        <w:t xml:space="preserve">By better understanding  how sustainable projects are created and developed over time, we hope to </w:t>
      </w:r>
      <w:r w:rsidR="00A41B93">
        <w:rPr>
          <w:rFonts w:ascii="Times New Roman" w:hAnsi="Times New Roman"/>
        </w:rPr>
        <w:t xml:space="preserve"> identify</w:t>
      </w:r>
      <w:r w:rsidR="001E624D" w:rsidRPr="001E624D">
        <w:rPr>
          <w:rFonts w:ascii="Times New Roman" w:hAnsi="Times New Roman"/>
        </w:rPr>
        <w:t xml:space="preserve"> trends that will be important to those in the academic and cultural heritage communities who manage digitized collections, as well as to those who fund them. </w:t>
      </w:r>
    </w:p>
    <w:p w:rsidR="004932E7" w:rsidRPr="00FA353A" w:rsidRDefault="004932E7" w:rsidP="0010698C">
      <w:pPr>
        <w:spacing w:after="0" w:line="276" w:lineRule="auto"/>
        <w:rPr>
          <w:rFonts w:ascii="Times New Roman" w:hAnsi="Times New Roman"/>
          <w:sz w:val="22"/>
          <w:szCs w:val="22"/>
        </w:rPr>
      </w:pPr>
    </w:p>
    <w:p w:rsidR="00274588" w:rsidRDefault="00274588">
      <w:pPr>
        <w:pStyle w:val="ListParagraph"/>
        <w:spacing w:line="276" w:lineRule="auto"/>
        <w:ind w:left="0"/>
        <w:rPr>
          <w:rFonts w:ascii="Times New Roman" w:hAnsi="Times New Roman"/>
        </w:rPr>
      </w:pPr>
      <w:r>
        <w:rPr>
          <w:rFonts w:ascii="Times New Roman" w:hAnsi="Times New Roman"/>
        </w:rPr>
        <w:lastRenderedPageBreak/>
        <w:t>IMLS’ support of this study is authorized by the Museum and Library Services act of 2010, which requires the Instit</w:t>
      </w:r>
      <w:r w:rsidR="00636F9D">
        <w:rPr>
          <w:rFonts w:ascii="Times New Roman" w:hAnsi="Times New Roman"/>
        </w:rPr>
        <w:t>ut</w:t>
      </w:r>
      <w:r>
        <w:rPr>
          <w:rFonts w:ascii="Times New Roman" w:hAnsi="Times New Roman"/>
        </w:rPr>
        <w:t>e to conduct policy research, analysis and data collection in order to (1) inde</w:t>
      </w:r>
      <w:r w:rsidR="00636F9D">
        <w:rPr>
          <w:rFonts w:ascii="Times New Roman" w:hAnsi="Times New Roman"/>
        </w:rPr>
        <w:t>ntify national needs for and trend</w:t>
      </w:r>
      <w:r>
        <w:rPr>
          <w:rFonts w:ascii="Times New Roman" w:hAnsi="Times New Roman"/>
        </w:rPr>
        <w:t>s in museum, library and information</w:t>
      </w:r>
      <w:r w:rsidR="00636F9D">
        <w:rPr>
          <w:rFonts w:ascii="Times New Roman" w:hAnsi="Times New Roman"/>
        </w:rPr>
        <w:t xml:space="preserve"> serv</w:t>
      </w:r>
      <w:r>
        <w:rPr>
          <w:rFonts w:ascii="Times New Roman" w:hAnsi="Times New Roman"/>
        </w:rPr>
        <w:t>ices; (2) meas</w:t>
      </w:r>
      <w:r w:rsidR="00636F9D">
        <w:rPr>
          <w:rFonts w:ascii="Times New Roman" w:hAnsi="Times New Roman"/>
        </w:rPr>
        <w:t>ure and report on the impact an</w:t>
      </w:r>
      <w:r>
        <w:rPr>
          <w:rFonts w:ascii="Times New Roman" w:hAnsi="Times New Roman"/>
        </w:rPr>
        <w:t>d</w:t>
      </w:r>
      <w:r w:rsidR="00636F9D">
        <w:rPr>
          <w:rFonts w:ascii="Times New Roman" w:hAnsi="Times New Roman"/>
        </w:rPr>
        <w:t xml:space="preserve"> </w:t>
      </w:r>
      <w:r>
        <w:rPr>
          <w:rFonts w:ascii="Times New Roman" w:hAnsi="Times New Roman"/>
        </w:rPr>
        <w:t>effectivenes</w:t>
      </w:r>
      <w:r w:rsidR="00636F9D">
        <w:rPr>
          <w:rFonts w:ascii="Times New Roman" w:hAnsi="Times New Roman"/>
        </w:rPr>
        <w:t>s</w:t>
      </w:r>
      <w:r>
        <w:rPr>
          <w:rFonts w:ascii="Times New Roman" w:hAnsi="Times New Roman"/>
        </w:rPr>
        <w:t xml:space="preserve"> of museum, library, and information services throughout the United States, including the impact of Federal programs authorized under this Act; (3) identify best practices; and (4) develop plans to improve museum, library, and information</w:t>
      </w:r>
      <w:r w:rsidR="00636F9D">
        <w:rPr>
          <w:rFonts w:ascii="Times New Roman" w:hAnsi="Times New Roman"/>
        </w:rPr>
        <w:t xml:space="preserve"> services </w:t>
      </w:r>
      <w:r>
        <w:rPr>
          <w:rFonts w:ascii="Times New Roman" w:hAnsi="Times New Roman"/>
        </w:rPr>
        <w:t>o</w:t>
      </w:r>
      <w:r w:rsidR="00636F9D">
        <w:rPr>
          <w:rFonts w:ascii="Times New Roman" w:hAnsi="Times New Roman"/>
        </w:rPr>
        <w:t>f</w:t>
      </w:r>
      <w:r>
        <w:rPr>
          <w:rFonts w:ascii="Times New Roman" w:hAnsi="Times New Roman"/>
        </w:rPr>
        <w:t xml:space="preserve"> the United States and to strengthen national,</w:t>
      </w:r>
      <w:r w:rsidR="00636F9D">
        <w:rPr>
          <w:rFonts w:ascii="Times New Roman" w:hAnsi="Times New Roman"/>
        </w:rPr>
        <w:t xml:space="preserve"> state, local, regio</w:t>
      </w:r>
      <w:r>
        <w:rPr>
          <w:rFonts w:ascii="Times New Roman" w:hAnsi="Times New Roman"/>
        </w:rPr>
        <w:t>nal, and international communications and cooperative networks. (20</w:t>
      </w:r>
      <w:r w:rsidR="00636F9D">
        <w:rPr>
          <w:rFonts w:ascii="Times New Roman" w:hAnsi="Times New Roman"/>
        </w:rPr>
        <w:t xml:space="preserve"> </w:t>
      </w:r>
      <w:r>
        <w:rPr>
          <w:rFonts w:ascii="Times New Roman" w:hAnsi="Times New Roman"/>
        </w:rPr>
        <w:t>U.S.C. § 9108)</w:t>
      </w:r>
    </w:p>
    <w:p w:rsidR="00274588" w:rsidRDefault="00274588">
      <w:pPr>
        <w:pStyle w:val="ListParagraph"/>
        <w:spacing w:line="276" w:lineRule="auto"/>
        <w:ind w:left="0"/>
        <w:rPr>
          <w:rFonts w:ascii="Times New Roman" w:hAnsi="Times New Roman"/>
        </w:rPr>
      </w:pPr>
    </w:p>
    <w:p w:rsidR="00783F4E" w:rsidRDefault="00274588">
      <w:pPr>
        <w:pStyle w:val="ListParagraph"/>
        <w:spacing w:line="276" w:lineRule="auto"/>
        <w:ind w:left="0"/>
        <w:rPr>
          <w:rFonts w:ascii="Times New Roman" w:hAnsi="Times New Roman"/>
        </w:rPr>
      </w:pPr>
      <w:r w:rsidRPr="008E333A">
        <w:rPr>
          <w:rFonts w:ascii="Times New Roman" w:eastAsia="Times New Roman" w:hAnsi="Times New Roman"/>
        </w:rPr>
        <w:t>This study will identify and examine 8 case studies of a specific type of digital resource, digitized special collections.</w:t>
      </w:r>
      <w:r w:rsidRPr="008E333A">
        <w:rPr>
          <w:rStyle w:val="FootnoteReference"/>
          <w:rFonts w:ascii="Times New Roman" w:eastAsia="Times New Roman" w:hAnsi="Times New Roman"/>
        </w:rPr>
        <w:footnoteReference w:id="1"/>
      </w:r>
      <w:r w:rsidRPr="008E333A">
        <w:rPr>
          <w:rFonts w:ascii="Times New Roman" w:eastAsia="Times New Roman" w:hAnsi="Times New Roman"/>
        </w:rPr>
        <w:t xml:space="preserve"> </w:t>
      </w:r>
      <w:r w:rsidR="00636F9D">
        <w:rPr>
          <w:rFonts w:ascii="Times New Roman" w:eastAsia="Times New Roman" w:hAnsi="Times New Roman"/>
        </w:rPr>
        <w:t>The project team w</w:t>
      </w:r>
      <w:r w:rsidRPr="008E333A">
        <w:rPr>
          <w:rFonts w:ascii="Times New Roman" w:eastAsia="Times New Roman" w:hAnsi="Times New Roman"/>
        </w:rPr>
        <w:t>ill identify examples of digitized special collections that show evidence of being sustainability “success stories”, that is, projects that demonstrate the elements we define as con</w:t>
      </w:r>
      <w:r w:rsidR="00636F9D">
        <w:rPr>
          <w:rFonts w:ascii="Times New Roman" w:eastAsia="Times New Roman" w:hAnsi="Times New Roman"/>
        </w:rPr>
        <w:t>stituting a sustainable project: longevity, financial stability, and evidence of a strong user base.</w:t>
      </w:r>
      <w:r w:rsidRPr="008E333A">
        <w:rPr>
          <w:rFonts w:ascii="Times New Roman" w:eastAsia="Times New Roman" w:hAnsi="Times New Roman"/>
        </w:rPr>
        <w:t xml:space="preserve"> By starting with “success” cases, we hope to be able to better understand the process </w:t>
      </w:r>
      <w:r w:rsidR="00636F9D">
        <w:rPr>
          <w:rFonts w:ascii="Times New Roman" w:eastAsia="Times New Roman" w:hAnsi="Times New Roman"/>
        </w:rPr>
        <w:t>taken to achieve these outcomes and to also p</w:t>
      </w:r>
      <w:r w:rsidR="00636F9D" w:rsidRPr="008E333A">
        <w:rPr>
          <w:rFonts w:ascii="Times New Roman" w:eastAsia="Times New Roman" w:hAnsi="Times New Roman"/>
        </w:rPr>
        <w:t>rovide useful models for the community to observe, emulate, challenge, and imp</w:t>
      </w:r>
      <w:r w:rsidR="00636F9D">
        <w:rPr>
          <w:rFonts w:ascii="Times New Roman" w:eastAsia="Times New Roman" w:hAnsi="Times New Roman"/>
        </w:rPr>
        <w:t xml:space="preserve">rove upon. </w:t>
      </w:r>
      <w:r w:rsidRPr="008E333A">
        <w:rPr>
          <w:rFonts w:ascii="Times New Roman" w:eastAsia="Times New Roman" w:hAnsi="Times New Roman"/>
        </w:rPr>
        <w:t xml:space="preserve"> </w:t>
      </w:r>
    </w:p>
    <w:p w:rsidR="007C21BB" w:rsidRDefault="007C21BB">
      <w:pPr>
        <w:spacing w:after="0" w:line="276" w:lineRule="auto"/>
        <w:rPr>
          <w:rFonts w:ascii="Times New Roman" w:hAnsi="Times New Roman"/>
          <w:sz w:val="22"/>
          <w:szCs w:val="22"/>
        </w:rPr>
      </w:pPr>
    </w:p>
    <w:p w:rsidR="007C21BB" w:rsidRDefault="001E624D">
      <w:pPr>
        <w:spacing w:after="0" w:line="276" w:lineRule="auto"/>
        <w:rPr>
          <w:rFonts w:ascii="Times New Roman" w:hAnsi="Times New Roman"/>
          <w:b/>
          <w:sz w:val="22"/>
          <w:szCs w:val="22"/>
        </w:rPr>
      </w:pPr>
      <w:r w:rsidRPr="001E624D">
        <w:rPr>
          <w:rFonts w:ascii="Times New Roman" w:hAnsi="Times New Roman"/>
          <w:b/>
          <w:sz w:val="22"/>
          <w:szCs w:val="22"/>
        </w:rPr>
        <w:t>A2 Indicate How, by Whom, and for What Purpose the Information Is to Be Used</w:t>
      </w:r>
    </w:p>
    <w:p w:rsidR="00636F9D" w:rsidRDefault="001E624D">
      <w:pPr>
        <w:spacing w:after="0" w:line="276" w:lineRule="auto"/>
        <w:rPr>
          <w:rFonts w:ascii="Times New Roman" w:hAnsi="Times New Roman"/>
          <w:sz w:val="22"/>
          <w:szCs w:val="22"/>
        </w:rPr>
      </w:pPr>
      <w:r w:rsidRPr="001E624D">
        <w:rPr>
          <w:rFonts w:ascii="Times New Roman" w:hAnsi="Times New Roman"/>
          <w:sz w:val="22"/>
          <w:szCs w:val="22"/>
        </w:rPr>
        <w:t xml:space="preserve">The Institute for Museum and Library Services will use the results from this </w:t>
      </w:r>
      <w:r w:rsidR="00636F9D" w:rsidRPr="001E624D">
        <w:rPr>
          <w:rFonts w:ascii="Times New Roman" w:hAnsi="Times New Roman"/>
          <w:sz w:val="22"/>
          <w:szCs w:val="22"/>
        </w:rPr>
        <w:t>s</w:t>
      </w:r>
      <w:r w:rsidR="00636F9D">
        <w:rPr>
          <w:rFonts w:ascii="Times New Roman" w:hAnsi="Times New Roman"/>
          <w:sz w:val="22"/>
          <w:szCs w:val="22"/>
        </w:rPr>
        <w:t>tudy</w:t>
      </w:r>
      <w:r w:rsidR="00636F9D" w:rsidRPr="001E624D">
        <w:rPr>
          <w:rFonts w:ascii="Times New Roman" w:hAnsi="Times New Roman"/>
          <w:sz w:val="22"/>
          <w:szCs w:val="22"/>
        </w:rPr>
        <w:t xml:space="preserve"> </w:t>
      </w:r>
      <w:r w:rsidRPr="001E624D">
        <w:rPr>
          <w:rFonts w:ascii="Times New Roman" w:hAnsi="Times New Roman"/>
          <w:sz w:val="22"/>
          <w:szCs w:val="22"/>
        </w:rPr>
        <w:t xml:space="preserve">to gain a high-level understanding of the operations and sustainability efforts that </w:t>
      </w:r>
      <w:r w:rsidRPr="0060168F">
        <w:rPr>
          <w:rFonts w:ascii="Times New Roman" w:hAnsi="Times New Roman"/>
          <w:sz w:val="22"/>
          <w:szCs w:val="22"/>
        </w:rPr>
        <w:t>libraries</w:t>
      </w:r>
      <w:r w:rsidRPr="001E624D">
        <w:rPr>
          <w:rFonts w:ascii="Times New Roman" w:hAnsi="Times New Roman"/>
          <w:sz w:val="22"/>
          <w:szCs w:val="22"/>
        </w:rPr>
        <w:t xml:space="preserve"> </w:t>
      </w:r>
      <w:r w:rsidR="0060168F">
        <w:rPr>
          <w:rFonts w:ascii="Times New Roman" w:hAnsi="Times New Roman"/>
          <w:sz w:val="22"/>
          <w:szCs w:val="22"/>
        </w:rPr>
        <w:t xml:space="preserve">and cultural institutions </w:t>
      </w:r>
      <w:r w:rsidRPr="001E624D">
        <w:rPr>
          <w:rFonts w:ascii="Times New Roman" w:hAnsi="Times New Roman"/>
          <w:sz w:val="22"/>
          <w:szCs w:val="22"/>
        </w:rPr>
        <w:t>employ for their digitized special collection and to identify trends in best practice that could be used to inform IMLS’ grant-making programs for digital resources, and to advise their current and future grantees.</w:t>
      </w:r>
    </w:p>
    <w:p w:rsidR="00636F9D" w:rsidRDefault="00636F9D">
      <w:pPr>
        <w:spacing w:after="0" w:line="276" w:lineRule="auto"/>
        <w:rPr>
          <w:rFonts w:ascii="Times New Roman" w:hAnsi="Times New Roman"/>
          <w:sz w:val="22"/>
          <w:szCs w:val="22"/>
        </w:rPr>
      </w:pPr>
    </w:p>
    <w:p w:rsidR="003F083C" w:rsidRPr="00FA353A" w:rsidRDefault="001E624D">
      <w:pPr>
        <w:spacing w:after="0" w:line="276" w:lineRule="auto"/>
        <w:rPr>
          <w:rFonts w:ascii="Times New Roman" w:hAnsi="Times New Roman"/>
          <w:sz w:val="22"/>
          <w:szCs w:val="22"/>
        </w:rPr>
      </w:pPr>
      <w:r w:rsidRPr="001E624D">
        <w:rPr>
          <w:rFonts w:ascii="Times New Roman" w:hAnsi="Times New Roman"/>
          <w:sz w:val="22"/>
          <w:szCs w:val="22"/>
        </w:rPr>
        <w:t xml:space="preserve">Results from the case studies will be used to gain a nuanced understanding of the activities and strategies that </w:t>
      </w:r>
      <w:r w:rsidR="0060168F" w:rsidRPr="0060168F">
        <w:rPr>
          <w:rFonts w:ascii="Times New Roman" w:hAnsi="Times New Roman"/>
          <w:sz w:val="22"/>
          <w:szCs w:val="22"/>
        </w:rPr>
        <w:t>libraries</w:t>
      </w:r>
      <w:r w:rsidR="0060168F" w:rsidRPr="001E624D">
        <w:rPr>
          <w:rFonts w:ascii="Times New Roman" w:hAnsi="Times New Roman"/>
          <w:sz w:val="22"/>
          <w:szCs w:val="22"/>
        </w:rPr>
        <w:t xml:space="preserve"> </w:t>
      </w:r>
      <w:r w:rsidR="0060168F">
        <w:rPr>
          <w:rFonts w:ascii="Times New Roman" w:hAnsi="Times New Roman"/>
          <w:sz w:val="22"/>
          <w:szCs w:val="22"/>
        </w:rPr>
        <w:t>and cultural institutions</w:t>
      </w:r>
      <w:r w:rsidRPr="001E624D">
        <w:rPr>
          <w:rFonts w:ascii="Times New Roman" w:hAnsi="Times New Roman"/>
          <w:sz w:val="22"/>
          <w:szCs w:val="22"/>
        </w:rPr>
        <w:t xml:space="preserve"> use to sustain individual digitized special collections. The final case studies will </w:t>
      </w:r>
      <w:r w:rsidR="00636F9D">
        <w:rPr>
          <w:rFonts w:ascii="Times New Roman" w:hAnsi="Times New Roman"/>
          <w:sz w:val="22"/>
          <w:szCs w:val="22"/>
        </w:rPr>
        <w:t xml:space="preserve">be presented in the form of articles and </w:t>
      </w:r>
      <w:r w:rsidRPr="001E624D">
        <w:rPr>
          <w:rFonts w:ascii="Times New Roman" w:hAnsi="Times New Roman"/>
          <w:sz w:val="22"/>
          <w:szCs w:val="22"/>
        </w:rPr>
        <w:t xml:space="preserve">be made freely and publicly available. </w:t>
      </w:r>
      <w:r w:rsidR="00705074">
        <w:rPr>
          <w:rFonts w:ascii="Times New Roman" w:hAnsi="Times New Roman"/>
          <w:sz w:val="22"/>
          <w:szCs w:val="22"/>
        </w:rPr>
        <w:t xml:space="preserve">Information </w:t>
      </w:r>
      <w:r w:rsidRPr="001E624D">
        <w:rPr>
          <w:rFonts w:ascii="Times New Roman" w:hAnsi="Times New Roman"/>
          <w:sz w:val="22"/>
          <w:szCs w:val="22"/>
        </w:rPr>
        <w:t xml:space="preserve">collected from individuals as part of this phase of work will be shared only among ARL and </w:t>
      </w:r>
      <w:proofErr w:type="spellStart"/>
      <w:r w:rsidRPr="001E624D">
        <w:rPr>
          <w:rFonts w:ascii="Times New Roman" w:hAnsi="Times New Roman"/>
          <w:sz w:val="22"/>
          <w:szCs w:val="22"/>
        </w:rPr>
        <w:t>Ithaka</w:t>
      </w:r>
      <w:proofErr w:type="spellEnd"/>
      <w:r w:rsidRPr="001E624D">
        <w:rPr>
          <w:rFonts w:ascii="Times New Roman" w:hAnsi="Times New Roman"/>
          <w:sz w:val="22"/>
          <w:szCs w:val="22"/>
        </w:rPr>
        <w:t xml:space="preserve"> S+R staff members contributing to the study</w:t>
      </w:r>
      <w:r w:rsidR="00636F9D">
        <w:rPr>
          <w:rFonts w:ascii="Times New Roman" w:hAnsi="Times New Roman"/>
          <w:sz w:val="22"/>
          <w:szCs w:val="22"/>
        </w:rPr>
        <w:t xml:space="preserve">, unless otherwise required by law. </w:t>
      </w:r>
      <w:r w:rsidRPr="001E624D">
        <w:rPr>
          <w:rFonts w:ascii="Times New Roman" w:hAnsi="Times New Roman"/>
          <w:sz w:val="22"/>
          <w:szCs w:val="22"/>
        </w:rPr>
        <w:t xml:space="preserve">In all cases, </w:t>
      </w:r>
      <w:r w:rsidR="00636F9D">
        <w:rPr>
          <w:rFonts w:ascii="Times New Roman" w:hAnsi="Times New Roman"/>
          <w:sz w:val="22"/>
          <w:szCs w:val="22"/>
        </w:rPr>
        <w:t xml:space="preserve">ARL and </w:t>
      </w:r>
      <w:proofErr w:type="spellStart"/>
      <w:r w:rsidR="00636F9D">
        <w:rPr>
          <w:rFonts w:ascii="Times New Roman" w:hAnsi="Times New Roman"/>
          <w:sz w:val="22"/>
          <w:szCs w:val="22"/>
        </w:rPr>
        <w:t>Ithaka</w:t>
      </w:r>
      <w:proofErr w:type="spellEnd"/>
      <w:r w:rsidR="00636F9D">
        <w:rPr>
          <w:rFonts w:ascii="Times New Roman" w:hAnsi="Times New Roman"/>
          <w:sz w:val="22"/>
          <w:szCs w:val="22"/>
        </w:rPr>
        <w:t xml:space="preserve"> S+R staff will </w:t>
      </w:r>
      <w:r w:rsidRPr="001E624D">
        <w:rPr>
          <w:rFonts w:ascii="Times New Roman" w:hAnsi="Times New Roman"/>
          <w:sz w:val="22"/>
          <w:szCs w:val="22"/>
        </w:rPr>
        <w:t xml:space="preserve">inform interviewees of </w:t>
      </w:r>
      <w:r w:rsidR="00636F9D">
        <w:rPr>
          <w:rFonts w:ascii="Times New Roman" w:hAnsi="Times New Roman"/>
          <w:sz w:val="22"/>
          <w:szCs w:val="22"/>
        </w:rPr>
        <w:t xml:space="preserve">their </w:t>
      </w:r>
      <w:r w:rsidRPr="001E624D">
        <w:rPr>
          <w:rFonts w:ascii="Times New Roman" w:hAnsi="Times New Roman"/>
          <w:sz w:val="22"/>
          <w:szCs w:val="22"/>
        </w:rPr>
        <w:t xml:space="preserve">intention to publish </w:t>
      </w:r>
      <w:r w:rsidR="00636F9D">
        <w:rPr>
          <w:rFonts w:ascii="Times New Roman" w:hAnsi="Times New Roman"/>
          <w:sz w:val="22"/>
          <w:szCs w:val="22"/>
        </w:rPr>
        <w:t xml:space="preserve">their </w:t>
      </w:r>
      <w:r w:rsidRPr="001E624D">
        <w:rPr>
          <w:rFonts w:ascii="Times New Roman" w:hAnsi="Times New Roman"/>
          <w:sz w:val="22"/>
          <w:szCs w:val="22"/>
        </w:rPr>
        <w:t xml:space="preserve">findings and </w:t>
      </w:r>
      <w:r w:rsidR="00636F9D">
        <w:rPr>
          <w:rFonts w:ascii="Times New Roman" w:hAnsi="Times New Roman"/>
          <w:sz w:val="22"/>
          <w:szCs w:val="22"/>
        </w:rPr>
        <w:t>seek their consent prior to disseminating non-public information collected during this study phase.</w:t>
      </w:r>
    </w:p>
    <w:p w:rsidR="00574564" w:rsidRPr="00FA353A" w:rsidRDefault="00574564">
      <w:pPr>
        <w:spacing w:after="0" w:line="276" w:lineRule="auto"/>
        <w:rPr>
          <w:rFonts w:ascii="Times New Roman" w:hAnsi="Times New Roman"/>
          <w:sz w:val="22"/>
          <w:szCs w:val="22"/>
        </w:rPr>
      </w:pPr>
    </w:p>
    <w:p w:rsidR="00574564" w:rsidRPr="00FA353A" w:rsidRDefault="001E624D">
      <w:pPr>
        <w:spacing w:after="0" w:line="276" w:lineRule="auto"/>
        <w:rPr>
          <w:rFonts w:ascii="Times New Roman" w:hAnsi="Times New Roman"/>
          <w:b/>
          <w:sz w:val="22"/>
          <w:szCs w:val="22"/>
        </w:rPr>
      </w:pPr>
      <w:r w:rsidRPr="001E624D">
        <w:rPr>
          <w:rFonts w:ascii="Times New Roman" w:hAnsi="Times New Roman"/>
          <w:b/>
          <w:sz w:val="22"/>
          <w:szCs w:val="22"/>
        </w:rPr>
        <w:t>A3 Use of Information Technology to Reduce Burden</w:t>
      </w:r>
    </w:p>
    <w:p w:rsidR="00D70DCA" w:rsidRPr="00FA353A" w:rsidRDefault="001E624D">
      <w:pPr>
        <w:spacing w:after="0" w:line="276" w:lineRule="auto"/>
        <w:rPr>
          <w:rFonts w:ascii="Times New Roman" w:hAnsi="Times New Roman"/>
          <w:sz w:val="22"/>
          <w:szCs w:val="22"/>
        </w:rPr>
      </w:pPr>
      <w:r w:rsidRPr="001E624D">
        <w:rPr>
          <w:rFonts w:ascii="Times New Roman" w:hAnsi="Times New Roman"/>
          <w:sz w:val="22"/>
          <w:szCs w:val="22"/>
        </w:rPr>
        <w:t xml:space="preserve">All </w:t>
      </w:r>
      <w:r w:rsidR="00783F4E">
        <w:rPr>
          <w:rFonts w:ascii="Times New Roman" w:hAnsi="Times New Roman"/>
          <w:sz w:val="22"/>
          <w:szCs w:val="22"/>
        </w:rPr>
        <w:t>information</w:t>
      </w:r>
      <w:r w:rsidR="00783F4E" w:rsidRPr="001E624D">
        <w:rPr>
          <w:rFonts w:ascii="Times New Roman" w:hAnsi="Times New Roman"/>
          <w:sz w:val="22"/>
          <w:szCs w:val="22"/>
        </w:rPr>
        <w:t xml:space="preserve"> </w:t>
      </w:r>
      <w:r w:rsidR="00636F9D">
        <w:rPr>
          <w:rFonts w:ascii="Times New Roman" w:hAnsi="Times New Roman"/>
          <w:sz w:val="22"/>
          <w:szCs w:val="22"/>
        </w:rPr>
        <w:t xml:space="preserve">gathered </w:t>
      </w:r>
      <w:r w:rsidRPr="001E624D">
        <w:rPr>
          <w:rFonts w:ascii="Times New Roman" w:hAnsi="Times New Roman"/>
          <w:sz w:val="22"/>
          <w:szCs w:val="22"/>
        </w:rPr>
        <w:t xml:space="preserve">will be </w:t>
      </w:r>
      <w:r w:rsidR="00636F9D">
        <w:rPr>
          <w:rFonts w:ascii="Times New Roman" w:hAnsi="Times New Roman"/>
          <w:sz w:val="22"/>
          <w:szCs w:val="22"/>
        </w:rPr>
        <w:t xml:space="preserve">stored in </w:t>
      </w:r>
      <w:r w:rsidRPr="001E624D">
        <w:rPr>
          <w:rFonts w:ascii="Times New Roman" w:hAnsi="Times New Roman"/>
          <w:sz w:val="22"/>
          <w:szCs w:val="22"/>
        </w:rPr>
        <w:t xml:space="preserve">password-protected data management environments. </w:t>
      </w:r>
    </w:p>
    <w:p w:rsidR="0089768B" w:rsidRDefault="0089768B">
      <w:pPr>
        <w:spacing w:after="0" w:line="276" w:lineRule="auto"/>
        <w:rPr>
          <w:rFonts w:ascii="Times New Roman" w:hAnsi="Times New Roman"/>
          <w:sz w:val="22"/>
          <w:szCs w:val="22"/>
        </w:rPr>
      </w:pPr>
    </w:p>
    <w:p w:rsidR="00D70DCA" w:rsidRPr="00FA353A" w:rsidRDefault="001E624D">
      <w:pPr>
        <w:spacing w:after="0" w:line="276" w:lineRule="auto"/>
        <w:rPr>
          <w:rFonts w:ascii="Times New Roman" w:hAnsi="Times New Roman"/>
          <w:b/>
          <w:sz w:val="22"/>
          <w:szCs w:val="22"/>
        </w:rPr>
      </w:pPr>
      <w:r w:rsidRPr="001E624D">
        <w:rPr>
          <w:rFonts w:ascii="Times New Roman" w:hAnsi="Times New Roman"/>
          <w:b/>
          <w:sz w:val="22"/>
          <w:szCs w:val="22"/>
        </w:rPr>
        <w:t>A4 Identification of Possible Duplication, and Avoidance of Duplication</w:t>
      </w:r>
    </w:p>
    <w:p w:rsidR="00636F9D" w:rsidRDefault="001E624D">
      <w:pPr>
        <w:spacing w:after="0" w:line="276" w:lineRule="auto"/>
        <w:rPr>
          <w:rFonts w:ascii="Times New Roman" w:hAnsi="Times New Roman"/>
          <w:sz w:val="22"/>
          <w:szCs w:val="22"/>
        </w:rPr>
      </w:pPr>
      <w:r w:rsidRPr="001E624D">
        <w:rPr>
          <w:rFonts w:ascii="Times New Roman" w:hAnsi="Times New Roman"/>
          <w:sz w:val="22"/>
          <w:szCs w:val="22"/>
        </w:rPr>
        <w:t xml:space="preserve">While there have been a number of </w:t>
      </w:r>
      <w:r w:rsidR="00636F9D">
        <w:rPr>
          <w:rFonts w:ascii="Times New Roman" w:hAnsi="Times New Roman"/>
          <w:sz w:val="22"/>
          <w:szCs w:val="22"/>
        </w:rPr>
        <w:t>studies</w:t>
      </w:r>
      <w:r w:rsidRPr="001E624D">
        <w:rPr>
          <w:rFonts w:ascii="Times New Roman" w:hAnsi="Times New Roman"/>
          <w:sz w:val="22"/>
          <w:szCs w:val="22"/>
        </w:rPr>
        <w:t xml:space="preserve"> that examine (1) the topics of the costs of general digitization, (2) the digitization activities of library, or (3) special collections holdings, none to date have addressed a confluence of these issues in a way that provides information to libraries and cultural institutions on the topic of supporting the costs of digitized special collections. </w:t>
      </w:r>
      <w:r w:rsidRPr="001E624D">
        <w:rPr>
          <w:rFonts w:ascii="Times New Roman" w:hAnsi="Times New Roman"/>
          <w:i/>
          <w:sz w:val="22"/>
          <w:szCs w:val="22"/>
        </w:rPr>
        <w:t xml:space="preserve">Taking Our Pulse: The OCLC Research Survey of Special Collections and Archives </w:t>
      </w:r>
      <w:r w:rsidRPr="001E624D">
        <w:rPr>
          <w:rFonts w:ascii="Times New Roman" w:hAnsi="Times New Roman"/>
          <w:sz w:val="22"/>
          <w:szCs w:val="22"/>
        </w:rPr>
        <w:t xml:space="preserve">(2010) addressed topics concerning special collections, but only touched briefly on digitized collections. The Primary Research Group’s </w:t>
      </w:r>
      <w:r w:rsidRPr="001E624D">
        <w:rPr>
          <w:rFonts w:ascii="Times New Roman" w:eastAsia="Times New Roman" w:hAnsi="Times New Roman"/>
          <w:i/>
          <w:sz w:val="22"/>
          <w:szCs w:val="22"/>
        </w:rPr>
        <w:t>Survey</w:t>
      </w:r>
      <w:r w:rsidRPr="001E624D">
        <w:rPr>
          <w:rFonts w:ascii="Times New Roman" w:eastAsia="Times New Roman" w:hAnsi="Times New Roman"/>
          <w:sz w:val="22"/>
          <w:szCs w:val="22"/>
        </w:rPr>
        <w:t xml:space="preserve"> </w:t>
      </w:r>
      <w:r w:rsidRPr="001E624D">
        <w:rPr>
          <w:rFonts w:ascii="Times New Roman" w:eastAsia="Times New Roman" w:hAnsi="Times New Roman"/>
          <w:i/>
          <w:sz w:val="22"/>
          <w:szCs w:val="22"/>
        </w:rPr>
        <w:t>of Library and Museum Digitization Projects, 2011 Edition</w:t>
      </w:r>
      <w:r w:rsidRPr="001E624D">
        <w:rPr>
          <w:rFonts w:ascii="Times New Roman" w:eastAsia="Times New Roman" w:hAnsi="Times New Roman"/>
          <w:sz w:val="22"/>
          <w:szCs w:val="22"/>
        </w:rPr>
        <w:t xml:space="preserve"> addressed some of the same types of questions, but used a </w:t>
      </w:r>
      <w:r w:rsidRPr="001E624D">
        <w:rPr>
          <w:rFonts w:ascii="Times New Roman" w:eastAsia="Times New Roman" w:hAnsi="Times New Roman"/>
          <w:sz w:val="22"/>
          <w:szCs w:val="22"/>
        </w:rPr>
        <w:lastRenderedPageBreak/>
        <w:t>small and very diverse sample, which will not significantly overlap with ours. Other studies have focused specifically on preservation of digital materials (including an ARL survey in 2011), but this is just one aspect of the topic we intend to study.</w:t>
      </w:r>
      <w:r w:rsidRPr="001E624D">
        <w:rPr>
          <w:rFonts w:ascii="Times New Roman" w:hAnsi="Times New Roman"/>
          <w:sz w:val="22"/>
          <w:szCs w:val="22"/>
        </w:rPr>
        <w:t xml:space="preserve"> Perhaps the closest study to the one we intend to conduct was carried out by the Association of Research Libraries in 2006. That survey, </w:t>
      </w:r>
      <w:r w:rsidRPr="001E624D">
        <w:rPr>
          <w:rFonts w:ascii="Times New Roman" w:hAnsi="Times New Roman"/>
          <w:i/>
          <w:sz w:val="22"/>
          <w:szCs w:val="22"/>
        </w:rPr>
        <w:t>SPEC Kit 294: Managing Digitization Activities</w:t>
      </w:r>
      <w:r w:rsidRPr="001E624D">
        <w:rPr>
          <w:rFonts w:ascii="Times New Roman" w:hAnsi="Times New Roman"/>
          <w:sz w:val="22"/>
          <w:szCs w:val="22"/>
        </w:rPr>
        <w:t>, addresses issues relating to the organization of digitization activities at major research libraries, and does delve into the costs associated with maintaining, enhancing</w:t>
      </w:r>
      <w:r w:rsidR="009D52C0">
        <w:rPr>
          <w:rFonts w:ascii="Times New Roman" w:hAnsi="Times New Roman"/>
          <w:sz w:val="22"/>
          <w:szCs w:val="22"/>
        </w:rPr>
        <w:t>,</w:t>
      </w:r>
      <w:r w:rsidRPr="001E624D">
        <w:rPr>
          <w:rFonts w:ascii="Times New Roman" w:hAnsi="Times New Roman"/>
          <w:sz w:val="22"/>
          <w:szCs w:val="22"/>
        </w:rPr>
        <w:t xml:space="preserve"> and preserving them. However, the study was limited to the ARL membership, and was completed over five years ago, a very long time ago in the rapidly changing world of digital media. </w:t>
      </w:r>
    </w:p>
    <w:p w:rsidR="00636F9D" w:rsidRDefault="00636F9D">
      <w:pPr>
        <w:spacing w:after="0" w:line="276" w:lineRule="auto"/>
        <w:rPr>
          <w:rFonts w:ascii="Times New Roman" w:hAnsi="Times New Roman"/>
          <w:sz w:val="22"/>
          <w:szCs w:val="22"/>
        </w:rPr>
      </w:pPr>
    </w:p>
    <w:p w:rsidR="00D70DCA" w:rsidRPr="00FA353A" w:rsidRDefault="00636F9D">
      <w:pPr>
        <w:spacing w:after="0" w:line="276" w:lineRule="auto"/>
        <w:rPr>
          <w:rFonts w:ascii="Times New Roman" w:hAnsi="Times New Roman"/>
          <w:sz w:val="22"/>
          <w:szCs w:val="22"/>
        </w:rPr>
      </w:pPr>
      <w:r>
        <w:rPr>
          <w:rFonts w:ascii="Times New Roman" w:hAnsi="Times New Roman"/>
          <w:sz w:val="22"/>
          <w:szCs w:val="22"/>
        </w:rPr>
        <w:t xml:space="preserve">The studied mentioned above are for the most part surveys, and do not make use of the more nuanced, case study approach. This approach, of looking in great detail at </w:t>
      </w:r>
      <w:r w:rsidR="007423FA">
        <w:rPr>
          <w:rFonts w:ascii="Times New Roman" w:hAnsi="Times New Roman"/>
          <w:sz w:val="22"/>
          <w:szCs w:val="22"/>
        </w:rPr>
        <w:t xml:space="preserve">the processes involved in sustaining digital resources, has been used before, but has not focused on digitization projects in particular, and the challenges they pose to the institutions seeking to support them. The </w:t>
      </w:r>
      <w:proofErr w:type="spellStart"/>
      <w:r w:rsidR="007423FA">
        <w:rPr>
          <w:rFonts w:ascii="Times New Roman" w:hAnsi="Times New Roman"/>
          <w:sz w:val="22"/>
          <w:szCs w:val="22"/>
        </w:rPr>
        <w:t>Ithaka</w:t>
      </w:r>
      <w:proofErr w:type="spellEnd"/>
      <w:r w:rsidR="007423FA">
        <w:rPr>
          <w:rFonts w:ascii="Times New Roman" w:hAnsi="Times New Roman"/>
          <w:sz w:val="22"/>
          <w:szCs w:val="22"/>
        </w:rPr>
        <w:t xml:space="preserve"> S+R Case Studies in Sustainability (funded by JISC, NEH and NSF) studied different tactics for sustainability plans, but did this through the lens of revenue generation, and without examining special collections in particular. Other reports have offered “case studies” that are written not by an objective third-party research team, but reported by the project staff themselves.</w:t>
      </w:r>
      <w:r w:rsidR="007423FA">
        <w:rPr>
          <w:rStyle w:val="FootnoteReference"/>
          <w:rFonts w:ascii="Times New Roman" w:hAnsi="Times New Roman"/>
          <w:sz w:val="22"/>
          <w:szCs w:val="22"/>
        </w:rPr>
        <w:footnoteReference w:id="2"/>
      </w:r>
      <w:r w:rsidR="007423FA">
        <w:rPr>
          <w:rFonts w:ascii="Times New Roman" w:hAnsi="Times New Roman"/>
          <w:sz w:val="22"/>
          <w:szCs w:val="22"/>
        </w:rPr>
        <w:t xml:space="preserve">  The current study will not duplicate earlier work, since this methodology has not yet been applied to this object of study. </w:t>
      </w:r>
    </w:p>
    <w:p w:rsidR="00D70DCA" w:rsidRPr="00FA353A" w:rsidRDefault="00D70DCA">
      <w:pPr>
        <w:spacing w:after="0" w:line="276" w:lineRule="auto"/>
        <w:rPr>
          <w:rFonts w:ascii="Times New Roman" w:hAnsi="Times New Roman"/>
          <w:sz w:val="22"/>
          <w:szCs w:val="22"/>
        </w:rPr>
      </w:pPr>
    </w:p>
    <w:p w:rsidR="00D70DCA" w:rsidRPr="00FA353A" w:rsidRDefault="001E624D">
      <w:pPr>
        <w:spacing w:after="0" w:line="276" w:lineRule="auto"/>
        <w:rPr>
          <w:rFonts w:ascii="Times New Roman" w:hAnsi="Times New Roman"/>
          <w:b/>
          <w:sz w:val="22"/>
          <w:szCs w:val="22"/>
        </w:rPr>
      </w:pPr>
      <w:r w:rsidRPr="001E624D">
        <w:rPr>
          <w:rFonts w:ascii="Times New Roman" w:hAnsi="Times New Roman"/>
          <w:b/>
          <w:sz w:val="22"/>
          <w:szCs w:val="22"/>
        </w:rPr>
        <w:t>A5 Methods to Minimize Burden on Small Entities</w:t>
      </w:r>
    </w:p>
    <w:p w:rsidR="00D70DCA" w:rsidRPr="00FA353A" w:rsidRDefault="001E624D">
      <w:pPr>
        <w:spacing w:after="0" w:line="276" w:lineRule="auto"/>
        <w:rPr>
          <w:rFonts w:ascii="Times New Roman" w:hAnsi="Times New Roman"/>
          <w:sz w:val="22"/>
          <w:szCs w:val="22"/>
        </w:rPr>
      </w:pPr>
      <w:r w:rsidRPr="003619CC">
        <w:rPr>
          <w:rFonts w:ascii="Times New Roman" w:hAnsi="Times New Roman"/>
          <w:sz w:val="22"/>
          <w:szCs w:val="22"/>
        </w:rPr>
        <w:t>By virtue of the topic of our research – how institutions are managing the ongoing costs of large digitization efforts</w:t>
      </w:r>
      <w:r w:rsidR="003619CC">
        <w:rPr>
          <w:rFonts w:ascii="Times New Roman" w:hAnsi="Times New Roman"/>
          <w:sz w:val="22"/>
          <w:szCs w:val="22"/>
        </w:rPr>
        <w:t xml:space="preserve">; while we will seek a range of sizes of institutions, </w:t>
      </w:r>
      <w:r w:rsidRPr="003619CC">
        <w:rPr>
          <w:rFonts w:ascii="Times New Roman" w:hAnsi="Times New Roman"/>
          <w:sz w:val="22"/>
          <w:szCs w:val="22"/>
        </w:rPr>
        <w:t xml:space="preserve">it is unlikely that </w:t>
      </w:r>
      <w:r w:rsidR="003619CC">
        <w:rPr>
          <w:rFonts w:ascii="Times New Roman" w:hAnsi="Times New Roman"/>
          <w:sz w:val="22"/>
          <w:szCs w:val="22"/>
        </w:rPr>
        <w:t>o</w:t>
      </w:r>
      <w:r w:rsidRPr="003619CC">
        <w:rPr>
          <w:rFonts w:ascii="Times New Roman" w:hAnsi="Times New Roman"/>
          <w:sz w:val="22"/>
          <w:szCs w:val="22"/>
        </w:rPr>
        <w:t>ur subjects will be considered “small entities</w:t>
      </w:r>
      <w:r w:rsidR="003619CC" w:rsidRPr="003619CC">
        <w:rPr>
          <w:rFonts w:ascii="Times New Roman" w:hAnsi="Times New Roman"/>
          <w:sz w:val="22"/>
          <w:szCs w:val="22"/>
        </w:rPr>
        <w:t xml:space="preserve">” in the sense intended by the RFA. </w:t>
      </w:r>
      <w:r w:rsidR="00705074" w:rsidRPr="003619CC">
        <w:rPr>
          <w:rFonts w:ascii="Times New Roman" w:hAnsi="Times New Roman"/>
          <w:sz w:val="22"/>
          <w:szCs w:val="22"/>
        </w:rPr>
        <w:t>T</w:t>
      </w:r>
      <w:r w:rsidRPr="003619CC">
        <w:rPr>
          <w:rFonts w:ascii="Times New Roman" w:hAnsi="Times New Roman"/>
          <w:sz w:val="22"/>
          <w:szCs w:val="22"/>
        </w:rPr>
        <w:t xml:space="preserve">he institutions </w:t>
      </w:r>
      <w:r w:rsidR="00783F4E" w:rsidRPr="003619CC">
        <w:rPr>
          <w:rFonts w:ascii="Times New Roman" w:hAnsi="Times New Roman"/>
          <w:sz w:val="22"/>
          <w:szCs w:val="22"/>
        </w:rPr>
        <w:t xml:space="preserve">that will </w:t>
      </w:r>
      <w:r w:rsidRPr="003619CC">
        <w:rPr>
          <w:rFonts w:ascii="Times New Roman" w:hAnsi="Times New Roman"/>
          <w:sz w:val="22"/>
          <w:szCs w:val="22"/>
        </w:rPr>
        <w:t>participat</w:t>
      </w:r>
      <w:r w:rsidR="00705074" w:rsidRPr="003619CC">
        <w:rPr>
          <w:rFonts w:ascii="Times New Roman" w:hAnsi="Times New Roman"/>
          <w:sz w:val="22"/>
          <w:szCs w:val="22"/>
        </w:rPr>
        <w:t>e</w:t>
      </w:r>
      <w:r w:rsidRPr="003619CC">
        <w:rPr>
          <w:rFonts w:ascii="Times New Roman" w:hAnsi="Times New Roman"/>
          <w:sz w:val="22"/>
          <w:szCs w:val="22"/>
        </w:rPr>
        <w:t xml:space="preserve"> in the case studies work are </w:t>
      </w:r>
      <w:r w:rsidR="00783F4E" w:rsidRPr="003619CC">
        <w:rPr>
          <w:rFonts w:ascii="Times New Roman" w:hAnsi="Times New Roman"/>
          <w:sz w:val="22"/>
          <w:szCs w:val="22"/>
        </w:rPr>
        <w:t xml:space="preserve">research libraries, museums, archives, and other </w:t>
      </w:r>
      <w:r w:rsidR="003619CC" w:rsidRPr="003619CC">
        <w:rPr>
          <w:rFonts w:ascii="Times New Roman" w:hAnsi="Times New Roman"/>
          <w:sz w:val="22"/>
          <w:szCs w:val="22"/>
        </w:rPr>
        <w:t xml:space="preserve">cultural </w:t>
      </w:r>
      <w:r w:rsidR="00783F4E" w:rsidRPr="003619CC">
        <w:rPr>
          <w:rFonts w:ascii="Times New Roman" w:hAnsi="Times New Roman"/>
          <w:sz w:val="22"/>
          <w:szCs w:val="22"/>
        </w:rPr>
        <w:t xml:space="preserve">institutions </w:t>
      </w:r>
      <w:r w:rsidR="003619CC" w:rsidRPr="003619CC">
        <w:rPr>
          <w:rFonts w:ascii="Times New Roman" w:hAnsi="Times New Roman"/>
          <w:sz w:val="22"/>
          <w:szCs w:val="22"/>
        </w:rPr>
        <w:t>of sufficient size to have conducted or contracted to conduct digitization activities. In addition, the burden per institution is very low, estimated at no more than 90 minutes for each of up to 4 individuals, and every effort will be made to gather information in the most efficient way possible, including research with publicly available sources in preparation for the interviews. Finally, there is no obligation for any entity to participate</w:t>
      </w:r>
      <w:r w:rsidR="003619CC">
        <w:rPr>
          <w:rFonts w:ascii="Times New Roman" w:hAnsi="Times New Roman"/>
          <w:sz w:val="22"/>
          <w:szCs w:val="22"/>
        </w:rPr>
        <w:t xml:space="preserve">. </w:t>
      </w:r>
    </w:p>
    <w:p w:rsidR="00D70DCA" w:rsidRPr="00FA353A" w:rsidRDefault="00D70DCA">
      <w:pPr>
        <w:spacing w:after="0" w:line="276" w:lineRule="auto"/>
        <w:rPr>
          <w:rFonts w:ascii="Times New Roman" w:hAnsi="Times New Roman"/>
          <w:sz w:val="22"/>
          <w:szCs w:val="22"/>
        </w:rPr>
      </w:pPr>
    </w:p>
    <w:p w:rsidR="00D70DCA" w:rsidRPr="00FA353A" w:rsidRDefault="001E624D">
      <w:pPr>
        <w:spacing w:after="0" w:line="276" w:lineRule="auto"/>
        <w:rPr>
          <w:rFonts w:ascii="Times New Roman" w:hAnsi="Times New Roman"/>
          <w:b/>
          <w:sz w:val="22"/>
          <w:szCs w:val="22"/>
        </w:rPr>
      </w:pPr>
      <w:r w:rsidRPr="001E624D">
        <w:rPr>
          <w:rFonts w:ascii="Times New Roman" w:hAnsi="Times New Roman"/>
          <w:b/>
          <w:sz w:val="22"/>
          <w:szCs w:val="22"/>
        </w:rPr>
        <w:t>A6 Consequences of Not Collecting Information</w:t>
      </w:r>
    </w:p>
    <w:p w:rsidR="00D70DCA" w:rsidRPr="00FA353A" w:rsidRDefault="001E624D">
      <w:pPr>
        <w:spacing w:after="0" w:line="276" w:lineRule="auto"/>
        <w:rPr>
          <w:rFonts w:ascii="Times New Roman" w:hAnsi="Times New Roman"/>
          <w:sz w:val="22"/>
          <w:szCs w:val="22"/>
        </w:rPr>
      </w:pPr>
      <w:r w:rsidRPr="001E624D">
        <w:rPr>
          <w:rFonts w:ascii="Times New Roman" w:hAnsi="Times New Roman"/>
          <w:sz w:val="22"/>
          <w:szCs w:val="22"/>
        </w:rPr>
        <w:t xml:space="preserve">The digitization of rare and unique special collections content is still a relatively new undertaking for many institutions, practice is still very much in flux, and there is consequently a lack of coherent practices for sustaining the value associated with these collections. This study will be the first to explore not just one aspect of “sustaining” a collection (cost, or preservation, for example); instead, by surfacing the range of activities needed to make these collections valuable in the long term, the study will provide much </w:t>
      </w:r>
      <w:r w:rsidRPr="001E624D">
        <w:rPr>
          <w:rFonts w:ascii="Times New Roman" w:hAnsi="Times New Roman"/>
          <w:sz w:val="22"/>
          <w:szCs w:val="22"/>
        </w:rPr>
        <w:lastRenderedPageBreak/>
        <w:t>needed guidance for those managing digitization programs and those agencies, foundations, universities</w:t>
      </w:r>
      <w:r w:rsidR="00BF56BB">
        <w:rPr>
          <w:rFonts w:ascii="Times New Roman" w:hAnsi="Times New Roman"/>
          <w:sz w:val="22"/>
          <w:szCs w:val="22"/>
        </w:rPr>
        <w:t>,</w:t>
      </w:r>
      <w:r w:rsidRPr="001E624D">
        <w:rPr>
          <w:rFonts w:ascii="Times New Roman" w:hAnsi="Times New Roman"/>
          <w:sz w:val="22"/>
          <w:szCs w:val="22"/>
        </w:rPr>
        <w:t xml:space="preserve"> and other entities funding their creation. </w:t>
      </w:r>
      <w:r w:rsidR="00CE531E">
        <w:rPr>
          <w:rFonts w:ascii="Times New Roman" w:hAnsi="Times New Roman"/>
          <w:sz w:val="22"/>
          <w:szCs w:val="22"/>
        </w:rPr>
        <w:t xml:space="preserve">Without this </w:t>
      </w:r>
      <w:r w:rsidR="00783F4E">
        <w:rPr>
          <w:rFonts w:ascii="Times New Roman" w:hAnsi="Times New Roman"/>
          <w:sz w:val="22"/>
          <w:szCs w:val="22"/>
        </w:rPr>
        <w:t>information</w:t>
      </w:r>
      <w:r w:rsidR="00CE531E">
        <w:rPr>
          <w:rFonts w:ascii="Times New Roman" w:hAnsi="Times New Roman"/>
          <w:sz w:val="22"/>
          <w:szCs w:val="22"/>
        </w:rPr>
        <w:t>, professionals in libraries and cultural institutions</w:t>
      </w:r>
      <w:r w:rsidR="000F758B">
        <w:rPr>
          <w:rFonts w:ascii="Times New Roman" w:hAnsi="Times New Roman"/>
          <w:sz w:val="22"/>
          <w:szCs w:val="22"/>
        </w:rPr>
        <w:t xml:space="preserve"> </w:t>
      </w:r>
      <w:r w:rsidR="00783F4E">
        <w:rPr>
          <w:rFonts w:ascii="Times New Roman" w:hAnsi="Times New Roman"/>
          <w:sz w:val="22"/>
          <w:szCs w:val="22"/>
        </w:rPr>
        <w:t xml:space="preserve">may not be aware of successful tactics they could be employing to develop and maintain </w:t>
      </w:r>
      <w:r w:rsidR="00E84A81">
        <w:rPr>
          <w:rFonts w:ascii="Times New Roman" w:hAnsi="Times New Roman"/>
          <w:sz w:val="22"/>
          <w:szCs w:val="22"/>
        </w:rPr>
        <w:t xml:space="preserve">digital content </w:t>
      </w:r>
      <w:r w:rsidR="00783F4E">
        <w:rPr>
          <w:rFonts w:ascii="Times New Roman" w:hAnsi="Times New Roman"/>
          <w:sz w:val="22"/>
          <w:szCs w:val="22"/>
        </w:rPr>
        <w:t xml:space="preserve">in a way that is most </w:t>
      </w:r>
      <w:r w:rsidR="00E84A81">
        <w:rPr>
          <w:rFonts w:ascii="Times New Roman" w:hAnsi="Times New Roman"/>
          <w:sz w:val="22"/>
          <w:szCs w:val="22"/>
        </w:rPr>
        <w:t xml:space="preserve">valuable to </w:t>
      </w:r>
      <w:r w:rsidR="00783F4E">
        <w:rPr>
          <w:rFonts w:ascii="Times New Roman" w:hAnsi="Times New Roman"/>
          <w:sz w:val="22"/>
          <w:szCs w:val="22"/>
        </w:rPr>
        <w:t>their</w:t>
      </w:r>
      <w:r w:rsidR="00E84A81">
        <w:rPr>
          <w:rFonts w:ascii="Times New Roman" w:hAnsi="Times New Roman"/>
          <w:sz w:val="22"/>
          <w:szCs w:val="22"/>
        </w:rPr>
        <w:t xml:space="preserve"> users. </w:t>
      </w:r>
    </w:p>
    <w:p w:rsidR="00D70DCA" w:rsidRPr="00FA353A" w:rsidRDefault="00D70DCA">
      <w:pPr>
        <w:spacing w:after="0" w:line="276" w:lineRule="auto"/>
        <w:rPr>
          <w:rFonts w:ascii="Times New Roman" w:hAnsi="Times New Roman"/>
          <w:sz w:val="22"/>
          <w:szCs w:val="22"/>
        </w:rPr>
      </w:pPr>
    </w:p>
    <w:p w:rsidR="00D70DCA" w:rsidRPr="00FA353A" w:rsidRDefault="001E624D">
      <w:pPr>
        <w:spacing w:after="0" w:line="276" w:lineRule="auto"/>
        <w:rPr>
          <w:rFonts w:ascii="Times New Roman" w:hAnsi="Times New Roman"/>
          <w:b/>
          <w:sz w:val="22"/>
          <w:szCs w:val="22"/>
        </w:rPr>
      </w:pPr>
      <w:r w:rsidRPr="001E624D">
        <w:rPr>
          <w:rFonts w:ascii="Times New Roman" w:hAnsi="Times New Roman"/>
          <w:b/>
          <w:sz w:val="22"/>
          <w:szCs w:val="22"/>
        </w:rPr>
        <w:t>A7 Special Circumstances</w:t>
      </w:r>
    </w:p>
    <w:p w:rsidR="00D70DCA" w:rsidRPr="00FA353A" w:rsidRDefault="001E624D">
      <w:pPr>
        <w:spacing w:after="0" w:line="276" w:lineRule="auto"/>
        <w:rPr>
          <w:rFonts w:ascii="Times New Roman" w:hAnsi="Times New Roman"/>
          <w:sz w:val="22"/>
          <w:szCs w:val="22"/>
        </w:rPr>
      </w:pPr>
      <w:r w:rsidRPr="001E624D">
        <w:rPr>
          <w:rFonts w:ascii="Times New Roman" w:hAnsi="Times New Roman"/>
          <w:sz w:val="22"/>
          <w:szCs w:val="22"/>
        </w:rPr>
        <w:t>None of the special circumstances apply to th</w:t>
      </w:r>
      <w:r w:rsidR="00783F4E">
        <w:rPr>
          <w:rFonts w:ascii="Times New Roman" w:hAnsi="Times New Roman"/>
          <w:sz w:val="22"/>
          <w:szCs w:val="22"/>
        </w:rPr>
        <w:t xml:space="preserve">is study. </w:t>
      </w:r>
      <w:r w:rsidRPr="001E624D">
        <w:rPr>
          <w:rFonts w:ascii="Times New Roman" w:hAnsi="Times New Roman"/>
          <w:sz w:val="22"/>
          <w:szCs w:val="22"/>
        </w:rPr>
        <w:t xml:space="preserve"> </w:t>
      </w:r>
    </w:p>
    <w:p w:rsidR="00D70DCA" w:rsidRPr="00FA353A" w:rsidRDefault="00D70DCA">
      <w:pPr>
        <w:spacing w:after="0" w:line="276" w:lineRule="auto"/>
        <w:rPr>
          <w:rFonts w:ascii="Times New Roman" w:hAnsi="Times New Roman"/>
          <w:sz w:val="22"/>
          <w:szCs w:val="22"/>
        </w:rPr>
      </w:pPr>
    </w:p>
    <w:p w:rsidR="00D70DCA" w:rsidRPr="00FA353A" w:rsidRDefault="001E624D">
      <w:pPr>
        <w:spacing w:after="0" w:line="276" w:lineRule="auto"/>
        <w:rPr>
          <w:rFonts w:ascii="Times New Roman" w:hAnsi="Times New Roman"/>
          <w:b/>
          <w:sz w:val="22"/>
          <w:szCs w:val="22"/>
        </w:rPr>
      </w:pPr>
      <w:r w:rsidRPr="001E624D">
        <w:rPr>
          <w:rFonts w:ascii="Times New Roman" w:hAnsi="Times New Roman"/>
          <w:b/>
          <w:sz w:val="22"/>
          <w:szCs w:val="22"/>
        </w:rPr>
        <w:t>A8 Consultation outside the Agency</w:t>
      </w:r>
    </w:p>
    <w:p w:rsidR="00D70DCA" w:rsidRPr="00FA353A" w:rsidRDefault="001E624D">
      <w:pPr>
        <w:spacing w:after="0" w:line="276" w:lineRule="auto"/>
        <w:rPr>
          <w:rFonts w:ascii="Times New Roman" w:hAnsi="Times New Roman"/>
          <w:sz w:val="22"/>
          <w:szCs w:val="22"/>
        </w:rPr>
      </w:pPr>
      <w:proofErr w:type="spellStart"/>
      <w:r w:rsidRPr="001E624D">
        <w:rPr>
          <w:rFonts w:ascii="Times New Roman" w:hAnsi="Times New Roman"/>
          <w:sz w:val="22"/>
          <w:szCs w:val="22"/>
        </w:rPr>
        <w:t>Ithaka</w:t>
      </w:r>
      <w:proofErr w:type="spellEnd"/>
      <w:r w:rsidRPr="001E624D">
        <w:rPr>
          <w:rFonts w:ascii="Times New Roman" w:hAnsi="Times New Roman"/>
          <w:sz w:val="22"/>
          <w:szCs w:val="22"/>
        </w:rPr>
        <w:t xml:space="preserve"> S+R will oversee the research and writing of the case </w:t>
      </w:r>
      <w:r w:rsidR="00705074">
        <w:rPr>
          <w:rFonts w:ascii="Times New Roman" w:hAnsi="Times New Roman"/>
          <w:sz w:val="22"/>
          <w:szCs w:val="22"/>
        </w:rPr>
        <w:t>studies.</w:t>
      </w:r>
      <w:r w:rsidRPr="001E624D">
        <w:rPr>
          <w:rFonts w:ascii="Times New Roman" w:hAnsi="Times New Roman"/>
          <w:sz w:val="22"/>
          <w:szCs w:val="22"/>
        </w:rPr>
        <w:t xml:space="preserve"> </w:t>
      </w:r>
    </w:p>
    <w:p w:rsidR="00787426" w:rsidRDefault="00787426" w:rsidP="001A422C">
      <w:pPr>
        <w:spacing w:after="0"/>
        <w:rPr>
          <w:rFonts w:ascii="Times New Roman" w:hAnsi="Times New Roman"/>
          <w:b/>
          <w:sz w:val="22"/>
          <w:szCs w:val="22"/>
        </w:rPr>
      </w:pPr>
    </w:p>
    <w:p w:rsidR="00D70DCA" w:rsidRPr="00FA353A" w:rsidRDefault="001E624D" w:rsidP="001A422C">
      <w:pPr>
        <w:spacing w:after="0"/>
        <w:rPr>
          <w:rFonts w:ascii="Times New Roman" w:hAnsi="Times New Roman"/>
          <w:b/>
          <w:sz w:val="22"/>
          <w:szCs w:val="22"/>
        </w:rPr>
      </w:pPr>
      <w:r w:rsidRPr="001E624D">
        <w:rPr>
          <w:rFonts w:ascii="Times New Roman" w:hAnsi="Times New Roman"/>
          <w:b/>
          <w:sz w:val="22"/>
          <w:szCs w:val="22"/>
        </w:rPr>
        <w:t>A9 Payment of Gifts</w:t>
      </w:r>
    </w:p>
    <w:p w:rsidR="00D70DCA" w:rsidRPr="00FA353A" w:rsidRDefault="001E624D">
      <w:pPr>
        <w:spacing w:after="0" w:line="276" w:lineRule="auto"/>
        <w:rPr>
          <w:rFonts w:ascii="Times New Roman" w:hAnsi="Times New Roman"/>
          <w:sz w:val="22"/>
          <w:szCs w:val="22"/>
        </w:rPr>
      </w:pPr>
      <w:r w:rsidRPr="001E624D">
        <w:rPr>
          <w:rFonts w:ascii="Times New Roman" w:hAnsi="Times New Roman"/>
          <w:sz w:val="22"/>
          <w:szCs w:val="22"/>
        </w:rPr>
        <w:t xml:space="preserve">No payments or gifts will be made to personnel who cooperate in the collections of materials for this study. Their participation is strictly voluntary and uncompensated. However, </w:t>
      </w:r>
      <w:r w:rsidR="00705074">
        <w:rPr>
          <w:rFonts w:ascii="Times New Roman" w:hAnsi="Times New Roman"/>
          <w:sz w:val="22"/>
          <w:szCs w:val="22"/>
        </w:rPr>
        <w:t xml:space="preserve">participants </w:t>
      </w:r>
      <w:r w:rsidRPr="001E624D">
        <w:rPr>
          <w:rFonts w:ascii="Times New Roman" w:hAnsi="Times New Roman"/>
          <w:sz w:val="22"/>
          <w:szCs w:val="22"/>
        </w:rPr>
        <w:t xml:space="preserve">will receive a copy of the executive summary of ARL’s final report to the IMLS. </w:t>
      </w:r>
    </w:p>
    <w:p w:rsidR="00D70DCA" w:rsidRPr="00FA353A" w:rsidRDefault="00D70DCA">
      <w:pPr>
        <w:spacing w:after="0" w:line="276" w:lineRule="auto"/>
        <w:rPr>
          <w:rFonts w:ascii="Times New Roman" w:hAnsi="Times New Roman"/>
          <w:sz w:val="22"/>
          <w:szCs w:val="22"/>
        </w:rPr>
      </w:pPr>
    </w:p>
    <w:p w:rsidR="00D70DCA" w:rsidRPr="00FA353A" w:rsidRDefault="001E624D">
      <w:pPr>
        <w:spacing w:after="0" w:line="276" w:lineRule="auto"/>
        <w:rPr>
          <w:rFonts w:ascii="Times New Roman" w:hAnsi="Times New Roman"/>
          <w:b/>
          <w:sz w:val="22"/>
          <w:szCs w:val="22"/>
        </w:rPr>
      </w:pPr>
      <w:r w:rsidRPr="001E624D">
        <w:rPr>
          <w:rFonts w:ascii="Times New Roman" w:hAnsi="Times New Roman"/>
          <w:b/>
          <w:sz w:val="22"/>
          <w:szCs w:val="22"/>
        </w:rPr>
        <w:t>A10 Assurances of Confidentiality</w:t>
      </w:r>
    </w:p>
    <w:p w:rsidR="00783F4E" w:rsidRDefault="00787426">
      <w:pPr>
        <w:spacing w:after="0" w:line="276" w:lineRule="auto"/>
        <w:rPr>
          <w:rFonts w:ascii="Times New Roman" w:hAnsi="Times New Roman"/>
          <w:sz w:val="22"/>
          <w:szCs w:val="22"/>
        </w:rPr>
      </w:pPr>
      <w:r>
        <w:rPr>
          <w:rFonts w:ascii="Times New Roman" w:hAnsi="Times New Roman"/>
          <w:sz w:val="22"/>
          <w:szCs w:val="22"/>
        </w:rPr>
        <w:t xml:space="preserve">The identity </w:t>
      </w:r>
      <w:r w:rsidR="001E624D" w:rsidRPr="001E624D">
        <w:rPr>
          <w:rFonts w:ascii="Times New Roman" w:hAnsi="Times New Roman"/>
          <w:sz w:val="22"/>
          <w:szCs w:val="22"/>
        </w:rPr>
        <w:t xml:space="preserve">of the </w:t>
      </w:r>
      <w:r w:rsidRPr="001E624D">
        <w:rPr>
          <w:rFonts w:ascii="Times New Roman" w:hAnsi="Times New Roman"/>
          <w:sz w:val="22"/>
          <w:szCs w:val="22"/>
        </w:rPr>
        <w:t>institutions</w:t>
      </w:r>
      <w:r>
        <w:rPr>
          <w:rFonts w:ascii="Times New Roman" w:hAnsi="Times New Roman"/>
          <w:sz w:val="22"/>
          <w:szCs w:val="22"/>
        </w:rPr>
        <w:t xml:space="preserve"> participating in the c</w:t>
      </w:r>
      <w:r w:rsidR="001E624D" w:rsidRPr="001E624D">
        <w:rPr>
          <w:rFonts w:ascii="Times New Roman" w:hAnsi="Times New Roman"/>
          <w:sz w:val="22"/>
          <w:szCs w:val="22"/>
        </w:rPr>
        <w:t xml:space="preserve">ase studies will not be </w:t>
      </w:r>
      <w:r w:rsidR="00BF56BB">
        <w:rPr>
          <w:rFonts w:ascii="Times New Roman" w:hAnsi="Times New Roman"/>
          <w:sz w:val="22"/>
          <w:szCs w:val="22"/>
        </w:rPr>
        <w:t xml:space="preserve">anonymous. </w:t>
      </w:r>
      <w:r>
        <w:rPr>
          <w:rFonts w:ascii="Times New Roman" w:hAnsi="Times New Roman"/>
          <w:sz w:val="22"/>
          <w:szCs w:val="22"/>
        </w:rPr>
        <w:t>However, information that p</w:t>
      </w:r>
      <w:r w:rsidR="00BF56BB">
        <w:rPr>
          <w:rFonts w:ascii="Times New Roman" w:hAnsi="Times New Roman"/>
          <w:sz w:val="22"/>
          <w:szCs w:val="22"/>
        </w:rPr>
        <w:t xml:space="preserve">articipants </w:t>
      </w:r>
      <w:r>
        <w:rPr>
          <w:rFonts w:ascii="Times New Roman" w:hAnsi="Times New Roman"/>
          <w:sz w:val="22"/>
          <w:szCs w:val="22"/>
        </w:rPr>
        <w:t xml:space="preserve">designated as “confidential” will not be published, unless it is publicly available or required by law. </w:t>
      </w:r>
    </w:p>
    <w:p w:rsidR="00D70DCA" w:rsidRPr="00FA353A" w:rsidRDefault="00D70DCA">
      <w:pPr>
        <w:spacing w:after="0" w:line="276" w:lineRule="auto"/>
        <w:rPr>
          <w:rFonts w:ascii="Times New Roman" w:hAnsi="Times New Roman"/>
          <w:sz w:val="22"/>
          <w:szCs w:val="22"/>
        </w:rPr>
      </w:pPr>
    </w:p>
    <w:p w:rsidR="00D70DCA" w:rsidRPr="00FA353A" w:rsidRDefault="001E624D">
      <w:pPr>
        <w:spacing w:after="0" w:line="276" w:lineRule="auto"/>
        <w:rPr>
          <w:rFonts w:ascii="Times New Roman" w:hAnsi="Times New Roman"/>
          <w:b/>
          <w:sz w:val="22"/>
          <w:szCs w:val="22"/>
        </w:rPr>
      </w:pPr>
      <w:r w:rsidRPr="001E624D">
        <w:rPr>
          <w:rFonts w:ascii="Times New Roman" w:hAnsi="Times New Roman"/>
          <w:b/>
          <w:sz w:val="22"/>
          <w:szCs w:val="22"/>
        </w:rPr>
        <w:t>A11 Justification of Sensitive Questions</w:t>
      </w:r>
    </w:p>
    <w:p w:rsidR="00D70DCA" w:rsidRPr="00FA353A" w:rsidRDefault="00783F4E">
      <w:pPr>
        <w:spacing w:after="0" w:line="276" w:lineRule="auto"/>
        <w:rPr>
          <w:rFonts w:ascii="Times New Roman" w:hAnsi="Times New Roman"/>
          <w:sz w:val="22"/>
          <w:szCs w:val="22"/>
        </w:rPr>
      </w:pPr>
      <w:r>
        <w:rPr>
          <w:rFonts w:ascii="Times New Roman" w:hAnsi="Times New Roman"/>
          <w:sz w:val="22"/>
          <w:szCs w:val="22"/>
        </w:rPr>
        <w:t xml:space="preserve">This study does not include </w:t>
      </w:r>
      <w:r w:rsidR="00787426">
        <w:rPr>
          <w:rFonts w:ascii="Times New Roman" w:hAnsi="Times New Roman"/>
          <w:sz w:val="22"/>
          <w:szCs w:val="22"/>
        </w:rPr>
        <w:t>q</w:t>
      </w:r>
      <w:r w:rsidR="001E624D" w:rsidRPr="001E624D">
        <w:rPr>
          <w:rFonts w:ascii="Times New Roman" w:hAnsi="Times New Roman"/>
          <w:sz w:val="22"/>
          <w:szCs w:val="22"/>
        </w:rPr>
        <w:t>uestions of a sensitive nature</w:t>
      </w:r>
      <w:r w:rsidR="00787426">
        <w:rPr>
          <w:rFonts w:ascii="Times New Roman" w:hAnsi="Times New Roman"/>
          <w:sz w:val="22"/>
          <w:szCs w:val="22"/>
        </w:rPr>
        <w:t xml:space="preserve"> with respect to individual privacy.</w:t>
      </w:r>
    </w:p>
    <w:p w:rsidR="00D70DCA" w:rsidRPr="00FA353A" w:rsidRDefault="00D70DCA">
      <w:pPr>
        <w:spacing w:after="0" w:line="276" w:lineRule="auto"/>
        <w:rPr>
          <w:rFonts w:ascii="Times New Roman" w:hAnsi="Times New Roman"/>
          <w:sz w:val="22"/>
          <w:szCs w:val="22"/>
        </w:rPr>
      </w:pPr>
    </w:p>
    <w:p w:rsidR="001D37C8" w:rsidRDefault="001E624D" w:rsidP="00171A29">
      <w:pPr>
        <w:spacing w:after="0"/>
        <w:rPr>
          <w:rFonts w:ascii="Times New Roman" w:hAnsi="Times New Roman"/>
          <w:b/>
          <w:sz w:val="22"/>
          <w:szCs w:val="22"/>
        </w:rPr>
      </w:pPr>
      <w:r w:rsidRPr="001E624D">
        <w:rPr>
          <w:rFonts w:ascii="Times New Roman" w:hAnsi="Times New Roman"/>
          <w:b/>
          <w:sz w:val="22"/>
          <w:szCs w:val="22"/>
        </w:rPr>
        <w:t xml:space="preserve">A12 Estimates of Respondent </w:t>
      </w:r>
      <w:r w:rsidR="00E52553">
        <w:rPr>
          <w:rFonts w:ascii="Times New Roman" w:hAnsi="Times New Roman"/>
          <w:b/>
          <w:sz w:val="22"/>
          <w:szCs w:val="22"/>
        </w:rPr>
        <w:t xml:space="preserve">annual </w:t>
      </w:r>
      <w:r w:rsidRPr="001E624D">
        <w:rPr>
          <w:rFonts w:ascii="Times New Roman" w:hAnsi="Times New Roman"/>
          <w:b/>
          <w:sz w:val="22"/>
          <w:szCs w:val="22"/>
        </w:rPr>
        <w:t>Hour</w:t>
      </w:r>
      <w:r w:rsidR="00E52553">
        <w:rPr>
          <w:rFonts w:ascii="Times New Roman" w:hAnsi="Times New Roman"/>
          <w:b/>
          <w:sz w:val="22"/>
          <w:szCs w:val="22"/>
        </w:rPr>
        <w:t xml:space="preserve"> and Cost</w:t>
      </w:r>
      <w:r w:rsidRPr="001E624D">
        <w:rPr>
          <w:rFonts w:ascii="Times New Roman" w:hAnsi="Times New Roman"/>
          <w:b/>
          <w:sz w:val="22"/>
          <w:szCs w:val="22"/>
        </w:rPr>
        <w:t xml:space="preserve"> Burden</w:t>
      </w:r>
    </w:p>
    <w:p w:rsidR="00171A29" w:rsidRPr="007C163A" w:rsidRDefault="00787426" w:rsidP="00171A29">
      <w:pPr>
        <w:spacing w:after="0"/>
        <w:rPr>
          <w:rFonts w:ascii="Times New Roman" w:hAnsi="Times New Roman"/>
          <w:sz w:val="22"/>
          <w:szCs w:val="22"/>
        </w:rPr>
      </w:pPr>
      <w:r>
        <w:rPr>
          <w:rFonts w:ascii="Times New Roman" w:hAnsi="Times New Roman"/>
          <w:sz w:val="22"/>
          <w:szCs w:val="22"/>
        </w:rPr>
        <w:t xml:space="preserve">For each case study, the project team will </w:t>
      </w:r>
      <w:r w:rsidR="001E624D" w:rsidRPr="007C163A">
        <w:rPr>
          <w:rFonts w:ascii="Times New Roman" w:hAnsi="Times New Roman"/>
          <w:sz w:val="22"/>
          <w:szCs w:val="22"/>
        </w:rPr>
        <w:t xml:space="preserve">interview up to 4 individuals at each of the </w:t>
      </w:r>
      <w:r>
        <w:rPr>
          <w:rFonts w:ascii="Times New Roman" w:hAnsi="Times New Roman"/>
          <w:sz w:val="22"/>
          <w:szCs w:val="22"/>
        </w:rPr>
        <w:t>8</w:t>
      </w:r>
      <w:r w:rsidR="001E624D" w:rsidRPr="007C163A">
        <w:rPr>
          <w:rFonts w:ascii="Times New Roman" w:hAnsi="Times New Roman"/>
          <w:sz w:val="22"/>
          <w:szCs w:val="22"/>
        </w:rPr>
        <w:t xml:space="preserve"> digitized special collection projects we select to profile, leading to a total of </w:t>
      </w:r>
      <w:r>
        <w:rPr>
          <w:rFonts w:ascii="Times New Roman" w:hAnsi="Times New Roman"/>
          <w:sz w:val="22"/>
          <w:szCs w:val="22"/>
        </w:rPr>
        <w:t>32</w:t>
      </w:r>
      <w:r w:rsidR="001E624D" w:rsidRPr="007C163A">
        <w:rPr>
          <w:rFonts w:ascii="Times New Roman" w:hAnsi="Times New Roman"/>
          <w:sz w:val="22"/>
          <w:szCs w:val="22"/>
        </w:rPr>
        <w:t xml:space="preserve"> anticipated respondents. We anticipate that the interview process will require 90 minutes for each individual interviewed. </w:t>
      </w:r>
    </w:p>
    <w:p w:rsidR="00171A29" w:rsidRPr="007C163A" w:rsidRDefault="00171A29" w:rsidP="00171A29">
      <w:pPr>
        <w:spacing w:after="0"/>
        <w:rPr>
          <w:rFonts w:ascii="Times New Roman" w:hAnsi="Times New Roman"/>
          <w:sz w:val="22"/>
          <w:szCs w:val="22"/>
        </w:rPr>
      </w:pPr>
    </w:p>
    <w:p w:rsidR="00171A29" w:rsidRPr="00BF6B2F" w:rsidRDefault="001E624D" w:rsidP="00171A29">
      <w:pPr>
        <w:spacing w:after="0"/>
        <w:rPr>
          <w:rFonts w:ascii="Times New Roman" w:hAnsi="Times New Roman"/>
          <w:sz w:val="22"/>
          <w:szCs w:val="22"/>
        </w:rPr>
      </w:pPr>
      <w:bookmarkStart w:id="0" w:name="_GoBack"/>
      <w:r w:rsidRPr="00BF6B2F">
        <w:rPr>
          <w:rFonts w:ascii="Times New Roman" w:hAnsi="Times New Roman"/>
          <w:sz w:val="22"/>
          <w:szCs w:val="22"/>
        </w:rPr>
        <w:t>We estimate interview</w:t>
      </w:r>
      <w:r w:rsidR="001A422C" w:rsidRPr="00BF6B2F">
        <w:rPr>
          <w:rFonts w:ascii="Times New Roman" w:hAnsi="Times New Roman"/>
          <w:sz w:val="22"/>
          <w:szCs w:val="22"/>
        </w:rPr>
        <w:t>s with</w:t>
      </w:r>
      <w:r w:rsidRPr="00BF6B2F">
        <w:rPr>
          <w:rFonts w:ascii="Times New Roman" w:hAnsi="Times New Roman"/>
          <w:sz w:val="22"/>
          <w:szCs w:val="22"/>
        </w:rPr>
        <w:t xml:space="preserve"> up to </w:t>
      </w:r>
      <w:r w:rsidR="00787426" w:rsidRPr="00BF6B2F">
        <w:rPr>
          <w:rFonts w:ascii="Times New Roman" w:hAnsi="Times New Roman"/>
          <w:sz w:val="22"/>
          <w:szCs w:val="22"/>
        </w:rPr>
        <w:t>8</w:t>
      </w:r>
      <w:r w:rsidRPr="00BF6B2F">
        <w:rPr>
          <w:rFonts w:ascii="Times New Roman" w:hAnsi="Times New Roman"/>
          <w:sz w:val="22"/>
          <w:szCs w:val="22"/>
        </w:rPr>
        <w:t xml:space="preserve"> archivists, up to </w:t>
      </w:r>
      <w:r w:rsidR="00787426" w:rsidRPr="00BF6B2F">
        <w:rPr>
          <w:rFonts w:ascii="Times New Roman" w:hAnsi="Times New Roman"/>
          <w:sz w:val="22"/>
          <w:szCs w:val="22"/>
        </w:rPr>
        <w:t>8</w:t>
      </w:r>
      <w:r w:rsidRPr="00BF6B2F">
        <w:rPr>
          <w:rFonts w:ascii="Times New Roman" w:hAnsi="Times New Roman"/>
          <w:sz w:val="22"/>
          <w:szCs w:val="22"/>
        </w:rPr>
        <w:t xml:space="preserve"> librarians</w:t>
      </w:r>
      <w:r w:rsidR="001A422C" w:rsidRPr="00BF6B2F">
        <w:rPr>
          <w:rFonts w:ascii="Times New Roman" w:hAnsi="Times New Roman"/>
          <w:sz w:val="22"/>
          <w:szCs w:val="22"/>
        </w:rPr>
        <w:t>,</w:t>
      </w:r>
      <w:r w:rsidRPr="00BF6B2F">
        <w:rPr>
          <w:rFonts w:ascii="Times New Roman" w:hAnsi="Times New Roman"/>
          <w:sz w:val="22"/>
          <w:szCs w:val="22"/>
        </w:rPr>
        <w:t xml:space="preserve"> and up to </w:t>
      </w:r>
      <w:r w:rsidR="00787426" w:rsidRPr="00BF6B2F">
        <w:rPr>
          <w:rFonts w:ascii="Times New Roman" w:hAnsi="Times New Roman"/>
          <w:sz w:val="22"/>
          <w:szCs w:val="22"/>
        </w:rPr>
        <w:t>16</w:t>
      </w:r>
      <w:r w:rsidRPr="00BF6B2F">
        <w:rPr>
          <w:rFonts w:ascii="Times New Roman" w:hAnsi="Times New Roman"/>
          <w:sz w:val="22"/>
          <w:szCs w:val="22"/>
        </w:rPr>
        <w:t xml:space="preserve"> professors or curators. </w:t>
      </w:r>
      <w:r w:rsidR="00584C4A" w:rsidRPr="00BF6B2F">
        <w:rPr>
          <w:rFonts w:ascii="Times New Roman" w:hAnsi="Times New Roman"/>
          <w:sz w:val="22"/>
          <w:szCs w:val="22"/>
        </w:rPr>
        <w:t xml:space="preserve">Estimated hourly salary for these participants is $21.73, $28.99, and $85.00 respectively. This translates into an estimated annualized cost of $32.59 to each archivist, $43.49 to each librarian, and $127.50 to each professor. The estimated total hour burden is </w:t>
      </w:r>
      <w:r w:rsidR="00BF6B2F" w:rsidRPr="00BF6B2F">
        <w:rPr>
          <w:rFonts w:ascii="Times New Roman" w:hAnsi="Times New Roman"/>
          <w:sz w:val="22"/>
          <w:szCs w:val="22"/>
        </w:rPr>
        <w:t>48</w:t>
      </w:r>
      <w:r w:rsidR="00584C4A" w:rsidRPr="00BF6B2F">
        <w:rPr>
          <w:rFonts w:ascii="Times New Roman" w:hAnsi="Times New Roman"/>
          <w:sz w:val="22"/>
          <w:szCs w:val="22"/>
        </w:rPr>
        <w:t xml:space="preserve"> (1</w:t>
      </w:r>
      <w:r w:rsidR="00BF6B2F" w:rsidRPr="00BF6B2F">
        <w:rPr>
          <w:rFonts w:ascii="Times New Roman" w:hAnsi="Times New Roman"/>
          <w:sz w:val="22"/>
          <w:szCs w:val="22"/>
        </w:rPr>
        <w:t>2</w:t>
      </w:r>
      <w:r w:rsidR="00584C4A" w:rsidRPr="00BF6B2F">
        <w:rPr>
          <w:rFonts w:ascii="Times New Roman" w:hAnsi="Times New Roman"/>
          <w:sz w:val="22"/>
          <w:szCs w:val="22"/>
        </w:rPr>
        <w:t xml:space="preserve"> for all archivists, 1</w:t>
      </w:r>
      <w:r w:rsidR="00BF6B2F" w:rsidRPr="00BF6B2F">
        <w:rPr>
          <w:rFonts w:ascii="Times New Roman" w:hAnsi="Times New Roman"/>
          <w:sz w:val="22"/>
          <w:szCs w:val="22"/>
        </w:rPr>
        <w:t>2</w:t>
      </w:r>
      <w:r w:rsidR="00584C4A" w:rsidRPr="00BF6B2F">
        <w:rPr>
          <w:rFonts w:ascii="Times New Roman" w:hAnsi="Times New Roman"/>
          <w:sz w:val="22"/>
          <w:szCs w:val="22"/>
        </w:rPr>
        <w:t xml:space="preserve"> for all librarians, and </w:t>
      </w:r>
      <w:r w:rsidR="00BF6B2F" w:rsidRPr="00BF6B2F">
        <w:rPr>
          <w:rFonts w:ascii="Times New Roman" w:hAnsi="Times New Roman"/>
          <w:sz w:val="22"/>
          <w:szCs w:val="22"/>
        </w:rPr>
        <w:t>24</w:t>
      </w:r>
      <w:r w:rsidR="00584C4A" w:rsidRPr="00BF6B2F">
        <w:rPr>
          <w:rFonts w:ascii="Times New Roman" w:hAnsi="Times New Roman"/>
          <w:sz w:val="22"/>
          <w:szCs w:val="22"/>
        </w:rPr>
        <w:t xml:space="preserve"> for all professors) for </w:t>
      </w:r>
      <w:r w:rsidR="00BF6B2F" w:rsidRPr="00BF6B2F">
        <w:rPr>
          <w:rFonts w:ascii="Times New Roman" w:hAnsi="Times New Roman"/>
          <w:sz w:val="22"/>
          <w:szCs w:val="22"/>
        </w:rPr>
        <w:t>32</w:t>
      </w:r>
      <w:r w:rsidR="00584C4A" w:rsidRPr="00BF6B2F">
        <w:rPr>
          <w:rFonts w:ascii="Times New Roman" w:hAnsi="Times New Roman"/>
          <w:sz w:val="22"/>
          <w:szCs w:val="22"/>
        </w:rPr>
        <w:t xml:space="preserve"> anticipated </w:t>
      </w:r>
      <w:r w:rsidR="00BF6B2F" w:rsidRPr="00BF6B2F">
        <w:rPr>
          <w:rFonts w:ascii="Times New Roman" w:hAnsi="Times New Roman"/>
          <w:sz w:val="22"/>
          <w:szCs w:val="22"/>
        </w:rPr>
        <w:t>participants</w:t>
      </w:r>
      <w:r w:rsidR="00584C4A" w:rsidRPr="00BF6B2F">
        <w:rPr>
          <w:rFonts w:ascii="Times New Roman" w:hAnsi="Times New Roman"/>
          <w:sz w:val="22"/>
          <w:szCs w:val="22"/>
        </w:rPr>
        <w:t>. The estimated total cost burden is $</w:t>
      </w:r>
      <w:r w:rsidR="00562844">
        <w:rPr>
          <w:rFonts w:ascii="Times New Roman" w:hAnsi="Times New Roman"/>
          <w:sz w:val="22"/>
          <w:szCs w:val="22"/>
        </w:rPr>
        <w:t>260.76</w:t>
      </w:r>
      <w:r w:rsidR="00584C4A" w:rsidRPr="00BF6B2F">
        <w:rPr>
          <w:rFonts w:ascii="Times New Roman" w:hAnsi="Times New Roman"/>
          <w:sz w:val="22"/>
          <w:szCs w:val="22"/>
        </w:rPr>
        <w:t xml:space="preserve"> (for archivists) + $</w:t>
      </w:r>
      <w:r w:rsidR="00562844">
        <w:rPr>
          <w:rFonts w:ascii="Times New Roman" w:hAnsi="Times New Roman"/>
          <w:sz w:val="22"/>
          <w:szCs w:val="22"/>
        </w:rPr>
        <w:t>347.88</w:t>
      </w:r>
      <w:r w:rsidR="00BF6B2F" w:rsidRPr="00BF6B2F">
        <w:rPr>
          <w:rFonts w:ascii="Times New Roman" w:hAnsi="Times New Roman"/>
          <w:sz w:val="22"/>
          <w:szCs w:val="22"/>
        </w:rPr>
        <w:t xml:space="preserve"> </w:t>
      </w:r>
      <w:r w:rsidR="00584C4A" w:rsidRPr="00BF6B2F">
        <w:rPr>
          <w:rFonts w:ascii="Times New Roman" w:hAnsi="Times New Roman"/>
          <w:sz w:val="22"/>
          <w:szCs w:val="22"/>
        </w:rPr>
        <w:t>(for librarians) + $</w:t>
      </w:r>
      <w:r w:rsidR="00562844">
        <w:rPr>
          <w:rFonts w:ascii="Times New Roman" w:hAnsi="Times New Roman"/>
          <w:sz w:val="22"/>
          <w:szCs w:val="22"/>
        </w:rPr>
        <w:t>2,040</w:t>
      </w:r>
      <w:r w:rsidR="00BF6B2F" w:rsidRPr="00BF6B2F">
        <w:rPr>
          <w:rFonts w:ascii="Times New Roman" w:hAnsi="Times New Roman"/>
          <w:sz w:val="22"/>
          <w:szCs w:val="22"/>
        </w:rPr>
        <w:t xml:space="preserve"> </w:t>
      </w:r>
      <w:r w:rsidR="00584C4A" w:rsidRPr="00BF6B2F">
        <w:rPr>
          <w:rFonts w:ascii="Times New Roman" w:hAnsi="Times New Roman"/>
          <w:sz w:val="22"/>
          <w:szCs w:val="22"/>
        </w:rPr>
        <w:t xml:space="preserve">(for professors and curators) = </w:t>
      </w:r>
      <w:r w:rsidR="00BF6B2F" w:rsidRPr="00BF6B2F">
        <w:rPr>
          <w:rFonts w:ascii="Times New Roman" w:hAnsi="Times New Roman"/>
          <w:sz w:val="22"/>
          <w:szCs w:val="22"/>
        </w:rPr>
        <w:t>$</w:t>
      </w:r>
      <w:r w:rsidR="00562844">
        <w:rPr>
          <w:rFonts w:ascii="Times New Roman" w:hAnsi="Times New Roman"/>
          <w:sz w:val="22"/>
          <w:szCs w:val="22"/>
        </w:rPr>
        <w:t>2,648.64</w:t>
      </w:r>
    </w:p>
    <w:bookmarkEnd w:id="0"/>
    <w:p w:rsidR="00171A29" w:rsidRPr="00BF6B2F" w:rsidRDefault="00171A29">
      <w:pPr>
        <w:spacing w:after="0" w:line="276" w:lineRule="auto"/>
        <w:rPr>
          <w:rFonts w:ascii="Times New Roman" w:hAnsi="Times New Roman"/>
          <w:b/>
          <w:sz w:val="22"/>
          <w:szCs w:val="22"/>
        </w:rPr>
      </w:pPr>
    </w:p>
    <w:p w:rsidR="00C91197" w:rsidRPr="00BF6B2F" w:rsidRDefault="00584C4A">
      <w:pPr>
        <w:spacing w:after="0" w:line="276" w:lineRule="auto"/>
        <w:rPr>
          <w:rFonts w:ascii="Times New Roman" w:hAnsi="Times New Roman"/>
          <w:b/>
          <w:sz w:val="22"/>
          <w:szCs w:val="22"/>
        </w:rPr>
      </w:pPr>
      <w:r w:rsidRPr="00BF6B2F">
        <w:rPr>
          <w:rFonts w:ascii="Times New Roman" w:hAnsi="Times New Roman"/>
          <w:b/>
          <w:sz w:val="22"/>
          <w:szCs w:val="22"/>
        </w:rPr>
        <w:t>A13 Total annual cost burden to respondents</w:t>
      </w:r>
    </w:p>
    <w:p w:rsidR="0009758B" w:rsidRPr="00787426" w:rsidRDefault="00584C4A">
      <w:pPr>
        <w:spacing w:after="0" w:line="276" w:lineRule="auto"/>
        <w:rPr>
          <w:rFonts w:ascii="Times New Roman" w:hAnsi="Times New Roman"/>
          <w:sz w:val="22"/>
          <w:szCs w:val="22"/>
          <w:highlight w:val="yellow"/>
        </w:rPr>
      </w:pPr>
      <w:r w:rsidRPr="00BF6B2F">
        <w:rPr>
          <w:rFonts w:ascii="Times New Roman" w:hAnsi="Times New Roman"/>
          <w:sz w:val="22"/>
          <w:szCs w:val="22"/>
        </w:rPr>
        <w:t xml:space="preserve">We anticipate a total annual cost burden of </w:t>
      </w:r>
      <w:r w:rsidR="00BF6B2F" w:rsidRPr="00BF6B2F">
        <w:rPr>
          <w:rFonts w:ascii="Times New Roman" w:hAnsi="Times New Roman"/>
          <w:sz w:val="22"/>
          <w:szCs w:val="22"/>
        </w:rPr>
        <w:t>$</w:t>
      </w:r>
      <w:r w:rsidR="00283635">
        <w:rPr>
          <w:rFonts w:ascii="Times New Roman" w:hAnsi="Times New Roman"/>
          <w:sz w:val="22"/>
          <w:szCs w:val="22"/>
        </w:rPr>
        <w:t>2,648.64</w:t>
      </w:r>
    </w:p>
    <w:p w:rsidR="009A1C2D" w:rsidRPr="007C163A" w:rsidRDefault="009A1C2D">
      <w:pPr>
        <w:spacing w:after="0" w:line="276" w:lineRule="auto"/>
        <w:rPr>
          <w:rFonts w:ascii="Times New Roman" w:hAnsi="Times New Roman"/>
          <w:sz w:val="22"/>
          <w:szCs w:val="22"/>
        </w:rPr>
      </w:pPr>
    </w:p>
    <w:p w:rsidR="009A1C2D" w:rsidRPr="007C163A" w:rsidRDefault="009A1C2D">
      <w:pPr>
        <w:spacing w:after="0" w:line="276" w:lineRule="auto"/>
        <w:rPr>
          <w:rFonts w:ascii="Times New Roman" w:hAnsi="Times New Roman"/>
          <w:sz w:val="22"/>
          <w:szCs w:val="22"/>
        </w:rPr>
      </w:pPr>
    </w:p>
    <w:p w:rsidR="00C91197" w:rsidRPr="007C163A" w:rsidRDefault="001E624D" w:rsidP="00C91197">
      <w:pPr>
        <w:spacing w:after="0" w:line="276" w:lineRule="auto"/>
        <w:rPr>
          <w:rFonts w:ascii="Times New Roman" w:hAnsi="Times New Roman"/>
          <w:b/>
          <w:sz w:val="22"/>
          <w:szCs w:val="22"/>
        </w:rPr>
      </w:pPr>
      <w:r w:rsidRPr="007C163A">
        <w:rPr>
          <w:rFonts w:ascii="Times New Roman" w:hAnsi="Times New Roman"/>
          <w:b/>
          <w:sz w:val="22"/>
          <w:szCs w:val="22"/>
        </w:rPr>
        <w:t>A14 Estimates of Annual Cost Burden to Federal Government</w:t>
      </w:r>
    </w:p>
    <w:p w:rsidR="00C91197" w:rsidRPr="007C163A" w:rsidRDefault="001E624D" w:rsidP="00C91197">
      <w:pPr>
        <w:spacing w:after="0" w:line="276" w:lineRule="auto"/>
        <w:rPr>
          <w:rFonts w:ascii="Times New Roman" w:hAnsi="Times New Roman"/>
          <w:sz w:val="22"/>
          <w:szCs w:val="22"/>
        </w:rPr>
      </w:pPr>
      <w:r w:rsidRPr="007C163A">
        <w:rPr>
          <w:rFonts w:ascii="Times New Roman" w:hAnsi="Times New Roman"/>
          <w:sz w:val="22"/>
          <w:szCs w:val="22"/>
        </w:rPr>
        <w:t xml:space="preserve">This is a one-time </w:t>
      </w:r>
      <w:r w:rsidR="00787426">
        <w:rPr>
          <w:rFonts w:ascii="Times New Roman" w:hAnsi="Times New Roman"/>
          <w:sz w:val="22"/>
          <w:szCs w:val="22"/>
        </w:rPr>
        <w:t xml:space="preserve">study, with no ongoing costs. </w:t>
      </w:r>
    </w:p>
    <w:p w:rsidR="00C91197" w:rsidRPr="007C163A" w:rsidRDefault="00C91197">
      <w:pPr>
        <w:spacing w:after="0" w:line="276" w:lineRule="auto"/>
        <w:rPr>
          <w:rFonts w:ascii="Times New Roman" w:hAnsi="Times New Roman"/>
          <w:sz w:val="22"/>
          <w:szCs w:val="22"/>
        </w:rPr>
      </w:pPr>
    </w:p>
    <w:p w:rsidR="00574564" w:rsidRPr="007C163A" w:rsidRDefault="001E624D">
      <w:pPr>
        <w:spacing w:after="0" w:line="276" w:lineRule="auto"/>
        <w:rPr>
          <w:rFonts w:ascii="Times New Roman" w:hAnsi="Times New Roman"/>
          <w:b/>
          <w:sz w:val="22"/>
          <w:szCs w:val="22"/>
        </w:rPr>
      </w:pPr>
      <w:r w:rsidRPr="007C163A">
        <w:rPr>
          <w:rFonts w:ascii="Times New Roman" w:hAnsi="Times New Roman"/>
          <w:b/>
          <w:sz w:val="22"/>
          <w:szCs w:val="22"/>
        </w:rPr>
        <w:t xml:space="preserve">A15 Program Changes in Burden and Cost Estimates </w:t>
      </w:r>
    </w:p>
    <w:p w:rsidR="00574564" w:rsidRPr="007C163A" w:rsidRDefault="001E624D">
      <w:pPr>
        <w:spacing w:after="0" w:line="276" w:lineRule="auto"/>
        <w:rPr>
          <w:rFonts w:ascii="Times New Roman" w:hAnsi="Times New Roman"/>
          <w:sz w:val="22"/>
          <w:szCs w:val="22"/>
        </w:rPr>
      </w:pPr>
      <w:r w:rsidRPr="007C163A">
        <w:rPr>
          <w:rFonts w:ascii="Times New Roman" w:hAnsi="Times New Roman"/>
          <w:sz w:val="22"/>
          <w:szCs w:val="22"/>
        </w:rPr>
        <w:t>This request is for new information collection. No changes have yet been needed.</w:t>
      </w:r>
    </w:p>
    <w:p w:rsidR="00574564" w:rsidRPr="007C163A" w:rsidRDefault="00574564">
      <w:pPr>
        <w:spacing w:after="0" w:line="276" w:lineRule="auto"/>
        <w:rPr>
          <w:rFonts w:ascii="Times New Roman" w:hAnsi="Times New Roman"/>
          <w:sz w:val="22"/>
          <w:szCs w:val="22"/>
        </w:rPr>
      </w:pPr>
    </w:p>
    <w:p w:rsidR="00574564" w:rsidRPr="007C163A" w:rsidRDefault="001E624D">
      <w:pPr>
        <w:spacing w:after="0" w:line="276" w:lineRule="auto"/>
        <w:rPr>
          <w:rFonts w:ascii="Times New Roman" w:hAnsi="Times New Roman"/>
          <w:b/>
          <w:sz w:val="22"/>
          <w:szCs w:val="22"/>
        </w:rPr>
      </w:pPr>
      <w:r w:rsidRPr="007C163A">
        <w:rPr>
          <w:rFonts w:ascii="Times New Roman" w:hAnsi="Times New Roman"/>
          <w:b/>
          <w:sz w:val="22"/>
          <w:szCs w:val="22"/>
        </w:rPr>
        <w:lastRenderedPageBreak/>
        <w:t>A16 Plans and Schedules for Tabulation and Publication</w:t>
      </w:r>
    </w:p>
    <w:p w:rsidR="00CD5F32" w:rsidRPr="007C163A" w:rsidRDefault="00783F4E" w:rsidP="00262650">
      <w:pPr>
        <w:rPr>
          <w:rFonts w:ascii="Times New Roman" w:hAnsi="Times New Roman"/>
          <w:sz w:val="22"/>
          <w:szCs w:val="22"/>
        </w:rPr>
      </w:pPr>
      <w:r>
        <w:rPr>
          <w:rFonts w:ascii="Times New Roman" w:hAnsi="Times New Roman"/>
          <w:sz w:val="22"/>
          <w:szCs w:val="22"/>
        </w:rPr>
        <w:t>Findings will be presented as eight case studies and a summary report. Information</w:t>
      </w:r>
      <w:r w:rsidR="001E624D" w:rsidRPr="007C163A">
        <w:rPr>
          <w:rFonts w:ascii="Times New Roman" w:hAnsi="Times New Roman"/>
          <w:sz w:val="22"/>
          <w:szCs w:val="22"/>
        </w:rPr>
        <w:t xml:space="preserve"> gathered for this </w:t>
      </w:r>
      <w:r>
        <w:rPr>
          <w:rFonts w:ascii="Times New Roman" w:hAnsi="Times New Roman"/>
          <w:sz w:val="22"/>
          <w:szCs w:val="22"/>
        </w:rPr>
        <w:t xml:space="preserve">study </w:t>
      </w:r>
      <w:r w:rsidR="001E624D" w:rsidRPr="007C163A">
        <w:rPr>
          <w:rFonts w:ascii="Times New Roman" w:hAnsi="Times New Roman"/>
          <w:sz w:val="22"/>
          <w:szCs w:val="22"/>
        </w:rPr>
        <w:t xml:space="preserve">will not be tabulated or published. </w:t>
      </w:r>
    </w:p>
    <w:p w:rsidR="00E17811" w:rsidRPr="007C163A" w:rsidRDefault="001E624D" w:rsidP="00262650">
      <w:pPr>
        <w:rPr>
          <w:rFonts w:ascii="Times New Roman" w:hAnsi="Times New Roman"/>
          <w:sz w:val="22"/>
          <w:szCs w:val="22"/>
        </w:rPr>
      </w:pPr>
      <w:r w:rsidRPr="007C163A">
        <w:rPr>
          <w:rFonts w:ascii="Times New Roman" w:hAnsi="Times New Roman"/>
          <w:sz w:val="22"/>
          <w:szCs w:val="22"/>
        </w:rPr>
        <w:t>Pending OMB approval, the</w:t>
      </w:r>
      <w:r w:rsidR="00787426">
        <w:rPr>
          <w:rFonts w:ascii="Times New Roman" w:hAnsi="Times New Roman"/>
          <w:sz w:val="22"/>
          <w:szCs w:val="22"/>
        </w:rPr>
        <w:t xml:space="preserve"> study will take place on the following schedule: </w:t>
      </w:r>
      <w:r w:rsidRPr="007C163A">
        <w:rPr>
          <w:rFonts w:ascii="Times New Roman" w:hAnsi="Times New Roman"/>
          <w:sz w:val="22"/>
          <w:szCs w:val="22"/>
        </w:rPr>
        <w:t xml:space="preserve"> </w:t>
      </w:r>
    </w:p>
    <w:p w:rsidR="00783F4E" w:rsidRDefault="00787426">
      <w:pPr>
        <w:ind w:left="720"/>
        <w:rPr>
          <w:rFonts w:ascii="Times New Roman" w:hAnsi="Times New Roman"/>
          <w:sz w:val="22"/>
          <w:szCs w:val="22"/>
        </w:rPr>
      </w:pPr>
      <w:r>
        <w:rPr>
          <w:rFonts w:ascii="Times New Roman" w:hAnsi="Times New Roman"/>
          <w:sz w:val="22"/>
          <w:szCs w:val="22"/>
        </w:rPr>
        <w:t xml:space="preserve">June-July </w:t>
      </w:r>
      <w:r w:rsidR="001E624D" w:rsidRPr="007C163A">
        <w:rPr>
          <w:rFonts w:ascii="Times New Roman" w:hAnsi="Times New Roman"/>
          <w:sz w:val="22"/>
          <w:szCs w:val="22"/>
        </w:rPr>
        <w:t>2012</w:t>
      </w:r>
      <w:r>
        <w:rPr>
          <w:rFonts w:ascii="Times New Roman" w:hAnsi="Times New Roman"/>
          <w:sz w:val="22"/>
          <w:szCs w:val="22"/>
        </w:rPr>
        <w:t>:</w:t>
      </w:r>
      <w:r w:rsidR="001E624D" w:rsidRPr="007C163A">
        <w:rPr>
          <w:rFonts w:ascii="Times New Roman" w:hAnsi="Times New Roman"/>
          <w:sz w:val="22"/>
          <w:szCs w:val="22"/>
        </w:rPr>
        <w:t xml:space="preserve"> </w:t>
      </w:r>
      <w:r>
        <w:rPr>
          <w:rFonts w:ascii="Times New Roman" w:hAnsi="Times New Roman"/>
          <w:sz w:val="22"/>
          <w:szCs w:val="22"/>
        </w:rPr>
        <w:t xml:space="preserve">Screening/identification of case study subjects </w:t>
      </w:r>
    </w:p>
    <w:p w:rsidR="00783F4E" w:rsidRDefault="00787426">
      <w:pPr>
        <w:ind w:left="720"/>
        <w:rPr>
          <w:rFonts w:ascii="Times New Roman" w:hAnsi="Times New Roman"/>
          <w:sz w:val="22"/>
          <w:szCs w:val="22"/>
        </w:rPr>
      </w:pPr>
      <w:r>
        <w:rPr>
          <w:rFonts w:ascii="Times New Roman" w:hAnsi="Times New Roman"/>
          <w:sz w:val="22"/>
          <w:szCs w:val="22"/>
        </w:rPr>
        <w:t xml:space="preserve">July – October 2012:  Interviews </w:t>
      </w:r>
    </w:p>
    <w:p w:rsidR="00783F4E" w:rsidRDefault="00787426">
      <w:pPr>
        <w:ind w:left="720"/>
        <w:rPr>
          <w:rFonts w:ascii="Times New Roman" w:hAnsi="Times New Roman"/>
          <w:sz w:val="22"/>
          <w:szCs w:val="22"/>
        </w:rPr>
      </w:pPr>
      <w:r>
        <w:rPr>
          <w:rFonts w:ascii="Times New Roman" w:hAnsi="Times New Roman"/>
          <w:sz w:val="22"/>
          <w:szCs w:val="22"/>
        </w:rPr>
        <w:t>November –December 2012: Analysis and writing</w:t>
      </w:r>
    </w:p>
    <w:p w:rsidR="00783F4E" w:rsidRDefault="00787426">
      <w:pPr>
        <w:ind w:left="720"/>
        <w:rPr>
          <w:rFonts w:ascii="Times New Roman" w:hAnsi="Times New Roman"/>
          <w:sz w:val="22"/>
          <w:szCs w:val="22"/>
        </w:rPr>
      </w:pPr>
      <w:r>
        <w:rPr>
          <w:rFonts w:ascii="Times New Roman" w:hAnsi="Times New Roman"/>
          <w:sz w:val="22"/>
          <w:szCs w:val="22"/>
        </w:rPr>
        <w:t>Q1 2012: Final drafts and publication of case studies and final report.</w:t>
      </w:r>
    </w:p>
    <w:p w:rsidR="00787426" w:rsidRDefault="00787426" w:rsidP="00324CCD">
      <w:pPr>
        <w:rPr>
          <w:rFonts w:ascii="Times New Roman" w:hAnsi="Times New Roman"/>
          <w:sz w:val="22"/>
          <w:szCs w:val="22"/>
        </w:rPr>
      </w:pPr>
    </w:p>
    <w:p w:rsidR="00574564" w:rsidRPr="00324CCD" w:rsidRDefault="001E624D" w:rsidP="00324CCD">
      <w:pPr>
        <w:rPr>
          <w:rFonts w:ascii="Times New Roman" w:hAnsi="Times New Roman"/>
          <w:sz w:val="22"/>
          <w:szCs w:val="22"/>
        </w:rPr>
      </w:pPr>
      <w:r w:rsidRPr="007C163A">
        <w:rPr>
          <w:rFonts w:ascii="Times New Roman" w:hAnsi="Times New Roman"/>
          <w:b/>
          <w:sz w:val="22"/>
          <w:szCs w:val="22"/>
        </w:rPr>
        <w:t xml:space="preserve">A17 Expiration Data Omission Approval </w:t>
      </w:r>
    </w:p>
    <w:p w:rsidR="00574564" w:rsidRPr="006A3C9E" w:rsidRDefault="001E624D">
      <w:pPr>
        <w:spacing w:after="0" w:line="276" w:lineRule="auto"/>
        <w:rPr>
          <w:rFonts w:ascii="Times New Roman" w:hAnsi="Times New Roman"/>
          <w:sz w:val="22"/>
          <w:szCs w:val="22"/>
        </w:rPr>
      </w:pPr>
      <w:r w:rsidRPr="006A3C9E">
        <w:rPr>
          <w:rFonts w:ascii="Times New Roman" w:hAnsi="Times New Roman"/>
          <w:sz w:val="22"/>
          <w:szCs w:val="22"/>
        </w:rPr>
        <w:t>Not applicable</w:t>
      </w:r>
      <w:r w:rsidR="006A3C9E">
        <w:rPr>
          <w:rFonts w:ascii="Times New Roman" w:hAnsi="Times New Roman"/>
          <w:sz w:val="22"/>
          <w:szCs w:val="22"/>
        </w:rPr>
        <w:t>.</w:t>
      </w:r>
    </w:p>
    <w:p w:rsidR="00574564" w:rsidRPr="006A3C9E" w:rsidRDefault="00574564">
      <w:pPr>
        <w:spacing w:after="0" w:line="276" w:lineRule="auto"/>
        <w:rPr>
          <w:rFonts w:ascii="Times New Roman" w:hAnsi="Times New Roman"/>
          <w:sz w:val="22"/>
          <w:szCs w:val="22"/>
        </w:rPr>
      </w:pPr>
    </w:p>
    <w:p w:rsidR="00574564" w:rsidRPr="006A3C9E" w:rsidRDefault="001E624D">
      <w:pPr>
        <w:spacing w:after="0" w:line="276" w:lineRule="auto"/>
        <w:rPr>
          <w:rFonts w:ascii="Times New Roman" w:hAnsi="Times New Roman"/>
          <w:b/>
          <w:sz w:val="22"/>
          <w:szCs w:val="22"/>
        </w:rPr>
      </w:pPr>
      <w:r w:rsidRPr="006A3C9E">
        <w:rPr>
          <w:rFonts w:ascii="Times New Roman" w:hAnsi="Times New Roman"/>
          <w:b/>
          <w:sz w:val="22"/>
          <w:szCs w:val="22"/>
        </w:rPr>
        <w:t>A18 Exceptions</w:t>
      </w:r>
    </w:p>
    <w:p w:rsidR="00574564" w:rsidRPr="007C163A" w:rsidRDefault="001E624D">
      <w:pPr>
        <w:spacing w:after="0" w:line="276" w:lineRule="auto"/>
        <w:rPr>
          <w:rFonts w:ascii="Times New Roman" w:hAnsi="Times New Roman"/>
          <w:sz w:val="22"/>
          <w:szCs w:val="22"/>
        </w:rPr>
      </w:pPr>
      <w:r w:rsidRPr="006A3C9E">
        <w:rPr>
          <w:rFonts w:ascii="Times New Roman" w:hAnsi="Times New Roman"/>
          <w:sz w:val="22"/>
          <w:szCs w:val="22"/>
        </w:rPr>
        <w:t>Not applicable. No exceptions are requested.</w:t>
      </w:r>
      <w:r w:rsidRPr="007C163A">
        <w:rPr>
          <w:rFonts w:ascii="Times New Roman" w:hAnsi="Times New Roman"/>
          <w:sz w:val="22"/>
          <w:szCs w:val="22"/>
        </w:rPr>
        <w:t xml:space="preserve"> </w:t>
      </w:r>
    </w:p>
    <w:sectPr w:rsidR="00574564" w:rsidRPr="007C163A" w:rsidSect="006C463B">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7C8" w:rsidRDefault="001D37C8" w:rsidP="00F97803">
      <w:pPr>
        <w:spacing w:after="0"/>
      </w:pPr>
      <w:r>
        <w:separator/>
      </w:r>
    </w:p>
  </w:endnote>
  <w:endnote w:type="continuationSeparator" w:id="0">
    <w:p w:rsidR="001D37C8" w:rsidRDefault="001D37C8" w:rsidP="00F97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550"/>
      <w:docPartObj>
        <w:docPartGallery w:val="Page Numbers (Bottom of Page)"/>
        <w:docPartUnique/>
      </w:docPartObj>
    </w:sdtPr>
    <w:sdtEndPr/>
    <w:sdtContent>
      <w:sdt>
        <w:sdtPr>
          <w:id w:val="565050477"/>
          <w:docPartObj>
            <w:docPartGallery w:val="Page Numbers (Top of Page)"/>
            <w:docPartUnique/>
          </w:docPartObj>
        </w:sdtPr>
        <w:sdtEndPr/>
        <w:sdtContent>
          <w:p w:rsidR="001D37C8" w:rsidRDefault="001D37C8">
            <w:pPr>
              <w:pStyle w:val="Footer"/>
              <w:jc w:val="center"/>
            </w:pPr>
            <w:r>
              <w:t xml:space="preserve">Page </w:t>
            </w:r>
            <w:r>
              <w:rPr>
                <w:b/>
              </w:rPr>
              <w:fldChar w:fldCharType="begin"/>
            </w:r>
            <w:r>
              <w:rPr>
                <w:b/>
              </w:rPr>
              <w:instrText xml:space="preserve"> PAGE </w:instrText>
            </w:r>
            <w:r>
              <w:rPr>
                <w:b/>
              </w:rPr>
              <w:fldChar w:fldCharType="separate"/>
            </w:r>
            <w:r w:rsidR="00375701">
              <w:rPr>
                <w:b/>
                <w:noProof/>
              </w:rPr>
              <w:t>4</w:t>
            </w:r>
            <w:r>
              <w:rPr>
                <w:b/>
              </w:rPr>
              <w:fldChar w:fldCharType="end"/>
            </w:r>
            <w:r>
              <w:t xml:space="preserve"> of </w:t>
            </w:r>
            <w:r>
              <w:rPr>
                <w:b/>
              </w:rPr>
              <w:fldChar w:fldCharType="begin"/>
            </w:r>
            <w:r>
              <w:rPr>
                <w:b/>
              </w:rPr>
              <w:instrText xml:space="preserve"> NUMPAGES  </w:instrText>
            </w:r>
            <w:r>
              <w:rPr>
                <w:b/>
              </w:rPr>
              <w:fldChar w:fldCharType="separate"/>
            </w:r>
            <w:r w:rsidR="00375701">
              <w:rPr>
                <w:b/>
                <w:noProof/>
              </w:rPr>
              <w:t>5</w:t>
            </w:r>
            <w:r>
              <w:rPr>
                <w:b/>
              </w:rPr>
              <w:fldChar w:fldCharType="end"/>
            </w:r>
          </w:p>
        </w:sdtContent>
      </w:sdt>
    </w:sdtContent>
  </w:sdt>
  <w:p w:rsidR="001D37C8" w:rsidRDefault="001D3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7C8" w:rsidRDefault="001D37C8" w:rsidP="00F97803">
      <w:pPr>
        <w:spacing w:after="0"/>
      </w:pPr>
      <w:r>
        <w:separator/>
      </w:r>
    </w:p>
  </w:footnote>
  <w:footnote w:type="continuationSeparator" w:id="0">
    <w:p w:rsidR="001D37C8" w:rsidRDefault="001D37C8" w:rsidP="00F97803">
      <w:pPr>
        <w:spacing w:after="0"/>
      </w:pPr>
      <w:r>
        <w:continuationSeparator/>
      </w:r>
    </w:p>
  </w:footnote>
  <w:footnote w:id="1">
    <w:p w:rsidR="001D37C8" w:rsidRPr="008E333A" w:rsidRDefault="001D37C8" w:rsidP="00274588">
      <w:pPr>
        <w:pStyle w:val="FootnoteText"/>
        <w:rPr>
          <w:rFonts w:ascii="Times New Roman" w:hAnsi="Times New Roman"/>
        </w:rPr>
      </w:pPr>
      <w:r>
        <w:rPr>
          <w:rStyle w:val="FootnoteReference"/>
        </w:rPr>
        <w:footnoteRef/>
      </w:r>
      <w:r>
        <w:t xml:space="preserve"> </w:t>
      </w:r>
      <w:r w:rsidRPr="008E333A">
        <w:rPr>
          <w:rFonts w:ascii="Times New Roman" w:eastAsia="Times New Roman" w:hAnsi="Times New Roman"/>
        </w:rPr>
        <w:t>These are collections of rare or unique content that libraries or museums have chosen to digitize.</w:t>
      </w:r>
      <w:r>
        <w:rPr>
          <w:rFonts w:ascii="Times New Roman" w:eastAsia="Times New Roman" w:hAnsi="Times New Roman"/>
        </w:rPr>
        <w:t xml:space="preserve"> </w:t>
      </w:r>
    </w:p>
  </w:footnote>
  <w:footnote w:id="2">
    <w:p w:rsidR="001D37C8" w:rsidRDefault="001D37C8" w:rsidP="007423FA">
      <w:pPr>
        <w:pStyle w:val="Heading1"/>
        <w:rPr>
          <w:b w:val="0"/>
          <w:sz w:val="20"/>
          <w:szCs w:val="20"/>
        </w:rPr>
      </w:pPr>
      <w:r w:rsidRPr="00584C4A">
        <w:rPr>
          <w:rStyle w:val="FootnoteReference"/>
          <w:b w:val="0"/>
          <w:sz w:val="20"/>
          <w:szCs w:val="20"/>
        </w:rPr>
        <w:footnoteRef/>
      </w:r>
      <w:r w:rsidRPr="00584C4A">
        <w:rPr>
          <w:b w:val="0"/>
          <w:sz w:val="20"/>
          <w:szCs w:val="20"/>
        </w:rPr>
        <w:t xml:space="preserve"> See </w:t>
      </w:r>
      <w:r w:rsidRPr="00584C4A">
        <w:rPr>
          <w:b w:val="0"/>
          <w:i/>
          <w:sz w:val="20"/>
          <w:szCs w:val="20"/>
        </w:rPr>
        <w:t>Splashes and Ripples: Synthesizing the Evidence on the Impacts of Digital Resources</w:t>
      </w:r>
      <w:r>
        <w:rPr>
          <w:b w:val="0"/>
          <w:sz w:val="20"/>
          <w:szCs w:val="20"/>
        </w:rPr>
        <w:t xml:space="preserve"> (2011). Available at </w:t>
      </w:r>
      <w:hyperlink r:id="rId1" w:history="1">
        <w:r w:rsidRPr="003308C3">
          <w:rPr>
            <w:rStyle w:val="Hyperlink"/>
            <w:b w:val="0"/>
            <w:sz w:val="20"/>
            <w:szCs w:val="20"/>
          </w:rPr>
          <w:t>http://digitisation.jiscinvolve.org/wp/2011/05/23/splashes-and-ripples-impact/</w:t>
        </w:r>
      </w:hyperlink>
    </w:p>
    <w:p w:rsidR="001D37C8" w:rsidRPr="007423FA" w:rsidRDefault="001D37C8" w:rsidP="007423FA">
      <w:pPr>
        <w:pStyle w:val="Heading1"/>
        <w:rPr>
          <w:b w:val="0"/>
          <w:sz w:val="20"/>
          <w:szCs w:val="20"/>
        </w:rPr>
      </w:pPr>
    </w:p>
    <w:p w:rsidR="001D37C8" w:rsidRDefault="001D37C8">
      <w:pPr>
        <w:pStyle w:val="FootnoteText"/>
      </w:pPr>
    </w:p>
    <w:p w:rsidR="001D37C8" w:rsidRDefault="001D37C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A91"/>
    <w:rsid w:val="00000ADA"/>
    <w:rsid w:val="00000C76"/>
    <w:rsid w:val="00001ED7"/>
    <w:rsid w:val="000064B5"/>
    <w:rsid w:val="000132E7"/>
    <w:rsid w:val="00014F40"/>
    <w:rsid w:val="000169A3"/>
    <w:rsid w:val="00021754"/>
    <w:rsid w:val="0003445E"/>
    <w:rsid w:val="000405A0"/>
    <w:rsid w:val="00047ABF"/>
    <w:rsid w:val="000515BE"/>
    <w:rsid w:val="00052751"/>
    <w:rsid w:val="000531A4"/>
    <w:rsid w:val="00056757"/>
    <w:rsid w:val="00060110"/>
    <w:rsid w:val="00063507"/>
    <w:rsid w:val="0006568C"/>
    <w:rsid w:val="000954EF"/>
    <w:rsid w:val="000961CA"/>
    <w:rsid w:val="0009758B"/>
    <w:rsid w:val="000B07D1"/>
    <w:rsid w:val="000B5480"/>
    <w:rsid w:val="000C1DE1"/>
    <w:rsid w:val="000C374C"/>
    <w:rsid w:val="000C5D2B"/>
    <w:rsid w:val="000D72DF"/>
    <w:rsid w:val="000E786C"/>
    <w:rsid w:val="000F758B"/>
    <w:rsid w:val="00105E4D"/>
    <w:rsid w:val="0010698C"/>
    <w:rsid w:val="0011738C"/>
    <w:rsid w:val="00123A57"/>
    <w:rsid w:val="00130863"/>
    <w:rsid w:val="00142485"/>
    <w:rsid w:val="00146825"/>
    <w:rsid w:val="00163792"/>
    <w:rsid w:val="001654AE"/>
    <w:rsid w:val="001656F2"/>
    <w:rsid w:val="001671EF"/>
    <w:rsid w:val="00171A29"/>
    <w:rsid w:val="0018192A"/>
    <w:rsid w:val="00181B32"/>
    <w:rsid w:val="001954A1"/>
    <w:rsid w:val="001A422C"/>
    <w:rsid w:val="001A5C30"/>
    <w:rsid w:val="001A6657"/>
    <w:rsid w:val="001A6E59"/>
    <w:rsid w:val="001B0862"/>
    <w:rsid w:val="001C27C9"/>
    <w:rsid w:val="001D027B"/>
    <w:rsid w:val="001D0564"/>
    <w:rsid w:val="001D37C8"/>
    <w:rsid w:val="001D37FC"/>
    <w:rsid w:val="001D4DC7"/>
    <w:rsid w:val="001E1003"/>
    <w:rsid w:val="001E624D"/>
    <w:rsid w:val="001F2D1E"/>
    <w:rsid w:val="001F4743"/>
    <w:rsid w:val="001F666D"/>
    <w:rsid w:val="00217320"/>
    <w:rsid w:val="00220073"/>
    <w:rsid w:val="002310E5"/>
    <w:rsid w:val="00231B4F"/>
    <w:rsid w:val="00242393"/>
    <w:rsid w:val="00244A4D"/>
    <w:rsid w:val="002454D8"/>
    <w:rsid w:val="00250274"/>
    <w:rsid w:val="002613B5"/>
    <w:rsid w:val="0026181D"/>
    <w:rsid w:val="00262650"/>
    <w:rsid w:val="00263205"/>
    <w:rsid w:val="00271623"/>
    <w:rsid w:val="00273238"/>
    <w:rsid w:val="00274588"/>
    <w:rsid w:val="002816CE"/>
    <w:rsid w:val="00281727"/>
    <w:rsid w:val="002819F9"/>
    <w:rsid w:val="00283635"/>
    <w:rsid w:val="002A1717"/>
    <w:rsid w:val="002B4702"/>
    <w:rsid w:val="002B65FD"/>
    <w:rsid w:val="002C550D"/>
    <w:rsid w:val="002D1B17"/>
    <w:rsid w:val="002D489B"/>
    <w:rsid w:val="002D4DD4"/>
    <w:rsid w:val="002D5B8C"/>
    <w:rsid w:val="002D690A"/>
    <w:rsid w:val="002E1140"/>
    <w:rsid w:val="002E216B"/>
    <w:rsid w:val="002E29CE"/>
    <w:rsid w:val="002F0342"/>
    <w:rsid w:val="003111B6"/>
    <w:rsid w:val="003116DD"/>
    <w:rsid w:val="00324CCD"/>
    <w:rsid w:val="00346AA6"/>
    <w:rsid w:val="00351FF8"/>
    <w:rsid w:val="00353913"/>
    <w:rsid w:val="00355969"/>
    <w:rsid w:val="00357048"/>
    <w:rsid w:val="003574F0"/>
    <w:rsid w:val="003619CC"/>
    <w:rsid w:val="00374C14"/>
    <w:rsid w:val="00375701"/>
    <w:rsid w:val="00375A53"/>
    <w:rsid w:val="00376F16"/>
    <w:rsid w:val="00383D2B"/>
    <w:rsid w:val="00385674"/>
    <w:rsid w:val="00397D9B"/>
    <w:rsid w:val="003A162A"/>
    <w:rsid w:val="003B3986"/>
    <w:rsid w:val="003B6371"/>
    <w:rsid w:val="003B779B"/>
    <w:rsid w:val="003C389A"/>
    <w:rsid w:val="003D0729"/>
    <w:rsid w:val="003D35C4"/>
    <w:rsid w:val="003D6190"/>
    <w:rsid w:val="003E36BD"/>
    <w:rsid w:val="003E4F66"/>
    <w:rsid w:val="003E6D92"/>
    <w:rsid w:val="003E7B2B"/>
    <w:rsid w:val="003E7DAB"/>
    <w:rsid w:val="003F083C"/>
    <w:rsid w:val="003F14BD"/>
    <w:rsid w:val="003F68B6"/>
    <w:rsid w:val="00413060"/>
    <w:rsid w:val="00415448"/>
    <w:rsid w:val="00417036"/>
    <w:rsid w:val="0042006F"/>
    <w:rsid w:val="00420966"/>
    <w:rsid w:val="00420A65"/>
    <w:rsid w:val="0042517A"/>
    <w:rsid w:val="004356BD"/>
    <w:rsid w:val="00456522"/>
    <w:rsid w:val="00460BA3"/>
    <w:rsid w:val="00464571"/>
    <w:rsid w:val="00475720"/>
    <w:rsid w:val="004761F3"/>
    <w:rsid w:val="00480054"/>
    <w:rsid w:val="00480D3B"/>
    <w:rsid w:val="00481A91"/>
    <w:rsid w:val="004932E7"/>
    <w:rsid w:val="004A1C1E"/>
    <w:rsid w:val="004A75FE"/>
    <w:rsid w:val="004A7A18"/>
    <w:rsid w:val="004B4624"/>
    <w:rsid w:val="004C3232"/>
    <w:rsid w:val="004C39A3"/>
    <w:rsid w:val="004C6248"/>
    <w:rsid w:val="004C76A0"/>
    <w:rsid w:val="005028C7"/>
    <w:rsid w:val="0050402A"/>
    <w:rsid w:val="00504D54"/>
    <w:rsid w:val="0050725C"/>
    <w:rsid w:val="00510EC3"/>
    <w:rsid w:val="005165C3"/>
    <w:rsid w:val="0051714D"/>
    <w:rsid w:val="005221FA"/>
    <w:rsid w:val="00530D4F"/>
    <w:rsid w:val="005332FE"/>
    <w:rsid w:val="00536539"/>
    <w:rsid w:val="00540383"/>
    <w:rsid w:val="005405F4"/>
    <w:rsid w:val="005478FE"/>
    <w:rsid w:val="00562844"/>
    <w:rsid w:val="00574564"/>
    <w:rsid w:val="00581067"/>
    <w:rsid w:val="005810B5"/>
    <w:rsid w:val="005818D8"/>
    <w:rsid w:val="0058387D"/>
    <w:rsid w:val="00584C4A"/>
    <w:rsid w:val="005877C6"/>
    <w:rsid w:val="00587BA6"/>
    <w:rsid w:val="00595228"/>
    <w:rsid w:val="005A0BD7"/>
    <w:rsid w:val="005A70F1"/>
    <w:rsid w:val="005B1885"/>
    <w:rsid w:val="005B19D1"/>
    <w:rsid w:val="005B3C2B"/>
    <w:rsid w:val="005B6CE8"/>
    <w:rsid w:val="005C2654"/>
    <w:rsid w:val="005C5D30"/>
    <w:rsid w:val="005E307B"/>
    <w:rsid w:val="005F2581"/>
    <w:rsid w:val="005F74A2"/>
    <w:rsid w:val="005F7C4E"/>
    <w:rsid w:val="0060168F"/>
    <w:rsid w:val="006016C7"/>
    <w:rsid w:val="00613287"/>
    <w:rsid w:val="006178D9"/>
    <w:rsid w:val="00624C98"/>
    <w:rsid w:val="0062751A"/>
    <w:rsid w:val="00635B97"/>
    <w:rsid w:val="00636F9D"/>
    <w:rsid w:val="00643D0E"/>
    <w:rsid w:val="006524E8"/>
    <w:rsid w:val="00652813"/>
    <w:rsid w:val="00654C7C"/>
    <w:rsid w:val="00662391"/>
    <w:rsid w:val="00666739"/>
    <w:rsid w:val="0067781F"/>
    <w:rsid w:val="00680838"/>
    <w:rsid w:val="006930A2"/>
    <w:rsid w:val="00697405"/>
    <w:rsid w:val="006A0056"/>
    <w:rsid w:val="006A254B"/>
    <w:rsid w:val="006A3831"/>
    <w:rsid w:val="006A3C9E"/>
    <w:rsid w:val="006A3EFE"/>
    <w:rsid w:val="006A5C32"/>
    <w:rsid w:val="006A5C5F"/>
    <w:rsid w:val="006B0064"/>
    <w:rsid w:val="006B5E69"/>
    <w:rsid w:val="006B6824"/>
    <w:rsid w:val="006B7239"/>
    <w:rsid w:val="006C463B"/>
    <w:rsid w:val="006D0FC7"/>
    <w:rsid w:val="006D3DFE"/>
    <w:rsid w:val="006D5049"/>
    <w:rsid w:val="006E664E"/>
    <w:rsid w:val="006E6A98"/>
    <w:rsid w:val="006E7981"/>
    <w:rsid w:val="006F2842"/>
    <w:rsid w:val="006F3490"/>
    <w:rsid w:val="00701BBA"/>
    <w:rsid w:val="0070388C"/>
    <w:rsid w:val="00704814"/>
    <w:rsid w:val="00705074"/>
    <w:rsid w:val="0071328B"/>
    <w:rsid w:val="0072212F"/>
    <w:rsid w:val="0072750C"/>
    <w:rsid w:val="00732B87"/>
    <w:rsid w:val="007423FA"/>
    <w:rsid w:val="00745751"/>
    <w:rsid w:val="007504B2"/>
    <w:rsid w:val="007520C9"/>
    <w:rsid w:val="00752C3A"/>
    <w:rsid w:val="00757EF9"/>
    <w:rsid w:val="00765577"/>
    <w:rsid w:val="00773B3B"/>
    <w:rsid w:val="00783F4E"/>
    <w:rsid w:val="00787426"/>
    <w:rsid w:val="00790CAC"/>
    <w:rsid w:val="007A6D39"/>
    <w:rsid w:val="007B2BFD"/>
    <w:rsid w:val="007B4BDE"/>
    <w:rsid w:val="007C163A"/>
    <w:rsid w:val="007C21BB"/>
    <w:rsid w:val="007C64C0"/>
    <w:rsid w:val="007F43B4"/>
    <w:rsid w:val="007F4DC0"/>
    <w:rsid w:val="007F5ED3"/>
    <w:rsid w:val="00800C59"/>
    <w:rsid w:val="00810632"/>
    <w:rsid w:val="0081148D"/>
    <w:rsid w:val="00823A6B"/>
    <w:rsid w:val="00825F2F"/>
    <w:rsid w:val="008272BE"/>
    <w:rsid w:val="00827BA7"/>
    <w:rsid w:val="00834FE1"/>
    <w:rsid w:val="00835232"/>
    <w:rsid w:val="0084033F"/>
    <w:rsid w:val="00841B8A"/>
    <w:rsid w:val="0084414E"/>
    <w:rsid w:val="0085328B"/>
    <w:rsid w:val="00853EB3"/>
    <w:rsid w:val="008552E0"/>
    <w:rsid w:val="0085787A"/>
    <w:rsid w:val="00864620"/>
    <w:rsid w:val="00865484"/>
    <w:rsid w:val="008857D2"/>
    <w:rsid w:val="008878AA"/>
    <w:rsid w:val="00893D23"/>
    <w:rsid w:val="0089768B"/>
    <w:rsid w:val="008A1BBA"/>
    <w:rsid w:val="008A4094"/>
    <w:rsid w:val="008A50C4"/>
    <w:rsid w:val="008B3A54"/>
    <w:rsid w:val="008B58AB"/>
    <w:rsid w:val="008C4858"/>
    <w:rsid w:val="008C4967"/>
    <w:rsid w:val="008D1340"/>
    <w:rsid w:val="008D2D91"/>
    <w:rsid w:val="008D3FC4"/>
    <w:rsid w:val="008D4877"/>
    <w:rsid w:val="008E34F1"/>
    <w:rsid w:val="008F7C05"/>
    <w:rsid w:val="009011C0"/>
    <w:rsid w:val="00901EF2"/>
    <w:rsid w:val="009025DA"/>
    <w:rsid w:val="00903203"/>
    <w:rsid w:val="009032BE"/>
    <w:rsid w:val="00904F71"/>
    <w:rsid w:val="0091196F"/>
    <w:rsid w:val="00916A3D"/>
    <w:rsid w:val="00922FFB"/>
    <w:rsid w:val="009251B6"/>
    <w:rsid w:val="00934901"/>
    <w:rsid w:val="00942A5B"/>
    <w:rsid w:val="00943139"/>
    <w:rsid w:val="009440FA"/>
    <w:rsid w:val="00955410"/>
    <w:rsid w:val="00955C6D"/>
    <w:rsid w:val="00962ECB"/>
    <w:rsid w:val="0096461B"/>
    <w:rsid w:val="00971263"/>
    <w:rsid w:val="00976241"/>
    <w:rsid w:val="00980E4F"/>
    <w:rsid w:val="00981091"/>
    <w:rsid w:val="00986427"/>
    <w:rsid w:val="009957CC"/>
    <w:rsid w:val="00995A9C"/>
    <w:rsid w:val="009968FA"/>
    <w:rsid w:val="009970F0"/>
    <w:rsid w:val="009A1C2D"/>
    <w:rsid w:val="009A520B"/>
    <w:rsid w:val="009B1E38"/>
    <w:rsid w:val="009B7F32"/>
    <w:rsid w:val="009C0CD8"/>
    <w:rsid w:val="009C74B6"/>
    <w:rsid w:val="009C78B6"/>
    <w:rsid w:val="009D52C0"/>
    <w:rsid w:val="009D6F35"/>
    <w:rsid w:val="009E0750"/>
    <w:rsid w:val="009E1F20"/>
    <w:rsid w:val="009E4FC9"/>
    <w:rsid w:val="009F006B"/>
    <w:rsid w:val="009F4D7B"/>
    <w:rsid w:val="009F7C8D"/>
    <w:rsid w:val="00A01095"/>
    <w:rsid w:val="00A02CE6"/>
    <w:rsid w:val="00A05C3C"/>
    <w:rsid w:val="00A06F98"/>
    <w:rsid w:val="00A215AA"/>
    <w:rsid w:val="00A221EB"/>
    <w:rsid w:val="00A22F0A"/>
    <w:rsid w:val="00A35918"/>
    <w:rsid w:val="00A41B93"/>
    <w:rsid w:val="00A433FB"/>
    <w:rsid w:val="00A4484C"/>
    <w:rsid w:val="00A54859"/>
    <w:rsid w:val="00A61E03"/>
    <w:rsid w:val="00A61FDA"/>
    <w:rsid w:val="00A76A75"/>
    <w:rsid w:val="00A82EC7"/>
    <w:rsid w:val="00AC3001"/>
    <w:rsid w:val="00AC50C0"/>
    <w:rsid w:val="00AC510A"/>
    <w:rsid w:val="00AC7ECE"/>
    <w:rsid w:val="00AD0FA1"/>
    <w:rsid w:val="00AD11C8"/>
    <w:rsid w:val="00AD4D60"/>
    <w:rsid w:val="00AD7B74"/>
    <w:rsid w:val="00AE5370"/>
    <w:rsid w:val="00AE7413"/>
    <w:rsid w:val="00AF02FD"/>
    <w:rsid w:val="00AF0928"/>
    <w:rsid w:val="00AF36A2"/>
    <w:rsid w:val="00B05331"/>
    <w:rsid w:val="00B11BCD"/>
    <w:rsid w:val="00B12F45"/>
    <w:rsid w:val="00B20A3D"/>
    <w:rsid w:val="00B32A14"/>
    <w:rsid w:val="00B33182"/>
    <w:rsid w:val="00B36B4C"/>
    <w:rsid w:val="00B415D4"/>
    <w:rsid w:val="00B43EB9"/>
    <w:rsid w:val="00B47607"/>
    <w:rsid w:val="00B50729"/>
    <w:rsid w:val="00B51C37"/>
    <w:rsid w:val="00B65DE2"/>
    <w:rsid w:val="00B8380B"/>
    <w:rsid w:val="00B83A85"/>
    <w:rsid w:val="00B94DE4"/>
    <w:rsid w:val="00BB5C2C"/>
    <w:rsid w:val="00BC2A8A"/>
    <w:rsid w:val="00BC584B"/>
    <w:rsid w:val="00BC659E"/>
    <w:rsid w:val="00BD781D"/>
    <w:rsid w:val="00BE0052"/>
    <w:rsid w:val="00BE54F2"/>
    <w:rsid w:val="00BF49C0"/>
    <w:rsid w:val="00BF5565"/>
    <w:rsid w:val="00BF56BB"/>
    <w:rsid w:val="00BF6B2F"/>
    <w:rsid w:val="00BF77D8"/>
    <w:rsid w:val="00BF7D30"/>
    <w:rsid w:val="00C00E77"/>
    <w:rsid w:val="00C00EDE"/>
    <w:rsid w:val="00C14B68"/>
    <w:rsid w:val="00C16373"/>
    <w:rsid w:val="00C21831"/>
    <w:rsid w:val="00C33149"/>
    <w:rsid w:val="00C36C94"/>
    <w:rsid w:val="00C424EF"/>
    <w:rsid w:val="00C44BF4"/>
    <w:rsid w:val="00C57696"/>
    <w:rsid w:val="00C6122C"/>
    <w:rsid w:val="00C62F9B"/>
    <w:rsid w:val="00C67ED7"/>
    <w:rsid w:val="00C83394"/>
    <w:rsid w:val="00C87F20"/>
    <w:rsid w:val="00C91197"/>
    <w:rsid w:val="00C94C74"/>
    <w:rsid w:val="00CA0B46"/>
    <w:rsid w:val="00CA360A"/>
    <w:rsid w:val="00CA5A26"/>
    <w:rsid w:val="00CB3A2C"/>
    <w:rsid w:val="00CC38CA"/>
    <w:rsid w:val="00CD35AF"/>
    <w:rsid w:val="00CD4C41"/>
    <w:rsid w:val="00CD5F32"/>
    <w:rsid w:val="00CE531E"/>
    <w:rsid w:val="00CE7BDA"/>
    <w:rsid w:val="00CF05B9"/>
    <w:rsid w:val="00CF2EAD"/>
    <w:rsid w:val="00CF45E0"/>
    <w:rsid w:val="00CF6261"/>
    <w:rsid w:val="00D1774D"/>
    <w:rsid w:val="00D17D83"/>
    <w:rsid w:val="00D22679"/>
    <w:rsid w:val="00D32D4B"/>
    <w:rsid w:val="00D37394"/>
    <w:rsid w:val="00D542DA"/>
    <w:rsid w:val="00D632BE"/>
    <w:rsid w:val="00D63B48"/>
    <w:rsid w:val="00D70DCA"/>
    <w:rsid w:val="00D74115"/>
    <w:rsid w:val="00D74181"/>
    <w:rsid w:val="00D92C09"/>
    <w:rsid w:val="00DA529B"/>
    <w:rsid w:val="00DA6FCE"/>
    <w:rsid w:val="00DB4C53"/>
    <w:rsid w:val="00DB7821"/>
    <w:rsid w:val="00DC0069"/>
    <w:rsid w:val="00DC60F5"/>
    <w:rsid w:val="00DC612E"/>
    <w:rsid w:val="00DC73F1"/>
    <w:rsid w:val="00DD4F93"/>
    <w:rsid w:val="00DD500E"/>
    <w:rsid w:val="00DE6258"/>
    <w:rsid w:val="00DF5F01"/>
    <w:rsid w:val="00DF6212"/>
    <w:rsid w:val="00E01E85"/>
    <w:rsid w:val="00E04E6D"/>
    <w:rsid w:val="00E06CEB"/>
    <w:rsid w:val="00E17811"/>
    <w:rsid w:val="00E21016"/>
    <w:rsid w:val="00E226EC"/>
    <w:rsid w:val="00E261D9"/>
    <w:rsid w:val="00E40722"/>
    <w:rsid w:val="00E52553"/>
    <w:rsid w:val="00E52691"/>
    <w:rsid w:val="00E612CE"/>
    <w:rsid w:val="00E61A8A"/>
    <w:rsid w:val="00E75938"/>
    <w:rsid w:val="00E75B78"/>
    <w:rsid w:val="00E7662F"/>
    <w:rsid w:val="00E81A89"/>
    <w:rsid w:val="00E84A4A"/>
    <w:rsid w:val="00E84A81"/>
    <w:rsid w:val="00E866F0"/>
    <w:rsid w:val="00E876F6"/>
    <w:rsid w:val="00E93F73"/>
    <w:rsid w:val="00EA6429"/>
    <w:rsid w:val="00EA74A4"/>
    <w:rsid w:val="00EB0C97"/>
    <w:rsid w:val="00EB110F"/>
    <w:rsid w:val="00EB20CB"/>
    <w:rsid w:val="00EB3391"/>
    <w:rsid w:val="00EC0E14"/>
    <w:rsid w:val="00EC2D1A"/>
    <w:rsid w:val="00ED3C76"/>
    <w:rsid w:val="00ED3CAD"/>
    <w:rsid w:val="00EE2BC6"/>
    <w:rsid w:val="00EE4271"/>
    <w:rsid w:val="00EE6BA2"/>
    <w:rsid w:val="00F0638E"/>
    <w:rsid w:val="00F225C1"/>
    <w:rsid w:val="00F26D80"/>
    <w:rsid w:val="00F30B1E"/>
    <w:rsid w:val="00F32838"/>
    <w:rsid w:val="00F540B3"/>
    <w:rsid w:val="00F54EF6"/>
    <w:rsid w:val="00F603CE"/>
    <w:rsid w:val="00F90382"/>
    <w:rsid w:val="00F9153C"/>
    <w:rsid w:val="00F91642"/>
    <w:rsid w:val="00F9165D"/>
    <w:rsid w:val="00F95F01"/>
    <w:rsid w:val="00F97803"/>
    <w:rsid w:val="00FA14F3"/>
    <w:rsid w:val="00FA353A"/>
    <w:rsid w:val="00FA4680"/>
    <w:rsid w:val="00FB0692"/>
    <w:rsid w:val="00FB35E9"/>
    <w:rsid w:val="00FC10DA"/>
    <w:rsid w:val="00FC1AB1"/>
    <w:rsid w:val="00FC6239"/>
    <w:rsid w:val="00FD1AB7"/>
    <w:rsid w:val="00FD3135"/>
    <w:rsid w:val="00FD5FD5"/>
    <w:rsid w:val="00FF1436"/>
    <w:rsid w:val="00FF58F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B2034"/>
    <w:pPr>
      <w:spacing w:after="200"/>
    </w:pPr>
    <w:rPr>
      <w:rFonts w:ascii="Times" w:hAnsi="Times"/>
      <w:sz w:val="24"/>
      <w:szCs w:val="24"/>
    </w:rPr>
  </w:style>
  <w:style w:type="paragraph" w:styleId="Heading1">
    <w:name w:val="heading 1"/>
    <w:basedOn w:val="Normal"/>
    <w:link w:val="Heading1Char"/>
    <w:uiPriority w:val="9"/>
    <w:qFormat/>
    <w:rsid w:val="007423FA"/>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052"/>
    <w:pPr>
      <w:spacing w:after="0"/>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405F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5F4"/>
    <w:rPr>
      <w:rFonts w:ascii="Tahoma" w:hAnsi="Tahoma" w:cs="Tahoma"/>
      <w:sz w:val="16"/>
      <w:szCs w:val="16"/>
    </w:rPr>
  </w:style>
  <w:style w:type="character" w:styleId="CommentReference">
    <w:name w:val="annotation reference"/>
    <w:basedOn w:val="DefaultParagraphFont"/>
    <w:uiPriority w:val="99"/>
    <w:semiHidden/>
    <w:unhideWhenUsed/>
    <w:rsid w:val="00B65DE2"/>
    <w:rPr>
      <w:sz w:val="16"/>
      <w:szCs w:val="16"/>
    </w:rPr>
  </w:style>
  <w:style w:type="paragraph" w:styleId="CommentText">
    <w:name w:val="annotation text"/>
    <w:basedOn w:val="Normal"/>
    <w:link w:val="CommentTextChar"/>
    <w:uiPriority w:val="99"/>
    <w:semiHidden/>
    <w:unhideWhenUsed/>
    <w:rsid w:val="00B65DE2"/>
    <w:rPr>
      <w:sz w:val="20"/>
      <w:szCs w:val="20"/>
    </w:rPr>
  </w:style>
  <w:style w:type="character" w:customStyle="1" w:styleId="CommentTextChar">
    <w:name w:val="Comment Text Char"/>
    <w:basedOn w:val="DefaultParagraphFont"/>
    <w:link w:val="CommentText"/>
    <w:uiPriority w:val="99"/>
    <w:semiHidden/>
    <w:rsid w:val="00B65DE2"/>
    <w:rPr>
      <w:rFonts w:ascii="Times" w:hAnsi="Times"/>
    </w:rPr>
  </w:style>
  <w:style w:type="paragraph" w:styleId="CommentSubject">
    <w:name w:val="annotation subject"/>
    <w:basedOn w:val="CommentText"/>
    <w:next w:val="CommentText"/>
    <w:link w:val="CommentSubjectChar"/>
    <w:uiPriority w:val="99"/>
    <w:semiHidden/>
    <w:unhideWhenUsed/>
    <w:rsid w:val="00B65DE2"/>
    <w:rPr>
      <w:b/>
      <w:bCs/>
    </w:rPr>
  </w:style>
  <w:style w:type="character" w:customStyle="1" w:styleId="CommentSubjectChar">
    <w:name w:val="Comment Subject Char"/>
    <w:basedOn w:val="CommentTextChar"/>
    <w:link w:val="CommentSubject"/>
    <w:uiPriority w:val="99"/>
    <w:semiHidden/>
    <w:rsid w:val="00B65DE2"/>
    <w:rPr>
      <w:rFonts w:ascii="Times" w:hAnsi="Times"/>
      <w:b/>
      <w:bCs/>
    </w:rPr>
  </w:style>
  <w:style w:type="table" w:styleId="TableGrid">
    <w:name w:val="Table Grid"/>
    <w:basedOn w:val="TableNormal"/>
    <w:uiPriority w:val="59"/>
    <w:rsid w:val="00652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97803"/>
    <w:pPr>
      <w:spacing w:after="0"/>
    </w:pPr>
    <w:rPr>
      <w:sz w:val="20"/>
      <w:szCs w:val="20"/>
    </w:rPr>
  </w:style>
  <w:style w:type="character" w:customStyle="1" w:styleId="FootnoteTextChar">
    <w:name w:val="Footnote Text Char"/>
    <w:basedOn w:val="DefaultParagraphFont"/>
    <w:link w:val="FootnoteText"/>
    <w:uiPriority w:val="99"/>
    <w:semiHidden/>
    <w:rsid w:val="00F97803"/>
    <w:rPr>
      <w:rFonts w:ascii="Times" w:hAnsi="Times"/>
    </w:rPr>
  </w:style>
  <w:style w:type="character" w:styleId="FootnoteReference">
    <w:name w:val="footnote reference"/>
    <w:basedOn w:val="DefaultParagraphFont"/>
    <w:uiPriority w:val="99"/>
    <w:semiHidden/>
    <w:unhideWhenUsed/>
    <w:rsid w:val="00F97803"/>
    <w:rPr>
      <w:vertAlign w:val="superscript"/>
    </w:rPr>
  </w:style>
  <w:style w:type="character" w:styleId="Hyperlink">
    <w:name w:val="Hyperlink"/>
    <w:basedOn w:val="DefaultParagraphFont"/>
    <w:uiPriority w:val="99"/>
    <w:unhideWhenUsed/>
    <w:rsid w:val="00C57696"/>
    <w:rPr>
      <w:color w:val="0000FF"/>
      <w:u w:val="single"/>
    </w:rPr>
  </w:style>
  <w:style w:type="paragraph" w:styleId="PlainText">
    <w:name w:val="Plain Text"/>
    <w:basedOn w:val="Normal"/>
    <w:link w:val="PlainTextChar"/>
    <w:uiPriority w:val="99"/>
    <w:semiHidden/>
    <w:unhideWhenUsed/>
    <w:rsid w:val="006930A2"/>
    <w:pPr>
      <w:spacing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6930A2"/>
    <w:rPr>
      <w:rFonts w:ascii="Consolas" w:eastAsiaTheme="minorHAnsi" w:hAnsi="Consolas" w:cs="Consolas"/>
      <w:sz w:val="21"/>
      <w:szCs w:val="21"/>
    </w:rPr>
  </w:style>
  <w:style w:type="paragraph" w:styleId="Header">
    <w:name w:val="header"/>
    <w:basedOn w:val="Normal"/>
    <w:link w:val="HeaderChar"/>
    <w:uiPriority w:val="99"/>
    <w:semiHidden/>
    <w:unhideWhenUsed/>
    <w:rsid w:val="0010698C"/>
    <w:pPr>
      <w:tabs>
        <w:tab w:val="center" w:pos="4680"/>
        <w:tab w:val="right" w:pos="9360"/>
      </w:tabs>
      <w:spacing w:after="0"/>
    </w:pPr>
  </w:style>
  <w:style w:type="character" w:customStyle="1" w:styleId="HeaderChar">
    <w:name w:val="Header Char"/>
    <w:basedOn w:val="DefaultParagraphFont"/>
    <w:link w:val="Header"/>
    <w:uiPriority w:val="99"/>
    <w:semiHidden/>
    <w:rsid w:val="0010698C"/>
    <w:rPr>
      <w:rFonts w:ascii="Times" w:hAnsi="Times"/>
      <w:sz w:val="24"/>
      <w:szCs w:val="24"/>
    </w:rPr>
  </w:style>
  <w:style w:type="paragraph" w:styleId="Footer">
    <w:name w:val="footer"/>
    <w:basedOn w:val="Normal"/>
    <w:link w:val="FooterChar"/>
    <w:uiPriority w:val="99"/>
    <w:unhideWhenUsed/>
    <w:rsid w:val="0010698C"/>
    <w:pPr>
      <w:tabs>
        <w:tab w:val="center" w:pos="4680"/>
        <w:tab w:val="right" w:pos="9360"/>
      </w:tabs>
      <w:spacing w:after="0"/>
    </w:pPr>
  </w:style>
  <w:style w:type="character" w:customStyle="1" w:styleId="FooterChar">
    <w:name w:val="Footer Char"/>
    <w:basedOn w:val="DefaultParagraphFont"/>
    <w:link w:val="Footer"/>
    <w:uiPriority w:val="99"/>
    <w:rsid w:val="0010698C"/>
    <w:rPr>
      <w:rFonts w:ascii="Times" w:hAnsi="Times"/>
      <w:sz w:val="24"/>
      <w:szCs w:val="24"/>
    </w:rPr>
  </w:style>
  <w:style w:type="character" w:customStyle="1" w:styleId="Heading1Char">
    <w:name w:val="Heading 1 Char"/>
    <w:basedOn w:val="DefaultParagraphFont"/>
    <w:link w:val="Heading1"/>
    <w:uiPriority w:val="9"/>
    <w:rsid w:val="007423FA"/>
    <w:rPr>
      <w:rFonts w:ascii="Times New Roman" w:eastAsia="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B2034"/>
    <w:pPr>
      <w:spacing w:after="200"/>
    </w:pPr>
    <w:rPr>
      <w:rFonts w:ascii="Times" w:hAnsi="Times"/>
      <w:sz w:val="24"/>
      <w:szCs w:val="24"/>
    </w:rPr>
  </w:style>
  <w:style w:type="paragraph" w:styleId="Heading1">
    <w:name w:val="heading 1"/>
    <w:basedOn w:val="Normal"/>
    <w:link w:val="Heading1Char"/>
    <w:uiPriority w:val="9"/>
    <w:qFormat/>
    <w:rsid w:val="007423FA"/>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052"/>
    <w:pPr>
      <w:spacing w:after="0"/>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5405F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5F4"/>
    <w:rPr>
      <w:rFonts w:ascii="Tahoma" w:hAnsi="Tahoma" w:cs="Tahoma"/>
      <w:sz w:val="16"/>
      <w:szCs w:val="16"/>
    </w:rPr>
  </w:style>
  <w:style w:type="character" w:styleId="CommentReference">
    <w:name w:val="annotation reference"/>
    <w:basedOn w:val="DefaultParagraphFont"/>
    <w:uiPriority w:val="99"/>
    <w:semiHidden/>
    <w:unhideWhenUsed/>
    <w:rsid w:val="00B65DE2"/>
    <w:rPr>
      <w:sz w:val="16"/>
      <w:szCs w:val="16"/>
    </w:rPr>
  </w:style>
  <w:style w:type="paragraph" w:styleId="CommentText">
    <w:name w:val="annotation text"/>
    <w:basedOn w:val="Normal"/>
    <w:link w:val="CommentTextChar"/>
    <w:uiPriority w:val="99"/>
    <w:semiHidden/>
    <w:unhideWhenUsed/>
    <w:rsid w:val="00B65DE2"/>
    <w:rPr>
      <w:sz w:val="20"/>
      <w:szCs w:val="20"/>
    </w:rPr>
  </w:style>
  <w:style w:type="character" w:customStyle="1" w:styleId="CommentTextChar">
    <w:name w:val="Comment Text Char"/>
    <w:basedOn w:val="DefaultParagraphFont"/>
    <w:link w:val="CommentText"/>
    <w:uiPriority w:val="99"/>
    <w:semiHidden/>
    <w:rsid w:val="00B65DE2"/>
    <w:rPr>
      <w:rFonts w:ascii="Times" w:hAnsi="Times"/>
    </w:rPr>
  </w:style>
  <w:style w:type="paragraph" w:styleId="CommentSubject">
    <w:name w:val="annotation subject"/>
    <w:basedOn w:val="CommentText"/>
    <w:next w:val="CommentText"/>
    <w:link w:val="CommentSubjectChar"/>
    <w:uiPriority w:val="99"/>
    <w:semiHidden/>
    <w:unhideWhenUsed/>
    <w:rsid w:val="00B65DE2"/>
    <w:rPr>
      <w:b/>
      <w:bCs/>
    </w:rPr>
  </w:style>
  <w:style w:type="character" w:customStyle="1" w:styleId="CommentSubjectChar">
    <w:name w:val="Comment Subject Char"/>
    <w:basedOn w:val="CommentTextChar"/>
    <w:link w:val="CommentSubject"/>
    <w:uiPriority w:val="99"/>
    <w:semiHidden/>
    <w:rsid w:val="00B65DE2"/>
    <w:rPr>
      <w:rFonts w:ascii="Times" w:hAnsi="Times"/>
      <w:b/>
      <w:bCs/>
    </w:rPr>
  </w:style>
  <w:style w:type="table" w:styleId="TableGrid">
    <w:name w:val="Table Grid"/>
    <w:basedOn w:val="TableNormal"/>
    <w:uiPriority w:val="59"/>
    <w:rsid w:val="006524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97803"/>
    <w:pPr>
      <w:spacing w:after="0"/>
    </w:pPr>
    <w:rPr>
      <w:sz w:val="20"/>
      <w:szCs w:val="20"/>
    </w:rPr>
  </w:style>
  <w:style w:type="character" w:customStyle="1" w:styleId="FootnoteTextChar">
    <w:name w:val="Footnote Text Char"/>
    <w:basedOn w:val="DefaultParagraphFont"/>
    <w:link w:val="FootnoteText"/>
    <w:uiPriority w:val="99"/>
    <w:semiHidden/>
    <w:rsid w:val="00F97803"/>
    <w:rPr>
      <w:rFonts w:ascii="Times" w:hAnsi="Times"/>
    </w:rPr>
  </w:style>
  <w:style w:type="character" w:styleId="FootnoteReference">
    <w:name w:val="footnote reference"/>
    <w:basedOn w:val="DefaultParagraphFont"/>
    <w:uiPriority w:val="99"/>
    <w:semiHidden/>
    <w:unhideWhenUsed/>
    <w:rsid w:val="00F97803"/>
    <w:rPr>
      <w:vertAlign w:val="superscript"/>
    </w:rPr>
  </w:style>
  <w:style w:type="character" w:styleId="Hyperlink">
    <w:name w:val="Hyperlink"/>
    <w:basedOn w:val="DefaultParagraphFont"/>
    <w:uiPriority w:val="99"/>
    <w:unhideWhenUsed/>
    <w:rsid w:val="00C57696"/>
    <w:rPr>
      <w:color w:val="0000FF"/>
      <w:u w:val="single"/>
    </w:rPr>
  </w:style>
  <w:style w:type="paragraph" w:styleId="PlainText">
    <w:name w:val="Plain Text"/>
    <w:basedOn w:val="Normal"/>
    <w:link w:val="PlainTextChar"/>
    <w:uiPriority w:val="99"/>
    <w:semiHidden/>
    <w:unhideWhenUsed/>
    <w:rsid w:val="006930A2"/>
    <w:pPr>
      <w:spacing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6930A2"/>
    <w:rPr>
      <w:rFonts w:ascii="Consolas" w:eastAsiaTheme="minorHAnsi" w:hAnsi="Consolas" w:cs="Consolas"/>
      <w:sz w:val="21"/>
      <w:szCs w:val="21"/>
    </w:rPr>
  </w:style>
  <w:style w:type="paragraph" w:styleId="Header">
    <w:name w:val="header"/>
    <w:basedOn w:val="Normal"/>
    <w:link w:val="HeaderChar"/>
    <w:uiPriority w:val="99"/>
    <w:semiHidden/>
    <w:unhideWhenUsed/>
    <w:rsid w:val="0010698C"/>
    <w:pPr>
      <w:tabs>
        <w:tab w:val="center" w:pos="4680"/>
        <w:tab w:val="right" w:pos="9360"/>
      </w:tabs>
      <w:spacing w:after="0"/>
    </w:pPr>
  </w:style>
  <w:style w:type="character" w:customStyle="1" w:styleId="HeaderChar">
    <w:name w:val="Header Char"/>
    <w:basedOn w:val="DefaultParagraphFont"/>
    <w:link w:val="Header"/>
    <w:uiPriority w:val="99"/>
    <w:semiHidden/>
    <w:rsid w:val="0010698C"/>
    <w:rPr>
      <w:rFonts w:ascii="Times" w:hAnsi="Times"/>
      <w:sz w:val="24"/>
      <w:szCs w:val="24"/>
    </w:rPr>
  </w:style>
  <w:style w:type="paragraph" w:styleId="Footer">
    <w:name w:val="footer"/>
    <w:basedOn w:val="Normal"/>
    <w:link w:val="FooterChar"/>
    <w:uiPriority w:val="99"/>
    <w:unhideWhenUsed/>
    <w:rsid w:val="0010698C"/>
    <w:pPr>
      <w:tabs>
        <w:tab w:val="center" w:pos="4680"/>
        <w:tab w:val="right" w:pos="9360"/>
      </w:tabs>
      <w:spacing w:after="0"/>
    </w:pPr>
  </w:style>
  <w:style w:type="character" w:customStyle="1" w:styleId="FooterChar">
    <w:name w:val="Footer Char"/>
    <w:basedOn w:val="DefaultParagraphFont"/>
    <w:link w:val="Footer"/>
    <w:uiPriority w:val="99"/>
    <w:rsid w:val="0010698C"/>
    <w:rPr>
      <w:rFonts w:ascii="Times" w:hAnsi="Times"/>
      <w:sz w:val="24"/>
      <w:szCs w:val="24"/>
    </w:rPr>
  </w:style>
  <w:style w:type="character" w:customStyle="1" w:styleId="Heading1Char">
    <w:name w:val="Heading 1 Char"/>
    <w:basedOn w:val="DefaultParagraphFont"/>
    <w:link w:val="Heading1"/>
    <w:uiPriority w:val="9"/>
    <w:rsid w:val="007423FA"/>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5037">
      <w:bodyDiv w:val="1"/>
      <w:marLeft w:val="0"/>
      <w:marRight w:val="0"/>
      <w:marTop w:val="0"/>
      <w:marBottom w:val="0"/>
      <w:divBdr>
        <w:top w:val="none" w:sz="0" w:space="0" w:color="auto"/>
        <w:left w:val="none" w:sz="0" w:space="0" w:color="auto"/>
        <w:bottom w:val="none" w:sz="0" w:space="0" w:color="auto"/>
        <w:right w:val="none" w:sz="0" w:space="0" w:color="auto"/>
      </w:divBdr>
    </w:div>
    <w:div w:id="388387679">
      <w:bodyDiv w:val="1"/>
      <w:marLeft w:val="0"/>
      <w:marRight w:val="0"/>
      <w:marTop w:val="0"/>
      <w:marBottom w:val="0"/>
      <w:divBdr>
        <w:top w:val="none" w:sz="0" w:space="0" w:color="auto"/>
        <w:left w:val="none" w:sz="0" w:space="0" w:color="auto"/>
        <w:bottom w:val="none" w:sz="0" w:space="0" w:color="auto"/>
        <w:right w:val="none" w:sz="0" w:space="0" w:color="auto"/>
      </w:divBdr>
    </w:div>
    <w:div w:id="394931926">
      <w:bodyDiv w:val="1"/>
      <w:marLeft w:val="0"/>
      <w:marRight w:val="0"/>
      <w:marTop w:val="0"/>
      <w:marBottom w:val="0"/>
      <w:divBdr>
        <w:top w:val="none" w:sz="0" w:space="0" w:color="auto"/>
        <w:left w:val="none" w:sz="0" w:space="0" w:color="auto"/>
        <w:bottom w:val="none" w:sz="0" w:space="0" w:color="auto"/>
        <w:right w:val="none" w:sz="0" w:space="0" w:color="auto"/>
      </w:divBdr>
    </w:div>
    <w:div w:id="834537092">
      <w:bodyDiv w:val="1"/>
      <w:marLeft w:val="0"/>
      <w:marRight w:val="0"/>
      <w:marTop w:val="0"/>
      <w:marBottom w:val="0"/>
      <w:divBdr>
        <w:top w:val="none" w:sz="0" w:space="0" w:color="auto"/>
        <w:left w:val="none" w:sz="0" w:space="0" w:color="auto"/>
        <w:bottom w:val="none" w:sz="0" w:space="0" w:color="auto"/>
        <w:right w:val="none" w:sz="0" w:space="0" w:color="auto"/>
      </w:divBdr>
    </w:div>
    <w:div w:id="850493365">
      <w:bodyDiv w:val="1"/>
      <w:marLeft w:val="0"/>
      <w:marRight w:val="0"/>
      <w:marTop w:val="0"/>
      <w:marBottom w:val="0"/>
      <w:divBdr>
        <w:top w:val="none" w:sz="0" w:space="0" w:color="auto"/>
        <w:left w:val="none" w:sz="0" w:space="0" w:color="auto"/>
        <w:bottom w:val="none" w:sz="0" w:space="0" w:color="auto"/>
        <w:right w:val="none" w:sz="0" w:space="0" w:color="auto"/>
      </w:divBdr>
    </w:div>
    <w:div w:id="147129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igitisation.jiscinvolve.org/wp/2011/05/23/splashes-and-ripples-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D07C875-B8A1-419F-AE15-EFD70A939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1991</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13320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Yun</dc:creator>
  <cp:lastModifiedBy>Kim A. Miller</cp:lastModifiedBy>
  <cp:revision>3</cp:revision>
  <cp:lastPrinted>2011-06-17T14:17:00Z</cp:lastPrinted>
  <dcterms:created xsi:type="dcterms:W3CDTF">2012-07-16T20:11:00Z</dcterms:created>
  <dcterms:modified xsi:type="dcterms:W3CDTF">2012-07-20T18:15:00Z</dcterms:modified>
</cp:coreProperties>
</file>