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EE4" w:rsidRPr="008B1EE4" w:rsidRDefault="008B1EE4" w:rsidP="008B1EE4">
      <w:pPr>
        <w:tabs>
          <w:tab w:val="center" w:pos="4680"/>
        </w:tabs>
        <w:outlineLvl w:val="0"/>
        <w:rPr>
          <w:b/>
          <w:bCs/>
        </w:rPr>
      </w:pPr>
      <w:r w:rsidRPr="008B1EE4">
        <w:rPr>
          <w:b/>
          <w:bCs/>
        </w:rPr>
        <w:tab/>
        <w:t xml:space="preserve"> </w:t>
      </w:r>
    </w:p>
    <w:p w:rsidR="008B1EE4" w:rsidRPr="008B1EE4" w:rsidRDefault="008B1EE4" w:rsidP="008B1EE4">
      <w:pPr>
        <w:tabs>
          <w:tab w:val="center" w:pos="4680"/>
        </w:tabs>
        <w:outlineLvl w:val="0"/>
        <w:rPr>
          <w:b/>
          <w:bCs/>
        </w:rPr>
      </w:pPr>
    </w:p>
    <w:p w:rsidR="008B1EE4" w:rsidRPr="008B1EE4" w:rsidRDefault="008B1EE4" w:rsidP="008B1EE4">
      <w:pPr>
        <w:jc w:val="right"/>
      </w:pPr>
    </w:p>
    <w:p w:rsidR="008B1EE4" w:rsidRPr="008B1EE4" w:rsidRDefault="008B1EE4" w:rsidP="008B1EE4">
      <w:pPr>
        <w:jc w:val="right"/>
        <w:rPr>
          <w:sz w:val="22"/>
          <w:szCs w:val="22"/>
        </w:rPr>
      </w:pPr>
      <w:r w:rsidRPr="008B1EE4">
        <w:rPr>
          <w:sz w:val="22"/>
          <w:szCs w:val="22"/>
        </w:rPr>
        <w:t xml:space="preserve"> </w:t>
      </w:r>
    </w:p>
    <w:p w:rsidR="008B1EE4" w:rsidRPr="008B1EE4" w:rsidRDefault="008B1EE4" w:rsidP="002D14D9">
      <w:pPr>
        <w:jc w:val="center"/>
        <w:rPr>
          <w:b/>
          <w:bCs/>
          <w:kern w:val="32"/>
          <w:sz w:val="28"/>
          <w:szCs w:val="28"/>
        </w:rPr>
      </w:pPr>
      <w:bookmarkStart w:id="0" w:name="_Toc133208869"/>
      <w:r w:rsidRPr="008B1EE4">
        <w:rPr>
          <w:b/>
          <w:bCs/>
          <w:kern w:val="32"/>
          <w:sz w:val="28"/>
          <w:szCs w:val="28"/>
        </w:rPr>
        <w:t xml:space="preserve">A.  </w:t>
      </w:r>
      <w:r w:rsidR="00AC512B">
        <w:rPr>
          <w:b/>
          <w:bCs/>
          <w:kern w:val="32"/>
          <w:sz w:val="28"/>
          <w:szCs w:val="28"/>
        </w:rPr>
        <w:tab/>
      </w:r>
      <w:r w:rsidRPr="008B1EE4">
        <w:rPr>
          <w:b/>
          <w:bCs/>
          <w:kern w:val="32"/>
          <w:sz w:val="28"/>
          <w:szCs w:val="28"/>
        </w:rPr>
        <w:t>Justification</w:t>
      </w:r>
      <w:bookmarkEnd w:id="0"/>
    </w:p>
    <w:p w:rsidR="008B1EE4" w:rsidRPr="008B1EE4" w:rsidRDefault="008B1EE4" w:rsidP="008B1EE4"/>
    <w:p w:rsidR="008B1EE4" w:rsidRPr="00904DCB" w:rsidRDefault="008B1EE4" w:rsidP="008B1EE4">
      <w:pPr>
        <w:keepNext/>
        <w:spacing w:before="240" w:after="60"/>
        <w:outlineLvl w:val="1"/>
        <w:rPr>
          <w:bCs/>
          <w:iCs/>
          <w:sz w:val="28"/>
          <w:szCs w:val="28"/>
          <w:u w:val="single"/>
        </w:rPr>
      </w:pPr>
      <w:bookmarkStart w:id="1" w:name="_Toc133208870"/>
      <w:r w:rsidRPr="00904DCB">
        <w:rPr>
          <w:bCs/>
          <w:iCs/>
          <w:sz w:val="28"/>
          <w:szCs w:val="28"/>
        </w:rPr>
        <w:t>A.1.</w:t>
      </w:r>
      <w:r w:rsidRPr="00904DCB">
        <w:rPr>
          <w:bCs/>
          <w:iCs/>
          <w:sz w:val="28"/>
          <w:szCs w:val="28"/>
        </w:rPr>
        <w:tab/>
      </w:r>
      <w:bookmarkEnd w:id="1"/>
      <w:r w:rsidRPr="00904DCB">
        <w:rPr>
          <w:bCs/>
          <w:iCs/>
          <w:sz w:val="28"/>
          <w:szCs w:val="28"/>
          <w:u w:val="single"/>
        </w:rPr>
        <w:t>Circumstances Making the Collection of Information Necessary</w:t>
      </w:r>
    </w:p>
    <w:p w:rsidR="008B1EE4" w:rsidRPr="008B1EE4" w:rsidRDefault="008B1EE4" w:rsidP="008B1EE4"/>
    <w:p w:rsidR="008B1EE4" w:rsidRPr="008B1EE4" w:rsidRDefault="008B1EE4" w:rsidP="000B23A2">
      <w:pPr>
        <w:spacing w:line="480" w:lineRule="auto"/>
        <w:ind w:firstLine="720"/>
      </w:pPr>
      <w:r w:rsidRPr="008B1EE4">
        <w:t xml:space="preserve">The U.S. Department of Housing and Urban Development—Office of Housing Assistance Contract Administration Oversight (HACAO)—is requesting Office of Management and Budget (OMB) approval to collect information through a customer-service survey of property owners who receive Housing Assistance Payments (HAPs) </w:t>
      </w:r>
      <w:r w:rsidR="002F14E6" w:rsidRPr="008B1EE4">
        <w:t>through</w:t>
      </w:r>
      <w:r w:rsidR="002F14E6">
        <w:t xml:space="preserve"> </w:t>
      </w:r>
      <w:r w:rsidR="002F14E6" w:rsidRPr="008B1EE4">
        <w:t>the</w:t>
      </w:r>
      <w:r w:rsidR="00DD7FCB">
        <w:t xml:space="preserve"> </w:t>
      </w:r>
      <w:r w:rsidRPr="008B1EE4">
        <w:t xml:space="preserve">Section 8 Program, which provides rental subsidies for low- and moderate-income eligible families.  </w:t>
      </w:r>
    </w:p>
    <w:p w:rsidR="008B1EE4" w:rsidRPr="008B1EE4" w:rsidRDefault="008B1EE4" w:rsidP="008B1EE4">
      <w:pPr>
        <w:spacing w:line="480" w:lineRule="auto"/>
        <w:ind w:firstLine="720"/>
        <w:rPr>
          <w:rFonts w:ascii="Calibri" w:hAnsi="Calibri"/>
        </w:rPr>
      </w:pPr>
      <w:r w:rsidRPr="008B1EE4">
        <w:t>While some eligible families receive tenant-based vouchers to use toward rent in private-sector housing, other funding is paid directly to the property owners through project based Section 8 HAP Contracts.  In these cases, HUD provides payments directly to property owners equal to the difference between the approved rental amount for the unit and the required rental contribution from eligible tenant families.  In return, property owners are obligated to rent a specified portion of their units to Section 8 eligible families; maintain decent, safe, and sanitary housing for residents; and comply with various regulations and reporting requirements</w:t>
      </w:r>
      <w:r w:rsidRPr="008B1EE4">
        <w:rPr>
          <w:rFonts w:ascii="Calibri" w:hAnsi="Calibri"/>
        </w:rPr>
        <w:t>.</w:t>
      </w:r>
    </w:p>
    <w:p w:rsidR="008B1EE4" w:rsidRPr="008B1EE4" w:rsidRDefault="008B1EE4" w:rsidP="00447A6B">
      <w:pPr>
        <w:spacing w:line="480" w:lineRule="auto"/>
        <w:ind w:firstLine="720"/>
      </w:pPr>
      <w:r w:rsidRPr="008B1EE4">
        <w:t xml:space="preserve">Compliance by property owners with program requirements is monitored by public-housing agencies (PHAs) under contract with HUD.  In 2011, HUD began making these contracts performance based so that PHAs holding such contracts would be incentivized to work with owners to ensure decent, safe, and sanitary housing under the Section 8 program.  In March 2011, HUD issued an Invitation for Applications for Performance-Based Contract Administrators (PBCAs).  Following the review of applications, PBCAs were awarded to PHAs covering 11 </w:t>
      </w:r>
      <w:r w:rsidRPr="008B1EE4">
        <w:lastRenderedPageBreak/>
        <w:t>entities—nine States</w:t>
      </w:r>
      <w:r w:rsidRPr="008B1EE4">
        <w:rPr>
          <w:vertAlign w:val="superscript"/>
        </w:rPr>
        <w:footnoteReference w:id="1"/>
      </w:r>
      <w:r w:rsidRPr="008B1EE4">
        <w:t>, Puerto Rico and the U.S. Virgin Islands—referred to collectively as ‘the States’.  In the future, similar surveys will be used for the same purpose with other PBCAs, following awards in other States.</w:t>
      </w:r>
      <w:r w:rsidRPr="008B1EE4">
        <w:rPr>
          <w:vertAlign w:val="superscript"/>
        </w:rPr>
        <w:footnoteReference w:id="2"/>
      </w:r>
      <w:r w:rsidRPr="008B1EE4">
        <w:t xml:space="preserve">  Additional PBCAs for other States are likely to be awarded in the future. </w:t>
      </w:r>
    </w:p>
    <w:p w:rsidR="008B1EE4" w:rsidRPr="008B1EE4" w:rsidRDefault="008B1EE4" w:rsidP="00447A6B">
      <w:pPr>
        <w:spacing w:line="480" w:lineRule="auto"/>
        <w:ind w:firstLine="720"/>
      </w:pPr>
      <w:r w:rsidRPr="008B1EE4">
        <w:t>The newly awarded Performance-Based Annual Contributions Contracts (PB-ACCs), which went into effect in October 2011, specify the responsibilities of the PBCA and the fees that HUD will provide to the PBCA in exchange for undertaking the principle tasks. The PBCAs administer HAP contracts within their geographic boundaries.  They are tasked to: monitor project owners’ compliance with their obligations and responsibilities; calculate and pay Section 8 HAP payments (e.g., rental subsidies) to property owners; and comply with Federal law and HUD regulations.  In addition to the Basic Administrative Fee, the PBCA may also incur Annual Incentive Fees for customer service.  The Annual Incentive Fee for customer service—5 percent of the sum of the Basic Administrative Fee earned during each 12-month period of the contract term—can be earned for the performance of the following tasks:</w:t>
      </w:r>
    </w:p>
    <w:p w:rsidR="008B1EE4" w:rsidRPr="008B1EE4" w:rsidRDefault="008B1EE4" w:rsidP="000B23A2">
      <w:pPr>
        <w:widowControl/>
        <w:numPr>
          <w:ilvl w:val="0"/>
          <w:numId w:val="21"/>
        </w:numPr>
        <w:autoSpaceDE/>
        <w:autoSpaceDN/>
        <w:adjustRightInd/>
        <w:spacing w:after="200" w:line="480" w:lineRule="auto"/>
        <w:ind w:left="720"/>
        <w:contextualSpacing/>
      </w:pPr>
      <w:r w:rsidRPr="008B1EE4">
        <w:t>Conducting management and occupancy reviews</w:t>
      </w:r>
      <w:r w:rsidR="000B23A2">
        <w:t>;</w:t>
      </w:r>
    </w:p>
    <w:p w:rsidR="008B1EE4" w:rsidRPr="008B1EE4" w:rsidRDefault="008B1EE4" w:rsidP="000B23A2">
      <w:pPr>
        <w:widowControl/>
        <w:numPr>
          <w:ilvl w:val="0"/>
          <w:numId w:val="21"/>
        </w:numPr>
        <w:autoSpaceDE/>
        <w:autoSpaceDN/>
        <w:adjustRightInd/>
        <w:spacing w:after="200" w:line="480" w:lineRule="auto"/>
        <w:ind w:left="720"/>
        <w:contextualSpacing/>
      </w:pPr>
      <w:r w:rsidRPr="008B1EE4">
        <w:t>Adjusting contract rents</w:t>
      </w:r>
      <w:r w:rsidR="000B23A2">
        <w:t>;</w:t>
      </w:r>
    </w:p>
    <w:p w:rsidR="008B1EE4" w:rsidRPr="008B1EE4" w:rsidRDefault="008B1EE4" w:rsidP="000B23A2">
      <w:pPr>
        <w:widowControl/>
        <w:numPr>
          <w:ilvl w:val="0"/>
          <w:numId w:val="21"/>
        </w:numPr>
        <w:autoSpaceDE/>
        <w:autoSpaceDN/>
        <w:adjustRightInd/>
        <w:spacing w:after="200" w:line="480" w:lineRule="auto"/>
        <w:ind w:left="720"/>
        <w:contextualSpacing/>
      </w:pPr>
      <w:r w:rsidRPr="008B1EE4">
        <w:t>Reviewing and paying monthly vouchers</w:t>
      </w:r>
      <w:r w:rsidR="000B23A2">
        <w:t>;</w:t>
      </w:r>
    </w:p>
    <w:p w:rsidR="008B1EE4" w:rsidRPr="008B1EE4" w:rsidRDefault="008B1EE4" w:rsidP="000B23A2">
      <w:pPr>
        <w:widowControl/>
        <w:numPr>
          <w:ilvl w:val="0"/>
          <w:numId w:val="21"/>
        </w:numPr>
        <w:autoSpaceDE/>
        <w:autoSpaceDN/>
        <w:adjustRightInd/>
        <w:spacing w:after="200" w:line="480" w:lineRule="auto"/>
        <w:ind w:left="720"/>
        <w:contextualSpacing/>
      </w:pPr>
      <w:r w:rsidRPr="008B1EE4">
        <w:t>Renewing HAP contracts and processing any terminations or expirations</w:t>
      </w:r>
      <w:r w:rsidR="000B23A2">
        <w:t>;</w:t>
      </w:r>
    </w:p>
    <w:p w:rsidR="008B1EE4" w:rsidRPr="008B1EE4" w:rsidRDefault="008B1EE4" w:rsidP="000B23A2">
      <w:pPr>
        <w:widowControl/>
        <w:numPr>
          <w:ilvl w:val="0"/>
          <w:numId w:val="21"/>
        </w:numPr>
        <w:autoSpaceDE/>
        <w:autoSpaceDN/>
        <w:adjustRightInd/>
        <w:spacing w:after="200" w:line="480" w:lineRule="auto"/>
        <w:ind w:left="720"/>
        <w:contextualSpacing/>
      </w:pPr>
      <w:r w:rsidRPr="008B1EE4">
        <w:t>Ensuring tenant health, safety, and maintenance issues are resolved</w:t>
      </w:r>
      <w:r w:rsidR="000B23A2">
        <w:t>; and</w:t>
      </w:r>
    </w:p>
    <w:p w:rsidR="008B1EE4" w:rsidRPr="008B1EE4" w:rsidRDefault="008B1EE4" w:rsidP="000B23A2">
      <w:pPr>
        <w:widowControl/>
        <w:numPr>
          <w:ilvl w:val="0"/>
          <w:numId w:val="21"/>
        </w:numPr>
        <w:autoSpaceDE/>
        <w:autoSpaceDN/>
        <w:adjustRightInd/>
        <w:spacing w:after="200" w:line="480" w:lineRule="auto"/>
        <w:ind w:left="720"/>
        <w:contextualSpacing/>
      </w:pPr>
      <w:r w:rsidRPr="008B1EE4">
        <w:t xml:space="preserve">Providing administrative </w:t>
      </w:r>
      <w:proofErr w:type="gramStart"/>
      <w:r w:rsidRPr="008B1EE4">
        <w:t>support  including</w:t>
      </w:r>
      <w:proofErr w:type="gramEnd"/>
      <w:r w:rsidRPr="008B1EE4">
        <w:t>: 1) monthly and quarterly reviews; 2) ACC year-end reports and certifications, and 3) annual financial reports – PHA fiscal year end</w:t>
      </w:r>
      <w:r w:rsidR="000B23A2">
        <w:t>.</w:t>
      </w:r>
    </w:p>
    <w:p w:rsidR="008B1EE4" w:rsidRPr="00904DCB" w:rsidRDefault="008B1EE4" w:rsidP="008B1EE4">
      <w:pPr>
        <w:keepNext/>
        <w:spacing w:before="240" w:after="60"/>
        <w:outlineLvl w:val="1"/>
        <w:rPr>
          <w:rFonts w:cs="Arial"/>
          <w:bCs/>
          <w:sz w:val="28"/>
          <w:szCs w:val="28"/>
        </w:rPr>
      </w:pPr>
      <w:bookmarkStart w:id="2" w:name="_Toc133208871"/>
      <w:r w:rsidRPr="00904DCB">
        <w:rPr>
          <w:rFonts w:cs="Arial"/>
          <w:bCs/>
          <w:sz w:val="28"/>
          <w:szCs w:val="28"/>
        </w:rPr>
        <w:lastRenderedPageBreak/>
        <w:t>A.2.</w:t>
      </w:r>
      <w:r w:rsidRPr="00904DCB">
        <w:rPr>
          <w:rFonts w:cs="Arial"/>
          <w:bCs/>
          <w:sz w:val="28"/>
          <w:szCs w:val="28"/>
        </w:rPr>
        <w:tab/>
      </w:r>
      <w:r w:rsidRPr="00904DCB">
        <w:rPr>
          <w:rFonts w:cs="Arial"/>
          <w:bCs/>
          <w:sz w:val="28"/>
          <w:szCs w:val="28"/>
          <w:u w:val="single"/>
        </w:rPr>
        <w:t>Purpose and Use of the Information</w:t>
      </w:r>
      <w:bookmarkEnd w:id="2"/>
    </w:p>
    <w:p w:rsidR="008B1EE4" w:rsidRPr="008B1EE4" w:rsidRDefault="008B1EE4" w:rsidP="008B1EE4"/>
    <w:p w:rsidR="008B1EE4" w:rsidRPr="008B1EE4" w:rsidRDefault="008B1EE4" w:rsidP="008B1EE4">
      <w:pPr>
        <w:spacing w:line="480" w:lineRule="auto"/>
        <w:ind w:firstLine="720"/>
      </w:pPr>
      <w:r w:rsidRPr="008B1EE4">
        <w:t xml:space="preserve">The purpose of this Annual Customer-Service Survey of PBCAs is to enable HUD to decide which PBCAs have earned an Annual Incentive Fee for customer service.  This will be the first such survey of the newly awarded PBCAs regarding their monitoring and oversight of HAP contracts.  </w:t>
      </w:r>
    </w:p>
    <w:p w:rsidR="008B1EE4" w:rsidRPr="008B1EE4" w:rsidRDefault="008B1EE4" w:rsidP="008B1EE4">
      <w:pPr>
        <w:spacing w:line="480" w:lineRule="auto"/>
        <w:ind w:firstLine="720"/>
      </w:pPr>
      <w:r w:rsidRPr="008B1EE4">
        <w:t xml:space="preserve">The information collection for which this OMB approval is requested will consist of a customer satisfaction survey of property owners that </w:t>
      </w:r>
      <w:r w:rsidR="00300A2F">
        <w:t>are</w:t>
      </w:r>
      <w:r w:rsidRPr="008B1EE4">
        <w:t xml:space="preserve"> overseen by the 11 PBCAs.  The surveys will collect information specifically on aspects of PBCAs’ conduct of their monitoring and oversight responsibilities. Those surveyed in each State will consist of</w:t>
      </w:r>
      <w:r w:rsidR="00FA713C">
        <w:t xml:space="preserve"> </w:t>
      </w:r>
      <w:r w:rsidRPr="008B1EE4">
        <w:t>100 property owners, drawn from a</w:t>
      </w:r>
      <w:r w:rsidR="00FA713C">
        <w:t xml:space="preserve"> two-stage</w:t>
      </w:r>
      <w:r w:rsidRPr="008B1EE4">
        <w:t xml:space="preserve"> sample of property owners with HAP contracts. The responses to survey questions will be analyzed and compiled to form a basis for determining whether each PBCA is eligible to receive an Annual Incentive Fee.  </w:t>
      </w:r>
    </w:p>
    <w:p w:rsidR="008B1EE4" w:rsidRPr="008B1EE4" w:rsidRDefault="008B1EE4" w:rsidP="008B1EE4">
      <w:pPr>
        <w:spacing w:line="480" w:lineRule="auto"/>
        <w:ind w:firstLine="720"/>
      </w:pPr>
      <w:r w:rsidRPr="008B1EE4">
        <w:t xml:space="preserve">The information collected from these interviews and the results of this analysis will only be used for the purposes of this study, and will not be shared with any other agencies or entities outside of HUD or used for any other purposes.      </w:t>
      </w:r>
    </w:p>
    <w:p w:rsidR="008B1EE4" w:rsidRPr="00904DCB" w:rsidRDefault="008B1EE4" w:rsidP="008B1EE4">
      <w:pPr>
        <w:keepNext/>
        <w:spacing w:before="240" w:after="60"/>
        <w:outlineLvl w:val="1"/>
        <w:rPr>
          <w:rFonts w:cs="Arial"/>
          <w:bCs/>
          <w:sz w:val="28"/>
          <w:szCs w:val="28"/>
        </w:rPr>
      </w:pPr>
      <w:bookmarkStart w:id="3" w:name="_Toc133208872"/>
      <w:r w:rsidRPr="00904DCB">
        <w:rPr>
          <w:rFonts w:cs="Arial"/>
          <w:bCs/>
          <w:sz w:val="28"/>
          <w:szCs w:val="28"/>
        </w:rPr>
        <w:t>A.3.</w:t>
      </w:r>
      <w:r w:rsidRPr="00904DCB">
        <w:rPr>
          <w:rFonts w:cs="Arial"/>
          <w:bCs/>
          <w:sz w:val="28"/>
          <w:szCs w:val="28"/>
        </w:rPr>
        <w:tab/>
      </w:r>
      <w:bookmarkEnd w:id="3"/>
      <w:r w:rsidRPr="00904DCB">
        <w:rPr>
          <w:rFonts w:cs="Arial"/>
          <w:bCs/>
          <w:sz w:val="28"/>
          <w:szCs w:val="28"/>
          <w:u w:val="single"/>
        </w:rPr>
        <w:t>Use of Information Technology and Burden Reduction</w:t>
      </w:r>
    </w:p>
    <w:p w:rsidR="008B1EE4" w:rsidRPr="008B1EE4" w:rsidRDefault="008B1EE4" w:rsidP="008B1EE4"/>
    <w:p w:rsidR="008B1EE4" w:rsidRPr="008B1EE4" w:rsidRDefault="008B1EE4" w:rsidP="00DD7FCB">
      <w:pPr>
        <w:spacing w:line="480" w:lineRule="auto"/>
        <w:ind w:firstLine="720"/>
      </w:pPr>
    </w:p>
    <w:p w:rsidR="008B1EE4" w:rsidRPr="008B1EE4" w:rsidRDefault="008B1EE4" w:rsidP="00447A6B">
      <w:pPr>
        <w:spacing w:line="480" w:lineRule="auto"/>
        <w:ind w:firstLine="720"/>
      </w:pPr>
      <w:r w:rsidRPr="008B1EE4">
        <w:t xml:space="preserve">The survey of property owners will be will be conducted by Web; property owners will be notified of the Web surveys first by a pre-notification letter and then by email from lists of contact information available from PBCAs and/or HUD. </w:t>
      </w:r>
      <w:r w:rsidR="002F14E6">
        <w:t xml:space="preserve">Property owners who do not respond also will be followed up by telephone. </w:t>
      </w:r>
      <w:r w:rsidRPr="008B1EE4">
        <w:t xml:space="preserve">As business entities, owners and manager access to the Web should be near universal. Their incentive to respond should be high, and with email and telephone reminders, </w:t>
      </w:r>
      <w:r w:rsidRPr="008B1EE4">
        <w:lastRenderedPageBreak/>
        <w:t xml:space="preserve">sufficient to minimize non-response bias.  Note that, in some cases, the property owner may not be the individual that deals directly with the PBCA.  In these cases, we plan to send out the link to the most appropriate individual, such as the property manager or agent.  This will be determined when we compile the sampling frame for the survey.  </w:t>
      </w:r>
    </w:p>
    <w:p w:rsidR="008B1EE4" w:rsidRPr="00904DCB" w:rsidRDefault="008B1EE4" w:rsidP="008B1EE4">
      <w:pPr>
        <w:keepNext/>
        <w:spacing w:before="240" w:after="60"/>
        <w:outlineLvl w:val="1"/>
        <w:rPr>
          <w:rFonts w:cs="Arial"/>
          <w:bCs/>
          <w:sz w:val="28"/>
          <w:szCs w:val="28"/>
          <w:u w:val="single"/>
        </w:rPr>
      </w:pPr>
      <w:bookmarkStart w:id="4" w:name="_Toc133208873"/>
      <w:r w:rsidRPr="00904DCB">
        <w:rPr>
          <w:rFonts w:cs="Arial"/>
          <w:bCs/>
          <w:sz w:val="28"/>
          <w:szCs w:val="28"/>
        </w:rPr>
        <w:t>A.4</w:t>
      </w:r>
      <w:r w:rsidRPr="00904DCB">
        <w:rPr>
          <w:rFonts w:cs="Arial"/>
          <w:bCs/>
          <w:sz w:val="28"/>
          <w:szCs w:val="28"/>
        </w:rPr>
        <w:tab/>
      </w:r>
      <w:r w:rsidRPr="00904DCB">
        <w:rPr>
          <w:rFonts w:cs="Arial"/>
          <w:bCs/>
          <w:sz w:val="28"/>
          <w:szCs w:val="28"/>
          <w:u w:val="single"/>
        </w:rPr>
        <w:t xml:space="preserve">Efforts to Identify </w:t>
      </w:r>
      <w:bookmarkEnd w:id="4"/>
      <w:r w:rsidRPr="00904DCB">
        <w:rPr>
          <w:rFonts w:cs="Arial"/>
          <w:bCs/>
          <w:sz w:val="28"/>
          <w:szCs w:val="28"/>
          <w:u w:val="single"/>
        </w:rPr>
        <w:t>Duplication and Use of Similar Information</w:t>
      </w:r>
    </w:p>
    <w:p w:rsidR="008B1EE4" w:rsidRPr="008B1EE4" w:rsidRDefault="008B1EE4" w:rsidP="008B1EE4"/>
    <w:p w:rsidR="008B1EE4" w:rsidRPr="008B1EE4" w:rsidRDefault="008B1EE4" w:rsidP="008B1EE4">
      <w:pPr>
        <w:spacing w:line="480" w:lineRule="auto"/>
        <w:ind w:firstLine="720"/>
      </w:pPr>
      <w:r w:rsidRPr="008B1EE4">
        <w:t xml:space="preserve">No prior studies have been conducted for this purpose or similar purposes. HUD and its survey contractor are not aware of any surveys of owners and managers to assess their satisfaction with the PBCAs. </w:t>
      </w:r>
    </w:p>
    <w:p w:rsidR="008B1EE4" w:rsidRPr="00904DCB" w:rsidRDefault="008B1EE4" w:rsidP="008B1EE4">
      <w:pPr>
        <w:keepNext/>
        <w:spacing w:before="240" w:after="60"/>
        <w:outlineLvl w:val="1"/>
        <w:rPr>
          <w:rFonts w:cs="Arial"/>
          <w:bCs/>
          <w:sz w:val="28"/>
          <w:szCs w:val="28"/>
        </w:rPr>
      </w:pPr>
      <w:bookmarkStart w:id="5" w:name="_Toc133208874"/>
      <w:r w:rsidRPr="00904DCB">
        <w:rPr>
          <w:rFonts w:cs="Arial"/>
          <w:bCs/>
          <w:sz w:val="28"/>
          <w:szCs w:val="28"/>
        </w:rPr>
        <w:t>A.5.</w:t>
      </w:r>
      <w:r w:rsidRPr="00904DCB">
        <w:rPr>
          <w:rFonts w:cs="Arial"/>
          <w:bCs/>
          <w:sz w:val="28"/>
          <w:szCs w:val="28"/>
        </w:rPr>
        <w:tab/>
      </w:r>
      <w:bookmarkEnd w:id="5"/>
      <w:r w:rsidRPr="00904DCB">
        <w:rPr>
          <w:rFonts w:cs="Arial"/>
          <w:bCs/>
          <w:sz w:val="28"/>
          <w:szCs w:val="28"/>
          <w:u w:val="single"/>
        </w:rPr>
        <w:t>Impacts on Small Businesses or Other Small Entities</w:t>
      </w:r>
    </w:p>
    <w:p w:rsidR="008B1EE4" w:rsidRPr="008B1EE4" w:rsidRDefault="008B1EE4" w:rsidP="008B1EE4"/>
    <w:p w:rsidR="008B1EE4" w:rsidRPr="008B1EE4" w:rsidRDefault="008B1EE4" w:rsidP="008B1EE4">
      <w:pPr>
        <w:spacing w:line="480" w:lineRule="auto"/>
        <w:ind w:firstLine="720"/>
      </w:pPr>
      <w:r w:rsidRPr="008B1EE4">
        <w:t xml:space="preserve"> Property owners contacted for the survey in their State may be small businesses. Their participation is essential to achieve sufficient representation of property owners within each State. Sampling procedures are designed to select small business in proportion to their representation of all property owners. </w:t>
      </w:r>
    </w:p>
    <w:p w:rsidR="008B1EE4" w:rsidRPr="008B1EE4" w:rsidRDefault="008B1EE4" w:rsidP="008B1EE4">
      <w:pPr>
        <w:spacing w:line="480" w:lineRule="auto"/>
        <w:ind w:firstLine="720"/>
      </w:pPr>
      <w:r w:rsidRPr="008B1EE4">
        <w:t xml:space="preserve">There are no known sources of information on the representation of small businesses among these property owners. Property owners who do respond to the survey may be asked if they are small businesses, using established Small Business Administration criteria based on revenues or number of employees. </w:t>
      </w:r>
    </w:p>
    <w:p w:rsidR="008B1EE4" w:rsidRPr="00904DCB" w:rsidRDefault="008B1EE4" w:rsidP="008B1EE4">
      <w:pPr>
        <w:keepNext/>
        <w:spacing w:before="240" w:after="60"/>
        <w:outlineLvl w:val="1"/>
        <w:rPr>
          <w:rFonts w:cs="Arial"/>
          <w:bCs/>
          <w:sz w:val="28"/>
          <w:szCs w:val="28"/>
        </w:rPr>
      </w:pPr>
      <w:bookmarkStart w:id="6" w:name="_Toc133208876"/>
      <w:r w:rsidRPr="00904DCB">
        <w:rPr>
          <w:rFonts w:cs="Arial"/>
          <w:bCs/>
          <w:sz w:val="28"/>
          <w:szCs w:val="28"/>
        </w:rPr>
        <w:t>A.6.</w:t>
      </w:r>
      <w:r w:rsidRPr="00904DCB">
        <w:rPr>
          <w:rFonts w:cs="Arial"/>
          <w:bCs/>
          <w:sz w:val="28"/>
          <w:szCs w:val="28"/>
        </w:rPr>
        <w:tab/>
      </w:r>
      <w:bookmarkEnd w:id="6"/>
      <w:r w:rsidRPr="00904DCB">
        <w:rPr>
          <w:rFonts w:cs="Arial"/>
          <w:bCs/>
          <w:sz w:val="28"/>
          <w:szCs w:val="28"/>
          <w:u w:val="single"/>
        </w:rPr>
        <w:t>Consequences of Collecting Information Less Frequently</w:t>
      </w:r>
    </w:p>
    <w:p w:rsidR="008B1EE4" w:rsidRPr="008B1EE4" w:rsidRDefault="008B1EE4" w:rsidP="008B1EE4"/>
    <w:p w:rsidR="008B1EE4" w:rsidRPr="008B1EE4" w:rsidRDefault="008B1EE4" w:rsidP="008B1EE4">
      <w:pPr>
        <w:spacing w:line="480" w:lineRule="auto"/>
        <w:ind w:firstLine="720"/>
      </w:pPr>
      <w:r w:rsidRPr="008B1EE4">
        <w:t xml:space="preserve">The information collection proposed for this study consists of one interview for each property owner </w:t>
      </w:r>
      <w:r w:rsidR="00300A2F">
        <w:t>in each included State in which the owner holds properties</w:t>
      </w:r>
      <w:r w:rsidRPr="008B1EE4">
        <w:t>.  If these interviews are not conducted, HUD will not have a critical source of information for determining the eligibility of PBCAs for the Annual Incentive Fees. Owners</w:t>
      </w:r>
      <w:r w:rsidR="00DD7FCB">
        <w:t xml:space="preserve"> </w:t>
      </w:r>
      <w:r w:rsidRPr="008B1EE4">
        <w:t xml:space="preserve">provide the best overall source of information on PBCA performance. </w:t>
      </w:r>
    </w:p>
    <w:p w:rsidR="008B1EE4" w:rsidRPr="00904DCB" w:rsidRDefault="008B1EE4" w:rsidP="008B1EE4">
      <w:pPr>
        <w:keepNext/>
        <w:spacing w:before="240" w:after="60"/>
        <w:outlineLvl w:val="1"/>
        <w:rPr>
          <w:rFonts w:cs="Arial"/>
          <w:bCs/>
          <w:sz w:val="28"/>
          <w:szCs w:val="28"/>
        </w:rPr>
      </w:pPr>
      <w:bookmarkStart w:id="7" w:name="_Toc133208877"/>
      <w:r w:rsidRPr="00904DCB">
        <w:rPr>
          <w:rFonts w:cs="Arial"/>
          <w:bCs/>
          <w:sz w:val="28"/>
          <w:szCs w:val="28"/>
        </w:rPr>
        <w:t>A.7.</w:t>
      </w:r>
      <w:r w:rsidRPr="00904DCB">
        <w:rPr>
          <w:rFonts w:cs="Arial"/>
          <w:bCs/>
          <w:sz w:val="28"/>
          <w:szCs w:val="28"/>
        </w:rPr>
        <w:tab/>
      </w:r>
      <w:bookmarkEnd w:id="7"/>
      <w:r w:rsidRPr="00904DCB">
        <w:rPr>
          <w:rFonts w:cs="Arial"/>
          <w:bCs/>
          <w:sz w:val="28"/>
          <w:szCs w:val="28"/>
          <w:u w:val="single"/>
        </w:rPr>
        <w:t>Special Circumstances Relating to the Guideline of 5.CFR 1320.5</w:t>
      </w:r>
    </w:p>
    <w:p w:rsidR="008B1EE4" w:rsidRPr="008B1EE4" w:rsidRDefault="008B1EE4" w:rsidP="008B1EE4"/>
    <w:p w:rsidR="008B1EE4" w:rsidRPr="008B1EE4" w:rsidRDefault="008B1EE4" w:rsidP="008B1EE4">
      <w:pPr>
        <w:spacing w:line="480" w:lineRule="auto"/>
        <w:ind w:firstLine="720"/>
      </w:pPr>
      <w:r w:rsidRPr="008B1EE4">
        <w:t xml:space="preserve">There are no special circumstances. The collection of information is conducted in a manner consistent with the guidelines in 5 CFR 1320.5. </w:t>
      </w:r>
    </w:p>
    <w:p w:rsidR="008B1EE4" w:rsidRPr="00904DCB" w:rsidRDefault="008B1EE4" w:rsidP="008B1EE4">
      <w:pPr>
        <w:keepNext/>
        <w:spacing w:before="240" w:after="60"/>
        <w:outlineLvl w:val="1"/>
        <w:rPr>
          <w:rFonts w:cs="Arial"/>
          <w:bCs/>
          <w:sz w:val="28"/>
          <w:szCs w:val="28"/>
          <w:u w:val="single"/>
        </w:rPr>
      </w:pPr>
      <w:bookmarkStart w:id="8" w:name="_Toc133208878"/>
      <w:r w:rsidRPr="00904DCB">
        <w:rPr>
          <w:rFonts w:cs="Arial"/>
          <w:bCs/>
          <w:sz w:val="28"/>
          <w:szCs w:val="28"/>
        </w:rPr>
        <w:t>A.8.</w:t>
      </w:r>
      <w:r w:rsidRPr="00904DCB">
        <w:rPr>
          <w:rFonts w:cs="Arial"/>
          <w:bCs/>
          <w:sz w:val="28"/>
          <w:szCs w:val="28"/>
        </w:rPr>
        <w:tab/>
      </w:r>
      <w:bookmarkEnd w:id="8"/>
      <w:r w:rsidRPr="00904DCB">
        <w:rPr>
          <w:rFonts w:cs="Arial"/>
          <w:bCs/>
          <w:sz w:val="28"/>
          <w:szCs w:val="28"/>
          <w:u w:val="single"/>
        </w:rPr>
        <w:t>Comments in Response to the Federal Register Notice and Efforts to Consult Outside Agency</w:t>
      </w:r>
    </w:p>
    <w:p w:rsidR="008B1EE4" w:rsidRPr="008B1EE4" w:rsidRDefault="008B1EE4" w:rsidP="008B1EE4"/>
    <w:p w:rsidR="008B1EE4" w:rsidRPr="008B1EE4" w:rsidRDefault="008B1EE4" w:rsidP="008B1EE4">
      <w:pPr>
        <w:spacing w:line="480" w:lineRule="auto"/>
        <w:ind w:firstLine="720"/>
      </w:pPr>
      <w:r w:rsidRPr="008B1EE4">
        <w:t xml:space="preserve">The notice required by 5 CFR 1320.8(d) was published in the </w:t>
      </w:r>
      <w:r w:rsidRPr="008B1EE4">
        <w:rPr>
          <w:i/>
        </w:rPr>
        <w:t>Federal Register</w:t>
      </w:r>
      <w:r w:rsidRPr="008B1EE4">
        <w:t xml:space="preserve"> on</w:t>
      </w:r>
      <w:r w:rsidR="00A855AF">
        <w:t xml:space="preserve"> [month date, year] in </w:t>
      </w:r>
      <w:r w:rsidR="00A855AF" w:rsidRPr="00A855AF">
        <w:t>Vol. 77, No. 79 /Tuesday, April 24, 2012</w:t>
      </w:r>
      <w:r w:rsidR="00A855AF">
        <w:t xml:space="preserve"> </w:t>
      </w:r>
      <w:r w:rsidRPr="008B1EE4">
        <w:t xml:space="preserve">and provided a </w:t>
      </w:r>
      <w:r w:rsidR="00300A2F">
        <w:t>3</w:t>
      </w:r>
      <w:r w:rsidR="00300A2F" w:rsidRPr="008B1EE4">
        <w:t>0</w:t>
      </w:r>
      <w:r w:rsidRPr="008B1EE4">
        <w:t>-day period for public comment. No public comments were received regarding this notice at the time of this submission.  Any comments received in response to this notice will be addressed and forwarded to OMB.</w:t>
      </w:r>
    </w:p>
    <w:p w:rsidR="008B1EE4" w:rsidRPr="008B1EE4" w:rsidRDefault="008B1EE4" w:rsidP="008B1EE4">
      <w:pPr>
        <w:spacing w:line="480" w:lineRule="auto"/>
        <w:ind w:firstLine="720"/>
      </w:pPr>
      <w:r w:rsidRPr="008B1EE4">
        <w:t>HUD does not plan any consultation from outside of the agency.</w:t>
      </w:r>
    </w:p>
    <w:p w:rsidR="008B1EE4" w:rsidRPr="00904DCB" w:rsidRDefault="008B1EE4" w:rsidP="008B1EE4">
      <w:pPr>
        <w:keepNext/>
        <w:spacing w:before="240" w:after="60"/>
        <w:outlineLvl w:val="1"/>
        <w:rPr>
          <w:rFonts w:cs="Arial"/>
          <w:bCs/>
          <w:sz w:val="28"/>
          <w:szCs w:val="28"/>
        </w:rPr>
      </w:pPr>
      <w:bookmarkStart w:id="9" w:name="_Toc133208880"/>
      <w:r w:rsidRPr="00904DCB">
        <w:rPr>
          <w:rFonts w:cs="Arial"/>
          <w:bCs/>
          <w:sz w:val="28"/>
          <w:szCs w:val="28"/>
        </w:rPr>
        <w:t>A.9.</w:t>
      </w:r>
      <w:r w:rsidRPr="00904DCB">
        <w:rPr>
          <w:rFonts w:cs="Arial"/>
          <w:bCs/>
          <w:sz w:val="28"/>
          <w:szCs w:val="28"/>
        </w:rPr>
        <w:tab/>
      </w:r>
      <w:bookmarkEnd w:id="9"/>
      <w:r w:rsidRPr="00904DCB">
        <w:rPr>
          <w:rFonts w:cs="Arial"/>
          <w:bCs/>
          <w:sz w:val="28"/>
          <w:szCs w:val="28"/>
          <w:u w:val="single"/>
        </w:rPr>
        <w:t>Explanation of Any Payment or Gift to Respondents</w:t>
      </w:r>
    </w:p>
    <w:p w:rsidR="008B1EE4" w:rsidRPr="008B1EE4" w:rsidRDefault="008B1EE4" w:rsidP="008B1EE4"/>
    <w:p w:rsidR="008B1EE4" w:rsidRPr="008B1EE4" w:rsidRDefault="008B1EE4" w:rsidP="008B1EE4">
      <w:pPr>
        <w:spacing w:line="480" w:lineRule="auto"/>
        <w:ind w:firstLine="720"/>
      </w:pPr>
      <w:r w:rsidRPr="008B1EE4">
        <w:t>No payment or gift will be offered to respondents.</w:t>
      </w:r>
    </w:p>
    <w:p w:rsidR="008B1EE4" w:rsidRPr="00904DCB" w:rsidRDefault="008B1EE4" w:rsidP="008B1EE4">
      <w:pPr>
        <w:keepNext/>
        <w:spacing w:before="240" w:after="60"/>
        <w:outlineLvl w:val="1"/>
        <w:rPr>
          <w:rFonts w:cs="Arial"/>
          <w:bCs/>
          <w:sz w:val="28"/>
          <w:szCs w:val="28"/>
        </w:rPr>
      </w:pPr>
      <w:bookmarkStart w:id="10" w:name="_Toc133208881"/>
      <w:r w:rsidRPr="00904DCB">
        <w:rPr>
          <w:rFonts w:cs="Arial"/>
          <w:bCs/>
          <w:sz w:val="28"/>
          <w:szCs w:val="28"/>
        </w:rPr>
        <w:t>A.10.</w:t>
      </w:r>
      <w:r w:rsidRPr="00904DCB">
        <w:rPr>
          <w:rFonts w:cs="Arial"/>
          <w:bCs/>
          <w:sz w:val="28"/>
          <w:szCs w:val="28"/>
        </w:rPr>
        <w:tab/>
      </w:r>
      <w:r w:rsidRPr="00904DCB">
        <w:rPr>
          <w:rFonts w:cs="Arial"/>
          <w:bCs/>
          <w:sz w:val="28"/>
          <w:szCs w:val="28"/>
          <w:u w:val="single"/>
        </w:rPr>
        <w:t>Assurance of Confidentiality</w:t>
      </w:r>
      <w:bookmarkEnd w:id="10"/>
      <w:r w:rsidRPr="00904DCB">
        <w:rPr>
          <w:rFonts w:cs="Arial"/>
          <w:bCs/>
          <w:sz w:val="28"/>
          <w:szCs w:val="28"/>
          <w:u w:val="single"/>
        </w:rPr>
        <w:t xml:space="preserve"> Provided to Respondents</w:t>
      </w:r>
    </w:p>
    <w:p w:rsidR="008B1EE4" w:rsidRPr="008B1EE4" w:rsidRDefault="008B1EE4" w:rsidP="008B1EE4"/>
    <w:p w:rsidR="008B1EE4" w:rsidRPr="008B1EE4" w:rsidRDefault="008B1EE4" w:rsidP="000B23A2">
      <w:pPr>
        <w:spacing w:line="480" w:lineRule="auto"/>
        <w:ind w:firstLine="720"/>
      </w:pPr>
      <w:r w:rsidRPr="008B1EE4">
        <w:t xml:space="preserve">All respondents in the study will be given assurance that any information they provide is confidential and their participation will have no impact on their receipt of HAP contracts or payments (for property owners) or rental subsidies or ongoing occupancy for tenants.  Interviewees will also be assured that no individually identifiable information will be included with any response and the identity of respondents will not be provided to HUD. Further, the key that links any response to any individual will be maintained by HUD’s contractor in a locked file (hard copy) or encrypted (computer file) and destroyed at the conclusion of the study pursuant to applicable HUD regulations. All Insight Policy Research and ICF data collection staff </w:t>
      </w:r>
      <w:proofErr w:type="gramStart"/>
      <w:r w:rsidRPr="008B1EE4">
        <w:t>are</w:t>
      </w:r>
      <w:proofErr w:type="gramEnd"/>
      <w:r w:rsidRPr="008B1EE4">
        <w:t xml:space="preserve"> required to sign a data confidentiality pledge associated specifically with this study.  </w:t>
      </w:r>
    </w:p>
    <w:p w:rsidR="008B1EE4" w:rsidRPr="00904DCB" w:rsidRDefault="008B1EE4" w:rsidP="006D5A59">
      <w:pPr>
        <w:keepNext/>
        <w:spacing w:before="240" w:after="60" w:line="480" w:lineRule="auto"/>
        <w:outlineLvl w:val="1"/>
        <w:rPr>
          <w:rFonts w:cs="Arial"/>
          <w:bCs/>
          <w:sz w:val="28"/>
          <w:szCs w:val="28"/>
        </w:rPr>
      </w:pPr>
      <w:bookmarkStart w:id="11" w:name="_Toc133208882"/>
      <w:r w:rsidRPr="00904DCB">
        <w:rPr>
          <w:rFonts w:cs="Arial"/>
          <w:bCs/>
          <w:sz w:val="28"/>
          <w:szCs w:val="28"/>
        </w:rPr>
        <w:t>A.11.</w:t>
      </w:r>
      <w:r w:rsidRPr="00904DCB">
        <w:rPr>
          <w:rFonts w:cs="Arial"/>
          <w:bCs/>
          <w:sz w:val="28"/>
          <w:szCs w:val="28"/>
        </w:rPr>
        <w:tab/>
      </w:r>
      <w:bookmarkEnd w:id="11"/>
      <w:r w:rsidRPr="00904DCB">
        <w:rPr>
          <w:rFonts w:cs="Arial"/>
          <w:bCs/>
          <w:sz w:val="28"/>
          <w:szCs w:val="28"/>
          <w:u w:val="single"/>
        </w:rPr>
        <w:t>Justification for Sensitive Questions</w:t>
      </w:r>
      <w:r w:rsidRPr="00904DCB">
        <w:rPr>
          <w:rFonts w:cs="Arial"/>
          <w:bCs/>
          <w:sz w:val="28"/>
          <w:szCs w:val="28"/>
        </w:rPr>
        <w:t xml:space="preserve"> </w:t>
      </w:r>
    </w:p>
    <w:p w:rsidR="008B1EE4" w:rsidRPr="008B1EE4" w:rsidRDefault="008B1EE4" w:rsidP="002853C5">
      <w:pPr>
        <w:spacing w:line="480" w:lineRule="auto"/>
        <w:ind w:firstLine="720"/>
      </w:pPr>
      <w:r w:rsidRPr="008B1EE4">
        <w:t xml:space="preserve">The survey instrument for property owners will include questions on the business size (number of employees, revenues) and participation in Section 8 (number of properties with Section 8 units, total number of units in this property, total number of units in all section 8 properties, length of participation in Section 8, length of ownership/management of this property) for categorization purposes. Some of these questions could be considered sensitive by </w:t>
      </w:r>
      <w:r w:rsidR="00DD7FCB">
        <w:t xml:space="preserve">certain </w:t>
      </w:r>
      <w:r w:rsidRPr="008B1EE4">
        <w:t>respondents.</w:t>
      </w:r>
      <w:r w:rsidR="002853C5">
        <w:t xml:space="preserve">  The survey instrument is</w:t>
      </w:r>
      <w:r w:rsidRPr="008B1EE4">
        <w:t xml:space="preserve"> provided in</w:t>
      </w:r>
      <w:r w:rsidR="00D00093">
        <w:t xml:space="preserve"> Attachment</w:t>
      </w:r>
      <w:r w:rsidR="002853C5">
        <w:t xml:space="preserve"> B</w:t>
      </w:r>
      <w:r w:rsidRPr="002853C5">
        <w:t>.</w:t>
      </w:r>
    </w:p>
    <w:p w:rsidR="008B1EE4" w:rsidRPr="008B1EE4" w:rsidRDefault="008B1EE4" w:rsidP="008B1EE4">
      <w:pPr>
        <w:spacing w:line="480" w:lineRule="auto"/>
        <w:ind w:firstLine="720"/>
      </w:pPr>
      <w:r w:rsidRPr="008B1EE4">
        <w:t xml:space="preserve">As part of the consent process, respondents will be assured that they may choose not to answer any </w:t>
      </w:r>
      <w:r w:rsidR="00DD7FCB">
        <w:t xml:space="preserve">specific </w:t>
      </w:r>
      <w:r w:rsidRPr="008B1EE4">
        <w:t xml:space="preserve">question(s). </w:t>
      </w:r>
    </w:p>
    <w:p w:rsidR="008B1EE4" w:rsidRPr="00904DCB" w:rsidRDefault="008B1EE4" w:rsidP="008B1EE4">
      <w:pPr>
        <w:keepNext/>
        <w:spacing w:before="240" w:after="60"/>
        <w:outlineLvl w:val="1"/>
        <w:rPr>
          <w:rFonts w:cs="Arial"/>
          <w:bCs/>
          <w:sz w:val="28"/>
          <w:szCs w:val="28"/>
        </w:rPr>
      </w:pPr>
      <w:bookmarkStart w:id="12" w:name="_Toc133208884"/>
      <w:r w:rsidRPr="00904DCB">
        <w:rPr>
          <w:rFonts w:cs="Arial"/>
          <w:bCs/>
          <w:sz w:val="28"/>
          <w:szCs w:val="28"/>
        </w:rPr>
        <w:t>A.12.</w:t>
      </w:r>
      <w:r w:rsidRPr="00904DCB">
        <w:rPr>
          <w:rFonts w:cs="Arial"/>
          <w:bCs/>
          <w:sz w:val="28"/>
          <w:szCs w:val="28"/>
        </w:rPr>
        <w:tab/>
      </w:r>
      <w:r w:rsidRPr="00904DCB">
        <w:rPr>
          <w:rFonts w:cs="Arial"/>
          <w:bCs/>
          <w:sz w:val="28"/>
          <w:szCs w:val="28"/>
          <w:u w:val="single"/>
        </w:rPr>
        <w:t>Estimates of Hour Burden</w:t>
      </w:r>
      <w:bookmarkEnd w:id="12"/>
      <w:r w:rsidRPr="00904DCB">
        <w:rPr>
          <w:rFonts w:cs="Arial"/>
          <w:bCs/>
          <w:sz w:val="28"/>
          <w:szCs w:val="28"/>
          <w:u w:val="single"/>
        </w:rPr>
        <w:t xml:space="preserve"> Including Annualized Costs</w:t>
      </w:r>
    </w:p>
    <w:p w:rsidR="008B1EE4" w:rsidRPr="008B1EE4" w:rsidRDefault="008B1EE4" w:rsidP="008B1EE4">
      <w:pPr>
        <w:jc w:val="both"/>
        <w:rPr>
          <w:bCs/>
        </w:rPr>
      </w:pPr>
    </w:p>
    <w:p w:rsidR="008B1EE4" w:rsidRPr="008B1EE4" w:rsidRDefault="008B1EE4" w:rsidP="00FA713C">
      <w:pPr>
        <w:spacing w:line="480" w:lineRule="auto"/>
        <w:ind w:firstLine="720"/>
        <w:jc w:val="both"/>
        <w:rPr>
          <w:bCs/>
        </w:rPr>
      </w:pPr>
      <w:r w:rsidRPr="008B1EE4">
        <w:rPr>
          <w:bCs/>
        </w:rPr>
        <w:t xml:space="preserve">The burden estimates for respondents are shown in Table A.12.1.  </w:t>
      </w:r>
      <w:r w:rsidR="002F14E6" w:rsidRPr="008B1EE4">
        <w:rPr>
          <w:bCs/>
        </w:rPr>
        <w:t>For property</w:t>
      </w:r>
      <w:r w:rsidRPr="008B1EE4">
        <w:rPr>
          <w:bCs/>
        </w:rPr>
        <w:t xml:space="preserve"> owners, the plan is to conduct 100 surveys per State of 15 minutes each, for a total of 1,</w:t>
      </w:r>
      <w:r w:rsidR="00FA713C">
        <w:rPr>
          <w:bCs/>
        </w:rPr>
        <w:t>10</w:t>
      </w:r>
      <w:r w:rsidR="00A870A6" w:rsidRPr="008B1EE4">
        <w:rPr>
          <w:bCs/>
        </w:rPr>
        <w:t xml:space="preserve">0 </w:t>
      </w:r>
      <w:r w:rsidR="00F15213">
        <w:rPr>
          <w:bCs/>
        </w:rPr>
        <w:t xml:space="preserve">completed responses from </w:t>
      </w:r>
      <w:r w:rsidRPr="008B1EE4">
        <w:rPr>
          <w:bCs/>
        </w:rPr>
        <w:t>property own</w:t>
      </w:r>
      <w:r w:rsidR="00F15213">
        <w:rPr>
          <w:bCs/>
        </w:rPr>
        <w:t xml:space="preserve">ers in the 11 States with PBCAs, </w:t>
      </w:r>
      <w:proofErr w:type="gramStart"/>
      <w:r w:rsidR="00F15213">
        <w:rPr>
          <w:bCs/>
        </w:rPr>
        <w:t xml:space="preserve">plus  </w:t>
      </w:r>
      <w:r w:rsidR="00FA713C">
        <w:rPr>
          <w:bCs/>
        </w:rPr>
        <w:t>840</w:t>
      </w:r>
      <w:proofErr w:type="gramEnd"/>
      <w:r w:rsidR="00F15213">
        <w:rPr>
          <w:bCs/>
        </w:rPr>
        <w:t xml:space="preserve"> attempted responses of 3 minutes each.</w:t>
      </w:r>
      <w:r w:rsidRPr="008B1EE4">
        <w:rPr>
          <w:bCs/>
        </w:rPr>
        <w:t xml:space="preserve">  The table below illustrates the burden level for a single year’s survey in 11 States. </w:t>
      </w:r>
    </w:p>
    <w:p w:rsidR="008B1EE4" w:rsidRPr="008B1EE4" w:rsidRDefault="008B1EE4" w:rsidP="008B1EE4">
      <w:pPr>
        <w:rPr>
          <w:b/>
          <w:bCs/>
          <w:spacing w:val="-5"/>
          <w:kern w:val="24"/>
        </w:rPr>
      </w:pPr>
    </w:p>
    <w:p w:rsidR="008B1EE4" w:rsidRPr="008B1EE4" w:rsidRDefault="008B1EE4" w:rsidP="008B1EE4">
      <w:pPr>
        <w:jc w:val="center"/>
        <w:rPr>
          <w:b/>
          <w:bCs/>
        </w:rPr>
      </w:pPr>
      <w:proofErr w:type="gramStart"/>
      <w:r w:rsidRPr="008B1EE4">
        <w:rPr>
          <w:b/>
          <w:bCs/>
          <w:spacing w:val="-5"/>
          <w:kern w:val="24"/>
        </w:rPr>
        <w:t>T</w:t>
      </w:r>
      <w:r w:rsidRPr="008B1EE4">
        <w:rPr>
          <w:b/>
          <w:bCs/>
        </w:rPr>
        <w:t>able A.12-1.</w:t>
      </w:r>
      <w:proofErr w:type="gramEnd"/>
      <w:r w:rsidRPr="008B1EE4">
        <w:rPr>
          <w:b/>
          <w:bCs/>
        </w:rPr>
        <w:t xml:space="preserve">  Estimated Hour Burden of the Data Collection</w:t>
      </w:r>
    </w:p>
    <w:p w:rsidR="008B1EE4" w:rsidRPr="008B1EE4" w:rsidRDefault="008B1EE4" w:rsidP="008B1EE4">
      <w:pPr>
        <w:jc w:val="center"/>
        <w:rPr>
          <w:b/>
          <w:spacing w:val="-5"/>
          <w:kern w:val="24"/>
        </w:rPr>
      </w:pPr>
    </w:p>
    <w:tbl>
      <w:tblPr>
        <w:tblW w:w="4704" w:type="pct"/>
        <w:jc w:val="center"/>
        <w:tblLayout w:type="fixed"/>
        <w:tblCellMar>
          <w:left w:w="120" w:type="dxa"/>
          <w:right w:w="120" w:type="dxa"/>
        </w:tblCellMar>
        <w:tblLook w:val="0000"/>
      </w:tblPr>
      <w:tblGrid>
        <w:gridCol w:w="1274"/>
        <w:gridCol w:w="1442"/>
        <w:gridCol w:w="1696"/>
        <w:gridCol w:w="1169"/>
        <w:gridCol w:w="1169"/>
        <w:gridCol w:w="1095"/>
        <w:gridCol w:w="1187"/>
      </w:tblGrid>
      <w:tr w:rsidR="00DC0B90" w:rsidRPr="008B1EE4" w:rsidTr="00B753E1">
        <w:trPr>
          <w:cantSplit/>
          <w:trHeight w:val="756"/>
          <w:tblHeader/>
          <w:jc w:val="center"/>
        </w:trPr>
        <w:tc>
          <w:tcPr>
            <w:tcW w:w="705" w:type="pct"/>
            <w:tcBorders>
              <w:top w:val="single" w:sz="4" w:space="0" w:color="auto"/>
              <w:left w:val="single" w:sz="4" w:space="0" w:color="auto"/>
              <w:bottom w:val="single" w:sz="4" w:space="0" w:color="auto"/>
              <w:right w:val="single" w:sz="4" w:space="0" w:color="auto"/>
            </w:tcBorders>
            <w:shd w:val="clear" w:color="auto" w:fill="BFBFBF"/>
            <w:vAlign w:val="center"/>
          </w:tcPr>
          <w:p w:rsidR="008B1EE4" w:rsidRPr="008B1EE4" w:rsidRDefault="00DC0B90" w:rsidP="008B1EE4">
            <w:pPr>
              <w:spacing w:after="58"/>
              <w:jc w:val="center"/>
              <w:outlineLvl w:val="0"/>
              <w:rPr>
                <w:rFonts w:ascii="Calibri" w:hAnsi="Calibri"/>
                <w:b/>
                <w:sz w:val="20"/>
                <w:szCs w:val="20"/>
              </w:rPr>
            </w:pPr>
            <w:r>
              <w:rPr>
                <w:rFonts w:ascii="Calibri" w:hAnsi="Calibri"/>
                <w:b/>
                <w:sz w:val="20"/>
                <w:szCs w:val="20"/>
              </w:rPr>
              <w:t>Respondent Type</w:t>
            </w:r>
          </w:p>
        </w:tc>
        <w:tc>
          <w:tcPr>
            <w:tcW w:w="798" w:type="pct"/>
            <w:tcBorders>
              <w:top w:val="single" w:sz="4" w:space="0" w:color="auto"/>
              <w:left w:val="single" w:sz="4" w:space="0" w:color="auto"/>
              <w:bottom w:val="single" w:sz="4" w:space="0" w:color="auto"/>
              <w:right w:val="single" w:sz="4" w:space="0" w:color="auto"/>
            </w:tcBorders>
            <w:shd w:val="clear" w:color="auto" w:fill="BFBFBF"/>
            <w:vAlign w:val="center"/>
          </w:tcPr>
          <w:p w:rsidR="008B1EE4" w:rsidRPr="008B1EE4" w:rsidRDefault="008B1EE4" w:rsidP="00F15213">
            <w:pPr>
              <w:spacing w:after="58"/>
              <w:jc w:val="center"/>
              <w:outlineLvl w:val="0"/>
              <w:rPr>
                <w:rFonts w:ascii="Calibri" w:hAnsi="Calibri"/>
                <w:b/>
                <w:sz w:val="20"/>
                <w:szCs w:val="20"/>
              </w:rPr>
            </w:pPr>
            <w:r w:rsidRPr="008B1EE4">
              <w:rPr>
                <w:rFonts w:ascii="Calibri" w:hAnsi="Calibri"/>
                <w:b/>
                <w:sz w:val="20"/>
                <w:szCs w:val="20"/>
              </w:rPr>
              <w:t>Type of Instrument</w:t>
            </w:r>
          </w:p>
        </w:tc>
        <w:tc>
          <w:tcPr>
            <w:tcW w:w="939" w:type="pct"/>
            <w:tcBorders>
              <w:top w:val="single" w:sz="4" w:space="0" w:color="auto"/>
              <w:left w:val="single" w:sz="4" w:space="0" w:color="auto"/>
              <w:bottom w:val="single" w:sz="4" w:space="0" w:color="auto"/>
              <w:right w:val="single" w:sz="4" w:space="0" w:color="auto"/>
            </w:tcBorders>
            <w:shd w:val="clear" w:color="auto" w:fill="BFBFBF"/>
            <w:vAlign w:val="center"/>
          </w:tcPr>
          <w:p w:rsidR="008B1EE4" w:rsidRPr="008B1EE4" w:rsidRDefault="008B1EE4" w:rsidP="008B1EE4">
            <w:pPr>
              <w:spacing w:after="58"/>
              <w:jc w:val="center"/>
              <w:outlineLvl w:val="0"/>
              <w:rPr>
                <w:rFonts w:ascii="Calibri" w:hAnsi="Calibri"/>
                <w:b/>
                <w:sz w:val="20"/>
                <w:szCs w:val="20"/>
              </w:rPr>
            </w:pPr>
            <w:r w:rsidRPr="008B1EE4">
              <w:rPr>
                <w:rFonts w:ascii="Calibri" w:hAnsi="Calibri"/>
                <w:b/>
                <w:sz w:val="20"/>
                <w:szCs w:val="20"/>
              </w:rPr>
              <w:t>Number of respondents</w:t>
            </w:r>
          </w:p>
        </w:tc>
        <w:tc>
          <w:tcPr>
            <w:tcW w:w="647" w:type="pct"/>
            <w:tcBorders>
              <w:top w:val="single" w:sz="4" w:space="0" w:color="auto"/>
              <w:left w:val="single" w:sz="4" w:space="0" w:color="auto"/>
              <w:bottom w:val="single" w:sz="4" w:space="0" w:color="auto"/>
              <w:right w:val="single" w:sz="4" w:space="0" w:color="auto"/>
            </w:tcBorders>
            <w:shd w:val="clear" w:color="auto" w:fill="BFBFBF"/>
            <w:vAlign w:val="center"/>
          </w:tcPr>
          <w:p w:rsidR="008B1EE4" w:rsidRPr="008B1EE4" w:rsidRDefault="008B1EE4" w:rsidP="008B1EE4">
            <w:pPr>
              <w:jc w:val="center"/>
              <w:outlineLvl w:val="0"/>
              <w:rPr>
                <w:rFonts w:ascii="Calibri" w:hAnsi="Calibri"/>
                <w:b/>
                <w:sz w:val="20"/>
                <w:szCs w:val="20"/>
              </w:rPr>
            </w:pPr>
            <w:r w:rsidRPr="008B1EE4">
              <w:rPr>
                <w:rFonts w:ascii="Calibri" w:hAnsi="Calibri"/>
                <w:b/>
                <w:sz w:val="20"/>
                <w:szCs w:val="20"/>
              </w:rPr>
              <w:t>Frequency of Response</w:t>
            </w:r>
          </w:p>
        </w:tc>
        <w:tc>
          <w:tcPr>
            <w:tcW w:w="647" w:type="pct"/>
            <w:tcBorders>
              <w:top w:val="single" w:sz="4" w:space="0" w:color="auto"/>
              <w:left w:val="single" w:sz="4" w:space="0" w:color="auto"/>
              <w:bottom w:val="single" w:sz="4" w:space="0" w:color="auto"/>
              <w:right w:val="single" w:sz="4" w:space="0" w:color="auto"/>
            </w:tcBorders>
            <w:shd w:val="clear" w:color="auto" w:fill="BFBFBF"/>
            <w:vAlign w:val="center"/>
          </w:tcPr>
          <w:p w:rsidR="008B1EE4" w:rsidRPr="008B1EE4" w:rsidRDefault="008B1EE4" w:rsidP="008B1EE4">
            <w:pPr>
              <w:spacing w:after="58"/>
              <w:jc w:val="center"/>
              <w:outlineLvl w:val="0"/>
              <w:rPr>
                <w:rFonts w:ascii="Calibri" w:hAnsi="Calibri"/>
                <w:b/>
                <w:sz w:val="20"/>
                <w:szCs w:val="20"/>
              </w:rPr>
            </w:pPr>
            <w:r w:rsidRPr="008B1EE4">
              <w:rPr>
                <w:rFonts w:ascii="Calibri" w:hAnsi="Calibri"/>
                <w:b/>
                <w:sz w:val="20"/>
                <w:szCs w:val="20"/>
              </w:rPr>
              <w:t>Total Annual Responses</w:t>
            </w:r>
          </w:p>
        </w:tc>
        <w:tc>
          <w:tcPr>
            <w:tcW w:w="606" w:type="pct"/>
            <w:tcBorders>
              <w:top w:val="single" w:sz="4" w:space="0" w:color="auto"/>
              <w:left w:val="single" w:sz="4" w:space="0" w:color="auto"/>
              <w:bottom w:val="single" w:sz="4" w:space="0" w:color="auto"/>
              <w:right w:val="single" w:sz="4" w:space="0" w:color="auto"/>
            </w:tcBorders>
            <w:shd w:val="clear" w:color="auto" w:fill="BFBFBF"/>
            <w:vAlign w:val="center"/>
          </w:tcPr>
          <w:p w:rsidR="008B1EE4" w:rsidRPr="008B1EE4" w:rsidRDefault="00F15213" w:rsidP="008B1EE4">
            <w:pPr>
              <w:jc w:val="center"/>
              <w:outlineLvl w:val="0"/>
              <w:rPr>
                <w:rFonts w:ascii="Calibri" w:hAnsi="Calibri"/>
                <w:b/>
                <w:sz w:val="20"/>
                <w:szCs w:val="20"/>
              </w:rPr>
            </w:pPr>
            <w:r>
              <w:rPr>
                <w:rFonts w:ascii="Calibri" w:hAnsi="Calibri"/>
                <w:b/>
                <w:sz w:val="20"/>
                <w:szCs w:val="20"/>
              </w:rPr>
              <w:t>Hours</w:t>
            </w:r>
            <w:r w:rsidR="008B1EE4" w:rsidRPr="008B1EE4">
              <w:rPr>
                <w:rFonts w:ascii="Calibri" w:hAnsi="Calibri"/>
                <w:b/>
                <w:sz w:val="20"/>
                <w:szCs w:val="20"/>
              </w:rPr>
              <w:t xml:space="preserve"> per Response</w:t>
            </w:r>
          </w:p>
        </w:tc>
        <w:tc>
          <w:tcPr>
            <w:tcW w:w="657" w:type="pct"/>
            <w:tcBorders>
              <w:top w:val="single" w:sz="4" w:space="0" w:color="auto"/>
              <w:left w:val="single" w:sz="4" w:space="0" w:color="auto"/>
              <w:bottom w:val="single" w:sz="4" w:space="0" w:color="auto"/>
              <w:right w:val="single" w:sz="4" w:space="0" w:color="auto"/>
            </w:tcBorders>
            <w:shd w:val="clear" w:color="auto" w:fill="BFBFBF"/>
            <w:vAlign w:val="center"/>
          </w:tcPr>
          <w:p w:rsidR="008B1EE4" w:rsidRPr="008B1EE4" w:rsidRDefault="008B1EE4" w:rsidP="008B1EE4">
            <w:pPr>
              <w:jc w:val="center"/>
              <w:outlineLvl w:val="0"/>
              <w:rPr>
                <w:rFonts w:ascii="Calibri" w:hAnsi="Calibri"/>
                <w:b/>
                <w:sz w:val="20"/>
                <w:szCs w:val="20"/>
              </w:rPr>
            </w:pPr>
            <w:r w:rsidRPr="008B1EE4">
              <w:rPr>
                <w:rFonts w:ascii="Calibri" w:hAnsi="Calibri"/>
                <w:b/>
                <w:sz w:val="20"/>
                <w:szCs w:val="20"/>
              </w:rPr>
              <w:t>Total Annual Hour Burden</w:t>
            </w:r>
          </w:p>
        </w:tc>
      </w:tr>
      <w:tr w:rsidR="00101F11" w:rsidRPr="008B1EE4" w:rsidTr="00B753E1">
        <w:trPr>
          <w:cantSplit/>
          <w:trHeight w:val="488"/>
          <w:jc w:val="center"/>
        </w:trPr>
        <w:tc>
          <w:tcPr>
            <w:tcW w:w="705" w:type="pct"/>
            <w:vMerge w:val="restart"/>
            <w:tcBorders>
              <w:top w:val="single" w:sz="4" w:space="0" w:color="auto"/>
              <w:left w:val="single" w:sz="4" w:space="0" w:color="auto"/>
              <w:right w:val="single" w:sz="4" w:space="0" w:color="auto"/>
            </w:tcBorders>
            <w:shd w:val="clear" w:color="auto" w:fill="auto"/>
            <w:vAlign w:val="center"/>
          </w:tcPr>
          <w:p w:rsidR="00101F11" w:rsidRPr="008B1EE4" w:rsidRDefault="00101F11" w:rsidP="008B1EE4">
            <w:pPr>
              <w:jc w:val="center"/>
              <w:rPr>
                <w:rFonts w:ascii="Calibri" w:hAnsi="Calibri"/>
                <w:sz w:val="20"/>
                <w:szCs w:val="20"/>
              </w:rPr>
            </w:pPr>
            <w:r w:rsidRPr="008B1EE4">
              <w:rPr>
                <w:rFonts w:ascii="Calibri" w:hAnsi="Calibri"/>
                <w:sz w:val="20"/>
                <w:szCs w:val="20"/>
              </w:rPr>
              <w:t>Property Owners</w:t>
            </w:r>
          </w:p>
        </w:tc>
        <w:tc>
          <w:tcPr>
            <w:tcW w:w="798" w:type="pct"/>
            <w:vMerge w:val="restart"/>
            <w:tcBorders>
              <w:top w:val="single" w:sz="4" w:space="0" w:color="auto"/>
              <w:left w:val="single" w:sz="4" w:space="0" w:color="auto"/>
              <w:right w:val="single" w:sz="4" w:space="0" w:color="auto"/>
            </w:tcBorders>
            <w:shd w:val="clear" w:color="auto" w:fill="auto"/>
            <w:vAlign w:val="center"/>
          </w:tcPr>
          <w:p w:rsidR="00101F11" w:rsidRPr="008B1EE4" w:rsidRDefault="00101F11" w:rsidP="008B1EE4">
            <w:pPr>
              <w:jc w:val="center"/>
              <w:rPr>
                <w:rFonts w:ascii="Calibri" w:hAnsi="Calibri"/>
                <w:sz w:val="20"/>
                <w:szCs w:val="20"/>
              </w:rPr>
            </w:pPr>
            <w:r w:rsidRPr="008B1EE4">
              <w:rPr>
                <w:rFonts w:ascii="Calibri" w:hAnsi="Calibri"/>
                <w:sz w:val="20"/>
                <w:szCs w:val="20"/>
              </w:rPr>
              <w:t>Web</w:t>
            </w:r>
            <w:r>
              <w:rPr>
                <w:rFonts w:ascii="Calibri" w:hAnsi="Calibri"/>
                <w:sz w:val="20"/>
                <w:szCs w:val="20"/>
              </w:rPr>
              <w:t xml:space="preserve"> survey questionnaire</w:t>
            </w:r>
            <w:r w:rsidRPr="008B1EE4">
              <w:rPr>
                <w:rFonts w:ascii="Calibri" w:hAnsi="Calibri"/>
                <w:sz w:val="20"/>
                <w:szCs w:val="20"/>
              </w:rPr>
              <w:t xml:space="preserve">/ Telephone follow up </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101F11" w:rsidRPr="008B1EE4" w:rsidRDefault="00101F11" w:rsidP="008B1EE4">
            <w:pPr>
              <w:jc w:val="center"/>
              <w:rPr>
                <w:rFonts w:ascii="Calibri" w:hAnsi="Calibri"/>
                <w:sz w:val="20"/>
                <w:szCs w:val="20"/>
              </w:rPr>
            </w:pPr>
            <w:r w:rsidRPr="008B1EE4">
              <w:rPr>
                <w:rFonts w:ascii="Calibri" w:hAnsi="Calibri"/>
                <w:sz w:val="20"/>
                <w:szCs w:val="20"/>
              </w:rPr>
              <w:t>1</w:t>
            </w:r>
            <w:r w:rsidR="0075494A">
              <w:rPr>
                <w:rFonts w:ascii="Calibri" w:hAnsi="Calibri"/>
                <w:sz w:val="20"/>
                <w:szCs w:val="20"/>
              </w:rPr>
              <w:t>,</w:t>
            </w:r>
            <w:r w:rsidRPr="008B1EE4">
              <w:rPr>
                <w:rFonts w:ascii="Calibri" w:hAnsi="Calibri"/>
                <w:sz w:val="20"/>
                <w:szCs w:val="20"/>
              </w:rPr>
              <w:t>100</w:t>
            </w:r>
            <w:r>
              <w:rPr>
                <w:rFonts w:ascii="Calibri" w:hAnsi="Calibri"/>
                <w:sz w:val="20"/>
                <w:szCs w:val="20"/>
              </w:rPr>
              <w:t xml:space="preserve"> (completed)</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101F11" w:rsidRPr="008B1EE4" w:rsidRDefault="00101F11" w:rsidP="008B1EE4">
            <w:pPr>
              <w:jc w:val="center"/>
              <w:rPr>
                <w:rFonts w:ascii="Calibri" w:hAnsi="Calibri"/>
                <w:sz w:val="20"/>
                <w:szCs w:val="20"/>
              </w:rPr>
            </w:pPr>
            <w:r w:rsidRPr="008B1EE4">
              <w:rPr>
                <w:rFonts w:ascii="Calibri" w:hAnsi="Calibri"/>
                <w:sz w:val="20"/>
                <w:szCs w:val="20"/>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101F11" w:rsidRPr="008B1EE4" w:rsidRDefault="00101F11" w:rsidP="008B1EE4">
            <w:pPr>
              <w:jc w:val="center"/>
              <w:rPr>
                <w:rFonts w:ascii="Calibri" w:hAnsi="Calibri"/>
                <w:sz w:val="20"/>
                <w:szCs w:val="20"/>
              </w:rPr>
            </w:pPr>
            <w:r w:rsidRPr="008B1EE4">
              <w:rPr>
                <w:rFonts w:ascii="Calibri" w:hAnsi="Calibri"/>
                <w:sz w:val="20"/>
                <w:szCs w:val="20"/>
              </w:rPr>
              <w:t>1100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101F11" w:rsidRPr="008B1EE4" w:rsidRDefault="00101F11" w:rsidP="008B1EE4">
            <w:pPr>
              <w:jc w:val="center"/>
              <w:rPr>
                <w:rFonts w:ascii="Calibri" w:hAnsi="Calibri"/>
                <w:sz w:val="20"/>
                <w:szCs w:val="20"/>
                <w:highlight w:val="yellow"/>
              </w:rPr>
            </w:pPr>
            <w:r w:rsidRPr="008B1EE4">
              <w:rPr>
                <w:rFonts w:ascii="Calibri" w:hAnsi="Calibri"/>
                <w:sz w:val="20"/>
                <w:szCs w:val="20"/>
              </w:rPr>
              <w:t>.25</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101F11" w:rsidRPr="008B1EE4" w:rsidRDefault="00101F11" w:rsidP="008B1EE4">
            <w:pPr>
              <w:jc w:val="center"/>
              <w:rPr>
                <w:rFonts w:ascii="Calibri" w:hAnsi="Calibri"/>
                <w:sz w:val="20"/>
                <w:szCs w:val="20"/>
              </w:rPr>
            </w:pPr>
            <w:r w:rsidRPr="008B1EE4">
              <w:rPr>
                <w:rFonts w:ascii="Calibri" w:hAnsi="Calibri"/>
                <w:sz w:val="20"/>
                <w:szCs w:val="20"/>
              </w:rPr>
              <w:t>275</w:t>
            </w:r>
            <w:r>
              <w:rPr>
                <w:rFonts w:ascii="Calibri" w:hAnsi="Calibri"/>
                <w:sz w:val="20"/>
                <w:szCs w:val="20"/>
              </w:rPr>
              <w:t>.00</w:t>
            </w:r>
          </w:p>
        </w:tc>
      </w:tr>
      <w:tr w:rsidR="00101F11" w:rsidRPr="008B1EE4" w:rsidTr="00B753E1">
        <w:trPr>
          <w:cantSplit/>
          <w:trHeight w:val="487"/>
          <w:jc w:val="center"/>
        </w:trPr>
        <w:tc>
          <w:tcPr>
            <w:tcW w:w="705" w:type="pct"/>
            <w:vMerge/>
            <w:tcBorders>
              <w:left w:val="single" w:sz="4" w:space="0" w:color="auto"/>
              <w:bottom w:val="single" w:sz="4" w:space="0" w:color="auto"/>
              <w:right w:val="single" w:sz="4" w:space="0" w:color="auto"/>
            </w:tcBorders>
            <w:shd w:val="clear" w:color="auto" w:fill="auto"/>
            <w:vAlign w:val="center"/>
          </w:tcPr>
          <w:p w:rsidR="00101F11" w:rsidRPr="008B1EE4" w:rsidRDefault="00101F11" w:rsidP="008B1EE4">
            <w:pPr>
              <w:jc w:val="center"/>
              <w:rPr>
                <w:rFonts w:ascii="Calibri" w:hAnsi="Calibri"/>
                <w:sz w:val="20"/>
                <w:szCs w:val="20"/>
              </w:rPr>
            </w:pPr>
          </w:p>
        </w:tc>
        <w:tc>
          <w:tcPr>
            <w:tcW w:w="798" w:type="pct"/>
            <w:vMerge/>
            <w:tcBorders>
              <w:left w:val="single" w:sz="4" w:space="0" w:color="auto"/>
              <w:bottom w:val="single" w:sz="4" w:space="0" w:color="auto"/>
              <w:right w:val="single" w:sz="4" w:space="0" w:color="auto"/>
            </w:tcBorders>
            <w:shd w:val="clear" w:color="auto" w:fill="auto"/>
            <w:vAlign w:val="center"/>
          </w:tcPr>
          <w:p w:rsidR="00101F11" w:rsidRPr="008B1EE4" w:rsidRDefault="00101F11" w:rsidP="008B1EE4">
            <w:pPr>
              <w:jc w:val="center"/>
              <w:rPr>
                <w:rFonts w:ascii="Calibri" w:hAnsi="Calibri"/>
                <w:sz w:val="20"/>
                <w:szCs w:val="20"/>
              </w:rPr>
            </w:pP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101F11" w:rsidRPr="008B1EE4" w:rsidRDefault="0075494A" w:rsidP="008B1EE4">
            <w:pPr>
              <w:jc w:val="center"/>
              <w:rPr>
                <w:rFonts w:ascii="Calibri" w:hAnsi="Calibri"/>
                <w:sz w:val="20"/>
                <w:szCs w:val="20"/>
              </w:rPr>
            </w:pPr>
            <w:r>
              <w:rPr>
                <w:rFonts w:ascii="Calibri" w:hAnsi="Calibri"/>
                <w:sz w:val="20"/>
                <w:szCs w:val="20"/>
              </w:rPr>
              <w:t>840</w:t>
            </w:r>
            <w:r w:rsidR="00101F11">
              <w:rPr>
                <w:rFonts w:ascii="Calibri" w:hAnsi="Calibri"/>
                <w:sz w:val="20"/>
                <w:szCs w:val="20"/>
              </w:rPr>
              <w:t xml:space="preserve"> (attempted)</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101F11" w:rsidRPr="008B1EE4" w:rsidRDefault="00101F11" w:rsidP="008B1EE4">
            <w:pPr>
              <w:jc w:val="center"/>
              <w:rPr>
                <w:rFonts w:ascii="Calibri" w:hAnsi="Calibri"/>
                <w:sz w:val="20"/>
                <w:szCs w:val="20"/>
              </w:rPr>
            </w:pPr>
            <w:r>
              <w:rPr>
                <w:rFonts w:ascii="Calibri" w:hAnsi="Calibri"/>
                <w:sz w:val="20"/>
                <w:szCs w:val="20"/>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101F11" w:rsidRPr="008B1EE4" w:rsidRDefault="0075494A" w:rsidP="008B1EE4">
            <w:pPr>
              <w:jc w:val="center"/>
              <w:rPr>
                <w:rFonts w:ascii="Calibri" w:hAnsi="Calibri"/>
                <w:sz w:val="20"/>
                <w:szCs w:val="20"/>
              </w:rPr>
            </w:pPr>
            <w:r>
              <w:rPr>
                <w:rFonts w:ascii="Calibri" w:hAnsi="Calibri"/>
                <w:sz w:val="20"/>
                <w:szCs w:val="20"/>
              </w:rPr>
              <w:t>840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101F11" w:rsidRPr="008B1EE4" w:rsidRDefault="00101F11" w:rsidP="008B1EE4">
            <w:pPr>
              <w:jc w:val="center"/>
              <w:rPr>
                <w:rFonts w:ascii="Calibri" w:hAnsi="Calibri"/>
                <w:sz w:val="20"/>
                <w:szCs w:val="20"/>
              </w:rPr>
            </w:pPr>
            <w:r>
              <w:rPr>
                <w:rFonts w:ascii="Calibri" w:hAnsi="Calibri"/>
                <w:sz w:val="20"/>
                <w:szCs w:val="20"/>
              </w:rPr>
              <w:t>.0</w:t>
            </w:r>
            <w:r w:rsidR="00F15213">
              <w:rPr>
                <w:rFonts w:ascii="Calibri" w:hAnsi="Calibri"/>
                <w:sz w:val="20"/>
                <w:szCs w:val="20"/>
              </w:rPr>
              <w:t>50</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101F11" w:rsidRPr="008B1EE4" w:rsidRDefault="0075494A" w:rsidP="008B1EE4">
            <w:pPr>
              <w:jc w:val="center"/>
              <w:rPr>
                <w:rFonts w:ascii="Calibri" w:hAnsi="Calibri"/>
                <w:sz w:val="20"/>
                <w:szCs w:val="20"/>
              </w:rPr>
            </w:pPr>
            <w:r>
              <w:rPr>
                <w:rFonts w:ascii="Calibri" w:hAnsi="Calibri"/>
                <w:sz w:val="20"/>
                <w:szCs w:val="20"/>
              </w:rPr>
              <w:t>42</w:t>
            </w:r>
          </w:p>
        </w:tc>
      </w:tr>
      <w:tr w:rsidR="00DC0B90" w:rsidRPr="008B1EE4" w:rsidTr="00B753E1">
        <w:trPr>
          <w:cantSplit/>
          <w:trHeight w:val="756"/>
          <w:jc w:val="center"/>
        </w:trPr>
        <w:tc>
          <w:tcPr>
            <w:tcW w:w="705" w:type="pct"/>
            <w:tcBorders>
              <w:top w:val="single" w:sz="4" w:space="0" w:color="auto"/>
              <w:left w:val="single" w:sz="4" w:space="0" w:color="auto"/>
              <w:bottom w:val="single" w:sz="8" w:space="0" w:color="000000"/>
              <w:right w:val="single" w:sz="4" w:space="0" w:color="auto"/>
            </w:tcBorders>
            <w:shd w:val="clear" w:color="auto" w:fill="auto"/>
            <w:vAlign w:val="center"/>
          </w:tcPr>
          <w:p w:rsidR="008B1EE4" w:rsidRPr="008B1EE4" w:rsidRDefault="008B1EE4" w:rsidP="008B1EE4">
            <w:pPr>
              <w:jc w:val="center"/>
              <w:rPr>
                <w:rFonts w:ascii="Calibri" w:hAnsi="Calibri"/>
                <w:sz w:val="20"/>
                <w:szCs w:val="20"/>
              </w:rPr>
            </w:pPr>
            <w:r w:rsidRPr="008B1EE4">
              <w:rPr>
                <w:rFonts w:ascii="Calibri" w:hAnsi="Calibri"/>
                <w:sz w:val="20"/>
                <w:szCs w:val="20"/>
              </w:rPr>
              <w:t>TOTAL</w:t>
            </w:r>
          </w:p>
        </w:tc>
        <w:tc>
          <w:tcPr>
            <w:tcW w:w="798" w:type="pct"/>
            <w:tcBorders>
              <w:top w:val="single" w:sz="4" w:space="0" w:color="auto"/>
              <w:left w:val="single" w:sz="4" w:space="0" w:color="auto"/>
              <w:bottom w:val="single" w:sz="8" w:space="0" w:color="000000"/>
              <w:right w:val="single" w:sz="4" w:space="0" w:color="auto"/>
            </w:tcBorders>
            <w:shd w:val="pct12" w:color="auto" w:fill="auto"/>
            <w:vAlign w:val="center"/>
          </w:tcPr>
          <w:p w:rsidR="008B1EE4" w:rsidRPr="008B1EE4" w:rsidRDefault="008B1EE4" w:rsidP="008B1EE4">
            <w:pPr>
              <w:jc w:val="center"/>
              <w:rPr>
                <w:rFonts w:ascii="Calibri" w:hAnsi="Calibri"/>
                <w:sz w:val="20"/>
                <w:szCs w:val="20"/>
              </w:rPr>
            </w:pPr>
          </w:p>
        </w:tc>
        <w:tc>
          <w:tcPr>
            <w:tcW w:w="939" w:type="pct"/>
            <w:tcBorders>
              <w:top w:val="single" w:sz="4" w:space="0" w:color="auto"/>
              <w:left w:val="single" w:sz="4" w:space="0" w:color="auto"/>
              <w:bottom w:val="single" w:sz="8" w:space="0" w:color="000000"/>
              <w:right w:val="single" w:sz="4" w:space="0" w:color="auto"/>
            </w:tcBorders>
            <w:shd w:val="clear" w:color="auto" w:fill="auto"/>
            <w:vAlign w:val="center"/>
          </w:tcPr>
          <w:p w:rsidR="008B1EE4" w:rsidRPr="008B1EE4" w:rsidRDefault="0075494A" w:rsidP="008B1EE4">
            <w:pPr>
              <w:jc w:val="center"/>
              <w:rPr>
                <w:rFonts w:ascii="Calibri" w:hAnsi="Calibri"/>
                <w:sz w:val="20"/>
                <w:szCs w:val="20"/>
              </w:rPr>
            </w:pPr>
            <w:r>
              <w:rPr>
                <w:rFonts w:ascii="Calibri" w:hAnsi="Calibri"/>
                <w:sz w:val="20"/>
                <w:szCs w:val="20"/>
              </w:rPr>
              <w:t>1,940</w:t>
            </w:r>
          </w:p>
        </w:tc>
        <w:tc>
          <w:tcPr>
            <w:tcW w:w="647" w:type="pct"/>
            <w:tcBorders>
              <w:top w:val="single" w:sz="4" w:space="0" w:color="auto"/>
              <w:left w:val="single" w:sz="4" w:space="0" w:color="auto"/>
              <w:bottom w:val="single" w:sz="8" w:space="0" w:color="000000"/>
              <w:right w:val="single" w:sz="4" w:space="0" w:color="auto"/>
            </w:tcBorders>
            <w:shd w:val="clear" w:color="auto" w:fill="auto"/>
            <w:vAlign w:val="center"/>
          </w:tcPr>
          <w:p w:rsidR="008B1EE4" w:rsidRPr="008B1EE4" w:rsidRDefault="008B1EE4" w:rsidP="008B1EE4">
            <w:pPr>
              <w:jc w:val="center"/>
              <w:rPr>
                <w:rFonts w:ascii="Calibri" w:hAnsi="Calibri"/>
                <w:sz w:val="20"/>
                <w:szCs w:val="20"/>
              </w:rPr>
            </w:pPr>
            <w:r w:rsidRPr="008B1EE4">
              <w:rPr>
                <w:rFonts w:ascii="Calibri" w:hAnsi="Calibri"/>
                <w:sz w:val="20"/>
                <w:szCs w:val="20"/>
              </w:rPr>
              <w:t>1</w:t>
            </w:r>
          </w:p>
        </w:tc>
        <w:tc>
          <w:tcPr>
            <w:tcW w:w="647" w:type="pct"/>
            <w:tcBorders>
              <w:top w:val="single" w:sz="4" w:space="0" w:color="auto"/>
              <w:left w:val="single" w:sz="4" w:space="0" w:color="auto"/>
              <w:bottom w:val="single" w:sz="8" w:space="0" w:color="000000"/>
              <w:right w:val="single" w:sz="4" w:space="0" w:color="auto"/>
            </w:tcBorders>
            <w:shd w:val="clear" w:color="auto" w:fill="auto"/>
            <w:vAlign w:val="center"/>
          </w:tcPr>
          <w:p w:rsidR="008B1EE4" w:rsidRPr="008B1EE4" w:rsidRDefault="0075494A" w:rsidP="008B1EE4">
            <w:pPr>
              <w:jc w:val="center"/>
              <w:rPr>
                <w:rFonts w:ascii="Calibri" w:hAnsi="Calibri"/>
                <w:sz w:val="20"/>
                <w:szCs w:val="20"/>
              </w:rPr>
            </w:pPr>
            <w:r>
              <w:rPr>
                <w:rFonts w:ascii="Calibri" w:hAnsi="Calibri"/>
                <w:sz w:val="20"/>
                <w:szCs w:val="20"/>
              </w:rPr>
              <w:t>1,940</w:t>
            </w:r>
          </w:p>
        </w:tc>
        <w:tc>
          <w:tcPr>
            <w:tcW w:w="606" w:type="pct"/>
            <w:tcBorders>
              <w:top w:val="single" w:sz="4" w:space="0" w:color="auto"/>
              <w:left w:val="single" w:sz="4" w:space="0" w:color="auto"/>
              <w:bottom w:val="single" w:sz="8" w:space="0" w:color="000000"/>
              <w:right w:val="single" w:sz="4" w:space="0" w:color="auto"/>
            </w:tcBorders>
            <w:shd w:val="pct12" w:color="auto" w:fill="auto"/>
            <w:vAlign w:val="center"/>
          </w:tcPr>
          <w:p w:rsidR="008B1EE4" w:rsidRPr="008B1EE4" w:rsidRDefault="008B1EE4" w:rsidP="008B1EE4">
            <w:pPr>
              <w:jc w:val="center"/>
              <w:rPr>
                <w:rFonts w:ascii="Calibri" w:hAnsi="Calibri"/>
                <w:sz w:val="20"/>
                <w:szCs w:val="20"/>
              </w:rPr>
            </w:pPr>
          </w:p>
        </w:tc>
        <w:tc>
          <w:tcPr>
            <w:tcW w:w="657" w:type="pct"/>
            <w:tcBorders>
              <w:top w:val="single" w:sz="4" w:space="0" w:color="auto"/>
              <w:left w:val="single" w:sz="4" w:space="0" w:color="auto"/>
              <w:bottom w:val="single" w:sz="8" w:space="0" w:color="000000"/>
              <w:right w:val="single" w:sz="4" w:space="0" w:color="auto"/>
            </w:tcBorders>
            <w:shd w:val="clear" w:color="auto" w:fill="auto"/>
            <w:vAlign w:val="center"/>
          </w:tcPr>
          <w:p w:rsidR="008B1EE4" w:rsidRPr="008B1EE4" w:rsidRDefault="0075494A" w:rsidP="00101F11">
            <w:pPr>
              <w:jc w:val="center"/>
              <w:rPr>
                <w:rFonts w:ascii="Calibri" w:hAnsi="Calibri"/>
                <w:sz w:val="20"/>
                <w:szCs w:val="20"/>
              </w:rPr>
            </w:pPr>
            <w:r>
              <w:rPr>
                <w:rFonts w:ascii="Calibri" w:hAnsi="Calibri"/>
                <w:sz w:val="20"/>
                <w:szCs w:val="20"/>
              </w:rPr>
              <w:t>317</w:t>
            </w:r>
          </w:p>
        </w:tc>
      </w:tr>
    </w:tbl>
    <w:p w:rsidR="008B1EE4" w:rsidRPr="008B1EE4" w:rsidRDefault="008B1EE4" w:rsidP="008B1EE4"/>
    <w:p w:rsidR="008B1EE4" w:rsidRPr="008B1EE4" w:rsidRDefault="008B1EE4" w:rsidP="008B1EE4">
      <w:pPr>
        <w:suppressAutoHyphens/>
        <w:spacing w:line="480" w:lineRule="auto"/>
        <w:ind w:firstLine="720"/>
        <w:jc w:val="both"/>
        <w:outlineLvl w:val="0"/>
        <w:rPr>
          <w:bCs/>
          <w:spacing w:val="-5"/>
          <w:kern w:val="24"/>
        </w:rPr>
      </w:pPr>
      <w:r w:rsidRPr="008B1EE4">
        <w:rPr>
          <w:bCs/>
          <w:spacing w:val="-5"/>
          <w:kern w:val="24"/>
        </w:rPr>
        <w:t xml:space="preserve">Table A.12.2 below illustrates the estimated annualized cost to respondents for the hours of burden for this data collection.  </w:t>
      </w:r>
      <w:r w:rsidRPr="008B1EE4">
        <w:rPr>
          <w:bCs/>
        </w:rPr>
        <w:t>For property owners, with an average hourly wage rate of $49.12</w:t>
      </w:r>
      <w:r w:rsidRPr="008B1EE4">
        <w:rPr>
          <w:bCs/>
          <w:vertAlign w:val="superscript"/>
        </w:rPr>
        <w:footnoteReference w:id="3"/>
      </w:r>
      <w:r w:rsidRPr="008B1EE4">
        <w:rPr>
          <w:bCs/>
        </w:rPr>
        <w:t>, the total cost burden would be $13,508.00</w:t>
      </w:r>
      <w:r w:rsidR="003522C3">
        <w:rPr>
          <w:bCs/>
        </w:rPr>
        <w:t xml:space="preserve"> for completed surveys and $</w:t>
      </w:r>
      <w:r w:rsidR="002652AB">
        <w:rPr>
          <w:bCs/>
        </w:rPr>
        <w:t>2,063</w:t>
      </w:r>
      <w:r w:rsidR="003522C3">
        <w:rPr>
          <w:bCs/>
        </w:rPr>
        <w:t>.</w:t>
      </w:r>
      <w:r w:rsidR="002652AB">
        <w:rPr>
          <w:bCs/>
        </w:rPr>
        <w:t>04</w:t>
      </w:r>
      <w:r w:rsidR="003522C3">
        <w:rPr>
          <w:bCs/>
        </w:rPr>
        <w:t xml:space="preserve"> for attempted surveys</w:t>
      </w:r>
      <w:r w:rsidRPr="008B1EE4">
        <w:rPr>
          <w:bCs/>
        </w:rPr>
        <w:t xml:space="preserve">. The table below illustrates the maximum possible cost burden for </w:t>
      </w:r>
      <w:r w:rsidR="003522C3">
        <w:rPr>
          <w:bCs/>
        </w:rPr>
        <w:t>property owners.</w:t>
      </w:r>
    </w:p>
    <w:p w:rsidR="008B1EE4" w:rsidRPr="008B1EE4" w:rsidRDefault="008B1EE4" w:rsidP="008B1EE4">
      <w:pPr>
        <w:jc w:val="center"/>
        <w:rPr>
          <w:b/>
          <w:bCs/>
        </w:rPr>
      </w:pPr>
      <w:proofErr w:type="gramStart"/>
      <w:r w:rsidRPr="008B1EE4">
        <w:rPr>
          <w:b/>
          <w:bCs/>
          <w:spacing w:val="-5"/>
          <w:kern w:val="24"/>
        </w:rPr>
        <w:t>T</w:t>
      </w:r>
      <w:r w:rsidRPr="008B1EE4">
        <w:rPr>
          <w:b/>
          <w:bCs/>
        </w:rPr>
        <w:t>able A.12-2.</w:t>
      </w:r>
      <w:proofErr w:type="gramEnd"/>
      <w:r w:rsidRPr="008B1EE4">
        <w:rPr>
          <w:b/>
          <w:bCs/>
        </w:rPr>
        <w:t xml:space="preserve">  Annualized Cost to Respondents</w:t>
      </w:r>
    </w:p>
    <w:p w:rsidR="008B1EE4" w:rsidRPr="008B1EE4" w:rsidRDefault="008B1EE4" w:rsidP="008B1EE4">
      <w:pPr>
        <w:jc w:val="center"/>
        <w:rPr>
          <w:b/>
          <w:spacing w:val="-5"/>
          <w:kern w:val="24"/>
        </w:rPr>
      </w:pPr>
    </w:p>
    <w:tbl>
      <w:tblPr>
        <w:tblW w:w="4534" w:type="pct"/>
        <w:jc w:val="center"/>
        <w:tblLayout w:type="fixed"/>
        <w:tblCellMar>
          <w:left w:w="120" w:type="dxa"/>
          <w:right w:w="120" w:type="dxa"/>
        </w:tblCellMar>
        <w:tblLook w:val="0000"/>
      </w:tblPr>
      <w:tblGrid>
        <w:gridCol w:w="1383"/>
        <w:gridCol w:w="1260"/>
        <w:gridCol w:w="1349"/>
        <w:gridCol w:w="1170"/>
        <w:gridCol w:w="1170"/>
        <w:gridCol w:w="991"/>
        <w:gridCol w:w="1382"/>
      </w:tblGrid>
      <w:tr w:rsidR="003522C3" w:rsidRPr="008B1EE4" w:rsidTr="00AC512B">
        <w:trPr>
          <w:cantSplit/>
          <w:trHeight w:val="756"/>
          <w:tblHeader/>
          <w:jc w:val="center"/>
        </w:trPr>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rsidR="003522C3" w:rsidRPr="008B1EE4" w:rsidRDefault="003522C3" w:rsidP="008B1EE4">
            <w:pPr>
              <w:spacing w:after="58"/>
              <w:jc w:val="center"/>
              <w:outlineLvl w:val="0"/>
              <w:rPr>
                <w:rFonts w:ascii="Calibri" w:hAnsi="Calibri"/>
                <w:b/>
                <w:sz w:val="20"/>
                <w:szCs w:val="20"/>
              </w:rPr>
            </w:pPr>
            <w:r w:rsidRPr="008B1EE4">
              <w:rPr>
                <w:rFonts w:ascii="Calibri" w:hAnsi="Calibri"/>
                <w:b/>
                <w:sz w:val="20"/>
                <w:szCs w:val="20"/>
              </w:rPr>
              <w:t>Type of respondents</w:t>
            </w:r>
          </w:p>
        </w:tc>
        <w:tc>
          <w:tcPr>
            <w:tcW w:w="724" w:type="pct"/>
            <w:tcBorders>
              <w:top w:val="single" w:sz="4" w:space="0" w:color="auto"/>
              <w:left w:val="single" w:sz="4" w:space="0" w:color="auto"/>
              <w:bottom w:val="single" w:sz="4" w:space="0" w:color="auto"/>
              <w:right w:val="single" w:sz="4" w:space="0" w:color="auto"/>
            </w:tcBorders>
            <w:shd w:val="clear" w:color="auto" w:fill="BFBFBF"/>
            <w:vAlign w:val="center"/>
          </w:tcPr>
          <w:p w:rsidR="003522C3" w:rsidRPr="008B1EE4" w:rsidRDefault="003522C3" w:rsidP="003522C3">
            <w:pPr>
              <w:spacing w:after="58"/>
              <w:jc w:val="center"/>
              <w:outlineLvl w:val="0"/>
              <w:rPr>
                <w:rFonts w:ascii="Calibri" w:hAnsi="Calibri"/>
                <w:b/>
                <w:sz w:val="20"/>
                <w:szCs w:val="20"/>
              </w:rPr>
            </w:pPr>
            <w:r w:rsidRPr="008B1EE4">
              <w:rPr>
                <w:rFonts w:ascii="Calibri" w:hAnsi="Calibri"/>
                <w:b/>
                <w:sz w:val="20"/>
                <w:szCs w:val="20"/>
              </w:rPr>
              <w:t>Type of Instrument</w:t>
            </w:r>
          </w:p>
        </w:tc>
        <w:tc>
          <w:tcPr>
            <w:tcW w:w="775" w:type="pct"/>
            <w:tcBorders>
              <w:top w:val="single" w:sz="4" w:space="0" w:color="auto"/>
              <w:left w:val="single" w:sz="4" w:space="0" w:color="auto"/>
              <w:bottom w:val="single" w:sz="4" w:space="0" w:color="auto"/>
              <w:right w:val="single" w:sz="4" w:space="0" w:color="auto"/>
            </w:tcBorders>
            <w:shd w:val="clear" w:color="auto" w:fill="BFBFBF"/>
            <w:vAlign w:val="center"/>
          </w:tcPr>
          <w:p w:rsidR="003522C3" w:rsidRPr="008B1EE4" w:rsidRDefault="003522C3" w:rsidP="008B1EE4">
            <w:pPr>
              <w:jc w:val="center"/>
              <w:outlineLvl w:val="0"/>
              <w:rPr>
                <w:rFonts w:ascii="Calibri" w:hAnsi="Calibri"/>
                <w:b/>
                <w:sz w:val="20"/>
                <w:szCs w:val="20"/>
              </w:rPr>
            </w:pPr>
            <w:r w:rsidRPr="008B1EE4">
              <w:rPr>
                <w:rFonts w:ascii="Calibri" w:hAnsi="Calibri"/>
                <w:b/>
                <w:sz w:val="20"/>
                <w:szCs w:val="20"/>
              </w:rPr>
              <w:t>Number of respondents</w:t>
            </w:r>
          </w:p>
        </w:tc>
        <w:tc>
          <w:tcPr>
            <w:tcW w:w="672" w:type="pct"/>
            <w:tcBorders>
              <w:top w:val="single" w:sz="4" w:space="0" w:color="auto"/>
              <w:left w:val="single" w:sz="4" w:space="0" w:color="auto"/>
              <w:bottom w:val="single" w:sz="4" w:space="0" w:color="auto"/>
              <w:right w:val="single" w:sz="4" w:space="0" w:color="auto"/>
            </w:tcBorders>
            <w:shd w:val="clear" w:color="auto" w:fill="BFBFBF"/>
            <w:vAlign w:val="center"/>
          </w:tcPr>
          <w:p w:rsidR="003522C3" w:rsidRPr="008B1EE4" w:rsidRDefault="003522C3" w:rsidP="001D2265">
            <w:pPr>
              <w:spacing w:after="58"/>
              <w:jc w:val="center"/>
              <w:outlineLvl w:val="0"/>
              <w:rPr>
                <w:rFonts w:ascii="Calibri" w:hAnsi="Calibri"/>
                <w:b/>
                <w:sz w:val="20"/>
                <w:szCs w:val="20"/>
              </w:rPr>
            </w:pPr>
            <w:r>
              <w:rPr>
                <w:rFonts w:ascii="Calibri" w:hAnsi="Calibri"/>
                <w:b/>
                <w:sz w:val="20"/>
                <w:szCs w:val="20"/>
              </w:rPr>
              <w:t>Hours per</w:t>
            </w:r>
            <w:r w:rsidRPr="008B1EE4">
              <w:rPr>
                <w:rFonts w:ascii="Calibri" w:hAnsi="Calibri"/>
                <w:b/>
                <w:sz w:val="20"/>
                <w:szCs w:val="20"/>
              </w:rPr>
              <w:t xml:space="preserve"> Response</w:t>
            </w:r>
          </w:p>
        </w:tc>
        <w:tc>
          <w:tcPr>
            <w:tcW w:w="672" w:type="pct"/>
            <w:tcBorders>
              <w:top w:val="single" w:sz="4" w:space="0" w:color="auto"/>
              <w:left w:val="single" w:sz="4" w:space="0" w:color="auto"/>
              <w:bottom w:val="single" w:sz="4" w:space="0" w:color="auto"/>
              <w:right w:val="single" w:sz="4" w:space="0" w:color="auto"/>
            </w:tcBorders>
            <w:shd w:val="clear" w:color="auto" w:fill="BFBFBF"/>
            <w:vAlign w:val="center"/>
          </w:tcPr>
          <w:p w:rsidR="003522C3" w:rsidRPr="008B1EE4" w:rsidRDefault="003522C3" w:rsidP="008B1EE4">
            <w:pPr>
              <w:spacing w:after="58"/>
              <w:jc w:val="center"/>
              <w:outlineLvl w:val="0"/>
              <w:rPr>
                <w:rFonts w:ascii="Calibri" w:hAnsi="Calibri"/>
                <w:b/>
                <w:sz w:val="20"/>
                <w:szCs w:val="20"/>
              </w:rPr>
            </w:pPr>
            <w:r w:rsidRPr="008B1EE4">
              <w:rPr>
                <w:rFonts w:ascii="Calibri" w:hAnsi="Calibri"/>
                <w:b/>
                <w:sz w:val="20"/>
                <w:szCs w:val="20"/>
              </w:rPr>
              <w:t>Frequency of Response</w:t>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3522C3" w:rsidRPr="008B1EE4" w:rsidRDefault="003522C3" w:rsidP="008B1EE4">
            <w:pPr>
              <w:jc w:val="center"/>
              <w:outlineLvl w:val="0"/>
              <w:rPr>
                <w:rFonts w:ascii="Calibri" w:hAnsi="Calibri"/>
                <w:b/>
                <w:sz w:val="20"/>
                <w:szCs w:val="20"/>
              </w:rPr>
            </w:pPr>
            <w:r w:rsidRPr="008B1EE4">
              <w:rPr>
                <w:rFonts w:ascii="Calibri" w:hAnsi="Calibri"/>
                <w:b/>
                <w:sz w:val="20"/>
                <w:szCs w:val="20"/>
              </w:rPr>
              <w:t>Hourly Wage Rate</w:t>
            </w:r>
          </w:p>
        </w:tc>
        <w:tc>
          <w:tcPr>
            <w:tcW w:w="794" w:type="pct"/>
            <w:tcBorders>
              <w:top w:val="single" w:sz="4" w:space="0" w:color="auto"/>
              <w:left w:val="single" w:sz="4" w:space="0" w:color="auto"/>
              <w:bottom w:val="single" w:sz="4" w:space="0" w:color="auto"/>
              <w:right w:val="single" w:sz="4" w:space="0" w:color="auto"/>
            </w:tcBorders>
            <w:shd w:val="clear" w:color="auto" w:fill="BFBFBF"/>
            <w:vAlign w:val="center"/>
          </w:tcPr>
          <w:p w:rsidR="003522C3" w:rsidRPr="008B1EE4" w:rsidRDefault="003522C3" w:rsidP="008B1EE4">
            <w:pPr>
              <w:jc w:val="center"/>
              <w:outlineLvl w:val="0"/>
              <w:rPr>
                <w:rFonts w:ascii="Calibri" w:hAnsi="Calibri"/>
                <w:b/>
                <w:sz w:val="20"/>
                <w:szCs w:val="20"/>
              </w:rPr>
            </w:pPr>
            <w:r w:rsidRPr="008B1EE4">
              <w:rPr>
                <w:rFonts w:ascii="Calibri" w:hAnsi="Calibri"/>
                <w:b/>
                <w:sz w:val="20"/>
                <w:szCs w:val="20"/>
              </w:rPr>
              <w:t>Respondent Cost</w:t>
            </w:r>
          </w:p>
        </w:tc>
      </w:tr>
      <w:tr w:rsidR="003522C3" w:rsidRPr="008B1EE4" w:rsidTr="00AC512B">
        <w:trPr>
          <w:cantSplit/>
          <w:trHeight w:val="375"/>
          <w:jc w:val="center"/>
        </w:trPr>
        <w:tc>
          <w:tcPr>
            <w:tcW w:w="794" w:type="pct"/>
            <w:vMerge w:val="restart"/>
            <w:tcBorders>
              <w:top w:val="single" w:sz="4" w:space="0" w:color="auto"/>
              <w:left w:val="single" w:sz="4" w:space="0" w:color="auto"/>
              <w:right w:val="single" w:sz="4" w:space="0" w:color="auto"/>
            </w:tcBorders>
            <w:shd w:val="clear" w:color="auto" w:fill="auto"/>
            <w:vAlign w:val="center"/>
          </w:tcPr>
          <w:p w:rsidR="003522C3" w:rsidRPr="008B1EE4" w:rsidRDefault="003522C3" w:rsidP="008B1EE4">
            <w:pPr>
              <w:jc w:val="center"/>
              <w:rPr>
                <w:rFonts w:ascii="Calibri" w:hAnsi="Calibri"/>
                <w:sz w:val="20"/>
                <w:szCs w:val="20"/>
              </w:rPr>
            </w:pPr>
            <w:r w:rsidRPr="008B1EE4">
              <w:rPr>
                <w:rFonts w:ascii="Calibri" w:hAnsi="Calibri"/>
                <w:sz w:val="20"/>
                <w:szCs w:val="20"/>
              </w:rPr>
              <w:t>Owners</w:t>
            </w:r>
          </w:p>
        </w:tc>
        <w:tc>
          <w:tcPr>
            <w:tcW w:w="724" w:type="pct"/>
            <w:vMerge w:val="restart"/>
            <w:tcBorders>
              <w:top w:val="single" w:sz="4" w:space="0" w:color="auto"/>
              <w:left w:val="single" w:sz="4" w:space="0" w:color="auto"/>
              <w:right w:val="single" w:sz="4" w:space="0" w:color="auto"/>
            </w:tcBorders>
            <w:shd w:val="clear" w:color="auto" w:fill="auto"/>
            <w:vAlign w:val="center"/>
          </w:tcPr>
          <w:p w:rsidR="003522C3" w:rsidRPr="008B1EE4" w:rsidRDefault="003522C3" w:rsidP="008B1EE4">
            <w:pPr>
              <w:jc w:val="center"/>
              <w:rPr>
                <w:rFonts w:ascii="Calibri" w:hAnsi="Calibri"/>
                <w:sz w:val="20"/>
                <w:szCs w:val="20"/>
              </w:rPr>
            </w:pPr>
            <w:r w:rsidRPr="008B1EE4">
              <w:rPr>
                <w:rFonts w:ascii="Calibri" w:hAnsi="Calibri"/>
                <w:sz w:val="20"/>
                <w:szCs w:val="20"/>
              </w:rPr>
              <w:t>Web</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3522C3" w:rsidRPr="008B1EE4" w:rsidRDefault="003522C3" w:rsidP="008B1EE4">
            <w:pPr>
              <w:jc w:val="center"/>
              <w:rPr>
                <w:rFonts w:ascii="Calibri" w:hAnsi="Calibri"/>
                <w:sz w:val="20"/>
                <w:szCs w:val="20"/>
              </w:rPr>
            </w:pPr>
            <w:r w:rsidRPr="008B1EE4">
              <w:rPr>
                <w:rFonts w:ascii="Calibri" w:hAnsi="Calibri"/>
                <w:sz w:val="20"/>
                <w:szCs w:val="20"/>
              </w:rPr>
              <w:t>1</w:t>
            </w:r>
            <w:r w:rsidR="0075494A">
              <w:rPr>
                <w:rFonts w:ascii="Calibri" w:hAnsi="Calibri"/>
                <w:sz w:val="20"/>
                <w:szCs w:val="20"/>
              </w:rPr>
              <w:t>,</w:t>
            </w:r>
            <w:r w:rsidRPr="008B1EE4">
              <w:rPr>
                <w:rFonts w:ascii="Calibri" w:hAnsi="Calibri"/>
                <w:sz w:val="20"/>
                <w:szCs w:val="20"/>
              </w:rPr>
              <w:t>100</w:t>
            </w:r>
            <w:r>
              <w:rPr>
                <w:rFonts w:ascii="Calibri" w:hAnsi="Calibri"/>
                <w:sz w:val="20"/>
                <w:szCs w:val="20"/>
              </w:rPr>
              <w:t xml:space="preserve"> (completed)</w:t>
            </w:r>
          </w:p>
        </w:tc>
        <w:tc>
          <w:tcPr>
            <w:tcW w:w="672" w:type="pct"/>
            <w:tcBorders>
              <w:top w:val="single" w:sz="4" w:space="0" w:color="auto"/>
              <w:left w:val="single" w:sz="4" w:space="0" w:color="auto"/>
              <w:bottom w:val="single" w:sz="4" w:space="0" w:color="auto"/>
              <w:right w:val="single" w:sz="4" w:space="0" w:color="auto"/>
            </w:tcBorders>
            <w:vAlign w:val="center"/>
          </w:tcPr>
          <w:p w:rsidR="003522C3" w:rsidRPr="008B1EE4" w:rsidRDefault="003522C3" w:rsidP="001D2265">
            <w:pPr>
              <w:jc w:val="center"/>
              <w:rPr>
                <w:rFonts w:ascii="Calibri" w:hAnsi="Calibri"/>
                <w:sz w:val="20"/>
                <w:szCs w:val="20"/>
              </w:rPr>
            </w:pPr>
            <w:r>
              <w:rPr>
                <w:rFonts w:ascii="Calibri" w:hAnsi="Calibri"/>
                <w:sz w:val="20"/>
                <w:szCs w:val="20"/>
              </w:rPr>
              <w:t>.25</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rsidR="003522C3" w:rsidRPr="008B1EE4" w:rsidRDefault="003522C3" w:rsidP="008B1EE4">
            <w:pPr>
              <w:jc w:val="center"/>
              <w:rPr>
                <w:rFonts w:ascii="Calibri" w:hAnsi="Calibri"/>
                <w:sz w:val="20"/>
                <w:szCs w:val="20"/>
              </w:rPr>
            </w:pPr>
            <w:r w:rsidRPr="008B1EE4">
              <w:rPr>
                <w:rFonts w:ascii="Calibri" w:hAnsi="Calibri"/>
                <w:sz w:val="20"/>
                <w:szCs w:val="20"/>
              </w:rPr>
              <w:t>1</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rsidR="003522C3" w:rsidRPr="008B1EE4" w:rsidRDefault="003522C3" w:rsidP="008B1EE4">
            <w:pPr>
              <w:jc w:val="center"/>
              <w:rPr>
                <w:rFonts w:ascii="Calibri" w:hAnsi="Calibri"/>
                <w:sz w:val="20"/>
                <w:szCs w:val="20"/>
              </w:rPr>
            </w:pPr>
            <w:r w:rsidRPr="008B1EE4">
              <w:rPr>
                <w:rFonts w:ascii="Calibri" w:hAnsi="Calibri"/>
                <w:sz w:val="20"/>
                <w:szCs w:val="20"/>
              </w:rPr>
              <w:t>$49.12</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rsidR="003522C3" w:rsidRPr="008B1EE4" w:rsidRDefault="003522C3" w:rsidP="008B1EE4">
            <w:pPr>
              <w:jc w:val="center"/>
              <w:rPr>
                <w:rFonts w:ascii="Calibri" w:hAnsi="Calibri"/>
                <w:sz w:val="20"/>
                <w:szCs w:val="20"/>
              </w:rPr>
            </w:pPr>
            <w:r w:rsidRPr="008B1EE4">
              <w:rPr>
                <w:rFonts w:ascii="Calibri" w:hAnsi="Calibri"/>
                <w:sz w:val="20"/>
                <w:szCs w:val="20"/>
              </w:rPr>
              <w:t>$13,508.00</w:t>
            </w:r>
          </w:p>
        </w:tc>
      </w:tr>
      <w:tr w:rsidR="003522C3" w:rsidRPr="008B1EE4" w:rsidTr="00AC512B">
        <w:trPr>
          <w:cantSplit/>
          <w:trHeight w:val="375"/>
          <w:jc w:val="center"/>
        </w:trPr>
        <w:tc>
          <w:tcPr>
            <w:tcW w:w="794" w:type="pct"/>
            <w:vMerge/>
            <w:tcBorders>
              <w:left w:val="single" w:sz="4" w:space="0" w:color="auto"/>
              <w:bottom w:val="single" w:sz="4" w:space="0" w:color="auto"/>
              <w:right w:val="single" w:sz="4" w:space="0" w:color="auto"/>
            </w:tcBorders>
            <w:shd w:val="clear" w:color="auto" w:fill="auto"/>
            <w:vAlign w:val="center"/>
          </w:tcPr>
          <w:p w:rsidR="003522C3" w:rsidRPr="008B1EE4" w:rsidRDefault="003522C3" w:rsidP="008B1EE4">
            <w:pPr>
              <w:jc w:val="center"/>
              <w:rPr>
                <w:rFonts w:ascii="Calibri" w:hAnsi="Calibri"/>
                <w:sz w:val="20"/>
                <w:szCs w:val="20"/>
              </w:rPr>
            </w:pPr>
          </w:p>
        </w:tc>
        <w:tc>
          <w:tcPr>
            <w:tcW w:w="724" w:type="pct"/>
            <w:vMerge/>
            <w:tcBorders>
              <w:left w:val="single" w:sz="4" w:space="0" w:color="auto"/>
              <w:bottom w:val="single" w:sz="4" w:space="0" w:color="auto"/>
              <w:right w:val="single" w:sz="4" w:space="0" w:color="auto"/>
            </w:tcBorders>
            <w:shd w:val="clear" w:color="auto" w:fill="auto"/>
            <w:vAlign w:val="center"/>
          </w:tcPr>
          <w:p w:rsidR="003522C3" w:rsidRPr="008B1EE4" w:rsidRDefault="003522C3" w:rsidP="008B1EE4">
            <w:pPr>
              <w:jc w:val="center"/>
              <w:rPr>
                <w:rFonts w:ascii="Calibri" w:hAnsi="Calibri"/>
                <w:sz w:val="20"/>
                <w:szCs w:val="20"/>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3522C3" w:rsidRPr="008B1EE4" w:rsidRDefault="0075494A" w:rsidP="003522C3">
            <w:pPr>
              <w:jc w:val="center"/>
              <w:rPr>
                <w:rFonts w:ascii="Calibri" w:hAnsi="Calibri"/>
                <w:sz w:val="20"/>
                <w:szCs w:val="20"/>
              </w:rPr>
            </w:pPr>
            <w:r>
              <w:rPr>
                <w:rFonts w:ascii="Calibri" w:hAnsi="Calibri"/>
                <w:sz w:val="20"/>
                <w:szCs w:val="20"/>
              </w:rPr>
              <w:t>840</w:t>
            </w:r>
            <w:r w:rsidR="003522C3">
              <w:rPr>
                <w:rFonts w:ascii="Calibri" w:hAnsi="Calibri"/>
                <w:sz w:val="20"/>
                <w:szCs w:val="20"/>
              </w:rPr>
              <w:t xml:space="preserve"> (attempted)</w:t>
            </w:r>
          </w:p>
        </w:tc>
        <w:tc>
          <w:tcPr>
            <w:tcW w:w="672" w:type="pct"/>
            <w:tcBorders>
              <w:top w:val="single" w:sz="4" w:space="0" w:color="auto"/>
              <w:left w:val="single" w:sz="4" w:space="0" w:color="auto"/>
              <w:bottom w:val="single" w:sz="4" w:space="0" w:color="auto"/>
              <w:right w:val="single" w:sz="4" w:space="0" w:color="auto"/>
            </w:tcBorders>
            <w:vAlign w:val="center"/>
          </w:tcPr>
          <w:p w:rsidR="003522C3" w:rsidRPr="008B1EE4" w:rsidRDefault="003522C3" w:rsidP="001D2265">
            <w:pPr>
              <w:jc w:val="center"/>
              <w:rPr>
                <w:rFonts w:ascii="Calibri" w:hAnsi="Calibri"/>
                <w:sz w:val="20"/>
                <w:szCs w:val="20"/>
              </w:rPr>
            </w:pPr>
            <w:r>
              <w:rPr>
                <w:rFonts w:ascii="Calibri" w:hAnsi="Calibri"/>
                <w:sz w:val="20"/>
                <w:szCs w:val="20"/>
              </w:rPr>
              <w:t>.050</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rsidR="003522C3" w:rsidRPr="008B1EE4" w:rsidRDefault="003522C3" w:rsidP="008B1EE4">
            <w:pPr>
              <w:jc w:val="center"/>
              <w:rPr>
                <w:rFonts w:ascii="Calibri" w:hAnsi="Calibri"/>
                <w:sz w:val="20"/>
                <w:szCs w:val="20"/>
              </w:rPr>
            </w:pPr>
            <w:r>
              <w:rPr>
                <w:rFonts w:ascii="Calibri" w:hAnsi="Calibri"/>
                <w:sz w:val="20"/>
                <w:szCs w:val="20"/>
              </w:rPr>
              <w:t>1</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rsidR="003522C3" w:rsidRPr="008B1EE4" w:rsidRDefault="003522C3" w:rsidP="008B1EE4">
            <w:pPr>
              <w:jc w:val="center"/>
              <w:rPr>
                <w:rFonts w:ascii="Calibri" w:hAnsi="Calibri"/>
                <w:sz w:val="20"/>
                <w:szCs w:val="20"/>
              </w:rPr>
            </w:pPr>
            <w:r>
              <w:rPr>
                <w:rFonts w:ascii="Calibri" w:hAnsi="Calibri"/>
                <w:sz w:val="20"/>
                <w:szCs w:val="20"/>
              </w:rPr>
              <w:t>$49.12</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rsidR="003522C3" w:rsidRPr="008B1EE4" w:rsidRDefault="003522C3" w:rsidP="008B1EE4">
            <w:pPr>
              <w:jc w:val="center"/>
              <w:rPr>
                <w:rFonts w:ascii="Calibri" w:hAnsi="Calibri"/>
                <w:sz w:val="20"/>
                <w:szCs w:val="20"/>
              </w:rPr>
            </w:pPr>
            <w:r>
              <w:rPr>
                <w:rFonts w:ascii="Calibri" w:hAnsi="Calibri"/>
                <w:sz w:val="20"/>
                <w:szCs w:val="20"/>
              </w:rPr>
              <w:t>$</w:t>
            </w:r>
            <w:r w:rsidR="00EF3BF3">
              <w:rPr>
                <w:rFonts w:ascii="Calibri" w:hAnsi="Calibri"/>
                <w:sz w:val="20"/>
                <w:szCs w:val="20"/>
              </w:rPr>
              <w:t>2,063</w:t>
            </w:r>
            <w:r>
              <w:rPr>
                <w:rFonts w:ascii="Calibri" w:hAnsi="Calibri"/>
                <w:sz w:val="20"/>
                <w:szCs w:val="20"/>
              </w:rPr>
              <w:t>.</w:t>
            </w:r>
            <w:r w:rsidR="00EF3BF3">
              <w:rPr>
                <w:rFonts w:ascii="Calibri" w:hAnsi="Calibri"/>
                <w:sz w:val="20"/>
                <w:szCs w:val="20"/>
              </w:rPr>
              <w:t>0</w:t>
            </w:r>
          </w:p>
        </w:tc>
      </w:tr>
      <w:tr w:rsidR="003522C3" w:rsidRPr="008B1EE4" w:rsidTr="00AC512B">
        <w:trPr>
          <w:cantSplit/>
          <w:trHeight w:val="756"/>
          <w:jc w:val="center"/>
        </w:trPr>
        <w:tc>
          <w:tcPr>
            <w:tcW w:w="794" w:type="pct"/>
            <w:tcBorders>
              <w:top w:val="single" w:sz="4" w:space="0" w:color="auto"/>
              <w:left w:val="single" w:sz="4" w:space="0" w:color="auto"/>
              <w:bottom w:val="single" w:sz="8" w:space="0" w:color="000000"/>
              <w:right w:val="single" w:sz="4" w:space="0" w:color="auto"/>
            </w:tcBorders>
            <w:shd w:val="clear" w:color="auto" w:fill="auto"/>
            <w:vAlign w:val="center"/>
          </w:tcPr>
          <w:p w:rsidR="003522C3" w:rsidRPr="008B1EE4" w:rsidRDefault="003522C3" w:rsidP="008B1EE4">
            <w:pPr>
              <w:jc w:val="center"/>
              <w:rPr>
                <w:rFonts w:ascii="Calibri" w:hAnsi="Calibri"/>
                <w:sz w:val="20"/>
                <w:szCs w:val="20"/>
              </w:rPr>
            </w:pPr>
            <w:r w:rsidRPr="008B1EE4">
              <w:rPr>
                <w:rFonts w:ascii="Calibri" w:hAnsi="Calibri"/>
                <w:sz w:val="20"/>
                <w:szCs w:val="20"/>
              </w:rPr>
              <w:t>TOTAL</w:t>
            </w:r>
          </w:p>
        </w:tc>
        <w:tc>
          <w:tcPr>
            <w:tcW w:w="724" w:type="pct"/>
            <w:tcBorders>
              <w:top w:val="single" w:sz="4" w:space="0" w:color="auto"/>
              <w:left w:val="single" w:sz="4" w:space="0" w:color="auto"/>
              <w:bottom w:val="single" w:sz="8" w:space="0" w:color="000000"/>
              <w:right w:val="single" w:sz="4" w:space="0" w:color="auto"/>
            </w:tcBorders>
            <w:shd w:val="pct12" w:color="auto" w:fill="auto"/>
            <w:vAlign w:val="center"/>
          </w:tcPr>
          <w:p w:rsidR="003522C3" w:rsidRPr="008B1EE4" w:rsidRDefault="003522C3" w:rsidP="008B1EE4">
            <w:pPr>
              <w:jc w:val="center"/>
              <w:rPr>
                <w:rFonts w:ascii="Calibri" w:hAnsi="Calibri"/>
                <w:sz w:val="20"/>
                <w:szCs w:val="20"/>
              </w:rPr>
            </w:pPr>
          </w:p>
        </w:tc>
        <w:tc>
          <w:tcPr>
            <w:tcW w:w="775" w:type="pct"/>
            <w:tcBorders>
              <w:top w:val="single" w:sz="4" w:space="0" w:color="auto"/>
              <w:left w:val="single" w:sz="4" w:space="0" w:color="auto"/>
              <w:bottom w:val="single" w:sz="8" w:space="0" w:color="000000"/>
              <w:right w:val="single" w:sz="4" w:space="0" w:color="auto"/>
            </w:tcBorders>
            <w:shd w:val="clear" w:color="auto" w:fill="auto"/>
            <w:vAlign w:val="center"/>
          </w:tcPr>
          <w:p w:rsidR="003522C3" w:rsidRPr="008B1EE4" w:rsidRDefault="0075494A" w:rsidP="008B1EE4">
            <w:pPr>
              <w:jc w:val="center"/>
              <w:rPr>
                <w:rFonts w:ascii="Calibri" w:hAnsi="Calibri"/>
                <w:sz w:val="20"/>
                <w:szCs w:val="20"/>
              </w:rPr>
            </w:pPr>
            <w:r>
              <w:rPr>
                <w:rFonts w:ascii="Calibri" w:hAnsi="Calibri"/>
                <w:sz w:val="20"/>
                <w:szCs w:val="20"/>
              </w:rPr>
              <w:t>1,940</w:t>
            </w:r>
          </w:p>
        </w:tc>
        <w:tc>
          <w:tcPr>
            <w:tcW w:w="672" w:type="pct"/>
            <w:tcBorders>
              <w:top w:val="single" w:sz="4" w:space="0" w:color="auto"/>
              <w:left w:val="single" w:sz="4" w:space="0" w:color="auto"/>
              <w:bottom w:val="single" w:sz="8" w:space="0" w:color="000000"/>
              <w:right w:val="single" w:sz="4" w:space="0" w:color="auto"/>
            </w:tcBorders>
            <w:vAlign w:val="center"/>
          </w:tcPr>
          <w:p w:rsidR="003522C3" w:rsidRPr="008B1EE4" w:rsidRDefault="003522C3" w:rsidP="001D2265">
            <w:pPr>
              <w:jc w:val="center"/>
              <w:rPr>
                <w:rFonts w:ascii="Calibri" w:hAnsi="Calibri"/>
                <w:sz w:val="20"/>
                <w:szCs w:val="20"/>
              </w:rPr>
            </w:pPr>
          </w:p>
        </w:tc>
        <w:tc>
          <w:tcPr>
            <w:tcW w:w="672" w:type="pct"/>
            <w:tcBorders>
              <w:top w:val="single" w:sz="4" w:space="0" w:color="auto"/>
              <w:left w:val="single" w:sz="4" w:space="0" w:color="auto"/>
              <w:bottom w:val="single" w:sz="8" w:space="0" w:color="000000"/>
              <w:right w:val="single" w:sz="4" w:space="0" w:color="auto"/>
            </w:tcBorders>
            <w:shd w:val="clear" w:color="auto" w:fill="auto"/>
            <w:vAlign w:val="center"/>
          </w:tcPr>
          <w:p w:rsidR="003522C3" w:rsidRPr="008B1EE4" w:rsidRDefault="003522C3" w:rsidP="008B1EE4">
            <w:pPr>
              <w:jc w:val="center"/>
              <w:rPr>
                <w:rFonts w:ascii="Calibri" w:hAnsi="Calibri"/>
                <w:sz w:val="20"/>
                <w:szCs w:val="20"/>
              </w:rPr>
            </w:pPr>
            <w:r w:rsidRPr="008B1EE4">
              <w:rPr>
                <w:rFonts w:ascii="Calibri" w:hAnsi="Calibri"/>
                <w:sz w:val="20"/>
                <w:szCs w:val="20"/>
              </w:rPr>
              <w:t>1</w:t>
            </w:r>
          </w:p>
        </w:tc>
        <w:tc>
          <w:tcPr>
            <w:tcW w:w="569" w:type="pct"/>
            <w:tcBorders>
              <w:top w:val="single" w:sz="4" w:space="0" w:color="auto"/>
              <w:left w:val="single" w:sz="4" w:space="0" w:color="auto"/>
              <w:bottom w:val="single" w:sz="8" w:space="0" w:color="000000"/>
              <w:right w:val="single" w:sz="4" w:space="0" w:color="auto"/>
            </w:tcBorders>
            <w:shd w:val="pct12" w:color="auto" w:fill="auto"/>
            <w:vAlign w:val="center"/>
          </w:tcPr>
          <w:p w:rsidR="003522C3" w:rsidRPr="008B1EE4" w:rsidRDefault="003522C3" w:rsidP="008B1EE4">
            <w:pPr>
              <w:jc w:val="center"/>
              <w:rPr>
                <w:rFonts w:ascii="Calibri" w:hAnsi="Calibri"/>
                <w:sz w:val="20"/>
                <w:szCs w:val="20"/>
              </w:rPr>
            </w:pPr>
          </w:p>
        </w:tc>
        <w:tc>
          <w:tcPr>
            <w:tcW w:w="794" w:type="pct"/>
            <w:tcBorders>
              <w:top w:val="single" w:sz="4" w:space="0" w:color="auto"/>
              <w:left w:val="single" w:sz="4" w:space="0" w:color="auto"/>
              <w:bottom w:val="single" w:sz="8" w:space="0" w:color="000000"/>
              <w:right w:val="single" w:sz="4" w:space="0" w:color="auto"/>
            </w:tcBorders>
            <w:shd w:val="clear" w:color="auto" w:fill="auto"/>
            <w:vAlign w:val="center"/>
          </w:tcPr>
          <w:p w:rsidR="003522C3" w:rsidRPr="008B1EE4" w:rsidRDefault="003522C3" w:rsidP="003522C3">
            <w:pPr>
              <w:jc w:val="center"/>
              <w:rPr>
                <w:rFonts w:ascii="Calibri" w:hAnsi="Calibri"/>
                <w:sz w:val="20"/>
                <w:szCs w:val="20"/>
              </w:rPr>
            </w:pPr>
            <w:r w:rsidRPr="008B1EE4">
              <w:rPr>
                <w:rFonts w:ascii="Calibri" w:hAnsi="Calibri"/>
                <w:sz w:val="20"/>
                <w:szCs w:val="20"/>
              </w:rPr>
              <w:t>$1</w:t>
            </w:r>
            <w:r w:rsidR="00EF3BF3">
              <w:rPr>
                <w:rFonts w:ascii="Calibri" w:hAnsi="Calibri"/>
                <w:sz w:val="20"/>
                <w:szCs w:val="20"/>
              </w:rPr>
              <w:t>5,574</w:t>
            </w:r>
            <w:r>
              <w:rPr>
                <w:rFonts w:ascii="Calibri" w:hAnsi="Calibri"/>
                <w:sz w:val="20"/>
                <w:szCs w:val="20"/>
              </w:rPr>
              <w:t>.</w:t>
            </w:r>
            <w:r w:rsidRPr="008B1EE4">
              <w:rPr>
                <w:rFonts w:ascii="Calibri" w:hAnsi="Calibri"/>
                <w:sz w:val="20"/>
                <w:szCs w:val="20"/>
              </w:rPr>
              <w:t>0</w:t>
            </w:r>
            <w:r w:rsidR="00EF3BF3">
              <w:rPr>
                <w:rFonts w:ascii="Calibri" w:hAnsi="Calibri"/>
                <w:sz w:val="20"/>
                <w:szCs w:val="20"/>
              </w:rPr>
              <w:t>4</w:t>
            </w:r>
          </w:p>
        </w:tc>
      </w:tr>
    </w:tbl>
    <w:p w:rsidR="008B1EE4" w:rsidRPr="008B1EE4" w:rsidRDefault="008B1EE4" w:rsidP="008B1EE4"/>
    <w:p w:rsidR="008B1EE4" w:rsidRPr="00904DCB" w:rsidRDefault="008B1EE4" w:rsidP="008B1EE4">
      <w:pPr>
        <w:keepNext/>
        <w:spacing w:before="240" w:after="60"/>
        <w:outlineLvl w:val="1"/>
        <w:rPr>
          <w:rFonts w:cs="Arial"/>
          <w:bCs/>
          <w:sz w:val="28"/>
          <w:szCs w:val="28"/>
        </w:rPr>
      </w:pPr>
      <w:bookmarkStart w:id="13" w:name="_Toc133208885"/>
      <w:r w:rsidRPr="00904DCB">
        <w:rPr>
          <w:rFonts w:cs="Arial"/>
          <w:bCs/>
          <w:sz w:val="28"/>
          <w:szCs w:val="28"/>
        </w:rPr>
        <w:t>A.13.</w:t>
      </w:r>
      <w:r w:rsidRPr="00904DCB">
        <w:rPr>
          <w:rFonts w:cs="Arial"/>
          <w:bCs/>
          <w:sz w:val="28"/>
          <w:szCs w:val="28"/>
        </w:rPr>
        <w:tab/>
      </w:r>
      <w:r w:rsidRPr="00904DCB">
        <w:rPr>
          <w:rFonts w:cs="Arial"/>
          <w:bCs/>
          <w:sz w:val="28"/>
          <w:szCs w:val="28"/>
          <w:u w:val="single"/>
        </w:rPr>
        <w:t xml:space="preserve">Estimates of Other Total Annual </w:t>
      </w:r>
      <w:proofErr w:type="gramStart"/>
      <w:r w:rsidRPr="00904DCB">
        <w:rPr>
          <w:rFonts w:cs="Arial"/>
          <w:bCs/>
          <w:sz w:val="28"/>
          <w:szCs w:val="28"/>
          <w:u w:val="single"/>
        </w:rPr>
        <w:t>Cost  Burden</w:t>
      </w:r>
      <w:proofErr w:type="gramEnd"/>
      <w:r w:rsidRPr="00904DCB">
        <w:rPr>
          <w:rFonts w:cs="Arial"/>
          <w:bCs/>
          <w:sz w:val="28"/>
          <w:szCs w:val="28"/>
          <w:u w:val="single"/>
        </w:rPr>
        <w:t xml:space="preserve"> to Respondents</w:t>
      </w:r>
      <w:bookmarkEnd w:id="13"/>
      <w:r w:rsidRPr="00904DCB">
        <w:rPr>
          <w:rFonts w:cs="Arial"/>
          <w:bCs/>
          <w:sz w:val="28"/>
          <w:szCs w:val="28"/>
          <w:u w:val="single"/>
        </w:rPr>
        <w:t xml:space="preserve"> or Record Keepers</w:t>
      </w:r>
    </w:p>
    <w:p w:rsidR="008B1EE4" w:rsidRPr="008B1EE4" w:rsidRDefault="008B1EE4" w:rsidP="008B1EE4"/>
    <w:p w:rsidR="008B1EE4" w:rsidRPr="008B1EE4" w:rsidRDefault="008B1EE4" w:rsidP="008B1EE4">
      <w:pPr>
        <w:spacing w:line="480" w:lineRule="auto"/>
        <w:ind w:firstLine="720"/>
        <w:jc w:val="both"/>
      </w:pPr>
      <w:r w:rsidRPr="008B1EE4">
        <w:rPr>
          <w:color w:val="000000"/>
          <w:lang w:bidi="he-IL"/>
        </w:rPr>
        <w:t xml:space="preserve"> </w:t>
      </w:r>
      <w:r w:rsidRPr="008B1EE4">
        <w:t xml:space="preserve">No capital/startup or ongoing operation/maintenance costs are associated with this information collection. </w:t>
      </w:r>
    </w:p>
    <w:p w:rsidR="008B1EE4" w:rsidRPr="00904DCB" w:rsidRDefault="008B1EE4" w:rsidP="008B1EE4">
      <w:pPr>
        <w:keepNext/>
        <w:spacing w:before="240" w:after="60"/>
        <w:outlineLvl w:val="1"/>
        <w:rPr>
          <w:rFonts w:cs="Arial"/>
          <w:bCs/>
          <w:sz w:val="28"/>
          <w:szCs w:val="28"/>
        </w:rPr>
      </w:pPr>
      <w:bookmarkStart w:id="14" w:name="_Toc133208887"/>
      <w:r w:rsidRPr="00904DCB">
        <w:rPr>
          <w:rFonts w:cs="Arial"/>
          <w:bCs/>
          <w:sz w:val="28"/>
          <w:szCs w:val="28"/>
        </w:rPr>
        <w:t>A.14.</w:t>
      </w:r>
      <w:r w:rsidRPr="00904DCB">
        <w:rPr>
          <w:rFonts w:cs="Arial"/>
          <w:bCs/>
          <w:sz w:val="28"/>
          <w:szCs w:val="28"/>
        </w:rPr>
        <w:tab/>
      </w:r>
      <w:r w:rsidRPr="00904DCB">
        <w:rPr>
          <w:rFonts w:cs="Arial"/>
          <w:bCs/>
          <w:sz w:val="28"/>
          <w:szCs w:val="28"/>
          <w:u w:val="single"/>
        </w:rPr>
        <w:t>Annualized Cost to Federal Government</w:t>
      </w:r>
      <w:bookmarkEnd w:id="14"/>
    </w:p>
    <w:p w:rsidR="008B1EE4" w:rsidRPr="008B1EE4" w:rsidRDefault="008B1EE4" w:rsidP="008B1EE4"/>
    <w:p w:rsidR="008B1EE4" w:rsidRPr="008B1EE4" w:rsidRDefault="008B1EE4" w:rsidP="008B1EE4">
      <w:pPr>
        <w:spacing w:line="480" w:lineRule="auto"/>
        <w:ind w:firstLine="720"/>
      </w:pPr>
      <w:r w:rsidRPr="008B1EE4">
        <w:rPr>
          <w:bCs/>
        </w:rPr>
        <w:t xml:space="preserve">The total cost to the Federal Government </w:t>
      </w:r>
      <w:r w:rsidRPr="00A46BF3">
        <w:rPr>
          <w:bCs/>
        </w:rPr>
        <w:t xml:space="preserve">is </w:t>
      </w:r>
      <w:r w:rsidRPr="001A060C">
        <w:rPr>
          <w:bCs/>
        </w:rPr>
        <w:t>$</w:t>
      </w:r>
      <w:r w:rsidR="001A060C" w:rsidRPr="001A060C">
        <w:rPr>
          <w:bCs/>
        </w:rPr>
        <w:t>335,418</w:t>
      </w:r>
      <w:r w:rsidRPr="00A46BF3">
        <w:rPr>
          <w:bCs/>
        </w:rPr>
        <w:t xml:space="preserve">.  This total includes include the cost of design, instrument development, technical development of survey forms, information collection, analysis, reporting, and presentation/publication of the results. The average annualized cost is </w:t>
      </w:r>
      <w:r w:rsidRPr="001A060C">
        <w:rPr>
          <w:bCs/>
        </w:rPr>
        <w:t>$</w:t>
      </w:r>
      <w:r w:rsidR="001A060C">
        <w:rPr>
          <w:bCs/>
        </w:rPr>
        <w:t>167,</w:t>
      </w:r>
      <w:bookmarkStart w:id="15" w:name="_GoBack"/>
      <w:bookmarkEnd w:id="15"/>
      <w:r w:rsidR="001A060C">
        <w:rPr>
          <w:bCs/>
        </w:rPr>
        <w:t>710</w:t>
      </w:r>
      <w:r w:rsidR="00A46BF3">
        <w:rPr>
          <w:bCs/>
        </w:rPr>
        <w:t xml:space="preserve">. </w:t>
      </w:r>
    </w:p>
    <w:p w:rsidR="008B1EE4" w:rsidRPr="00904DCB" w:rsidRDefault="008B1EE4" w:rsidP="008B1EE4">
      <w:pPr>
        <w:keepNext/>
        <w:spacing w:before="240" w:after="60"/>
        <w:outlineLvl w:val="1"/>
        <w:rPr>
          <w:rFonts w:cs="Arial"/>
          <w:bCs/>
          <w:sz w:val="28"/>
          <w:szCs w:val="28"/>
        </w:rPr>
      </w:pPr>
      <w:bookmarkStart w:id="16" w:name="_Toc133208888"/>
      <w:r w:rsidRPr="00904DCB">
        <w:rPr>
          <w:rFonts w:cs="Arial"/>
          <w:bCs/>
          <w:sz w:val="28"/>
          <w:szCs w:val="28"/>
        </w:rPr>
        <w:t>A.15.</w:t>
      </w:r>
      <w:r w:rsidRPr="00904DCB">
        <w:rPr>
          <w:rFonts w:cs="Arial"/>
          <w:bCs/>
          <w:sz w:val="28"/>
          <w:szCs w:val="28"/>
        </w:rPr>
        <w:tab/>
      </w:r>
      <w:bookmarkEnd w:id="16"/>
      <w:r w:rsidRPr="00904DCB">
        <w:rPr>
          <w:rFonts w:cs="Arial"/>
          <w:bCs/>
          <w:sz w:val="28"/>
          <w:szCs w:val="28"/>
          <w:u w:val="single"/>
        </w:rPr>
        <w:t>Explanation for Program Changes or Adjustments</w:t>
      </w:r>
    </w:p>
    <w:p w:rsidR="008B1EE4" w:rsidRPr="008B1EE4" w:rsidRDefault="008B1EE4" w:rsidP="008B1EE4"/>
    <w:p w:rsidR="008B1EE4" w:rsidRDefault="008B1EE4" w:rsidP="008B1EE4">
      <w:pPr>
        <w:ind w:firstLine="720"/>
      </w:pPr>
      <w:r w:rsidRPr="008B1EE4">
        <w:t>This is a new collection of information, so there are no changes to items 13 and 14.</w:t>
      </w:r>
    </w:p>
    <w:p w:rsidR="00904DCB" w:rsidRPr="008B1EE4" w:rsidRDefault="00904DCB" w:rsidP="008B1EE4">
      <w:pPr>
        <w:ind w:firstLine="720"/>
      </w:pPr>
    </w:p>
    <w:p w:rsidR="008B1EE4" w:rsidRPr="00904DCB" w:rsidRDefault="008B1EE4" w:rsidP="008B1EE4">
      <w:pPr>
        <w:keepNext/>
        <w:spacing w:before="240" w:after="60"/>
        <w:outlineLvl w:val="1"/>
        <w:rPr>
          <w:rFonts w:cs="Arial"/>
          <w:bCs/>
          <w:sz w:val="28"/>
          <w:szCs w:val="28"/>
        </w:rPr>
      </w:pPr>
      <w:bookmarkStart w:id="17" w:name="_Toc133208890"/>
      <w:r w:rsidRPr="00904DCB">
        <w:rPr>
          <w:rFonts w:cs="Arial"/>
          <w:bCs/>
          <w:sz w:val="28"/>
          <w:szCs w:val="28"/>
        </w:rPr>
        <w:t>A.16.</w:t>
      </w:r>
      <w:r w:rsidRPr="00904DCB">
        <w:rPr>
          <w:rFonts w:cs="Arial"/>
          <w:bCs/>
          <w:sz w:val="28"/>
          <w:szCs w:val="28"/>
        </w:rPr>
        <w:tab/>
      </w:r>
      <w:bookmarkEnd w:id="17"/>
      <w:r w:rsidRPr="00904DCB">
        <w:rPr>
          <w:rFonts w:cs="Arial"/>
          <w:bCs/>
          <w:sz w:val="28"/>
          <w:szCs w:val="28"/>
          <w:u w:val="single"/>
        </w:rPr>
        <w:t>Plans for Tabulation and Publication and Project Time Schedule</w:t>
      </w:r>
    </w:p>
    <w:p w:rsidR="008B1EE4" w:rsidRPr="008B1EE4" w:rsidRDefault="008B1EE4" w:rsidP="008B1EE4"/>
    <w:p w:rsidR="008B1EE4" w:rsidRPr="008B1EE4" w:rsidRDefault="008B1EE4" w:rsidP="008B1EE4">
      <w:pPr>
        <w:spacing w:line="480" w:lineRule="auto"/>
        <w:ind w:firstLine="720"/>
        <w:jc w:val="both"/>
      </w:pPr>
      <w:r w:rsidRPr="008B1EE4">
        <w:t>Respondents will be asked to rate, on a 6-point scale, their satisfaction with the PBCA’s overall performance as well as their specific satisfaction on three key customer service functions (health, safety and maintenance</w:t>
      </w:r>
      <w:r w:rsidR="00B753E1">
        <w:t xml:space="preserve"> of their properties</w:t>
      </w:r>
      <w:r w:rsidRPr="008B1EE4">
        <w:t xml:space="preserve">).  Overall satisfaction scores will be computed for each PBCA in aggregate.  </w:t>
      </w:r>
      <w:r w:rsidRPr="008B1EE4">
        <w:rPr>
          <w:bCs/>
          <w:iCs/>
        </w:rPr>
        <w:t>Tabulations will be conducted for the percentage of respondents reporting satisfaction ratings (5 or 6 on the 6 point scale) overall and broken down by tenant vs. owners.  If sample sizes allow, we also plan to analyze the results to determine whether key variables affect differences in customer-service ratin</w:t>
      </w:r>
      <w:r w:rsidR="000B23A2">
        <w:rPr>
          <w:bCs/>
          <w:iCs/>
        </w:rPr>
        <w:t>g (e.g., urban/rural location,</w:t>
      </w:r>
      <w:r w:rsidRPr="008B1EE4">
        <w:rPr>
          <w:bCs/>
          <w:iCs/>
        </w:rPr>
        <w:t xml:space="preserve"> size and age of the property and characteristics of the tenants, such as percent under 100% of the Federal Poverty Level, FPL).  </w:t>
      </w:r>
    </w:p>
    <w:p w:rsidR="008B1EE4" w:rsidRPr="002F14E6" w:rsidRDefault="008B1EE4" w:rsidP="008B1EE4">
      <w:pPr>
        <w:spacing w:line="480" w:lineRule="auto"/>
        <w:jc w:val="both"/>
        <w:rPr>
          <w:color w:val="000000"/>
          <w:lang w:bidi="he-IL"/>
        </w:rPr>
      </w:pPr>
      <w:r w:rsidRPr="008B1EE4">
        <w:rPr>
          <w:color w:val="000000"/>
          <w:sz w:val="23"/>
          <w:szCs w:val="23"/>
          <w:lang w:bidi="he-IL"/>
        </w:rPr>
        <w:tab/>
      </w:r>
      <w:r w:rsidRPr="002F14E6">
        <w:rPr>
          <w:color w:val="000000"/>
          <w:lang w:bidi="he-IL"/>
        </w:rPr>
        <w:t>The schedule for data collection, analysis, and reporting is shown in Table A.16-1 below.</w:t>
      </w:r>
    </w:p>
    <w:p w:rsidR="008B1EE4" w:rsidRPr="008B1EE4" w:rsidRDefault="008B1EE4" w:rsidP="000B23A2">
      <w:pPr>
        <w:jc w:val="center"/>
        <w:rPr>
          <w:b/>
          <w:spacing w:val="-5"/>
          <w:kern w:val="24"/>
        </w:rPr>
      </w:pPr>
      <w:proofErr w:type="gramStart"/>
      <w:r w:rsidRPr="008B1EE4">
        <w:rPr>
          <w:b/>
          <w:bCs/>
          <w:spacing w:val="-5"/>
          <w:kern w:val="24"/>
        </w:rPr>
        <w:t>T</w:t>
      </w:r>
      <w:r w:rsidRPr="008B1EE4">
        <w:rPr>
          <w:b/>
          <w:bCs/>
        </w:rPr>
        <w:t>able A.16-1.</w:t>
      </w:r>
      <w:proofErr w:type="gramEnd"/>
      <w:r w:rsidRPr="008B1EE4">
        <w:rPr>
          <w:b/>
          <w:bCs/>
        </w:rPr>
        <w:t xml:space="preserve">  Project Time Schedule</w:t>
      </w:r>
    </w:p>
    <w:tbl>
      <w:tblPr>
        <w:tblW w:w="0" w:type="auto"/>
        <w:tblInd w:w="75" w:type="dxa"/>
        <w:tblLayout w:type="fixed"/>
        <w:tblCellMar>
          <w:left w:w="120" w:type="dxa"/>
          <w:right w:w="120" w:type="dxa"/>
        </w:tblCellMar>
        <w:tblLook w:val="0000"/>
      </w:tblPr>
      <w:tblGrid>
        <w:gridCol w:w="4724"/>
        <w:gridCol w:w="4725"/>
      </w:tblGrid>
      <w:tr w:rsidR="008B1EE4" w:rsidRPr="008B1EE4" w:rsidTr="00AC512B">
        <w:tc>
          <w:tcPr>
            <w:tcW w:w="4724" w:type="dxa"/>
            <w:tcBorders>
              <w:top w:val="single" w:sz="18" w:space="0" w:color="000000"/>
              <w:left w:val="single" w:sz="8" w:space="0" w:color="000000"/>
              <w:bottom w:val="single" w:sz="18" w:space="0" w:color="000000"/>
              <w:right w:val="single" w:sz="8" w:space="0" w:color="000000"/>
            </w:tcBorders>
            <w:shd w:val="clear" w:color="auto" w:fill="D9D9D9"/>
          </w:tcPr>
          <w:p w:rsidR="008B1EE4" w:rsidRPr="008B1EE4" w:rsidRDefault="008B1EE4" w:rsidP="008B1EE4">
            <w:pPr>
              <w:spacing w:line="120" w:lineRule="exact"/>
            </w:pPr>
          </w:p>
          <w:p w:rsidR="008B1EE4" w:rsidRPr="008B1EE4" w:rsidRDefault="008B1EE4" w:rsidP="008B1EE4">
            <w:pPr>
              <w:spacing w:after="58"/>
              <w:jc w:val="center"/>
            </w:pPr>
            <w:r w:rsidRPr="008B1EE4">
              <w:rPr>
                <w:b/>
                <w:bCs/>
              </w:rPr>
              <w:t>Activity</w:t>
            </w:r>
          </w:p>
        </w:tc>
        <w:tc>
          <w:tcPr>
            <w:tcW w:w="4725" w:type="dxa"/>
            <w:tcBorders>
              <w:top w:val="single" w:sz="18" w:space="0" w:color="000000"/>
              <w:left w:val="single" w:sz="8" w:space="0" w:color="000000"/>
              <w:bottom w:val="single" w:sz="18" w:space="0" w:color="000000"/>
              <w:right w:val="single" w:sz="8" w:space="0" w:color="000000"/>
            </w:tcBorders>
            <w:shd w:val="clear" w:color="auto" w:fill="D9D9D9"/>
          </w:tcPr>
          <w:p w:rsidR="008B1EE4" w:rsidRPr="008B1EE4" w:rsidRDefault="008B1EE4" w:rsidP="008B1EE4">
            <w:pPr>
              <w:spacing w:line="120" w:lineRule="exact"/>
              <w:jc w:val="center"/>
            </w:pPr>
          </w:p>
          <w:p w:rsidR="008B1EE4" w:rsidRPr="008B1EE4" w:rsidRDefault="008B1EE4" w:rsidP="008B1EE4">
            <w:pPr>
              <w:spacing w:after="58"/>
              <w:jc w:val="center"/>
            </w:pPr>
            <w:r w:rsidRPr="008B1EE4">
              <w:rPr>
                <w:b/>
                <w:bCs/>
              </w:rPr>
              <w:t>Expected Activity Period</w:t>
            </w:r>
          </w:p>
        </w:tc>
      </w:tr>
      <w:tr w:rsidR="008B1EE4" w:rsidRPr="008B1EE4" w:rsidTr="00AC512B">
        <w:tc>
          <w:tcPr>
            <w:tcW w:w="4724" w:type="dxa"/>
            <w:tcBorders>
              <w:top w:val="single" w:sz="18" w:space="0" w:color="000000"/>
              <w:left w:val="single" w:sz="7" w:space="0" w:color="000000"/>
              <w:bottom w:val="single" w:sz="7" w:space="0" w:color="000000"/>
              <w:right w:val="single" w:sz="7" w:space="0" w:color="000000"/>
            </w:tcBorders>
          </w:tcPr>
          <w:p w:rsidR="008B1EE4" w:rsidRPr="008B1EE4" w:rsidRDefault="008B1EE4" w:rsidP="008B1EE4">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B1EE4">
              <w:t xml:space="preserve">Develop </w:t>
            </w:r>
            <w:r w:rsidR="00B753E1">
              <w:t xml:space="preserve">and Test </w:t>
            </w:r>
            <w:r w:rsidRPr="008B1EE4">
              <w:t>Data Collection Instruments</w:t>
            </w:r>
          </w:p>
        </w:tc>
        <w:tc>
          <w:tcPr>
            <w:tcW w:w="4725" w:type="dxa"/>
            <w:tcBorders>
              <w:top w:val="single" w:sz="18" w:space="0" w:color="000000"/>
              <w:left w:val="single" w:sz="7" w:space="0" w:color="000000"/>
              <w:bottom w:val="single" w:sz="7" w:space="0" w:color="000000"/>
              <w:right w:val="single" w:sz="7" w:space="0" w:color="000000"/>
            </w:tcBorders>
            <w:vAlign w:val="center"/>
          </w:tcPr>
          <w:p w:rsidR="008B1EE4" w:rsidRPr="008B1EE4" w:rsidRDefault="008B1EE4" w:rsidP="008B1EE4">
            <w:pPr>
              <w:jc w:val="center"/>
            </w:pPr>
            <w:r w:rsidRPr="008B1EE4">
              <w:t>November to December 2011</w:t>
            </w:r>
          </w:p>
        </w:tc>
      </w:tr>
      <w:tr w:rsidR="008B1EE4" w:rsidRPr="008B1EE4" w:rsidTr="00EE6BCD">
        <w:trPr>
          <w:trHeight w:val="325"/>
        </w:trPr>
        <w:tc>
          <w:tcPr>
            <w:tcW w:w="4724" w:type="dxa"/>
            <w:tcBorders>
              <w:top w:val="single" w:sz="7" w:space="0" w:color="000000"/>
              <w:left w:val="single" w:sz="7" w:space="0" w:color="000000"/>
              <w:bottom w:val="single" w:sz="7" w:space="0" w:color="000000"/>
              <w:right w:val="single" w:sz="7" w:space="0" w:color="000000"/>
            </w:tcBorders>
          </w:tcPr>
          <w:p w:rsidR="008B1EE4" w:rsidRPr="008B1EE4" w:rsidRDefault="008B1EE4" w:rsidP="008B1EE4">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B1EE4">
              <w:t>Receive OMB approval</w:t>
            </w:r>
          </w:p>
        </w:tc>
        <w:tc>
          <w:tcPr>
            <w:tcW w:w="4725" w:type="dxa"/>
            <w:tcBorders>
              <w:top w:val="single" w:sz="7" w:space="0" w:color="000000"/>
              <w:left w:val="single" w:sz="7" w:space="0" w:color="000000"/>
              <w:bottom w:val="single" w:sz="7" w:space="0" w:color="000000"/>
              <w:right w:val="single" w:sz="7" w:space="0" w:color="000000"/>
            </w:tcBorders>
            <w:vAlign w:val="center"/>
          </w:tcPr>
          <w:p w:rsidR="008B1EE4" w:rsidRPr="008B1EE4" w:rsidRDefault="008B1EE4" w:rsidP="0006142F">
            <w:pPr>
              <w:jc w:val="center"/>
            </w:pPr>
            <w:r w:rsidRPr="008B1EE4">
              <w:t xml:space="preserve"> </w:t>
            </w:r>
            <w:r w:rsidR="0006142F">
              <w:t xml:space="preserve">July </w:t>
            </w:r>
            <w:r w:rsidR="0006142F" w:rsidRPr="008B1EE4">
              <w:t xml:space="preserve"> </w:t>
            </w:r>
            <w:r w:rsidRPr="008B1EE4">
              <w:t>2012</w:t>
            </w:r>
          </w:p>
        </w:tc>
      </w:tr>
      <w:tr w:rsidR="008B1EE4" w:rsidRPr="008B1EE4" w:rsidTr="00EE6BCD">
        <w:tc>
          <w:tcPr>
            <w:tcW w:w="4724" w:type="dxa"/>
            <w:tcBorders>
              <w:top w:val="single" w:sz="7" w:space="0" w:color="000000"/>
              <w:left w:val="single" w:sz="7" w:space="0" w:color="000000"/>
              <w:bottom w:val="single" w:sz="7" w:space="0" w:color="000000"/>
              <w:right w:val="single" w:sz="7" w:space="0" w:color="000000"/>
            </w:tcBorders>
          </w:tcPr>
          <w:p w:rsidR="008B1EE4" w:rsidRPr="008B1EE4" w:rsidRDefault="008B1EE4" w:rsidP="008B1EE4">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B1EE4">
              <w:t>Conduct Surveys</w:t>
            </w:r>
          </w:p>
        </w:tc>
        <w:tc>
          <w:tcPr>
            <w:tcW w:w="4725" w:type="dxa"/>
            <w:tcBorders>
              <w:top w:val="single" w:sz="7" w:space="0" w:color="000000"/>
              <w:left w:val="single" w:sz="7" w:space="0" w:color="000000"/>
              <w:bottom w:val="single" w:sz="7" w:space="0" w:color="000000"/>
              <w:right w:val="single" w:sz="7" w:space="0" w:color="000000"/>
            </w:tcBorders>
            <w:vAlign w:val="center"/>
          </w:tcPr>
          <w:p w:rsidR="008B1EE4" w:rsidRPr="008B1EE4" w:rsidRDefault="008B1EE4" w:rsidP="008B1EE4">
            <w:pPr>
              <w:jc w:val="center"/>
            </w:pPr>
            <w:r w:rsidRPr="008B1EE4">
              <w:t>September to October 2012</w:t>
            </w:r>
          </w:p>
        </w:tc>
      </w:tr>
      <w:tr w:rsidR="008B1EE4" w:rsidRPr="008B1EE4" w:rsidTr="00EE6BCD">
        <w:tc>
          <w:tcPr>
            <w:tcW w:w="4724" w:type="dxa"/>
            <w:tcBorders>
              <w:top w:val="single" w:sz="7" w:space="0" w:color="000000"/>
              <w:left w:val="single" w:sz="7" w:space="0" w:color="000000"/>
              <w:bottom w:val="single" w:sz="7" w:space="0" w:color="000000"/>
              <w:right w:val="single" w:sz="7" w:space="0" w:color="000000"/>
            </w:tcBorders>
          </w:tcPr>
          <w:p w:rsidR="008B1EE4" w:rsidRPr="008B1EE4" w:rsidRDefault="008B1EE4" w:rsidP="008B1EE4">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B1EE4">
              <w:t>Data analysis</w:t>
            </w:r>
          </w:p>
        </w:tc>
        <w:tc>
          <w:tcPr>
            <w:tcW w:w="4725" w:type="dxa"/>
            <w:tcBorders>
              <w:top w:val="single" w:sz="7" w:space="0" w:color="000000"/>
              <w:left w:val="single" w:sz="7" w:space="0" w:color="000000"/>
              <w:bottom w:val="single" w:sz="7" w:space="0" w:color="000000"/>
              <w:right w:val="single" w:sz="7" w:space="0" w:color="000000"/>
            </w:tcBorders>
            <w:vAlign w:val="center"/>
          </w:tcPr>
          <w:p w:rsidR="008B1EE4" w:rsidRPr="008B1EE4" w:rsidRDefault="008B1EE4" w:rsidP="008B1EE4">
            <w:pPr>
              <w:jc w:val="center"/>
              <w:rPr>
                <w:highlight w:val="yellow"/>
              </w:rPr>
            </w:pPr>
            <w:r w:rsidRPr="008B1EE4">
              <w:t>November 2012</w:t>
            </w:r>
          </w:p>
        </w:tc>
      </w:tr>
      <w:tr w:rsidR="008B1EE4" w:rsidRPr="008B1EE4" w:rsidTr="00EE6BCD">
        <w:tc>
          <w:tcPr>
            <w:tcW w:w="4724" w:type="dxa"/>
            <w:tcBorders>
              <w:top w:val="single" w:sz="7" w:space="0" w:color="000000"/>
              <w:left w:val="single" w:sz="7" w:space="0" w:color="000000"/>
              <w:bottom w:val="single" w:sz="7" w:space="0" w:color="000000"/>
              <w:right w:val="single" w:sz="7" w:space="0" w:color="000000"/>
            </w:tcBorders>
          </w:tcPr>
          <w:p w:rsidR="008B1EE4" w:rsidRPr="008B1EE4" w:rsidRDefault="008B1EE4" w:rsidP="008B1EE4">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B1EE4">
              <w:t>Submit Final Report to HUD</w:t>
            </w:r>
          </w:p>
        </w:tc>
        <w:tc>
          <w:tcPr>
            <w:tcW w:w="4725" w:type="dxa"/>
            <w:tcBorders>
              <w:top w:val="single" w:sz="7" w:space="0" w:color="000000"/>
              <w:left w:val="single" w:sz="7" w:space="0" w:color="000000"/>
              <w:bottom w:val="single" w:sz="7" w:space="0" w:color="000000"/>
              <w:right w:val="single" w:sz="7" w:space="0" w:color="000000"/>
            </w:tcBorders>
            <w:vAlign w:val="center"/>
          </w:tcPr>
          <w:p w:rsidR="008B1EE4" w:rsidRPr="008B1EE4" w:rsidRDefault="008B1EE4" w:rsidP="008B1EE4">
            <w:pPr>
              <w:jc w:val="center"/>
            </w:pPr>
            <w:r w:rsidRPr="008B1EE4">
              <w:t>December 2012</w:t>
            </w:r>
          </w:p>
        </w:tc>
      </w:tr>
    </w:tbl>
    <w:p w:rsidR="008B1EE4" w:rsidRPr="008B1EE4" w:rsidRDefault="008B1EE4" w:rsidP="008B1EE4"/>
    <w:p w:rsidR="008B1EE4" w:rsidRPr="00904DCB" w:rsidRDefault="008B1EE4" w:rsidP="008B1EE4">
      <w:pPr>
        <w:keepNext/>
        <w:spacing w:before="240" w:after="60"/>
        <w:outlineLvl w:val="1"/>
        <w:rPr>
          <w:rFonts w:cs="Arial"/>
          <w:bCs/>
          <w:sz w:val="28"/>
          <w:szCs w:val="28"/>
        </w:rPr>
      </w:pPr>
      <w:bookmarkStart w:id="18" w:name="_Toc133208891"/>
      <w:r w:rsidRPr="00904DCB">
        <w:rPr>
          <w:rFonts w:cs="Arial"/>
          <w:bCs/>
          <w:sz w:val="28"/>
          <w:szCs w:val="28"/>
        </w:rPr>
        <w:t>A.17.</w:t>
      </w:r>
      <w:r w:rsidRPr="00904DCB">
        <w:rPr>
          <w:rFonts w:cs="Arial"/>
          <w:bCs/>
          <w:sz w:val="28"/>
          <w:szCs w:val="28"/>
        </w:rPr>
        <w:tab/>
      </w:r>
      <w:bookmarkEnd w:id="18"/>
      <w:r w:rsidRPr="00904DCB">
        <w:rPr>
          <w:rFonts w:cs="Arial"/>
          <w:bCs/>
          <w:sz w:val="28"/>
          <w:szCs w:val="28"/>
          <w:u w:val="single"/>
        </w:rPr>
        <w:t>Reason(s) Display of OMB Expiration Date is Inappropriate</w:t>
      </w:r>
    </w:p>
    <w:p w:rsidR="008B1EE4" w:rsidRPr="008B1EE4" w:rsidRDefault="008B1EE4" w:rsidP="008B1EE4"/>
    <w:p w:rsidR="008B1EE4" w:rsidRPr="008B1EE4" w:rsidRDefault="008B1EE4" w:rsidP="008B1EE4">
      <w:pPr>
        <w:spacing w:line="480" w:lineRule="auto"/>
        <w:ind w:firstLine="720"/>
        <w:jc w:val="both"/>
      </w:pPr>
      <w:r w:rsidRPr="008B1EE4">
        <w:t>The agency plans to display the expiration date of OMB approval on all forms/questionnaires associated with this information collection.</w:t>
      </w:r>
    </w:p>
    <w:p w:rsidR="008B1EE4" w:rsidRPr="00904DCB" w:rsidRDefault="008B1EE4" w:rsidP="008B1EE4">
      <w:pPr>
        <w:keepNext/>
        <w:spacing w:before="240" w:after="60"/>
        <w:outlineLvl w:val="1"/>
        <w:rPr>
          <w:rFonts w:cs="Arial"/>
          <w:bCs/>
          <w:sz w:val="28"/>
          <w:szCs w:val="28"/>
        </w:rPr>
      </w:pPr>
      <w:bookmarkStart w:id="19" w:name="_Toc133208893"/>
      <w:r w:rsidRPr="00904DCB">
        <w:rPr>
          <w:rFonts w:cs="Arial"/>
          <w:bCs/>
          <w:sz w:val="28"/>
          <w:szCs w:val="28"/>
        </w:rPr>
        <w:t>A.18.</w:t>
      </w:r>
      <w:r w:rsidRPr="00904DCB">
        <w:rPr>
          <w:rFonts w:cs="Arial"/>
          <w:bCs/>
          <w:sz w:val="28"/>
          <w:szCs w:val="28"/>
        </w:rPr>
        <w:tab/>
      </w:r>
      <w:r w:rsidRPr="00904DCB">
        <w:rPr>
          <w:rFonts w:cs="Arial"/>
          <w:bCs/>
          <w:sz w:val="28"/>
          <w:szCs w:val="28"/>
          <w:u w:val="single"/>
        </w:rPr>
        <w:t>Exceptions to Certification for Paperwork Reduction Act Submissions</w:t>
      </w:r>
      <w:bookmarkEnd w:id="19"/>
    </w:p>
    <w:p w:rsidR="008B1EE4" w:rsidRPr="008B1EE4" w:rsidRDefault="008B1EE4" w:rsidP="008B1EE4">
      <w:pPr>
        <w:keepNext/>
        <w:spacing w:before="240" w:after="60"/>
        <w:outlineLvl w:val="0"/>
        <w:rPr>
          <w:bCs/>
          <w:kern w:val="32"/>
        </w:rPr>
      </w:pPr>
      <w:r w:rsidRPr="008B1EE4">
        <w:rPr>
          <w:bCs/>
          <w:kern w:val="32"/>
        </w:rPr>
        <w:t>There are no exceptions to the certification statement.</w:t>
      </w:r>
      <w:r w:rsidRPr="008B1EE4">
        <w:rPr>
          <w:rFonts w:ascii="Arial" w:hAnsi="Arial" w:cs="Arial"/>
          <w:bCs/>
          <w:kern w:val="32"/>
          <w:sz w:val="32"/>
          <w:szCs w:val="32"/>
        </w:rPr>
        <w:t xml:space="preserve"> </w:t>
      </w:r>
    </w:p>
    <w:p w:rsidR="00062C30" w:rsidRDefault="00062C30" w:rsidP="00BC4323">
      <w:pPr>
        <w:pStyle w:val="Heading1"/>
        <w:rPr>
          <w:b w:val="0"/>
        </w:rPr>
      </w:pPr>
    </w:p>
    <w:sectPr w:rsidR="00062C30" w:rsidSect="00F8494B">
      <w:footerReference w:type="default" r:id="rId8"/>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7BC" w:rsidRDefault="00DE07BC">
      <w:r>
        <w:separator/>
      </w:r>
    </w:p>
  </w:endnote>
  <w:endnote w:type="continuationSeparator" w:id="0">
    <w:p w:rsidR="00DE07BC" w:rsidRDefault="00DE07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7BC" w:rsidRDefault="00DE07BC">
    <w:pPr>
      <w:pStyle w:val="Footer"/>
      <w:jc w:val="center"/>
    </w:pPr>
    <w:r>
      <w:rPr>
        <w:rStyle w:val="PageNumber"/>
      </w:rPr>
      <w:t>B-</w:t>
    </w:r>
    <w:r w:rsidR="00D406F7">
      <w:rPr>
        <w:rStyle w:val="PageNumber"/>
      </w:rPr>
      <w:fldChar w:fldCharType="begin"/>
    </w:r>
    <w:r>
      <w:rPr>
        <w:rStyle w:val="PageNumber"/>
      </w:rPr>
      <w:instrText xml:space="preserve"> PAGE </w:instrText>
    </w:r>
    <w:r w:rsidR="00D406F7">
      <w:rPr>
        <w:rStyle w:val="PageNumber"/>
      </w:rPr>
      <w:fldChar w:fldCharType="separate"/>
    </w:r>
    <w:r w:rsidR="00A855AF">
      <w:rPr>
        <w:rStyle w:val="PageNumber"/>
        <w:noProof/>
      </w:rPr>
      <w:t>5</w:t>
    </w:r>
    <w:r w:rsidR="00D406F7">
      <w:rPr>
        <w:rStyle w:val="PageNumber"/>
      </w:rPr>
      <w:fldChar w:fldCharType="end"/>
    </w:r>
  </w:p>
  <w:p w:rsidR="00DE07BC" w:rsidRDefault="00DE07B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7BC" w:rsidRDefault="00DE07BC">
      <w:r>
        <w:separator/>
      </w:r>
    </w:p>
  </w:footnote>
  <w:footnote w:type="continuationSeparator" w:id="0">
    <w:p w:rsidR="00DE07BC" w:rsidRDefault="00DE07BC">
      <w:r>
        <w:continuationSeparator/>
      </w:r>
    </w:p>
  </w:footnote>
  <w:footnote w:id="1">
    <w:p w:rsidR="00DE07BC" w:rsidRPr="00923250" w:rsidRDefault="00DE07BC" w:rsidP="008B1EE4">
      <w:pPr>
        <w:pStyle w:val="FootnoteText"/>
        <w:rPr>
          <w:i w:val="0"/>
        </w:rPr>
      </w:pPr>
      <w:r>
        <w:rPr>
          <w:rStyle w:val="FootnoteReference"/>
        </w:rPr>
        <w:footnoteRef/>
      </w:r>
      <w:r>
        <w:t xml:space="preserve"> </w:t>
      </w:r>
      <w:proofErr w:type="gramStart"/>
      <w:r w:rsidRPr="00923250">
        <w:rPr>
          <w:i w:val="0"/>
        </w:rPr>
        <w:t>Iowa, Maine, Minnesota, Montana, New Hampshire, North Dakota, South Dakota, Vermont, and Wyoming</w:t>
      </w:r>
      <w:r>
        <w:rPr>
          <w:i w:val="0"/>
        </w:rPr>
        <w:t>.</w:t>
      </w:r>
      <w:proofErr w:type="gramEnd"/>
    </w:p>
  </w:footnote>
  <w:footnote w:id="2">
    <w:p w:rsidR="00DE07BC" w:rsidRPr="00F10FD1" w:rsidRDefault="00DE07BC" w:rsidP="008B1EE4">
      <w:pPr>
        <w:pStyle w:val="FootnoteText"/>
        <w:ind w:left="0" w:firstLine="0"/>
        <w:rPr>
          <w:i w:val="0"/>
        </w:rPr>
      </w:pPr>
      <w:r>
        <w:rPr>
          <w:rStyle w:val="FootnoteReference"/>
        </w:rPr>
        <w:footnoteRef/>
      </w:r>
      <w:r>
        <w:t xml:space="preserve"> </w:t>
      </w:r>
      <w:r>
        <w:rPr>
          <w:i w:val="0"/>
        </w:rPr>
        <w:t xml:space="preserve">Since the number and timing of these awards is not known, this information collection request covers only the 11 States with current PBCAs. </w:t>
      </w:r>
      <w:proofErr w:type="gramStart"/>
      <w:r>
        <w:rPr>
          <w:i w:val="0"/>
        </w:rPr>
        <w:t xml:space="preserve">Once determined HUD will make </w:t>
      </w:r>
      <w:r w:rsidRPr="0064353D">
        <w:rPr>
          <w:i w:val="0"/>
        </w:rPr>
        <w:t>an adjustment</w:t>
      </w:r>
      <w:r>
        <w:rPr>
          <w:i w:val="0"/>
        </w:rPr>
        <w:t xml:space="preserve"> of this Request for Clearance.</w:t>
      </w:r>
      <w:proofErr w:type="gramEnd"/>
    </w:p>
  </w:footnote>
  <w:footnote w:id="3">
    <w:p w:rsidR="00DE07BC" w:rsidRPr="00DE7A9B" w:rsidRDefault="00DE07BC" w:rsidP="008B1EE4">
      <w:pPr>
        <w:pStyle w:val="FootnoteText"/>
        <w:ind w:left="0" w:firstLine="0"/>
        <w:rPr>
          <w:i w:val="0"/>
        </w:rPr>
      </w:pPr>
      <w:r w:rsidRPr="00DE7A9B">
        <w:rPr>
          <w:rStyle w:val="FootnoteReference"/>
          <w:i w:val="0"/>
        </w:rPr>
        <w:footnoteRef/>
      </w:r>
      <w:r w:rsidRPr="00DE7A9B">
        <w:rPr>
          <w:i w:val="0"/>
        </w:rPr>
        <w:t xml:space="preserve"> </w:t>
      </w:r>
      <w:r>
        <w:rPr>
          <w:i w:val="0"/>
        </w:rPr>
        <w:t xml:space="preserve">The mean hourly wage for owners was determined using national data for “Managers, All </w:t>
      </w:r>
      <w:proofErr w:type="gramStart"/>
      <w:r>
        <w:rPr>
          <w:i w:val="0"/>
        </w:rPr>
        <w:t>Other</w:t>
      </w:r>
      <w:proofErr w:type="gramEnd"/>
      <w:r>
        <w:rPr>
          <w:i w:val="0"/>
        </w:rPr>
        <w:t>” as reported for May 20</w:t>
      </w:r>
      <w:r w:rsidRPr="0092337D">
        <w:rPr>
          <w:i w:val="0"/>
        </w:rPr>
        <w:t>10</w:t>
      </w:r>
      <w:r>
        <w:rPr>
          <w:i w:val="0"/>
        </w:rPr>
        <w:t xml:space="preserve"> by the Bureau of Labor Statistics.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0AC09BC"/>
    <w:lvl w:ilvl="0">
      <w:numFmt w:val="decimal"/>
      <w:lvlText w:val="*"/>
      <w:lvlJc w:val="left"/>
    </w:lvl>
  </w:abstractNum>
  <w:abstractNum w:abstractNumId="1">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5">
    <w:nsid w:val="03AC0BC0"/>
    <w:multiLevelType w:val="hybridMultilevel"/>
    <w:tmpl w:val="608E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276E73"/>
    <w:multiLevelType w:val="hybridMultilevel"/>
    <w:tmpl w:val="2A74FB5E"/>
    <w:lvl w:ilvl="0" w:tplc="6180E09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8">
    <w:nsid w:val="116451A2"/>
    <w:multiLevelType w:val="hybridMultilevel"/>
    <w:tmpl w:val="052A6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0">
    <w:nsid w:val="1ADD583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232467F2"/>
    <w:multiLevelType w:val="hybridMultilevel"/>
    <w:tmpl w:val="7730DE0A"/>
    <w:lvl w:ilvl="0" w:tplc="360E268E">
      <w:start w:val="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4A62A21"/>
    <w:multiLevelType w:val="hybridMultilevel"/>
    <w:tmpl w:val="D28604E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6A717A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2929430A"/>
    <w:multiLevelType w:val="hybridMultilevel"/>
    <w:tmpl w:val="3FFC2FF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AC16426"/>
    <w:multiLevelType w:val="hybridMultilevel"/>
    <w:tmpl w:val="C49873E6"/>
    <w:lvl w:ilvl="0" w:tplc="0A7698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2E3F89"/>
    <w:multiLevelType w:val="hybridMultilevel"/>
    <w:tmpl w:val="447EF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254DB7"/>
    <w:multiLevelType w:val="hybridMultilevel"/>
    <w:tmpl w:val="F35CC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E24A0B"/>
    <w:multiLevelType w:val="hybridMultilevel"/>
    <w:tmpl w:val="91108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34D44CE"/>
    <w:multiLevelType w:val="hybridMultilevel"/>
    <w:tmpl w:val="A7FCFF7C"/>
    <w:lvl w:ilvl="0" w:tplc="113A1F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648"/>
        </w:tabs>
        <w:ind w:left="648" w:hanging="360"/>
      </w:pPr>
      <w:rPr>
        <w:rFonts w:ascii="Courier New" w:hAnsi="Courier New" w:cs="Courier New"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20">
    <w:nsid w:val="3D132F63"/>
    <w:multiLevelType w:val="hybridMultilevel"/>
    <w:tmpl w:val="56E2A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451195"/>
    <w:multiLevelType w:val="hybridMultilevel"/>
    <w:tmpl w:val="467A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2C71646"/>
    <w:multiLevelType w:val="hybridMultilevel"/>
    <w:tmpl w:val="4F0CE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5">
    <w:nsid w:val="497E30E9"/>
    <w:multiLevelType w:val="hybridMultilevel"/>
    <w:tmpl w:val="F35CC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F74453"/>
    <w:multiLevelType w:val="hybridMultilevel"/>
    <w:tmpl w:val="8FAEB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A77922"/>
    <w:multiLevelType w:val="hybridMultilevel"/>
    <w:tmpl w:val="9EBADD08"/>
    <w:lvl w:ilvl="0" w:tplc="6012F91A">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0600EA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9">
    <w:nsid w:val="60E03D1A"/>
    <w:multiLevelType w:val="hybridMultilevel"/>
    <w:tmpl w:val="BEA089A8"/>
    <w:lvl w:ilvl="0" w:tplc="A4A6EF9C">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3434A02"/>
    <w:multiLevelType w:val="hybridMultilevel"/>
    <w:tmpl w:val="5DCE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F2189E"/>
    <w:multiLevelType w:val="hybridMultilevel"/>
    <w:tmpl w:val="ACE8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B12434"/>
    <w:multiLevelType w:val="hybridMultilevel"/>
    <w:tmpl w:val="5464F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3">
    <w:abstractNumId w:val="29"/>
  </w:num>
  <w:num w:numId="4">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27"/>
  </w:num>
  <w:num w:numId="6">
    <w:abstractNumId w:val="16"/>
  </w:num>
  <w:num w:numId="7">
    <w:abstractNumId w:val="11"/>
  </w:num>
  <w:num w:numId="8">
    <w:abstractNumId w:val="10"/>
  </w:num>
  <w:num w:numId="9">
    <w:abstractNumId w:val="13"/>
  </w:num>
  <w:num w:numId="10">
    <w:abstractNumId w:val="28"/>
  </w:num>
  <w:num w:numId="11">
    <w:abstractNumId w:val="9"/>
  </w:num>
  <w:num w:numId="12">
    <w:abstractNumId w:val="19"/>
  </w:num>
  <w:num w:numId="13">
    <w:abstractNumId w:val="12"/>
  </w:num>
  <w:num w:numId="14">
    <w:abstractNumId w:val="14"/>
  </w:num>
  <w:num w:numId="15">
    <w:abstractNumId w:val="32"/>
  </w:num>
  <w:num w:numId="16">
    <w:abstractNumId w:val="7"/>
  </w:num>
  <w:num w:numId="17">
    <w:abstractNumId w:val="24"/>
  </w:num>
  <w:num w:numId="18">
    <w:abstractNumId w:val="20"/>
  </w:num>
  <w:num w:numId="19">
    <w:abstractNumId w:val="22"/>
  </w:num>
  <w:num w:numId="20">
    <w:abstractNumId w:val="5"/>
  </w:num>
  <w:num w:numId="21">
    <w:abstractNumId w:val="23"/>
  </w:num>
  <w:num w:numId="22">
    <w:abstractNumId w:val="21"/>
  </w:num>
  <w:num w:numId="23">
    <w:abstractNumId w:val="18"/>
  </w:num>
  <w:num w:numId="24">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30"/>
  </w:num>
  <w:num w:numId="26">
    <w:abstractNumId w:val="8"/>
  </w:num>
  <w:num w:numId="27">
    <w:abstractNumId w:val="6"/>
  </w:num>
  <w:num w:numId="28">
    <w:abstractNumId w:val="17"/>
  </w:num>
  <w:num w:numId="29">
    <w:abstractNumId w:val="25"/>
  </w:num>
  <w:num w:numId="30">
    <w:abstractNumId w:val="31"/>
  </w:num>
  <w:num w:numId="31">
    <w:abstractNumId w:val="26"/>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useFELayout/>
  </w:compat>
  <w:rsids>
    <w:rsidRoot w:val="00406DCF"/>
    <w:rsid w:val="00002F0B"/>
    <w:rsid w:val="000035BA"/>
    <w:rsid w:val="000121DC"/>
    <w:rsid w:val="00015B4B"/>
    <w:rsid w:val="00021307"/>
    <w:rsid w:val="00022004"/>
    <w:rsid w:val="00043AED"/>
    <w:rsid w:val="00047027"/>
    <w:rsid w:val="000518DB"/>
    <w:rsid w:val="00055C68"/>
    <w:rsid w:val="0006142F"/>
    <w:rsid w:val="00062C30"/>
    <w:rsid w:val="000725CE"/>
    <w:rsid w:val="0007467A"/>
    <w:rsid w:val="0008301A"/>
    <w:rsid w:val="00087E63"/>
    <w:rsid w:val="00095F4E"/>
    <w:rsid w:val="000975CD"/>
    <w:rsid w:val="000B23A2"/>
    <w:rsid w:val="000B251C"/>
    <w:rsid w:val="000C40B6"/>
    <w:rsid w:val="000C4743"/>
    <w:rsid w:val="000C5F28"/>
    <w:rsid w:val="0010095F"/>
    <w:rsid w:val="00101F11"/>
    <w:rsid w:val="00110A80"/>
    <w:rsid w:val="001132A5"/>
    <w:rsid w:val="001202A3"/>
    <w:rsid w:val="00130F60"/>
    <w:rsid w:val="001434FD"/>
    <w:rsid w:val="00146989"/>
    <w:rsid w:val="001574F3"/>
    <w:rsid w:val="00171A79"/>
    <w:rsid w:val="00175A2E"/>
    <w:rsid w:val="00195D25"/>
    <w:rsid w:val="001A001F"/>
    <w:rsid w:val="001A060C"/>
    <w:rsid w:val="001C0B29"/>
    <w:rsid w:val="001D2265"/>
    <w:rsid w:val="001D276F"/>
    <w:rsid w:val="001F23AD"/>
    <w:rsid w:val="001F4B05"/>
    <w:rsid w:val="00203454"/>
    <w:rsid w:val="00217E56"/>
    <w:rsid w:val="00243B11"/>
    <w:rsid w:val="00245025"/>
    <w:rsid w:val="00245852"/>
    <w:rsid w:val="002459C2"/>
    <w:rsid w:val="00246865"/>
    <w:rsid w:val="00263911"/>
    <w:rsid w:val="002652AB"/>
    <w:rsid w:val="002811B4"/>
    <w:rsid w:val="002853C5"/>
    <w:rsid w:val="00296DD8"/>
    <w:rsid w:val="002C36E4"/>
    <w:rsid w:val="002D14D9"/>
    <w:rsid w:val="002E01A0"/>
    <w:rsid w:val="002F14E6"/>
    <w:rsid w:val="00300A2F"/>
    <w:rsid w:val="00316097"/>
    <w:rsid w:val="003321CA"/>
    <w:rsid w:val="003522C3"/>
    <w:rsid w:val="00386B92"/>
    <w:rsid w:val="00392344"/>
    <w:rsid w:val="003A3CD3"/>
    <w:rsid w:val="003A4370"/>
    <w:rsid w:val="003C031B"/>
    <w:rsid w:val="003D49C6"/>
    <w:rsid w:val="00401DF7"/>
    <w:rsid w:val="00404FA3"/>
    <w:rsid w:val="00406DCF"/>
    <w:rsid w:val="004078B0"/>
    <w:rsid w:val="00420C10"/>
    <w:rsid w:val="00420F8A"/>
    <w:rsid w:val="004313D3"/>
    <w:rsid w:val="00440376"/>
    <w:rsid w:val="00447A6B"/>
    <w:rsid w:val="00451E89"/>
    <w:rsid w:val="00457C49"/>
    <w:rsid w:val="004652F2"/>
    <w:rsid w:val="004A0EDD"/>
    <w:rsid w:val="004A7E06"/>
    <w:rsid w:val="004B43E1"/>
    <w:rsid w:val="004D746C"/>
    <w:rsid w:val="004E6F45"/>
    <w:rsid w:val="004F12E1"/>
    <w:rsid w:val="004F79EF"/>
    <w:rsid w:val="0051084E"/>
    <w:rsid w:val="00547E6E"/>
    <w:rsid w:val="0055169E"/>
    <w:rsid w:val="0055683D"/>
    <w:rsid w:val="0056476A"/>
    <w:rsid w:val="00587083"/>
    <w:rsid w:val="005C718B"/>
    <w:rsid w:val="005F39C9"/>
    <w:rsid w:val="005F5ABE"/>
    <w:rsid w:val="0060418A"/>
    <w:rsid w:val="00604D94"/>
    <w:rsid w:val="00622EC2"/>
    <w:rsid w:val="00631BD5"/>
    <w:rsid w:val="00643BA5"/>
    <w:rsid w:val="006511E4"/>
    <w:rsid w:val="0065238B"/>
    <w:rsid w:val="006539E1"/>
    <w:rsid w:val="00660067"/>
    <w:rsid w:val="00677CC4"/>
    <w:rsid w:val="00683E0C"/>
    <w:rsid w:val="006A49F0"/>
    <w:rsid w:val="006A65F7"/>
    <w:rsid w:val="006B5E19"/>
    <w:rsid w:val="006D5A59"/>
    <w:rsid w:val="006E2C41"/>
    <w:rsid w:val="0070020E"/>
    <w:rsid w:val="00707CB5"/>
    <w:rsid w:val="00723539"/>
    <w:rsid w:val="007372C6"/>
    <w:rsid w:val="00741DBD"/>
    <w:rsid w:val="0075494A"/>
    <w:rsid w:val="00761235"/>
    <w:rsid w:val="00761DBE"/>
    <w:rsid w:val="00781D42"/>
    <w:rsid w:val="007917D5"/>
    <w:rsid w:val="007932B9"/>
    <w:rsid w:val="00796A24"/>
    <w:rsid w:val="007B4A9B"/>
    <w:rsid w:val="007D3803"/>
    <w:rsid w:val="007E09B5"/>
    <w:rsid w:val="007E7A0C"/>
    <w:rsid w:val="007F0904"/>
    <w:rsid w:val="007F54DC"/>
    <w:rsid w:val="007F654F"/>
    <w:rsid w:val="0080588D"/>
    <w:rsid w:val="008073CB"/>
    <w:rsid w:val="00821302"/>
    <w:rsid w:val="00830E2B"/>
    <w:rsid w:val="00834845"/>
    <w:rsid w:val="0083569E"/>
    <w:rsid w:val="0084195A"/>
    <w:rsid w:val="00847B78"/>
    <w:rsid w:val="0085719B"/>
    <w:rsid w:val="008620BE"/>
    <w:rsid w:val="00863CCB"/>
    <w:rsid w:val="00864836"/>
    <w:rsid w:val="00867B9A"/>
    <w:rsid w:val="00874EF5"/>
    <w:rsid w:val="008B1EE4"/>
    <w:rsid w:val="008C284A"/>
    <w:rsid w:val="008C7F47"/>
    <w:rsid w:val="008E2A35"/>
    <w:rsid w:val="0090334F"/>
    <w:rsid w:val="00904DCB"/>
    <w:rsid w:val="00911D82"/>
    <w:rsid w:val="00936FCA"/>
    <w:rsid w:val="009410A4"/>
    <w:rsid w:val="00953C04"/>
    <w:rsid w:val="0096585E"/>
    <w:rsid w:val="00970AF7"/>
    <w:rsid w:val="00970DA6"/>
    <w:rsid w:val="009768C4"/>
    <w:rsid w:val="00992FC0"/>
    <w:rsid w:val="009961DA"/>
    <w:rsid w:val="009A6A9E"/>
    <w:rsid w:val="009B600B"/>
    <w:rsid w:val="009C1940"/>
    <w:rsid w:val="009C1A9B"/>
    <w:rsid w:val="009C5E77"/>
    <w:rsid w:val="009D0238"/>
    <w:rsid w:val="00A05570"/>
    <w:rsid w:val="00A118AC"/>
    <w:rsid w:val="00A46BF3"/>
    <w:rsid w:val="00A66D7D"/>
    <w:rsid w:val="00A7111B"/>
    <w:rsid w:val="00A775F4"/>
    <w:rsid w:val="00A83FE6"/>
    <w:rsid w:val="00A855AF"/>
    <w:rsid w:val="00A86A8F"/>
    <w:rsid w:val="00A870A6"/>
    <w:rsid w:val="00A916D8"/>
    <w:rsid w:val="00AA64CB"/>
    <w:rsid w:val="00AB5473"/>
    <w:rsid w:val="00AC512B"/>
    <w:rsid w:val="00AD1D2A"/>
    <w:rsid w:val="00AD2E1B"/>
    <w:rsid w:val="00AD6F66"/>
    <w:rsid w:val="00AE505C"/>
    <w:rsid w:val="00B15B0C"/>
    <w:rsid w:val="00B37A90"/>
    <w:rsid w:val="00B41612"/>
    <w:rsid w:val="00B44210"/>
    <w:rsid w:val="00B57718"/>
    <w:rsid w:val="00B64C00"/>
    <w:rsid w:val="00B753E1"/>
    <w:rsid w:val="00B84992"/>
    <w:rsid w:val="00BA69C4"/>
    <w:rsid w:val="00BC4323"/>
    <w:rsid w:val="00BE3B21"/>
    <w:rsid w:val="00C005C1"/>
    <w:rsid w:val="00C008D7"/>
    <w:rsid w:val="00C0539F"/>
    <w:rsid w:val="00C061ED"/>
    <w:rsid w:val="00C40467"/>
    <w:rsid w:val="00C41331"/>
    <w:rsid w:val="00C43857"/>
    <w:rsid w:val="00C51092"/>
    <w:rsid w:val="00C532A4"/>
    <w:rsid w:val="00C53B1E"/>
    <w:rsid w:val="00C54EF3"/>
    <w:rsid w:val="00C642DD"/>
    <w:rsid w:val="00C82E03"/>
    <w:rsid w:val="00C9287A"/>
    <w:rsid w:val="00C92CDA"/>
    <w:rsid w:val="00C969CE"/>
    <w:rsid w:val="00CA7355"/>
    <w:rsid w:val="00CE0F2A"/>
    <w:rsid w:val="00CE34BC"/>
    <w:rsid w:val="00D00093"/>
    <w:rsid w:val="00D1404C"/>
    <w:rsid w:val="00D1640E"/>
    <w:rsid w:val="00D16684"/>
    <w:rsid w:val="00D17E19"/>
    <w:rsid w:val="00D35576"/>
    <w:rsid w:val="00D406F7"/>
    <w:rsid w:val="00D516E3"/>
    <w:rsid w:val="00D52F21"/>
    <w:rsid w:val="00D54993"/>
    <w:rsid w:val="00D63F61"/>
    <w:rsid w:val="00D65686"/>
    <w:rsid w:val="00D66711"/>
    <w:rsid w:val="00D70BF3"/>
    <w:rsid w:val="00D831FF"/>
    <w:rsid w:val="00D93416"/>
    <w:rsid w:val="00DA7586"/>
    <w:rsid w:val="00DB1372"/>
    <w:rsid w:val="00DB36E1"/>
    <w:rsid w:val="00DC0B90"/>
    <w:rsid w:val="00DD3062"/>
    <w:rsid w:val="00DD594F"/>
    <w:rsid w:val="00DD694A"/>
    <w:rsid w:val="00DD6B19"/>
    <w:rsid w:val="00DD7FCB"/>
    <w:rsid w:val="00DE07BC"/>
    <w:rsid w:val="00E07BA5"/>
    <w:rsid w:val="00E13DC1"/>
    <w:rsid w:val="00E300E5"/>
    <w:rsid w:val="00E446AD"/>
    <w:rsid w:val="00E555A5"/>
    <w:rsid w:val="00E633EA"/>
    <w:rsid w:val="00E66904"/>
    <w:rsid w:val="00E671D8"/>
    <w:rsid w:val="00E803DD"/>
    <w:rsid w:val="00EB0344"/>
    <w:rsid w:val="00EC39FA"/>
    <w:rsid w:val="00ED1562"/>
    <w:rsid w:val="00ED5835"/>
    <w:rsid w:val="00EE6BCD"/>
    <w:rsid w:val="00EE7295"/>
    <w:rsid w:val="00EF2418"/>
    <w:rsid w:val="00EF3BF3"/>
    <w:rsid w:val="00F02D53"/>
    <w:rsid w:val="00F06861"/>
    <w:rsid w:val="00F15213"/>
    <w:rsid w:val="00F1565C"/>
    <w:rsid w:val="00F2292A"/>
    <w:rsid w:val="00F500FE"/>
    <w:rsid w:val="00F505BA"/>
    <w:rsid w:val="00F70B03"/>
    <w:rsid w:val="00F7416E"/>
    <w:rsid w:val="00F8494B"/>
    <w:rsid w:val="00FA713C"/>
    <w:rsid w:val="00FB4AF6"/>
    <w:rsid w:val="00FB4FF7"/>
    <w:rsid w:val="00FB7A92"/>
    <w:rsid w:val="00FD03D6"/>
    <w:rsid w:val="00FE63AD"/>
    <w:rsid w:val="00FF1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C10"/>
    <w:pPr>
      <w:widowControl w:val="0"/>
      <w:autoSpaceDE w:val="0"/>
      <w:autoSpaceDN w:val="0"/>
      <w:adjustRightInd w:val="0"/>
    </w:pPr>
    <w:rPr>
      <w:sz w:val="24"/>
      <w:szCs w:val="24"/>
      <w:lang w:eastAsia="zh-CN"/>
    </w:rPr>
  </w:style>
  <w:style w:type="paragraph" w:styleId="Heading1">
    <w:name w:val="heading 1"/>
    <w:basedOn w:val="Normal"/>
    <w:next w:val="Normal"/>
    <w:qFormat/>
    <w:rsid w:val="00420C1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20C1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420C10"/>
  </w:style>
  <w:style w:type="paragraph" w:customStyle="1" w:styleId="Level1">
    <w:name w:val="Level 1"/>
    <w:basedOn w:val="Normal"/>
    <w:rsid w:val="00420C10"/>
    <w:pPr>
      <w:numPr>
        <w:numId w:val="4"/>
      </w:numPr>
      <w:outlineLvl w:val="0"/>
    </w:pPr>
  </w:style>
  <w:style w:type="paragraph" w:styleId="BodyTextIndent">
    <w:name w:val="Body Text Indent"/>
    <w:basedOn w:val="Normal"/>
    <w:rsid w:val="00420C10"/>
    <w:pPr>
      <w:ind w:left="-90"/>
    </w:pPr>
    <w:rPr>
      <w:rFonts w:eastAsia="Times New Roman"/>
      <w:lang w:eastAsia="en-US"/>
    </w:rPr>
  </w:style>
  <w:style w:type="paragraph" w:styleId="FootnoteText">
    <w:name w:val="footnote text"/>
    <w:basedOn w:val="Normal"/>
    <w:link w:val="FootnoteTextChar"/>
    <w:uiPriority w:val="99"/>
    <w:semiHidden/>
    <w:rsid w:val="00420C10"/>
    <w:pPr>
      <w:widowControl/>
      <w:autoSpaceDE/>
      <w:autoSpaceDN/>
      <w:adjustRightInd/>
      <w:ind w:left="360" w:hanging="360"/>
      <w:jc w:val="both"/>
    </w:pPr>
    <w:rPr>
      <w:rFonts w:ascii="Book Antiqua" w:eastAsia="Times New Roman" w:hAnsi="Book Antiqua"/>
      <w:i/>
      <w:sz w:val="18"/>
      <w:szCs w:val="20"/>
    </w:rPr>
  </w:style>
  <w:style w:type="character" w:styleId="CommentReference">
    <w:name w:val="annotation reference"/>
    <w:semiHidden/>
    <w:rsid w:val="00420C10"/>
    <w:rPr>
      <w:sz w:val="16"/>
      <w:szCs w:val="16"/>
    </w:rPr>
  </w:style>
  <w:style w:type="paragraph" w:styleId="CommentText">
    <w:name w:val="annotation text"/>
    <w:basedOn w:val="Normal"/>
    <w:semiHidden/>
    <w:rsid w:val="00420C10"/>
    <w:rPr>
      <w:sz w:val="20"/>
      <w:szCs w:val="20"/>
    </w:rPr>
  </w:style>
  <w:style w:type="paragraph" w:styleId="CommentSubject">
    <w:name w:val="annotation subject"/>
    <w:basedOn w:val="CommentText"/>
    <w:next w:val="CommentText"/>
    <w:semiHidden/>
    <w:rsid w:val="00420C10"/>
    <w:rPr>
      <w:b/>
      <w:bCs/>
    </w:rPr>
  </w:style>
  <w:style w:type="paragraph" w:styleId="BalloonText">
    <w:name w:val="Balloon Text"/>
    <w:basedOn w:val="Normal"/>
    <w:semiHidden/>
    <w:rsid w:val="00420C10"/>
    <w:rPr>
      <w:rFonts w:ascii="Tahoma" w:hAnsi="Tahoma" w:cs="Tahoma"/>
      <w:sz w:val="16"/>
      <w:szCs w:val="16"/>
    </w:rPr>
  </w:style>
  <w:style w:type="paragraph" w:customStyle="1" w:styleId="LastParag">
    <w:name w:val="Last Parag"/>
    <w:basedOn w:val="Normal"/>
    <w:rsid w:val="00420C10"/>
    <w:rPr>
      <w:rFonts w:eastAsia="Times New Roman"/>
      <w:sz w:val="20"/>
      <w:lang w:eastAsia="en-US"/>
    </w:rPr>
  </w:style>
  <w:style w:type="paragraph" w:styleId="BodyTextIndent2">
    <w:name w:val="Body Text Indent 2"/>
    <w:basedOn w:val="Normal"/>
    <w:rsid w:val="00420C10"/>
    <w:pPr>
      <w:widowControl/>
      <w:autoSpaceDE/>
      <w:autoSpaceDN/>
      <w:adjustRightInd/>
      <w:spacing w:after="120" w:line="480" w:lineRule="auto"/>
      <w:ind w:left="360"/>
    </w:pPr>
    <w:rPr>
      <w:rFonts w:eastAsia="Batang"/>
      <w:lang w:eastAsia="ko-KR"/>
    </w:rPr>
  </w:style>
  <w:style w:type="paragraph" w:styleId="DocumentMap">
    <w:name w:val="Document Map"/>
    <w:basedOn w:val="Normal"/>
    <w:semiHidden/>
    <w:rsid w:val="00420C10"/>
    <w:pPr>
      <w:shd w:val="clear" w:color="auto" w:fill="000080"/>
    </w:pPr>
    <w:rPr>
      <w:rFonts w:ascii="Tahoma" w:hAnsi="Tahoma" w:cs="Tahoma"/>
      <w:sz w:val="20"/>
      <w:szCs w:val="20"/>
    </w:rPr>
  </w:style>
  <w:style w:type="paragraph" w:styleId="Header">
    <w:name w:val="header"/>
    <w:basedOn w:val="Normal"/>
    <w:rsid w:val="00420C10"/>
    <w:pPr>
      <w:tabs>
        <w:tab w:val="center" w:pos="4320"/>
        <w:tab w:val="right" w:pos="8640"/>
      </w:tabs>
    </w:pPr>
  </w:style>
  <w:style w:type="paragraph" w:styleId="Footer">
    <w:name w:val="footer"/>
    <w:basedOn w:val="Normal"/>
    <w:rsid w:val="00420C10"/>
    <w:pPr>
      <w:tabs>
        <w:tab w:val="center" w:pos="4320"/>
        <w:tab w:val="right" w:pos="8640"/>
      </w:tabs>
    </w:pPr>
  </w:style>
  <w:style w:type="character" w:styleId="PageNumber">
    <w:name w:val="page number"/>
    <w:basedOn w:val="DefaultParagraphFont"/>
    <w:rsid w:val="00420C10"/>
  </w:style>
  <w:style w:type="character" w:styleId="Hyperlink">
    <w:name w:val="Hyperlink"/>
    <w:uiPriority w:val="99"/>
    <w:rsid w:val="00420C10"/>
    <w:rPr>
      <w:color w:val="0000FF"/>
      <w:u w:val="single"/>
    </w:rPr>
  </w:style>
  <w:style w:type="paragraph" w:styleId="BodyText">
    <w:name w:val="Body Text"/>
    <w:basedOn w:val="Normal"/>
    <w:rsid w:val="00420C10"/>
    <w:pPr>
      <w:spacing w:after="120"/>
    </w:pPr>
  </w:style>
  <w:style w:type="paragraph" w:customStyle="1" w:styleId="Answer">
    <w:name w:val="Answer #"/>
    <w:basedOn w:val="ListNumber"/>
    <w:rsid w:val="00420C10"/>
    <w:pPr>
      <w:widowControl/>
      <w:numPr>
        <w:numId w:val="0"/>
      </w:numPr>
      <w:autoSpaceDE/>
      <w:autoSpaceDN/>
      <w:adjustRightInd/>
    </w:pPr>
    <w:rPr>
      <w:rFonts w:eastAsia="Times New Roman"/>
      <w:lang w:eastAsia="en-US"/>
    </w:rPr>
  </w:style>
  <w:style w:type="paragraph" w:styleId="ListNumber">
    <w:name w:val="List Number"/>
    <w:basedOn w:val="Normal"/>
    <w:rsid w:val="00420C10"/>
    <w:pPr>
      <w:numPr>
        <w:numId w:val="11"/>
      </w:numPr>
    </w:pPr>
  </w:style>
  <w:style w:type="paragraph" w:styleId="BodyText2">
    <w:name w:val="Body Text 2"/>
    <w:basedOn w:val="Normal"/>
    <w:rsid w:val="00420C10"/>
    <w:pPr>
      <w:spacing w:after="120" w:line="480" w:lineRule="auto"/>
    </w:pPr>
  </w:style>
  <w:style w:type="paragraph" w:styleId="TOC2">
    <w:name w:val="toc 2"/>
    <w:basedOn w:val="Normal"/>
    <w:next w:val="Normal"/>
    <w:autoRedefine/>
    <w:semiHidden/>
    <w:rsid w:val="00420C10"/>
    <w:pPr>
      <w:ind w:left="240"/>
    </w:pPr>
  </w:style>
  <w:style w:type="paragraph" w:styleId="TOC1">
    <w:name w:val="toc 1"/>
    <w:basedOn w:val="Normal"/>
    <w:next w:val="Normal"/>
    <w:autoRedefine/>
    <w:semiHidden/>
    <w:rsid w:val="00420C10"/>
  </w:style>
  <w:style w:type="paragraph" w:customStyle="1" w:styleId="NormalWeb2">
    <w:name w:val="Normal (Web)2"/>
    <w:basedOn w:val="Normal"/>
    <w:rsid w:val="00406DCF"/>
    <w:pPr>
      <w:widowControl/>
      <w:autoSpaceDE/>
      <w:autoSpaceDN/>
      <w:adjustRightInd/>
      <w:spacing w:after="120"/>
    </w:pPr>
    <w:rPr>
      <w:rFonts w:eastAsia="Times New Roman"/>
      <w:lang w:eastAsia="en-US"/>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qFormat/>
    <w:rsid w:val="00406DCF"/>
    <w:rPr>
      <w:b/>
      <w:bCs/>
    </w:rPr>
  </w:style>
  <w:style w:type="paragraph" w:styleId="NormalWeb">
    <w:name w:val="Normal (Web)"/>
    <w:basedOn w:val="Normal"/>
    <w:rsid w:val="00DA7586"/>
    <w:pPr>
      <w:widowControl/>
      <w:autoSpaceDE/>
      <w:autoSpaceDN/>
      <w:adjustRightInd/>
      <w:spacing w:before="100" w:beforeAutospacing="1" w:after="100" w:afterAutospacing="1"/>
    </w:pPr>
    <w:rPr>
      <w:rFonts w:eastAsia="Times New Roman"/>
      <w:lang w:eastAsia="en-US"/>
    </w:rPr>
  </w:style>
  <w:style w:type="paragraph" w:customStyle="1" w:styleId="NormalSS">
    <w:name w:val="NormalSS"/>
    <w:basedOn w:val="Normal"/>
    <w:rsid w:val="00B64C00"/>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firstLine="432"/>
      <w:jc w:val="both"/>
    </w:pPr>
    <w:rPr>
      <w:rFonts w:eastAsia="Times New Roman"/>
      <w:szCs w:val="20"/>
      <w:lang w:eastAsia="en-US"/>
    </w:rPr>
  </w:style>
  <w:style w:type="paragraph" w:customStyle="1" w:styleId="bullet">
    <w:name w:val="bullet"/>
    <w:rsid w:val="00B64C00"/>
    <w:pPr>
      <w:numPr>
        <w:numId w:val="17"/>
      </w:numPr>
      <w:tabs>
        <w:tab w:val="clear" w:pos="720"/>
        <w:tab w:val="num" w:pos="360"/>
      </w:tabs>
      <w:spacing w:after="180"/>
      <w:ind w:right="360"/>
      <w:jc w:val="both"/>
    </w:pPr>
    <w:rPr>
      <w:rFonts w:eastAsia="Times New Roman"/>
      <w:sz w:val="24"/>
    </w:rPr>
  </w:style>
  <w:style w:type="paragraph" w:customStyle="1" w:styleId="LastBullet">
    <w:name w:val="Last Bullet"/>
    <w:next w:val="Normal"/>
    <w:rsid w:val="00B64C00"/>
    <w:pPr>
      <w:numPr>
        <w:numId w:val="16"/>
      </w:numPr>
      <w:spacing w:after="480"/>
      <w:ind w:left="720" w:right="360"/>
      <w:jc w:val="both"/>
    </w:pPr>
    <w:rPr>
      <w:rFonts w:eastAsia="Times New Roman"/>
      <w:sz w:val="24"/>
    </w:rPr>
  </w:style>
  <w:style w:type="character" w:customStyle="1" w:styleId="FootnoteTextChar">
    <w:name w:val="Footnote Text Char"/>
    <w:link w:val="FootnoteText"/>
    <w:uiPriority w:val="99"/>
    <w:rsid w:val="00EC39FA"/>
    <w:rPr>
      <w:rFonts w:ascii="Book Antiqua" w:eastAsia="Times New Roman" w:hAnsi="Book Antiqua"/>
      <w:i/>
      <w:sz w:val="18"/>
    </w:rPr>
  </w:style>
  <w:style w:type="paragraph" w:customStyle="1" w:styleId="BodyText08">
    <w:name w:val="Body Text 08"/>
    <w:basedOn w:val="Normal"/>
    <w:rsid w:val="000C40B6"/>
    <w:pPr>
      <w:widowControl/>
      <w:autoSpaceDE/>
      <w:autoSpaceDN/>
      <w:adjustRightInd/>
      <w:spacing w:after="240"/>
      <w:jc w:val="both"/>
    </w:pPr>
    <w:rPr>
      <w:rFonts w:ascii="Trebuchet MS" w:eastAsia="Times New Roman" w:hAnsi="Trebuchet MS"/>
      <w:sz w:val="22"/>
      <w:szCs w:val="22"/>
      <w:lang w:eastAsia="en-US"/>
    </w:rPr>
  </w:style>
  <w:style w:type="paragraph" w:customStyle="1" w:styleId="Bulletlevel108">
    <w:name w:val="Bullet level 1 08"/>
    <w:basedOn w:val="Normal"/>
    <w:rsid w:val="000C40B6"/>
    <w:pPr>
      <w:widowControl/>
      <w:numPr>
        <w:numId w:val="19"/>
      </w:numPr>
      <w:tabs>
        <w:tab w:val="left" w:pos="990"/>
      </w:tabs>
      <w:autoSpaceDE/>
      <w:autoSpaceDN/>
      <w:adjustRightInd/>
      <w:spacing w:after="120"/>
      <w:jc w:val="both"/>
    </w:pPr>
    <w:rPr>
      <w:rFonts w:ascii="Trebuchet MS" w:eastAsia="Times New Roman" w:hAnsi="Trebuchet MS"/>
      <w:bCs/>
      <w:sz w:val="22"/>
      <w:szCs w:val="22"/>
      <w:lang w:eastAsia="en-US"/>
    </w:rPr>
  </w:style>
  <w:style w:type="paragraph" w:customStyle="1" w:styleId="CM18">
    <w:name w:val="CM18"/>
    <w:basedOn w:val="Normal"/>
    <w:next w:val="Normal"/>
    <w:uiPriority w:val="99"/>
    <w:rsid w:val="000C40B6"/>
    <w:pPr>
      <w:spacing w:after="240"/>
    </w:pPr>
    <w:rPr>
      <w:rFonts w:ascii="Trebuchet MS" w:eastAsia="Times New Roman" w:hAnsi="Trebuchet MS"/>
      <w:lang w:eastAsia="en-US"/>
    </w:rPr>
  </w:style>
  <w:style w:type="paragraph" w:styleId="ListParagraph">
    <w:name w:val="List Paragraph"/>
    <w:basedOn w:val="Normal"/>
    <w:uiPriority w:val="34"/>
    <w:qFormat/>
    <w:rsid w:val="009C1A9B"/>
    <w:pPr>
      <w:widowControl/>
      <w:autoSpaceDE/>
      <w:autoSpaceDN/>
      <w:adjustRightInd/>
      <w:ind w:left="720"/>
    </w:pPr>
    <w:rPr>
      <w:rFonts w:eastAsia="Times New Roman"/>
      <w:lang w:eastAsia="en-US"/>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lang w:eastAsia="zh-CN"/>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4"/>
      </w:numPr>
      <w:outlineLvl w:val="0"/>
    </w:pPr>
  </w:style>
  <w:style w:type="paragraph" w:styleId="BodyTextIndent">
    <w:name w:val="Body Text Indent"/>
    <w:basedOn w:val="Normal"/>
    <w:pPr>
      <w:ind w:left="-90"/>
    </w:pPr>
    <w:rPr>
      <w:rFonts w:eastAsia="Times New Roman"/>
      <w:lang w:eastAsia="en-US"/>
    </w:rPr>
  </w:style>
  <w:style w:type="paragraph" w:styleId="FootnoteText">
    <w:name w:val="footnote text"/>
    <w:basedOn w:val="Normal"/>
    <w:link w:val="FootnoteTextChar"/>
    <w:uiPriority w:val="99"/>
    <w:semiHidden/>
    <w:pPr>
      <w:widowControl/>
      <w:autoSpaceDE/>
      <w:autoSpaceDN/>
      <w:adjustRightInd/>
      <w:ind w:left="360" w:hanging="360"/>
      <w:jc w:val="both"/>
    </w:pPr>
    <w:rPr>
      <w:rFonts w:ascii="Book Antiqua" w:eastAsia="Times New Roman" w:hAnsi="Book Antiqua"/>
      <w:i/>
      <w:sz w:val="18"/>
      <w:szCs w:val="20"/>
      <w:lang w:val="x-none" w:eastAsia="x-non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sz w:val="20"/>
      <w:lang w:eastAsia="en-US"/>
    </w:rPr>
  </w:style>
  <w:style w:type="paragraph" w:styleId="BodyTextIndent2">
    <w:name w:val="Body Text Indent 2"/>
    <w:basedOn w:val="Normal"/>
    <w:pPr>
      <w:widowControl/>
      <w:autoSpaceDE/>
      <w:autoSpaceDN/>
      <w:adjustRightInd/>
      <w:spacing w:after="120" w:line="480" w:lineRule="auto"/>
      <w:ind w:left="360"/>
    </w:pPr>
    <w:rPr>
      <w:rFonts w:eastAsia="Batang"/>
      <w:lang w:eastAsia="ko-KR"/>
    </w:rPr>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spacing w:after="120"/>
    </w:pPr>
  </w:style>
  <w:style w:type="paragraph" w:customStyle="1" w:styleId="Answer">
    <w:name w:val="Answer #"/>
    <w:basedOn w:val="ListNumber"/>
    <w:pPr>
      <w:widowControl/>
      <w:numPr>
        <w:numId w:val="0"/>
      </w:numPr>
      <w:autoSpaceDE/>
      <w:autoSpaceDN/>
      <w:adjustRightInd/>
    </w:pPr>
    <w:rPr>
      <w:rFonts w:eastAsia="Times New Roman"/>
      <w:lang w:eastAsia="en-US"/>
    </w:rPr>
  </w:style>
  <w:style w:type="paragraph" w:styleId="ListNumber">
    <w:name w:val="List Number"/>
    <w:basedOn w:val="Normal"/>
    <w:pPr>
      <w:numPr>
        <w:numId w:val="11"/>
      </w:numPr>
    </w:pPr>
  </w:style>
  <w:style w:type="paragraph" w:styleId="BodyText2">
    <w:name w:val="Body Text 2"/>
    <w:basedOn w:val="Normal"/>
    <w:pPr>
      <w:spacing w:after="120" w:line="480" w:lineRule="auto"/>
    </w:p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customStyle="1" w:styleId="NormalWeb2">
    <w:name w:val="Normal (Web)2"/>
    <w:basedOn w:val="Normal"/>
    <w:rsid w:val="00406DCF"/>
    <w:pPr>
      <w:widowControl/>
      <w:autoSpaceDE/>
      <w:autoSpaceDN/>
      <w:adjustRightInd/>
      <w:spacing w:after="120"/>
    </w:pPr>
    <w:rPr>
      <w:rFonts w:eastAsia="Times New Roman"/>
      <w:lang w:eastAsia="en-US"/>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qFormat/>
    <w:rsid w:val="00406DCF"/>
    <w:rPr>
      <w:b/>
      <w:bCs/>
    </w:rPr>
  </w:style>
  <w:style w:type="paragraph" w:styleId="NormalWeb">
    <w:name w:val="Normal (Web)"/>
    <w:basedOn w:val="Normal"/>
    <w:rsid w:val="00DA7586"/>
    <w:pPr>
      <w:widowControl/>
      <w:autoSpaceDE/>
      <w:autoSpaceDN/>
      <w:adjustRightInd/>
      <w:spacing w:before="100" w:beforeAutospacing="1" w:after="100" w:afterAutospacing="1"/>
    </w:pPr>
    <w:rPr>
      <w:rFonts w:eastAsia="Times New Roman"/>
      <w:lang w:eastAsia="en-US"/>
    </w:rPr>
  </w:style>
  <w:style w:type="paragraph" w:customStyle="1" w:styleId="NormalSS">
    <w:name w:val="NormalSS"/>
    <w:basedOn w:val="Normal"/>
    <w:rsid w:val="00B64C00"/>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firstLine="432"/>
      <w:jc w:val="both"/>
    </w:pPr>
    <w:rPr>
      <w:rFonts w:eastAsia="Times New Roman"/>
      <w:szCs w:val="20"/>
      <w:lang w:eastAsia="en-US"/>
    </w:rPr>
  </w:style>
  <w:style w:type="paragraph" w:customStyle="1" w:styleId="bullet">
    <w:name w:val="bullet"/>
    <w:rsid w:val="00B64C00"/>
    <w:pPr>
      <w:numPr>
        <w:numId w:val="17"/>
      </w:numPr>
      <w:tabs>
        <w:tab w:val="clear" w:pos="720"/>
        <w:tab w:val="num" w:pos="360"/>
      </w:tabs>
      <w:spacing w:after="180"/>
      <w:ind w:right="360"/>
      <w:jc w:val="both"/>
    </w:pPr>
    <w:rPr>
      <w:rFonts w:eastAsia="Times New Roman"/>
      <w:sz w:val="24"/>
    </w:rPr>
  </w:style>
  <w:style w:type="paragraph" w:customStyle="1" w:styleId="LastBullet">
    <w:name w:val="Last Bullet"/>
    <w:next w:val="Normal"/>
    <w:rsid w:val="00B64C00"/>
    <w:pPr>
      <w:numPr>
        <w:numId w:val="16"/>
      </w:numPr>
      <w:spacing w:after="480"/>
      <w:ind w:left="720" w:right="360"/>
      <w:jc w:val="both"/>
    </w:pPr>
    <w:rPr>
      <w:rFonts w:eastAsia="Times New Roman"/>
      <w:sz w:val="24"/>
    </w:rPr>
  </w:style>
  <w:style w:type="character" w:customStyle="1" w:styleId="FootnoteTextChar">
    <w:name w:val="Footnote Text Char"/>
    <w:link w:val="FootnoteText"/>
    <w:uiPriority w:val="99"/>
    <w:rsid w:val="00EC39FA"/>
    <w:rPr>
      <w:rFonts w:ascii="Book Antiqua" w:eastAsia="Times New Roman" w:hAnsi="Book Antiqua"/>
      <w:i/>
      <w:sz w:val="18"/>
    </w:rPr>
  </w:style>
  <w:style w:type="paragraph" w:customStyle="1" w:styleId="BodyText08">
    <w:name w:val="Body Text 08"/>
    <w:basedOn w:val="Normal"/>
    <w:rsid w:val="000C40B6"/>
    <w:pPr>
      <w:widowControl/>
      <w:autoSpaceDE/>
      <w:autoSpaceDN/>
      <w:adjustRightInd/>
      <w:spacing w:after="240"/>
      <w:jc w:val="both"/>
    </w:pPr>
    <w:rPr>
      <w:rFonts w:ascii="Trebuchet MS" w:eastAsia="Times New Roman" w:hAnsi="Trebuchet MS"/>
      <w:sz w:val="22"/>
      <w:szCs w:val="22"/>
      <w:lang w:eastAsia="en-US"/>
    </w:rPr>
  </w:style>
  <w:style w:type="paragraph" w:customStyle="1" w:styleId="Bulletlevel108">
    <w:name w:val="Bullet level 1 08"/>
    <w:basedOn w:val="Normal"/>
    <w:rsid w:val="000C40B6"/>
    <w:pPr>
      <w:widowControl/>
      <w:numPr>
        <w:numId w:val="19"/>
      </w:numPr>
      <w:tabs>
        <w:tab w:val="left" w:pos="990"/>
      </w:tabs>
      <w:autoSpaceDE/>
      <w:autoSpaceDN/>
      <w:adjustRightInd/>
      <w:spacing w:after="120"/>
      <w:jc w:val="both"/>
    </w:pPr>
    <w:rPr>
      <w:rFonts w:ascii="Trebuchet MS" w:eastAsia="Times New Roman" w:hAnsi="Trebuchet MS"/>
      <w:bCs/>
      <w:sz w:val="22"/>
      <w:szCs w:val="22"/>
      <w:lang w:eastAsia="en-US"/>
    </w:rPr>
  </w:style>
  <w:style w:type="paragraph" w:customStyle="1" w:styleId="CM18">
    <w:name w:val="CM18"/>
    <w:basedOn w:val="Normal"/>
    <w:next w:val="Normal"/>
    <w:uiPriority w:val="99"/>
    <w:rsid w:val="000C40B6"/>
    <w:pPr>
      <w:spacing w:after="240"/>
    </w:pPr>
    <w:rPr>
      <w:rFonts w:ascii="Trebuchet MS" w:eastAsia="Times New Roman" w:hAnsi="Trebuchet MS"/>
      <w:lang w:eastAsia="en-US"/>
    </w:rPr>
  </w:style>
  <w:style w:type="paragraph" w:styleId="ListParagraph">
    <w:name w:val="List Paragraph"/>
    <w:basedOn w:val="Normal"/>
    <w:uiPriority w:val="34"/>
    <w:qFormat/>
    <w:rsid w:val="009C1A9B"/>
    <w:pPr>
      <w:widowControl/>
      <w:autoSpaceDE/>
      <w:autoSpaceDN/>
      <w:adjustRightInd/>
      <w:ind w:left="720"/>
    </w:pPr>
    <w:rPr>
      <w:rFonts w:eastAsia="Times New Roman"/>
      <w:lang w:eastAsia="en-US"/>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lang w:eastAsia="en-US"/>
    </w:rPr>
  </w:style>
</w:styles>
</file>

<file path=word/webSettings.xml><?xml version="1.0" encoding="utf-8"?>
<w:webSettings xmlns:r="http://schemas.openxmlformats.org/officeDocument/2006/relationships" xmlns:w="http://schemas.openxmlformats.org/wordprocessingml/2006/main">
  <w:divs>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567ED-6E4F-4833-ABC4-9A4F68AB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1968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12938</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Yaeko Tise</dc:creator>
  <cp:lastModifiedBy>h18889</cp:lastModifiedBy>
  <cp:revision>4</cp:revision>
  <cp:lastPrinted>2012-06-25T20:30:00Z</cp:lastPrinted>
  <dcterms:created xsi:type="dcterms:W3CDTF">2012-06-25T20:35:00Z</dcterms:created>
  <dcterms:modified xsi:type="dcterms:W3CDTF">2012-06-25T20:59:00Z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