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pPr>
        <w:pStyle w:val="Title"/>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2D1BF9" w:rsidRPr="00EF7FF5" w:rsidRDefault="002D1BF9">
      <w:pPr>
        <w:tabs>
          <w:tab w:val="left" w:pos="0"/>
        </w:tabs>
        <w:suppressAutoHyphens/>
        <w:rPr>
          <w:rFonts w:ascii="Times New Roman" w:hAnsi="Times New Roman"/>
          <w:szCs w:val="24"/>
        </w:rPr>
      </w:pPr>
    </w:p>
    <w:p w:rsidR="001A4A0B" w:rsidRDefault="002D1BF9" w:rsidP="002D1BF9">
      <w:pPr>
        <w:widowControl w:val="0"/>
        <w:spacing w:after="200"/>
        <w:ind w:left="720"/>
        <w:rPr>
          <w:rFonts w:ascii="Calibri" w:hAnsi="Calibri"/>
          <w:snapToGrid w:val="0"/>
          <w:sz w:val="22"/>
          <w:szCs w:val="22"/>
        </w:rPr>
      </w:pPr>
      <w:r w:rsidRPr="00937F33">
        <w:rPr>
          <w:rFonts w:ascii="Calibri" w:hAnsi="Calibri"/>
          <w:snapToGrid w:val="0"/>
          <w:sz w:val="22"/>
          <w:szCs w:val="22"/>
        </w:rPr>
        <w:t>The Higher Education Act of 1965, as amended (HEA), established the Federal Family Education Loan (FFEL) Program and the William D. Ford Federal Direct Loan (Direct Loan) Program under Title IV, Parts B</w:t>
      </w:r>
      <w:r>
        <w:rPr>
          <w:rFonts w:ascii="Calibri" w:hAnsi="Calibri"/>
          <w:snapToGrid w:val="0"/>
          <w:sz w:val="22"/>
          <w:szCs w:val="22"/>
        </w:rPr>
        <w:t xml:space="preserve"> and </w:t>
      </w:r>
      <w:r w:rsidRPr="00937F33">
        <w:rPr>
          <w:rFonts w:ascii="Calibri" w:hAnsi="Calibri"/>
          <w:snapToGrid w:val="0"/>
          <w:sz w:val="22"/>
          <w:szCs w:val="22"/>
        </w:rPr>
        <w:t>D.  Section 4</w:t>
      </w:r>
      <w:r w:rsidR="001A4A0B">
        <w:rPr>
          <w:rFonts w:ascii="Calibri" w:hAnsi="Calibri"/>
          <w:snapToGrid w:val="0"/>
          <w:sz w:val="22"/>
          <w:szCs w:val="22"/>
        </w:rPr>
        <w:t>9</w:t>
      </w:r>
      <w:r w:rsidRPr="00937F33">
        <w:rPr>
          <w:rFonts w:ascii="Calibri" w:hAnsi="Calibri"/>
          <w:snapToGrid w:val="0"/>
          <w:sz w:val="22"/>
          <w:szCs w:val="22"/>
        </w:rPr>
        <w:t>3</w:t>
      </w:r>
      <w:r w:rsidR="001A4A0B">
        <w:rPr>
          <w:rFonts w:ascii="Calibri" w:hAnsi="Calibri"/>
          <w:snapToGrid w:val="0"/>
          <w:sz w:val="22"/>
          <w:szCs w:val="22"/>
        </w:rPr>
        <w:t>C [20 U.S.C. 1098e]</w:t>
      </w:r>
      <w:r w:rsidRPr="00937F33">
        <w:rPr>
          <w:rFonts w:ascii="Calibri" w:hAnsi="Calibri"/>
          <w:snapToGrid w:val="0"/>
          <w:sz w:val="22"/>
          <w:szCs w:val="22"/>
        </w:rPr>
        <w:t xml:space="preserve"> of the HEA authorizes </w:t>
      </w:r>
      <w:r w:rsidR="001A4A0B">
        <w:rPr>
          <w:rFonts w:ascii="Calibri" w:hAnsi="Calibri"/>
          <w:snapToGrid w:val="0"/>
          <w:sz w:val="22"/>
          <w:szCs w:val="22"/>
        </w:rPr>
        <w:t>income based repayment for Part B and D borrowers who have a partial financial hardship.</w:t>
      </w:r>
    </w:p>
    <w:p w:rsidR="002D1BF9" w:rsidRDefault="002D1BF9" w:rsidP="002D1BF9">
      <w:pPr>
        <w:widowControl w:val="0"/>
        <w:spacing w:after="200"/>
        <w:ind w:left="720"/>
        <w:rPr>
          <w:rFonts w:ascii="Calibri" w:hAnsi="Calibri"/>
          <w:snapToGrid w:val="0"/>
          <w:sz w:val="22"/>
          <w:szCs w:val="22"/>
        </w:rPr>
      </w:pPr>
      <w:r w:rsidRPr="00937F33">
        <w:rPr>
          <w:rFonts w:ascii="Calibri" w:hAnsi="Calibri"/>
          <w:snapToGrid w:val="0"/>
          <w:sz w:val="22"/>
          <w:szCs w:val="22"/>
        </w:rPr>
        <w:t xml:space="preserve">The </w:t>
      </w:r>
      <w:r w:rsidR="001A4A0B">
        <w:rPr>
          <w:rFonts w:ascii="Calibri" w:hAnsi="Calibri"/>
          <w:snapToGrid w:val="0"/>
          <w:sz w:val="22"/>
          <w:szCs w:val="22"/>
        </w:rPr>
        <w:t xml:space="preserve">proposed </w:t>
      </w:r>
      <w:r w:rsidRPr="00937F33">
        <w:rPr>
          <w:rFonts w:ascii="Calibri" w:hAnsi="Calibri"/>
          <w:snapToGrid w:val="0"/>
          <w:sz w:val="22"/>
          <w:szCs w:val="22"/>
        </w:rPr>
        <w:t xml:space="preserve">regulations </w:t>
      </w:r>
      <w:r w:rsidR="001A4A0B">
        <w:rPr>
          <w:rFonts w:ascii="Calibri" w:hAnsi="Calibri"/>
          <w:snapToGrid w:val="0"/>
          <w:sz w:val="22"/>
          <w:szCs w:val="22"/>
        </w:rPr>
        <w:t xml:space="preserve">in 34 CFR 682.215(e)(2) and 685.221(e)(2) establish new required notifications to borrowers from the loan holders once a borrower establishes a partial financial hardship and is placed in an income based repayment </w:t>
      </w:r>
      <w:r w:rsidR="006841CA">
        <w:rPr>
          <w:rFonts w:ascii="Calibri" w:hAnsi="Calibri"/>
          <w:snapToGrid w:val="0"/>
          <w:sz w:val="22"/>
          <w:szCs w:val="22"/>
        </w:rPr>
        <w:t xml:space="preserve">(IBR) </w:t>
      </w:r>
      <w:r w:rsidR="001A4A0B">
        <w:rPr>
          <w:rFonts w:ascii="Calibri" w:hAnsi="Calibri"/>
          <w:snapToGrid w:val="0"/>
          <w:sz w:val="22"/>
          <w:szCs w:val="22"/>
        </w:rPr>
        <w:t xml:space="preserve">plan by the loan holder (lender, guaranty agency or the Department).  </w:t>
      </w:r>
    </w:p>
    <w:p w:rsidR="006841CA" w:rsidRDefault="001959AC" w:rsidP="002D1BF9">
      <w:pPr>
        <w:widowControl w:val="0"/>
        <w:spacing w:after="200"/>
        <w:ind w:left="720"/>
        <w:rPr>
          <w:rFonts w:ascii="Courier New" w:hAnsi="Courier New" w:cs="Courier New"/>
          <w:szCs w:val="24"/>
        </w:rPr>
      </w:pPr>
      <w:r>
        <w:rPr>
          <w:rFonts w:ascii="Calibri" w:hAnsi="Calibri"/>
          <w:snapToGrid w:val="0"/>
          <w:sz w:val="22"/>
          <w:szCs w:val="22"/>
        </w:rPr>
        <w:t xml:space="preserve">This is a new information collection.  These proposed regulations require new notifications from the loan holder to the borrower.  The loan holder would be notifying the borrower about the following information: </w:t>
      </w:r>
      <w:r w:rsidRPr="00567F7E">
        <w:rPr>
          <w:rFonts w:ascii="Courier New" w:hAnsi="Courier New" w:cs="Courier New"/>
          <w:szCs w:val="24"/>
        </w:rPr>
        <w:t xml:space="preserve"> </w:t>
      </w:r>
    </w:p>
    <w:p w:rsidR="006841CA" w:rsidRPr="00EF204A" w:rsidRDefault="001959AC" w:rsidP="00EF204A">
      <w:pPr>
        <w:pStyle w:val="ListParagraph"/>
        <w:widowControl w:val="0"/>
        <w:numPr>
          <w:ilvl w:val="0"/>
          <w:numId w:val="11"/>
        </w:numPr>
        <w:spacing w:after="200"/>
        <w:rPr>
          <w:rFonts w:ascii="Times New Roman" w:hAnsi="Times New Roman"/>
          <w:szCs w:val="24"/>
        </w:rPr>
      </w:pPr>
      <w:r w:rsidRPr="00EF204A">
        <w:rPr>
          <w:rFonts w:asciiTheme="minorHAnsi" w:hAnsiTheme="minorHAnsi" w:cstheme="minorHAnsi"/>
          <w:sz w:val="22"/>
          <w:szCs w:val="22"/>
        </w:rPr>
        <w:t xml:space="preserve">the borrower’s scheduled monthly payment amount, and the time period during which that monthly payment amount will apply (annual payment period); </w:t>
      </w:r>
    </w:p>
    <w:p w:rsidR="006841CA" w:rsidRPr="00EF204A" w:rsidRDefault="001959AC" w:rsidP="00EF204A">
      <w:pPr>
        <w:pStyle w:val="ListParagraph"/>
        <w:widowControl w:val="0"/>
        <w:numPr>
          <w:ilvl w:val="0"/>
          <w:numId w:val="11"/>
        </w:numPr>
        <w:spacing w:after="200"/>
        <w:rPr>
          <w:rFonts w:ascii="Times New Roman" w:hAnsi="Times New Roman"/>
          <w:szCs w:val="24"/>
        </w:rPr>
      </w:pPr>
      <w:r w:rsidRPr="00EF204A">
        <w:rPr>
          <w:rFonts w:asciiTheme="minorHAnsi" w:hAnsiTheme="minorHAnsi" w:cstheme="minorHAnsi"/>
          <w:sz w:val="22"/>
          <w:szCs w:val="22"/>
        </w:rPr>
        <w:t>the requirement for the borrower to annually provide income information (and, in some cases for married FFEL program borrowers, information about the eligible loans of the borrower’s spouse) and certify family size</w:t>
      </w:r>
      <w:r w:rsidR="006841CA">
        <w:rPr>
          <w:rFonts w:asciiTheme="minorHAnsi" w:hAnsiTheme="minorHAnsi" w:cstheme="minorHAnsi"/>
          <w:sz w:val="22"/>
          <w:szCs w:val="22"/>
        </w:rPr>
        <w:t>;</w:t>
      </w:r>
      <w:r w:rsidRPr="00EF204A">
        <w:rPr>
          <w:rFonts w:asciiTheme="minorHAnsi" w:hAnsiTheme="minorHAnsi" w:cstheme="minorHAnsi"/>
          <w:sz w:val="22"/>
          <w:szCs w:val="22"/>
        </w:rPr>
        <w:t xml:space="preserve"> </w:t>
      </w:r>
    </w:p>
    <w:p w:rsidR="006841CA" w:rsidRPr="00EF204A" w:rsidRDefault="001959AC" w:rsidP="00EF204A">
      <w:pPr>
        <w:pStyle w:val="ListParagraph"/>
        <w:widowControl w:val="0"/>
        <w:numPr>
          <w:ilvl w:val="0"/>
          <w:numId w:val="11"/>
        </w:numPr>
        <w:spacing w:after="200"/>
        <w:rPr>
          <w:rFonts w:ascii="Times New Roman" w:hAnsi="Times New Roman"/>
          <w:szCs w:val="24"/>
        </w:rPr>
      </w:pPr>
      <w:r w:rsidRPr="00EF204A">
        <w:rPr>
          <w:rFonts w:asciiTheme="minorHAnsi" w:hAnsiTheme="minorHAnsi" w:cstheme="minorHAnsi"/>
          <w:sz w:val="22"/>
          <w:szCs w:val="22"/>
        </w:rPr>
        <w:t xml:space="preserve">if the borrower chooses to remain on the IBR plan after the initial year on the plan, an explanation that the borrower will be notified in advance of the date by which the loan holder must receive this information; </w:t>
      </w:r>
    </w:p>
    <w:p w:rsidR="006841CA" w:rsidRPr="00EF204A" w:rsidRDefault="001959AC" w:rsidP="00EF204A">
      <w:pPr>
        <w:pStyle w:val="ListParagraph"/>
        <w:widowControl w:val="0"/>
        <w:numPr>
          <w:ilvl w:val="0"/>
          <w:numId w:val="11"/>
        </w:numPr>
        <w:spacing w:after="200"/>
        <w:rPr>
          <w:rFonts w:ascii="Times New Roman" w:hAnsi="Times New Roman"/>
          <w:szCs w:val="24"/>
        </w:rPr>
      </w:pPr>
      <w:r w:rsidRPr="00EF204A">
        <w:rPr>
          <w:rFonts w:asciiTheme="minorHAnsi" w:hAnsiTheme="minorHAnsi" w:cstheme="minorHAnsi"/>
          <w:sz w:val="22"/>
          <w:szCs w:val="22"/>
        </w:rPr>
        <w:t xml:space="preserve">an explanation of the consequences if the borrower does not annually provide the required information; and </w:t>
      </w:r>
    </w:p>
    <w:p w:rsidR="001959AC" w:rsidRPr="006841CA" w:rsidRDefault="001959AC" w:rsidP="00EF204A">
      <w:pPr>
        <w:pStyle w:val="ListParagraph"/>
        <w:widowControl w:val="0"/>
        <w:numPr>
          <w:ilvl w:val="0"/>
          <w:numId w:val="11"/>
        </w:numPr>
        <w:spacing w:after="200"/>
        <w:rPr>
          <w:rFonts w:ascii="Times New Roman" w:hAnsi="Times New Roman"/>
          <w:szCs w:val="24"/>
        </w:rPr>
      </w:pPr>
      <w:r w:rsidRPr="00EF204A">
        <w:rPr>
          <w:rFonts w:asciiTheme="minorHAnsi" w:hAnsiTheme="minorHAnsi" w:cstheme="minorHAnsi"/>
          <w:sz w:val="22"/>
          <w:szCs w:val="22"/>
        </w:rPr>
        <w:t xml:space="preserve">the borrower’s option to request, at any time during the borrower’s current annual payment period, that the loan holder recalculate the borrower’s monthly payment amount if the borrower’s financial circumstances have changed and the income amount that was used to calculate the borrower’s current monthly payment no longer reflects the borrower’s current income. </w:t>
      </w:r>
      <w:r w:rsidRPr="006841CA">
        <w:rPr>
          <w:rFonts w:ascii="Courier New" w:hAnsi="Courier New" w:cs="Courier New"/>
          <w:szCs w:val="24"/>
        </w:rPr>
        <w:t xml:space="preserve"> </w:t>
      </w: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DD2A96" w:rsidRDefault="00E72B52" w:rsidP="00DD2A96">
      <w:pPr>
        <w:tabs>
          <w:tab w:val="left" w:pos="-720"/>
        </w:tabs>
        <w:suppressAutoHyphens/>
        <w:ind w:left="720"/>
        <w:rPr>
          <w:rFonts w:asciiTheme="minorHAnsi" w:hAnsiTheme="minorHAnsi" w:cstheme="minorHAnsi"/>
          <w:sz w:val="22"/>
          <w:szCs w:val="22"/>
        </w:rPr>
      </w:pPr>
      <w:r w:rsidRPr="00DD2A96">
        <w:rPr>
          <w:rFonts w:asciiTheme="minorHAnsi" w:hAnsiTheme="minorHAnsi" w:cstheme="minorHAnsi"/>
          <w:sz w:val="22"/>
          <w:szCs w:val="22"/>
        </w:rPr>
        <w:t xml:space="preserve">Under the proposed regulations, once the loan holder (lender or guaranty agency in the case of a FFEL loan or the Department in the case of a Direct Loan or a FFEL loan held by the Department) </w:t>
      </w:r>
      <w:r w:rsidR="006841CA">
        <w:rPr>
          <w:rFonts w:asciiTheme="minorHAnsi" w:hAnsiTheme="minorHAnsi" w:cstheme="minorHAnsi"/>
          <w:sz w:val="22"/>
          <w:szCs w:val="22"/>
        </w:rPr>
        <w:t>makes</w:t>
      </w:r>
      <w:r w:rsidR="006841CA" w:rsidRPr="00DD2A96">
        <w:rPr>
          <w:rFonts w:asciiTheme="minorHAnsi" w:hAnsiTheme="minorHAnsi" w:cstheme="minorHAnsi"/>
          <w:sz w:val="22"/>
          <w:szCs w:val="22"/>
        </w:rPr>
        <w:t xml:space="preserve"> </w:t>
      </w:r>
      <w:r w:rsidRPr="00DD2A96">
        <w:rPr>
          <w:rFonts w:asciiTheme="minorHAnsi" w:hAnsiTheme="minorHAnsi" w:cstheme="minorHAnsi"/>
          <w:sz w:val="22"/>
          <w:szCs w:val="22"/>
        </w:rPr>
        <w:t xml:space="preserve">a determination </w:t>
      </w:r>
      <w:r w:rsidR="00DD2A96" w:rsidRPr="00DD2A96">
        <w:rPr>
          <w:rFonts w:asciiTheme="minorHAnsi" w:hAnsiTheme="minorHAnsi" w:cstheme="minorHAnsi"/>
          <w:sz w:val="22"/>
          <w:szCs w:val="22"/>
        </w:rPr>
        <w:t xml:space="preserve">that </w:t>
      </w:r>
      <w:r w:rsidRPr="00DD2A96">
        <w:rPr>
          <w:rFonts w:asciiTheme="minorHAnsi" w:hAnsiTheme="minorHAnsi" w:cstheme="minorHAnsi"/>
          <w:sz w:val="22"/>
          <w:szCs w:val="22"/>
        </w:rPr>
        <w:t>the borrower me</w:t>
      </w:r>
      <w:r w:rsidR="006841CA">
        <w:rPr>
          <w:rFonts w:asciiTheme="minorHAnsi" w:hAnsiTheme="minorHAnsi" w:cstheme="minorHAnsi"/>
          <w:sz w:val="22"/>
          <w:szCs w:val="22"/>
        </w:rPr>
        <w:t>e</w:t>
      </w:r>
      <w:r w:rsidRPr="00DD2A96">
        <w:rPr>
          <w:rFonts w:asciiTheme="minorHAnsi" w:hAnsiTheme="minorHAnsi" w:cstheme="minorHAnsi"/>
          <w:sz w:val="22"/>
          <w:szCs w:val="22"/>
        </w:rPr>
        <w:t>t</w:t>
      </w:r>
      <w:r w:rsidR="006841CA">
        <w:rPr>
          <w:rFonts w:asciiTheme="minorHAnsi" w:hAnsiTheme="minorHAnsi" w:cstheme="minorHAnsi"/>
          <w:sz w:val="22"/>
          <w:szCs w:val="22"/>
        </w:rPr>
        <w:t>s</w:t>
      </w:r>
      <w:r w:rsidRPr="00DD2A96">
        <w:rPr>
          <w:rFonts w:asciiTheme="minorHAnsi" w:hAnsiTheme="minorHAnsi" w:cstheme="minorHAnsi"/>
          <w:sz w:val="22"/>
          <w:szCs w:val="22"/>
        </w:rPr>
        <w:t xml:space="preserve"> the definition of a</w:t>
      </w:r>
      <w:r w:rsidR="00DD2A96" w:rsidRPr="00DD2A96">
        <w:rPr>
          <w:rFonts w:asciiTheme="minorHAnsi" w:hAnsiTheme="minorHAnsi" w:cstheme="minorHAnsi"/>
          <w:sz w:val="22"/>
          <w:szCs w:val="22"/>
        </w:rPr>
        <w:t xml:space="preserve"> partial financial hardship, the loan holder would be required to provide the notification indicated above.  These new requirements are intended to provide the borrower with critical information about the IBR plan, deadlines, and options.</w:t>
      </w:r>
    </w:p>
    <w:p w:rsidR="00386054" w:rsidRPr="00DD2A96" w:rsidRDefault="00386054" w:rsidP="00DD2A96">
      <w:pPr>
        <w:tabs>
          <w:tab w:val="left" w:pos="-720"/>
        </w:tabs>
        <w:suppressAutoHyphens/>
        <w:ind w:left="720"/>
        <w:rPr>
          <w:rFonts w:asciiTheme="minorHAnsi" w:hAnsiTheme="minorHAnsi" w:cstheme="minorHAnsi"/>
          <w:sz w:val="22"/>
          <w:szCs w:val="22"/>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8A11D8" w:rsidRDefault="00DD2A96" w:rsidP="008A11D8">
      <w:pPr>
        <w:tabs>
          <w:tab w:val="left" w:pos="-720"/>
        </w:tabs>
        <w:suppressAutoHyphens/>
        <w:ind w:left="720"/>
        <w:rPr>
          <w:rFonts w:asciiTheme="minorHAnsi" w:hAnsiTheme="minorHAnsi" w:cstheme="minorHAnsi"/>
          <w:sz w:val="22"/>
          <w:szCs w:val="22"/>
        </w:rPr>
      </w:pPr>
      <w:r w:rsidRPr="008A11D8">
        <w:rPr>
          <w:rFonts w:asciiTheme="minorHAnsi" w:hAnsiTheme="minorHAnsi" w:cstheme="minorHAnsi"/>
          <w:sz w:val="22"/>
          <w:szCs w:val="22"/>
        </w:rPr>
        <w:t>We estimate that loan holders will utilize automated systems to calculate the borrower’s scheduled monthly payment under IBR, and to communicate to the borrower the annual payment period, share information about the required annually providing income information for the borrower (and spouse if married), and how to certify th</w:t>
      </w:r>
      <w:r w:rsidR="008A11D8" w:rsidRPr="008A11D8">
        <w:rPr>
          <w:rFonts w:asciiTheme="minorHAnsi" w:hAnsiTheme="minorHAnsi" w:cstheme="minorHAnsi"/>
          <w:sz w:val="22"/>
          <w:szCs w:val="22"/>
        </w:rPr>
        <w:t xml:space="preserve">e family size.  </w:t>
      </w:r>
      <w:r w:rsidRPr="008A11D8">
        <w:rPr>
          <w:rFonts w:asciiTheme="minorHAnsi" w:hAnsiTheme="minorHAnsi" w:cstheme="minorHAnsi"/>
          <w:sz w:val="22"/>
          <w:szCs w:val="22"/>
        </w:rPr>
        <w:t xml:space="preserve"> </w:t>
      </w:r>
    </w:p>
    <w:p w:rsidR="00386054" w:rsidRPr="008A11D8" w:rsidRDefault="00386054" w:rsidP="008A11D8">
      <w:pPr>
        <w:tabs>
          <w:tab w:val="left" w:pos="-720"/>
        </w:tabs>
        <w:suppressAutoHyphens/>
        <w:ind w:left="720"/>
        <w:rPr>
          <w:rFonts w:asciiTheme="minorHAnsi" w:hAnsiTheme="minorHAnsi" w:cstheme="minorHAnsi"/>
          <w:sz w:val="22"/>
          <w:szCs w:val="22"/>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8A11D8" w:rsidRDefault="008A11D8">
      <w:pPr>
        <w:tabs>
          <w:tab w:val="left" w:pos="-720"/>
        </w:tabs>
        <w:suppressAutoHyphens/>
        <w:rPr>
          <w:rFonts w:ascii="Times New Roman" w:hAnsi="Times New Roman"/>
          <w:szCs w:val="24"/>
        </w:rPr>
      </w:pPr>
    </w:p>
    <w:p w:rsidR="008A11D8" w:rsidRPr="008A11D8" w:rsidRDefault="008A11D8" w:rsidP="008A11D8">
      <w:pPr>
        <w:tabs>
          <w:tab w:val="left" w:pos="-720"/>
        </w:tabs>
        <w:suppressAutoHyphens/>
        <w:ind w:left="720"/>
        <w:rPr>
          <w:rFonts w:asciiTheme="minorHAnsi" w:hAnsiTheme="minorHAnsi" w:cstheme="minorHAnsi"/>
          <w:sz w:val="22"/>
          <w:szCs w:val="22"/>
        </w:rPr>
      </w:pPr>
      <w:r>
        <w:rPr>
          <w:rFonts w:asciiTheme="minorHAnsi" w:hAnsiTheme="minorHAnsi" w:cstheme="minorHAnsi"/>
          <w:sz w:val="22"/>
          <w:szCs w:val="22"/>
        </w:rPr>
        <w:t xml:space="preserve">As proposed these are new notification requirements and do not duplicate other notification requirements, however, this will codify the notifications that some loan holders have been previously providing. </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8A11D8" w:rsidRDefault="008A11D8">
      <w:pPr>
        <w:tabs>
          <w:tab w:val="left" w:pos="-720"/>
        </w:tabs>
        <w:suppressAutoHyphens/>
        <w:rPr>
          <w:rFonts w:asciiTheme="minorHAnsi" w:hAnsiTheme="minorHAnsi" w:cstheme="minorHAnsi"/>
          <w:sz w:val="22"/>
          <w:szCs w:val="22"/>
        </w:rPr>
      </w:pPr>
      <w:r>
        <w:rPr>
          <w:rFonts w:asciiTheme="minorHAnsi" w:hAnsiTheme="minorHAnsi" w:cstheme="minorHAnsi"/>
          <w:sz w:val="22"/>
          <w:szCs w:val="22"/>
        </w:rPr>
        <w:tab/>
        <w:t>No small businesses are affected by this information collection.</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8A11D8" w:rsidRDefault="008A11D8">
      <w:pPr>
        <w:tabs>
          <w:tab w:val="left" w:pos="-720"/>
        </w:tabs>
        <w:suppressAutoHyphens/>
        <w:rPr>
          <w:rFonts w:ascii="Times New Roman" w:hAnsi="Times New Roman"/>
          <w:szCs w:val="24"/>
        </w:rPr>
      </w:pPr>
    </w:p>
    <w:p w:rsidR="008A11D8" w:rsidRPr="008A11D8" w:rsidRDefault="008A11D8" w:rsidP="008A11D8">
      <w:pPr>
        <w:tabs>
          <w:tab w:val="left" w:pos="-720"/>
        </w:tabs>
        <w:suppressAutoHyphens/>
        <w:ind w:left="720"/>
        <w:rPr>
          <w:rFonts w:asciiTheme="minorHAnsi" w:hAnsiTheme="minorHAnsi" w:cstheme="minorHAnsi"/>
          <w:sz w:val="22"/>
          <w:szCs w:val="22"/>
        </w:rPr>
      </w:pPr>
      <w:r w:rsidRPr="008A11D8">
        <w:rPr>
          <w:rFonts w:asciiTheme="minorHAnsi" w:hAnsiTheme="minorHAnsi" w:cstheme="minorHAnsi"/>
          <w:sz w:val="22"/>
          <w:szCs w:val="22"/>
        </w:rPr>
        <w:t>If these notifications are not conducted the borrower will not have important information to establish IBR repayment, or continue in an IBR plan beyond the initial year.</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8A11D8" w:rsidRDefault="008A11D8" w:rsidP="008A11D8">
      <w:pPr>
        <w:pStyle w:val="ListParagraph"/>
        <w:rPr>
          <w:rFonts w:ascii="Times New Roman" w:hAnsi="Times New Roman"/>
          <w:szCs w:val="24"/>
        </w:rPr>
      </w:pPr>
    </w:p>
    <w:p w:rsidR="008A11D8" w:rsidRPr="00CC0911" w:rsidRDefault="008A11D8" w:rsidP="008A11D8">
      <w:pPr>
        <w:widowControl w:val="0"/>
        <w:spacing w:after="200"/>
        <w:ind w:left="720"/>
        <w:rPr>
          <w:rFonts w:ascii="Calibri" w:hAnsi="Calibri"/>
          <w:snapToGrid w:val="0"/>
          <w:sz w:val="22"/>
          <w:szCs w:val="22"/>
        </w:rPr>
      </w:pPr>
      <w:r w:rsidRPr="00CC0911">
        <w:rPr>
          <w:rFonts w:ascii="Calibri" w:hAnsi="Calibri"/>
          <w:snapToGrid w:val="0"/>
          <w:sz w:val="22"/>
          <w:szCs w:val="22"/>
        </w:rPr>
        <w:t xml:space="preserve">The collection of this information will be conducted in a manner that does not involve any of the above conditions. </w:t>
      </w:r>
    </w:p>
    <w:p w:rsidR="008A11D8" w:rsidRPr="00EF7FF5" w:rsidRDefault="008A11D8" w:rsidP="008A11D8">
      <w:pPr>
        <w:tabs>
          <w:tab w:val="left" w:pos="-720"/>
          <w:tab w:val="left" w:pos="1247"/>
        </w:tabs>
        <w:suppressAutoHyphens/>
        <w:ind w:left="720"/>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Default="00386054">
      <w:pPr>
        <w:tabs>
          <w:tab w:val="left" w:pos="-720"/>
        </w:tabs>
        <w:suppressAutoHyphens/>
        <w:rPr>
          <w:rFonts w:ascii="Times New Roman" w:hAnsi="Times New Roman"/>
          <w:szCs w:val="24"/>
        </w:rPr>
      </w:pPr>
    </w:p>
    <w:p w:rsidR="008E5E3C" w:rsidRPr="008E5E3C" w:rsidRDefault="008E5E3C" w:rsidP="008E5E3C">
      <w:pPr>
        <w:tabs>
          <w:tab w:val="left" w:pos="-720"/>
        </w:tabs>
        <w:suppressAutoHyphens/>
        <w:ind w:left="720"/>
        <w:rPr>
          <w:rFonts w:asciiTheme="minorHAnsi" w:hAnsiTheme="minorHAnsi" w:cstheme="minorHAnsi"/>
          <w:sz w:val="22"/>
          <w:szCs w:val="22"/>
        </w:rPr>
      </w:pPr>
      <w:r w:rsidRPr="008E5E3C">
        <w:rPr>
          <w:rFonts w:asciiTheme="minorHAnsi" w:hAnsiTheme="minorHAnsi" w:cstheme="minorHAnsi"/>
          <w:sz w:val="22"/>
          <w:szCs w:val="22"/>
        </w:rPr>
        <w:t xml:space="preserve">These proposed regulations were developed through the Negotiated Rulemaking process where the public provided its input both through four </w:t>
      </w:r>
      <w:r w:rsidR="008F7008">
        <w:rPr>
          <w:rFonts w:asciiTheme="minorHAnsi" w:hAnsiTheme="minorHAnsi" w:cstheme="minorHAnsi"/>
          <w:sz w:val="22"/>
          <w:szCs w:val="22"/>
        </w:rPr>
        <w:t xml:space="preserve">preparatory </w:t>
      </w:r>
      <w:r w:rsidRPr="008E5E3C">
        <w:rPr>
          <w:rFonts w:asciiTheme="minorHAnsi" w:hAnsiTheme="minorHAnsi" w:cstheme="minorHAnsi"/>
          <w:sz w:val="22"/>
          <w:szCs w:val="22"/>
        </w:rPr>
        <w:t>public hearings that occurred in May of 2011</w:t>
      </w:r>
      <w:r w:rsidR="008F7008">
        <w:rPr>
          <w:rFonts w:asciiTheme="minorHAnsi" w:hAnsiTheme="minorHAnsi" w:cstheme="minorHAnsi"/>
          <w:sz w:val="22"/>
          <w:szCs w:val="22"/>
        </w:rPr>
        <w:t>.  A</w:t>
      </w:r>
      <w:r w:rsidRPr="008E5E3C">
        <w:rPr>
          <w:rFonts w:asciiTheme="minorHAnsi" w:hAnsiTheme="minorHAnsi" w:cstheme="minorHAnsi"/>
          <w:sz w:val="22"/>
          <w:szCs w:val="22"/>
        </w:rPr>
        <w:t xml:space="preserve"> series of three </w:t>
      </w:r>
      <w:r w:rsidR="006841CA">
        <w:rPr>
          <w:rFonts w:asciiTheme="minorHAnsi" w:hAnsiTheme="minorHAnsi" w:cstheme="minorHAnsi"/>
          <w:sz w:val="22"/>
          <w:szCs w:val="22"/>
        </w:rPr>
        <w:t>negotiation sessions</w:t>
      </w:r>
      <w:r w:rsidR="006841CA" w:rsidRPr="008E5E3C">
        <w:rPr>
          <w:rFonts w:asciiTheme="minorHAnsi" w:hAnsiTheme="minorHAnsi" w:cstheme="minorHAnsi"/>
          <w:sz w:val="22"/>
          <w:szCs w:val="22"/>
        </w:rPr>
        <w:t xml:space="preserve"> </w:t>
      </w:r>
      <w:proofErr w:type="gramStart"/>
      <w:r w:rsidRPr="008E5E3C">
        <w:rPr>
          <w:rFonts w:asciiTheme="minorHAnsi" w:hAnsiTheme="minorHAnsi" w:cstheme="minorHAnsi"/>
          <w:sz w:val="22"/>
          <w:szCs w:val="22"/>
        </w:rPr>
        <w:t xml:space="preserve">that </w:t>
      </w:r>
      <w:r w:rsidR="008F7008">
        <w:rPr>
          <w:rFonts w:asciiTheme="minorHAnsi" w:hAnsiTheme="minorHAnsi" w:cstheme="minorHAnsi"/>
          <w:sz w:val="22"/>
          <w:szCs w:val="22"/>
        </w:rPr>
        <w:t xml:space="preserve"> took</w:t>
      </w:r>
      <w:proofErr w:type="gramEnd"/>
      <w:r w:rsidR="008F7008">
        <w:rPr>
          <w:rFonts w:asciiTheme="minorHAnsi" w:hAnsiTheme="minorHAnsi" w:cstheme="minorHAnsi"/>
          <w:sz w:val="22"/>
          <w:szCs w:val="22"/>
        </w:rPr>
        <w:t xml:space="preserve"> place</w:t>
      </w:r>
      <w:r w:rsidRPr="008E5E3C">
        <w:rPr>
          <w:rFonts w:asciiTheme="minorHAnsi" w:hAnsiTheme="minorHAnsi" w:cstheme="minorHAnsi"/>
          <w:sz w:val="22"/>
          <w:szCs w:val="22"/>
        </w:rPr>
        <w:t xml:space="preserve"> in Washington, DC </w:t>
      </w:r>
      <w:r w:rsidR="008F7008">
        <w:rPr>
          <w:rFonts w:asciiTheme="minorHAnsi" w:hAnsiTheme="minorHAnsi" w:cstheme="minorHAnsi"/>
          <w:sz w:val="22"/>
          <w:szCs w:val="22"/>
        </w:rPr>
        <w:t xml:space="preserve"> from January to March 2012 </w:t>
      </w:r>
      <w:r w:rsidRPr="008E5E3C">
        <w:rPr>
          <w:rFonts w:asciiTheme="minorHAnsi" w:hAnsiTheme="minorHAnsi" w:cstheme="minorHAnsi"/>
          <w:sz w:val="22"/>
          <w:szCs w:val="22"/>
        </w:rPr>
        <w:t xml:space="preserve">where members of the public provided their input during the Negotiated </w:t>
      </w:r>
      <w:r w:rsidRPr="008E5E3C">
        <w:rPr>
          <w:rFonts w:asciiTheme="minorHAnsi" w:hAnsiTheme="minorHAnsi" w:cstheme="minorHAnsi"/>
          <w:sz w:val="22"/>
          <w:szCs w:val="22"/>
        </w:rPr>
        <w:lastRenderedPageBreak/>
        <w:t>Rulemaking meetings</w:t>
      </w:r>
      <w:r w:rsidR="008F7008">
        <w:rPr>
          <w:rFonts w:asciiTheme="minorHAnsi" w:hAnsiTheme="minorHAnsi" w:cstheme="minorHAnsi"/>
          <w:sz w:val="22"/>
          <w:szCs w:val="22"/>
        </w:rPr>
        <w:t>,</w:t>
      </w:r>
      <w:r w:rsidRPr="008E5E3C">
        <w:rPr>
          <w:rFonts w:asciiTheme="minorHAnsi" w:hAnsiTheme="minorHAnsi" w:cstheme="minorHAnsi"/>
          <w:sz w:val="22"/>
          <w:szCs w:val="22"/>
        </w:rPr>
        <w:t xml:space="preserve"> as required under section 492 of the Higher Education Act of 1965, as amended (HEA).</w:t>
      </w:r>
    </w:p>
    <w:p w:rsidR="008A11D8" w:rsidRPr="008E5E3C" w:rsidRDefault="008A11D8">
      <w:pPr>
        <w:tabs>
          <w:tab w:val="left" w:pos="-720"/>
        </w:tabs>
        <w:suppressAutoHyphens/>
        <w:rPr>
          <w:rFonts w:asciiTheme="minorHAnsi" w:hAnsiTheme="minorHAnsi" w:cstheme="minorHAnsi"/>
          <w:sz w:val="22"/>
          <w:szCs w:val="22"/>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8E5E3C" w:rsidRPr="00CC0911" w:rsidRDefault="008E5E3C" w:rsidP="008E5E3C">
      <w:pPr>
        <w:widowControl w:val="0"/>
        <w:spacing w:after="200"/>
        <w:ind w:left="720"/>
        <w:rPr>
          <w:rFonts w:ascii="Calibri" w:hAnsi="Calibri"/>
          <w:snapToGrid w:val="0"/>
          <w:sz w:val="22"/>
          <w:szCs w:val="22"/>
        </w:rPr>
      </w:pPr>
      <w:r w:rsidRPr="00CC0911">
        <w:rPr>
          <w:rFonts w:ascii="Calibri" w:hAnsi="Calibri"/>
          <w:snapToGrid w:val="0"/>
          <w:sz w:val="22"/>
          <w:szCs w:val="22"/>
        </w:rPr>
        <w:t>No payments or gifts will be provided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roofErr w:type="gramEnd"/>
    </w:p>
    <w:p w:rsidR="00386054" w:rsidRPr="00EF7FF5" w:rsidRDefault="00386054">
      <w:pPr>
        <w:tabs>
          <w:tab w:val="left" w:pos="-720"/>
        </w:tabs>
        <w:suppressAutoHyphens/>
        <w:rPr>
          <w:rFonts w:ascii="Times New Roman" w:hAnsi="Times New Roman"/>
          <w:szCs w:val="24"/>
        </w:rPr>
      </w:pPr>
    </w:p>
    <w:p w:rsidR="00386054" w:rsidRPr="008E5E3C" w:rsidRDefault="008E5E3C" w:rsidP="008E5E3C">
      <w:pPr>
        <w:tabs>
          <w:tab w:val="left" w:pos="-720"/>
        </w:tabs>
        <w:suppressAutoHyphens/>
        <w:ind w:left="720"/>
        <w:rPr>
          <w:rFonts w:asciiTheme="minorHAnsi" w:hAnsiTheme="minorHAnsi" w:cstheme="minorHAnsi"/>
          <w:sz w:val="22"/>
          <w:szCs w:val="22"/>
        </w:rPr>
      </w:pPr>
      <w:r>
        <w:rPr>
          <w:rFonts w:asciiTheme="minorHAnsi" w:hAnsiTheme="minorHAnsi" w:cstheme="minorHAnsi"/>
          <w:sz w:val="22"/>
          <w:szCs w:val="22"/>
        </w:rPr>
        <w:t>No assurance of confidentiality is provided to the respondents who will be receiving these notifications as proposed.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8E5E3C" w:rsidRPr="008E5E3C" w:rsidRDefault="008E5E3C" w:rsidP="008E5E3C">
      <w:pPr>
        <w:tabs>
          <w:tab w:val="left" w:pos="-720"/>
        </w:tabs>
        <w:suppressAutoHyphens/>
        <w:ind w:left="720"/>
        <w:rPr>
          <w:rFonts w:asciiTheme="minorHAnsi" w:hAnsiTheme="minorHAnsi" w:cstheme="minorHAnsi"/>
          <w:sz w:val="22"/>
          <w:szCs w:val="22"/>
        </w:rPr>
      </w:pPr>
      <w:r w:rsidRPr="008E5E3C">
        <w:rPr>
          <w:rFonts w:asciiTheme="minorHAnsi" w:hAnsiTheme="minorHAnsi" w:cstheme="minorHAnsi"/>
          <w:sz w:val="22"/>
          <w:szCs w:val="22"/>
        </w:rPr>
        <w:t>While borrowers in an IBR plan will be reminded that they have to submit annual income information to continue in the IBR repayment plan in future years, the notification will just remind the participants of this requirement.</w:t>
      </w:r>
    </w:p>
    <w:p w:rsidR="008E5E3C" w:rsidRPr="008E5E3C" w:rsidRDefault="008E5E3C">
      <w:pPr>
        <w:tabs>
          <w:tab w:val="left" w:pos="-720"/>
        </w:tabs>
        <w:suppressAutoHyphens/>
        <w:rPr>
          <w:rFonts w:asciiTheme="minorHAnsi" w:hAnsiTheme="minorHAnsi" w:cstheme="minorHAnsi"/>
          <w:sz w:val="22"/>
          <w:szCs w:val="22"/>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 xml:space="preserve">Unless directed to do so, agencies should not conduct special surveys to obtain information on which to </w:t>
      </w:r>
      <w:r w:rsidRPr="00EF7FF5">
        <w:rPr>
          <w:rStyle w:val="a"/>
          <w:rFonts w:ascii="Times New Roman" w:hAnsi="Times New Roman"/>
          <w:szCs w:val="24"/>
        </w:rPr>
        <w:lastRenderedPageBreak/>
        <w:t>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Default="00386054">
      <w:pPr>
        <w:suppressAutoHyphens/>
        <w:rPr>
          <w:rFonts w:ascii="Times New Roman" w:hAnsi="Times New Roman"/>
          <w:szCs w:val="24"/>
        </w:rPr>
      </w:pPr>
    </w:p>
    <w:p w:rsidR="008F7008" w:rsidRDefault="00D707A6">
      <w:pPr>
        <w:suppressAutoHyphens/>
        <w:rPr>
          <w:rFonts w:ascii="Times New Roman" w:hAnsi="Times New Roman"/>
          <w:szCs w:val="24"/>
        </w:rPr>
      </w:pPr>
      <w:r>
        <w:rPr>
          <w:rFonts w:ascii="Times New Roman" w:hAnsi="Times New Roman"/>
          <w:szCs w:val="24"/>
        </w:rPr>
        <w:t>We used the most recent reports on IBR applications examining the number of loans being repaid under IBR being serviced by the Title IV Additional Servicers (TIVAS).  We determined that 71 percent of all of the non-defaulted Federal Family Education Loan (FFEL) Program loans are held by the Department and are serviced by the (TIVAS).  The remaining 29 percent of the non-defaulted FFELs are being held by commercial for-profit and non-for-profit holders.  We applied these percentages to the IBR participation data from the TIVAS, as identified above, and estimate tha</w:t>
      </w:r>
      <w:r w:rsidR="00E0774C">
        <w:rPr>
          <w:rFonts w:ascii="Times New Roman" w:hAnsi="Times New Roman"/>
          <w:szCs w:val="24"/>
        </w:rPr>
        <w:t>t</w:t>
      </w:r>
      <w:r>
        <w:rPr>
          <w:rFonts w:ascii="Times New Roman" w:hAnsi="Times New Roman"/>
          <w:szCs w:val="24"/>
        </w:rPr>
        <w:t xml:space="preserve"> the annualized number of commercially held loans being repaid under IBR is 290,268.  However, the data available does not allow us to further disaggregate this number into affected entities (Public, Private-Not-for-Profit, and Proprietary entities).  Therefore we can only identify the estimated number of responses that these entities will provide to borrowers.</w:t>
      </w:r>
    </w:p>
    <w:p w:rsidR="00D707A6" w:rsidRPr="00EF7FF5" w:rsidRDefault="00D707A6">
      <w:pPr>
        <w:suppressAutoHyphens/>
        <w:rPr>
          <w:rFonts w:ascii="Times New Roman" w:hAnsi="Times New Roman"/>
          <w:szCs w:val="24"/>
        </w:rPr>
      </w:pPr>
    </w:p>
    <w:p w:rsidR="00386054" w:rsidRDefault="008E5E3C">
      <w:pPr>
        <w:suppressAutoHyphens/>
        <w:rPr>
          <w:rFonts w:ascii="Times New Roman" w:hAnsi="Times New Roman"/>
          <w:szCs w:val="24"/>
        </w:rPr>
      </w:pPr>
      <w:r>
        <w:rPr>
          <w:rFonts w:ascii="Times New Roman" w:hAnsi="Times New Roman"/>
          <w:szCs w:val="24"/>
        </w:rPr>
        <w:t>Estimated number of annual respondents: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D707A6">
        <w:rPr>
          <w:rFonts w:ascii="Times New Roman" w:hAnsi="Times New Roman"/>
          <w:szCs w:val="24"/>
        </w:rPr>
        <w:t>N/A</w:t>
      </w:r>
    </w:p>
    <w:p w:rsidR="008E5E3C" w:rsidRDefault="008E5E3C">
      <w:pPr>
        <w:suppressAutoHyphens/>
        <w:rPr>
          <w:rFonts w:ascii="Times New Roman" w:hAnsi="Times New Roman"/>
          <w:szCs w:val="24"/>
        </w:rPr>
      </w:pPr>
    </w:p>
    <w:p w:rsidR="008E5E3C" w:rsidRDefault="008E5E3C">
      <w:pPr>
        <w:suppressAutoHyphens/>
        <w:rPr>
          <w:rFonts w:ascii="Times New Roman" w:hAnsi="Times New Roman"/>
          <w:szCs w:val="24"/>
        </w:rPr>
      </w:pPr>
      <w:r>
        <w:rPr>
          <w:rFonts w:ascii="Times New Roman" w:hAnsi="Times New Roman"/>
          <w:szCs w:val="24"/>
        </w:rPr>
        <w:t>Number of responses: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EF204A">
        <w:rPr>
          <w:rFonts w:ascii="Times New Roman" w:hAnsi="Times New Roman"/>
          <w:szCs w:val="24"/>
        </w:rPr>
        <w:tab/>
      </w:r>
      <w:r w:rsidR="00EF204A">
        <w:rPr>
          <w:rFonts w:ascii="Times New Roman" w:hAnsi="Times New Roman"/>
          <w:szCs w:val="24"/>
        </w:rPr>
        <w:tab/>
        <w:t xml:space="preserve">      </w:t>
      </w:r>
      <w:r w:rsidR="00D707A6">
        <w:rPr>
          <w:rFonts w:ascii="Times New Roman" w:hAnsi="Times New Roman"/>
          <w:szCs w:val="24"/>
        </w:rPr>
        <w:t>290,268</w:t>
      </w:r>
    </w:p>
    <w:p w:rsidR="008E5E3C" w:rsidRDefault="008E5E3C">
      <w:pPr>
        <w:suppressAutoHyphens/>
        <w:rPr>
          <w:rFonts w:ascii="Times New Roman" w:hAnsi="Times New Roman"/>
          <w:szCs w:val="24"/>
        </w:rPr>
      </w:pPr>
    </w:p>
    <w:p w:rsidR="008E5E3C" w:rsidRDefault="008E5E3C">
      <w:pPr>
        <w:suppressAutoHyphens/>
        <w:rPr>
          <w:rFonts w:ascii="Times New Roman" w:hAnsi="Times New Roman"/>
          <w:szCs w:val="24"/>
          <w:u w:val="single"/>
        </w:rPr>
      </w:pPr>
      <w:r>
        <w:rPr>
          <w:rFonts w:ascii="Times New Roman" w:hAnsi="Times New Roman"/>
          <w:szCs w:val="24"/>
        </w:rPr>
        <w:t>Hours per response: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8E5E3C">
        <w:rPr>
          <w:rFonts w:ascii="Times New Roman" w:hAnsi="Times New Roman"/>
          <w:szCs w:val="24"/>
          <w:u w:val="single"/>
        </w:rPr>
        <w:t>x          0.08</w:t>
      </w:r>
    </w:p>
    <w:p w:rsidR="008E5E3C" w:rsidRDefault="008E5E3C">
      <w:pPr>
        <w:suppressAutoHyphens/>
        <w:rPr>
          <w:rFonts w:ascii="Times New Roman" w:hAnsi="Times New Roman"/>
          <w:szCs w:val="24"/>
        </w:rPr>
      </w:pPr>
    </w:p>
    <w:p w:rsidR="008E5E3C" w:rsidRPr="008E5E3C" w:rsidRDefault="008E5E3C">
      <w:pPr>
        <w:suppressAutoHyphens/>
        <w:rPr>
          <w:rFonts w:ascii="Times New Roman" w:hAnsi="Times New Roman"/>
          <w:szCs w:val="24"/>
        </w:rPr>
      </w:pPr>
      <w:r>
        <w:rPr>
          <w:rFonts w:ascii="Times New Roman" w:hAnsi="Times New Roman"/>
          <w:szCs w:val="24"/>
        </w:rPr>
        <w:t>Annual hour burden: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EF204A">
        <w:rPr>
          <w:rFonts w:ascii="Times New Roman" w:hAnsi="Times New Roman"/>
          <w:szCs w:val="24"/>
        </w:rPr>
        <w:t xml:space="preserve">       </w:t>
      </w:r>
      <w:r>
        <w:rPr>
          <w:rFonts w:ascii="Times New Roman" w:hAnsi="Times New Roman"/>
          <w:szCs w:val="24"/>
        </w:rPr>
        <w:t>23,221 hours</w:t>
      </w:r>
      <w:r>
        <w:rPr>
          <w:rFonts w:ascii="Times New Roman" w:hAnsi="Times New Roman"/>
          <w:szCs w:val="24"/>
        </w:rPr>
        <w:tab/>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w:t>
      </w:r>
      <w:r w:rsidRPr="00EF7FF5">
        <w:rPr>
          <w:rFonts w:ascii="Times New Roman" w:hAnsi="Times New Roman"/>
          <w:szCs w:val="24"/>
        </w:rPr>
        <w:lastRenderedPageBreak/>
        <w:t>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 xml:space="preserve">Total Annualized Capital/Startup Cost: </w:t>
      </w:r>
      <w:bookmarkStart w:id="1"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1"/>
      <w:r w:rsidR="00CF0441">
        <w:rPr>
          <w:rFonts w:ascii="Times New Roman" w:hAnsi="Times New Roman"/>
          <w:szCs w:val="24"/>
        </w:rPr>
        <w:t xml:space="preserve">                   0</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00CF0441">
        <w:rPr>
          <w:rFonts w:ascii="Times New Roman" w:hAnsi="Times New Roman"/>
          <w:szCs w:val="24"/>
        </w:rPr>
        <w:t xml:space="preserve"> </w:t>
      </w:r>
      <w:r w:rsidRPr="00EF7FF5">
        <w:rPr>
          <w:rFonts w:ascii="Times New Roman" w:hAnsi="Times New Roman"/>
          <w:szCs w:val="24"/>
        </w:rPr>
        <w:t xml:space="preserve">: </w:t>
      </w:r>
      <w:bookmarkStart w:id="2"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r w:rsidR="00CF0441">
        <w:rPr>
          <w:rFonts w:ascii="Times New Roman" w:hAnsi="Times New Roman"/>
          <w:szCs w:val="24"/>
        </w:rPr>
        <w:t xml:space="preserve">                    0    </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00CF0441">
        <w:rPr>
          <w:rFonts w:ascii="Times New Roman" w:hAnsi="Times New Roman"/>
          <w:szCs w:val="24"/>
        </w:rPr>
        <w:t xml:space="preserve"> </w:t>
      </w:r>
      <w:r w:rsidRPr="00EF7FF5">
        <w:rPr>
          <w:rFonts w:ascii="Times New Roman" w:hAnsi="Times New Roman"/>
          <w:szCs w:val="24"/>
        </w:rPr>
        <w:t xml:space="preserve">: </w:t>
      </w:r>
      <w:bookmarkStart w:id="3"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r w:rsidR="00CF0441">
        <w:rPr>
          <w:rFonts w:ascii="Times New Roman" w:hAnsi="Times New Roman"/>
          <w:szCs w:val="24"/>
        </w:rPr>
        <w:t xml:space="preserve">                    0</w:t>
      </w:r>
    </w:p>
    <w:p w:rsidR="00386054" w:rsidRDefault="00386054">
      <w:pPr>
        <w:tabs>
          <w:tab w:val="left" w:pos="-720"/>
        </w:tabs>
        <w:suppressAutoHyphens/>
        <w:rPr>
          <w:rFonts w:ascii="Times New Roman" w:hAnsi="Times New Roman"/>
          <w:szCs w:val="24"/>
        </w:rPr>
      </w:pPr>
    </w:p>
    <w:p w:rsidR="00E0774C" w:rsidRDefault="00E0774C">
      <w:pPr>
        <w:tabs>
          <w:tab w:val="left" w:pos="-720"/>
        </w:tabs>
        <w:suppressAutoHyphens/>
        <w:rPr>
          <w:rFonts w:ascii="Times New Roman" w:hAnsi="Times New Roman"/>
          <w:szCs w:val="24"/>
        </w:rPr>
      </w:pPr>
      <w:r w:rsidRPr="004F19E6">
        <w:rPr>
          <w:rFonts w:ascii="Calibri" w:hAnsi="Calibri" w:cs="Calibri"/>
          <w:snapToGrid w:val="0"/>
          <w:sz w:val="22"/>
          <w:szCs w:val="22"/>
        </w:rPr>
        <w:t xml:space="preserve">There are </w:t>
      </w:r>
      <w:r>
        <w:rPr>
          <w:rFonts w:ascii="Calibri" w:hAnsi="Calibri" w:cs="Calibri"/>
          <w:snapToGrid w:val="0"/>
          <w:sz w:val="22"/>
          <w:szCs w:val="22"/>
        </w:rPr>
        <w:t>minimal</w:t>
      </w:r>
      <w:r w:rsidRPr="004F19E6">
        <w:rPr>
          <w:rFonts w:ascii="Calibri" w:hAnsi="Calibri" w:cs="Calibri"/>
          <w:snapToGrid w:val="0"/>
          <w:sz w:val="22"/>
          <w:szCs w:val="22"/>
        </w:rPr>
        <w:t xml:space="preserve"> capital/startup costs </w:t>
      </w:r>
      <w:r>
        <w:rPr>
          <w:rFonts w:ascii="Calibri" w:hAnsi="Calibri" w:cs="Calibri"/>
          <w:snapToGrid w:val="0"/>
          <w:sz w:val="22"/>
          <w:szCs w:val="22"/>
        </w:rPr>
        <w:t>to respondents as they are currently required to make numerous notifications to their borrowers.  T</w:t>
      </w:r>
      <w:r w:rsidRPr="004F19E6">
        <w:rPr>
          <w:rFonts w:ascii="Calibri" w:hAnsi="Calibri" w:cs="Calibri"/>
          <w:snapToGrid w:val="0"/>
          <w:sz w:val="22"/>
          <w:szCs w:val="22"/>
        </w:rPr>
        <w:t>here</w:t>
      </w:r>
      <w:r>
        <w:rPr>
          <w:rFonts w:ascii="Calibri" w:hAnsi="Calibri" w:cs="Calibri"/>
          <w:snapToGrid w:val="0"/>
          <w:sz w:val="22"/>
          <w:szCs w:val="22"/>
        </w:rPr>
        <w:t xml:space="preserve"> are minimal</w:t>
      </w:r>
      <w:r w:rsidRPr="004F19E6">
        <w:rPr>
          <w:rFonts w:ascii="Calibri" w:hAnsi="Calibri" w:cs="Calibri"/>
          <w:snapToGrid w:val="0"/>
          <w:sz w:val="22"/>
          <w:szCs w:val="22"/>
        </w:rPr>
        <w:t xml:space="preserve"> annual costs to respondents associated with operating or maintaining systems or purchasing services.</w:t>
      </w:r>
      <w:r>
        <w:rPr>
          <w:rFonts w:ascii="Calibri" w:hAnsi="Calibri" w:cs="Calibri"/>
          <w:snapToGrid w:val="0"/>
          <w:sz w:val="22"/>
          <w:szCs w:val="22"/>
        </w:rPr>
        <w:t xml:space="preserve">  </w:t>
      </w:r>
    </w:p>
    <w:p w:rsidR="00E0774C" w:rsidRPr="00EF7FF5" w:rsidRDefault="00E0774C">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CF0441" w:rsidRPr="00DF30F3" w:rsidRDefault="00CF0441" w:rsidP="00CF0441">
      <w:pPr>
        <w:widowControl w:val="0"/>
        <w:tabs>
          <w:tab w:val="left" w:pos="-720"/>
        </w:tabs>
        <w:suppressAutoHyphens/>
        <w:rPr>
          <w:rFonts w:ascii="Calibri" w:hAnsi="Calibri" w:cs="Calibri"/>
          <w:snapToGrid w:val="0"/>
          <w:sz w:val="22"/>
          <w:szCs w:val="22"/>
        </w:rPr>
      </w:pPr>
      <w:r w:rsidRPr="00DF30F3">
        <w:rPr>
          <w:rFonts w:ascii="Calibri" w:hAnsi="Calibri" w:cs="Calibri"/>
          <w:snapToGrid w:val="0"/>
          <w:sz w:val="22"/>
          <w:szCs w:val="22"/>
        </w:rPr>
        <w:t>Total Annualized Capital/Startup Cost:</w:t>
      </w:r>
      <w:r w:rsidRPr="00DF30F3">
        <w:rPr>
          <w:rFonts w:ascii="Calibri" w:hAnsi="Calibri" w:cs="Calibri"/>
          <w:snapToGrid w:val="0"/>
          <w:sz w:val="22"/>
          <w:szCs w:val="22"/>
        </w:rPr>
        <w:tab/>
        <w:t>0</w:t>
      </w:r>
    </w:p>
    <w:p w:rsidR="00CF0441" w:rsidRPr="00DF30F3" w:rsidRDefault="00CF0441" w:rsidP="00CF0441">
      <w:pPr>
        <w:widowControl w:val="0"/>
        <w:tabs>
          <w:tab w:val="left" w:pos="-720"/>
        </w:tabs>
        <w:suppressAutoHyphens/>
        <w:rPr>
          <w:rFonts w:ascii="Calibri" w:hAnsi="Calibri" w:cs="Calibri"/>
          <w:snapToGrid w:val="0"/>
          <w:sz w:val="22"/>
          <w:szCs w:val="22"/>
        </w:rPr>
      </w:pPr>
      <w:r w:rsidRPr="00DF30F3">
        <w:rPr>
          <w:rFonts w:ascii="Calibri" w:hAnsi="Calibri" w:cs="Calibri"/>
          <w:snapToGrid w:val="0"/>
          <w:sz w:val="22"/>
          <w:szCs w:val="22"/>
        </w:rPr>
        <w:t>Total Annual Costs (O&amp;M):</w:t>
      </w:r>
      <w:r w:rsidRPr="00DF30F3">
        <w:rPr>
          <w:rFonts w:ascii="Calibri" w:hAnsi="Calibri" w:cs="Calibri"/>
          <w:snapToGrid w:val="0"/>
          <w:sz w:val="22"/>
          <w:szCs w:val="22"/>
        </w:rPr>
        <w:tab/>
      </w:r>
      <w:r w:rsidRPr="00DF30F3">
        <w:rPr>
          <w:rFonts w:ascii="Calibri" w:hAnsi="Calibri" w:cs="Calibri"/>
          <w:snapToGrid w:val="0"/>
          <w:sz w:val="22"/>
          <w:szCs w:val="22"/>
        </w:rPr>
        <w:tab/>
        <w:t>0</w:t>
      </w:r>
    </w:p>
    <w:p w:rsidR="00CF0441" w:rsidRPr="00DF30F3" w:rsidRDefault="00CF0441" w:rsidP="00CF0441">
      <w:pPr>
        <w:widowControl w:val="0"/>
        <w:tabs>
          <w:tab w:val="left" w:pos="-720"/>
        </w:tabs>
        <w:suppressAutoHyphens/>
        <w:rPr>
          <w:rFonts w:ascii="Calibri" w:hAnsi="Calibri" w:cs="Calibri"/>
          <w:snapToGrid w:val="0"/>
          <w:sz w:val="22"/>
          <w:szCs w:val="22"/>
        </w:rPr>
      </w:pPr>
      <w:r w:rsidRPr="00DF30F3">
        <w:rPr>
          <w:rFonts w:ascii="Calibri" w:hAnsi="Calibri" w:cs="Calibri"/>
          <w:snapToGrid w:val="0"/>
          <w:sz w:val="22"/>
          <w:szCs w:val="22"/>
        </w:rPr>
        <w:tab/>
      </w:r>
      <w:r w:rsidRPr="00DF30F3">
        <w:rPr>
          <w:rFonts w:ascii="Calibri" w:hAnsi="Calibri" w:cs="Calibri"/>
          <w:snapToGrid w:val="0"/>
          <w:sz w:val="22"/>
          <w:szCs w:val="22"/>
        </w:rPr>
        <w:tab/>
      </w:r>
      <w:r w:rsidRPr="00DF30F3">
        <w:rPr>
          <w:rFonts w:ascii="Calibri" w:hAnsi="Calibri" w:cs="Calibri"/>
          <w:snapToGrid w:val="0"/>
          <w:sz w:val="22"/>
          <w:szCs w:val="22"/>
        </w:rPr>
        <w:tab/>
      </w:r>
      <w:r w:rsidRPr="00DF30F3">
        <w:rPr>
          <w:rFonts w:ascii="Calibri" w:hAnsi="Calibri" w:cs="Calibri"/>
          <w:snapToGrid w:val="0"/>
          <w:sz w:val="22"/>
          <w:szCs w:val="22"/>
        </w:rPr>
        <w:tab/>
        <w:t xml:space="preserve">     ______</w:t>
      </w:r>
    </w:p>
    <w:p w:rsidR="00CF0441" w:rsidRDefault="00CF0441" w:rsidP="00CF0441">
      <w:pPr>
        <w:widowControl w:val="0"/>
        <w:tabs>
          <w:tab w:val="left" w:pos="-720"/>
        </w:tabs>
        <w:suppressAutoHyphens/>
        <w:rPr>
          <w:rFonts w:ascii="Calibri" w:hAnsi="Calibri" w:cs="Calibri"/>
          <w:snapToGrid w:val="0"/>
          <w:sz w:val="22"/>
          <w:szCs w:val="22"/>
        </w:rPr>
      </w:pPr>
      <w:r w:rsidRPr="00DF30F3">
        <w:rPr>
          <w:rFonts w:ascii="Calibri" w:hAnsi="Calibri" w:cs="Calibri"/>
          <w:snapToGrid w:val="0"/>
          <w:sz w:val="22"/>
          <w:szCs w:val="22"/>
        </w:rPr>
        <w:t>Total Annualized Costs Requested:</w:t>
      </w:r>
      <w:r w:rsidRPr="00DF30F3">
        <w:rPr>
          <w:rFonts w:ascii="Calibri" w:hAnsi="Calibri" w:cs="Calibri"/>
          <w:snapToGrid w:val="0"/>
          <w:sz w:val="22"/>
          <w:szCs w:val="22"/>
        </w:rPr>
        <w:tab/>
        <w:t>0</w:t>
      </w:r>
    </w:p>
    <w:p w:rsidR="00CF0441" w:rsidRDefault="00CF0441" w:rsidP="00CF0441">
      <w:pPr>
        <w:widowControl w:val="0"/>
        <w:tabs>
          <w:tab w:val="left" w:pos="-720"/>
        </w:tabs>
        <w:suppressAutoHyphens/>
        <w:rPr>
          <w:rFonts w:ascii="Calibri" w:hAnsi="Calibri" w:cs="Calibri"/>
          <w:snapToGrid w:val="0"/>
          <w:sz w:val="22"/>
          <w:szCs w:val="22"/>
        </w:rPr>
      </w:pPr>
    </w:p>
    <w:p w:rsidR="00CF0441" w:rsidRPr="00EF7FF5" w:rsidRDefault="00CF0441" w:rsidP="00CF0441">
      <w:pPr>
        <w:widowControl w:val="0"/>
        <w:rPr>
          <w:rFonts w:ascii="Times New Roman" w:hAnsi="Times New Roman"/>
          <w:szCs w:val="24"/>
        </w:rPr>
      </w:pPr>
      <w:r w:rsidRPr="004F19E6">
        <w:rPr>
          <w:rFonts w:ascii="Calibri" w:hAnsi="Calibri" w:cs="Calibri"/>
          <w:snapToGrid w:val="0"/>
          <w:sz w:val="22"/>
          <w:szCs w:val="22"/>
        </w:rPr>
        <w:t>There are no capital/startup costs to respondents, nor are there any annual costs to respondents associated with operating or maintaining systems or purchasing services.</w:t>
      </w:r>
      <w:r>
        <w:rPr>
          <w:rFonts w:ascii="Calibri" w:hAnsi="Calibri" w:cs="Calibri"/>
          <w:snapToGrid w:val="0"/>
          <w:sz w:val="22"/>
          <w:szCs w:val="22"/>
        </w:rPr>
        <w:t xml:space="preserve">  </w:t>
      </w:r>
      <w:r w:rsidRPr="004D1978">
        <w:rPr>
          <w:rFonts w:ascii="Calibri" w:hAnsi="Calibri"/>
          <w:sz w:val="22"/>
          <w:szCs w:val="22"/>
        </w:rPr>
        <w:t xml:space="preserve">The cost to the federal government is minimal for </w:t>
      </w:r>
      <w:r>
        <w:rPr>
          <w:rFonts w:ascii="Calibri" w:hAnsi="Calibri"/>
          <w:sz w:val="22"/>
          <w:szCs w:val="22"/>
        </w:rPr>
        <w:t>these notifications</w:t>
      </w:r>
      <w:r w:rsidRPr="004D1978">
        <w:rPr>
          <w:rFonts w:ascii="Calibri" w:hAnsi="Calibri"/>
          <w:sz w:val="22"/>
          <w:szCs w:val="22"/>
        </w:rPr>
        <w:t xml:space="preserve">.  </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 xml:space="preserve">s control (e.g., correcting a burden estimate or an organic increase in the size of the reporting universe). Program changes result from a deliberate action that materially changes a collection of information and generally are result of new statute or an agency action (e.g., </w:t>
      </w:r>
      <w:r w:rsidRPr="00EF7FF5">
        <w:rPr>
          <w:rFonts w:ascii="Times New Roman" w:hAnsi="Times New Roman"/>
          <w:szCs w:val="24"/>
        </w:rPr>
        <w:lastRenderedPageBreak/>
        <w:t>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CF0441" w:rsidRDefault="00CF0441">
      <w:pPr>
        <w:tabs>
          <w:tab w:val="left" w:pos="-720"/>
        </w:tabs>
        <w:suppressAutoHyphens/>
        <w:rPr>
          <w:rFonts w:ascii="Times New Roman" w:hAnsi="Times New Roman"/>
          <w:szCs w:val="24"/>
        </w:rPr>
      </w:pPr>
    </w:p>
    <w:p w:rsidR="00CF0441" w:rsidRPr="00CF0441" w:rsidRDefault="00CF0441" w:rsidP="00CF0441">
      <w:pPr>
        <w:tabs>
          <w:tab w:val="left" w:pos="-720"/>
        </w:tabs>
        <w:suppressAutoHyphens/>
        <w:ind w:left="720"/>
        <w:rPr>
          <w:rFonts w:asciiTheme="minorHAnsi" w:hAnsiTheme="minorHAnsi" w:cstheme="minorHAnsi"/>
          <w:sz w:val="22"/>
          <w:szCs w:val="22"/>
        </w:rPr>
      </w:pPr>
      <w:r w:rsidRPr="00CF0441">
        <w:rPr>
          <w:rFonts w:asciiTheme="minorHAnsi" w:hAnsiTheme="minorHAnsi" w:cstheme="minorHAnsi"/>
          <w:sz w:val="22"/>
          <w:szCs w:val="22"/>
        </w:rPr>
        <w:t>This is a new information collection</w:t>
      </w:r>
      <w:r w:rsidR="00E0774C">
        <w:rPr>
          <w:rFonts w:asciiTheme="minorHAnsi" w:hAnsiTheme="minorHAnsi" w:cstheme="minorHAnsi"/>
          <w:sz w:val="22"/>
          <w:szCs w:val="22"/>
        </w:rPr>
        <w:t xml:space="preserve"> based on new proposed regulations</w:t>
      </w:r>
      <w:r w:rsidRPr="00CF0441">
        <w:rPr>
          <w:rFonts w:asciiTheme="minorHAnsi" w:hAnsiTheme="minorHAnsi" w:cstheme="minorHAnsi"/>
          <w:sz w:val="22"/>
          <w:szCs w:val="22"/>
        </w:rPr>
        <w:t>.  Under the proposed regulations, loans holders would be required to provide notifications described above to borrowers who are placed into an IBR repayment plan.</w:t>
      </w:r>
    </w:p>
    <w:p w:rsidR="00386054" w:rsidRPr="00CF0441" w:rsidRDefault="00386054">
      <w:pPr>
        <w:tabs>
          <w:tab w:val="left" w:pos="-720"/>
        </w:tabs>
        <w:suppressAutoHyphens/>
        <w:rPr>
          <w:rFonts w:asciiTheme="minorHAnsi" w:hAnsiTheme="minorHAnsi" w:cstheme="minorHAnsi"/>
          <w:sz w:val="22"/>
          <w:szCs w:val="22"/>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CF0441" w:rsidRPr="004F19E6" w:rsidRDefault="00CF0441" w:rsidP="00CF0441">
      <w:pPr>
        <w:widowControl w:val="0"/>
        <w:spacing w:after="200"/>
        <w:ind w:left="720"/>
        <w:rPr>
          <w:rFonts w:ascii="Calibri" w:hAnsi="Calibri"/>
          <w:snapToGrid w:val="0"/>
          <w:sz w:val="22"/>
          <w:szCs w:val="22"/>
        </w:rPr>
      </w:pPr>
      <w:r w:rsidRPr="004F19E6">
        <w:rPr>
          <w:rFonts w:ascii="Calibri" w:hAnsi="Calibri"/>
          <w:snapToGrid w:val="0"/>
          <w:sz w:val="22"/>
          <w:szCs w:val="22"/>
        </w:rPr>
        <w:t>The results of this information collection will not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CF0441" w:rsidRPr="004F19E6" w:rsidRDefault="00CF0441" w:rsidP="00CF0441">
      <w:pPr>
        <w:widowControl w:val="0"/>
        <w:spacing w:after="200"/>
        <w:ind w:left="720"/>
        <w:rPr>
          <w:rFonts w:ascii="Calibri" w:hAnsi="Calibri"/>
          <w:snapToGrid w:val="0"/>
          <w:sz w:val="22"/>
          <w:szCs w:val="22"/>
        </w:rPr>
      </w:pPr>
      <w:r w:rsidRPr="004F19E6">
        <w:rPr>
          <w:rFonts w:ascii="Calibri" w:hAnsi="Calibri"/>
          <w:snapToGrid w:val="0"/>
          <w:sz w:val="22"/>
          <w:szCs w:val="22"/>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CF0441" w:rsidRDefault="00CF0441">
      <w:pPr>
        <w:tabs>
          <w:tab w:val="left" w:pos="-720"/>
        </w:tabs>
        <w:suppressAutoHyphens/>
        <w:rPr>
          <w:rStyle w:val="a"/>
          <w:rFonts w:ascii="Times New Roman" w:hAnsi="Times New Roman"/>
          <w:szCs w:val="24"/>
        </w:rPr>
      </w:pPr>
    </w:p>
    <w:p w:rsidR="00CF0441" w:rsidRPr="004F19E6" w:rsidRDefault="00CF0441" w:rsidP="00CF0441">
      <w:pPr>
        <w:widowControl w:val="0"/>
        <w:spacing w:after="200"/>
        <w:ind w:left="720"/>
        <w:rPr>
          <w:rFonts w:ascii="Calibri" w:hAnsi="Calibri"/>
          <w:snapToGrid w:val="0"/>
          <w:sz w:val="22"/>
          <w:szCs w:val="22"/>
        </w:rPr>
      </w:pPr>
      <w:r w:rsidRPr="004F19E6">
        <w:rPr>
          <w:rFonts w:ascii="Calibri" w:hAnsi="Calibri"/>
          <w:snapToGrid w:val="0"/>
          <w:sz w:val="22"/>
          <w:szCs w:val="22"/>
        </w:rPr>
        <w:t>The Department is not requesting any exceptions to the Certification for Paperwork Reduction Act Submissions.</w:t>
      </w:r>
    </w:p>
    <w:p w:rsidR="00CF0441" w:rsidRPr="00EF7FF5" w:rsidRDefault="00CF0441">
      <w:pPr>
        <w:tabs>
          <w:tab w:val="left" w:pos="-720"/>
        </w:tabs>
        <w:suppressAutoHyphens/>
        <w:rPr>
          <w:rFonts w:ascii="Times New Roman" w:hAnsi="Times New Roman"/>
          <w:szCs w:val="24"/>
        </w:rPr>
      </w:pPr>
    </w:p>
    <w:sectPr w:rsidR="00CF0441" w:rsidRPr="00EF7FF5" w:rsidSect="00E0729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290" w:rsidRDefault="00647290">
      <w:pPr>
        <w:spacing w:line="20" w:lineRule="exact"/>
      </w:pPr>
    </w:p>
  </w:endnote>
  <w:endnote w:type="continuationSeparator" w:id="0">
    <w:p w:rsidR="00647290" w:rsidRDefault="00647290">
      <w:r>
        <w:t xml:space="preserve"> </w:t>
      </w:r>
    </w:p>
  </w:endnote>
  <w:endnote w:type="continuationNotice" w:id="1">
    <w:p w:rsidR="00647290" w:rsidRDefault="0064729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4C" w:rsidRDefault="00E077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159253"/>
      <w:docPartObj>
        <w:docPartGallery w:val="Page Numbers (Bottom of Page)"/>
        <w:docPartUnique/>
      </w:docPartObj>
    </w:sdtPr>
    <w:sdtEndPr>
      <w:rPr>
        <w:noProof/>
      </w:rPr>
    </w:sdtEndPr>
    <w:sdtContent>
      <w:p w:rsidR="008E5E3C" w:rsidRDefault="008E5E3C">
        <w:pPr>
          <w:pStyle w:val="Footer"/>
          <w:jc w:val="center"/>
        </w:pPr>
        <w:r>
          <w:fldChar w:fldCharType="begin"/>
        </w:r>
        <w:r>
          <w:instrText xml:space="preserve"> PAGE   \* MERGEFORMAT </w:instrText>
        </w:r>
        <w:r>
          <w:fldChar w:fldCharType="separate"/>
        </w:r>
        <w:r w:rsidR="00EF204A">
          <w:rPr>
            <w:noProof/>
          </w:rPr>
          <w:t>1</w:t>
        </w:r>
        <w:r>
          <w:rPr>
            <w:noProof/>
          </w:rPr>
          <w:fldChar w:fldCharType="end"/>
        </w:r>
      </w:p>
    </w:sdtContent>
  </w:sdt>
  <w:p w:rsidR="008E5E3C" w:rsidRDefault="008E5E3C">
    <w:pPr>
      <w:tabs>
        <w:tab w:val="left" w:pos="0"/>
      </w:tabs>
      <w:suppressAutoHyphen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4C" w:rsidRDefault="00E07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290" w:rsidRDefault="00647290">
      <w:r>
        <w:separator/>
      </w:r>
    </w:p>
  </w:footnote>
  <w:footnote w:type="continuationSeparator" w:id="0">
    <w:p w:rsidR="00647290" w:rsidRDefault="00647290">
      <w:r>
        <w:continuationSeparator/>
      </w:r>
    </w:p>
  </w:footnote>
  <w:footnote w:id="1">
    <w:p w:rsidR="008E5E3C" w:rsidRDefault="008E5E3C">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8E5E3C" w:rsidRDefault="008E5E3C">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4C" w:rsidRDefault="00E077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E3C" w:rsidRDefault="008E5E3C">
    <w:pPr>
      <w:pStyle w:val="Header"/>
      <w:rPr>
        <w:rFonts w:ascii="Times New Roman" w:hAnsi="Times New Roman"/>
        <w:sz w:val="20"/>
      </w:rPr>
    </w:pPr>
    <w:r>
      <w:rPr>
        <w:rFonts w:ascii="Times New Roman" w:hAnsi="Times New Roman"/>
        <w:sz w:val="20"/>
      </w:rPr>
      <w:t>EDICS Tracking and OMB Number: (04865) 1845-NEWA                                         Revised: 05/</w:t>
    </w:r>
    <w:r w:rsidR="00E0774C">
      <w:rPr>
        <w:rFonts w:ascii="Times New Roman" w:hAnsi="Times New Roman"/>
        <w:sz w:val="20"/>
      </w:rPr>
      <w:t>18</w:t>
    </w:r>
    <w:r>
      <w:rPr>
        <w:rFonts w:ascii="Times New Roman" w:hAnsi="Times New Roman"/>
        <w:sz w:val="20"/>
      </w:rPr>
      <w:t>/2012</w:t>
    </w:r>
  </w:p>
  <w:p w:rsidR="008E5E3C" w:rsidRPr="00386054" w:rsidRDefault="008E5E3C">
    <w:pPr>
      <w:pStyle w:val="Header"/>
      <w:rPr>
        <w:rFonts w:ascii="Times New Roman" w:hAnsi="Times New Roman"/>
        <w:sz w:val="20"/>
      </w:rPr>
    </w:pPr>
    <w:r>
      <w:rPr>
        <w:rFonts w:ascii="Times New Roman" w:hAnsi="Times New Roman"/>
        <w:sz w:val="20"/>
      </w:rPr>
      <w:t>RIN Number: 1840-AD05 (if applicable)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4C" w:rsidRDefault="00E077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6B8A5D4C"/>
    <w:multiLevelType w:val="hybridMultilevel"/>
    <w:tmpl w:val="10029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4500F"/>
    <w:rsid w:val="00153F20"/>
    <w:rsid w:val="001743A5"/>
    <w:rsid w:val="0018279C"/>
    <w:rsid w:val="001959AC"/>
    <w:rsid w:val="001A4A0B"/>
    <w:rsid w:val="002473CE"/>
    <w:rsid w:val="002B0412"/>
    <w:rsid w:val="002B0A95"/>
    <w:rsid w:val="002D1BF9"/>
    <w:rsid w:val="00386054"/>
    <w:rsid w:val="003C29C2"/>
    <w:rsid w:val="003C7F70"/>
    <w:rsid w:val="003E285A"/>
    <w:rsid w:val="004A2DBB"/>
    <w:rsid w:val="004E23D9"/>
    <w:rsid w:val="004F692A"/>
    <w:rsid w:val="00512598"/>
    <w:rsid w:val="00563CCF"/>
    <w:rsid w:val="005A1566"/>
    <w:rsid w:val="005A1DFC"/>
    <w:rsid w:val="005A4185"/>
    <w:rsid w:val="005D2E7B"/>
    <w:rsid w:val="0063484C"/>
    <w:rsid w:val="00647290"/>
    <w:rsid w:val="00654305"/>
    <w:rsid w:val="006737C0"/>
    <w:rsid w:val="00677BC2"/>
    <w:rsid w:val="006841CA"/>
    <w:rsid w:val="006A3B5C"/>
    <w:rsid w:val="006C01D0"/>
    <w:rsid w:val="00752AA7"/>
    <w:rsid w:val="007661D9"/>
    <w:rsid w:val="007B14E8"/>
    <w:rsid w:val="007C12B5"/>
    <w:rsid w:val="007E77FA"/>
    <w:rsid w:val="008011B6"/>
    <w:rsid w:val="00845DE9"/>
    <w:rsid w:val="008A11D8"/>
    <w:rsid w:val="008E5E3C"/>
    <w:rsid w:val="008F3062"/>
    <w:rsid w:val="008F7008"/>
    <w:rsid w:val="00921CB1"/>
    <w:rsid w:val="009544A3"/>
    <w:rsid w:val="009949A8"/>
    <w:rsid w:val="00A01331"/>
    <w:rsid w:val="00A41F2C"/>
    <w:rsid w:val="00A87940"/>
    <w:rsid w:val="00A94CCB"/>
    <w:rsid w:val="00AB0D7D"/>
    <w:rsid w:val="00B23EC0"/>
    <w:rsid w:val="00BC244F"/>
    <w:rsid w:val="00BD1325"/>
    <w:rsid w:val="00C641E9"/>
    <w:rsid w:val="00C723C2"/>
    <w:rsid w:val="00CE72AF"/>
    <w:rsid w:val="00CF0441"/>
    <w:rsid w:val="00D115BF"/>
    <w:rsid w:val="00D269C3"/>
    <w:rsid w:val="00D707A6"/>
    <w:rsid w:val="00DD2A96"/>
    <w:rsid w:val="00E023B7"/>
    <w:rsid w:val="00E07290"/>
    <w:rsid w:val="00E0774C"/>
    <w:rsid w:val="00E72B52"/>
    <w:rsid w:val="00EA3C1F"/>
    <w:rsid w:val="00EC2CC4"/>
    <w:rsid w:val="00EF204A"/>
    <w:rsid w:val="00EF7FF5"/>
    <w:rsid w:val="00F3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1B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1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C587F-1C75-410E-BB0B-89F7C6AB8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2798</Words>
  <Characters>15909</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Dan Klock</cp:lastModifiedBy>
  <cp:revision>2</cp:revision>
  <cp:lastPrinted>2010-08-23T18:41:00Z</cp:lastPrinted>
  <dcterms:created xsi:type="dcterms:W3CDTF">2012-05-18T19:58:00Z</dcterms:created>
  <dcterms:modified xsi:type="dcterms:W3CDTF">2012-05-18T19:58:00Z</dcterms:modified>
</cp:coreProperties>
</file>