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5D10C1" w:rsidRPr="00EF7FF5" w:rsidRDefault="005D10C1">
      <w:pPr>
        <w:tabs>
          <w:tab w:val="left" w:pos="0"/>
        </w:tabs>
        <w:suppressAutoHyphens/>
        <w:rPr>
          <w:rFonts w:ascii="Times New Roman" w:hAnsi="Times New Roman"/>
          <w:szCs w:val="24"/>
        </w:rPr>
      </w:pPr>
    </w:p>
    <w:p w:rsidR="00386054" w:rsidRDefault="005D10C1" w:rsidP="002A40C5">
      <w:pPr>
        <w:tabs>
          <w:tab w:val="left" w:pos="720"/>
        </w:tabs>
        <w:suppressAutoHyphens/>
        <w:ind w:left="720"/>
        <w:rPr>
          <w:rFonts w:ascii="Times New Roman" w:hAnsi="Times New Roman"/>
          <w:szCs w:val="24"/>
        </w:rPr>
      </w:pPr>
      <w:r>
        <w:rPr>
          <w:rFonts w:ascii="Times New Roman" w:hAnsi="Times New Roman"/>
          <w:szCs w:val="24"/>
        </w:rPr>
        <w:t xml:space="preserve">The proposed regulations would modify the Federal Family Educational Loan </w:t>
      </w:r>
      <w:r w:rsidR="00620546">
        <w:rPr>
          <w:rFonts w:ascii="Times New Roman" w:hAnsi="Times New Roman"/>
          <w:szCs w:val="24"/>
        </w:rPr>
        <w:t xml:space="preserve">(FFEL) </w:t>
      </w:r>
      <w:r>
        <w:rPr>
          <w:rFonts w:ascii="Times New Roman" w:hAnsi="Times New Roman"/>
          <w:szCs w:val="24"/>
        </w:rPr>
        <w:t>Program by streamlining the total and permanent disability (TPD) discharge process.  Currently, under §682.402(c) once a borrower (or the borrower’s representative) contacts the loan holder</w:t>
      </w:r>
      <w:r w:rsidR="00620546">
        <w:rPr>
          <w:rFonts w:ascii="Times New Roman" w:hAnsi="Times New Roman"/>
          <w:szCs w:val="24"/>
        </w:rPr>
        <w:t xml:space="preserve"> (lender or guaranty agency)</w:t>
      </w:r>
      <w:r>
        <w:rPr>
          <w:rFonts w:ascii="Times New Roman" w:hAnsi="Times New Roman"/>
          <w:szCs w:val="24"/>
        </w:rPr>
        <w:t xml:space="preserve"> and requests a total and permanent disability discharge, the loan holder provides the borrower with an application form approved by the Secretary in part, to obtain a certification by a physician.  Upon receipt of the completed and submitted TPD application, the loan holder would review the submission for completeness, </w:t>
      </w:r>
      <w:r w:rsidR="00B92931">
        <w:rPr>
          <w:rFonts w:ascii="Times New Roman" w:hAnsi="Times New Roman"/>
          <w:szCs w:val="24"/>
        </w:rPr>
        <w:t xml:space="preserve">contact the borrower if additional information is needed, the </w:t>
      </w:r>
      <w:r w:rsidR="00620546">
        <w:rPr>
          <w:rFonts w:ascii="Times New Roman" w:hAnsi="Times New Roman"/>
          <w:szCs w:val="24"/>
        </w:rPr>
        <w:t>holder</w:t>
      </w:r>
      <w:r w:rsidR="00B92931">
        <w:rPr>
          <w:rFonts w:ascii="Times New Roman" w:hAnsi="Times New Roman"/>
          <w:szCs w:val="24"/>
        </w:rPr>
        <w:t xml:space="preserve"> would make a determination as to whether the application supports the conclusion that the borrower is totally and permanently disabled.  If the holders determine that the application supports the conclusion, then the guaranty agency would assign the FFEL loan to the Secretary who would make the final determination to discharge or deny the discharge of the FFEL loan.  In cases where a borrower has multiple </w:t>
      </w:r>
      <w:r w:rsidR="00620546">
        <w:rPr>
          <w:rFonts w:ascii="Times New Roman" w:hAnsi="Times New Roman"/>
          <w:szCs w:val="24"/>
        </w:rPr>
        <w:t>loan holders</w:t>
      </w:r>
      <w:r w:rsidR="00B92931">
        <w:rPr>
          <w:rFonts w:ascii="Times New Roman" w:hAnsi="Times New Roman"/>
          <w:szCs w:val="24"/>
        </w:rPr>
        <w:t xml:space="preserve">, a separate application would be required to be completed and submitted to each </w:t>
      </w:r>
      <w:r w:rsidR="00620546">
        <w:rPr>
          <w:rFonts w:ascii="Times New Roman" w:hAnsi="Times New Roman"/>
          <w:szCs w:val="24"/>
        </w:rPr>
        <w:t>holder</w:t>
      </w:r>
      <w:r w:rsidR="00B92931">
        <w:rPr>
          <w:rFonts w:ascii="Times New Roman" w:hAnsi="Times New Roman"/>
          <w:szCs w:val="24"/>
        </w:rPr>
        <w:t>.</w:t>
      </w:r>
    </w:p>
    <w:p w:rsidR="005752CB" w:rsidRDefault="005752CB" w:rsidP="002A40C5">
      <w:pPr>
        <w:tabs>
          <w:tab w:val="left" w:pos="720"/>
        </w:tabs>
        <w:suppressAutoHyphens/>
        <w:ind w:left="720"/>
        <w:rPr>
          <w:rFonts w:ascii="Times New Roman" w:hAnsi="Times New Roman"/>
          <w:szCs w:val="24"/>
        </w:rPr>
      </w:pPr>
    </w:p>
    <w:p w:rsidR="00B92931" w:rsidRDefault="00B92931" w:rsidP="002A40C5">
      <w:pPr>
        <w:tabs>
          <w:tab w:val="left" w:pos="720"/>
        </w:tabs>
        <w:suppressAutoHyphens/>
        <w:ind w:left="720"/>
        <w:rPr>
          <w:rFonts w:ascii="Times New Roman" w:hAnsi="Times New Roman"/>
          <w:szCs w:val="24"/>
        </w:rPr>
      </w:pPr>
      <w:r>
        <w:rPr>
          <w:rFonts w:ascii="Times New Roman" w:hAnsi="Times New Roman"/>
          <w:szCs w:val="24"/>
        </w:rPr>
        <w:t>Under the proposed regulations, loan holders contacted by borrowers (or the borrower’s representative) requesting a TPD discharge are referred to the U.S. Department of Education.  The Department would contact all of the borrower’s loan holders to suspend collections activity for a period not to exceed 120 days from the date the borrower contacted the Department.  The loan holders would no longer collect, review, and evaluate the borrower’s application for discharge.</w:t>
      </w:r>
    </w:p>
    <w:p w:rsidR="005752CB" w:rsidRDefault="005752CB" w:rsidP="002A40C5">
      <w:pPr>
        <w:tabs>
          <w:tab w:val="left" w:pos="720"/>
        </w:tabs>
        <w:suppressAutoHyphens/>
        <w:ind w:left="720"/>
        <w:rPr>
          <w:rFonts w:ascii="Times New Roman" w:hAnsi="Times New Roman"/>
          <w:szCs w:val="24"/>
        </w:rPr>
      </w:pPr>
    </w:p>
    <w:p w:rsidR="001524B9" w:rsidRPr="00EF7FF5" w:rsidRDefault="001524B9" w:rsidP="002A40C5">
      <w:pPr>
        <w:tabs>
          <w:tab w:val="left" w:pos="720"/>
        </w:tabs>
        <w:suppressAutoHyphens/>
        <w:ind w:left="720"/>
        <w:rPr>
          <w:rFonts w:ascii="Times New Roman" w:hAnsi="Times New Roman"/>
          <w:szCs w:val="24"/>
        </w:rPr>
      </w:pPr>
      <w:r>
        <w:rPr>
          <w:rFonts w:ascii="Times New Roman" w:hAnsi="Times New Roman"/>
          <w:szCs w:val="24"/>
        </w:rPr>
        <w:t xml:space="preserve">This information collection is a revision of </w:t>
      </w:r>
      <w:r w:rsidR="00620546">
        <w:rPr>
          <w:rFonts w:ascii="Times New Roman" w:hAnsi="Times New Roman"/>
          <w:szCs w:val="24"/>
        </w:rPr>
        <w:t xml:space="preserve">the current </w:t>
      </w:r>
      <w:r>
        <w:rPr>
          <w:rFonts w:ascii="Times New Roman" w:hAnsi="Times New Roman"/>
          <w:szCs w:val="24"/>
        </w:rPr>
        <w:t xml:space="preserve">OMB </w:t>
      </w:r>
      <w:r w:rsidR="00620546">
        <w:rPr>
          <w:rFonts w:ascii="Times New Roman" w:hAnsi="Times New Roman"/>
          <w:szCs w:val="24"/>
        </w:rPr>
        <w:t>collection</w:t>
      </w:r>
      <w:r>
        <w:rPr>
          <w:rFonts w:ascii="Times New Roman" w:hAnsi="Times New Roman"/>
          <w:szCs w:val="24"/>
        </w:rPr>
        <w:t>1845-0020.</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500211" w:rsidRDefault="004175C3">
      <w:pPr>
        <w:tabs>
          <w:tab w:val="left" w:pos="-720"/>
        </w:tabs>
        <w:suppressAutoHyphens/>
        <w:rPr>
          <w:rFonts w:ascii="Times New Roman" w:hAnsi="Times New Roman"/>
          <w:szCs w:val="24"/>
        </w:rPr>
      </w:pPr>
      <w:r>
        <w:rPr>
          <w:rFonts w:ascii="Times New Roman" w:hAnsi="Times New Roman"/>
          <w:szCs w:val="24"/>
        </w:rPr>
        <w:tab/>
      </w:r>
    </w:p>
    <w:p w:rsidR="00386054" w:rsidRPr="00EF7FF5" w:rsidRDefault="004175C3" w:rsidP="002A40C5">
      <w:pPr>
        <w:tabs>
          <w:tab w:val="left" w:pos="-720"/>
        </w:tabs>
        <w:suppressAutoHyphens/>
        <w:ind w:left="720"/>
        <w:rPr>
          <w:rFonts w:ascii="Times New Roman" w:hAnsi="Times New Roman"/>
          <w:szCs w:val="24"/>
        </w:rPr>
      </w:pPr>
      <w:r>
        <w:rPr>
          <w:rFonts w:ascii="Times New Roman" w:hAnsi="Times New Roman"/>
          <w:szCs w:val="24"/>
        </w:rPr>
        <w:lastRenderedPageBreak/>
        <w:t xml:space="preserve">The </w:t>
      </w:r>
      <w:r w:rsidR="00DD0BBF">
        <w:rPr>
          <w:rFonts w:ascii="Times New Roman" w:hAnsi="Times New Roman"/>
          <w:szCs w:val="24"/>
        </w:rPr>
        <w:t xml:space="preserve">current </w:t>
      </w:r>
      <w:r>
        <w:rPr>
          <w:rFonts w:ascii="Times New Roman" w:hAnsi="Times New Roman"/>
          <w:szCs w:val="24"/>
        </w:rPr>
        <w:t>regulations provide for the discharge of a</w:t>
      </w:r>
      <w:r w:rsidR="00620546">
        <w:rPr>
          <w:rFonts w:ascii="Times New Roman" w:hAnsi="Times New Roman"/>
          <w:szCs w:val="24"/>
        </w:rPr>
        <w:t>n</w:t>
      </w:r>
      <w:r>
        <w:rPr>
          <w:rFonts w:ascii="Times New Roman" w:hAnsi="Times New Roman"/>
          <w:szCs w:val="24"/>
        </w:rPr>
        <w:t xml:space="preserve"> F FEL</w:t>
      </w:r>
      <w:r w:rsidR="00620546">
        <w:rPr>
          <w:rFonts w:ascii="Times New Roman" w:hAnsi="Times New Roman"/>
          <w:szCs w:val="24"/>
        </w:rPr>
        <w:t xml:space="preserve"> program loan</w:t>
      </w:r>
      <w:r>
        <w:rPr>
          <w:rFonts w:ascii="Times New Roman" w:hAnsi="Times New Roman"/>
          <w:szCs w:val="24"/>
        </w:rPr>
        <w:t xml:space="preserve"> when a borrower is totally and permanently disabled and thereby unable to engage in any substantial gainful activity by reason of any medically determined physical or mental impairment that can be expected to result in death or can be expected to last for a continuous period of not less than 60 months.  The proposed regulations remove the collection, review, and evaluation of the TPD discharge application from the loan holder and transfer that responsibility to the Department under a streamlined process.  The loan holder’s responsibility is to </w:t>
      </w:r>
      <w:r w:rsidR="00500211">
        <w:rPr>
          <w:rFonts w:ascii="Times New Roman" w:hAnsi="Times New Roman"/>
          <w:szCs w:val="24"/>
        </w:rPr>
        <w:t>refer the borrower (or the borrower’s representative) to the Department.</w:t>
      </w:r>
    </w:p>
    <w:p w:rsidR="00386054" w:rsidRPr="00EF7FF5" w:rsidRDefault="00386054">
      <w:pPr>
        <w:tabs>
          <w:tab w:val="left" w:pos="-720"/>
        </w:tabs>
        <w:suppressAutoHyphens/>
        <w:rPr>
          <w:rFonts w:ascii="Times New Roman" w:hAnsi="Times New Roman"/>
          <w:szCs w:val="24"/>
        </w:rPr>
      </w:pPr>
    </w:p>
    <w:p w:rsidR="00500211"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500211" w:rsidRDefault="00500211">
      <w:pPr>
        <w:tabs>
          <w:tab w:val="left" w:pos="-720"/>
        </w:tabs>
        <w:suppressAutoHyphens/>
        <w:rPr>
          <w:rFonts w:ascii="Times New Roman" w:hAnsi="Times New Roman"/>
          <w:szCs w:val="24"/>
        </w:rPr>
      </w:pPr>
    </w:p>
    <w:p w:rsidR="00386054" w:rsidRPr="00EF7FF5" w:rsidRDefault="00500211" w:rsidP="002A40C5">
      <w:pPr>
        <w:tabs>
          <w:tab w:val="left" w:pos="-720"/>
        </w:tabs>
        <w:suppressAutoHyphens/>
        <w:ind w:left="720" w:hanging="720"/>
        <w:rPr>
          <w:rFonts w:ascii="Times New Roman" w:hAnsi="Times New Roman"/>
          <w:szCs w:val="24"/>
        </w:rPr>
      </w:pPr>
      <w:r>
        <w:rPr>
          <w:rFonts w:ascii="Times New Roman" w:hAnsi="Times New Roman"/>
          <w:szCs w:val="24"/>
        </w:rPr>
        <w:tab/>
        <w:t>It is expected that loan holders will provide much of the information about total and permanent disability discharges to borrowers via the loan holder’s web site.  We expect that</w:t>
      </w:r>
      <w:r w:rsidR="003E285A">
        <w:rPr>
          <w:rFonts w:ascii="Times New Roman" w:hAnsi="Times New Roman"/>
          <w:szCs w:val="24"/>
        </w:rPr>
        <w:t xml:space="preserve"> </w:t>
      </w:r>
      <w:r>
        <w:rPr>
          <w:rFonts w:ascii="Times New Roman" w:hAnsi="Times New Roman"/>
          <w:szCs w:val="24"/>
        </w:rPr>
        <w:t xml:space="preserve">affected borrowers will contact loan holders via email </w:t>
      </w:r>
      <w:r w:rsidR="00DD0BBF">
        <w:rPr>
          <w:rFonts w:ascii="Times New Roman" w:hAnsi="Times New Roman"/>
          <w:szCs w:val="24"/>
        </w:rPr>
        <w:t xml:space="preserve">(rather than call or write letters that require a response) </w:t>
      </w:r>
      <w:r>
        <w:rPr>
          <w:rFonts w:ascii="Times New Roman" w:hAnsi="Times New Roman"/>
          <w:szCs w:val="24"/>
        </w:rPr>
        <w:t xml:space="preserve">and that loan holders will provide information on how to contact the Department to obtain the </w:t>
      </w:r>
      <w:r w:rsidR="00E60EA8">
        <w:rPr>
          <w:rFonts w:ascii="Times New Roman" w:hAnsi="Times New Roman"/>
          <w:szCs w:val="24"/>
        </w:rPr>
        <w:t xml:space="preserve">TPD </w:t>
      </w:r>
      <w:r>
        <w:rPr>
          <w:rFonts w:ascii="Times New Roman" w:hAnsi="Times New Roman"/>
          <w:szCs w:val="24"/>
        </w:rPr>
        <w:t xml:space="preserve">application form approved by </w:t>
      </w:r>
      <w:r w:rsidR="00DD0BBF">
        <w:rPr>
          <w:rFonts w:ascii="Times New Roman" w:hAnsi="Times New Roman"/>
          <w:szCs w:val="24"/>
        </w:rPr>
        <w:t xml:space="preserve">and provided by </w:t>
      </w:r>
      <w:r>
        <w:rPr>
          <w:rFonts w:ascii="Times New Roman" w:hAnsi="Times New Roman"/>
          <w:szCs w:val="24"/>
        </w:rPr>
        <w:t>the Secretary.</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500211" w:rsidRDefault="00500211">
      <w:pPr>
        <w:tabs>
          <w:tab w:val="left" w:pos="-720"/>
        </w:tabs>
        <w:suppressAutoHyphens/>
        <w:rPr>
          <w:rFonts w:ascii="Times New Roman" w:hAnsi="Times New Roman"/>
          <w:szCs w:val="24"/>
        </w:rPr>
      </w:pPr>
    </w:p>
    <w:p w:rsidR="00500211" w:rsidRPr="00EF7FF5" w:rsidRDefault="00500211" w:rsidP="002A40C5">
      <w:pPr>
        <w:tabs>
          <w:tab w:val="left" w:pos="-720"/>
        </w:tabs>
        <w:suppressAutoHyphens/>
        <w:ind w:left="720"/>
        <w:rPr>
          <w:rFonts w:ascii="Times New Roman" w:hAnsi="Times New Roman"/>
          <w:szCs w:val="24"/>
        </w:rPr>
      </w:pPr>
      <w:r>
        <w:rPr>
          <w:rFonts w:ascii="Times New Roman" w:hAnsi="Times New Roman"/>
          <w:szCs w:val="24"/>
        </w:rPr>
        <w:t>Currently, when borrowers have multiple lenders, an affected borrower would have to complete and submit a separate TPD application for each loan holder.  Under the proposed regulations, if the borrower contacts the loan holder to request a TPD discharge, the loan holder refers the borrower to the Department.  The Department would provide the borrower with the TPD application and contact all the loan holders to alert them that the borrower has up to 120 days to complete and submit the TPD application.  Thus, instead of completing and submitting separate TPD applications, the borrower will only have to complete and submit a single TP</w:t>
      </w:r>
      <w:r w:rsidR="00436FCC">
        <w:rPr>
          <w:rFonts w:ascii="Times New Roman" w:hAnsi="Times New Roman"/>
          <w:szCs w:val="24"/>
        </w:rPr>
        <w:t xml:space="preserve">D application to the Department, eliminating </w:t>
      </w:r>
      <w:r w:rsidR="00620546">
        <w:rPr>
          <w:rFonts w:ascii="Times New Roman" w:hAnsi="Times New Roman"/>
          <w:szCs w:val="24"/>
        </w:rPr>
        <w:t xml:space="preserve">multiple </w:t>
      </w:r>
      <w:r w:rsidR="00436FCC">
        <w:rPr>
          <w:rFonts w:ascii="Times New Roman" w:hAnsi="Times New Roman"/>
          <w:szCs w:val="24"/>
        </w:rPr>
        <w:t>filings.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Default="00386054" w:rsidP="002A40C5">
      <w:pPr>
        <w:tabs>
          <w:tab w:val="left" w:pos="-720"/>
        </w:tabs>
        <w:suppressAutoHyphens/>
        <w:ind w:left="720"/>
        <w:rPr>
          <w:rFonts w:ascii="Times New Roman" w:hAnsi="Times New Roman"/>
          <w:szCs w:val="24"/>
        </w:rPr>
      </w:pPr>
    </w:p>
    <w:p w:rsidR="002A40C5" w:rsidRPr="00EF7FF5" w:rsidRDefault="002A40C5" w:rsidP="002A40C5">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2A40C5">
      <w:pPr>
        <w:tabs>
          <w:tab w:val="left" w:pos="-720"/>
        </w:tabs>
        <w:suppressAutoHyphens/>
        <w:rPr>
          <w:rFonts w:ascii="Times New Roman" w:hAnsi="Times New Roman"/>
          <w:szCs w:val="24"/>
        </w:rPr>
      </w:pPr>
      <w:r>
        <w:rPr>
          <w:rFonts w:ascii="Times New Roman" w:hAnsi="Times New Roman"/>
          <w:szCs w:val="24"/>
        </w:rPr>
        <w:tab/>
      </w:r>
    </w:p>
    <w:p w:rsidR="002A40C5" w:rsidRPr="00EF7FF5" w:rsidRDefault="002A40C5" w:rsidP="002A40C5">
      <w:pPr>
        <w:tabs>
          <w:tab w:val="left" w:pos="-720"/>
        </w:tabs>
        <w:suppressAutoHyphens/>
        <w:ind w:left="720"/>
        <w:rPr>
          <w:rFonts w:ascii="Times New Roman" w:hAnsi="Times New Roman"/>
          <w:szCs w:val="24"/>
        </w:rPr>
      </w:pPr>
      <w:r>
        <w:rPr>
          <w:rFonts w:ascii="Times New Roman" w:hAnsi="Times New Roman"/>
          <w:szCs w:val="24"/>
        </w:rPr>
        <w:t>The streamlining process proposed through these regulations allows for the reduction of burden placed upon Federal Family Educational Loan program holders.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2A40C5" w:rsidRDefault="002A40C5" w:rsidP="002A40C5">
      <w:pPr>
        <w:pStyle w:val="ListParagraph"/>
        <w:rPr>
          <w:rFonts w:ascii="Times New Roman" w:hAnsi="Times New Roman"/>
          <w:szCs w:val="24"/>
        </w:rPr>
      </w:pPr>
    </w:p>
    <w:p w:rsidR="002A40C5" w:rsidRPr="00EF7FF5" w:rsidRDefault="002A40C5" w:rsidP="002A40C5">
      <w:pPr>
        <w:tabs>
          <w:tab w:val="left" w:pos="-720"/>
          <w:tab w:val="left" w:pos="1247"/>
        </w:tabs>
        <w:suppressAutoHyphens/>
        <w:ind w:left="720"/>
        <w:rPr>
          <w:rFonts w:ascii="Times New Roman" w:hAnsi="Times New Roman"/>
          <w:szCs w:val="24"/>
        </w:rPr>
      </w:pPr>
      <w:r>
        <w:rPr>
          <w:rFonts w:ascii="Times New Roman" w:hAnsi="Times New Roman"/>
          <w:szCs w:val="24"/>
        </w:rPr>
        <w:t>The collection of this information will continue to be conducted in a manner that is consistent with the guidelines in 5 CFR 1320.6.</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2A40C5" w:rsidP="002A40C5">
      <w:pPr>
        <w:tabs>
          <w:tab w:val="left" w:pos="-720"/>
        </w:tabs>
        <w:suppressAutoHyphens/>
        <w:ind w:left="720" w:hanging="720"/>
        <w:rPr>
          <w:rFonts w:ascii="Times New Roman" w:hAnsi="Times New Roman"/>
          <w:szCs w:val="24"/>
        </w:rPr>
      </w:pPr>
      <w:r>
        <w:rPr>
          <w:rFonts w:ascii="Times New Roman" w:hAnsi="Times New Roman"/>
          <w:szCs w:val="24"/>
        </w:rPr>
        <w:tab/>
        <w:t>These proposed regulations were developed through the Negotiated Rulemaking process where the public provided its input both through four public hearings that occurred in May of 2011</w:t>
      </w:r>
      <w:r w:rsidR="00E60EA8">
        <w:rPr>
          <w:rFonts w:ascii="Times New Roman" w:hAnsi="Times New Roman"/>
          <w:szCs w:val="24"/>
        </w:rPr>
        <w:t>,</w:t>
      </w:r>
      <w:r>
        <w:rPr>
          <w:rFonts w:ascii="Times New Roman" w:hAnsi="Times New Roman"/>
          <w:szCs w:val="24"/>
        </w:rPr>
        <w:t xml:space="preserve"> as well as a series of three meetings that occurred in Washington, DC where members of the public provided their input during the Negotiated Rulemaking meetings as required under section 492 of the Higher Education Act of 1965, as amended (HEA).</w:t>
      </w:r>
    </w:p>
    <w:p w:rsidR="00386054" w:rsidRPr="00EF7FF5" w:rsidRDefault="00386054" w:rsidP="002A40C5">
      <w:pPr>
        <w:tabs>
          <w:tab w:val="left" w:pos="-720"/>
        </w:tabs>
        <w:suppressAutoHyphens/>
        <w:ind w:left="720" w:hanging="720"/>
        <w:rPr>
          <w:rFonts w:ascii="Times New Roman" w:hAnsi="Times New Roman"/>
          <w:szCs w:val="24"/>
        </w:rPr>
      </w:pPr>
    </w:p>
    <w:p w:rsidR="00386054" w:rsidRPr="00EF7FF5" w:rsidRDefault="00386054" w:rsidP="00AB34E6">
      <w:pPr>
        <w:tabs>
          <w:tab w:val="left" w:pos="-720"/>
        </w:tabs>
        <w:suppressAutoHyphens/>
        <w:ind w:left="360" w:hanging="360"/>
        <w:rPr>
          <w:rFonts w:ascii="Times New Roman" w:hAnsi="Times New Roman"/>
          <w:szCs w:val="24"/>
        </w:rPr>
      </w:pPr>
      <w:r w:rsidRPr="00EF7FF5">
        <w:rPr>
          <w:rFonts w:ascii="Times New Roman" w:hAnsi="Times New Roman"/>
          <w:szCs w:val="24"/>
        </w:rPr>
        <w:t xml:space="preserve">9. </w:t>
      </w:r>
      <w:r w:rsidR="00AB34E6">
        <w:rPr>
          <w:rFonts w:ascii="Times New Roman" w:hAnsi="Times New Roman"/>
          <w:szCs w:val="24"/>
        </w:rPr>
        <w:t xml:space="preserve">  </w:t>
      </w:r>
      <w:r w:rsidRPr="00EF7FF5">
        <w:rPr>
          <w:rStyle w:val="a"/>
          <w:rFonts w:ascii="Times New Roman" w:hAnsi="Times New Roman"/>
          <w:szCs w:val="24"/>
        </w:rPr>
        <w:t>Explain any decision to provide any payment or gift to respo</w:t>
      </w:r>
      <w:r w:rsidR="00AB34E6">
        <w:rPr>
          <w:rStyle w:val="a"/>
          <w:rFonts w:ascii="Times New Roman" w:hAnsi="Times New Roman"/>
          <w:szCs w:val="24"/>
        </w:rPr>
        <w:t xml:space="preserve">ndents, other than remuneration </w:t>
      </w:r>
      <w:r w:rsidRPr="00EF7FF5">
        <w:rPr>
          <w:rStyle w:val="a"/>
          <w:rFonts w:ascii="Times New Roman" w:hAnsi="Times New Roman"/>
          <w:szCs w:val="24"/>
        </w:rPr>
        <w:t>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2A40C5">
      <w:pPr>
        <w:tabs>
          <w:tab w:val="left" w:pos="-720"/>
        </w:tabs>
        <w:suppressAutoHyphens/>
        <w:rPr>
          <w:rFonts w:ascii="Times New Roman" w:hAnsi="Times New Roman"/>
          <w:szCs w:val="24"/>
        </w:rPr>
      </w:pPr>
      <w:r>
        <w:rPr>
          <w:rFonts w:ascii="Times New Roman" w:hAnsi="Times New Roman"/>
          <w:szCs w:val="24"/>
        </w:rPr>
        <w:tab/>
        <w:t>No payments or gifts will be provided to the respondents.</w:t>
      </w:r>
    </w:p>
    <w:p w:rsidR="00386054" w:rsidRPr="00EF7FF5" w:rsidRDefault="00386054">
      <w:pPr>
        <w:tabs>
          <w:tab w:val="left" w:pos="-720"/>
        </w:tabs>
        <w:suppressAutoHyphens/>
        <w:rPr>
          <w:rFonts w:ascii="Times New Roman" w:hAnsi="Times New Roman"/>
          <w:szCs w:val="24"/>
        </w:rPr>
      </w:pPr>
    </w:p>
    <w:p w:rsidR="00AB34E6" w:rsidRPr="00AB34E6" w:rsidRDefault="00386054" w:rsidP="00AB34E6">
      <w:pPr>
        <w:pStyle w:val="ListParagraph"/>
        <w:numPr>
          <w:ilvl w:val="0"/>
          <w:numId w:val="12"/>
        </w:numPr>
        <w:tabs>
          <w:tab w:val="left" w:pos="-720"/>
        </w:tabs>
        <w:suppressAutoHyphens/>
        <w:ind w:left="360"/>
        <w:rPr>
          <w:rFonts w:ascii="Times New Roman" w:hAnsi="Times New Roman"/>
          <w:szCs w:val="24"/>
        </w:rPr>
      </w:pPr>
      <w:r w:rsidRPr="00AB34E6">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B34E6">
        <w:rPr>
          <w:rFonts w:ascii="Times New Roman" w:hAnsi="Times New Roman"/>
          <w:szCs w:val="24"/>
        </w:rPr>
        <w:t xml:space="preserve"> as indicated on the IC Data Form</w:t>
      </w:r>
      <w:r w:rsidRPr="00AB34E6">
        <w:rPr>
          <w:rFonts w:ascii="Times New Roman" w:hAnsi="Times New Roman"/>
          <w:szCs w:val="24"/>
        </w:rPr>
        <w:t xml:space="preserve">. A confidentiality statement with a legal citation that authorizes the </w:t>
      </w:r>
      <w:r w:rsidR="001743A5" w:rsidRPr="00AB34E6">
        <w:rPr>
          <w:rFonts w:ascii="Times New Roman" w:hAnsi="Times New Roman"/>
          <w:szCs w:val="24"/>
        </w:rPr>
        <w:t xml:space="preserve">pledge </w:t>
      </w:r>
      <w:r w:rsidRPr="00AB34E6">
        <w:rPr>
          <w:rFonts w:ascii="Times New Roman" w:hAnsi="Times New Roman"/>
          <w:szCs w:val="24"/>
        </w:rPr>
        <w:t xml:space="preserve">of </w:t>
      </w:r>
      <w:r w:rsidR="001743A5" w:rsidRPr="00AB34E6">
        <w:rPr>
          <w:rFonts w:ascii="Times New Roman" w:hAnsi="Times New Roman"/>
          <w:szCs w:val="24"/>
        </w:rPr>
        <w:t xml:space="preserve">confidentiality </w:t>
      </w:r>
      <w:r w:rsidRPr="00AB34E6">
        <w:rPr>
          <w:rFonts w:ascii="Times New Roman" w:hAnsi="Times New Roman"/>
          <w:szCs w:val="24"/>
        </w:rPr>
        <w:t>should be provided.</w:t>
      </w:r>
      <w:r>
        <w:rPr>
          <w:rStyle w:val="FootnoteReference"/>
          <w:szCs w:val="24"/>
        </w:rPr>
        <w:footnoteReference w:id="2"/>
      </w:r>
      <w:r w:rsidR="001743A5" w:rsidRPr="00AB34E6">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AB34E6">
        <w:rPr>
          <w:rFonts w:ascii="Times New Roman" w:hAnsi="Times New Roman"/>
          <w:szCs w:val="24"/>
        </w:rPr>
        <w:t>s</w:t>
      </w:r>
      <w:r w:rsidR="001743A5" w:rsidRPr="00AB34E6">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AB34E6" w:rsidP="00AB34E6">
      <w:pPr>
        <w:tabs>
          <w:tab w:val="left" w:pos="-720"/>
        </w:tabs>
        <w:suppressAutoHyphens/>
        <w:ind w:left="720" w:hanging="720"/>
        <w:rPr>
          <w:rFonts w:ascii="Times New Roman" w:hAnsi="Times New Roman"/>
          <w:szCs w:val="24"/>
        </w:rPr>
      </w:pPr>
      <w:r>
        <w:rPr>
          <w:rFonts w:ascii="Times New Roman" w:hAnsi="Times New Roman"/>
          <w:szCs w:val="24"/>
        </w:rPr>
        <w:tab/>
        <w:t>No personally identifiable information is collected as a result of these proposed regulations when a borrower requests information about a total and permanent disability (TPD) discharge and the loan holder refers the borrower (or the borrower’s representative) to the U.S. Department of Education to obtain an application for discharge.</w:t>
      </w:r>
    </w:p>
    <w:p w:rsidR="00386054" w:rsidRPr="00EF7FF5" w:rsidRDefault="00386054">
      <w:pPr>
        <w:tabs>
          <w:tab w:val="left" w:pos="-720"/>
        </w:tabs>
        <w:suppressAutoHyphens/>
        <w:rPr>
          <w:rFonts w:ascii="Times New Roman" w:hAnsi="Times New Roman"/>
          <w:szCs w:val="24"/>
        </w:rPr>
      </w:pPr>
    </w:p>
    <w:p w:rsidR="00386054" w:rsidRPr="00AB34E6" w:rsidRDefault="00386054" w:rsidP="00AB34E6">
      <w:pPr>
        <w:pStyle w:val="ListParagraph"/>
        <w:numPr>
          <w:ilvl w:val="0"/>
          <w:numId w:val="12"/>
        </w:numPr>
        <w:tabs>
          <w:tab w:val="left" w:pos="-720"/>
        </w:tabs>
        <w:suppressAutoHyphens/>
        <w:ind w:left="360"/>
        <w:rPr>
          <w:rFonts w:ascii="Times New Roman" w:hAnsi="Times New Roman"/>
          <w:szCs w:val="24"/>
        </w:rPr>
      </w:pPr>
      <w:r w:rsidRPr="00AB34E6">
        <w:rPr>
          <w:rFonts w:ascii="Times New Roman" w:hAnsi="Times New Roman"/>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B34E6" w:rsidRDefault="00AB34E6" w:rsidP="00AB34E6">
      <w:pPr>
        <w:pStyle w:val="ListParagraph"/>
        <w:tabs>
          <w:tab w:val="left" w:pos="-720"/>
        </w:tabs>
        <w:suppressAutoHyphens/>
        <w:ind w:left="735"/>
        <w:rPr>
          <w:rFonts w:ascii="Times New Roman" w:hAnsi="Times New Roman"/>
          <w:szCs w:val="24"/>
        </w:rPr>
      </w:pPr>
    </w:p>
    <w:p w:rsidR="00AB34E6" w:rsidRDefault="00AB34E6" w:rsidP="00AB34E6">
      <w:pPr>
        <w:pStyle w:val="ListParagraph"/>
        <w:tabs>
          <w:tab w:val="left" w:pos="-720"/>
        </w:tabs>
        <w:suppressAutoHyphens/>
        <w:ind w:left="735"/>
        <w:rPr>
          <w:rFonts w:ascii="Times New Roman" w:hAnsi="Times New Roman"/>
          <w:szCs w:val="24"/>
        </w:rPr>
      </w:pPr>
      <w:r>
        <w:rPr>
          <w:rFonts w:ascii="Times New Roman" w:hAnsi="Times New Roman"/>
          <w:szCs w:val="24"/>
        </w:rPr>
        <w:t>The Department is not requesting any sensitive data.</w:t>
      </w:r>
    </w:p>
    <w:p w:rsidR="00AB34E6" w:rsidRPr="00AB34E6" w:rsidRDefault="00AB34E6" w:rsidP="00AB34E6">
      <w:pPr>
        <w:pStyle w:val="ListParagraph"/>
        <w:tabs>
          <w:tab w:val="left" w:pos="-720"/>
        </w:tabs>
        <w:suppressAutoHyphens/>
        <w:ind w:left="360" w:hanging="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Default="003E3AF5" w:rsidP="003E3AF5">
      <w:pPr>
        <w:suppressAutoHyphens/>
        <w:ind w:left="1060"/>
        <w:rPr>
          <w:rFonts w:ascii="Times New Roman" w:hAnsi="Times New Roman"/>
          <w:szCs w:val="24"/>
        </w:rPr>
      </w:pPr>
      <w:r>
        <w:rPr>
          <w:rFonts w:ascii="Times New Roman" w:hAnsi="Times New Roman"/>
          <w:szCs w:val="24"/>
        </w:rPr>
        <w:t xml:space="preserve">Records for the 2011 award year (July 1, 2010 – June 30, 2011) indicate a total of 48,518 </w:t>
      </w:r>
      <w:r w:rsidR="00C867B7">
        <w:rPr>
          <w:rFonts w:ascii="Times New Roman" w:hAnsi="Times New Roman"/>
          <w:szCs w:val="24"/>
        </w:rPr>
        <w:t>b</w:t>
      </w:r>
      <w:r>
        <w:rPr>
          <w:rFonts w:ascii="Times New Roman" w:hAnsi="Times New Roman"/>
          <w:szCs w:val="24"/>
        </w:rPr>
        <w:t xml:space="preserve">orrowers </w:t>
      </w:r>
      <w:r w:rsidR="00C867B7">
        <w:rPr>
          <w:rFonts w:ascii="Times New Roman" w:hAnsi="Times New Roman"/>
          <w:szCs w:val="24"/>
        </w:rPr>
        <w:t>who had submitted applications for a TPD discharge.  Of that number</w:t>
      </w:r>
      <w:r>
        <w:rPr>
          <w:rFonts w:ascii="Times New Roman" w:hAnsi="Times New Roman"/>
          <w:szCs w:val="24"/>
        </w:rPr>
        <w:t xml:space="preserve"> 18,078 of the borrowers had ED held FFEL loans.</w:t>
      </w:r>
      <w:r w:rsidR="004742A6">
        <w:rPr>
          <w:rFonts w:ascii="Times New Roman" w:hAnsi="Times New Roman"/>
          <w:szCs w:val="24"/>
        </w:rPr>
        <w:t xml:space="preserve">  As ED held loans, under the proposed regulations there would be no need for a referral to the Department since the Department is already the loan holder.</w:t>
      </w:r>
      <w:r>
        <w:rPr>
          <w:rFonts w:ascii="Times New Roman" w:hAnsi="Times New Roman"/>
          <w:szCs w:val="24"/>
        </w:rPr>
        <w:t xml:space="preserve">  Therefore, the difference or 30,440 borrowers had non-ED held FFEL loans for which TPD applications were submitted.</w:t>
      </w:r>
      <w:r w:rsidR="00C867B7">
        <w:rPr>
          <w:rFonts w:ascii="Times New Roman" w:hAnsi="Times New Roman"/>
          <w:szCs w:val="24"/>
        </w:rPr>
        <w:t xml:space="preserve">  </w:t>
      </w:r>
      <w:r w:rsidR="004742A6">
        <w:rPr>
          <w:rFonts w:ascii="Times New Roman" w:hAnsi="Times New Roman"/>
          <w:szCs w:val="24"/>
        </w:rPr>
        <w:t xml:space="preserve">The data show that 19,935 borrowers were held by private not-for-profit entities and 10,505 borrowers were held by public entities.  We anticipate that the referral process will be highly automated and will make use of information that the loan holder can </w:t>
      </w:r>
      <w:r w:rsidR="004742A6">
        <w:rPr>
          <w:rFonts w:ascii="Times New Roman" w:hAnsi="Times New Roman"/>
          <w:szCs w:val="24"/>
        </w:rPr>
        <w:lastRenderedPageBreak/>
        <w:t xml:space="preserve">provide borrowers on </w:t>
      </w:r>
      <w:r w:rsidR="00E60EA8">
        <w:rPr>
          <w:rFonts w:ascii="Times New Roman" w:hAnsi="Times New Roman"/>
          <w:szCs w:val="24"/>
        </w:rPr>
        <w:t>loan holders’</w:t>
      </w:r>
      <w:r w:rsidR="004742A6">
        <w:rPr>
          <w:rFonts w:ascii="Times New Roman" w:hAnsi="Times New Roman"/>
          <w:szCs w:val="24"/>
        </w:rPr>
        <w:t xml:space="preserve"> web sites.  We estimate that on average a referral will take .03 hours (2 minutes)</w:t>
      </w:r>
      <w:r w:rsidR="00E60EA8">
        <w:rPr>
          <w:rFonts w:ascii="Times New Roman" w:hAnsi="Times New Roman"/>
          <w:szCs w:val="24"/>
        </w:rPr>
        <w:t xml:space="preserve"> per borrower</w:t>
      </w:r>
      <w:r w:rsidR="004742A6">
        <w:rPr>
          <w:rFonts w:ascii="Times New Roman" w:hAnsi="Times New Roman"/>
          <w:szCs w:val="24"/>
        </w:rPr>
        <w:t>.</w:t>
      </w:r>
    </w:p>
    <w:p w:rsidR="00C867B7" w:rsidRDefault="00C867B7" w:rsidP="003E3AF5">
      <w:pPr>
        <w:suppressAutoHyphens/>
        <w:ind w:left="1060"/>
        <w:rPr>
          <w:rFonts w:ascii="Times New Roman" w:hAnsi="Times New Roman"/>
          <w:szCs w:val="24"/>
        </w:rPr>
      </w:pPr>
    </w:p>
    <w:p w:rsidR="00C867B7" w:rsidRDefault="00C867B7" w:rsidP="003E3AF5">
      <w:pPr>
        <w:suppressAutoHyphens/>
        <w:ind w:left="1060"/>
        <w:rPr>
          <w:rFonts w:ascii="Times New Roman" w:hAnsi="Times New Roman"/>
          <w:szCs w:val="24"/>
        </w:rPr>
      </w:pPr>
      <w:r>
        <w:rPr>
          <w:rFonts w:ascii="Times New Roman" w:hAnsi="Times New Roman"/>
          <w:szCs w:val="24"/>
        </w:rPr>
        <w:t>Estimated number of non-ED held FFEL loans</w:t>
      </w:r>
      <w:r>
        <w:rPr>
          <w:rFonts w:ascii="Times New Roman" w:hAnsi="Times New Roman"/>
          <w:szCs w:val="24"/>
        </w:rPr>
        <w:tab/>
      </w:r>
      <w:r>
        <w:rPr>
          <w:rFonts w:ascii="Times New Roman" w:hAnsi="Times New Roman"/>
          <w:szCs w:val="24"/>
        </w:rPr>
        <w:tab/>
      </w:r>
    </w:p>
    <w:p w:rsidR="00C867B7" w:rsidRDefault="00C867B7" w:rsidP="003E3AF5">
      <w:pPr>
        <w:suppressAutoHyphens/>
        <w:ind w:left="1060"/>
        <w:rPr>
          <w:rFonts w:ascii="Times New Roman" w:hAnsi="Times New Roman"/>
          <w:szCs w:val="24"/>
        </w:rPr>
      </w:pPr>
      <w:r>
        <w:rPr>
          <w:rFonts w:ascii="Times New Roman" w:hAnsi="Times New Roman"/>
          <w:szCs w:val="24"/>
        </w:rPr>
        <w:tab/>
        <w:t>where a borrower requests a TPD discharge</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30,440</w:t>
      </w:r>
    </w:p>
    <w:p w:rsidR="004742A6" w:rsidRDefault="004742A6" w:rsidP="003E3AF5">
      <w:pPr>
        <w:suppressAutoHyphens/>
        <w:ind w:left="1060"/>
        <w:rPr>
          <w:rFonts w:ascii="Times New Roman" w:hAnsi="Times New Roman"/>
          <w:szCs w:val="24"/>
        </w:rPr>
      </w:pPr>
    </w:p>
    <w:p w:rsidR="004742A6" w:rsidRPr="004742A6" w:rsidRDefault="004742A6" w:rsidP="004742A6">
      <w:pPr>
        <w:pStyle w:val="ListParagraph"/>
        <w:numPr>
          <w:ilvl w:val="0"/>
          <w:numId w:val="14"/>
        </w:numPr>
        <w:suppressAutoHyphens/>
        <w:rPr>
          <w:rFonts w:ascii="Times New Roman" w:hAnsi="Times New Roman"/>
          <w:szCs w:val="24"/>
        </w:rPr>
      </w:pPr>
      <w:r w:rsidRPr="004742A6">
        <w:rPr>
          <w:rFonts w:ascii="Times New Roman" w:hAnsi="Times New Roman"/>
          <w:szCs w:val="24"/>
        </w:rPr>
        <w:t xml:space="preserve">Number of non-ED held FFEL loans held by a </w:t>
      </w:r>
    </w:p>
    <w:p w:rsidR="004742A6" w:rsidRDefault="004742A6" w:rsidP="004742A6">
      <w:pPr>
        <w:suppressAutoHyphens/>
        <w:ind w:left="1060" w:firstLine="380"/>
        <w:rPr>
          <w:rFonts w:ascii="Times New Roman" w:hAnsi="Times New Roman"/>
          <w:szCs w:val="24"/>
        </w:rPr>
      </w:pPr>
      <w:r>
        <w:rPr>
          <w:rFonts w:ascii="Times New Roman" w:hAnsi="Times New Roman"/>
          <w:szCs w:val="24"/>
        </w:rPr>
        <w:t>private not-for-profit entity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19,935</w:t>
      </w:r>
    </w:p>
    <w:p w:rsidR="00C867B7" w:rsidRDefault="00C867B7" w:rsidP="003E3AF5">
      <w:pPr>
        <w:suppressAutoHyphens/>
        <w:ind w:left="1060"/>
        <w:rPr>
          <w:rFonts w:ascii="Times New Roman" w:hAnsi="Times New Roman"/>
          <w:szCs w:val="24"/>
        </w:rPr>
      </w:pPr>
    </w:p>
    <w:p w:rsidR="00C867B7" w:rsidRDefault="00C867B7" w:rsidP="003E3AF5">
      <w:pPr>
        <w:suppressAutoHyphens/>
        <w:ind w:left="1060"/>
        <w:rPr>
          <w:rFonts w:ascii="Times New Roman" w:hAnsi="Times New Roman"/>
          <w:szCs w:val="24"/>
        </w:rPr>
      </w:pPr>
      <w:r>
        <w:rPr>
          <w:rFonts w:ascii="Times New Roman" w:hAnsi="Times New Roman"/>
          <w:szCs w:val="24"/>
        </w:rPr>
        <w:t>Number of responses per borrower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w:t>
      </w:r>
      <w:r>
        <w:rPr>
          <w:rFonts w:ascii="Times New Roman" w:hAnsi="Times New Roman"/>
          <w:szCs w:val="24"/>
          <w:u w:val="single"/>
        </w:rPr>
        <w:t>x</w:t>
      </w:r>
      <w:r w:rsidRPr="00C867B7">
        <w:rPr>
          <w:rFonts w:ascii="Times New Roman" w:hAnsi="Times New Roman"/>
          <w:szCs w:val="24"/>
          <w:u w:val="single"/>
        </w:rPr>
        <w:t xml:space="preserve">    1</w:t>
      </w:r>
    </w:p>
    <w:p w:rsidR="00C867B7" w:rsidRDefault="00C867B7" w:rsidP="003E3AF5">
      <w:pPr>
        <w:suppressAutoHyphens/>
        <w:ind w:left="1060"/>
        <w:rPr>
          <w:rFonts w:ascii="Times New Roman" w:hAnsi="Times New Roman"/>
          <w:szCs w:val="24"/>
        </w:rPr>
      </w:pPr>
    </w:p>
    <w:p w:rsidR="00C867B7" w:rsidRDefault="00C867B7" w:rsidP="003E3AF5">
      <w:pPr>
        <w:suppressAutoHyphens/>
        <w:ind w:left="1060"/>
        <w:rPr>
          <w:rFonts w:ascii="Times New Roman" w:hAnsi="Times New Roman"/>
          <w:szCs w:val="24"/>
        </w:rPr>
      </w:pPr>
      <w:r>
        <w:rPr>
          <w:rFonts w:ascii="Times New Roman" w:hAnsi="Times New Roman"/>
          <w:szCs w:val="24"/>
        </w:rPr>
        <w:t>Hours per response: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x  .03</w:t>
      </w:r>
    </w:p>
    <w:p w:rsidR="00C867B7" w:rsidRDefault="00C867B7" w:rsidP="003E3AF5">
      <w:pPr>
        <w:suppressAutoHyphens/>
        <w:ind w:left="1060"/>
        <w:rPr>
          <w:rFonts w:ascii="Times New Roman" w:hAnsi="Times New Roman"/>
          <w:szCs w:val="24"/>
        </w:rPr>
      </w:pPr>
    </w:p>
    <w:p w:rsidR="00C867B7" w:rsidRDefault="004742A6" w:rsidP="003E3AF5">
      <w:pPr>
        <w:suppressAutoHyphens/>
        <w:ind w:left="1060"/>
        <w:rPr>
          <w:rFonts w:ascii="Times New Roman" w:hAnsi="Times New Roman"/>
          <w:szCs w:val="24"/>
        </w:rPr>
      </w:pPr>
      <w:r>
        <w:rPr>
          <w:rFonts w:ascii="Times New Roman" w:hAnsi="Times New Roman"/>
          <w:szCs w:val="24"/>
        </w:rPr>
        <w:t>Annual hours of burden</w:t>
      </w:r>
      <w:r w:rsidR="00C867B7">
        <w:rPr>
          <w:rFonts w:ascii="Times New Roman" w:hAnsi="Times New Roman"/>
          <w:szCs w:val="24"/>
        </w:rPr>
        <w:tab/>
      </w:r>
      <w:r w:rsidR="00C867B7">
        <w:rPr>
          <w:rFonts w:ascii="Times New Roman" w:hAnsi="Times New Roman"/>
          <w:szCs w:val="24"/>
        </w:rPr>
        <w:tab/>
      </w:r>
      <w:r w:rsidR="00C867B7">
        <w:rPr>
          <w:rFonts w:ascii="Times New Roman" w:hAnsi="Times New Roman"/>
          <w:szCs w:val="24"/>
        </w:rPr>
        <w:tab/>
      </w:r>
      <w:r w:rsidR="00C867B7">
        <w:rPr>
          <w:rFonts w:ascii="Times New Roman" w:hAnsi="Times New Roman"/>
          <w:szCs w:val="24"/>
        </w:rPr>
        <w:tab/>
      </w:r>
      <w:r>
        <w:rPr>
          <w:rFonts w:ascii="Times New Roman" w:hAnsi="Times New Roman"/>
          <w:szCs w:val="24"/>
        </w:rPr>
        <w:tab/>
      </w:r>
      <w:r>
        <w:rPr>
          <w:rFonts w:ascii="Times New Roman" w:hAnsi="Times New Roman"/>
          <w:szCs w:val="24"/>
        </w:rPr>
        <w:tab/>
      </w:r>
      <w:r w:rsidR="002E33D3" w:rsidRPr="00DD0BBF">
        <w:rPr>
          <w:rFonts w:ascii="Times New Roman" w:hAnsi="Times New Roman"/>
          <w:szCs w:val="24"/>
          <w:u w:val="double"/>
        </w:rPr>
        <w:t xml:space="preserve">       </w:t>
      </w:r>
      <w:r w:rsidRPr="00DD0BBF">
        <w:rPr>
          <w:rFonts w:ascii="Times New Roman" w:hAnsi="Times New Roman"/>
          <w:szCs w:val="24"/>
          <w:u w:val="double"/>
        </w:rPr>
        <w:t>598</w:t>
      </w:r>
    </w:p>
    <w:p w:rsidR="004742A6" w:rsidRDefault="004742A6" w:rsidP="003E3AF5">
      <w:pPr>
        <w:suppressAutoHyphens/>
        <w:ind w:left="1060"/>
        <w:rPr>
          <w:rFonts w:ascii="Times New Roman" w:hAnsi="Times New Roman"/>
          <w:szCs w:val="24"/>
        </w:rPr>
      </w:pPr>
    </w:p>
    <w:p w:rsidR="004742A6" w:rsidRPr="004742A6" w:rsidRDefault="004742A6" w:rsidP="004742A6">
      <w:pPr>
        <w:pStyle w:val="ListParagraph"/>
        <w:numPr>
          <w:ilvl w:val="0"/>
          <w:numId w:val="14"/>
        </w:numPr>
        <w:suppressAutoHyphens/>
        <w:rPr>
          <w:rFonts w:ascii="Times New Roman" w:hAnsi="Times New Roman"/>
          <w:szCs w:val="24"/>
        </w:rPr>
      </w:pPr>
      <w:r w:rsidRPr="004742A6">
        <w:rPr>
          <w:rFonts w:ascii="Times New Roman" w:hAnsi="Times New Roman"/>
          <w:szCs w:val="24"/>
        </w:rPr>
        <w:t xml:space="preserve">Number of non-ED held FFEL loans held by a </w:t>
      </w:r>
    </w:p>
    <w:p w:rsidR="004742A6" w:rsidRDefault="004742A6" w:rsidP="004742A6">
      <w:pPr>
        <w:suppressAutoHyphens/>
        <w:ind w:left="1060" w:firstLine="380"/>
        <w:rPr>
          <w:rFonts w:ascii="Times New Roman" w:hAnsi="Times New Roman"/>
          <w:szCs w:val="24"/>
        </w:rPr>
      </w:pPr>
      <w:r>
        <w:rPr>
          <w:rFonts w:ascii="Times New Roman" w:hAnsi="Times New Roman"/>
          <w:szCs w:val="24"/>
        </w:rPr>
        <w:t>private not-for-profit entity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10,505</w:t>
      </w:r>
    </w:p>
    <w:p w:rsidR="004742A6" w:rsidRDefault="004742A6" w:rsidP="004742A6">
      <w:pPr>
        <w:suppressAutoHyphens/>
        <w:ind w:left="1060"/>
        <w:rPr>
          <w:rFonts w:ascii="Times New Roman" w:hAnsi="Times New Roman"/>
          <w:szCs w:val="24"/>
        </w:rPr>
      </w:pPr>
    </w:p>
    <w:p w:rsidR="004742A6" w:rsidRDefault="004742A6" w:rsidP="004742A6">
      <w:pPr>
        <w:suppressAutoHyphens/>
        <w:ind w:left="1060"/>
        <w:rPr>
          <w:rFonts w:ascii="Times New Roman" w:hAnsi="Times New Roman"/>
          <w:szCs w:val="24"/>
        </w:rPr>
      </w:pPr>
      <w:r>
        <w:rPr>
          <w:rFonts w:ascii="Times New Roman" w:hAnsi="Times New Roman"/>
          <w:szCs w:val="24"/>
        </w:rPr>
        <w:t>Number of responses per borrower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w:t>
      </w:r>
      <w:r>
        <w:rPr>
          <w:rFonts w:ascii="Times New Roman" w:hAnsi="Times New Roman"/>
          <w:szCs w:val="24"/>
          <w:u w:val="single"/>
        </w:rPr>
        <w:t>x</w:t>
      </w:r>
      <w:r w:rsidRPr="00C867B7">
        <w:rPr>
          <w:rFonts w:ascii="Times New Roman" w:hAnsi="Times New Roman"/>
          <w:szCs w:val="24"/>
          <w:u w:val="single"/>
        </w:rPr>
        <w:t xml:space="preserve">    1</w:t>
      </w:r>
    </w:p>
    <w:p w:rsidR="004742A6" w:rsidRDefault="004742A6" w:rsidP="004742A6">
      <w:pPr>
        <w:suppressAutoHyphens/>
        <w:ind w:left="1060"/>
        <w:rPr>
          <w:rFonts w:ascii="Times New Roman" w:hAnsi="Times New Roman"/>
          <w:szCs w:val="24"/>
        </w:rPr>
      </w:pPr>
    </w:p>
    <w:p w:rsidR="004742A6" w:rsidRDefault="004742A6" w:rsidP="004742A6">
      <w:pPr>
        <w:suppressAutoHyphens/>
        <w:ind w:left="1060"/>
        <w:rPr>
          <w:rFonts w:ascii="Times New Roman" w:hAnsi="Times New Roman"/>
          <w:szCs w:val="24"/>
        </w:rPr>
      </w:pPr>
      <w:r>
        <w:rPr>
          <w:rFonts w:ascii="Times New Roman" w:hAnsi="Times New Roman"/>
          <w:szCs w:val="24"/>
        </w:rPr>
        <w:t>Hours per response: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C867B7">
        <w:rPr>
          <w:rFonts w:ascii="Times New Roman" w:hAnsi="Times New Roman"/>
          <w:szCs w:val="24"/>
          <w:u w:val="single"/>
        </w:rPr>
        <w:t xml:space="preserve">   x  .03</w:t>
      </w:r>
    </w:p>
    <w:p w:rsidR="004742A6" w:rsidRDefault="004742A6" w:rsidP="004742A6">
      <w:pPr>
        <w:suppressAutoHyphens/>
        <w:ind w:left="1060"/>
        <w:rPr>
          <w:rFonts w:ascii="Times New Roman" w:hAnsi="Times New Roman"/>
          <w:szCs w:val="24"/>
        </w:rPr>
      </w:pPr>
    </w:p>
    <w:p w:rsidR="004742A6" w:rsidRDefault="004742A6" w:rsidP="004742A6">
      <w:pPr>
        <w:suppressAutoHyphens/>
        <w:ind w:left="1060"/>
        <w:rPr>
          <w:rFonts w:ascii="Times New Roman" w:hAnsi="Times New Roman"/>
          <w:szCs w:val="24"/>
        </w:rPr>
      </w:pPr>
      <w:r>
        <w:rPr>
          <w:rFonts w:ascii="Times New Roman" w:hAnsi="Times New Roman"/>
          <w:szCs w:val="24"/>
        </w:rPr>
        <w:t>Annual hours of burden</w:t>
      </w:r>
      <w:r>
        <w:rPr>
          <w:rFonts w:ascii="Times New Roman" w:hAnsi="Times New Roman"/>
          <w:szCs w:val="24"/>
        </w:rPr>
        <w:tab/>
      </w:r>
      <w:r>
        <w:rPr>
          <w:rFonts w:ascii="Times New Roman" w:hAnsi="Times New Roman"/>
          <w:szCs w:val="24"/>
        </w:rPr>
        <w:tab/>
      </w:r>
      <w:r>
        <w:rPr>
          <w:rFonts w:ascii="Times New Roman" w:hAnsi="Times New Roman"/>
          <w:szCs w:val="24"/>
        </w:rPr>
        <w:tab/>
      </w:r>
      <w:r w:rsidR="002E33D3">
        <w:rPr>
          <w:rFonts w:ascii="Times New Roman" w:hAnsi="Times New Roman"/>
          <w:szCs w:val="24"/>
        </w:rPr>
        <w:tab/>
      </w:r>
      <w:r>
        <w:rPr>
          <w:rFonts w:ascii="Times New Roman" w:hAnsi="Times New Roman"/>
          <w:szCs w:val="24"/>
        </w:rPr>
        <w:tab/>
      </w:r>
      <w:r w:rsidR="002E33D3">
        <w:rPr>
          <w:rFonts w:ascii="Times New Roman" w:hAnsi="Times New Roman"/>
          <w:szCs w:val="24"/>
        </w:rPr>
        <w:tab/>
      </w:r>
      <w:r w:rsidR="002E33D3" w:rsidRPr="00DD0BBF">
        <w:rPr>
          <w:rFonts w:ascii="Times New Roman" w:hAnsi="Times New Roman"/>
          <w:szCs w:val="24"/>
          <w:u w:val="double"/>
        </w:rPr>
        <w:t xml:space="preserve">       </w:t>
      </w:r>
      <w:r w:rsidRPr="00DD0BBF">
        <w:rPr>
          <w:rFonts w:ascii="Times New Roman" w:hAnsi="Times New Roman"/>
          <w:szCs w:val="24"/>
          <w:u w:val="double"/>
        </w:rPr>
        <w:t>315</w:t>
      </w:r>
    </w:p>
    <w:p w:rsidR="004742A6" w:rsidRPr="00EF7FF5" w:rsidRDefault="004742A6" w:rsidP="003E3AF5">
      <w:pPr>
        <w:suppressAutoHyphens/>
        <w:ind w:left="1060"/>
        <w:rPr>
          <w:rFonts w:ascii="Times New Roman" w:hAnsi="Times New Roman"/>
          <w:szCs w:val="24"/>
        </w:rPr>
      </w:pPr>
    </w:p>
    <w:p w:rsidR="00386054" w:rsidRPr="00EF7FF5" w:rsidRDefault="004742A6">
      <w:pPr>
        <w:tabs>
          <w:tab w:val="left" w:pos="-720"/>
        </w:tabs>
        <w:suppressAutoHyphens/>
        <w:rPr>
          <w:rFonts w:ascii="Times New Roman" w:hAnsi="Times New Roman"/>
          <w:szCs w:val="24"/>
        </w:rPr>
      </w:pPr>
      <w:r>
        <w:rPr>
          <w:rFonts w:ascii="Times New Roman" w:hAnsi="Times New Roman"/>
          <w:szCs w:val="24"/>
        </w:rPr>
        <w:tab/>
        <w:t>Total annual hours of burden: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E33D3" w:rsidRPr="00DD0BBF">
        <w:rPr>
          <w:rFonts w:ascii="Times New Roman" w:hAnsi="Times New Roman"/>
          <w:szCs w:val="24"/>
          <w:u w:val="double"/>
        </w:rPr>
        <w:t xml:space="preserve">       </w:t>
      </w:r>
      <w:r w:rsidRPr="00DD0BBF">
        <w:rPr>
          <w:rFonts w:ascii="Times New Roman" w:hAnsi="Times New Roman"/>
          <w:szCs w:val="24"/>
          <w:u w:val="double"/>
        </w:rPr>
        <w:t>913</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EF7FF5">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w:t>
      </w:r>
      <w:r w:rsidR="00B90545">
        <w:rPr>
          <w:rFonts w:ascii="Times New Roman" w:hAnsi="Times New Roman"/>
          <w:szCs w:val="24"/>
        </w:rPr>
        <w:t xml:space="preserve"> </w:t>
      </w:r>
      <w:r w:rsidRPr="00EF7FF5">
        <w:rPr>
          <w:rFonts w:ascii="Times New Roman" w:hAnsi="Times New Roman"/>
          <w:szCs w:val="24"/>
        </w:rPr>
        <w:t xml:space="preserve">Cost: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B90545">
        <w:rPr>
          <w:rFonts w:ascii="Times New Roman" w:hAnsi="Times New Roman"/>
          <w:szCs w:val="24"/>
        </w:rPr>
        <w:tab/>
      </w:r>
      <w:r w:rsidR="00B90545">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B90545">
        <w:rPr>
          <w:rFonts w:ascii="Times New Roman" w:hAnsi="Times New Roman"/>
          <w:szCs w:val="24"/>
        </w:rPr>
        <w:t xml:space="preserve"> </w:t>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B90545">
        <w:rPr>
          <w:rFonts w:ascii="Times New Roman" w:hAnsi="Times New Roman"/>
          <w:szCs w:val="24"/>
        </w:rPr>
        <w:tab/>
      </w:r>
      <w:r w:rsidR="00B90545">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B90545">
        <w:rPr>
          <w:rFonts w:ascii="Times New Roman" w:hAnsi="Times New Roman"/>
          <w:szCs w:val="24"/>
        </w:rPr>
        <w:t xml:space="preserve"> </w:t>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B90545">
        <w:rPr>
          <w:rFonts w:ascii="Times New Roman" w:hAnsi="Times New Roman"/>
          <w:szCs w:val="24"/>
        </w:rPr>
        <w:tab/>
      </w:r>
      <w:r w:rsidR="00B90545">
        <w:rPr>
          <w:rFonts w:ascii="Times New Roman" w:hAnsi="Times New Roman"/>
          <w:szCs w:val="24"/>
        </w:rPr>
        <w:tab/>
        <w:t>0</w:t>
      </w:r>
    </w:p>
    <w:p w:rsidR="00B90545" w:rsidRDefault="00B90545" w:rsidP="00B90545">
      <w:pPr>
        <w:tabs>
          <w:tab w:val="left" w:pos="-720"/>
        </w:tabs>
        <w:suppressAutoHyphens/>
        <w:rPr>
          <w:rFonts w:ascii="Times New Roman" w:hAnsi="Times New Roman"/>
          <w:szCs w:val="24"/>
        </w:rPr>
      </w:pPr>
    </w:p>
    <w:p w:rsidR="00B90545" w:rsidRPr="00EF7FF5" w:rsidRDefault="00B90545" w:rsidP="005752CB">
      <w:pPr>
        <w:tabs>
          <w:tab w:val="left" w:pos="-720"/>
        </w:tabs>
        <w:suppressAutoHyphens/>
        <w:ind w:left="720"/>
        <w:rPr>
          <w:rFonts w:ascii="Times New Roman" w:hAnsi="Times New Roman"/>
          <w:szCs w:val="24"/>
        </w:rPr>
      </w:pPr>
      <w:r>
        <w:rPr>
          <w:rFonts w:ascii="Times New Roman" w:hAnsi="Times New Roman"/>
          <w:szCs w:val="24"/>
        </w:rPr>
        <w:t>There are no capital/startup costs to respondents, nor are there any annual costs to respondents with operating systems or purchasing systems.  Currently, FFEL loan holders provide a wide variety of information on FFEL loans including information on total and permanent disability discharges.  Under these proposed regulations the process will become streamlined under the Department.</w:t>
      </w:r>
    </w:p>
    <w:p w:rsidR="00B90545" w:rsidRPr="00EF7FF5" w:rsidRDefault="00B90545">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B90545">
      <w:pPr>
        <w:tabs>
          <w:tab w:val="left" w:pos="-720"/>
        </w:tabs>
        <w:suppressAutoHyphens/>
        <w:rPr>
          <w:rFonts w:ascii="Times New Roman" w:hAnsi="Times New Roman"/>
          <w:szCs w:val="24"/>
        </w:rPr>
      </w:pPr>
      <w:r>
        <w:rPr>
          <w:rFonts w:ascii="Times New Roman" w:hAnsi="Times New Roman"/>
          <w:szCs w:val="24"/>
        </w:rPr>
        <w:tab/>
      </w:r>
    </w:p>
    <w:p w:rsidR="00B90545" w:rsidRPr="00EF7FF5" w:rsidRDefault="00B90545" w:rsidP="005752CB">
      <w:pPr>
        <w:tabs>
          <w:tab w:val="left" w:pos="-720"/>
        </w:tabs>
        <w:suppressAutoHyphens/>
        <w:ind w:left="720"/>
        <w:rPr>
          <w:rFonts w:ascii="Times New Roman" w:hAnsi="Times New Roman"/>
          <w:szCs w:val="24"/>
        </w:rPr>
      </w:pPr>
      <w:r>
        <w:rPr>
          <w:rFonts w:ascii="Times New Roman" w:hAnsi="Times New Roman"/>
          <w:szCs w:val="24"/>
        </w:rPr>
        <w:t xml:space="preserve">The cost to the federal government is minimal in that the Department has had the responsibility to make the final determination of whether to discharge a FFEL loan on the basis of the TPD application and physician’s certification.  </w:t>
      </w:r>
    </w:p>
    <w:p w:rsidR="00386054" w:rsidRPr="00EF7FF5" w:rsidRDefault="00B90545" w:rsidP="00B90545">
      <w:pPr>
        <w:tabs>
          <w:tab w:val="left" w:pos="-720"/>
        </w:tabs>
        <w:suppressAutoHyphens/>
        <w:ind w:left="720" w:firstLine="360"/>
        <w:rPr>
          <w:rFonts w:ascii="Times New Roman" w:hAnsi="Times New Roman"/>
          <w:szCs w:val="24"/>
        </w:rPr>
      </w:pPr>
      <w:r>
        <w:rPr>
          <w:rFonts w:ascii="Times New Roman" w:hAnsi="Times New Roman"/>
          <w:szCs w:val="24"/>
        </w:rPr>
        <w:tab/>
      </w: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B90545" w:rsidRDefault="00B90545">
      <w:pPr>
        <w:tabs>
          <w:tab w:val="left" w:pos="-720"/>
        </w:tabs>
        <w:suppressAutoHyphens/>
        <w:rPr>
          <w:rFonts w:ascii="Times New Roman" w:hAnsi="Times New Roman"/>
          <w:szCs w:val="24"/>
        </w:rPr>
      </w:pPr>
    </w:p>
    <w:p w:rsidR="00B90545" w:rsidRPr="00EF7FF5" w:rsidRDefault="00B90545" w:rsidP="005752CB">
      <w:pPr>
        <w:tabs>
          <w:tab w:val="left" w:pos="-720"/>
        </w:tabs>
        <w:suppressAutoHyphens/>
        <w:ind w:left="720"/>
        <w:rPr>
          <w:rFonts w:ascii="Times New Roman" w:hAnsi="Times New Roman"/>
          <w:szCs w:val="24"/>
        </w:rPr>
      </w:pPr>
      <w:r>
        <w:rPr>
          <w:rFonts w:ascii="Times New Roman" w:hAnsi="Times New Roman"/>
          <w:szCs w:val="24"/>
        </w:rPr>
        <w:t xml:space="preserve">While previously there was no burden established for the FFEL loan holder to provide a TPD application, to receive and review the submitted application, to obtain any missing </w:t>
      </w:r>
      <w:r>
        <w:rPr>
          <w:rFonts w:ascii="Times New Roman" w:hAnsi="Times New Roman"/>
          <w:szCs w:val="24"/>
        </w:rPr>
        <w:lastRenderedPageBreak/>
        <w:t xml:space="preserve">information from the borrower, to make an initial determination of whether the application supported </w:t>
      </w:r>
      <w:r w:rsidR="007964B9">
        <w:rPr>
          <w:rFonts w:ascii="Times New Roman" w:hAnsi="Times New Roman"/>
          <w:szCs w:val="24"/>
        </w:rPr>
        <w:t>the conclusion that the borrower is total and permanently disabled, we determined that on average those tasks would have taken an average of .5 hours (30 minutes) per respondent.  Therefore, under the current regulations 30,440 non-ED held FFEL borrowers requesting a TPD application would have created 15,220 hours of burden.  But, since this assessment was not previously established, no burden reduction can be realized, instead we are increasing burden by 913 hours to reflect the burden associated with the TPD referral process as indicated in Item 12 above.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F03D60">
      <w:pPr>
        <w:tabs>
          <w:tab w:val="left" w:pos="-720"/>
        </w:tabs>
        <w:suppressAutoHyphens/>
        <w:rPr>
          <w:rFonts w:ascii="Times New Roman" w:hAnsi="Times New Roman"/>
          <w:szCs w:val="24"/>
        </w:rPr>
      </w:pPr>
      <w:r>
        <w:rPr>
          <w:rFonts w:ascii="Times New Roman" w:hAnsi="Times New Roman"/>
          <w:szCs w:val="24"/>
        </w:rPr>
        <w:tab/>
        <w:t>The results of this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F03D60">
      <w:pPr>
        <w:tabs>
          <w:tab w:val="left" w:pos="-720"/>
        </w:tabs>
        <w:suppressAutoHyphens/>
        <w:rPr>
          <w:rFonts w:ascii="Times New Roman" w:hAnsi="Times New Roman"/>
          <w:szCs w:val="24"/>
        </w:rPr>
      </w:pPr>
      <w:r>
        <w:rPr>
          <w:rFonts w:ascii="Times New Roman" w:hAnsi="Times New Roman"/>
          <w:szCs w:val="24"/>
        </w:rPr>
        <w:tab/>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F03D60" w:rsidRDefault="00F03D60">
      <w:pPr>
        <w:tabs>
          <w:tab w:val="left" w:pos="-720"/>
        </w:tabs>
        <w:suppressAutoHyphens/>
        <w:rPr>
          <w:rStyle w:val="a"/>
          <w:rFonts w:ascii="Times New Roman" w:hAnsi="Times New Roman"/>
          <w:szCs w:val="24"/>
        </w:rPr>
      </w:pPr>
    </w:p>
    <w:p w:rsidR="00F03D60" w:rsidRPr="00EF7FF5" w:rsidRDefault="00F03D60" w:rsidP="005752CB">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of Paperwork Reduction Act.</w:t>
      </w:r>
    </w:p>
    <w:sectPr w:rsidR="00F03D60"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29E" w:rsidRDefault="00A3029E">
      <w:pPr>
        <w:spacing w:line="20" w:lineRule="exact"/>
      </w:pPr>
    </w:p>
  </w:endnote>
  <w:endnote w:type="continuationSeparator" w:id="0">
    <w:p w:rsidR="00A3029E" w:rsidRDefault="00A3029E">
      <w:r>
        <w:t xml:space="preserve"> </w:t>
      </w:r>
    </w:p>
  </w:endnote>
  <w:endnote w:type="continuationNotice" w:id="1">
    <w:p w:rsidR="00A3029E" w:rsidRDefault="00A302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570601"/>
      <w:docPartObj>
        <w:docPartGallery w:val="Page Numbers (Bottom of Page)"/>
        <w:docPartUnique/>
      </w:docPartObj>
    </w:sdtPr>
    <w:sdtEndPr>
      <w:rPr>
        <w:rFonts w:ascii="Times New Roman" w:hAnsi="Times New Roman"/>
        <w:noProof/>
        <w:sz w:val="16"/>
        <w:szCs w:val="16"/>
      </w:rPr>
    </w:sdtEndPr>
    <w:sdtContent>
      <w:p w:rsidR="005752CB" w:rsidRPr="00DD0BBF" w:rsidRDefault="005752CB">
        <w:pPr>
          <w:pStyle w:val="Footer"/>
          <w:jc w:val="center"/>
          <w:rPr>
            <w:rFonts w:ascii="Times New Roman" w:hAnsi="Times New Roman"/>
            <w:sz w:val="16"/>
            <w:szCs w:val="16"/>
          </w:rPr>
        </w:pPr>
        <w:r w:rsidRPr="00DD0BBF">
          <w:rPr>
            <w:rFonts w:ascii="Times New Roman" w:hAnsi="Times New Roman"/>
            <w:sz w:val="16"/>
            <w:szCs w:val="16"/>
          </w:rPr>
          <w:fldChar w:fldCharType="begin"/>
        </w:r>
        <w:r w:rsidRPr="00DD0BBF">
          <w:rPr>
            <w:rFonts w:ascii="Times New Roman" w:hAnsi="Times New Roman"/>
            <w:sz w:val="16"/>
            <w:szCs w:val="16"/>
          </w:rPr>
          <w:instrText xml:space="preserve"> PAGE   \* MERGEFORMAT </w:instrText>
        </w:r>
        <w:r w:rsidRPr="00DD0BBF">
          <w:rPr>
            <w:rFonts w:ascii="Times New Roman" w:hAnsi="Times New Roman"/>
            <w:sz w:val="16"/>
            <w:szCs w:val="16"/>
          </w:rPr>
          <w:fldChar w:fldCharType="separate"/>
        </w:r>
        <w:r w:rsidR="005C725F">
          <w:rPr>
            <w:rFonts w:ascii="Times New Roman" w:hAnsi="Times New Roman"/>
            <w:noProof/>
            <w:sz w:val="16"/>
            <w:szCs w:val="16"/>
          </w:rPr>
          <w:t>1</w:t>
        </w:r>
        <w:r w:rsidRPr="00DD0BBF">
          <w:rPr>
            <w:rFonts w:ascii="Times New Roman" w:hAnsi="Times New Roman"/>
            <w:noProof/>
            <w:sz w:val="16"/>
            <w:szCs w:val="16"/>
          </w:rPr>
          <w:fldChar w:fldCharType="end"/>
        </w:r>
      </w:p>
    </w:sdtContent>
  </w:sdt>
  <w:p w:rsidR="007964B9" w:rsidRDefault="007964B9">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29E" w:rsidRDefault="00A3029E">
      <w:r>
        <w:separator/>
      </w:r>
    </w:p>
  </w:footnote>
  <w:footnote w:type="continuationSeparator" w:id="0">
    <w:p w:rsidR="00A3029E" w:rsidRDefault="00A3029E">
      <w:r>
        <w:continuationSeparator/>
      </w:r>
    </w:p>
  </w:footnote>
  <w:footnote w:id="1">
    <w:p w:rsidR="007964B9" w:rsidRDefault="007964B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7964B9" w:rsidRDefault="007964B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B9" w:rsidRDefault="007964B9">
    <w:pPr>
      <w:pStyle w:val="Header"/>
      <w:rPr>
        <w:rFonts w:ascii="Times New Roman" w:hAnsi="Times New Roman"/>
        <w:sz w:val="20"/>
      </w:rPr>
    </w:pPr>
    <w:r>
      <w:rPr>
        <w:rFonts w:ascii="Times New Roman" w:hAnsi="Times New Roman"/>
        <w:sz w:val="20"/>
      </w:rPr>
      <w:t>EDICS Tracking and OMB Number: (04861) 1845-0020.v.10                                   Revised: 05/</w:t>
    </w:r>
    <w:r w:rsidR="00620546">
      <w:rPr>
        <w:rFonts w:ascii="Times New Roman" w:hAnsi="Times New Roman"/>
        <w:sz w:val="20"/>
      </w:rPr>
      <w:t>16</w:t>
    </w:r>
    <w:r>
      <w:rPr>
        <w:rFonts w:ascii="Times New Roman" w:hAnsi="Times New Roman"/>
        <w:sz w:val="20"/>
      </w:rPr>
      <w:t>/2012</w:t>
    </w:r>
  </w:p>
  <w:p w:rsidR="007964B9" w:rsidRPr="00386054" w:rsidRDefault="007964B9">
    <w:pPr>
      <w:pStyle w:val="Header"/>
      <w:rPr>
        <w:rFonts w:ascii="Times New Roman" w:hAnsi="Times New Roman"/>
        <w:sz w:val="20"/>
      </w:rPr>
    </w:pPr>
    <w:r>
      <w:rPr>
        <w:rFonts w:ascii="Times New Roman" w:hAnsi="Times New Roman"/>
        <w:sz w:val="20"/>
      </w:rPr>
      <w:t>RIN Number: 1840-AD05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10E4B2C"/>
    <w:multiLevelType w:val="hybridMultilevel"/>
    <w:tmpl w:val="B784D856"/>
    <w:lvl w:ilvl="0" w:tplc="11820FA6">
      <w:start w:val="10"/>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86F3174"/>
    <w:multiLevelType w:val="hybridMultilevel"/>
    <w:tmpl w:val="8DE640F4"/>
    <w:lvl w:ilvl="0" w:tplc="4D8EC134">
      <w:start w:val="10"/>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407878BA"/>
    <w:multiLevelType w:val="multilevel"/>
    <w:tmpl w:val="EE420216"/>
    <w:lvl w:ilvl="0">
      <w:start w:val="8"/>
      <w:numFmt w:val="decimal"/>
      <w:lvlText w:val="%1."/>
      <w:legacy w:legacy="1" w:legacySpace="0" w:legacyIndent="375"/>
      <w:lvlJc w:val="left"/>
      <w:pPr>
        <w:ind w:left="375" w:hanging="375"/>
      </w:pPr>
      <w:rPr>
        <w:rFonts w:cs="Times New Roman"/>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10676D"/>
    <w:multiLevelType w:val="hybridMultilevel"/>
    <w:tmpl w:val="D84A2914"/>
    <w:lvl w:ilvl="0" w:tplc="8AF8F46E">
      <w:start w:val="1"/>
      <w:numFmt w:val="upp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04A5122"/>
    <w:multiLevelType w:val="hybridMultilevel"/>
    <w:tmpl w:val="4F96972C"/>
    <w:lvl w:ilvl="0" w:tplc="727453C0">
      <w:start w:val="1"/>
      <w:numFmt w:val="upp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9"/>
  </w:num>
  <w:num w:numId="8">
    <w:abstractNumId w:val="7"/>
  </w:num>
  <w:num w:numId="9">
    <w:abstractNumId w:val="10"/>
  </w:num>
  <w:num w:numId="10">
    <w:abstractNumId w:val="13"/>
  </w:num>
  <w:num w:numId="11">
    <w:abstractNumId w:val="3"/>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24B9"/>
    <w:rsid w:val="00153F20"/>
    <w:rsid w:val="001743A5"/>
    <w:rsid w:val="0018279C"/>
    <w:rsid w:val="001D7CB9"/>
    <w:rsid w:val="002473CE"/>
    <w:rsid w:val="002A40C5"/>
    <w:rsid w:val="002B0412"/>
    <w:rsid w:val="002B0A95"/>
    <w:rsid w:val="002E33D3"/>
    <w:rsid w:val="00386054"/>
    <w:rsid w:val="003C29C2"/>
    <w:rsid w:val="003C7F70"/>
    <w:rsid w:val="003E285A"/>
    <w:rsid w:val="003E3AF5"/>
    <w:rsid w:val="004175C3"/>
    <w:rsid w:val="00436FCC"/>
    <w:rsid w:val="004742A6"/>
    <w:rsid w:val="004A2DBB"/>
    <w:rsid w:val="004E23D9"/>
    <w:rsid w:val="004F692A"/>
    <w:rsid w:val="00500211"/>
    <w:rsid w:val="00512598"/>
    <w:rsid w:val="00563CCF"/>
    <w:rsid w:val="005752CB"/>
    <w:rsid w:val="005A1566"/>
    <w:rsid w:val="005A1DFC"/>
    <w:rsid w:val="005A4185"/>
    <w:rsid w:val="005C725F"/>
    <w:rsid w:val="005D10C1"/>
    <w:rsid w:val="005D2E7B"/>
    <w:rsid w:val="00620546"/>
    <w:rsid w:val="0063484C"/>
    <w:rsid w:val="00654305"/>
    <w:rsid w:val="006737C0"/>
    <w:rsid w:val="00677BC2"/>
    <w:rsid w:val="006A3B5C"/>
    <w:rsid w:val="006C01D0"/>
    <w:rsid w:val="00727E22"/>
    <w:rsid w:val="00752AA7"/>
    <w:rsid w:val="007661D9"/>
    <w:rsid w:val="007964B9"/>
    <w:rsid w:val="007B14E8"/>
    <w:rsid w:val="007C12B5"/>
    <w:rsid w:val="007E77FA"/>
    <w:rsid w:val="008011B6"/>
    <w:rsid w:val="008F3062"/>
    <w:rsid w:val="00921CB1"/>
    <w:rsid w:val="009544A3"/>
    <w:rsid w:val="009949A8"/>
    <w:rsid w:val="009E13C9"/>
    <w:rsid w:val="00A01331"/>
    <w:rsid w:val="00A3029E"/>
    <w:rsid w:val="00A41F2C"/>
    <w:rsid w:val="00A87940"/>
    <w:rsid w:val="00A94CCB"/>
    <w:rsid w:val="00AB0D7D"/>
    <w:rsid w:val="00AB34E6"/>
    <w:rsid w:val="00AF5D4D"/>
    <w:rsid w:val="00B23EC0"/>
    <w:rsid w:val="00B90545"/>
    <w:rsid w:val="00B92931"/>
    <w:rsid w:val="00BC244F"/>
    <w:rsid w:val="00BD1325"/>
    <w:rsid w:val="00C641E9"/>
    <w:rsid w:val="00C723C2"/>
    <w:rsid w:val="00C867B7"/>
    <w:rsid w:val="00CE72AF"/>
    <w:rsid w:val="00D115BF"/>
    <w:rsid w:val="00D269C3"/>
    <w:rsid w:val="00DD0BBF"/>
    <w:rsid w:val="00E023B7"/>
    <w:rsid w:val="00E07290"/>
    <w:rsid w:val="00E60EA8"/>
    <w:rsid w:val="00EA3C1F"/>
    <w:rsid w:val="00EC2CC4"/>
    <w:rsid w:val="00EF7FF5"/>
    <w:rsid w:val="00F03D60"/>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1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1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EB24-E930-4196-9418-B6220922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3055</Words>
  <Characters>17140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2012-05-16T14:11:00Z</cp:lastPrinted>
  <dcterms:created xsi:type="dcterms:W3CDTF">2012-05-21T15:09:00Z</dcterms:created>
  <dcterms:modified xsi:type="dcterms:W3CDTF">2012-05-21T15:09:00Z</dcterms:modified>
</cp:coreProperties>
</file>