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5F3" w:rsidRDefault="003315F3" w:rsidP="003315F3">
      <w:pPr>
        <w:tabs>
          <w:tab w:val="left" w:pos="450"/>
        </w:tabs>
        <w:autoSpaceDE w:val="0"/>
        <w:autoSpaceDN w:val="0"/>
        <w:adjustRightInd w:val="0"/>
        <w:spacing w:after="0" w:line="240" w:lineRule="auto"/>
        <w:rPr>
          <w:rFonts w:eastAsia="Times New Roman"/>
          <w:b/>
        </w:rPr>
      </w:pPr>
      <w:bookmarkStart w:id="0" w:name="_GoBack"/>
      <w:bookmarkEnd w:id="0"/>
      <w:r w:rsidRPr="00C455AE">
        <w:rPr>
          <w:rFonts w:eastAsia="Times New Roman"/>
          <w:b/>
        </w:rPr>
        <w:t>Part B: Collections of Information Employing Statistical Methods</w:t>
      </w:r>
    </w:p>
    <w:p w:rsidR="00AF557D" w:rsidRDefault="00AF557D" w:rsidP="003315F3">
      <w:pPr>
        <w:tabs>
          <w:tab w:val="left" w:pos="450"/>
        </w:tabs>
        <w:autoSpaceDE w:val="0"/>
        <w:autoSpaceDN w:val="0"/>
        <w:adjustRightInd w:val="0"/>
        <w:spacing w:after="0" w:line="240" w:lineRule="auto"/>
        <w:rPr>
          <w:rFonts w:eastAsia="Times New Roman"/>
          <w:b/>
        </w:rPr>
      </w:pPr>
    </w:p>
    <w:p w:rsidR="00AF557D" w:rsidRPr="00AF557D" w:rsidRDefault="00AF557D" w:rsidP="003315F3">
      <w:pPr>
        <w:tabs>
          <w:tab w:val="left" w:pos="450"/>
        </w:tabs>
        <w:autoSpaceDE w:val="0"/>
        <w:autoSpaceDN w:val="0"/>
        <w:adjustRightInd w:val="0"/>
        <w:spacing w:after="0" w:line="240" w:lineRule="auto"/>
        <w:rPr>
          <w:rFonts w:eastAsia="Times New Roman"/>
          <w:bCs/>
        </w:rPr>
      </w:pPr>
      <w:r>
        <w:rPr>
          <w:rFonts w:eastAsia="Times New Roman"/>
        </w:rPr>
        <w:t>As has been noted in Part A, th</w:t>
      </w:r>
      <w:r w:rsidR="00AC471D">
        <w:rPr>
          <w:rFonts w:eastAsia="Times New Roman"/>
        </w:rPr>
        <w:t>is clearance request covers a pilot study to inform a larger study of voice in mining workplaces. This Part B provides a discussion of potential statistical methods for collecting the data under a larger study</w:t>
      </w:r>
      <w:r w:rsidR="00CC469E">
        <w:rPr>
          <w:rFonts w:eastAsia="Times New Roman"/>
        </w:rPr>
        <w:t xml:space="preserve">, </w:t>
      </w:r>
      <w:r w:rsidR="00AC471D">
        <w:rPr>
          <w:rFonts w:eastAsia="Times New Roman"/>
        </w:rPr>
        <w:t xml:space="preserve">highlights areas where the pilot study will inform the design </w:t>
      </w:r>
      <w:r w:rsidR="00CC469E">
        <w:rPr>
          <w:rFonts w:eastAsia="Times New Roman"/>
        </w:rPr>
        <w:t xml:space="preserve">and implementation </w:t>
      </w:r>
      <w:r w:rsidR="00AC471D">
        <w:rPr>
          <w:rFonts w:eastAsia="Times New Roman"/>
        </w:rPr>
        <w:t>of the larger study</w:t>
      </w:r>
      <w:r w:rsidR="00CC469E">
        <w:rPr>
          <w:rFonts w:eastAsia="Times New Roman"/>
        </w:rPr>
        <w:t>, and discusses the metrics that DOL will use in comparing the proposed approaches that are being piloted under this study</w:t>
      </w:r>
      <w:r w:rsidR="00AC471D">
        <w:rPr>
          <w:rFonts w:eastAsia="Times New Roman"/>
        </w:rPr>
        <w:t xml:space="preserve">.  </w:t>
      </w:r>
    </w:p>
    <w:p w:rsidR="003315F3" w:rsidRPr="00C455AE" w:rsidRDefault="003315F3" w:rsidP="003315F3">
      <w:pPr>
        <w:keepNext/>
        <w:autoSpaceDE w:val="0"/>
        <w:autoSpaceDN w:val="0"/>
        <w:adjustRightInd w:val="0"/>
        <w:spacing w:after="0" w:line="240" w:lineRule="auto"/>
        <w:ind w:left="450" w:hanging="360"/>
        <w:rPr>
          <w:rFonts w:eastAsia="Times New Roman"/>
          <w:b/>
          <w:bCs/>
          <w:sz w:val="20"/>
          <w:szCs w:val="20"/>
        </w:rPr>
      </w:pPr>
    </w:p>
    <w:p w:rsidR="003315F3" w:rsidRPr="00C455AE" w:rsidRDefault="003315F3" w:rsidP="003315F3">
      <w:pPr>
        <w:numPr>
          <w:ilvl w:val="0"/>
          <w:numId w:val="1"/>
        </w:numPr>
        <w:autoSpaceDE w:val="0"/>
        <w:autoSpaceDN w:val="0"/>
        <w:adjustRightInd w:val="0"/>
        <w:spacing w:after="0" w:line="240" w:lineRule="auto"/>
        <w:ind w:left="450"/>
        <w:rPr>
          <w:rFonts w:eastAsia="Times New Roman"/>
          <w:b/>
          <w:bCs/>
        </w:rPr>
      </w:pPr>
      <w:r w:rsidRPr="00C455AE">
        <w:rPr>
          <w:rFonts w:eastAsia="Times New Roman"/>
          <w:b/>
          <w:bCs/>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3315F3" w:rsidRPr="00C455AE" w:rsidRDefault="003315F3" w:rsidP="003315F3">
      <w:pPr>
        <w:autoSpaceDE w:val="0"/>
        <w:autoSpaceDN w:val="0"/>
        <w:adjustRightInd w:val="0"/>
        <w:spacing w:after="0" w:line="240" w:lineRule="auto"/>
        <w:ind w:left="450" w:hanging="360"/>
        <w:rPr>
          <w:rFonts w:eastAsia="Times New Roman"/>
          <w:b/>
          <w:bCs/>
        </w:rPr>
      </w:pPr>
    </w:p>
    <w:p w:rsidR="00AC471D" w:rsidRPr="00AC471D" w:rsidRDefault="00AC471D" w:rsidP="00AC471D">
      <w:pPr>
        <w:autoSpaceDE w:val="0"/>
        <w:autoSpaceDN w:val="0"/>
        <w:adjustRightInd w:val="0"/>
        <w:spacing w:after="0" w:line="240" w:lineRule="auto"/>
        <w:ind w:left="450"/>
        <w:rPr>
          <w:rFonts w:eastAsia="Times New Roman"/>
          <w:bCs/>
          <w:u w:val="single"/>
        </w:rPr>
      </w:pPr>
      <w:r w:rsidRPr="00AC471D">
        <w:rPr>
          <w:rFonts w:eastAsia="Times New Roman"/>
          <w:bCs/>
          <w:u w:val="single"/>
        </w:rPr>
        <w:t xml:space="preserve">Population </w:t>
      </w:r>
    </w:p>
    <w:p w:rsidR="00AC471D" w:rsidRDefault="00AC471D" w:rsidP="00AC471D">
      <w:pPr>
        <w:autoSpaceDE w:val="0"/>
        <w:autoSpaceDN w:val="0"/>
        <w:adjustRightInd w:val="0"/>
        <w:spacing w:after="0" w:line="240" w:lineRule="auto"/>
        <w:ind w:left="450"/>
        <w:rPr>
          <w:rFonts w:eastAsia="Times New Roman"/>
          <w:bCs/>
        </w:rPr>
      </w:pPr>
    </w:p>
    <w:p w:rsidR="00987765" w:rsidRDefault="00C6407B" w:rsidP="00301257">
      <w:pPr>
        <w:autoSpaceDE w:val="0"/>
        <w:autoSpaceDN w:val="0"/>
        <w:adjustRightInd w:val="0"/>
        <w:spacing w:after="0" w:line="240" w:lineRule="auto"/>
        <w:ind w:left="450"/>
        <w:rPr>
          <w:rFonts w:eastAsia="Times New Roman"/>
          <w:bCs/>
        </w:rPr>
      </w:pPr>
      <w:r>
        <w:rPr>
          <w:rFonts w:eastAsia="Times New Roman"/>
          <w:bCs/>
        </w:rPr>
        <w:t>Table B-1 provides an estimate of the population of miners in the United States for 2010 broken out by type of mining operation (coal or metal/non-metal) and type of mine (surface or underground).</w:t>
      </w:r>
      <w:r>
        <w:rPr>
          <w:rStyle w:val="FootnoteReference"/>
          <w:rFonts w:eastAsia="Times New Roman"/>
          <w:bCs/>
        </w:rPr>
        <w:footnoteReference w:id="1"/>
      </w:r>
      <w:r>
        <w:rPr>
          <w:rFonts w:eastAsia="Times New Roman"/>
          <w:bCs/>
        </w:rPr>
        <w:t xml:space="preserve"> </w:t>
      </w:r>
    </w:p>
    <w:p w:rsidR="00987765" w:rsidRPr="00987765" w:rsidRDefault="00987765" w:rsidP="00987765">
      <w:pPr>
        <w:autoSpaceDE w:val="0"/>
        <w:autoSpaceDN w:val="0"/>
        <w:adjustRightInd w:val="0"/>
        <w:spacing w:after="0" w:line="240" w:lineRule="auto"/>
        <w:rPr>
          <w:rFonts w:eastAsia="Times New Roman"/>
          <w:bCs/>
        </w:rPr>
      </w:pPr>
    </w:p>
    <w:p w:rsidR="00987765" w:rsidRPr="00B77500" w:rsidRDefault="005C1466" w:rsidP="00C6407B">
      <w:pPr>
        <w:autoSpaceDE w:val="0"/>
        <w:autoSpaceDN w:val="0"/>
        <w:adjustRightInd w:val="0"/>
        <w:spacing w:after="0" w:line="240" w:lineRule="auto"/>
        <w:ind w:left="450"/>
        <w:rPr>
          <w:rFonts w:eastAsia="Times New Roman"/>
          <w:b/>
          <w:bCs/>
          <w:sz w:val="20"/>
        </w:rPr>
      </w:pPr>
      <w:r w:rsidRPr="00B77500">
        <w:rPr>
          <w:rFonts w:eastAsia="Times New Roman"/>
          <w:b/>
          <w:bCs/>
          <w:sz w:val="20"/>
        </w:rPr>
        <w:t xml:space="preserve">Table B-1 – </w:t>
      </w:r>
      <w:r w:rsidR="00987765" w:rsidRPr="00B77500">
        <w:rPr>
          <w:rFonts w:eastAsia="Times New Roman"/>
          <w:b/>
          <w:bCs/>
          <w:sz w:val="20"/>
        </w:rPr>
        <w:t>Population of Miners by Type of Mining and Type of Mine</w:t>
      </w:r>
    </w:p>
    <w:tbl>
      <w:tblPr>
        <w:tblStyle w:val="TableGrid"/>
        <w:tblW w:w="0" w:type="auto"/>
        <w:tblInd w:w="450" w:type="dxa"/>
        <w:tblLook w:val="04A0" w:firstRow="1" w:lastRow="0" w:firstColumn="1" w:lastColumn="0" w:noHBand="0" w:noVBand="1"/>
      </w:tblPr>
      <w:tblGrid>
        <w:gridCol w:w="3348"/>
        <w:gridCol w:w="2835"/>
        <w:gridCol w:w="2835"/>
      </w:tblGrid>
      <w:tr w:rsidR="00942428" w:rsidRPr="00CB53BD" w:rsidTr="00942428">
        <w:tc>
          <w:tcPr>
            <w:tcW w:w="3348" w:type="dxa"/>
          </w:tcPr>
          <w:p w:rsidR="00942428" w:rsidRPr="00B77500" w:rsidRDefault="00942428" w:rsidP="00352418">
            <w:pPr>
              <w:autoSpaceDE w:val="0"/>
              <w:autoSpaceDN w:val="0"/>
              <w:adjustRightInd w:val="0"/>
              <w:spacing w:after="0" w:line="276" w:lineRule="auto"/>
              <w:jc w:val="center"/>
              <w:rPr>
                <w:rFonts w:eastAsia="Times New Roman"/>
                <w:b/>
                <w:bCs/>
                <w:sz w:val="20"/>
              </w:rPr>
            </w:pPr>
            <w:r w:rsidRPr="00B77500">
              <w:rPr>
                <w:rFonts w:eastAsia="Times New Roman"/>
                <w:b/>
                <w:bCs/>
                <w:sz w:val="20"/>
              </w:rPr>
              <w:t>Category</w:t>
            </w:r>
          </w:p>
        </w:tc>
        <w:tc>
          <w:tcPr>
            <w:tcW w:w="2835" w:type="dxa"/>
          </w:tcPr>
          <w:p w:rsidR="00942428" w:rsidRPr="00B77500" w:rsidRDefault="00942428" w:rsidP="00352418">
            <w:pPr>
              <w:autoSpaceDE w:val="0"/>
              <w:autoSpaceDN w:val="0"/>
              <w:adjustRightInd w:val="0"/>
              <w:spacing w:after="0" w:line="276" w:lineRule="auto"/>
              <w:jc w:val="center"/>
              <w:rPr>
                <w:rFonts w:eastAsia="Times New Roman"/>
                <w:b/>
                <w:bCs/>
                <w:sz w:val="20"/>
              </w:rPr>
            </w:pPr>
            <w:r w:rsidRPr="00B77500">
              <w:rPr>
                <w:rFonts w:eastAsia="Times New Roman"/>
                <w:b/>
                <w:bCs/>
                <w:sz w:val="20"/>
              </w:rPr>
              <w:t>Coal</w:t>
            </w:r>
          </w:p>
        </w:tc>
        <w:tc>
          <w:tcPr>
            <w:tcW w:w="2835" w:type="dxa"/>
          </w:tcPr>
          <w:p w:rsidR="00942428" w:rsidRPr="00B77500" w:rsidRDefault="00942428" w:rsidP="00352418">
            <w:pPr>
              <w:autoSpaceDE w:val="0"/>
              <w:autoSpaceDN w:val="0"/>
              <w:adjustRightInd w:val="0"/>
              <w:spacing w:after="0" w:line="276" w:lineRule="auto"/>
              <w:jc w:val="center"/>
              <w:rPr>
                <w:rFonts w:eastAsia="Times New Roman"/>
                <w:b/>
                <w:bCs/>
                <w:sz w:val="20"/>
              </w:rPr>
            </w:pPr>
            <w:r w:rsidRPr="00B77500">
              <w:rPr>
                <w:rFonts w:eastAsia="Times New Roman"/>
                <w:b/>
                <w:bCs/>
                <w:sz w:val="20"/>
              </w:rPr>
              <w:t>Metal/Non-Metal</w:t>
            </w:r>
          </w:p>
        </w:tc>
      </w:tr>
      <w:tr w:rsidR="00942428" w:rsidRPr="00CB53BD" w:rsidTr="00942428">
        <w:tc>
          <w:tcPr>
            <w:tcW w:w="3348" w:type="dxa"/>
          </w:tcPr>
          <w:p w:rsidR="00942428" w:rsidRPr="00B77500" w:rsidRDefault="00942428" w:rsidP="00352418">
            <w:pPr>
              <w:autoSpaceDE w:val="0"/>
              <w:autoSpaceDN w:val="0"/>
              <w:adjustRightInd w:val="0"/>
              <w:spacing w:after="0" w:line="276" w:lineRule="auto"/>
              <w:jc w:val="center"/>
              <w:rPr>
                <w:rFonts w:eastAsia="Times New Roman"/>
                <w:bCs/>
                <w:sz w:val="20"/>
              </w:rPr>
            </w:pPr>
            <w:r w:rsidRPr="00B77500">
              <w:rPr>
                <w:rFonts w:eastAsia="Times New Roman"/>
                <w:bCs/>
                <w:sz w:val="20"/>
              </w:rPr>
              <w:t>Underground</w:t>
            </w:r>
          </w:p>
        </w:tc>
        <w:tc>
          <w:tcPr>
            <w:tcW w:w="2835" w:type="dxa"/>
          </w:tcPr>
          <w:p w:rsidR="00942428" w:rsidRPr="00B77500" w:rsidRDefault="007743E4" w:rsidP="00352418">
            <w:pPr>
              <w:autoSpaceDE w:val="0"/>
              <w:autoSpaceDN w:val="0"/>
              <w:adjustRightInd w:val="0"/>
              <w:spacing w:after="0" w:line="276" w:lineRule="auto"/>
              <w:jc w:val="center"/>
              <w:rPr>
                <w:rFonts w:eastAsia="Times New Roman"/>
                <w:bCs/>
                <w:sz w:val="20"/>
              </w:rPr>
            </w:pPr>
            <w:r w:rsidRPr="00B77500">
              <w:rPr>
                <w:rFonts w:eastAsia="Times New Roman"/>
                <w:bCs/>
                <w:sz w:val="20"/>
              </w:rPr>
              <w:t>47,525</w:t>
            </w:r>
          </w:p>
        </w:tc>
        <w:tc>
          <w:tcPr>
            <w:tcW w:w="2835" w:type="dxa"/>
          </w:tcPr>
          <w:p w:rsidR="00942428" w:rsidRPr="00B77500" w:rsidRDefault="007743E4" w:rsidP="00352418">
            <w:pPr>
              <w:autoSpaceDE w:val="0"/>
              <w:autoSpaceDN w:val="0"/>
              <w:adjustRightInd w:val="0"/>
              <w:spacing w:after="0" w:line="276" w:lineRule="auto"/>
              <w:jc w:val="center"/>
              <w:rPr>
                <w:rFonts w:eastAsia="Times New Roman"/>
                <w:bCs/>
                <w:sz w:val="20"/>
              </w:rPr>
            </w:pPr>
            <w:r w:rsidRPr="00B77500">
              <w:rPr>
                <w:rFonts w:eastAsia="Times New Roman"/>
                <w:bCs/>
                <w:sz w:val="20"/>
              </w:rPr>
              <w:t>17,065</w:t>
            </w:r>
          </w:p>
        </w:tc>
      </w:tr>
      <w:tr w:rsidR="00942428" w:rsidRPr="00CB53BD" w:rsidTr="00942428">
        <w:tc>
          <w:tcPr>
            <w:tcW w:w="3348" w:type="dxa"/>
          </w:tcPr>
          <w:p w:rsidR="00942428" w:rsidRPr="00B77500" w:rsidRDefault="00942428" w:rsidP="00352418">
            <w:pPr>
              <w:autoSpaceDE w:val="0"/>
              <w:autoSpaceDN w:val="0"/>
              <w:adjustRightInd w:val="0"/>
              <w:spacing w:after="0" w:line="276" w:lineRule="auto"/>
              <w:jc w:val="center"/>
              <w:rPr>
                <w:rFonts w:eastAsia="Times New Roman"/>
                <w:bCs/>
                <w:sz w:val="20"/>
              </w:rPr>
            </w:pPr>
            <w:r w:rsidRPr="00B77500">
              <w:rPr>
                <w:rFonts w:eastAsia="Times New Roman"/>
                <w:bCs/>
                <w:sz w:val="20"/>
              </w:rPr>
              <w:t>Surface</w:t>
            </w:r>
          </w:p>
        </w:tc>
        <w:tc>
          <w:tcPr>
            <w:tcW w:w="2835" w:type="dxa"/>
          </w:tcPr>
          <w:p w:rsidR="00942428" w:rsidRPr="00B77500" w:rsidRDefault="007743E4" w:rsidP="00352418">
            <w:pPr>
              <w:autoSpaceDE w:val="0"/>
              <w:autoSpaceDN w:val="0"/>
              <w:adjustRightInd w:val="0"/>
              <w:spacing w:after="0" w:line="276" w:lineRule="auto"/>
              <w:jc w:val="center"/>
              <w:rPr>
                <w:rFonts w:eastAsia="Times New Roman"/>
                <w:bCs/>
                <w:sz w:val="20"/>
              </w:rPr>
            </w:pPr>
            <w:r w:rsidRPr="00B77500">
              <w:rPr>
                <w:rFonts w:eastAsia="Times New Roman"/>
                <w:bCs/>
                <w:sz w:val="20"/>
              </w:rPr>
              <w:t>35,952</w:t>
            </w:r>
          </w:p>
        </w:tc>
        <w:tc>
          <w:tcPr>
            <w:tcW w:w="2835" w:type="dxa"/>
          </w:tcPr>
          <w:p w:rsidR="00942428" w:rsidRPr="00B77500" w:rsidRDefault="007743E4" w:rsidP="00352418">
            <w:pPr>
              <w:autoSpaceDE w:val="0"/>
              <w:autoSpaceDN w:val="0"/>
              <w:adjustRightInd w:val="0"/>
              <w:spacing w:after="0" w:line="276" w:lineRule="auto"/>
              <w:jc w:val="center"/>
              <w:rPr>
                <w:rFonts w:eastAsia="Times New Roman"/>
                <w:bCs/>
                <w:sz w:val="20"/>
              </w:rPr>
            </w:pPr>
            <w:r w:rsidRPr="00B77500">
              <w:rPr>
                <w:rFonts w:eastAsia="Times New Roman"/>
                <w:bCs/>
                <w:sz w:val="20"/>
              </w:rPr>
              <w:t>93,483</w:t>
            </w:r>
          </w:p>
        </w:tc>
      </w:tr>
      <w:tr w:rsidR="00942428" w:rsidRPr="004728E1" w:rsidTr="00942428">
        <w:tc>
          <w:tcPr>
            <w:tcW w:w="3348" w:type="dxa"/>
          </w:tcPr>
          <w:p w:rsidR="00942428" w:rsidRPr="00B77500" w:rsidRDefault="00942428" w:rsidP="00352418">
            <w:pPr>
              <w:autoSpaceDE w:val="0"/>
              <w:autoSpaceDN w:val="0"/>
              <w:adjustRightInd w:val="0"/>
              <w:spacing w:after="0" w:line="276" w:lineRule="auto"/>
              <w:jc w:val="center"/>
              <w:rPr>
                <w:rFonts w:eastAsia="Times New Roman"/>
                <w:bCs/>
                <w:sz w:val="20"/>
              </w:rPr>
            </w:pPr>
            <w:r w:rsidRPr="00B77500">
              <w:rPr>
                <w:rFonts w:eastAsia="Times New Roman"/>
                <w:bCs/>
                <w:sz w:val="20"/>
              </w:rPr>
              <w:t>Total</w:t>
            </w:r>
          </w:p>
        </w:tc>
        <w:tc>
          <w:tcPr>
            <w:tcW w:w="2835" w:type="dxa"/>
          </w:tcPr>
          <w:p w:rsidR="00942428" w:rsidRPr="004728E1" w:rsidRDefault="007743E4" w:rsidP="00352418">
            <w:pPr>
              <w:autoSpaceDE w:val="0"/>
              <w:autoSpaceDN w:val="0"/>
              <w:adjustRightInd w:val="0"/>
              <w:spacing w:after="0"/>
              <w:jc w:val="center"/>
              <w:rPr>
                <w:rFonts w:eastAsia="Times New Roman"/>
                <w:bCs/>
                <w:sz w:val="20"/>
              </w:rPr>
            </w:pPr>
            <w:r w:rsidRPr="004728E1">
              <w:rPr>
                <w:rFonts w:eastAsia="Times New Roman"/>
                <w:bCs/>
                <w:sz w:val="20"/>
              </w:rPr>
              <w:fldChar w:fldCharType="begin"/>
            </w:r>
            <w:r w:rsidRPr="004728E1">
              <w:rPr>
                <w:rFonts w:eastAsia="Times New Roman"/>
                <w:bCs/>
                <w:sz w:val="20"/>
              </w:rPr>
              <w:instrText xml:space="preserve"> =SUM(ABOVE) </w:instrText>
            </w:r>
            <w:r w:rsidRPr="004728E1">
              <w:rPr>
                <w:rFonts w:eastAsia="Times New Roman"/>
                <w:bCs/>
                <w:sz w:val="20"/>
              </w:rPr>
              <w:fldChar w:fldCharType="separate"/>
            </w:r>
            <w:r w:rsidRPr="004728E1">
              <w:rPr>
                <w:rFonts w:eastAsia="Times New Roman"/>
                <w:bCs/>
                <w:noProof/>
                <w:sz w:val="20"/>
              </w:rPr>
              <w:t>83,477</w:t>
            </w:r>
            <w:r w:rsidRPr="004728E1">
              <w:rPr>
                <w:rFonts w:eastAsia="Times New Roman"/>
                <w:bCs/>
                <w:sz w:val="20"/>
              </w:rPr>
              <w:fldChar w:fldCharType="end"/>
            </w:r>
          </w:p>
        </w:tc>
        <w:tc>
          <w:tcPr>
            <w:tcW w:w="2835" w:type="dxa"/>
          </w:tcPr>
          <w:p w:rsidR="00942428" w:rsidRPr="004728E1" w:rsidRDefault="007743E4" w:rsidP="00352418">
            <w:pPr>
              <w:autoSpaceDE w:val="0"/>
              <w:autoSpaceDN w:val="0"/>
              <w:adjustRightInd w:val="0"/>
              <w:spacing w:after="0"/>
              <w:jc w:val="center"/>
              <w:rPr>
                <w:rFonts w:eastAsia="Times New Roman"/>
                <w:bCs/>
                <w:sz w:val="20"/>
              </w:rPr>
            </w:pPr>
            <w:r w:rsidRPr="004728E1">
              <w:rPr>
                <w:rFonts w:eastAsia="Times New Roman"/>
                <w:bCs/>
                <w:sz w:val="20"/>
              </w:rPr>
              <w:fldChar w:fldCharType="begin"/>
            </w:r>
            <w:r w:rsidRPr="004728E1">
              <w:rPr>
                <w:rFonts w:eastAsia="Times New Roman"/>
                <w:bCs/>
                <w:sz w:val="20"/>
              </w:rPr>
              <w:instrText xml:space="preserve"> =SUM(ABOVE) </w:instrText>
            </w:r>
            <w:r w:rsidRPr="004728E1">
              <w:rPr>
                <w:rFonts w:eastAsia="Times New Roman"/>
                <w:bCs/>
                <w:sz w:val="20"/>
              </w:rPr>
              <w:fldChar w:fldCharType="separate"/>
            </w:r>
            <w:r w:rsidRPr="004728E1">
              <w:rPr>
                <w:rFonts w:eastAsia="Times New Roman"/>
                <w:bCs/>
                <w:noProof/>
                <w:sz w:val="20"/>
              </w:rPr>
              <w:t>110,548</w:t>
            </w:r>
            <w:r w:rsidRPr="004728E1">
              <w:rPr>
                <w:rFonts w:eastAsia="Times New Roman"/>
                <w:bCs/>
                <w:sz w:val="20"/>
              </w:rPr>
              <w:fldChar w:fldCharType="end"/>
            </w:r>
          </w:p>
        </w:tc>
      </w:tr>
    </w:tbl>
    <w:p w:rsidR="00C6407B" w:rsidRDefault="00C6407B" w:rsidP="00C6407B">
      <w:pPr>
        <w:autoSpaceDE w:val="0"/>
        <w:autoSpaceDN w:val="0"/>
        <w:adjustRightInd w:val="0"/>
        <w:spacing w:after="0" w:line="240" w:lineRule="auto"/>
        <w:ind w:left="450"/>
        <w:rPr>
          <w:rFonts w:eastAsia="Times New Roman"/>
          <w:bCs/>
        </w:rPr>
      </w:pPr>
    </w:p>
    <w:p w:rsidR="00E3699D" w:rsidRDefault="00E3699D" w:rsidP="00C6407B">
      <w:pPr>
        <w:autoSpaceDE w:val="0"/>
        <w:autoSpaceDN w:val="0"/>
        <w:adjustRightInd w:val="0"/>
        <w:spacing w:after="0" w:line="240" w:lineRule="auto"/>
        <w:ind w:left="450"/>
        <w:rPr>
          <w:rFonts w:eastAsia="Times New Roman"/>
          <w:bCs/>
        </w:rPr>
      </w:pPr>
      <w:r>
        <w:rPr>
          <w:rFonts w:eastAsia="Times New Roman"/>
          <w:bCs/>
        </w:rPr>
        <w:t>The pilot study will be collecting data from coal miners</w:t>
      </w:r>
      <w:r w:rsidRPr="00E3699D">
        <w:rPr>
          <w:rFonts w:eastAsia="Times New Roman"/>
          <w:bCs/>
        </w:rPr>
        <w:t xml:space="preserve"> </w:t>
      </w:r>
      <w:r>
        <w:rPr>
          <w:rFonts w:eastAsia="Times New Roman"/>
          <w:bCs/>
        </w:rPr>
        <w:t xml:space="preserve">only. </w:t>
      </w:r>
      <w:r w:rsidR="00CA2809">
        <w:rPr>
          <w:rFonts w:eastAsia="Times New Roman"/>
          <w:bCs/>
        </w:rPr>
        <w:t xml:space="preserve">Additionally, the </w:t>
      </w:r>
      <w:proofErr w:type="gramStart"/>
      <w:r w:rsidR="00CA2809">
        <w:rPr>
          <w:rFonts w:eastAsia="Times New Roman"/>
          <w:bCs/>
        </w:rPr>
        <w:t>two  modes</w:t>
      </w:r>
      <w:proofErr w:type="gramEnd"/>
      <w:r w:rsidR="00CA2809">
        <w:rPr>
          <w:rFonts w:eastAsia="Times New Roman"/>
          <w:bCs/>
        </w:rPr>
        <w:t xml:space="preserve"> of implementation will be geographically focused. The in-person data collection will focus on two states: Alabama and Virginia. The phone/web survey recruited through </w:t>
      </w:r>
      <w:r w:rsidR="00A0682B">
        <w:rPr>
          <w:rFonts w:eastAsia="Times New Roman"/>
          <w:bCs/>
        </w:rPr>
        <w:t xml:space="preserve">advertising will be focused on the Charleston, WV </w:t>
      </w:r>
      <w:r w:rsidR="00CB53BD">
        <w:rPr>
          <w:rFonts w:eastAsia="Times New Roman"/>
          <w:bCs/>
        </w:rPr>
        <w:t>area</w:t>
      </w:r>
      <w:r w:rsidR="00A0682B">
        <w:rPr>
          <w:rFonts w:eastAsia="Times New Roman"/>
          <w:bCs/>
        </w:rPr>
        <w:t>. Table B-2 provides a summary of the coal miner populations for these areas:</w:t>
      </w:r>
    </w:p>
    <w:p w:rsidR="00A0682B" w:rsidRDefault="00A0682B" w:rsidP="00C6407B">
      <w:pPr>
        <w:autoSpaceDE w:val="0"/>
        <w:autoSpaceDN w:val="0"/>
        <w:adjustRightInd w:val="0"/>
        <w:spacing w:after="0" w:line="240" w:lineRule="auto"/>
        <w:ind w:left="450"/>
        <w:rPr>
          <w:rFonts w:eastAsia="Times New Roman"/>
          <w:bCs/>
        </w:rPr>
      </w:pPr>
    </w:p>
    <w:p w:rsidR="00CB53BD" w:rsidRPr="004728E1" w:rsidRDefault="00CB53BD" w:rsidP="00C6407B">
      <w:pPr>
        <w:autoSpaceDE w:val="0"/>
        <w:autoSpaceDN w:val="0"/>
        <w:adjustRightInd w:val="0"/>
        <w:spacing w:after="0" w:line="240" w:lineRule="auto"/>
        <w:ind w:left="450"/>
        <w:rPr>
          <w:rFonts w:eastAsia="Times New Roman"/>
          <w:b/>
          <w:bCs/>
          <w:sz w:val="20"/>
        </w:rPr>
      </w:pPr>
      <w:r w:rsidRPr="004728E1">
        <w:rPr>
          <w:rFonts w:eastAsia="Times New Roman"/>
          <w:b/>
          <w:bCs/>
          <w:sz w:val="20"/>
        </w:rPr>
        <w:t>Table B-2 – Populations of Miners in Areas for Pilot</w:t>
      </w:r>
    </w:p>
    <w:tbl>
      <w:tblPr>
        <w:tblStyle w:val="TableGrid"/>
        <w:tblW w:w="0" w:type="auto"/>
        <w:tblInd w:w="450" w:type="dxa"/>
        <w:tblLook w:val="04A0" w:firstRow="1" w:lastRow="0" w:firstColumn="1" w:lastColumn="0" w:noHBand="0" w:noVBand="1"/>
      </w:tblPr>
      <w:tblGrid>
        <w:gridCol w:w="4565"/>
        <w:gridCol w:w="4561"/>
      </w:tblGrid>
      <w:tr w:rsidR="00CB53BD" w:rsidRPr="004728E1" w:rsidTr="004728E1">
        <w:tc>
          <w:tcPr>
            <w:tcW w:w="4565" w:type="dxa"/>
          </w:tcPr>
          <w:p w:rsidR="00A0682B" w:rsidRPr="004728E1" w:rsidRDefault="00CB53BD" w:rsidP="00C6407B">
            <w:pPr>
              <w:autoSpaceDE w:val="0"/>
              <w:autoSpaceDN w:val="0"/>
              <w:adjustRightInd w:val="0"/>
              <w:spacing w:after="0"/>
              <w:rPr>
                <w:rFonts w:eastAsia="Times New Roman"/>
                <w:b/>
                <w:bCs/>
                <w:sz w:val="20"/>
              </w:rPr>
            </w:pPr>
            <w:r w:rsidRPr="004728E1">
              <w:rPr>
                <w:rFonts w:eastAsia="Times New Roman"/>
                <w:b/>
                <w:bCs/>
                <w:sz w:val="20"/>
              </w:rPr>
              <w:t>Mode and Location</w:t>
            </w:r>
          </w:p>
        </w:tc>
        <w:tc>
          <w:tcPr>
            <w:tcW w:w="4561" w:type="dxa"/>
          </w:tcPr>
          <w:p w:rsidR="00A0682B" w:rsidRPr="004728E1" w:rsidRDefault="00CB53BD" w:rsidP="00C6407B">
            <w:pPr>
              <w:autoSpaceDE w:val="0"/>
              <w:autoSpaceDN w:val="0"/>
              <w:adjustRightInd w:val="0"/>
              <w:spacing w:after="0"/>
              <w:rPr>
                <w:rFonts w:eastAsia="Times New Roman"/>
                <w:b/>
                <w:bCs/>
                <w:sz w:val="20"/>
              </w:rPr>
            </w:pPr>
            <w:r w:rsidRPr="004728E1">
              <w:rPr>
                <w:rFonts w:eastAsia="Times New Roman"/>
                <w:b/>
                <w:bCs/>
                <w:sz w:val="20"/>
              </w:rPr>
              <w:t>Population of Coal Miners</w:t>
            </w:r>
            <w:r w:rsidR="004728E1">
              <w:rPr>
                <w:rFonts w:eastAsia="Times New Roman"/>
                <w:b/>
                <w:bCs/>
                <w:sz w:val="20"/>
              </w:rPr>
              <w:t xml:space="preserve"> (NAICS 2121)</w:t>
            </w:r>
          </w:p>
        </w:tc>
      </w:tr>
      <w:tr w:rsidR="00CB53BD" w:rsidRPr="004728E1" w:rsidTr="00A80A28">
        <w:tc>
          <w:tcPr>
            <w:tcW w:w="9126" w:type="dxa"/>
            <w:gridSpan w:val="2"/>
          </w:tcPr>
          <w:p w:rsidR="00CB53BD" w:rsidRPr="004728E1" w:rsidRDefault="00CB53BD" w:rsidP="00C6407B">
            <w:pPr>
              <w:autoSpaceDE w:val="0"/>
              <w:autoSpaceDN w:val="0"/>
              <w:adjustRightInd w:val="0"/>
              <w:spacing w:after="0"/>
              <w:rPr>
                <w:rFonts w:eastAsia="Times New Roman"/>
                <w:bCs/>
                <w:i/>
                <w:sz w:val="20"/>
              </w:rPr>
            </w:pPr>
            <w:r w:rsidRPr="004728E1">
              <w:rPr>
                <w:rFonts w:eastAsia="Times New Roman"/>
                <w:bCs/>
                <w:i/>
                <w:sz w:val="20"/>
              </w:rPr>
              <w:t>In-Person Mode</w:t>
            </w:r>
          </w:p>
        </w:tc>
      </w:tr>
      <w:tr w:rsidR="00CB53BD" w:rsidRPr="004728E1" w:rsidTr="004728E1">
        <w:tc>
          <w:tcPr>
            <w:tcW w:w="4565" w:type="dxa"/>
          </w:tcPr>
          <w:p w:rsidR="00A0682B" w:rsidRPr="004728E1" w:rsidRDefault="00A0682B" w:rsidP="004728E1">
            <w:pPr>
              <w:autoSpaceDE w:val="0"/>
              <w:autoSpaceDN w:val="0"/>
              <w:adjustRightInd w:val="0"/>
              <w:spacing w:after="0"/>
              <w:ind w:left="360"/>
              <w:rPr>
                <w:rFonts w:eastAsia="Times New Roman"/>
                <w:bCs/>
                <w:sz w:val="20"/>
              </w:rPr>
            </w:pPr>
            <w:r w:rsidRPr="004728E1">
              <w:rPr>
                <w:rFonts w:eastAsia="Times New Roman"/>
                <w:bCs/>
                <w:sz w:val="20"/>
              </w:rPr>
              <w:t>Alabama</w:t>
            </w:r>
          </w:p>
        </w:tc>
        <w:tc>
          <w:tcPr>
            <w:tcW w:w="4561" w:type="dxa"/>
          </w:tcPr>
          <w:p w:rsidR="00A0682B" w:rsidRPr="004728E1" w:rsidRDefault="00CB53BD" w:rsidP="00C6407B">
            <w:pPr>
              <w:autoSpaceDE w:val="0"/>
              <w:autoSpaceDN w:val="0"/>
              <w:adjustRightInd w:val="0"/>
              <w:spacing w:after="0"/>
              <w:rPr>
                <w:rFonts w:eastAsia="Times New Roman"/>
                <w:bCs/>
                <w:sz w:val="20"/>
              </w:rPr>
            </w:pPr>
            <w:r w:rsidRPr="004728E1">
              <w:rPr>
                <w:rFonts w:eastAsia="Times New Roman"/>
                <w:bCs/>
                <w:sz w:val="20"/>
              </w:rPr>
              <w:t>3,773</w:t>
            </w:r>
          </w:p>
        </w:tc>
      </w:tr>
      <w:tr w:rsidR="00CB53BD" w:rsidRPr="004728E1" w:rsidTr="00CB53BD">
        <w:tc>
          <w:tcPr>
            <w:tcW w:w="4565" w:type="dxa"/>
          </w:tcPr>
          <w:p w:rsidR="00A0682B" w:rsidRPr="004728E1" w:rsidRDefault="00A0682B" w:rsidP="004728E1">
            <w:pPr>
              <w:autoSpaceDE w:val="0"/>
              <w:autoSpaceDN w:val="0"/>
              <w:adjustRightInd w:val="0"/>
              <w:spacing w:after="0"/>
              <w:ind w:left="360"/>
              <w:rPr>
                <w:rFonts w:eastAsia="Times New Roman"/>
                <w:bCs/>
                <w:sz w:val="20"/>
              </w:rPr>
            </w:pPr>
            <w:r w:rsidRPr="004728E1">
              <w:rPr>
                <w:rFonts w:eastAsia="Times New Roman"/>
                <w:bCs/>
                <w:sz w:val="20"/>
              </w:rPr>
              <w:t>Virginia</w:t>
            </w:r>
          </w:p>
        </w:tc>
        <w:tc>
          <w:tcPr>
            <w:tcW w:w="4561" w:type="dxa"/>
          </w:tcPr>
          <w:p w:rsidR="00A0682B" w:rsidRPr="004728E1" w:rsidRDefault="00CB53BD" w:rsidP="00C6407B">
            <w:pPr>
              <w:autoSpaceDE w:val="0"/>
              <w:autoSpaceDN w:val="0"/>
              <w:adjustRightInd w:val="0"/>
              <w:spacing w:after="0"/>
              <w:rPr>
                <w:rFonts w:eastAsia="Times New Roman"/>
                <w:bCs/>
                <w:sz w:val="20"/>
              </w:rPr>
            </w:pPr>
            <w:r w:rsidRPr="004728E1">
              <w:rPr>
                <w:rFonts w:eastAsia="Times New Roman"/>
                <w:bCs/>
                <w:sz w:val="20"/>
              </w:rPr>
              <w:t>4,575</w:t>
            </w:r>
          </w:p>
        </w:tc>
      </w:tr>
      <w:tr w:rsidR="00CB53BD" w:rsidRPr="004728E1" w:rsidTr="00012A2C">
        <w:tc>
          <w:tcPr>
            <w:tcW w:w="9126" w:type="dxa"/>
            <w:gridSpan w:val="2"/>
          </w:tcPr>
          <w:p w:rsidR="00CB53BD" w:rsidRPr="004728E1" w:rsidRDefault="00CB53BD" w:rsidP="00C6407B">
            <w:pPr>
              <w:autoSpaceDE w:val="0"/>
              <w:autoSpaceDN w:val="0"/>
              <w:adjustRightInd w:val="0"/>
              <w:spacing w:after="0"/>
              <w:rPr>
                <w:rFonts w:eastAsia="Times New Roman"/>
                <w:bCs/>
                <w:i/>
                <w:sz w:val="20"/>
              </w:rPr>
            </w:pPr>
            <w:r w:rsidRPr="004728E1">
              <w:rPr>
                <w:rFonts w:eastAsia="Times New Roman"/>
                <w:bCs/>
                <w:i/>
                <w:sz w:val="20"/>
              </w:rPr>
              <w:t>Phone/Web Recruited Mode</w:t>
            </w:r>
          </w:p>
        </w:tc>
      </w:tr>
      <w:tr w:rsidR="00CB53BD" w:rsidRPr="004728E1" w:rsidTr="004728E1">
        <w:tc>
          <w:tcPr>
            <w:tcW w:w="4565" w:type="dxa"/>
          </w:tcPr>
          <w:p w:rsidR="00A0682B" w:rsidRPr="004728E1" w:rsidRDefault="00CB53BD" w:rsidP="004728E1">
            <w:pPr>
              <w:autoSpaceDE w:val="0"/>
              <w:autoSpaceDN w:val="0"/>
              <w:adjustRightInd w:val="0"/>
              <w:spacing w:after="0"/>
              <w:ind w:left="360"/>
              <w:rPr>
                <w:rFonts w:eastAsia="Times New Roman"/>
                <w:bCs/>
                <w:sz w:val="20"/>
              </w:rPr>
            </w:pPr>
            <w:r w:rsidRPr="004728E1">
              <w:rPr>
                <w:rFonts w:eastAsia="Times New Roman"/>
                <w:bCs/>
                <w:sz w:val="20"/>
              </w:rPr>
              <w:t>Charleston, WV</w:t>
            </w:r>
          </w:p>
        </w:tc>
        <w:tc>
          <w:tcPr>
            <w:tcW w:w="4561" w:type="dxa"/>
          </w:tcPr>
          <w:p w:rsidR="00A0682B" w:rsidRPr="004728E1" w:rsidRDefault="00CB53BD" w:rsidP="00C6407B">
            <w:pPr>
              <w:autoSpaceDE w:val="0"/>
              <w:autoSpaceDN w:val="0"/>
              <w:adjustRightInd w:val="0"/>
              <w:spacing w:after="0"/>
              <w:rPr>
                <w:rFonts w:eastAsia="Times New Roman"/>
                <w:bCs/>
                <w:sz w:val="20"/>
              </w:rPr>
            </w:pPr>
            <w:r w:rsidRPr="004728E1">
              <w:rPr>
                <w:rFonts w:eastAsia="Times New Roman"/>
                <w:bCs/>
                <w:sz w:val="20"/>
              </w:rPr>
              <w:t>5,000 – 9,999 [a]</w:t>
            </w:r>
          </w:p>
        </w:tc>
      </w:tr>
    </w:tbl>
    <w:p w:rsidR="00A0682B" w:rsidRPr="004728E1" w:rsidRDefault="00A0682B" w:rsidP="00C6407B">
      <w:pPr>
        <w:autoSpaceDE w:val="0"/>
        <w:autoSpaceDN w:val="0"/>
        <w:adjustRightInd w:val="0"/>
        <w:spacing w:after="0" w:line="240" w:lineRule="auto"/>
        <w:ind w:left="450"/>
        <w:rPr>
          <w:rFonts w:eastAsia="Times New Roman"/>
          <w:bCs/>
          <w:sz w:val="20"/>
        </w:rPr>
      </w:pPr>
      <w:r w:rsidRPr="004728E1">
        <w:rPr>
          <w:rFonts w:eastAsia="Times New Roman"/>
          <w:bCs/>
          <w:sz w:val="20"/>
        </w:rPr>
        <w:t xml:space="preserve">Source: Census Bureau, County Business Patterns, </w:t>
      </w:r>
      <w:hyperlink r:id="rId9" w:history="1">
        <w:r w:rsidRPr="004728E1">
          <w:rPr>
            <w:rStyle w:val="Hyperlink"/>
            <w:rFonts w:eastAsia="Times New Roman"/>
            <w:bCs/>
            <w:sz w:val="20"/>
          </w:rPr>
          <w:t>http://www.census.gov/econ/cbp/</w:t>
        </w:r>
      </w:hyperlink>
      <w:r w:rsidRPr="004728E1">
        <w:rPr>
          <w:rFonts w:eastAsia="Times New Roman"/>
          <w:bCs/>
          <w:sz w:val="20"/>
        </w:rPr>
        <w:t xml:space="preserve">. </w:t>
      </w:r>
    </w:p>
    <w:p w:rsidR="00CB53BD" w:rsidRPr="004728E1" w:rsidRDefault="00CB53BD" w:rsidP="00C6407B">
      <w:pPr>
        <w:autoSpaceDE w:val="0"/>
        <w:autoSpaceDN w:val="0"/>
        <w:adjustRightInd w:val="0"/>
        <w:spacing w:after="0" w:line="240" w:lineRule="auto"/>
        <w:ind w:left="450"/>
        <w:rPr>
          <w:rFonts w:eastAsia="Times New Roman"/>
          <w:bCs/>
          <w:sz w:val="20"/>
        </w:rPr>
      </w:pPr>
      <w:r w:rsidRPr="004728E1">
        <w:rPr>
          <w:rFonts w:eastAsia="Times New Roman"/>
          <w:bCs/>
          <w:sz w:val="20"/>
        </w:rPr>
        <w:t>[</w:t>
      </w:r>
      <w:proofErr w:type="gramStart"/>
      <w:r w:rsidRPr="004728E1">
        <w:rPr>
          <w:rFonts w:eastAsia="Times New Roman"/>
          <w:bCs/>
          <w:sz w:val="20"/>
        </w:rPr>
        <w:t>a</w:t>
      </w:r>
      <w:proofErr w:type="gramEnd"/>
      <w:r w:rsidRPr="004728E1">
        <w:rPr>
          <w:rFonts w:eastAsia="Times New Roman"/>
          <w:bCs/>
          <w:sz w:val="20"/>
        </w:rPr>
        <w:t xml:space="preserve">] </w:t>
      </w:r>
      <w:r w:rsidR="004728E1">
        <w:rPr>
          <w:rFonts w:eastAsia="Times New Roman"/>
          <w:bCs/>
          <w:sz w:val="20"/>
        </w:rPr>
        <w:t>This is based on the Charleston, WV metropolitan statistical area. Census has suppressed the actual value for that area. However, the note supplied by Census indicates that between 5,000 and 9,999 coal miners are employed in this area.</w:t>
      </w:r>
    </w:p>
    <w:p w:rsidR="00C6407B" w:rsidRDefault="00C6407B" w:rsidP="00AC471D">
      <w:pPr>
        <w:autoSpaceDE w:val="0"/>
        <w:autoSpaceDN w:val="0"/>
        <w:adjustRightInd w:val="0"/>
        <w:spacing w:after="0" w:line="240" w:lineRule="auto"/>
        <w:ind w:left="450"/>
        <w:rPr>
          <w:rFonts w:eastAsia="Times New Roman"/>
          <w:bCs/>
        </w:rPr>
      </w:pPr>
    </w:p>
    <w:p w:rsidR="00352418" w:rsidRPr="00352418" w:rsidRDefault="00352418" w:rsidP="00AC471D">
      <w:pPr>
        <w:autoSpaceDE w:val="0"/>
        <w:autoSpaceDN w:val="0"/>
        <w:adjustRightInd w:val="0"/>
        <w:spacing w:after="0" w:line="240" w:lineRule="auto"/>
        <w:ind w:left="450"/>
        <w:rPr>
          <w:rFonts w:eastAsia="Times New Roman"/>
          <w:bCs/>
          <w:u w:val="single"/>
        </w:rPr>
      </w:pPr>
      <w:r w:rsidRPr="00352418">
        <w:rPr>
          <w:rFonts w:eastAsia="Times New Roman"/>
          <w:bCs/>
          <w:u w:val="single"/>
        </w:rPr>
        <w:t>Sample Size</w:t>
      </w:r>
    </w:p>
    <w:p w:rsidR="00352418" w:rsidRDefault="00352418" w:rsidP="00AC471D">
      <w:pPr>
        <w:autoSpaceDE w:val="0"/>
        <w:autoSpaceDN w:val="0"/>
        <w:adjustRightInd w:val="0"/>
        <w:spacing w:after="0" w:line="240" w:lineRule="auto"/>
        <w:ind w:left="450"/>
        <w:rPr>
          <w:rFonts w:eastAsia="Times New Roman"/>
          <w:bCs/>
        </w:rPr>
      </w:pPr>
    </w:p>
    <w:p w:rsidR="00E60742" w:rsidRDefault="00352418" w:rsidP="00AC471D">
      <w:pPr>
        <w:autoSpaceDE w:val="0"/>
        <w:autoSpaceDN w:val="0"/>
        <w:adjustRightInd w:val="0"/>
        <w:spacing w:after="0" w:line="240" w:lineRule="auto"/>
        <w:ind w:left="450"/>
        <w:rPr>
          <w:rFonts w:eastAsia="Times New Roman"/>
          <w:bCs/>
        </w:rPr>
      </w:pPr>
      <w:r>
        <w:rPr>
          <w:rFonts w:eastAsia="Times New Roman"/>
          <w:bCs/>
        </w:rPr>
        <w:t>The sample size</w:t>
      </w:r>
      <w:r w:rsidR="00E51506">
        <w:rPr>
          <w:rFonts w:eastAsia="Times New Roman"/>
          <w:bCs/>
        </w:rPr>
        <w:t xml:space="preserve"> </w:t>
      </w:r>
      <w:r>
        <w:rPr>
          <w:rFonts w:eastAsia="Times New Roman"/>
          <w:bCs/>
        </w:rPr>
        <w:t xml:space="preserve">for each </w:t>
      </w:r>
      <w:r w:rsidR="00260BC7">
        <w:rPr>
          <w:rFonts w:eastAsia="Times New Roman"/>
          <w:bCs/>
        </w:rPr>
        <w:t>stratum</w:t>
      </w:r>
      <w:r>
        <w:rPr>
          <w:rFonts w:eastAsia="Times New Roman"/>
          <w:bCs/>
        </w:rPr>
        <w:t xml:space="preserve"> </w:t>
      </w:r>
      <w:r w:rsidR="00E51506">
        <w:rPr>
          <w:rFonts w:eastAsia="Times New Roman"/>
          <w:bCs/>
        </w:rPr>
        <w:t xml:space="preserve">in a larger study of voice in mining </w:t>
      </w:r>
      <w:r>
        <w:rPr>
          <w:rFonts w:eastAsia="Times New Roman"/>
          <w:bCs/>
        </w:rPr>
        <w:t xml:space="preserve">will be determined based on statistical theory. </w:t>
      </w:r>
      <w:r w:rsidR="00E60742">
        <w:rPr>
          <w:rFonts w:eastAsia="Times New Roman"/>
          <w:bCs/>
        </w:rPr>
        <w:t xml:space="preserve">DOL would select a sample size using statistical method for each stratum we want to obtain valid and reliable data for. </w:t>
      </w:r>
      <w:proofErr w:type="gramStart"/>
      <w:r w:rsidR="00E60742">
        <w:rPr>
          <w:rFonts w:eastAsia="Times New Roman"/>
          <w:bCs/>
        </w:rPr>
        <w:t xml:space="preserve">For example, if DOL wished to obtain valid and reliable data for </w:t>
      </w:r>
      <w:r w:rsidR="00E60742">
        <w:rPr>
          <w:rFonts w:eastAsia="Times New Roman"/>
          <w:bCs/>
        </w:rPr>
        <w:lastRenderedPageBreak/>
        <w:t>the four strata in Table B-1 (coal-underground, coal-surface, metal/non-metal underground, and metal/non-metal-surface), then DOL would calculate an appropriate sample size for each stratum.</w:t>
      </w:r>
      <w:proofErr w:type="gramEnd"/>
      <w:r w:rsidR="00E60742">
        <w:rPr>
          <w:rFonts w:eastAsia="Times New Roman"/>
          <w:bCs/>
        </w:rPr>
        <w:t xml:space="preserve"> </w:t>
      </w:r>
      <w:r w:rsidR="00301257">
        <w:rPr>
          <w:rFonts w:eastAsia="Times New Roman"/>
          <w:bCs/>
        </w:rPr>
        <w:t>Calculation of sample size is discussed under Question 2 below.</w:t>
      </w:r>
    </w:p>
    <w:p w:rsidR="00E3699D" w:rsidRDefault="00E3699D" w:rsidP="00AC471D">
      <w:pPr>
        <w:autoSpaceDE w:val="0"/>
        <w:autoSpaceDN w:val="0"/>
        <w:adjustRightInd w:val="0"/>
        <w:spacing w:after="0" w:line="240" w:lineRule="auto"/>
        <w:ind w:left="450"/>
        <w:rPr>
          <w:rFonts w:eastAsia="Times New Roman"/>
          <w:bCs/>
        </w:rPr>
      </w:pPr>
    </w:p>
    <w:p w:rsidR="00E3699D" w:rsidRDefault="00E3699D" w:rsidP="00AC471D">
      <w:pPr>
        <w:autoSpaceDE w:val="0"/>
        <w:autoSpaceDN w:val="0"/>
        <w:adjustRightInd w:val="0"/>
        <w:spacing w:after="0" w:line="240" w:lineRule="auto"/>
        <w:ind w:left="450"/>
        <w:rPr>
          <w:rFonts w:eastAsia="Times New Roman"/>
          <w:bCs/>
        </w:rPr>
      </w:pPr>
      <w:r>
        <w:rPr>
          <w:rFonts w:eastAsia="Times New Roman"/>
          <w:bCs/>
        </w:rPr>
        <w:t>For the pilot study, DOL is targeting a sample of 125 miners for each mode. The selection of 125 is not based on a statistical calculation, but reflects the budget available to collect these data for the pilot. DOL balanced the number of respondents needed to perform some data analysis against the cost of collecting the data.</w:t>
      </w:r>
    </w:p>
    <w:p w:rsidR="004728E1" w:rsidRDefault="004728E1" w:rsidP="00AC471D">
      <w:pPr>
        <w:autoSpaceDE w:val="0"/>
        <w:autoSpaceDN w:val="0"/>
        <w:adjustRightInd w:val="0"/>
        <w:spacing w:after="0" w:line="240" w:lineRule="auto"/>
        <w:ind w:left="450"/>
        <w:rPr>
          <w:rFonts w:eastAsia="Times New Roman"/>
          <w:bCs/>
        </w:rPr>
      </w:pPr>
    </w:p>
    <w:p w:rsidR="004728E1" w:rsidRDefault="004728E1" w:rsidP="00AC471D">
      <w:pPr>
        <w:autoSpaceDE w:val="0"/>
        <w:autoSpaceDN w:val="0"/>
        <w:adjustRightInd w:val="0"/>
        <w:spacing w:after="0" w:line="240" w:lineRule="auto"/>
        <w:ind w:left="450"/>
        <w:rPr>
          <w:rFonts w:eastAsia="Times New Roman"/>
          <w:bCs/>
        </w:rPr>
      </w:pPr>
      <w:r>
        <w:rPr>
          <w:rFonts w:eastAsia="Times New Roman"/>
          <w:bCs/>
        </w:rPr>
        <w:t xml:space="preserve">To assess the success of the different modes, DOL will use the </w:t>
      </w:r>
      <w:r w:rsidRPr="00190AF0">
        <w:rPr>
          <w:rFonts w:eastAsia="Times New Roman"/>
          <w:b/>
          <w:bCs/>
        </w:rPr>
        <w:t>number of response attained</w:t>
      </w:r>
      <w:r>
        <w:rPr>
          <w:rFonts w:eastAsia="Times New Roman"/>
          <w:bCs/>
        </w:rPr>
        <w:t xml:space="preserve"> as an outcome measure. That is, neither mode is guaranteed to attain the targeted 125 responses. Thus, a good outcome measure for comparing the two modes will be the total responses attained. </w:t>
      </w:r>
    </w:p>
    <w:p w:rsidR="00E60742" w:rsidRDefault="00E60742" w:rsidP="00AC471D">
      <w:pPr>
        <w:autoSpaceDE w:val="0"/>
        <w:autoSpaceDN w:val="0"/>
        <w:adjustRightInd w:val="0"/>
        <w:spacing w:after="0" w:line="240" w:lineRule="auto"/>
        <w:ind w:left="450"/>
        <w:rPr>
          <w:rFonts w:eastAsia="Times New Roman"/>
          <w:bCs/>
        </w:rPr>
      </w:pPr>
    </w:p>
    <w:p w:rsidR="003315F3" w:rsidRDefault="003315F3" w:rsidP="003315F3">
      <w:pPr>
        <w:autoSpaceDE w:val="0"/>
        <w:autoSpaceDN w:val="0"/>
        <w:adjustRightInd w:val="0"/>
        <w:spacing w:after="0" w:line="240" w:lineRule="auto"/>
        <w:ind w:left="450"/>
        <w:rPr>
          <w:rFonts w:eastAsia="Times New Roman"/>
          <w:bCs/>
          <w:szCs w:val="20"/>
        </w:rPr>
      </w:pPr>
      <w:proofErr w:type="gramStart"/>
      <w:r w:rsidRPr="00C455AE">
        <w:rPr>
          <w:rFonts w:eastAsia="Times New Roman"/>
          <w:bCs/>
          <w:szCs w:val="20"/>
          <w:u w:val="single"/>
        </w:rPr>
        <w:t>Response Rate</w:t>
      </w:r>
      <w:r w:rsidR="00433889">
        <w:rPr>
          <w:rFonts w:eastAsia="Times New Roman"/>
          <w:bCs/>
          <w:szCs w:val="20"/>
        </w:rPr>
        <w:t>.</w:t>
      </w:r>
      <w:proofErr w:type="gramEnd"/>
    </w:p>
    <w:p w:rsidR="00433889" w:rsidRDefault="00433889" w:rsidP="003315F3">
      <w:pPr>
        <w:autoSpaceDE w:val="0"/>
        <w:autoSpaceDN w:val="0"/>
        <w:adjustRightInd w:val="0"/>
        <w:spacing w:after="0" w:line="240" w:lineRule="auto"/>
        <w:ind w:left="450"/>
        <w:rPr>
          <w:rFonts w:eastAsia="Times New Roman"/>
          <w:bCs/>
          <w:szCs w:val="20"/>
        </w:rPr>
      </w:pPr>
    </w:p>
    <w:p w:rsidR="00433889" w:rsidRDefault="00433889" w:rsidP="003315F3">
      <w:pPr>
        <w:autoSpaceDE w:val="0"/>
        <w:autoSpaceDN w:val="0"/>
        <w:adjustRightInd w:val="0"/>
        <w:spacing w:after="0" w:line="240" w:lineRule="auto"/>
        <w:ind w:left="450"/>
        <w:rPr>
          <w:rFonts w:eastAsia="Times New Roman"/>
          <w:bCs/>
          <w:szCs w:val="20"/>
        </w:rPr>
      </w:pPr>
      <w:r>
        <w:rPr>
          <w:rFonts w:eastAsia="Times New Roman"/>
          <w:bCs/>
          <w:szCs w:val="20"/>
        </w:rPr>
        <w:t xml:space="preserve">The response rate for this larger survey of voice in mining workplaces will be informed to some degree by the pilot study that we are seeking approval for. Specifically, the pilot will allow DOL to develop an initial estimate of the response rate for at least the in-person implementation mode. </w:t>
      </w:r>
      <w:r w:rsidR="00301257">
        <w:rPr>
          <w:rFonts w:eastAsia="Times New Roman"/>
          <w:bCs/>
        </w:rPr>
        <w:t xml:space="preserve">As noted in Part A, DOL is considering </w:t>
      </w:r>
      <w:r w:rsidR="00370265">
        <w:rPr>
          <w:rFonts w:eastAsia="Times New Roman"/>
          <w:bCs/>
        </w:rPr>
        <w:t xml:space="preserve">two </w:t>
      </w:r>
      <w:r w:rsidR="00301257">
        <w:rPr>
          <w:rFonts w:eastAsia="Times New Roman"/>
          <w:bCs/>
        </w:rPr>
        <w:t xml:space="preserve">potential modes: (a) implementing </w:t>
      </w:r>
      <w:r w:rsidR="00370265">
        <w:rPr>
          <w:rFonts w:eastAsia="Times New Roman"/>
          <w:bCs/>
        </w:rPr>
        <w:t xml:space="preserve">in-person </w:t>
      </w:r>
      <w:r w:rsidR="00301257">
        <w:rPr>
          <w:rFonts w:eastAsia="Times New Roman"/>
          <w:bCs/>
        </w:rPr>
        <w:t xml:space="preserve">through DOL grantee training events, </w:t>
      </w:r>
      <w:r w:rsidR="00370265">
        <w:rPr>
          <w:rFonts w:eastAsia="Times New Roman"/>
          <w:bCs/>
        </w:rPr>
        <w:t xml:space="preserve">and </w:t>
      </w:r>
      <w:r w:rsidR="00301257">
        <w:rPr>
          <w:rFonts w:eastAsia="Times New Roman"/>
          <w:bCs/>
        </w:rPr>
        <w:t>(b) recruiting miners to take the survey via phone</w:t>
      </w:r>
      <w:r w:rsidR="00370265">
        <w:rPr>
          <w:rFonts w:eastAsia="Times New Roman"/>
          <w:bCs/>
        </w:rPr>
        <w:t xml:space="preserve"> or web</w:t>
      </w:r>
      <w:r w:rsidR="00301257">
        <w:rPr>
          <w:rFonts w:eastAsia="Times New Roman"/>
          <w:bCs/>
        </w:rPr>
        <w:t xml:space="preserve">. </w:t>
      </w:r>
      <w:r>
        <w:rPr>
          <w:rFonts w:eastAsia="Times New Roman"/>
          <w:bCs/>
          <w:szCs w:val="20"/>
        </w:rPr>
        <w:t>The in-person mode will involve DOL contractor staff handing out the survey at training events. Those that refuse to complete the survey will be counted as non-respondents.</w:t>
      </w:r>
      <w:r w:rsidR="00301257">
        <w:rPr>
          <w:rFonts w:eastAsia="Times New Roman"/>
          <w:bCs/>
          <w:szCs w:val="20"/>
        </w:rPr>
        <w:t xml:space="preserve"> </w:t>
      </w:r>
      <w:r>
        <w:rPr>
          <w:rFonts w:eastAsia="Times New Roman"/>
          <w:bCs/>
          <w:szCs w:val="20"/>
        </w:rPr>
        <w:t xml:space="preserve">The other two modes we are considering, however, are less likely to allow for clean estimation of response rates. Both the web-based implementation and the phone implementation will involve recruiting respondents to take the survey. Thus, it will not be possible for DOL to determine the </w:t>
      </w:r>
      <w:proofErr w:type="gramStart"/>
      <w:r>
        <w:rPr>
          <w:rFonts w:eastAsia="Times New Roman"/>
          <w:bCs/>
          <w:szCs w:val="20"/>
        </w:rPr>
        <w:t>number that see</w:t>
      </w:r>
      <w:proofErr w:type="gramEnd"/>
      <w:r>
        <w:rPr>
          <w:rFonts w:eastAsia="Times New Roman"/>
          <w:bCs/>
          <w:szCs w:val="20"/>
        </w:rPr>
        <w:t xml:space="preserve"> the survey advertised and that refuse the survey.</w:t>
      </w:r>
      <w:r w:rsidR="00370265">
        <w:rPr>
          <w:rStyle w:val="FootnoteReference"/>
          <w:rFonts w:eastAsia="Times New Roman"/>
          <w:bCs/>
          <w:szCs w:val="20"/>
        </w:rPr>
        <w:footnoteReference w:id="2"/>
      </w:r>
      <w:r>
        <w:rPr>
          <w:rFonts w:eastAsia="Times New Roman"/>
          <w:bCs/>
          <w:szCs w:val="20"/>
        </w:rPr>
        <w:t xml:space="preserve"> </w:t>
      </w:r>
      <w:r w:rsidR="00370265">
        <w:rPr>
          <w:rFonts w:eastAsia="Times New Roman"/>
          <w:bCs/>
          <w:szCs w:val="20"/>
        </w:rPr>
        <w:t>Nevertheless, DOL can still calculate a ratio to reflect the number of responses relative to the potential population (see Table B-2 above).</w:t>
      </w:r>
    </w:p>
    <w:p w:rsidR="003315F3" w:rsidRDefault="003315F3" w:rsidP="003315F3">
      <w:pPr>
        <w:spacing w:after="0" w:line="240" w:lineRule="auto"/>
        <w:rPr>
          <w:rFonts w:eastAsia="Times New Roman"/>
          <w:b/>
          <w:bCs/>
          <w:sz w:val="20"/>
        </w:rPr>
      </w:pPr>
    </w:p>
    <w:p w:rsidR="00E81BB3" w:rsidRDefault="00370265" w:rsidP="003315F3">
      <w:pPr>
        <w:autoSpaceDE w:val="0"/>
        <w:autoSpaceDN w:val="0"/>
        <w:adjustRightInd w:val="0"/>
        <w:spacing w:after="0" w:line="240" w:lineRule="auto"/>
        <w:ind w:left="450"/>
        <w:rPr>
          <w:rFonts w:eastAsia="Times New Roman"/>
          <w:bCs/>
        </w:rPr>
      </w:pPr>
      <w:r>
        <w:rPr>
          <w:rFonts w:eastAsia="Times New Roman"/>
          <w:bCs/>
        </w:rPr>
        <w:t xml:space="preserve">To assess the two modes, DOL will </w:t>
      </w:r>
      <w:r w:rsidR="00E81BB3">
        <w:rPr>
          <w:rFonts w:eastAsia="Times New Roman"/>
          <w:bCs/>
        </w:rPr>
        <w:t>have both</w:t>
      </w:r>
      <w:r>
        <w:rPr>
          <w:rFonts w:eastAsia="Times New Roman"/>
          <w:bCs/>
        </w:rPr>
        <w:t xml:space="preserve"> the </w:t>
      </w:r>
      <w:r w:rsidRPr="00190AF0">
        <w:rPr>
          <w:rFonts w:eastAsia="Times New Roman"/>
          <w:b/>
          <w:bCs/>
        </w:rPr>
        <w:t>response rate</w:t>
      </w:r>
      <w:r>
        <w:rPr>
          <w:rFonts w:eastAsia="Times New Roman"/>
          <w:bCs/>
        </w:rPr>
        <w:t xml:space="preserve"> from the in-person implementation </w:t>
      </w:r>
      <w:r w:rsidR="00E81BB3">
        <w:rPr>
          <w:rFonts w:eastAsia="Times New Roman"/>
          <w:bCs/>
        </w:rPr>
        <w:t>and</w:t>
      </w:r>
      <w:r>
        <w:rPr>
          <w:rFonts w:eastAsia="Times New Roman"/>
          <w:bCs/>
        </w:rPr>
        <w:t xml:space="preserve"> the </w:t>
      </w:r>
      <w:r w:rsidRPr="00190AF0">
        <w:rPr>
          <w:rFonts w:eastAsia="Times New Roman"/>
          <w:b/>
          <w:bCs/>
        </w:rPr>
        <w:t>number of response relative to the population</w:t>
      </w:r>
      <w:r w:rsidR="00E81BB3">
        <w:rPr>
          <w:rStyle w:val="FootnoteReference"/>
          <w:rFonts w:eastAsia="Times New Roman"/>
          <w:b/>
          <w:bCs/>
        </w:rPr>
        <w:footnoteReference w:id="3"/>
      </w:r>
      <w:r>
        <w:rPr>
          <w:rFonts w:eastAsia="Times New Roman"/>
          <w:bCs/>
        </w:rPr>
        <w:t xml:space="preserve"> for the recruitment mode. </w:t>
      </w:r>
      <w:r w:rsidR="00E81BB3">
        <w:rPr>
          <w:rFonts w:eastAsia="Times New Roman"/>
          <w:bCs/>
        </w:rPr>
        <w:t xml:space="preserve">We expect that the response rate for the in-person will be much larger than the value for the number of responses relative to the population for the recruitment approach. Thus, comparing the two values directly is not possible. </w:t>
      </w:r>
    </w:p>
    <w:p w:rsidR="00E81BB3" w:rsidRDefault="00E81BB3" w:rsidP="003315F3">
      <w:pPr>
        <w:autoSpaceDE w:val="0"/>
        <w:autoSpaceDN w:val="0"/>
        <w:adjustRightInd w:val="0"/>
        <w:spacing w:after="0" w:line="240" w:lineRule="auto"/>
        <w:ind w:left="450"/>
        <w:rPr>
          <w:rFonts w:eastAsia="Times New Roman"/>
          <w:bCs/>
        </w:rPr>
      </w:pPr>
    </w:p>
    <w:p w:rsidR="00E81BB3" w:rsidRPr="00C455AE" w:rsidRDefault="00E81BB3" w:rsidP="003315F3">
      <w:pPr>
        <w:autoSpaceDE w:val="0"/>
        <w:autoSpaceDN w:val="0"/>
        <w:adjustRightInd w:val="0"/>
        <w:spacing w:after="0" w:line="240" w:lineRule="auto"/>
        <w:ind w:left="450"/>
        <w:rPr>
          <w:rFonts w:eastAsia="Times New Roman"/>
          <w:bCs/>
        </w:rPr>
      </w:pPr>
    </w:p>
    <w:p w:rsidR="003315F3" w:rsidRPr="00C455AE" w:rsidRDefault="003315F3" w:rsidP="003315F3">
      <w:pPr>
        <w:numPr>
          <w:ilvl w:val="0"/>
          <w:numId w:val="1"/>
        </w:numPr>
        <w:autoSpaceDE w:val="0"/>
        <w:autoSpaceDN w:val="0"/>
        <w:adjustRightInd w:val="0"/>
        <w:spacing w:after="0" w:line="240" w:lineRule="auto"/>
        <w:ind w:left="450"/>
        <w:rPr>
          <w:rFonts w:eastAsia="Times New Roman"/>
          <w:b/>
          <w:bCs/>
        </w:rPr>
      </w:pPr>
      <w:r w:rsidRPr="00C455AE">
        <w:rPr>
          <w:rFonts w:eastAsia="Times New Roman"/>
          <w:b/>
          <w:bCs/>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3315F3" w:rsidRPr="00C455AE" w:rsidRDefault="003315F3" w:rsidP="003315F3">
      <w:pPr>
        <w:autoSpaceDE w:val="0"/>
        <w:autoSpaceDN w:val="0"/>
        <w:adjustRightInd w:val="0"/>
        <w:spacing w:after="0" w:line="240" w:lineRule="auto"/>
        <w:ind w:left="450" w:hanging="360"/>
        <w:rPr>
          <w:rFonts w:eastAsia="Times New Roman"/>
          <w:b/>
          <w:bCs/>
        </w:rPr>
      </w:pPr>
    </w:p>
    <w:p w:rsidR="00361210" w:rsidRDefault="004577D7" w:rsidP="00361210">
      <w:pPr>
        <w:autoSpaceDE w:val="0"/>
        <w:autoSpaceDN w:val="0"/>
        <w:adjustRightInd w:val="0"/>
        <w:spacing w:after="0" w:line="240" w:lineRule="auto"/>
        <w:ind w:left="450"/>
        <w:rPr>
          <w:rFonts w:eastAsia="Times New Roman"/>
          <w:bCs/>
          <w:u w:val="single"/>
        </w:rPr>
      </w:pPr>
      <w:r>
        <w:rPr>
          <w:rFonts w:eastAsia="Times New Roman"/>
          <w:bCs/>
          <w:u w:val="single"/>
        </w:rPr>
        <w:t xml:space="preserve">This section begins with a brief discussion of the methods that will be used to implement </w:t>
      </w:r>
      <w:r w:rsidR="00361210">
        <w:rPr>
          <w:rFonts w:eastAsia="Times New Roman"/>
          <w:bCs/>
          <w:u w:val="single"/>
        </w:rPr>
        <w:t>the pilot and then discusses how the pilot will influence the full=scale data collection for the topics identified in the question.</w:t>
      </w:r>
    </w:p>
    <w:p w:rsidR="00361210" w:rsidRDefault="00361210" w:rsidP="00361210">
      <w:pPr>
        <w:autoSpaceDE w:val="0"/>
        <w:autoSpaceDN w:val="0"/>
        <w:adjustRightInd w:val="0"/>
        <w:spacing w:after="0" w:line="240" w:lineRule="auto"/>
        <w:ind w:left="450"/>
        <w:rPr>
          <w:rFonts w:eastAsia="Times New Roman"/>
          <w:bCs/>
          <w:u w:val="single"/>
        </w:rPr>
      </w:pPr>
    </w:p>
    <w:p w:rsidR="00E81BB3" w:rsidRPr="00190AF0" w:rsidRDefault="00E81BB3" w:rsidP="003315F3">
      <w:pPr>
        <w:autoSpaceDE w:val="0"/>
        <w:autoSpaceDN w:val="0"/>
        <w:adjustRightInd w:val="0"/>
        <w:spacing w:after="0" w:line="240" w:lineRule="auto"/>
        <w:ind w:left="450"/>
        <w:rPr>
          <w:rFonts w:eastAsia="Times New Roman"/>
          <w:bCs/>
          <w:u w:val="single"/>
        </w:rPr>
      </w:pPr>
      <w:r w:rsidRPr="00190AF0">
        <w:rPr>
          <w:rFonts w:eastAsia="Times New Roman"/>
          <w:bCs/>
          <w:u w:val="single"/>
        </w:rPr>
        <w:t xml:space="preserve">Procedures for Collecting the Data </w:t>
      </w:r>
      <w:r w:rsidR="00190AF0" w:rsidRPr="00190AF0">
        <w:rPr>
          <w:rFonts w:eastAsia="Times New Roman"/>
          <w:bCs/>
          <w:u w:val="single"/>
        </w:rPr>
        <w:t>under</w:t>
      </w:r>
      <w:r w:rsidRPr="00190AF0">
        <w:rPr>
          <w:rFonts w:eastAsia="Times New Roman"/>
          <w:bCs/>
          <w:u w:val="single"/>
        </w:rPr>
        <w:t xml:space="preserve"> the Pilot</w:t>
      </w:r>
    </w:p>
    <w:p w:rsidR="00E81BB3" w:rsidRDefault="00E81BB3" w:rsidP="003315F3">
      <w:pPr>
        <w:autoSpaceDE w:val="0"/>
        <w:autoSpaceDN w:val="0"/>
        <w:adjustRightInd w:val="0"/>
        <w:spacing w:after="0" w:line="240" w:lineRule="auto"/>
        <w:ind w:left="450"/>
        <w:rPr>
          <w:rFonts w:eastAsia="Times New Roman"/>
          <w:bCs/>
        </w:rPr>
      </w:pPr>
    </w:p>
    <w:p w:rsidR="00E81BB3" w:rsidRDefault="00190AF0" w:rsidP="003315F3">
      <w:pPr>
        <w:autoSpaceDE w:val="0"/>
        <w:autoSpaceDN w:val="0"/>
        <w:adjustRightInd w:val="0"/>
        <w:spacing w:after="0" w:line="240" w:lineRule="auto"/>
        <w:ind w:left="450"/>
        <w:rPr>
          <w:rFonts w:eastAsia="Times New Roman"/>
          <w:bCs/>
        </w:rPr>
      </w:pPr>
      <w:r w:rsidRPr="00B77500">
        <w:rPr>
          <w:rFonts w:eastAsia="Times New Roman"/>
          <w:b/>
          <w:bCs/>
          <w:i/>
        </w:rPr>
        <w:lastRenderedPageBreak/>
        <w:t>In-Person Mode Collected at Training Site</w:t>
      </w:r>
      <w:r>
        <w:rPr>
          <w:rFonts w:eastAsia="Times New Roman"/>
          <w:bCs/>
        </w:rPr>
        <w:t xml:space="preserve">. To implement the survey at training sites, DOL will have its contractor (ERG) make contact with sites in Alabama and Virginia. These two states were selected by MSHA due to both the size of the mining community and the ability of MSHA to secure cooperation with these states. ERG will work with the training sites to determine when training sessions will occur and will then travel to a few selected training sessions. Given the targeted value if approximately 125 responses, ERG </w:t>
      </w:r>
      <w:proofErr w:type="gramStart"/>
      <w:r>
        <w:rPr>
          <w:rFonts w:eastAsia="Times New Roman"/>
          <w:bCs/>
        </w:rPr>
        <w:t>expects</w:t>
      </w:r>
      <w:proofErr w:type="gramEnd"/>
      <w:r>
        <w:rPr>
          <w:rFonts w:eastAsia="Times New Roman"/>
          <w:bCs/>
        </w:rPr>
        <w:t xml:space="preserve"> to attend approximately 4-5 sessions (2-3 in each state). ERG will have the training coordinator make contact with miners taking the survey and inform them a survey will be conducted and ask trainees to arrive early. ERG will implement the survey before the training occurs since some of the subjects covered by the training are asked about in the survey.</w:t>
      </w:r>
      <w:r>
        <w:rPr>
          <w:rStyle w:val="FootnoteReference"/>
          <w:rFonts w:eastAsia="Times New Roman"/>
          <w:bCs/>
        </w:rPr>
        <w:footnoteReference w:id="4"/>
      </w:r>
      <w:r>
        <w:rPr>
          <w:rFonts w:eastAsia="Times New Roman"/>
          <w:bCs/>
        </w:rPr>
        <w:t xml:space="preserve"> The ERG staff person will hand out the survey with an envelope that it can be placed in when the respondent is done. Respondents will be asked to place the completed surveys in a box at the front of the room when they are done. The trainer will be asked to provide a quick encouragement to the miners to take the survey, but will leave the room prior to the survey being handed out. The ERG staff person will remain the room.</w:t>
      </w:r>
    </w:p>
    <w:p w:rsidR="00190AF0" w:rsidRDefault="00190AF0" w:rsidP="003315F3">
      <w:pPr>
        <w:autoSpaceDE w:val="0"/>
        <w:autoSpaceDN w:val="0"/>
        <w:adjustRightInd w:val="0"/>
        <w:spacing w:after="0" w:line="240" w:lineRule="auto"/>
        <w:ind w:left="450"/>
        <w:rPr>
          <w:rFonts w:eastAsia="Times New Roman"/>
          <w:bCs/>
        </w:rPr>
      </w:pPr>
    </w:p>
    <w:p w:rsidR="00190AF0" w:rsidRPr="00E81BB3" w:rsidRDefault="004577D7" w:rsidP="003315F3">
      <w:pPr>
        <w:autoSpaceDE w:val="0"/>
        <w:autoSpaceDN w:val="0"/>
        <w:adjustRightInd w:val="0"/>
        <w:spacing w:after="0" w:line="240" w:lineRule="auto"/>
        <w:ind w:left="450"/>
        <w:rPr>
          <w:rFonts w:eastAsia="Times New Roman"/>
          <w:bCs/>
        </w:rPr>
      </w:pPr>
      <w:r w:rsidRPr="00B77500">
        <w:rPr>
          <w:rFonts w:eastAsia="Times New Roman"/>
          <w:b/>
          <w:bCs/>
          <w:i/>
        </w:rPr>
        <w:t>Web and Phone Mode Recruited through Advertising</w:t>
      </w:r>
      <w:r>
        <w:rPr>
          <w:rFonts w:eastAsia="Times New Roman"/>
          <w:bCs/>
        </w:rPr>
        <w:t>. To implement this mode, DOL will place an ad in a newspaper in the Charleston, WV area. The ad will indicate that a survey is being implemented about coal workers’ rights and will provide a web address and phone number. Workers that call the toll-free number will be connected to ERG to take the survey. The web address will direct the respondent to the online version of the instrument.</w:t>
      </w:r>
    </w:p>
    <w:p w:rsidR="00E81BB3" w:rsidRPr="00E81BB3" w:rsidRDefault="00E81BB3" w:rsidP="003315F3">
      <w:pPr>
        <w:autoSpaceDE w:val="0"/>
        <w:autoSpaceDN w:val="0"/>
        <w:adjustRightInd w:val="0"/>
        <w:spacing w:after="0" w:line="240" w:lineRule="auto"/>
        <w:ind w:left="450"/>
        <w:rPr>
          <w:rFonts w:eastAsia="Times New Roman"/>
          <w:bCs/>
        </w:rPr>
      </w:pPr>
    </w:p>
    <w:p w:rsidR="003315F3" w:rsidRPr="00C455AE" w:rsidRDefault="003315F3" w:rsidP="003315F3">
      <w:pPr>
        <w:autoSpaceDE w:val="0"/>
        <w:autoSpaceDN w:val="0"/>
        <w:adjustRightInd w:val="0"/>
        <w:spacing w:after="0" w:line="240" w:lineRule="auto"/>
        <w:ind w:left="450"/>
        <w:rPr>
          <w:rFonts w:eastAsia="Times New Roman"/>
          <w:bCs/>
          <w:u w:val="single"/>
        </w:rPr>
      </w:pPr>
      <w:r w:rsidRPr="00C455AE">
        <w:rPr>
          <w:rFonts w:eastAsia="Times New Roman"/>
          <w:bCs/>
          <w:u w:val="single"/>
        </w:rPr>
        <w:t>Stratification, Accuracy, and Sample Selection</w:t>
      </w:r>
    </w:p>
    <w:p w:rsidR="003315F3" w:rsidRPr="00C455AE" w:rsidRDefault="003315F3" w:rsidP="003315F3">
      <w:pPr>
        <w:autoSpaceDE w:val="0"/>
        <w:autoSpaceDN w:val="0"/>
        <w:adjustRightInd w:val="0"/>
        <w:spacing w:after="0" w:line="240" w:lineRule="auto"/>
        <w:ind w:left="450" w:hanging="360"/>
        <w:rPr>
          <w:rFonts w:eastAsia="Times New Roman"/>
          <w:b/>
          <w:bCs/>
        </w:rPr>
      </w:pPr>
    </w:p>
    <w:p w:rsidR="00301257" w:rsidRDefault="00301257" w:rsidP="00301257">
      <w:pPr>
        <w:autoSpaceDE w:val="0"/>
        <w:autoSpaceDN w:val="0"/>
        <w:adjustRightInd w:val="0"/>
        <w:spacing w:after="0" w:line="240" w:lineRule="auto"/>
        <w:ind w:left="450"/>
        <w:rPr>
          <w:rFonts w:eastAsia="Times New Roman"/>
          <w:bCs/>
        </w:rPr>
      </w:pPr>
      <w:r>
        <w:rPr>
          <w:rFonts w:eastAsia="Times New Roman"/>
          <w:bCs/>
        </w:rPr>
        <w:t xml:space="preserve">The distinctions </w:t>
      </w:r>
      <w:r w:rsidR="00E51506">
        <w:rPr>
          <w:rFonts w:eastAsia="Times New Roman"/>
          <w:bCs/>
        </w:rPr>
        <w:t xml:space="preserve">in Table B-1 </w:t>
      </w:r>
      <w:r>
        <w:rPr>
          <w:rFonts w:eastAsia="Times New Roman"/>
          <w:bCs/>
        </w:rPr>
        <w:t>(coal vs. metal/non-metal and underground vs. surface) are two of the major distinctions between mining operations. Other potential factors to consider in stratifying the population include:</w:t>
      </w:r>
    </w:p>
    <w:p w:rsidR="00301257" w:rsidRDefault="00301257" w:rsidP="00301257">
      <w:pPr>
        <w:autoSpaceDE w:val="0"/>
        <w:autoSpaceDN w:val="0"/>
        <w:adjustRightInd w:val="0"/>
        <w:spacing w:after="0" w:line="240" w:lineRule="auto"/>
        <w:ind w:left="450"/>
        <w:rPr>
          <w:rFonts w:eastAsia="Times New Roman"/>
          <w:bCs/>
        </w:rPr>
      </w:pPr>
    </w:p>
    <w:p w:rsidR="00301257" w:rsidRDefault="00301257" w:rsidP="00301257">
      <w:pPr>
        <w:pStyle w:val="ListParagraph"/>
        <w:numPr>
          <w:ilvl w:val="0"/>
          <w:numId w:val="4"/>
        </w:numPr>
        <w:autoSpaceDE w:val="0"/>
        <w:autoSpaceDN w:val="0"/>
        <w:adjustRightInd w:val="0"/>
        <w:spacing w:after="0" w:line="240" w:lineRule="auto"/>
        <w:rPr>
          <w:rFonts w:eastAsia="Times New Roman"/>
          <w:bCs/>
        </w:rPr>
      </w:pPr>
      <w:r>
        <w:rPr>
          <w:rFonts w:eastAsia="Times New Roman"/>
          <w:bCs/>
        </w:rPr>
        <w:t>Union status—unionized mines may have higher levels of voice in the workplace and miners at those mines may have more access or familiarity with information on their rights.</w:t>
      </w:r>
    </w:p>
    <w:p w:rsidR="00301257" w:rsidRDefault="00301257" w:rsidP="00301257">
      <w:pPr>
        <w:pStyle w:val="ListParagraph"/>
        <w:numPr>
          <w:ilvl w:val="0"/>
          <w:numId w:val="4"/>
        </w:numPr>
        <w:autoSpaceDE w:val="0"/>
        <w:autoSpaceDN w:val="0"/>
        <w:adjustRightInd w:val="0"/>
        <w:spacing w:after="0" w:line="240" w:lineRule="auto"/>
        <w:rPr>
          <w:rFonts w:eastAsia="Times New Roman"/>
          <w:bCs/>
        </w:rPr>
      </w:pPr>
      <w:r>
        <w:rPr>
          <w:rFonts w:eastAsia="Times New Roman"/>
          <w:bCs/>
        </w:rPr>
        <w:t xml:space="preserve">Size—there may be differences in the way voice works at larger mines compared to smaller ones. </w:t>
      </w:r>
    </w:p>
    <w:p w:rsidR="00301257" w:rsidRDefault="00301257" w:rsidP="00301257">
      <w:pPr>
        <w:pStyle w:val="ListParagraph"/>
        <w:numPr>
          <w:ilvl w:val="0"/>
          <w:numId w:val="4"/>
        </w:numPr>
        <w:autoSpaceDE w:val="0"/>
        <w:autoSpaceDN w:val="0"/>
        <w:adjustRightInd w:val="0"/>
        <w:spacing w:after="0" w:line="240" w:lineRule="auto"/>
        <w:rPr>
          <w:rFonts w:eastAsia="Times New Roman"/>
          <w:bCs/>
        </w:rPr>
      </w:pPr>
      <w:r>
        <w:rPr>
          <w:rFonts w:eastAsia="Times New Roman"/>
          <w:bCs/>
        </w:rPr>
        <w:t xml:space="preserve">Geographic region—mines in </w:t>
      </w:r>
      <w:r w:rsidR="006C63F0">
        <w:rPr>
          <w:rFonts w:eastAsia="Times New Roman"/>
          <w:bCs/>
        </w:rPr>
        <w:t xml:space="preserve">the traditional coal mining region of the U.S. </w:t>
      </w:r>
      <w:r>
        <w:rPr>
          <w:rFonts w:eastAsia="Times New Roman"/>
          <w:bCs/>
        </w:rPr>
        <w:t>(Kentucky, West Virginia, Pennsylvania Virginia) may differ from mines in other regions.</w:t>
      </w:r>
      <w:r w:rsidR="006C63F0">
        <w:rPr>
          <w:rFonts w:eastAsia="Times New Roman"/>
          <w:bCs/>
        </w:rPr>
        <w:t xml:space="preserve"> Furthermore, mines in the west of the country may differ from those in the east.</w:t>
      </w:r>
    </w:p>
    <w:p w:rsidR="00301257" w:rsidRDefault="00301257" w:rsidP="003315F3">
      <w:pPr>
        <w:autoSpaceDE w:val="0"/>
        <w:autoSpaceDN w:val="0"/>
        <w:adjustRightInd w:val="0"/>
        <w:spacing w:after="0" w:line="240" w:lineRule="auto"/>
        <w:ind w:left="450" w:hanging="360"/>
        <w:rPr>
          <w:rFonts w:eastAsia="Times New Roman"/>
          <w:b/>
        </w:rPr>
      </w:pPr>
    </w:p>
    <w:p w:rsidR="00301257" w:rsidRDefault="00301257" w:rsidP="00301257">
      <w:pPr>
        <w:autoSpaceDE w:val="0"/>
        <w:autoSpaceDN w:val="0"/>
        <w:adjustRightInd w:val="0"/>
        <w:spacing w:after="0" w:line="240" w:lineRule="auto"/>
        <w:ind w:left="450"/>
        <w:rPr>
          <w:rFonts w:eastAsia="Times New Roman"/>
          <w:bCs/>
        </w:rPr>
      </w:pPr>
      <w:r>
        <w:rPr>
          <w:rFonts w:eastAsia="Times New Roman"/>
          <w:bCs/>
        </w:rPr>
        <w:t xml:space="preserve">The pilot study will influence the factors used for stratification. The data that are collected under the pilot, albeit limited, should provide some indication of what factors are more important for stratifying the sample. Additionally, preliminary work performed by DOL’s contractor to cognitively test the survey instrument indicated that union status may be a key factor, as well as mine size.  </w:t>
      </w:r>
    </w:p>
    <w:p w:rsidR="00301257" w:rsidRDefault="00301257" w:rsidP="00301257">
      <w:pPr>
        <w:autoSpaceDE w:val="0"/>
        <w:autoSpaceDN w:val="0"/>
        <w:adjustRightInd w:val="0"/>
        <w:spacing w:after="0" w:line="240" w:lineRule="auto"/>
        <w:ind w:left="450"/>
        <w:rPr>
          <w:rFonts w:eastAsia="Times New Roman"/>
          <w:bCs/>
        </w:rPr>
      </w:pPr>
    </w:p>
    <w:p w:rsidR="00301257" w:rsidRDefault="00301257" w:rsidP="00301257">
      <w:pPr>
        <w:autoSpaceDE w:val="0"/>
        <w:autoSpaceDN w:val="0"/>
        <w:adjustRightInd w:val="0"/>
        <w:spacing w:after="0" w:line="240" w:lineRule="auto"/>
        <w:ind w:left="450"/>
        <w:rPr>
          <w:rFonts w:eastAsia="Times New Roman"/>
          <w:bCs/>
        </w:rPr>
      </w:pPr>
      <w:r>
        <w:rPr>
          <w:rFonts w:eastAsia="Times New Roman"/>
          <w:bCs/>
        </w:rPr>
        <w:t>As noted under Question 1, DOL will determine a sample size for each stratum in order to collect valid and reliable data for that stratum. Calculating the sample size requires three pieces of information: the desired confidence interval, the variance of the estimate, and the desired level of precision:</w:t>
      </w:r>
    </w:p>
    <w:p w:rsidR="00301257" w:rsidRDefault="00301257" w:rsidP="00301257">
      <w:pPr>
        <w:autoSpaceDE w:val="0"/>
        <w:autoSpaceDN w:val="0"/>
        <w:adjustRightInd w:val="0"/>
        <w:spacing w:after="0" w:line="240" w:lineRule="auto"/>
        <w:ind w:left="450"/>
        <w:rPr>
          <w:rFonts w:eastAsia="Times New Roman"/>
          <w:bCs/>
        </w:rPr>
      </w:pPr>
    </w:p>
    <w:p w:rsidR="00301257" w:rsidRDefault="00301257" w:rsidP="00301257">
      <w:pPr>
        <w:pStyle w:val="ListParagraph"/>
        <w:numPr>
          <w:ilvl w:val="0"/>
          <w:numId w:val="6"/>
        </w:numPr>
        <w:autoSpaceDE w:val="0"/>
        <w:autoSpaceDN w:val="0"/>
        <w:adjustRightInd w:val="0"/>
        <w:spacing w:after="0" w:line="240" w:lineRule="auto"/>
        <w:rPr>
          <w:rFonts w:eastAsia="Times New Roman"/>
          <w:bCs/>
        </w:rPr>
      </w:pPr>
      <w:r w:rsidRPr="00E60742">
        <w:rPr>
          <w:rFonts w:eastAsia="Times New Roman"/>
          <w:b/>
          <w:bCs/>
        </w:rPr>
        <w:t>Confidence</w:t>
      </w:r>
      <w:r>
        <w:rPr>
          <w:rFonts w:eastAsia="Times New Roman"/>
          <w:bCs/>
        </w:rPr>
        <w:t xml:space="preserve">. </w:t>
      </w:r>
      <w:r w:rsidRPr="00E60742">
        <w:rPr>
          <w:rFonts w:eastAsia="Times New Roman"/>
          <w:bCs/>
        </w:rPr>
        <w:t xml:space="preserve">DOL </w:t>
      </w:r>
      <w:r>
        <w:rPr>
          <w:rFonts w:eastAsia="Times New Roman"/>
          <w:bCs/>
        </w:rPr>
        <w:t>will</w:t>
      </w:r>
      <w:r w:rsidRPr="00E60742">
        <w:rPr>
          <w:rFonts w:eastAsia="Times New Roman"/>
          <w:bCs/>
        </w:rPr>
        <w:t xml:space="preserve"> use a 95 percent confidence interval. </w:t>
      </w:r>
      <w:r>
        <w:rPr>
          <w:rFonts w:eastAsia="Times New Roman"/>
          <w:bCs/>
        </w:rPr>
        <w:t xml:space="preserve">The </w:t>
      </w:r>
      <w:r w:rsidRPr="00E51506">
        <w:rPr>
          <w:rFonts w:eastAsia="Times New Roman"/>
          <w:bCs/>
          <w:i/>
        </w:rPr>
        <w:t>z</w:t>
      </w:r>
      <w:r>
        <w:rPr>
          <w:rFonts w:eastAsia="Times New Roman"/>
          <w:bCs/>
        </w:rPr>
        <w:t>-score from the standard normal distribution for a 95 percent confidence interval is 1.96, which is used in the sample size calculation.</w:t>
      </w:r>
    </w:p>
    <w:p w:rsidR="00301257" w:rsidRDefault="00301257" w:rsidP="00301257">
      <w:pPr>
        <w:pStyle w:val="ListParagraph"/>
        <w:numPr>
          <w:ilvl w:val="0"/>
          <w:numId w:val="6"/>
        </w:numPr>
        <w:autoSpaceDE w:val="0"/>
        <w:autoSpaceDN w:val="0"/>
        <w:adjustRightInd w:val="0"/>
        <w:spacing w:after="0" w:line="240" w:lineRule="auto"/>
        <w:rPr>
          <w:rFonts w:eastAsia="Times New Roman"/>
          <w:bCs/>
        </w:rPr>
      </w:pPr>
      <w:r w:rsidRPr="00E60742">
        <w:rPr>
          <w:rFonts w:eastAsia="Times New Roman"/>
          <w:b/>
          <w:bCs/>
        </w:rPr>
        <w:lastRenderedPageBreak/>
        <w:t>Variance</w:t>
      </w:r>
      <w:r>
        <w:rPr>
          <w:rFonts w:eastAsia="Times New Roman"/>
          <w:bCs/>
        </w:rPr>
        <w:t xml:space="preserve">. </w:t>
      </w:r>
      <w:r w:rsidRPr="00E60742">
        <w:rPr>
          <w:rFonts w:eastAsia="Times New Roman"/>
          <w:bCs/>
        </w:rPr>
        <w:t xml:space="preserve">The survey instrument asks a number of questions using a five point scale. </w:t>
      </w:r>
      <w:proofErr w:type="spellStart"/>
      <w:r>
        <w:rPr>
          <w:rFonts w:eastAsia="Times New Roman"/>
          <w:bCs/>
        </w:rPr>
        <w:t>McQuarrie</w:t>
      </w:r>
      <w:proofErr w:type="spellEnd"/>
      <w:r>
        <w:rPr>
          <w:rFonts w:eastAsia="Times New Roman"/>
          <w:bCs/>
        </w:rPr>
        <w:t xml:space="preserve"> (2006, Table 6.1)</w:t>
      </w:r>
      <w:r>
        <w:rPr>
          <w:rStyle w:val="FootnoteReference"/>
          <w:rFonts w:eastAsia="Times New Roman"/>
          <w:bCs/>
        </w:rPr>
        <w:footnoteReference w:id="5"/>
      </w:r>
      <w:r>
        <w:rPr>
          <w:rFonts w:eastAsia="Times New Roman"/>
          <w:bCs/>
        </w:rPr>
        <w:t xml:space="preserve"> indicates that a five-point scale will have a maximum variance of 2.0. The standard deviation (the square root of the variance) is used</w:t>
      </w:r>
      <w:r w:rsidR="006C63F0">
        <w:rPr>
          <w:rFonts w:eastAsia="Times New Roman"/>
          <w:bCs/>
        </w:rPr>
        <w:t xml:space="preserve"> in</w:t>
      </w:r>
      <w:r>
        <w:rPr>
          <w:rFonts w:eastAsia="Times New Roman"/>
          <w:bCs/>
        </w:rPr>
        <w:t xml:space="preserve"> the sample size calculation.</w:t>
      </w:r>
    </w:p>
    <w:p w:rsidR="00301257" w:rsidRDefault="00301257" w:rsidP="00301257">
      <w:pPr>
        <w:pStyle w:val="ListParagraph"/>
        <w:numPr>
          <w:ilvl w:val="0"/>
          <w:numId w:val="6"/>
        </w:numPr>
        <w:autoSpaceDE w:val="0"/>
        <w:autoSpaceDN w:val="0"/>
        <w:adjustRightInd w:val="0"/>
        <w:spacing w:after="0" w:line="240" w:lineRule="auto"/>
        <w:rPr>
          <w:rFonts w:eastAsia="Times New Roman"/>
          <w:bCs/>
        </w:rPr>
      </w:pPr>
      <w:r>
        <w:rPr>
          <w:rFonts w:eastAsia="Times New Roman"/>
          <w:b/>
          <w:bCs/>
        </w:rPr>
        <w:t>Precision</w:t>
      </w:r>
      <w:r w:rsidRPr="00093D8C">
        <w:rPr>
          <w:rFonts w:eastAsia="Times New Roman"/>
          <w:bCs/>
        </w:rPr>
        <w:t>.</w:t>
      </w:r>
      <w:r>
        <w:rPr>
          <w:rFonts w:eastAsia="Times New Roman"/>
          <w:bCs/>
        </w:rPr>
        <w:t xml:space="preserve"> The precision is the maximum </w:t>
      </w:r>
      <w:r w:rsidR="006C63F0">
        <w:rPr>
          <w:rFonts w:eastAsia="Times New Roman"/>
          <w:bCs/>
        </w:rPr>
        <w:t>amount</w:t>
      </w:r>
      <w:r>
        <w:rPr>
          <w:rFonts w:eastAsia="Times New Roman"/>
          <w:bCs/>
        </w:rPr>
        <w:t xml:space="preserve"> </w:t>
      </w:r>
      <w:r w:rsidR="006C63F0">
        <w:rPr>
          <w:rFonts w:eastAsia="Times New Roman"/>
          <w:bCs/>
        </w:rPr>
        <w:t xml:space="preserve">(in units of the variable being estimated) </w:t>
      </w:r>
      <w:r>
        <w:rPr>
          <w:rFonts w:eastAsia="Times New Roman"/>
          <w:bCs/>
        </w:rPr>
        <w:t>that a researcher is willing to be away from a true estimate by taking a sample. Doubling the precision provides the length of the confidence interval being used in the study. In short, precision is a measure of accuracy with more precise estimates (smaller confidence intervals) requiring increasing larger sample sizes.</w:t>
      </w:r>
    </w:p>
    <w:p w:rsidR="00301257" w:rsidRDefault="00301257" w:rsidP="00301257">
      <w:pPr>
        <w:autoSpaceDE w:val="0"/>
        <w:autoSpaceDN w:val="0"/>
        <w:adjustRightInd w:val="0"/>
        <w:spacing w:after="0" w:line="240" w:lineRule="auto"/>
        <w:ind w:left="450"/>
        <w:rPr>
          <w:rFonts w:eastAsia="Times New Roman"/>
          <w:bCs/>
        </w:rPr>
      </w:pPr>
    </w:p>
    <w:p w:rsidR="006C63F0" w:rsidRPr="00093D8C" w:rsidRDefault="00301257" w:rsidP="006C63F0">
      <w:pPr>
        <w:autoSpaceDE w:val="0"/>
        <w:autoSpaceDN w:val="0"/>
        <w:adjustRightInd w:val="0"/>
        <w:spacing w:after="0" w:line="240" w:lineRule="auto"/>
        <w:ind w:left="450"/>
        <w:rPr>
          <w:rFonts w:eastAsia="Times New Roman"/>
          <w:bCs/>
        </w:rPr>
      </w:pPr>
      <w:r>
        <w:rPr>
          <w:rFonts w:eastAsia="Times New Roman"/>
          <w:bCs/>
        </w:rPr>
        <w:t>The basic formula for sample size is</w:t>
      </w:r>
      <w:proofErr w:type="gramStart"/>
      <w:r>
        <w:rPr>
          <w:rFonts w:eastAsia="Times New Roman"/>
          <w:bCs/>
        </w:rPr>
        <w:t>:</w:t>
      </w:r>
      <w:r w:rsidR="006C63F0">
        <w:rPr>
          <w:rFonts w:eastAsia="Times New Roman"/>
          <w:bCs/>
        </w:rPr>
        <w:t xml:space="preserve"> </w:t>
      </w:r>
      <w:r>
        <w:rPr>
          <w:rFonts w:eastAsia="Times New Roman"/>
          <w:bCs/>
        </w:rPr>
        <w:t xml:space="preserve"> </w:t>
      </w:r>
      <w:proofErr w:type="gramEnd"/>
      <m:oMath>
        <m:r>
          <w:rPr>
            <w:rFonts w:ascii="Cambria Math" w:eastAsia="Times New Roman" w:hAnsi="Cambria Math"/>
            <w:sz w:val="28"/>
          </w:rPr>
          <m:t xml:space="preserve">n= </m:t>
        </m:r>
        <m:sSup>
          <m:sSupPr>
            <m:ctrlPr>
              <w:rPr>
                <w:rFonts w:ascii="Cambria Math" w:eastAsia="Times New Roman" w:hAnsi="Cambria Math"/>
                <w:bCs/>
                <w:i/>
                <w:sz w:val="28"/>
              </w:rPr>
            </m:ctrlPr>
          </m:sSupPr>
          <m:e>
            <m:d>
              <m:dPr>
                <m:ctrlPr>
                  <w:rPr>
                    <w:rFonts w:ascii="Cambria Math" w:eastAsia="Times New Roman" w:hAnsi="Cambria Math"/>
                    <w:bCs/>
                    <w:i/>
                    <w:sz w:val="28"/>
                  </w:rPr>
                </m:ctrlPr>
              </m:dPr>
              <m:e>
                <m:f>
                  <m:fPr>
                    <m:ctrlPr>
                      <w:rPr>
                        <w:rFonts w:ascii="Cambria Math" w:eastAsia="Times New Roman" w:hAnsi="Cambria Math"/>
                        <w:bCs/>
                        <w:i/>
                        <w:sz w:val="28"/>
                      </w:rPr>
                    </m:ctrlPr>
                  </m:fPr>
                  <m:num>
                    <m:r>
                      <w:rPr>
                        <w:rFonts w:ascii="Cambria Math" w:eastAsia="Times New Roman" w:hAnsi="Cambria Math"/>
                        <w:sz w:val="28"/>
                      </w:rPr>
                      <m:t>z s</m:t>
                    </m:r>
                  </m:num>
                  <m:den>
                    <m:r>
                      <w:rPr>
                        <w:rFonts w:ascii="Cambria Math" w:eastAsia="Times New Roman" w:hAnsi="Cambria Math"/>
                        <w:sz w:val="28"/>
                      </w:rPr>
                      <m:t>d</m:t>
                    </m:r>
                  </m:den>
                </m:f>
              </m:e>
            </m:d>
          </m:e>
          <m:sup>
            <m:r>
              <w:rPr>
                <w:rFonts w:ascii="Cambria Math" w:eastAsia="Times New Roman" w:hAnsi="Cambria Math"/>
                <w:sz w:val="28"/>
              </w:rPr>
              <m:t>2</m:t>
            </m:r>
          </m:sup>
        </m:sSup>
      </m:oMath>
      <w:r>
        <w:rPr>
          <w:rFonts w:eastAsia="Times New Roman"/>
          <w:bCs/>
        </w:rPr>
        <w:t xml:space="preserve">, where </w:t>
      </w:r>
      <w:r w:rsidRPr="00093D8C">
        <w:rPr>
          <w:rFonts w:eastAsia="Times New Roman"/>
          <w:bCs/>
          <w:i/>
        </w:rPr>
        <w:t>n</w:t>
      </w:r>
      <w:r>
        <w:rPr>
          <w:rFonts w:eastAsia="Times New Roman"/>
          <w:bCs/>
        </w:rPr>
        <w:t xml:space="preserve"> is the sample size being estimated, </w:t>
      </w:r>
      <w:r w:rsidRPr="00093D8C">
        <w:rPr>
          <w:rFonts w:eastAsia="Times New Roman"/>
          <w:bCs/>
          <w:i/>
        </w:rPr>
        <w:t>z</w:t>
      </w:r>
      <w:r>
        <w:rPr>
          <w:rFonts w:eastAsia="Times New Roman"/>
          <w:bCs/>
        </w:rPr>
        <w:t xml:space="preserve"> is the standard normal score (1.96  for a two-sided 95 percent confidence interval), </w:t>
      </w:r>
      <w:r w:rsidRPr="00093D8C">
        <w:rPr>
          <w:rFonts w:eastAsia="Times New Roman"/>
          <w:bCs/>
          <w:i/>
        </w:rPr>
        <w:t>s</w:t>
      </w:r>
      <w:r>
        <w:rPr>
          <w:rFonts w:eastAsia="Times New Roman"/>
          <w:bCs/>
        </w:rPr>
        <w:t xml:space="preserve"> is the standard deviation (square root of 2 in our case), and </w:t>
      </w:r>
      <w:r w:rsidRPr="00093D8C">
        <w:rPr>
          <w:rFonts w:eastAsia="Times New Roman"/>
          <w:bCs/>
          <w:i/>
        </w:rPr>
        <w:t>d</w:t>
      </w:r>
      <w:r>
        <w:rPr>
          <w:rFonts w:eastAsia="Times New Roman"/>
          <w:bCs/>
        </w:rPr>
        <w:t xml:space="preserve"> is the desired precision. DOL has not selected a value for precision at this point. Figure B-1 provides </w:t>
      </w:r>
      <w:r w:rsidR="006C63F0">
        <w:rPr>
          <w:rFonts w:eastAsia="Times New Roman"/>
          <w:bCs/>
        </w:rPr>
        <w:t>a sketch</w:t>
      </w:r>
      <w:r>
        <w:rPr>
          <w:rFonts w:eastAsia="Times New Roman"/>
          <w:bCs/>
        </w:rPr>
        <w:t xml:space="preserve"> of the relationship between sample size (</w:t>
      </w:r>
      <w:r w:rsidRPr="00852211">
        <w:rPr>
          <w:rFonts w:eastAsia="Times New Roman"/>
          <w:bCs/>
          <w:i/>
        </w:rPr>
        <w:t>n</w:t>
      </w:r>
      <w:r>
        <w:rPr>
          <w:rFonts w:eastAsia="Times New Roman"/>
          <w:bCs/>
        </w:rPr>
        <w:t>) and precision (</w:t>
      </w:r>
      <w:r w:rsidRPr="00852211">
        <w:rPr>
          <w:rFonts w:eastAsia="Times New Roman"/>
          <w:bCs/>
          <w:i/>
        </w:rPr>
        <w:t>d</w:t>
      </w:r>
      <w:r>
        <w:rPr>
          <w:rFonts w:eastAsia="Times New Roman"/>
          <w:bCs/>
        </w:rPr>
        <w:t xml:space="preserve">). </w:t>
      </w:r>
      <w:r w:rsidR="006C63F0">
        <w:rPr>
          <w:rFonts w:eastAsia="Times New Roman"/>
          <w:bCs/>
        </w:rPr>
        <w:t xml:space="preserve">For example, precision of 0.4 implies that our sample will result in an estimated mean value for variables measured on a five point scale being within 0.4 points (on the five point scale) of the “true” (population) value with 95 percent confidence. DOL has not selected a precision level yet for a larger study of voice in mining workplaces. </w:t>
      </w:r>
      <w:r w:rsidR="006C63F0" w:rsidRPr="00093D8C">
        <w:rPr>
          <w:rFonts w:eastAsia="Times New Roman"/>
          <w:bCs/>
        </w:rPr>
        <w:t xml:space="preserve">The </w:t>
      </w:r>
      <w:r w:rsidR="006C63F0">
        <w:rPr>
          <w:rFonts w:eastAsia="Times New Roman"/>
          <w:bCs/>
        </w:rPr>
        <w:t xml:space="preserve">pilot study will assist DOL in setting a precision value by providing information on the likely distribution of responses for key questions in the survey. </w:t>
      </w:r>
    </w:p>
    <w:p w:rsidR="00301257" w:rsidRDefault="00301257" w:rsidP="00301257">
      <w:pPr>
        <w:autoSpaceDE w:val="0"/>
        <w:autoSpaceDN w:val="0"/>
        <w:adjustRightInd w:val="0"/>
        <w:spacing w:after="0" w:line="240" w:lineRule="auto"/>
        <w:ind w:left="450"/>
        <w:rPr>
          <w:rFonts w:eastAsia="Times New Roman"/>
          <w:bCs/>
        </w:rPr>
      </w:pPr>
    </w:p>
    <w:p w:rsidR="00301257" w:rsidRDefault="00301257" w:rsidP="00301257">
      <w:pPr>
        <w:autoSpaceDE w:val="0"/>
        <w:autoSpaceDN w:val="0"/>
        <w:adjustRightInd w:val="0"/>
        <w:spacing w:after="0" w:line="240" w:lineRule="auto"/>
        <w:ind w:left="450"/>
        <w:rPr>
          <w:rFonts w:eastAsia="Times New Roman"/>
          <w:bCs/>
        </w:rPr>
      </w:pPr>
    </w:p>
    <w:p w:rsidR="00301257" w:rsidRDefault="00301257" w:rsidP="00301257">
      <w:pPr>
        <w:autoSpaceDE w:val="0"/>
        <w:autoSpaceDN w:val="0"/>
        <w:adjustRightInd w:val="0"/>
        <w:spacing w:after="0" w:line="240" w:lineRule="auto"/>
        <w:ind w:left="450"/>
        <w:rPr>
          <w:rFonts w:eastAsia="Times New Roman"/>
          <w:bCs/>
        </w:rPr>
      </w:pPr>
      <w:r>
        <w:rPr>
          <w:noProof/>
        </w:rPr>
        <w:drawing>
          <wp:inline distT="0" distB="0" distL="0" distR="0" wp14:anchorId="4915A850" wp14:editId="5EE6D77B">
            <wp:extent cx="5067300" cy="29337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01257" w:rsidRDefault="00301257" w:rsidP="00301257">
      <w:pPr>
        <w:autoSpaceDE w:val="0"/>
        <w:autoSpaceDN w:val="0"/>
        <w:adjustRightInd w:val="0"/>
        <w:spacing w:after="0" w:line="240" w:lineRule="auto"/>
        <w:ind w:left="450"/>
        <w:rPr>
          <w:rFonts w:eastAsia="Times New Roman"/>
          <w:b/>
          <w:bCs/>
        </w:rPr>
      </w:pPr>
    </w:p>
    <w:p w:rsidR="00301257" w:rsidRPr="00093D8C" w:rsidRDefault="00301257" w:rsidP="00301257">
      <w:pPr>
        <w:autoSpaceDE w:val="0"/>
        <w:autoSpaceDN w:val="0"/>
        <w:adjustRightInd w:val="0"/>
        <w:spacing w:after="0" w:line="240" w:lineRule="auto"/>
        <w:ind w:left="450"/>
        <w:rPr>
          <w:rFonts w:eastAsia="Times New Roman"/>
          <w:b/>
          <w:bCs/>
        </w:rPr>
      </w:pPr>
      <w:r w:rsidRPr="00093D8C">
        <w:rPr>
          <w:rFonts w:eastAsia="Times New Roman"/>
          <w:b/>
          <w:bCs/>
        </w:rPr>
        <w:t>Figure B-1 – Relationship between Precision and Sample Size</w:t>
      </w:r>
    </w:p>
    <w:p w:rsidR="00301257" w:rsidRDefault="00301257" w:rsidP="00301257">
      <w:pPr>
        <w:autoSpaceDE w:val="0"/>
        <w:autoSpaceDN w:val="0"/>
        <w:adjustRightInd w:val="0"/>
        <w:spacing w:after="0" w:line="240" w:lineRule="auto"/>
        <w:ind w:left="450"/>
        <w:rPr>
          <w:rFonts w:eastAsia="Times New Roman"/>
          <w:bCs/>
        </w:rPr>
      </w:pPr>
    </w:p>
    <w:p w:rsidR="00301257" w:rsidRDefault="00301257" w:rsidP="00301257">
      <w:pPr>
        <w:autoSpaceDE w:val="0"/>
        <w:autoSpaceDN w:val="0"/>
        <w:adjustRightInd w:val="0"/>
        <w:spacing w:after="0" w:line="240" w:lineRule="auto"/>
        <w:ind w:left="450"/>
        <w:rPr>
          <w:rFonts w:eastAsia="Times New Roman"/>
          <w:bCs/>
          <w:u w:val="single"/>
        </w:rPr>
      </w:pPr>
    </w:p>
    <w:p w:rsidR="00301257" w:rsidRPr="00AC471D" w:rsidRDefault="00301257" w:rsidP="00361210">
      <w:pPr>
        <w:keepNext/>
        <w:autoSpaceDE w:val="0"/>
        <w:autoSpaceDN w:val="0"/>
        <w:adjustRightInd w:val="0"/>
        <w:spacing w:after="0" w:line="240" w:lineRule="auto"/>
        <w:ind w:left="446"/>
        <w:rPr>
          <w:rFonts w:eastAsia="Times New Roman"/>
          <w:bCs/>
          <w:u w:val="single"/>
        </w:rPr>
      </w:pPr>
      <w:r w:rsidRPr="00AC471D">
        <w:rPr>
          <w:rFonts w:eastAsia="Times New Roman"/>
          <w:bCs/>
          <w:u w:val="single"/>
        </w:rPr>
        <w:lastRenderedPageBreak/>
        <w:t>Selection Methods</w:t>
      </w:r>
    </w:p>
    <w:p w:rsidR="00301257" w:rsidRDefault="00301257" w:rsidP="00361210">
      <w:pPr>
        <w:keepNext/>
        <w:autoSpaceDE w:val="0"/>
        <w:autoSpaceDN w:val="0"/>
        <w:adjustRightInd w:val="0"/>
        <w:spacing w:after="0" w:line="240" w:lineRule="auto"/>
        <w:ind w:left="446"/>
        <w:rPr>
          <w:rFonts w:eastAsia="Times New Roman"/>
          <w:bCs/>
        </w:rPr>
      </w:pPr>
    </w:p>
    <w:p w:rsidR="00301257" w:rsidRDefault="00301257" w:rsidP="00301257">
      <w:pPr>
        <w:autoSpaceDE w:val="0"/>
        <w:autoSpaceDN w:val="0"/>
        <w:adjustRightInd w:val="0"/>
        <w:spacing w:after="0" w:line="240" w:lineRule="auto"/>
        <w:ind w:left="450"/>
        <w:rPr>
          <w:rFonts w:eastAsia="Times New Roman"/>
          <w:bCs/>
        </w:rPr>
      </w:pPr>
      <w:r>
        <w:rPr>
          <w:rFonts w:eastAsia="Times New Roman"/>
          <w:bCs/>
        </w:rPr>
        <w:t xml:space="preserve">The selection method will depend on the implementation mode that is used in the larger survey. As noted in Part A, DOL is considering </w:t>
      </w:r>
      <w:r w:rsidR="00361210">
        <w:rPr>
          <w:rFonts w:eastAsia="Times New Roman"/>
          <w:bCs/>
        </w:rPr>
        <w:t xml:space="preserve">two </w:t>
      </w:r>
      <w:r>
        <w:rPr>
          <w:rFonts w:eastAsia="Times New Roman"/>
          <w:bCs/>
        </w:rPr>
        <w:t xml:space="preserve">potential modes: (a) </w:t>
      </w:r>
      <w:r w:rsidR="00361210">
        <w:rPr>
          <w:rFonts w:eastAsia="Times New Roman"/>
          <w:bCs/>
        </w:rPr>
        <w:t>in-person at</w:t>
      </w:r>
      <w:r>
        <w:rPr>
          <w:rFonts w:eastAsia="Times New Roman"/>
          <w:bCs/>
        </w:rPr>
        <w:t xml:space="preserve"> DOL grantee training events</w:t>
      </w:r>
      <w:r w:rsidR="00361210">
        <w:rPr>
          <w:rFonts w:eastAsia="Times New Roman"/>
          <w:bCs/>
        </w:rPr>
        <w:t xml:space="preserve"> and </w:t>
      </w:r>
      <w:r>
        <w:rPr>
          <w:rFonts w:eastAsia="Times New Roman"/>
          <w:bCs/>
        </w:rPr>
        <w:t>(b) recruiting miners to take the survey via phone</w:t>
      </w:r>
      <w:r w:rsidR="00361210">
        <w:rPr>
          <w:rFonts w:eastAsia="Times New Roman"/>
          <w:bCs/>
        </w:rPr>
        <w:t xml:space="preserve"> or web.</w:t>
      </w:r>
      <w:r>
        <w:rPr>
          <w:rFonts w:eastAsia="Times New Roman"/>
          <w:bCs/>
        </w:rPr>
        <w:t xml:space="preserve"> </w:t>
      </w:r>
      <w:r w:rsidR="00361210">
        <w:rPr>
          <w:rFonts w:eastAsia="Times New Roman"/>
          <w:bCs/>
        </w:rPr>
        <w:t xml:space="preserve">For the full-scale implementation, the in-person implementation </w:t>
      </w:r>
      <w:r>
        <w:rPr>
          <w:rFonts w:eastAsia="Times New Roman"/>
          <w:bCs/>
        </w:rPr>
        <w:t>will involve randomly selecting training events and then asking all miners that at that event to take the survey</w:t>
      </w:r>
      <w:r w:rsidR="00361210">
        <w:rPr>
          <w:rFonts w:eastAsia="Times New Roman"/>
          <w:bCs/>
        </w:rPr>
        <w:t xml:space="preserve"> (i.e., a cluster design)</w:t>
      </w:r>
      <w:r>
        <w:rPr>
          <w:rFonts w:eastAsia="Times New Roman"/>
          <w:bCs/>
        </w:rPr>
        <w:t xml:space="preserve">. </w:t>
      </w:r>
      <w:r w:rsidR="00361210">
        <w:rPr>
          <w:rFonts w:eastAsia="Times New Roman"/>
          <w:bCs/>
        </w:rPr>
        <w:t xml:space="preserve">The pilot study will provide information on how to best implement the survey on site. Additional work by ERG (not needing approval under this ICR) will provide background on the types of mines that access training events. </w:t>
      </w:r>
      <w:r>
        <w:rPr>
          <w:rFonts w:eastAsia="Times New Roman"/>
          <w:bCs/>
        </w:rPr>
        <w:t xml:space="preserve">The two other </w:t>
      </w:r>
      <w:proofErr w:type="gramStart"/>
      <w:r>
        <w:rPr>
          <w:rFonts w:eastAsia="Times New Roman"/>
          <w:bCs/>
        </w:rPr>
        <w:t>method</w:t>
      </w:r>
      <w:proofErr w:type="gramEnd"/>
      <w:r>
        <w:rPr>
          <w:rFonts w:eastAsia="Times New Roman"/>
          <w:bCs/>
        </w:rPr>
        <w:t xml:space="preserve"> (</w:t>
      </w:r>
      <w:r w:rsidR="00361210">
        <w:rPr>
          <w:rFonts w:eastAsia="Times New Roman"/>
          <w:bCs/>
        </w:rPr>
        <w:t xml:space="preserve">recruitment for </w:t>
      </w:r>
      <w:r>
        <w:rPr>
          <w:rFonts w:eastAsia="Times New Roman"/>
          <w:bCs/>
        </w:rPr>
        <w:t xml:space="preserve">phone </w:t>
      </w:r>
      <w:r w:rsidR="00361210">
        <w:rPr>
          <w:rFonts w:eastAsia="Times New Roman"/>
          <w:bCs/>
        </w:rPr>
        <w:t>or</w:t>
      </w:r>
      <w:r>
        <w:rPr>
          <w:rFonts w:eastAsia="Times New Roman"/>
          <w:bCs/>
        </w:rPr>
        <w:t xml:space="preserve"> web) will not involve selection since the respondents are being recruited. However, recruitment will take place by posting advertisements in local media to recruit respondents. The pilot will assist us in determining the effectiveness of the recruitment process.</w:t>
      </w:r>
    </w:p>
    <w:p w:rsidR="00301257" w:rsidRPr="00C455AE" w:rsidRDefault="00301257" w:rsidP="00301257">
      <w:pPr>
        <w:autoSpaceDE w:val="0"/>
        <w:autoSpaceDN w:val="0"/>
        <w:adjustRightInd w:val="0"/>
        <w:spacing w:after="0" w:line="240" w:lineRule="auto"/>
        <w:ind w:left="450" w:hanging="360"/>
        <w:rPr>
          <w:rFonts w:eastAsia="Times New Roman"/>
          <w:b/>
          <w:bCs/>
        </w:rPr>
      </w:pPr>
    </w:p>
    <w:p w:rsidR="003315F3" w:rsidRPr="00C455AE" w:rsidRDefault="003315F3" w:rsidP="006C63F0">
      <w:pPr>
        <w:keepNext/>
        <w:autoSpaceDE w:val="0"/>
        <w:autoSpaceDN w:val="0"/>
        <w:adjustRightInd w:val="0"/>
        <w:spacing w:after="0" w:line="240" w:lineRule="auto"/>
        <w:ind w:left="446"/>
        <w:rPr>
          <w:rFonts w:eastAsia="Times New Roman"/>
          <w:bCs/>
          <w:u w:val="single"/>
        </w:rPr>
      </w:pPr>
      <w:r w:rsidRPr="00C455AE">
        <w:rPr>
          <w:rFonts w:eastAsia="Times New Roman"/>
          <w:bCs/>
          <w:u w:val="single"/>
        </w:rPr>
        <w:t>Estimation Procedure</w:t>
      </w:r>
    </w:p>
    <w:p w:rsidR="003315F3" w:rsidRPr="00C455AE" w:rsidRDefault="003315F3" w:rsidP="006C63F0">
      <w:pPr>
        <w:keepNext/>
        <w:spacing w:after="0" w:line="240" w:lineRule="auto"/>
        <w:ind w:left="450" w:hanging="360"/>
        <w:rPr>
          <w:rFonts w:eastAsia="Times New Roman"/>
          <w:b/>
        </w:rPr>
      </w:pPr>
    </w:p>
    <w:p w:rsidR="003315F3" w:rsidRPr="00C455AE" w:rsidRDefault="003315F3" w:rsidP="003315F3">
      <w:pPr>
        <w:spacing w:after="0" w:line="240" w:lineRule="auto"/>
        <w:ind w:left="450" w:hanging="360"/>
        <w:rPr>
          <w:rFonts w:eastAsia="Times New Roman"/>
        </w:rPr>
      </w:pPr>
      <w:r w:rsidRPr="00C455AE">
        <w:rPr>
          <w:rFonts w:eastAsia="Times New Roman"/>
        </w:rPr>
        <w:tab/>
        <w:t xml:space="preserve">Population parameters </w:t>
      </w:r>
      <w:r w:rsidR="00E81BB3">
        <w:rPr>
          <w:rFonts w:eastAsia="Times New Roman"/>
        </w:rPr>
        <w:t xml:space="preserve">for a larger study </w:t>
      </w:r>
      <w:r w:rsidRPr="00C455AE">
        <w:rPr>
          <w:rFonts w:eastAsia="Times New Roman"/>
        </w:rPr>
        <w:t xml:space="preserve">will be estimated by appropriately weighting the sample responses. </w:t>
      </w:r>
      <w:r w:rsidR="00301257">
        <w:rPr>
          <w:rFonts w:eastAsia="Times New Roman"/>
        </w:rPr>
        <w:t xml:space="preserve">Sample weights would be calculated as the inverse of each unit’s selection probability. The formulas used for this will depend on the selection process. </w:t>
      </w:r>
    </w:p>
    <w:p w:rsidR="003315F3" w:rsidRPr="00C455AE" w:rsidRDefault="003315F3" w:rsidP="003315F3">
      <w:pPr>
        <w:autoSpaceDE w:val="0"/>
        <w:autoSpaceDN w:val="0"/>
        <w:adjustRightInd w:val="0"/>
        <w:spacing w:after="0" w:line="240" w:lineRule="auto"/>
        <w:ind w:left="450" w:hanging="360"/>
        <w:rPr>
          <w:rFonts w:eastAsia="Times New Roman"/>
          <w:bCs/>
        </w:rPr>
      </w:pPr>
    </w:p>
    <w:p w:rsidR="003315F3" w:rsidRPr="00C455AE" w:rsidRDefault="003315F3" w:rsidP="003315F3">
      <w:pPr>
        <w:autoSpaceDE w:val="0"/>
        <w:autoSpaceDN w:val="0"/>
        <w:adjustRightInd w:val="0"/>
        <w:spacing w:after="0" w:line="240" w:lineRule="auto"/>
        <w:ind w:left="450"/>
        <w:rPr>
          <w:rFonts w:eastAsia="Times New Roman"/>
          <w:bCs/>
          <w:u w:val="single"/>
        </w:rPr>
      </w:pPr>
      <w:r w:rsidRPr="00C455AE">
        <w:rPr>
          <w:rFonts w:eastAsia="Times New Roman"/>
          <w:bCs/>
          <w:u w:val="single"/>
        </w:rPr>
        <w:t>Unusual Problems Requiring Specialized Sampling Procedures</w:t>
      </w:r>
    </w:p>
    <w:p w:rsidR="003315F3" w:rsidRPr="00C455AE" w:rsidRDefault="003315F3" w:rsidP="003315F3">
      <w:pPr>
        <w:autoSpaceDE w:val="0"/>
        <w:autoSpaceDN w:val="0"/>
        <w:adjustRightInd w:val="0"/>
        <w:spacing w:after="0" w:line="240" w:lineRule="auto"/>
        <w:ind w:left="450"/>
        <w:rPr>
          <w:rFonts w:eastAsia="Times New Roman"/>
          <w:bCs/>
        </w:rPr>
      </w:pPr>
    </w:p>
    <w:p w:rsidR="003315F3" w:rsidRPr="00C455AE" w:rsidRDefault="003315F3" w:rsidP="003315F3">
      <w:pPr>
        <w:autoSpaceDE w:val="0"/>
        <w:autoSpaceDN w:val="0"/>
        <w:adjustRightInd w:val="0"/>
        <w:spacing w:after="0" w:line="240" w:lineRule="auto"/>
        <w:ind w:left="450"/>
        <w:rPr>
          <w:rFonts w:eastAsia="Times New Roman"/>
          <w:bCs/>
        </w:rPr>
      </w:pPr>
      <w:r w:rsidRPr="00C455AE">
        <w:rPr>
          <w:rFonts w:eastAsia="Times New Roman"/>
          <w:bCs/>
        </w:rPr>
        <w:t>None are required.</w:t>
      </w:r>
    </w:p>
    <w:p w:rsidR="003315F3" w:rsidRPr="00C455AE" w:rsidRDefault="003315F3" w:rsidP="003315F3">
      <w:pPr>
        <w:autoSpaceDE w:val="0"/>
        <w:autoSpaceDN w:val="0"/>
        <w:adjustRightInd w:val="0"/>
        <w:spacing w:after="0" w:line="240" w:lineRule="auto"/>
        <w:ind w:left="450"/>
        <w:rPr>
          <w:rFonts w:eastAsia="Times New Roman"/>
          <w:bCs/>
        </w:rPr>
      </w:pPr>
    </w:p>
    <w:p w:rsidR="003315F3" w:rsidRPr="00C455AE" w:rsidRDefault="003315F3" w:rsidP="003315F3">
      <w:pPr>
        <w:autoSpaceDE w:val="0"/>
        <w:autoSpaceDN w:val="0"/>
        <w:adjustRightInd w:val="0"/>
        <w:spacing w:after="0" w:line="240" w:lineRule="auto"/>
        <w:ind w:left="450"/>
        <w:rPr>
          <w:rFonts w:eastAsia="Times New Roman"/>
          <w:bCs/>
          <w:u w:val="single"/>
        </w:rPr>
      </w:pPr>
      <w:r w:rsidRPr="00C455AE">
        <w:rPr>
          <w:rFonts w:eastAsia="Times New Roman"/>
          <w:bCs/>
          <w:u w:val="single"/>
        </w:rPr>
        <w:t>Use of Periodic (Less Than Annual) Data Collection</w:t>
      </w:r>
    </w:p>
    <w:p w:rsidR="003315F3" w:rsidRPr="00C455AE" w:rsidRDefault="003315F3" w:rsidP="003315F3">
      <w:pPr>
        <w:autoSpaceDE w:val="0"/>
        <w:autoSpaceDN w:val="0"/>
        <w:adjustRightInd w:val="0"/>
        <w:spacing w:after="0" w:line="240" w:lineRule="auto"/>
        <w:ind w:left="450"/>
        <w:rPr>
          <w:rFonts w:eastAsia="Times New Roman"/>
          <w:bCs/>
        </w:rPr>
      </w:pPr>
    </w:p>
    <w:p w:rsidR="003315F3" w:rsidRPr="00C455AE" w:rsidRDefault="00301257" w:rsidP="003315F3">
      <w:pPr>
        <w:autoSpaceDE w:val="0"/>
        <w:autoSpaceDN w:val="0"/>
        <w:adjustRightInd w:val="0"/>
        <w:spacing w:after="0" w:line="240" w:lineRule="auto"/>
        <w:ind w:left="450"/>
        <w:rPr>
          <w:rFonts w:eastAsia="Times New Roman"/>
          <w:bCs/>
        </w:rPr>
      </w:pPr>
      <w:r>
        <w:rPr>
          <w:rFonts w:eastAsia="Times New Roman"/>
          <w:bCs/>
        </w:rPr>
        <w:t xml:space="preserve">DOL expects the larger survey of voice in mining to be done on an ongoing basis. The exact frequency has yet to be determined. In selecting a frequency, DOL will balance respondent burden with the need to collect data for program management. </w:t>
      </w:r>
      <w:r w:rsidR="006C63F0">
        <w:rPr>
          <w:rFonts w:eastAsia="Times New Roman"/>
          <w:bCs/>
        </w:rPr>
        <w:t xml:space="preserve">The pilot implementation that we are requesting clearance for will </w:t>
      </w:r>
      <w:r w:rsidR="00FA1618">
        <w:rPr>
          <w:rFonts w:eastAsia="Times New Roman"/>
          <w:bCs/>
        </w:rPr>
        <w:t xml:space="preserve">inform this decision. Specifically, the pilot will indicate the level of burden for respondents taking the self-administered version (at training events). </w:t>
      </w:r>
    </w:p>
    <w:p w:rsidR="003315F3" w:rsidRDefault="003315F3" w:rsidP="003315F3">
      <w:pPr>
        <w:autoSpaceDE w:val="0"/>
        <w:autoSpaceDN w:val="0"/>
        <w:adjustRightInd w:val="0"/>
        <w:spacing w:after="0" w:line="240" w:lineRule="auto"/>
        <w:ind w:left="450" w:hanging="360"/>
        <w:rPr>
          <w:rFonts w:eastAsia="Times New Roman"/>
          <w:bCs/>
        </w:rPr>
      </w:pPr>
    </w:p>
    <w:p w:rsidR="00FA1618" w:rsidRPr="00C455AE" w:rsidRDefault="00FA1618" w:rsidP="003315F3">
      <w:pPr>
        <w:autoSpaceDE w:val="0"/>
        <w:autoSpaceDN w:val="0"/>
        <w:adjustRightInd w:val="0"/>
        <w:spacing w:after="0" w:line="240" w:lineRule="auto"/>
        <w:ind w:left="450" w:hanging="360"/>
        <w:rPr>
          <w:rFonts w:eastAsia="Times New Roman"/>
          <w:bCs/>
        </w:rPr>
      </w:pPr>
    </w:p>
    <w:p w:rsidR="003315F3" w:rsidRPr="00C455AE" w:rsidRDefault="003315F3" w:rsidP="003315F3">
      <w:pPr>
        <w:numPr>
          <w:ilvl w:val="0"/>
          <w:numId w:val="1"/>
        </w:numPr>
        <w:autoSpaceDE w:val="0"/>
        <w:autoSpaceDN w:val="0"/>
        <w:adjustRightInd w:val="0"/>
        <w:spacing w:after="0" w:line="240" w:lineRule="auto"/>
        <w:ind w:left="450"/>
        <w:rPr>
          <w:rFonts w:eastAsia="Times New Roman"/>
          <w:b/>
          <w:bCs/>
        </w:rPr>
      </w:pPr>
      <w:r w:rsidRPr="00C455AE">
        <w:rPr>
          <w:rFonts w:eastAsia="Times New Roman"/>
          <w:b/>
          <w:bCs/>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3315F3" w:rsidRPr="00C455AE" w:rsidRDefault="003315F3" w:rsidP="003315F3">
      <w:pPr>
        <w:autoSpaceDE w:val="0"/>
        <w:autoSpaceDN w:val="0"/>
        <w:adjustRightInd w:val="0"/>
        <w:spacing w:after="0" w:line="240" w:lineRule="auto"/>
        <w:ind w:left="450" w:hanging="360"/>
        <w:rPr>
          <w:rFonts w:eastAsia="Times New Roman"/>
          <w:bCs/>
        </w:rPr>
      </w:pPr>
    </w:p>
    <w:p w:rsidR="003315F3" w:rsidRPr="00AF4C64" w:rsidRDefault="00301257" w:rsidP="003315F3">
      <w:pPr>
        <w:autoSpaceDE w:val="0"/>
        <w:autoSpaceDN w:val="0"/>
        <w:adjustRightInd w:val="0"/>
        <w:spacing w:after="0" w:line="240" w:lineRule="auto"/>
        <w:ind w:left="450"/>
        <w:rPr>
          <w:rFonts w:eastAsia="Times New Roman"/>
        </w:rPr>
      </w:pPr>
      <w:r>
        <w:rPr>
          <w:rFonts w:eastAsia="Times New Roman"/>
        </w:rPr>
        <w:t xml:space="preserve">The </w:t>
      </w:r>
      <w:r w:rsidR="00A6150C">
        <w:rPr>
          <w:rFonts w:eastAsia="Times New Roman"/>
        </w:rPr>
        <w:t>pilot study will provide information on the best approach to maximize response to the survey. The two primary reasons for doing the pilot prior to performing a larger study are (a) to determine the most effective ways to reach miners and (b) to determine the most effective approaches to obtain responses from miners</w:t>
      </w:r>
      <w:r w:rsidR="00FA1618">
        <w:rPr>
          <w:rFonts w:eastAsia="Times New Roman"/>
        </w:rPr>
        <w:t xml:space="preserve"> that are contacted</w:t>
      </w:r>
      <w:r w:rsidR="00A6150C">
        <w:rPr>
          <w:rFonts w:eastAsia="Times New Roman"/>
        </w:rPr>
        <w:t>. Thus, the pilot we are seeking approval for will provide significant information on how best to ensure the data DOL collects under a larger study would be valid and reliable.</w:t>
      </w:r>
    </w:p>
    <w:p w:rsidR="003315F3" w:rsidRDefault="003315F3" w:rsidP="003315F3">
      <w:pPr>
        <w:autoSpaceDE w:val="0"/>
        <w:autoSpaceDN w:val="0"/>
        <w:adjustRightInd w:val="0"/>
        <w:spacing w:after="0" w:line="240" w:lineRule="auto"/>
        <w:ind w:left="450"/>
        <w:rPr>
          <w:rFonts w:eastAsia="Times New Roman"/>
          <w:bCs/>
        </w:rPr>
      </w:pPr>
    </w:p>
    <w:p w:rsidR="00FA1618" w:rsidRPr="00C455AE" w:rsidRDefault="00FA1618" w:rsidP="003315F3">
      <w:pPr>
        <w:autoSpaceDE w:val="0"/>
        <w:autoSpaceDN w:val="0"/>
        <w:adjustRightInd w:val="0"/>
        <w:spacing w:after="0" w:line="240" w:lineRule="auto"/>
        <w:ind w:left="450"/>
        <w:rPr>
          <w:rFonts w:eastAsia="Times New Roman"/>
          <w:bCs/>
        </w:rPr>
      </w:pPr>
    </w:p>
    <w:p w:rsidR="003315F3" w:rsidRPr="00C455AE" w:rsidRDefault="003315F3" w:rsidP="003315F3">
      <w:pPr>
        <w:numPr>
          <w:ilvl w:val="0"/>
          <w:numId w:val="1"/>
        </w:numPr>
        <w:autoSpaceDE w:val="0"/>
        <w:autoSpaceDN w:val="0"/>
        <w:adjustRightInd w:val="0"/>
        <w:spacing w:after="0" w:line="240" w:lineRule="auto"/>
        <w:ind w:left="450"/>
        <w:rPr>
          <w:rFonts w:eastAsia="Times New Roman"/>
          <w:b/>
          <w:bCs/>
        </w:rPr>
      </w:pPr>
      <w:r w:rsidRPr="00C455AE">
        <w:rPr>
          <w:rFonts w:eastAsia="Times New Roman"/>
          <w:b/>
          <w:bCs/>
        </w:rPr>
        <w:t>Describe any tests of procedures or methods to be undertaken. Tests are encouraged as effective means to refine collections, but if ten or more test respondents are involved OMB must give prior approval.</w:t>
      </w:r>
    </w:p>
    <w:p w:rsidR="003315F3" w:rsidRPr="00C455AE" w:rsidRDefault="003315F3" w:rsidP="003315F3">
      <w:pPr>
        <w:autoSpaceDE w:val="0"/>
        <w:autoSpaceDN w:val="0"/>
        <w:adjustRightInd w:val="0"/>
        <w:spacing w:after="0" w:line="240" w:lineRule="auto"/>
        <w:ind w:left="450" w:hanging="360"/>
        <w:rPr>
          <w:rFonts w:eastAsia="Times New Roman"/>
          <w:b/>
          <w:bCs/>
        </w:rPr>
      </w:pPr>
    </w:p>
    <w:p w:rsidR="003315F3" w:rsidRPr="00C455AE" w:rsidRDefault="003315F3" w:rsidP="003315F3">
      <w:pPr>
        <w:autoSpaceDE w:val="0"/>
        <w:autoSpaceDN w:val="0"/>
        <w:adjustRightInd w:val="0"/>
        <w:spacing w:after="0" w:line="240" w:lineRule="auto"/>
        <w:ind w:left="450"/>
        <w:rPr>
          <w:rFonts w:eastAsia="Times New Roman"/>
          <w:bCs/>
        </w:rPr>
      </w:pPr>
      <w:r w:rsidRPr="00C455AE">
        <w:rPr>
          <w:rFonts w:eastAsia="Times New Roman"/>
        </w:rPr>
        <w:lastRenderedPageBreak/>
        <w:t>In preparation for the</w:t>
      </w:r>
      <w:r w:rsidR="00CF5BBD">
        <w:rPr>
          <w:rFonts w:eastAsia="Times New Roman"/>
        </w:rPr>
        <w:t xml:space="preserve"> pilot</w:t>
      </w:r>
      <w:r w:rsidRPr="00C455AE">
        <w:rPr>
          <w:rFonts w:eastAsia="Times New Roman"/>
        </w:rPr>
        <w:t xml:space="preserve"> survey, </w:t>
      </w:r>
      <w:r w:rsidR="00CF5BBD">
        <w:rPr>
          <w:rFonts w:eastAsia="Times New Roman"/>
        </w:rPr>
        <w:t xml:space="preserve">DOL’s contractor ERG and its subcontractor the National Opinion Research Center at the University </w:t>
      </w:r>
      <w:proofErr w:type="gramStart"/>
      <w:r w:rsidR="00CF5BBD">
        <w:rPr>
          <w:rFonts w:eastAsia="Times New Roman"/>
        </w:rPr>
        <w:t>of</w:t>
      </w:r>
      <w:proofErr w:type="gramEnd"/>
      <w:r w:rsidR="00CF5BBD">
        <w:rPr>
          <w:rFonts w:eastAsia="Times New Roman"/>
        </w:rPr>
        <w:t xml:space="preserve"> Chicago (NORC) performed nine cognitive tests with miners of the survey instrument. The cognitive tests focused on the understandability and relevancy of the questions. Additionally, the pilot that DOL is seeking approval for </w:t>
      </w:r>
      <w:r w:rsidR="0066115D">
        <w:rPr>
          <w:rFonts w:eastAsia="Times New Roman"/>
        </w:rPr>
        <w:t xml:space="preserve">will provide additional information on the feasibility of the implementation methods and will provide a more complete answer to this question </w:t>
      </w:r>
      <w:r w:rsidR="00A6150C">
        <w:rPr>
          <w:rFonts w:eastAsia="Times New Roman"/>
        </w:rPr>
        <w:t>when DOL files for approval for a larger study.</w:t>
      </w:r>
    </w:p>
    <w:p w:rsidR="003315F3" w:rsidRPr="00C455AE" w:rsidRDefault="003315F3" w:rsidP="003315F3">
      <w:pPr>
        <w:autoSpaceDE w:val="0"/>
        <w:autoSpaceDN w:val="0"/>
        <w:adjustRightInd w:val="0"/>
        <w:spacing w:after="0" w:line="240" w:lineRule="auto"/>
        <w:ind w:left="450" w:hanging="360"/>
        <w:rPr>
          <w:rFonts w:eastAsia="Times New Roman"/>
          <w:bCs/>
        </w:rPr>
      </w:pPr>
    </w:p>
    <w:p w:rsidR="003315F3" w:rsidRPr="00C455AE" w:rsidRDefault="003315F3" w:rsidP="003315F3">
      <w:pPr>
        <w:autoSpaceDE w:val="0"/>
        <w:autoSpaceDN w:val="0"/>
        <w:adjustRightInd w:val="0"/>
        <w:spacing w:after="0" w:line="240" w:lineRule="auto"/>
        <w:ind w:left="450" w:hanging="360"/>
        <w:rPr>
          <w:rFonts w:eastAsia="Times New Roman"/>
          <w:b/>
          <w:bCs/>
        </w:rPr>
      </w:pPr>
    </w:p>
    <w:p w:rsidR="003315F3" w:rsidRPr="00C455AE" w:rsidRDefault="003315F3" w:rsidP="003315F3">
      <w:pPr>
        <w:numPr>
          <w:ilvl w:val="0"/>
          <w:numId w:val="1"/>
        </w:numPr>
        <w:autoSpaceDE w:val="0"/>
        <w:autoSpaceDN w:val="0"/>
        <w:adjustRightInd w:val="0"/>
        <w:spacing w:after="0" w:line="240" w:lineRule="auto"/>
        <w:ind w:left="450"/>
        <w:rPr>
          <w:rFonts w:eastAsia="Times New Roman"/>
          <w:b/>
          <w:bCs/>
        </w:rPr>
      </w:pPr>
      <w:r w:rsidRPr="00C455AE">
        <w:rPr>
          <w:rFonts w:eastAsia="Times New Roman"/>
          <w:b/>
          <w:bCs/>
        </w:rPr>
        <w:t>Provide the name and telephone number of individuals consulted on the statistical aspects of the design, and the name of the agency unit, contractor(s), grantee(s), or other person(s) who will actually collect and/or analyze the information for the agency.</w:t>
      </w:r>
    </w:p>
    <w:p w:rsidR="003315F3" w:rsidRPr="00C455AE" w:rsidRDefault="003315F3" w:rsidP="003315F3">
      <w:pPr>
        <w:autoSpaceDE w:val="0"/>
        <w:autoSpaceDN w:val="0"/>
        <w:adjustRightInd w:val="0"/>
        <w:spacing w:after="0" w:line="240" w:lineRule="auto"/>
        <w:ind w:left="450" w:hanging="360"/>
        <w:rPr>
          <w:rFonts w:eastAsia="Times New Roman"/>
          <w:b/>
          <w:bCs/>
        </w:rPr>
      </w:pPr>
    </w:p>
    <w:p w:rsidR="003315F3" w:rsidRPr="00C455AE" w:rsidRDefault="00301257" w:rsidP="003315F3">
      <w:pPr>
        <w:spacing w:after="0" w:line="240" w:lineRule="auto"/>
        <w:ind w:left="450"/>
        <w:rPr>
          <w:rFonts w:eastAsia="Times New Roman"/>
        </w:rPr>
      </w:pPr>
      <w:r>
        <w:rPr>
          <w:rFonts w:eastAsia="Times New Roman"/>
        </w:rPr>
        <w:t>DOL</w:t>
      </w:r>
      <w:r w:rsidR="003315F3" w:rsidRPr="00C455AE">
        <w:rPr>
          <w:rFonts w:eastAsia="Times New Roman"/>
        </w:rPr>
        <w:t xml:space="preserve"> contracted with Eastern Research Group, Inc. (ERG) of Lexington, MA, and its consultants</w:t>
      </w:r>
      <w:r w:rsidR="00CF5BBD">
        <w:rPr>
          <w:rFonts w:eastAsia="Times New Roman"/>
        </w:rPr>
        <w:t xml:space="preserve"> the National Opinion Research Center and University of Chicago</w:t>
      </w:r>
      <w:r w:rsidR="003315F3" w:rsidRPr="00C455AE">
        <w:rPr>
          <w:rFonts w:eastAsia="Times New Roman"/>
        </w:rPr>
        <w:t xml:space="preserve">, to design the survey instrument, develop the </w:t>
      </w:r>
      <w:r w:rsidR="00CF5BBD">
        <w:rPr>
          <w:rFonts w:eastAsia="Times New Roman"/>
        </w:rPr>
        <w:t>pilot plan</w:t>
      </w:r>
      <w:r w:rsidR="003315F3" w:rsidRPr="00C455AE">
        <w:rPr>
          <w:rFonts w:eastAsia="Times New Roman"/>
        </w:rPr>
        <w:t xml:space="preserve">, implement the </w:t>
      </w:r>
      <w:r w:rsidR="00CF5BBD">
        <w:rPr>
          <w:rFonts w:eastAsia="Times New Roman"/>
        </w:rPr>
        <w:t>pilot</w:t>
      </w:r>
      <w:r w:rsidR="003315F3" w:rsidRPr="00C455AE">
        <w:rPr>
          <w:rFonts w:eastAsia="Times New Roman"/>
        </w:rPr>
        <w:t>, and analyze the resulting data collected. The survey design team included the following individuals:</w:t>
      </w:r>
    </w:p>
    <w:p w:rsidR="003315F3" w:rsidRPr="00C455AE" w:rsidRDefault="003315F3" w:rsidP="003315F3">
      <w:pPr>
        <w:spacing w:after="0" w:line="240" w:lineRule="auto"/>
        <w:ind w:left="450"/>
        <w:rPr>
          <w:rFonts w:eastAsia="Times New Roman"/>
        </w:rPr>
      </w:pPr>
    </w:p>
    <w:p w:rsidR="003315F3" w:rsidRPr="00C455AE" w:rsidRDefault="00CF5BBD" w:rsidP="003315F3">
      <w:pPr>
        <w:numPr>
          <w:ilvl w:val="0"/>
          <w:numId w:val="3"/>
        </w:numPr>
        <w:spacing w:after="0" w:line="240" w:lineRule="auto"/>
        <w:contextualSpacing/>
        <w:rPr>
          <w:rFonts w:eastAsia="Times New Roman"/>
        </w:rPr>
      </w:pPr>
      <w:r>
        <w:rPr>
          <w:rFonts w:eastAsia="Times New Roman"/>
        </w:rPr>
        <w:t>Dr. Lou Nadeau, 781-</w:t>
      </w:r>
      <w:r w:rsidR="003315F3" w:rsidRPr="00C455AE">
        <w:rPr>
          <w:rFonts w:eastAsia="Times New Roman"/>
        </w:rPr>
        <w:t xml:space="preserve">674-7316; </w:t>
      </w:r>
      <w:hyperlink r:id="rId11" w:history="1">
        <w:r w:rsidR="003315F3" w:rsidRPr="00C455AE">
          <w:rPr>
            <w:rFonts w:eastAsia="Times New Roman"/>
            <w:color w:val="0000FF"/>
            <w:u w:val="single"/>
          </w:rPr>
          <w:t>lou.nadeau@erg.com</w:t>
        </w:r>
      </w:hyperlink>
      <w:r w:rsidR="003315F3" w:rsidRPr="00C455AE">
        <w:rPr>
          <w:rFonts w:eastAsia="Times New Roman"/>
        </w:rPr>
        <w:t xml:space="preserve">. </w:t>
      </w:r>
    </w:p>
    <w:p w:rsidR="003315F3" w:rsidRPr="00C455AE" w:rsidRDefault="00CF5BBD" w:rsidP="003315F3">
      <w:pPr>
        <w:numPr>
          <w:ilvl w:val="0"/>
          <w:numId w:val="3"/>
        </w:numPr>
        <w:spacing w:after="0" w:line="240" w:lineRule="auto"/>
        <w:contextualSpacing/>
        <w:rPr>
          <w:rFonts w:eastAsia="Times New Roman"/>
        </w:rPr>
      </w:pPr>
      <w:r>
        <w:rPr>
          <w:rFonts w:eastAsia="Times New Roman"/>
        </w:rPr>
        <w:t xml:space="preserve">Dr. Bernard </w:t>
      </w:r>
      <w:proofErr w:type="spellStart"/>
      <w:proofErr w:type="gramStart"/>
      <w:r>
        <w:rPr>
          <w:rFonts w:eastAsia="Times New Roman"/>
        </w:rPr>
        <w:t>Dugoni</w:t>
      </w:r>
      <w:proofErr w:type="spellEnd"/>
      <w:r>
        <w:rPr>
          <w:rFonts w:eastAsia="Times New Roman"/>
        </w:rPr>
        <w:t xml:space="preserve"> </w:t>
      </w:r>
      <w:r w:rsidR="003315F3" w:rsidRPr="00C455AE">
        <w:rPr>
          <w:rFonts w:eastAsia="Times New Roman"/>
        </w:rPr>
        <w:t xml:space="preserve"> </w:t>
      </w:r>
      <w:r>
        <w:rPr>
          <w:rFonts w:eastAsia="Times New Roman"/>
        </w:rPr>
        <w:t>773</w:t>
      </w:r>
      <w:proofErr w:type="gramEnd"/>
      <w:r>
        <w:rPr>
          <w:rFonts w:eastAsia="Times New Roman"/>
        </w:rPr>
        <w:t xml:space="preserve">-256-6193, </w:t>
      </w:r>
      <w:hyperlink r:id="rId12" w:history="1">
        <w:r w:rsidRPr="003D0D6F">
          <w:rPr>
            <w:rStyle w:val="Hyperlink"/>
            <w:rFonts w:eastAsia="Times New Roman"/>
          </w:rPr>
          <w:t>dugoni-bernard@norc.uchicago.edu</w:t>
        </w:r>
      </w:hyperlink>
      <w:r>
        <w:rPr>
          <w:rFonts w:eastAsia="Times New Roman"/>
        </w:rPr>
        <w:t xml:space="preserve">. </w:t>
      </w:r>
    </w:p>
    <w:p w:rsidR="003315F3" w:rsidRPr="00C455AE" w:rsidRDefault="003315F3" w:rsidP="003315F3">
      <w:pPr>
        <w:spacing w:after="0" w:line="240" w:lineRule="auto"/>
        <w:rPr>
          <w:rFonts w:eastAsia="Times New Roman"/>
        </w:rPr>
      </w:pPr>
    </w:p>
    <w:p w:rsidR="003315F3" w:rsidRPr="00C455AE" w:rsidRDefault="003315F3" w:rsidP="003315F3">
      <w:pPr>
        <w:autoSpaceDE w:val="0"/>
        <w:autoSpaceDN w:val="0"/>
        <w:adjustRightInd w:val="0"/>
        <w:spacing w:after="0" w:line="240" w:lineRule="auto"/>
        <w:ind w:left="450" w:hanging="360"/>
        <w:rPr>
          <w:rFonts w:eastAsia="Times New Roman"/>
        </w:rPr>
      </w:pPr>
    </w:p>
    <w:p w:rsidR="003315F3" w:rsidRPr="00C455AE" w:rsidRDefault="003315F3" w:rsidP="003315F3">
      <w:pPr>
        <w:rPr>
          <w:rFonts w:asciiTheme="minorHAnsi" w:hAnsiTheme="minorHAnsi" w:cstheme="minorHAnsi"/>
          <w:b/>
        </w:rPr>
      </w:pPr>
    </w:p>
    <w:p w:rsidR="00EE0D55" w:rsidRDefault="00EE0D55"/>
    <w:sectPr w:rsidR="00EE0D55" w:rsidSect="00AC471D">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637" w:rsidRDefault="00594637" w:rsidP="003315F3">
      <w:pPr>
        <w:spacing w:after="0" w:line="240" w:lineRule="auto"/>
      </w:pPr>
      <w:r>
        <w:separator/>
      </w:r>
    </w:p>
  </w:endnote>
  <w:endnote w:type="continuationSeparator" w:id="0">
    <w:p w:rsidR="00594637" w:rsidRDefault="00594637" w:rsidP="00331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477334"/>
      <w:docPartObj>
        <w:docPartGallery w:val="Page Numbers (Bottom of Page)"/>
        <w:docPartUnique/>
      </w:docPartObj>
    </w:sdtPr>
    <w:sdtEndPr>
      <w:rPr>
        <w:noProof/>
      </w:rPr>
    </w:sdtEndPr>
    <w:sdtContent>
      <w:p w:rsidR="007743E4" w:rsidRDefault="001769BC">
        <w:pPr>
          <w:pStyle w:val="Footer"/>
          <w:jc w:val="right"/>
        </w:pPr>
        <w:r>
          <w:fldChar w:fldCharType="begin"/>
        </w:r>
        <w:r>
          <w:instrText xml:space="preserve"> PAGE   \* MERGEFORMAT </w:instrText>
        </w:r>
        <w:r>
          <w:fldChar w:fldCharType="separate"/>
        </w:r>
        <w:r w:rsidR="00B77500">
          <w:rPr>
            <w:noProof/>
          </w:rPr>
          <w:t>1</w:t>
        </w:r>
        <w:r>
          <w:rPr>
            <w:noProof/>
          </w:rPr>
          <w:fldChar w:fldCharType="end"/>
        </w:r>
      </w:p>
    </w:sdtContent>
  </w:sdt>
  <w:p w:rsidR="007743E4" w:rsidRDefault="007743E4" w:rsidP="00AC47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637" w:rsidRDefault="00594637" w:rsidP="003315F3">
      <w:pPr>
        <w:spacing w:after="0" w:line="240" w:lineRule="auto"/>
      </w:pPr>
      <w:r>
        <w:separator/>
      </w:r>
    </w:p>
  </w:footnote>
  <w:footnote w:type="continuationSeparator" w:id="0">
    <w:p w:rsidR="00594637" w:rsidRDefault="00594637" w:rsidP="003315F3">
      <w:pPr>
        <w:spacing w:after="0" w:line="240" w:lineRule="auto"/>
      </w:pPr>
      <w:r>
        <w:continuationSeparator/>
      </w:r>
    </w:p>
  </w:footnote>
  <w:footnote w:id="1">
    <w:p w:rsidR="007743E4" w:rsidRDefault="007743E4">
      <w:pPr>
        <w:pStyle w:val="FootnoteText"/>
      </w:pPr>
      <w:r>
        <w:rPr>
          <w:rStyle w:val="FootnoteReference"/>
        </w:rPr>
        <w:footnoteRef/>
      </w:r>
      <w:r>
        <w:t xml:space="preserve"> The tabulation in Table B-1 excludes milling operations and contractors.</w:t>
      </w:r>
    </w:p>
  </w:footnote>
  <w:footnote w:id="2">
    <w:p w:rsidR="00370265" w:rsidRDefault="00370265">
      <w:pPr>
        <w:pStyle w:val="FootnoteText"/>
      </w:pPr>
      <w:r>
        <w:rPr>
          <w:rStyle w:val="FootnoteReference"/>
        </w:rPr>
        <w:footnoteRef/>
      </w:r>
      <w:r>
        <w:t xml:space="preserve"> That is, not all of the population in Table B-2 will see the survey.</w:t>
      </w:r>
    </w:p>
  </w:footnote>
  <w:footnote w:id="3">
    <w:p w:rsidR="00E81BB3" w:rsidRDefault="00E81BB3">
      <w:pPr>
        <w:pStyle w:val="FootnoteText"/>
      </w:pPr>
      <w:r>
        <w:rPr>
          <w:rStyle w:val="FootnoteReference"/>
        </w:rPr>
        <w:footnoteRef/>
      </w:r>
      <w:r>
        <w:t xml:space="preserve"> Given that we do not know the number that will see the survey advertised, we cannot calculate a response rate and therefore do not refer to this as a response rate.</w:t>
      </w:r>
    </w:p>
  </w:footnote>
  <w:footnote w:id="4">
    <w:p w:rsidR="00190AF0" w:rsidRDefault="00190AF0">
      <w:pPr>
        <w:pStyle w:val="FootnoteText"/>
      </w:pPr>
      <w:r>
        <w:rPr>
          <w:rStyle w:val="FootnoteReference"/>
        </w:rPr>
        <w:footnoteRef/>
      </w:r>
      <w:r>
        <w:t xml:space="preserve"> MSHA requires that all miners receive eight hours of refresher training annually. Thus, the implementation cannot take away from those eight hours</w:t>
      </w:r>
    </w:p>
  </w:footnote>
  <w:footnote w:id="5">
    <w:p w:rsidR="00301257" w:rsidRDefault="00301257" w:rsidP="00301257">
      <w:pPr>
        <w:pStyle w:val="FootnoteText"/>
      </w:pPr>
      <w:r>
        <w:rPr>
          <w:rStyle w:val="FootnoteReference"/>
        </w:rPr>
        <w:footnoteRef/>
      </w:r>
      <w:r>
        <w:t xml:space="preserve"> </w:t>
      </w:r>
      <w:proofErr w:type="spellStart"/>
      <w:r>
        <w:t>McQuarrie</w:t>
      </w:r>
      <w:proofErr w:type="spellEnd"/>
      <w:r>
        <w:t xml:space="preserve">, Edward F., 2006. </w:t>
      </w:r>
      <w:proofErr w:type="gramStart"/>
      <w:r w:rsidRPr="00852211">
        <w:rPr>
          <w:i/>
        </w:rPr>
        <w:t>The Market Research Toolbox</w:t>
      </w:r>
      <w:r>
        <w:t>, Sage Publications Inc.</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D479E"/>
    <w:multiLevelType w:val="hybridMultilevel"/>
    <w:tmpl w:val="8F2E6D1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33D10B01"/>
    <w:multiLevelType w:val="hybridMultilevel"/>
    <w:tmpl w:val="626C4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BDE6ED1"/>
    <w:multiLevelType w:val="hybridMultilevel"/>
    <w:tmpl w:val="357653A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A164FF"/>
    <w:multiLevelType w:val="hybridMultilevel"/>
    <w:tmpl w:val="9B8E1906"/>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5">
    <w:nsid w:val="6CF53FA9"/>
    <w:multiLevelType w:val="hybridMultilevel"/>
    <w:tmpl w:val="EF308F8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315F3"/>
    <w:rsid w:val="00093D8C"/>
    <w:rsid w:val="000E1338"/>
    <w:rsid w:val="001769BC"/>
    <w:rsid w:val="00190AF0"/>
    <w:rsid w:val="001B1B99"/>
    <w:rsid w:val="00260BC7"/>
    <w:rsid w:val="00301257"/>
    <w:rsid w:val="00312C81"/>
    <w:rsid w:val="003315F3"/>
    <w:rsid w:val="00352418"/>
    <w:rsid w:val="00361210"/>
    <w:rsid w:val="00370265"/>
    <w:rsid w:val="00433889"/>
    <w:rsid w:val="004577D7"/>
    <w:rsid w:val="00471343"/>
    <w:rsid w:val="004728E1"/>
    <w:rsid w:val="00563976"/>
    <w:rsid w:val="00594637"/>
    <w:rsid w:val="005C1466"/>
    <w:rsid w:val="006236FD"/>
    <w:rsid w:val="0066115D"/>
    <w:rsid w:val="006C63F0"/>
    <w:rsid w:val="007743E4"/>
    <w:rsid w:val="00852211"/>
    <w:rsid w:val="00875C66"/>
    <w:rsid w:val="008D0FB4"/>
    <w:rsid w:val="00942428"/>
    <w:rsid w:val="00987765"/>
    <w:rsid w:val="00A01151"/>
    <w:rsid w:val="00A0682B"/>
    <w:rsid w:val="00A23B27"/>
    <w:rsid w:val="00A6150C"/>
    <w:rsid w:val="00AC471D"/>
    <w:rsid w:val="00AF557D"/>
    <w:rsid w:val="00B77500"/>
    <w:rsid w:val="00C6407B"/>
    <w:rsid w:val="00CA2809"/>
    <w:rsid w:val="00CB53BD"/>
    <w:rsid w:val="00CC469E"/>
    <w:rsid w:val="00CF08B3"/>
    <w:rsid w:val="00CF5BBD"/>
    <w:rsid w:val="00D562F2"/>
    <w:rsid w:val="00E3699D"/>
    <w:rsid w:val="00E51506"/>
    <w:rsid w:val="00E55588"/>
    <w:rsid w:val="00E60742"/>
    <w:rsid w:val="00E71493"/>
    <w:rsid w:val="00E81BB3"/>
    <w:rsid w:val="00ED5F80"/>
    <w:rsid w:val="00EE0D55"/>
    <w:rsid w:val="00FA1618"/>
    <w:rsid w:val="00FA7183"/>
    <w:rsid w:val="00FE2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5F3"/>
    <w:pPr>
      <w:spacing w:after="20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3315F3"/>
    <w:pPr>
      <w:spacing w:after="0" w:line="240" w:lineRule="auto"/>
    </w:pPr>
    <w:rPr>
      <w:sz w:val="20"/>
      <w:szCs w:val="20"/>
    </w:rPr>
  </w:style>
  <w:style w:type="character" w:customStyle="1" w:styleId="FootnoteTextChar">
    <w:name w:val="Footnote Text Char"/>
    <w:basedOn w:val="DefaultParagraphFont"/>
    <w:link w:val="FootnoteText"/>
    <w:rsid w:val="003315F3"/>
    <w:rPr>
      <w:rFonts w:eastAsiaTheme="minorEastAsia"/>
      <w:sz w:val="20"/>
      <w:szCs w:val="20"/>
    </w:rPr>
  </w:style>
  <w:style w:type="character" w:styleId="FootnoteReference">
    <w:name w:val="footnote reference"/>
    <w:basedOn w:val="DefaultParagraphFont"/>
    <w:unhideWhenUsed/>
    <w:rsid w:val="003315F3"/>
    <w:rPr>
      <w:vertAlign w:val="superscript"/>
    </w:rPr>
  </w:style>
  <w:style w:type="character" w:styleId="Hyperlink">
    <w:name w:val="Hyperlink"/>
    <w:basedOn w:val="DefaultParagraphFont"/>
    <w:unhideWhenUsed/>
    <w:rsid w:val="003315F3"/>
    <w:rPr>
      <w:color w:val="0000FF" w:themeColor="hyperlink"/>
      <w:u w:val="single"/>
    </w:rPr>
  </w:style>
  <w:style w:type="paragraph" w:styleId="Footer">
    <w:name w:val="footer"/>
    <w:basedOn w:val="Normal"/>
    <w:link w:val="FooterChar"/>
    <w:uiPriority w:val="99"/>
    <w:unhideWhenUsed/>
    <w:rsid w:val="00331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5F3"/>
    <w:rPr>
      <w:rFonts w:eastAsiaTheme="minorEastAsia"/>
    </w:rPr>
  </w:style>
  <w:style w:type="table" w:customStyle="1" w:styleId="TableGrid1">
    <w:name w:val="Table Grid1"/>
    <w:basedOn w:val="TableNormal"/>
    <w:rsid w:val="003315F3"/>
    <w:pPr>
      <w:spacing w:line="240" w:lineRule="auto"/>
    </w:pPr>
    <w:rPr>
      <w:rFonts w:eastAsia="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3315F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15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5F3"/>
    <w:rPr>
      <w:rFonts w:ascii="Tahoma" w:eastAsiaTheme="minorEastAsia" w:hAnsi="Tahoma" w:cs="Tahoma"/>
      <w:sz w:val="16"/>
      <w:szCs w:val="16"/>
    </w:rPr>
  </w:style>
  <w:style w:type="paragraph" w:styleId="ListParagraph">
    <w:name w:val="List Paragraph"/>
    <w:basedOn w:val="Normal"/>
    <w:uiPriority w:val="34"/>
    <w:qFormat/>
    <w:rsid w:val="00987765"/>
    <w:pPr>
      <w:ind w:left="720"/>
      <w:contextualSpacing/>
    </w:pPr>
  </w:style>
  <w:style w:type="character" w:styleId="PlaceholderText">
    <w:name w:val="Placeholder Text"/>
    <w:basedOn w:val="DefaultParagraphFont"/>
    <w:uiPriority w:val="99"/>
    <w:semiHidden/>
    <w:rsid w:val="00093D8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ugoni-bernard@norc.uchicago.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ou.nadeau@erg.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http://www.census.gov/econ/cbp/"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marker>
            <c:symbol val="none"/>
          </c:marker>
          <c:xVal>
            <c:numRef>
              <c:f>Sheet1!$B$31:$B$91</c:f>
              <c:numCache>
                <c:formatCode>General</c:formatCode>
                <c:ptCount val="61"/>
                <c:pt idx="0">
                  <c:v>0.20000000000000004</c:v>
                </c:pt>
                <c:pt idx="1">
                  <c:v>0.21000000000000005</c:v>
                </c:pt>
                <c:pt idx="2">
                  <c:v>0.22000000000000006</c:v>
                </c:pt>
                <c:pt idx="3">
                  <c:v>0.23000000000000007</c:v>
                </c:pt>
                <c:pt idx="4">
                  <c:v>0.24000000000000007</c:v>
                </c:pt>
                <c:pt idx="5">
                  <c:v>0.25000000000000006</c:v>
                </c:pt>
                <c:pt idx="6">
                  <c:v>0.26000000000000006</c:v>
                </c:pt>
                <c:pt idx="7">
                  <c:v>0.27000000000000007</c:v>
                </c:pt>
                <c:pt idx="8">
                  <c:v>0.28000000000000008</c:v>
                </c:pt>
                <c:pt idx="9">
                  <c:v>0.29000000000000009</c:v>
                </c:pt>
                <c:pt idx="10">
                  <c:v>0.3000000000000001</c:v>
                </c:pt>
                <c:pt idx="11">
                  <c:v>0.31000000000000011</c:v>
                </c:pt>
                <c:pt idx="12">
                  <c:v>0.32000000000000012</c:v>
                </c:pt>
                <c:pt idx="13">
                  <c:v>0.33000000000000013</c:v>
                </c:pt>
                <c:pt idx="14">
                  <c:v>0.34000000000000014</c:v>
                </c:pt>
                <c:pt idx="15">
                  <c:v>0.35000000000000014</c:v>
                </c:pt>
                <c:pt idx="16">
                  <c:v>0.36000000000000015</c:v>
                </c:pt>
                <c:pt idx="17">
                  <c:v>0.37000000000000016</c:v>
                </c:pt>
                <c:pt idx="18">
                  <c:v>0.38000000000000017</c:v>
                </c:pt>
                <c:pt idx="19">
                  <c:v>0.39000000000000018</c:v>
                </c:pt>
                <c:pt idx="20">
                  <c:v>0.40000000000000019</c:v>
                </c:pt>
                <c:pt idx="21">
                  <c:v>0.4100000000000002</c:v>
                </c:pt>
                <c:pt idx="22">
                  <c:v>0.42000000000000021</c:v>
                </c:pt>
                <c:pt idx="23">
                  <c:v>0.43000000000000022</c:v>
                </c:pt>
                <c:pt idx="24">
                  <c:v>0.44000000000000022</c:v>
                </c:pt>
                <c:pt idx="25">
                  <c:v>0.45000000000000023</c:v>
                </c:pt>
                <c:pt idx="26">
                  <c:v>0.46000000000000024</c:v>
                </c:pt>
                <c:pt idx="27">
                  <c:v>0.47000000000000025</c:v>
                </c:pt>
                <c:pt idx="28">
                  <c:v>0.48000000000000026</c:v>
                </c:pt>
                <c:pt idx="29">
                  <c:v>0.49000000000000027</c:v>
                </c:pt>
                <c:pt idx="30">
                  <c:v>0.50000000000000022</c:v>
                </c:pt>
                <c:pt idx="31">
                  <c:v>0.51000000000000023</c:v>
                </c:pt>
                <c:pt idx="32">
                  <c:v>0.52000000000000024</c:v>
                </c:pt>
                <c:pt idx="33">
                  <c:v>0.53000000000000025</c:v>
                </c:pt>
                <c:pt idx="34">
                  <c:v>0.54000000000000026</c:v>
                </c:pt>
                <c:pt idx="35">
                  <c:v>0.55000000000000027</c:v>
                </c:pt>
                <c:pt idx="36">
                  <c:v>0.56000000000000028</c:v>
                </c:pt>
                <c:pt idx="37">
                  <c:v>0.57000000000000028</c:v>
                </c:pt>
                <c:pt idx="38">
                  <c:v>0.58000000000000029</c:v>
                </c:pt>
                <c:pt idx="39">
                  <c:v>0.5900000000000003</c:v>
                </c:pt>
                <c:pt idx="40">
                  <c:v>0.60000000000000031</c:v>
                </c:pt>
                <c:pt idx="41">
                  <c:v>0.61000000000000032</c:v>
                </c:pt>
                <c:pt idx="42">
                  <c:v>0.62000000000000033</c:v>
                </c:pt>
                <c:pt idx="43">
                  <c:v>0.63000000000000034</c:v>
                </c:pt>
                <c:pt idx="44">
                  <c:v>0.64000000000000035</c:v>
                </c:pt>
                <c:pt idx="45">
                  <c:v>0.65000000000000036</c:v>
                </c:pt>
                <c:pt idx="46">
                  <c:v>0.66000000000000036</c:v>
                </c:pt>
                <c:pt idx="47">
                  <c:v>0.67000000000000037</c:v>
                </c:pt>
                <c:pt idx="48">
                  <c:v>0.68000000000000038</c:v>
                </c:pt>
                <c:pt idx="49">
                  <c:v>0.69000000000000039</c:v>
                </c:pt>
                <c:pt idx="50">
                  <c:v>0.7000000000000004</c:v>
                </c:pt>
                <c:pt idx="51">
                  <c:v>0.71000000000000041</c:v>
                </c:pt>
                <c:pt idx="52">
                  <c:v>0.72000000000000042</c:v>
                </c:pt>
                <c:pt idx="53">
                  <c:v>0.73000000000000043</c:v>
                </c:pt>
                <c:pt idx="54">
                  <c:v>0.74000000000000044</c:v>
                </c:pt>
                <c:pt idx="55">
                  <c:v>0.75000000000000044</c:v>
                </c:pt>
                <c:pt idx="56">
                  <c:v>0.76000000000000045</c:v>
                </c:pt>
                <c:pt idx="57">
                  <c:v>0.77000000000000046</c:v>
                </c:pt>
                <c:pt idx="58">
                  <c:v>0.78000000000000047</c:v>
                </c:pt>
                <c:pt idx="59">
                  <c:v>0.79000000000000048</c:v>
                </c:pt>
                <c:pt idx="60">
                  <c:v>0.80000000000000049</c:v>
                </c:pt>
              </c:numCache>
            </c:numRef>
          </c:xVal>
          <c:yVal>
            <c:numRef>
              <c:f>Sheet1!$C$31:$C$91</c:f>
              <c:numCache>
                <c:formatCode>General</c:formatCode>
                <c:ptCount val="61"/>
                <c:pt idx="0">
                  <c:v>192.07999999999993</c:v>
                </c:pt>
                <c:pt idx="1">
                  <c:v>174.22222222222217</c:v>
                </c:pt>
                <c:pt idx="2">
                  <c:v>158.74380165289247</c:v>
                </c:pt>
                <c:pt idx="3">
                  <c:v>145.24007561436665</c:v>
                </c:pt>
                <c:pt idx="4">
                  <c:v>133.3888888888888</c:v>
                </c:pt>
                <c:pt idx="5">
                  <c:v>122.93119999999996</c:v>
                </c:pt>
                <c:pt idx="6">
                  <c:v>113.65680473372774</c:v>
                </c:pt>
                <c:pt idx="7">
                  <c:v>105.39368998628254</c:v>
                </c:pt>
                <c:pt idx="8">
                  <c:v>97.999999999999929</c:v>
                </c:pt>
                <c:pt idx="9">
                  <c:v>91.357907253269858</c:v>
                </c:pt>
                <c:pt idx="10">
                  <c:v>85.368888888888819</c:v>
                </c:pt>
                <c:pt idx="11">
                  <c:v>79.950052029136245</c:v>
                </c:pt>
                <c:pt idx="12">
                  <c:v>75.031249999999943</c:v>
                </c:pt>
                <c:pt idx="13">
                  <c:v>70.552800734618856</c:v>
                </c:pt>
                <c:pt idx="14">
                  <c:v>66.463667820069148</c:v>
                </c:pt>
                <c:pt idx="15">
                  <c:v>62.719999999999949</c:v>
                </c:pt>
                <c:pt idx="16">
                  <c:v>59.283950617283899</c:v>
                </c:pt>
                <c:pt idx="17">
                  <c:v>56.122717311906456</c:v>
                </c:pt>
                <c:pt idx="18">
                  <c:v>53.207756232686933</c:v>
                </c:pt>
                <c:pt idx="19">
                  <c:v>50.514135437212317</c:v>
                </c:pt>
                <c:pt idx="20">
                  <c:v>48.01999999999996</c:v>
                </c:pt>
                <c:pt idx="21">
                  <c:v>45.706127305175443</c:v>
                </c:pt>
                <c:pt idx="22">
                  <c:v>43.555555555555515</c:v>
                </c:pt>
                <c:pt idx="23">
                  <c:v>41.55327203893993</c:v>
                </c:pt>
                <c:pt idx="24">
                  <c:v>39.685950413223104</c:v>
                </c:pt>
                <c:pt idx="25">
                  <c:v>37.941728395061688</c:v>
                </c:pt>
                <c:pt idx="26">
                  <c:v>36.31001890359164</c:v>
                </c:pt>
                <c:pt idx="27">
                  <c:v>34.781349026708888</c:v>
                </c:pt>
                <c:pt idx="28">
                  <c:v>33.347222222222193</c:v>
                </c:pt>
                <c:pt idx="29">
                  <c:v>31.999999999999964</c:v>
                </c:pt>
                <c:pt idx="30">
                  <c:v>30.732799999999969</c:v>
                </c:pt>
                <c:pt idx="31">
                  <c:v>29.53940792003073</c:v>
                </c:pt>
                <c:pt idx="32">
                  <c:v>28.414201183431928</c:v>
                </c:pt>
                <c:pt idx="33">
                  <c:v>27.352082591669607</c:v>
                </c:pt>
                <c:pt idx="34">
                  <c:v>26.348422496570613</c:v>
                </c:pt>
                <c:pt idx="35">
                  <c:v>25.399008264462783</c:v>
                </c:pt>
                <c:pt idx="36">
                  <c:v>24.499999999999975</c:v>
                </c:pt>
                <c:pt idx="37">
                  <c:v>23.647891658971972</c:v>
                </c:pt>
                <c:pt idx="38">
                  <c:v>22.839476813317457</c:v>
                </c:pt>
                <c:pt idx="39">
                  <c:v>22.071818442976131</c:v>
                </c:pt>
                <c:pt idx="40">
                  <c:v>21.342222222222198</c:v>
                </c:pt>
                <c:pt idx="41">
                  <c:v>20.648212846009113</c:v>
                </c:pt>
                <c:pt idx="42">
                  <c:v>19.987513007284061</c:v>
                </c:pt>
                <c:pt idx="43">
                  <c:v>19.358024691358001</c:v>
                </c:pt>
                <c:pt idx="44">
                  <c:v>18.757812499999979</c:v>
                </c:pt>
                <c:pt idx="45">
                  <c:v>18.185088757396429</c:v>
                </c:pt>
                <c:pt idx="46">
                  <c:v>17.638200183654707</c:v>
                </c:pt>
                <c:pt idx="47">
                  <c:v>17.115615950100224</c:v>
                </c:pt>
                <c:pt idx="48">
                  <c:v>16.61591695501728</c:v>
                </c:pt>
                <c:pt idx="49">
                  <c:v>16.137786179374064</c:v>
                </c:pt>
                <c:pt idx="50">
                  <c:v>15.67999999999998</c:v>
                </c:pt>
                <c:pt idx="51">
                  <c:v>15.241420353104523</c:v>
                </c:pt>
                <c:pt idx="52">
                  <c:v>14.820987654320971</c:v>
                </c:pt>
                <c:pt idx="53">
                  <c:v>14.417714392944248</c:v>
                </c:pt>
                <c:pt idx="54">
                  <c:v>14.030679327976607</c:v>
                </c:pt>
                <c:pt idx="55">
                  <c:v>13.659022222222204</c:v>
                </c:pt>
                <c:pt idx="56">
                  <c:v>13.301939058171728</c:v>
                </c:pt>
                <c:pt idx="57">
                  <c:v>12.958677685950395</c:v>
                </c:pt>
                <c:pt idx="58">
                  <c:v>12.628533859303074</c:v>
                </c:pt>
                <c:pt idx="59">
                  <c:v>12.310847620573613</c:v>
                </c:pt>
                <c:pt idx="60">
                  <c:v>12.004999999999983</c:v>
                </c:pt>
              </c:numCache>
            </c:numRef>
          </c:yVal>
          <c:smooth val="1"/>
        </c:ser>
        <c:dLbls>
          <c:showLegendKey val="0"/>
          <c:showVal val="0"/>
          <c:showCatName val="0"/>
          <c:showSerName val="0"/>
          <c:showPercent val="0"/>
          <c:showBubbleSize val="0"/>
        </c:dLbls>
        <c:axId val="107158912"/>
        <c:axId val="106874368"/>
      </c:scatterChart>
      <c:valAx>
        <c:axId val="107158912"/>
        <c:scaling>
          <c:orientation val="minMax"/>
        </c:scaling>
        <c:delete val="0"/>
        <c:axPos val="b"/>
        <c:majorGridlines/>
        <c:minorGridlines/>
        <c:title>
          <c:tx>
            <c:rich>
              <a:bodyPr/>
              <a:lstStyle/>
              <a:p>
                <a:pPr>
                  <a:defRPr/>
                </a:pPr>
                <a:r>
                  <a:rPr lang="en-US"/>
                  <a:t>Precision on a Five-Point Scale (d)</a:t>
                </a:r>
              </a:p>
            </c:rich>
          </c:tx>
          <c:overlay val="0"/>
        </c:title>
        <c:numFmt formatCode="General" sourceLinked="1"/>
        <c:majorTickMark val="out"/>
        <c:minorTickMark val="none"/>
        <c:tickLblPos val="nextTo"/>
        <c:crossAx val="106874368"/>
        <c:crosses val="autoZero"/>
        <c:crossBetween val="midCat"/>
      </c:valAx>
      <c:valAx>
        <c:axId val="106874368"/>
        <c:scaling>
          <c:orientation val="minMax"/>
        </c:scaling>
        <c:delete val="0"/>
        <c:axPos val="l"/>
        <c:majorGridlines/>
        <c:minorGridlines/>
        <c:title>
          <c:tx>
            <c:rich>
              <a:bodyPr/>
              <a:lstStyle/>
              <a:p>
                <a:pPr>
                  <a:defRPr/>
                </a:pPr>
                <a:r>
                  <a:rPr lang="en-US"/>
                  <a:t>Sample Size Needed to Obtain Precision (n)</a:t>
                </a:r>
              </a:p>
            </c:rich>
          </c:tx>
          <c:overlay val="0"/>
        </c:title>
        <c:numFmt formatCode="General" sourceLinked="1"/>
        <c:majorTickMark val="out"/>
        <c:minorTickMark val="none"/>
        <c:tickLblPos val="nextTo"/>
        <c:crossAx val="107158912"/>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059BB6-2145-498C-92F5-8222F2CA6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2294</Words>
  <Characters>13076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Eastern Research Group, Inc.</Company>
  <LinksUpToDate>false</LinksUpToDate>
  <CharactersWithSpaces>15340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Nadeau</dc:creator>
  <cp:lastModifiedBy>Lou</cp:lastModifiedBy>
  <cp:revision>4</cp:revision>
  <dcterms:created xsi:type="dcterms:W3CDTF">2012-12-19T18:51:00Z</dcterms:created>
  <dcterms:modified xsi:type="dcterms:W3CDTF">2012-12-19T18:51:00Z</dcterms:modified>
</cp:coreProperties>
</file>