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B2" w:rsidRPr="001A04BA" w:rsidRDefault="006418B2" w:rsidP="001A04BA">
      <w:pPr>
        <w:jc w:val="center"/>
        <w:rPr>
          <w:sz w:val="28"/>
        </w:rPr>
      </w:pPr>
      <w:bookmarkStart w:id="0" w:name="_GoBack"/>
      <w:bookmarkEnd w:id="0"/>
      <w:r w:rsidRPr="001A04BA">
        <w:rPr>
          <w:sz w:val="28"/>
        </w:rPr>
        <w:t>PART A: SUPPORTING STATEMENT FOR PAPERWORK REDUCTION ACT SUBMISSION</w:t>
      </w:r>
    </w:p>
    <w:p w:rsidR="006418B2" w:rsidRPr="006418B2" w:rsidRDefault="001C1545" w:rsidP="001A04BA">
      <w:pPr>
        <w:jc w:val="center"/>
        <w:rPr>
          <w:sz w:val="28"/>
        </w:rPr>
      </w:pPr>
      <w:r w:rsidRPr="001C1545">
        <w:rPr>
          <w:rFonts w:cs="Arial"/>
          <w:sz w:val="28"/>
          <w:szCs w:val="19"/>
        </w:rPr>
        <w:t>Pilot Surveys of Employee Voice in the Coal Mining Industry</w:t>
      </w:r>
    </w:p>
    <w:p w:rsidR="006418B2" w:rsidRDefault="006418B2" w:rsidP="00854671">
      <w:pPr>
        <w:pStyle w:val="TOCHeading"/>
        <w:spacing w:before="360" w:after="240"/>
        <w:jc w:val="center"/>
      </w:pPr>
      <w:r>
        <w:t>Contents</w:t>
      </w:r>
    </w:p>
    <w:p w:rsidR="006418B2" w:rsidRDefault="00C751F3">
      <w:pPr>
        <w:pStyle w:val="TOC1"/>
        <w:tabs>
          <w:tab w:val="right" w:leader="dot" w:pos="9350"/>
        </w:tabs>
        <w:rPr>
          <w:noProof/>
        </w:rPr>
      </w:pPr>
      <w:r>
        <w:fldChar w:fldCharType="begin"/>
      </w:r>
      <w:r w:rsidR="006418B2">
        <w:instrText xml:space="preserve"> TOC \h \z \t "OMB Package Heading 1,1,OMB Package Heading 2,2" </w:instrText>
      </w:r>
      <w:r>
        <w:fldChar w:fldCharType="separate"/>
      </w:r>
      <w:hyperlink w:anchor="_Toc322005779" w:history="1">
        <w:r w:rsidR="006418B2" w:rsidRPr="00764449">
          <w:rPr>
            <w:rStyle w:val="Hyperlink"/>
            <w:noProof/>
          </w:rPr>
          <w:t>PART A: SUPPORTING STATEMENT FOR PAPERWORK REDUCTION ACT SUBMISSION</w:t>
        </w:r>
        <w:r w:rsidR="006418B2">
          <w:rPr>
            <w:noProof/>
            <w:webHidden/>
          </w:rPr>
          <w:tab/>
        </w:r>
        <w:r>
          <w:rPr>
            <w:noProof/>
            <w:webHidden/>
          </w:rPr>
          <w:fldChar w:fldCharType="begin"/>
        </w:r>
        <w:r w:rsidR="006418B2">
          <w:rPr>
            <w:noProof/>
            <w:webHidden/>
          </w:rPr>
          <w:instrText xml:space="preserve"> PAGEREF _Toc322005779 \h </w:instrText>
        </w:r>
        <w:r>
          <w:rPr>
            <w:noProof/>
            <w:webHidden/>
          </w:rPr>
        </w:r>
        <w:r>
          <w:rPr>
            <w:noProof/>
            <w:webHidden/>
          </w:rPr>
          <w:fldChar w:fldCharType="separate"/>
        </w:r>
        <w:r w:rsidR="0005638D">
          <w:rPr>
            <w:noProof/>
            <w:webHidden/>
          </w:rPr>
          <w:t>1</w:t>
        </w:r>
        <w:r>
          <w:rPr>
            <w:noProof/>
            <w:webHidden/>
          </w:rPr>
          <w:fldChar w:fldCharType="end"/>
        </w:r>
      </w:hyperlink>
    </w:p>
    <w:p w:rsidR="006418B2" w:rsidRDefault="00BB5265">
      <w:pPr>
        <w:pStyle w:val="TOC2"/>
        <w:tabs>
          <w:tab w:val="left" w:pos="660"/>
          <w:tab w:val="right" w:leader="dot" w:pos="9350"/>
        </w:tabs>
        <w:rPr>
          <w:noProof/>
        </w:rPr>
      </w:pPr>
      <w:hyperlink w:anchor="_Toc322005780" w:history="1">
        <w:r w:rsidR="006418B2" w:rsidRPr="00764449">
          <w:rPr>
            <w:rStyle w:val="Hyperlink"/>
            <w:noProof/>
          </w:rPr>
          <w:t>1.</w:t>
        </w:r>
        <w:r w:rsidR="006418B2">
          <w:rPr>
            <w:noProof/>
          </w:rPr>
          <w:tab/>
        </w:r>
        <w:r w:rsidR="006418B2" w:rsidRPr="00764449">
          <w:rPr>
            <w:rStyle w:val="Hyperlink"/>
            <w:noProof/>
          </w:rPr>
          <w:t>Circumstances Necessitating the Data Collection</w:t>
        </w:r>
        <w:r w:rsidR="006418B2">
          <w:rPr>
            <w:noProof/>
            <w:webHidden/>
          </w:rPr>
          <w:tab/>
        </w:r>
        <w:r w:rsidR="00C751F3">
          <w:rPr>
            <w:noProof/>
            <w:webHidden/>
          </w:rPr>
          <w:fldChar w:fldCharType="begin"/>
        </w:r>
        <w:r w:rsidR="006418B2">
          <w:rPr>
            <w:noProof/>
            <w:webHidden/>
          </w:rPr>
          <w:instrText xml:space="preserve"> PAGEREF _Toc322005780 \h </w:instrText>
        </w:r>
        <w:r w:rsidR="00C751F3">
          <w:rPr>
            <w:noProof/>
            <w:webHidden/>
          </w:rPr>
        </w:r>
        <w:r w:rsidR="00C751F3">
          <w:rPr>
            <w:noProof/>
            <w:webHidden/>
          </w:rPr>
          <w:fldChar w:fldCharType="separate"/>
        </w:r>
        <w:r w:rsidR="0005638D">
          <w:rPr>
            <w:noProof/>
            <w:webHidden/>
          </w:rPr>
          <w:t>2</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1" w:history="1">
        <w:r w:rsidR="006418B2" w:rsidRPr="00764449">
          <w:rPr>
            <w:rStyle w:val="Hyperlink"/>
            <w:noProof/>
          </w:rPr>
          <w:t>2.</w:t>
        </w:r>
        <w:r w:rsidR="006418B2">
          <w:rPr>
            <w:noProof/>
          </w:rPr>
          <w:tab/>
        </w:r>
        <w:r w:rsidR="006418B2" w:rsidRPr="00764449">
          <w:rPr>
            <w:rStyle w:val="Hyperlink"/>
            <w:noProof/>
          </w:rPr>
          <w:t>How, by Whom, and for What Purpose the Information Is to Be Used</w:t>
        </w:r>
        <w:r w:rsidR="006418B2">
          <w:rPr>
            <w:noProof/>
            <w:webHidden/>
          </w:rPr>
          <w:tab/>
        </w:r>
        <w:r w:rsidR="00C751F3">
          <w:rPr>
            <w:noProof/>
            <w:webHidden/>
          </w:rPr>
          <w:fldChar w:fldCharType="begin"/>
        </w:r>
        <w:r w:rsidR="006418B2">
          <w:rPr>
            <w:noProof/>
            <w:webHidden/>
          </w:rPr>
          <w:instrText xml:space="preserve"> PAGEREF _Toc322005781 \h </w:instrText>
        </w:r>
        <w:r w:rsidR="00C751F3">
          <w:rPr>
            <w:noProof/>
            <w:webHidden/>
          </w:rPr>
        </w:r>
        <w:r w:rsidR="00C751F3">
          <w:rPr>
            <w:noProof/>
            <w:webHidden/>
          </w:rPr>
          <w:fldChar w:fldCharType="separate"/>
        </w:r>
        <w:r w:rsidR="0005638D">
          <w:rPr>
            <w:noProof/>
            <w:webHidden/>
          </w:rPr>
          <w:t>3</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2" w:history="1">
        <w:r w:rsidR="006418B2" w:rsidRPr="00764449">
          <w:rPr>
            <w:rStyle w:val="Hyperlink"/>
            <w:noProof/>
          </w:rPr>
          <w:t>3.</w:t>
        </w:r>
        <w:r w:rsidR="006418B2">
          <w:rPr>
            <w:noProof/>
          </w:rPr>
          <w:tab/>
        </w:r>
        <w:r w:rsidR="006418B2" w:rsidRPr="00764449">
          <w:rPr>
            <w:rStyle w:val="Hyperlink"/>
            <w:noProof/>
          </w:rPr>
          <w:t>Uses of Improved Technology to Reduce Burden</w:t>
        </w:r>
        <w:r w:rsidR="006418B2">
          <w:rPr>
            <w:noProof/>
            <w:webHidden/>
          </w:rPr>
          <w:tab/>
        </w:r>
        <w:r w:rsidR="00C751F3">
          <w:rPr>
            <w:noProof/>
            <w:webHidden/>
          </w:rPr>
          <w:fldChar w:fldCharType="begin"/>
        </w:r>
        <w:r w:rsidR="006418B2">
          <w:rPr>
            <w:noProof/>
            <w:webHidden/>
          </w:rPr>
          <w:instrText xml:space="preserve"> PAGEREF _Toc322005782 \h </w:instrText>
        </w:r>
        <w:r w:rsidR="00C751F3">
          <w:rPr>
            <w:noProof/>
            <w:webHidden/>
          </w:rPr>
        </w:r>
        <w:r w:rsidR="00C751F3">
          <w:rPr>
            <w:noProof/>
            <w:webHidden/>
          </w:rPr>
          <w:fldChar w:fldCharType="separate"/>
        </w:r>
        <w:r w:rsidR="0005638D">
          <w:rPr>
            <w:noProof/>
            <w:webHidden/>
          </w:rPr>
          <w:t>5</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3" w:history="1">
        <w:r w:rsidR="006418B2" w:rsidRPr="00764449">
          <w:rPr>
            <w:rStyle w:val="Hyperlink"/>
            <w:noProof/>
          </w:rPr>
          <w:t>4.</w:t>
        </w:r>
        <w:r w:rsidR="006418B2">
          <w:rPr>
            <w:noProof/>
          </w:rPr>
          <w:tab/>
        </w:r>
        <w:r w:rsidR="006418B2" w:rsidRPr="00764449">
          <w:rPr>
            <w:rStyle w:val="Hyperlink"/>
            <w:noProof/>
          </w:rPr>
          <w:t>Efforts to Identify Duplication</w:t>
        </w:r>
        <w:r w:rsidR="006418B2">
          <w:rPr>
            <w:noProof/>
            <w:webHidden/>
          </w:rPr>
          <w:tab/>
        </w:r>
        <w:r w:rsidR="00C751F3">
          <w:rPr>
            <w:noProof/>
            <w:webHidden/>
          </w:rPr>
          <w:fldChar w:fldCharType="begin"/>
        </w:r>
        <w:r w:rsidR="006418B2">
          <w:rPr>
            <w:noProof/>
            <w:webHidden/>
          </w:rPr>
          <w:instrText xml:space="preserve"> PAGEREF _Toc322005783 \h </w:instrText>
        </w:r>
        <w:r w:rsidR="00C751F3">
          <w:rPr>
            <w:noProof/>
            <w:webHidden/>
          </w:rPr>
        </w:r>
        <w:r w:rsidR="00C751F3">
          <w:rPr>
            <w:noProof/>
            <w:webHidden/>
          </w:rPr>
          <w:fldChar w:fldCharType="separate"/>
        </w:r>
        <w:r w:rsidR="0005638D">
          <w:rPr>
            <w:noProof/>
            <w:webHidden/>
          </w:rPr>
          <w:t>5</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4" w:history="1">
        <w:r w:rsidR="006418B2" w:rsidRPr="00764449">
          <w:rPr>
            <w:rStyle w:val="Hyperlink"/>
            <w:noProof/>
          </w:rPr>
          <w:t>5.</w:t>
        </w:r>
        <w:r w:rsidR="006418B2">
          <w:rPr>
            <w:noProof/>
          </w:rPr>
          <w:tab/>
        </w:r>
        <w:r w:rsidR="006418B2" w:rsidRPr="00764449">
          <w:rPr>
            <w:rStyle w:val="Hyperlink"/>
            <w:noProof/>
          </w:rPr>
          <w:t>Methods to Minimize Burden on Small Businesses or Entities</w:t>
        </w:r>
        <w:r w:rsidR="006418B2">
          <w:rPr>
            <w:noProof/>
            <w:webHidden/>
          </w:rPr>
          <w:tab/>
        </w:r>
        <w:r w:rsidR="00C751F3">
          <w:rPr>
            <w:noProof/>
            <w:webHidden/>
          </w:rPr>
          <w:fldChar w:fldCharType="begin"/>
        </w:r>
        <w:r w:rsidR="006418B2">
          <w:rPr>
            <w:noProof/>
            <w:webHidden/>
          </w:rPr>
          <w:instrText xml:space="preserve"> PAGEREF _Toc322005784 \h </w:instrText>
        </w:r>
        <w:r w:rsidR="00C751F3">
          <w:rPr>
            <w:noProof/>
            <w:webHidden/>
          </w:rPr>
        </w:r>
        <w:r w:rsidR="00C751F3">
          <w:rPr>
            <w:noProof/>
            <w:webHidden/>
          </w:rPr>
          <w:fldChar w:fldCharType="separate"/>
        </w:r>
        <w:r w:rsidR="0005638D">
          <w:rPr>
            <w:noProof/>
            <w:webHidden/>
          </w:rPr>
          <w:t>6</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5" w:history="1">
        <w:r w:rsidR="006418B2" w:rsidRPr="00764449">
          <w:rPr>
            <w:rStyle w:val="Hyperlink"/>
            <w:noProof/>
          </w:rPr>
          <w:t>6.</w:t>
        </w:r>
        <w:r w:rsidR="006418B2">
          <w:rPr>
            <w:noProof/>
          </w:rPr>
          <w:tab/>
        </w:r>
        <w:r w:rsidR="006418B2" w:rsidRPr="00764449">
          <w:rPr>
            <w:rStyle w:val="Hyperlink"/>
            <w:noProof/>
          </w:rPr>
          <w:t>Consequences of Not Collecting the Data</w:t>
        </w:r>
        <w:r w:rsidR="006418B2">
          <w:rPr>
            <w:noProof/>
            <w:webHidden/>
          </w:rPr>
          <w:tab/>
        </w:r>
        <w:r w:rsidR="00C751F3">
          <w:rPr>
            <w:noProof/>
            <w:webHidden/>
          </w:rPr>
          <w:fldChar w:fldCharType="begin"/>
        </w:r>
        <w:r w:rsidR="006418B2">
          <w:rPr>
            <w:noProof/>
            <w:webHidden/>
          </w:rPr>
          <w:instrText xml:space="preserve"> PAGEREF _Toc322005785 \h </w:instrText>
        </w:r>
        <w:r w:rsidR="00C751F3">
          <w:rPr>
            <w:noProof/>
            <w:webHidden/>
          </w:rPr>
        </w:r>
        <w:r w:rsidR="00C751F3">
          <w:rPr>
            <w:noProof/>
            <w:webHidden/>
          </w:rPr>
          <w:fldChar w:fldCharType="separate"/>
        </w:r>
        <w:r w:rsidR="0005638D">
          <w:rPr>
            <w:noProof/>
            <w:webHidden/>
          </w:rPr>
          <w:t>6</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6" w:history="1">
        <w:r w:rsidR="006418B2" w:rsidRPr="00764449">
          <w:rPr>
            <w:rStyle w:val="Hyperlink"/>
            <w:noProof/>
          </w:rPr>
          <w:t>7.</w:t>
        </w:r>
        <w:r w:rsidR="006418B2">
          <w:rPr>
            <w:noProof/>
          </w:rPr>
          <w:tab/>
        </w:r>
        <w:r w:rsidR="006418B2" w:rsidRPr="00764449">
          <w:rPr>
            <w:rStyle w:val="Hyperlink"/>
            <w:noProof/>
          </w:rPr>
          <w:t>Special Data Collection Circumstances</w:t>
        </w:r>
        <w:r w:rsidR="006418B2">
          <w:rPr>
            <w:noProof/>
            <w:webHidden/>
          </w:rPr>
          <w:tab/>
        </w:r>
        <w:r w:rsidR="00C751F3">
          <w:rPr>
            <w:noProof/>
            <w:webHidden/>
          </w:rPr>
          <w:fldChar w:fldCharType="begin"/>
        </w:r>
        <w:r w:rsidR="006418B2">
          <w:rPr>
            <w:noProof/>
            <w:webHidden/>
          </w:rPr>
          <w:instrText xml:space="preserve"> PAGEREF _Toc322005786 \h </w:instrText>
        </w:r>
        <w:r w:rsidR="00C751F3">
          <w:rPr>
            <w:noProof/>
            <w:webHidden/>
          </w:rPr>
        </w:r>
        <w:r w:rsidR="00C751F3">
          <w:rPr>
            <w:noProof/>
            <w:webHidden/>
          </w:rPr>
          <w:fldChar w:fldCharType="separate"/>
        </w:r>
        <w:r w:rsidR="0005638D">
          <w:rPr>
            <w:noProof/>
            <w:webHidden/>
          </w:rPr>
          <w:t>7</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7" w:history="1">
        <w:r w:rsidR="006418B2" w:rsidRPr="00764449">
          <w:rPr>
            <w:rStyle w:val="Hyperlink"/>
            <w:noProof/>
          </w:rPr>
          <w:t>8.</w:t>
        </w:r>
        <w:r w:rsidR="006418B2">
          <w:rPr>
            <w:noProof/>
          </w:rPr>
          <w:tab/>
        </w:r>
        <w:r w:rsidR="006418B2" w:rsidRPr="00764449">
          <w:rPr>
            <w:rStyle w:val="Hyperlink"/>
            <w:noProof/>
          </w:rPr>
          <w:t>Federal Register Notice and Response to Public Comments</w:t>
        </w:r>
        <w:r w:rsidR="006418B2">
          <w:rPr>
            <w:noProof/>
            <w:webHidden/>
          </w:rPr>
          <w:tab/>
        </w:r>
        <w:r w:rsidR="00C751F3">
          <w:rPr>
            <w:noProof/>
            <w:webHidden/>
          </w:rPr>
          <w:fldChar w:fldCharType="begin"/>
        </w:r>
        <w:r w:rsidR="006418B2">
          <w:rPr>
            <w:noProof/>
            <w:webHidden/>
          </w:rPr>
          <w:instrText xml:space="preserve"> PAGEREF _Toc322005787 \h </w:instrText>
        </w:r>
        <w:r w:rsidR="00C751F3">
          <w:rPr>
            <w:noProof/>
            <w:webHidden/>
          </w:rPr>
        </w:r>
        <w:r w:rsidR="00C751F3">
          <w:rPr>
            <w:noProof/>
            <w:webHidden/>
          </w:rPr>
          <w:fldChar w:fldCharType="separate"/>
        </w:r>
        <w:r w:rsidR="0005638D">
          <w:rPr>
            <w:noProof/>
            <w:webHidden/>
          </w:rPr>
          <w:t>7</w:t>
        </w:r>
        <w:r w:rsidR="00C751F3">
          <w:rPr>
            <w:noProof/>
            <w:webHidden/>
          </w:rPr>
          <w:fldChar w:fldCharType="end"/>
        </w:r>
      </w:hyperlink>
    </w:p>
    <w:p w:rsidR="006418B2" w:rsidRDefault="00BB5265">
      <w:pPr>
        <w:pStyle w:val="TOC2"/>
        <w:tabs>
          <w:tab w:val="left" w:pos="660"/>
          <w:tab w:val="right" w:leader="dot" w:pos="9350"/>
        </w:tabs>
        <w:rPr>
          <w:noProof/>
        </w:rPr>
      </w:pPr>
      <w:hyperlink w:anchor="_Toc322005788" w:history="1">
        <w:r w:rsidR="006418B2" w:rsidRPr="00764449">
          <w:rPr>
            <w:rStyle w:val="Hyperlink"/>
            <w:noProof/>
          </w:rPr>
          <w:t>9.</w:t>
        </w:r>
        <w:r w:rsidR="006418B2">
          <w:rPr>
            <w:noProof/>
          </w:rPr>
          <w:tab/>
        </w:r>
        <w:r w:rsidR="006418B2" w:rsidRPr="00764449">
          <w:rPr>
            <w:rStyle w:val="Hyperlink"/>
            <w:noProof/>
          </w:rPr>
          <w:t>Respondent Payments</w:t>
        </w:r>
        <w:r w:rsidR="006418B2">
          <w:rPr>
            <w:noProof/>
            <w:webHidden/>
          </w:rPr>
          <w:tab/>
        </w:r>
        <w:r w:rsidR="00C751F3">
          <w:rPr>
            <w:noProof/>
            <w:webHidden/>
          </w:rPr>
          <w:fldChar w:fldCharType="begin"/>
        </w:r>
        <w:r w:rsidR="006418B2">
          <w:rPr>
            <w:noProof/>
            <w:webHidden/>
          </w:rPr>
          <w:instrText xml:space="preserve"> PAGEREF _Toc322005788 \h </w:instrText>
        </w:r>
        <w:r w:rsidR="00C751F3">
          <w:rPr>
            <w:noProof/>
            <w:webHidden/>
          </w:rPr>
        </w:r>
        <w:r w:rsidR="00C751F3">
          <w:rPr>
            <w:noProof/>
            <w:webHidden/>
          </w:rPr>
          <w:fldChar w:fldCharType="separate"/>
        </w:r>
        <w:r w:rsidR="0005638D">
          <w:rPr>
            <w:noProof/>
            <w:webHidden/>
          </w:rPr>
          <w:t>12</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89" w:history="1">
        <w:r w:rsidR="006418B2" w:rsidRPr="00764449">
          <w:rPr>
            <w:rStyle w:val="Hyperlink"/>
            <w:noProof/>
          </w:rPr>
          <w:t>10.</w:t>
        </w:r>
        <w:r w:rsidR="006418B2">
          <w:rPr>
            <w:noProof/>
          </w:rPr>
          <w:tab/>
        </w:r>
        <w:r w:rsidR="006418B2" w:rsidRPr="00764449">
          <w:rPr>
            <w:rStyle w:val="Hyperlink"/>
            <w:noProof/>
          </w:rPr>
          <w:t>Confidentiality</w:t>
        </w:r>
        <w:r w:rsidR="006418B2">
          <w:rPr>
            <w:noProof/>
            <w:webHidden/>
          </w:rPr>
          <w:tab/>
        </w:r>
        <w:r w:rsidR="00C751F3">
          <w:rPr>
            <w:noProof/>
            <w:webHidden/>
          </w:rPr>
          <w:fldChar w:fldCharType="begin"/>
        </w:r>
        <w:r w:rsidR="006418B2">
          <w:rPr>
            <w:noProof/>
            <w:webHidden/>
          </w:rPr>
          <w:instrText xml:space="preserve"> PAGEREF _Toc322005789 \h </w:instrText>
        </w:r>
        <w:r w:rsidR="00C751F3">
          <w:rPr>
            <w:noProof/>
            <w:webHidden/>
          </w:rPr>
        </w:r>
        <w:r w:rsidR="00C751F3">
          <w:rPr>
            <w:noProof/>
            <w:webHidden/>
          </w:rPr>
          <w:fldChar w:fldCharType="separate"/>
        </w:r>
        <w:r w:rsidR="0005638D">
          <w:rPr>
            <w:noProof/>
            <w:webHidden/>
          </w:rPr>
          <w:t>12</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0" w:history="1">
        <w:r w:rsidR="006418B2" w:rsidRPr="00764449">
          <w:rPr>
            <w:rStyle w:val="Hyperlink"/>
            <w:noProof/>
          </w:rPr>
          <w:t>11.</w:t>
        </w:r>
        <w:r w:rsidR="006418B2">
          <w:rPr>
            <w:noProof/>
          </w:rPr>
          <w:tab/>
        </w:r>
        <w:r w:rsidR="006418B2" w:rsidRPr="00764449">
          <w:rPr>
            <w:rStyle w:val="Hyperlink"/>
            <w:noProof/>
          </w:rPr>
          <w:t>Questions of a Sensitive Nature</w:t>
        </w:r>
        <w:r w:rsidR="006418B2">
          <w:rPr>
            <w:noProof/>
            <w:webHidden/>
          </w:rPr>
          <w:tab/>
        </w:r>
        <w:r w:rsidR="00C751F3">
          <w:rPr>
            <w:noProof/>
            <w:webHidden/>
          </w:rPr>
          <w:fldChar w:fldCharType="begin"/>
        </w:r>
        <w:r w:rsidR="006418B2">
          <w:rPr>
            <w:noProof/>
            <w:webHidden/>
          </w:rPr>
          <w:instrText xml:space="preserve"> PAGEREF _Toc322005790 \h </w:instrText>
        </w:r>
        <w:r w:rsidR="00C751F3">
          <w:rPr>
            <w:noProof/>
            <w:webHidden/>
          </w:rPr>
        </w:r>
        <w:r w:rsidR="00C751F3">
          <w:rPr>
            <w:noProof/>
            <w:webHidden/>
          </w:rPr>
          <w:fldChar w:fldCharType="separate"/>
        </w:r>
        <w:r w:rsidR="0005638D">
          <w:rPr>
            <w:noProof/>
            <w:webHidden/>
          </w:rPr>
          <w:t>12</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1" w:history="1">
        <w:r w:rsidR="006418B2" w:rsidRPr="00764449">
          <w:rPr>
            <w:rStyle w:val="Hyperlink"/>
            <w:noProof/>
          </w:rPr>
          <w:t>12.</w:t>
        </w:r>
        <w:r w:rsidR="006418B2">
          <w:rPr>
            <w:noProof/>
          </w:rPr>
          <w:tab/>
        </w:r>
        <w:r w:rsidR="006418B2" w:rsidRPr="00764449">
          <w:rPr>
            <w:rStyle w:val="Hyperlink"/>
            <w:noProof/>
          </w:rPr>
          <w:t>Hour Burden of the Collection of Information.</w:t>
        </w:r>
        <w:r w:rsidR="006418B2">
          <w:rPr>
            <w:noProof/>
            <w:webHidden/>
          </w:rPr>
          <w:tab/>
        </w:r>
        <w:r w:rsidR="00C751F3">
          <w:rPr>
            <w:noProof/>
            <w:webHidden/>
          </w:rPr>
          <w:fldChar w:fldCharType="begin"/>
        </w:r>
        <w:r w:rsidR="006418B2">
          <w:rPr>
            <w:noProof/>
            <w:webHidden/>
          </w:rPr>
          <w:instrText xml:space="preserve"> PAGEREF _Toc322005791 \h </w:instrText>
        </w:r>
        <w:r w:rsidR="00C751F3">
          <w:rPr>
            <w:noProof/>
            <w:webHidden/>
          </w:rPr>
        </w:r>
        <w:r w:rsidR="00C751F3">
          <w:rPr>
            <w:noProof/>
            <w:webHidden/>
          </w:rPr>
          <w:fldChar w:fldCharType="separate"/>
        </w:r>
        <w:r w:rsidR="0005638D">
          <w:rPr>
            <w:noProof/>
            <w:webHidden/>
          </w:rPr>
          <w:t>13</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2" w:history="1">
        <w:r w:rsidR="006418B2" w:rsidRPr="00764449">
          <w:rPr>
            <w:rStyle w:val="Hyperlink"/>
            <w:noProof/>
          </w:rPr>
          <w:t>13.</w:t>
        </w:r>
        <w:r w:rsidR="006418B2">
          <w:rPr>
            <w:noProof/>
          </w:rPr>
          <w:tab/>
        </w:r>
        <w:r w:rsidR="006418B2" w:rsidRPr="00764449">
          <w:rPr>
            <w:rStyle w:val="Hyperlink"/>
            <w:noProof/>
          </w:rPr>
          <w:t>Estimated Total Annual Cost Burden to Respondents and Record Keepers</w:t>
        </w:r>
        <w:r w:rsidR="006418B2">
          <w:rPr>
            <w:noProof/>
            <w:webHidden/>
          </w:rPr>
          <w:tab/>
        </w:r>
        <w:r w:rsidR="00C751F3">
          <w:rPr>
            <w:noProof/>
            <w:webHidden/>
          </w:rPr>
          <w:fldChar w:fldCharType="begin"/>
        </w:r>
        <w:r w:rsidR="006418B2">
          <w:rPr>
            <w:noProof/>
            <w:webHidden/>
          </w:rPr>
          <w:instrText xml:space="preserve"> PAGEREF _Toc322005792 \h </w:instrText>
        </w:r>
        <w:r w:rsidR="00C751F3">
          <w:rPr>
            <w:noProof/>
            <w:webHidden/>
          </w:rPr>
        </w:r>
        <w:r w:rsidR="00C751F3">
          <w:rPr>
            <w:noProof/>
            <w:webHidden/>
          </w:rPr>
          <w:fldChar w:fldCharType="separate"/>
        </w:r>
        <w:r w:rsidR="0005638D">
          <w:rPr>
            <w:noProof/>
            <w:webHidden/>
          </w:rPr>
          <w:t>13</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3" w:history="1">
        <w:r w:rsidR="006418B2" w:rsidRPr="00764449">
          <w:rPr>
            <w:rStyle w:val="Hyperlink"/>
            <w:noProof/>
          </w:rPr>
          <w:t>14.</w:t>
        </w:r>
        <w:r w:rsidR="006418B2">
          <w:rPr>
            <w:noProof/>
          </w:rPr>
          <w:tab/>
        </w:r>
        <w:r w:rsidR="006418B2" w:rsidRPr="00764449">
          <w:rPr>
            <w:rStyle w:val="Hyperlink"/>
            <w:noProof/>
          </w:rPr>
          <w:t>Estimated Annualized Cost to the Federal Government</w:t>
        </w:r>
        <w:r w:rsidR="006418B2">
          <w:rPr>
            <w:noProof/>
            <w:webHidden/>
          </w:rPr>
          <w:tab/>
        </w:r>
        <w:r w:rsidR="00C751F3">
          <w:rPr>
            <w:noProof/>
            <w:webHidden/>
          </w:rPr>
          <w:fldChar w:fldCharType="begin"/>
        </w:r>
        <w:r w:rsidR="006418B2">
          <w:rPr>
            <w:noProof/>
            <w:webHidden/>
          </w:rPr>
          <w:instrText xml:space="preserve"> PAGEREF _Toc322005793 \h </w:instrText>
        </w:r>
        <w:r w:rsidR="00C751F3">
          <w:rPr>
            <w:noProof/>
            <w:webHidden/>
          </w:rPr>
        </w:r>
        <w:r w:rsidR="00C751F3">
          <w:rPr>
            <w:noProof/>
            <w:webHidden/>
          </w:rPr>
          <w:fldChar w:fldCharType="separate"/>
        </w:r>
        <w:r w:rsidR="0005638D">
          <w:rPr>
            <w:noProof/>
            <w:webHidden/>
          </w:rPr>
          <w:t>14</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4" w:history="1">
        <w:r w:rsidR="006418B2" w:rsidRPr="00764449">
          <w:rPr>
            <w:rStyle w:val="Hyperlink"/>
            <w:noProof/>
          </w:rPr>
          <w:t>15.</w:t>
        </w:r>
        <w:r w:rsidR="006418B2">
          <w:rPr>
            <w:noProof/>
          </w:rPr>
          <w:tab/>
        </w:r>
        <w:r w:rsidR="006418B2" w:rsidRPr="00764449">
          <w:rPr>
            <w:rStyle w:val="Hyperlink"/>
            <w:noProof/>
          </w:rPr>
          <w:t>Changes in Burden</w:t>
        </w:r>
        <w:r w:rsidR="006418B2">
          <w:rPr>
            <w:noProof/>
            <w:webHidden/>
          </w:rPr>
          <w:tab/>
        </w:r>
        <w:r w:rsidR="00C751F3">
          <w:rPr>
            <w:noProof/>
            <w:webHidden/>
          </w:rPr>
          <w:fldChar w:fldCharType="begin"/>
        </w:r>
        <w:r w:rsidR="006418B2">
          <w:rPr>
            <w:noProof/>
            <w:webHidden/>
          </w:rPr>
          <w:instrText xml:space="preserve"> PAGEREF _Toc322005794 \h </w:instrText>
        </w:r>
        <w:r w:rsidR="00C751F3">
          <w:rPr>
            <w:noProof/>
            <w:webHidden/>
          </w:rPr>
        </w:r>
        <w:r w:rsidR="00C751F3">
          <w:rPr>
            <w:noProof/>
            <w:webHidden/>
          </w:rPr>
          <w:fldChar w:fldCharType="separate"/>
        </w:r>
        <w:r w:rsidR="0005638D">
          <w:rPr>
            <w:noProof/>
            <w:webHidden/>
          </w:rPr>
          <w:t>14</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5" w:history="1">
        <w:r w:rsidR="006418B2" w:rsidRPr="00764449">
          <w:rPr>
            <w:rStyle w:val="Hyperlink"/>
            <w:noProof/>
          </w:rPr>
          <w:t>16.</w:t>
        </w:r>
        <w:r w:rsidR="006418B2">
          <w:rPr>
            <w:noProof/>
          </w:rPr>
          <w:tab/>
        </w:r>
        <w:r w:rsidR="006418B2" w:rsidRPr="00764449">
          <w:rPr>
            <w:rStyle w:val="Hyperlink"/>
            <w:noProof/>
          </w:rPr>
          <w:t>Publication Plans and Project Schedule</w:t>
        </w:r>
        <w:r w:rsidR="006418B2">
          <w:rPr>
            <w:noProof/>
            <w:webHidden/>
          </w:rPr>
          <w:tab/>
        </w:r>
        <w:r w:rsidR="00C751F3">
          <w:rPr>
            <w:noProof/>
            <w:webHidden/>
          </w:rPr>
          <w:fldChar w:fldCharType="begin"/>
        </w:r>
        <w:r w:rsidR="006418B2">
          <w:rPr>
            <w:noProof/>
            <w:webHidden/>
          </w:rPr>
          <w:instrText xml:space="preserve"> PAGEREF _Toc322005795 \h </w:instrText>
        </w:r>
        <w:r w:rsidR="00C751F3">
          <w:rPr>
            <w:noProof/>
            <w:webHidden/>
          </w:rPr>
        </w:r>
        <w:r w:rsidR="00C751F3">
          <w:rPr>
            <w:noProof/>
            <w:webHidden/>
          </w:rPr>
          <w:fldChar w:fldCharType="separate"/>
        </w:r>
        <w:r w:rsidR="0005638D">
          <w:rPr>
            <w:noProof/>
            <w:webHidden/>
          </w:rPr>
          <w:t>14</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6" w:history="1">
        <w:r w:rsidR="006418B2" w:rsidRPr="00764449">
          <w:rPr>
            <w:rStyle w:val="Hyperlink"/>
            <w:noProof/>
          </w:rPr>
          <w:t>17.</w:t>
        </w:r>
        <w:r w:rsidR="006418B2">
          <w:rPr>
            <w:noProof/>
          </w:rPr>
          <w:tab/>
        </w:r>
        <w:r w:rsidR="006418B2" w:rsidRPr="00764449">
          <w:rPr>
            <w:rStyle w:val="Hyperlink"/>
            <w:noProof/>
          </w:rPr>
          <w:t>Reasons for Not Displaying Expiration Date of OMB Approval</w:t>
        </w:r>
        <w:r w:rsidR="006418B2">
          <w:rPr>
            <w:noProof/>
            <w:webHidden/>
          </w:rPr>
          <w:tab/>
        </w:r>
        <w:r w:rsidR="00C751F3">
          <w:rPr>
            <w:noProof/>
            <w:webHidden/>
          </w:rPr>
          <w:fldChar w:fldCharType="begin"/>
        </w:r>
        <w:r w:rsidR="006418B2">
          <w:rPr>
            <w:noProof/>
            <w:webHidden/>
          </w:rPr>
          <w:instrText xml:space="preserve"> PAGEREF _Toc322005796 \h </w:instrText>
        </w:r>
        <w:r w:rsidR="00C751F3">
          <w:rPr>
            <w:noProof/>
            <w:webHidden/>
          </w:rPr>
        </w:r>
        <w:r w:rsidR="00C751F3">
          <w:rPr>
            <w:noProof/>
            <w:webHidden/>
          </w:rPr>
          <w:fldChar w:fldCharType="separate"/>
        </w:r>
        <w:r w:rsidR="0005638D">
          <w:rPr>
            <w:noProof/>
            <w:webHidden/>
          </w:rPr>
          <w:t>14</w:t>
        </w:r>
        <w:r w:rsidR="00C751F3">
          <w:rPr>
            <w:noProof/>
            <w:webHidden/>
          </w:rPr>
          <w:fldChar w:fldCharType="end"/>
        </w:r>
      </w:hyperlink>
    </w:p>
    <w:p w:rsidR="006418B2" w:rsidRDefault="00BB5265">
      <w:pPr>
        <w:pStyle w:val="TOC2"/>
        <w:tabs>
          <w:tab w:val="left" w:pos="880"/>
          <w:tab w:val="right" w:leader="dot" w:pos="9350"/>
        </w:tabs>
        <w:rPr>
          <w:noProof/>
        </w:rPr>
      </w:pPr>
      <w:hyperlink w:anchor="_Toc322005797" w:history="1">
        <w:r w:rsidR="006418B2" w:rsidRPr="00764449">
          <w:rPr>
            <w:rStyle w:val="Hyperlink"/>
            <w:noProof/>
          </w:rPr>
          <w:t>18.</w:t>
        </w:r>
        <w:r w:rsidR="006418B2">
          <w:rPr>
            <w:noProof/>
          </w:rPr>
          <w:tab/>
        </w:r>
        <w:r w:rsidR="006418B2" w:rsidRPr="00764449">
          <w:rPr>
            <w:rStyle w:val="Hyperlink"/>
            <w:noProof/>
          </w:rPr>
          <w:t>Exceptions to the Certification Statement.</w:t>
        </w:r>
        <w:r w:rsidR="006418B2">
          <w:rPr>
            <w:noProof/>
            <w:webHidden/>
          </w:rPr>
          <w:tab/>
        </w:r>
        <w:r w:rsidR="00C751F3">
          <w:rPr>
            <w:noProof/>
            <w:webHidden/>
          </w:rPr>
          <w:fldChar w:fldCharType="begin"/>
        </w:r>
        <w:r w:rsidR="006418B2">
          <w:rPr>
            <w:noProof/>
            <w:webHidden/>
          </w:rPr>
          <w:instrText xml:space="preserve"> PAGEREF _Toc322005797 \h </w:instrText>
        </w:r>
        <w:r w:rsidR="00C751F3">
          <w:rPr>
            <w:noProof/>
            <w:webHidden/>
          </w:rPr>
        </w:r>
        <w:r w:rsidR="00C751F3">
          <w:rPr>
            <w:noProof/>
            <w:webHidden/>
          </w:rPr>
          <w:fldChar w:fldCharType="separate"/>
        </w:r>
        <w:r w:rsidR="0005638D">
          <w:rPr>
            <w:noProof/>
            <w:webHidden/>
          </w:rPr>
          <w:t>15</w:t>
        </w:r>
        <w:r w:rsidR="00C751F3">
          <w:rPr>
            <w:noProof/>
            <w:webHidden/>
          </w:rPr>
          <w:fldChar w:fldCharType="end"/>
        </w:r>
      </w:hyperlink>
    </w:p>
    <w:p w:rsidR="006418B2" w:rsidRDefault="00C751F3" w:rsidP="005E75B7">
      <w:r>
        <w:fldChar w:fldCharType="end"/>
      </w:r>
    </w:p>
    <w:p w:rsidR="006418B2" w:rsidRDefault="006418B2" w:rsidP="002300AB">
      <w:pPr>
        <w:pStyle w:val="TOCHeading"/>
        <w:spacing w:before="360" w:after="240"/>
        <w:jc w:val="center"/>
      </w:pPr>
    </w:p>
    <w:p w:rsidR="006418B2" w:rsidRDefault="006418B2" w:rsidP="002300AB">
      <w:pPr>
        <w:pStyle w:val="TOCHeading"/>
        <w:spacing w:before="360" w:after="240"/>
        <w:jc w:val="center"/>
      </w:pPr>
      <w:r>
        <w:t>TABLES</w:t>
      </w:r>
    </w:p>
    <w:p w:rsidR="006418B2" w:rsidRPr="002B25BE" w:rsidRDefault="00C751F3">
      <w:pPr>
        <w:pStyle w:val="TableofFigures"/>
        <w:tabs>
          <w:tab w:val="right" w:leader="dot" w:pos="9350"/>
        </w:tabs>
        <w:rPr>
          <w:noProof/>
        </w:rPr>
      </w:pPr>
      <w:r>
        <w:fldChar w:fldCharType="begin"/>
      </w:r>
      <w:r w:rsidR="006418B2">
        <w:instrText xml:space="preserve"> TOC \h \z \c "Table" </w:instrText>
      </w:r>
      <w:r>
        <w:fldChar w:fldCharType="separate"/>
      </w:r>
      <w:hyperlink w:anchor="_Toc320893935" w:history="1">
        <w:r w:rsidR="006418B2" w:rsidRPr="00A96D43">
          <w:rPr>
            <w:rStyle w:val="Hyperlink"/>
            <w:noProof/>
          </w:rPr>
          <w:t>Table 1. Summary of data gathering techniques and number of respondents.</w:t>
        </w:r>
        <w:r w:rsidR="006418B2">
          <w:rPr>
            <w:noProof/>
            <w:webHidden/>
          </w:rPr>
          <w:tab/>
        </w:r>
        <w:r>
          <w:rPr>
            <w:noProof/>
            <w:webHidden/>
          </w:rPr>
          <w:fldChar w:fldCharType="begin"/>
        </w:r>
        <w:r w:rsidR="006418B2">
          <w:rPr>
            <w:noProof/>
            <w:webHidden/>
          </w:rPr>
          <w:instrText xml:space="preserve"> PAGEREF _Toc320893935 \h </w:instrText>
        </w:r>
        <w:r>
          <w:rPr>
            <w:noProof/>
            <w:webHidden/>
          </w:rPr>
        </w:r>
        <w:r>
          <w:rPr>
            <w:noProof/>
            <w:webHidden/>
          </w:rPr>
          <w:fldChar w:fldCharType="separate"/>
        </w:r>
        <w:r w:rsidR="003F2F95">
          <w:rPr>
            <w:noProof/>
            <w:webHidden/>
          </w:rPr>
          <w:t>3</w:t>
        </w:r>
        <w:r>
          <w:rPr>
            <w:noProof/>
            <w:webHidden/>
          </w:rPr>
          <w:fldChar w:fldCharType="end"/>
        </w:r>
      </w:hyperlink>
    </w:p>
    <w:p w:rsidR="006418B2" w:rsidRPr="002B25BE" w:rsidRDefault="00BB5265">
      <w:pPr>
        <w:pStyle w:val="TableofFigures"/>
        <w:tabs>
          <w:tab w:val="right" w:leader="dot" w:pos="9350"/>
        </w:tabs>
        <w:rPr>
          <w:noProof/>
        </w:rPr>
      </w:pPr>
      <w:hyperlink w:anchor="_Toc320893936" w:history="1">
        <w:r w:rsidR="006418B2" w:rsidRPr="00A96D43">
          <w:rPr>
            <w:rStyle w:val="Hyperlink"/>
            <w:noProof/>
          </w:rPr>
          <w:t>Table 2.  Estimation of burden hours by data gathering technique.</w:t>
        </w:r>
        <w:r w:rsidR="006418B2">
          <w:rPr>
            <w:noProof/>
            <w:webHidden/>
          </w:rPr>
          <w:tab/>
        </w:r>
        <w:r w:rsidR="00C751F3">
          <w:rPr>
            <w:noProof/>
            <w:webHidden/>
          </w:rPr>
          <w:fldChar w:fldCharType="begin"/>
        </w:r>
        <w:r w:rsidR="006418B2">
          <w:rPr>
            <w:noProof/>
            <w:webHidden/>
          </w:rPr>
          <w:instrText xml:space="preserve"> PAGEREF _Toc320893936 \h </w:instrText>
        </w:r>
        <w:r w:rsidR="00C751F3">
          <w:rPr>
            <w:noProof/>
            <w:webHidden/>
          </w:rPr>
        </w:r>
        <w:r w:rsidR="00C751F3">
          <w:rPr>
            <w:noProof/>
            <w:webHidden/>
          </w:rPr>
          <w:fldChar w:fldCharType="separate"/>
        </w:r>
        <w:r w:rsidR="003F2F95">
          <w:rPr>
            <w:noProof/>
            <w:webHidden/>
          </w:rPr>
          <w:t>11</w:t>
        </w:r>
        <w:r w:rsidR="00C751F3">
          <w:rPr>
            <w:noProof/>
            <w:webHidden/>
          </w:rPr>
          <w:fldChar w:fldCharType="end"/>
        </w:r>
      </w:hyperlink>
    </w:p>
    <w:p w:rsidR="006418B2" w:rsidRPr="002B25BE" w:rsidRDefault="00BB5265">
      <w:pPr>
        <w:pStyle w:val="TableofFigures"/>
        <w:tabs>
          <w:tab w:val="right" w:leader="dot" w:pos="9350"/>
        </w:tabs>
        <w:rPr>
          <w:noProof/>
        </w:rPr>
      </w:pPr>
      <w:hyperlink w:anchor="_Toc320893937" w:history="1">
        <w:r w:rsidR="006418B2" w:rsidRPr="00A96D43">
          <w:rPr>
            <w:rStyle w:val="Hyperlink"/>
            <w:noProof/>
          </w:rPr>
          <w:t>Table 3. Annualized cost to respondents.</w:t>
        </w:r>
        <w:r w:rsidR="006418B2">
          <w:rPr>
            <w:noProof/>
            <w:webHidden/>
          </w:rPr>
          <w:tab/>
        </w:r>
        <w:r w:rsidR="00C751F3">
          <w:rPr>
            <w:noProof/>
            <w:webHidden/>
          </w:rPr>
          <w:fldChar w:fldCharType="begin"/>
        </w:r>
        <w:r w:rsidR="006418B2">
          <w:rPr>
            <w:noProof/>
            <w:webHidden/>
          </w:rPr>
          <w:instrText xml:space="preserve"> PAGEREF _Toc320893937 \h </w:instrText>
        </w:r>
        <w:r w:rsidR="00C751F3">
          <w:rPr>
            <w:noProof/>
            <w:webHidden/>
          </w:rPr>
        </w:r>
        <w:r w:rsidR="00C751F3">
          <w:rPr>
            <w:noProof/>
            <w:webHidden/>
          </w:rPr>
          <w:fldChar w:fldCharType="separate"/>
        </w:r>
        <w:r w:rsidR="003F2F95">
          <w:rPr>
            <w:noProof/>
            <w:webHidden/>
          </w:rPr>
          <w:t>12</w:t>
        </w:r>
        <w:r w:rsidR="00C751F3">
          <w:rPr>
            <w:noProof/>
            <w:webHidden/>
          </w:rPr>
          <w:fldChar w:fldCharType="end"/>
        </w:r>
      </w:hyperlink>
    </w:p>
    <w:p w:rsidR="006418B2" w:rsidRPr="002B25BE" w:rsidRDefault="00BB5265">
      <w:pPr>
        <w:pStyle w:val="TableofFigures"/>
        <w:tabs>
          <w:tab w:val="right" w:leader="dot" w:pos="9350"/>
        </w:tabs>
        <w:rPr>
          <w:noProof/>
        </w:rPr>
      </w:pPr>
      <w:hyperlink w:anchor="_Toc320893938" w:history="1">
        <w:r w:rsidR="006418B2" w:rsidRPr="00A96D43">
          <w:rPr>
            <w:rStyle w:val="Hyperlink"/>
            <w:noProof/>
          </w:rPr>
          <w:t>Table 4. Schedule for Project tasks.</w:t>
        </w:r>
        <w:r w:rsidR="006418B2">
          <w:rPr>
            <w:noProof/>
            <w:webHidden/>
          </w:rPr>
          <w:tab/>
        </w:r>
        <w:r w:rsidR="00C751F3">
          <w:rPr>
            <w:noProof/>
            <w:webHidden/>
          </w:rPr>
          <w:fldChar w:fldCharType="begin"/>
        </w:r>
        <w:r w:rsidR="006418B2">
          <w:rPr>
            <w:noProof/>
            <w:webHidden/>
          </w:rPr>
          <w:instrText xml:space="preserve"> PAGEREF _Toc320893938 \h </w:instrText>
        </w:r>
        <w:r w:rsidR="00C751F3">
          <w:rPr>
            <w:noProof/>
            <w:webHidden/>
          </w:rPr>
        </w:r>
        <w:r w:rsidR="00C751F3">
          <w:rPr>
            <w:noProof/>
            <w:webHidden/>
          </w:rPr>
          <w:fldChar w:fldCharType="separate"/>
        </w:r>
        <w:r w:rsidR="003F2F95">
          <w:rPr>
            <w:noProof/>
            <w:webHidden/>
          </w:rPr>
          <w:t>13</w:t>
        </w:r>
        <w:r w:rsidR="00C751F3">
          <w:rPr>
            <w:noProof/>
            <w:webHidden/>
          </w:rPr>
          <w:fldChar w:fldCharType="end"/>
        </w:r>
      </w:hyperlink>
    </w:p>
    <w:p w:rsidR="006418B2" w:rsidRDefault="00C751F3" w:rsidP="00AC242E">
      <w:r>
        <w:fldChar w:fldCharType="end"/>
      </w:r>
      <w:bookmarkStart w:id="1" w:name="_Toc322005779"/>
    </w:p>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 w:rsidR="006418B2" w:rsidRDefault="006418B2" w:rsidP="00AC242E">
      <w:pPr>
        <w:jc w:val="center"/>
        <w:rPr>
          <w:sz w:val="28"/>
        </w:rPr>
        <w:sectPr w:rsidR="006418B2" w:rsidSect="006657B9">
          <w:headerReference w:type="default" r:id="rId9"/>
          <w:footerReference w:type="default" r:id="rId10"/>
          <w:pgSz w:w="12240" w:h="15840"/>
          <w:pgMar w:top="1440" w:right="1440" w:bottom="1440" w:left="1440" w:header="720" w:footer="360" w:gutter="0"/>
          <w:pgNumType w:fmt="lowerRoman" w:start="1"/>
          <w:cols w:space="720"/>
          <w:docGrid w:linePitch="360"/>
        </w:sectPr>
      </w:pPr>
    </w:p>
    <w:p w:rsidR="006418B2" w:rsidRPr="00AC242E" w:rsidRDefault="006418B2" w:rsidP="00AC242E">
      <w:pPr>
        <w:jc w:val="center"/>
        <w:rPr>
          <w:sz w:val="28"/>
        </w:rPr>
      </w:pPr>
      <w:r w:rsidRPr="00AC242E">
        <w:rPr>
          <w:sz w:val="28"/>
        </w:rPr>
        <w:lastRenderedPageBreak/>
        <w:t>PART A: SUPPORTING STATEMENT FOR PAPERWORK REDUCTION ACT SUBMISSION</w:t>
      </w:r>
      <w:bookmarkEnd w:id="1"/>
    </w:p>
    <w:p w:rsidR="006418B2" w:rsidRDefault="006418B2" w:rsidP="00C557FE">
      <w:pPr>
        <w:spacing w:after="0"/>
        <w:rPr>
          <w:rFonts w:ascii="Times New Roman" w:hAnsi="Times New Roman"/>
          <w:sz w:val="24"/>
          <w:szCs w:val="24"/>
        </w:rPr>
      </w:pPr>
      <w:r>
        <w:rPr>
          <w:rFonts w:ascii="Times New Roman" w:hAnsi="Times New Roman"/>
          <w:sz w:val="24"/>
          <w:szCs w:val="24"/>
        </w:rPr>
        <w:t>The Chief Evaluation Office (CEO</w:t>
      </w:r>
      <w:r w:rsidRPr="009D166E">
        <w:rPr>
          <w:rFonts w:ascii="Times New Roman" w:hAnsi="Times New Roman"/>
          <w:sz w:val="24"/>
          <w:szCs w:val="24"/>
        </w:rPr>
        <w:t xml:space="preserve">) within the </w:t>
      </w:r>
      <w:r>
        <w:rPr>
          <w:rFonts w:ascii="Times New Roman" w:hAnsi="Times New Roman"/>
          <w:sz w:val="24"/>
          <w:szCs w:val="24"/>
        </w:rPr>
        <w:t xml:space="preserve">U.S. </w:t>
      </w:r>
      <w:r w:rsidRPr="009D166E">
        <w:rPr>
          <w:rFonts w:ascii="Times New Roman" w:hAnsi="Times New Roman"/>
          <w:sz w:val="24"/>
          <w:szCs w:val="24"/>
        </w:rPr>
        <w:t xml:space="preserve">Department of Labor (DOL) Office of the Assistant Secretary for </w:t>
      </w:r>
      <w:r>
        <w:rPr>
          <w:rFonts w:ascii="Times New Roman" w:hAnsi="Times New Roman"/>
          <w:sz w:val="24"/>
          <w:szCs w:val="24"/>
        </w:rPr>
        <w:t>Policy (OASP</w:t>
      </w:r>
      <w:r w:rsidRPr="009D166E">
        <w:rPr>
          <w:rFonts w:ascii="Times New Roman" w:hAnsi="Times New Roman"/>
          <w:sz w:val="24"/>
          <w:szCs w:val="24"/>
        </w:rPr>
        <w:t xml:space="preserve">) intends to evaluate the extent to which employees in U.S. workplaces can and do voice their concerns to employers regarding various workplace issues. To that end, </w:t>
      </w:r>
      <w:r>
        <w:rPr>
          <w:rFonts w:ascii="Times New Roman" w:hAnsi="Times New Roman"/>
          <w:sz w:val="24"/>
          <w:szCs w:val="24"/>
        </w:rPr>
        <w:t>CEO</w:t>
      </w:r>
      <w:r w:rsidRPr="009D166E">
        <w:rPr>
          <w:rFonts w:ascii="Times New Roman" w:hAnsi="Times New Roman"/>
          <w:sz w:val="24"/>
          <w:szCs w:val="24"/>
        </w:rPr>
        <w:t xml:space="preserve"> is currently working to develop </w:t>
      </w:r>
      <w:r>
        <w:rPr>
          <w:rFonts w:ascii="Times New Roman" w:hAnsi="Times New Roman"/>
          <w:sz w:val="24"/>
          <w:szCs w:val="24"/>
        </w:rPr>
        <w:t xml:space="preserve">surveys to measure voice in </w:t>
      </w:r>
      <w:smartTag w:uri="urn:schemas-microsoft-com:office:smarttags" w:element="country-region">
        <w:smartTag w:uri="urn:schemas-microsoft-com:office:smarttags" w:element="place">
          <w:r>
            <w:rPr>
              <w:rFonts w:ascii="Times New Roman" w:hAnsi="Times New Roman"/>
              <w:sz w:val="24"/>
              <w:szCs w:val="24"/>
            </w:rPr>
            <w:t>U.S.</w:t>
          </w:r>
        </w:smartTag>
      </w:smartTag>
      <w:r>
        <w:rPr>
          <w:rFonts w:ascii="Times New Roman" w:hAnsi="Times New Roman"/>
          <w:sz w:val="24"/>
          <w:szCs w:val="24"/>
        </w:rPr>
        <w:t xml:space="preserve"> workplaces</w:t>
      </w:r>
      <w:r w:rsidRPr="009D166E">
        <w:rPr>
          <w:rFonts w:ascii="Times New Roman" w:hAnsi="Times New Roman"/>
          <w:sz w:val="24"/>
          <w:szCs w:val="24"/>
        </w:rPr>
        <w:t xml:space="preserve">. DOL recognizes that gathering data on voice from employees in the mining industry poses some unique problems; therefore, with the guidance of the Mine Safety and Health Administration (MSHA), </w:t>
      </w:r>
      <w:r>
        <w:rPr>
          <w:rFonts w:ascii="Times New Roman" w:hAnsi="Times New Roman"/>
          <w:sz w:val="24"/>
          <w:szCs w:val="24"/>
        </w:rPr>
        <w:t>CEO</w:t>
      </w:r>
      <w:r w:rsidRPr="009D166E">
        <w:rPr>
          <w:rFonts w:ascii="Times New Roman" w:hAnsi="Times New Roman"/>
          <w:sz w:val="24"/>
          <w:szCs w:val="24"/>
        </w:rPr>
        <w:t xml:space="preserve"> intends to perform a pilot study of </w:t>
      </w:r>
      <w:r>
        <w:rPr>
          <w:rFonts w:ascii="Times New Roman" w:hAnsi="Times New Roman"/>
          <w:sz w:val="24"/>
          <w:szCs w:val="24"/>
        </w:rPr>
        <w:t>two or three</w:t>
      </w:r>
      <w:r w:rsidRPr="009D166E">
        <w:rPr>
          <w:rFonts w:ascii="Times New Roman" w:hAnsi="Times New Roman"/>
          <w:sz w:val="24"/>
          <w:szCs w:val="24"/>
        </w:rPr>
        <w:t xml:space="preserve"> </w:t>
      </w:r>
      <w:r>
        <w:rPr>
          <w:rFonts w:ascii="Times New Roman" w:hAnsi="Times New Roman"/>
          <w:sz w:val="24"/>
          <w:szCs w:val="24"/>
        </w:rPr>
        <w:t>survey implementation</w:t>
      </w:r>
      <w:r w:rsidRPr="009D166E">
        <w:rPr>
          <w:rFonts w:ascii="Times New Roman" w:hAnsi="Times New Roman"/>
          <w:sz w:val="24"/>
          <w:szCs w:val="24"/>
        </w:rPr>
        <w:t xml:space="preserve"> techniques to determine which would be the most productive and logistically feasible to implement industry-wide on a recurring basis.</w:t>
      </w:r>
    </w:p>
    <w:p w:rsidR="006418B2" w:rsidRDefault="006418B2" w:rsidP="00C557FE">
      <w:pPr>
        <w:spacing w:after="0"/>
        <w:rPr>
          <w:rFonts w:ascii="Times New Roman" w:hAnsi="Times New Roman"/>
          <w:sz w:val="24"/>
          <w:szCs w:val="24"/>
        </w:rPr>
      </w:pPr>
    </w:p>
    <w:p w:rsidR="003F2F95" w:rsidRDefault="006418B2" w:rsidP="00C557FE">
      <w:pPr>
        <w:spacing w:after="0"/>
        <w:rPr>
          <w:rFonts w:ascii="Times New Roman" w:hAnsi="Times New Roman"/>
          <w:sz w:val="24"/>
          <w:szCs w:val="24"/>
        </w:rPr>
      </w:pPr>
      <w:r>
        <w:rPr>
          <w:rFonts w:ascii="Times New Roman" w:hAnsi="Times New Roman"/>
          <w:sz w:val="24"/>
          <w:szCs w:val="24"/>
        </w:rPr>
        <w:t>The survey is an information collection (IC) subject to OMB approval under the Paperwork Reduction Act.</w:t>
      </w:r>
      <w:r w:rsidRPr="009D166E">
        <w:rPr>
          <w:rFonts w:ascii="Times New Roman" w:hAnsi="Times New Roman"/>
          <w:sz w:val="24"/>
          <w:szCs w:val="24"/>
        </w:rPr>
        <w:t xml:space="preserve"> The pilot study will </w:t>
      </w:r>
      <w:r w:rsidRPr="009D166E">
        <w:rPr>
          <w:rFonts w:ascii="Times New Roman" w:hAnsi="Times New Roman"/>
          <w:i/>
          <w:sz w:val="24"/>
          <w:szCs w:val="24"/>
        </w:rPr>
        <w:t>not</w:t>
      </w:r>
      <w:r w:rsidRPr="009D166E">
        <w:rPr>
          <w:rFonts w:ascii="Times New Roman" w:hAnsi="Times New Roman"/>
          <w:sz w:val="24"/>
          <w:szCs w:val="24"/>
        </w:rPr>
        <w:t xml:space="preserve"> seek to gather data from samples large enough to develop statistically significant data, but is meant to test the logistical feasibility of different methods of </w:t>
      </w:r>
      <w:r>
        <w:rPr>
          <w:rFonts w:ascii="Times New Roman" w:hAnsi="Times New Roman"/>
          <w:sz w:val="24"/>
          <w:szCs w:val="24"/>
        </w:rPr>
        <w:t>collecting survey data</w:t>
      </w:r>
      <w:r w:rsidRPr="009D166E">
        <w:rPr>
          <w:rFonts w:ascii="Times New Roman" w:hAnsi="Times New Roman"/>
          <w:sz w:val="24"/>
          <w:szCs w:val="24"/>
        </w:rPr>
        <w:t xml:space="preserve"> in the mining industry</w:t>
      </w:r>
      <w:r>
        <w:rPr>
          <w:rFonts w:ascii="Times New Roman" w:hAnsi="Times New Roman"/>
          <w:sz w:val="24"/>
          <w:szCs w:val="24"/>
        </w:rPr>
        <w:t xml:space="preserve">; consequently, </w:t>
      </w:r>
      <w:r w:rsidR="003F2F95">
        <w:rPr>
          <w:rFonts w:ascii="Times New Roman" w:hAnsi="Times New Roman"/>
          <w:sz w:val="24"/>
          <w:szCs w:val="24"/>
        </w:rPr>
        <w:t xml:space="preserve">only a draft/provisional </w:t>
      </w:r>
      <w:r>
        <w:rPr>
          <w:rFonts w:ascii="Times New Roman" w:hAnsi="Times New Roman"/>
          <w:sz w:val="24"/>
          <w:szCs w:val="24"/>
        </w:rPr>
        <w:t xml:space="preserve">Supporting Statement part B has been prepared at this time. </w:t>
      </w:r>
      <w:r w:rsidR="00B30D3C">
        <w:rPr>
          <w:rFonts w:ascii="Times New Roman" w:hAnsi="Times New Roman"/>
          <w:sz w:val="24"/>
          <w:szCs w:val="24"/>
        </w:rPr>
        <w:t xml:space="preserve">DOL would develop a full part B for a full-scale study to measure employee voice in mining. </w:t>
      </w:r>
      <w:r w:rsidR="003F2F95">
        <w:rPr>
          <w:rFonts w:ascii="Times New Roman" w:hAnsi="Times New Roman"/>
          <w:sz w:val="24"/>
          <w:szCs w:val="24"/>
        </w:rPr>
        <w:t xml:space="preserve">The ultimate goal of this pilot data collection is to provide DOL with the answers to a few key questions: </w:t>
      </w:r>
    </w:p>
    <w:p w:rsidR="003F2F95" w:rsidRDefault="003F2F95" w:rsidP="00C557FE">
      <w:pPr>
        <w:spacing w:after="0"/>
        <w:rPr>
          <w:rFonts w:ascii="Times New Roman" w:hAnsi="Times New Roman"/>
          <w:sz w:val="24"/>
          <w:szCs w:val="24"/>
        </w:rPr>
      </w:pPr>
    </w:p>
    <w:p w:rsidR="003F2F95" w:rsidRDefault="003F2F95" w:rsidP="00091FD4">
      <w:pPr>
        <w:numPr>
          <w:ilvl w:val="0"/>
          <w:numId w:val="38"/>
        </w:numPr>
        <w:spacing w:after="0"/>
        <w:rPr>
          <w:rFonts w:ascii="Times New Roman" w:hAnsi="Times New Roman"/>
          <w:sz w:val="24"/>
          <w:szCs w:val="24"/>
        </w:rPr>
      </w:pPr>
      <w:r>
        <w:rPr>
          <w:rFonts w:ascii="Times New Roman" w:hAnsi="Times New Roman"/>
          <w:sz w:val="24"/>
          <w:szCs w:val="24"/>
        </w:rPr>
        <w:t>Is it feasible, at all, to collect data that can be used by DOL in measuring and tracking employee voice in mining workplaces?</w:t>
      </w:r>
    </w:p>
    <w:p w:rsidR="003F2F95" w:rsidRDefault="003B7D13" w:rsidP="00091FD4">
      <w:pPr>
        <w:numPr>
          <w:ilvl w:val="0"/>
          <w:numId w:val="38"/>
        </w:numPr>
        <w:spacing w:after="0"/>
        <w:rPr>
          <w:rFonts w:ascii="Times New Roman" w:hAnsi="Times New Roman"/>
          <w:sz w:val="24"/>
          <w:szCs w:val="24"/>
        </w:rPr>
      </w:pPr>
      <w:r>
        <w:rPr>
          <w:rFonts w:ascii="Times New Roman" w:hAnsi="Times New Roman"/>
          <w:sz w:val="24"/>
          <w:szCs w:val="24"/>
        </w:rPr>
        <w:t>If it is feasible to collect data, what mode of data collection represents the best possible approach?</w:t>
      </w:r>
      <w:r w:rsidR="00B91D82">
        <w:rPr>
          <w:rFonts w:ascii="Times New Roman" w:hAnsi="Times New Roman"/>
          <w:sz w:val="24"/>
          <w:szCs w:val="24"/>
        </w:rPr>
        <w:t xml:space="preserve"> What </w:t>
      </w:r>
      <w:r w:rsidR="00B30D3C">
        <w:rPr>
          <w:rFonts w:ascii="Times New Roman" w:hAnsi="Times New Roman"/>
          <w:sz w:val="24"/>
          <w:szCs w:val="24"/>
        </w:rPr>
        <w:t>lessons can be learned from the pilot data collection to inform a full-scale data collection?</w:t>
      </w:r>
    </w:p>
    <w:p w:rsidR="003B7D13" w:rsidRDefault="003B7D13" w:rsidP="00091FD4">
      <w:pPr>
        <w:numPr>
          <w:ilvl w:val="0"/>
          <w:numId w:val="38"/>
        </w:numPr>
        <w:spacing w:after="0"/>
        <w:rPr>
          <w:rFonts w:ascii="Times New Roman" w:hAnsi="Times New Roman"/>
          <w:sz w:val="24"/>
          <w:szCs w:val="24"/>
        </w:rPr>
      </w:pPr>
      <w:r>
        <w:rPr>
          <w:rFonts w:ascii="Times New Roman" w:hAnsi="Times New Roman"/>
          <w:sz w:val="24"/>
          <w:szCs w:val="24"/>
        </w:rPr>
        <w:t>Will the data collected be likely to be representative of the overall population of miners? If not, would the data provide some value for DOL’s purpose of measuring and tracking voice in the workplace?</w:t>
      </w:r>
    </w:p>
    <w:p w:rsidR="00B30D3C" w:rsidRDefault="00B30D3C" w:rsidP="00091FD4">
      <w:pPr>
        <w:numPr>
          <w:ilvl w:val="0"/>
          <w:numId w:val="38"/>
        </w:numPr>
        <w:spacing w:after="0"/>
        <w:rPr>
          <w:rFonts w:ascii="Times New Roman" w:hAnsi="Times New Roman"/>
          <w:sz w:val="24"/>
          <w:szCs w:val="24"/>
        </w:rPr>
      </w:pPr>
      <w:r>
        <w:rPr>
          <w:rFonts w:ascii="Times New Roman" w:hAnsi="Times New Roman"/>
          <w:sz w:val="24"/>
          <w:szCs w:val="24"/>
        </w:rPr>
        <w:t>What refinements can be made to DOL’s current thinking on the factors that comprise employee voice in mining workplaces?</w:t>
      </w:r>
    </w:p>
    <w:p w:rsidR="003B7D13" w:rsidRDefault="003B7D13" w:rsidP="00091FD4">
      <w:pPr>
        <w:spacing w:after="0"/>
        <w:ind w:left="720"/>
        <w:rPr>
          <w:rFonts w:ascii="Times New Roman" w:hAnsi="Times New Roman"/>
          <w:sz w:val="24"/>
          <w:szCs w:val="24"/>
        </w:rPr>
      </w:pPr>
    </w:p>
    <w:p w:rsidR="006418B2" w:rsidRPr="009D166E" w:rsidRDefault="00B30D3C" w:rsidP="00C557FE">
      <w:pPr>
        <w:spacing w:after="0"/>
        <w:rPr>
          <w:rFonts w:ascii="Times New Roman" w:hAnsi="Times New Roman"/>
          <w:sz w:val="24"/>
          <w:szCs w:val="24"/>
        </w:rPr>
      </w:pPr>
      <w:r w:rsidRPr="009D166E">
        <w:rPr>
          <w:rFonts w:ascii="Times New Roman" w:hAnsi="Times New Roman"/>
          <w:sz w:val="24"/>
          <w:szCs w:val="24"/>
        </w:rPr>
        <w:t xml:space="preserve">The pilot study </w:t>
      </w:r>
      <w:r w:rsidR="006418B2" w:rsidRPr="009D166E">
        <w:rPr>
          <w:rFonts w:ascii="Times New Roman" w:hAnsi="Times New Roman"/>
          <w:sz w:val="24"/>
          <w:szCs w:val="24"/>
        </w:rPr>
        <w:t>will also serve as a thorough test of the survey instrument developed to measure employee voice in the industry sectors under MSHA jurisdiction.</w:t>
      </w:r>
      <w:r w:rsidR="006418B2">
        <w:rPr>
          <w:rFonts w:ascii="Times New Roman" w:hAnsi="Times New Roman"/>
          <w:sz w:val="24"/>
          <w:szCs w:val="24"/>
        </w:rPr>
        <w:t xml:space="preserve"> Eastern Research Group</w:t>
      </w:r>
      <w:r>
        <w:rPr>
          <w:rFonts w:ascii="Times New Roman" w:hAnsi="Times New Roman"/>
          <w:sz w:val="24"/>
          <w:szCs w:val="24"/>
        </w:rPr>
        <w:t>, Inc. (ERG)</w:t>
      </w:r>
      <w:r w:rsidR="006418B2">
        <w:rPr>
          <w:rFonts w:ascii="Times New Roman" w:hAnsi="Times New Roman"/>
          <w:sz w:val="24"/>
          <w:szCs w:val="24"/>
        </w:rPr>
        <w:t xml:space="preserve"> has been awarded a contract to perform the actual study work and </w:t>
      </w:r>
      <w:r w:rsidR="006418B2">
        <w:rPr>
          <w:rFonts w:ascii="Times New Roman" w:hAnsi="Times New Roman"/>
          <w:color w:val="000000"/>
          <w:sz w:val="24"/>
          <w:szCs w:val="24"/>
        </w:rPr>
        <w:t>National Opinion Research Center is a sub-contractor</w:t>
      </w:r>
      <w:r>
        <w:rPr>
          <w:rFonts w:ascii="Times New Roman" w:hAnsi="Times New Roman"/>
          <w:color w:val="000000"/>
          <w:sz w:val="24"/>
          <w:szCs w:val="24"/>
        </w:rPr>
        <w:t xml:space="preserve"> to ERG</w:t>
      </w:r>
      <w:r w:rsidR="006418B2">
        <w:rPr>
          <w:rFonts w:ascii="Times New Roman" w:hAnsi="Times New Roman"/>
          <w:sz w:val="24"/>
          <w:szCs w:val="24"/>
        </w:rPr>
        <w:t>.</w:t>
      </w:r>
    </w:p>
    <w:p w:rsidR="006418B2" w:rsidRPr="00494728" w:rsidRDefault="006418B2" w:rsidP="002300AB">
      <w:pPr>
        <w:pStyle w:val="OMBPackageHeading2"/>
      </w:pPr>
      <w:bookmarkStart w:id="2" w:name="_Toc322005780"/>
      <w:r w:rsidRPr="00494728">
        <w:lastRenderedPageBreak/>
        <w:t>Circumstances Necessitating the Data Collection</w:t>
      </w:r>
      <w:bookmarkEnd w:id="2"/>
    </w:p>
    <w:p w:rsidR="006418B2" w:rsidRDefault="006418B2" w:rsidP="00C557FE">
      <w:pPr>
        <w:spacing w:after="0"/>
        <w:rPr>
          <w:rFonts w:ascii="Times New Roman" w:hAnsi="Times New Roman"/>
          <w:sz w:val="24"/>
          <w:szCs w:val="24"/>
        </w:rPr>
      </w:pPr>
      <w:r w:rsidRPr="009D166E">
        <w:rPr>
          <w:rFonts w:ascii="Times New Roman" w:hAnsi="Times New Roman"/>
          <w:sz w:val="24"/>
          <w:szCs w:val="24"/>
        </w:rPr>
        <w:t xml:space="preserve">DOL defines employee voice as “workers’ ability to access information on their rights in the workplace, their understanding of those rights, and their ability to exercise these rights without fear of discrimination or retaliation.” </w:t>
      </w:r>
      <w:r>
        <w:rPr>
          <w:rFonts w:ascii="Times New Roman" w:hAnsi="Times New Roman"/>
          <w:sz w:val="24"/>
          <w:szCs w:val="24"/>
        </w:rPr>
        <w:t>The rights and responsibilities of workers in the mining industry are defined in the Federal Mine Safety and Health Act of 1977, the Mine Improvement and New Emergency Response Act of 2006 (MINER Act), and Title 30 of the Code of Federal Regulations (30 CFR Parts 1 through 199). MSHA is the agency responsible for providing outreach and training to miners on their rights and enforcing their ability to exercise those rights</w:t>
      </w:r>
      <w:r w:rsidRPr="009D166E">
        <w:rPr>
          <w:rFonts w:ascii="Times New Roman" w:hAnsi="Times New Roman"/>
          <w:sz w:val="24"/>
          <w:szCs w:val="24"/>
        </w:rPr>
        <w:t xml:space="preserve">. </w:t>
      </w:r>
      <w:r>
        <w:rPr>
          <w:rFonts w:ascii="Times New Roman" w:hAnsi="Times New Roman"/>
          <w:sz w:val="24"/>
          <w:szCs w:val="24"/>
        </w:rPr>
        <w:t xml:space="preserve">These rights include making a complaint of a potential danger or safety or health violation to the attention of the mine operator, requesting a mine inspection from MSHA, and nominating (with another miner) a miners’ representative to accompany mine inspectors during an investigation. </w:t>
      </w:r>
      <w:r w:rsidRPr="009D166E">
        <w:rPr>
          <w:rFonts w:ascii="Times New Roman" w:hAnsi="Times New Roman"/>
          <w:sz w:val="24"/>
          <w:szCs w:val="24"/>
        </w:rPr>
        <w:t xml:space="preserve">By bringing hazardous conditions to the attention of supervisors, other management personnel, or other responsible parties, </w:t>
      </w:r>
      <w:r>
        <w:rPr>
          <w:rFonts w:ascii="Times New Roman" w:hAnsi="Times New Roman"/>
          <w:sz w:val="24"/>
          <w:szCs w:val="24"/>
        </w:rPr>
        <w:t xml:space="preserve">each individual mine worker </w:t>
      </w:r>
      <w:r w:rsidRPr="009D166E">
        <w:rPr>
          <w:rFonts w:ascii="Times New Roman" w:hAnsi="Times New Roman"/>
          <w:sz w:val="24"/>
          <w:szCs w:val="24"/>
        </w:rPr>
        <w:t>contribute</w:t>
      </w:r>
      <w:r>
        <w:rPr>
          <w:rFonts w:ascii="Times New Roman" w:hAnsi="Times New Roman"/>
          <w:sz w:val="24"/>
          <w:szCs w:val="24"/>
        </w:rPr>
        <w:t>s</w:t>
      </w:r>
      <w:r w:rsidRPr="009D166E">
        <w:rPr>
          <w:rFonts w:ascii="Times New Roman" w:hAnsi="Times New Roman"/>
          <w:sz w:val="24"/>
          <w:szCs w:val="24"/>
        </w:rPr>
        <w:t xml:space="preserve"> to </w:t>
      </w:r>
      <w:r>
        <w:rPr>
          <w:rFonts w:ascii="Times New Roman" w:hAnsi="Times New Roman"/>
          <w:sz w:val="24"/>
          <w:szCs w:val="24"/>
        </w:rPr>
        <w:t>the prevention</w:t>
      </w:r>
      <w:r w:rsidRPr="009D166E">
        <w:rPr>
          <w:rFonts w:ascii="Times New Roman" w:hAnsi="Times New Roman"/>
          <w:sz w:val="24"/>
          <w:szCs w:val="24"/>
        </w:rPr>
        <w:t xml:space="preserve"> </w:t>
      </w:r>
      <w:r>
        <w:rPr>
          <w:rFonts w:ascii="Times New Roman" w:hAnsi="Times New Roman"/>
          <w:sz w:val="24"/>
          <w:szCs w:val="24"/>
        </w:rPr>
        <w:t xml:space="preserve">of </w:t>
      </w:r>
      <w:r w:rsidRPr="009D166E">
        <w:rPr>
          <w:rFonts w:ascii="Times New Roman" w:hAnsi="Times New Roman"/>
          <w:sz w:val="24"/>
          <w:szCs w:val="24"/>
        </w:rPr>
        <w:t xml:space="preserve">workplace injury or illness. In this way, employee voice can be a major contributor to the maintenance of employee safety and health at mining sites. </w:t>
      </w:r>
    </w:p>
    <w:p w:rsidR="006418B2" w:rsidRDefault="006418B2" w:rsidP="00C557FE">
      <w:pPr>
        <w:spacing w:after="0"/>
        <w:rPr>
          <w:rFonts w:ascii="Times New Roman" w:hAnsi="Times New Roman"/>
          <w:sz w:val="24"/>
          <w:szCs w:val="24"/>
        </w:rPr>
      </w:pPr>
    </w:p>
    <w:p w:rsidR="006418B2" w:rsidRPr="009D166E" w:rsidRDefault="00B30D3C" w:rsidP="00C557FE">
      <w:pPr>
        <w:spacing w:after="0"/>
        <w:rPr>
          <w:rFonts w:ascii="Times New Roman" w:hAnsi="Times New Roman"/>
          <w:sz w:val="24"/>
          <w:szCs w:val="24"/>
        </w:rPr>
      </w:pPr>
      <w:r>
        <w:rPr>
          <w:rFonts w:ascii="Times New Roman" w:hAnsi="Times New Roman"/>
          <w:sz w:val="24"/>
          <w:szCs w:val="24"/>
        </w:rPr>
        <w:t>A</w:t>
      </w:r>
      <w:r w:rsidRPr="009D166E">
        <w:rPr>
          <w:rFonts w:ascii="Times New Roman" w:hAnsi="Times New Roman"/>
          <w:sz w:val="24"/>
          <w:szCs w:val="24"/>
        </w:rPr>
        <w:t xml:space="preserve"> </w:t>
      </w:r>
      <w:r w:rsidR="006418B2" w:rsidRPr="009D166E">
        <w:rPr>
          <w:rFonts w:ascii="Times New Roman" w:hAnsi="Times New Roman"/>
          <w:sz w:val="24"/>
          <w:szCs w:val="24"/>
        </w:rPr>
        <w:t xml:space="preserve">major purpose of this pilot study is to develop a measure of employee voice in the </w:t>
      </w:r>
      <w:r w:rsidR="006418B2">
        <w:rPr>
          <w:rFonts w:ascii="Times New Roman" w:hAnsi="Times New Roman"/>
          <w:sz w:val="24"/>
          <w:szCs w:val="24"/>
        </w:rPr>
        <w:t xml:space="preserve">coal </w:t>
      </w:r>
      <w:r w:rsidR="006418B2" w:rsidRPr="009D166E">
        <w:rPr>
          <w:rFonts w:ascii="Times New Roman" w:hAnsi="Times New Roman"/>
          <w:sz w:val="24"/>
          <w:szCs w:val="24"/>
        </w:rPr>
        <w:t xml:space="preserve">mining industry (with a feasible data collection method) that is consistent with the measure of voice currently being developed for industries under the jurisdiction of </w:t>
      </w:r>
      <w:r w:rsidR="006418B2">
        <w:rPr>
          <w:rFonts w:ascii="Times New Roman" w:hAnsi="Times New Roman"/>
          <w:sz w:val="24"/>
          <w:szCs w:val="24"/>
        </w:rPr>
        <w:t>DOL’s Occupational Safety and Health Administration (</w:t>
      </w:r>
      <w:r w:rsidR="006418B2" w:rsidRPr="009D166E">
        <w:rPr>
          <w:rFonts w:ascii="Times New Roman" w:hAnsi="Times New Roman"/>
          <w:sz w:val="24"/>
          <w:szCs w:val="24"/>
        </w:rPr>
        <w:t>OSHA</w:t>
      </w:r>
      <w:r w:rsidR="006418B2">
        <w:rPr>
          <w:rFonts w:ascii="Times New Roman" w:hAnsi="Times New Roman"/>
          <w:sz w:val="24"/>
          <w:szCs w:val="24"/>
        </w:rPr>
        <w:t>)</w:t>
      </w:r>
      <w:r w:rsidR="006418B2" w:rsidRPr="009D166E">
        <w:rPr>
          <w:rFonts w:ascii="Times New Roman" w:hAnsi="Times New Roman"/>
          <w:sz w:val="24"/>
          <w:szCs w:val="24"/>
        </w:rPr>
        <w:t xml:space="preserve"> and </w:t>
      </w:r>
      <w:r w:rsidR="006418B2">
        <w:rPr>
          <w:rFonts w:ascii="Times New Roman" w:hAnsi="Times New Roman"/>
          <w:sz w:val="24"/>
          <w:szCs w:val="24"/>
        </w:rPr>
        <w:t>Wage and Hour Division (</w:t>
      </w:r>
      <w:r w:rsidR="006418B2" w:rsidRPr="009D166E">
        <w:rPr>
          <w:rFonts w:ascii="Times New Roman" w:hAnsi="Times New Roman"/>
          <w:sz w:val="24"/>
          <w:szCs w:val="24"/>
        </w:rPr>
        <w:t>WHD</w:t>
      </w:r>
      <w:r w:rsidR="006418B2">
        <w:rPr>
          <w:rFonts w:ascii="Times New Roman" w:hAnsi="Times New Roman"/>
          <w:sz w:val="24"/>
          <w:szCs w:val="24"/>
        </w:rPr>
        <w:t>)</w:t>
      </w:r>
      <w:r w:rsidR="006418B2" w:rsidRPr="009D166E">
        <w:rPr>
          <w:rFonts w:ascii="Times New Roman" w:hAnsi="Times New Roman"/>
          <w:sz w:val="24"/>
          <w:szCs w:val="24"/>
        </w:rPr>
        <w:t xml:space="preserve">. The measure of employee voice in the </w:t>
      </w:r>
      <w:r w:rsidR="006418B2">
        <w:rPr>
          <w:rFonts w:ascii="Times New Roman" w:hAnsi="Times New Roman"/>
          <w:sz w:val="24"/>
          <w:szCs w:val="24"/>
        </w:rPr>
        <w:t xml:space="preserve">coal </w:t>
      </w:r>
      <w:r w:rsidR="006418B2" w:rsidRPr="009D166E">
        <w:rPr>
          <w:rFonts w:ascii="Times New Roman" w:hAnsi="Times New Roman"/>
          <w:sz w:val="24"/>
          <w:szCs w:val="24"/>
        </w:rPr>
        <w:t xml:space="preserve">mining industry will include indices of the extent to which mine workers: (1) feel encouraged </w:t>
      </w:r>
      <w:r w:rsidR="006418B2">
        <w:rPr>
          <w:rFonts w:ascii="Times New Roman" w:hAnsi="Times New Roman"/>
          <w:sz w:val="24"/>
          <w:szCs w:val="24"/>
        </w:rPr>
        <w:t xml:space="preserve">to report </w:t>
      </w:r>
      <w:r w:rsidR="006418B2" w:rsidRPr="009D166E">
        <w:rPr>
          <w:rFonts w:ascii="Times New Roman" w:hAnsi="Times New Roman"/>
          <w:sz w:val="24"/>
          <w:szCs w:val="24"/>
        </w:rPr>
        <w:t>or discouraged from reporting hazardous conditions to a responsible party, (2) are aware of and make use of MSHA outreach resources on miners’ statutory rights, (3) know about their statutory rights with respect to workplace health and safety, and (4) exercise those rights in their workplaces, and the reasons why they do or do not.</w:t>
      </w:r>
    </w:p>
    <w:p w:rsidR="006418B2" w:rsidRPr="009D166E" w:rsidRDefault="006418B2" w:rsidP="00C557FE">
      <w:pPr>
        <w:spacing w:after="0"/>
        <w:rPr>
          <w:rFonts w:ascii="Times New Roman" w:hAnsi="Times New Roman"/>
          <w:sz w:val="24"/>
          <w:szCs w:val="24"/>
        </w:rPr>
      </w:pPr>
    </w:p>
    <w:p w:rsidR="00E3540F" w:rsidRDefault="003B4988" w:rsidP="00C557FE">
      <w:pPr>
        <w:spacing w:after="0"/>
        <w:rPr>
          <w:rFonts w:ascii="Times New Roman" w:hAnsi="Times New Roman"/>
          <w:sz w:val="24"/>
          <w:szCs w:val="24"/>
        </w:rPr>
      </w:pPr>
      <w:r>
        <w:rPr>
          <w:rFonts w:ascii="Times New Roman" w:hAnsi="Times New Roman"/>
          <w:sz w:val="24"/>
          <w:szCs w:val="24"/>
        </w:rPr>
        <w:t xml:space="preserve">DOL is collecting this information </w:t>
      </w:r>
      <w:r w:rsidR="00E3540F">
        <w:rPr>
          <w:rFonts w:ascii="Times New Roman" w:hAnsi="Times New Roman"/>
          <w:sz w:val="24"/>
          <w:szCs w:val="24"/>
        </w:rPr>
        <w:t>to meet its requirements for performance reporting under the Government Performance and Results Act (GPRA)</w:t>
      </w:r>
      <w:r w:rsidR="00E664F1">
        <w:rPr>
          <w:rFonts w:ascii="Times New Roman" w:hAnsi="Times New Roman"/>
          <w:sz w:val="24"/>
          <w:szCs w:val="24"/>
        </w:rPr>
        <w:t xml:space="preserve"> and under its 2011-2016 Strategic Plan</w:t>
      </w:r>
      <w:r w:rsidR="00E3540F">
        <w:rPr>
          <w:rFonts w:ascii="Times New Roman" w:hAnsi="Times New Roman"/>
          <w:sz w:val="24"/>
          <w:szCs w:val="24"/>
        </w:rPr>
        <w:t>. Secretary Solis’ vision of “Good Jobs for Everyone” includes a strategic goal of “assuring fair and high quality work-life environments” with an outcome goal of “ensuring worker voice in the workplace.”</w:t>
      </w:r>
      <w:r w:rsidR="00E3540F">
        <w:rPr>
          <w:rStyle w:val="FootnoteReference"/>
          <w:rFonts w:ascii="Times New Roman" w:hAnsi="Times New Roman"/>
          <w:sz w:val="24"/>
          <w:szCs w:val="24"/>
        </w:rPr>
        <w:footnoteReference w:id="1"/>
      </w:r>
      <w:r w:rsidR="00E664F1">
        <w:rPr>
          <w:rFonts w:ascii="Times New Roman" w:hAnsi="Times New Roman"/>
          <w:sz w:val="24"/>
          <w:szCs w:val="24"/>
        </w:rPr>
        <w:t xml:space="preserve"> Data to be collected under this survey would assist in the development of a measure of employee voice in the mining industry. </w:t>
      </w:r>
    </w:p>
    <w:p w:rsidR="00E3540F" w:rsidRDefault="00E3540F" w:rsidP="00C557FE">
      <w:pPr>
        <w:spacing w:after="0"/>
        <w:rPr>
          <w:rFonts w:ascii="Times New Roman" w:hAnsi="Times New Roman"/>
          <w:sz w:val="24"/>
          <w:szCs w:val="24"/>
        </w:rPr>
      </w:pPr>
    </w:p>
    <w:p w:rsidR="006418B2" w:rsidRPr="009D166E" w:rsidRDefault="006418B2" w:rsidP="00C557FE">
      <w:pPr>
        <w:spacing w:after="0"/>
        <w:rPr>
          <w:rFonts w:ascii="Times New Roman" w:hAnsi="Times New Roman"/>
          <w:sz w:val="24"/>
          <w:szCs w:val="24"/>
        </w:rPr>
      </w:pPr>
      <w:r w:rsidRPr="009D166E">
        <w:rPr>
          <w:rFonts w:ascii="Times New Roman" w:hAnsi="Times New Roman"/>
          <w:sz w:val="24"/>
          <w:szCs w:val="24"/>
        </w:rPr>
        <w:t>The combination of special circumstances surroundin</w:t>
      </w:r>
      <w:r>
        <w:rPr>
          <w:rFonts w:ascii="Times New Roman" w:hAnsi="Times New Roman"/>
          <w:sz w:val="24"/>
          <w:szCs w:val="24"/>
        </w:rPr>
        <w:t xml:space="preserve">g the mining industry—the </w:t>
      </w:r>
      <w:r w:rsidRPr="00F263F6">
        <w:rPr>
          <w:rFonts w:ascii="Times New Roman" w:hAnsi="Times New Roman"/>
          <w:sz w:val="24"/>
          <w:szCs w:val="24"/>
        </w:rPr>
        <w:t>socio-cultural</w:t>
      </w:r>
      <w:r w:rsidRPr="009D166E">
        <w:rPr>
          <w:rFonts w:ascii="Times New Roman" w:hAnsi="Times New Roman"/>
          <w:sz w:val="24"/>
          <w:szCs w:val="24"/>
        </w:rPr>
        <w:t xml:space="preserve"> role of the industry in mining communities, the high-risk nature of the work, the history of workplace catastrophes in coal mines, and the intensity of regulatory attention—necessitates that employee voice be measured with a survey instrument specific to mining employees. Moreover, because mining represents a small subset of the </w:t>
      </w:r>
      <w:smartTag w:uri="urn:schemas-microsoft-com:office:smarttags" w:element="PlaceType">
        <w:r w:rsidRPr="009D166E">
          <w:rPr>
            <w:rFonts w:ascii="Times New Roman" w:hAnsi="Times New Roman"/>
            <w:sz w:val="24"/>
            <w:szCs w:val="24"/>
          </w:rPr>
          <w:t>U.S.</w:t>
        </w:r>
      </w:smartTag>
      <w:r w:rsidRPr="009D166E">
        <w:rPr>
          <w:rFonts w:ascii="Times New Roman" w:hAnsi="Times New Roman"/>
          <w:sz w:val="24"/>
          <w:szCs w:val="24"/>
        </w:rPr>
        <w:t xml:space="preserve"> labor force, implementing the survey poses </w:t>
      </w:r>
      <w:r w:rsidRPr="009D166E">
        <w:rPr>
          <w:rFonts w:ascii="Times New Roman" w:hAnsi="Times New Roman"/>
          <w:sz w:val="24"/>
          <w:szCs w:val="24"/>
        </w:rPr>
        <w:lastRenderedPageBreak/>
        <w:t xml:space="preserve">some special problems. In the absence of a list of miners’ telephone numbers, random digit dialing (the technique often used in surveys with a large universe to be sampled) </w:t>
      </w:r>
      <w:r>
        <w:rPr>
          <w:rFonts w:ascii="Times New Roman" w:hAnsi="Times New Roman"/>
          <w:sz w:val="24"/>
          <w:szCs w:val="24"/>
        </w:rPr>
        <w:t>is</w:t>
      </w:r>
      <w:r w:rsidRPr="009D166E">
        <w:rPr>
          <w:rFonts w:ascii="Times New Roman" w:hAnsi="Times New Roman"/>
          <w:sz w:val="24"/>
          <w:szCs w:val="24"/>
        </w:rPr>
        <w:t xml:space="preserve"> impractical. Even if a list of miners’ telephone numbers were available, there are concerns that many mine workers would be unwilling to give candid responses to sensitive questions about their employers and workplaces over the telephone. As a result, alternative data-gathering techniques must be employed.</w:t>
      </w:r>
    </w:p>
    <w:p w:rsidR="006418B2" w:rsidRPr="009D166E" w:rsidRDefault="006418B2" w:rsidP="00C557FE">
      <w:pPr>
        <w:spacing w:after="0"/>
        <w:rPr>
          <w:rFonts w:ascii="Times New Roman" w:hAnsi="Times New Roman"/>
          <w:sz w:val="24"/>
          <w:szCs w:val="24"/>
        </w:rPr>
      </w:pPr>
    </w:p>
    <w:p w:rsidR="006418B2" w:rsidRDefault="006418B2" w:rsidP="00C557FE">
      <w:pPr>
        <w:spacing w:after="0"/>
        <w:rPr>
          <w:rFonts w:ascii="Times New Roman" w:hAnsi="Times New Roman"/>
          <w:sz w:val="24"/>
          <w:szCs w:val="24"/>
        </w:rPr>
      </w:pPr>
      <w:r>
        <w:rPr>
          <w:rFonts w:ascii="Times New Roman" w:hAnsi="Times New Roman"/>
          <w:sz w:val="24"/>
          <w:szCs w:val="24"/>
        </w:rPr>
        <w:t>In this</w:t>
      </w:r>
      <w:r w:rsidRPr="009D166E">
        <w:rPr>
          <w:rFonts w:ascii="Times New Roman" w:hAnsi="Times New Roman"/>
          <w:sz w:val="24"/>
          <w:szCs w:val="24"/>
        </w:rPr>
        <w:t xml:space="preserve"> pilot study</w:t>
      </w:r>
      <w:r>
        <w:rPr>
          <w:rFonts w:ascii="Times New Roman" w:hAnsi="Times New Roman"/>
          <w:sz w:val="24"/>
          <w:szCs w:val="24"/>
        </w:rPr>
        <w:t xml:space="preserve">, CEO will </w:t>
      </w:r>
      <w:r w:rsidRPr="009D166E">
        <w:rPr>
          <w:rFonts w:ascii="Times New Roman" w:hAnsi="Times New Roman"/>
          <w:sz w:val="24"/>
          <w:szCs w:val="24"/>
        </w:rPr>
        <w:t xml:space="preserve">determine which of </w:t>
      </w:r>
      <w:r>
        <w:rPr>
          <w:rFonts w:ascii="Times New Roman" w:hAnsi="Times New Roman"/>
          <w:sz w:val="24"/>
          <w:szCs w:val="24"/>
        </w:rPr>
        <w:t xml:space="preserve">the following </w:t>
      </w:r>
      <w:r w:rsidR="00B30D3C">
        <w:rPr>
          <w:rFonts w:ascii="Times New Roman" w:hAnsi="Times New Roman"/>
          <w:sz w:val="24"/>
          <w:szCs w:val="24"/>
        </w:rPr>
        <w:t>two</w:t>
      </w:r>
      <w:r w:rsidR="00B30D3C" w:rsidRPr="009D166E">
        <w:rPr>
          <w:rFonts w:ascii="Times New Roman" w:hAnsi="Times New Roman"/>
          <w:sz w:val="24"/>
          <w:szCs w:val="24"/>
        </w:rPr>
        <w:t xml:space="preserve"> </w:t>
      </w:r>
      <w:r w:rsidRPr="009D166E">
        <w:rPr>
          <w:rFonts w:ascii="Times New Roman" w:hAnsi="Times New Roman"/>
          <w:sz w:val="24"/>
          <w:szCs w:val="24"/>
        </w:rPr>
        <w:t xml:space="preserve">data-gathering techniques will be the most productive and logistically feasible to implement industry-wide on a recurring basis: </w:t>
      </w:r>
      <w:r>
        <w:rPr>
          <w:rFonts w:ascii="Times New Roman" w:hAnsi="Times New Roman"/>
          <w:sz w:val="24"/>
          <w:szCs w:val="24"/>
        </w:rPr>
        <w:t>(1</w:t>
      </w:r>
      <w:r w:rsidRPr="009D166E">
        <w:rPr>
          <w:rFonts w:ascii="Times New Roman" w:hAnsi="Times New Roman"/>
          <w:sz w:val="24"/>
          <w:szCs w:val="24"/>
        </w:rPr>
        <w:t xml:space="preserve">) administration of a paper survey to </w:t>
      </w:r>
      <w:r>
        <w:rPr>
          <w:rFonts w:ascii="Times New Roman" w:hAnsi="Times New Roman"/>
          <w:sz w:val="24"/>
          <w:szCs w:val="24"/>
        </w:rPr>
        <w:t>miners attending</w:t>
      </w:r>
      <w:r w:rsidRPr="009D166E">
        <w:rPr>
          <w:rFonts w:ascii="Times New Roman" w:hAnsi="Times New Roman"/>
          <w:sz w:val="24"/>
          <w:szCs w:val="24"/>
        </w:rPr>
        <w:t xml:space="preserve"> annual </w:t>
      </w:r>
      <w:r>
        <w:rPr>
          <w:rFonts w:ascii="Times New Roman" w:hAnsi="Times New Roman"/>
          <w:sz w:val="24"/>
          <w:szCs w:val="24"/>
        </w:rPr>
        <w:t xml:space="preserve">new miner and miner refresher </w:t>
      </w:r>
      <w:r w:rsidRPr="009D166E">
        <w:rPr>
          <w:rFonts w:ascii="Times New Roman" w:hAnsi="Times New Roman"/>
          <w:sz w:val="24"/>
          <w:szCs w:val="24"/>
        </w:rPr>
        <w:t>training sessions</w:t>
      </w:r>
      <w:r>
        <w:rPr>
          <w:rFonts w:ascii="Times New Roman" w:hAnsi="Times New Roman"/>
          <w:sz w:val="24"/>
          <w:szCs w:val="24"/>
        </w:rPr>
        <w:t xml:space="preserve"> conducted at the state level with MSHA grant funding</w:t>
      </w:r>
      <w:r w:rsidR="00B30D3C">
        <w:rPr>
          <w:rFonts w:ascii="Times New Roman" w:hAnsi="Times New Roman"/>
          <w:sz w:val="24"/>
          <w:szCs w:val="24"/>
        </w:rPr>
        <w:t xml:space="preserve"> or</w:t>
      </w:r>
      <w:r w:rsidRPr="009D166E">
        <w:rPr>
          <w:rFonts w:ascii="Times New Roman" w:hAnsi="Times New Roman"/>
          <w:sz w:val="24"/>
          <w:szCs w:val="24"/>
        </w:rPr>
        <w:t xml:space="preserve"> </w:t>
      </w:r>
      <w:r>
        <w:rPr>
          <w:rFonts w:ascii="Times New Roman" w:hAnsi="Times New Roman"/>
          <w:sz w:val="24"/>
          <w:szCs w:val="24"/>
        </w:rPr>
        <w:t>(2) use of radio and/or paper advertisements to recruit miners to take the survey by phone or online</w:t>
      </w:r>
      <w:r w:rsidRPr="009D166E">
        <w:rPr>
          <w:rFonts w:ascii="Times New Roman" w:hAnsi="Times New Roman"/>
          <w:sz w:val="24"/>
          <w:szCs w:val="24"/>
        </w:rPr>
        <w:t>. These techniques and the number of respondents to be surveyed in the pilot test are summarized in the table below.</w:t>
      </w:r>
    </w:p>
    <w:p w:rsidR="006418B2" w:rsidRPr="009D166E" w:rsidRDefault="006418B2" w:rsidP="00C557FE">
      <w:pPr>
        <w:spacing w:after="0"/>
        <w:rPr>
          <w:rFonts w:ascii="Times New Roman" w:hAnsi="Times New Roman"/>
          <w:sz w:val="24"/>
          <w:szCs w:val="24"/>
        </w:rPr>
      </w:pPr>
    </w:p>
    <w:p w:rsidR="006418B2" w:rsidRPr="009D166E" w:rsidRDefault="006418B2" w:rsidP="003A6E19">
      <w:pPr>
        <w:pStyle w:val="Caption"/>
        <w:rPr>
          <w:rFonts w:ascii="Times New Roman" w:hAnsi="Times New Roman"/>
          <w:sz w:val="24"/>
          <w:szCs w:val="24"/>
        </w:rPr>
      </w:pPr>
      <w:bookmarkStart w:id="3" w:name="_Toc320893935"/>
      <w:r>
        <w:t xml:space="preserve">Table </w:t>
      </w:r>
      <w:r w:rsidR="00C751F3">
        <w:fldChar w:fldCharType="begin"/>
      </w:r>
      <w:r w:rsidR="00072CDB">
        <w:instrText xml:space="preserve"> SEQ Table \* ARABIC </w:instrText>
      </w:r>
      <w:r w:rsidR="00C751F3">
        <w:fldChar w:fldCharType="separate"/>
      </w:r>
      <w:r w:rsidR="003F2F95">
        <w:rPr>
          <w:noProof/>
        </w:rPr>
        <w:t>1</w:t>
      </w:r>
      <w:r w:rsidR="00C751F3">
        <w:rPr>
          <w:noProof/>
        </w:rPr>
        <w:fldChar w:fldCharType="end"/>
      </w:r>
      <w:r>
        <w:t xml:space="preserve">. </w:t>
      </w:r>
      <w:r w:rsidRPr="003A6E19">
        <w:t>Summary of data gathering techniques and number of respondents.</w:t>
      </w:r>
      <w:bookmarkEnd w:id="3"/>
    </w:p>
    <w:tbl>
      <w:tblPr>
        <w:tblW w:w="9450" w:type="dxa"/>
        <w:tblInd w:w="115" w:type="dxa"/>
        <w:tblBorders>
          <w:top w:val="single" w:sz="12" w:space="0" w:color="365F91"/>
          <w:bottom w:val="single" w:sz="12" w:space="0" w:color="365F91"/>
          <w:insideH w:val="single" w:sz="4" w:space="0" w:color="auto"/>
        </w:tblBorders>
        <w:tblCellMar>
          <w:top w:w="29" w:type="dxa"/>
          <w:left w:w="115" w:type="dxa"/>
          <w:bottom w:w="29" w:type="dxa"/>
          <w:right w:w="115" w:type="dxa"/>
        </w:tblCellMar>
        <w:tblLook w:val="00E0" w:firstRow="1" w:lastRow="1" w:firstColumn="1" w:lastColumn="0" w:noHBand="0" w:noVBand="0"/>
      </w:tblPr>
      <w:tblGrid>
        <w:gridCol w:w="3150"/>
        <w:gridCol w:w="4500"/>
        <w:gridCol w:w="1800"/>
      </w:tblGrid>
      <w:tr w:rsidR="006418B2" w:rsidRPr="002300AB" w:rsidTr="00ED0E75">
        <w:trPr>
          <w:trHeight w:val="547"/>
          <w:tblHeader/>
        </w:trPr>
        <w:tc>
          <w:tcPr>
            <w:tcW w:w="3150" w:type="dxa"/>
            <w:tcBorders>
              <w:top w:val="single" w:sz="12" w:space="0" w:color="365F91"/>
            </w:tcBorders>
            <w:vAlign w:val="center"/>
          </w:tcPr>
          <w:p w:rsidR="006418B2" w:rsidRPr="00ED0E75" w:rsidRDefault="006418B2" w:rsidP="003A6E19">
            <w:pPr>
              <w:keepNext/>
              <w:spacing w:after="0"/>
              <w:jc w:val="center"/>
              <w:outlineLvl w:val="1"/>
              <w:rPr>
                <w:rFonts w:cs="Arial"/>
                <w:b/>
                <w:sz w:val="20"/>
                <w:szCs w:val="20"/>
              </w:rPr>
            </w:pPr>
            <w:r w:rsidRPr="00ED0E75">
              <w:rPr>
                <w:rFonts w:cs="Arial"/>
                <w:b/>
                <w:sz w:val="20"/>
                <w:szCs w:val="20"/>
              </w:rPr>
              <w:t>Data Gathering Technique</w:t>
            </w:r>
          </w:p>
        </w:tc>
        <w:tc>
          <w:tcPr>
            <w:tcW w:w="4500" w:type="dxa"/>
            <w:tcBorders>
              <w:top w:val="single" w:sz="12" w:space="0" w:color="365F91"/>
            </w:tcBorders>
            <w:vAlign w:val="center"/>
          </w:tcPr>
          <w:p w:rsidR="006418B2" w:rsidRPr="00ED0E75" w:rsidRDefault="006418B2" w:rsidP="003A6E19">
            <w:pPr>
              <w:keepNext/>
              <w:spacing w:after="0"/>
              <w:jc w:val="center"/>
              <w:outlineLvl w:val="1"/>
              <w:rPr>
                <w:rFonts w:cs="Arial"/>
                <w:b/>
                <w:sz w:val="20"/>
                <w:szCs w:val="20"/>
              </w:rPr>
            </w:pPr>
            <w:r w:rsidRPr="00ED0E75">
              <w:rPr>
                <w:rFonts w:cs="Arial"/>
                <w:b/>
                <w:sz w:val="20"/>
                <w:szCs w:val="20"/>
              </w:rPr>
              <w:t>Description</w:t>
            </w:r>
          </w:p>
        </w:tc>
        <w:tc>
          <w:tcPr>
            <w:tcW w:w="1800" w:type="dxa"/>
            <w:tcBorders>
              <w:top w:val="single" w:sz="12" w:space="0" w:color="365F91"/>
            </w:tcBorders>
            <w:vAlign w:val="center"/>
          </w:tcPr>
          <w:p w:rsidR="006418B2" w:rsidRPr="00ED0E75" w:rsidRDefault="006418B2" w:rsidP="003A6E19">
            <w:pPr>
              <w:keepNext/>
              <w:spacing w:after="0"/>
              <w:jc w:val="center"/>
              <w:outlineLvl w:val="1"/>
              <w:rPr>
                <w:rFonts w:cs="Arial"/>
                <w:b/>
                <w:sz w:val="20"/>
                <w:szCs w:val="20"/>
              </w:rPr>
            </w:pPr>
            <w:r w:rsidRPr="00ED0E75">
              <w:rPr>
                <w:rFonts w:cs="Arial"/>
                <w:b/>
                <w:sz w:val="20"/>
                <w:szCs w:val="20"/>
              </w:rPr>
              <w:t>Number of Respondents</w:t>
            </w:r>
          </w:p>
        </w:tc>
      </w:tr>
      <w:tr w:rsidR="006418B2" w:rsidRPr="003A6E19" w:rsidTr="00ED0E75">
        <w:trPr>
          <w:trHeight w:val="737"/>
        </w:trPr>
        <w:tc>
          <w:tcPr>
            <w:tcW w:w="3150" w:type="dxa"/>
          </w:tcPr>
          <w:p w:rsidR="006418B2" w:rsidRPr="00ED0E75" w:rsidRDefault="006418B2" w:rsidP="002300AB">
            <w:pPr>
              <w:keepNext/>
              <w:spacing w:after="0"/>
              <w:outlineLvl w:val="1"/>
              <w:rPr>
                <w:rFonts w:cs="Arial"/>
                <w:sz w:val="20"/>
                <w:szCs w:val="20"/>
                <w:lang w:val="en-CA"/>
              </w:rPr>
            </w:pPr>
            <w:r w:rsidRPr="00ED0E75">
              <w:rPr>
                <w:rFonts w:cs="Arial"/>
                <w:sz w:val="20"/>
                <w:szCs w:val="20"/>
                <w:lang w:val="en-CA"/>
              </w:rPr>
              <w:t>Phone or internet survey through radio</w:t>
            </w:r>
            <w:r>
              <w:rPr>
                <w:rFonts w:cs="Arial"/>
                <w:sz w:val="20"/>
                <w:szCs w:val="20"/>
                <w:lang w:val="en-CA"/>
              </w:rPr>
              <w:t>/paper advertisement</w:t>
            </w:r>
            <w:r w:rsidRPr="00ED0E75">
              <w:rPr>
                <w:rFonts w:cs="Arial"/>
                <w:sz w:val="20"/>
                <w:szCs w:val="20"/>
                <w:lang w:val="en-CA"/>
              </w:rPr>
              <w:t xml:space="preserve"> recruitment</w:t>
            </w:r>
          </w:p>
        </w:tc>
        <w:tc>
          <w:tcPr>
            <w:tcW w:w="4500" w:type="dxa"/>
          </w:tcPr>
          <w:p w:rsidR="006418B2" w:rsidRPr="0067354E" w:rsidRDefault="006418B2" w:rsidP="00FD4112">
            <w:pPr>
              <w:pStyle w:val="ListParagraph"/>
              <w:keepNext/>
              <w:numPr>
                <w:ilvl w:val="0"/>
                <w:numId w:val="6"/>
              </w:numPr>
              <w:spacing w:after="0"/>
              <w:contextualSpacing w:val="0"/>
              <w:outlineLvl w:val="1"/>
              <w:rPr>
                <w:rFonts w:cs="Arial"/>
                <w:sz w:val="20"/>
                <w:szCs w:val="20"/>
              </w:rPr>
            </w:pPr>
            <w:r w:rsidRPr="0067354E">
              <w:rPr>
                <w:rFonts w:cs="Arial"/>
                <w:sz w:val="20"/>
                <w:szCs w:val="20"/>
              </w:rPr>
              <w:t>An ad is placed on the radio and/or in newspapers recruiting miners to take the survey; the ad provides both a phone number and an email address for respondents.</w:t>
            </w:r>
          </w:p>
        </w:tc>
        <w:tc>
          <w:tcPr>
            <w:tcW w:w="1800" w:type="dxa"/>
          </w:tcPr>
          <w:p w:rsidR="006418B2" w:rsidRPr="0067354E" w:rsidRDefault="006418B2" w:rsidP="002300AB">
            <w:pPr>
              <w:pStyle w:val="ListParagraph"/>
              <w:keepNext/>
              <w:numPr>
                <w:ilvl w:val="0"/>
                <w:numId w:val="6"/>
              </w:numPr>
              <w:spacing w:after="0"/>
              <w:contextualSpacing w:val="0"/>
              <w:outlineLvl w:val="1"/>
              <w:rPr>
                <w:rFonts w:cs="Arial"/>
                <w:sz w:val="20"/>
                <w:szCs w:val="20"/>
              </w:rPr>
            </w:pPr>
            <w:r w:rsidRPr="0067354E">
              <w:rPr>
                <w:rFonts w:cs="Arial"/>
                <w:sz w:val="20"/>
                <w:szCs w:val="20"/>
              </w:rPr>
              <w:t>125</w:t>
            </w:r>
          </w:p>
        </w:tc>
      </w:tr>
      <w:tr w:rsidR="006418B2" w:rsidRPr="003A6E19" w:rsidTr="00ED0E75">
        <w:trPr>
          <w:trHeight w:val="737"/>
        </w:trPr>
        <w:tc>
          <w:tcPr>
            <w:tcW w:w="3150" w:type="dxa"/>
          </w:tcPr>
          <w:p w:rsidR="006418B2" w:rsidRPr="00ED0E75" w:rsidRDefault="006418B2" w:rsidP="002300AB">
            <w:pPr>
              <w:spacing w:after="0"/>
              <w:rPr>
                <w:rFonts w:cs="Arial"/>
                <w:sz w:val="20"/>
                <w:szCs w:val="20"/>
                <w:lang w:val="en-CA"/>
              </w:rPr>
            </w:pPr>
            <w:r w:rsidRPr="00ED0E75">
              <w:rPr>
                <w:rFonts w:cs="Arial"/>
                <w:sz w:val="20"/>
                <w:szCs w:val="20"/>
                <w:lang w:val="en-CA"/>
              </w:rPr>
              <w:t>Paper survey distributed at state grantee miner training sessions</w:t>
            </w:r>
          </w:p>
        </w:tc>
        <w:tc>
          <w:tcPr>
            <w:tcW w:w="4500" w:type="dxa"/>
          </w:tcPr>
          <w:p w:rsidR="006418B2" w:rsidRPr="0067354E" w:rsidRDefault="006418B2" w:rsidP="002300AB">
            <w:pPr>
              <w:pStyle w:val="ListParagraph"/>
              <w:numPr>
                <w:ilvl w:val="0"/>
                <w:numId w:val="6"/>
              </w:numPr>
              <w:spacing w:after="0"/>
              <w:contextualSpacing w:val="0"/>
              <w:rPr>
                <w:rFonts w:cs="Arial"/>
                <w:sz w:val="20"/>
                <w:szCs w:val="20"/>
              </w:rPr>
            </w:pPr>
            <w:r w:rsidRPr="0067354E">
              <w:rPr>
                <w:rFonts w:cs="Arial"/>
                <w:sz w:val="20"/>
                <w:szCs w:val="20"/>
              </w:rPr>
              <w:t>Paper survey distributed in miner training sessions run by state grantee organizations.</w:t>
            </w:r>
          </w:p>
        </w:tc>
        <w:tc>
          <w:tcPr>
            <w:tcW w:w="1800" w:type="dxa"/>
          </w:tcPr>
          <w:p w:rsidR="006418B2" w:rsidRPr="0067354E" w:rsidRDefault="006418B2" w:rsidP="002300AB">
            <w:pPr>
              <w:pStyle w:val="ListParagraph"/>
              <w:numPr>
                <w:ilvl w:val="0"/>
                <w:numId w:val="6"/>
              </w:numPr>
              <w:spacing w:after="0"/>
              <w:contextualSpacing w:val="0"/>
              <w:rPr>
                <w:rFonts w:cs="Arial"/>
                <w:sz w:val="20"/>
                <w:szCs w:val="20"/>
              </w:rPr>
            </w:pPr>
            <w:r w:rsidRPr="0067354E">
              <w:rPr>
                <w:rFonts w:cs="Arial"/>
                <w:sz w:val="20"/>
                <w:szCs w:val="20"/>
              </w:rPr>
              <w:t>125</w:t>
            </w:r>
          </w:p>
        </w:tc>
      </w:tr>
    </w:tbl>
    <w:p w:rsidR="006418B2" w:rsidRPr="009D166E" w:rsidRDefault="006418B2" w:rsidP="00C557FE">
      <w:pPr>
        <w:spacing w:after="0"/>
        <w:rPr>
          <w:rFonts w:ascii="Times New Roman" w:hAnsi="Times New Roman"/>
          <w:sz w:val="24"/>
          <w:szCs w:val="24"/>
        </w:rPr>
      </w:pPr>
    </w:p>
    <w:p w:rsidR="006418B2" w:rsidRPr="00F83C7A" w:rsidRDefault="006418B2" w:rsidP="002300AB">
      <w:pPr>
        <w:pStyle w:val="OMBPackageHeading2"/>
      </w:pPr>
      <w:bookmarkStart w:id="4" w:name="_Toc322005781"/>
      <w:r>
        <w:t>How, by Whom, and for What Purpose the Information Is to Be Used</w:t>
      </w:r>
      <w:bookmarkEnd w:id="4"/>
    </w:p>
    <w:p w:rsidR="00B30D3C" w:rsidRDefault="006418B2" w:rsidP="00AB391E">
      <w:pPr>
        <w:spacing w:after="0"/>
        <w:rPr>
          <w:rFonts w:ascii="Times New Roman" w:hAnsi="Times New Roman"/>
          <w:sz w:val="24"/>
          <w:szCs w:val="24"/>
        </w:rPr>
      </w:pPr>
      <w:r w:rsidRPr="009D166E">
        <w:rPr>
          <w:rFonts w:ascii="Times New Roman" w:hAnsi="Times New Roman"/>
          <w:sz w:val="24"/>
          <w:szCs w:val="24"/>
        </w:rPr>
        <w:t xml:space="preserve">Secretary of Labor Hilda L. Solis has made </w:t>
      </w:r>
      <w:r w:rsidRPr="009D166E">
        <w:rPr>
          <w:rFonts w:ascii="Times New Roman" w:hAnsi="Times New Roman"/>
          <w:i/>
          <w:sz w:val="24"/>
          <w:szCs w:val="24"/>
        </w:rPr>
        <w:t>Good Jobs for Everyone</w:t>
      </w:r>
      <w:r w:rsidRPr="009D166E">
        <w:rPr>
          <w:rFonts w:ascii="Times New Roman" w:hAnsi="Times New Roman"/>
          <w:sz w:val="24"/>
          <w:szCs w:val="24"/>
        </w:rPr>
        <w:t xml:space="preserve"> the strategic vision for DOL, characterizing a good job as one that “…is safe and secure and gives people a voice in the workplace.” Thus, measuring employee voice in the workplace is essential to tracking DOL’s progress towards achieving its strategic goals.</w:t>
      </w:r>
      <w:r w:rsidRPr="005A0F8A">
        <w:rPr>
          <w:rFonts w:ascii="Times New Roman" w:hAnsi="Times New Roman"/>
          <w:sz w:val="24"/>
          <w:szCs w:val="24"/>
        </w:rPr>
        <w:t xml:space="preserve"> </w:t>
      </w:r>
      <w:r>
        <w:rPr>
          <w:rFonts w:ascii="Times New Roman" w:hAnsi="Times New Roman"/>
          <w:sz w:val="24"/>
          <w:szCs w:val="24"/>
        </w:rPr>
        <w:t>CEO</w:t>
      </w:r>
      <w:r w:rsidRPr="009D166E">
        <w:rPr>
          <w:rFonts w:ascii="Times New Roman" w:hAnsi="Times New Roman"/>
          <w:sz w:val="24"/>
          <w:szCs w:val="24"/>
        </w:rPr>
        <w:t xml:space="preserve"> and MSHA will conduct this pilot study and gather information about voice in mining workplaces by means of a survey instrument administered in </w:t>
      </w:r>
      <w:r w:rsidRPr="00742D5F">
        <w:rPr>
          <w:rFonts w:ascii="Times New Roman" w:hAnsi="Times New Roman"/>
          <w:sz w:val="24"/>
          <w:szCs w:val="24"/>
        </w:rPr>
        <w:t>two ways (paper survey at state grantee miner training sessions</w:t>
      </w:r>
      <w:r w:rsidR="00B30D3C">
        <w:rPr>
          <w:rFonts w:ascii="Times New Roman" w:hAnsi="Times New Roman"/>
          <w:sz w:val="24"/>
          <w:szCs w:val="24"/>
        </w:rPr>
        <w:t xml:space="preserve"> and </w:t>
      </w:r>
      <w:r w:rsidRPr="00742D5F">
        <w:rPr>
          <w:rFonts w:ascii="Times New Roman" w:hAnsi="Times New Roman"/>
          <w:sz w:val="24"/>
          <w:szCs w:val="24"/>
        </w:rPr>
        <w:t>radio/newspaper ad recruitment of miners</w:t>
      </w:r>
      <w:r w:rsidR="00B30D3C">
        <w:rPr>
          <w:rFonts w:ascii="Times New Roman" w:hAnsi="Times New Roman"/>
          <w:sz w:val="24"/>
          <w:szCs w:val="24"/>
        </w:rPr>
        <w:t>)</w:t>
      </w:r>
      <w:r>
        <w:rPr>
          <w:rFonts w:ascii="Times New Roman" w:hAnsi="Times New Roman"/>
          <w:sz w:val="24"/>
          <w:szCs w:val="24"/>
        </w:rPr>
        <w:t xml:space="preserve"> on a one-time basis. </w:t>
      </w:r>
    </w:p>
    <w:p w:rsidR="00B30D3C" w:rsidRDefault="00B30D3C" w:rsidP="00AB391E">
      <w:pPr>
        <w:spacing w:after="0"/>
        <w:rPr>
          <w:rFonts w:ascii="Times New Roman" w:hAnsi="Times New Roman"/>
          <w:sz w:val="24"/>
          <w:szCs w:val="24"/>
        </w:rPr>
      </w:pPr>
    </w:p>
    <w:p w:rsidR="00F0449D" w:rsidRDefault="006418B2" w:rsidP="00AB391E">
      <w:pPr>
        <w:spacing w:after="0"/>
        <w:rPr>
          <w:rFonts w:ascii="Times New Roman" w:hAnsi="Times New Roman"/>
          <w:sz w:val="24"/>
          <w:szCs w:val="24"/>
        </w:rPr>
      </w:pPr>
      <w:r>
        <w:rPr>
          <w:rFonts w:ascii="Times New Roman" w:hAnsi="Times New Roman"/>
          <w:sz w:val="24"/>
          <w:szCs w:val="24"/>
        </w:rPr>
        <w:t>CEO</w:t>
      </w:r>
      <w:r w:rsidRPr="009D166E">
        <w:rPr>
          <w:rFonts w:ascii="Times New Roman" w:hAnsi="Times New Roman"/>
          <w:sz w:val="24"/>
          <w:szCs w:val="24"/>
        </w:rPr>
        <w:t xml:space="preserve"> and MSHA will use the information collected </w:t>
      </w:r>
      <w:r w:rsidR="00F0449D">
        <w:rPr>
          <w:rFonts w:ascii="Times New Roman" w:hAnsi="Times New Roman"/>
          <w:sz w:val="24"/>
          <w:szCs w:val="24"/>
        </w:rPr>
        <w:t xml:space="preserve">under the pilot to answer the question posed in the introduction to this Supporting Statement: </w:t>
      </w:r>
    </w:p>
    <w:p w:rsidR="00F0449D" w:rsidRDefault="00F0449D" w:rsidP="00AB391E">
      <w:pPr>
        <w:spacing w:after="0"/>
        <w:rPr>
          <w:rFonts w:ascii="Times New Roman" w:hAnsi="Times New Roman"/>
          <w:sz w:val="24"/>
          <w:szCs w:val="24"/>
        </w:rPr>
      </w:pPr>
    </w:p>
    <w:p w:rsidR="00F0449D" w:rsidRDefault="00F0449D" w:rsidP="00AB391E">
      <w:pPr>
        <w:spacing w:after="0"/>
        <w:rPr>
          <w:rFonts w:ascii="Times New Roman" w:hAnsi="Times New Roman"/>
          <w:sz w:val="24"/>
          <w:szCs w:val="24"/>
        </w:rPr>
      </w:pPr>
    </w:p>
    <w:p w:rsidR="00F0449D" w:rsidRDefault="00F0449D" w:rsidP="00F0449D">
      <w:pPr>
        <w:spacing w:after="0"/>
        <w:rPr>
          <w:rFonts w:ascii="Times New Roman" w:hAnsi="Times New Roman"/>
          <w:sz w:val="24"/>
          <w:szCs w:val="24"/>
        </w:rPr>
      </w:pPr>
      <w:r w:rsidRPr="00F0449D">
        <w:rPr>
          <w:rFonts w:ascii="Times New Roman" w:hAnsi="Times New Roman"/>
          <w:b/>
          <w:i/>
          <w:sz w:val="24"/>
          <w:szCs w:val="24"/>
        </w:rPr>
        <w:lastRenderedPageBreak/>
        <w:t>Is it feasible, at all, to collect data that can be used by DOL in measuring and tracking employee voice in mining workplaces?</w:t>
      </w:r>
      <w:r>
        <w:rPr>
          <w:rFonts w:ascii="Times New Roman" w:hAnsi="Times New Roman"/>
          <w:sz w:val="24"/>
          <w:szCs w:val="24"/>
        </w:rPr>
        <w:t xml:space="preserve"> DOL is conducting this pilot to assess whether data collection is at all feasible in the first place. As noted above, the miner population poses some unique challenges in terms of reaching potential respondents and convincing potential respondents to participate. This pilot data collection effort will provide some indication on the degree to which DOL could expect to feasibly collect data on a larger scale. To assess this, DOL will look at the number of responses collected under each mode and the effort required to attain those responses.</w:t>
      </w:r>
    </w:p>
    <w:p w:rsidR="00F0449D" w:rsidRDefault="00F0449D" w:rsidP="00F0449D">
      <w:pPr>
        <w:spacing w:after="0"/>
        <w:rPr>
          <w:rFonts w:ascii="Times New Roman" w:hAnsi="Times New Roman"/>
          <w:sz w:val="24"/>
          <w:szCs w:val="24"/>
        </w:rPr>
      </w:pPr>
    </w:p>
    <w:p w:rsidR="00F0449D" w:rsidRPr="00F0449D" w:rsidRDefault="00F0449D" w:rsidP="00F0449D">
      <w:pPr>
        <w:spacing w:after="0"/>
        <w:rPr>
          <w:rFonts w:ascii="Times New Roman" w:hAnsi="Times New Roman"/>
          <w:sz w:val="24"/>
          <w:szCs w:val="24"/>
        </w:rPr>
      </w:pPr>
      <w:r w:rsidRPr="00F0449D">
        <w:rPr>
          <w:rFonts w:ascii="Times New Roman" w:hAnsi="Times New Roman"/>
          <w:b/>
          <w:i/>
          <w:sz w:val="24"/>
          <w:szCs w:val="24"/>
        </w:rPr>
        <w:t>If it is feasible to collect data, what mode of data collection represents the best possible approach? What lessons can be learned from the pilot data collection to inform a full-scale data collection?</w:t>
      </w:r>
      <w:r>
        <w:rPr>
          <w:rFonts w:ascii="Times New Roman" w:hAnsi="Times New Roman"/>
          <w:sz w:val="24"/>
          <w:szCs w:val="24"/>
        </w:rPr>
        <w:t xml:space="preserve"> </w:t>
      </w:r>
      <w:r w:rsidR="00124120">
        <w:rPr>
          <w:rFonts w:ascii="Times New Roman" w:hAnsi="Times New Roman"/>
          <w:sz w:val="24"/>
          <w:szCs w:val="24"/>
        </w:rPr>
        <w:t>Based on input from its Technical Working Group (TWG) for this project, DOL has decided to test two modes of data collection: (1) an in-person approach where data are collected from miners at their annual refresher training sessions and (2) recruiting miners through advertising to take the survey either over the web or by phone.</w:t>
      </w:r>
      <w:r w:rsidR="00124120">
        <w:rPr>
          <w:rStyle w:val="FootnoteReference"/>
          <w:rFonts w:ascii="Times New Roman" w:hAnsi="Times New Roman"/>
          <w:sz w:val="24"/>
          <w:szCs w:val="24"/>
        </w:rPr>
        <w:footnoteReference w:id="2"/>
      </w:r>
      <w:r w:rsidR="00124120">
        <w:rPr>
          <w:rFonts w:ascii="Times New Roman" w:hAnsi="Times New Roman"/>
          <w:sz w:val="24"/>
          <w:szCs w:val="24"/>
        </w:rPr>
        <w:t xml:space="preserve"> The pilot will collect data through both approaches and compare the two to determine which would represent the best approach. To make this determination, DOL will compare the modes in terms of the number of responses, the quality of responses (e.g., item nonresponse), and refusals. DOL will also compare the cost associated with each approach to provide context on the feasibility and will compare the modes on a number of qualitative factors as well (e.g., problems encountered).</w:t>
      </w:r>
      <w:r w:rsidR="00B131E1">
        <w:rPr>
          <w:rFonts w:ascii="Times New Roman" w:hAnsi="Times New Roman"/>
          <w:sz w:val="24"/>
          <w:szCs w:val="24"/>
        </w:rPr>
        <w:t xml:space="preserve"> The pilot implementation will also provide “lessons learned” and other information to inform DOL and the best approach to implement a full-scale survey (e.g., protocols for on-site data collection, etc.).</w:t>
      </w:r>
    </w:p>
    <w:p w:rsidR="00F0449D" w:rsidRDefault="00F0449D" w:rsidP="00F0449D">
      <w:pPr>
        <w:spacing w:after="0"/>
        <w:rPr>
          <w:rFonts w:ascii="Times New Roman" w:hAnsi="Times New Roman"/>
          <w:sz w:val="24"/>
          <w:szCs w:val="24"/>
        </w:rPr>
      </w:pPr>
    </w:p>
    <w:p w:rsidR="00F0449D" w:rsidRPr="00EE1E30" w:rsidRDefault="00F0449D" w:rsidP="00F0449D">
      <w:pPr>
        <w:spacing w:after="0"/>
        <w:rPr>
          <w:rFonts w:ascii="Times New Roman" w:hAnsi="Times New Roman"/>
          <w:sz w:val="24"/>
          <w:szCs w:val="24"/>
        </w:rPr>
      </w:pPr>
      <w:r w:rsidRPr="00EE1E30">
        <w:rPr>
          <w:rFonts w:ascii="Times New Roman" w:hAnsi="Times New Roman"/>
          <w:b/>
          <w:i/>
          <w:sz w:val="24"/>
          <w:szCs w:val="24"/>
        </w:rPr>
        <w:t>Will the data collected be likely to be representative of the overall population of miners? If not, would the data provide some value for DOL’s purpose of measuring and tracking voice in the workplace?</w:t>
      </w:r>
      <w:r w:rsidR="0031164C" w:rsidRPr="00EE1E30">
        <w:rPr>
          <w:rFonts w:ascii="Times New Roman" w:hAnsi="Times New Roman"/>
          <w:b/>
          <w:i/>
          <w:sz w:val="24"/>
          <w:szCs w:val="24"/>
        </w:rPr>
        <w:t xml:space="preserve"> </w:t>
      </w:r>
      <w:r w:rsidR="00EE1E30">
        <w:rPr>
          <w:rFonts w:ascii="Times New Roman" w:hAnsi="Times New Roman"/>
          <w:sz w:val="24"/>
          <w:szCs w:val="24"/>
        </w:rPr>
        <w:t xml:space="preserve"> The pilot data collection does not involve collecting representative data from miners. However, one objective of a full-scale data collection would be to collect representative data. The data collected from the pilot would, however, provide some indication on whether representative data could be collected. To make this assessment for the in-person data collection, DOL would compare the types of miners who take training from MSHA grantees to the demographics </w:t>
      </w:r>
      <w:r w:rsidR="00573C25">
        <w:rPr>
          <w:rFonts w:ascii="Times New Roman" w:hAnsi="Times New Roman"/>
          <w:sz w:val="24"/>
          <w:szCs w:val="24"/>
        </w:rPr>
        <w:t>of the mining population</w:t>
      </w:r>
      <w:r w:rsidR="00EE1E30">
        <w:rPr>
          <w:rFonts w:ascii="Times New Roman" w:hAnsi="Times New Roman"/>
          <w:sz w:val="24"/>
          <w:szCs w:val="24"/>
        </w:rPr>
        <w:t>.</w:t>
      </w:r>
      <w:bookmarkStart w:id="5" w:name="_Ref343686071"/>
      <w:r w:rsidR="00EE1E30">
        <w:rPr>
          <w:rStyle w:val="FootnoteReference"/>
          <w:rFonts w:ascii="Times New Roman" w:hAnsi="Times New Roman"/>
          <w:sz w:val="24"/>
          <w:szCs w:val="24"/>
        </w:rPr>
        <w:footnoteReference w:id="3"/>
      </w:r>
      <w:bookmarkEnd w:id="5"/>
      <w:r w:rsidR="00573C25">
        <w:rPr>
          <w:rFonts w:ascii="Times New Roman" w:hAnsi="Times New Roman"/>
          <w:sz w:val="24"/>
          <w:szCs w:val="24"/>
        </w:rPr>
        <w:t xml:space="preserve"> For the phone/web recruitment mode, DOL would compare the demographics of the survey respondents to the demographics of the mining industry.</w:t>
      </w:r>
      <w:r w:rsidR="00573C25">
        <w:rPr>
          <w:rStyle w:val="FootnoteReference"/>
          <w:rFonts w:ascii="Times New Roman" w:hAnsi="Times New Roman"/>
          <w:sz w:val="24"/>
          <w:szCs w:val="24"/>
        </w:rPr>
        <w:footnoteReference w:id="4"/>
      </w:r>
    </w:p>
    <w:p w:rsidR="0031164C" w:rsidRDefault="0031164C" w:rsidP="00F0449D">
      <w:pPr>
        <w:spacing w:after="0"/>
        <w:rPr>
          <w:rFonts w:ascii="Times New Roman" w:hAnsi="Times New Roman"/>
          <w:sz w:val="24"/>
          <w:szCs w:val="24"/>
        </w:rPr>
      </w:pPr>
    </w:p>
    <w:p w:rsidR="00F0449D" w:rsidRDefault="00F0449D" w:rsidP="00F0449D">
      <w:pPr>
        <w:spacing w:after="0"/>
        <w:rPr>
          <w:rFonts w:ascii="Times New Roman" w:hAnsi="Times New Roman"/>
          <w:sz w:val="24"/>
          <w:szCs w:val="24"/>
        </w:rPr>
      </w:pPr>
      <w:r w:rsidRPr="00D358BB">
        <w:rPr>
          <w:rFonts w:ascii="Times New Roman" w:hAnsi="Times New Roman"/>
          <w:b/>
          <w:i/>
          <w:sz w:val="24"/>
          <w:szCs w:val="24"/>
        </w:rPr>
        <w:t>What refinements can be made to DOL’s current thinking on the factors that comprise employee voice in mining workplaces?</w:t>
      </w:r>
      <w:r w:rsidR="00D358BB">
        <w:rPr>
          <w:rFonts w:ascii="Times New Roman" w:hAnsi="Times New Roman"/>
          <w:sz w:val="24"/>
          <w:szCs w:val="24"/>
        </w:rPr>
        <w:t xml:space="preserve"> The survey instrument reflects the set of factors that DOL expects to use to measure voice in the workplace. The pilot implementation will assist DOL in better understanding if some of those factors are unnecessary. For example, a question that generates the same response across all respondents may not help DOL in measuring the influences on voice and changes in voice over time (i.e., there is no variability to be attributed to different characteristics of miners or mines). The pilot implementation will assist DOL in refining its measure of voice by providing a first set of responses for the relevant factors. DOL will assess the necessary changes by reviewing the collected data and looking for consistencies and trends. </w:t>
      </w:r>
    </w:p>
    <w:p w:rsidR="00F0449D" w:rsidRDefault="00F0449D" w:rsidP="00AB391E">
      <w:pPr>
        <w:spacing w:after="0"/>
        <w:rPr>
          <w:rFonts w:ascii="Times New Roman" w:hAnsi="Times New Roman"/>
          <w:sz w:val="24"/>
          <w:szCs w:val="24"/>
        </w:rPr>
      </w:pPr>
    </w:p>
    <w:p w:rsidR="006418B2" w:rsidRPr="00494728" w:rsidRDefault="006418B2" w:rsidP="00494728">
      <w:pPr>
        <w:spacing w:after="0"/>
        <w:rPr>
          <w:rFonts w:ascii="Times New Roman" w:hAnsi="Times New Roman"/>
          <w:sz w:val="24"/>
          <w:szCs w:val="24"/>
        </w:rPr>
      </w:pPr>
      <w:r w:rsidRPr="009D166E">
        <w:rPr>
          <w:rFonts w:ascii="Times New Roman" w:hAnsi="Times New Roman"/>
          <w:sz w:val="24"/>
          <w:szCs w:val="24"/>
        </w:rPr>
        <w:t xml:space="preserve">Data from this pilot study will be presented in summary form in a final report that presents recommendations </w:t>
      </w:r>
      <w:r w:rsidR="007D7C51">
        <w:rPr>
          <w:rFonts w:ascii="Times New Roman" w:hAnsi="Times New Roman"/>
          <w:sz w:val="24"/>
          <w:szCs w:val="24"/>
        </w:rPr>
        <w:t xml:space="preserve">on (1) the feasibility of performing a larger-scale survey, (2) refinements to the </w:t>
      </w:r>
      <w:r w:rsidRPr="009D166E">
        <w:rPr>
          <w:rFonts w:ascii="Times New Roman" w:hAnsi="Times New Roman"/>
          <w:sz w:val="24"/>
          <w:szCs w:val="24"/>
        </w:rPr>
        <w:t xml:space="preserve">survey instrument and </w:t>
      </w:r>
      <w:r w:rsidR="007D7C51">
        <w:rPr>
          <w:rFonts w:ascii="Times New Roman" w:hAnsi="Times New Roman"/>
          <w:sz w:val="24"/>
          <w:szCs w:val="24"/>
        </w:rPr>
        <w:t>(3) preferred data collection mode.</w:t>
      </w:r>
      <w:r w:rsidRPr="009D166E">
        <w:rPr>
          <w:rFonts w:ascii="Times New Roman" w:hAnsi="Times New Roman"/>
          <w:sz w:val="24"/>
          <w:szCs w:val="24"/>
        </w:rPr>
        <w:t xml:space="preserve"> The pilot study is not intended to generate statistically valid or representative data; the final report will explain this, noting that such data </w:t>
      </w:r>
      <w:r w:rsidR="007D7C51">
        <w:rPr>
          <w:rFonts w:ascii="Times New Roman" w:hAnsi="Times New Roman"/>
          <w:sz w:val="24"/>
          <w:szCs w:val="24"/>
        </w:rPr>
        <w:t>would</w:t>
      </w:r>
      <w:r w:rsidR="007D7C51" w:rsidRPr="009D166E">
        <w:rPr>
          <w:rFonts w:ascii="Times New Roman" w:hAnsi="Times New Roman"/>
          <w:sz w:val="24"/>
          <w:szCs w:val="24"/>
        </w:rPr>
        <w:t xml:space="preserve"> </w:t>
      </w:r>
      <w:r w:rsidRPr="009D166E">
        <w:rPr>
          <w:rFonts w:ascii="Times New Roman" w:hAnsi="Times New Roman"/>
          <w:sz w:val="24"/>
          <w:szCs w:val="24"/>
        </w:rPr>
        <w:t>be collected during full-scale implementation.</w:t>
      </w:r>
    </w:p>
    <w:p w:rsidR="006418B2" w:rsidRPr="00F83C7A" w:rsidRDefault="006418B2" w:rsidP="002300AB">
      <w:pPr>
        <w:pStyle w:val="OMBPackageHeading2"/>
      </w:pPr>
      <w:bookmarkStart w:id="6" w:name="_Toc322005782"/>
      <w:r>
        <w:t>Uses of Improved Technology to Reduce Burden</w:t>
      </w:r>
      <w:bookmarkEnd w:id="6"/>
    </w:p>
    <w:p w:rsidR="006418B2" w:rsidRPr="005A0F8A" w:rsidRDefault="006418B2" w:rsidP="005A0F8A">
      <w:pPr>
        <w:spacing w:after="0"/>
        <w:rPr>
          <w:rFonts w:ascii="Times New Roman" w:hAnsi="Times New Roman"/>
          <w:sz w:val="24"/>
          <w:szCs w:val="24"/>
        </w:rPr>
      </w:pPr>
      <w:r>
        <w:rPr>
          <w:rFonts w:ascii="Times New Roman" w:hAnsi="Times New Roman"/>
          <w:sz w:val="24"/>
          <w:szCs w:val="24"/>
        </w:rPr>
        <w:t xml:space="preserve">One of the </w:t>
      </w:r>
      <w:r w:rsidR="007D7C51">
        <w:rPr>
          <w:rFonts w:ascii="Times New Roman" w:hAnsi="Times New Roman"/>
          <w:sz w:val="24"/>
          <w:szCs w:val="24"/>
        </w:rPr>
        <w:t>two</w:t>
      </w:r>
      <w:r w:rsidR="007D7C51" w:rsidRPr="005A0F8A">
        <w:rPr>
          <w:rFonts w:ascii="Times New Roman" w:hAnsi="Times New Roman"/>
          <w:sz w:val="24"/>
          <w:szCs w:val="24"/>
        </w:rPr>
        <w:t xml:space="preserve"> </w:t>
      </w:r>
      <w:r w:rsidRPr="005A0F8A">
        <w:rPr>
          <w:rFonts w:ascii="Times New Roman" w:hAnsi="Times New Roman"/>
          <w:sz w:val="24"/>
          <w:szCs w:val="24"/>
        </w:rPr>
        <w:t xml:space="preserve">data-gathering techniques </w:t>
      </w:r>
      <w:r>
        <w:rPr>
          <w:rFonts w:ascii="Times New Roman" w:hAnsi="Times New Roman"/>
          <w:sz w:val="24"/>
          <w:szCs w:val="24"/>
        </w:rPr>
        <w:t xml:space="preserve">will involve collection of data through a web-based version of the survey instrument. The purpose of offering a web-based version is to assess the extent to which it may be used by miners. Experts (see Section 8.C below) consulted during development of this survey, however, felt that there may be few responses via the web, but also felt that it was worth piloting. The web-based instrument </w:t>
      </w:r>
      <w:r w:rsidRPr="009320AC">
        <w:rPr>
          <w:rFonts w:ascii="Times New Roman" w:hAnsi="Times New Roman"/>
          <w:sz w:val="24"/>
          <w:szCs w:val="24"/>
        </w:rPr>
        <w:t>would,</w:t>
      </w:r>
      <w:r>
        <w:rPr>
          <w:rFonts w:ascii="Times New Roman" w:hAnsi="Times New Roman"/>
          <w:sz w:val="24"/>
          <w:szCs w:val="24"/>
        </w:rPr>
        <w:t xml:space="preserve"> presumably, offer a less time-consuming method for respondents to complete the survey. However, in estimating burden in Section 12 below, we assumed the same amount of time would be spent by respondents on the web-based version as on the other two versions.</w:t>
      </w:r>
    </w:p>
    <w:p w:rsidR="006418B2" w:rsidRPr="00F83C7A" w:rsidRDefault="006418B2" w:rsidP="002300AB">
      <w:pPr>
        <w:pStyle w:val="OMBPackageHeading2"/>
      </w:pPr>
      <w:bookmarkStart w:id="7" w:name="_Toc322005783"/>
      <w:r>
        <w:t>Efforts to Identify D</w:t>
      </w:r>
      <w:r w:rsidRPr="00F83C7A">
        <w:t>uplication</w:t>
      </w:r>
      <w:bookmarkEnd w:id="7"/>
    </w:p>
    <w:p w:rsidR="006418B2" w:rsidRDefault="006418B2" w:rsidP="00830E11">
      <w:pPr>
        <w:spacing w:after="0"/>
        <w:rPr>
          <w:rFonts w:ascii="Times New Roman" w:hAnsi="Times New Roman"/>
          <w:color w:val="000000"/>
          <w:sz w:val="24"/>
          <w:szCs w:val="24"/>
        </w:rPr>
      </w:pPr>
      <w:r w:rsidRPr="009D166E">
        <w:rPr>
          <w:rFonts w:ascii="Times New Roman" w:hAnsi="Times New Roman"/>
          <w:color w:val="000000"/>
          <w:sz w:val="24"/>
          <w:szCs w:val="24"/>
        </w:rPr>
        <w:t xml:space="preserve">A thorough literature review on employee voice was performed as part of the background research for this task. Numerous online academic databases were searched, including Google Scholar, Scopus, and </w:t>
      </w:r>
      <w:r w:rsidRPr="00F263F6">
        <w:rPr>
          <w:rFonts w:ascii="Times New Roman" w:hAnsi="Times New Roman"/>
          <w:color w:val="000000"/>
          <w:sz w:val="24"/>
          <w:szCs w:val="24"/>
        </w:rPr>
        <w:t>LexisNexis</w:t>
      </w:r>
      <w:r w:rsidRPr="009D166E">
        <w:rPr>
          <w:rFonts w:ascii="Times New Roman" w:hAnsi="Times New Roman"/>
          <w:color w:val="000000"/>
          <w:sz w:val="24"/>
          <w:szCs w:val="24"/>
        </w:rPr>
        <w:t xml:space="preserve"> Academic. No effort to measure voice among U.S. mining employees was found or referenced. While there have been surveys of voice in other industries, none </w:t>
      </w:r>
      <w:r>
        <w:rPr>
          <w:rFonts w:ascii="Times New Roman" w:hAnsi="Times New Roman"/>
          <w:color w:val="000000"/>
          <w:sz w:val="24"/>
          <w:szCs w:val="24"/>
        </w:rPr>
        <w:t>were</w:t>
      </w:r>
      <w:r w:rsidRPr="009D166E">
        <w:rPr>
          <w:rFonts w:ascii="Times New Roman" w:hAnsi="Times New Roman"/>
          <w:color w:val="000000"/>
          <w:sz w:val="24"/>
          <w:szCs w:val="24"/>
        </w:rPr>
        <w:t xml:space="preserve"> found that focus on employee voice regarding workplace safety and health issues</w:t>
      </w:r>
      <w:r>
        <w:rPr>
          <w:rFonts w:ascii="Times New Roman" w:hAnsi="Times New Roman"/>
          <w:color w:val="000000"/>
          <w:sz w:val="24"/>
          <w:szCs w:val="24"/>
        </w:rPr>
        <w:t xml:space="preserve"> or employee rights</w:t>
      </w:r>
      <w:r w:rsidRPr="009D166E">
        <w:rPr>
          <w:rFonts w:ascii="Times New Roman" w:hAnsi="Times New Roman"/>
          <w:color w:val="000000"/>
          <w:sz w:val="24"/>
          <w:szCs w:val="24"/>
        </w:rPr>
        <w:t>.</w:t>
      </w:r>
      <w:r>
        <w:rPr>
          <w:rFonts w:ascii="Times New Roman" w:hAnsi="Times New Roman"/>
          <w:color w:val="000000"/>
          <w:sz w:val="24"/>
          <w:szCs w:val="24"/>
        </w:rPr>
        <w:t xml:space="preserve"> </w:t>
      </w:r>
    </w:p>
    <w:p w:rsidR="006418B2" w:rsidRDefault="006418B2" w:rsidP="00830E11">
      <w:pPr>
        <w:spacing w:after="0"/>
        <w:rPr>
          <w:rFonts w:ascii="Times New Roman" w:hAnsi="Times New Roman"/>
          <w:color w:val="000000"/>
          <w:sz w:val="24"/>
          <w:szCs w:val="24"/>
        </w:rPr>
      </w:pPr>
    </w:p>
    <w:p w:rsidR="006418B2" w:rsidRPr="009D166E" w:rsidRDefault="006418B2" w:rsidP="00830E11">
      <w:pPr>
        <w:spacing w:after="0"/>
        <w:rPr>
          <w:rFonts w:ascii="Times New Roman" w:hAnsi="Times New Roman"/>
          <w:color w:val="000000"/>
          <w:sz w:val="24"/>
          <w:szCs w:val="24"/>
        </w:rPr>
      </w:pPr>
      <w:r>
        <w:rPr>
          <w:rFonts w:ascii="Times New Roman" w:hAnsi="Times New Roman"/>
          <w:color w:val="000000"/>
          <w:sz w:val="24"/>
          <w:szCs w:val="24"/>
        </w:rPr>
        <w:t xml:space="preserve">We are aware of a study of safety culture in underground coal mining currently being conducted by </w:t>
      </w:r>
      <w:r w:rsidRPr="00831606">
        <w:rPr>
          <w:rFonts w:ascii="Times New Roman" w:hAnsi="Times New Roman"/>
          <w:color w:val="000000"/>
          <w:sz w:val="24"/>
          <w:szCs w:val="24"/>
        </w:rPr>
        <w:t>NIOSH (OMB Control # 0920-0835). The study</w:t>
      </w:r>
      <w:r>
        <w:rPr>
          <w:rFonts w:ascii="Times New Roman" w:hAnsi="Times New Roman"/>
          <w:color w:val="000000"/>
          <w:sz w:val="24"/>
          <w:szCs w:val="24"/>
        </w:rPr>
        <w:t xml:space="preserve"> involves a site visit by the study team to implement a suite of evaluation instruments (including an employee survey) to assess the </w:t>
      </w:r>
      <w:r>
        <w:rPr>
          <w:rFonts w:ascii="Times New Roman" w:hAnsi="Times New Roman"/>
          <w:color w:val="000000"/>
          <w:sz w:val="24"/>
          <w:szCs w:val="24"/>
        </w:rPr>
        <w:lastRenderedPageBreak/>
        <w:t>policies, practices, and attitudes towards safety in the mine in order to provide feedback to mine management. While the study reveals coal miner attitudes towards reporting safety and health hazards, an indirect assessment of voice, the study is not designed to provide longitudinal data on miner understanding of and ability to exercise rights, nor is the study implementation mode practical for collection of nationally representative data. The NIOSH study of safety culture will instead provide useful feedback on the logistics of implementing a survey with coal miners.</w:t>
      </w:r>
    </w:p>
    <w:p w:rsidR="006418B2" w:rsidRPr="009D166E" w:rsidRDefault="006418B2" w:rsidP="00812F8B">
      <w:pPr>
        <w:spacing w:after="0" w:line="240" w:lineRule="auto"/>
        <w:rPr>
          <w:rFonts w:ascii="Times New Roman" w:hAnsi="Times New Roman"/>
          <w:color w:val="000000"/>
          <w:sz w:val="24"/>
          <w:szCs w:val="24"/>
        </w:rPr>
      </w:pPr>
    </w:p>
    <w:p w:rsidR="006418B2" w:rsidRPr="009D166E"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 xml:space="preserve">DOL is also conducting a parallel effort to establish a survey to measure voice in workplaces under the </w:t>
      </w:r>
      <w:r w:rsidRPr="00830E11">
        <w:rPr>
          <w:rFonts w:ascii="Times New Roman" w:hAnsi="Times New Roman"/>
          <w:sz w:val="24"/>
          <w:szCs w:val="24"/>
        </w:rPr>
        <w:t>jurisdiction</w:t>
      </w:r>
      <w:r w:rsidRPr="009D166E">
        <w:rPr>
          <w:rFonts w:ascii="Times New Roman" w:hAnsi="Times New Roman"/>
          <w:color w:val="000000"/>
          <w:sz w:val="24"/>
          <w:szCs w:val="24"/>
        </w:rPr>
        <w:t xml:space="preserve"> of OSHA and WHD. That effort does not </w:t>
      </w:r>
      <w:r>
        <w:rPr>
          <w:rFonts w:ascii="Times New Roman" w:hAnsi="Times New Roman"/>
          <w:color w:val="000000"/>
          <w:sz w:val="24"/>
          <w:szCs w:val="24"/>
        </w:rPr>
        <w:t>encompass any of the</w:t>
      </w:r>
      <w:r w:rsidRPr="009D166E">
        <w:rPr>
          <w:rFonts w:ascii="Times New Roman" w:hAnsi="Times New Roman"/>
          <w:color w:val="000000"/>
          <w:sz w:val="24"/>
          <w:szCs w:val="24"/>
        </w:rPr>
        <w:t xml:space="preserve"> mining workp</w:t>
      </w:r>
      <w:r>
        <w:rPr>
          <w:rFonts w:ascii="Times New Roman" w:hAnsi="Times New Roman"/>
          <w:color w:val="000000"/>
          <w:sz w:val="24"/>
          <w:szCs w:val="24"/>
        </w:rPr>
        <w:t>laces under MSHA’s jurisdiction; this study complements but does not overlap with the OSHA/WHD study.</w:t>
      </w:r>
    </w:p>
    <w:p w:rsidR="006418B2" w:rsidRPr="00F83C7A" w:rsidRDefault="006418B2" w:rsidP="002300AB">
      <w:pPr>
        <w:pStyle w:val="OMBPackageHeading2"/>
      </w:pPr>
      <w:bookmarkStart w:id="8" w:name="_Toc322005784"/>
      <w:r>
        <w:t>Methods to Minimize Burden on Small Businesses or Entities</w:t>
      </w:r>
      <w:bookmarkEnd w:id="8"/>
    </w:p>
    <w:p w:rsidR="006418B2" w:rsidRPr="009D166E" w:rsidRDefault="006418B2" w:rsidP="00055197">
      <w:pPr>
        <w:spacing w:after="0"/>
        <w:rPr>
          <w:rFonts w:ascii="Times New Roman" w:hAnsi="Times New Roman"/>
          <w:sz w:val="24"/>
          <w:szCs w:val="24"/>
        </w:rPr>
      </w:pPr>
      <w:r>
        <w:rPr>
          <w:rFonts w:ascii="Times New Roman" w:hAnsi="Times New Roman"/>
          <w:sz w:val="24"/>
          <w:szCs w:val="24"/>
        </w:rPr>
        <w:t>No small businesses or entities will be surveyed as part of this study. Implementation of one data collection approach, a paper survey administered during state grantee training sessions, will require cooperation from several coal miner training programs that receive grant funding from MSHA to provide mandatory health and safety training to miners. DOL will minimize the burden on these groups by supplying all information collection materials (detailed instructions, respondent materials, pre-addressed envelopes, and collection box) as well as pre-implementation training and support from personnel on-site. DOL will consult with the training programs in advance to ensure that this approach will not be burdensome and to make any necessary adjustments.</w:t>
      </w:r>
    </w:p>
    <w:p w:rsidR="006418B2" w:rsidRPr="00F83C7A" w:rsidRDefault="006418B2" w:rsidP="002300AB">
      <w:pPr>
        <w:pStyle w:val="OMBPackageHeading2"/>
      </w:pPr>
      <w:bookmarkStart w:id="9" w:name="_Toc322005785"/>
      <w:r>
        <w:t>Consequences of Not Collecting the Data</w:t>
      </w:r>
      <w:bookmarkEnd w:id="9"/>
    </w:p>
    <w:p w:rsidR="006418B2" w:rsidRPr="009D166E"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Mining is among the most hazardous private</w:t>
      </w:r>
      <w:r>
        <w:rPr>
          <w:rFonts w:ascii="Times New Roman" w:hAnsi="Times New Roman"/>
          <w:color w:val="000000"/>
          <w:sz w:val="24"/>
          <w:szCs w:val="24"/>
        </w:rPr>
        <w:t>-</w:t>
      </w:r>
      <w:r w:rsidRPr="009D166E">
        <w:rPr>
          <w:rFonts w:ascii="Times New Roman" w:hAnsi="Times New Roman"/>
          <w:color w:val="000000"/>
          <w:sz w:val="24"/>
          <w:szCs w:val="24"/>
        </w:rPr>
        <w:t xml:space="preserve">sector work activities in the United States. The consequences of unabated hazards can be catastrophic, with a single incident having the potential to cause several, sometimes </w:t>
      </w:r>
      <w:r w:rsidRPr="00830E11">
        <w:rPr>
          <w:rFonts w:ascii="Times New Roman" w:hAnsi="Times New Roman"/>
          <w:sz w:val="24"/>
          <w:szCs w:val="24"/>
        </w:rPr>
        <w:t>dozens</w:t>
      </w:r>
      <w:r w:rsidRPr="009D166E">
        <w:rPr>
          <w:rFonts w:ascii="Times New Roman" w:hAnsi="Times New Roman"/>
          <w:color w:val="000000"/>
          <w:sz w:val="24"/>
          <w:szCs w:val="24"/>
        </w:rPr>
        <w:t xml:space="preserve">, of fatalities and serious injuries. Although workplaces under MSHA’s jurisdiction are subject to intensive regulatory scrutiny, with underground mines receiving quarterly inspections, the nature of mining is such that safety and health hazards can arise quickly and continue unreported if workers do not point them out. To fulfill its mission, therefore, MSHA must help miners recognize hazards, know about their legal rights and protections, and report observed hazards to their employer or responsible parties such as state and MSHA inspectors – all of which depends on mine workers having voice in the workplace. If DOL conducts this pilot study, the Government will </w:t>
      </w:r>
      <w:r w:rsidR="007D7C51">
        <w:rPr>
          <w:rFonts w:ascii="Times New Roman" w:hAnsi="Times New Roman"/>
          <w:color w:val="000000"/>
          <w:sz w:val="24"/>
          <w:szCs w:val="24"/>
        </w:rPr>
        <w:t xml:space="preserve">have information to better understand whether it is feasible to collect data from miners on voice in the workplace and information on the best approach to collect those data. </w:t>
      </w:r>
      <w:r w:rsidRPr="009D166E">
        <w:rPr>
          <w:rFonts w:ascii="Times New Roman" w:hAnsi="Times New Roman"/>
          <w:color w:val="000000"/>
          <w:sz w:val="24"/>
          <w:szCs w:val="24"/>
        </w:rPr>
        <w:t xml:space="preserve">If this data collection is not </w:t>
      </w:r>
      <w:r>
        <w:rPr>
          <w:rFonts w:ascii="Times New Roman" w:hAnsi="Times New Roman"/>
          <w:color w:val="000000"/>
          <w:sz w:val="24"/>
          <w:szCs w:val="24"/>
        </w:rPr>
        <w:t>performed</w:t>
      </w:r>
      <w:r w:rsidRPr="009D166E">
        <w:rPr>
          <w:rFonts w:ascii="Times New Roman" w:hAnsi="Times New Roman"/>
          <w:color w:val="000000"/>
          <w:sz w:val="24"/>
          <w:szCs w:val="24"/>
        </w:rPr>
        <w:t xml:space="preserve">, </w:t>
      </w:r>
      <w:r w:rsidR="007D7C51">
        <w:rPr>
          <w:rFonts w:ascii="Times New Roman" w:hAnsi="Times New Roman"/>
          <w:color w:val="000000"/>
          <w:sz w:val="24"/>
          <w:szCs w:val="24"/>
        </w:rPr>
        <w:t xml:space="preserve">DOL will not have the data and information to understand whether collecting these data are feasible and the best approach to collect these data. </w:t>
      </w:r>
    </w:p>
    <w:p w:rsidR="006418B2" w:rsidRPr="00F83C7A" w:rsidRDefault="006418B2" w:rsidP="002300AB">
      <w:pPr>
        <w:pStyle w:val="OMBPackageHeading2"/>
      </w:pPr>
      <w:bookmarkStart w:id="10" w:name="_Toc322005786"/>
      <w:r>
        <w:lastRenderedPageBreak/>
        <w:t>Special Data Collection Circumstances</w:t>
      </w:r>
      <w:bookmarkEnd w:id="10"/>
    </w:p>
    <w:p w:rsidR="006418B2" w:rsidRPr="009D166E" w:rsidRDefault="006418B2" w:rsidP="00D8608A">
      <w:pPr>
        <w:spacing w:after="0"/>
        <w:rPr>
          <w:rFonts w:ascii="Times New Roman" w:hAnsi="Times New Roman"/>
          <w:color w:val="000000"/>
          <w:sz w:val="24"/>
          <w:szCs w:val="24"/>
        </w:rPr>
      </w:pPr>
      <w:r w:rsidRPr="009D166E">
        <w:rPr>
          <w:rFonts w:ascii="Times New Roman" w:hAnsi="Times New Roman"/>
          <w:color w:val="000000"/>
          <w:sz w:val="24"/>
          <w:szCs w:val="24"/>
        </w:rPr>
        <w:t>No inconsistency with OMB guidelines is anticipated for this data collection. The purpose of this pilot test is not to gather stati</w:t>
      </w:r>
      <w:r w:rsidRPr="00830E11">
        <w:rPr>
          <w:rFonts w:ascii="Times New Roman" w:hAnsi="Times New Roman"/>
          <w:sz w:val="24"/>
          <w:szCs w:val="24"/>
        </w:rPr>
        <w:t>s</w:t>
      </w:r>
      <w:r w:rsidRPr="009D166E">
        <w:rPr>
          <w:rFonts w:ascii="Times New Roman" w:hAnsi="Times New Roman"/>
          <w:color w:val="000000"/>
          <w:sz w:val="24"/>
          <w:szCs w:val="24"/>
        </w:rPr>
        <w:t>tically significant data, but to determine the optimum method for gathering such data when</w:t>
      </w:r>
      <w:r>
        <w:rPr>
          <w:rFonts w:ascii="Times New Roman" w:hAnsi="Times New Roman"/>
          <w:color w:val="000000"/>
          <w:sz w:val="24"/>
          <w:szCs w:val="24"/>
        </w:rPr>
        <w:t xml:space="preserve"> the survey is implemented full </w:t>
      </w:r>
      <w:r w:rsidRPr="009D166E">
        <w:rPr>
          <w:rFonts w:ascii="Times New Roman" w:hAnsi="Times New Roman"/>
          <w:color w:val="000000"/>
          <w:sz w:val="24"/>
          <w:szCs w:val="24"/>
        </w:rPr>
        <w:t>scale.</w:t>
      </w:r>
    </w:p>
    <w:p w:rsidR="006418B2" w:rsidRPr="00F83C7A" w:rsidRDefault="006418B2" w:rsidP="002300AB">
      <w:pPr>
        <w:pStyle w:val="OMBPackageHeading2"/>
      </w:pPr>
      <w:bookmarkStart w:id="11" w:name="_Toc322005787"/>
      <w:r>
        <w:t>Federal Register Notice and Response to Public Comments</w:t>
      </w:r>
      <w:bookmarkEnd w:id="11"/>
    </w:p>
    <w:p w:rsidR="006418B2" w:rsidRPr="005E75B7" w:rsidRDefault="006418B2" w:rsidP="00494728">
      <w:pPr>
        <w:spacing w:after="0" w:line="240" w:lineRule="auto"/>
        <w:rPr>
          <w:rFonts w:ascii="Times New Roman" w:hAnsi="Times New Roman"/>
          <w:b/>
          <w:color w:val="000000"/>
          <w:sz w:val="24"/>
          <w:szCs w:val="24"/>
        </w:rPr>
      </w:pPr>
      <w:r w:rsidRPr="005E75B7">
        <w:rPr>
          <w:rFonts w:ascii="Times New Roman" w:hAnsi="Times New Roman"/>
          <w:b/>
          <w:color w:val="000000"/>
          <w:sz w:val="24"/>
          <w:szCs w:val="24"/>
        </w:rPr>
        <w:t>A. Federal Register Notice</w:t>
      </w:r>
    </w:p>
    <w:p w:rsidR="006418B2" w:rsidRDefault="006418B2" w:rsidP="00494728">
      <w:pPr>
        <w:spacing w:after="0" w:line="240" w:lineRule="auto"/>
        <w:rPr>
          <w:rFonts w:ascii="Times New Roman" w:hAnsi="Times New Roman"/>
          <w:color w:val="000000"/>
          <w:sz w:val="24"/>
          <w:szCs w:val="24"/>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 xml:space="preserve">As required by 5 CFR 13.20.8 (d), a Federal Register Notice, published on January 19, 2012 (FR, Vol. 77, No. 12, pp. 2760-2761), announced the pilot survey of miners’ voice in the workplace. The Federal Register announcement provided the public an opportunity to review and comment on the planned data collection within 60 days of the publication, in accordance with the Paperwork Reduction Act of 1995. A copy of this Federal Register Notice appears in </w:t>
      </w:r>
      <w:r w:rsidRPr="00D647A1">
        <w:rPr>
          <w:rFonts w:ascii="Times New Roman" w:hAnsi="Times New Roman"/>
          <w:color w:val="000000"/>
          <w:sz w:val="24"/>
          <w:szCs w:val="24"/>
        </w:rPr>
        <w:t xml:space="preserve">Appendix </w:t>
      </w:r>
      <w:r>
        <w:rPr>
          <w:rFonts w:ascii="Times New Roman" w:hAnsi="Times New Roman"/>
          <w:color w:val="000000"/>
          <w:sz w:val="24"/>
          <w:szCs w:val="24"/>
        </w:rPr>
        <w:t>D</w:t>
      </w:r>
      <w:r w:rsidRPr="00D647A1">
        <w:rPr>
          <w:rFonts w:ascii="Times New Roman" w:hAnsi="Times New Roman"/>
          <w:color w:val="000000"/>
          <w:sz w:val="24"/>
          <w:szCs w:val="24"/>
        </w:rPr>
        <w:t>.</w:t>
      </w:r>
      <w:r>
        <w:rPr>
          <w:rFonts w:ascii="Times New Roman" w:hAnsi="Times New Roman"/>
          <w:color w:val="000000"/>
          <w:sz w:val="24"/>
          <w:szCs w:val="24"/>
        </w:rPr>
        <w:t xml:space="preserve"> The full set of comments received is available on the </w:t>
      </w:r>
      <w:hyperlink r:id="rId11" w:history="1">
        <w:r w:rsidRPr="008B29D0">
          <w:rPr>
            <w:rStyle w:val="Hyperlink"/>
            <w:rFonts w:ascii="Times New Roman" w:hAnsi="Times New Roman"/>
            <w:sz w:val="24"/>
            <w:szCs w:val="24"/>
          </w:rPr>
          <w:t>www.reginfo.gov</w:t>
        </w:r>
      </w:hyperlink>
      <w:r>
        <w:rPr>
          <w:rFonts w:ascii="Times New Roman" w:hAnsi="Times New Roman"/>
          <w:color w:val="000000"/>
          <w:sz w:val="24"/>
          <w:szCs w:val="24"/>
        </w:rPr>
        <w:t xml:space="preserve"> Web site.</w:t>
      </w:r>
    </w:p>
    <w:p w:rsidR="006418B2" w:rsidRDefault="006418B2" w:rsidP="00494728">
      <w:pPr>
        <w:spacing w:after="0" w:line="240" w:lineRule="auto"/>
        <w:rPr>
          <w:rFonts w:ascii="Times New Roman" w:hAnsi="Times New Roman"/>
          <w:color w:val="000000"/>
          <w:sz w:val="24"/>
          <w:szCs w:val="24"/>
        </w:rPr>
      </w:pPr>
    </w:p>
    <w:p w:rsidR="006418B2" w:rsidRPr="005E75B7" w:rsidRDefault="006418B2" w:rsidP="00494728">
      <w:pPr>
        <w:spacing w:after="0" w:line="240" w:lineRule="auto"/>
        <w:rPr>
          <w:rFonts w:ascii="Times New Roman" w:hAnsi="Times New Roman"/>
          <w:b/>
          <w:color w:val="000000"/>
          <w:sz w:val="24"/>
          <w:szCs w:val="24"/>
        </w:rPr>
      </w:pPr>
      <w:r w:rsidRPr="005E75B7">
        <w:rPr>
          <w:rFonts w:ascii="Times New Roman" w:hAnsi="Times New Roman"/>
          <w:b/>
          <w:color w:val="000000"/>
          <w:sz w:val="24"/>
          <w:szCs w:val="24"/>
        </w:rPr>
        <w:t>B. Response to Comments on Federal Register Notice</w:t>
      </w:r>
    </w:p>
    <w:p w:rsidR="006418B2" w:rsidRDefault="006418B2" w:rsidP="00494728">
      <w:pPr>
        <w:spacing w:after="0" w:line="240" w:lineRule="auto"/>
        <w:rPr>
          <w:rFonts w:ascii="Times New Roman" w:hAnsi="Times New Roman"/>
          <w:color w:val="000000"/>
          <w:sz w:val="24"/>
          <w:szCs w:val="24"/>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 xml:space="preserve">Comments on the 60-day Federal Register announcement were received from ten individuals, representing themselves or their affiliated organizations. Several commenters addressed more than one issue. Overall, the comments addressed seven issues: (1) need for and/or usefulness of the survey, (2) scope of the survey, (3) burden to industry of the survey, (4) survey implementation, (5) content of the survey and survey items, (6) authority under which the survey is being undertaken, and (7) anonymity of survey participants and the companies for which they work.  </w:t>
      </w:r>
    </w:p>
    <w:p w:rsidR="006418B2" w:rsidRDefault="006418B2" w:rsidP="00494728">
      <w:pPr>
        <w:spacing w:after="0" w:line="240" w:lineRule="auto"/>
        <w:rPr>
          <w:rFonts w:ascii="Times New Roman" w:hAnsi="Times New Roman"/>
          <w:color w:val="000000"/>
          <w:sz w:val="24"/>
          <w:szCs w:val="24"/>
        </w:rPr>
      </w:pPr>
    </w:p>
    <w:p w:rsidR="006418B2" w:rsidRDefault="006418B2">
      <w:pPr>
        <w:spacing w:after="0" w:line="240" w:lineRule="auto"/>
        <w:rPr>
          <w:rFonts w:ascii="Times New Roman" w:hAnsi="Times New Roman"/>
          <w:color w:val="000000"/>
          <w:sz w:val="24"/>
          <w:szCs w:val="24"/>
        </w:rPr>
      </w:pPr>
      <w:r w:rsidRPr="005E75B7">
        <w:rPr>
          <w:rFonts w:ascii="Times New Roman" w:hAnsi="Times New Roman"/>
          <w:color w:val="000000"/>
          <w:sz w:val="24"/>
          <w:szCs w:val="24"/>
          <w:u w:val="single"/>
        </w:rPr>
        <w:t>Necessity/usefulness of the survey</w:t>
      </w:r>
      <w:r>
        <w:rPr>
          <w:rFonts w:ascii="Times New Roman" w:hAnsi="Times New Roman"/>
          <w:color w:val="000000"/>
          <w:sz w:val="24"/>
          <w:szCs w:val="24"/>
        </w:rPr>
        <w:t xml:space="preserve"> </w:t>
      </w:r>
    </w:p>
    <w:p w:rsidR="006418B2" w:rsidRDefault="006418B2">
      <w:pPr>
        <w:spacing w:after="0" w:line="240" w:lineRule="auto"/>
        <w:rPr>
          <w:rFonts w:ascii="Times New Roman" w:hAnsi="Times New Roman"/>
          <w:color w:val="000000"/>
          <w:sz w:val="24"/>
          <w:szCs w:val="24"/>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 xml:space="preserve">Commenters offered divergent opinions on the extent to which miners understand their workplace safety and health rights. One asserted that “Miner’s rights are well understood by miners and additional surveys are not needed,” while another stated that “…miners tend to be very uninformed” about their rights and legal protections and a third noted that he “rarely” encounters miners who can recall the rights and responsibilities that are enumerated during new miner courses. The pilot survey of employee voice in the coal mining industry will provide data to help clarify the extent to which miners understand their rights. </w:t>
      </w:r>
    </w:p>
    <w:p w:rsidR="006418B2" w:rsidRDefault="006418B2" w:rsidP="005E75B7">
      <w:pPr>
        <w:spacing w:after="0" w:line="240" w:lineRule="auto"/>
        <w:ind w:left="720"/>
        <w:rPr>
          <w:rFonts w:ascii="Times New Roman" w:hAnsi="Times New Roman"/>
          <w:color w:val="000000"/>
          <w:sz w:val="24"/>
          <w:szCs w:val="24"/>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 xml:space="preserve">Commenters also disagreed about whether data from the survey will be useful to MSHA. One commenter asserted that the survey “is not necessary for the performance of the functions of the Mine Safety and Health Administration” and that “[t]he information will not have a practical utility.” On the other hand, another commenter said that “[it] was very well known [if] you wanted to keep your job you never said nothing to State or MSHA inspectors bad about any </w:t>
      </w:r>
      <w:r>
        <w:rPr>
          <w:rFonts w:ascii="Times New Roman" w:hAnsi="Times New Roman"/>
          <w:color w:val="000000"/>
          <w:sz w:val="24"/>
          <w:szCs w:val="24"/>
        </w:rPr>
        <w:lastRenderedPageBreak/>
        <w:t>equipment or any boss or the coal company.” This comment speaks directly to the need for a survey about miners’ willingness to voice their concerns in the workplace, which is important for MSHA to be able to fulfill its mission (see Section 6 of this Supporting Statement).</w:t>
      </w:r>
    </w:p>
    <w:p w:rsidR="006418B2" w:rsidRDefault="006418B2" w:rsidP="005E75B7">
      <w:pPr>
        <w:spacing w:after="0" w:line="240" w:lineRule="auto"/>
        <w:ind w:left="720"/>
        <w:rPr>
          <w:rFonts w:ascii="Times New Roman" w:hAnsi="Times New Roman"/>
          <w:color w:val="000000"/>
          <w:sz w:val="24"/>
          <w:szCs w:val="24"/>
        </w:rPr>
      </w:pPr>
    </w:p>
    <w:p w:rsidR="006418B2" w:rsidRDefault="006418B2">
      <w:pPr>
        <w:spacing w:after="0" w:line="240" w:lineRule="auto"/>
        <w:rPr>
          <w:rFonts w:ascii="Times New Roman" w:hAnsi="Times New Roman"/>
          <w:color w:val="000000"/>
          <w:sz w:val="24"/>
          <w:szCs w:val="24"/>
        </w:rPr>
      </w:pPr>
      <w:r w:rsidRPr="005E75B7">
        <w:rPr>
          <w:rFonts w:ascii="Times New Roman" w:hAnsi="Times New Roman"/>
          <w:color w:val="000000"/>
          <w:sz w:val="24"/>
          <w:szCs w:val="24"/>
          <w:u w:val="single"/>
        </w:rPr>
        <w:t>Scope of the survey</w:t>
      </w:r>
    </w:p>
    <w:p w:rsidR="006418B2" w:rsidRDefault="006418B2">
      <w:pPr>
        <w:spacing w:after="0" w:line="240" w:lineRule="auto"/>
        <w:rPr>
          <w:rFonts w:ascii="Times New Roman" w:hAnsi="Times New Roman"/>
          <w:color w:val="000000"/>
          <w:sz w:val="24"/>
          <w:szCs w:val="24"/>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Some commenters suggested that the pilot study be expanded to include additional categories of respondents:</w:t>
      </w:r>
    </w:p>
    <w:p w:rsidR="006418B2" w:rsidRDefault="006418B2" w:rsidP="005E75B7">
      <w:pPr>
        <w:spacing w:after="0"/>
        <w:rPr>
          <w:rFonts w:ascii="Times New Roman" w:hAnsi="Times New Roman"/>
          <w:color w:val="000000"/>
          <w:sz w:val="24"/>
          <w:szCs w:val="24"/>
        </w:rPr>
      </w:pPr>
    </w:p>
    <w:p w:rsidR="006418B2" w:rsidRDefault="006418B2" w:rsidP="00B3415A">
      <w:pPr>
        <w:numPr>
          <w:ilvl w:val="0"/>
          <w:numId w:val="31"/>
        </w:numPr>
        <w:spacing w:after="0"/>
        <w:ind w:left="360"/>
        <w:rPr>
          <w:rFonts w:ascii="Times New Roman" w:hAnsi="Times New Roman"/>
          <w:color w:val="000000"/>
          <w:sz w:val="24"/>
          <w:szCs w:val="24"/>
        </w:rPr>
      </w:pPr>
      <w:r w:rsidRPr="00B3415A">
        <w:rPr>
          <w:rFonts w:ascii="Times New Roman" w:hAnsi="Times New Roman"/>
          <w:i/>
          <w:color w:val="000000"/>
          <w:sz w:val="24"/>
          <w:szCs w:val="24"/>
        </w:rPr>
        <w:t>Employees of other types of mines (not just coal mines).</w:t>
      </w:r>
      <w:r>
        <w:rPr>
          <w:rFonts w:ascii="Times New Roman" w:hAnsi="Times New Roman"/>
          <w:color w:val="000000"/>
          <w:sz w:val="24"/>
          <w:szCs w:val="24"/>
        </w:rPr>
        <w:t xml:space="preserve"> DOL is focusing this pilot study on coal mining in order to determine a feasible survey implementation method for this difficult-to-reach audience. Based on a greater understanding of feasible survey implementation methods, DOL would like to include other sectors of the mining industry in future studies and full-scale implementation efforts. DOL believes it is premature to expand the scope of the survey at this time.</w:t>
      </w:r>
    </w:p>
    <w:p w:rsidR="006418B2" w:rsidRDefault="006418B2" w:rsidP="00B3415A">
      <w:pPr>
        <w:spacing w:after="0"/>
        <w:ind w:left="360"/>
        <w:rPr>
          <w:rFonts w:ascii="Times New Roman" w:hAnsi="Times New Roman"/>
          <w:color w:val="000000"/>
          <w:sz w:val="24"/>
          <w:szCs w:val="24"/>
        </w:rPr>
      </w:pPr>
    </w:p>
    <w:p w:rsidR="006418B2" w:rsidRDefault="006418B2" w:rsidP="00B3415A">
      <w:pPr>
        <w:numPr>
          <w:ilvl w:val="0"/>
          <w:numId w:val="31"/>
        </w:numPr>
        <w:spacing w:after="0"/>
        <w:ind w:left="360"/>
        <w:rPr>
          <w:rFonts w:ascii="Times New Roman" w:hAnsi="Times New Roman"/>
          <w:color w:val="000000"/>
          <w:sz w:val="24"/>
          <w:szCs w:val="24"/>
        </w:rPr>
      </w:pPr>
      <w:r w:rsidRPr="00B3415A">
        <w:rPr>
          <w:rFonts w:ascii="Times New Roman" w:hAnsi="Times New Roman"/>
          <w:i/>
          <w:color w:val="000000"/>
          <w:sz w:val="24"/>
          <w:szCs w:val="24"/>
        </w:rPr>
        <w:t>“[A]</w:t>
      </w:r>
      <w:proofErr w:type="spellStart"/>
      <w:r w:rsidRPr="00B3415A">
        <w:rPr>
          <w:rFonts w:ascii="Times New Roman" w:hAnsi="Times New Roman"/>
          <w:i/>
          <w:color w:val="000000"/>
          <w:sz w:val="24"/>
          <w:szCs w:val="24"/>
        </w:rPr>
        <w:t>ll</w:t>
      </w:r>
      <w:proofErr w:type="spellEnd"/>
      <w:r w:rsidRPr="00B3415A">
        <w:rPr>
          <w:rFonts w:ascii="Times New Roman" w:hAnsi="Times New Roman"/>
          <w:i/>
          <w:color w:val="000000"/>
          <w:sz w:val="24"/>
          <w:szCs w:val="24"/>
        </w:rPr>
        <w:t xml:space="preserve"> mining communities,” including “small and large mines, union and non-union mines.”</w:t>
      </w:r>
      <w:r w:rsidRPr="004B5B4A">
        <w:rPr>
          <w:rFonts w:ascii="Times New Roman" w:hAnsi="Times New Roman"/>
          <w:color w:val="000000"/>
          <w:sz w:val="24"/>
          <w:szCs w:val="24"/>
        </w:rPr>
        <w:t xml:space="preserve"> </w:t>
      </w:r>
      <w:r>
        <w:rPr>
          <w:rFonts w:ascii="Times New Roman" w:hAnsi="Times New Roman"/>
          <w:color w:val="000000"/>
          <w:sz w:val="24"/>
          <w:szCs w:val="24"/>
        </w:rPr>
        <w:t>See above.</w:t>
      </w:r>
    </w:p>
    <w:p w:rsidR="006418B2" w:rsidRDefault="006418B2" w:rsidP="00B3415A">
      <w:pPr>
        <w:spacing w:after="0"/>
        <w:ind w:left="360"/>
        <w:rPr>
          <w:rFonts w:ascii="Times New Roman" w:hAnsi="Times New Roman"/>
          <w:color w:val="000000"/>
          <w:sz w:val="24"/>
          <w:szCs w:val="24"/>
        </w:rPr>
      </w:pPr>
    </w:p>
    <w:p w:rsidR="006418B2" w:rsidRPr="004B5B4A" w:rsidRDefault="006418B2" w:rsidP="00B3415A">
      <w:pPr>
        <w:numPr>
          <w:ilvl w:val="0"/>
          <w:numId w:val="31"/>
        </w:numPr>
        <w:spacing w:after="0"/>
        <w:ind w:left="360"/>
        <w:rPr>
          <w:rFonts w:ascii="Times New Roman" w:hAnsi="Times New Roman"/>
          <w:color w:val="000000"/>
          <w:sz w:val="24"/>
          <w:szCs w:val="24"/>
        </w:rPr>
      </w:pPr>
      <w:r w:rsidRPr="00B3415A">
        <w:rPr>
          <w:rFonts w:ascii="Times New Roman" w:hAnsi="Times New Roman"/>
          <w:i/>
          <w:color w:val="000000"/>
          <w:sz w:val="24"/>
          <w:szCs w:val="24"/>
        </w:rPr>
        <w:t>Mine management personnel above the level of “first line supervisor” (currently screened out of survey).</w:t>
      </w:r>
      <w:r>
        <w:rPr>
          <w:rFonts w:ascii="Times New Roman" w:hAnsi="Times New Roman"/>
          <w:color w:val="000000"/>
          <w:sz w:val="24"/>
          <w:szCs w:val="24"/>
        </w:rPr>
        <w:t xml:space="preserve"> Mine managers are the </w:t>
      </w:r>
      <w:r w:rsidRPr="00B3415A">
        <w:rPr>
          <w:rFonts w:ascii="Times New Roman" w:hAnsi="Times New Roman"/>
          <w:i/>
          <w:color w:val="000000"/>
          <w:sz w:val="24"/>
          <w:szCs w:val="24"/>
        </w:rPr>
        <w:t>receivers</w:t>
      </w:r>
      <w:r>
        <w:rPr>
          <w:rFonts w:ascii="Times New Roman" w:hAnsi="Times New Roman"/>
          <w:color w:val="000000"/>
          <w:sz w:val="24"/>
          <w:szCs w:val="24"/>
        </w:rPr>
        <w:t xml:space="preserve"> of mine safety and health concerns from mine workers and foremen. Thus, it is unnecessary</w:t>
      </w:r>
      <w:r w:rsidRPr="004B5B4A">
        <w:rPr>
          <w:rFonts w:ascii="Times New Roman" w:hAnsi="Times New Roman"/>
          <w:color w:val="000000"/>
          <w:sz w:val="24"/>
          <w:szCs w:val="24"/>
        </w:rPr>
        <w:t xml:space="preserve"> to ask </w:t>
      </w:r>
      <w:r>
        <w:rPr>
          <w:rFonts w:ascii="Times New Roman" w:hAnsi="Times New Roman"/>
          <w:color w:val="000000"/>
          <w:sz w:val="24"/>
          <w:szCs w:val="24"/>
        </w:rPr>
        <w:t>managers</w:t>
      </w:r>
      <w:r w:rsidRPr="004B5B4A">
        <w:rPr>
          <w:rFonts w:ascii="Times New Roman" w:hAnsi="Times New Roman"/>
          <w:color w:val="000000"/>
          <w:sz w:val="24"/>
          <w:szCs w:val="24"/>
        </w:rPr>
        <w:t xml:space="preserve"> about their willingness to voice safety and health concerns to themselves.</w:t>
      </w:r>
    </w:p>
    <w:p w:rsidR="006418B2" w:rsidRDefault="006418B2" w:rsidP="005E75B7">
      <w:pPr>
        <w:spacing w:after="0" w:line="240" w:lineRule="auto"/>
        <w:ind w:left="720"/>
        <w:rPr>
          <w:rFonts w:ascii="Times New Roman" w:hAnsi="Times New Roman"/>
          <w:color w:val="000000"/>
          <w:sz w:val="24"/>
          <w:szCs w:val="24"/>
        </w:rPr>
      </w:pPr>
    </w:p>
    <w:p w:rsidR="006418B2" w:rsidRDefault="006418B2">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Burden to Industry</w:t>
      </w:r>
    </w:p>
    <w:p w:rsidR="006418B2" w:rsidRDefault="006418B2">
      <w:pPr>
        <w:spacing w:after="0" w:line="240" w:lineRule="auto"/>
        <w:rPr>
          <w:rFonts w:ascii="Times New Roman" w:hAnsi="Times New Roman"/>
          <w:color w:val="000000"/>
          <w:sz w:val="24"/>
          <w:szCs w:val="24"/>
          <w:u w:val="single"/>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Two commenters expressed concern that the survey will represent a burden to the mining industry: “MSHA cannot stop production for this type of activity,” and “[the survey] is a burden to the mining industry.” DOL has been careful to select survey implementation techniques for feasibility testing that do not involve mine operators and thus impose no burden on the operators.</w:t>
      </w:r>
    </w:p>
    <w:p w:rsidR="006418B2" w:rsidRDefault="006418B2" w:rsidP="005E75B7">
      <w:pPr>
        <w:spacing w:after="0" w:line="240" w:lineRule="auto"/>
        <w:ind w:left="720"/>
        <w:rPr>
          <w:rFonts w:ascii="Times New Roman" w:hAnsi="Times New Roman"/>
          <w:color w:val="000000"/>
          <w:sz w:val="24"/>
          <w:szCs w:val="24"/>
        </w:rPr>
      </w:pPr>
    </w:p>
    <w:p w:rsidR="006418B2" w:rsidRDefault="006418B2" w:rsidP="0064274B">
      <w:pPr>
        <w:keepNext/>
        <w:spacing w:after="0" w:line="240" w:lineRule="auto"/>
        <w:rPr>
          <w:rFonts w:ascii="Times New Roman" w:hAnsi="Times New Roman"/>
          <w:color w:val="000000"/>
          <w:sz w:val="24"/>
          <w:szCs w:val="24"/>
        </w:rPr>
      </w:pPr>
      <w:r w:rsidRPr="005E75B7">
        <w:rPr>
          <w:rFonts w:ascii="Times New Roman" w:hAnsi="Times New Roman"/>
          <w:color w:val="000000"/>
          <w:sz w:val="24"/>
          <w:szCs w:val="24"/>
          <w:u w:val="single"/>
        </w:rPr>
        <w:t>Implementation Issues</w:t>
      </w:r>
    </w:p>
    <w:p w:rsidR="006418B2" w:rsidRDefault="006418B2">
      <w:pPr>
        <w:spacing w:after="0" w:line="240" w:lineRule="auto"/>
        <w:rPr>
          <w:rFonts w:ascii="Times New Roman" w:hAnsi="Times New Roman"/>
          <w:color w:val="000000"/>
          <w:sz w:val="24"/>
          <w:szCs w:val="24"/>
        </w:rPr>
      </w:pPr>
    </w:p>
    <w:p w:rsidR="006418B2" w:rsidRDefault="006418B2" w:rsidP="005E75B7">
      <w:pPr>
        <w:spacing w:after="0"/>
        <w:rPr>
          <w:rFonts w:ascii="Times New Roman" w:hAnsi="Times New Roman"/>
          <w:color w:val="000000"/>
          <w:sz w:val="24"/>
          <w:szCs w:val="24"/>
        </w:rPr>
      </w:pPr>
      <w:r>
        <w:rPr>
          <w:rFonts w:ascii="Times New Roman" w:hAnsi="Times New Roman"/>
          <w:color w:val="000000"/>
          <w:sz w:val="24"/>
          <w:szCs w:val="24"/>
        </w:rPr>
        <w:t>Commenters identified two issues having to do with survey implementation:</w:t>
      </w:r>
    </w:p>
    <w:p w:rsidR="006418B2" w:rsidRDefault="006418B2" w:rsidP="005E75B7">
      <w:pPr>
        <w:spacing w:after="0"/>
        <w:rPr>
          <w:rFonts w:ascii="Times New Roman" w:hAnsi="Times New Roman"/>
          <w:color w:val="000000"/>
          <w:sz w:val="24"/>
          <w:szCs w:val="24"/>
        </w:rPr>
      </w:pPr>
    </w:p>
    <w:p w:rsidR="006418B2" w:rsidRPr="001F6789" w:rsidRDefault="006418B2" w:rsidP="00F12A99">
      <w:pPr>
        <w:numPr>
          <w:ilvl w:val="0"/>
          <w:numId w:val="32"/>
        </w:numPr>
        <w:spacing w:after="0"/>
        <w:ind w:left="360"/>
        <w:rPr>
          <w:rFonts w:ascii="Times New Roman" w:hAnsi="Times New Roman"/>
          <w:color w:val="000000"/>
          <w:sz w:val="24"/>
          <w:szCs w:val="24"/>
          <w:u w:val="single"/>
        </w:rPr>
      </w:pPr>
      <w:r w:rsidRPr="002E49F9">
        <w:rPr>
          <w:rFonts w:ascii="Times New Roman" w:hAnsi="Times New Roman"/>
          <w:i/>
          <w:color w:val="000000"/>
          <w:sz w:val="24"/>
          <w:szCs w:val="24"/>
        </w:rPr>
        <w:t>Implementation at mines.</w:t>
      </w:r>
      <w:r>
        <w:rPr>
          <w:rFonts w:ascii="Times New Roman" w:hAnsi="Times New Roman"/>
          <w:color w:val="000000"/>
          <w:sz w:val="24"/>
          <w:szCs w:val="24"/>
        </w:rPr>
        <w:t xml:space="preserve"> </w:t>
      </w:r>
      <w:r w:rsidRPr="005E75B7">
        <w:rPr>
          <w:rFonts w:ascii="Times New Roman" w:hAnsi="Times New Roman"/>
          <w:color w:val="000000"/>
          <w:sz w:val="24"/>
          <w:szCs w:val="24"/>
        </w:rPr>
        <w:t>One</w:t>
      </w:r>
      <w:r>
        <w:rPr>
          <w:rFonts w:ascii="Times New Roman" w:hAnsi="Times New Roman"/>
          <w:color w:val="000000"/>
          <w:sz w:val="24"/>
          <w:szCs w:val="24"/>
        </w:rPr>
        <w:t xml:space="preserve"> commenter expressed concern that administering the survey at a mine, or providing a survey website URL on a bulletin board at a mine, could result in skewed responses: “a lopsided survey showing a perfect mine.” DOL has been careful to select survey implementation techniques for testing that do not involve mine sites – and that provide anonymity (see below), so participation in the survey will not negatively affect a respondent’s relationship with his or her employer. </w:t>
      </w:r>
    </w:p>
    <w:p w:rsidR="006418B2" w:rsidRDefault="006418B2" w:rsidP="001F6789">
      <w:pPr>
        <w:spacing w:after="0" w:line="240" w:lineRule="auto"/>
        <w:ind w:left="720"/>
        <w:rPr>
          <w:rFonts w:ascii="Times New Roman" w:hAnsi="Times New Roman"/>
          <w:color w:val="000000"/>
          <w:sz w:val="24"/>
          <w:szCs w:val="24"/>
        </w:rPr>
      </w:pPr>
    </w:p>
    <w:p w:rsidR="006418B2" w:rsidRPr="001F6789" w:rsidRDefault="006418B2" w:rsidP="001F6789">
      <w:pPr>
        <w:numPr>
          <w:ilvl w:val="0"/>
          <w:numId w:val="32"/>
        </w:numPr>
        <w:spacing w:after="0"/>
        <w:ind w:left="360"/>
        <w:rPr>
          <w:rFonts w:ascii="Times New Roman" w:hAnsi="Times New Roman"/>
          <w:color w:val="000000"/>
          <w:sz w:val="24"/>
          <w:szCs w:val="24"/>
        </w:rPr>
      </w:pPr>
      <w:r w:rsidRPr="001F6789">
        <w:rPr>
          <w:rFonts w:ascii="Times New Roman" w:hAnsi="Times New Roman"/>
          <w:i/>
          <w:color w:val="000000"/>
          <w:sz w:val="24"/>
          <w:szCs w:val="24"/>
        </w:rPr>
        <w:t>Anonymity.</w:t>
      </w:r>
      <w:r>
        <w:rPr>
          <w:rFonts w:ascii="Times New Roman" w:hAnsi="Times New Roman"/>
          <w:color w:val="000000"/>
          <w:sz w:val="24"/>
          <w:szCs w:val="24"/>
        </w:rPr>
        <w:t xml:space="preserve"> Several commenters expressed concern that a lack of anonymity might affect respondents’ willingness to participate and/or their responses. Because DOL concurs with this concern, the Department has been careful to select survey implementation techniques for testing that protect anonymity and confidentiality. At training sessions, each respondent will seal the completed survey in a plain envelope and place it into a locked box that will be opened only by the survey contractor; respondents will be asked not to write their name on surveys. Similarly, phone, online, and mail surveys (if implemented) w</w:t>
      </w:r>
      <w:r w:rsidR="00F17330">
        <w:rPr>
          <w:rFonts w:ascii="Times New Roman" w:hAnsi="Times New Roman"/>
          <w:color w:val="000000"/>
          <w:sz w:val="24"/>
          <w:szCs w:val="24"/>
        </w:rPr>
        <w:t>ould not involve identifying respondents to the survey or associating someone’s identity with their responses to the survey.</w:t>
      </w:r>
    </w:p>
    <w:p w:rsidR="006418B2" w:rsidRDefault="006418B2" w:rsidP="00F12A99">
      <w:pPr>
        <w:spacing w:after="0" w:line="240" w:lineRule="auto"/>
        <w:ind w:left="360"/>
        <w:rPr>
          <w:rFonts w:ascii="Times New Roman" w:hAnsi="Times New Roman"/>
          <w:color w:val="000000"/>
          <w:sz w:val="24"/>
          <w:szCs w:val="24"/>
          <w:u w:val="single"/>
        </w:rPr>
      </w:pPr>
    </w:p>
    <w:p w:rsidR="006418B2" w:rsidRDefault="006418B2" w:rsidP="00F12A99">
      <w:pPr>
        <w:numPr>
          <w:ilvl w:val="0"/>
          <w:numId w:val="32"/>
        </w:numPr>
        <w:spacing w:after="0"/>
        <w:ind w:left="360"/>
        <w:rPr>
          <w:rFonts w:ascii="Times New Roman" w:hAnsi="Times New Roman"/>
          <w:color w:val="000000"/>
          <w:sz w:val="24"/>
          <w:szCs w:val="24"/>
        </w:rPr>
      </w:pPr>
      <w:r w:rsidRPr="00F12A99">
        <w:rPr>
          <w:rFonts w:ascii="Times New Roman" w:hAnsi="Times New Roman"/>
          <w:i/>
          <w:color w:val="000000"/>
          <w:sz w:val="24"/>
          <w:szCs w:val="24"/>
        </w:rPr>
        <w:t>Literacy.</w:t>
      </w:r>
      <w:r>
        <w:rPr>
          <w:rFonts w:ascii="Times New Roman" w:hAnsi="Times New Roman"/>
          <w:color w:val="000000"/>
          <w:sz w:val="24"/>
          <w:szCs w:val="24"/>
        </w:rPr>
        <w:t xml:space="preserve"> A</w:t>
      </w:r>
      <w:r w:rsidRPr="005E75B7">
        <w:rPr>
          <w:rFonts w:ascii="Times New Roman" w:hAnsi="Times New Roman"/>
          <w:color w:val="000000"/>
          <w:sz w:val="24"/>
          <w:szCs w:val="24"/>
        </w:rPr>
        <w:t xml:space="preserve"> commenter </w:t>
      </w:r>
      <w:r>
        <w:rPr>
          <w:rFonts w:ascii="Times New Roman" w:hAnsi="Times New Roman"/>
          <w:color w:val="000000"/>
          <w:sz w:val="24"/>
          <w:szCs w:val="24"/>
        </w:rPr>
        <w:t xml:space="preserve">noted that “some miners still struggle with reading and writing” or lack the computer skills necessary to complete an online survey. To help mitigate these issues, DOL has written the survey instrument in a low-literacy format, and none of the survey implementation techniques to be tested relies solely on an online format (i.e., in the second implementation technique, respondents may take the survey by phone </w:t>
      </w:r>
      <w:r w:rsidRPr="00061DFA">
        <w:rPr>
          <w:rFonts w:ascii="Times New Roman" w:hAnsi="Times New Roman"/>
          <w:i/>
          <w:color w:val="000000"/>
          <w:sz w:val="24"/>
          <w:szCs w:val="24"/>
        </w:rPr>
        <w:t>or</w:t>
      </w:r>
      <w:r>
        <w:rPr>
          <w:rFonts w:ascii="Times New Roman" w:hAnsi="Times New Roman"/>
          <w:color w:val="000000"/>
          <w:sz w:val="24"/>
          <w:szCs w:val="24"/>
        </w:rPr>
        <w:t xml:space="preserve"> online).</w:t>
      </w:r>
    </w:p>
    <w:p w:rsidR="006418B2" w:rsidRPr="005E75B7" w:rsidRDefault="006418B2" w:rsidP="005E75B7">
      <w:pPr>
        <w:spacing w:after="0" w:line="240" w:lineRule="auto"/>
        <w:ind w:left="720"/>
        <w:rPr>
          <w:rFonts w:ascii="Times New Roman" w:hAnsi="Times New Roman"/>
          <w:color w:val="000000"/>
          <w:sz w:val="24"/>
          <w:szCs w:val="24"/>
        </w:rPr>
      </w:pPr>
    </w:p>
    <w:p w:rsidR="006418B2" w:rsidRDefault="006418B2">
      <w:pPr>
        <w:spacing w:after="0" w:line="240" w:lineRule="auto"/>
        <w:rPr>
          <w:rFonts w:ascii="Times New Roman" w:hAnsi="Times New Roman"/>
          <w:color w:val="000000"/>
          <w:sz w:val="24"/>
          <w:szCs w:val="24"/>
          <w:u w:val="single"/>
        </w:rPr>
      </w:pPr>
      <w:r w:rsidRPr="005E75B7">
        <w:rPr>
          <w:rFonts w:ascii="Times New Roman" w:hAnsi="Times New Roman"/>
          <w:color w:val="000000"/>
          <w:sz w:val="24"/>
          <w:szCs w:val="24"/>
          <w:u w:val="single"/>
        </w:rPr>
        <w:t>Survey Content</w:t>
      </w:r>
    </w:p>
    <w:p w:rsidR="006418B2" w:rsidRDefault="006418B2">
      <w:pPr>
        <w:spacing w:after="0" w:line="240" w:lineRule="auto"/>
        <w:rPr>
          <w:rFonts w:ascii="Times New Roman" w:hAnsi="Times New Roman"/>
          <w:color w:val="000000"/>
          <w:sz w:val="24"/>
          <w:szCs w:val="24"/>
          <w:u w:val="single"/>
        </w:rPr>
      </w:pPr>
    </w:p>
    <w:p w:rsidR="007205CE" w:rsidRDefault="007205CE" w:rsidP="007205CE">
      <w:pPr>
        <w:spacing w:after="0"/>
        <w:rPr>
          <w:rFonts w:ascii="Times New Roman" w:hAnsi="Times New Roman"/>
          <w:color w:val="000000"/>
          <w:sz w:val="24"/>
          <w:szCs w:val="24"/>
        </w:rPr>
      </w:pPr>
      <w:r>
        <w:rPr>
          <w:rFonts w:ascii="Times New Roman" w:hAnsi="Times New Roman"/>
          <w:color w:val="000000"/>
          <w:sz w:val="24"/>
          <w:szCs w:val="24"/>
        </w:rPr>
        <w:t>Several commenters made observations about the content of the survey:</w:t>
      </w:r>
    </w:p>
    <w:p w:rsidR="006418B2" w:rsidRDefault="006418B2" w:rsidP="005E75B7">
      <w:pPr>
        <w:spacing w:after="0"/>
        <w:rPr>
          <w:rFonts w:ascii="Times New Roman" w:hAnsi="Times New Roman"/>
          <w:color w:val="000000"/>
          <w:sz w:val="24"/>
          <w:szCs w:val="24"/>
        </w:rPr>
      </w:pPr>
    </w:p>
    <w:p w:rsidR="006418B2" w:rsidRDefault="006418B2" w:rsidP="00286824">
      <w:pPr>
        <w:numPr>
          <w:ilvl w:val="0"/>
          <w:numId w:val="33"/>
        </w:numPr>
        <w:spacing w:after="0"/>
        <w:ind w:left="360"/>
        <w:rPr>
          <w:rFonts w:ascii="Times New Roman" w:hAnsi="Times New Roman"/>
          <w:color w:val="000000"/>
          <w:sz w:val="24"/>
          <w:szCs w:val="24"/>
        </w:rPr>
      </w:pPr>
      <w:r>
        <w:rPr>
          <w:rFonts w:ascii="Times New Roman" w:hAnsi="Times New Roman"/>
          <w:i/>
          <w:color w:val="000000"/>
          <w:sz w:val="24"/>
          <w:szCs w:val="24"/>
        </w:rPr>
        <w:t>Lack of m</w:t>
      </w:r>
      <w:r w:rsidRPr="008D1A37">
        <w:rPr>
          <w:rFonts w:ascii="Times New Roman" w:hAnsi="Times New Roman"/>
          <w:i/>
          <w:color w:val="000000"/>
          <w:sz w:val="24"/>
          <w:szCs w:val="24"/>
        </w:rPr>
        <w:t xml:space="preserve">etal/non-metal </w:t>
      </w:r>
      <w:r>
        <w:rPr>
          <w:rFonts w:ascii="Times New Roman" w:hAnsi="Times New Roman"/>
          <w:i/>
          <w:color w:val="000000"/>
          <w:sz w:val="24"/>
          <w:szCs w:val="24"/>
        </w:rPr>
        <w:t>mining content</w:t>
      </w:r>
      <w:r w:rsidRPr="008D1A37">
        <w:rPr>
          <w:rFonts w:ascii="Times New Roman" w:hAnsi="Times New Roman"/>
          <w:i/>
          <w:color w:val="000000"/>
          <w:sz w:val="24"/>
          <w:szCs w:val="24"/>
        </w:rPr>
        <w:t>.</w:t>
      </w:r>
      <w:r>
        <w:rPr>
          <w:rFonts w:ascii="Times New Roman" w:hAnsi="Times New Roman"/>
          <w:color w:val="000000"/>
          <w:sz w:val="24"/>
          <w:szCs w:val="24"/>
        </w:rPr>
        <w:t xml:space="preserve"> As noted above, DOL intends to include metal/non-metal mine workers in the future and will refine the survey to be more inclusive at that time. </w:t>
      </w:r>
    </w:p>
    <w:p w:rsidR="006418B2" w:rsidRDefault="006418B2" w:rsidP="00286824">
      <w:pPr>
        <w:spacing w:after="0" w:line="240" w:lineRule="auto"/>
        <w:ind w:left="360"/>
        <w:rPr>
          <w:rFonts w:ascii="Times New Roman" w:hAnsi="Times New Roman"/>
          <w:color w:val="000000"/>
          <w:sz w:val="24"/>
          <w:szCs w:val="24"/>
          <w:u w:val="single"/>
        </w:rPr>
      </w:pPr>
    </w:p>
    <w:p w:rsidR="006418B2" w:rsidRDefault="006418B2" w:rsidP="00286824">
      <w:pPr>
        <w:numPr>
          <w:ilvl w:val="0"/>
          <w:numId w:val="33"/>
        </w:numPr>
        <w:spacing w:after="120"/>
        <w:ind w:left="360"/>
        <w:rPr>
          <w:rFonts w:ascii="Times New Roman" w:hAnsi="Times New Roman"/>
          <w:color w:val="000000"/>
          <w:sz w:val="24"/>
          <w:szCs w:val="24"/>
        </w:rPr>
      </w:pPr>
      <w:r>
        <w:rPr>
          <w:rFonts w:ascii="Times New Roman" w:hAnsi="Times New Roman"/>
          <w:i/>
          <w:color w:val="000000"/>
          <w:sz w:val="24"/>
          <w:szCs w:val="24"/>
        </w:rPr>
        <w:t>Potentially identifying</w:t>
      </w:r>
      <w:r w:rsidRPr="00286824">
        <w:rPr>
          <w:rFonts w:ascii="Times New Roman" w:hAnsi="Times New Roman"/>
          <w:i/>
          <w:color w:val="000000"/>
          <w:sz w:val="24"/>
          <w:szCs w:val="24"/>
        </w:rPr>
        <w:t xml:space="preserve"> questions.</w:t>
      </w:r>
      <w:r>
        <w:rPr>
          <w:rFonts w:ascii="Times New Roman" w:hAnsi="Times New Roman"/>
          <w:color w:val="000000"/>
          <w:sz w:val="24"/>
          <w:szCs w:val="24"/>
        </w:rPr>
        <w:t xml:space="preserve"> Some commenters objected to questions asking for information about the respondent:</w:t>
      </w:r>
    </w:p>
    <w:p w:rsidR="006418B2" w:rsidRDefault="006418B2" w:rsidP="00286824">
      <w:pPr>
        <w:numPr>
          <w:ilvl w:val="0"/>
          <w:numId w:val="34"/>
        </w:numPr>
        <w:spacing w:after="120"/>
        <w:rPr>
          <w:rFonts w:ascii="Times New Roman" w:hAnsi="Times New Roman"/>
          <w:color w:val="000000"/>
          <w:sz w:val="24"/>
          <w:szCs w:val="24"/>
        </w:rPr>
      </w:pPr>
      <w:r w:rsidRPr="00286824">
        <w:rPr>
          <w:rFonts w:ascii="Times New Roman" w:hAnsi="Times New Roman"/>
          <w:color w:val="000000"/>
          <w:sz w:val="24"/>
          <w:szCs w:val="24"/>
          <w:u w:val="single"/>
        </w:rPr>
        <w:t>Union membership.</w:t>
      </w:r>
      <w:r w:rsidRPr="00286824">
        <w:rPr>
          <w:rFonts w:ascii="Times New Roman" w:hAnsi="Times New Roman"/>
          <w:color w:val="000000"/>
          <w:sz w:val="24"/>
          <w:szCs w:val="24"/>
        </w:rPr>
        <w:t xml:space="preserve"> </w:t>
      </w:r>
      <w:r>
        <w:rPr>
          <w:rFonts w:ascii="Times New Roman" w:hAnsi="Times New Roman"/>
          <w:color w:val="000000"/>
          <w:sz w:val="24"/>
          <w:szCs w:val="24"/>
        </w:rPr>
        <w:t>Responses to this question will help DOL determine whether a relationship exists between union membership and measures of voice, thereby enabling MSHA to refine its outreach efforts if appropriate. As personally identifying information will not be collected, DOL will not be able to identify respondents based on their response to this question.  Furthermore, as more fully ex</w:t>
      </w:r>
      <w:r w:rsidR="00214128">
        <w:rPr>
          <w:rFonts w:ascii="Times New Roman" w:hAnsi="Times New Roman"/>
          <w:color w:val="000000"/>
          <w:sz w:val="24"/>
          <w:szCs w:val="24"/>
        </w:rPr>
        <w:t>p</w:t>
      </w:r>
      <w:r>
        <w:rPr>
          <w:rFonts w:ascii="Times New Roman" w:hAnsi="Times New Roman"/>
          <w:color w:val="000000"/>
          <w:sz w:val="24"/>
          <w:szCs w:val="24"/>
        </w:rPr>
        <w:t>lained in item 10, all responses that could identify specific respondents will be kept only by the contractor for use in analysis. Any data received by DOL will not contain personal identifiers.</w:t>
      </w:r>
    </w:p>
    <w:p w:rsidR="006418B2" w:rsidRDefault="006418B2" w:rsidP="00286824">
      <w:pPr>
        <w:numPr>
          <w:ilvl w:val="0"/>
          <w:numId w:val="34"/>
        </w:numPr>
        <w:spacing w:after="120"/>
        <w:rPr>
          <w:rFonts w:ascii="Times New Roman" w:hAnsi="Times New Roman"/>
          <w:color w:val="000000"/>
          <w:sz w:val="24"/>
          <w:szCs w:val="24"/>
        </w:rPr>
      </w:pPr>
      <w:r w:rsidRPr="00286824">
        <w:rPr>
          <w:rFonts w:ascii="Times New Roman" w:hAnsi="Times New Roman"/>
          <w:color w:val="000000"/>
          <w:sz w:val="24"/>
          <w:szCs w:val="24"/>
          <w:u w:val="single"/>
        </w:rPr>
        <w:t>Name of respondent’s mine.</w:t>
      </w:r>
      <w:r>
        <w:rPr>
          <w:rFonts w:ascii="Times New Roman" w:hAnsi="Times New Roman"/>
          <w:color w:val="000000"/>
          <w:sz w:val="24"/>
          <w:szCs w:val="24"/>
        </w:rPr>
        <w:t xml:space="preserve"> Answering this question reduces burden by enabling the respondent to skip the next set of questions; anyone who feels uncomfortable answering this question may instead answer the next set of questions.</w:t>
      </w:r>
    </w:p>
    <w:p w:rsidR="006418B2" w:rsidRPr="007205CE" w:rsidRDefault="006418B2" w:rsidP="00286824">
      <w:pPr>
        <w:numPr>
          <w:ilvl w:val="0"/>
          <w:numId w:val="34"/>
        </w:numPr>
        <w:spacing w:after="0"/>
        <w:rPr>
          <w:rFonts w:ascii="Times New Roman" w:hAnsi="Times New Roman"/>
          <w:color w:val="000000"/>
          <w:sz w:val="24"/>
          <w:szCs w:val="24"/>
        </w:rPr>
      </w:pPr>
      <w:r w:rsidRPr="00286824">
        <w:rPr>
          <w:rFonts w:ascii="Times New Roman" w:hAnsi="Times New Roman"/>
          <w:color w:val="000000"/>
          <w:sz w:val="24"/>
          <w:szCs w:val="24"/>
          <w:u w:val="single"/>
        </w:rPr>
        <w:t>Ethnicity.</w:t>
      </w:r>
      <w:r>
        <w:rPr>
          <w:rFonts w:ascii="Times New Roman" w:hAnsi="Times New Roman"/>
          <w:color w:val="000000"/>
          <w:sz w:val="24"/>
          <w:szCs w:val="24"/>
        </w:rPr>
        <w:t xml:space="preserve"> This is a standard question on many Federal government surveys (e.g., U.S. Census) and will not be used to identify respondents. </w:t>
      </w:r>
      <w:r w:rsidR="007205CE">
        <w:rPr>
          <w:rFonts w:ascii="Times New Roman" w:hAnsi="Times New Roman"/>
          <w:color w:val="000000"/>
          <w:sz w:val="24"/>
          <w:szCs w:val="24"/>
        </w:rPr>
        <w:t xml:space="preserve"> </w:t>
      </w:r>
      <w:r w:rsidRPr="007205CE">
        <w:rPr>
          <w:rFonts w:ascii="Times New Roman" w:hAnsi="Times New Roman"/>
          <w:color w:val="000000"/>
          <w:sz w:val="24"/>
          <w:szCs w:val="24"/>
        </w:rPr>
        <w:t xml:space="preserve">The purpose of </w:t>
      </w:r>
      <w:r w:rsidR="007205CE" w:rsidRPr="007205CE">
        <w:rPr>
          <w:rFonts w:ascii="Times New Roman" w:hAnsi="Times New Roman"/>
          <w:color w:val="000000"/>
          <w:sz w:val="24"/>
          <w:szCs w:val="24"/>
        </w:rPr>
        <w:t xml:space="preserve">collecting this information is to be able to assess whether ethnicity is associated with DOL’s measure of voice. If so, there may be some need </w:t>
      </w:r>
      <w:r w:rsidR="00AF7907">
        <w:rPr>
          <w:rFonts w:ascii="Times New Roman" w:hAnsi="Times New Roman"/>
          <w:color w:val="000000"/>
          <w:sz w:val="24"/>
          <w:szCs w:val="24"/>
        </w:rPr>
        <w:t>for</w:t>
      </w:r>
      <w:r w:rsidR="007205CE" w:rsidRPr="007205CE">
        <w:rPr>
          <w:rFonts w:ascii="Times New Roman" w:hAnsi="Times New Roman"/>
          <w:color w:val="000000"/>
          <w:sz w:val="24"/>
          <w:szCs w:val="24"/>
        </w:rPr>
        <w:t xml:space="preserve"> </w:t>
      </w:r>
      <w:r w:rsidR="00AF7907">
        <w:rPr>
          <w:rFonts w:ascii="Times New Roman" w:hAnsi="Times New Roman"/>
          <w:color w:val="000000"/>
          <w:sz w:val="24"/>
          <w:szCs w:val="24"/>
        </w:rPr>
        <w:t>targeted o</w:t>
      </w:r>
      <w:r w:rsidR="007205CE" w:rsidRPr="007205CE">
        <w:rPr>
          <w:rFonts w:ascii="Times New Roman" w:hAnsi="Times New Roman"/>
          <w:color w:val="000000"/>
          <w:sz w:val="24"/>
          <w:szCs w:val="24"/>
        </w:rPr>
        <w:t xml:space="preserve">utreach materials from MSHA. </w:t>
      </w:r>
    </w:p>
    <w:p w:rsidR="006418B2" w:rsidRDefault="006418B2" w:rsidP="00286824">
      <w:pPr>
        <w:spacing w:after="0"/>
        <w:ind w:left="360"/>
        <w:rPr>
          <w:rFonts w:ascii="Times New Roman" w:hAnsi="Times New Roman"/>
          <w:color w:val="000000"/>
          <w:sz w:val="24"/>
          <w:szCs w:val="24"/>
        </w:rPr>
      </w:pPr>
    </w:p>
    <w:p w:rsidR="006418B2" w:rsidRDefault="006418B2" w:rsidP="00286824">
      <w:pPr>
        <w:numPr>
          <w:ilvl w:val="0"/>
          <w:numId w:val="33"/>
        </w:numPr>
        <w:spacing w:after="0"/>
        <w:ind w:left="360"/>
        <w:rPr>
          <w:rFonts w:ascii="Times New Roman" w:hAnsi="Times New Roman"/>
          <w:color w:val="000000"/>
          <w:sz w:val="24"/>
          <w:szCs w:val="24"/>
        </w:rPr>
      </w:pPr>
      <w:r w:rsidRPr="00431B39">
        <w:rPr>
          <w:rFonts w:ascii="Times New Roman" w:hAnsi="Times New Roman"/>
          <w:i/>
          <w:color w:val="000000"/>
          <w:szCs w:val="24"/>
        </w:rPr>
        <w:t>Consistency with OSHA/WHD survey</w:t>
      </w:r>
      <w:r w:rsidRPr="00431B39">
        <w:rPr>
          <w:rFonts w:ascii="Times New Roman" w:hAnsi="Times New Roman"/>
          <w:i/>
          <w:color w:val="000000"/>
          <w:sz w:val="24"/>
          <w:szCs w:val="24"/>
        </w:rPr>
        <w:t>.</w:t>
      </w:r>
      <w:r>
        <w:rPr>
          <w:rFonts w:ascii="Times New Roman" w:hAnsi="Times New Roman"/>
          <w:color w:val="000000"/>
          <w:sz w:val="24"/>
          <w:szCs w:val="24"/>
        </w:rPr>
        <w:t xml:space="preserve"> One commenter suggested making the survey more consistent with the OSHA/WHD survey. DOL has endeavored to do so, but some questions must differ because (1) some of the more general OSHA/WHD survey questions do not apply to miners and (2) the mining survey is intended to focus on voice in terms of safety and health hazard reporting.</w:t>
      </w:r>
    </w:p>
    <w:p w:rsidR="006418B2" w:rsidRDefault="006418B2" w:rsidP="005E75B7">
      <w:pPr>
        <w:spacing w:after="0" w:line="240" w:lineRule="auto"/>
        <w:ind w:left="720"/>
        <w:rPr>
          <w:rFonts w:ascii="Times New Roman" w:hAnsi="Times New Roman"/>
          <w:color w:val="000000"/>
          <w:sz w:val="24"/>
          <w:szCs w:val="24"/>
          <w:u w:val="single"/>
        </w:rPr>
      </w:pPr>
    </w:p>
    <w:p w:rsidR="006418B2" w:rsidRDefault="006418B2" w:rsidP="001907A6">
      <w:pPr>
        <w:numPr>
          <w:ilvl w:val="0"/>
          <w:numId w:val="37"/>
        </w:numPr>
        <w:spacing w:after="0"/>
        <w:ind w:left="360"/>
        <w:rPr>
          <w:rFonts w:ascii="Times New Roman" w:hAnsi="Times New Roman"/>
          <w:color w:val="000000"/>
          <w:sz w:val="24"/>
          <w:szCs w:val="24"/>
        </w:rPr>
      </w:pPr>
      <w:r w:rsidRPr="001907A6">
        <w:rPr>
          <w:rFonts w:ascii="Times New Roman" w:hAnsi="Times New Roman"/>
          <w:i/>
          <w:color w:val="000000"/>
          <w:sz w:val="24"/>
          <w:szCs w:val="24"/>
        </w:rPr>
        <w:t>Bounds on respondent injury/illness.</w:t>
      </w:r>
      <w:r>
        <w:rPr>
          <w:rFonts w:ascii="Times New Roman" w:hAnsi="Times New Roman"/>
          <w:color w:val="000000"/>
          <w:sz w:val="24"/>
          <w:szCs w:val="24"/>
        </w:rPr>
        <w:t xml:space="preserve"> For certain survey questions, one commenter suggested asking about </w:t>
      </w:r>
      <w:r w:rsidRPr="001907A6">
        <w:rPr>
          <w:rFonts w:ascii="Times New Roman" w:hAnsi="Times New Roman"/>
          <w:i/>
          <w:color w:val="000000"/>
          <w:sz w:val="24"/>
          <w:szCs w:val="24"/>
        </w:rPr>
        <w:t>all</w:t>
      </w:r>
      <w:r>
        <w:rPr>
          <w:rFonts w:ascii="Times New Roman" w:hAnsi="Times New Roman"/>
          <w:color w:val="000000"/>
          <w:sz w:val="24"/>
          <w:szCs w:val="24"/>
        </w:rPr>
        <w:t xml:space="preserve"> injuries/illnesses suffered over a specified time period (e.g., 6 or 12 months) rather than just the </w:t>
      </w:r>
      <w:r w:rsidRPr="001907A6">
        <w:rPr>
          <w:rFonts w:ascii="Times New Roman" w:hAnsi="Times New Roman"/>
          <w:i/>
          <w:color w:val="000000"/>
          <w:sz w:val="24"/>
          <w:szCs w:val="24"/>
        </w:rPr>
        <w:t>last</w:t>
      </w:r>
      <w:r>
        <w:rPr>
          <w:rFonts w:ascii="Times New Roman" w:hAnsi="Times New Roman"/>
          <w:color w:val="000000"/>
          <w:sz w:val="24"/>
          <w:szCs w:val="24"/>
        </w:rPr>
        <w:t xml:space="preserve"> injury/illness. These questions were carefully worded in accordance with good survey practice to provide a broad but easily remembered frame of reference (the “last” injury or illness the respondent suffered). Also, limiting the question to a specific time period is unnecessarily restrictive; doing so could miss the experiences of respondents who suffered an injury/illness more than 6 or 12 months ago.</w:t>
      </w:r>
    </w:p>
    <w:p w:rsidR="006418B2" w:rsidRDefault="006418B2" w:rsidP="001907A6">
      <w:pPr>
        <w:spacing w:after="0" w:line="240" w:lineRule="auto"/>
        <w:ind w:left="360"/>
        <w:rPr>
          <w:rFonts w:ascii="Times New Roman" w:hAnsi="Times New Roman"/>
          <w:color w:val="000000"/>
          <w:sz w:val="24"/>
          <w:szCs w:val="24"/>
        </w:rPr>
      </w:pPr>
    </w:p>
    <w:p w:rsidR="006418B2" w:rsidRDefault="006418B2" w:rsidP="001907A6">
      <w:pPr>
        <w:numPr>
          <w:ilvl w:val="0"/>
          <w:numId w:val="37"/>
        </w:numPr>
        <w:spacing w:after="0"/>
        <w:ind w:left="360"/>
        <w:rPr>
          <w:rFonts w:ascii="Times New Roman" w:hAnsi="Times New Roman"/>
          <w:color w:val="000000"/>
          <w:sz w:val="24"/>
          <w:szCs w:val="24"/>
        </w:rPr>
      </w:pPr>
      <w:r w:rsidRPr="001907A6">
        <w:rPr>
          <w:rFonts w:ascii="Times New Roman" w:hAnsi="Times New Roman"/>
          <w:i/>
          <w:color w:val="000000"/>
          <w:sz w:val="24"/>
          <w:szCs w:val="24"/>
        </w:rPr>
        <w:t>Miners</w:t>
      </w:r>
      <w:r>
        <w:rPr>
          <w:rFonts w:ascii="Times New Roman" w:hAnsi="Times New Roman"/>
          <w:i/>
          <w:color w:val="000000"/>
          <w:sz w:val="24"/>
          <w:szCs w:val="24"/>
        </w:rPr>
        <w:t>’</w:t>
      </w:r>
      <w:r w:rsidRPr="001907A6">
        <w:rPr>
          <w:rFonts w:ascii="Times New Roman" w:hAnsi="Times New Roman"/>
          <w:i/>
          <w:color w:val="000000"/>
          <w:sz w:val="24"/>
          <w:szCs w:val="24"/>
        </w:rPr>
        <w:t xml:space="preserve"> representatives.</w:t>
      </w:r>
      <w:r>
        <w:rPr>
          <w:rFonts w:ascii="Times New Roman" w:hAnsi="Times New Roman"/>
          <w:color w:val="000000"/>
          <w:sz w:val="24"/>
          <w:szCs w:val="24"/>
        </w:rPr>
        <w:t xml:space="preserve"> The same commenter suggested adding several items to reflect the details of the rights of miners’ representatives. In response to this comment, DOL has reworded some questions to include the following language: “the right to select a representative to participate </w:t>
      </w:r>
      <w:r w:rsidRPr="005E75B7">
        <w:rPr>
          <w:rFonts w:ascii="Times New Roman" w:hAnsi="Times New Roman"/>
          <w:color w:val="000000"/>
          <w:sz w:val="24"/>
          <w:szCs w:val="24"/>
          <w:u w:val="single"/>
        </w:rPr>
        <w:t>in all aspects</w:t>
      </w:r>
      <w:r>
        <w:rPr>
          <w:rFonts w:ascii="Times New Roman" w:hAnsi="Times New Roman"/>
          <w:color w:val="000000"/>
          <w:sz w:val="24"/>
          <w:szCs w:val="24"/>
          <w:u w:val="single"/>
        </w:rPr>
        <w:t xml:space="preserve"> </w:t>
      </w:r>
      <w:r>
        <w:rPr>
          <w:rFonts w:ascii="Times New Roman" w:hAnsi="Times New Roman"/>
          <w:color w:val="000000"/>
          <w:sz w:val="24"/>
          <w:szCs w:val="24"/>
        </w:rPr>
        <w:t>of an inspection” (underlined words identify added text). This commenter also suggested including a series of items about other rights of miners’ representatives. DOL considers these recommendations for questions to be out of the scope of the survey, since the intention is to gather information about knowledge of miner rights, not miners’ representative rights.</w:t>
      </w:r>
    </w:p>
    <w:p w:rsidR="006418B2" w:rsidRDefault="006418B2" w:rsidP="001907A6">
      <w:pPr>
        <w:spacing w:after="0" w:line="240" w:lineRule="auto"/>
        <w:ind w:left="360"/>
        <w:rPr>
          <w:rFonts w:ascii="Times New Roman" w:hAnsi="Times New Roman"/>
          <w:color w:val="000000"/>
          <w:sz w:val="24"/>
          <w:szCs w:val="24"/>
        </w:rPr>
      </w:pPr>
    </w:p>
    <w:p w:rsidR="006418B2" w:rsidRDefault="006418B2" w:rsidP="001907A6">
      <w:pPr>
        <w:numPr>
          <w:ilvl w:val="0"/>
          <w:numId w:val="37"/>
        </w:numPr>
        <w:spacing w:after="0"/>
        <w:ind w:left="360"/>
        <w:rPr>
          <w:rFonts w:ascii="Times New Roman" w:hAnsi="Times New Roman"/>
          <w:color w:val="000000"/>
          <w:sz w:val="24"/>
          <w:szCs w:val="24"/>
        </w:rPr>
      </w:pPr>
      <w:r w:rsidRPr="00995B6C">
        <w:rPr>
          <w:rFonts w:ascii="Times New Roman" w:hAnsi="Times New Roman"/>
          <w:i/>
          <w:color w:val="000000"/>
          <w:sz w:val="24"/>
          <w:szCs w:val="24"/>
        </w:rPr>
        <w:t>Equipment permissibility.</w:t>
      </w:r>
      <w:r>
        <w:rPr>
          <w:rFonts w:ascii="Times New Roman" w:hAnsi="Times New Roman"/>
          <w:color w:val="000000"/>
          <w:sz w:val="24"/>
          <w:szCs w:val="24"/>
        </w:rPr>
        <w:t xml:space="preserve"> One commenter suggested adding survey question(s) about permissibility on equipment (30 CFR part 18 and parts 75-500 through 75-900). The survey includes a question on miners’ knowledge of their right to refuse to operate equipment for which they are not properly trained and their willingness to exercise that right. DOL considers additional questions related to enforcement or inspection approaches to be out of scope for this survey.</w:t>
      </w:r>
    </w:p>
    <w:p w:rsidR="007D7C40" w:rsidRDefault="007D7C40" w:rsidP="007D7C40">
      <w:pPr>
        <w:spacing w:after="0"/>
        <w:ind w:left="360"/>
        <w:rPr>
          <w:rFonts w:ascii="Times New Roman" w:hAnsi="Times New Roman"/>
          <w:color w:val="000000"/>
          <w:sz w:val="24"/>
          <w:szCs w:val="24"/>
        </w:rPr>
      </w:pPr>
    </w:p>
    <w:p w:rsidR="007D7C40" w:rsidRDefault="007D7C40" w:rsidP="001907A6">
      <w:pPr>
        <w:numPr>
          <w:ilvl w:val="0"/>
          <w:numId w:val="37"/>
        </w:numPr>
        <w:spacing w:after="0"/>
        <w:ind w:left="360"/>
        <w:rPr>
          <w:rFonts w:ascii="Times New Roman" w:hAnsi="Times New Roman"/>
          <w:color w:val="000000"/>
          <w:sz w:val="24"/>
          <w:szCs w:val="24"/>
        </w:rPr>
      </w:pPr>
      <w:r>
        <w:rPr>
          <w:rFonts w:ascii="Times New Roman" w:hAnsi="Times New Roman"/>
          <w:i/>
          <w:color w:val="000000"/>
          <w:sz w:val="24"/>
          <w:szCs w:val="24"/>
        </w:rPr>
        <w:t xml:space="preserve">Trust in MSHA. </w:t>
      </w:r>
      <w:r w:rsidRPr="007D7C40">
        <w:rPr>
          <w:rFonts w:ascii="Times New Roman" w:hAnsi="Times New Roman"/>
          <w:color w:val="000000"/>
          <w:sz w:val="24"/>
          <w:szCs w:val="24"/>
        </w:rPr>
        <w:t xml:space="preserve">The </w:t>
      </w:r>
      <w:r>
        <w:rPr>
          <w:rFonts w:ascii="Times New Roman" w:hAnsi="Times New Roman"/>
          <w:color w:val="000000"/>
          <w:sz w:val="24"/>
          <w:szCs w:val="24"/>
        </w:rPr>
        <w:t>United Mine Workers of America (UMWA) commented that the survey should include questions related to whether miners trust MSHA. In response, DOL added questions to the final versions of the instrument to ask miners about their trust in MSHA.</w:t>
      </w:r>
    </w:p>
    <w:p w:rsidR="006418B2" w:rsidRDefault="006418B2" w:rsidP="00B22895">
      <w:pPr>
        <w:spacing w:after="0" w:line="240" w:lineRule="auto"/>
        <w:rPr>
          <w:rFonts w:ascii="Times New Roman" w:hAnsi="Times New Roman"/>
          <w:color w:val="000000"/>
          <w:sz w:val="24"/>
          <w:szCs w:val="24"/>
        </w:rPr>
      </w:pPr>
    </w:p>
    <w:p w:rsidR="006418B2" w:rsidRDefault="006418B2">
      <w:pPr>
        <w:spacing w:after="0" w:line="240" w:lineRule="auto"/>
        <w:rPr>
          <w:rFonts w:ascii="Times New Roman" w:hAnsi="Times New Roman"/>
          <w:color w:val="000000"/>
          <w:sz w:val="24"/>
          <w:szCs w:val="24"/>
        </w:rPr>
      </w:pPr>
      <w:r w:rsidRPr="00A33696">
        <w:rPr>
          <w:rFonts w:ascii="Times New Roman" w:hAnsi="Times New Roman"/>
          <w:color w:val="000000"/>
          <w:sz w:val="24"/>
          <w:szCs w:val="24"/>
          <w:u w:val="single"/>
        </w:rPr>
        <w:t>Authority</w:t>
      </w:r>
    </w:p>
    <w:p w:rsidR="006418B2" w:rsidRDefault="006418B2">
      <w:pPr>
        <w:spacing w:after="0" w:line="240" w:lineRule="auto"/>
        <w:rPr>
          <w:rFonts w:ascii="Times New Roman" w:hAnsi="Times New Roman"/>
          <w:color w:val="000000"/>
          <w:sz w:val="24"/>
          <w:szCs w:val="24"/>
        </w:rPr>
      </w:pPr>
    </w:p>
    <w:p w:rsidR="003B4988" w:rsidRDefault="006418B2" w:rsidP="005E75B7">
      <w:pPr>
        <w:spacing w:after="0"/>
        <w:rPr>
          <w:rFonts w:ascii="Times New Roman" w:hAnsi="Times New Roman"/>
          <w:color w:val="000000"/>
          <w:sz w:val="24"/>
          <w:szCs w:val="24"/>
        </w:rPr>
      </w:pPr>
      <w:r w:rsidRPr="00A33696">
        <w:rPr>
          <w:rFonts w:ascii="Times New Roman" w:hAnsi="Times New Roman"/>
          <w:color w:val="000000"/>
          <w:sz w:val="24"/>
          <w:szCs w:val="24"/>
        </w:rPr>
        <w:t xml:space="preserve">One commenter stated that the Mine Act of 1977 and </w:t>
      </w:r>
      <w:r>
        <w:rPr>
          <w:rFonts w:ascii="Times New Roman" w:hAnsi="Times New Roman"/>
          <w:color w:val="000000"/>
          <w:sz w:val="24"/>
          <w:szCs w:val="24"/>
        </w:rPr>
        <w:t>MINER</w:t>
      </w:r>
      <w:r w:rsidRPr="00A33696">
        <w:rPr>
          <w:rFonts w:ascii="Times New Roman" w:hAnsi="Times New Roman"/>
          <w:color w:val="000000"/>
          <w:sz w:val="24"/>
          <w:szCs w:val="24"/>
        </w:rPr>
        <w:t xml:space="preserve"> Act of 2006 “do not provide for of [sic] collection of this information.” </w:t>
      </w:r>
      <w:r>
        <w:rPr>
          <w:rFonts w:ascii="Times New Roman" w:hAnsi="Times New Roman"/>
          <w:color w:val="000000"/>
          <w:sz w:val="24"/>
          <w:szCs w:val="24"/>
        </w:rPr>
        <w:t xml:space="preserve">DOL </w:t>
      </w:r>
      <w:r w:rsidR="003B4988">
        <w:rPr>
          <w:rFonts w:ascii="Times New Roman" w:hAnsi="Times New Roman"/>
          <w:color w:val="000000"/>
          <w:sz w:val="24"/>
          <w:szCs w:val="24"/>
        </w:rPr>
        <w:t xml:space="preserve">is not </w:t>
      </w:r>
      <w:r>
        <w:rPr>
          <w:rFonts w:ascii="Times New Roman" w:hAnsi="Times New Roman"/>
          <w:color w:val="000000"/>
          <w:sz w:val="24"/>
          <w:szCs w:val="24"/>
        </w:rPr>
        <w:t>propos</w:t>
      </w:r>
      <w:r w:rsidR="003B4988">
        <w:rPr>
          <w:rFonts w:ascii="Times New Roman" w:hAnsi="Times New Roman"/>
          <w:color w:val="000000"/>
          <w:sz w:val="24"/>
          <w:szCs w:val="24"/>
        </w:rPr>
        <w:t xml:space="preserve">ing </w:t>
      </w:r>
      <w:r>
        <w:rPr>
          <w:rFonts w:ascii="Times New Roman" w:hAnsi="Times New Roman"/>
          <w:color w:val="000000"/>
          <w:sz w:val="24"/>
          <w:szCs w:val="24"/>
        </w:rPr>
        <w:t xml:space="preserve">to collect </w:t>
      </w:r>
      <w:r w:rsidR="003B4988">
        <w:rPr>
          <w:rFonts w:ascii="Times New Roman" w:hAnsi="Times New Roman"/>
          <w:color w:val="000000"/>
          <w:sz w:val="24"/>
          <w:szCs w:val="24"/>
        </w:rPr>
        <w:t xml:space="preserve">these </w:t>
      </w:r>
      <w:r>
        <w:rPr>
          <w:rFonts w:ascii="Times New Roman" w:hAnsi="Times New Roman"/>
          <w:color w:val="000000"/>
          <w:sz w:val="24"/>
          <w:szCs w:val="24"/>
        </w:rPr>
        <w:t xml:space="preserve">data under the </w:t>
      </w:r>
      <w:r w:rsidRPr="00A33696">
        <w:rPr>
          <w:rFonts w:ascii="Times New Roman" w:hAnsi="Times New Roman"/>
          <w:color w:val="000000"/>
          <w:sz w:val="24"/>
          <w:szCs w:val="24"/>
        </w:rPr>
        <w:t xml:space="preserve">Mine Act of 1977 </w:t>
      </w:r>
      <w:r>
        <w:rPr>
          <w:rFonts w:ascii="Times New Roman" w:hAnsi="Times New Roman"/>
          <w:color w:val="000000"/>
          <w:sz w:val="24"/>
          <w:szCs w:val="24"/>
        </w:rPr>
        <w:t>or</w:t>
      </w:r>
      <w:r w:rsidRPr="00A33696">
        <w:rPr>
          <w:rFonts w:ascii="Times New Roman" w:hAnsi="Times New Roman"/>
          <w:color w:val="000000"/>
          <w:sz w:val="24"/>
          <w:szCs w:val="24"/>
        </w:rPr>
        <w:t xml:space="preserve"> </w:t>
      </w:r>
      <w:r>
        <w:rPr>
          <w:rFonts w:ascii="Times New Roman" w:hAnsi="Times New Roman"/>
          <w:color w:val="000000"/>
          <w:sz w:val="24"/>
          <w:szCs w:val="24"/>
        </w:rPr>
        <w:t>MINER</w:t>
      </w:r>
      <w:r w:rsidRPr="00A33696">
        <w:rPr>
          <w:rFonts w:ascii="Times New Roman" w:hAnsi="Times New Roman"/>
          <w:color w:val="000000"/>
          <w:sz w:val="24"/>
          <w:szCs w:val="24"/>
        </w:rPr>
        <w:t xml:space="preserve"> Act of 2006</w:t>
      </w:r>
      <w:r>
        <w:rPr>
          <w:rFonts w:ascii="Times New Roman" w:hAnsi="Times New Roman"/>
          <w:color w:val="000000"/>
          <w:sz w:val="24"/>
          <w:szCs w:val="24"/>
        </w:rPr>
        <w:t>.</w:t>
      </w:r>
      <w:r w:rsidR="003B4988">
        <w:rPr>
          <w:rFonts w:ascii="Times New Roman" w:hAnsi="Times New Roman"/>
          <w:color w:val="000000"/>
          <w:sz w:val="24"/>
          <w:szCs w:val="24"/>
        </w:rPr>
        <w:t xml:space="preserve"> As discussed in Section 1 above, </w:t>
      </w:r>
      <w:r w:rsidR="003B4988">
        <w:rPr>
          <w:rFonts w:ascii="Times New Roman" w:hAnsi="Times New Roman"/>
          <w:sz w:val="24"/>
          <w:szCs w:val="24"/>
        </w:rPr>
        <w:t xml:space="preserve">DOL is collecting these data to meet its requirements for performance reporting under the Government Performance and </w:t>
      </w:r>
      <w:r w:rsidR="003B4988">
        <w:rPr>
          <w:rFonts w:ascii="Times New Roman" w:hAnsi="Times New Roman"/>
          <w:sz w:val="24"/>
          <w:szCs w:val="24"/>
        </w:rPr>
        <w:lastRenderedPageBreak/>
        <w:t xml:space="preserve">Results Act (GPRA) and under its 2011-2016 Strategic Plan. The data collected under this survey would assist in the development of a measure of employee voice in the mining industry. </w:t>
      </w:r>
      <w:r>
        <w:rPr>
          <w:rFonts w:ascii="Times New Roman" w:hAnsi="Times New Roman"/>
          <w:color w:val="000000"/>
          <w:sz w:val="24"/>
          <w:szCs w:val="24"/>
        </w:rPr>
        <w:t xml:space="preserve"> </w:t>
      </w:r>
    </w:p>
    <w:p w:rsidR="003B4988" w:rsidRDefault="003B4988" w:rsidP="005E75B7">
      <w:pPr>
        <w:spacing w:after="0"/>
        <w:rPr>
          <w:rFonts w:ascii="Times New Roman" w:hAnsi="Times New Roman"/>
          <w:color w:val="000000"/>
          <w:sz w:val="24"/>
          <w:szCs w:val="24"/>
        </w:rPr>
      </w:pPr>
    </w:p>
    <w:p w:rsidR="006418B2" w:rsidRPr="005E75B7" w:rsidRDefault="006418B2" w:rsidP="005E75B7">
      <w:pPr>
        <w:spacing w:after="0"/>
        <w:rPr>
          <w:rFonts w:ascii="Times New Roman" w:hAnsi="Times New Roman"/>
          <w:color w:val="000000"/>
          <w:sz w:val="24"/>
          <w:szCs w:val="24"/>
        </w:rPr>
      </w:pPr>
      <w:r w:rsidRPr="00A33696">
        <w:rPr>
          <w:rFonts w:ascii="Times New Roman" w:hAnsi="Times New Roman"/>
          <w:color w:val="000000"/>
          <w:sz w:val="24"/>
          <w:szCs w:val="24"/>
        </w:rPr>
        <w:t>This commenter also stated</w:t>
      </w:r>
      <w:r>
        <w:rPr>
          <w:rFonts w:ascii="Times New Roman" w:hAnsi="Times New Roman"/>
          <w:color w:val="000000"/>
          <w:sz w:val="24"/>
          <w:szCs w:val="24"/>
        </w:rPr>
        <w:t xml:space="preserve"> that</w:t>
      </w:r>
      <w:r w:rsidRPr="00A33696">
        <w:rPr>
          <w:rFonts w:ascii="Times New Roman" w:hAnsi="Times New Roman"/>
          <w:color w:val="000000"/>
          <w:sz w:val="24"/>
          <w:szCs w:val="24"/>
        </w:rPr>
        <w:t xml:space="preserve"> “Questions about mine management are not pertinent to the</w:t>
      </w:r>
      <w:r>
        <w:rPr>
          <w:rFonts w:ascii="Times New Roman" w:hAnsi="Times New Roman"/>
          <w:color w:val="000000"/>
          <w:sz w:val="24"/>
          <w:szCs w:val="24"/>
        </w:rPr>
        <w:t xml:space="preserve"> health and safety of the miner</w:t>
      </w:r>
      <w:r w:rsidRPr="00A33696">
        <w:rPr>
          <w:rFonts w:ascii="Times New Roman" w:hAnsi="Times New Roman"/>
          <w:color w:val="000000"/>
          <w:sz w:val="24"/>
          <w:szCs w:val="24"/>
        </w:rPr>
        <w:t xml:space="preserve">” and “MSHA has no right to question how a mine is operated.” </w:t>
      </w:r>
      <w:r>
        <w:rPr>
          <w:rFonts w:ascii="Times New Roman" w:hAnsi="Times New Roman"/>
          <w:color w:val="000000"/>
          <w:sz w:val="24"/>
          <w:szCs w:val="24"/>
        </w:rPr>
        <w:t>DOL</w:t>
      </w:r>
      <w:r w:rsidRPr="00A33696">
        <w:rPr>
          <w:rFonts w:ascii="Times New Roman" w:hAnsi="Times New Roman"/>
          <w:color w:val="000000"/>
          <w:sz w:val="24"/>
          <w:szCs w:val="24"/>
        </w:rPr>
        <w:t xml:space="preserve"> disagrees with these opinions</w:t>
      </w:r>
      <w:r>
        <w:rPr>
          <w:rFonts w:ascii="Times New Roman" w:hAnsi="Times New Roman"/>
          <w:color w:val="000000"/>
          <w:sz w:val="24"/>
          <w:szCs w:val="24"/>
        </w:rPr>
        <w:t>.</w:t>
      </w:r>
      <w:r w:rsidR="003B4988">
        <w:rPr>
          <w:rFonts w:ascii="Times New Roman" w:hAnsi="Times New Roman"/>
          <w:color w:val="000000"/>
          <w:sz w:val="24"/>
          <w:szCs w:val="24"/>
        </w:rPr>
        <w:t xml:space="preserve"> In regards to the first statement (</w:t>
      </w:r>
      <w:r w:rsidR="003B4988" w:rsidRPr="00A33696">
        <w:rPr>
          <w:rFonts w:ascii="Times New Roman" w:hAnsi="Times New Roman"/>
          <w:color w:val="000000"/>
          <w:sz w:val="24"/>
          <w:szCs w:val="24"/>
        </w:rPr>
        <w:t>“Questions about mine management are not pertinent to the</w:t>
      </w:r>
      <w:r w:rsidR="003B4988">
        <w:rPr>
          <w:rFonts w:ascii="Times New Roman" w:hAnsi="Times New Roman"/>
          <w:color w:val="000000"/>
          <w:sz w:val="24"/>
          <w:szCs w:val="24"/>
        </w:rPr>
        <w:t xml:space="preserve"> health and safety of the miner</w:t>
      </w:r>
      <w:r w:rsidR="003B4988" w:rsidRPr="00A33696">
        <w:rPr>
          <w:rFonts w:ascii="Times New Roman" w:hAnsi="Times New Roman"/>
          <w:color w:val="000000"/>
          <w:sz w:val="24"/>
          <w:szCs w:val="24"/>
        </w:rPr>
        <w:t>”</w:t>
      </w:r>
      <w:r w:rsidR="003B4988">
        <w:rPr>
          <w:rFonts w:ascii="Times New Roman" w:hAnsi="Times New Roman"/>
          <w:color w:val="000000"/>
          <w:sz w:val="24"/>
          <w:szCs w:val="24"/>
        </w:rPr>
        <w:t xml:space="preserve">), DOL contends that mine management can potentially have a significant influence on miner health and safety. </w:t>
      </w:r>
      <w:r w:rsidR="00AF7907">
        <w:rPr>
          <w:rFonts w:ascii="Times New Roman" w:hAnsi="Times New Roman"/>
          <w:color w:val="000000"/>
          <w:sz w:val="24"/>
          <w:szCs w:val="24"/>
        </w:rPr>
        <w:t xml:space="preserve">Furthermore, DOL also contends that the questions being asked are pertinent to understanding miners’ abilities to exercise their rights. </w:t>
      </w:r>
      <w:r w:rsidR="003B4988">
        <w:rPr>
          <w:rFonts w:ascii="Times New Roman" w:hAnsi="Times New Roman"/>
          <w:color w:val="000000"/>
          <w:sz w:val="24"/>
          <w:szCs w:val="24"/>
        </w:rPr>
        <w:t>In regards to the second statement (</w:t>
      </w:r>
      <w:r w:rsidR="003B4988" w:rsidRPr="00A33696">
        <w:rPr>
          <w:rFonts w:ascii="Times New Roman" w:hAnsi="Times New Roman"/>
          <w:color w:val="000000"/>
          <w:sz w:val="24"/>
          <w:szCs w:val="24"/>
        </w:rPr>
        <w:t xml:space="preserve">“MSHA has no right to </w:t>
      </w:r>
      <w:r w:rsidR="003B4988">
        <w:rPr>
          <w:rFonts w:ascii="Times New Roman" w:hAnsi="Times New Roman"/>
          <w:color w:val="000000"/>
          <w:sz w:val="24"/>
          <w:szCs w:val="24"/>
        </w:rPr>
        <w:t>question how a mine is operated</w:t>
      </w:r>
      <w:r w:rsidR="003B4988" w:rsidRPr="00A33696">
        <w:rPr>
          <w:rFonts w:ascii="Times New Roman" w:hAnsi="Times New Roman"/>
          <w:color w:val="000000"/>
          <w:sz w:val="24"/>
          <w:szCs w:val="24"/>
        </w:rPr>
        <w:t>”</w:t>
      </w:r>
      <w:r w:rsidR="003B4988">
        <w:rPr>
          <w:rFonts w:ascii="Times New Roman" w:hAnsi="Times New Roman"/>
          <w:color w:val="000000"/>
          <w:sz w:val="24"/>
          <w:szCs w:val="24"/>
        </w:rPr>
        <w:t xml:space="preserve">), this </w:t>
      </w:r>
      <w:r w:rsidR="005F248F">
        <w:rPr>
          <w:rFonts w:ascii="Times New Roman" w:hAnsi="Times New Roman"/>
          <w:color w:val="000000"/>
          <w:sz w:val="24"/>
          <w:szCs w:val="24"/>
        </w:rPr>
        <w:t>survey is not making value judg</w:t>
      </w:r>
      <w:r w:rsidR="003B4988">
        <w:rPr>
          <w:rFonts w:ascii="Times New Roman" w:hAnsi="Times New Roman"/>
          <w:color w:val="000000"/>
          <w:sz w:val="24"/>
          <w:szCs w:val="24"/>
        </w:rPr>
        <w:t xml:space="preserve">ments on how mines are operated (i.e., DOL is not questioning </w:t>
      </w:r>
      <w:r w:rsidR="003B4988" w:rsidRPr="003B4988">
        <w:rPr>
          <w:rFonts w:ascii="Times New Roman" w:hAnsi="Times New Roman"/>
          <w:i/>
          <w:color w:val="000000"/>
          <w:sz w:val="24"/>
          <w:szCs w:val="24"/>
        </w:rPr>
        <w:t>how</w:t>
      </w:r>
      <w:r w:rsidR="003B4988">
        <w:rPr>
          <w:rFonts w:ascii="Times New Roman" w:hAnsi="Times New Roman"/>
          <w:color w:val="000000"/>
          <w:sz w:val="24"/>
          <w:szCs w:val="24"/>
        </w:rPr>
        <w:t xml:space="preserve"> a mine is operated). Rather, DOL is asking </w:t>
      </w:r>
      <w:r w:rsidR="005F248F">
        <w:rPr>
          <w:rFonts w:ascii="Times New Roman" w:hAnsi="Times New Roman"/>
          <w:color w:val="000000"/>
          <w:sz w:val="24"/>
          <w:szCs w:val="24"/>
        </w:rPr>
        <w:t xml:space="preserve">factual </w:t>
      </w:r>
      <w:r w:rsidR="003B4988">
        <w:rPr>
          <w:rFonts w:ascii="Times New Roman" w:hAnsi="Times New Roman"/>
          <w:color w:val="000000"/>
          <w:sz w:val="24"/>
          <w:szCs w:val="24"/>
        </w:rPr>
        <w:t>questions</w:t>
      </w:r>
      <w:r w:rsidR="003B4988" w:rsidRPr="003B4988">
        <w:rPr>
          <w:rFonts w:ascii="Times New Roman" w:hAnsi="Times New Roman"/>
          <w:color w:val="000000"/>
          <w:sz w:val="24"/>
          <w:szCs w:val="24"/>
        </w:rPr>
        <w:t xml:space="preserve"> </w:t>
      </w:r>
      <w:r w:rsidR="003B4988">
        <w:rPr>
          <w:rFonts w:ascii="Times New Roman" w:hAnsi="Times New Roman"/>
          <w:color w:val="000000"/>
          <w:sz w:val="24"/>
          <w:szCs w:val="24"/>
        </w:rPr>
        <w:t xml:space="preserve">to better understand </w:t>
      </w:r>
      <w:r w:rsidR="003B4988" w:rsidRPr="003B4988">
        <w:rPr>
          <w:rFonts w:ascii="Times New Roman" w:hAnsi="Times New Roman"/>
          <w:color w:val="000000"/>
          <w:sz w:val="24"/>
          <w:szCs w:val="24"/>
        </w:rPr>
        <w:t>how</w:t>
      </w:r>
      <w:r w:rsidR="003B4988">
        <w:rPr>
          <w:rFonts w:ascii="Times New Roman" w:hAnsi="Times New Roman"/>
          <w:color w:val="000000"/>
          <w:sz w:val="24"/>
          <w:szCs w:val="24"/>
        </w:rPr>
        <w:t xml:space="preserve"> mines </w:t>
      </w:r>
      <w:r w:rsidR="005F248F">
        <w:rPr>
          <w:rFonts w:ascii="Times New Roman" w:hAnsi="Times New Roman"/>
          <w:color w:val="000000"/>
          <w:sz w:val="24"/>
          <w:szCs w:val="24"/>
        </w:rPr>
        <w:t>deal with miners’ rights issues.</w:t>
      </w:r>
      <w:r w:rsidR="00AF7907">
        <w:rPr>
          <w:rFonts w:ascii="Times New Roman" w:hAnsi="Times New Roman"/>
          <w:color w:val="000000"/>
          <w:sz w:val="24"/>
          <w:szCs w:val="24"/>
        </w:rPr>
        <w:t xml:space="preserve"> Additionally, DOL contends that the questions being asked are pertinent to understanding miners’ abilities to exercise their rights.</w:t>
      </w:r>
    </w:p>
    <w:p w:rsidR="006418B2" w:rsidRDefault="006418B2" w:rsidP="005E75B7">
      <w:pPr>
        <w:spacing w:after="0" w:line="240" w:lineRule="auto"/>
        <w:ind w:left="720"/>
        <w:rPr>
          <w:rFonts w:ascii="Times New Roman" w:hAnsi="Times New Roman"/>
          <w:color w:val="000000"/>
          <w:sz w:val="24"/>
          <w:szCs w:val="24"/>
        </w:rPr>
      </w:pPr>
    </w:p>
    <w:p w:rsidR="006418B2" w:rsidRPr="005E75B7" w:rsidRDefault="006418B2" w:rsidP="00AF7907">
      <w:pPr>
        <w:keepNext/>
        <w:spacing w:after="0" w:line="240" w:lineRule="auto"/>
        <w:rPr>
          <w:rFonts w:ascii="Times New Roman" w:hAnsi="Times New Roman"/>
          <w:b/>
          <w:color w:val="000000"/>
          <w:sz w:val="24"/>
          <w:szCs w:val="24"/>
        </w:rPr>
      </w:pPr>
      <w:r w:rsidRPr="005E75B7">
        <w:rPr>
          <w:rFonts w:ascii="Times New Roman" w:hAnsi="Times New Roman"/>
          <w:b/>
          <w:color w:val="000000"/>
          <w:sz w:val="24"/>
          <w:szCs w:val="24"/>
        </w:rPr>
        <w:t>C. Consultations Outside the Agency</w:t>
      </w:r>
    </w:p>
    <w:p w:rsidR="006418B2" w:rsidRDefault="006418B2" w:rsidP="00AF7907">
      <w:pPr>
        <w:keepNext/>
        <w:spacing w:after="0" w:line="240" w:lineRule="auto"/>
        <w:rPr>
          <w:rFonts w:ascii="Times New Roman" w:hAnsi="Times New Roman"/>
          <w:color w:val="000000"/>
          <w:sz w:val="24"/>
          <w:szCs w:val="24"/>
        </w:rPr>
      </w:pPr>
    </w:p>
    <w:p w:rsidR="006418B2" w:rsidRPr="004B10AE" w:rsidRDefault="006418B2" w:rsidP="0078774B">
      <w:pPr>
        <w:spacing w:after="0"/>
        <w:rPr>
          <w:rFonts w:ascii="Times New Roman" w:hAnsi="Times New Roman"/>
          <w:color w:val="000000"/>
          <w:sz w:val="24"/>
          <w:szCs w:val="24"/>
        </w:rPr>
      </w:pPr>
      <w:r>
        <w:rPr>
          <w:rFonts w:ascii="Times New Roman" w:hAnsi="Times New Roman"/>
          <w:color w:val="000000"/>
          <w:sz w:val="24"/>
          <w:szCs w:val="24"/>
        </w:rPr>
        <w:t>C</w:t>
      </w:r>
      <w:r w:rsidRPr="004B10AE">
        <w:rPr>
          <w:rFonts w:ascii="Times New Roman" w:hAnsi="Times New Roman"/>
          <w:color w:val="000000"/>
          <w:sz w:val="24"/>
          <w:szCs w:val="24"/>
        </w:rPr>
        <w:t>onsultations on research design, data collection</w:t>
      </w:r>
      <w:r>
        <w:rPr>
          <w:rFonts w:ascii="Times New Roman" w:hAnsi="Times New Roman"/>
          <w:color w:val="000000"/>
          <w:sz w:val="24"/>
          <w:szCs w:val="24"/>
        </w:rPr>
        <w:t xml:space="preserve">, </w:t>
      </w:r>
      <w:r w:rsidRPr="004B10AE">
        <w:rPr>
          <w:rFonts w:ascii="Times New Roman" w:hAnsi="Times New Roman"/>
          <w:color w:val="000000"/>
          <w:sz w:val="24"/>
          <w:szCs w:val="24"/>
        </w:rPr>
        <w:t xml:space="preserve">approaches, and survey instrument design are part of the design phase of the study of voice in mining workplaces. The consultations are </w:t>
      </w:r>
      <w:r>
        <w:rPr>
          <w:rFonts w:ascii="Times New Roman" w:hAnsi="Times New Roman"/>
          <w:color w:val="000000"/>
          <w:sz w:val="24"/>
          <w:szCs w:val="24"/>
        </w:rPr>
        <w:t>aimed at ensuring</w:t>
      </w:r>
      <w:r w:rsidRPr="004B10AE">
        <w:rPr>
          <w:rFonts w:ascii="Times New Roman" w:hAnsi="Times New Roman"/>
          <w:color w:val="000000"/>
          <w:sz w:val="24"/>
          <w:szCs w:val="24"/>
        </w:rPr>
        <w:t xml:space="preserve"> the technical soundness of the study methods and verify</w:t>
      </w:r>
      <w:r>
        <w:rPr>
          <w:rFonts w:ascii="Times New Roman" w:hAnsi="Times New Roman"/>
          <w:color w:val="000000"/>
          <w:sz w:val="24"/>
          <w:szCs w:val="24"/>
        </w:rPr>
        <w:t>ing</w:t>
      </w:r>
      <w:r w:rsidRPr="004B10AE">
        <w:rPr>
          <w:rFonts w:ascii="Times New Roman" w:hAnsi="Times New Roman"/>
          <w:color w:val="000000"/>
          <w:sz w:val="24"/>
          <w:szCs w:val="24"/>
        </w:rPr>
        <w:t xml:space="preserve"> the importance, relevance, and accessibility of the in</w:t>
      </w:r>
      <w:r>
        <w:rPr>
          <w:rFonts w:ascii="Times New Roman" w:hAnsi="Times New Roman"/>
          <w:color w:val="000000"/>
          <w:sz w:val="24"/>
          <w:szCs w:val="24"/>
        </w:rPr>
        <w:t>formation sought in the study. To those ends, e</w:t>
      </w:r>
      <w:r w:rsidRPr="004B10AE">
        <w:rPr>
          <w:rFonts w:ascii="Times New Roman" w:hAnsi="Times New Roman"/>
          <w:color w:val="000000"/>
          <w:sz w:val="24"/>
          <w:szCs w:val="24"/>
        </w:rPr>
        <w:t>xperts from a technical working group (TWG) were consulted</w:t>
      </w:r>
      <w:r>
        <w:rPr>
          <w:rFonts w:ascii="Times New Roman" w:hAnsi="Times New Roman"/>
          <w:color w:val="000000"/>
          <w:sz w:val="24"/>
          <w:szCs w:val="24"/>
        </w:rPr>
        <w:t>:</w:t>
      </w:r>
    </w:p>
    <w:p w:rsidR="006418B2" w:rsidRDefault="006418B2" w:rsidP="0078774B">
      <w:pPr>
        <w:spacing w:after="0"/>
        <w:rPr>
          <w:rFonts w:ascii="Times New Roman" w:hAnsi="Times New Roman"/>
          <w:color w:val="000000"/>
          <w:sz w:val="24"/>
          <w:szCs w:val="24"/>
        </w:rPr>
      </w:pPr>
    </w:p>
    <w:p w:rsidR="006418B2" w:rsidRPr="001C2A8D" w:rsidRDefault="006418B2" w:rsidP="0078774B">
      <w:pPr>
        <w:spacing w:after="0"/>
        <w:ind w:left="360"/>
        <w:rPr>
          <w:rFonts w:ascii="Times New Roman" w:hAnsi="Times New Roman"/>
          <w:b/>
          <w:i/>
          <w:color w:val="000000"/>
          <w:sz w:val="24"/>
          <w:szCs w:val="24"/>
        </w:rPr>
      </w:pPr>
      <w:r w:rsidRPr="001C2A8D">
        <w:rPr>
          <w:rFonts w:ascii="Times New Roman" w:hAnsi="Times New Roman"/>
          <w:b/>
          <w:i/>
          <w:color w:val="000000"/>
          <w:sz w:val="24"/>
          <w:szCs w:val="24"/>
        </w:rPr>
        <w:t>TWG</w:t>
      </w:r>
    </w:p>
    <w:p w:rsidR="006418B2" w:rsidRPr="00FC3140" w:rsidRDefault="006418B2" w:rsidP="0078774B">
      <w:pPr>
        <w:spacing w:after="0"/>
        <w:ind w:left="1620" w:hanging="1260"/>
        <w:rPr>
          <w:rFonts w:ascii="Times New Roman" w:hAnsi="Times New Roman"/>
          <w:color w:val="000000"/>
          <w:sz w:val="24"/>
          <w:szCs w:val="24"/>
        </w:rPr>
      </w:pPr>
      <w:r>
        <w:rPr>
          <w:rFonts w:ascii="Times New Roman" w:hAnsi="Times New Roman"/>
          <w:color w:val="000000"/>
          <w:sz w:val="24"/>
          <w:szCs w:val="24"/>
        </w:rPr>
        <w:t xml:space="preserve">Dr. </w:t>
      </w:r>
      <w:r w:rsidRPr="00FC3140">
        <w:rPr>
          <w:rFonts w:ascii="Times New Roman" w:hAnsi="Times New Roman"/>
          <w:color w:val="000000"/>
          <w:sz w:val="24"/>
          <w:szCs w:val="24"/>
        </w:rPr>
        <w:t>John Budd, Professor of Industrial Relations, University of Minnesota</w:t>
      </w:r>
    </w:p>
    <w:p w:rsidR="006418B2" w:rsidRPr="00FC3140" w:rsidRDefault="006418B2" w:rsidP="0078774B">
      <w:pPr>
        <w:spacing w:after="0"/>
        <w:ind w:left="1620" w:hanging="1260"/>
        <w:rPr>
          <w:rFonts w:ascii="Times New Roman" w:hAnsi="Times New Roman"/>
          <w:color w:val="000000"/>
          <w:sz w:val="24"/>
          <w:szCs w:val="24"/>
        </w:rPr>
      </w:pPr>
      <w:r>
        <w:rPr>
          <w:rFonts w:ascii="Times New Roman" w:hAnsi="Times New Roman"/>
          <w:color w:val="000000"/>
          <w:sz w:val="24"/>
          <w:szCs w:val="24"/>
        </w:rPr>
        <w:t xml:space="preserve">Dr. </w:t>
      </w:r>
      <w:r w:rsidRPr="00FC3140">
        <w:rPr>
          <w:rFonts w:ascii="Times New Roman" w:hAnsi="Times New Roman"/>
          <w:color w:val="000000"/>
          <w:sz w:val="24"/>
          <w:szCs w:val="24"/>
        </w:rPr>
        <w:t>Larry Grayson, Professor of Energy and Mineral Engineering, College of Earth and Mineral Sciences, Penn State</w:t>
      </w:r>
    </w:p>
    <w:p w:rsidR="006418B2" w:rsidRPr="0064274B" w:rsidRDefault="006418B2" w:rsidP="0078774B">
      <w:pPr>
        <w:spacing w:after="0"/>
        <w:ind w:left="1620" w:hanging="1260"/>
        <w:rPr>
          <w:rFonts w:ascii="Times New Roman" w:hAnsi="Times New Roman"/>
          <w:color w:val="000000"/>
          <w:sz w:val="24"/>
          <w:szCs w:val="24"/>
        </w:rPr>
      </w:pPr>
      <w:r w:rsidRPr="0064274B">
        <w:rPr>
          <w:rFonts w:ascii="Times New Roman" w:hAnsi="Times New Roman"/>
          <w:color w:val="000000"/>
          <w:sz w:val="24"/>
          <w:szCs w:val="24"/>
        </w:rPr>
        <w:t>Ms. Pauline Kim, Professor of Law, Washington University</w:t>
      </w:r>
    </w:p>
    <w:p w:rsidR="006418B2" w:rsidRPr="0064274B" w:rsidRDefault="006418B2" w:rsidP="0078774B">
      <w:pPr>
        <w:spacing w:after="0"/>
        <w:ind w:left="1620" w:hanging="1260"/>
        <w:rPr>
          <w:rFonts w:ascii="Times New Roman" w:hAnsi="Times New Roman"/>
          <w:color w:val="000000"/>
          <w:sz w:val="24"/>
          <w:szCs w:val="24"/>
        </w:rPr>
      </w:pPr>
      <w:r w:rsidRPr="0064274B">
        <w:rPr>
          <w:rFonts w:ascii="Times New Roman" w:hAnsi="Times New Roman"/>
          <w:color w:val="000000"/>
          <w:sz w:val="24"/>
          <w:szCs w:val="24"/>
        </w:rPr>
        <w:t xml:space="preserve">Ms. Nancy </w:t>
      </w:r>
      <w:proofErr w:type="spellStart"/>
      <w:r w:rsidRPr="0064274B">
        <w:rPr>
          <w:rFonts w:ascii="Times New Roman" w:hAnsi="Times New Roman"/>
          <w:color w:val="000000"/>
          <w:sz w:val="24"/>
          <w:szCs w:val="24"/>
        </w:rPr>
        <w:t>Lessin</w:t>
      </w:r>
      <w:proofErr w:type="spellEnd"/>
      <w:r w:rsidRPr="0064274B">
        <w:rPr>
          <w:rFonts w:ascii="Times New Roman" w:hAnsi="Times New Roman"/>
          <w:color w:val="000000"/>
          <w:sz w:val="24"/>
          <w:szCs w:val="24"/>
        </w:rPr>
        <w:t xml:space="preserve">, Program Coordinator, United Steelworkers - Tony </w:t>
      </w:r>
      <w:proofErr w:type="spellStart"/>
      <w:r w:rsidRPr="0064274B">
        <w:rPr>
          <w:rFonts w:ascii="Times New Roman" w:hAnsi="Times New Roman"/>
          <w:color w:val="000000"/>
          <w:sz w:val="24"/>
          <w:szCs w:val="24"/>
        </w:rPr>
        <w:t>Mazzocchi</w:t>
      </w:r>
      <w:proofErr w:type="spellEnd"/>
      <w:r w:rsidRPr="0064274B">
        <w:rPr>
          <w:rFonts w:ascii="Times New Roman" w:hAnsi="Times New Roman"/>
          <w:color w:val="000000"/>
          <w:sz w:val="24"/>
          <w:szCs w:val="24"/>
        </w:rPr>
        <w:t xml:space="preserve"> Center</w:t>
      </w:r>
    </w:p>
    <w:p w:rsidR="006418B2" w:rsidRDefault="006418B2" w:rsidP="0078774B">
      <w:pPr>
        <w:spacing w:after="0"/>
        <w:ind w:left="1620" w:hanging="1260"/>
        <w:rPr>
          <w:rFonts w:ascii="Times New Roman" w:hAnsi="Times New Roman"/>
          <w:color w:val="000000"/>
          <w:sz w:val="24"/>
          <w:szCs w:val="24"/>
        </w:rPr>
      </w:pPr>
      <w:r w:rsidRPr="0064274B">
        <w:rPr>
          <w:rFonts w:ascii="Times New Roman" w:hAnsi="Times New Roman"/>
          <w:color w:val="000000"/>
          <w:sz w:val="24"/>
          <w:szCs w:val="24"/>
        </w:rPr>
        <w:t xml:space="preserve">Dr. Alison </w:t>
      </w:r>
      <w:proofErr w:type="spellStart"/>
      <w:r w:rsidRPr="0064274B">
        <w:rPr>
          <w:rFonts w:ascii="Times New Roman" w:hAnsi="Times New Roman"/>
          <w:color w:val="000000"/>
          <w:sz w:val="24"/>
          <w:szCs w:val="24"/>
        </w:rPr>
        <w:t>Morantz</w:t>
      </w:r>
      <w:proofErr w:type="spellEnd"/>
      <w:r w:rsidRPr="0064274B">
        <w:rPr>
          <w:rFonts w:ascii="Times New Roman" w:hAnsi="Times New Roman"/>
          <w:color w:val="000000"/>
          <w:sz w:val="24"/>
          <w:szCs w:val="24"/>
        </w:rPr>
        <w:t>, Professor of Law &amp; John A. Wilson Distinguished Faculty Scholar,</w:t>
      </w:r>
      <w:r w:rsidRPr="00FC3140">
        <w:rPr>
          <w:rFonts w:ascii="Times New Roman" w:hAnsi="Times New Roman"/>
          <w:color w:val="000000"/>
          <w:sz w:val="24"/>
          <w:szCs w:val="24"/>
        </w:rPr>
        <w:t xml:space="preserve"> Stanford Law School</w:t>
      </w:r>
    </w:p>
    <w:p w:rsidR="006418B2" w:rsidRDefault="006418B2" w:rsidP="0078774B">
      <w:pPr>
        <w:spacing w:after="0"/>
        <w:rPr>
          <w:rFonts w:ascii="Times New Roman" w:hAnsi="Times New Roman"/>
          <w:color w:val="000000"/>
          <w:sz w:val="24"/>
          <w:szCs w:val="24"/>
        </w:rPr>
      </w:pPr>
    </w:p>
    <w:p w:rsidR="006418B2" w:rsidRPr="00494728" w:rsidRDefault="006418B2" w:rsidP="0078774B">
      <w:pPr>
        <w:spacing w:after="0"/>
        <w:rPr>
          <w:rFonts w:ascii="Times New Roman" w:hAnsi="Times New Roman"/>
          <w:color w:val="000000"/>
          <w:sz w:val="24"/>
          <w:szCs w:val="24"/>
        </w:rPr>
      </w:pPr>
      <w:r>
        <w:rPr>
          <w:rFonts w:ascii="Times New Roman" w:hAnsi="Times New Roman"/>
          <w:color w:val="000000"/>
          <w:sz w:val="24"/>
          <w:szCs w:val="24"/>
        </w:rPr>
        <w:t>DOL also instructed its ERG and NORC to conduct a set of nine cognitive interviews with miners in January and February of 2012 using a draft survey instrument (the version made available as part of the 60-day Federal Register Notice). The purpose of the cognitive interviews was to assess the efficacy of the survey instrument and identify potential refinements. DOL incorporated refinements stemming from the cognitive interviews, resulting in the version</w:t>
      </w:r>
      <w:r w:rsidR="00B85247">
        <w:rPr>
          <w:rFonts w:ascii="Times New Roman" w:hAnsi="Times New Roman"/>
          <w:color w:val="000000"/>
          <w:sz w:val="24"/>
          <w:szCs w:val="24"/>
        </w:rPr>
        <w:t>s</w:t>
      </w:r>
      <w:r>
        <w:rPr>
          <w:rFonts w:ascii="Times New Roman" w:hAnsi="Times New Roman"/>
          <w:color w:val="000000"/>
          <w:sz w:val="24"/>
          <w:szCs w:val="24"/>
        </w:rPr>
        <w:t xml:space="preserve"> of the </w:t>
      </w:r>
      <w:r w:rsidR="003C518F">
        <w:rPr>
          <w:rFonts w:ascii="Times New Roman" w:hAnsi="Times New Roman"/>
          <w:color w:val="000000"/>
          <w:sz w:val="24"/>
          <w:szCs w:val="24"/>
        </w:rPr>
        <w:t>instrument contained in Appendices</w:t>
      </w:r>
      <w:r>
        <w:rPr>
          <w:rFonts w:ascii="Times New Roman" w:hAnsi="Times New Roman"/>
          <w:color w:val="000000"/>
          <w:sz w:val="24"/>
          <w:szCs w:val="24"/>
        </w:rPr>
        <w:t xml:space="preserve"> A</w:t>
      </w:r>
      <w:r w:rsidR="003C518F">
        <w:rPr>
          <w:rFonts w:ascii="Times New Roman" w:hAnsi="Times New Roman"/>
          <w:color w:val="000000"/>
          <w:sz w:val="24"/>
          <w:szCs w:val="24"/>
        </w:rPr>
        <w:t xml:space="preserve"> through C</w:t>
      </w:r>
      <w:r>
        <w:rPr>
          <w:rFonts w:ascii="Times New Roman" w:hAnsi="Times New Roman"/>
          <w:color w:val="000000"/>
          <w:sz w:val="24"/>
          <w:szCs w:val="24"/>
        </w:rPr>
        <w:t xml:space="preserve"> of this package.</w:t>
      </w:r>
    </w:p>
    <w:p w:rsidR="006418B2" w:rsidRPr="00F83C7A" w:rsidRDefault="006418B2" w:rsidP="002300AB">
      <w:pPr>
        <w:pStyle w:val="OMBPackageHeading2"/>
      </w:pPr>
      <w:bookmarkStart w:id="12" w:name="_Toc322005788"/>
      <w:r>
        <w:lastRenderedPageBreak/>
        <w:t>Respondent Payments</w:t>
      </w:r>
      <w:bookmarkEnd w:id="12"/>
    </w:p>
    <w:p w:rsidR="006418B2" w:rsidRPr="009D166E"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 xml:space="preserve">Respondents will not </w:t>
      </w:r>
      <w:r w:rsidRPr="00830E11">
        <w:rPr>
          <w:rFonts w:ascii="Times New Roman" w:hAnsi="Times New Roman"/>
          <w:sz w:val="24"/>
          <w:szCs w:val="24"/>
        </w:rPr>
        <w:t>receive</w:t>
      </w:r>
      <w:r w:rsidRPr="009D166E">
        <w:rPr>
          <w:rFonts w:ascii="Times New Roman" w:hAnsi="Times New Roman"/>
          <w:color w:val="000000"/>
          <w:sz w:val="24"/>
          <w:szCs w:val="24"/>
        </w:rPr>
        <w:t xml:space="preserve"> any payments or gifts for participating in this information collection.</w:t>
      </w:r>
    </w:p>
    <w:p w:rsidR="006418B2" w:rsidRPr="002300AB" w:rsidRDefault="006418B2" w:rsidP="002300AB">
      <w:pPr>
        <w:pStyle w:val="OMBPackageHeading2"/>
      </w:pPr>
      <w:bookmarkStart w:id="13" w:name="_Toc322005789"/>
      <w:r w:rsidRPr="002300AB">
        <w:t>Confidentiality</w:t>
      </w:r>
      <w:bookmarkEnd w:id="13"/>
    </w:p>
    <w:p w:rsidR="006418B2" w:rsidRDefault="006418B2" w:rsidP="00494728">
      <w:pPr>
        <w:spacing w:after="0"/>
        <w:rPr>
          <w:rFonts w:ascii="Times New Roman" w:hAnsi="Times New Roman"/>
          <w:color w:val="000000"/>
          <w:sz w:val="24"/>
          <w:szCs w:val="24"/>
        </w:rPr>
      </w:pPr>
      <w:r>
        <w:rPr>
          <w:rFonts w:ascii="Times New Roman" w:hAnsi="Times New Roman"/>
          <w:color w:val="000000"/>
          <w:sz w:val="24"/>
          <w:szCs w:val="24"/>
        </w:rPr>
        <w:t xml:space="preserve">While there is no express assurance of confidentiality that cannot be supported by law, the design of the data collection will often allow responses to be anonymous.  Survey respondents will be assured of the privacy, to the extent available under law, of their responses through language placed prominently on all respondent materials as well as introductory comments made by an interviewer (in the case of a phone interview) or survey distributor (in the case of the paper surveys administered during state grantee training sessions). In the latter two cases, these individuals will be trained on the privacy of responses and will be prepared to describe the policy in detail, provide examples, and respond to any related questions from participants. For example, the interviewer or distributor will explain that an individual’s answers will be combined with those of others and presented in summary form only, and that DOL will not have access to the names of participants. All respondent materials will contain the following text: </w:t>
      </w:r>
      <w:r w:rsidRPr="00FC1385">
        <w:rPr>
          <w:rFonts w:ascii="Times New Roman" w:hAnsi="Times New Roman"/>
          <w:color w:val="000000"/>
          <w:sz w:val="24"/>
          <w:szCs w:val="24"/>
        </w:rPr>
        <w:t>“</w:t>
      </w:r>
      <w:r>
        <w:rPr>
          <w:rFonts w:ascii="Times New Roman" w:hAnsi="Times New Roman"/>
          <w:color w:val="000000"/>
          <w:sz w:val="24"/>
          <w:szCs w:val="24"/>
        </w:rPr>
        <w:t>Individual responses to t</w:t>
      </w:r>
      <w:r w:rsidRPr="00FC1385">
        <w:rPr>
          <w:rFonts w:ascii="Times New Roman" w:hAnsi="Times New Roman"/>
          <w:color w:val="000000"/>
          <w:sz w:val="24"/>
          <w:szCs w:val="24"/>
        </w:rPr>
        <w:t xml:space="preserve">hese surveys </w:t>
      </w:r>
      <w:r>
        <w:rPr>
          <w:rFonts w:ascii="Times New Roman" w:hAnsi="Times New Roman"/>
          <w:color w:val="000000"/>
          <w:sz w:val="24"/>
          <w:szCs w:val="24"/>
        </w:rPr>
        <w:t>will not be shared with any employer, union, government agency</w:t>
      </w:r>
      <w:r w:rsidRPr="00FC1385">
        <w:rPr>
          <w:rFonts w:ascii="Times New Roman" w:hAnsi="Times New Roman"/>
          <w:color w:val="000000"/>
          <w:sz w:val="24"/>
          <w:szCs w:val="24"/>
        </w:rPr>
        <w:t xml:space="preserve">. </w:t>
      </w:r>
      <w:r w:rsidRPr="005E75B7">
        <w:rPr>
          <w:rFonts w:ascii="Times New Roman" w:hAnsi="Times New Roman"/>
          <w:color w:val="000000"/>
          <w:sz w:val="24"/>
          <w:szCs w:val="24"/>
        </w:rPr>
        <w:t>We do not ask for you</w:t>
      </w:r>
      <w:r>
        <w:rPr>
          <w:rFonts w:ascii="Times New Roman" w:hAnsi="Times New Roman"/>
          <w:color w:val="000000"/>
          <w:sz w:val="24"/>
          <w:szCs w:val="24"/>
        </w:rPr>
        <w:t>r</w:t>
      </w:r>
      <w:r w:rsidRPr="005E75B7">
        <w:rPr>
          <w:rFonts w:ascii="Times New Roman" w:hAnsi="Times New Roman"/>
          <w:color w:val="000000"/>
          <w:sz w:val="24"/>
          <w:szCs w:val="24"/>
        </w:rPr>
        <w:t xml:space="preserve"> name. We will protect your </w:t>
      </w:r>
      <w:r>
        <w:rPr>
          <w:rFonts w:ascii="Times New Roman" w:hAnsi="Times New Roman"/>
          <w:color w:val="000000"/>
          <w:sz w:val="24"/>
          <w:szCs w:val="24"/>
        </w:rPr>
        <w:t>privacy</w:t>
      </w:r>
      <w:r w:rsidRPr="005E75B7">
        <w:rPr>
          <w:rFonts w:ascii="Times New Roman" w:hAnsi="Times New Roman"/>
          <w:color w:val="000000"/>
          <w:sz w:val="24"/>
          <w:szCs w:val="24"/>
        </w:rPr>
        <w:t xml:space="preserve"> to the </w:t>
      </w:r>
      <w:r w:rsidRPr="00FC1385">
        <w:rPr>
          <w:rFonts w:ascii="Times New Roman" w:hAnsi="Times New Roman"/>
          <w:color w:val="000000"/>
          <w:sz w:val="24"/>
          <w:szCs w:val="24"/>
        </w:rPr>
        <w:t>extent allow</w:t>
      </w:r>
      <w:r>
        <w:rPr>
          <w:rFonts w:ascii="Times New Roman" w:hAnsi="Times New Roman"/>
          <w:color w:val="000000"/>
          <w:sz w:val="24"/>
          <w:szCs w:val="24"/>
        </w:rPr>
        <w:t>ed</w:t>
      </w:r>
      <w:r w:rsidRPr="00FC1385">
        <w:rPr>
          <w:rFonts w:ascii="Times New Roman" w:hAnsi="Times New Roman"/>
          <w:color w:val="000000"/>
          <w:sz w:val="24"/>
          <w:szCs w:val="24"/>
        </w:rPr>
        <w:t xml:space="preserve"> by law.”</w:t>
      </w:r>
    </w:p>
    <w:p w:rsidR="006418B2" w:rsidRDefault="006418B2" w:rsidP="00494728">
      <w:pPr>
        <w:spacing w:after="0"/>
        <w:rPr>
          <w:rFonts w:ascii="Times New Roman" w:hAnsi="Times New Roman"/>
          <w:color w:val="000000"/>
          <w:sz w:val="24"/>
          <w:szCs w:val="24"/>
        </w:rPr>
      </w:pPr>
    </w:p>
    <w:p w:rsidR="006418B2" w:rsidRDefault="006418B2" w:rsidP="00494728">
      <w:pPr>
        <w:spacing w:after="0"/>
        <w:rPr>
          <w:rFonts w:ascii="Times New Roman" w:hAnsi="Times New Roman"/>
          <w:color w:val="000000"/>
          <w:sz w:val="24"/>
          <w:szCs w:val="24"/>
        </w:rPr>
      </w:pPr>
      <w:r>
        <w:rPr>
          <w:rFonts w:ascii="Times New Roman" w:hAnsi="Times New Roman"/>
          <w:color w:val="000000"/>
          <w:sz w:val="24"/>
          <w:szCs w:val="24"/>
        </w:rPr>
        <w:t>All responses that could identify specific respondents will be kept only by the contractor, ERG, for use in analysis. Any data received by DOL will not contain personal identifiers, thus precluding individual identification.  Public use data files produced at the end of the study will follow the current OMB checklist on confidentiality to ensure that they can be distributed to the general public for analysis without restrictions and without identification of sample members.</w:t>
      </w:r>
    </w:p>
    <w:p w:rsidR="006418B2" w:rsidRPr="00F83C7A" w:rsidRDefault="006418B2" w:rsidP="002300AB">
      <w:pPr>
        <w:pStyle w:val="OMBPackageHeading2"/>
      </w:pPr>
      <w:bookmarkStart w:id="14" w:name="_Toc322005790"/>
      <w:r>
        <w:t>Questions of a Sensitive Nature</w:t>
      </w:r>
      <w:bookmarkEnd w:id="14"/>
    </w:p>
    <w:p w:rsidR="006418B2" w:rsidRPr="009D166E" w:rsidRDefault="006418B2" w:rsidP="00494728">
      <w:pPr>
        <w:spacing w:after="0"/>
        <w:rPr>
          <w:rFonts w:ascii="Times New Roman" w:hAnsi="Times New Roman"/>
          <w:color w:val="000000"/>
          <w:sz w:val="24"/>
          <w:szCs w:val="24"/>
        </w:rPr>
      </w:pPr>
      <w:r>
        <w:rPr>
          <w:rFonts w:ascii="Times New Roman" w:hAnsi="Times New Roman"/>
          <w:color w:val="000000"/>
          <w:sz w:val="24"/>
          <w:szCs w:val="24"/>
        </w:rPr>
        <w:t>There are no questions of a sensitive nature in the survey instrument</w:t>
      </w:r>
      <w:r w:rsidRPr="009D166E">
        <w:rPr>
          <w:rFonts w:ascii="Times New Roman" w:hAnsi="Times New Roman"/>
          <w:color w:val="000000"/>
          <w:sz w:val="24"/>
          <w:szCs w:val="24"/>
        </w:rPr>
        <w:t xml:space="preserve">. </w:t>
      </w:r>
      <w:r>
        <w:rPr>
          <w:rFonts w:ascii="Times New Roman" w:hAnsi="Times New Roman"/>
          <w:color w:val="000000"/>
          <w:sz w:val="24"/>
          <w:szCs w:val="24"/>
        </w:rPr>
        <w:t>A few</w:t>
      </w:r>
      <w:r w:rsidRPr="009D166E">
        <w:rPr>
          <w:rFonts w:ascii="Times New Roman" w:hAnsi="Times New Roman"/>
          <w:color w:val="000000"/>
          <w:sz w:val="24"/>
          <w:szCs w:val="24"/>
        </w:rPr>
        <w:t xml:space="preserve"> s</w:t>
      </w:r>
      <w:r>
        <w:rPr>
          <w:rFonts w:ascii="Times New Roman" w:hAnsi="Times New Roman"/>
          <w:color w:val="000000"/>
          <w:sz w:val="24"/>
          <w:szCs w:val="24"/>
        </w:rPr>
        <w:t>urvey items ask miners for</w:t>
      </w:r>
      <w:r w:rsidRPr="009D166E">
        <w:rPr>
          <w:rFonts w:ascii="Times New Roman" w:hAnsi="Times New Roman"/>
          <w:color w:val="000000"/>
          <w:sz w:val="24"/>
          <w:szCs w:val="24"/>
        </w:rPr>
        <w:t xml:space="preserve"> frank assessments of employer attitudes and actions</w:t>
      </w:r>
      <w:r>
        <w:rPr>
          <w:rFonts w:ascii="Times New Roman" w:hAnsi="Times New Roman"/>
          <w:color w:val="000000"/>
          <w:sz w:val="24"/>
          <w:szCs w:val="24"/>
        </w:rPr>
        <w:t xml:space="preserve"> in response to the reporting of safety hazards, which might be perceived as sensitive to some individuals.</w:t>
      </w:r>
      <w:r w:rsidRPr="009D166E">
        <w:rPr>
          <w:rFonts w:ascii="Times New Roman" w:hAnsi="Times New Roman"/>
          <w:color w:val="000000"/>
          <w:sz w:val="24"/>
          <w:szCs w:val="24"/>
        </w:rPr>
        <w:t xml:space="preserve"> This information is crucial to developing a measure of miners’ voice in the workplace. </w:t>
      </w:r>
      <w:r>
        <w:rPr>
          <w:rFonts w:ascii="Times New Roman" w:hAnsi="Times New Roman"/>
          <w:color w:val="000000"/>
          <w:sz w:val="24"/>
          <w:szCs w:val="24"/>
        </w:rPr>
        <w:t xml:space="preserve">Based on an agreement between the contractor and </w:t>
      </w:r>
      <w:r>
        <w:rPr>
          <w:rFonts w:ascii="Times New Roman" w:hAnsi="Times New Roman"/>
          <w:sz w:val="24"/>
          <w:szCs w:val="24"/>
        </w:rPr>
        <w:t>CEO</w:t>
      </w:r>
      <w:r w:rsidRPr="009D166E">
        <w:rPr>
          <w:rFonts w:ascii="Times New Roman" w:hAnsi="Times New Roman"/>
          <w:color w:val="000000"/>
          <w:sz w:val="24"/>
          <w:szCs w:val="24"/>
        </w:rPr>
        <w:t xml:space="preserve">, the identity of </w:t>
      </w:r>
      <w:r w:rsidRPr="00830E11">
        <w:rPr>
          <w:rFonts w:ascii="Times New Roman" w:hAnsi="Times New Roman"/>
          <w:sz w:val="24"/>
          <w:szCs w:val="24"/>
        </w:rPr>
        <w:t>individual</w:t>
      </w:r>
      <w:r w:rsidRPr="009D166E">
        <w:rPr>
          <w:rFonts w:ascii="Times New Roman" w:hAnsi="Times New Roman"/>
          <w:color w:val="000000"/>
          <w:sz w:val="24"/>
          <w:szCs w:val="24"/>
        </w:rPr>
        <w:t xml:space="preserve"> respondents (and non-respondents), as well as each individual’s responses to specific survey items, will be </w:t>
      </w:r>
      <w:r>
        <w:rPr>
          <w:rFonts w:ascii="Times New Roman" w:hAnsi="Times New Roman"/>
          <w:color w:val="000000"/>
          <w:sz w:val="24"/>
          <w:szCs w:val="24"/>
        </w:rPr>
        <w:t>kept private and all survey materials will emphasize this</w:t>
      </w:r>
      <w:r w:rsidRPr="009D166E">
        <w:rPr>
          <w:rFonts w:ascii="Times New Roman" w:hAnsi="Times New Roman"/>
          <w:color w:val="000000"/>
          <w:sz w:val="24"/>
          <w:szCs w:val="24"/>
        </w:rPr>
        <w:t>. No individual will be identified as a respondent to MSHA, DOL, union officials, or employers.</w:t>
      </w:r>
      <w:r>
        <w:rPr>
          <w:rFonts w:ascii="Times New Roman" w:hAnsi="Times New Roman"/>
          <w:color w:val="000000"/>
          <w:sz w:val="24"/>
          <w:szCs w:val="24"/>
        </w:rPr>
        <w:t xml:space="preserve"> Additionally, survey questions were pretested through cognitive interviews with a small set of individuals with experience working in the coal mining industry in order to identify and refine questions that might be problematic for potential respondents.</w:t>
      </w:r>
    </w:p>
    <w:p w:rsidR="006418B2" w:rsidRPr="00F83C7A" w:rsidRDefault="006418B2" w:rsidP="002300AB">
      <w:pPr>
        <w:pStyle w:val="OMBPackageHeading2"/>
      </w:pPr>
      <w:bookmarkStart w:id="15" w:name="_Toc322005791"/>
      <w:r>
        <w:lastRenderedPageBreak/>
        <w:t>Hour Burden of the Collection of Information.</w:t>
      </w:r>
      <w:bookmarkEnd w:id="15"/>
    </w:p>
    <w:p w:rsidR="006418B2" w:rsidRPr="008A0763" w:rsidRDefault="006418B2" w:rsidP="00A832DE">
      <w:pPr>
        <w:spacing w:after="0"/>
        <w:rPr>
          <w:rFonts w:ascii="Times New Roman" w:hAnsi="Times New Roman"/>
          <w:color w:val="000000"/>
          <w:sz w:val="24"/>
          <w:szCs w:val="24"/>
        </w:rPr>
      </w:pPr>
      <w:r w:rsidRPr="008A0763">
        <w:rPr>
          <w:rFonts w:ascii="Times New Roman" w:hAnsi="Times New Roman"/>
          <w:color w:val="000000"/>
          <w:sz w:val="24"/>
          <w:szCs w:val="24"/>
        </w:rPr>
        <w:t xml:space="preserve">The total burden of this information collection is estimated at </w:t>
      </w:r>
      <w:r w:rsidR="007D7C51">
        <w:rPr>
          <w:rFonts w:ascii="Times New Roman" w:hAnsi="Times New Roman"/>
          <w:color w:val="000000"/>
          <w:sz w:val="24"/>
          <w:szCs w:val="24"/>
        </w:rPr>
        <w:t>104.17</w:t>
      </w:r>
      <w:r w:rsidRPr="008A0763">
        <w:rPr>
          <w:rFonts w:ascii="Times New Roman" w:hAnsi="Times New Roman"/>
          <w:color w:val="000000"/>
          <w:sz w:val="24"/>
          <w:szCs w:val="24"/>
        </w:rPr>
        <w:t xml:space="preserve"> hours, as outlined in the table below. </w:t>
      </w:r>
    </w:p>
    <w:p w:rsidR="006418B2" w:rsidRPr="008A0763" w:rsidRDefault="006418B2" w:rsidP="001F7320">
      <w:pPr>
        <w:spacing w:after="0"/>
        <w:rPr>
          <w:rFonts w:ascii="Times New Roman" w:hAnsi="Times New Roman"/>
          <w:sz w:val="24"/>
          <w:szCs w:val="24"/>
        </w:rPr>
      </w:pPr>
    </w:p>
    <w:p w:rsidR="006418B2" w:rsidRPr="008A0763" w:rsidRDefault="006418B2" w:rsidP="00A832DE">
      <w:pPr>
        <w:pStyle w:val="Caption"/>
        <w:rPr>
          <w:szCs w:val="24"/>
        </w:rPr>
      </w:pPr>
      <w:bookmarkStart w:id="16" w:name="_Toc320893936"/>
      <w:r w:rsidRPr="008A0763">
        <w:t xml:space="preserve">Table </w:t>
      </w:r>
      <w:r w:rsidR="00C751F3">
        <w:fldChar w:fldCharType="begin"/>
      </w:r>
      <w:r w:rsidR="00072CDB">
        <w:instrText xml:space="preserve"> SEQ Table \* ARABIC </w:instrText>
      </w:r>
      <w:r w:rsidR="00C751F3">
        <w:fldChar w:fldCharType="separate"/>
      </w:r>
      <w:r w:rsidR="003F2F95">
        <w:rPr>
          <w:noProof/>
        </w:rPr>
        <w:t>2</w:t>
      </w:r>
      <w:r w:rsidR="00C751F3">
        <w:rPr>
          <w:noProof/>
        </w:rPr>
        <w:fldChar w:fldCharType="end"/>
      </w:r>
      <w:r w:rsidRPr="008A0763">
        <w:t>.  Estimation of burden hours by data gathering technique.</w:t>
      </w:r>
      <w:bookmarkEnd w:id="16"/>
    </w:p>
    <w:tbl>
      <w:tblPr>
        <w:tblW w:w="0" w:type="auto"/>
        <w:tblBorders>
          <w:top w:val="single" w:sz="12" w:space="0" w:color="365F91"/>
          <w:bottom w:val="single" w:sz="12" w:space="0" w:color="365F91"/>
          <w:insideH w:val="single" w:sz="2" w:space="0" w:color="auto"/>
        </w:tblBorders>
        <w:tblLook w:val="00A0" w:firstRow="1" w:lastRow="0" w:firstColumn="1" w:lastColumn="0" w:noHBand="0" w:noVBand="0"/>
      </w:tblPr>
      <w:tblGrid>
        <w:gridCol w:w="1368"/>
        <w:gridCol w:w="2340"/>
        <w:gridCol w:w="1416"/>
        <w:gridCol w:w="1440"/>
        <w:gridCol w:w="1464"/>
        <w:gridCol w:w="1398"/>
      </w:tblGrid>
      <w:tr w:rsidR="006418B2" w:rsidRPr="008A0763" w:rsidTr="00ED0E75">
        <w:trPr>
          <w:cantSplit/>
          <w:tblHeader/>
        </w:trPr>
        <w:tc>
          <w:tcPr>
            <w:tcW w:w="1368" w:type="dxa"/>
            <w:tcBorders>
              <w:top w:val="single" w:sz="12" w:space="0" w:color="365F91"/>
            </w:tcBorders>
            <w:vAlign w:val="center"/>
          </w:tcPr>
          <w:p w:rsidR="006418B2" w:rsidRPr="008A0763" w:rsidRDefault="006418B2" w:rsidP="00A832DE">
            <w:pPr>
              <w:spacing w:after="0" w:line="240" w:lineRule="auto"/>
              <w:jc w:val="center"/>
              <w:rPr>
                <w:rFonts w:cs="Calibri"/>
                <w:b/>
              </w:rPr>
            </w:pPr>
            <w:r w:rsidRPr="008A0763">
              <w:rPr>
                <w:rFonts w:cs="Calibri"/>
                <w:b/>
              </w:rPr>
              <w:t>Type of Respondent</w:t>
            </w:r>
          </w:p>
        </w:tc>
        <w:tc>
          <w:tcPr>
            <w:tcW w:w="2340" w:type="dxa"/>
            <w:tcBorders>
              <w:top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Form Name</w:t>
            </w:r>
          </w:p>
        </w:tc>
        <w:tc>
          <w:tcPr>
            <w:tcW w:w="1416" w:type="dxa"/>
            <w:tcBorders>
              <w:top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No. of Respondents</w:t>
            </w:r>
          </w:p>
        </w:tc>
        <w:tc>
          <w:tcPr>
            <w:tcW w:w="1440" w:type="dxa"/>
            <w:tcBorders>
              <w:top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No. Responses per Respondent</w:t>
            </w:r>
          </w:p>
        </w:tc>
        <w:tc>
          <w:tcPr>
            <w:tcW w:w="1464" w:type="dxa"/>
            <w:tcBorders>
              <w:top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Average Burden per Response (in hours)</w:t>
            </w:r>
          </w:p>
        </w:tc>
        <w:tc>
          <w:tcPr>
            <w:tcW w:w="1398" w:type="dxa"/>
            <w:tcBorders>
              <w:top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Total Burden Hours</w:t>
            </w:r>
          </w:p>
        </w:tc>
      </w:tr>
      <w:tr w:rsidR="006418B2" w:rsidRPr="008A0763" w:rsidTr="00ED0E75">
        <w:trPr>
          <w:cantSplit/>
        </w:trPr>
        <w:tc>
          <w:tcPr>
            <w:tcW w:w="1368" w:type="dxa"/>
            <w:vAlign w:val="center"/>
          </w:tcPr>
          <w:p w:rsidR="006418B2" w:rsidRPr="008A0763" w:rsidRDefault="006418B2" w:rsidP="001D4D67">
            <w:pPr>
              <w:spacing w:after="0" w:line="240" w:lineRule="auto"/>
              <w:rPr>
                <w:rFonts w:cs="Calibri"/>
              </w:rPr>
            </w:pPr>
            <w:r w:rsidRPr="008A0763">
              <w:rPr>
                <w:rFonts w:cs="Calibri"/>
              </w:rPr>
              <w:t>Coal Miners</w:t>
            </w:r>
          </w:p>
        </w:tc>
        <w:tc>
          <w:tcPr>
            <w:tcW w:w="2340" w:type="dxa"/>
            <w:vAlign w:val="center"/>
          </w:tcPr>
          <w:p w:rsidR="006418B2" w:rsidRPr="008A0763" w:rsidRDefault="006418B2" w:rsidP="003A6B92">
            <w:pPr>
              <w:spacing w:after="0" w:line="240" w:lineRule="auto"/>
              <w:rPr>
                <w:rFonts w:cs="Calibri"/>
              </w:rPr>
            </w:pPr>
            <w:r w:rsidRPr="008A0763">
              <w:rPr>
                <w:rFonts w:cs="Calibri"/>
              </w:rPr>
              <w:t>Pilot Survey of Miners’ Voice in the Workplace (</w:t>
            </w:r>
            <w:r>
              <w:rPr>
                <w:rFonts w:cs="Calibri"/>
              </w:rPr>
              <w:t>Ad R</w:t>
            </w:r>
            <w:r w:rsidRPr="008A0763">
              <w:rPr>
                <w:rFonts w:cs="Calibri"/>
              </w:rPr>
              <w:t>ecruitment)</w:t>
            </w:r>
          </w:p>
        </w:tc>
        <w:tc>
          <w:tcPr>
            <w:tcW w:w="1416" w:type="dxa"/>
            <w:vAlign w:val="center"/>
          </w:tcPr>
          <w:p w:rsidR="006418B2" w:rsidRPr="008A0763" w:rsidRDefault="006418B2" w:rsidP="001D4D67">
            <w:pPr>
              <w:spacing w:after="0" w:line="240" w:lineRule="auto"/>
              <w:jc w:val="center"/>
              <w:rPr>
                <w:rFonts w:cs="Calibri"/>
              </w:rPr>
            </w:pPr>
            <w:r w:rsidRPr="008A0763">
              <w:rPr>
                <w:rFonts w:cs="Calibri"/>
              </w:rPr>
              <w:t>125</w:t>
            </w:r>
          </w:p>
        </w:tc>
        <w:tc>
          <w:tcPr>
            <w:tcW w:w="1440" w:type="dxa"/>
            <w:vAlign w:val="center"/>
          </w:tcPr>
          <w:p w:rsidR="006418B2" w:rsidRPr="008A0763" w:rsidRDefault="006418B2" w:rsidP="001D4D67">
            <w:pPr>
              <w:spacing w:after="0" w:line="240" w:lineRule="auto"/>
              <w:jc w:val="center"/>
              <w:rPr>
                <w:rFonts w:cs="Calibri"/>
              </w:rPr>
            </w:pPr>
            <w:r w:rsidRPr="008A0763">
              <w:rPr>
                <w:rFonts w:cs="Calibri"/>
              </w:rPr>
              <w:t>1</w:t>
            </w:r>
          </w:p>
        </w:tc>
        <w:tc>
          <w:tcPr>
            <w:tcW w:w="1464" w:type="dxa"/>
            <w:vAlign w:val="center"/>
          </w:tcPr>
          <w:p w:rsidR="006418B2" w:rsidRPr="008A0763" w:rsidRDefault="006418B2" w:rsidP="001D4D67">
            <w:pPr>
              <w:spacing w:after="0" w:line="240" w:lineRule="auto"/>
              <w:jc w:val="center"/>
              <w:rPr>
                <w:rFonts w:cs="Calibri"/>
              </w:rPr>
            </w:pPr>
            <w:r w:rsidRPr="008A0763">
              <w:rPr>
                <w:rFonts w:cs="Calibri"/>
              </w:rPr>
              <w:t>25/60</w:t>
            </w:r>
          </w:p>
        </w:tc>
        <w:tc>
          <w:tcPr>
            <w:tcW w:w="1398" w:type="dxa"/>
            <w:vAlign w:val="center"/>
          </w:tcPr>
          <w:p w:rsidR="006418B2" w:rsidRPr="008A0763" w:rsidRDefault="006418B2" w:rsidP="001D4D67">
            <w:pPr>
              <w:spacing w:after="0" w:line="240" w:lineRule="auto"/>
              <w:jc w:val="center"/>
              <w:rPr>
                <w:rFonts w:cs="Calibri"/>
              </w:rPr>
            </w:pPr>
            <w:r w:rsidRPr="008A0763">
              <w:rPr>
                <w:rFonts w:cs="Calibri"/>
              </w:rPr>
              <w:t>52.08</w:t>
            </w:r>
          </w:p>
        </w:tc>
      </w:tr>
      <w:tr w:rsidR="006418B2" w:rsidRPr="008A0763" w:rsidTr="00ED0E75">
        <w:trPr>
          <w:cantSplit/>
        </w:trPr>
        <w:tc>
          <w:tcPr>
            <w:tcW w:w="1368" w:type="dxa"/>
            <w:vAlign w:val="center"/>
          </w:tcPr>
          <w:p w:rsidR="006418B2" w:rsidRPr="008A0763" w:rsidRDefault="006418B2" w:rsidP="001D4D67">
            <w:pPr>
              <w:spacing w:after="0" w:line="240" w:lineRule="auto"/>
              <w:rPr>
                <w:rFonts w:cs="Calibri"/>
              </w:rPr>
            </w:pPr>
            <w:r w:rsidRPr="008A0763">
              <w:rPr>
                <w:rFonts w:cs="Calibri"/>
              </w:rPr>
              <w:t>Coal Miners</w:t>
            </w:r>
          </w:p>
        </w:tc>
        <w:tc>
          <w:tcPr>
            <w:tcW w:w="2340" w:type="dxa"/>
            <w:vAlign w:val="center"/>
          </w:tcPr>
          <w:p w:rsidR="006418B2" w:rsidRPr="008A0763" w:rsidRDefault="006418B2" w:rsidP="00A832DE">
            <w:pPr>
              <w:spacing w:after="0" w:line="240" w:lineRule="auto"/>
              <w:rPr>
                <w:rFonts w:cs="Calibri"/>
              </w:rPr>
            </w:pPr>
            <w:r w:rsidRPr="008A0763">
              <w:rPr>
                <w:rFonts w:cs="Calibri"/>
              </w:rPr>
              <w:t>Pilot Survey of Miners’ Voice in the Workplace (Paper Survey)</w:t>
            </w:r>
          </w:p>
        </w:tc>
        <w:tc>
          <w:tcPr>
            <w:tcW w:w="1416" w:type="dxa"/>
            <w:vAlign w:val="center"/>
          </w:tcPr>
          <w:p w:rsidR="006418B2" w:rsidRPr="008A0763" w:rsidRDefault="006418B2" w:rsidP="00A832DE">
            <w:pPr>
              <w:spacing w:after="0" w:line="240" w:lineRule="auto"/>
              <w:jc w:val="center"/>
              <w:rPr>
                <w:rFonts w:cs="Calibri"/>
              </w:rPr>
            </w:pPr>
            <w:r w:rsidRPr="008A0763">
              <w:rPr>
                <w:rFonts w:cs="Calibri"/>
              </w:rPr>
              <w:t>125</w:t>
            </w:r>
          </w:p>
        </w:tc>
        <w:tc>
          <w:tcPr>
            <w:tcW w:w="1440" w:type="dxa"/>
            <w:vAlign w:val="center"/>
          </w:tcPr>
          <w:p w:rsidR="006418B2" w:rsidRPr="008A0763" w:rsidRDefault="006418B2" w:rsidP="001D4D67">
            <w:pPr>
              <w:spacing w:after="0" w:line="240" w:lineRule="auto"/>
              <w:jc w:val="center"/>
              <w:rPr>
                <w:rFonts w:cs="Calibri"/>
              </w:rPr>
            </w:pPr>
            <w:r w:rsidRPr="008A0763">
              <w:rPr>
                <w:rFonts w:cs="Calibri"/>
              </w:rPr>
              <w:t>1</w:t>
            </w:r>
          </w:p>
        </w:tc>
        <w:tc>
          <w:tcPr>
            <w:tcW w:w="1464" w:type="dxa"/>
            <w:vAlign w:val="center"/>
          </w:tcPr>
          <w:p w:rsidR="006418B2" w:rsidRPr="008A0763" w:rsidRDefault="006418B2" w:rsidP="001D4D67">
            <w:pPr>
              <w:spacing w:after="0" w:line="240" w:lineRule="auto"/>
              <w:jc w:val="center"/>
              <w:rPr>
                <w:rFonts w:cs="Calibri"/>
              </w:rPr>
            </w:pPr>
            <w:r w:rsidRPr="008A0763">
              <w:rPr>
                <w:rFonts w:cs="Calibri"/>
              </w:rPr>
              <w:t>25/60</w:t>
            </w:r>
          </w:p>
        </w:tc>
        <w:tc>
          <w:tcPr>
            <w:tcW w:w="1398" w:type="dxa"/>
            <w:vAlign w:val="center"/>
          </w:tcPr>
          <w:p w:rsidR="006418B2" w:rsidRPr="008A0763" w:rsidRDefault="006418B2" w:rsidP="001D4D67">
            <w:pPr>
              <w:spacing w:after="0" w:line="240" w:lineRule="auto"/>
              <w:jc w:val="center"/>
              <w:rPr>
                <w:rFonts w:cs="Calibri"/>
              </w:rPr>
            </w:pPr>
            <w:r w:rsidRPr="008A0763">
              <w:rPr>
                <w:rFonts w:cs="Calibri"/>
              </w:rPr>
              <w:t>52.08</w:t>
            </w:r>
          </w:p>
        </w:tc>
      </w:tr>
      <w:tr w:rsidR="006418B2" w:rsidRPr="00A832DE" w:rsidTr="00ED0E75">
        <w:trPr>
          <w:cantSplit/>
        </w:trPr>
        <w:tc>
          <w:tcPr>
            <w:tcW w:w="1368" w:type="dxa"/>
            <w:tcBorders>
              <w:bottom w:val="single" w:sz="12" w:space="0" w:color="365F91"/>
            </w:tcBorders>
            <w:vAlign w:val="center"/>
          </w:tcPr>
          <w:p w:rsidR="006418B2" w:rsidRPr="008A0763" w:rsidRDefault="006418B2" w:rsidP="001D4D67">
            <w:pPr>
              <w:spacing w:after="0" w:line="240" w:lineRule="auto"/>
              <w:rPr>
                <w:rFonts w:cs="Calibri"/>
                <w:b/>
              </w:rPr>
            </w:pPr>
            <w:r w:rsidRPr="008A0763">
              <w:rPr>
                <w:rFonts w:cs="Calibri"/>
                <w:b/>
              </w:rPr>
              <w:t>Total</w:t>
            </w:r>
          </w:p>
        </w:tc>
        <w:tc>
          <w:tcPr>
            <w:tcW w:w="2340" w:type="dxa"/>
            <w:tcBorders>
              <w:bottom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All</w:t>
            </w:r>
          </w:p>
        </w:tc>
        <w:tc>
          <w:tcPr>
            <w:tcW w:w="1416" w:type="dxa"/>
            <w:tcBorders>
              <w:bottom w:val="single" w:sz="12" w:space="0" w:color="365F91"/>
            </w:tcBorders>
            <w:vAlign w:val="center"/>
          </w:tcPr>
          <w:p w:rsidR="006418B2" w:rsidRPr="008A0763" w:rsidRDefault="007D7C51" w:rsidP="007D7C51">
            <w:pPr>
              <w:spacing w:after="0" w:line="240" w:lineRule="auto"/>
              <w:jc w:val="center"/>
              <w:rPr>
                <w:rFonts w:cs="Calibri"/>
                <w:b/>
              </w:rPr>
            </w:pPr>
            <w:r>
              <w:rPr>
                <w:rFonts w:cs="Calibri"/>
                <w:b/>
              </w:rPr>
              <w:t>250</w:t>
            </w:r>
          </w:p>
        </w:tc>
        <w:tc>
          <w:tcPr>
            <w:tcW w:w="1440" w:type="dxa"/>
            <w:tcBorders>
              <w:bottom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1</w:t>
            </w:r>
          </w:p>
        </w:tc>
        <w:tc>
          <w:tcPr>
            <w:tcW w:w="1464" w:type="dxa"/>
            <w:tcBorders>
              <w:bottom w:val="single" w:sz="12" w:space="0" w:color="365F91"/>
            </w:tcBorders>
            <w:vAlign w:val="center"/>
          </w:tcPr>
          <w:p w:rsidR="006418B2" w:rsidRPr="008A0763" w:rsidRDefault="006418B2" w:rsidP="001D4D67">
            <w:pPr>
              <w:spacing w:after="0" w:line="240" w:lineRule="auto"/>
              <w:jc w:val="center"/>
              <w:rPr>
                <w:rFonts w:cs="Calibri"/>
                <w:b/>
              </w:rPr>
            </w:pPr>
            <w:r w:rsidRPr="008A0763">
              <w:rPr>
                <w:rFonts w:cs="Calibri"/>
                <w:b/>
              </w:rPr>
              <w:t>25/60</w:t>
            </w:r>
          </w:p>
        </w:tc>
        <w:tc>
          <w:tcPr>
            <w:tcW w:w="1398" w:type="dxa"/>
            <w:tcBorders>
              <w:bottom w:val="single" w:sz="12" w:space="0" w:color="365F91"/>
            </w:tcBorders>
            <w:vAlign w:val="center"/>
          </w:tcPr>
          <w:p w:rsidR="006418B2" w:rsidRPr="00A832DE" w:rsidRDefault="007D7C51" w:rsidP="001D4D67">
            <w:pPr>
              <w:spacing w:after="0" w:line="240" w:lineRule="auto"/>
              <w:jc w:val="center"/>
              <w:rPr>
                <w:rFonts w:cs="Calibri"/>
                <w:b/>
              </w:rPr>
            </w:pPr>
            <w:r>
              <w:rPr>
                <w:rFonts w:cs="Calibri"/>
                <w:b/>
              </w:rPr>
              <w:t>104.17</w:t>
            </w:r>
          </w:p>
        </w:tc>
      </w:tr>
    </w:tbl>
    <w:p w:rsidR="006418B2" w:rsidRPr="007349FB" w:rsidRDefault="006418B2" w:rsidP="006851D1">
      <w:pPr>
        <w:spacing w:after="0" w:line="360" w:lineRule="auto"/>
        <w:rPr>
          <w:rFonts w:cs="Calibri"/>
          <w:sz w:val="24"/>
        </w:rPr>
      </w:pPr>
    </w:p>
    <w:p w:rsidR="006418B2" w:rsidRPr="00A832DE" w:rsidRDefault="006418B2" w:rsidP="00A832DE">
      <w:pPr>
        <w:spacing w:after="0"/>
        <w:rPr>
          <w:rFonts w:ascii="Times New Roman" w:hAnsi="Times New Roman"/>
          <w:color w:val="000000"/>
          <w:sz w:val="24"/>
          <w:szCs w:val="24"/>
        </w:rPr>
      </w:pPr>
      <w:r w:rsidRPr="00A832DE">
        <w:rPr>
          <w:rFonts w:ascii="Times New Roman" w:hAnsi="Times New Roman"/>
          <w:color w:val="000000"/>
          <w:sz w:val="24"/>
          <w:szCs w:val="24"/>
        </w:rPr>
        <w:t>The annualized cost to respondents was estimated to be the burden hours estimate multiplied by the median hourly wage estimate (Source: Oc</w:t>
      </w:r>
      <w:r>
        <w:rPr>
          <w:rFonts w:ascii="Times New Roman" w:hAnsi="Times New Roman"/>
          <w:color w:val="000000"/>
          <w:sz w:val="24"/>
          <w:szCs w:val="24"/>
        </w:rPr>
        <w:t>cupational Employment Statistics, Bureau of Labor Statistics). DOL used t</w:t>
      </w:r>
      <w:r w:rsidRPr="00A832DE">
        <w:rPr>
          <w:rFonts w:ascii="Times New Roman" w:hAnsi="Times New Roman"/>
          <w:color w:val="000000"/>
          <w:sz w:val="24"/>
          <w:szCs w:val="24"/>
        </w:rPr>
        <w:t xml:space="preserve">he median wage estimate </w:t>
      </w:r>
      <w:r w:rsidRPr="0049490B">
        <w:rPr>
          <w:rFonts w:ascii="Times New Roman" w:hAnsi="Times New Roman"/>
          <w:color w:val="000000"/>
          <w:sz w:val="24"/>
          <w:szCs w:val="24"/>
        </w:rPr>
        <w:t xml:space="preserve">($21.13) </w:t>
      </w:r>
      <w:r w:rsidRPr="00A832DE">
        <w:rPr>
          <w:rFonts w:ascii="Times New Roman" w:hAnsi="Times New Roman"/>
          <w:color w:val="000000"/>
          <w:sz w:val="24"/>
          <w:szCs w:val="24"/>
        </w:rPr>
        <w:t xml:space="preserve">for </w:t>
      </w:r>
      <w:r>
        <w:rPr>
          <w:rFonts w:ascii="Times New Roman" w:hAnsi="Times New Roman"/>
          <w:color w:val="000000"/>
          <w:sz w:val="24"/>
          <w:szCs w:val="24"/>
        </w:rPr>
        <w:t>Mining Machine Operator (SOC 475049) because this wage falls in the middle of the range of wages for coal mining occupations</w:t>
      </w:r>
      <w:r w:rsidRPr="00A832DE">
        <w:rPr>
          <w:rFonts w:ascii="Times New Roman" w:hAnsi="Times New Roman"/>
          <w:color w:val="000000"/>
          <w:sz w:val="24"/>
          <w:szCs w:val="24"/>
        </w:rPr>
        <w:t>.</w:t>
      </w:r>
      <w:r>
        <w:rPr>
          <w:rStyle w:val="FootnoteReference"/>
          <w:rFonts w:ascii="Times New Roman" w:hAnsi="Times New Roman"/>
          <w:color w:val="000000"/>
          <w:sz w:val="24"/>
          <w:szCs w:val="24"/>
        </w:rPr>
        <w:footnoteReference w:id="5"/>
      </w:r>
      <w:r w:rsidRPr="00A832DE">
        <w:rPr>
          <w:rFonts w:ascii="Times New Roman" w:hAnsi="Times New Roman"/>
          <w:color w:val="000000"/>
          <w:sz w:val="24"/>
          <w:szCs w:val="24"/>
        </w:rPr>
        <w:t xml:space="preserve"> </w:t>
      </w:r>
      <w:r>
        <w:rPr>
          <w:rFonts w:ascii="Times New Roman" w:hAnsi="Times New Roman"/>
          <w:color w:val="000000"/>
          <w:sz w:val="24"/>
          <w:szCs w:val="24"/>
        </w:rPr>
        <w:t>DOL multiplied this median wage by 1.4 to capture benefits, resulting in a loaded hourly median wage rate of $29.58.</w:t>
      </w:r>
    </w:p>
    <w:p w:rsidR="006418B2" w:rsidRDefault="006418B2" w:rsidP="006851D1">
      <w:pPr>
        <w:spacing w:after="0" w:line="360" w:lineRule="auto"/>
        <w:rPr>
          <w:rFonts w:cs="Calibri"/>
          <w:sz w:val="24"/>
        </w:rPr>
      </w:pPr>
    </w:p>
    <w:p w:rsidR="006418B2" w:rsidRPr="007349FB" w:rsidRDefault="006418B2" w:rsidP="00A832DE">
      <w:pPr>
        <w:pStyle w:val="Caption"/>
        <w:rPr>
          <w:rFonts w:cs="Calibri"/>
          <w:sz w:val="24"/>
        </w:rPr>
      </w:pPr>
      <w:bookmarkStart w:id="17" w:name="_Toc320893937"/>
      <w:r>
        <w:t xml:space="preserve">Table </w:t>
      </w:r>
      <w:r w:rsidR="00C751F3">
        <w:fldChar w:fldCharType="begin"/>
      </w:r>
      <w:r w:rsidR="00072CDB">
        <w:instrText xml:space="preserve"> SEQ Table \* ARABIC </w:instrText>
      </w:r>
      <w:r w:rsidR="00C751F3">
        <w:fldChar w:fldCharType="separate"/>
      </w:r>
      <w:r w:rsidR="003F2F95">
        <w:rPr>
          <w:noProof/>
        </w:rPr>
        <w:t>3</w:t>
      </w:r>
      <w:r w:rsidR="00C751F3">
        <w:rPr>
          <w:noProof/>
        </w:rPr>
        <w:fldChar w:fldCharType="end"/>
      </w:r>
      <w:r>
        <w:t>. Annualized cost to respondents.</w:t>
      </w:r>
      <w:bookmarkEnd w:id="17"/>
    </w:p>
    <w:tbl>
      <w:tblPr>
        <w:tblW w:w="0" w:type="auto"/>
        <w:tblBorders>
          <w:top w:val="single" w:sz="12" w:space="0" w:color="365F91"/>
          <w:bottom w:val="single" w:sz="12" w:space="0" w:color="365F91"/>
          <w:insideH w:val="single" w:sz="4" w:space="0" w:color="auto"/>
        </w:tblBorders>
        <w:tblLook w:val="00A0" w:firstRow="1" w:lastRow="0" w:firstColumn="1" w:lastColumn="0" w:noHBand="0" w:noVBand="0"/>
      </w:tblPr>
      <w:tblGrid>
        <w:gridCol w:w="2394"/>
        <w:gridCol w:w="2394"/>
        <w:gridCol w:w="2394"/>
        <w:gridCol w:w="2394"/>
      </w:tblGrid>
      <w:tr w:rsidR="006418B2" w:rsidRPr="00A832DE" w:rsidTr="00ED0E75">
        <w:tc>
          <w:tcPr>
            <w:tcW w:w="2394" w:type="dxa"/>
            <w:tcBorders>
              <w:top w:val="single" w:sz="12" w:space="0" w:color="365F91"/>
            </w:tcBorders>
            <w:vAlign w:val="center"/>
          </w:tcPr>
          <w:p w:rsidR="006418B2" w:rsidRPr="00A832DE" w:rsidRDefault="006418B2" w:rsidP="001D4D67">
            <w:pPr>
              <w:spacing w:after="0" w:line="240" w:lineRule="auto"/>
              <w:rPr>
                <w:rFonts w:cs="Calibri"/>
                <w:b/>
              </w:rPr>
            </w:pPr>
            <w:r w:rsidRPr="00A832DE">
              <w:rPr>
                <w:rFonts w:cs="Calibri"/>
                <w:b/>
              </w:rPr>
              <w:t>Type of Respondent</w:t>
            </w:r>
          </w:p>
        </w:tc>
        <w:tc>
          <w:tcPr>
            <w:tcW w:w="2394" w:type="dxa"/>
            <w:tcBorders>
              <w:top w:val="single" w:sz="12" w:space="0" w:color="365F91"/>
            </w:tcBorders>
            <w:vAlign w:val="center"/>
          </w:tcPr>
          <w:p w:rsidR="006418B2" w:rsidRPr="00A832DE" w:rsidRDefault="006418B2" w:rsidP="001D4D67">
            <w:pPr>
              <w:spacing w:after="0" w:line="240" w:lineRule="auto"/>
              <w:jc w:val="center"/>
              <w:rPr>
                <w:rFonts w:cs="Calibri"/>
                <w:b/>
              </w:rPr>
            </w:pPr>
            <w:r w:rsidRPr="00A832DE">
              <w:rPr>
                <w:rFonts w:cs="Calibri"/>
                <w:b/>
              </w:rPr>
              <w:t>Total Burden Hours</w:t>
            </w:r>
          </w:p>
        </w:tc>
        <w:tc>
          <w:tcPr>
            <w:tcW w:w="2394" w:type="dxa"/>
            <w:tcBorders>
              <w:top w:val="single" w:sz="12" w:space="0" w:color="365F91"/>
            </w:tcBorders>
            <w:vAlign w:val="center"/>
          </w:tcPr>
          <w:p w:rsidR="006418B2" w:rsidRPr="00A832DE" w:rsidRDefault="006418B2" w:rsidP="001D4D67">
            <w:pPr>
              <w:spacing w:after="0" w:line="240" w:lineRule="auto"/>
              <w:jc w:val="center"/>
              <w:rPr>
                <w:rFonts w:cs="Calibri"/>
                <w:b/>
              </w:rPr>
            </w:pPr>
            <w:r w:rsidRPr="00A832DE">
              <w:rPr>
                <w:rFonts w:cs="Calibri"/>
                <w:b/>
              </w:rPr>
              <w:t>Hourly Wage Rate</w:t>
            </w:r>
            <w:r w:rsidRPr="00A832DE">
              <w:rPr>
                <w:rStyle w:val="FootnoteReference"/>
                <w:rFonts w:cs="Calibri"/>
                <w:b/>
              </w:rPr>
              <w:footnoteReference w:id="6"/>
            </w:r>
          </w:p>
        </w:tc>
        <w:tc>
          <w:tcPr>
            <w:tcW w:w="2394" w:type="dxa"/>
            <w:tcBorders>
              <w:top w:val="single" w:sz="12" w:space="0" w:color="365F91"/>
            </w:tcBorders>
            <w:vAlign w:val="center"/>
          </w:tcPr>
          <w:p w:rsidR="006418B2" w:rsidRPr="00A832DE" w:rsidRDefault="006418B2" w:rsidP="001D4D67">
            <w:pPr>
              <w:spacing w:after="0" w:line="240" w:lineRule="auto"/>
              <w:jc w:val="center"/>
              <w:rPr>
                <w:rFonts w:cs="Calibri"/>
                <w:b/>
              </w:rPr>
            </w:pPr>
            <w:r w:rsidRPr="00A832DE">
              <w:rPr>
                <w:rFonts w:cs="Calibri"/>
                <w:b/>
              </w:rPr>
              <w:t>Total Respondent Costs</w:t>
            </w:r>
          </w:p>
        </w:tc>
      </w:tr>
      <w:tr w:rsidR="006418B2" w:rsidRPr="00A832DE" w:rsidTr="00ED0E75">
        <w:tc>
          <w:tcPr>
            <w:tcW w:w="2394" w:type="dxa"/>
            <w:tcBorders>
              <w:bottom w:val="single" w:sz="12" w:space="0" w:color="365F91"/>
            </w:tcBorders>
            <w:vAlign w:val="center"/>
          </w:tcPr>
          <w:p w:rsidR="006418B2" w:rsidRPr="00A832DE" w:rsidRDefault="006418B2" w:rsidP="001D4D67">
            <w:pPr>
              <w:spacing w:after="0" w:line="240" w:lineRule="auto"/>
              <w:rPr>
                <w:rFonts w:cs="Calibri"/>
              </w:rPr>
            </w:pPr>
            <w:r w:rsidRPr="00A832DE">
              <w:rPr>
                <w:rFonts w:cs="Calibri"/>
              </w:rPr>
              <w:t>Coal Miners</w:t>
            </w:r>
          </w:p>
        </w:tc>
        <w:tc>
          <w:tcPr>
            <w:tcW w:w="2394" w:type="dxa"/>
            <w:tcBorders>
              <w:bottom w:val="single" w:sz="12" w:space="0" w:color="365F91"/>
            </w:tcBorders>
            <w:vAlign w:val="center"/>
          </w:tcPr>
          <w:p w:rsidR="006418B2" w:rsidRPr="00A832DE" w:rsidRDefault="00332711" w:rsidP="001D4D67">
            <w:pPr>
              <w:spacing w:after="0" w:line="240" w:lineRule="auto"/>
              <w:jc w:val="center"/>
              <w:rPr>
                <w:rFonts w:cs="Calibri"/>
              </w:rPr>
            </w:pPr>
            <w:r>
              <w:rPr>
                <w:rFonts w:cs="Calibri"/>
              </w:rPr>
              <w:t>104.17</w:t>
            </w:r>
          </w:p>
        </w:tc>
        <w:tc>
          <w:tcPr>
            <w:tcW w:w="2394" w:type="dxa"/>
            <w:tcBorders>
              <w:bottom w:val="single" w:sz="12" w:space="0" w:color="365F91"/>
            </w:tcBorders>
            <w:vAlign w:val="center"/>
          </w:tcPr>
          <w:p w:rsidR="006418B2" w:rsidRPr="00A832DE" w:rsidRDefault="006418B2" w:rsidP="001D4D67">
            <w:pPr>
              <w:spacing w:after="0" w:line="240" w:lineRule="auto"/>
              <w:jc w:val="center"/>
              <w:rPr>
                <w:rFonts w:cs="Calibri"/>
              </w:rPr>
            </w:pPr>
            <w:r w:rsidRPr="0049490B">
              <w:rPr>
                <w:rFonts w:cs="Calibri"/>
              </w:rPr>
              <w:t>$</w:t>
            </w:r>
            <w:r>
              <w:rPr>
                <w:rFonts w:cs="Calibri"/>
              </w:rPr>
              <w:t>29.58</w:t>
            </w:r>
          </w:p>
        </w:tc>
        <w:tc>
          <w:tcPr>
            <w:tcW w:w="2394" w:type="dxa"/>
            <w:tcBorders>
              <w:bottom w:val="single" w:sz="12" w:space="0" w:color="365F91"/>
            </w:tcBorders>
            <w:vAlign w:val="center"/>
          </w:tcPr>
          <w:p w:rsidR="006418B2" w:rsidRPr="00A832DE" w:rsidRDefault="006418B2" w:rsidP="00332711">
            <w:pPr>
              <w:spacing w:after="0" w:line="240" w:lineRule="auto"/>
              <w:jc w:val="center"/>
              <w:rPr>
                <w:rFonts w:cs="Calibri"/>
              </w:rPr>
            </w:pPr>
            <w:r w:rsidRPr="00A832DE">
              <w:rPr>
                <w:rFonts w:cs="Calibri"/>
              </w:rPr>
              <w:t>$</w:t>
            </w:r>
            <w:r w:rsidR="00332711">
              <w:rPr>
                <w:rFonts w:cs="Calibri"/>
              </w:rPr>
              <w:t>3,081</w:t>
            </w:r>
          </w:p>
        </w:tc>
      </w:tr>
    </w:tbl>
    <w:p w:rsidR="006418B2" w:rsidRPr="00F83C7A" w:rsidRDefault="006418B2" w:rsidP="00D87F17">
      <w:pPr>
        <w:pStyle w:val="OMBPackageHeading2"/>
        <w:ind w:left="900" w:hanging="900"/>
      </w:pPr>
      <w:bookmarkStart w:id="18" w:name="_Toc322005792"/>
      <w:r>
        <w:t>Estimated Total Annual Cost Burden to Respondents and Record Keepers</w:t>
      </w:r>
      <w:bookmarkEnd w:id="18"/>
    </w:p>
    <w:p w:rsidR="006418B2" w:rsidRPr="00494728"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 xml:space="preserve">The pilot test survey does not impose </w:t>
      </w:r>
      <w:r>
        <w:rPr>
          <w:rFonts w:ascii="Times New Roman" w:hAnsi="Times New Roman"/>
          <w:color w:val="000000"/>
          <w:sz w:val="24"/>
          <w:szCs w:val="24"/>
        </w:rPr>
        <w:t>capital, start up, maintenance, or operation</w:t>
      </w:r>
      <w:r w:rsidRPr="009D166E">
        <w:rPr>
          <w:rFonts w:ascii="Times New Roman" w:hAnsi="Times New Roman"/>
          <w:color w:val="000000"/>
          <w:sz w:val="24"/>
          <w:szCs w:val="24"/>
        </w:rPr>
        <w:t xml:space="preserve"> costs on the respondents.</w:t>
      </w:r>
    </w:p>
    <w:p w:rsidR="006418B2" w:rsidRPr="00F83C7A" w:rsidRDefault="006418B2" w:rsidP="002300AB">
      <w:pPr>
        <w:pStyle w:val="OMBPackageHeading2"/>
      </w:pPr>
      <w:bookmarkStart w:id="19" w:name="_Toc322005793"/>
      <w:r>
        <w:lastRenderedPageBreak/>
        <w:t>Estimated Annualized C</w:t>
      </w:r>
      <w:r w:rsidRPr="00F83C7A">
        <w:t>ost to the Federal Government</w:t>
      </w:r>
      <w:bookmarkEnd w:id="19"/>
    </w:p>
    <w:p w:rsidR="006418B2" w:rsidRPr="00494728"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 xml:space="preserve">This 2-year pilot study </w:t>
      </w:r>
      <w:r w:rsidRPr="00830E11">
        <w:rPr>
          <w:rFonts w:ascii="Times New Roman" w:hAnsi="Times New Roman"/>
          <w:sz w:val="24"/>
          <w:szCs w:val="24"/>
        </w:rPr>
        <w:t>involves</w:t>
      </w:r>
      <w:r w:rsidRPr="009D166E">
        <w:rPr>
          <w:rFonts w:ascii="Times New Roman" w:hAnsi="Times New Roman"/>
          <w:color w:val="000000"/>
          <w:sz w:val="24"/>
          <w:szCs w:val="24"/>
        </w:rPr>
        <w:t xml:space="preserve"> development of a survey instrument, implementation of the survey on a small scale using </w:t>
      </w:r>
      <w:r>
        <w:rPr>
          <w:rFonts w:ascii="Times New Roman" w:hAnsi="Times New Roman"/>
          <w:color w:val="000000"/>
          <w:sz w:val="24"/>
          <w:szCs w:val="24"/>
        </w:rPr>
        <w:t xml:space="preserve">two or </w:t>
      </w:r>
      <w:r w:rsidRPr="009D166E">
        <w:rPr>
          <w:rFonts w:ascii="Times New Roman" w:hAnsi="Times New Roman"/>
          <w:color w:val="000000"/>
          <w:sz w:val="24"/>
          <w:szCs w:val="24"/>
        </w:rPr>
        <w:t xml:space="preserve">three data-gathering techniques, and analysis of results to develop recommendations for full-scale implementation. The annualized cost to the Federal </w:t>
      </w:r>
      <w:r>
        <w:rPr>
          <w:rFonts w:ascii="Times New Roman" w:hAnsi="Times New Roman"/>
          <w:color w:val="000000"/>
          <w:sz w:val="24"/>
          <w:szCs w:val="24"/>
        </w:rPr>
        <w:t>g</w:t>
      </w:r>
      <w:r w:rsidRPr="009D166E">
        <w:rPr>
          <w:rFonts w:ascii="Times New Roman" w:hAnsi="Times New Roman"/>
          <w:color w:val="000000"/>
          <w:sz w:val="24"/>
          <w:szCs w:val="24"/>
        </w:rPr>
        <w:t>overnment is estimated to be $250,000</w:t>
      </w:r>
      <w:r>
        <w:rPr>
          <w:rFonts w:ascii="Times New Roman" w:hAnsi="Times New Roman"/>
          <w:color w:val="000000"/>
          <w:sz w:val="24"/>
          <w:szCs w:val="24"/>
        </w:rPr>
        <w:t>, which is the total contractor cost of conducting the project</w:t>
      </w:r>
      <w:r w:rsidRPr="009D166E">
        <w:rPr>
          <w:rFonts w:ascii="Times New Roman" w:hAnsi="Times New Roman"/>
          <w:color w:val="000000"/>
          <w:sz w:val="24"/>
          <w:szCs w:val="24"/>
        </w:rPr>
        <w:t>.</w:t>
      </w:r>
      <w:r>
        <w:rPr>
          <w:rFonts w:ascii="Times New Roman" w:hAnsi="Times New Roman"/>
          <w:color w:val="000000"/>
          <w:sz w:val="24"/>
          <w:szCs w:val="24"/>
        </w:rPr>
        <w:t xml:space="preserve"> </w:t>
      </w:r>
      <w:r w:rsidR="00A52638">
        <w:rPr>
          <w:rFonts w:ascii="Times New Roman" w:hAnsi="Times New Roman"/>
          <w:color w:val="000000"/>
          <w:sz w:val="24"/>
          <w:szCs w:val="24"/>
        </w:rPr>
        <w:t xml:space="preserve">Of the $500,000 over two years, approximately $350,000 was budgeted for survey development costs (e.g., instrument development, implementation design, cognitive interviewing related to the instrument, etc.) and $150,000 was budgeted for survey implementation. </w:t>
      </w:r>
      <w:r>
        <w:rPr>
          <w:rFonts w:ascii="Times New Roman" w:hAnsi="Times New Roman"/>
          <w:color w:val="000000"/>
          <w:sz w:val="24"/>
          <w:szCs w:val="24"/>
        </w:rPr>
        <w:t>There are no other costs to the Federal government for implementation.</w:t>
      </w:r>
    </w:p>
    <w:p w:rsidR="006418B2" w:rsidRPr="00F83C7A" w:rsidRDefault="006418B2" w:rsidP="002300AB">
      <w:pPr>
        <w:pStyle w:val="OMBPackageHeading2"/>
      </w:pPr>
      <w:bookmarkStart w:id="20" w:name="_Toc322005794"/>
      <w:r>
        <w:t>Changes in Burden</w:t>
      </w:r>
      <w:bookmarkEnd w:id="20"/>
    </w:p>
    <w:p w:rsidR="006418B2" w:rsidRPr="009D166E" w:rsidRDefault="006418B2" w:rsidP="00417EBC">
      <w:pPr>
        <w:spacing w:after="0" w:line="240" w:lineRule="auto"/>
        <w:rPr>
          <w:rFonts w:ascii="Times New Roman" w:hAnsi="Times New Roman"/>
          <w:color w:val="000000"/>
          <w:sz w:val="24"/>
          <w:szCs w:val="24"/>
        </w:rPr>
      </w:pPr>
      <w:r w:rsidRPr="009D166E">
        <w:rPr>
          <w:rFonts w:ascii="Times New Roman" w:hAnsi="Times New Roman"/>
          <w:color w:val="000000"/>
          <w:sz w:val="24"/>
          <w:szCs w:val="24"/>
        </w:rPr>
        <w:t>This is a new program.</w:t>
      </w:r>
    </w:p>
    <w:p w:rsidR="006418B2" w:rsidRPr="00F83C7A" w:rsidRDefault="006418B2" w:rsidP="002300AB">
      <w:pPr>
        <w:pStyle w:val="OMBPackageHeading2"/>
      </w:pPr>
      <w:bookmarkStart w:id="21" w:name="_Toc322005795"/>
      <w:r>
        <w:t>Publication Plans and Project Schedule</w:t>
      </w:r>
      <w:bookmarkEnd w:id="21"/>
    </w:p>
    <w:p w:rsidR="006418B2"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The results of the pilot test will</w:t>
      </w:r>
      <w:r>
        <w:rPr>
          <w:rFonts w:ascii="Times New Roman" w:hAnsi="Times New Roman"/>
          <w:color w:val="000000"/>
          <w:sz w:val="24"/>
          <w:szCs w:val="24"/>
        </w:rPr>
        <w:t xml:space="preserve"> not be published, but will</w:t>
      </w:r>
      <w:r w:rsidRPr="009D166E">
        <w:rPr>
          <w:rFonts w:ascii="Times New Roman" w:hAnsi="Times New Roman"/>
          <w:color w:val="000000"/>
          <w:sz w:val="24"/>
          <w:szCs w:val="24"/>
        </w:rPr>
        <w:t xml:space="preserve"> </w:t>
      </w:r>
      <w:r>
        <w:rPr>
          <w:rFonts w:ascii="Times New Roman" w:hAnsi="Times New Roman"/>
          <w:color w:val="000000"/>
          <w:sz w:val="24"/>
          <w:szCs w:val="24"/>
        </w:rPr>
        <w:t xml:space="preserve">be presented in a report to </w:t>
      </w:r>
      <w:r>
        <w:rPr>
          <w:rFonts w:ascii="Times New Roman" w:hAnsi="Times New Roman"/>
          <w:sz w:val="24"/>
          <w:szCs w:val="24"/>
        </w:rPr>
        <w:t>CEO</w:t>
      </w:r>
      <w:r w:rsidRPr="009D166E">
        <w:rPr>
          <w:rFonts w:ascii="Times New Roman" w:hAnsi="Times New Roman"/>
          <w:color w:val="000000"/>
          <w:sz w:val="24"/>
          <w:szCs w:val="24"/>
        </w:rPr>
        <w:t xml:space="preserve">. DOL will collect information via the </w:t>
      </w:r>
      <w:r>
        <w:rPr>
          <w:rFonts w:ascii="Times New Roman" w:hAnsi="Times New Roman"/>
          <w:color w:val="000000"/>
          <w:sz w:val="24"/>
          <w:szCs w:val="24"/>
        </w:rPr>
        <w:t xml:space="preserve">two or </w:t>
      </w:r>
      <w:r w:rsidRPr="009D166E">
        <w:rPr>
          <w:rFonts w:ascii="Times New Roman" w:hAnsi="Times New Roman"/>
          <w:color w:val="000000"/>
          <w:sz w:val="24"/>
          <w:szCs w:val="24"/>
        </w:rPr>
        <w:t>three data-gathering techniques being pilot tested, enter responses into a spreadsheet or database, tabulate responses for survey questions, and analyze the data to (1) identify opportunities to refin</w:t>
      </w:r>
      <w:r>
        <w:rPr>
          <w:rFonts w:ascii="Times New Roman" w:hAnsi="Times New Roman"/>
          <w:color w:val="000000"/>
          <w:sz w:val="24"/>
          <w:szCs w:val="24"/>
        </w:rPr>
        <w:t xml:space="preserve">e the survey instrument and </w:t>
      </w:r>
      <w:r w:rsidRPr="009D166E">
        <w:rPr>
          <w:rFonts w:ascii="Times New Roman" w:hAnsi="Times New Roman"/>
          <w:color w:val="000000"/>
          <w:sz w:val="24"/>
          <w:szCs w:val="24"/>
        </w:rPr>
        <w:t>determine which data-gathering technique is most feasible for full-</w:t>
      </w:r>
      <w:r w:rsidRPr="00830E11">
        <w:rPr>
          <w:rFonts w:ascii="Times New Roman" w:hAnsi="Times New Roman"/>
          <w:sz w:val="24"/>
          <w:szCs w:val="24"/>
        </w:rPr>
        <w:t>scale</w:t>
      </w:r>
      <w:r w:rsidRPr="009D166E">
        <w:rPr>
          <w:rFonts w:ascii="Times New Roman" w:hAnsi="Times New Roman"/>
          <w:color w:val="000000"/>
          <w:sz w:val="24"/>
          <w:szCs w:val="24"/>
        </w:rPr>
        <w:t xml:space="preserve"> implementation. The latter analysis will take into account details of each administration method, such as staff time expended per completion, logistical problems of administration, and any extraordinary or unexpected problems encountered.</w:t>
      </w:r>
    </w:p>
    <w:p w:rsidR="006418B2" w:rsidRDefault="006418B2" w:rsidP="00494728">
      <w:pPr>
        <w:spacing w:after="0"/>
        <w:rPr>
          <w:rFonts w:ascii="Times New Roman" w:hAnsi="Times New Roman"/>
          <w:color w:val="000000"/>
          <w:sz w:val="24"/>
          <w:szCs w:val="24"/>
        </w:rPr>
      </w:pPr>
    </w:p>
    <w:p w:rsidR="006418B2" w:rsidRDefault="006418B2" w:rsidP="00D8608A">
      <w:pPr>
        <w:pStyle w:val="Caption"/>
        <w:rPr>
          <w:rFonts w:ascii="Times New Roman" w:hAnsi="Times New Roman"/>
          <w:color w:val="000000"/>
          <w:sz w:val="24"/>
          <w:szCs w:val="24"/>
        </w:rPr>
      </w:pPr>
      <w:bookmarkStart w:id="22" w:name="_Toc320893938"/>
      <w:r>
        <w:t xml:space="preserve">Table </w:t>
      </w:r>
      <w:r w:rsidR="00C751F3">
        <w:fldChar w:fldCharType="begin"/>
      </w:r>
      <w:r w:rsidR="00072CDB">
        <w:instrText xml:space="preserve"> SEQ Table \* ARABIC </w:instrText>
      </w:r>
      <w:r w:rsidR="00C751F3">
        <w:fldChar w:fldCharType="separate"/>
      </w:r>
      <w:r w:rsidR="003F2F95">
        <w:rPr>
          <w:noProof/>
        </w:rPr>
        <w:t>4</w:t>
      </w:r>
      <w:r w:rsidR="00C751F3">
        <w:rPr>
          <w:noProof/>
        </w:rPr>
        <w:fldChar w:fldCharType="end"/>
      </w:r>
      <w:r>
        <w:t>. Schedule for Project tasks.</w:t>
      </w:r>
      <w:bookmarkEnd w:id="22"/>
    </w:p>
    <w:tbl>
      <w:tblPr>
        <w:tblW w:w="0" w:type="auto"/>
        <w:tblBorders>
          <w:top w:val="single" w:sz="12" w:space="0" w:color="365F91"/>
          <w:bottom w:val="single" w:sz="12" w:space="0" w:color="365F91"/>
          <w:insideH w:val="single" w:sz="4" w:space="0" w:color="auto"/>
        </w:tblBorders>
        <w:tblLook w:val="00A0" w:firstRow="1" w:lastRow="0" w:firstColumn="1" w:lastColumn="0" w:noHBand="0" w:noVBand="0"/>
      </w:tblPr>
      <w:tblGrid>
        <w:gridCol w:w="4788"/>
        <w:gridCol w:w="4788"/>
      </w:tblGrid>
      <w:tr w:rsidR="006418B2" w:rsidRPr="00E47831" w:rsidTr="00ED0E75">
        <w:tc>
          <w:tcPr>
            <w:tcW w:w="4788" w:type="dxa"/>
            <w:tcBorders>
              <w:top w:val="single" w:sz="12" w:space="0" w:color="365F91"/>
            </w:tcBorders>
            <w:vAlign w:val="center"/>
          </w:tcPr>
          <w:p w:rsidR="006418B2" w:rsidRPr="00ED0E75" w:rsidRDefault="006418B2" w:rsidP="00D8608A">
            <w:pPr>
              <w:spacing w:after="0"/>
              <w:rPr>
                <w:b/>
                <w:color w:val="000000"/>
                <w:szCs w:val="24"/>
              </w:rPr>
            </w:pPr>
            <w:r w:rsidRPr="00ED0E75">
              <w:rPr>
                <w:b/>
                <w:color w:val="000000"/>
                <w:szCs w:val="24"/>
              </w:rPr>
              <w:t>Tasks</w:t>
            </w:r>
          </w:p>
        </w:tc>
        <w:tc>
          <w:tcPr>
            <w:tcW w:w="4788" w:type="dxa"/>
            <w:tcBorders>
              <w:top w:val="single" w:sz="12" w:space="0" w:color="365F91"/>
            </w:tcBorders>
            <w:vAlign w:val="center"/>
          </w:tcPr>
          <w:p w:rsidR="006418B2" w:rsidRPr="00ED0E75" w:rsidRDefault="006418B2" w:rsidP="00D8608A">
            <w:pPr>
              <w:spacing w:after="0"/>
              <w:rPr>
                <w:b/>
                <w:color w:val="000000"/>
                <w:szCs w:val="24"/>
              </w:rPr>
            </w:pPr>
            <w:r w:rsidRPr="00ED0E75">
              <w:rPr>
                <w:b/>
                <w:color w:val="000000"/>
                <w:szCs w:val="24"/>
              </w:rPr>
              <w:t>Schedule</w:t>
            </w:r>
          </w:p>
        </w:tc>
      </w:tr>
      <w:tr w:rsidR="006418B2" w:rsidRPr="00D8608A" w:rsidTr="00ED0E75">
        <w:tc>
          <w:tcPr>
            <w:tcW w:w="4788" w:type="dxa"/>
            <w:vAlign w:val="center"/>
          </w:tcPr>
          <w:p w:rsidR="006418B2" w:rsidRPr="00ED0E75" w:rsidRDefault="006418B2" w:rsidP="00D8608A">
            <w:pPr>
              <w:spacing w:after="0"/>
              <w:rPr>
                <w:color w:val="000000"/>
                <w:sz w:val="20"/>
                <w:szCs w:val="24"/>
              </w:rPr>
            </w:pPr>
            <w:r w:rsidRPr="00ED0E75">
              <w:rPr>
                <w:color w:val="000000"/>
                <w:sz w:val="20"/>
                <w:szCs w:val="24"/>
              </w:rPr>
              <w:t>Implement data collections (all modes)</w:t>
            </w:r>
          </w:p>
        </w:tc>
        <w:tc>
          <w:tcPr>
            <w:tcW w:w="4788" w:type="dxa"/>
            <w:vAlign w:val="center"/>
          </w:tcPr>
          <w:p w:rsidR="006418B2" w:rsidRPr="00ED0E75" w:rsidRDefault="00332711">
            <w:pPr>
              <w:spacing w:after="0"/>
              <w:rPr>
                <w:color w:val="000000"/>
                <w:sz w:val="20"/>
                <w:szCs w:val="24"/>
              </w:rPr>
            </w:pPr>
            <w:r>
              <w:rPr>
                <w:color w:val="000000"/>
                <w:sz w:val="20"/>
                <w:szCs w:val="24"/>
              </w:rPr>
              <w:t>January – February 2013</w:t>
            </w:r>
            <w:r w:rsidR="006418B2" w:rsidRPr="00ED0E75">
              <w:rPr>
                <w:color w:val="000000"/>
                <w:sz w:val="20"/>
                <w:szCs w:val="24"/>
              </w:rPr>
              <w:t xml:space="preserve"> (pending OMB approval)</w:t>
            </w:r>
          </w:p>
        </w:tc>
      </w:tr>
      <w:tr w:rsidR="006418B2" w:rsidRPr="00D8608A" w:rsidTr="00ED0E75">
        <w:tc>
          <w:tcPr>
            <w:tcW w:w="4788" w:type="dxa"/>
            <w:vAlign w:val="center"/>
          </w:tcPr>
          <w:p w:rsidR="006418B2" w:rsidRPr="00ED0E75" w:rsidRDefault="006418B2" w:rsidP="00D8608A">
            <w:pPr>
              <w:spacing w:after="0"/>
              <w:rPr>
                <w:color w:val="000000"/>
                <w:sz w:val="20"/>
                <w:szCs w:val="24"/>
              </w:rPr>
            </w:pPr>
            <w:r w:rsidRPr="00ED0E75">
              <w:rPr>
                <w:color w:val="000000"/>
                <w:sz w:val="20"/>
                <w:szCs w:val="24"/>
              </w:rPr>
              <w:t>Perform data analyses</w:t>
            </w:r>
          </w:p>
        </w:tc>
        <w:tc>
          <w:tcPr>
            <w:tcW w:w="4788" w:type="dxa"/>
            <w:vAlign w:val="center"/>
          </w:tcPr>
          <w:p w:rsidR="006418B2" w:rsidRPr="00ED0E75" w:rsidRDefault="00332711" w:rsidP="00332711">
            <w:pPr>
              <w:spacing w:after="0"/>
              <w:rPr>
                <w:color w:val="000000"/>
                <w:sz w:val="20"/>
                <w:szCs w:val="24"/>
              </w:rPr>
            </w:pPr>
            <w:r>
              <w:rPr>
                <w:color w:val="000000"/>
                <w:sz w:val="20"/>
                <w:szCs w:val="24"/>
              </w:rPr>
              <w:t>February 2013</w:t>
            </w:r>
          </w:p>
        </w:tc>
      </w:tr>
      <w:tr w:rsidR="006418B2" w:rsidRPr="00D8608A" w:rsidTr="00ED0E75">
        <w:tc>
          <w:tcPr>
            <w:tcW w:w="4788" w:type="dxa"/>
            <w:vAlign w:val="center"/>
          </w:tcPr>
          <w:p w:rsidR="006418B2" w:rsidRPr="00ED0E75" w:rsidRDefault="006418B2" w:rsidP="00D8608A">
            <w:pPr>
              <w:spacing w:after="0"/>
              <w:rPr>
                <w:color w:val="000000"/>
                <w:sz w:val="20"/>
                <w:szCs w:val="24"/>
              </w:rPr>
            </w:pPr>
            <w:r w:rsidRPr="00ED0E75">
              <w:rPr>
                <w:color w:val="000000"/>
                <w:sz w:val="20"/>
                <w:szCs w:val="24"/>
              </w:rPr>
              <w:t>TWG review of results</w:t>
            </w:r>
          </w:p>
        </w:tc>
        <w:tc>
          <w:tcPr>
            <w:tcW w:w="4788" w:type="dxa"/>
            <w:vAlign w:val="center"/>
          </w:tcPr>
          <w:p w:rsidR="006418B2" w:rsidRPr="00ED0E75" w:rsidRDefault="00332711" w:rsidP="00D8608A">
            <w:pPr>
              <w:spacing w:after="0"/>
              <w:rPr>
                <w:color w:val="000000"/>
                <w:sz w:val="20"/>
                <w:szCs w:val="24"/>
              </w:rPr>
            </w:pPr>
            <w:r>
              <w:rPr>
                <w:color w:val="000000"/>
                <w:sz w:val="20"/>
                <w:szCs w:val="24"/>
              </w:rPr>
              <w:t>March 2013</w:t>
            </w:r>
          </w:p>
        </w:tc>
      </w:tr>
      <w:tr w:rsidR="006418B2" w:rsidRPr="00D8608A" w:rsidTr="00ED0E75">
        <w:tc>
          <w:tcPr>
            <w:tcW w:w="4788" w:type="dxa"/>
            <w:vAlign w:val="center"/>
          </w:tcPr>
          <w:p w:rsidR="006418B2" w:rsidRPr="00ED0E75" w:rsidRDefault="006418B2" w:rsidP="00D8608A">
            <w:pPr>
              <w:spacing w:after="0"/>
              <w:rPr>
                <w:color w:val="000000"/>
                <w:sz w:val="20"/>
                <w:szCs w:val="24"/>
              </w:rPr>
            </w:pPr>
            <w:r w:rsidRPr="00ED0E75">
              <w:rPr>
                <w:color w:val="000000"/>
                <w:sz w:val="20"/>
                <w:szCs w:val="24"/>
              </w:rPr>
              <w:t xml:space="preserve">Final Report </w:t>
            </w:r>
          </w:p>
        </w:tc>
        <w:tc>
          <w:tcPr>
            <w:tcW w:w="4788" w:type="dxa"/>
            <w:vAlign w:val="center"/>
          </w:tcPr>
          <w:p w:rsidR="006418B2" w:rsidRPr="00ED0E75" w:rsidRDefault="00332711" w:rsidP="00D8608A">
            <w:pPr>
              <w:spacing w:after="0"/>
              <w:rPr>
                <w:color w:val="000000"/>
                <w:sz w:val="20"/>
                <w:szCs w:val="24"/>
              </w:rPr>
            </w:pPr>
            <w:r>
              <w:rPr>
                <w:color w:val="000000"/>
                <w:sz w:val="20"/>
                <w:szCs w:val="24"/>
              </w:rPr>
              <w:t>March 2013</w:t>
            </w:r>
          </w:p>
        </w:tc>
      </w:tr>
      <w:tr w:rsidR="006418B2" w:rsidRPr="00D8608A" w:rsidTr="00ED0E75">
        <w:tc>
          <w:tcPr>
            <w:tcW w:w="4788" w:type="dxa"/>
            <w:vAlign w:val="center"/>
          </w:tcPr>
          <w:p w:rsidR="006418B2" w:rsidRPr="00ED0E75" w:rsidRDefault="006418B2" w:rsidP="00D8608A">
            <w:pPr>
              <w:spacing w:after="0"/>
              <w:rPr>
                <w:color w:val="000000"/>
                <w:sz w:val="20"/>
                <w:szCs w:val="24"/>
              </w:rPr>
            </w:pPr>
            <w:r w:rsidRPr="00ED0E75">
              <w:rPr>
                <w:color w:val="000000"/>
                <w:sz w:val="20"/>
                <w:szCs w:val="24"/>
              </w:rPr>
              <w:t>Final Briefing</w:t>
            </w:r>
          </w:p>
        </w:tc>
        <w:tc>
          <w:tcPr>
            <w:tcW w:w="4788" w:type="dxa"/>
            <w:vAlign w:val="center"/>
          </w:tcPr>
          <w:p w:rsidR="006418B2" w:rsidRPr="00ED0E75" w:rsidRDefault="00332711" w:rsidP="00D8608A">
            <w:pPr>
              <w:spacing w:after="0"/>
              <w:rPr>
                <w:color w:val="000000"/>
                <w:sz w:val="20"/>
                <w:szCs w:val="24"/>
              </w:rPr>
            </w:pPr>
            <w:r>
              <w:rPr>
                <w:color w:val="000000"/>
                <w:sz w:val="20"/>
                <w:szCs w:val="24"/>
              </w:rPr>
              <w:t>March 2013</w:t>
            </w:r>
          </w:p>
        </w:tc>
      </w:tr>
      <w:tr w:rsidR="006418B2" w:rsidRPr="00D8608A" w:rsidTr="00ED0E75">
        <w:tc>
          <w:tcPr>
            <w:tcW w:w="4788" w:type="dxa"/>
            <w:tcBorders>
              <w:bottom w:val="single" w:sz="12" w:space="0" w:color="365F91"/>
            </w:tcBorders>
            <w:vAlign w:val="center"/>
          </w:tcPr>
          <w:p w:rsidR="006418B2" w:rsidRPr="00ED0E75" w:rsidRDefault="006418B2" w:rsidP="00D8608A">
            <w:pPr>
              <w:spacing w:after="0"/>
              <w:rPr>
                <w:color w:val="000000"/>
                <w:sz w:val="20"/>
                <w:szCs w:val="24"/>
              </w:rPr>
            </w:pPr>
            <w:r w:rsidRPr="00ED0E75">
              <w:rPr>
                <w:color w:val="000000"/>
                <w:sz w:val="20"/>
                <w:szCs w:val="24"/>
              </w:rPr>
              <w:t>Public Data File</w:t>
            </w:r>
          </w:p>
        </w:tc>
        <w:tc>
          <w:tcPr>
            <w:tcW w:w="4788" w:type="dxa"/>
            <w:tcBorders>
              <w:bottom w:val="single" w:sz="12" w:space="0" w:color="365F91"/>
            </w:tcBorders>
            <w:vAlign w:val="center"/>
          </w:tcPr>
          <w:p w:rsidR="006418B2" w:rsidRPr="00ED0E75" w:rsidRDefault="00332711" w:rsidP="00D8608A">
            <w:pPr>
              <w:spacing w:after="0"/>
              <w:rPr>
                <w:color w:val="000000"/>
                <w:sz w:val="20"/>
                <w:szCs w:val="24"/>
              </w:rPr>
            </w:pPr>
            <w:r>
              <w:rPr>
                <w:color w:val="000000"/>
                <w:sz w:val="20"/>
                <w:szCs w:val="24"/>
              </w:rPr>
              <w:t>April 2013</w:t>
            </w:r>
          </w:p>
        </w:tc>
      </w:tr>
    </w:tbl>
    <w:p w:rsidR="006418B2" w:rsidRPr="00494728" w:rsidRDefault="006418B2" w:rsidP="00494728">
      <w:pPr>
        <w:spacing w:after="0"/>
        <w:rPr>
          <w:rFonts w:ascii="Times New Roman" w:hAnsi="Times New Roman"/>
          <w:color w:val="000000"/>
          <w:sz w:val="24"/>
          <w:szCs w:val="24"/>
        </w:rPr>
      </w:pPr>
    </w:p>
    <w:p w:rsidR="006418B2" w:rsidRPr="00F83C7A" w:rsidRDefault="006418B2" w:rsidP="002300AB">
      <w:pPr>
        <w:pStyle w:val="OMBPackageHeading2"/>
      </w:pPr>
      <w:bookmarkStart w:id="23" w:name="_Toc322005796"/>
      <w:r>
        <w:t>Reasons for Not Displaying Expiration Date of OMB Approval</w:t>
      </w:r>
      <w:bookmarkEnd w:id="23"/>
    </w:p>
    <w:p w:rsidR="006418B2" w:rsidRPr="009D166E" w:rsidRDefault="006418B2" w:rsidP="00494728">
      <w:pPr>
        <w:spacing w:after="0"/>
        <w:rPr>
          <w:rFonts w:ascii="Times New Roman" w:hAnsi="Times New Roman"/>
          <w:color w:val="000000"/>
          <w:sz w:val="24"/>
          <w:szCs w:val="24"/>
        </w:rPr>
      </w:pPr>
      <w:r w:rsidRPr="009D166E">
        <w:rPr>
          <w:rFonts w:ascii="Times New Roman" w:hAnsi="Times New Roman"/>
          <w:color w:val="000000"/>
          <w:sz w:val="24"/>
          <w:szCs w:val="24"/>
        </w:rPr>
        <w:t xml:space="preserve">Not applicable. The </w:t>
      </w:r>
      <w:r w:rsidRPr="00830E11">
        <w:rPr>
          <w:rFonts w:ascii="Times New Roman" w:hAnsi="Times New Roman"/>
          <w:sz w:val="24"/>
          <w:szCs w:val="24"/>
        </w:rPr>
        <w:t>collection</w:t>
      </w:r>
      <w:r w:rsidRPr="009D166E">
        <w:rPr>
          <w:rFonts w:ascii="Times New Roman" w:hAnsi="Times New Roman"/>
          <w:color w:val="000000"/>
          <w:sz w:val="24"/>
          <w:szCs w:val="24"/>
        </w:rPr>
        <w:t xml:space="preserve"> instrument will display the expiration date.</w:t>
      </w:r>
    </w:p>
    <w:p w:rsidR="006418B2" w:rsidRPr="00F83C7A" w:rsidRDefault="006418B2" w:rsidP="002300AB">
      <w:pPr>
        <w:pStyle w:val="OMBPackageHeading2"/>
      </w:pPr>
      <w:bookmarkStart w:id="24" w:name="_Toc322005797"/>
      <w:r>
        <w:lastRenderedPageBreak/>
        <w:t>E</w:t>
      </w:r>
      <w:r w:rsidRPr="00F83C7A">
        <w:t>xception</w:t>
      </w:r>
      <w:r>
        <w:t>s to the Certification S</w:t>
      </w:r>
      <w:r w:rsidRPr="00F83C7A">
        <w:t>tatement.</w:t>
      </w:r>
      <w:bookmarkEnd w:id="24"/>
    </w:p>
    <w:p w:rsidR="006418B2" w:rsidRPr="00CE7775" w:rsidRDefault="006418B2" w:rsidP="00C557FE">
      <w:pPr>
        <w:spacing w:after="0"/>
        <w:rPr>
          <w:rFonts w:ascii="Times New Roman" w:hAnsi="Times New Roman"/>
          <w:sz w:val="24"/>
          <w:szCs w:val="24"/>
        </w:rPr>
      </w:pPr>
      <w:r w:rsidRPr="009D166E">
        <w:rPr>
          <w:rFonts w:ascii="Times New Roman" w:hAnsi="Times New Roman"/>
          <w:sz w:val="24"/>
          <w:szCs w:val="24"/>
        </w:rPr>
        <w:t>No exceptions are being requested.</w:t>
      </w:r>
    </w:p>
    <w:sectPr w:rsidR="006418B2" w:rsidRPr="00CE7775" w:rsidSect="006418B2">
      <w:type w:val="continuous"/>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65" w:rsidRDefault="00BB5265" w:rsidP="00C6376A">
      <w:pPr>
        <w:spacing w:after="0" w:line="240" w:lineRule="auto"/>
      </w:pPr>
      <w:r>
        <w:separator/>
      </w:r>
    </w:p>
  </w:endnote>
  <w:endnote w:type="continuationSeparator" w:id="0">
    <w:p w:rsidR="00BB5265" w:rsidRDefault="00BB5265" w:rsidP="00C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51" w:rsidRDefault="003B5D3B">
    <w:pPr>
      <w:pStyle w:val="Footer"/>
      <w:jc w:val="center"/>
    </w:pPr>
    <w:r>
      <w:fldChar w:fldCharType="begin"/>
    </w:r>
    <w:r>
      <w:instrText xml:space="preserve"> PAGE   \* MERGEFORMAT </w:instrText>
    </w:r>
    <w:r>
      <w:fldChar w:fldCharType="separate"/>
    </w:r>
    <w:r w:rsidR="00091FD4">
      <w:rPr>
        <w:noProof/>
      </w:rPr>
      <w:t>i</w:t>
    </w:r>
    <w:r>
      <w:rPr>
        <w:noProof/>
      </w:rPr>
      <w:fldChar w:fldCharType="end"/>
    </w:r>
  </w:p>
  <w:p w:rsidR="007D7C51" w:rsidRDefault="007D7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65" w:rsidRDefault="00BB5265" w:rsidP="00C6376A">
      <w:pPr>
        <w:spacing w:after="0" w:line="240" w:lineRule="auto"/>
      </w:pPr>
      <w:r>
        <w:separator/>
      </w:r>
    </w:p>
  </w:footnote>
  <w:footnote w:type="continuationSeparator" w:id="0">
    <w:p w:rsidR="00BB5265" w:rsidRDefault="00BB5265" w:rsidP="00C6376A">
      <w:pPr>
        <w:spacing w:after="0" w:line="240" w:lineRule="auto"/>
      </w:pPr>
      <w:r>
        <w:continuationSeparator/>
      </w:r>
    </w:p>
  </w:footnote>
  <w:footnote w:id="1">
    <w:p w:rsidR="007D7C51" w:rsidRDefault="007D7C51">
      <w:pPr>
        <w:pStyle w:val="FootnoteText"/>
      </w:pPr>
      <w:r>
        <w:rPr>
          <w:rStyle w:val="FootnoteReference"/>
        </w:rPr>
        <w:footnoteRef/>
      </w:r>
      <w:r>
        <w:t xml:space="preserve"> See DOL’s 2011-2016 Strategic </w:t>
      </w:r>
      <w:proofErr w:type="gramStart"/>
      <w:r>
        <w:t>Plan</w:t>
      </w:r>
      <w:proofErr w:type="gramEnd"/>
      <w:r>
        <w:t xml:space="preserve">: </w:t>
      </w:r>
      <w:hyperlink r:id="rId1" w:history="1">
        <w:r w:rsidRPr="00B03E07">
          <w:rPr>
            <w:rStyle w:val="Hyperlink"/>
          </w:rPr>
          <w:t>http://www.dol.gov/_sec/stratplan/StrategicPlan.pdf</w:t>
        </w:r>
      </w:hyperlink>
      <w:r>
        <w:t xml:space="preserve">. </w:t>
      </w:r>
    </w:p>
  </w:footnote>
  <w:footnote w:id="2">
    <w:p w:rsidR="007D7C51" w:rsidRDefault="007D7C51">
      <w:pPr>
        <w:pStyle w:val="FootnoteText"/>
      </w:pPr>
      <w:r>
        <w:rPr>
          <w:rStyle w:val="FootnoteReference"/>
        </w:rPr>
        <w:footnoteRef/>
      </w:r>
      <w:r>
        <w:t xml:space="preserve"> DOL had originally considered a third approach of a mail and/or phone survey. However, ERG was unable to identify a reliable list of miners to use as a frame for that approach.</w:t>
      </w:r>
    </w:p>
  </w:footnote>
  <w:footnote w:id="3">
    <w:p w:rsidR="007D7C51" w:rsidRDefault="007D7C51">
      <w:pPr>
        <w:pStyle w:val="FootnoteText"/>
      </w:pPr>
      <w:r>
        <w:rPr>
          <w:rStyle w:val="FootnoteReference"/>
        </w:rPr>
        <w:footnoteRef/>
      </w:r>
      <w:r>
        <w:t xml:space="preserve"> MSHA provides states with grant money to perform training. Although annual refresher training is required, mines are not required to use MSHA grantees for annual refresher training. The grantees keep information on the types of miners and mines that access their training. Thus, DOL would collect this information across the grantees and compare to this to the demographics of miners as a whole. MSHA maintains mine demographic information at </w:t>
      </w:r>
      <w:hyperlink r:id="rId2" w:history="1">
        <w:r w:rsidR="00C07D4F" w:rsidRPr="00A754E3">
          <w:rPr>
            <w:rStyle w:val="Hyperlink"/>
          </w:rPr>
          <w:t>http://www.msha.gov/stats/statinfo.htm</w:t>
        </w:r>
      </w:hyperlink>
      <w:r w:rsidR="00C07D4F">
        <w:t xml:space="preserve"> and the Census Bureau maintains miner demographic information at </w:t>
      </w:r>
      <w:r w:rsidR="00C07D4F" w:rsidRPr="00C07D4F">
        <w:t>http://www.census.gov/econ/industry/current/c21.htm</w:t>
      </w:r>
      <w:r>
        <w:t>.</w:t>
      </w:r>
    </w:p>
  </w:footnote>
  <w:footnote w:id="4">
    <w:p w:rsidR="007D7C51" w:rsidRDefault="007D7C51">
      <w:pPr>
        <w:pStyle w:val="FootnoteText"/>
      </w:pPr>
      <w:r>
        <w:rPr>
          <w:rStyle w:val="FootnoteReference"/>
        </w:rPr>
        <w:footnoteRef/>
      </w:r>
      <w:r w:rsidR="00C07D4F">
        <w:t xml:space="preserve"> See footnote </w:t>
      </w:r>
      <w:r w:rsidR="00C07D4F">
        <w:fldChar w:fldCharType="begin"/>
      </w:r>
      <w:r w:rsidR="00C07D4F">
        <w:instrText xml:space="preserve"> NOTEREF _Ref343686071 \h </w:instrText>
      </w:r>
      <w:r w:rsidR="00C07D4F">
        <w:fldChar w:fldCharType="separate"/>
      </w:r>
      <w:r w:rsidR="00C07D4F">
        <w:t>3</w:t>
      </w:r>
      <w:r w:rsidR="00C07D4F">
        <w:fldChar w:fldCharType="end"/>
      </w:r>
      <w:r w:rsidR="00C80722">
        <w:t xml:space="preserve"> for data sources</w:t>
      </w:r>
      <w:r>
        <w:t>.</w:t>
      </w:r>
    </w:p>
  </w:footnote>
  <w:footnote w:id="5">
    <w:p w:rsidR="007D7C51" w:rsidRDefault="007D7C51">
      <w:pPr>
        <w:pStyle w:val="FootnoteText"/>
      </w:pPr>
      <w:r w:rsidRPr="00ED0E75">
        <w:rPr>
          <w:rStyle w:val="FootnoteReference"/>
          <w:rFonts w:ascii="Calibri" w:hAnsi="Calibri"/>
        </w:rPr>
        <w:footnoteRef/>
      </w:r>
      <w:r>
        <w:rPr>
          <w:rFonts w:ascii="Calibri" w:hAnsi="Calibri"/>
        </w:rPr>
        <w:t xml:space="preserve"> T</w:t>
      </w:r>
      <w:r w:rsidRPr="00ED0E75">
        <w:rPr>
          <w:rFonts w:ascii="Calibri" w:hAnsi="Calibri"/>
        </w:rPr>
        <w:t>he occupation “Extraction workers, all others” (475099) in the Coal Mining industry has an hourly median wage of $19.96</w:t>
      </w:r>
      <w:r>
        <w:rPr>
          <w:rFonts w:ascii="Calibri" w:hAnsi="Calibri"/>
        </w:rPr>
        <w:t>, while the occupation of</w:t>
      </w:r>
      <w:r w:rsidRPr="00ED0E75">
        <w:rPr>
          <w:rFonts w:ascii="Calibri" w:hAnsi="Calibri"/>
        </w:rPr>
        <w:t xml:space="preserve"> “Continuous Mining Machine Operator” (475041) – a position requiring considerable skill and experience – has an hourly median wage of $24.02. </w:t>
      </w:r>
    </w:p>
  </w:footnote>
  <w:footnote w:id="6">
    <w:p w:rsidR="007D7C51" w:rsidRDefault="007D7C51" w:rsidP="006851D1">
      <w:pPr>
        <w:spacing w:after="0" w:line="240" w:lineRule="auto"/>
      </w:pPr>
      <w:r>
        <w:rPr>
          <w:rStyle w:val="FootnoteReference"/>
        </w:rPr>
        <w:footnoteRef/>
      </w:r>
      <w:r>
        <w:t xml:space="preserve"> </w:t>
      </w:r>
      <w:hyperlink r:id="rId3" w:history="1">
        <w:r w:rsidRPr="00E32945">
          <w:rPr>
            <w:rStyle w:val="Hyperlink"/>
            <w:sz w:val="20"/>
            <w:szCs w:val="20"/>
          </w:rPr>
          <w:t>http://www.bls.gov/news.release/ocwage.htm</w:t>
        </w:r>
      </w:hyperlink>
      <w:r>
        <w:rPr>
          <w:sz w:val="20"/>
          <w:szCs w:val="20"/>
        </w:rPr>
        <w:t>; wage has been increased by 40% to include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51" w:rsidRPr="00B938FA" w:rsidRDefault="007D7C51">
    <w:pPr>
      <w:pStyle w:val="Header"/>
      <w:rPr>
        <w:i/>
        <w:sz w:val="18"/>
      </w:rPr>
    </w:pPr>
    <w:r w:rsidRPr="00B938FA">
      <w:rPr>
        <w:i/>
        <w:sz w:val="18"/>
      </w:rPr>
      <w:t>Pilot Surveys of Employee Voice in the Coal Mining Industry</w:t>
    </w:r>
    <w:r w:rsidRPr="00B938FA">
      <w:rPr>
        <w:i/>
        <w:sz w:val="18"/>
      </w:rPr>
      <w:tab/>
    </w:r>
    <w:r>
      <w:rPr>
        <w: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C95"/>
    <w:multiLevelType w:val="hybridMultilevel"/>
    <w:tmpl w:val="72A4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58F8"/>
    <w:multiLevelType w:val="hybridMultilevel"/>
    <w:tmpl w:val="FFD07F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430FAA"/>
    <w:multiLevelType w:val="hybridMultilevel"/>
    <w:tmpl w:val="1F1CC64E"/>
    <w:lvl w:ilvl="0" w:tplc="AE94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22AE8"/>
    <w:multiLevelType w:val="hybridMultilevel"/>
    <w:tmpl w:val="7BBA2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66F34"/>
    <w:multiLevelType w:val="hybridMultilevel"/>
    <w:tmpl w:val="2FE255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BA37F8"/>
    <w:multiLevelType w:val="hybridMultilevel"/>
    <w:tmpl w:val="59F810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B000DC"/>
    <w:multiLevelType w:val="hybridMultilevel"/>
    <w:tmpl w:val="4920CE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3587B7D"/>
    <w:multiLevelType w:val="hybridMultilevel"/>
    <w:tmpl w:val="27B82998"/>
    <w:lvl w:ilvl="0" w:tplc="37B80984">
      <w:start w:val="1"/>
      <w:numFmt w:val="decimal"/>
      <w:pStyle w:val="OMBPackageHeading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BA6CA5"/>
    <w:multiLevelType w:val="hybridMultilevel"/>
    <w:tmpl w:val="D8F02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43E77"/>
    <w:multiLevelType w:val="hybridMultilevel"/>
    <w:tmpl w:val="2CEA9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08402F"/>
    <w:multiLevelType w:val="hybridMultilevel"/>
    <w:tmpl w:val="1FC2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97C02"/>
    <w:multiLevelType w:val="hybridMultilevel"/>
    <w:tmpl w:val="5C5A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1291A"/>
    <w:multiLevelType w:val="hybridMultilevel"/>
    <w:tmpl w:val="1D48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03735"/>
    <w:multiLevelType w:val="hybridMultilevel"/>
    <w:tmpl w:val="751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F167A1"/>
    <w:multiLevelType w:val="hybridMultilevel"/>
    <w:tmpl w:val="CAE8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B32AF9"/>
    <w:multiLevelType w:val="hybridMultilevel"/>
    <w:tmpl w:val="7E2CD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98022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nsid w:val="7FE1359D"/>
    <w:multiLevelType w:val="hybridMultilevel"/>
    <w:tmpl w:val="1F1CC64E"/>
    <w:lvl w:ilvl="0" w:tplc="AE94E7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9"/>
  </w:num>
  <w:num w:numId="6">
    <w:abstractNumId w:val="8"/>
  </w:num>
  <w:num w:numId="7">
    <w:abstractNumId w:val="16"/>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1"/>
  </w:num>
  <w:num w:numId="30">
    <w:abstractNumId w:val="4"/>
  </w:num>
  <w:num w:numId="31">
    <w:abstractNumId w:val="13"/>
  </w:num>
  <w:num w:numId="32">
    <w:abstractNumId w:val="12"/>
  </w:num>
  <w:num w:numId="33">
    <w:abstractNumId w:val="0"/>
  </w:num>
  <w:num w:numId="34">
    <w:abstractNumId w:val="15"/>
  </w:num>
  <w:num w:numId="35">
    <w:abstractNumId w:val="3"/>
  </w:num>
  <w:num w:numId="36">
    <w:abstractNumId w:val="10"/>
  </w:num>
  <w:num w:numId="37">
    <w:abstractNumId w:val="14"/>
  </w:num>
  <w:num w:numId="38">
    <w:abstractNumId w:val="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FE"/>
    <w:rsid w:val="000031F1"/>
    <w:rsid w:val="00030ED5"/>
    <w:rsid w:val="0003201A"/>
    <w:rsid w:val="00034FFA"/>
    <w:rsid w:val="000367A9"/>
    <w:rsid w:val="00055197"/>
    <w:rsid w:val="0005638D"/>
    <w:rsid w:val="00061DFA"/>
    <w:rsid w:val="00072CDB"/>
    <w:rsid w:val="000735E8"/>
    <w:rsid w:val="0007663C"/>
    <w:rsid w:val="00091FD4"/>
    <w:rsid w:val="00092E89"/>
    <w:rsid w:val="000B2413"/>
    <w:rsid w:val="000C0132"/>
    <w:rsid w:val="000D34EF"/>
    <w:rsid w:val="000D4409"/>
    <w:rsid w:val="000D5FB4"/>
    <w:rsid w:val="000E1771"/>
    <w:rsid w:val="000E2CDE"/>
    <w:rsid w:val="000F52B7"/>
    <w:rsid w:val="00114897"/>
    <w:rsid w:val="00116E87"/>
    <w:rsid w:val="00124120"/>
    <w:rsid w:val="001523EF"/>
    <w:rsid w:val="00153BD0"/>
    <w:rsid w:val="001756BB"/>
    <w:rsid w:val="001842AC"/>
    <w:rsid w:val="001861E0"/>
    <w:rsid w:val="00190450"/>
    <w:rsid w:val="0019075A"/>
    <w:rsid w:val="001907A6"/>
    <w:rsid w:val="00191C39"/>
    <w:rsid w:val="001946E2"/>
    <w:rsid w:val="001A04BA"/>
    <w:rsid w:val="001A6065"/>
    <w:rsid w:val="001B3747"/>
    <w:rsid w:val="001C1545"/>
    <w:rsid w:val="001C2A8D"/>
    <w:rsid w:val="001D4052"/>
    <w:rsid w:val="001D4D67"/>
    <w:rsid w:val="001D5930"/>
    <w:rsid w:val="001E34EE"/>
    <w:rsid w:val="001E3C98"/>
    <w:rsid w:val="001F2CC1"/>
    <w:rsid w:val="001F6789"/>
    <w:rsid w:val="001F7320"/>
    <w:rsid w:val="00214128"/>
    <w:rsid w:val="002300AB"/>
    <w:rsid w:val="00236F1D"/>
    <w:rsid w:val="002377D7"/>
    <w:rsid w:val="0023785B"/>
    <w:rsid w:val="00247D0A"/>
    <w:rsid w:val="00255428"/>
    <w:rsid w:val="002748A7"/>
    <w:rsid w:val="00286824"/>
    <w:rsid w:val="002930F7"/>
    <w:rsid w:val="002946B8"/>
    <w:rsid w:val="002A776E"/>
    <w:rsid w:val="002B25BE"/>
    <w:rsid w:val="002B28F9"/>
    <w:rsid w:val="002B53B8"/>
    <w:rsid w:val="002C119B"/>
    <w:rsid w:val="002C37E9"/>
    <w:rsid w:val="002D09C8"/>
    <w:rsid w:val="002E49F9"/>
    <w:rsid w:val="002E65B2"/>
    <w:rsid w:val="002F0991"/>
    <w:rsid w:val="002F5137"/>
    <w:rsid w:val="0031164C"/>
    <w:rsid w:val="00311841"/>
    <w:rsid w:val="00322B35"/>
    <w:rsid w:val="00322BC7"/>
    <w:rsid w:val="00330381"/>
    <w:rsid w:val="00332711"/>
    <w:rsid w:val="00336085"/>
    <w:rsid w:val="00337796"/>
    <w:rsid w:val="00337CDD"/>
    <w:rsid w:val="00340AEB"/>
    <w:rsid w:val="00340E2F"/>
    <w:rsid w:val="00344447"/>
    <w:rsid w:val="00356CE1"/>
    <w:rsid w:val="00374652"/>
    <w:rsid w:val="00377680"/>
    <w:rsid w:val="00377ED5"/>
    <w:rsid w:val="003920BD"/>
    <w:rsid w:val="003A6B92"/>
    <w:rsid w:val="003A6E19"/>
    <w:rsid w:val="003B4988"/>
    <w:rsid w:val="003B5D3B"/>
    <w:rsid w:val="003B7D13"/>
    <w:rsid w:val="003C518F"/>
    <w:rsid w:val="003C63E4"/>
    <w:rsid w:val="003E1417"/>
    <w:rsid w:val="003E1486"/>
    <w:rsid w:val="003E3E0F"/>
    <w:rsid w:val="003F2F95"/>
    <w:rsid w:val="00404DB8"/>
    <w:rsid w:val="00405334"/>
    <w:rsid w:val="00417EBC"/>
    <w:rsid w:val="004215B7"/>
    <w:rsid w:val="00421A8A"/>
    <w:rsid w:val="00425721"/>
    <w:rsid w:val="00431B39"/>
    <w:rsid w:val="0043429E"/>
    <w:rsid w:val="004357C8"/>
    <w:rsid w:val="0044292A"/>
    <w:rsid w:val="00442F0F"/>
    <w:rsid w:val="004454A9"/>
    <w:rsid w:val="004756EC"/>
    <w:rsid w:val="00484C17"/>
    <w:rsid w:val="00494728"/>
    <w:rsid w:val="0049490B"/>
    <w:rsid w:val="0049530D"/>
    <w:rsid w:val="004A14A5"/>
    <w:rsid w:val="004A3019"/>
    <w:rsid w:val="004B10AE"/>
    <w:rsid w:val="004B5A10"/>
    <w:rsid w:val="004B5B4A"/>
    <w:rsid w:val="004C78AB"/>
    <w:rsid w:val="004D1E6C"/>
    <w:rsid w:val="004D260B"/>
    <w:rsid w:val="004D6038"/>
    <w:rsid w:val="004F45A1"/>
    <w:rsid w:val="00506FB2"/>
    <w:rsid w:val="00510355"/>
    <w:rsid w:val="005300A9"/>
    <w:rsid w:val="00536A71"/>
    <w:rsid w:val="00540638"/>
    <w:rsid w:val="00545EBF"/>
    <w:rsid w:val="00551266"/>
    <w:rsid w:val="00562965"/>
    <w:rsid w:val="00573C25"/>
    <w:rsid w:val="0058199C"/>
    <w:rsid w:val="00581EBE"/>
    <w:rsid w:val="00587B3C"/>
    <w:rsid w:val="00597C40"/>
    <w:rsid w:val="005A0F8A"/>
    <w:rsid w:val="005A33FA"/>
    <w:rsid w:val="005A6C8B"/>
    <w:rsid w:val="005D49EB"/>
    <w:rsid w:val="005E22BF"/>
    <w:rsid w:val="005E4CA9"/>
    <w:rsid w:val="005E75B7"/>
    <w:rsid w:val="005F248F"/>
    <w:rsid w:val="005F562D"/>
    <w:rsid w:val="006215CF"/>
    <w:rsid w:val="00626687"/>
    <w:rsid w:val="006365BC"/>
    <w:rsid w:val="006418B2"/>
    <w:rsid w:val="0064274B"/>
    <w:rsid w:val="00651CE3"/>
    <w:rsid w:val="006610B9"/>
    <w:rsid w:val="00661EC0"/>
    <w:rsid w:val="0066482E"/>
    <w:rsid w:val="006657B9"/>
    <w:rsid w:val="00666131"/>
    <w:rsid w:val="00672B5D"/>
    <w:rsid w:val="0067354E"/>
    <w:rsid w:val="006851D1"/>
    <w:rsid w:val="00690E91"/>
    <w:rsid w:val="00695B7E"/>
    <w:rsid w:val="006A1ED1"/>
    <w:rsid w:val="006B01DC"/>
    <w:rsid w:val="006C1F64"/>
    <w:rsid w:val="006D1B4E"/>
    <w:rsid w:val="006E0932"/>
    <w:rsid w:val="006E7236"/>
    <w:rsid w:val="006F3877"/>
    <w:rsid w:val="00707B6B"/>
    <w:rsid w:val="00713DEF"/>
    <w:rsid w:val="0071475E"/>
    <w:rsid w:val="007176B0"/>
    <w:rsid w:val="007205CE"/>
    <w:rsid w:val="007349FB"/>
    <w:rsid w:val="00734FF5"/>
    <w:rsid w:val="007357F8"/>
    <w:rsid w:val="00742D5F"/>
    <w:rsid w:val="00760F1A"/>
    <w:rsid w:val="00761F9D"/>
    <w:rsid w:val="00764449"/>
    <w:rsid w:val="00765702"/>
    <w:rsid w:val="00770BFE"/>
    <w:rsid w:val="007753EF"/>
    <w:rsid w:val="0077621B"/>
    <w:rsid w:val="007804D3"/>
    <w:rsid w:val="00783602"/>
    <w:rsid w:val="00783B47"/>
    <w:rsid w:val="00785C2D"/>
    <w:rsid w:val="0078774B"/>
    <w:rsid w:val="00794635"/>
    <w:rsid w:val="007967A1"/>
    <w:rsid w:val="007A1586"/>
    <w:rsid w:val="007A5C60"/>
    <w:rsid w:val="007B09FA"/>
    <w:rsid w:val="007C3BC1"/>
    <w:rsid w:val="007D5979"/>
    <w:rsid w:val="007D6DA3"/>
    <w:rsid w:val="007D7C40"/>
    <w:rsid w:val="007D7C51"/>
    <w:rsid w:val="007E6851"/>
    <w:rsid w:val="00812F8B"/>
    <w:rsid w:val="0081725F"/>
    <w:rsid w:val="008229A2"/>
    <w:rsid w:val="008268E0"/>
    <w:rsid w:val="00830E11"/>
    <w:rsid w:val="0083108C"/>
    <w:rsid w:val="00831606"/>
    <w:rsid w:val="00834710"/>
    <w:rsid w:val="00834A5C"/>
    <w:rsid w:val="00843D57"/>
    <w:rsid w:val="008449DD"/>
    <w:rsid w:val="00854671"/>
    <w:rsid w:val="00867471"/>
    <w:rsid w:val="00867BFD"/>
    <w:rsid w:val="008771C5"/>
    <w:rsid w:val="0088406C"/>
    <w:rsid w:val="008857F8"/>
    <w:rsid w:val="00893960"/>
    <w:rsid w:val="00897448"/>
    <w:rsid w:val="00897AC4"/>
    <w:rsid w:val="008A05BA"/>
    <w:rsid w:val="008A0763"/>
    <w:rsid w:val="008A59F1"/>
    <w:rsid w:val="008A6CFE"/>
    <w:rsid w:val="008B29D0"/>
    <w:rsid w:val="008B52E5"/>
    <w:rsid w:val="008C1DD1"/>
    <w:rsid w:val="008C42DE"/>
    <w:rsid w:val="008D1A37"/>
    <w:rsid w:val="008D3372"/>
    <w:rsid w:val="008D3853"/>
    <w:rsid w:val="008E19A3"/>
    <w:rsid w:val="008F2247"/>
    <w:rsid w:val="008F47DE"/>
    <w:rsid w:val="008F5DF1"/>
    <w:rsid w:val="008F788A"/>
    <w:rsid w:val="00906FAF"/>
    <w:rsid w:val="00907375"/>
    <w:rsid w:val="00912960"/>
    <w:rsid w:val="00917EF1"/>
    <w:rsid w:val="00921B85"/>
    <w:rsid w:val="00927954"/>
    <w:rsid w:val="009320AC"/>
    <w:rsid w:val="00933B36"/>
    <w:rsid w:val="009436FE"/>
    <w:rsid w:val="009447F8"/>
    <w:rsid w:val="00946DB6"/>
    <w:rsid w:val="00957C44"/>
    <w:rsid w:val="009623E7"/>
    <w:rsid w:val="00967737"/>
    <w:rsid w:val="00982C8E"/>
    <w:rsid w:val="0098754D"/>
    <w:rsid w:val="00995B6C"/>
    <w:rsid w:val="00997BE5"/>
    <w:rsid w:val="009A2ED5"/>
    <w:rsid w:val="009B2E97"/>
    <w:rsid w:val="009D0B73"/>
    <w:rsid w:val="009D166E"/>
    <w:rsid w:val="009D793A"/>
    <w:rsid w:val="009E312A"/>
    <w:rsid w:val="009F3A78"/>
    <w:rsid w:val="009F6440"/>
    <w:rsid w:val="009F6B36"/>
    <w:rsid w:val="00A015F8"/>
    <w:rsid w:val="00A020E7"/>
    <w:rsid w:val="00A0299D"/>
    <w:rsid w:val="00A050A4"/>
    <w:rsid w:val="00A170B8"/>
    <w:rsid w:val="00A2294E"/>
    <w:rsid w:val="00A23247"/>
    <w:rsid w:val="00A33696"/>
    <w:rsid w:val="00A353DB"/>
    <w:rsid w:val="00A35A4E"/>
    <w:rsid w:val="00A36037"/>
    <w:rsid w:val="00A52638"/>
    <w:rsid w:val="00A53A12"/>
    <w:rsid w:val="00A5756A"/>
    <w:rsid w:val="00A6503A"/>
    <w:rsid w:val="00A70F7D"/>
    <w:rsid w:val="00A754BE"/>
    <w:rsid w:val="00A80F91"/>
    <w:rsid w:val="00A832DE"/>
    <w:rsid w:val="00A9173B"/>
    <w:rsid w:val="00A96D43"/>
    <w:rsid w:val="00AA680C"/>
    <w:rsid w:val="00AB391E"/>
    <w:rsid w:val="00AC123C"/>
    <w:rsid w:val="00AC242E"/>
    <w:rsid w:val="00AC3D13"/>
    <w:rsid w:val="00AD760D"/>
    <w:rsid w:val="00AE6D2A"/>
    <w:rsid w:val="00AF027F"/>
    <w:rsid w:val="00AF14A4"/>
    <w:rsid w:val="00AF4CC4"/>
    <w:rsid w:val="00AF76FE"/>
    <w:rsid w:val="00AF7907"/>
    <w:rsid w:val="00B05C6F"/>
    <w:rsid w:val="00B10983"/>
    <w:rsid w:val="00B128C9"/>
    <w:rsid w:val="00B131E1"/>
    <w:rsid w:val="00B220BA"/>
    <w:rsid w:val="00B22895"/>
    <w:rsid w:val="00B30D2E"/>
    <w:rsid w:val="00B30D3C"/>
    <w:rsid w:val="00B3415A"/>
    <w:rsid w:val="00B41B4A"/>
    <w:rsid w:val="00B41F8B"/>
    <w:rsid w:val="00B511DE"/>
    <w:rsid w:val="00B53E7B"/>
    <w:rsid w:val="00B57888"/>
    <w:rsid w:val="00B63F03"/>
    <w:rsid w:val="00B66402"/>
    <w:rsid w:val="00B85247"/>
    <w:rsid w:val="00B91D82"/>
    <w:rsid w:val="00B9277B"/>
    <w:rsid w:val="00B938FA"/>
    <w:rsid w:val="00BA135F"/>
    <w:rsid w:val="00BA20DB"/>
    <w:rsid w:val="00BB5265"/>
    <w:rsid w:val="00BB6A16"/>
    <w:rsid w:val="00BC0522"/>
    <w:rsid w:val="00BD0076"/>
    <w:rsid w:val="00BD57B1"/>
    <w:rsid w:val="00C00D62"/>
    <w:rsid w:val="00C03AEC"/>
    <w:rsid w:val="00C07D4F"/>
    <w:rsid w:val="00C10196"/>
    <w:rsid w:val="00C12EA0"/>
    <w:rsid w:val="00C16D12"/>
    <w:rsid w:val="00C205AB"/>
    <w:rsid w:val="00C20A75"/>
    <w:rsid w:val="00C25C58"/>
    <w:rsid w:val="00C337C4"/>
    <w:rsid w:val="00C37EB2"/>
    <w:rsid w:val="00C47E5A"/>
    <w:rsid w:val="00C52C7C"/>
    <w:rsid w:val="00C557FE"/>
    <w:rsid w:val="00C62C03"/>
    <w:rsid w:val="00C6376A"/>
    <w:rsid w:val="00C66E37"/>
    <w:rsid w:val="00C751F3"/>
    <w:rsid w:val="00C77050"/>
    <w:rsid w:val="00C80722"/>
    <w:rsid w:val="00CB5CA8"/>
    <w:rsid w:val="00CB781F"/>
    <w:rsid w:val="00CD1983"/>
    <w:rsid w:val="00CE7362"/>
    <w:rsid w:val="00CE7775"/>
    <w:rsid w:val="00D03031"/>
    <w:rsid w:val="00D03881"/>
    <w:rsid w:val="00D07284"/>
    <w:rsid w:val="00D22B14"/>
    <w:rsid w:val="00D27DBF"/>
    <w:rsid w:val="00D319F4"/>
    <w:rsid w:val="00D358BB"/>
    <w:rsid w:val="00D41733"/>
    <w:rsid w:val="00D425DC"/>
    <w:rsid w:val="00D446A5"/>
    <w:rsid w:val="00D449E5"/>
    <w:rsid w:val="00D52FCC"/>
    <w:rsid w:val="00D543F3"/>
    <w:rsid w:val="00D56251"/>
    <w:rsid w:val="00D57C8A"/>
    <w:rsid w:val="00D647A1"/>
    <w:rsid w:val="00D64CD6"/>
    <w:rsid w:val="00D8012C"/>
    <w:rsid w:val="00D802CB"/>
    <w:rsid w:val="00D85CDF"/>
    <w:rsid w:val="00D8608A"/>
    <w:rsid w:val="00D87EE3"/>
    <w:rsid w:val="00D87F17"/>
    <w:rsid w:val="00D97221"/>
    <w:rsid w:val="00D97346"/>
    <w:rsid w:val="00DA7AE1"/>
    <w:rsid w:val="00DB4897"/>
    <w:rsid w:val="00DB7D51"/>
    <w:rsid w:val="00DC13C0"/>
    <w:rsid w:val="00DC34BC"/>
    <w:rsid w:val="00DC3EAD"/>
    <w:rsid w:val="00DC51BA"/>
    <w:rsid w:val="00DC6688"/>
    <w:rsid w:val="00DE1198"/>
    <w:rsid w:val="00E010E1"/>
    <w:rsid w:val="00E32945"/>
    <w:rsid w:val="00E33363"/>
    <w:rsid w:val="00E3540F"/>
    <w:rsid w:val="00E47831"/>
    <w:rsid w:val="00E664F1"/>
    <w:rsid w:val="00E72875"/>
    <w:rsid w:val="00E779DA"/>
    <w:rsid w:val="00E9309F"/>
    <w:rsid w:val="00E95A16"/>
    <w:rsid w:val="00EA0F9B"/>
    <w:rsid w:val="00EA2FF6"/>
    <w:rsid w:val="00EB58CF"/>
    <w:rsid w:val="00EB7351"/>
    <w:rsid w:val="00EC41E2"/>
    <w:rsid w:val="00ED0CAA"/>
    <w:rsid w:val="00ED0E75"/>
    <w:rsid w:val="00EE1E30"/>
    <w:rsid w:val="00EF4214"/>
    <w:rsid w:val="00F0449D"/>
    <w:rsid w:val="00F12A99"/>
    <w:rsid w:val="00F17089"/>
    <w:rsid w:val="00F17330"/>
    <w:rsid w:val="00F233F9"/>
    <w:rsid w:val="00F263F6"/>
    <w:rsid w:val="00F36440"/>
    <w:rsid w:val="00F42DC4"/>
    <w:rsid w:val="00F43A87"/>
    <w:rsid w:val="00F47016"/>
    <w:rsid w:val="00F47CBE"/>
    <w:rsid w:val="00F52996"/>
    <w:rsid w:val="00F70897"/>
    <w:rsid w:val="00F71976"/>
    <w:rsid w:val="00F81947"/>
    <w:rsid w:val="00F83C7A"/>
    <w:rsid w:val="00F86CEC"/>
    <w:rsid w:val="00F96DE1"/>
    <w:rsid w:val="00FA0DDD"/>
    <w:rsid w:val="00FB2839"/>
    <w:rsid w:val="00FC1385"/>
    <w:rsid w:val="00FC3140"/>
    <w:rsid w:val="00FC73D6"/>
    <w:rsid w:val="00FD4112"/>
    <w:rsid w:val="00FE03D8"/>
    <w:rsid w:val="00FE6A7A"/>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3D57"/>
    <w:pPr>
      <w:spacing w:after="200" w:line="276" w:lineRule="auto"/>
    </w:pPr>
    <w:rPr>
      <w:sz w:val="22"/>
      <w:szCs w:val="22"/>
    </w:rPr>
  </w:style>
  <w:style w:type="paragraph" w:styleId="Heading1">
    <w:name w:val="heading 1"/>
    <w:basedOn w:val="Normal"/>
    <w:next w:val="Normal"/>
    <w:link w:val="Heading1Char"/>
    <w:uiPriority w:val="99"/>
    <w:qFormat/>
    <w:locked/>
    <w:rsid w:val="000367A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locked/>
    <w:rsid w:val="0085467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67A9"/>
    <w:rPr>
      <w:rFonts w:ascii="Cambria" w:hAnsi="Cambria"/>
      <w:b/>
      <w:kern w:val="32"/>
      <w:sz w:val="32"/>
    </w:rPr>
  </w:style>
  <w:style w:type="character" w:customStyle="1" w:styleId="Heading2Char">
    <w:name w:val="Heading 2 Char"/>
    <w:link w:val="Heading2"/>
    <w:uiPriority w:val="99"/>
    <w:semiHidden/>
    <w:locked/>
    <w:rsid w:val="00854671"/>
    <w:rPr>
      <w:rFonts w:ascii="Cambria" w:hAnsi="Cambria"/>
      <w:b/>
      <w:i/>
      <w:sz w:val="28"/>
    </w:rPr>
  </w:style>
  <w:style w:type="paragraph" w:styleId="ListParagraph">
    <w:name w:val="List Paragraph"/>
    <w:basedOn w:val="Normal"/>
    <w:link w:val="ListParagraphChar"/>
    <w:uiPriority w:val="99"/>
    <w:qFormat/>
    <w:rsid w:val="00F233F9"/>
    <w:pPr>
      <w:ind w:left="720"/>
      <w:contextualSpacing/>
    </w:pPr>
  </w:style>
  <w:style w:type="character" w:styleId="CommentReference">
    <w:name w:val="annotation reference"/>
    <w:uiPriority w:val="99"/>
    <w:semiHidden/>
    <w:rsid w:val="00ED0CAA"/>
    <w:rPr>
      <w:rFonts w:cs="Times New Roman"/>
      <w:sz w:val="16"/>
    </w:rPr>
  </w:style>
  <w:style w:type="paragraph" w:styleId="CommentText">
    <w:name w:val="annotation text"/>
    <w:basedOn w:val="Normal"/>
    <w:link w:val="CommentTextChar"/>
    <w:uiPriority w:val="99"/>
    <w:semiHidden/>
    <w:rsid w:val="00ED0CAA"/>
    <w:pPr>
      <w:spacing w:line="240" w:lineRule="auto"/>
    </w:pPr>
    <w:rPr>
      <w:sz w:val="20"/>
      <w:szCs w:val="20"/>
    </w:rPr>
  </w:style>
  <w:style w:type="character" w:customStyle="1" w:styleId="CommentTextChar">
    <w:name w:val="Comment Text Char"/>
    <w:link w:val="CommentText"/>
    <w:uiPriority w:val="99"/>
    <w:semiHidden/>
    <w:locked/>
    <w:rsid w:val="00ED0CAA"/>
    <w:rPr>
      <w:sz w:val="20"/>
    </w:rPr>
  </w:style>
  <w:style w:type="paragraph" w:styleId="CommentSubject">
    <w:name w:val="annotation subject"/>
    <w:basedOn w:val="CommentText"/>
    <w:next w:val="CommentText"/>
    <w:link w:val="CommentSubjectChar"/>
    <w:uiPriority w:val="99"/>
    <w:semiHidden/>
    <w:rsid w:val="00ED0CAA"/>
    <w:rPr>
      <w:b/>
      <w:bCs/>
    </w:rPr>
  </w:style>
  <w:style w:type="character" w:customStyle="1" w:styleId="CommentSubjectChar">
    <w:name w:val="Comment Subject Char"/>
    <w:link w:val="CommentSubject"/>
    <w:uiPriority w:val="99"/>
    <w:semiHidden/>
    <w:locked/>
    <w:rsid w:val="00ED0CAA"/>
    <w:rPr>
      <w:b/>
      <w:sz w:val="20"/>
    </w:rPr>
  </w:style>
  <w:style w:type="paragraph" w:styleId="BalloonText">
    <w:name w:val="Balloon Text"/>
    <w:basedOn w:val="Normal"/>
    <w:link w:val="BalloonTextChar"/>
    <w:uiPriority w:val="99"/>
    <w:semiHidden/>
    <w:rsid w:val="00ED0CA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D0CAA"/>
    <w:rPr>
      <w:rFonts w:ascii="Tahoma" w:hAnsi="Tahoma"/>
      <w:sz w:val="16"/>
    </w:rPr>
  </w:style>
  <w:style w:type="table" w:customStyle="1" w:styleId="TableGrid9">
    <w:name w:val="Table Grid9"/>
    <w:uiPriority w:val="99"/>
    <w:rsid w:val="00A35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35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6376A"/>
    <w:rPr>
      <w:rFonts w:cs="Times New Roman"/>
      <w:color w:val="0000FF"/>
      <w:u w:val="single"/>
    </w:rPr>
  </w:style>
  <w:style w:type="paragraph" w:styleId="FootnoteText">
    <w:name w:val="footnote text"/>
    <w:basedOn w:val="Normal"/>
    <w:link w:val="FootnoteTextChar"/>
    <w:uiPriority w:val="99"/>
    <w:rsid w:val="00C6376A"/>
    <w:pPr>
      <w:spacing w:after="0" w:line="240" w:lineRule="auto"/>
    </w:pPr>
    <w:rPr>
      <w:rFonts w:ascii="Times New Roman" w:hAnsi="Times New Roman"/>
      <w:sz w:val="20"/>
      <w:szCs w:val="20"/>
    </w:rPr>
  </w:style>
  <w:style w:type="character" w:customStyle="1" w:styleId="FootnoteTextChar">
    <w:name w:val="Footnote Text Char"/>
    <w:link w:val="FootnoteText"/>
    <w:uiPriority w:val="99"/>
    <w:locked/>
    <w:rsid w:val="00C6376A"/>
    <w:rPr>
      <w:rFonts w:ascii="Times New Roman" w:hAnsi="Times New Roman"/>
      <w:sz w:val="20"/>
    </w:rPr>
  </w:style>
  <w:style w:type="character" w:styleId="FootnoteReference">
    <w:name w:val="footnote reference"/>
    <w:uiPriority w:val="99"/>
    <w:rsid w:val="00C6376A"/>
    <w:rPr>
      <w:rFonts w:cs="Times New Roman"/>
      <w:vertAlign w:val="superscript"/>
    </w:rPr>
  </w:style>
  <w:style w:type="paragraph" w:customStyle="1" w:styleId="Default">
    <w:name w:val="Default"/>
    <w:uiPriority w:val="99"/>
    <w:rsid w:val="00A353DB"/>
    <w:pPr>
      <w:autoSpaceDE w:val="0"/>
      <w:autoSpaceDN w:val="0"/>
      <w:adjustRightInd w:val="0"/>
    </w:pPr>
    <w:rPr>
      <w:rFonts w:ascii="Lucida Sans" w:hAnsi="Lucida Sans" w:cs="Lucida Sans"/>
      <w:color w:val="000000"/>
      <w:sz w:val="24"/>
      <w:szCs w:val="24"/>
    </w:rPr>
  </w:style>
  <w:style w:type="paragraph" w:styleId="Header">
    <w:name w:val="header"/>
    <w:basedOn w:val="Normal"/>
    <w:link w:val="HeaderChar"/>
    <w:uiPriority w:val="99"/>
    <w:semiHidden/>
    <w:rsid w:val="00A53A12"/>
    <w:pPr>
      <w:tabs>
        <w:tab w:val="center" w:pos="4680"/>
        <w:tab w:val="right" w:pos="9360"/>
      </w:tabs>
    </w:pPr>
  </w:style>
  <w:style w:type="character" w:customStyle="1" w:styleId="HeaderChar">
    <w:name w:val="Header Char"/>
    <w:link w:val="Header"/>
    <w:uiPriority w:val="99"/>
    <w:semiHidden/>
    <w:locked/>
    <w:rsid w:val="00A53A12"/>
    <w:rPr>
      <w:rFonts w:cs="Times New Roman"/>
    </w:rPr>
  </w:style>
  <w:style w:type="paragraph" w:styleId="Footer">
    <w:name w:val="footer"/>
    <w:basedOn w:val="Normal"/>
    <w:link w:val="FooterChar"/>
    <w:uiPriority w:val="99"/>
    <w:rsid w:val="00A53A12"/>
    <w:pPr>
      <w:tabs>
        <w:tab w:val="center" w:pos="4680"/>
        <w:tab w:val="right" w:pos="9360"/>
      </w:tabs>
    </w:pPr>
  </w:style>
  <w:style w:type="character" w:customStyle="1" w:styleId="FooterChar">
    <w:name w:val="Footer Char"/>
    <w:link w:val="Footer"/>
    <w:uiPriority w:val="99"/>
    <w:locked/>
    <w:rsid w:val="00A53A12"/>
    <w:rPr>
      <w:rFonts w:cs="Times New Roman"/>
    </w:rPr>
  </w:style>
  <w:style w:type="paragraph" w:customStyle="1" w:styleId="OMBPackageHeading1">
    <w:name w:val="OMB Package Heading 1"/>
    <w:basedOn w:val="Heading1"/>
    <w:link w:val="OMBPackageHeading1Char"/>
    <w:uiPriority w:val="99"/>
    <w:rsid w:val="000367A9"/>
    <w:pPr>
      <w:jc w:val="center"/>
    </w:pPr>
    <w:rPr>
      <w:caps/>
      <w:color w:val="0070C0"/>
    </w:rPr>
  </w:style>
  <w:style w:type="paragraph" w:customStyle="1" w:styleId="OMBPackageHeading2">
    <w:name w:val="OMB Package Heading 2"/>
    <w:basedOn w:val="ListParagraph"/>
    <w:link w:val="OMBPackageHeading2Char"/>
    <w:uiPriority w:val="99"/>
    <w:rsid w:val="00FF6CCF"/>
    <w:pPr>
      <w:keepNext/>
      <w:numPr>
        <w:numId w:val="4"/>
      </w:numPr>
      <w:tabs>
        <w:tab w:val="left" w:pos="900"/>
      </w:tabs>
      <w:spacing w:before="360" w:after="240" w:line="240" w:lineRule="auto"/>
      <w:ind w:left="547" w:hanging="547"/>
    </w:pPr>
    <w:rPr>
      <w:b/>
      <w:color w:val="365F91"/>
      <w:sz w:val="28"/>
      <w:szCs w:val="24"/>
    </w:rPr>
  </w:style>
  <w:style w:type="character" w:customStyle="1" w:styleId="OMBPackageHeading1Char">
    <w:name w:val="OMB Package Heading 1 Char"/>
    <w:link w:val="OMBPackageHeading1"/>
    <w:uiPriority w:val="99"/>
    <w:locked/>
    <w:rsid w:val="000367A9"/>
    <w:rPr>
      <w:rFonts w:ascii="Cambria" w:hAnsi="Cambria"/>
      <w:b/>
      <w:caps/>
      <w:color w:val="0070C0"/>
      <w:kern w:val="32"/>
      <w:sz w:val="32"/>
    </w:rPr>
  </w:style>
  <w:style w:type="character" w:customStyle="1" w:styleId="ListParagraphChar">
    <w:name w:val="List Paragraph Char"/>
    <w:link w:val="ListParagraph"/>
    <w:uiPriority w:val="99"/>
    <w:locked/>
    <w:rsid w:val="00F83C7A"/>
    <w:rPr>
      <w:sz w:val="22"/>
    </w:rPr>
  </w:style>
  <w:style w:type="character" w:customStyle="1" w:styleId="OMBPackageHeading2Char">
    <w:name w:val="OMB Package Heading 2 Char"/>
    <w:link w:val="OMBPackageHeading2"/>
    <w:uiPriority w:val="99"/>
    <w:locked/>
    <w:rsid w:val="00FF6CCF"/>
    <w:rPr>
      <w:b/>
      <w:color w:val="365F91"/>
      <w:sz w:val="24"/>
    </w:rPr>
  </w:style>
  <w:style w:type="paragraph" w:styleId="TOCHeading">
    <w:name w:val="TOC Heading"/>
    <w:basedOn w:val="Heading1"/>
    <w:next w:val="Normal"/>
    <w:uiPriority w:val="99"/>
    <w:qFormat/>
    <w:rsid w:val="00854671"/>
    <w:pPr>
      <w:keepLines/>
      <w:spacing w:before="480" w:after="0"/>
      <w:outlineLvl w:val="9"/>
    </w:pPr>
    <w:rPr>
      <w:color w:val="365F91"/>
      <w:kern w:val="0"/>
      <w:sz w:val="28"/>
      <w:szCs w:val="28"/>
    </w:rPr>
  </w:style>
  <w:style w:type="paragraph" w:styleId="TOC1">
    <w:name w:val="toc 1"/>
    <w:basedOn w:val="Normal"/>
    <w:next w:val="Normal"/>
    <w:autoRedefine/>
    <w:uiPriority w:val="99"/>
    <w:locked/>
    <w:rsid w:val="00854671"/>
  </w:style>
  <w:style w:type="paragraph" w:styleId="TOC2">
    <w:name w:val="toc 2"/>
    <w:basedOn w:val="Normal"/>
    <w:next w:val="Normal"/>
    <w:autoRedefine/>
    <w:uiPriority w:val="99"/>
    <w:locked/>
    <w:rsid w:val="00854671"/>
    <w:pPr>
      <w:ind w:left="220"/>
    </w:pPr>
  </w:style>
  <w:style w:type="paragraph" w:styleId="Caption">
    <w:name w:val="caption"/>
    <w:basedOn w:val="Normal"/>
    <w:next w:val="Normal"/>
    <w:uiPriority w:val="99"/>
    <w:qFormat/>
    <w:locked/>
    <w:rsid w:val="003A6E19"/>
    <w:pPr>
      <w:keepNext/>
      <w:spacing w:after="0"/>
    </w:pPr>
    <w:rPr>
      <w:b/>
      <w:bCs/>
      <w:szCs w:val="20"/>
    </w:rPr>
  </w:style>
  <w:style w:type="paragraph" w:styleId="TableofFigures">
    <w:name w:val="table of figures"/>
    <w:basedOn w:val="Normal"/>
    <w:next w:val="Normal"/>
    <w:uiPriority w:val="99"/>
    <w:rsid w:val="002300AB"/>
  </w:style>
  <w:style w:type="paragraph" w:styleId="Revision">
    <w:name w:val="Revision"/>
    <w:hidden/>
    <w:uiPriority w:val="99"/>
    <w:semiHidden/>
    <w:rsid w:val="00AC123C"/>
    <w:rPr>
      <w:sz w:val="22"/>
      <w:szCs w:val="22"/>
    </w:rPr>
  </w:style>
  <w:style w:type="character" w:styleId="FollowedHyperlink">
    <w:name w:val="FollowedHyperlink"/>
    <w:uiPriority w:val="99"/>
    <w:rsid w:val="00967737"/>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37629">
      <w:marLeft w:val="0"/>
      <w:marRight w:val="0"/>
      <w:marTop w:val="0"/>
      <w:marBottom w:val="0"/>
      <w:divBdr>
        <w:top w:val="none" w:sz="0" w:space="0" w:color="auto"/>
        <w:left w:val="none" w:sz="0" w:space="0" w:color="auto"/>
        <w:bottom w:val="none" w:sz="0" w:space="0" w:color="auto"/>
        <w:right w:val="none" w:sz="0" w:space="0" w:color="auto"/>
      </w:divBdr>
    </w:div>
    <w:div w:id="1890337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nfo.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ocwage.htm" TargetMode="External"/><Relationship Id="rId2" Type="http://schemas.openxmlformats.org/officeDocument/2006/relationships/hyperlink" Target="http://www.msha.gov/stats/statinfo.htm" TargetMode="External"/><Relationship Id="rId1" Type="http://schemas.openxmlformats.org/officeDocument/2006/relationships/hyperlink" Target="http://www.dol.gov/_sec/stratplan/Strategic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2EDCC-D52E-4BA1-8C45-3151CA20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5817</Words>
  <Characters>33158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Eastern Research Group, Inc.</Company>
  <LinksUpToDate>false</LinksUpToDate>
  <CharactersWithSpaces>38898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ALord</dc:creator>
  <cp:lastModifiedBy>Lou</cp:lastModifiedBy>
  <cp:revision>3</cp:revision>
  <cp:lastPrinted>2012-12-18T15:44:00Z</cp:lastPrinted>
  <dcterms:created xsi:type="dcterms:W3CDTF">2012-12-19T18:50:00Z</dcterms:created>
  <dcterms:modified xsi:type="dcterms:W3CDTF">2012-12-19T18:50:00Z</dcterms:modified>
</cp:coreProperties>
</file>