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507"/>
        <w:tblW w:w="17388" w:type="dxa"/>
        <w:tblLayout w:type="fixed"/>
        <w:tblLook w:val="04A0" w:firstRow="1" w:lastRow="0" w:firstColumn="1" w:lastColumn="0" w:noHBand="0" w:noVBand="1"/>
      </w:tblPr>
      <w:tblGrid>
        <w:gridCol w:w="2088"/>
        <w:gridCol w:w="7200"/>
        <w:gridCol w:w="1980"/>
        <w:gridCol w:w="1350"/>
        <w:gridCol w:w="1440"/>
        <w:gridCol w:w="1440"/>
        <w:gridCol w:w="1890"/>
      </w:tblGrid>
      <w:tr w:rsidR="00B91412">
        <w:trPr>
          <w:tblHeader/>
        </w:trPr>
        <w:tc>
          <w:tcPr>
            <w:tcW w:w="17388" w:type="dxa"/>
            <w:gridSpan w:val="7"/>
            <w:vAlign w:val="center"/>
          </w:tcPr>
          <w:p w:rsidR="00B91412" w:rsidRPr="004F2970" w:rsidRDefault="00B91412" w:rsidP="00B91412">
            <w:pPr>
              <w:rPr>
                <w:b/>
                <w:sz w:val="20"/>
                <w:szCs w:val="20"/>
              </w:rPr>
            </w:pPr>
            <w:bookmarkStart w:id="0" w:name="_GoBack"/>
            <w:bookmarkEnd w:id="0"/>
            <w:r>
              <w:rPr>
                <w:b/>
                <w:sz w:val="20"/>
                <w:szCs w:val="20"/>
              </w:rPr>
              <w:t xml:space="preserve">ATTACHMENT 2: </w:t>
            </w:r>
            <w:r w:rsidRPr="004F2970">
              <w:rPr>
                <w:b/>
                <w:sz w:val="20"/>
                <w:szCs w:val="20"/>
              </w:rPr>
              <w:t>KIPP MATRIX</w:t>
            </w:r>
          </w:p>
        </w:tc>
      </w:tr>
      <w:tr w:rsidR="00B91412" w:rsidTr="001D091F">
        <w:trPr>
          <w:tblHeader/>
        </w:trPr>
        <w:tc>
          <w:tcPr>
            <w:tcW w:w="2088" w:type="dxa"/>
            <w:vAlign w:val="center"/>
          </w:tcPr>
          <w:p w:rsidR="00B91412" w:rsidRPr="00011B5C" w:rsidRDefault="00B91412" w:rsidP="00B91412">
            <w:pPr>
              <w:jc w:val="center"/>
              <w:rPr>
                <w:sz w:val="20"/>
                <w:szCs w:val="20"/>
              </w:rPr>
            </w:pPr>
            <w:r w:rsidRPr="00011B5C">
              <w:rPr>
                <w:sz w:val="20"/>
                <w:szCs w:val="20"/>
              </w:rPr>
              <w:t>Instrument</w:t>
            </w:r>
          </w:p>
        </w:tc>
        <w:tc>
          <w:tcPr>
            <w:tcW w:w="7200" w:type="dxa"/>
            <w:vAlign w:val="center"/>
          </w:tcPr>
          <w:p w:rsidR="00B91412" w:rsidRPr="00011B5C" w:rsidRDefault="00B91412" w:rsidP="00B91412">
            <w:pPr>
              <w:jc w:val="center"/>
              <w:rPr>
                <w:sz w:val="20"/>
                <w:szCs w:val="20"/>
              </w:rPr>
            </w:pPr>
            <w:r w:rsidRPr="00011B5C">
              <w:rPr>
                <w:sz w:val="20"/>
                <w:szCs w:val="20"/>
              </w:rPr>
              <w:t>Instrument Description</w:t>
            </w:r>
          </w:p>
        </w:tc>
        <w:tc>
          <w:tcPr>
            <w:tcW w:w="1980" w:type="dxa"/>
            <w:vAlign w:val="center"/>
          </w:tcPr>
          <w:p w:rsidR="00B91412" w:rsidRPr="00011B5C" w:rsidRDefault="00B91412" w:rsidP="00B91412">
            <w:pPr>
              <w:jc w:val="center"/>
              <w:rPr>
                <w:sz w:val="20"/>
                <w:szCs w:val="20"/>
              </w:rPr>
            </w:pPr>
            <w:r w:rsidRPr="00011B5C">
              <w:rPr>
                <w:sz w:val="20"/>
                <w:szCs w:val="20"/>
              </w:rPr>
              <w:t>Frequency</w:t>
            </w:r>
          </w:p>
        </w:tc>
        <w:tc>
          <w:tcPr>
            <w:tcW w:w="1350" w:type="dxa"/>
            <w:vAlign w:val="center"/>
          </w:tcPr>
          <w:p w:rsidR="00B91412" w:rsidRPr="00011B5C" w:rsidRDefault="00B91412" w:rsidP="00B91412">
            <w:pPr>
              <w:jc w:val="center"/>
              <w:rPr>
                <w:sz w:val="20"/>
                <w:szCs w:val="20"/>
              </w:rPr>
            </w:pPr>
            <w:r w:rsidRPr="00011B5C">
              <w:rPr>
                <w:sz w:val="20"/>
                <w:szCs w:val="20"/>
              </w:rPr>
              <w:t>Target Population</w:t>
            </w:r>
          </w:p>
        </w:tc>
        <w:tc>
          <w:tcPr>
            <w:tcW w:w="1440" w:type="dxa"/>
            <w:vAlign w:val="center"/>
          </w:tcPr>
          <w:p w:rsidR="00B91412" w:rsidRPr="00011B5C" w:rsidRDefault="0044657E" w:rsidP="00B91412">
            <w:pPr>
              <w:jc w:val="center"/>
              <w:rPr>
                <w:sz w:val="20"/>
                <w:szCs w:val="20"/>
              </w:rPr>
            </w:pPr>
            <w:r>
              <w:rPr>
                <w:sz w:val="20"/>
                <w:szCs w:val="20"/>
              </w:rPr>
              <w:t>Annual Number of Respondents</w:t>
            </w:r>
          </w:p>
        </w:tc>
        <w:tc>
          <w:tcPr>
            <w:tcW w:w="1440" w:type="dxa"/>
            <w:vAlign w:val="center"/>
          </w:tcPr>
          <w:p w:rsidR="00B91412" w:rsidRPr="00011B5C" w:rsidRDefault="0044657E" w:rsidP="00B91412">
            <w:pPr>
              <w:jc w:val="center"/>
              <w:rPr>
                <w:sz w:val="20"/>
                <w:szCs w:val="20"/>
              </w:rPr>
            </w:pPr>
            <w:r>
              <w:rPr>
                <w:sz w:val="20"/>
                <w:szCs w:val="20"/>
              </w:rPr>
              <w:t>Annual Burden Hours</w:t>
            </w:r>
          </w:p>
        </w:tc>
        <w:tc>
          <w:tcPr>
            <w:tcW w:w="1890" w:type="dxa"/>
            <w:vAlign w:val="center"/>
          </w:tcPr>
          <w:p w:rsidR="00B91412" w:rsidRPr="00011B5C" w:rsidRDefault="00B91412" w:rsidP="00B91412">
            <w:pPr>
              <w:jc w:val="center"/>
              <w:rPr>
                <w:sz w:val="20"/>
                <w:szCs w:val="20"/>
              </w:rPr>
            </w:pPr>
            <w:r w:rsidRPr="00011B5C">
              <w:rPr>
                <w:sz w:val="20"/>
                <w:szCs w:val="20"/>
              </w:rPr>
              <w:t>Research Question</w:t>
            </w:r>
          </w:p>
        </w:tc>
      </w:tr>
      <w:tr w:rsidR="00D441BA" w:rsidTr="001D091F">
        <w:trPr>
          <w:trHeight w:val="445"/>
        </w:trPr>
        <w:tc>
          <w:tcPr>
            <w:tcW w:w="2088" w:type="dxa"/>
          </w:tcPr>
          <w:p w:rsidR="00D441BA" w:rsidRPr="004F2970" w:rsidRDefault="00D441BA" w:rsidP="00D441BA">
            <w:pPr>
              <w:rPr>
                <w:sz w:val="20"/>
                <w:szCs w:val="20"/>
              </w:rPr>
            </w:pPr>
            <w:r>
              <w:rPr>
                <w:sz w:val="20"/>
                <w:szCs w:val="20"/>
              </w:rPr>
              <w:t>Family Assessment Battery</w:t>
            </w:r>
          </w:p>
        </w:tc>
        <w:tc>
          <w:tcPr>
            <w:tcW w:w="7200" w:type="dxa"/>
          </w:tcPr>
          <w:p w:rsidR="00D441BA" w:rsidRPr="004F2970" w:rsidRDefault="00152E43" w:rsidP="00D441BA">
            <w:pPr>
              <w:rPr>
                <w:sz w:val="20"/>
                <w:szCs w:val="20"/>
              </w:rPr>
            </w:pPr>
            <w:r>
              <w:rPr>
                <w:sz w:val="20"/>
                <w:szCs w:val="20"/>
              </w:rPr>
              <w:t xml:space="preserve">(1) </w:t>
            </w:r>
            <w:r w:rsidR="00D441BA">
              <w:rPr>
                <w:sz w:val="20"/>
                <w:szCs w:val="20"/>
              </w:rPr>
              <w:t xml:space="preserve">Families are videotaped and experts rate them on dimensions such as problem solving, planning </w:t>
            </w:r>
            <w:r w:rsidR="00D441BA" w:rsidRPr="004F2970">
              <w:rPr>
                <w:sz w:val="20"/>
                <w:szCs w:val="20"/>
              </w:rPr>
              <w:t>a fun activity, teaching, moni</w:t>
            </w:r>
            <w:r w:rsidR="00D441BA">
              <w:rPr>
                <w:sz w:val="20"/>
                <w:szCs w:val="20"/>
              </w:rPr>
              <w:t xml:space="preserve">toring, and parenting processes; </w:t>
            </w:r>
            <w:r>
              <w:rPr>
                <w:sz w:val="20"/>
                <w:szCs w:val="20"/>
              </w:rPr>
              <w:t xml:space="preserve">(2) </w:t>
            </w:r>
            <w:r w:rsidR="00D441BA">
              <w:rPr>
                <w:sz w:val="20"/>
                <w:szCs w:val="20"/>
              </w:rPr>
              <w:t>parent-informant items assess social skills, problem behaviors, and academic competence of children and youth.</w:t>
            </w:r>
          </w:p>
        </w:tc>
        <w:tc>
          <w:tcPr>
            <w:tcW w:w="1980" w:type="dxa"/>
            <w:vMerge w:val="restart"/>
          </w:tcPr>
          <w:p w:rsidR="00D441BA" w:rsidRPr="004F2970" w:rsidRDefault="00D441BA" w:rsidP="00B91412">
            <w:pPr>
              <w:rPr>
                <w:sz w:val="20"/>
                <w:szCs w:val="20"/>
              </w:rPr>
            </w:pPr>
            <w:r w:rsidRPr="004F2970">
              <w:rPr>
                <w:sz w:val="20"/>
                <w:szCs w:val="20"/>
              </w:rPr>
              <w:t>Completed twice:  baseline for all cases and again when parents have completed the PMTO curriculum (6 months in most cases) or at 6 months for control cases</w:t>
            </w:r>
          </w:p>
        </w:tc>
        <w:tc>
          <w:tcPr>
            <w:tcW w:w="1350" w:type="dxa"/>
            <w:vMerge w:val="restart"/>
          </w:tcPr>
          <w:p w:rsidR="00D441BA" w:rsidRPr="004F2970" w:rsidRDefault="00D441BA" w:rsidP="00B91412">
            <w:pPr>
              <w:rPr>
                <w:sz w:val="20"/>
                <w:szCs w:val="20"/>
              </w:rPr>
            </w:pPr>
            <w:r w:rsidRPr="004F2970">
              <w:rPr>
                <w:sz w:val="20"/>
                <w:szCs w:val="20"/>
              </w:rPr>
              <w:t>Children age 3-16 with serious emotional disturbance and their parents</w:t>
            </w:r>
          </w:p>
        </w:tc>
        <w:tc>
          <w:tcPr>
            <w:tcW w:w="1440" w:type="dxa"/>
          </w:tcPr>
          <w:p w:rsidR="00D441BA" w:rsidRPr="004F2970" w:rsidRDefault="00D441BA" w:rsidP="0026620D">
            <w:pPr>
              <w:jc w:val="center"/>
              <w:rPr>
                <w:sz w:val="20"/>
                <w:szCs w:val="20"/>
              </w:rPr>
            </w:pPr>
            <w:r>
              <w:rPr>
                <w:sz w:val="20"/>
                <w:szCs w:val="20"/>
              </w:rPr>
              <w:t>300</w:t>
            </w:r>
            <w:r w:rsidRPr="004F2970">
              <w:rPr>
                <w:sz w:val="20"/>
                <w:szCs w:val="20"/>
              </w:rPr>
              <w:t xml:space="preserve"> families</w:t>
            </w:r>
          </w:p>
        </w:tc>
        <w:tc>
          <w:tcPr>
            <w:tcW w:w="1440" w:type="dxa"/>
          </w:tcPr>
          <w:p w:rsidR="00D441BA" w:rsidRPr="004F2970" w:rsidRDefault="00D441BA" w:rsidP="0026620D">
            <w:pPr>
              <w:jc w:val="center"/>
              <w:rPr>
                <w:sz w:val="20"/>
                <w:szCs w:val="20"/>
              </w:rPr>
            </w:pPr>
            <w:r>
              <w:rPr>
                <w:sz w:val="20"/>
                <w:szCs w:val="20"/>
              </w:rPr>
              <w:t>930</w:t>
            </w:r>
            <w:r w:rsidR="001D091F">
              <w:rPr>
                <w:sz w:val="20"/>
                <w:szCs w:val="20"/>
              </w:rPr>
              <w:t xml:space="preserve"> (including completion of Caregiver Initial Info Form</w:t>
            </w:r>
          </w:p>
        </w:tc>
        <w:tc>
          <w:tcPr>
            <w:tcW w:w="1890" w:type="dxa"/>
            <w:vMerge w:val="restart"/>
          </w:tcPr>
          <w:p w:rsidR="00D441BA" w:rsidRPr="004F2970" w:rsidRDefault="00D441BA" w:rsidP="0044657E">
            <w:pPr>
              <w:rPr>
                <w:sz w:val="20"/>
                <w:szCs w:val="20"/>
              </w:rPr>
            </w:pPr>
            <w:r w:rsidRPr="004F2970">
              <w:rPr>
                <w:sz w:val="20"/>
                <w:szCs w:val="20"/>
              </w:rPr>
              <w:t>Do children age 3-16 in foster care who meet criteria for SED achieve more timely and stable permanence if their families receive early, intensive home-based parent management training compared to children in foster care whose families receive usual services?</w:t>
            </w:r>
          </w:p>
        </w:tc>
      </w:tr>
      <w:tr w:rsidR="00205D84" w:rsidTr="001D091F">
        <w:tc>
          <w:tcPr>
            <w:tcW w:w="2088" w:type="dxa"/>
            <w:vAlign w:val="center"/>
          </w:tcPr>
          <w:p w:rsidR="00205D84" w:rsidRPr="004F2970" w:rsidRDefault="00205D84" w:rsidP="00290DA4">
            <w:pPr>
              <w:rPr>
                <w:sz w:val="20"/>
                <w:szCs w:val="20"/>
              </w:rPr>
            </w:pPr>
            <w:r w:rsidRPr="004F2970">
              <w:rPr>
                <w:sz w:val="20"/>
                <w:szCs w:val="20"/>
              </w:rPr>
              <w:t>North Carolina Family Assessment Scale (NCFAS)</w:t>
            </w:r>
          </w:p>
        </w:tc>
        <w:tc>
          <w:tcPr>
            <w:tcW w:w="7200" w:type="dxa"/>
            <w:vAlign w:val="center"/>
          </w:tcPr>
          <w:p w:rsidR="00205D84" w:rsidRPr="004F2970" w:rsidRDefault="00205D84" w:rsidP="00290DA4">
            <w:pPr>
              <w:autoSpaceDE w:val="0"/>
              <w:autoSpaceDN w:val="0"/>
              <w:adjustRightInd w:val="0"/>
              <w:ind w:hanging="18"/>
              <w:rPr>
                <w:rFonts w:cstheme="minorHAnsi"/>
                <w:sz w:val="20"/>
                <w:szCs w:val="20"/>
              </w:rPr>
            </w:pPr>
            <w:r w:rsidRPr="004F2970">
              <w:rPr>
                <w:rFonts w:cstheme="minorHAnsi"/>
                <w:sz w:val="20"/>
                <w:szCs w:val="20"/>
              </w:rPr>
              <w:t>Used by caseworkers to assess and rate family functioning (problems and strengths) in the domains of Environment, Parental Capabilities, Family Interactions, Family Safety, Child Well-being, Caregiver/Child Ambivalence, Social and Community Life, Self-Sufficiency, Family Health, and Readiness for Reunification. It is used at intake and again at case closure and the change score (the difference between the Intake and Closure ratings) indicates the amount of change achieved during the service period.</w:t>
            </w:r>
          </w:p>
        </w:tc>
        <w:tc>
          <w:tcPr>
            <w:tcW w:w="1980" w:type="dxa"/>
            <w:vMerge/>
            <w:vAlign w:val="center"/>
          </w:tcPr>
          <w:p w:rsidR="00205D84" w:rsidRDefault="00205D84" w:rsidP="00290DA4"/>
        </w:tc>
        <w:tc>
          <w:tcPr>
            <w:tcW w:w="1350" w:type="dxa"/>
            <w:vMerge/>
            <w:vAlign w:val="center"/>
          </w:tcPr>
          <w:p w:rsidR="00205D84" w:rsidRDefault="00205D84" w:rsidP="00290DA4"/>
        </w:tc>
        <w:tc>
          <w:tcPr>
            <w:tcW w:w="1440" w:type="dxa"/>
            <w:vMerge w:val="restart"/>
          </w:tcPr>
          <w:p w:rsidR="00205D84" w:rsidRDefault="00205D84" w:rsidP="00E40B0D">
            <w:pPr>
              <w:jc w:val="center"/>
            </w:pPr>
            <w:r>
              <w:t>45 caseworkers</w:t>
            </w:r>
            <w:r w:rsidR="00D31C65">
              <w:t xml:space="preserve"> respond</w:t>
            </w:r>
            <w:r>
              <w:t xml:space="preserve"> for an average of 7 study cases each</w:t>
            </w:r>
          </w:p>
        </w:tc>
        <w:tc>
          <w:tcPr>
            <w:tcW w:w="1440" w:type="dxa"/>
            <w:vMerge w:val="restart"/>
          </w:tcPr>
          <w:p w:rsidR="00205D84" w:rsidRDefault="00205D84" w:rsidP="00205D84">
            <w:pPr>
              <w:jc w:val="center"/>
            </w:pPr>
            <w:r>
              <w:t>945</w:t>
            </w:r>
          </w:p>
        </w:tc>
        <w:tc>
          <w:tcPr>
            <w:tcW w:w="1890" w:type="dxa"/>
            <w:vMerge/>
          </w:tcPr>
          <w:p w:rsidR="00205D84" w:rsidRDefault="00205D84" w:rsidP="00290DA4"/>
        </w:tc>
      </w:tr>
      <w:tr w:rsidR="00205D84" w:rsidTr="001D091F">
        <w:tc>
          <w:tcPr>
            <w:tcW w:w="2088" w:type="dxa"/>
            <w:vAlign w:val="center"/>
          </w:tcPr>
          <w:p w:rsidR="00205D84" w:rsidRPr="004F2970" w:rsidRDefault="00205D84" w:rsidP="00290DA4">
            <w:pPr>
              <w:rPr>
                <w:sz w:val="20"/>
                <w:szCs w:val="20"/>
              </w:rPr>
            </w:pPr>
            <w:r w:rsidRPr="004F2970">
              <w:rPr>
                <w:sz w:val="20"/>
                <w:szCs w:val="20"/>
              </w:rPr>
              <w:t>Child and Adolescent Functional Assessment Scale (CAFAS)/</w:t>
            </w:r>
          </w:p>
          <w:p w:rsidR="00205D84" w:rsidRPr="004F2970" w:rsidRDefault="00205D84" w:rsidP="00290DA4">
            <w:pPr>
              <w:rPr>
                <w:sz w:val="20"/>
                <w:szCs w:val="20"/>
              </w:rPr>
            </w:pPr>
            <w:r w:rsidRPr="004F2970">
              <w:rPr>
                <w:sz w:val="20"/>
                <w:szCs w:val="20"/>
              </w:rPr>
              <w:t>Preschool and Early Childhood Functional Assessment Scale  (PECFAS)</w:t>
            </w:r>
          </w:p>
        </w:tc>
        <w:tc>
          <w:tcPr>
            <w:tcW w:w="7200" w:type="dxa"/>
            <w:vAlign w:val="center"/>
          </w:tcPr>
          <w:p w:rsidR="00205D84" w:rsidRPr="004F2970" w:rsidRDefault="00205D84" w:rsidP="00290DA4">
            <w:pPr>
              <w:ind w:hanging="18"/>
              <w:rPr>
                <w:rFonts w:cstheme="minorHAnsi"/>
                <w:sz w:val="20"/>
                <w:szCs w:val="20"/>
              </w:rPr>
            </w:pPr>
            <w:r w:rsidRPr="004F2970">
              <w:rPr>
                <w:rFonts w:cstheme="minorHAnsi"/>
                <w:sz w:val="20"/>
                <w:szCs w:val="20"/>
              </w:rPr>
              <w:t>Used to assess the day-to-day functioning (impairments and strengths) of children ages 5-19 in the domains of School/Work Role Performance, Home Role Performance, Community Role Performance, Behavior Toward Others, Moods/Emotions, Self-Harmful Behavior, Substance Use, Thinking, and Risk Behaviors. The PECFAS is a version used for younger children. The assessor completes the scale based on information collected during a typical clinical assessment.</w:t>
            </w:r>
          </w:p>
        </w:tc>
        <w:tc>
          <w:tcPr>
            <w:tcW w:w="1980" w:type="dxa"/>
            <w:vMerge/>
          </w:tcPr>
          <w:p w:rsidR="00205D84" w:rsidRDefault="00205D84" w:rsidP="00B6092A"/>
        </w:tc>
        <w:tc>
          <w:tcPr>
            <w:tcW w:w="1350" w:type="dxa"/>
            <w:vMerge/>
            <w:vAlign w:val="center"/>
          </w:tcPr>
          <w:p w:rsidR="00205D84" w:rsidRDefault="00205D84" w:rsidP="00290DA4"/>
        </w:tc>
        <w:tc>
          <w:tcPr>
            <w:tcW w:w="1440" w:type="dxa"/>
            <w:vMerge/>
          </w:tcPr>
          <w:p w:rsidR="00205D84" w:rsidRDefault="00205D84" w:rsidP="00B6092A"/>
        </w:tc>
        <w:tc>
          <w:tcPr>
            <w:tcW w:w="1440" w:type="dxa"/>
            <w:vMerge/>
            <w:vAlign w:val="center"/>
          </w:tcPr>
          <w:p w:rsidR="00205D84" w:rsidRDefault="00205D84" w:rsidP="00290DA4"/>
        </w:tc>
        <w:tc>
          <w:tcPr>
            <w:tcW w:w="1890" w:type="dxa"/>
            <w:vMerge/>
          </w:tcPr>
          <w:p w:rsidR="00205D84" w:rsidRDefault="00205D84" w:rsidP="00290DA4"/>
        </w:tc>
      </w:tr>
    </w:tbl>
    <w:p w:rsidR="00F016F9" w:rsidRDefault="00F016F9" w:rsidP="00B91412"/>
    <w:sectPr w:rsidR="00F016F9" w:rsidSect="00D02E14">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43D" w:rsidRDefault="0052543D" w:rsidP="004C0813">
      <w:pPr>
        <w:spacing w:after="0" w:line="240" w:lineRule="auto"/>
      </w:pPr>
      <w:r>
        <w:separator/>
      </w:r>
    </w:p>
  </w:endnote>
  <w:endnote w:type="continuationSeparator" w:id="0">
    <w:p w:rsidR="0052543D" w:rsidRDefault="0052543D" w:rsidP="004C0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43D" w:rsidRDefault="0052543D" w:rsidP="004C0813">
      <w:pPr>
        <w:spacing w:after="0" w:line="240" w:lineRule="auto"/>
      </w:pPr>
      <w:r>
        <w:separator/>
      </w:r>
    </w:p>
  </w:footnote>
  <w:footnote w:type="continuationSeparator" w:id="0">
    <w:p w:rsidR="0052543D" w:rsidRDefault="0052543D" w:rsidP="004C08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488E"/>
    <w:multiLevelType w:val="hybridMultilevel"/>
    <w:tmpl w:val="6294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CC39EF"/>
    <w:multiLevelType w:val="hybridMultilevel"/>
    <w:tmpl w:val="7A76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5471C0"/>
    <w:multiLevelType w:val="hybridMultilevel"/>
    <w:tmpl w:val="9FF6306A"/>
    <w:lvl w:ilvl="0" w:tplc="34343CB0">
      <w:start w:val="1"/>
      <w:numFmt w:val="decimal"/>
      <w:lvlText w:val="%1."/>
      <w:lvlJc w:val="left"/>
      <w:pPr>
        <w:ind w:left="720" w:hanging="360"/>
      </w:pPr>
      <w:rPr>
        <w:rFonts w:eastAsiaTheme="minorEastAsia"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C01F0"/>
    <w:multiLevelType w:val="hybridMultilevel"/>
    <w:tmpl w:val="FE383346"/>
    <w:lvl w:ilvl="0" w:tplc="DDE05D5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1F5669"/>
    <w:multiLevelType w:val="hybridMultilevel"/>
    <w:tmpl w:val="9BB4D39A"/>
    <w:lvl w:ilvl="0" w:tplc="DDE05D5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02E14"/>
    <w:rsid w:val="00011B5C"/>
    <w:rsid w:val="00152DF1"/>
    <w:rsid w:val="00152E43"/>
    <w:rsid w:val="001D091F"/>
    <w:rsid w:val="001D2073"/>
    <w:rsid w:val="00205D84"/>
    <w:rsid w:val="00243423"/>
    <w:rsid w:val="0026620D"/>
    <w:rsid w:val="00290DA4"/>
    <w:rsid w:val="002D03CC"/>
    <w:rsid w:val="00397A45"/>
    <w:rsid w:val="0041517C"/>
    <w:rsid w:val="0044657E"/>
    <w:rsid w:val="004B39B5"/>
    <w:rsid w:val="004B6FFA"/>
    <w:rsid w:val="004C0813"/>
    <w:rsid w:val="004F0158"/>
    <w:rsid w:val="004F2970"/>
    <w:rsid w:val="0052543D"/>
    <w:rsid w:val="00535F0E"/>
    <w:rsid w:val="00570B52"/>
    <w:rsid w:val="005844FB"/>
    <w:rsid w:val="005912A5"/>
    <w:rsid w:val="00621AF5"/>
    <w:rsid w:val="0068190B"/>
    <w:rsid w:val="0073287E"/>
    <w:rsid w:val="0076420D"/>
    <w:rsid w:val="00794663"/>
    <w:rsid w:val="007B1199"/>
    <w:rsid w:val="00835332"/>
    <w:rsid w:val="00856353"/>
    <w:rsid w:val="00861B28"/>
    <w:rsid w:val="008C2756"/>
    <w:rsid w:val="008C6A92"/>
    <w:rsid w:val="008D6701"/>
    <w:rsid w:val="00976381"/>
    <w:rsid w:val="00996DB2"/>
    <w:rsid w:val="009B6EC5"/>
    <w:rsid w:val="00A60C18"/>
    <w:rsid w:val="00A911EA"/>
    <w:rsid w:val="00B04E25"/>
    <w:rsid w:val="00B405B0"/>
    <w:rsid w:val="00B6092A"/>
    <w:rsid w:val="00B82015"/>
    <w:rsid w:val="00B91412"/>
    <w:rsid w:val="00C13F57"/>
    <w:rsid w:val="00C86055"/>
    <w:rsid w:val="00CF3975"/>
    <w:rsid w:val="00D02E14"/>
    <w:rsid w:val="00D31C65"/>
    <w:rsid w:val="00D441BA"/>
    <w:rsid w:val="00E40B0D"/>
    <w:rsid w:val="00F016F9"/>
    <w:rsid w:val="00F618D6"/>
    <w:rsid w:val="00F865E5"/>
    <w:rsid w:val="00F931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4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E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F016F9"/>
    <w:pPr>
      <w:spacing w:line="240" w:lineRule="auto"/>
    </w:pPr>
    <w:rPr>
      <w:sz w:val="20"/>
      <w:szCs w:val="20"/>
    </w:rPr>
  </w:style>
  <w:style w:type="character" w:customStyle="1" w:styleId="CommentTextChar">
    <w:name w:val="Comment Text Char"/>
    <w:basedOn w:val="DefaultParagraphFont"/>
    <w:link w:val="CommentText"/>
    <w:uiPriority w:val="99"/>
    <w:semiHidden/>
    <w:rsid w:val="00F016F9"/>
    <w:rPr>
      <w:sz w:val="20"/>
      <w:szCs w:val="20"/>
    </w:rPr>
  </w:style>
  <w:style w:type="character" w:styleId="CommentReference">
    <w:name w:val="annotation reference"/>
    <w:basedOn w:val="DefaultParagraphFont"/>
    <w:uiPriority w:val="99"/>
    <w:semiHidden/>
    <w:rsid w:val="00F016F9"/>
    <w:rPr>
      <w:rFonts w:cs="Times New Roman"/>
      <w:sz w:val="16"/>
    </w:rPr>
  </w:style>
  <w:style w:type="paragraph" w:styleId="BalloonText">
    <w:name w:val="Balloon Text"/>
    <w:basedOn w:val="Normal"/>
    <w:link w:val="BalloonTextChar"/>
    <w:uiPriority w:val="99"/>
    <w:semiHidden/>
    <w:unhideWhenUsed/>
    <w:rsid w:val="00F01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6F9"/>
    <w:rPr>
      <w:rFonts w:ascii="Tahoma" w:hAnsi="Tahoma" w:cs="Tahoma"/>
      <w:sz w:val="16"/>
      <w:szCs w:val="16"/>
    </w:rPr>
  </w:style>
  <w:style w:type="paragraph" w:styleId="ListParagraph">
    <w:name w:val="List Paragraph"/>
    <w:basedOn w:val="Normal"/>
    <w:uiPriority w:val="34"/>
    <w:qFormat/>
    <w:rsid w:val="005912A5"/>
    <w:pPr>
      <w:ind w:left="720"/>
      <w:contextualSpacing/>
    </w:pPr>
  </w:style>
  <w:style w:type="paragraph" w:styleId="Header">
    <w:name w:val="header"/>
    <w:basedOn w:val="Normal"/>
    <w:link w:val="HeaderChar"/>
    <w:uiPriority w:val="99"/>
    <w:unhideWhenUsed/>
    <w:rsid w:val="004C0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813"/>
  </w:style>
  <w:style w:type="paragraph" w:styleId="Footer">
    <w:name w:val="footer"/>
    <w:basedOn w:val="Normal"/>
    <w:link w:val="FooterChar"/>
    <w:uiPriority w:val="99"/>
    <w:unhideWhenUsed/>
    <w:rsid w:val="004C0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8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E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F016F9"/>
    <w:pPr>
      <w:spacing w:line="240" w:lineRule="auto"/>
    </w:pPr>
    <w:rPr>
      <w:sz w:val="20"/>
      <w:szCs w:val="20"/>
    </w:rPr>
  </w:style>
  <w:style w:type="character" w:customStyle="1" w:styleId="CommentTextChar">
    <w:name w:val="Comment Text Char"/>
    <w:basedOn w:val="DefaultParagraphFont"/>
    <w:link w:val="CommentText"/>
    <w:uiPriority w:val="99"/>
    <w:semiHidden/>
    <w:rsid w:val="00F016F9"/>
    <w:rPr>
      <w:sz w:val="20"/>
      <w:szCs w:val="20"/>
    </w:rPr>
  </w:style>
  <w:style w:type="character" w:styleId="CommentReference">
    <w:name w:val="annotation reference"/>
    <w:basedOn w:val="DefaultParagraphFont"/>
    <w:uiPriority w:val="99"/>
    <w:semiHidden/>
    <w:rsid w:val="00F016F9"/>
    <w:rPr>
      <w:rFonts w:cs="Times New Roman"/>
      <w:sz w:val="16"/>
    </w:rPr>
  </w:style>
  <w:style w:type="paragraph" w:styleId="BalloonText">
    <w:name w:val="Balloon Text"/>
    <w:basedOn w:val="Normal"/>
    <w:link w:val="BalloonTextChar"/>
    <w:uiPriority w:val="99"/>
    <w:semiHidden/>
    <w:unhideWhenUsed/>
    <w:rsid w:val="00F01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6F9"/>
    <w:rPr>
      <w:rFonts w:ascii="Tahoma" w:hAnsi="Tahoma" w:cs="Tahoma"/>
      <w:sz w:val="16"/>
      <w:szCs w:val="16"/>
    </w:rPr>
  </w:style>
  <w:style w:type="paragraph" w:styleId="ListParagraph">
    <w:name w:val="List Paragraph"/>
    <w:basedOn w:val="Normal"/>
    <w:uiPriority w:val="34"/>
    <w:qFormat/>
    <w:rsid w:val="005912A5"/>
    <w:pPr>
      <w:ind w:left="720"/>
      <w:contextualSpacing/>
    </w:pPr>
  </w:style>
  <w:style w:type="paragraph" w:styleId="Header">
    <w:name w:val="header"/>
    <w:basedOn w:val="Normal"/>
    <w:link w:val="HeaderChar"/>
    <w:uiPriority w:val="99"/>
    <w:unhideWhenUsed/>
    <w:rsid w:val="004C0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813"/>
  </w:style>
  <w:style w:type="paragraph" w:styleId="Footer">
    <w:name w:val="footer"/>
    <w:basedOn w:val="Normal"/>
    <w:link w:val="FooterChar"/>
    <w:uiPriority w:val="99"/>
    <w:unhideWhenUsed/>
    <w:rsid w:val="004C0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Cohen</dc:creator>
  <cp:lastModifiedBy>CTAC</cp:lastModifiedBy>
  <cp:revision>2</cp:revision>
  <cp:lastPrinted>2012-07-18T13:33:00Z</cp:lastPrinted>
  <dcterms:created xsi:type="dcterms:W3CDTF">2012-08-16T16:54:00Z</dcterms:created>
  <dcterms:modified xsi:type="dcterms:W3CDTF">2012-08-16T16:54:00Z</dcterms:modified>
</cp:coreProperties>
</file>