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E18" w:rsidRPr="0071654E" w:rsidRDefault="00DC77C4" w:rsidP="0071654E">
      <w:pPr>
        <w:pStyle w:val="Title"/>
        <w:rPr>
          <w:rFonts w:ascii="Gill Sans MT" w:hAnsi="Gill Sans MT" w:cs="Arial"/>
        </w:rPr>
      </w:pPr>
      <w:bookmarkStart w:id="0" w:name="_GoBack"/>
      <w:bookmarkEnd w:id="0"/>
      <w:r>
        <w:rPr>
          <w:rFonts w:ascii="Gill Sans MT" w:hAnsi="Gill Sans MT" w:cs="Arial"/>
        </w:rPr>
        <w:t xml:space="preserve">Draft </w:t>
      </w:r>
      <w:r w:rsidR="00057266">
        <w:rPr>
          <w:rFonts w:ascii="Gill Sans MT" w:hAnsi="Gill Sans MT" w:cs="Arial"/>
        </w:rPr>
        <w:t xml:space="preserve">Blueprint for Approval of </w:t>
      </w:r>
      <w:r w:rsidR="003A065A">
        <w:rPr>
          <w:rFonts w:ascii="Gill Sans MT" w:hAnsi="Gill Sans MT" w:cs="Arial"/>
        </w:rPr>
        <w:t>Affordable</w:t>
      </w:r>
      <w:r w:rsidR="00BF0E18" w:rsidRPr="007E6BFE">
        <w:rPr>
          <w:rFonts w:ascii="Gill Sans MT" w:hAnsi="Gill Sans MT" w:cs="Arial"/>
        </w:rPr>
        <w:t xml:space="preserve"> </w:t>
      </w:r>
      <w:r w:rsidR="00BF0E18">
        <w:rPr>
          <w:rFonts w:ascii="Gill Sans MT" w:hAnsi="Gill Sans MT" w:cs="Arial"/>
        </w:rPr>
        <w:t>State-b</w:t>
      </w:r>
      <w:r w:rsidR="00BF0E18" w:rsidRPr="007E6BFE">
        <w:rPr>
          <w:rFonts w:ascii="Gill Sans MT" w:hAnsi="Gill Sans MT" w:cs="Arial"/>
        </w:rPr>
        <w:t xml:space="preserve">ased and </w:t>
      </w:r>
      <w:r w:rsidR="00057266">
        <w:rPr>
          <w:rFonts w:ascii="Gill Sans MT" w:hAnsi="Gill Sans MT" w:cs="Arial"/>
        </w:rPr>
        <w:t>State</w:t>
      </w:r>
      <w:r w:rsidR="00BF0E18" w:rsidRPr="007E6BFE">
        <w:rPr>
          <w:rFonts w:ascii="Gill Sans MT" w:hAnsi="Gill Sans MT" w:cs="Arial"/>
        </w:rPr>
        <w:t xml:space="preserve"> P</w:t>
      </w:r>
      <w:r w:rsidR="00BF0E18">
        <w:rPr>
          <w:rFonts w:ascii="Gill Sans MT" w:hAnsi="Gill Sans MT" w:cs="Arial"/>
        </w:rPr>
        <w:t>artnership</w:t>
      </w:r>
      <w:r w:rsidR="00057266">
        <w:rPr>
          <w:rFonts w:ascii="Gill Sans MT" w:hAnsi="Gill Sans MT" w:cs="Arial"/>
        </w:rPr>
        <w:t xml:space="preserve"> Insurance Exchanges</w:t>
      </w:r>
    </w:p>
    <w:p w:rsidR="00BF0E18" w:rsidRPr="00467A84" w:rsidRDefault="00BF0E18" w:rsidP="0047015E">
      <w:pPr>
        <w:autoSpaceDE w:val="0"/>
        <w:autoSpaceDN w:val="0"/>
        <w:adjustRightInd w:val="0"/>
        <w:spacing w:after="0" w:line="240" w:lineRule="auto"/>
        <w:rPr>
          <w:rFonts w:ascii="Melior" w:hAnsi="Melior" w:cs="Melior"/>
          <w:sz w:val="16"/>
          <w:szCs w:val="16"/>
        </w:rPr>
      </w:pPr>
    </w:p>
    <w:p w:rsidR="008D4D74" w:rsidRPr="009E7604" w:rsidRDefault="008D4D74" w:rsidP="009E7604">
      <w:pPr>
        <w:pStyle w:val="Heading2"/>
      </w:pPr>
      <w:r w:rsidRPr="009E7604">
        <w:t>Introduction</w:t>
      </w:r>
    </w:p>
    <w:p w:rsidR="008D4D74" w:rsidRPr="006D3C90" w:rsidRDefault="008D4D74" w:rsidP="006D3C90">
      <w:pPr>
        <w:rPr>
          <w:rFonts w:ascii="Arial" w:hAnsi="Arial" w:cs="Arial"/>
        </w:rPr>
      </w:pPr>
      <w:r w:rsidRPr="006D3C90">
        <w:rPr>
          <w:rFonts w:ascii="Arial" w:hAnsi="Arial" w:cs="Arial"/>
        </w:rPr>
        <w:t xml:space="preserve">The Affordable Care Act </w:t>
      </w:r>
      <w:r w:rsidR="006D3C90" w:rsidRPr="006D3C90">
        <w:rPr>
          <w:rFonts w:ascii="Arial" w:hAnsi="Arial" w:cs="Arial"/>
        </w:rPr>
        <w:t xml:space="preserve">establishes </w:t>
      </w:r>
      <w:r w:rsidRPr="006D3C90">
        <w:rPr>
          <w:rFonts w:ascii="Arial" w:hAnsi="Arial" w:cs="Arial"/>
        </w:rPr>
        <w:t xml:space="preserve">Affordable Insurance Exchanges (Exchanges) </w:t>
      </w:r>
      <w:r w:rsidR="006D3C90" w:rsidRPr="006D3C90">
        <w:rPr>
          <w:rFonts w:ascii="Arial" w:hAnsi="Arial" w:cs="Arial"/>
        </w:rPr>
        <w:t>to</w:t>
      </w:r>
      <w:r w:rsidRPr="006D3C90">
        <w:rPr>
          <w:rFonts w:ascii="Arial" w:hAnsi="Arial" w:cs="Arial"/>
        </w:rPr>
        <w:t xml:space="preserve"> provide individuals and small business employees with access to health insurance coverage beginning January 1, 2014.</w:t>
      </w:r>
      <w:r w:rsidR="006D3C90" w:rsidRPr="00803CA9">
        <w:rPr>
          <w:rStyle w:val="FootnoteReference"/>
          <w:rFonts w:ascii="Arial" w:hAnsi="Arial" w:cs="Arial"/>
        </w:rPr>
        <w:footnoteReference w:id="1"/>
      </w:r>
      <w:r w:rsidRPr="006D3C90">
        <w:rPr>
          <w:rFonts w:ascii="Arial" w:hAnsi="Arial" w:cs="Arial"/>
        </w:rPr>
        <w:t xml:space="preserve">  </w:t>
      </w:r>
      <w:r w:rsidR="00D165B7">
        <w:rPr>
          <w:rFonts w:ascii="Arial" w:hAnsi="Arial" w:cs="Arial"/>
        </w:rPr>
        <w:t>An</w:t>
      </w:r>
      <w:r w:rsidR="00D165B7" w:rsidRPr="00B01C31">
        <w:rPr>
          <w:rFonts w:ascii="Arial" w:hAnsi="Arial" w:cs="Arial"/>
        </w:rPr>
        <w:t xml:space="preserve"> Exchange </w:t>
      </w:r>
      <w:r w:rsidR="00D165B7">
        <w:rPr>
          <w:rFonts w:ascii="Arial" w:hAnsi="Arial" w:cs="Arial"/>
        </w:rPr>
        <w:t xml:space="preserve">is an entity </w:t>
      </w:r>
      <w:r w:rsidR="00D165B7" w:rsidRPr="00B01C31">
        <w:rPr>
          <w:rFonts w:ascii="Arial" w:hAnsi="Arial" w:cs="Arial"/>
        </w:rPr>
        <w:t>that both facilitates the purchase</w:t>
      </w:r>
      <w:r w:rsidR="00D165B7" w:rsidRPr="004552CD">
        <w:rPr>
          <w:rFonts w:ascii="Arial" w:hAnsi="Arial" w:cs="Arial"/>
        </w:rPr>
        <w:t xml:space="preserve"> of Q</w:t>
      </w:r>
      <w:r w:rsidR="00D165B7">
        <w:rPr>
          <w:rFonts w:ascii="Arial" w:hAnsi="Arial" w:cs="Arial"/>
        </w:rPr>
        <w:t>ualified Health Plans (Q</w:t>
      </w:r>
      <w:r w:rsidR="00D165B7" w:rsidRPr="004552CD">
        <w:rPr>
          <w:rFonts w:ascii="Arial" w:hAnsi="Arial" w:cs="Arial"/>
        </w:rPr>
        <w:t>HP</w:t>
      </w:r>
      <w:r w:rsidR="00D165B7">
        <w:rPr>
          <w:rFonts w:ascii="Arial" w:hAnsi="Arial" w:cs="Arial"/>
        </w:rPr>
        <w:t>)</w:t>
      </w:r>
      <w:r w:rsidR="00D165B7" w:rsidRPr="004552CD">
        <w:rPr>
          <w:rFonts w:ascii="Arial" w:hAnsi="Arial" w:cs="Arial"/>
        </w:rPr>
        <w:t xml:space="preserve"> </w:t>
      </w:r>
      <w:r w:rsidR="00D165B7">
        <w:rPr>
          <w:rFonts w:ascii="Arial" w:hAnsi="Arial" w:cs="Arial"/>
        </w:rPr>
        <w:t>by qualified individuals and</w:t>
      </w:r>
      <w:r w:rsidR="00D165B7" w:rsidRPr="004552CD">
        <w:rPr>
          <w:rFonts w:ascii="Arial" w:hAnsi="Arial" w:cs="Arial"/>
        </w:rPr>
        <w:t xml:space="preserve"> provides for the establishment of a Small Business Health Options Program (SHOP), consistent with Affordable Care Act</w:t>
      </w:r>
      <w:r w:rsidR="00D165B7">
        <w:rPr>
          <w:rFonts w:ascii="Arial" w:hAnsi="Arial" w:cs="Arial"/>
        </w:rPr>
        <w:t xml:space="preserve"> </w:t>
      </w:r>
      <w:r w:rsidR="00D165B7" w:rsidRPr="004552CD">
        <w:rPr>
          <w:rFonts w:ascii="Arial" w:hAnsi="Arial" w:cs="Arial"/>
        </w:rPr>
        <w:t xml:space="preserve">1311(b) </w:t>
      </w:r>
      <w:r w:rsidR="00D165B7">
        <w:rPr>
          <w:rFonts w:ascii="Arial" w:hAnsi="Arial" w:cs="Arial"/>
        </w:rPr>
        <w:t>and 45 CFR 155.20</w:t>
      </w:r>
      <w:r w:rsidR="00D165B7" w:rsidRPr="004552CD">
        <w:rPr>
          <w:rFonts w:ascii="Arial" w:hAnsi="Arial" w:cs="Arial"/>
        </w:rPr>
        <w:t xml:space="preserve">.  </w:t>
      </w:r>
      <w:r w:rsidR="006708DE" w:rsidRPr="006D3C90">
        <w:rPr>
          <w:rFonts w:ascii="Arial" w:hAnsi="Arial" w:cs="Arial"/>
        </w:rPr>
        <w:t xml:space="preserve">Exchanges will provide competitive marketplaces for individuals and small employers to directly compare </w:t>
      </w:r>
      <w:r w:rsidR="0083176E">
        <w:rPr>
          <w:rFonts w:ascii="Arial" w:hAnsi="Arial" w:cs="Arial"/>
        </w:rPr>
        <w:t xml:space="preserve">and purchase </w:t>
      </w:r>
      <w:r w:rsidR="006708DE" w:rsidRPr="006D3C90">
        <w:rPr>
          <w:rFonts w:ascii="Arial" w:hAnsi="Arial" w:cs="Arial"/>
        </w:rPr>
        <w:t>priv</w:t>
      </w:r>
      <w:r w:rsidR="00192981">
        <w:rPr>
          <w:rFonts w:ascii="Arial" w:hAnsi="Arial" w:cs="Arial"/>
        </w:rPr>
        <w:t xml:space="preserve">ate health insurance options based on </w:t>
      </w:r>
      <w:r w:rsidR="006708DE" w:rsidRPr="006D3C90">
        <w:rPr>
          <w:rFonts w:ascii="Arial" w:hAnsi="Arial" w:cs="Arial"/>
        </w:rPr>
        <w:t>price, quality, and other factors</w:t>
      </w:r>
      <w:r w:rsidR="00AA7E40" w:rsidRPr="006D3C90">
        <w:rPr>
          <w:rFonts w:ascii="Arial" w:hAnsi="Arial" w:cs="Arial"/>
        </w:rPr>
        <w:t xml:space="preserve">.  </w:t>
      </w:r>
      <w:r w:rsidR="00792A9C">
        <w:rPr>
          <w:rFonts w:ascii="Arial" w:hAnsi="Arial" w:cs="Arial"/>
        </w:rPr>
        <w:t xml:space="preserve">Exchanges are integral to the Affordable Care Act’s goal of </w:t>
      </w:r>
      <w:r w:rsidR="007010BC">
        <w:rPr>
          <w:rFonts w:ascii="Arial" w:hAnsi="Arial" w:cs="Arial"/>
        </w:rPr>
        <w:t>prohibiting discrimination</w:t>
      </w:r>
      <w:r w:rsidR="00792A9C">
        <w:rPr>
          <w:rFonts w:ascii="Arial" w:hAnsi="Arial" w:cs="Arial"/>
        </w:rPr>
        <w:t xml:space="preserve"> against people with pre-existing conditions and insuring all Americans.</w:t>
      </w:r>
    </w:p>
    <w:p w:rsidR="001D68CB" w:rsidRDefault="006D3C90" w:rsidP="001D68CB">
      <w:pPr>
        <w:rPr>
          <w:rFonts w:ascii="Arial" w:hAnsi="Arial" w:cs="Arial"/>
        </w:rPr>
      </w:pPr>
      <w:r w:rsidRPr="006D3C90">
        <w:rPr>
          <w:rFonts w:ascii="Arial" w:hAnsi="Arial" w:cs="Arial"/>
        </w:rPr>
        <w:t xml:space="preserve">The Affordable Care Act </w:t>
      </w:r>
      <w:r>
        <w:rPr>
          <w:rFonts w:ascii="Arial" w:hAnsi="Arial" w:cs="Arial"/>
        </w:rPr>
        <w:t>provides S</w:t>
      </w:r>
      <w:r w:rsidR="001D68CB" w:rsidRPr="00803CA9">
        <w:rPr>
          <w:rFonts w:ascii="Arial" w:hAnsi="Arial" w:cs="Arial"/>
        </w:rPr>
        <w:t>ta</w:t>
      </w:r>
      <w:r w:rsidR="001D68CB">
        <w:rPr>
          <w:rFonts w:ascii="Arial" w:hAnsi="Arial" w:cs="Arial"/>
        </w:rPr>
        <w:t xml:space="preserve">tes </w:t>
      </w:r>
      <w:r>
        <w:rPr>
          <w:rFonts w:ascii="Arial" w:hAnsi="Arial" w:cs="Arial"/>
        </w:rPr>
        <w:t>with significant flexibility in the design and operation of their Exchange to best meet the</w:t>
      </w:r>
      <w:r w:rsidR="001D68CB" w:rsidRPr="00F83FE9">
        <w:rPr>
          <w:rFonts w:ascii="Arial" w:hAnsi="Arial" w:cs="Arial"/>
        </w:rPr>
        <w:t xml:space="preserve"> unique needs </w:t>
      </w:r>
      <w:r>
        <w:rPr>
          <w:rFonts w:ascii="Arial" w:hAnsi="Arial" w:cs="Arial"/>
        </w:rPr>
        <w:t>of their citizens and their m</w:t>
      </w:r>
      <w:r w:rsidR="00D238EA">
        <w:rPr>
          <w:rFonts w:ascii="Arial" w:hAnsi="Arial" w:cs="Arial"/>
        </w:rPr>
        <w:t>arket</w:t>
      </w:r>
      <w:r>
        <w:rPr>
          <w:rFonts w:ascii="Arial" w:hAnsi="Arial" w:cs="Arial"/>
        </w:rPr>
        <w:t xml:space="preserve">place.  States can choose to operate </w:t>
      </w:r>
      <w:r w:rsidR="00AC6239">
        <w:rPr>
          <w:rFonts w:ascii="Arial" w:hAnsi="Arial" w:cs="Arial"/>
        </w:rPr>
        <w:t xml:space="preserve">as </w:t>
      </w:r>
      <w:r>
        <w:rPr>
          <w:rFonts w:ascii="Arial" w:hAnsi="Arial" w:cs="Arial"/>
        </w:rPr>
        <w:t>a</w:t>
      </w:r>
      <w:r w:rsidR="001D68CB" w:rsidRPr="00F83FE9">
        <w:rPr>
          <w:rFonts w:ascii="Arial" w:hAnsi="Arial" w:cs="Arial"/>
        </w:rPr>
        <w:t xml:space="preserve"> State-based </w:t>
      </w:r>
      <w:r w:rsidR="00AC6239">
        <w:rPr>
          <w:rFonts w:ascii="Arial" w:hAnsi="Arial" w:cs="Arial"/>
        </w:rPr>
        <w:t>Exchange,</w:t>
      </w:r>
      <w:r w:rsidR="00B05181">
        <w:rPr>
          <w:rFonts w:ascii="Arial" w:hAnsi="Arial" w:cs="Arial"/>
        </w:rPr>
        <w:t xml:space="preserve"> or</w:t>
      </w:r>
      <w:r w:rsidR="001D68CB" w:rsidRPr="00F83FE9">
        <w:rPr>
          <w:rFonts w:ascii="Arial" w:hAnsi="Arial" w:cs="Arial"/>
        </w:rPr>
        <w:t xml:space="preserve"> </w:t>
      </w:r>
      <w:r w:rsidRPr="00F83FE9">
        <w:rPr>
          <w:rFonts w:ascii="Arial" w:hAnsi="Arial" w:cs="Arial"/>
        </w:rPr>
        <w:t>the Secretary o</w:t>
      </w:r>
      <w:r>
        <w:rPr>
          <w:rFonts w:ascii="Arial" w:hAnsi="Arial" w:cs="Arial"/>
        </w:rPr>
        <w:t>f</w:t>
      </w:r>
      <w:r w:rsidR="00B05181">
        <w:rPr>
          <w:rFonts w:ascii="Arial" w:hAnsi="Arial" w:cs="Arial"/>
        </w:rPr>
        <w:t xml:space="preserve"> the Department of</w:t>
      </w:r>
      <w:r>
        <w:rPr>
          <w:rFonts w:ascii="Arial" w:hAnsi="Arial" w:cs="Arial"/>
        </w:rPr>
        <w:t xml:space="preserve"> H</w:t>
      </w:r>
      <w:r w:rsidR="00B05181">
        <w:rPr>
          <w:rFonts w:ascii="Arial" w:hAnsi="Arial" w:cs="Arial"/>
        </w:rPr>
        <w:t>ealth &amp;</w:t>
      </w:r>
      <w:r w:rsidR="0096004C">
        <w:rPr>
          <w:rFonts w:ascii="Arial" w:hAnsi="Arial" w:cs="Arial"/>
        </w:rPr>
        <w:t xml:space="preserve"> Human Services (H</w:t>
      </w:r>
      <w:r>
        <w:rPr>
          <w:rFonts w:ascii="Arial" w:hAnsi="Arial" w:cs="Arial"/>
        </w:rPr>
        <w:t>HS</w:t>
      </w:r>
      <w:r w:rsidR="0096004C">
        <w:rPr>
          <w:rFonts w:ascii="Arial" w:hAnsi="Arial" w:cs="Arial"/>
        </w:rPr>
        <w:t>)</w:t>
      </w:r>
      <w:r>
        <w:rPr>
          <w:rFonts w:ascii="Arial" w:hAnsi="Arial" w:cs="Arial"/>
        </w:rPr>
        <w:t xml:space="preserve"> will establish and operate a</w:t>
      </w:r>
      <w:r w:rsidRPr="00F83FE9">
        <w:rPr>
          <w:rFonts w:ascii="Arial" w:hAnsi="Arial" w:cs="Arial"/>
        </w:rPr>
        <w:t xml:space="preserve"> </w:t>
      </w:r>
      <w:r>
        <w:rPr>
          <w:rFonts w:ascii="Arial" w:hAnsi="Arial" w:cs="Arial"/>
        </w:rPr>
        <w:t>Federally-facilitated Exchange</w:t>
      </w:r>
      <w:r w:rsidRPr="00F83FE9">
        <w:rPr>
          <w:rFonts w:ascii="Arial" w:hAnsi="Arial" w:cs="Arial"/>
        </w:rPr>
        <w:t xml:space="preserve"> in any State that does not</w:t>
      </w:r>
      <w:r w:rsidRPr="00F27301">
        <w:rPr>
          <w:rFonts w:ascii="Arial" w:hAnsi="Arial" w:cs="Arial"/>
        </w:rPr>
        <w:t xml:space="preserve"> elect to operate a</w:t>
      </w:r>
      <w:r>
        <w:rPr>
          <w:rFonts w:ascii="Arial" w:hAnsi="Arial" w:cs="Arial"/>
        </w:rPr>
        <w:t xml:space="preserve"> State-based </w:t>
      </w:r>
      <w:r w:rsidRPr="00FD0C61">
        <w:rPr>
          <w:rFonts w:ascii="Arial" w:hAnsi="Arial" w:cs="Arial"/>
        </w:rPr>
        <w:t xml:space="preserve">Exchange.  </w:t>
      </w:r>
      <w:r w:rsidR="00FD0C61" w:rsidRPr="00FD0C61">
        <w:rPr>
          <w:rFonts w:ascii="Arial" w:hAnsi="Arial" w:cs="Arial"/>
        </w:rPr>
        <w:t xml:space="preserve">In a Federally-facilitated Exchange, the State may pursue a State Partnership Exchange, </w:t>
      </w:r>
      <w:r w:rsidR="00FD0C61" w:rsidRPr="00605276">
        <w:rPr>
          <w:rFonts w:ascii="Arial" w:hAnsi="Arial" w:cs="Arial"/>
        </w:rPr>
        <w:t xml:space="preserve">where a State </w:t>
      </w:r>
      <w:r w:rsidR="00605276">
        <w:rPr>
          <w:rFonts w:ascii="Arial" w:hAnsi="Arial" w:cs="Arial"/>
        </w:rPr>
        <w:t>may administer and operate</w:t>
      </w:r>
      <w:r w:rsidR="00FD0C61" w:rsidRPr="00FD0C61">
        <w:rPr>
          <w:rFonts w:ascii="Arial" w:hAnsi="Arial" w:cs="Arial"/>
        </w:rPr>
        <w:t xml:space="preserve"> Exchange activities associated with plan management and/or consumer assistance.  </w:t>
      </w:r>
      <w:r w:rsidR="001D68CB" w:rsidRPr="00FD0C61">
        <w:rPr>
          <w:rFonts w:ascii="Arial" w:hAnsi="Arial" w:cs="Arial"/>
        </w:rPr>
        <w:t>States</w:t>
      </w:r>
      <w:r w:rsidR="001D68CB">
        <w:rPr>
          <w:rFonts w:ascii="Arial" w:hAnsi="Arial" w:cs="Arial"/>
        </w:rPr>
        <w:t xml:space="preserve"> that elect to </w:t>
      </w:r>
      <w:r w:rsidR="009F31FF">
        <w:rPr>
          <w:rFonts w:ascii="Arial" w:hAnsi="Arial" w:cs="Arial"/>
        </w:rPr>
        <w:t>participate in</w:t>
      </w:r>
      <w:r w:rsidR="001D68CB">
        <w:rPr>
          <w:rFonts w:ascii="Arial" w:hAnsi="Arial" w:cs="Arial"/>
        </w:rPr>
        <w:t xml:space="preserve"> a </w:t>
      </w:r>
      <w:r w:rsidR="00605276">
        <w:rPr>
          <w:rFonts w:ascii="Arial" w:hAnsi="Arial" w:cs="Arial"/>
        </w:rPr>
        <w:t>State Partnership Exchange will administer these functions</w:t>
      </w:r>
      <w:r w:rsidR="009F31FF">
        <w:rPr>
          <w:rFonts w:ascii="Arial" w:hAnsi="Arial" w:cs="Arial"/>
        </w:rPr>
        <w:t xml:space="preserve"> i</w:t>
      </w:r>
      <w:r w:rsidR="001D68CB">
        <w:rPr>
          <w:rFonts w:ascii="Arial" w:hAnsi="Arial" w:cs="Arial"/>
        </w:rPr>
        <w:t xml:space="preserve">n both the individual and the small group market.  </w:t>
      </w:r>
    </w:p>
    <w:p w:rsidR="008821E2" w:rsidRPr="004F0FD4" w:rsidRDefault="00AC6239" w:rsidP="00DC77C4">
      <w:pPr>
        <w:rPr>
          <w:rFonts w:ascii="Arial" w:hAnsi="Arial" w:cs="Arial"/>
        </w:rPr>
      </w:pPr>
      <w:r w:rsidRPr="00DC77C4">
        <w:rPr>
          <w:rFonts w:ascii="Arial" w:hAnsi="Arial" w:cs="Arial"/>
        </w:rPr>
        <w:t xml:space="preserve">Regulations implementing the </w:t>
      </w:r>
      <w:r w:rsidR="001D68CB" w:rsidRPr="00DC77C4">
        <w:rPr>
          <w:rFonts w:ascii="Arial" w:hAnsi="Arial" w:cs="Arial"/>
        </w:rPr>
        <w:t>Affordable Care Act</w:t>
      </w:r>
      <w:r w:rsidR="00A12887" w:rsidRPr="00DC77C4">
        <w:rPr>
          <w:rFonts w:ascii="Arial" w:hAnsi="Arial" w:cs="Arial"/>
        </w:rPr>
        <w:t xml:space="preserve"> require HHS to Approve or Conditionally A</w:t>
      </w:r>
      <w:r w:rsidR="006D3C90" w:rsidRPr="00DC77C4">
        <w:rPr>
          <w:rFonts w:ascii="Arial" w:hAnsi="Arial" w:cs="Arial"/>
        </w:rPr>
        <w:t xml:space="preserve">pprove State-based Exchanges </w:t>
      </w:r>
      <w:r w:rsidR="001D68CB" w:rsidRPr="00DC77C4">
        <w:rPr>
          <w:rFonts w:ascii="Arial" w:hAnsi="Arial" w:cs="Arial"/>
        </w:rPr>
        <w:t>no later than January 1, 2013, for operation in 2014</w:t>
      </w:r>
      <w:r w:rsidR="0054310B" w:rsidRPr="00DC77C4">
        <w:rPr>
          <w:rFonts w:ascii="Arial" w:hAnsi="Arial" w:cs="Arial"/>
        </w:rPr>
        <w:t>.</w:t>
      </w:r>
      <w:r w:rsidR="001D68CB" w:rsidRPr="00DC77C4">
        <w:rPr>
          <w:rFonts w:ascii="Arial" w:hAnsi="Arial" w:cs="Arial"/>
        </w:rPr>
        <w:t xml:space="preserve">  </w:t>
      </w:r>
      <w:r w:rsidR="008B1FDA" w:rsidRPr="00DC77C4">
        <w:rPr>
          <w:rFonts w:ascii="Arial" w:hAnsi="Arial" w:cs="Arial"/>
        </w:rPr>
        <w:t>In addition, the Affordable Care Act 1321(c)(1) (B)(ii)(I) directs the Secretary to make a determination regarding whether the State will operate reinsurance and/or</w:t>
      </w:r>
      <w:r w:rsidR="00312E61">
        <w:rPr>
          <w:rFonts w:ascii="Arial" w:hAnsi="Arial" w:cs="Arial"/>
        </w:rPr>
        <w:t xml:space="preserve"> risk adjustment programs or will</w:t>
      </w:r>
      <w:r w:rsidR="008B1FDA" w:rsidRPr="00DC77C4">
        <w:rPr>
          <w:rFonts w:ascii="Arial" w:hAnsi="Arial" w:cs="Arial"/>
        </w:rPr>
        <w:t xml:space="preserve"> use Federal government services for these activities. </w:t>
      </w:r>
      <w:r w:rsidR="0054310B" w:rsidRPr="00DC77C4">
        <w:rPr>
          <w:rFonts w:ascii="Arial" w:hAnsi="Arial" w:cs="Arial"/>
        </w:rPr>
        <w:t xml:space="preserve">To receive HHS </w:t>
      </w:r>
      <w:r w:rsidR="00B44F99" w:rsidRPr="00DC77C4">
        <w:rPr>
          <w:rFonts w:ascii="Arial" w:hAnsi="Arial" w:cs="Arial"/>
        </w:rPr>
        <w:t>A</w:t>
      </w:r>
      <w:r w:rsidR="0054310B" w:rsidRPr="00DC77C4">
        <w:rPr>
          <w:rFonts w:ascii="Arial" w:hAnsi="Arial" w:cs="Arial"/>
        </w:rPr>
        <w:t>p</w:t>
      </w:r>
      <w:r w:rsidR="00F71155">
        <w:rPr>
          <w:rFonts w:ascii="Arial" w:hAnsi="Arial" w:cs="Arial"/>
        </w:rPr>
        <w:t>p</w:t>
      </w:r>
      <w:r w:rsidR="0054310B" w:rsidRPr="00DC77C4">
        <w:rPr>
          <w:rFonts w:ascii="Arial" w:hAnsi="Arial" w:cs="Arial"/>
        </w:rPr>
        <w:t xml:space="preserve">roval </w:t>
      </w:r>
      <w:r w:rsidR="00DC77C4">
        <w:rPr>
          <w:rFonts w:ascii="Arial" w:hAnsi="Arial" w:cs="Arial"/>
        </w:rPr>
        <w:t xml:space="preserve">or Conditional Approval </w:t>
      </w:r>
      <w:r w:rsidR="0054310B" w:rsidRPr="00DC77C4">
        <w:rPr>
          <w:rFonts w:ascii="Arial" w:hAnsi="Arial" w:cs="Arial"/>
        </w:rPr>
        <w:t xml:space="preserve">for a State-based Exchange or a State Partnership Exchange, </w:t>
      </w:r>
      <w:r w:rsidR="008B1FDA" w:rsidRPr="00DC77C4">
        <w:rPr>
          <w:rFonts w:ascii="Arial" w:hAnsi="Arial" w:cs="Arial"/>
        </w:rPr>
        <w:t>as well as reinsurance and risk adjustment programs</w:t>
      </w:r>
      <w:r w:rsidR="0005110B">
        <w:rPr>
          <w:rStyle w:val="FootnoteReference"/>
          <w:rFonts w:ascii="Arial" w:hAnsi="Arial" w:cs="Arial"/>
        </w:rPr>
        <w:footnoteReference w:id="2"/>
      </w:r>
      <w:r w:rsidR="008B1FDA" w:rsidRPr="00DC77C4">
        <w:rPr>
          <w:rFonts w:ascii="Arial" w:hAnsi="Arial" w:cs="Arial"/>
        </w:rPr>
        <w:t xml:space="preserve">, </w:t>
      </w:r>
      <w:r w:rsidR="0054310B" w:rsidRPr="00DC77C4">
        <w:rPr>
          <w:rFonts w:ascii="Arial" w:hAnsi="Arial" w:cs="Arial"/>
        </w:rPr>
        <w:t xml:space="preserve">a State must complete and submit an Exchange Blueprint that documents how its Exchange meets </w:t>
      </w:r>
      <w:r w:rsidR="0083176E" w:rsidRPr="00DC77C4">
        <w:rPr>
          <w:rFonts w:ascii="Arial" w:hAnsi="Arial" w:cs="Arial"/>
        </w:rPr>
        <w:t xml:space="preserve">or will meet </w:t>
      </w:r>
      <w:r w:rsidR="0054310B" w:rsidRPr="00DC77C4">
        <w:rPr>
          <w:rFonts w:ascii="Arial" w:hAnsi="Arial" w:cs="Arial"/>
        </w:rPr>
        <w:t>all legal and operational requirements</w:t>
      </w:r>
      <w:r w:rsidR="0083176E" w:rsidRPr="00DC77C4">
        <w:rPr>
          <w:rFonts w:ascii="Arial" w:hAnsi="Arial" w:cs="Arial"/>
        </w:rPr>
        <w:t xml:space="preserve"> associated with the model it chooses to pursue</w:t>
      </w:r>
      <w:r w:rsidR="0054310B" w:rsidRPr="00DC77C4">
        <w:rPr>
          <w:rFonts w:ascii="Arial" w:hAnsi="Arial" w:cs="Arial"/>
        </w:rPr>
        <w:t>.  A</w:t>
      </w:r>
      <w:r w:rsidR="00287D4E" w:rsidRPr="00DC77C4">
        <w:rPr>
          <w:rFonts w:ascii="Arial" w:hAnsi="Arial" w:cs="Arial"/>
        </w:rPr>
        <w:t>s part of its</w:t>
      </w:r>
      <w:r w:rsidR="00287D4E">
        <w:rPr>
          <w:rFonts w:ascii="Arial" w:hAnsi="Arial" w:cs="Arial"/>
        </w:rPr>
        <w:t xml:space="preserve"> </w:t>
      </w:r>
      <w:r w:rsidR="00B05181">
        <w:rPr>
          <w:rFonts w:ascii="Arial" w:hAnsi="Arial" w:cs="Arial"/>
        </w:rPr>
        <w:t>Exchange Blueprint</w:t>
      </w:r>
      <w:r w:rsidR="0070515D">
        <w:rPr>
          <w:rFonts w:ascii="Arial" w:hAnsi="Arial" w:cs="Arial"/>
        </w:rPr>
        <w:t>,</w:t>
      </w:r>
      <w:r w:rsidR="00B05181">
        <w:rPr>
          <w:rFonts w:ascii="Arial" w:hAnsi="Arial" w:cs="Arial"/>
        </w:rPr>
        <w:t xml:space="preserve"> a</w:t>
      </w:r>
      <w:r w:rsidR="0054310B">
        <w:rPr>
          <w:rFonts w:ascii="Arial" w:hAnsi="Arial" w:cs="Arial"/>
        </w:rPr>
        <w:t xml:space="preserve"> State </w:t>
      </w:r>
      <w:r w:rsidR="00D165B7">
        <w:rPr>
          <w:rFonts w:ascii="Arial" w:hAnsi="Arial" w:cs="Arial"/>
        </w:rPr>
        <w:t>will also</w:t>
      </w:r>
      <w:r w:rsidR="0054310B">
        <w:rPr>
          <w:rFonts w:ascii="Arial" w:hAnsi="Arial" w:cs="Arial"/>
        </w:rPr>
        <w:t xml:space="preserve"> </w:t>
      </w:r>
      <w:r w:rsidR="0054310B" w:rsidRPr="00F27301">
        <w:rPr>
          <w:rFonts w:ascii="Arial" w:hAnsi="Arial" w:cs="Arial"/>
        </w:rPr>
        <w:t>demo</w:t>
      </w:r>
      <w:r w:rsidR="0054310B">
        <w:rPr>
          <w:rFonts w:ascii="Arial" w:hAnsi="Arial" w:cs="Arial"/>
        </w:rPr>
        <w:t xml:space="preserve">nstrate operational readiness to execute Exchange </w:t>
      </w:r>
      <w:r w:rsidR="00EB5F92">
        <w:rPr>
          <w:rFonts w:ascii="Arial" w:hAnsi="Arial" w:cs="Arial"/>
        </w:rPr>
        <w:t>activities</w:t>
      </w:r>
      <w:r w:rsidR="0054310B" w:rsidRPr="00F27301">
        <w:rPr>
          <w:rFonts w:ascii="Arial" w:hAnsi="Arial" w:cs="Arial"/>
        </w:rPr>
        <w:t>.</w:t>
      </w:r>
      <w:r w:rsidR="0054310B" w:rsidRPr="00F27301">
        <w:rPr>
          <w:rStyle w:val="FootnoteReference"/>
          <w:rFonts w:ascii="Arial" w:hAnsi="Arial" w:cs="Arial"/>
        </w:rPr>
        <w:footnoteReference w:id="3"/>
      </w:r>
    </w:p>
    <w:p w:rsidR="008D4D74" w:rsidRPr="009E7604" w:rsidRDefault="00791F85" w:rsidP="009E7604">
      <w:pPr>
        <w:pStyle w:val="Heading2"/>
      </w:pPr>
      <w:r>
        <w:t>Flexible Exchange O</w:t>
      </w:r>
      <w:r w:rsidR="006708DE">
        <w:t>ptions for States</w:t>
      </w:r>
    </w:p>
    <w:p w:rsidR="00F6367E" w:rsidRDefault="00FA6E82" w:rsidP="00F2384D">
      <w:pPr>
        <w:rPr>
          <w:rFonts w:ascii="Arial" w:hAnsi="Arial" w:cs="Arial"/>
        </w:rPr>
      </w:pPr>
      <w:r>
        <w:rPr>
          <w:rFonts w:ascii="Arial" w:hAnsi="Arial" w:cs="Arial"/>
        </w:rPr>
        <w:lastRenderedPageBreak/>
        <w:t>In an effort to provide S</w:t>
      </w:r>
      <w:r w:rsidR="006708DE" w:rsidRPr="00F2384D">
        <w:rPr>
          <w:rFonts w:ascii="Arial" w:hAnsi="Arial" w:cs="Arial"/>
        </w:rPr>
        <w:t xml:space="preserve">tates with significant flexibility in the development of Exchanges to meet the needs of their </w:t>
      </w:r>
      <w:r w:rsidR="00E7637A">
        <w:rPr>
          <w:rFonts w:ascii="Arial" w:hAnsi="Arial" w:cs="Arial"/>
        </w:rPr>
        <w:t>citizens</w:t>
      </w:r>
      <w:r w:rsidR="006708DE" w:rsidRPr="00F2384D">
        <w:rPr>
          <w:rFonts w:ascii="Arial" w:hAnsi="Arial" w:cs="Arial"/>
        </w:rPr>
        <w:t>, HHS has developed a program that offers multiple Exchange models as well as a number of design alternatives within each model</w:t>
      </w:r>
      <w:r w:rsidR="00AA7E40" w:rsidRPr="00F2384D">
        <w:rPr>
          <w:rFonts w:ascii="Arial" w:hAnsi="Arial" w:cs="Arial"/>
        </w:rPr>
        <w:t xml:space="preserve">.  </w:t>
      </w:r>
      <w:r w:rsidR="0070515D">
        <w:rPr>
          <w:rFonts w:ascii="Arial" w:hAnsi="Arial" w:cs="Arial"/>
        </w:rPr>
        <w:t>A State</w:t>
      </w:r>
      <w:r w:rsidR="00ED6A4A">
        <w:rPr>
          <w:rFonts w:ascii="Arial" w:hAnsi="Arial" w:cs="Arial"/>
        </w:rPr>
        <w:t xml:space="preserve"> also </w:t>
      </w:r>
      <w:r w:rsidR="0070515D">
        <w:rPr>
          <w:rFonts w:ascii="Arial" w:hAnsi="Arial" w:cs="Arial"/>
        </w:rPr>
        <w:t xml:space="preserve">has the </w:t>
      </w:r>
      <w:r w:rsidR="00ED6A4A">
        <w:rPr>
          <w:rFonts w:ascii="Arial" w:hAnsi="Arial" w:cs="Arial"/>
        </w:rPr>
        <w:t>flexib</w:t>
      </w:r>
      <w:r w:rsidR="00FD3CE5">
        <w:rPr>
          <w:rFonts w:ascii="Arial" w:hAnsi="Arial" w:cs="Arial"/>
        </w:rPr>
        <w:t>i</w:t>
      </w:r>
      <w:r w:rsidR="00ED6A4A">
        <w:rPr>
          <w:rFonts w:ascii="Arial" w:hAnsi="Arial" w:cs="Arial"/>
        </w:rPr>
        <w:t>l</w:t>
      </w:r>
      <w:r w:rsidR="00FD3CE5">
        <w:rPr>
          <w:rFonts w:ascii="Arial" w:hAnsi="Arial" w:cs="Arial"/>
        </w:rPr>
        <w:t>it</w:t>
      </w:r>
      <w:r w:rsidR="00ED6A4A">
        <w:rPr>
          <w:rFonts w:ascii="Arial" w:hAnsi="Arial" w:cs="Arial"/>
        </w:rPr>
        <w:t xml:space="preserve">y </w:t>
      </w:r>
      <w:r w:rsidR="0070515D">
        <w:rPr>
          <w:rFonts w:ascii="Arial" w:hAnsi="Arial" w:cs="Arial"/>
        </w:rPr>
        <w:t>to transition between</w:t>
      </w:r>
      <w:r w:rsidR="00ED6A4A">
        <w:rPr>
          <w:rFonts w:ascii="Arial" w:hAnsi="Arial" w:cs="Arial"/>
        </w:rPr>
        <w:t xml:space="preserve"> models annual</w:t>
      </w:r>
      <w:r w:rsidR="002B2147">
        <w:rPr>
          <w:rFonts w:ascii="Arial" w:hAnsi="Arial" w:cs="Arial"/>
        </w:rPr>
        <w:t>ly (see page 4</w:t>
      </w:r>
      <w:r w:rsidR="00192981">
        <w:rPr>
          <w:rFonts w:ascii="Arial" w:hAnsi="Arial" w:cs="Arial"/>
        </w:rPr>
        <w:t xml:space="preserve"> for details</w:t>
      </w:r>
      <w:r w:rsidR="002B2147">
        <w:rPr>
          <w:rFonts w:ascii="Arial" w:hAnsi="Arial" w:cs="Arial"/>
        </w:rPr>
        <w:t>)</w:t>
      </w:r>
      <w:r w:rsidR="00ED6A4A">
        <w:rPr>
          <w:rFonts w:ascii="Arial" w:hAnsi="Arial" w:cs="Arial"/>
        </w:rPr>
        <w:t xml:space="preserve">.  </w:t>
      </w:r>
      <w:r w:rsidR="00526FBB" w:rsidRPr="00F2384D">
        <w:rPr>
          <w:rFonts w:ascii="Arial" w:hAnsi="Arial" w:cs="Arial"/>
        </w:rPr>
        <w:t xml:space="preserve">See </w:t>
      </w:r>
      <w:r w:rsidR="00526FBB">
        <w:rPr>
          <w:rFonts w:ascii="Arial" w:hAnsi="Arial" w:cs="Arial"/>
        </w:rPr>
        <w:t>Figure</w:t>
      </w:r>
      <w:r w:rsidR="00526FBB" w:rsidRPr="00F2384D">
        <w:rPr>
          <w:rFonts w:ascii="Arial" w:hAnsi="Arial" w:cs="Arial"/>
        </w:rPr>
        <w:t xml:space="preserve"> 1 for a representation of the </w:t>
      </w:r>
      <w:r w:rsidR="00526FBB">
        <w:rPr>
          <w:rFonts w:ascii="Arial" w:hAnsi="Arial" w:cs="Arial"/>
        </w:rPr>
        <w:t>Exchange models</w:t>
      </w:r>
      <w:r w:rsidR="00D165B7">
        <w:rPr>
          <w:rFonts w:ascii="Arial" w:hAnsi="Arial" w:cs="Arial"/>
        </w:rPr>
        <w:t xml:space="preserve"> and flexibility within those models</w:t>
      </w:r>
      <w:r w:rsidR="00526FBB">
        <w:rPr>
          <w:rFonts w:ascii="Arial" w:hAnsi="Arial" w:cs="Arial"/>
        </w:rPr>
        <w:t>.</w:t>
      </w:r>
    </w:p>
    <w:p w:rsidR="00526FBB" w:rsidRDefault="00526FBB" w:rsidP="00526FBB">
      <w:pPr>
        <w:rPr>
          <w:b/>
        </w:rPr>
      </w:pPr>
      <w:r w:rsidRPr="00605276">
        <w:rPr>
          <w:b/>
        </w:rPr>
        <w:t xml:space="preserve">Figure 1: Flexible </w:t>
      </w:r>
      <w:r w:rsidR="0094783C" w:rsidRPr="00605276">
        <w:rPr>
          <w:b/>
        </w:rPr>
        <w:t xml:space="preserve">Exchange </w:t>
      </w:r>
      <w:r w:rsidRPr="00605276">
        <w:rPr>
          <w:b/>
        </w:rPr>
        <w:t>Options for States</w:t>
      </w:r>
      <w:r w:rsidRPr="00010E09">
        <w:rPr>
          <w:b/>
        </w:rPr>
        <w:t xml:space="preserve"> </w:t>
      </w:r>
    </w:p>
    <w:p w:rsidR="00526FBB" w:rsidRPr="00265EAD" w:rsidRDefault="009251C4" w:rsidP="003B50D5">
      <w:pPr>
        <w:rPr>
          <w:rFonts w:ascii="Arial" w:hAnsi="Arial" w:cs="Arial"/>
          <w:b/>
        </w:rPr>
      </w:pPr>
      <w:r>
        <w:rPr>
          <w:rFonts w:ascii="Arial" w:hAnsi="Arial" w:cs="Arial"/>
          <w:b/>
          <w:noProof/>
        </w:rPr>
        <w:drawing>
          <wp:inline distT="0" distB="0" distL="0" distR="0" wp14:anchorId="51F0559C" wp14:editId="0C112D6C">
            <wp:extent cx="6217920" cy="3020304"/>
            <wp:effectExtent l="0" t="0" r="0" b="0"/>
            <wp:docPr id="1" name="Picture 1" descr="An arrow across the top of three Sections: &#10;First Row: State-based Exchange. State operates all exchange activities; however, state may use federal government services for the following activities: premium tax credit and cost-sharing reduction determination. Exemptions. Risk adjustment program. Reinsurance program. &#10;Second Row: State Partnership exchange. State operates activities for: plan management. Consumer assistance. Both. State may elect to perform or can use federal government services for the following activities: reinsurance program. Medicaid and CHIP eligibility: assessment or determination *(coordinates with Medicaid and CHIP services (CMCS) on decision and protocols.) &#10;Third Row: Federally facilitated exchange.  HHS operates; however, state may elect to perform or can use federal government services for the following activities: reinsurance program. Medicaid and CHIP eligibility: assessment or determination *(coordinates with Medicaid and CHIP services (CMCS) on decision and proto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7920" cy="3020304"/>
                    </a:xfrm>
                    <a:prstGeom prst="rect">
                      <a:avLst/>
                    </a:prstGeom>
                    <a:noFill/>
                  </pic:spPr>
                </pic:pic>
              </a:graphicData>
            </a:graphic>
          </wp:inline>
        </w:drawing>
      </w:r>
    </w:p>
    <w:p w:rsidR="005D47E1" w:rsidRDefault="005D47E1" w:rsidP="005D47E1">
      <w:pPr>
        <w:rPr>
          <w:rFonts w:ascii="Arial" w:hAnsi="Arial" w:cs="Arial"/>
        </w:rPr>
      </w:pPr>
      <w:r w:rsidRPr="00F2384D">
        <w:rPr>
          <w:rFonts w:ascii="Arial" w:hAnsi="Arial" w:cs="Arial"/>
        </w:rPr>
        <w:t xml:space="preserve">Exchanges </w:t>
      </w:r>
      <w:r>
        <w:rPr>
          <w:rFonts w:ascii="Arial" w:hAnsi="Arial" w:cs="Arial"/>
        </w:rPr>
        <w:t>will operate either</w:t>
      </w:r>
      <w:r w:rsidRPr="00F2384D">
        <w:rPr>
          <w:rFonts w:ascii="Arial" w:hAnsi="Arial" w:cs="Arial"/>
        </w:rPr>
        <w:t xml:space="preserve"> as a State-based Exchange or a </w:t>
      </w:r>
      <w:r>
        <w:rPr>
          <w:rFonts w:ascii="Arial" w:hAnsi="Arial" w:cs="Arial"/>
        </w:rPr>
        <w:t>Federally-facilitated Exchange.  A</w:t>
      </w:r>
      <w:r w:rsidRPr="00F2384D">
        <w:rPr>
          <w:rFonts w:ascii="Arial" w:hAnsi="Arial" w:cs="Arial"/>
        </w:rPr>
        <w:t xml:space="preserve"> State may also </w:t>
      </w:r>
      <w:r>
        <w:rPr>
          <w:rFonts w:ascii="Arial" w:hAnsi="Arial" w:cs="Arial"/>
        </w:rPr>
        <w:t xml:space="preserve">operate in partnership with HHS </w:t>
      </w:r>
      <w:r w:rsidRPr="00F2384D">
        <w:rPr>
          <w:rFonts w:ascii="Arial" w:hAnsi="Arial" w:cs="Arial"/>
        </w:rPr>
        <w:t xml:space="preserve">as a State Partnership Exchange, which provides States with the option to administer and </w:t>
      </w:r>
      <w:r>
        <w:rPr>
          <w:rFonts w:ascii="Arial" w:hAnsi="Arial" w:cs="Arial"/>
        </w:rPr>
        <w:t>operate</w:t>
      </w:r>
      <w:r w:rsidRPr="00F2384D">
        <w:rPr>
          <w:rFonts w:ascii="Arial" w:hAnsi="Arial" w:cs="Arial"/>
        </w:rPr>
        <w:t xml:space="preserve"> Exchange </w:t>
      </w:r>
      <w:r>
        <w:rPr>
          <w:rFonts w:ascii="Arial" w:hAnsi="Arial" w:cs="Arial"/>
        </w:rPr>
        <w:t>activities</w:t>
      </w:r>
      <w:r w:rsidRPr="00F2384D">
        <w:rPr>
          <w:rFonts w:ascii="Arial" w:hAnsi="Arial" w:cs="Arial"/>
        </w:rPr>
        <w:t xml:space="preserve"> associated with plan management activities, some consumer assistance activities, or both. </w:t>
      </w:r>
      <w:r w:rsidR="0066589F">
        <w:rPr>
          <w:rFonts w:ascii="Arial" w:hAnsi="Arial" w:cs="Arial"/>
        </w:rPr>
        <w:t xml:space="preserve">HHS, as the party responsible for Exchange implementation, will provide as much flexibility as possible; however, HHS will need to ratify inherently governmental decisions made by the State Partner. </w:t>
      </w:r>
    </w:p>
    <w:p w:rsidR="008C330A" w:rsidRPr="008B1FDA" w:rsidRDefault="00605276" w:rsidP="008B1FDA">
      <w:pPr>
        <w:rPr>
          <w:rFonts w:ascii="Arial" w:hAnsi="Arial" w:cs="Arial"/>
        </w:rPr>
      </w:pPr>
      <w:r>
        <w:rPr>
          <w:rFonts w:ascii="Arial" w:hAnsi="Arial" w:cs="Arial"/>
        </w:rPr>
        <w:t xml:space="preserve">Technical Assistance and </w:t>
      </w:r>
      <w:r w:rsidR="00E7637A">
        <w:rPr>
          <w:rFonts w:ascii="Arial" w:hAnsi="Arial" w:cs="Arial"/>
        </w:rPr>
        <w:t>Establishment Grant funding</w:t>
      </w:r>
      <w:r w:rsidR="00E7637A" w:rsidRPr="00AA7A0D">
        <w:rPr>
          <w:rFonts w:ascii="Arial" w:hAnsi="Arial" w:cs="Arial"/>
        </w:rPr>
        <w:t xml:space="preserve"> under Section 1311(a) of the Affordable Care Act </w:t>
      </w:r>
      <w:r w:rsidR="00E7637A">
        <w:rPr>
          <w:rFonts w:ascii="Arial" w:hAnsi="Arial" w:cs="Arial"/>
        </w:rPr>
        <w:t>continues to be available</w:t>
      </w:r>
      <w:r w:rsidR="00FD3CE5">
        <w:rPr>
          <w:rFonts w:ascii="Arial" w:hAnsi="Arial" w:cs="Arial"/>
        </w:rPr>
        <w:t xml:space="preserve"> to States</w:t>
      </w:r>
      <w:r>
        <w:rPr>
          <w:rFonts w:ascii="Arial" w:hAnsi="Arial" w:cs="Arial"/>
        </w:rPr>
        <w:t xml:space="preserve"> </w:t>
      </w:r>
      <w:r w:rsidR="00E7637A">
        <w:rPr>
          <w:rFonts w:ascii="Arial" w:hAnsi="Arial" w:cs="Arial"/>
        </w:rPr>
        <w:t>through 2014 for State-based Exchange</w:t>
      </w:r>
      <w:r>
        <w:rPr>
          <w:rFonts w:ascii="Arial" w:hAnsi="Arial" w:cs="Arial"/>
        </w:rPr>
        <w:t>s</w:t>
      </w:r>
      <w:r w:rsidR="00E7637A">
        <w:rPr>
          <w:rFonts w:ascii="Arial" w:hAnsi="Arial" w:cs="Arial"/>
        </w:rPr>
        <w:t>, State Partnership Exchanges, and States</w:t>
      </w:r>
      <w:r w:rsidR="00DC77C4">
        <w:rPr>
          <w:rFonts w:ascii="Arial" w:hAnsi="Arial" w:cs="Arial"/>
        </w:rPr>
        <w:t xml:space="preserve"> that are building linkages to the</w:t>
      </w:r>
      <w:r w:rsidR="00E7637A">
        <w:rPr>
          <w:rFonts w:ascii="Arial" w:hAnsi="Arial" w:cs="Arial"/>
        </w:rPr>
        <w:t xml:space="preserve"> Federally-facilitated Exchange.</w:t>
      </w:r>
      <w:r w:rsidR="00696982">
        <w:rPr>
          <w:rStyle w:val="FootnoteReference"/>
          <w:rFonts w:ascii="Arial" w:hAnsi="Arial" w:cs="Arial"/>
        </w:rPr>
        <w:footnoteReference w:id="4"/>
      </w:r>
    </w:p>
    <w:p w:rsidR="008821E2" w:rsidRDefault="008821E2" w:rsidP="009E7604">
      <w:pPr>
        <w:pStyle w:val="Heading3"/>
      </w:pPr>
    </w:p>
    <w:p w:rsidR="00791F85" w:rsidRPr="004F0FD4" w:rsidRDefault="00791F85" w:rsidP="009E7604">
      <w:pPr>
        <w:pStyle w:val="Heading3"/>
        <w:rPr>
          <w:u w:val="single"/>
        </w:rPr>
      </w:pPr>
      <w:r w:rsidRPr="004F0FD4">
        <w:rPr>
          <w:u w:val="single"/>
        </w:rPr>
        <w:t>State-based Exchange</w:t>
      </w:r>
    </w:p>
    <w:p w:rsidR="008A38C9" w:rsidRPr="00F2384D" w:rsidRDefault="0054310B" w:rsidP="00F2384D">
      <w:pPr>
        <w:rPr>
          <w:rFonts w:ascii="Arial" w:hAnsi="Arial" w:cs="Arial"/>
        </w:rPr>
      </w:pPr>
      <w:r w:rsidRPr="00F2384D">
        <w:rPr>
          <w:rFonts w:ascii="Arial" w:hAnsi="Arial" w:cs="Arial"/>
        </w:rPr>
        <w:lastRenderedPageBreak/>
        <w:t>The Exchange final rule outli</w:t>
      </w:r>
      <w:r w:rsidR="008A38C9" w:rsidRPr="00F2384D">
        <w:rPr>
          <w:rFonts w:ascii="Arial" w:hAnsi="Arial" w:cs="Arial"/>
        </w:rPr>
        <w:t>nes the a</w:t>
      </w:r>
      <w:r w:rsidRPr="00F2384D">
        <w:rPr>
          <w:rFonts w:ascii="Arial" w:hAnsi="Arial" w:cs="Arial"/>
        </w:rPr>
        <w:t>ctivities required to operate a State-based Exchange</w:t>
      </w:r>
      <w:r w:rsidR="008A38C9" w:rsidRPr="00F2384D">
        <w:rPr>
          <w:rFonts w:ascii="Arial" w:hAnsi="Arial" w:cs="Arial"/>
        </w:rPr>
        <w:t xml:space="preserve">.  Within the required activities, a State-based Exchange has additional operational flexibility. </w:t>
      </w:r>
      <w:r w:rsidR="00D7387F">
        <w:rPr>
          <w:rFonts w:ascii="Arial" w:hAnsi="Arial" w:cs="Arial"/>
        </w:rPr>
        <w:t xml:space="preserve"> It may choose to </w:t>
      </w:r>
      <w:r w:rsidR="00715493">
        <w:rPr>
          <w:rFonts w:ascii="Arial" w:hAnsi="Arial" w:cs="Arial"/>
        </w:rPr>
        <w:t xml:space="preserve">use Federal government services for </w:t>
      </w:r>
      <w:r w:rsidR="00D86406">
        <w:rPr>
          <w:rFonts w:ascii="Arial" w:hAnsi="Arial" w:cs="Arial"/>
        </w:rPr>
        <w:t>the following activities</w:t>
      </w:r>
      <w:r w:rsidR="00715493">
        <w:rPr>
          <w:rFonts w:ascii="Arial" w:hAnsi="Arial" w:cs="Arial"/>
        </w:rPr>
        <w:t>:</w:t>
      </w:r>
    </w:p>
    <w:p w:rsidR="008A38C9" w:rsidRPr="00F2384D" w:rsidRDefault="008A38C9" w:rsidP="00186316">
      <w:pPr>
        <w:pStyle w:val="ListParagraph"/>
        <w:numPr>
          <w:ilvl w:val="0"/>
          <w:numId w:val="17"/>
        </w:numPr>
        <w:rPr>
          <w:rFonts w:ascii="Arial" w:hAnsi="Arial" w:cs="Arial"/>
        </w:rPr>
      </w:pPr>
      <w:r w:rsidRPr="00F2384D">
        <w:rPr>
          <w:rFonts w:ascii="Arial" w:hAnsi="Arial" w:cs="Arial"/>
        </w:rPr>
        <w:t>Determination of a</w:t>
      </w:r>
      <w:r w:rsidR="0054310B" w:rsidRPr="00F2384D">
        <w:rPr>
          <w:rFonts w:ascii="Arial" w:hAnsi="Arial" w:cs="Arial"/>
        </w:rPr>
        <w:t xml:space="preserve">dvance premium tax credit (APTC) and cost sharing reduction (CSR) </w:t>
      </w:r>
    </w:p>
    <w:p w:rsidR="008A38C9" w:rsidRPr="00F2384D" w:rsidRDefault="00CD661E" w:rsidP="00186316">
      <w:pPr>
        <w:pStyle w:val="ListParagraph"/>
        <w:numPr>
          <w:ilvl w:val="0"/>
          <w:numId w:val="17"/>
        </w:numPr>
        <w:rPr>
          <w:rFonts w:ascii="Arial" w:hAnsi="Arial" w:cs="Arial"/>
        </w:rPr>
      </w:pPr>
      <w:r>
        <w:rPr>
          <w:rFonts w:ascii="Arial" w:hAnsi="Arial" w:cs="Arial"/>
        </w:rPr>
        <w:t>Individual responsibility requirement and payment exemption</w:t>
      </w:r>
      <w:r w:rsidR="00292974">
        <w:rPr>
          <w:rFonts w:ascii="Arial" w:hAnsi="Arial" w:cs="Arial"/>
        </w:rPr>
        <w:t xml:space="preserve"> as defined in future rulemaking and guidance</w:t>
      </w:r>
    </w:p>
    <w:p w:rsidR="00B80E65" w:rsidRDefault="0054310B" w:rsidP="00186316">
      <w:pPr>
        <w:pStyle w:val="ListParagraph"/>
        <w:numPr>
          <w:ilvl w:val="0"/>
          <w:numId w:val="17"/>
        </w:numPr>
        <w:rPr>
          <w:rFonts w:ascii="Arial" w:hAnsi="Arial" w:cs="Arial"/>
        </w:rPr>
      </w:pPr>
      <w:r w:rsidRPr="00B80E65">
        <w:rPr>
          <w:rFonts w:ascii="Arial" w:hAnsi="Arial" w:cs="Arial"/>
        </w:rPr>
        <w:t>Reinsurance</w:t>
      </w:r>
    </w:p>
    <w:p w:rsidR="00B80E65" w:rsidRPr="00B80E65" w:rsidRDefault="0054310B" w:rsidP="00B80E65">
      <w:pPr>
        <w:pStyle w:val="ListParagraph"/>
        <w:numPr>
          <w:ilvl w:val="0"/>
          <w:numId w:val="17"/>
        </w:numPr>
        <w:rPr>
          <w:rFonts w:ascii="Arial" w:hAnsi="Arial" w:cs="Arial"/>
        </w:rPr>
      </w:pPr>
      <w:r w:rsidRPr="00B80E65">
        <w:rPr>
          <w:rFonts w:ascii="Arial" w:hAnsi="Arial" w:cs="Arial"/>
        </w:rPr>
        <w:t>Risk</w:t>
      </w:r>
      <w:r w:rsidR="00927D4D">
        <w:rPr>
          <w:rFonts w:ascii="Arial" w:hAnsi="Arial" w:cs="Arial"/>
        </w:rPr>
        <w:t xml:space="preserve"> a</w:t>
      </w:r>
      <w:r w:rsidR="00B80E65">
        <w:rPr>
          <w:rFonts w:ascii="Arial" w:hAnsi="Arial" w:cs="Arial"/>
        </w:rPr>
        <w:t>djustment</w:t>
      </w:r>
    </w:p>
    <w:p w:rsidR="0094070B" w:rsidRPr="00761ABE" w:rsidRDefault="0094070B" w:rsidP="009E7604">
      <w:pPr>
        <w:pStyle w:val="Heading3"/>
      </w:pPr>
      <w:r>
        <w:t xml:space="preserve">State Partnership </w:t>
      </w:r>
      <w:r w:rsidR="00A12887">
        <w:t>Exchange</w:t>
      </w:r>
    </w:p>
    <w:p w:rsidR="00A4688B" w:rsidRDefault="00A4688B" w:rsidP="00A4688B">
      <w:pPr>
        <w:rPr>
          <w:rFonts w:ascii="Arial" w:hAnsi="Arial" w:cs="Arial"/>
        </w:rPr>
      </w:pPr>
      <w:r w:rsidRPr="00F2384D">
        <w:rPr>
          <w:rFonts w:ascii="Arial" w:hAnsi="Arial" w:cs="Arial"/>
        </w:rPr>
        <w:t>States have the option to operate as a St</w:t>
      </w:r>
      <w:r>
        <w:rPr>
          <w:rFonts w:ascii="Arial" w:hAnsi="Arial" w:cs="Arial"/>
        </w:rPr>
        <w:t>ate Partnership</w:t>
      </w:r>
      <w:r w:rsidRPr="00F2384D">
        <w:rPr>
          <w:rFonts w:ascii="Arial" w:hAnsi="Arial" w:cs="Arial"/>
        </w:rPr>
        <w:t xml:space="preserve"> with</w:t>
      </w:r>
      <w:r>
        <w:rPr>
          <w:rFonts w:ascii="Arial" w:hAnsi="Arial" w:cs="Arial"/>
        </w:rPr>
        <w:t xml:space="preserve"> HHS</w:t>
      </w:r>
      <w:r w:rsidRPr="00F2384D">
        <w:rPr>
          <w:rFonts w:ascii="Arial" w:hAnsi="Arial" w:cs="Arial"/>
        </w:rPr>
        <w:t xml:space="preserve"> </w:t>
      </w:r>
      <w:r>
        <w:rPr>
          <w:rFonts w:ascii="Arial" w:hAnsi="Arial" w:cs="Arial"/>
        </w:rPr>
        <w:t xml:space="preserve">to </w:t>
      </w:r>
      <w:r w:rsidRPr="00F2384D">
        <w:rPr>
          <w:rFonts w:ascii="Arial" w:hAnsi="Arial" w:cs="Arial"/>
        </w:rPr>
        <w:t xml:space="preserve">administer and operate select Exchange </w:t>
      </w:r>
      <w:r>
        <w:rPr>
          <w:rFonts w:ascii="Arial" w:hAnsi="Arial" w:cs="Arial"/>
        </w:rPr>
        <w:t>a</w:t>
      </w:r>
      <w:r w:rsidRPr="00F2384D">
        <w:rPr>
          <w:rFonts w:ascii="Arial" w:hAnsi="Arial" w:cs="Arial"/>
        </w:rPr>
        <w:t xml:space="preserve">ctivities.  Specifically, a State Partnership Exchange may assume primary responsibility </w:t>
      </w:r>
      <w:r>
        <w:rPr>
          <w:rFonts w:ascii="Arial" w:hAnsi="Arial" w:cs="Arial"/>
        </w:rPr>
        <w:t xml:space="preserve">for </w:t>
      </w:r>
      <w:r w:rsidR="005159B7">
        <w:rPr>
          <w:rFonts w:ascii="Arial" w:hAnsi="Arial" w:cs="Arial"/>
        </w:rPr>
        <w:t>activities including</w:t>
      </w:r>
      <w:r>
        <w:rPr>
          <w:rFonts w:ascii="Arial" w:hAnsi="Arial" w:cs="Arial"/>
        </w:rPr>
        <w:t xml:space="preserve">: </w:t>
      </w:r>
    </w:p>
    <w:p w:rsidR="008A38C9" w:rsidRPr="00A4688B" w:rsidRDefault="0054310B" w:rsidP="00A4688B">
      <w:pPr>
        <w:pStyle w:val="ListParagraph"/>
        <w:numPr>
          <w:ilvl w:val="0"/>
          <w:numId w:val="29"/>
        </w:numPr>
        <w:rPr>
          <w:rFonts w:ascii="Arial" w:hAnsi="Arial" w:cs="Arial"/>
        </w:rPr>
      </w:pPr>
      <w:r w:rsidRPr="00A4688B">
        <w:rPr>
          <w:rFonts w:ascii="Arial" w:hAnsi="Arial" w:cs="Arial"/>
        </w:rPr>
        <w:t>Plan Management</w:t>
      </w:r>
      <w:r w:rsidR="00F2384D" w:rsidRPr="00A4688B">
        <w:rPr>
          <w:rFonts w:ascii="Arial" w:hAnsi="Arial" w:cs="Arial"/>
        </w:rPr>
        <w:t>.  In a Plan Management Partnership, a State will conduct all analyses and reviews necessary to support QHP certification, collect and transmit necessary data to HHS, and manage certified QHPs.</w:t>
      </w:r>
    </w:p>
    <w:p w:rsidR="0094070B" w:rsidRPr="0094070B" w:rsidRDefault="0094070B" w:rsidP="0094070B">
      <w:pPr>
        <w:pStyle w:val="ListParagraph"/>
        <w:numPr>
          <w:ilvl w:val="0"/>
          <w:numId w:val="17"/>
        </w:numPr>
        <w:rPr>
          <w:rFonts w:ascii="Arial" w:hAnsi="Arial" w:cs="Arial"/>
        </w:rPr>
      </w:pPr>
      <w:r w:rsidRPr="00F2384D">
        <w:rPr>
          <w:rFonts w:ascii="Arial" w:hAnsi="Arial" w:cs="Arial"/>
        </w:rPr>
        <w:t xml:space="preserve">Consumer Assistance. </w:t>
      </w:r>
      <w:r>
        <w:rPr>
          <w:rFonts w:ascii="Arial" w:hAnsi="Arial" w:cs="Arial"/>
        </w:rPr>
        <w:t xml:space="preserve"> In a Consumer Assistance Partnership,</w:t>
      </w:r>
      <w:r w:rsidRPr="00F2384D">
        <w:rPr>
          <w:rFonts w:ascii="Arial" w:hAnsi="Arial" w:cs="Arial"/>
        </w:rPr>
        <w:t xml:space="preserve"> </w:t>
      </w:r>
      <w:r>
        <w:rPr>
          <w:rFonts w:ascii="Arial" w:hAnsi="Arial" w:cs="Arial"/>
        </w:rPr>
        <w:t xml:space="preserve">a </w:t>
      </w:r>
      <w:r w:rsidRPr="00F2384D">
        <w:rPr>
          <w:rFonts w:ascii="Arial" w:hAnsi="Arial" w:cs="Arial"/>
        </w:rPr>
        <w:t>State will provide in-person application and</w:t>
      </w:r>
      <w:r w:rsidR="00E95BC7">
        <w:rPr>
          <w:rFonts w:ascii="Arial" w:hAnsi="Arial" w:cs="Arial"/>
        </w:rPr>
        <w:t xml:space="preserve"> other assistance to consumers.</w:t>
      </w:r>
      <w:r w:rsidRPr="00F2384D">
        <w:rPr>
          <w:rFonts w:ascii="Arial" w:hAnsi="Arial" w:cs="Arial"/>
        </w:rPr>
        <w:t xml:space="preserve"> In-person assistance may include supporting consumers in filing an application, obtaining an eligibility determination or reporting a change in status, comparing coverage options, and selecting and enrolling in a QHP.</w:t>
      </w:r>
    </w:p>
    <w:p w:rsidR="008A38C9" w:rsidRPr="00F2384D" w:rsidRDefault="008A38C9" w:rsidP="00186316">
      <w:pPr>
        <w:pStyle w:val="ListParagraph"/>
        <w:numPr>
          <w:ilvl w:val="0"/>
          <w:numId w:val="17"/>
        </w:numPr>
        <w:rPr>
          <w:rFonts w:ascii="Arial" w:hAnsi="Arial" w:cs="Arial"/>
        </w:rPr>
      </w:pPr>
      <w:r w:rsidRPr="00F2384D">
        <w:rPr>
          <w:rFonts w:ascii="Arial" w:hAnsi="Arial" w:cs="Arial"/>
        </w:rPr>
        <w:t>B</w:t>
      </w:r>
      <w:r w:rsidR="0054310B" w:rsidRPr="00F2384D">
        <w:rPr>
          <w:rFonts w:ascii="Arial" w:hAnsi="Arial" w:cs="Arial"/>
        </w:rPr>
        <w:t>oth</w:t>
      </w:r>
      <w:r w:rsidRPr="00F2384D">
        <w:rPr>
          <w:rFonts w:ascii="Arial" w:hAnsi="Arial" w:cs="Arial"/>
        </w:rPr>
        <w:t xml:space="preserve"> Plan Management and Consumer Assistance</w:t>
      </w:r>
      <w:r w:rsidR="00AA7E40" w:rsidRPr="00F2384D">
        <w:rPr>
          <w:rFonts w:ascii="Arial" w:hAnsi="Arial" w:cs="Arial"/>
        </w:rPr>
        <w:t xml:space="preserve">.  </w:t>
      </w:r>
      <w:r w:rsidR="00F2384D">
        <w:rPr>
          <w:rFonts w:ascii="Arial" w:hAnsi="Arial" w:cs="Arial"/>
        </w:rPr>
        <w:t xml:space="preserve">In a Plan Management and Consumer Assistance Partnership, a State </w:t>
      </w:r>
      <w:r w:rsidR="00F2384D" w:rsidRPr="00F80C61">
        <w:rPr>
          <w:rFonts w:ascii="Arial" w:hAnsi="Arial" w:cs="Arial"/>
        </w:rPr>
        <w:t xml:space="preserve">will perform all of the </w:t>
      </w:r>
      <w:r w:rsidR="00DC7397" w:rsidRPr="00F80C61">
        <w:rPr>
          <w:rFonts w:ascii="Arial" w:hAnsi="Arial" w:cs="Arial"/>
        </w:rPr>
        <w:t xml:space="preserve">Partnership </w:t>
      </w:r>
      <w:r w:rsidR="00F2384D" w:rsidRPr="00F80C61">
        <w:rPr>
          <w:rFonts w:ascii="Arial" w:hAnsi="Arial" w:cs="Arial"/>
        </w:rPr>
        <w:t>activities described above</w:t>
      </w:r>
      <w:r w:rsidR="00F2384D">
        <w:rPr>
          <w:rFonts w:ascii="Arial" w:hAnsi="Arial" w:cs="Arial"/>
        </w:rPr>
        <w:t>.</w:t>
      </w:r>
    </w:p>
    <w:p w:rsidR="0054310B" w:rsidRDefault="00520008" w:rsidP="00F2384D">
      <w:pPr>
        <w:rPr>
          <w:rFonts w:ascii="Arial" w:hAnsi="Arial" w:cs="Arial"/>
        </w:rPr>
      </w:pPr>
      <w:r>
        <w:rPr>
          <w:rFonts w:ascii="Arial" w:hAnsi="Arial" w:cs="Arial"/>
        </w:rPr>
        <w:t>In addition to Plan Management and Consumer Assistance Partnership activities, Partnership States may elect to perform the following Exchange activities:</w:t>
      </w:r>
    </w:p>
    <w:p w:rsidR="00F2384D" w:rsidRPr="0012566B" w:rsidRDefault="00927D4D" w:rsidP="00186316">
      <w:pPr>
        <w:pStyle w:val="ListParagraph"/>
        <w:numPr>
          <w:ilvl w:val="0"/>
          <w:numId w:val="18"/>
        </w:numPr>
        <w:rPr>
          <w:rFonts w:ascii="Arial" w:hAnsi="Arial" w:cs="Arial"/>
        </w:rPr>
      </w:pPr>
      <w:r>
        <w:rPr>
          <w:rFonts w:ascii="Arial" w:hAnsi="Arial" w:cs="Arial"/>
        </w:rPr>
        <w:t>Reinsurance</w:t>
      </w:r>
    </w:p>
    <w:p w:rsidR="0012566B" w:rsidRDefault="00F2384D" w:rsidP="0012566B">
      <w:pPr>
        <w:pStyle w:val="ListParagraph"/>
        <w:numPr>
          <w:ilvl w:val="0"/>
          <w:numId w:val="18"/>
        </w:numPr>
      </w:pPr>
      <w:r w:rsidRPr="00493E00">
        <w:rPr>
          <w:rFonts w:ascii="Arial" w:hAnsi="Arial" w:cs="Arial"/>
        </w:rPr>
        <w:t xml:space="preserve">Medicaid </w:t>
      </w:r>
      <w:r w:rsidR="00D86406" w:rsidRPr="00493E00">
        <w:rPr>
          <w:rFonts w:ascii="Arial" w:hAnsi="Arial" w:cs="Arial"/>
        </w:rPr>
        <w:t xml:space="preserve">and CHIP </w:t>
      </w:r>
      <w:r w:rsidR="00493E00">
        <w:rPr>
          <w:rFonts w:ascii="Arial" w:hAnsi="Arial" w:cs="Arial"/>
        </w:rPr>
        <w:t>eligibility</w:t>
      </w:r>
      <w:r w:rsidR="00A12887">
        <w:rPr>
          <w:rFonts w:ascii="Arial" w:hAnsi="Arial" w:cs="Arial"/>
        </w:rPr>
        <w:t xml:space="preserve">: </w:t>
      </w:r>
      <w:r w:rsidR="00ED6A4A">
        <w:rPr>
          <w:rFonts w:ascii="Arial" w:hAnsi="Arial" w:cs="Arial"/>
        </w:rPr>
        <w:t>A State may c</w:t>
      </w:r>
      <w:r w:rsidR="00493E00">
        <w:rPr>
          <w:rFonts w:ascii="Arial" w:hAnsi="Arial" w:cs="Arial"/>
        </w:rPr>
        <w:t xml:space="preserve">oordinate </w:t>
      </w:r>
      <w:r w:rsidR="00F36271" w:rsidRPr="00493E00">
        <w:rPr>
          <w:rFonts w:ascii="Arial" w:hAnsi="Arial" w:cs="Arial"/>
        </w:rPr>
        <w:t xml:space="preserve">with </w:t>
      </w:r>
      <w:r w:rsidR="00B05181" w:rsidRPr="00493E00">
        <w:rPr>
          <w:rFonts w:ascii="Arial" w:hAnsi="Arial" w:cs="Arial"/>
        </w:rPr>
        <w:t>the Center for Medicaid and CHIP Services (CMCS)</w:t>
      </w:r>
      <w:r w:rsidR="00B44F99" w:rsidRPr="00493E00">
        <w:rPr>
          <w:rFonts w:ascii="Arial" w:hAnsi="Arial" w:cs="Arial"/>
        </w:rPr>
        <w:t xml:space="preserve"> </w:t>
      </w:r>
      <w:r w:rsidR="0012566B" w:rsidRPr="00493E00">
        <w:rPr>
          <w:rFonts w:ascii="Arial" w:hAnsi="Arial" w:cs="Arial"/>
        </w:rPr>
        <w:t xml:space="preserve">on decisions and protocols for either an assessment or determination model </w:t>
      </w:r>
      <w:r w:rsidR="00493E00">
        <w:rPr>
          <w:rFonts w:ascii="Arial" w:hAnsi="Arial" w:cs="Arial"/>
        </w:rPr>
        <w:t xml:space="preserve">for eligibility </w:t>
      </w:r>
      <w:r w:rsidR="00520008">
        <w:rPr>
          <w:rFonts w:ascii="Arial" w:hAnsi="Arial" w:cs="Arial"/>
        </w:rPr>
        <w:t>in the Exchange</w:t>
      </w:r>
    </w:p>
    <w:p w:rsidR="00791F85" w:rsidRPr="00761ABE" w:rsidRDefault="00791F85" w:rsidP="00A14363">
      <w:pPr>
        <w:pStyle w:val="Heading3"/>
      </w:pPr>
      <w:r w:rsidRPr="00761ABE">
        <w:t>F</w:t>
      </w:r>
      <w:r>
        <w:t>ederally-facilitated Exchange without Partnership</w:t>
      </w:r>
      <w:r w:rsidRPr="00761ABE">
        <w:t xml:space="preserve"> </w:t>
      </w:r>
    </w:p>
    <w:p w:rsidR="000D36D3" w:rsidRDefault="00AE7EFD" w:rsidP="000D36D3">
      <w:pPr>
        <w:rPr>
          <w:rFonts w:ascii="Arial" w:hAnsi="Arial" w:cs="Arial"/>
        </w:rPr>
      </w:pPr>
      <w:r>
        <w:rPr>
          <w:rFonts w:ascii="Arial" w:hAnsi="Arial" w:cs="Arial"/>
        </w:rPr>
        <w:t>For S</w:t>
      </w:r>
      <w:r w:rsidR="000D36D3">
        <w:rPr>
          <w:rFonts w:ascii="Arial" w:hAnsi="Arial" w:cs="Arial"/>
        </w:rPr>
        <w:t>tates that do not seek to operate a State-based Exchange or a Partnership with the Federally-facilitated Exchange, HHS will establish and operate a</w:t>
      </w:r>
      <w:r w:rsidR="000D36D3" w:rsidRPr="00F83FE9">
        <w:rPr>
          <w:rFonts w:ascii="Arial" w:hAnsi="Arial" w:cs="Arial"/>
        </w:rPr>
        <w:t xml:space="preserve"> </w:t>
      </w:r>
      <w:r w:rsidR="000D36D3">
        <w:rPr>
          <w:rFonts w:ascii="Arial" w:hAnsi="Arial" w:cs="Arial"/>
        </w:rPr>
        <w:t>Feder</w:t>
      </w:r>
      <w:r w:rsidR="00493E00">
        <w:rPr>
          <w:rFonts w:ascii="Arial" w:hAnsi="Arial" w:cs="Arial"/>
        </w:rPr>
        <w:t xml:space="preserve">ally-facilitated Exchange.  In </w:t>
      </w:r>
      <w:r w:rsidR="00D169F6">
        <w:rPr>
          <w:rFonts w:ascii="Arial" w:hAnsi="Arial" w:cs="Arial"/>
        </w:rPr>
        <w:t>such instances</w:t>
      </w:r>
      <w:r w:rsidR="000D36D3">
        <w:rPr>
          <w:rFonts w:ascii="Arial" w:hAnsi="Arial" w:cs="Arial"/>
        </w:rPr>
        <w:t xml:space="preserve">, a State may elect to run reinsurance and may elect to </w:t>
      </w:r>
      <w:r w:rsidR="000D36D3" w:rsidRPr="0012566B">
        <w:rPr>
          <w:rFonts w:ascii="Arial" w:hAnsi="Arial" w:cs="Arial"/>
        </w:rPr>
        <w:t xml:space="preserve">coordinate with </w:t>
      </w:r>
      <w:r w:rsidR="000D36D3">
        <w:rPr>
          <w:rFonts w:ascii="Arial" w:hAnsi="Arial" w:cs="Arial"/>
        </w:rPr>
        <w:t>CMCS</w:t>
      </w:r>
      <w:r w:rsidR="000D36D3" w:rsidRPr="0012566B">
        <w:rPr>
          <w:rFonts w:ascii="Arial" w:hAnsi="Arial" w:cs="Arial"/>
        </w:rPr>
        <w:t xml:space="preserve"> on decisions and protocols for either an </w:t>
      </w:r>
      <w:r w:rsidR="000D36D3">
        <w:rPr>
          <w:rFonts w:ascii="Arial" w:hAnsi="Arial" w:cs="Arial"/>
        </w:rPr>
        <w:t xml:space="preserve">eligibility </w:t>
      </w:r>
      <w:r w:rsidR="000D36D3" w:rsidRPr="0012566B">
        <w:rPr>
          <w:rFonts w:ascii="Arial" w:hAnsi="Arial" w:cs="Arial"/>
        </w:rPr>
        <w:t xml:space="preserve">assessment or </w:t>
      </w:r>
      <w:r w:rsidR="000D36D3">
        <w:rPr>
          <w:rFonts w:ascii="Arial" w:hAnsi="Arial" w:cs="Arial"/>
        </w:rPr>
        <w:t xml:space="preserve">eligibility </w:t>
      </w:r>
      <w:r w:rsidR="000D36D3" w:rsidRPr="0012566B">
        <w:rPr>
          <w:rFonts w:ascii="Arial" w:hAnsi="Arial" w:cs="Arial"/>
        </w:rPr>
        <w:t>determination model in the Federally-facilitated Exchange</w:t>
      </w:r>
      <w:r w:rsidR="000D36D3">
        <w:rPr>
          <w:rFonts w:ascii="Arial" w:hAnsi="Arial" w:cs="Arial"/>
        </w:rPr>
        <w:t>.</w:t>
      </w:r>
      <w:r>
        <w:rPr>
          <w:rFonts w:ascii="Arial" w:hAnsi="Arial" w:cs="Arial"/>
        </w:rPr>
        <w:t xml:space="preserve"> </w:t>
      </w:r>
    </w:p>
    <w:p w:rsidR="0054310B" w:rsidRPr="00B83708" w:rsidRDefault="005D47E1" w:rsidP="00B83708">
      <w:pPr>
        <w:rPr>
          <w:rFonts w:ascii="Arial" w:hAnsi="Arial" w:cs="Arial"/>
        </w:rPr>
      </w:pPr>
      <w:r>
        <w:rPr>
          <w:rFonts w:ascii="Arial" w:hAnsi="Arial" w:cs="Arial"/>
        </w:rPr>
        <w:t xml:space="preserve">Regardless of </w:t>
      </w:r>
      <w:r w:rsidR="0079331A">
        <w:rPr>
          <w:rFonts w:ascii="Arial" w:hAnsi="Arial" w:cs="Arial"/>
        </w:rPr>
        <w:t xml:space="preserve">a State’s Exchange </w:t>
      </w:r>
      <w:r>
        <w:rPr>
          <w:rFonts w:ascii="Arial" w:hAnsi="Arial" w:cs="Arial"/>
        </w:rPr>
        <w:t>model, HHS intends to work in collaboration with States, where appropriate, to ensure the best, most effective experience for the State and its residents.</w:t>
      </w:r>
    </w:p>
    <w:p w:rsidR="008D4D74" w:rsidRDefault="008D4D74" w:rsidP="009E7604">
      <w:pPr>
        <w:pStyle w:val="Heading2"/>
      </w:pPr>
      <w:r w:rsidRPr="008D4D74">
        <w:t xml:space="preserve">Overview of </w:t>
      </w:r>
      <w:r w:rsidR="00F6367E">
        <w:t>Exchange Approval</w:t>
      </w:r>
      <w:r w:rsidRPr="008D4D74">
        <w:t xml:space="preserve"> </w:t>
      </w:r>
      <w:r w:rsidR="00F6367E">
        <w:t>Requirements</w:t>
      </w:r>
    </w:p>
    <w:p w:rsidR="00F6367E" w:rsidRDefault="00F6367E" w:rsidP="008D4D74">
      <w:pPr>
        <w:rPr>
          <w:rFonts w:ascii="Arial" w:hAnsi="Arial" w:cs="Arial"/>
        </w:rPr>
      </w:pPr>
      <w:r>
        <w:rPr>
          <w:rFonts w:ascii="Arial" w:hAnsi="Arial" w:cs="Arial"/>
        </w:rPr>
        <w:lastRenderedPageBreak/>
        <w:t xml:space="preserve">HHS </w:t>
      </w:r>
      <w:r w:rsidR="00AA7A0D">
        <w:rPr>
          <w:rFonts w:ascii="Arial" w:hAnsi="Arial" w:cs="Arial"/>
        </w:rPr>
        <w:t>may approve</w:t>
      </w:r>
      <w:r>
        <w:rPr>
          <w:rFonts w:ascii="Arial" w:hAnsi="Arial" w:cs="Arial"/>
        </w:rPr>
        <w:t xml:space="preserve"> </w:t>
      </w:r>
      <w:r w:rsidR="008D4D74" w:rsidRPr="008D4D74">
        <w:rPr>
          <w:rFonts w:ascii="Arial" w:hAnsi="Arial" w:cs="Arial"/>
        </w:rPr>
        <w:t>States that seek to operate a State-based Exchange or participate in a St</w:t>
      </w:r>
      <w:r w:rsidR="00AE7EFD">
        <w:rPr>
          <w:rFonts w:ascii="Arial" w:hAnsi="Arial" w:cs="Arial"/>
        </w:rPr>
        <w:t>ate Partnership Exchange</w:t>
      </w:r>
      <w:r w:rsidR="008D4D74" w:rsidRPr="008D4D74">
        <w:rPr>
          <w:rFonts w:ascii="Arial" w:hAnsi="Arial" w:cs="Arial"/>
        </w:rPr>
        <w:t xml:space="preserve"> </w:t>
      </w:r>
      <w:r w:rsidR="00AA7A0D">
        <w:rPr>
          <w:rFonts w:ascii="Arial" w:hAnsi="Arial" w:cs="Arial"/>
        </w:rPr>
        <w:t>based upon a State’s submission of it</w:t>
      </w:r>
      <w:r w:rsidR="00F36271">
        <w:rPr>
          <w:rFonts w:ascii="Arial" w:hAnsi="Arial" w:cs="Arial"/>
        </w:rPr>
        <w:t>s</w:t>
      </w:r>
      <w:r w:rsidR="00AA7A0D">
        <w:rPr>
          <w:rFonts w:ascii="Arial" w:hAnsi="Arial" w:cs="Arial"/>
        </w:rPr>
        <w:t xml:space="preserve"> Blueprint.  A Blueprint is made up of two components</w:t>
      </w:r>
      <w:r>
        <w:rPr>
          <w:rFonts w:ascii="Arial" w:hAnsi="Arial" w:cs="Arial"/>
        </w:rPr>
        <w:t xml:space="preserve">: </w:t>
      </w:r>
    </w:p>
    <w:p w:rsidR="00F6367E" w:rsidRPr="00F6367E" w:rsidRDefault="00D24B82" w:rsidP="00186316">
      <w:pPr>
        <w:pStyle w:val="ListParagraph"/>
        <w:numPr>
          <w:ilvl w:val="0"/>
          <w:numId w:val="16"/>
        </w:numPr>
        <w:rPr>
          <w:rFonts w:ascii="Arial" w:hAnsi="Arial" w:cs="Arial"/>
        </w:rPr>
      </w:pPr>
      <w:r>
        <w:rPr>
          <w:rFonts w:ascii="Arial" w:hAnsi="Arial" w:cs="Arial"/>
        </w:rPr>
        <w:t>Declaration Letter</w:t>
      </w:r>
      <w:r w:rsidR="00F6367E" w:rsidRPr="00F6367E">
        <w:rPr>
          <w:rFonts w:ascii="Arial" w:hAnsi="Arial" w:cs="Arial"/>
        </w:rPr>
        <w:t xml:space="preserve"> </w:t>
      </w:r>
      <w:r w:rsidR="00AA7A0D">
        <w:rPr>
          <w:rFonts w:ascii="Arial" w:hAnsi="Arial" w:cs="Arial"/>
        </w:rPr>
        <w:t>(Section 1)</w:t>
      </w:r>
    </w:p>
    <w:p w:rsidR="00D97C76" w:rsidRPr="00B05181" w:rsidRDefault="00F6367E" w:rsidP="00186316">
      <w:pPr>
        <w:pStyle w:val="ListParagraph"/>
        <w:numPr>
          <w:ilvl w:val="0"/>
          <w:numId w:val="16"/>
        </w:numPr>
        <w:rPr>
          <w:rFonts w:ascii="Arial" w:hAnsi="Arial" w:cs="Arial"/>
        </w:rPr>
      </w:pPr>
      <w:r w:rsidRPr="00F6367E">
        <w:rPr>
          <w:rFonts w:ascii="Arial" w:hAnsi="Arial" w:cs="Arial"/>
        </w:rPr>
        <w:t xml:space="preserve">Exchange </w:t>
      </w:r>
      <w:r w:rsidR="00AA7A0D">
        <w:rPr>
          <w:rFonts w:ascii="Arial" w:hAnsi="Arial" w:cs="Arial"/>
        </w:rPr>
        <w:t>Application</w:t>
      </w:r>
      <w:r w:rsidR="008D4D74" w:rsidRPr="00F6367E">
        <w:rPr>
          <w:rFonts w:ascii="Arial" w:hAnsi="Arial" w:cs="Arial"/>
        </w:rPr>
        <w:t xml:space="preserve"> </w:t>
      </w:r>
      <w:r w:rsidR="00AA7A0D">
        <w:rPr>
          <w:rFonts w:ascii="Arial" w:hAnsi="Arial" w:cs="Arial"/>
        </w:rPr>
        <w:t>(Section</w:t>
      </w:r>
      <w:r w:rsidR="00B05181">
        <w:rPr>
          <w:rFonts w:ascii="Arial" w:hAnsi="Arial" w:cs="Arial"/>
        </w:rPr>
        <w:t xml:space="preserve"> </w:t>
      </w:r>
      <w:r w:rsidR="00AA7A0D">
        <w:rPr>
          <w:rFonts w:ascii="Arial" w:hAnsi="Arial" w:cs="Arial"/>
        </w:rPr>
        <w:t>2)</w:t>
      </w:r>
    </w:p>
    <w:p w:rsidR="00D97C76" w:rsidRPr="00B80E65" w:rsidRDefault="00B7071E" w:rsidP="007A3D63">
      <w:pPr>
        <w:rPr>
          <w:rFonts w:ascii="Arial" w:hAnsi="Arial" w:cs="Arial"/>
        </w:rPr>
      </w:pPr>
      <w:r w:rsidRPr="004552CD">
        <w:rPr>
          <w:rFonts w:ascii="Arial" w:hAnsi="Arial" w:cs="Arial"/>
        </w:rPr>
        <w:t xml:space="preserve">States </w:t>
      </w:r>
      <w:r w:rsidR="00110771">
        <w:rPr>
          <w:rFonts w:ascii="Arial" w:hAnsi="Arial" w:cs="Arial"/>
        </w:rPr>
        <w:t>seeking</w:t>
      </w:r>
      <w:r w:rsidRPr="004552CD">
        <w:rPr>
          <w:rFonts w:ascii="Arial" w:hAnsi="Arial" w:cs="Arial"/>
        </w:rPr>
        <w:t xml:space="preserve"> </w:t>
      </w:r>
      <w:r w:rsidR="00AC6239">
        <w:rPr>
          <w:rFonts w:ascii="Arial" w:hAnsi="Arial" w:cs="Arial"/>
        </w:rPr>
        <w:t xml:space="preserve">to </w:t>
      </w:r>
      <w:r w:rsidRPr="004552CD">
        <w:rPr>
          <w:rFonts w:ascii="Arial" w:hAnsi="Arial" w:cs="Arial"/>
        </w:rPr>
        <w:t xml:space="preserve">operate a </w:t>
      </w:r>
      <w:r>
        <w:rPr>
          <w:rFonts w:ascii="Arial" w:hAnsi="Arial" w:cs="Arial"/>
        </w:rPr>
        <w:t>State-based Exchange</w:t>
      </w:r>
      <w:r w:rsidRPr="004552CD">
        <w:rPr>
          <w:rFonts w:ascii="Arial" w:hAnsi="Arial" w:cs="Arial"/>
        </w:rPr>
        <w:t xml:space="preserve"> </w:t>
      </w:r>
      <w:r w:rsidRPr="00B80E65">
        <w:rPr>
          <w:rFonts w:ascii="Arial" w:hAnsi="Arial" w:cs="Arial"/>
        </w:rPr>
        <w:t xml:space="preserve">or electing to participate in a State Partnership Exchange </w:t>
      </w:r>
      <w:r w:rsidR="00D97C76" w:rsidRPr="00B80E65">
        <w:rPr>
          <w:rFonts w:ascii="Arial" w:hAnsi="Arial" w:cs="Arial"/>
        </w:rPr>
        <w:t xml:space="preserve">must submit a complete Exchange Blueprint </w:t>
      </w:r>
      <w:r w:rsidR="00B05181" w:rsidRPr="00B80E65">
        <w:rPr>
          <w:rFonts w:ascii="Arial" w:hAnsi="Arial" w:cs="Arial"/>
        </w:rPr>
        <w:t xml:space="preserve">no later than </w:t>
      </w:r>
      <w:r w:rsidR="00D97C76" w:rsidRPr="00B80E65">
        <w:rPr>
          <w:rFonts w:ascii="Arial" w:hAnsi="Arial" w:cs="Arial"/>
        </w:rPr>
        <w:t>30 busin</w:t>
      </w:r>
      <w:r w:rsidR="00B44F99">
        <w:rPr>
          <w:rFonts w:ascii="Arial" w:hAnsi="Arial" w:cs="Arial"/>
        </w:rPr>
        <w:t xml:space="preserve">ess days prior to the required </w:t>
      </w:r>
      <w:r w:rsidR="002B2147">
        <w:rPr>
          <w:rFonts w:ascii="Arial" w:hAnsi="Arial" w:cs="Arial"/>
        </w:rPr>
        <w:t>a</w:t>
      </w:r>
      <w:r w:rsidR="00D97C76" w:rsidRPr="00B80E65">
        <w:rPr>
          <w:rFonts w:ascii="Arial" w:hAnsi="Arial" w:cs="Arial"/>
        </w:rPr>
        <w:t>pprov</w:t>
      </w:r>
      <w:r w:rsidR="007612C0" w:rsidRPr="00B80E65">
        <w:rPr>
          <w:rFonts w:ascii="Arial" w:hAnsi="Arial" w:cs="Arial"/>
        </w:rPr>
        <w:t>al date of January 1 (</w:t>
      </w:r>
      <w:r w:rsidR="00D97C76" w:rsidRPr="00B80E65">
        <w:rPr>
          <w:rFonts w:ascii="Arial" w:hAnsi="Arial" w:cs="Arial"/>
        </w:rPr>
        <w:t>November 16, 2012</w:t>
      </w:r>
      <w:r w:rsidR="0079331A">
        <w:rPr>
          <w:rFonts w:ascii="Arial" w:hAnsi="Arial" w:cs="Arial"/>
        </w:rPr>
        <w:t>,</w:t>
      </w:r>
      <w:r w:rsidR="00D7387F" w:rsidRPr="00D7387F">
        <w:rPr>
          <w:rFonts w:ascii="Arial" w:hAnsi="Arial" w:cs="Arial"/>
        </w:rPr>
        <w:t xml:space="preserve"> </w:t>
      </w:r>
      <w:r w:rsidR="00D7387F" w:rsidRPr="00B80E65">
        <w:rPr>
          <w:rFonts w:ascii="Arial" w:hAnsi="Arial" w:cs="Arial"/>
        </w:rPr>
        <w:t>for plan year 2014</w:t>
      </w:r>
      <w:r w:rsidR="00D97C76" w:rsidRPr="00B80E65">
        <w:rPr>
          <w:rFonts w:ascii="Arial" w:hAnsi="Arial" w:cs="Arial"/>
        </w:rPr>
        <w:t xml:space="preserve">).  </w:t>
      </w:r>
    </w:p>
    <w:p w:rsidR="00D97C76" w:rsidRDefault="00DB2A0A" w:rsidP="00D97C76">
      <w:pPr>
        <w:rPr>
          <w:rFonts w:ascii="Arial" w:hAnsi="Arial" w:cs="Arial"/>
        </w:rPr>
      </w:pPr>
      <w:r>
        <w:rPr>
          <w:rFonts w:ascii="Arial" w:hAnsi="Arial" w:cs="Arial"/>
        </w:rPr>
        <w:t xml:space="preserve">A </w:t>
      </w:r>
      <w:r w:rsidR="00B80E65" w:rsidRPr="00B80E65">
        <w:rPr>
          <w:rFonts w:ascii="Arial" w:hAnsi="Arial" w:cs="Arial"/>
        </w:rPr>
        <w:t xml:space="preserve">State may submit </w:t>
      </w:r>
      <w:r>
        <w:rPr>
          <w:rFonts w:ascii="Arial" w:hAnsi="Arial" w:cs="Arial"/>
        </w:rPr>
        <w:t>its</w:t>
      </w:r>
      <w:r w:rsidR="005C6B42">
        <w:rPr>
          <w:rFonts w:ascii="Arial" w:hAnsi="Arial" w:cs="Arial"/>
        </w:rPr>
        <w:t xml:space="preserve"> Declaration Letter</w:t>
      </w:r>
      <w:r w:rsidR="00B80E65" w:rsidRPr="00B80E65">
        <w:rPr>
          <w:rFonts w:ascii="Arial" w:hAnsi="Arial" w:cs="Arial"/>
        </w:rPr>
        <w:t xml:space="preserve"> at any time</w:t>
      </w:r>
      <w:r w:rsidR="00B80E65">
        <w:rPr>
          <w:rFonts w:ascii="Arial" w:hAnsi="Arial" w:cs="Arial"/>
        </w:rPr>
        <w:t xml:space="preserve"> prior</w:t>
      </w:r>
      <w:r w:rsidR="00B80E65" w:rsidRPr="00B80E65">
        <w:rPr>
          <w:rFonts w:ascii="Arial" w:hAnsi="Arial" w:cs="Arial"/>
        </w:rPr>
        <w:t xml:space="preserve"> to this deadline. </w:t>
      </w:r>
      <w:r w:rsidR="00F36271" w:rsidRPr="00B80E65">
        <w:rPr>
          <w:rFonts w:ascii="Arial" w:hAnsi="Arial" w:cs="Arial"/>
        </w:rPr>
        <w:t xml:space="preserve"> </w:t>
      </w:r>
      <w:r w:rsidR="00D97C76" w:rsidRPr="00B80E65">
        <w:rPr>
          <w:rFonts w:ascii="Arial" w:hAnsi="Arial" w:cs="Arial"/>
        </w:rPr>
        <w:t>If a State’s</w:t>
      </w:r>
      <w:r w:rsidR="004649F4" w:rsidRPr="00B80E65">
        <w:rPr>
          <w:rFonts w:ascii="Arial" w:hAnsi="Arial" w:cs="Arial"/>
        </w:rPr>
        <w:t xml:space="preserve"> </w:t>
      </w:r>
      <w:r w:rsidR="00D97C76" w:rsidRPr="00B80E65">
        <w:rPr>
          <w:rFonts w:ascii="Arial" w:hAnsi="Arial" w:cs="Arial"/>
        </w:rPr>
        <w:t>Declaratio</w:t>
      </w:r>
      <w:r w:rsidR="00DC7397">
        <w:rPr>
          <w:rFonts w:ascii="Arial" w:hAnsi="Arial" w:cs="Arial"/>
        </w:rPr>
        <w:t>n L</w:t>
      </w:r>
      <w:r w:rsidR="00D97C76" w:rsidRPr="00B80E65">
        <w:rPr>
          <w:rFonts w:ascii="Arial" w:hAnsi="Arial" w:cs="Arial"/>
        </w:rPr>
        <w:t xml:space="preserve">etter is received more than </w:t>
      </w:r>
      <w:r w:rsidR="00E01630">
        <w:rPr>
          <w:rFonts w:ascii="Arial" w:hAnsi="Arial" w:cs="Arial"/>
        </w:rPr>
        <w:t>2</w:t>
      </w:r>
      <w:r w:rsidR="00D97C76" w:rsidRPr="00B80E65">
        <w:rPr>
          <w:rFonts w:ascii="Arial" w:hAnsi="Arial" w:cs="Arial"/>
        </w:rPr>
        <w:t>0 business days</w:t>
      </w:r>
      <w:r w:rsidR="00D97C76" w:rsidRPr="00810876">
        <w:rPr>
          <w:rFonts w:ascii="Arial" w:hAnsi="Arial" w:cs="Arial"/>
        </w:rPr>
        <w:t xml:space="preserve"> prior to the submission of its Blueprint, the State may request a</w:t>
      </w:r>
      <w:r w:rsidR="00CD7BFC">
        <w:rPr>
          <w:rFonts w:ascii="Arial" w:hAnsi="Arial" w:cs="Arial"/>
        </w:rPr>
        <w:t>n</w:t>
      </w:r>
      <w:r w:rsidR="00D97C76" w:rsidRPr="00810876">
        <w:rPr>
          <w:rFonts w:ascii="Arial" w:hAnsi="Arial" w:cs="Arial"/>
        </w:rPr>
        <w:t xml:space="preserve"> </w:t>
      </w:r>
      <w:r w:rsidR="00387628">
        <w:rPr>
          <w:rFonts w:ascii="Arial" w:hAnsi="Arial" w:cs="Arial"/>
        </w:rPr>
        <w:t>Exchange</w:t>
      </w:r>
      <w:r w:rsidR="00D97C76">
        <w:rPr>
          <w:rFonts w:ascii="Arial" w:hAnsi="Arial" w:cs="Arial"/>
        </w:rPr>
        <w:t xml:space="preserve"> Application</w:t>
      </w:r>
      <w:r w:rsidR="00387628">
        <w:rPr>
          <w:rFonts w:ascii="Arial" w:hAnsi="Arial" w:cs="Arial"/>
        </w:rPr>
        <w:t xml:space="preserve"> c</w:t>
      </w:r>
      <w:r w:rsidR="00D97C76" w:rsidRPr="00810876">
        <w:rPr>
          <w:rFonts w:ascii="Arial" w:hAnsi="Arial" w:cs="Arial"/>
        </w:rPr>
        <w:t>onsultation with CMS</w:t>
      </w:r>
      <w:r w:rsidR="00D97C76">
        <w:rPr>
          <w:rFonts w:ascii="Arial" w:hAnsi="Arial" w:cs="Arial"/>
        </w:rPr>
        <w:t xml:space="preserve"> regarding </w:t>
      </w:r>
      <w:r w:rsidR="00A90A14">
        <w:rPr>
          <w:rFonts w:ascii="Arial" w:hAnsi="Arial" w:cs="Arial"/>
        </w:rPr>
        <w:t xml:space="preserve">preparation </w:t>
      </w:r>
      <w:r w:rsidR="00913B00">
        <w:rPr>
          <w:rFonts w:ascii="Arial" w:hAnsi="Arial" w:cs="Arial"/>
        </w:rPr>
        <w:t xml:space="preserve">of </w:t>
      </w:r>
      <w:r w:rsidR="00D97C76">
        <w:rPr>
          <w:rFonts w:ascii="Arial" w:hAnsi="Arial" w:cs="Arial"/>
        </w:rPr>
        <w:t>its A</w:t>
      </w:r>
      <w:r w:rsidR="00B44F99">
        <w:rPr>
          <w:rFonts w:ascii="Arial" w:hAnsi="Arial" w:cs="Arial"/>
        </w:rPr>
        <w:t xml:space="preserve">pplication for </w:t>
      </w:r>
      <w:r w:rsidR="004B3F48">
        <w:rPr>
          <w:rFonts w:ascii="Arial" w:hAnsi="Arial" w:cs="Arial"/>
        </w:rPr>
        <w:t>A</w:t>
      </w:r>
      <w:r w:rsidR="00D97C76" w:rsidRPr="00810876">
        <w:rPr>
          <w:rFonts w:ascii="Arial" w:hAnsi="Arial" w:cs="Arial"/>
        </w:rPr>
        <w:t xml:space="preserve">pproval as a State-based Exchange or </w:t>
      </w:r>
      <w:r w:rsidR="00D97C76">
        <w:rPr>
          <w:rFonts w:ascii="Arial" w:hAnsi="Arial" w:cs="Arial"/>
        </w:rPr>
        <w:t>State Partnership Exchange</w:t>
      </w:r>
      <w:r w:rsidR="00D97C76" w:rsidRPr="00810876">
        <w:rPr>
          <w:rFonts w:ascii="Arial" w:hAnsi="Arial" w:cs="Arial"/>
        </w:rPr>
        <w:t>.</w:t>
      </w:r>
      <w:r w:rsidR="00B01461">
        <w:rPr>
          <w:rFonts w:ascii="Arial" w:hAnsi="Arial" w:cs="Arial"/>
        </w:rPr>
        <w:t xml:space="preserve">   </w:t>
      </w:r>
    </w:p>
    <w:p w:rsidR="00DC77C4" w:rsidRDefault="00DC77C4" w:rsidP="00DC77C4">
      <w:pPr>
        <w:rPr>
          <w:rFonts w:ascii="Arial" w:hAnsi="Arial" w:cs="Arial"/>
        </w:rPr>
      </w:pPr>
      <w:r>
        <w:rPr>
          <w:rFonts w:ascii="Arial" w:hAnsi="Arial" w:cs="Arial"/>
        </w:rPr>
        <w:t>States that plan to operate in the Federally-facilitated Exchange without Partnership</w:t>
      </w:r>
      <w:r w:rsidR="006B3709">
        <w:rPr>
          <w:rFonts w:ascii="Arial" w:hAnsi="Arial" w:cs="Arial"/>
        </w:rPr>
        <w:t xml:space="preserve"> that intend to operate their own reinsurance programs</w:t>
      </w:r>
      <w:r w:rsidR="0079331A">
        <w:rPr>
          <w:rFonts w:ascii="Arial" w:hAnsi="Arial" w:cs="Arial"/>
        </w:rPr>
        <w:t xml:space="preserve"> </w:t>
      </w:r>
      <w:r w:rsidR="00F56DEB">
        <w:rPr>
          <w:rFonts w:ascii="Arial" w:hAnsi="Arial" w:cs="Arial"/>
        </w:rPr>
        <w:t>should</w:t>
      </w:r>
      <w:r w:rsidR="0079331A">
        <w:rPr>
          <w:rFonts w:ascii="Arial" w:hAnsi="Arial" w:cs="Arial"/>
        </w:rPr>
        <w:t xml:space="preserve"> submit a declaration letter</w:t>
      </w:r>
      <w:r w:rsidR="006B3709">
        <w:rPr>
          <w:rFonts w:ascii="Arial" w:hAnsi="Arial" w:cs="Arial"/>
        </w:rPr>
        <w:t xml:space="preserve"> addres</w:t>
      </w:r>
      <w:r w:rsidR="005930F0">
        <w:rPr>
          <w:rFonts w:ascii="Arial" w:hAnsi="Arial" w:cs="Arial"/>
        </w:rPr>
        <w:t>sing how they</w:t>
      </w:r>
      <w:r w:rsidR="006B3709">
        <w:rPr>
          <w:rFonts w:ascii="Arial" w:hAnsi="Arial" w:cs="Arial"/>
        </w:rPr>
        <w:t xml:space="preserve"> meet</w:t>
      </w:r>
      <w:r w:rsidR="00E87E49">
        <w:rPr>
          <w:rFonts w:ascii="Arial" w:hAnsi="Arial" w:cs="Arial"/>
        </w:rPr>
        <w:t xml:space="preserve"> or will meet</w:t>
      </w:r>
      <w:r w:rsidR="006B3709">
        <w:rPr>
          <w:rFonts w:ascii="Arial" w:hAnsi="Arial" w:cs="Arial"/>
        </w:rPr>
        <w:t xml:space="preserve"> the requirements of Section 5.2: reinsurance</w:t>
      </w:r>
      <w:r w:rsidR="0079331A">
        <w:rPr>
          <w:rFonts w:ascii="Arial" w:hAnsi="Arial" w:cs="Arial"/>
        </w:rPr>
        <w:t xml:space="preserve"> and</w:t>
      </w:r>
      <w:r>
        <w:rPr>
          <w:rFonts w:ascii="Arial" w:hAnsi="Arial" w:cs="Arial"/>
        </w:rPr>
        <w:t xml:space="preserve"> are invited to submit a Declaration Letter</w:t>
      </w:r>
      <w:r w:rsidR="0079331A">
        <w:rPr>
          <w:rFonts w:ascii="Arial" w:hAnsi="Arial" w:cs="Arial"/>
        </w:rPr>
        <w:t xml:space="preserve"> otherwise</w:t>
      </w:r>
      <w:r>
        <w:rPr>
          <w:rFonts w:ascii="Arial" w:hAnsi="Arial" w:cs="Arial"/>
        </w:rPr>
        <w:t xml:space="preserve"> but do no</w:t>
      </w:r>
      <w:r w:rsidR="0079331A">
        <w:rPr>
          <w:rFonts w:ascii="Arial" w:hAnsi="Arial" w:cs="Arial"/>
        </w:rPr>
        <w:t>t</w:t>
      </w:r>
      <w:r>
        <w:rPr>
          <w:rFonts w:ascii="Arial" w:hAnsi="Arial" w:cs="Arial"/>
        </w:rPr>
        <w:t xml:space="preserve"> need to complete the Exchange Application.</w:t>
      </w:r>
    </w:p>
    <w:p w:rsidR="00D97C76" w:rsidRDefault="00D97C76" w:rsidP="007A3D63">
      <w:pPr>
        <w:rPr>
          <w:rFonts w:ascii="Arial" w:hAnsi="Arial" w:cs="Arial"/>
        </w:rPr>
      </w:pPr>
      <w:r>
        <w:rPr>
          <w:rFonts w:ascii="Arial" w:hAnsi="Arial" w:cs="Arial"/>
        </w:rPr>
        <w:t>In particular, HHS strongly encourages States that are considering operating</w:t>
      </w:r>
      <w:r w:rsidR="00DC77C4">
        <w:rPr>
          <w:rFonts w:ascii="Arial" w:hAnsi="Arial" w:cs="Arial"/>
        </w:rPr>
        <w:t xml:space="preserve"> a State-based Exchange or</w:t>
      </w:r>
      <w:r>
        <w:rPr>
          <w:rFonts w:ascii="Arial" w:hAnsi="Arial" w:cs="Arial"/>
        </w:rPr>
        <w:t xml:space="preserve"> a Plan Management Partnership to submit the Declaration </w:t>
      </w:r>
      <w:r w:rsidR="00DC7397">
        <w:rPr>
          <w:rFonts w:ascii="Arial" w:hAnsi="Arial" w:cs="Arial"/>
        </w:rPr>
        <w:t>L</w:t>
      </w:r>
      <w:r>
        <w:rPr>
          <w:rFonts w:ascii="Arial" w:hAnsi="Arial" w:cs="Arial"/>
        </w:rPr>
        <w:t xml:space="preserve">etter as soon as possible and to seek technical assistance and consultation with HHS to ensure State readiness to operate Plan Management activities in time for operational implementation.  </w:t>
      </w:r>
    </w:p>
    <w:p w:rsidR="00916FA6" w:rsidRDefault="00B7071E" w:rsidP="00B7071E">
      <w:pPr>
        <w:rPr>
          <w:rFonts w:ascii="Arial" w:hAnsi="Arial" w:cs="Arial"/>
        </w:rPr>
      </w:pPr>
      <w:r w:rsidRPr="004552CD">
        <w:rPr>
          <w:rFonts w:ascii="Arial" w:hAnsi="Arial" w:cs="Arial"/>
        </w:rPr>
        <w:t>States that</w:t>
      </w:r>
      <w:r w:rsidR="00B44F99">
        <w:rPr>
          <w:rFonts w:ascii="Arial" w:hAnsi="Arial" w:cs="Arial"/>
        </w:rPr>
        <w:t xml:space="preserve"> seek HHS A</w:t>
      </w:r>
      <w:r w:rsidR="00B05181">
        <w:rPr>
          <w:rFonts w:ascii="Arial" w:hAnsi="Arial" w:cs="Arial"/>
        </w:rPr>
        <w:t>pproval to operate a State-based</w:t>
      </w:r>
      <w:r w:rsidRPr="004552CD">
        <w:rPr>
          <w:rFonts w:ascii="Arial" w:hAnsi="Arial" w:cs="Arial"/>
        </w:rPr>
        <w:t xml:space="preserve"> Exchange</w:t>
      </w:r>
      <w:r w:rsidR="00B05181">
        <w:rPr>
          <w:rFonts w:ascii="Arial" w:hAnsi="Arial" w:cs="Arial"/>
        </w:rPr>
        <w:t xml:space="preserve"> or State Partnership Exchange</w:t>
      </w:r>
      <w:r w:rsidRPr="004552CD">
        <w:rPr>
          <w:rFonts w:ascii="Arial" w:hAnsi="Arial" w:cs="Arial"/>
        </w:rPr>
        <w:t xml:space="preserve"> for coverage years beginning after January 1, 2014 (e.g., January 1, 2015, January 1, 2016) </w:t>
      </w:r>
      <w:r w:rsidR="0038139E">
        <w:rPr>
          <w:rFonts w:ascii="Arial" w:hAnsi="Arial" w:cs="Arial"/>
        </w:rPr>
        <w:t xml:space="preserve">should </w:t>
      </w:r>
      <w:r w:rsidRPr="004552CD">
        <w:rPr>
          <w:rFonts w:ascii="Arial" w:hAnsi="Arial" w:cs="Arial"/>
        </w:rPr>
        <w:t>submit an Exchange Blueprint in accordance with the same process and timeframe specified for those States seeking to operate an Exchange</w:t>
      </w:r>
      <w:r w:rsidR="002B2147">
        <w:rPr>
          <w:rFonts w:ascii="Arial" w:hAnsi="Arial" w:cs="Arial"/>
        </w:rPr>
        <w:t xml:space="preserve"> on</w:t>
      </w:r>
      <w:r w:rsidRPr="004552CD">
        <w:rPr>
          <w:rFonts w:ascii="Arial" w:hAnsi="Arial" w:cs="Arial"/>
        </w:rPr>
        <w:t xml:space="preserve"> January 1, 2014</w:t>
      </w:r>
      <w:r w:rsidR="004D1175">
        <w:rPr>
          <w:rFonts w:ascii="Arial" w:hAnsi="Arial" w:cs="Arial"/>
        </w:rPr>
        <w:t xml:space="preserve">, for the applicable </w:t>
      </w:r>
      <w:r w:rsidR="00BA5121">
        <w:rPr>
          <w:rFonts w:ascii="Arial" w:hAnsi="Arial" w:cs="Arial"/>
        </w:rPr>
        <w:t>year</w:t>
      </w:r>
      <w:r w:rsidR="00F94CD7">
        <w:rPr>
          <w:rFonts w:ascii="Arial" w:hAnsi="Arial" w:cs="Arial"/>
        </w:rPr>
        <w:t xml:space="preserve"> (e.g., Nov</w:t>
      </w:r>
      <w:r w:rsidR="007A4378">
        <w:rPr>
          <w:rFonts w:ascii="Arial" w:hAnsi="Arial" w:cs="Arial"/>
        </w:rPr>
        <w:t>ember</w:t>
      </w:r>
      <w:r w:rsidR="00F94CD7">
        <w:rPr>
          <w:rFonts w:ascii="Arial" w:hAnsi="Arial" w:cs="Arial"/>
        </w:rPr>
        <w:t xml:space="preserve"> 18</w:t>
      </w:r>
      <w:r w:rsidR="00192981">
        <w:rPr>
          <w:rFonts w:ascii="Arial" w:hAnsi="Arial" w:cs="Arial"/>
        </w:rPr>
        <w:t>, 2013</w:t>
      </w:r>
      <w:r w:rsidR="00F94CD7">
        <w:rPr>
          <w:rFonts w:ascii="Arial" w:hAnsi="Arial" w:cs="Arial"/>
        </w:rPr>
        <w:t>,</w:t>
      </w:r>
      <w:r w:rsidR="00192981">
        <w:rPr>
          <w:rFonts w:ascii="Arial" w:hAnsi="Arial" w:cs="Arial"/>
        </w:rPr>
        <w:t xml:space="preserve"> for</w:t>
      </w:r>
      <w:r w:rsidR="005930F0">
        <w:rPr>
          <w:rFonts w:ascii="Arial" w:hAnsi="Arial" w:cs="Arial"/>
        </w:rPr>
        <w:t xml:space="preserve"> plan y</w:t>
      </w:r>
      <w:r w:rsidR="00F94CD7">
        <w:rPr>
          <w:rFonts w:ascii="Arial" w:hAnsi="Arial" w:cs="Arial"/>
        </w:rPr>
        <w:t>ear 2015, Nov</w:t>
      </w:r>
      <w:r w:rsidR="007A4378">
        <w:rPr>
          <w:rFonts w:ascii="Arial" w:hAnsi="Arial" w:cs="Arial"/>
        </w:rPr>
        <w:t>ember</w:t>
      </w:r>
      <w:r w:rsidR="00F94CD7">
        <w:rPr>
          <w:rFonts w:ascii="Arial" w:hAnsi="Arial" w:cs="Arial"/>
        </w:rPr>
        <w:t xml:space="preserve"> 18</w:t>
      </w:r>
      <w:r w:rsidR="00192981">
        <w:rPr>
          <w:rFonts w:ascii="Arial" w:hAnsi="Arial" w:cs="Arial"/>
        </w:rPr>
        <w:t>, 2014</w:t>
      </w:r>
      <w:r w:rsidR="00F94CD7">
        <w:rPr>
          <w:rFonts w:ascii="Arial" w:hAnsi="Arial" w:cs="Arial"/>
        </w:rPr>
        <w:t>,</w:t>
      </w:r>
      <w:r w:rsidR="005930F0">
        <w:rPr>
          <w:rFonts w:ascii="Arial" w:hAnsi="Arial" w:cs="Arial"/>
        </w:rPr>
        <w:t xml:space="preserve"> for plan y</w:t>
      </w:r>
      <w:r w:rsidR="00192981">
        <w:rPr>
          <w:rFonts w:ascii="Arial" w:hAnsi="Arial" w:cs="Arial"/>
        </w:rPr>
        <w:t>ear 2016)</w:t>
      </w:r>
    </w:p>
    <w:p w:rsidR="00B7071E" w:rsidRPr="004552CD" w:rsidRDefault="00B7071E" w:rsidP="00A14363">
      <w:pPr>
        <w:pStyle w:val="Heading2"/>
      </w:pPr>
      <w:r w:rsidRPr="004552CD">
        <w:t xml:space="preserve">Initial Exchange Approval Determinations </w:t>
      </w:r>
    </w:p>
    <w:p w:rsidR="00B7071E" w:rsidRPr="000F6FF9" w:rsidRDefault="00B7071E" w:rsidP="00B7071E">
      <w:pPr>
        <w:rPr>
          <w:rFonts w:ascii="Arial" w:hAnsi="Arial" w:cs="Arial"/>
        </w:rPr>
      </w:pPr>
      <w:r>
        <w:rPr>
          <w:rFonts w:ascii="Arial" w:hAnsi="Arial" w:cs="Arial"/>
        </w:rPr>
        <w:t xml:space="preserve">HHS </w:t>
      </w:r>
      <w:r w:rsidRPr="004552CD">
        <w:rPr>
          <w:rFonts w:ascii="Arial" w:hAnsi="Arial" w:cs="Arial"/>
        </w:rPr>
        <w:t xml:space="preserve">will approve a </w:t>
      </w:r>
      <w:r w:rsidR="00294621">
        <w:rPr>
          <w:rFonts w:ascii="Arial" w:hAnsi="Arial" w:cs="Arial"/>
        </w:rPr>
        <w:t xml:space="preserve">State-based Exchange </w:t>
      </w:r>
      <w:r>
        <w:rPr>
          <w:rFonts w:ascii="Arial" w:hAnsi="Arial" w:cs="Arial"/>
        </w:rPr>
        <w:t xml:space="preserve">once </w:t>
      </w:r>
      <w:r w:rsidR="00BA5121">
        <w:rPr>
          <w:rFonts w:ascii="Arial" w:hAnsi="Arial" w:cs="Arial"/>
        </w:rPr>
        <w:t>the State</w:t>
      </w:r>
      <w:r>
        <w:rPr>
          <w:rFonts w:ascii="Arial" w:hAnsi="Arial" w:cs="Arial"/>
        </w:rPr>
        <w:t xml:space="preserve"> has</w:t>
      </w:r>
      <w:r w:rsidRPr="004552CD">
        <w:rPr>
          <w:rFonts w:ascii="Arial" w:hAnsi="Arial" w:cs="Arial"/>
        </w:rPr>
        <w:t xml:space="preserve"> </w:t>
      </w:r>
      <w:r>
        <w:rPr>
          <w:rFonts w:ascii="Arial" w:hAnsi="Arial" w:cs="Arial"/>
        </w:rPr>
        <w:t>demonstrated</w:t>
      </w:r>
      <w:r w:rsidRPr="004552CD">
        <w:rPr>
          <w:rFonts w:ascii="Arial" w:hAnsi="Arial" w:cs="Arial"/>
        </w:rPr>
        <w:t xml:space="preserve"> the ability to </w:t>
      </w:r>
      <w:r>
        <w:rPr>
          <w:rFonts w:ascii="Arial" w:hAnsi="Arial" w:cs="Arial"/>
        </w:rPr>
        <w:t xml:space="preserve">satisfactorily </w:t>
      </w:r>
      <w:r w:rsidRPr="004552CD">
        <w:rPr>
          <w:rFonts w:ascii="Arial" w:hAnsi="Arial" w:cs="Arial"/>
        </w:rPr>
        <w:t xml:space="preserve">perform all </w:t>
      </w:r>
      <w:r w:rsidR="00110771">
        <w:rPr>
          <w:rFonts w:ascii="Arial" w:hAnsi="Arial" w:cs="Arial"/>
        </w:rPr>
        <w:t>required</w:t>
      </w:r>
      <w:r w:rsidR="0038139E">
        <w:rPr>
          <w:rFonts w:ascii="Arial" w:hAnsi="Arial" w:cs="Arial"/>
        </w:rPr>
        <w:t xml:space="preserve"> Exchange</w:t>
      </w:r>
      <w:r w:rsidR="00110771">
        <w:rPr>
          <w:rFonts w:ascii="Arial" w:hAnsi="Arial" w:cs="Arial"/>
        </w:rPr>
        <w:t xml:space="preserve"> activities</w:t>
      </w:r>
      <w:r w:rsidR="00BA5121">
        <w:rPr>
          <w:rFonts w:ascii="Arial" w:hAnsi="Arial" w:cs="Arial"/>
        </w:rPr>
        <w:t>.</w:t>
      </w:r>
    </w:p>
    <w:p w:rsidR="0054310B" w:rsidRDefault="00875489" w:rsidP="00B7071E">
      <w:pPr>
        <w:rPr>
          <w:rFonts w:ascii="Arial" w:hAnsi="Arial" w:cs="Arial"/>
        </w:rPr>
      </w:pPr>
      <w:r w:rsidRPr="00B05181">
        <w:rPr>
          <w:rFonts w:ascii="Arial" w:hAnsi="Arial" w:cs="Arial"/>
        </w:rPr>
        <w:t>HHS recognizes that States depend on HHS and other Federal Agencies for guidance associated with their Exchange establishment.  In this regard, particularly in the first year of the program</w:t>
      </w:r>
      <w:r w:rsidR="00927D4D">
        <w:rPr>
          <w:rFonts w:ascii="Arial" w:hAnsi="Arial" w:cs="Arial"/>
        </w:rPr>
        <w:t xml:space="preserve"> (</w:t>
      </w:r>
      <w:r w:rsidR="00192981">
        <w:rPr>
          <w:rFonts w:ascii="Arial" w:hAnsi="Arial" w:cs="Arial"/>
        </w:rPr>
        <w:t>p</w:t>
      </w:r>
      <w:r w:rsidR="00927D4D">
        <w:rPr>
          <w:rFonts w:ascii="Arial" w:hAnsi="Arial" w:cs="Arial"/>
        </w:rPr>
        <w:t xml:space="preserve">lan </w:t>
      </w:r>
      <w:r w:rsidR="00192981">
        <w:rPr>
          <w:rFonts w:ascii="Arial" w:hAnsi="Arial" w:cs="Arial"/>
        </w:rPr>
        <w:t>y</w:t>
      </w:r>
      <w:r w:rsidR="00927D4D">
        <w:rPr>
          <w:rFonts w:ascii="Arial" w:hAnsi="Arial" w:cs="Arial"/>
        </w:rPr>
        <w:t>ear 2014)</w:t>
      </w:r>
      <w:r w:rsidRPr="00B05181">
        <w:rPr>
          <w:rFonts w:ascii="Arial" w:hAnsi="Arial" w:cs="Arial"/>
        </w:rPr>
        <w:t xml:space="preserve">, </w:t>
      </w:r>
      <w:r w:rsidR="00BA5121">
        <w:rPr>
          <w:rFonts w:ascii="Arial" w:hAnsi="Arial" w:cs="Arial"/>
        </w:rPr>
        <w:t xml:space="preserve">approval of </w:t>
      </w:r>
      <w:r w:rsidRPr="00B05181">
        <w:rPr>
          <w:rFonts w:ascii="Arial" w:hAnsi="Arial" w:cs="Arial"/>
        </w:rPr>
        <w:t xml:space="preserve">State-based Exchanges will </w:t>
      </w:r>
      <w:r w:rsidR="00BA5121">
        <w:rPr>
          <w:rFonts w:ascii="Arial" w:hAnsi="Arial" w:cs="Arial"/>
        </w:rPr>
        <w:t>take into account timelines for guidance and infrastructure development (e.g., Data Services Hub).</w:t>
      </w:r>
      <w:r w:rsidR="00665815">
        <w:rPr>
          <w:rFonts w:ascii="Arial" w:hAnsi="Arial" w:cs="Arial"/>
        </w:rPr>
        <w:t xml:space="preserve"> </w:t>
      </w:r>
      <w:r w:rsidR="00BA5121">
        <w:rPr>
          <w:rFonts w:ascii="Arial" w:hAnsi="Arial" w:cs="Arial"/>
        </w:rPr>
        <w:t xml:space="preserve">Similarly, </w:t>
      </w:r>
      <w:r w:rsidR="00B7071E" w:rsidRPr="00110771">
        <w:rPr>
          <w:rFonts w:ascii="Arial" w:hAnsi="Arial" w:cs="Arial"/>
        </w:rPr>
        <w:t xml:space="preserve">HHS </w:t>
      </w:r>
      <w:r>
        <w:rPr>
          <w:rFonts w:ascii="Arial" w:hAnsi="Arial" w:cs="Arial"/>
        </w:rPr>
        <w:t>expects</w:t>
      </w:r>
      <w:r w:rsidR="00B7071E" w:rsidRPr="00110771">
        <w:rPr>
          <w:rFonts w:ascii="Arial" w:hAnsi="Arial" w:cs="Arial"/>
        </w:rPr>
        <w:t xml:space="preserve"> that States will be in various stages of the Exchange development lifecycle </w:t>
      </w:r>
      <w:r w:rsidR="00110771">
        <w:rPr>
          <w:rFonts w:ascii="Arial" w:hAnsi="Arial" w:cs="Arial"/>
        </w:rPr>
        <w:t>when Blueprint</w:t>
      </w:r>
      <w:r>
        <w:rPr>
          <w:rFonts w:ascii="Arial" w:hAnsi="Arial" w:cs="Arial"/>
        </w:rPr>
        <w:t>s</w:t>
      </w:r>
      <w:r w:rsidR="00110771">
        <w:rPr>
          <w:rFonts w:ascii="Arial" w:hAnsi="Arial" w:cs="Arial"/>
        </w:rPr>
        <w:t xml:space="preserve"> </w:t>
      </w:r>
      <w:r>
        <w:rPr>
          <w:rFonts w:ascii="Arial" w:hAnsi="Arial" w:cs="Arial"/>
        </w:rPr>
        <w:t>are</w:t>
      </w:r>
      <w:r w:rsidR="00110771">
        <w:rPr>
          <w:rFonts w:ascii="Arial" w:hAnsi="Arial" w:cs="Arial"/>
        </w:rPr>
        <w:t xml:space="preserve"> submitted</w:t>
      </w:r>
      <w:r w:rsidR="00B7071E" w:rsidRPr="00110771">
        <w:rPr>
          <w:rFonts w:ascii="Arial" w:hAnsi="Arial" w:cs="Arial"/>
        </w:rPr>
        <w:t xml:space="preserve">.  </w:t>
      </w:r>
      <w:r>
        <w:rPr>
          <w:rFonts w:ascii="Arial" w:hAnsi="Arial" w:cs="Arial"/>
        </w:rPr>
        <w:t xml:space="preserve">Many State </w:t>
      </w:r>
      <w:r w:rsidR="0038139E">
        <w:rPr>
          <w:rFonts w:ascii="Arial" w:hAnsi="Arial" w:cs="Arial"/>
        </w:rPr>
        <w:t xml:space="preserve">Exchange </w:t>
      </w:r>
      <w:r w:rsidR="00B7071E" w:rsidRPr="00110771">
        <w:rPr>
          <w:rFonts w:ascii="Arial" w:hAnsi="Arial" w:cs="Arial"/>
        </w:rPr>
        <w:t xml:space="preserve">development </w:t>
      </w:r>
      <w:r>
        <w:rPr>
          <w:rFonts w:ascii="Arial" w:hAnsi="Arial" w:cs="Arial"/>
        </w:rPr>
        <w:t xml:space="preserve">activities are likely to occur in 2013.  HHS will </w:t>
      </w:r>
      <w:r w:rsidR="00F021DA">
        <w:rPr>
          <w:rFonts w:ascii="Arial" w:hAnsi="Arial" w:cs="Arial"/>
        </w:rPr>
        <w:t>utilize</w:t>
      </w:r>
      <w:r>
        <w:rPr>
          <w:rFonts w:ascii="Arial" w:hAnsi="Arial" w:cs="Arial"/>
        </w:rPr>
        <w:t xml:space="preserve"> Conditional Approval for State</w:t>
      </w:r>
      <w:r w:rsidR="005C6B42">
        <w:rPr>
          <w:rFonts w:ascii="Arial" w:hAnsi="Arial" w:cs="Arial"/>
        </w:rPr>
        <w:t xml:space="preserve">-based </w:t>
      </w:r>
      <w:r w:rsidR="002B2147">
        <w:rPr>
          <w:rFonts w:ascii="Arial" w:hAnsi="Arial" w:cs="Arial"/>
        </w:rPr>
        <w:t xml:space="preserve">Exchanges </w:t>
      </w:r>
      <w:r w:rsidR="005C6B42">
        <w:rPr>
          <w:rFonts w:ascii="Arial" w:hAnsi="Arial" w:cs="Arial"/>
        </w:rPr>
        <w:t>and Partnership States</w:t>
      </w:r>
      <w:r>
        <w:rPr>
          <w:rFonts w:ascii="Arial" w:hAnsi="Arial" w:cs="Arial"/>
        </w:rPr>
        <w:t xml:space="preserve"> whose Exchange establishment</w:t>
      </w:r>
      <w:r w:rsidR="008F68C3">
        <w:rPr>
          <w:rFonts w:ascii="Arial" w:hAnsi="Arial" w:cs="Arial"/>
        </w:rPr>
        <w:t xml:space="preserve"> is </w:t>
      </w:r>
      <w:r w:rsidR="002B6C19">
        <w:rPr>
          <w:rFonts w:ascii="Arial" w:hAnsi="Arial" w:cs="Arial"/>
        </w:rPr>
        <w:t xml:space="preserve"> </w:t>
      </w:r>
      <w:r>
        <w:rPr>
          <w:rFonts w:ascii="Arial" w:hAnsi="Arial" w:cs="Arial"/>
        </w:rPr>
        <w:t xml:space="preserve">not complete </w:t>
      </w:r>
      <w:r w:rsidR="005930F0">
        <w:rPr>
          <w:rFonts w:ascii="Arial" w:hAnsi="Arial" w:cs="Arial"/>
        </w:rPr>
        <w:t>at the time of</w:t>
      </w:r>
      <w:r>
        <w:rPr>
          <w:rFonts w:ascii="Arial" w:hAnsi="Arial" w:cs="Arial"/>
        </w:rPr>
        <w:t xml:space="preserve"> Blueprint</w:t>
      </w:r>
      <w:r w:rsidR="005930F0">
        <w:rPr>
          <w:rFonts w:ascii="Arial" w:hAnsi="Arial" w:cs="Arial"/>
        </w:rPr>
        <w:t xml:space="preserve"> submission</w:t>
      </w:r>
      <w:r w:rsidR="00F021DA">
        <w:rPr>
          <w:rFonts w:ascii="Arial" w:hAnsi="Arial" w:cs="Arial"/>
        </w:rPr>
        <w:t>.</w:t>
      </w:r>
    </w:p>
    <w:p w:rsidR="00B44F99" w:rsidRDefault="00B80E65" w:rsidP="00B44F99">
      <w:pPr>
        <w:rPr>
          <w:rFonts w:ascii="Arial" w:hAnsi="Arial" w:cs="Arial"/>
        </w:rPr>
      </w:pPr>
      <w:r>
        <w:rPr>
          <w:rFonts w:ascii="Arial" w:hAnsi="Arial" w:cs="Arial"/>
        </w:rPr>
        <w:lastRenderedPageBreak/>
        <w:t>Conditional Approval</w:t>
      </w:r>
      <w:r w:rsidR="00B7071E" w:rsidRPr="00875489">
        <w:rPr>
          <w:rFonts w:ascii="Arial" w:hAnsi="Arial" w:cs="Arial"/>
        </w:rPr>
        <w:t xml:space="preserve"> will be </w:t>
      </w:r>
      <w:r w:rsidR="00875489">
        <w:rPr>
          <w:rFonts w:ascii="Arial" w:hAnsi="Arial" w:cs="Arial"/>
        </w:rPr>
        <w:t>granted</w:t>
      </w:r>
      <w:r w:rsidR="00B7071E" w:rsidRPr="00875489">
        <w:rPr>
          <w:rFonts w:ascii="Arial" w:hAnsi="Arial" w:cs="Arial"/>
        </w:rPr>
        <w:t xml:space="preserve"> for State-based Exchanges </w:t>
      </w:r>
      <w:r w:rsidR="008F68C3">
        <w:rPr>
          <w:rFonts w:ascii="Arial" w:hAnsi="Arial" w:cs="Arial"/>
        </w:rPr>
        <w:t xml:space="preserve">and Partnership Exchanges </w:t>
      </w:r>
      <w:r w:rsidR="00B7071E" w:rsidRPr="00875489">
        <w:rPr>
          <w:rFonts w:ascii="Arial" w:hAnsi="Arial" w:cs="Arial"/>
        </w:rPr>
        <w:t xml:space="preserve">that do not meet all Exchange Approval requirements on January 1, 2013, but are making significant progress toward these requirements and will be operationally ready for the initial open enrollment period beginning October 1, 2013. </w:t>
      </w:r>
      <w:r w:rsidR="00D169F6">
        <w:rPr>
          <w:rFonts w:ascii="Arial" w:hAnsi="Arial" w:cs="Arial"/>
        </w:rPr>
        <w:t>HHS will work with each State that</w:t>
      </w:r>
      <w:r w:rsidR="00B44F99" w:rsidRPr="000F6FF9">
        <w:rPr>
          <w:rFonts w:ascii="Arial" w:hAnsi="Arial" w:cs="Arial"/>
        </w:rPr>
        <w:t xml:space="preserve"> receive</w:t>
      </w:r>
      <w:r w:rsidR="00B44F99">
        <w:rPr>
          <w:rFonts w:ascii="Arial" w:hAnsi="Arial" w:cs="Arial"/>
        </w:rPr>
        <w:t>s</w:t>
      </w:r>
      <w:r w:rsidR="006C771A">
        <w:rPr>
          <w:rFonts w:ascii="Arial" w:hAnsi="Arial" w:cs="Arial"/>
        </w:rPr>
        <w:t xml:space="preserve"> Conditional Approval</w:t>
      </w:r>
      <w:r w:rsidR="00D169F6">
        <w:rPr>
          <w:rFonts w:ascii="Arial" w:hAnsi="Arial" w:cs="Arial"/>
        </w:rPr>
        <w:t xml:space="preserve"> to develop a comprehensive agreement </w:t>
      </w:r>
      <w:r w:rsidR="00B44F99" w:rsidRPr="000F6FF9">
        <w:rPr>
          <w:rFonts w:ascii="Arial" w:hAnsi="Arial" w:cs="Arial"/>
        </w:rPr>
        <w:t xml:space="preserve">that </w:t>
      </w:r>
      <w:r w:rsidR="0038139E">
        <w:rPr>
          <w:rFonts w:ascii="Arial" w:hAnsi="Arial" w:cs="Arial"/>
        </w:rPr>
        <w:t>sets out</w:t>
      </w:r>
      <w:r w:rsidR="0038139E" w:rsidRPr="000F6FF9">
        <w:rPr>
          <w:rFonts w:ascii="Arial" w:hAnsi="Arial" w:cs="Arial"/>
        </w:rPr>
        <w:t xml:space="preserve"> </w:t>
      </w:r>
      <w:r w:rsidR="006C771A">
        <w:rPr>
          <w:rFonts w:ascii="Arial" w:hAnsi="Arial" w:cs="Arial"/>
        </w:rPr>
        <w:t xml:space="preserve">expected future milestones </w:t>
      </w:r>
      <w:r w:rsidR="00B44F99">
        <w:rPr>
          <w:rFonts w:ascii="Arial" w:hAnsi="Arial" w:cs="Arial"/>
        </w:rPr>
        <w:t xml:space="preserve">and </w:t>
      </w:r>
      <w:r w:rsidR="00D169F6">
        <w:rPr>
          <w:rFonts w:ascii="Arial" w:hAnsi="Arial" w:cs="Arial"/>
        </w:rPr>
        <w:t>dates for operational readiness reviews</w:t>
      </w:r>
      <w:r w:rsidR="00D169F6" w:rsidRPr="00665815">
        <w:rPr>
          <w:rFonts w:ascii="Arial" w:hAnsi="Arial" w:cs="Arial"/>
        </w:rPr>
        <w:t>.</w:t>
      </w:r>
      <w:r w:rsidR="00D238EA" w:rsidRPr="00665815">
        <w:rPr>
          <w:rFonts w:ascii="Arial" w:hAnsi="Arial" w:cs="Arial"/>
        </w:rPr>
        <w:t xml:space="preserve"> This will allow HHS and the </w:t>
      </w:r>
      <w:r w:rsidR="005930F0">
        <w:rPr>
          <w:rFonts w:ascii="Arial" w:hAnsi="Arial" w:cs="Arial"/>
        </w:rPr>
        <w:t>State</w:t>
      </w:r>
      <w:r w:rsidR="005930F0" w:rsidRPr="00665815">
        <w:rPr>
          <w:rFonts w:ascii="Arial" w:hAnsi="Arial" w:cs="Arial"/>
        </w:rPr>
        <w:t xml:space="preserve"> </w:t>
      </w:r>
      <w:r w:rsidR="00D238EA" w:rsidRPr="00665815">
        <w:rPr>
          <w:rFonts w:ascii="Arial" w:hAnsi="Arial" w:cs="Arial"/>
        </w:rPr>
        <w:t xml:space="preserve">to work jointly to ensure that the Exchange continues to develop at a pace </w:t>
      </w:r>
      <w:r w:rsidR="005930F0">
        <w:rPr>
          <w:rFonts w:ascii="Arial" w:hAnsi="Arial" w:cs="Arial"/>
        </w:rPr>
        <w:t xml:space="preserve">on track for </w:t>
      </w:r>
      <w:r w:rsidR="00D238EA" w:rsidRPr="00665815">
        <w:rPr>
          <w:rFonts w:ascii="Arial" w:hAnsi="Arial" w:cs="Arial"/>
        </w:rPr>
        <w:t xml:space="preserve"> operation during the initial open enrollment period</w:t>
      </w:r>
      <w:r w:rsidR="005930F0">
        <w:rPr>
          <w:rFonts w:ascii="Arial" w:hAnsi="Arial" w:cs="Arial"/>
        </w:rPr>
        <w:t xml:space="preserve"> beginning on October 1, 2013</w:t>
      </w:r>
      <w:r w:rsidR="00D238EA" w:rsidRPr="00665815">
        <w:rPr>
          <w:rFonts w:ascii="Arial" w:hAnsi="Arial" w:cs="Arial"/>
        </w:rPr>
        <w:t>.</w:t>
      </w:r>
      <w:r w:rsidR="00D169F6" w:rsidRPr="00665815">
        <w:rPr>
          <w:rFonts w:ascii="Arial" w:hAnsi="Arial" w:cs="Arial"/>
        </w:rPr>
        <w:t xml:space="preserve"> </w:t>
      </w:r>
    </w:p>
    <w:p w:rsidR="00B7071E" w:rsidRPr="00875489" w:rsidRDefault="007A3D63" w:rsidP="00875489">
      <w:pPr>
        <w:rPr>
          <w:rFonts w:ascii="Arial" w:hAnsi="Arial" w:cs="Arial"/>
        </w:rPr>
      </w:pPr>
      <w:r w:rsidRPr="00804502">
        <w:rPr>
          <w:rFonts w:ascii="Arial" w:hAnsi="Arial" w:cs="Arial"/>
        </w:rPr>
        <w:t>Conditional Approval will continue as long as a State continues to meet expected p</w:t>
      </w:r>
      <w:r>
        <w:rPr>
          <w:rFonts w:ascii="Arial" w:hAnsi="Arial" w:cs="Arial"/>
        </w:rPr>
        <w:t>rogress milestones and until a S</w:t>
      </w:r>
      <w:r w:rsidRPr="00804502">
        <w:rPr>
          <w:rFonts w:ascii="Arial" w:hAnsi="Arial" w:cs="Arial"/>
        </w:rPr>
        <w:t>tate successfully demonstrates its a</w:t>
      </w:r>
      <w:r>
        <w:rPr>
          <w:rFonts w:ascii="Arial" w:hAnsi="Arial" w:cs="Arial"/>
        </w:rPr>
        <w:t xml:space="preserve">bility to perform all required Exchange </w:t>
      </w:r>
      <w:r w:rsidR="00EB5F92">
        <w:rPr>
          <w:rFonts w:ascii="Arial" w:hAnsi="Arial" w:cs="Arial"/>
        </w:rPr>
        <w:t>a</w:t>
      </w:r>
      <w:r w:rsidRPr="00804502">
        <w:rPr>
          <w:rFonts w:ascii="Arial" w:hAnsi="Arial" w:cs="Arial"/>
        </w:rPr>
        <w:t xml:space="preserve">ctivities.  Provided </w:t>
      </w:r>
      <w:r w:rsidR="00D86406">
        <w:rPr>
          <w:rFonts w:ascii="Arial" w:hAnsi="Arial" w:cs="Arial"/>
        </w:rPr>
        <w:t>that the State</w:t>
      </w:r>
      <w:r>
        <w:rPr>
          <w:rFonts w:ascii="Arial" w:hAnsi="Arial" w:cs="Arial"/>
        </w:rPr>
        <w:t xml:space="preserve"> is</w:t>
      </w:r>
      <w:r w:rsidRPr="00804502">
        <w:rPr>
          <w:rFonts w:ascii="Arial" w:hAnsi="Arial" w:cs="Arial"/>
        </w:rPr>
        <w:t xml:space="preserve"> meeting the </w:t>
      </w:r>
      <w:r w:rsidR="00294621">
        <w:rPr>
          <w:rFonts w:ascii="Arial" w:hAnsi="Arial" w:cs="Arial"/>
        </w:rPr>
        <w:t>milestones</w:t>
      </w:r>
      <w:r w:rsidRPr="00804502">
        <w:rPr>
          <w:rFonts w:ascii="Arial" w:hAnsi="Arial" w:cs="Arial"/>
        </w:rPr>
        <w:t xml:space="preserve"> outlined in </w:t>
      </w:r>
      <w:r w:rsidR="00D86406">
        <w:rPr>
          <w:rFonts w:ascii="Arial" w:hAnsi="Arial" w:cs="Arial"/>
        </w:rPr>
        <w:t>its</w:t>
      </w:r>
      <w:r w:rsidRPr="00804502">
        <w:rPr>
          <w:rFonts w:ascii="Arial" w:hAnsi="Arial" w:cs="Arial"/>
        </w:rPr>
        <w:t xml:space="preserve"> Conditional Approval determination, a State Exchange</w:t>
      </w:r>
      <w:r w:rsidR="00292974">
        <w:rPr>
          <w:rFonts w:ascii="Arial" w:hAnsi="Arial" w:cs="Arial"/>
        </w:rPr>
        <w:t xml:space="preserve"> can maintain</w:t>
      </w:r>
      <w:r w:rsidRPr="00804502">
        <w:rPr>
          <w:rFonts w:ascii="Arial" w:hAnsi="Arial" w:cs="Arial"/>
        </w:rPr>
        <w:t xml:space="preserve"> </w:t>
      </w:r>
      <w:r>
        <w:rPr>
          <w:rFonts w:ascii="Arial" w:hAnsi="Arial" w:cs="Arial"/>
        </w:rPr>
        <w:t>Conditional Approval</w:t>
      </w:r>
      <w:r w:rsidR="00AA7E40" w:rsidRPr="00804502">
        <w:rPr>
          <w:rFonts w:ascii="Arial" w:hAnsi="Arial" w:cs="Arial"/>
        </w:rPr>
        <w:t>.</w:t>
      </w:r>
      <w:r w:rsidR="00AA7E40">
        <w:rPr>
          <w:rFonts w:ascii="Arial" w:hAnsi="Arial" w:cs="Arial"/>
        </w:rPr>
        <w:t xml:space="preserve">  </w:t>
      </w:r>
      <w:r w:rsidR="002B4D87">
        <w:rPr>
          <w:rFonts w:ascii="Arial" w:hAnsi="Arial" w:cs="Arial"/>
        </w:rPr>
        <w:t xml:space="preserve">In this capacity, </w:t>
      </w:r>
      <w:r w:rsidR="00D86406">
        <w:rPr>
          <w:rFonts w:ascii="Arial" w:hAnsi="Arial" w:cs="Arial"/>
        </w:rPr>
        <w:t>an E</w:t>
      </w:r>
      <w:r w:rsidR="00875489">
        <w:rPr>
          <w:rFonts w:ascii="Arial" w:hAnsi="Arial" w:cs="Arial"/>
        </w:rPr>
        <w:t>xchange must be able to</w:t>
      </w:r>
      <w:r w:rsidR="00312E61">
        <w:rPr>
          <w:rFonts w:ascii="Arial" w:hAnsi="Arial" w:cs="Arial"/>
        </w:rPr>
        <w:t>:</w:t>
      </w:r>
      <w:r w:rsidR="00875489">
        <w:rPr>
          <w:rFonts w:ascii="Arial" w:hAnsi="Arial" w:cs="Arial"/>
        </w:rPr>
        <w:t xml:space="preserve"> </w:t>
      </w:r>
    </w:p>
    <w:p w:rsidR="00B7071E" w:rsidRPr="000F6FF9" w:rsidRDefault="00312E61" w:rsidP="00186316">
      <w:pPr>
        <w:pStyle w:val="ListParagraph"/>
        <w:numPr>
          <w:ilvl w:val="0"/>
          <w:numId w:val="12"/>
        </w:numPr>
        <w:spacing w:after="0" w:line="240" w:lineRule="auto"/>
        <w:rPr>
          <w:rFonts w:ascii="Arial" w:hAnsi="Arial" w:cs="Arial"/>
        </w:rPr>
      </w:pPr>
      <w:r>
        <w:rPr>
          <w:rFonts w:ascii="Arial" w:hAnsi="Arial" w:cs="Arial"/>
        </w:rPr>
        <w:t>Provide</w:t>
      </w:r>
      <w:r w:rsidR="00B7071E" w:rsidRPr="000F6FF9">
        <w:rPr>
          <w:rFonts w:ascii="Arial" w:hAnsi="Arial" w:cs="Arial"/>
        </w:rPr>
        <w:t xml:space="preserve"> consumer support for coverage decisions</w:t>
      </w:r>
    </w:p>
    <w:p w:rsidR="00B7071E" w:rsidRPr="000F6FF9" w:rsidRDefault="00312E61" w:rsidP="00186316">
      <w:pPr>
        <w:pStyle w:val="ListParagraph"/>
        <w:numPr>
          <w:ilvl w:val="0"/>
          <w:numId w:val="12"/>
        </w:numPr>
        <w:spacing w:after="0" w:line="240" w:lineRule="auto"/>
        <w:rPr>
          <w:rFonts w:ascii="Arial" w:hAnsi="Arial" w:cs="Arial"/>
        </w:rPr>
      </w:pPr>
      <w:r>
        <w:rPr>
          <w:rFonts w:ascii="Arial" w:hAnsi="Arial" w:cs="Arial"/>
        </w:rPr>
        <w:t>Facilitate</w:t>
      </w:r>
      <w:r w:rsidR="00B7071E">
        <w:rPr>
          <w:rFonts w:ascii="Arial" w:hAnsi="Arial" w:cs="Arial"/>
        </w:rPr>
        <w:t xml:space="preserve"> </w:t>
      </w:r>
      <w:r w:rsidR="00B7071E" w:rsidRPr="000F6FF9">
        <w:rPr>
          <w:rFonts w:ascii="Arial" w:hAnsi="Arial" w:cs="Arial"/>
        </w:rPr>
        <w:t>eligibility determinations for individuals</w:t>
      </w:r>
    </w:p>
    <w:p w:rsidR="00B7071E" w:rsidRPr="000F6FF9" w:rsidRDefault="00312E61" w:rsidP="00186316">
      <w:pPr>
        <w:pStyle w:val="ListParagraph"/>
        <w:numPr>
          <w:ilvl w:val="0"/>
          <w:numId w:val="12"/>
        </w:numPr>
        <w:spacing w:after="0" w:line="240" w:lineRule="auto"/>
        <w:rPr>
          <w:rFonts w:ascii="Arial" w:hAnsi="Arial" w:cs="Arial"/>
        </w:rPr>
      </w:pPr>
      <w:r>
        <w:rPr>
          <w:rFonts w:ascii="Arial" w:hAnsi="Arial" w:cs="Arial"/>
        </w:rPr>
        <w:t>Provide</w:t>
      </w:r>
      <w:r w:rsidR="00B7071E" w:rsidRPr="000F6FF9">
        <w:rPr>
          <w:rFonts w:ascii="Arial" w:hAnsi="Arial" w:cs="Arial"/>
        </w:rPr>
        <w:t xml:space="preserve"> for enrollment in </w:t>
      </w:r>
      <w:r w:rsidR="00AC6239">
        <w:rPr>
          <w:rFonts w:ascii="Arial" w:hAnsi="Arial" w:cs="Arial"/>
        </w:rPr>
        <w:t>QHPs</w:t>
      </w:r>
    </w:p>
    <w:p w:rsidR="00B7071E" w:rsidRPr="000F6FF9" w:rsidRDefault="00312E61" w:rsidP="00186316">
      <w:pPr>
        <w:pStyle w:val="ListParagraph"/>
        <w:numPr>
          <w:ilvl w:val="0"/>
          <w:numId w:val="12"/>
        </w:numPr>
        <w:spacing w:after="0" w:line="240" w:lineRule="auto"/>
        <w:rPr>
          <w:rFonts w:ascii="Arial" w:hAnsi="Arial" w:cs="Arial"/>
        </w:rPr>
      </w:pPr>
      <w:r>
        <w:rPr>
          <w:rFonts w:ascii="Arial" w:hAnsi="Arial" w:cs="Arial"/>
        </w:rPr>
        <w:t>Certify</w:t>
      </w:r>
      <w:r w:rsidR="00B7071E" w:rsidRPr="000F6FF9">
        <w:rPr>
          <w:rFonts w:ascii="Arial" w:hAnsi="Arial" w:cs="Arial"/>
        </w:rPr>
        <w:t xml:space="preserve"> health plans as </w:t>
      </w:r>
      <w:r w:rsidR="00B7071E">
        <w:rPr>
          <w:rFonts w:ascii="Arial" w:hAnsi="Arial" w:cs="Arial"/>
        </w:rPr>
        <w:t>QHPs</w:t>
      </w:r>
    </w:p>
    <w:p w:rsidR="00B7071E" w:rsidRPr="00312E61" w:rsidRDefault="00B7071E" w:rsidP="00186316">
      <w:pPr>
        <w:pStyle w:val="ListParagraph"/>
        <w:numPr>
          <w:ilvl w:val="0"/>
          <w:numId w:val="12"/>
        </w:numPr>
        <w:spacing w:after="0" w:line="240" w:lineRule="auto"/>
        <w:rPr>
          <w:rFonts w:ascii="Arial" w:hAnsi="Arial" w:cs="Arial"/>
        </w:rPr>
      </w:pPr>
      <w:r w:rsidRPr="00312E61">
        <w:rPr>
          <w:rFonts w:ascii="Arial" w:hAnsi="Arial" w:cs="Arial"/>
        </w:rPr>
        <w:t>Operat</w:t>
      </w:r>
      <w:r w:rsidR="00312E61" w:rsidRPr="00312E61">
        <w:rPr>
          <w:rFonts w:ascii="Arial" w:hAnsi="Arial" w:cs="Arial"/>
        </w:rPr>
        <w:t>e</w:t>
      </w:r>
      <w:r w:rsidRPr="00312E61">
        <w:rPr>
          <w:rFonts w:ascii="Arial" w:hAnsi="Arial" w:cs="Arial"/>
        </w:rPr>
        <w:t xml:space="preserve"> a SHOP</w:t>
      </w:r>
    </w:p>
    <w:p w:rsidR="00B7071E" w:rsidRPr="000F6FF9" w:rsidRDefault="00B7071E" w:rsidP="00B7071E">
      <w:pPr>
        <w:pStyle w:val="ListParagraph"/>
        <w:spacing w:after="0" w:line="240" w:lineRule="auto"/>
        <w:rPr>
          <w:rFonts w:ascii="Arial" w:hAnsi="Arial" w:cs="Arial"/>
        </w:rPr>
      </w:pPr>
    </w:p>
    <w:p w:rsidR="00665815" w:rsidRPr="00294621" w:rsidRDefault="007A3D63" w:rsidP="001D68CB">
      <w:pPr>
        <w:rPr>
          <w:rFonts w:ascii="Arial" w:hAnsi="Arial" w:cs="Arial"/>
        </w:rPr>
      </w:pPr>
      <w:r>
        <w:rPr>
          <w:rFonts w:ascii="Arial" w:hAnsi="Arial" w:cs="Arial"/>
        </w:rPr>
        <w:t>The t</w:t>
      </w:r>
      <w:r w:rsidR="00B7071E" w:rsidRPr="000F6FF9">
        <w:rPr>
          <w:rFonts w:ascii="Arial" w:hAnsi="Arial" w:cs="Arial"/>
        </w:rPr>
        <w:t xml:space="preserve">echnical assistance and </w:t>
      </w:r>
      <w:r>
        <w:rPr>
          <w:rFonts w:ascii="Arial" w:hAnsi="Arial" w:cs="Arial"/>
        </w:rPr>
        <w:t>grant fundin</w:t>
      </w:r>
      <w:r w:rsidR="00B44F99">
        <w:rPr>
          <w:rFonts w:ascii="Arial" w:hAnsi="Arial" w:cs="Arial"/>
        </w:rPr>
        <w:t>g available to States prior to Approval or C</w:t>
      </w:r>
      <w:r>
        <w:rPr>
          <w:rFonts w:ascii="Arial" w:hAnsi="Arial" w:cs="Arial"/>
        </w:rPr>
        <w:t xml:space="preserve">onditional </w:t>
      </w:r>
      <w:r w:rsidR="00B44F99">
        <w:rPr>
          <w:rFonts w:ascii="Arial" w:hAnsi="Arial" w:cs="Arial"/>
        </w:rPr>
        <w:t>A</w:t>
      </w:r>
      <w:r>
        <w:rPr>
          <w:rFonts w:ascii="Arial" w:hAnsi="Arial" w:cs="Arial"/>
        </w:rPr>
        <w:t xml:space="preserve">pproval will continue to be available under </w:t>
      </w:r>
      <w:r w:rsidR="002B6C19">
        <w:rPr>
          <w:rFonts w:ascii="Arial" w:hAnsi="Arial" w:cs="Arial"/>
        </w:rPr>
        <w:t xml:space="preserve">the terms and requirements of </w:t>
      </w:r>
      <w:r w:rsidR="00294621">
        <w:rPr>
          <w:rFonts w:ascii="Arial" w:hAnsi="Arial" w:cs="Arial"/>
        </w:rPr>
        <w:t xml:space="preserve">those </w:t>
      </w:r>
      <w:r w:rsidR="00387628">
        <w:rPr>
          <w:rFonts w:ascii="Arial" w:hAnsi="Arial" w:cs="Arial"/>
        </w:rPr>
        <w:t xml:space="preserve">programs. </w:t>
      </w:r>
      <w:r>
        <w:rPr>
          <w:rFonts w:ascii="Arial" w:hAnsi="Arial" w:cs="Arial"/>
        </w:rPr>
        <w:t xml:space="preserve">  </w:t>
      </w:r>
    </w:p>
    <w:p w:rsidR="001D68CB" w:rsidRPr="002C1D95" w:rsidRDefault="001D68CB" w:rsidP="00A14363">
      <w:pPr>
        <w:pStyle w:val="Heading2"/>
      </w:pPr>
      <w:r w:rsidRPr="002C1D95">
        <w:t>Questio</w:t>
      </w:r>
      <w:r>
        <w:t xml:space="preserve">ns Regarding the Exchange Blueprint </w:t>
      </w:r>
      <w:r w:rsidR="00916FA6">
        <w:t xml:space="preserve">&amp; Technical Assistance </w:t>
      </w:r>
    </w:p>
    <w:p w:rsidR="00916FA6" w:rsidRDefault="001D68CB">
      <w:pPr>
        <w:rPr>
          <w:rFonts w:ascii="Arial" w:hAnsi="Arial" w:cs="Arial"/>
        </w:rPr>
      </w:pPr>
      <w:r w:rsidRPr="00916FA6">
        <w:rPr>
          <w:rFonts w:ascii="Arial" w:hAnsi="Arial" w:cs="Arial"/>
        </w:rPr>
        <w:t>States should contact t</w:t>
      </w:r>
      <w:r w:rsidRPr="001528C6">
        <w:rPr>
          <w:rFonts w:ascii="Arial" w:hAnsi="Arial" w:cs="Arial"/>
        </w:rPr>
        <w:t xml:space="preserve">heir </w:t>
      </w:r>
      <w:r w:rsidR="00D86406" w:rsidRPr="001528C6">
        <w:rPr>
          <w:rFonts w:ascii="Arial" w:hAnsi="Arial" w:cs="Arial"/>
        </w:rPr>
        <w:t>CMS Center for Consumer Information and Insurance O</w:t>
      </w:r>
      <w:r w:rsidR="00166637" w:rsidRPr="001528C6">
        <w:rPr>
          <w:rFonts w:ascii="Arial" w:hAnsi="Arial" w:cs="Arial"/>
        </w:rPr>
        <w:t xml:space="preserve">versight </w:t>
      </w:r>
      <w:r w:rsidR="00D86406" w:rsidRPr="001528C6">
        <w:rPr>
          <w:rFonts w:ascii="Arial" w:hAnsi="Arial" w:cs="Arial"/>
        </w:rPr>
        <w:t xml:space="preserve"> (CCIIO) </w:t>
      </w:r>
      <w:r w:rsidRPr="00D73CE9">
        <w:rPr>
          <w:rFonts w:ascii="Arial" w:hAnsi="Arial" w:cs="Arial"/>
        </w:rPr>
        <w:t>State Officer for specific questions regarding their Exchange Blueprint</w:t>
      </w:r>
      <w:r w:rsidR="005930F0">
        <w:rPr>
          <w:rFonts w:ascii="Arial" w:hAnsi="Arial" w:cs="Arial"/>
        </w:rPr>
        <w:t>s</w:t>
      </w:r>
      <w:r w:rsidR="00AA7E40" w:rsidRPr="0061137F">
        <w:rPr>
          <w:rFonts w:ascii="Arial" w:hAnsi="Arial" w:cs="Arial"/>
        </w:rPr>
        <w:t xml:space="preserve">.  </w:t>
      </w:r>
      <w:r w:rsidR="00916FA6" w:rsidRPr="0061137F">
        <w:rPr>
          <w:rFonts w:ascii="Arial" w:hAnsi="Arial" w:cs="Arial"/>
        </w:rPr>
        <w:t>In ad</w:t>
      </w:r>
      <w:r w:rsidR="00916FA6" w:rsidRPr="00055F76">
        <w:rPr>
          <w:rFonts w:ascii="Arial" w:hAnsi="Arial" w:cs="Arial"/>
        </w:rPr>
        <w:t>dition, all States are encouraged to contact CCIIO’s State Exchange Group for information regarding technical assistance</w:t>
      </w:r>
      <w:r w:rsidR="001528C6">
        <w:rPr>
          <w:rFonts w:ascii="Arial" w:hAnsi="Arial" w:cs="Arial"/>
        </w:rPr>
        <w:t xml:space="preserve"> consultations</w:t>
      </w:r>
      <w:r w:rsidR="00916FA6" w:rsidRPr="001528C6">
        <w:rPr>
          <w:rFonts w:ascii="Arial" w:hAnsi="Arial" w:cs="Arial"/>
        </w:rPr>
        <w:t>, available resources, and funding opportunities available to State</w:t>
      </w:r>
      <w:r w:rsidR="00812552">
        <w:rPr>
          <w:rFonts w:ascii="Arial" w:hAnsi="Arial" w:cs="Arial"/>
        </w:rPr>
        <w:t>s</w:t>
      </w:r>
      <w:r w:rsidR="00916FA6" w:rsidRPr="001528C6">
        <w:rPr>
          <w:rFonts w:ascii="Arial" w:hAnsi="Arial" w:cs="Arial"/>
        </w:rPr>
        <w:t xml:space="preserve"> for Exchange build activities. </w:t>
      </w:r>
      <w:r w:rsidRPr="001528C6">
        <w:rPr>
          <w:rFonts w:ascii="Arial" w:hAnsi="Arial" w:cs="Arial"/>
        </w:rPr>
        <w:t xml:space="preserve">General questions may be directed to </w:t>
      </w:r>
      <w:hyperlink r:id="rId10" w:history="1">
        <w:r w:rsidRPr="00916FA6">
          <w:rPr>
            <w:rStyle w:val="Hyperlink"/>
            <w:rFonts w:ascii="Arial" w:hAnsi="Arial" w:cs="Arial"/>
          </w:rPr>
          <w:t>State.Exchange.Group@cms.hhs.gov</w:t>
        </w:r>
      </w:hyperlink>
      <w:r w:rsidRPr="00916FA6">
        <w:rPr>
          <w:rFonts w:ascii="Arial" w:hAnsi="Arial" w:cs="Arial"/>
        </w:rPr>
        <w:t>.</w:t>
      </w:r>
    </w:p>
    <w:p w:rsidR="00E87E49" w:rsidRDefault="00E87E49" w:rsidP="00E87E49">
      <w:pPr>
        <w:spacing w:after="0"/>
        <w:rPr>
          <w:rFonts w:ascii="Gill Sans MT" w:hAnsi="Gill Sans MT" w:cs="Arial"/>
        </w:rPr>
      </w:pPr>
    </w:p>
    <w:p w:rsidR="00E87E49" w:rsidRDefault="00E87E49" w:rsidP="00E87E49">
      <w:pPr>
        <w:rPr>
          <w:rFonts w:ascii="Arial" w:hAnsi="Arial" w:cs="Arial"/>
        </w:rPr>
        <w:sectPr w:rsidR="00E87E49">
          <w:headerReference w:type="default" r:id="rId11"/>
          <w:footerReference w:type="default" r:id="rId12"/>
          <w:footerReference w:type="first" r:id="rId13"/>
          <w:pgSz w:w="12240" w:h="15840" w:code="1"/>
          <w:pgMar w:top="1152" w:right="1008" w:bottom="1008" w:left="1152" w:header="720" w:footer="720" w:gutter="0"/>
          <w:pgNumType w:start="1"/>
          <w:cols w:space="720"/>
          <w:titlePg/>
          <w:docGrid w:linePitch="360"/>
        </w:sectPr>
      </w:pPr>
      <w:r w:rsidRPr="008852CE">
        <w:rPr>
          <w:rFonts w:ascii="Arial" w:hAnsi="Arial" w:cs="Arial"/>
          <w:b/>
          <w:u w:val="single"/>
        </w:rPr>
        <w:t>Disclosure:</w:t>
      </w:r>
      <w:r w:rsidRPr="008852CE">
        <w:rPr>
          <w:rFonts w:ascii="Arial" w:hAnsi="Arial" w:cs="Arial"/>
        </w:rPr>
        <w:t xml:space="preserve"> According to the Paperwork Reduction Act (PRA), no persons are required to respond to a collection of information unless it displays a valid Office of Management an</w:t>
      </w:r>
      <w:r>
        <w:rPr>
          <w:rFonts w:ascii="Arial" w:hAnsi="Arial" w:cs="Arial"/>
        </w:rPr>
        <w:t xml:space="preserve">d Budget (OMB) control number.  </w:t>
      </w:r>
      <w:r w:rsidRPr="008852CE">
        <w:rPr>
          <w:rFonts w:ascii="Arial" w:hAnsi="Arial" w:cs="Arial"/>
        </w:rPr>
        <w:t>The valid OMB control number for this inf</w:t>
      </w:r>
      <w:r>
        <w:rPr>
          <w:rFonts w:ascii="Arial" w:hAnsi="Arial" w:cs="Arial"/>
        </w:rPr>
        <w:t xml:space="preserve">ormation </w:t>
      </w:r>
      <w:r w:rsidRPr="00DC77C4">
        <w:rPr>
          <w:rFonts w:ascii="Arial" w:hAnsi="Arial" w:cs="Arial"/>
        </w:rPr>
        <w:t>collection is 0938-</w:t>
      </w:r>
      <w:r w:rsidRPr="00F05EDC">
        <w:rPr>
          <w:rFonts w:ascii="Arial" w:hAnsi="Arial" w:cs="Arial"/>
          <w:highlight w:val="yellow"/>
        </w:rPr>
        <w:t>XXXX</w:t>
      </w:r>
      <w:r w:rsidRPr="00C63B0D">
        <w:rPr>
          <w:rFonts w:ascii="Arial" w:hAnsi="Arial" w:cs="Arial"/>
        </w:rPr>
        <w:t>.</w:t>
      </w:r>
      <w:r w:rsidRPr="008852CE">
        <w:rPr>
          <w:rFonts w:ascii="Arial" w:hAnsi="Arial" w:cs="Arial"/>
        </w:rPr>
        <w:t xml:space="preserve">  The </w:t>
      </w:r>
      <w:r>
        <w:rPr>
          <w:rFonts w:ascii="Arial" w:hAnsi="Arial" w:cs="Arial"/>
        </w:rPr>
        <w:t xml:space="preserve">estimated </w:t>
      </w:r>
      <w:r w:rsidRPr="008852CE">
        <w:rPr>
          <w:rFonts w:ascii="Arial" w:hAnsi="Arial" w:cs="Arial"/>
        </w:rPr>
        <w:t xml:space="preserve">time required to complete this information collection </w:t>
      </w:r>
      <w:r>
        <w:rPr>
          <w:rFonts w:ascii="Arial" w:hAnsi="Arial" w:cs="Arial"/>
        </w:rPr>
        <w:t xml:space="preserve">will </w:t>
      </w:r>
      <w:r w:rsidRPr="008852CE">
        <w:rPr>
          <w:rFonts w:ascii="Arial" w:hAnsi="Arial" w:cs="Arial"/>
        </w:rPr>
        <w:t>average 211 hours per response including the time to review instructions, search existing data resources</w:t>
      </w:r>
      <w:r>
        <w:rPr>
          <w:rFonts w:ascii="Arial" w:hAnsi="Arial" w:cs="Arial"/>
        </w:rPr>
        <w:t xml:space="preserve"> and</w:t>
      </w:r>
      <w:r w:rsidRPr="008852CE">
        <w:rPr>
          <w:rFonts w:ascii="Arial" w:hAnsi="Arial" w:cs="Arial"/>
        </w:rPr>
        <w:t xml:space="preserve"> gather the data needed, and complete and review the information collection.  If you have any comments concerning the </w:t>
      </w:r>
      <w:r>
        <w:rPr>
          <w:rFonts w:ascii="Arial" w:hAnsi="Arial" w:cs="Arial"/>
        </w:rPr>
        <w:t>accuracy of the time estimate</w:t>
      </w:r>
      <w:r w:rsidRPr="008852CE">
        <w:rPr>
          <w:rFonts w:ascii="Arial" w:hAnsi="Arial" w:cs="Arial"/>
        </w:rPr>
        <w:t xml:space="preserve"> or suggestions for improving this form, please write to: </w:t>
      </w:r>
      <w:r>
        <w:rPr>
          <w:rFonts w:ascii="Arial" w:hAnsi="Arial" w:cs="Arial"/>
        </w:rPr>
        <w:t>CMS, Office of Strategic Operations and Regulatory Affairs, Division of Regulations Development, Attention: Document ID: CMS-10416, Room C4-26-06, 7500 Security Boulevard, Baltimore, Maryland 21244-1850.</w:t>
      </w:r>
    </w:p>
    <w:p w:rsidR="00E87E49" w:rsidRPr="001528C6" w:rsidRDefault="00E87E49">
      <w:pPr>
        <w:rPr>
          <w:rFonts w:ascii="Arial" w:hAnsi="Arial" w:cs="Arial"/>
        </w:rPr>
      </w:pPr>
    </w:p>
    <w:p w:rsidR="00D97C76" w:rsidRPr="00D97C76" w:rsidRDefault="00D97C76">
      <w:pPr>
        <w:rPr>
          <w:rFonts w:ascii="Arial" w:hAnsi="Arial" w:cs="Arial"/>
        </w:rPr>
      </w:pPr>
      <w:r>
        <w:br w:type="page"/>
      </w:r>
    </w:p>
    <w:p w:rsidR="00BF0E18" w:rsidRPr="007E6BFE" w:rsidRDefault="005C6B42" w:rsidP="00BF0E18">
      <w:pPr>
        <w:pStyle w:val="Title"/>
      </w:pPr>
      <w:r>
        <w:lastRenderedPageBreak/>
        <w:t>Section I:</w:t>
      </w:r>
      <w:r w:rsidR="00AA7E40">
        <w:t xml:space="preserve"> Declaration</w:t>
      </w:r>
      <w:r w:rsidR="00BF0E18">
        <w:t xml:space="preserve"> </w:t>
      </w:r>
      <w:r>
        <w:t>Letter</w:t>
      </w:r>
    </w:p>
    <w:p w:rsidR="007A3D63" w:rsidRDefault="00AA7A0D" w:rsidP="00BF0E18">
      <w:pPr>
        <w:rPr>
          <w:rFonts w:ascii="Arial" w:hAnsi="Arial" w:cs="Arial"/>
        </w:rPr>
      </w:pPr>
      <w:r>
        <w:rPr>
          <w:rFonts w:ascii="Arial" w:hAnsi="Arial" w:cs="Arial"/>
        </w:rPr>
        <w:t>A State</w:t>
      </w:r>
      <w:r w:rsidR="0071654E">
        <w:rPr>
          <w:rFonts w:ascii="Arial" w:hAnsi="Arial" w:cs="Arial"/>
        </w:rPr>
        <w:t xml:space="preserve"> </w:t>
      </w:r>
      <w:r w:rsidR="00603130">
        <w:rPr>
          <w:rFonts w:ascii="Arial" w:hAnsi="Arial" w:cs="Arial"/>
        </w:rPr>
        <w:t xml:space="preserve">seeking to </w:t>
      </w:r>
      <w:r w:rsidR="00D86406">
        <w:rPr>
          <w:rFonts w:ascii="Arial" w:hAnsi="Arial" w:cs="Arial"/>
        </w:rPr>
        <w:t>operate a</w:t>
      </w:r>
      <w:r w:rsidR="00603130">
        <w:rPr>
          <w:rFonts w:ascii="Arial" w:hAnsi="Arial" w:cs="Arial"/>
        </w:rPr>
        <w:t xml:space="preserve"> State-based Exchange or </w:t>
      </w:r>
      <w:r w:rsidR="00D86406">
        <w:rPr>
          <w:rFonts w:ascii="Arial" w:hAnsi="Arial" w:cs="Arial"/>
        </w:rPr>
        <w:t xml:space="preserve">participate in a </w:t>
      </w:r>
      <w:r w:rsidR="00603130">
        <w:rPr>
          <w:rFonts w:ascii="Arial" w:hAnsi="Arial" w:cs="Arial"/>
        </w:rPr>
        <w:t>State Partnership Exchange</w:t>
      </w:r>
      <w:r w:rsidR="00294621">
        <w:rPr>
          <w:rFonts w:ascii="Arial" w:hAnsi="Arial" w:cs="Arial"/>
        </w:rPr>
        <w:t xml:space="preserve"> in </w:t>
      </w:r>
      <w:r w:rsidR="00F05EDC">
        <w:rPr>
          <w:rFonts w:ascii="Arial" w:hAnsi="Arial" w:cs="Arial"/>
        </w:rPr>
        <w:t>p</w:t>
      </w:r>
      <w:r w:rsidR="00294621">
        <w:rPr>
          <w:rFonts w:ascii="Arial" w:hAnsi="Arial" w:cs="Arial"/>
        </w:rPr>
        <w:t xml:space="preserve">lan </w:t>
      </w:r>
      <w:r w:rsidR="00F05EDC">
        <w:rPr>
          <w:rFonts w:ascii="Arial" w:hAnsi="Arial" w:cs="Arial"/>
        </w:rPr>
        <w:t>y</w:t>
      </w:r>
      <w:r w:rsidR="00294621">
        <w:rPr>
          <w:rFonts w:ascii="Arial" w:hAnsi="Arial" w:cs="Arial"/>
        </w:rPr>
        <w:t>ear 2014</w:t>
      </w:r>
      <w:r w:rsidR="00603130">
        <w:rPr>
          <w:rFonts w:ascii="Arial" w:hAnsi="Arial" w:cs="Arial"/>
        </w:rPr>
        <w:t xml:space="preserve"> </w:t>
      </w:r>
      <w:r w:rsidR="005734AD">
        <w:rPr>
          <w:rFonts w:ascii="Arial" w:hAnsi="Arial" w:cs="Arial"/>
        </w:rPr>
        <w:t xml:space="preserve">will </w:t>
      </w:r>
      <w:r w:rsidR="0071654E">
        <w:rPr>
          <w:rFonts w:ascii="Arial" w:hAnsi="Arial" w:cs="Arial"/>
        </w:rPr>
        <w:t xml:space="preserve">declare </w:t>
      </w:r>
      <w:r w:rsidR="00A81E36">
        <w:rPr>
          <w:rFonts w:ascii="Arial" w:hAnsi="Arial" w:cs="Arial"/>
        </w:rPr>
        <w:t>the type of</w:t>
      </w:r>
      <w:r w:rsidR="0071654E">
        <w:rPr>
          <w:rFonts w:ascii="Arial" w:hAnsi="Arial" w:cs="Arial"/>
        </w:rPr>
        <w:t xml:space="preserve"> Exchange Model </w:t>
      </w:r>
      <w:r w:rsidR="00603130">
        <w:rPr>
          <w:rFonts w:ascii="Arial" w:hAnsi="Arial" w:cs="Arial"/>
        </w:rPr>
        <w:t>it</w:t>
      </w:r>
      <w:r w:rsidR="00183F0C">
        <w:rPr>
          <w:rFonts w:ascii="Arial" w:hAnsi="Arial" w:cs="Arial"/>
        </w:rPr>
        <w:t xml:space="preserve"> intend</w:t>
      </w:r>
      <w:r w:rsidR="00603130">
        <w:rPr>
          <w:rFonts w:ascii="Arial" w:hAnsi="Arial" w:cs="Arial"/>
        </w:rPr>
        <w:t>s</w:t>
      </w:r>
      <w:r w:rsidR="00183F0C">
        <w:rPr>
          <w:rFonts w:ascii="Arial" w:hAnsi="Arial" w:cs="Arial"/>
        </w:rPr>
        <w:t xml:space="preserve"> to pursue </w:t>
      </w:r>
      <w:r w:rsidR="00D97C76">
        <w:rPr>
          <w:rFonts w:ascii="Arial" w:hAnsi="Arial" w:cs="Arial"/>
        </w:rPr>
        <w:t xml:space="preserve">through an Exchange Declaration </w:t>
      </w:r>
      <w:r w:rsidR="00DC7397">
        <w:rPr>
          <w:rFonts w:ascii="Arial" w:hAnsi="Arial" w:cs="Arial"/>
        </w:rPr>
        <w:t>L</w:t>
      </w:r>
      <w:r w:rsidR="00D97C76">
        <w:rPr>
          <w:rFonts w:ascii="Arial" w:hAnsi="Arial" w:cs="Arial"/>
        </w:rPr>
        <w:t xml:space="preserve">etter as part of </w:t>
      </w:r>
      <w:r w:rsidR="00547AB5">
        <w:rPr>
          <w:rFonts w:ascii="Arial" w:hAnsi="Arial" w:cs="Arial"/>
        </w:rPr>
        <w:t>its</w:t>
      </w:r>
      <w:r w:rsidR="0071654E">
        <w:rPr>
          <w:rFonts w:ascii="Arial" w:hAnsi="Arial" w:cs="Arial"/>
        </w:rPr>
        <w:t xml:space="preserve"> Exchange </w:t>
      </w:r>
      <w:r w:rsidR="0096004C">
        <w:rPr>
          <w:rFonts w:ascii="Arial" w:hAnsi="Arial" w:cs="Arial"/>
        </w:rPr>
        <w:t>Blueprint</w:t>
      </w:r>
      <w:r w:rsidR="005D4815">
        <w:rPr>
          <w:rFonts w:ascii="Arial" w:hAnsi="Arial" w:cs="Arial"/>
        </w:rPr>
        <w:t>.</w:t>
      </w:r>
      <w:r w:rsidR="0071654E">
        <w:rPr>
          <w:rFonts w:ascii="Arial" w:hAnsi="Arial" w:cs="Arial"/>
        </w:rPr>
        <w:t xml:space="preserve"> </w:t>
      </w:r>
      <w:r w:rsidR="005930F0">
        <w:rPr>
          <w:rFonts w:ascii="Arial" w:hAnsi="Arial" w:cs="Arial"/>
        </w:rPr>
        <w:t>States that plan to operate in the Federally-facilitated Exchange without Partnership that intend to operate the</w:t>
      </w:r>
      <w:r w:rsidR="00F56DEB">
        <w:rPr>
          <w:rFonts w:ascii="Arial" w:hAnsi="Arial" w:cs="Arial"/>
        </w:rPr>
        <w:t>ir own reinsurance programs should</w:t>
      </w:r>
      <w:r w:rsidR="005930F0">
        <w:rPr>
          <w:rFonts w:ascii="Arial" w:hAnsi="Arial" w:cs="Arial"/>
        </w:rPr>
        <w:t xml:space="preserve"> submit a declaration letter addressing how they meet the requirements of Section 5.2: reinsurance. </w:t>
      </w:r>
      <w:r w:rsidR="00D97C76">
        <w:rPr>
          <w:rFonts w:ascii="Arial" w:hAnsi="Arial" w:cs="Arial"/>
        </w:rPr>
        <w:t xml:space="preserve">To facilitate coordination, States seeking to </w:t>
      </w:r>
      <w:r w:rsidR="00D86406">
        <w:rPr>
          <w:rFonts w:ascii="Arial" w:hAnsi="Arial" w:cs="Arial"/>
        </w:rPr>
        <w:t>participate in a</w:t>
      </w:r>
      <w:r w:rsidR="00D97C76">
        <w:rPr>
          <w:rFonts w:ascii="Arial" w:hAnsi="Arial" w:cs="Arial"/>
        </w:rPr>
        <w:t xml:space="preserve"> Federally-facilitated Exchange without Partnership </w:t>
      </w:r>
      <w:r w:rsidR="005930F0">
        <w:rPr>
          <w:rFonts w:ascii="Arial" w:hAnsi="Arial" w:cs="Arial"/>
        </w:rPr>
        <w:t xml:space="preserve">and not electing to operate reinsurance </w:t>
      </w:r>
      <w:r w:rsidR="00D97C76">
        <w:rPr>
          <w:rFonts w:ascii="Arial" w:hAnsi="Arial" w:cs="Arial"/>
        </w:rPr>
        <w:t>are also invited</w:t>
      </w:r>
      <w:r w:rsidR="0038139E">
        <w:rPr>
          <w:rFonts w:ascii="Arial" w:hAnsi="Arial" w:cs="Arial"/>
        </w:rPr>
        <w:t>,</w:t>
      </w:r>
      <w:r w:rsidR="00834837">
        <w:rPr>
          <w:rFonts w:ascii="Arial" w:hAnsi="Arial" w:cs="Arial"/>
        </w:rPr>
        <w:t xml:space="preserve"> at their option,</w:t>
      </w:r>
      <w:r w:rsidR="00D97C76">
        <w:rPr>
          <w:rFonts w:ascii="Arial" w:hAnsi="Arial" w:cs="Arial"/>
        </w:rPr>
        <w:t xml:space="preserve"> to complete a</w:t>
      </w:r>
      <w:r w:rsidR="004649F4">
        <w:rPr>
          <w:rFonts w:ascii="Arial" w:hAnsi="Arial" w:cs="Arial"/>
        </w:rPr>
        <w:t xml:space="preserve"> </w:t>
      </w:r>
      <w:r w:rsidR="00D97C76">
        <w:rPr>
          <w:rFonts w:ascii="Arial" w:hAnsi="Arial" w:cs="Arial"/>
        </w:rPr>
        <w:t xml:space="preserve">Declaration </w:t>
      </w:r>
      <w:r w:rsidR="00665815">
        <w:rPr>
          <w:rFonts w:ascii="Arial" w:hAnsi="Arial" w:cs="Arial"/>
        </w:rPr>
        <w:t>L</w:t>
      </w:r>
      <w:r w:rsidR="00D97C76">
        <w:rPr>
          <w:rFonts w:ascii="Arial" w:hAnsi="Arial" w:cs="Arial"/>
        </w:rPr>
        <w:t>etter.</w:t>
      </w:r>
    </w:p>
    <w:p w:rsidR="00183F0C" w:rsidRDefault="00D97C76" w:rsidP="00D97C76">
      <w:pPr>
        <w:spacing w:after="0"/>
        <w:rPr>
          <w:rFonts w:ascii="Arial" w:hAnsi="Arial" w:cs="Arial"/>
        </w:rPr>
      </w:pPr>
      <w:r w:rsidRPr="00D97C76">
        <w:rPr>
          <w:rFonts w:ascii="Arial" w:hAnsi="Arial" w:cs="Arial"/>
        </w:rPr>
        <w:t>A</w:t>
      </w:r>
      <w:r w:rsidR="00CE0BD2" w:rsidRPr="00D97C76">
        <w:rPr>
          <w:rFonts w:ascii="Arial" w:hAnsi="Arial" w:cs="Arial"/>
        </w:rPr>
        <w:t xml:space="preserve"> State’s Declaration </w:t>
      </w:r>
      <w:r w:rsidR="00DC7397">
        <w:rPr>
          <w:rFonts w:ascii="Arial" w:hAnsi="Arial" w:cs="Arial"/>
        </w:rPr>
        <w:t>L</w:t>
      </w:r>
      <w:r w:rsidR="00834837">
        <w:rPr>
          <w:rFonts w:ascii="Arial" w:hAnsi="Arial" w:cs="Arial"/>
        </w:rPr>
        <w:t>etter must</w:t>
      </w:r>
      <w:r w:rsidR="00CE0BD2" w:rsidRPr="00D97C76">
        <w:rPr>
          <w:rFonts w:ascii="Arial" w:hAnsi="Arial" w:cs="Arial"/>
        </w:rPr>
        <w:t xml:space="preserve"> be</w:t>
      </w:r>
      <w:r w:rsidRPr="00D97C76">
        <w:rPr>
          <w:rFonts w:ascii="Arial" w:hAnsi="Arial" w:cs="Arial"/>
        </w:rPr>
        <w:t xml:space="preserve"> signed by the State’s Governor</w:t>
      </w:r>
      <w:r w:rsidR="00F05EDC">
        <w:rPr>
          <w:rStyle w:val="FootnoteReference"/>
          <w:rFonts w:ascii="Arial" w:hAnsi="Arial" w:cs="Arial"/>
        </w:rPr>
        <w:footnoteReference w:id="5"/>
      </w:r>
      <w:r w:rsidR="00AA7E40" w:rsidRPr="00D97C76">
        <w:rPr>
          <w:rFonts w:ascii="Arial" w:hAnsi="Arial" w:cs="Arial"/>
        </w:rPr>
        <w:t xml:space="preserve">.  </w:t>
      </w:r>
      <w:r w:rsidR="00665815">
        <w:rPr>
          <w:rFonts w:ascii="Arial" w:hAnsi="Arial" w:cs="Arial"/>
        </w:rPr>
        <w:t>As described below, the L</w:t>
      </w:r>
      <w:r w:rsidRPr="00D97C76">
        <w:rPr>
          <w:rFonts w:ascii="Arial" w:hAnsi="Arial" w:cs="Arial"/>
        </w:rPr>
        <w:t xml:space="preserve">etter’s contents </w:t>
      </w:r>
      <w:r w:rsidR="0071654E" w:rsidRPr="00D97C76">
        <w:rPr>
          <w:rFonts w:ascii="Arial" w:hAnsi="Arial" w:cs="Arial"/>
        </w:rPr>
        <w:t>sho</w:t>
      </w:r>
      <w:r w:rsidR="00926137" w:rsidRPr="00D97C76">
        <w:rPr>
          <w:rFonts w:ascii="Arial" w:hAnsi="Arial" w:cs="Arial"/>
        </w:rPr>
        <w:t xml:space="preserve">uld </w:t>
      </w:r>
      <w:r w:rsidRPr="00D97C76">
        <w:rPr>
          <w:rFonts w:ascii="Arial" w:hAnsi="Arial" w:cs="Arial"/>
        </w:rPr>
        <w:t>include basic</w:t>
      </w:r>
      <w:r w:rsidR="0071654E" w:rsidRPr="00D97C76">
        <w:rPr>
          <w:rFonts w:ascii="Arial" w:hAnsi="Arial" w:cs="Arial"/>
        </w:rPr>
        <w:t xml:space="preserve"> information associated with </w:t>
      </w:r>
      <w:r w:rsidR="00926137" w:rsidRPr="00D97C76">
        <w:rPr>
          <w:rFonts w:ascii="Arial" w:hAnsi="Arial" w:cs="Arial"/>
        </w:rPr>
        <w:t>its</w:t>
      </w:r>
      <w:r w:rsidR="00370057" w:rsidRPr="00D97C76">
        <w:rPr>
          <w:rFonts w:ascii="Arial" w:hAnsi="Arial" w:cs="Arial"/>
        </w:rPr>
        <w:t xml:space="preserve"> designated Exchange Model</w:t>
      </w:r>
      <w:r w:rsidR="00AA7E40" w:rsidRPr="00D97C76">
        <w:rPr>
          <w:rFonts w:ascii="Arial" w:hAnsi="Arial" w:cs="Arial"/>
        </w:rPr>
        <w:t xml:space="preserve">.  </w:t>
      </w:r>
      <w:r w:rsidRPr="00D97C76">
        <w:rPr>
          <w:rFonts w:ascii="Arial" w:hAnsi="Arial" w:cs="Arial"/>
        </w:rPr>
        <w:t>The</w:t>
      </w:r>
      <w:r w:rsidR="00183F0C" w:rsidRPr="00D97C76">
        <w:rPr>
          <w:rFonts w:ascii="Arial" w:hAnsi="Arial" w:cs="Arial"/>
        </w:rPr>
        <w:t xml:space="preserve"> </w:t>
      </w:r>
      <w:r w:rsidR="00665815">
        <w:rPr>
          <w:rFonts w:ascii="Arial" w:hAnsi="Arial" w:cs="Arial"/>
        </w:rPr>
        <w:t>L</w:t>
      </w:r>
      <w:r w:rsidR="00183F0C" w:rsidRPr="00D97C76">
        <w:rPr>
          <w:rFonts w:ascii="Arial" w:hAnsi="Arial" w:cs="Arial"/>
        </w:rPr>
        <w:t>etter should include a designation of the individual</w:t>
      </w:r>
      <w:r w:rsidR="00605BEE">
        <w:rPr>
          <w:rFonts w:ascii="Arial" w:hAnsi="Arial" w:cs="Arial"/>
        </w:rPr>
        <w:t>(s)</w:t>
      </w:r>
      <w:r w:rsidR="00DD3408">
        <w:rPr>
          <w:rFonts w:ascii="Arial" w:hAnsi="Arial" w:cs="Arial"/>
        </w:rPr>
        <w:t xml:space="preserve"> (D</w:t>
      </w:r>
      <w:r w:rsidR="0096004C">
        <w:rPr>
          <w:rFonts w:ascii="Arial" w:hAnsi="Arial" w:cs="Arial"/>
        </w:rPr>
        <w:t>esigne</w:t>
      </w:r>
      <w:r w:rsidR="00BF365D">
        <w:rPr>
          <w:rFonts w:ascii="Arial" w:hAnsi="Arial" w:cs="Arial"/>
        </w:rPr>
        <w:t xml:space="preserve">e (s) </w:t>
      </w:r>
      <w:r w:rsidR="00183F0C" w:rsidRPr="00D97C76">
        <w:rPr>
          <w:rFonts w:ascii="Arial" w:hAnsi="Arial" w:cs="Arial"/>
        </w:rPr>
        <w:t>who should serve as the primary point of contact for HHS regarding the Exchange</w:t>
      </w:r>
      <w:r w:rsidR="00AA7E40" w:rsidRPr="00D97C76">
        <w:rPr>
          <w:rFonts w:ascii="Arial" w:hAnsi="Arial" w:cs="Arial"/>
        </w:rPr>
        <w:t xml:space="preserve">.  </w:t>
      </w:r>
      <w:r w:rsidR="008A3E39">
        <w:rPr>
          <w:rFonts w:ascii="Arial" w:hAnsi="Arial" w:cs="Arial"/>
        </w:rPr>
        <w:t>The</w:t>
      </w:r>
      <w:r w:rsidRPr="00D97C76">
        <w:rPr>
          <w:rFonts w:ascii="Arial" w:hAnsi="Arial" w:cs="Arial"/>
        </w:rPr>
        <w:t xml:space="preserve"> individual</w:t>
      </w:r>
      <w:r w:rsidR="00605BEE">
        <w:rPr>
          <w:rFonts w:ascii="Arial" w:hAnsi="Arial" w:cs="Arial"/>
        </w:rPr>
        <w:t>(s)</w:t>
      </w:r>
      <w:r w:rsidRPr="00D97C76">
        <w:rPr>
          <w:rFonts w:ascii="Arial" w:hAnsi="Arial" w:cs="Arial"/>
        </w:rPr>
        <w:t xml:space="preserve"> should be autho</w:t>
      </w:r>
      <w:r w:rsidR="005C6B42">
        <w:rPr>
          <w:rFonts w:ascii="Arial" w:hAnsi="Arial" w:cs="Arial"/>
        </w:rPr>
        <w:t>rized to bind the State</w:t>
      </w:r>
      <w:r w:rsidRPr="00D97C76">
        <w:rPr>
          <w:rFonts w:ascii="Arial" w:hAnsi="Arial" w:cs="Arial"/>
        </w:rPr>
        <w:t xml:space="preserve"> regarding the State’s Exchange, as well as to complete and sign the Exchange Application</w:t>
      </w:r>
      <w:r>
        <w:rPr>
          <w:rFonts w:ascii="Arial" w:hAnsi="Arial" w:cs="Arial"/>
        </w:rPr>
        <w:t xml:space="preserve">.  </w:t>
      </w:r>
      <w:r w:rsidR="00183F0C">
        <w:rPr>
          <w:rFonts w:ascii="Arial" w:hAnsi="Arial" w:cs="Arial"/>
        </w:rPr>
        <w:t xml:space="preserve">In the case of </w:t>
      </w:r>
      <w:r w:rsidR="00D87600">
        <w:rPr>
          <w:rFonts w:ascii="Arial" w:hAnsi="Arial" w:cs="Arial"/>
        </w:rPr>
        <w:t>State-based Exchanges</w:t>
      </w:r>
      <w:r w:rsidR="00183F0C">
        <w:rPr>
          <w:rFonts w:ascii="Arial" w:hAnsi="Arial" w:cs="Arial"/>
        </w:rPr>
        <w:t xml:space="preserve"> and State Partnership</w:t>
      </w:r>
      <w:r w:rsidR="00D87600">
        <w:rPr>
          <w:rFonts w:ascii="Arial" w:hAnsi="Arial" w:cs="Arial"/>
        </w:rPr>
        <w:t xml:space="preserve"> Exchanges</w:t>
      </w:r>
      <w:r w:rsidR="00183F0C">
        <w:rPr>
          <w:rFonts w:ascii="Arial" w:hAnsi="Arial" w:cs="Arial"/>
        </w:rPr>
        <w:t>, this should be the individual</w:t>
      </w:r>
      <w:r w:rsidR="00605BEE">
        <w:rPr>
          <w:rFonts w:ascii="Arial" w:hAnsi="Arial" w:cs="Arial"/>
        </w:rPr>
        <w:t>(s)</w:t>
      </w:r>
      <w:r w:rsidR="00183F0C">
        <w:rPr>
          <w:rFonts w:ascii="Arial" w:hAnsi="Arial" w:cs="Arial"/>
        </w:rPr>
        <w:t xml:space="preserve"> authorized to </w:t>
      </w:r>
      <w:r w:rsidR="0096004C">
        <w:rPr>
          <w:rFonts w:ascii="Arial" w:hAnsi="Arial" w:cs="Arial"/>
        </w:rPr>
        <w:t xml:space="preserve">electronically </w:t>
      </w:r>
      <w:r w:rsidR="00183F0C">
        <w:rPr>
          <w:rFonts w:ascii="Arial" w:hAnsi="Arial" w:cs="Arial"/>
        </w:rPr>
        <w:t xml:space="preserve">attest to the facts in the Exchange </w:t>
      </w:r>
      <w:r w:rsidR="00564B17">
        <w:rPr>
          <w:rFonts w:ascii="Arial" w:hAnsi="Arial" w:cs="Arial"/>
        </w:rPr>
        <w:t>Application</w:t>
      </w:r>
      <w:r w:rsidR="00183F0C">
        <w:rPr>
          <w:rFonts w:ascii="Arial" w:hAnsi="Arial" w:cs="Arial"/>
        </w:rPr>
        <w:t>.</w:t>
      </w:r>
    </w:p>
    <w:p w:rsidR="00D97C76" w:rsidRPr="00B44F99" w:rsidRDefault="00D97C76" w:rsidP="00D97C76">
      <w:pPr>
        <w:spacing w:after="0"/>
        <w:rPr>
          <w:rFonts w:ascii="Arial" w:hAnsi="Arial" w:cs="Arial"/>
        </w:rPr>
      </w:pPr>
    </w:p>
    <w:p w:rsidR="00121249" w:rsidRDefault="00B44F99" w:rsidP="00121249">
      <w:pPr>
        <w:rPr>
          <w:rFonts w:ascii="Arial" w:hAnsi="Arial" w:cs="Arial"/>
        </w:rPr>
      </w:pPr>
      <w:r w:rsidRPr="00B44F99">
        <w:rPr>
          <w:rFonts w:ascii="Arial" w:hAnsi="Arial" w:cs="Arial"/>
        </w:rPr>
        <w:t>States are encouraged to submit their Exchange Declaration Letter</w:t>
      </w:r>
      <w:r w:rsidR="00547AB5">
        <w:rPr>
          <w:rFonts w:ascii="Arial" w:hAnsi="Arial" w:cs="Arial"/>
        </w:rPr>
        <w:t>s</w:t>
      </w:r>
      <w:r w:rsidRPr="00B44F99">
        <w:rPr>
          <w:rFonts w:ascii="Arial" w:hAnsi="Arial" w:cs="Arial"/>
        </w:rPr>
        <w:t xml:space="preserve"> early, but </w:t>
      </w:r>
      <w:r w:rsidR="00A816E2">
        <w:rPr>
          <w:rFonts w:ascii="Arial" w:hAnsi="Arial" w:cs="Arial"/>
        </w:rPr>
        <w:t>a</w:t>
      </w:r>
      <w:r w:rsidRPr="00B44F99">
        <w:rPr>
          <w:rFonts w:ascii="Arial" w:hAnsi="Arial" w:cs="Arial"/>
        </w:rPr>
        <w:t xml:space="preserve"> Declaration </w:t>
      </w:r>
      <w:r w:rsidR="00DC7397">
        <w:rPr>
          <w:rFonts w:ascii="Arial" w:hAnsi="Arial" w:cs="Arial"/>
        </w:rPr>
        <w:t xml:space="preserve">Letter </w:t>
      </w:r>
      <w:r w:rsidRPr="00B44F99">
        <w:rPr>
          <w:rFonts w:ascii="Arial" w:hAnsi="Arial" w:cs="Arial"/>
        </w:rPr>
        <w:t xml:space="preserve">must </w:t>
      </w:r>
      <w:r w:rsidR="00D97C76" w:rsidRPr="00B44F99">
        <w:rPr>
          <w:rFonts w:ascii="Arial" w:hAnsi="Arial" w:cs="Arial"/>
        </w:rPr>
        <w:t>be</w:t>
      </w:r>
      <w:r w:rsidR="00D97C76">
        <w:rPr>
          <w:rFonts w:ascii="Arial" w:hAnsi="Arial" w:cs="Arial"/>
        </w:rPr>
        <w:t xml:space="preserve"> sent to the Centers for Medicare &amp; Medicaid Services (CMS) Center for Consumer Information and Insura</w:t>
      </w:r>
      <w:r w:rsidR="006E6058">
        <w:rPr>
          <w:rFonts w:ascii="Arial" w:hAnsi="Arial" w:cs="Arial"/>
        </w:rPr>
        <w:t>nce Oversight (CCIIO) at least 3</w:t>
      </w:r>
      <w:r w:rsidR="00D97C76">
        <w:rPr>
          <w:rFonts w:ascii="Arial" w:hAnsi="Arial" w:cs="Arial"/>
        </w:rPr>
        <w:t>0 busin</w:t>
      </w:r>
      <w:r>
        <w:rPr>
          <w:rFonts w:ascii="Arial" w:hAnsi="Arial" w:cs="Arial"/>
        </w:rPr>
        <w:t>ess days prior to the required A</w:t>
      </w:r>
      <w:r w:rsidR="00003E73">
        <w:rPr>
          <w:rFonts w:ascii="Arial" w:hAnsi="Arial" w:cs="Arial"/>
        </w:rPr>
        <w:t>pproval date of January 1 (</w:t>
      </w:r>
      <w:r w:rsidR="00D97C76">
        <w:rPr>
          <w:rFonts w:ascii="Arial" w:hAnsi="Arial" w:cs="Arial"/>
        </w:rPr>
        <w:t>November 16, 2012</w:t>
      </w:r>
      <w:r w:rsidR="005930F0">
        <w:rPr>
          <w:rFonts w:ascii="Arial" w:hAnsi="Arial" w:cs="Arial"/>
        </w:rPr>
        <w:t>,</w:t>
      </w:r>
      <w:r w:rsidR="00D7387F">
        <w:rPr>
          <w:rFonts w:ascii="Arial" w:hAnsi="Arial" w:cs="Arial"/>
        </w:rPr>
        <w:t xml:space="preserve"> for plan year 2014</w:t>
      </w:r>
      <w:r w:rsidR="00D97C76">
        <w:rPr>
          <w:rFonts w:ascii="Arial" w:hAnsi="Arial" w:cs="Arial"/>
        </w:rPr>
        <w:t>)</w:t>
      </w:r>
      <w:r w:rsidR="00205B9B">
        <w:rPr>
          <w:rFonts w:ascii="Arial" w:hAnsi="Arial" w:cs="Arial"/>
        </w:rPr>
        <w:t>. Declaration Letters may be sent to the</w:t>
      </w:r>
      <w:r w:rsidR="00E965A0">
        <w:rPr>
          <w:rFonts w:ascii="Arial" w:hAnsi="Arial" w:cs="Arial"/>
        </w:rPr>
        <w:t xml:space="preserve"> </w:t>
      </w:r>
      <w:r w:rsidR="00DA55E2">
        <w:rPr>
          <w:rFonts w:ascii="Arial" w:hAnsi="Arial" w:cs="Arial"/>
        </w:rPr>
        <w:t>CMS</w:t>
      </w:r>
      <w:r w:rsidR="003A065A">
        <w:rPr>
          <w:rFonts w:ascii="Arial" w:hAnsi="Arial" w:cs="Arial"/>
        </w:rPr>
        <w:t xml:space="preserve"> </w:t>
      </w:r>
      <w:r w:rsidR="00F574BA" w:rsidRPr="002C1D95">
        <w:rPr>
          <w:rFonts w:ascii="Arial" w:eastAsia="Times New Roman" w:hAnsi="Arial" w:cs="Arial"/>
        </w:rPr>
        <w:t>Center for Consumer Information and Insurance Oversight</w:t>
      </w:r>
      <w:r w:rsidR="00F574BA">
        <w:rPr>
          <w:rFonts w:ascii="Arial" w:eastAsia="Times New Roman" w:hAnsi="Arial" w:cs="Arial"/>
        </w:rPr>
        <w:t xml:space="preserve"> (CCIIO)</w:t>
      </w:r>
      <w:r w:rsidR="00F574BA" w:rsidRPr="002C1D95">
        <w:rPr>
          <w:rFonts w:ascii="Arial" w:eastAsia="Times New Roman" w:hAnsi="Arial" w:cs="Arial"/>
        </w:rPr>
        <w:t xml:space="preserve">, 200 Independence Avenue SW, Suite 739H, Washington DC, </w:t>
      </w:r>
      <w:r w:rsidR="00F574BA" w:rsidRPr="002C1D95">
        <w:rPr>
          <w:rFonts w:ascii="Arial" w:hAnsi="Arial" w:cs="Arial"/>
        </w:rPr>
        <w:t>20201</w:t>
      </w:r>
      <w:r w:rsidR="00F574BA">
        <w:rPr>
          <w:rFonts w:ascii="Arial" w:hAnsi="Arial" w:cs="Arial"/>
        </w:rPr>
        <w:t xml:space="preserve">. </w:t>
      </w:r>
      <w:r w:rsidR="00183F0C">
        <w:rPr>
          <w:rFonts w:ascii="Arial" w:hAnsi="Arial" w:cs="Arial"/>
        </w:rPr>
        <w:t xml:space="preserve"> </w:t>
      </w:r>
      <w:r w:rsidR="003A065A">
        <w:rPr>
          <w:rFonts w:ascii="Arial" w:hAnsi="Arial" w:cs="Arial"/>
        </w:rPr>
        <w:t xml:space="preserve">In addition, please email a copy to the </w:t>
      </w:r>
      <w:hyperlink r:id="rId14" w:history="1">
        <w:r w:rsidR="003A065A" w:rsidRPr="00131090">
          <w:rPr>
            <w:rStyle w:val="Hyperlink"/>
            <w:rFonts w:ascii="Arial" w:hAnsi="Arial" w:cs="Arial"/>
          </w:rPr>
          <w:t>State.Exchange.Group@cms.hhs.gov</w:t>
        </w:r>
      </w:hyperlink>
      <w:r w:rsidR="00107808">
        <w:rPr>
          <w:rFonts w:ascii="Arial" w:hAnsi="Arial" w:cs="Arial"/>
        </w:rPr>
        <w:t>.</w:t>
      </w:r>
      <w:r w:rsidR="00121249" w:rsidRPr="00121249">
        <w:rPr>
          <w:rFonts w:ascii="Arial" w:hAnsi="Arial" w:cs="Arial"/>
        </w:rPr>
        <w:t xml:space="preserve"> </w:t>
      </w:r>
      <w:r w:rsidR="00125821">
        <w:rPr>
          <w:rFonts w:ascii="Arial" w:hAnsi="Arial" w:cs="Arial"/>
        </w:rPr>
        <w:t xml:space="preserve">To support HHS’ goal of public </w:t>
      </w:r>
      <w:r w:rsidR="008141CB" w:rsidRPr="008D24BE">
        <w:rPr>
          <w:rFonts w:ascii="Arial" w:hAnsi="Arial" w:cs="Arial"/>
        </w:rPr>
        <w:t>transparency, States</w:t>
      </w:r>
      <w:r w:rsidR="00125821" w:rsidRPr="008B4C7D">
        <w:rPr>
          <w:rFonts w:ascii="Arial" w:hAnsi="Arial" w:cs="Arial"/>
        </w:rPr>
        <w:t xml:space="preserve"> must</w:t>
      </w:r>
      <w:r w:rsidR="00125821">
        <w:rPr>
          <w:rFonts w:ascii="Arial" w:hAnsi="Arial" w:cs="Arial"/>
        </w:rPr>
        <w:t xml:space="preserve"> post their Model Declaration Letter to </w:t>
      </w:r>
      <w:r w:rsidR="00FC1AEC" w:rsidRPr="00F855FE">
        <w:rPr>
          <w:rFonts w:ascii="Arial" w:hAnsi="Arial" w:cs="Arial"/>
        </w:rPr>
        <w:t xml:space="preserve">the State (or other appropriate) website </w:t>
      </w:r>
      <w:r w:rsidR="00125821">
        <w:rPr>
          <w:rFonts w:ascii="Arial" w:hAnsi="Arial" w:cs="Arial"/>
        </w:rPr>
        <w:t xml:space="preserve"> </w:t>
      </w:r>
    </w:p>
    <w:p w:rsidR="00BF0E18" w:rsidRDefault="00183F0C" w:rsidP="00A14363">
      <w:pPr>
        <w:pStyle w:val="Heading2"/>
      </w:pPr>
      <w:r>
        <w:t xml:space="preserve">Contents of Exchange </w:t>
      </w:r>
      <w:r w:rsidR="00DC7397">
        <w:t>Declaration Letters</w:t>
      </w:r>
    </w:p>
    <w:p w:rsidR="00BF0E18" w:rsidRPr="00BF606C" w:rsidRDefault="00121249" w:rsidP="00BF0E18">
      <w:pPr>
        <w:rPr>
          <w:rFonts w:ascii="Arial" w:hAnsi="Arial" w:cs="Arial"/>
        </w:rPr>
      </w:pPr>
      <w:r>
        <w:rPr>
          <w:rFonts w:ascii="Arial" w:hAnsi="Arial" w:cs="Arial"/>
        </w:rPr>
        <w:t xml:space="preserve">A State’s </w:t>
      </w:r>
      <w:r w:rsidR="00DC7397">
        <w:rPr>
          <w:rFonts w:ascii="Arial" w:hAnsi="Arial" w:cs="Arial"/>
        </w:rPr>
        <w:t xml:space="preserve">Declaration </w:t>
      </w:r>
      <w:r w:rsidR="005D47E1">
        <w:rPr>
          <w:rFonts w:ascii="Arial" w:hAnsi="Arial" w:cs="Arial"/>
        </w:rPr>
        <w:t>L</w:t>
      </w:r>
      <w:r w:rsidR="00A273F9">
        <w:rPr>
          <w:rFonts w:ascii="Arial" w:hAnsi="Arial" w:cs="Arial"/>
        </w:rPr>
        <w:t>etter</w:t>
      </w:r>
      <w:r w:rsidR="00834837">
        <w:rPr>
          <w:rFonts w:ascii="Arial" w:hAnsi="Arial" w:cs="Arial"/>
        </w:rPr>
        <w:t xml:space="preserve"> must</w:t>
      </w:r>
      <w:r w:rsidR="002D26C7">
        <w:rPr>
          <w:rFonts w:ascii="Arial" w:hAnsi="Arial" w:cs="Arial"/>
        </w:rPr>
        <w:t xml:space="preserve"> </w:t>
      </w:r>
      <w:r w:rsidR="00183F0C">
        <w:rPr>
          <w:rFonts w:ascii="Arial" w:hAnsi="Arial" w:cs="Arial"/>
        </w:rPr>
        <w:t>include the following</w:t>
      </w:r>
      <w:r w:rsidR="00855556">
        <w:rPr>
          <w:rFonts w:ascii="Arial" w:hAnsi="Arial" w:cs="Arial"/>
        </w:rPr>
        <w:t xml:space="preserve"> contents</w:t>
      </w:r>
      <w:r w:rsidR="00183F0C">
        <w:rPr>
          <w:rFonts w:ascii="Arial" w:hAnsi="Arial" w:cs="Arial"/>
        </w:rPr>
        <w:t xml:space="preserve"> based on the Exchange Model that the State chooses to pursue.</w:t>
      </w:r>
    </w:p>
    <w:p w:rsidR="00BF0E18" w:rsidRPr="00761ABE" w:rsidRDefault="008449C8" w:rsidP="00A14363">
      <w:pPr>
        <w:pStyle w:val="Heading3"/>
      </w:pPr>
      <w:r>
        <w:t>State-based Exchange</w:t>
      </w:r>
    </w:p>
    <w:p w:rsidR="00855556" w:rsidRPr="00A348DB" w:rsidRDefault="00183F0C" w:rsidP="00186316">
      <w:pPr>
        <w:pStyle w:val="ListParagraph"/>
        <w:numPr>
          <w:ilvl w:val="0"/>
          <w:numId w:val="13"/>
        </w:numPr>
        <w:spacing w:after="0"/>
        <w:rPr>
          <w:rFonts w:ascii="Arial" w:hAnsi="Arial" w:cs="Arial"/>
        </w:rPr>
      </w:pPr>
      <w:r w:rsidRPr="00A348DB">
        <w:rPr>
          <w:rFonts w:ascii="Arial" w:hAnsi="Arial" w:cs="Arial"/>
        </w:rPr>
        <w:t>Confirmation of</w:t>
      </w:r>
      <w:r w:rsidR="00BF0E18" w:rsidRPr="00A348DB">
        <w:rPr>
          <w:rFonts w:ascii="Arial" w:hAnsi="Arial" w:cs="Arial"/>
        </w:rPr>
        <w:t xml:space="preserve"> </w:t>
      </w:r>
      <w:r w:rsidR="00CE2092" w:rsidRPr="00A348DB">
        <w:rPr>
          <w:rFonts w:ascii="Arial" w:hAnsi="Arial" w:cs="Arial"/>
        </w:rPr>
        <w:t xml:space="preserve">the </w:t>
      </w:r>
      <w:r w:rsidR="00FE416D" w:rsidRPr="00A348DB">
        <w:rPr>
          <w:rFonts w:ascii="Arial" w:hAnsi="Arial" w:cs="Arial"/>
        </w:rPr>
        <w:t xml:space="preserve">State’s intention to </w:t>
      </w:r>
      <w:r w:rsidR="00CE0BD2" w:rsidRPr="00A348DB">
        <w:rPr>
          <w:rFonts w:ascii="Arial" w:hAnsi="Arial" w:cs="Arial"/>
        </w:rPr>
        <w:t xml:space="preserve">apply to </w:t>
      </w:r>
      <w:r w:rsidR="00FE416D" w:rsidRPr="00A348DB">
        <w:rPr>
          <w:rFonts w:ascii="Arial" w:hAnsi="Arial" w:cs="Arial"/>
        </w:rPr>
        <w:t>operate a</w:t>
      </w:r>
      <w:r w:rsidR="00BF0E18" w:rsidRPr="00A348DB">
        <w:rPr>
          <w:rFonts w:ascii="Arial" w:hAnsi="Arial" w:cs="Arial"/>
        </w:rPr>
        <w:t xml:space="preserve"> </w:t>
      </w:r>
      <w:r w:rsidR="006E53A0" w:rsidRPr="00A348DB">
        <w:rPr>
          <w:rFonts w:ascii="Arial" w:hAnsi="Arial" w:cs="Arial"/>
        </w:rPr>
        <w:t>State-based Exchange</w:t>
      </w:r>
    </w:p>
    <w:p w:rsidR="00A348DB" w:rsidRPr="00A348DB" w:rsidRDefault="00D7387F" w:rsidP="00186316">
      <w:pPr>
        <w:pStyle w:val="ListParagraph"/>
        <w:numPr>
          <w:ilvl w:val="0"/>
          <w:numId w:val="13"/>
        </w:numPr>
        <w:rPr>
          <w:rFonts w:ascii="Arial" w:hAnsi="Arial" w:cs="Arial"/>
        </w:rPr>
      </w:pPr>
      <w:r>
        <w:rPr>
          <w:rFonts w:ascii="Arial" w:hAnsi="Arial" w:cs="Arial"/>
        </w:rPr>
        <w:lastRenderedPageBreak/>
        <w:t>Indication of whether</w:t>
      </w:r>
      <w:r w:rsidR="00A348DB" w:rsidRPr="00A348DB">
        <w:rPr>
          <w:rFonts w:ascii="Arial" w:hAnsi="Arial" w:cs="Arial"/>
        </w:rPr>
        <w:t xml:space="preserve"> the State intends to </w:t>
      </w:r>
      <w:r w:rsidR="006C2019">
        <w:rPr>
          <w:rFonts w:ascii="Arial" w:hAnsi="Arial" w:cs="Arial"/>
        </w:rPr>
        <w:t>administer</w:t>
      </w:r>
      <w:r w:rsidR="00A348DB" w:rsidRPr="00A348DB">
        <w:rPr>
          <w:rFonts w:ascii="Arial" w:hAnsi="Arial" w:cs="Arial"/>
        </w:rPr>
        <w:t xml:space="preserve"> </w:t>
      </w:r>
      <w:r w:rsidR="00312E61">
        <w:rPr>
          <w:rFonts w:ascii="Arial" w:hAnsi="Arial" w:cs="Arial"/>
        </w:rPr>
        <w:t xml:space="preserve">a </w:t>
      </w:r>
      <w:r w:rsidR="00A348DB" w:rsidRPr="00A348DB">
        <w:rPr>
          <w:rFonts w:ascii="Arial" w:hAnsi="Arial" w:cs="Arial"/>
        </w:rPr>
        <w:t xml:space="preserve">risk adjustment </w:t>
      </w:r>
      <w:r w:rsidR="006C2019">
        <w:rPr>
          <w:rFonts w:ascii="Arial" w:hAnsi="Arial" w:cs="Arial"/>
        </w:rPr>
        <w:t>program</w:t>
      </w:r>
      <w:r w:rsidR="00A348DB" w:rsidRPr="00A348DB">
        <w:rPr>
          <w:rFonts w:ascii="Arial" w:hAnsi="Arial" w:cs="Arial"/>
        </w:rPr>
        <w:t xml:space="preserve"> in the first year of operations or if it will be </w:t>
      </w:r>
      <w:r w:rsidR="00715493">
        <w:rPr>
          <w:rFonts w:ascii="Arial" w:hAnsi="Arial" w:cs="Arial"/>
        </w:rPr>
        <w:t>using Federal government services</w:t>
      </w:r>
      <w:r w:rsidR="00AA7E40" w:rsidRPr="00A348DB">
        <w:rPr>
          <w:rFonts w:ascii="Arial" w:hAnsi="Arial" w:cs="Arial"/>
        </w:rPr>
        <w:t xml:space="preserve">.  </w:t>
      </w:r>
      <w:r w:rsidR="00A348DB" w:rsidRPr="00A348DB">
        <w:rPr>
          <w:rFonts w:ascii="Arial" w:hAnsi="Arial" w:cs="Arial"/>
        </w:rPr>
        <w:t>If yes,</w:t>
      </w:r>
    </w:p>
    <w:p w:rsidR="00A348DB" w:rsidRPr="00A348DB" w:rsidRDefault="00A348DB" w:rsidP="00186316">
      <w:pPr>
        <w:pStyle w:val="ListParagraph"/>
        <w:numPr>
          <w:ilvl w:val="1"/>
          <w:numId w:val="13"/>
        </w:numPr>
        <w:rPr>
          <w:rFonts w:ascii="Arial" w:hAnsi="Arial" w:cs="Arial"/>
        </w:rPr>
      </w:pPr>
      <w:r w:rsidRPr="00A348DB">
        <w:rPr>
          <w:rFonts w:ascii="Arial" w:hAnsi="Arial" w:cs="Arial"/>
        </w:rPr>
        <w:t>What is the State’s risk adjustment entity?</w:t>
      </w:r>
    </w:p>
    <w:p w:rsidR="00A348DB" w:rsidRPr="00A348DB" w:rsidRDefault="00A348DB" w:rsidP="00186316">
      <w:pPr>
        <w:pStyle w:val="ListParagraph"/>
        <w:numPr>
          <w:ilvl w:val="1"/>
          <w:numId w:val="13"/>
        </w:numPr>
        <w:rPr>
          <w:rFonts w:ascii="Arial" w:hAnsi="Arial" w:cs="Arial"/>
        </w:rPr>
      </w:pPr>
      <w:r w:rsidRPr="00A348DB">
        <w:rPr>
          <w:rFonts w:ascii="Arial" w:hAnsi="Arial" w:cs="Arial"/>
        </w:rPr>
        <w:t>Is the State planning to use the Federal risk adjustment methodology?</w:t>
      </w:r>
    </w:p>
    <w:p w:rsidR="00A348DB" w:rsidRPr="00A348DB" w:rsidRDefault="00A348DB" w:rsidP="00186316">
      <w:pPr>
        <w:pStyle w:val="ListParagraph"/>
        <w:numPr>
          <w:ilvl w:val="1"/>
          <w:numId w:val="13"/>
        </w:numPr>
        <w:rPr>
          <w:rFonts w:ascii="Arial" w:hAnsi="Arial" w:cs="Arial"/>
        </w:rPr>
      </w:pPr>
      <w:r w:rsidRPr="00A348DB">
        <w:rPr>
          <w:rFonts w:ascii="Arial" w:hAnsi="Arial" w:cs="Arial"/>
        </w:rPr>
        <w:t>What is the proposed data model (i.e., intermediate or distributed)?</w:t>
      </w:r>
    </w:p>
    <w:p w:rsidR="00696982" w:rsidRDefault="00A348DB" w:rsidP="008D24BE">
      <w:pPr>
        <w:pStyle w:val="ListParagraph"/>
        <w:numPr>
          <w:ilvl w:val="0"/>
          <w:numId w:val="13"/>
        </w:numPr>
        <w:rPr>
          <w:rFonts w:ascii="Arial" w:hAnsi="Arial" w:cs="Arial"/>
        </w:rPr>
      </w:pPr>
      <w:r w:rsidRPr="00A348DB">
        <w:rPr>
          <w:rFonts w:ascii="Arial" w:hAnsi="Arial" w:cs="Arial"/>
        </w:rPr>
        <w:t>Indicat</w:t>
      </w:r>
      <w:r w:rsidR="00D7387F">
        <w:rPr>
          <w:rFonts w:ascii="Arial" w:hAnsi="Arial" w:cs="Arial"/>
        </w:rPr>
        <w:t>ion of whether</w:t>
      </w:r>
      <w:r w:rsidRPr="00A348DB">
        <w:rPr>
          <w:rFonts w:ascii="Arial" w:hAnsi="Arial" w:cs="Arial"/>
        </w:rPr>
        <w:t xml:space="preserve"> the State intends to </w:t>
      </w:r>
      <w:r w:rsidR="006C2019">
        <w:rPr>
          <w:rFonts w:ascii="Arial" w:hAnsi="Arial" w:cs="Arial"/>
        </w:rPr>
        <w:t>administer</w:t>
      </w:r>
      <w:r w:rsidRPr="00A348DB">
        <w:rPr>
          <w:rFonts w:ascii="Arial" w:hAnsi="Arial" w:cs="Arial"/>
        </w:rPr>
        <w:t xml:space="preserve"> its own reinsurance program by establishing or contracting with a nonprofit reinsurance entity</w:t>
      </w:r>
      <w:r w:rsidR="00CE6F9C">
        <w:rPr>
          <w:rFonts w:ascii="Arial" w:hAnsi="Arial" w:cs="Arial"/>
        </w:rPr>
        <w:t xml:space="preserve">. </w:t>
      </w:r>
      <w:r w:rsidR="00AB0215">
        <w:rPr>
          <w:rFonts w:ascii="Arial" w:hAnsi="Arial" w:cs="Arial"/>
        </w:rPr>
        <w:t>If yes, provide the name of the selected entity.</w:t>
      </w:r>
    </w:p>
    <w:p w:rsidR="00A348DB" w:rsidRPr="00A348DB" w:rsidRDefault="00D7387F" w:rsidP="00186316">
      <w:pPr>
        <w:pStyle w:val="ListParagraph"/>
        <w:numPr>
          <w:ilvl w:val="0"/>
          <w:numId w:val="13"/>
        </w:numPr>
        <w:rPr>
          <w:rFonts w:ascii="Arial" w:hAnsi="Arial" w:cs="Arial"/>
        </w:rPr>
      </w:pPr>
      <w:r>
        <w:rPr>
          <w:rFonts w:ascii="Arial" w:hAnsi="Arial" w:cs="Arial"/>
        </w:rPr>
        <w:t xml:space="preserve">Indication of whether </w:t>
      </w:r>
      <w:r w:rsidR="00A348DB" w:rsidRPr="00A348DB">
        <w:rPr>
          <w:rFonts w:ascii="Arial" w:hAnsi="Arial" w:cs="Arial"/>
        </w:rPr>
        <w:t>the State</w:t>
      </w:r>
      <w:r w:rsidR="004676EC">
        <w:rPr>
          <w:rFonts w:ascii="Arial" w:hAnsi="Arial" w:cs="Arial"/>
        </w:rPr>
        <w:t>-based Exchange</w:t>
      </w:r>
      <w:r w:rsidR="00A348DB" w:rsidRPr="00A348DB">
        <w:rPr>
          <w:rFonts w:ascii="Arial" w:hAnsi="Arial" w:cs="Arial"/>
        </w:rPr>
        <w:t xml:space="preserve"> will perform its Advance Premium Tax Credit (APTC)/Cost-Sharing Reduction (CSR) eligibility </w:t>
      </w:r>
      <w:r w:rsidR="00A348DB" w:rsidRPr="00F80C61">
        <w:rPr>
          <w:rFonts w:ascii="Arial" w:hAnsi="Arial" w:cs="Arial"/>
        </w:rPr>
        <w:t>determinations or</w:t>
      </w:r>
      <w:r w:rsidR="00B16C17" w:rsidRPr="00F80C61">
        <w:rPr>
          <w:rFonts w:ascii="Arial" w:hAnsi="Arial" w:cs="Arial"/>
        </w:rPr>
        <w:t xml:space="preserve"> if it</w:t>
      </w:r>
      <w:r w:rsidR="00A348DB" w:rsidRPr="00F80C61">
        <w:rPr>
          <w:rFonts w:ascii="Arial" w:hAnsi="Arial" w:cs="Arial"/>
        </w:rPr>
        <w:t xml:space="preserve"> </w:t>
      </w:r>
      <w:r w:rsidR="00715493" w:rsidRPr="00F80C61">
        <w:rPr>
          <w:rFonts w:ascii="Arial" w:hAnsi="Arial" w:cs="Arial"/>
        </w:rPr>
        <w:t>will</w:t>
      </w:r>
      <w:r w:rsidR="00715493">
        <w:rPr>
          <w:rFonts w:ascii="Arial" w:hAnsi="Arial" w:cs="Arial"/>
        </w:rPr>
        <w:t xml:space="preserve"> use Federal government services for this activity</w:t>
      </w:r>
      <w:r w:rsidR="007E08AC">
        <w:rPr>
          <w:rFonts w:ascii="Arial" w:hAnsi="Arial" w:cs="Arial"/>
        </w:rPr>
        <w:t>.</w:t>
      </w:r>
    </w:p>
    <w:p w:rsidR="007F09D8" w:rsidRDefault="00CE2092" w:rsidP="0071654E">
      <w:pPr>
        <w:pStyle w:val="ListParagraph"/>
        <w:numPr>
          <w:ilvl w:val="0"/>
          <w:numId w:val="13"/>
        </w:numPr>
        <w:spacing w:after="0"/>
        <w:rPr>
          <w:rFonts w:ascii="Arial" w:hAnsi="Arial" w:cs="Arial"/>
        </w:rPr>
      </w:pPr>
      <w:r w:rsidRPr="00A348DB">
        <w:rPr>
          <w:rFonts w:ascii="Arial" w:hAnsi="Arial" w:cs="Arial"/>
        </w:rPr>
        <w:t>Designation of the individual</w:t>
      </w:r>
      <w:r w:rsidR="00247694" w:rsidRPr="00A348DB">
        <w:rPr>
          <w:rFonts w:ascii="Arial" w:hAnsi="Arial" w:cs="Arial"/>
        </w:rPr>
        <w:t>(s) (D</w:t>
      </w:r>
      <w:r w:rsidR="00605BEE" w:rsidRPr="00A348DB">
        <w:rPr>
          <w:rFonts w:ascii="Arial" w:hAnsi="Arial" w:cs="Arial"/>
        </w:rPr>
        <w:t>esignee)</w:t>
      </w:r>
      <w:r w:rsidRPr="00A348DB">
        <w:rPr>
          <w:rFonts w:ascii="Arial" w:hAnsi="Arial" w:cs="Arial"/>
        </w:rPr>
        <w:t xml:space="preserve"> authorized to </w:t>
      </w:r>
      <w:r w:rsidR="00855556" w:rsidRPr="00A348DB">
        <w:rPr>
          <w:rFonts w:ascii="Arial" w:hAnsi="Arial" w:cs="Arial"/>
        </w:rPr>
        <w:t>act as primary point of contact</w:t>
      </w:r>
      <w:r w:rsidR="00857DAB" w:rsidRPr="00A348DB">
        <w:rPr>
          <w:rFonts w:ascii="Arial" w:hAnsi="Arial" w:cs="Arial"/>
        </w:rPr>
        <w:t xml:space="preserve"> </w:t>
      </w:r>
      <w:r w:rsidR="003147DD" w:rsidRPr="00A348DB">
        <w:rPr>
          <w:rFonts w:ascii="Arial" w:hAnsi="Arial" w:cs="Arial"/>
        </w:rPr>
        <w:t>and authorized</w:t>
      </w:r>
      <w:r w:rsidR="00857DAB" w:rsidRPr="00A348DB">
        <w:rPr>
          <w:rFonts w:ascii="Arial" w:hAnsi="Arial" w:cs="Arial"/>
        </w:rPr>
        <w:t xml:space="preserve"> to bind the State</w:t>
      </w:r>
      <w:r w:rsidR="003147DD" w:rsidRPr="00A348DB">
        <w:rPr>
          <w:rFonts w:ascii="Arial" w:hAnsi="Arial" w:cs="Arial"/>
        </w:rPr>
        <w:t xml:space="preserve"> </w:t>
      </w:r>
      <w:r w:rsidR="00855556" w:rsidRPr="00A348DB">
        <w:rPr>
          <w:rFonts w:ascii="Arial" w:hAnsi="Arial" w:cs="Arial"/>
        </w:rPr>
        <w:t xml:space="preserve">with HHS regarding the State’s Exchange, as well as to </w:t>
      </w:r>
      <w:r w:rsidRPr="00A348DB">
        <w:rPr>
          <w:rFonts w:ascii="Arial" w:hAnsi="Arial" w:cs="Arial"/>
        </w:rPr>
        <w:t xml:space="preserve">complete and sign the Exchange </w:t>
      </w:r>
      <w:r w:rsidR="00FE0578" w:rsidRPr="00A348DB">
        <w:rPr>
          <w:rFonts w:ascii="Arial" w:hAnsi="Arial" w:cs="Arial"/>
        </w:rPr>
        <w:t>Application</w:t>
      </w:r>
      <w:r w:rsidR="00003455">
        <w:rPr>
          <w:rFonts w:ascii="Arial" w:hAnsi="Arial" w:cs="Arial"/>
        </w:rPr>
        <w:t>.</w:t>
      </w:r>
    </w:p>
    <w:p w:rsidR="00934870" w:rsidRPr="00934870" w:rsidRDefault="00934870" w:rsidP="00934870">
      <w:pPr>
        <w:pStyle w:val="ListParagraph"/>
        <w:spacing w:after="0"/>
        <w:rPr>
          <w:rFonts w:ascii="Arial" w:hAnsi="Arial" w:cs="Arial"/>
        </w:rPr>
      </w:pPr>
    </w:p>
    <w:p w:rsidR="00BF0E18" w:rsidRPr="00761ABE" w:rsidRDefault="00D87600" w:rsidP="00A14363">
      <w:pPr>
        <w:pStyle w:val="Heading3"/>
      </w:pPr>
      <w:r>
        <w:t>State Partnership Exchange</w:t>
      </w:r>
    </w:p>
    <w:p w:rsidR="00965243" w:rsidRPr="00AA7E40" w:rsidRDefault="002D26C7" w:rsidP="00186316">
      <w:pPr>
        <w:pStyle w:val="ListParagraph"/>
        <w:numPr>
          <w:ilvl w:val="0"/>
          <w:numId w:val="14"/>
        </w:numPr>
        <w:spacing w:after="0"/>
        <w:rPr>
          <w:rFonts w:ascii="Arial" w:hAnsi="Arial" w:cs="Arial"/>
        </w:rPr>
      </w:pPr>
      <w:r>
        <w:rPr>
          <w:rFonts w:ascii="Arial" w:hAnsi="Arial" w:cs="Arial"/>
        </w:rPr>
        <w:t>Confirmation of</w:t>
      </w:r>
      <w:r w:rsidR="00BF0E18" w:rsidRPr="00FE416D">
        <w:rPr>
          <w:rFonts w:ascii="Arial" w:hAnsi="Arial" w:cs="Arial"/>
        </w:rPr>
        <w:t xml:space="preserve"> </w:t>
      </w:r>
      <w:r w:rsidR="007819CB" w:rsidRPr="00FE416D">
        <w:rPr>
          <w:rFonts w:ascii="Arial" w:hAnsi="Arial" w:cs="Arial"/>
        </w:rPr>
        <w:t xml:space="preserve">the </w:t>
      </w:r>
      <w:r w:rsidR="00BF0E18" w:rsidRPr="00FE416D">
        <w:rPr>
          <w:rFonts w:ascii="Arial" w:hAnsi="Arial" w:cs="Arial"/>
        </w:rPr>
        <w:t xml:space="preserve">State’s intention to </w:t>
      </w:r>
      <w:r w:rsidR="00926137">
        <w:rPr>
          <w:rFonts w:ascii="Arial" w:hAnsi="Arial" w:cs="Arial"/>
        </w:rPr>
        <w:t>participate</w:t>
      </w:r>
      <w:r w:rsidR="00BF0E18" w:rsidRPr="00FE416D">
        <w:rPr>
          <w:rFonts w:ascii="Arial" w:hAnsi="Arial" w:cs="Arial"/>
        </w:rPr>
        <w:t xml:space="preserve"> in </w:t>
      </w:r>
      <w:r w:rsidR="008449C8">
        <w:rPr>
          <w:rFonts w:ascii="Arial" w:hAnsi="Arial" w:cs="Arial"/>
        </w:rPr>
        <w:t>a</w:t>
      </w:r>
      <w:r w:rsidR="00BF0E18" w:rsidRPr="00FE416D">
        <w:rPr>
          <w:rFonts w:ascii="Arial" w:hAnsi="Arial" w:cs="Arial"/>
        </w:rPr>
        <w:t xml:space="preserve"> </w:t>
      </w:r>
      <w:r w:rsidR="00D87600">
        <w:rPr>
          <w:rFonts w:ascii="Arial" w:hAnsi="Arial" w:cs="Arial"/>
        </w:rPr>
        <w:t>State Partnership Exchange</w:t>
      </w:r>
      <w:r w:rsidR="00BF0E18" w:rsidRPr="00FE416D">
        <w:rPr>
          <w:rFonts w:ascii="Arial" w:hAnsi="Arial" w:cs="Arial"/>
        </w:rPr>
        <w:t xml:space="preserve">, including </w:t>
      </w:r>
      <w:r w:rsidR="00D97C76" w:rsidRPr="00AA7E40">
        <w:rPr>
          <w:rFonts w:ascii="Arial" w:hAnsi="Arial" w:cs="Arial"/>
        </w:rPr>
        <w:t>which Partnership</w:t>
      </w:r>
      <w:r w:rsidR="00965243" w:rsidRPr="00AA7E40">
        <w:rPr>
          <w:rFonts w:ascii="Arial" w:hAnsi="Arial" w:cs="Arial"/>
        </w:rPr>
        <w:t xml:space="preserve"> the State intends to </w:t>
      </w:r>
      <w:r w:rsidR="00D97C76" w:rsidRPr="00AA7E40">
        <w:rPr>
          <w:rFonts w:ascii="Arial" w:hAnsi="Arial" w:cs="Arial"/>
        </w:rPr>
        <w:t>pursue</w:t>
      </w:r>
      <w:r w:rsidR="00965243" w:rsidRPr="00AA7E40">
        <w:rPr>
          <w:rFonts w:ascii="Arial" w:hAnsi="Arial" w:cs="Arial"/>
        </w:rPr>
        <w:t>:</w:t>
      </w:r>
    </w:p>
    <w:p w:rsidR="00965243" w:rsidRPr="00AA7E40" w:rsidRDefault="00965243" w:rsidP="00186316">
      <w:pPr>
        <w:pStyle w:val="ListParagraph"/>
        <w:numPr>
          <w:ilvl w:val="1"/>
          <w:numId w:val="14"/>
        </w:numPr>
        <w:spacing w:after="0"/>
        <w:rPr>
          <w:rFonts w:ascii="Arial" w:hAnsi="Arial" w:cs="Arial"/>
        </w:rPr>
      </w:pPr>
      <w:r w:rsidRPr="00AA7E40">
        <w:rPr>
          <w:rFonts w:ascii="Arial" w:hAnsi="Arial" w:cs="Arial"/>
        </w:rPr>
        <w:t>Plan Management</w:t>
      </w:r>
    </w:p>
    <w:p w:rsidR="00BF0E18" w:rsidRPr="00AA7E40" w:rsidRDefault="00A07F69" w:rsidP="00186316">
      <w:pPr>
        <w:pStyle w:val="ListParagraph"/>
        <w:numPr>
          <w:ilvl w:val="1"/>
          <w:numId w:val="14"/>
        </w:numPr>
        <w:spacing w:after="0"/>
        <w:rPr>
          <w:rFonts w:ascii="Arial" w:hAnsi="Arial" w:cs="Arial"/>
        </w:rPr>
      </w:pPr>
      <w:r w:rsidRPr="00AA7E40">
        <w:rPr>
          <w:rFonts w:ascii="Arial" w:hAnsi="Arial" w:cs="Arial"/>
        </w:rPr>
        <w:t xml:space="preserve">Consumer </w:t>
      </w:r>
      <w:r w:rsidR="00965243" w:rsidRPr="00AA7E40">
        <w:rPr>
          <w:rFonts w:ascii="Arial" w:hAnsi="Arial" w:cs="Arial"/>
        </w:rPr>
        <w:t>Assistance</w:t>
      </w:r>
    </w:p>
    <w:p w:rsidR="00D97C76" w:rsidRPr="00AA7E40" w:rsidRDefault="00D97C76" w:rsidP="00186316">
      <w:pPr>
        <w:pStyle w:val="ListParagraph"/>
        <w:numPr>
          <w:ilvl w:val="1"/>
          <w:numId w:val="14"/>
        </w:numPr>
        <w:spacing w:after="0"/>
        <w:rPr>
          <w:rFonts w:ascii="Arial" w:hAnsi="Arial" w:cs="Arial"/>
        </w:rPr>
      </w:pPr>
      <w:r w:rsidRPr="00AA7E40">
        <w:rPr>
          <w:rFonts w:ascii="Arial" w:hAnsi="Arial" w:cs="Arial"/>
        </w:rPr>
        <w:t>Plan Management and Consumer Assistance</w:t>
      </w:r>
    </w:p>
    <w:p w:rsidR="00AB0215" w:rsidRPr="00A348DB" w:rsidRDefault="00AB0215" w:rsidP="00AB0215">
      <w:pPr>
        <w:pStyle w:val="ListParagraph"/>
        <w:numPr>
          <w:ilvl w:val="0"/>
          <w:numId w:val="14"/>
        </w:numPr>
        <w:rPr>
          <w:rFonts w:ascii="Arial" w:hAnsi="Arial" w:cs="Arial"/>
        </w:rPr>
      </w:pPr>
      <w:r w:rsidRPr="00A348DB">
        <w:rPr>
          <w:rFonts w:ascii="Arial" w:hAnsi="Arial" w:cs="Arial"/>
        </w:rPr>
        <w:t>Indicat</w:t>
      </w:r>
      <w:r>
        <w:rPr>
          <w:rFonts w:ascii="Arial" w:hAnsi="Arial" w:cs="Arial"/>
        </w:rPr>
        <w:t>ion of whether</w:t>
      </w:r>
      <w:r w:rsidRPr="00A348DB">
        <w:rPr>
          <w:rFonts w:ascii="Arial" w:hAnsi="Arial" w:cs="Arial"/>
        </w:rPr>
        <w:t xml:space="preserve"> the State intends to </w:t>
      </w:r>
      <w:r>
        <w:rPr>
          <w:rFonts w:ascii="Arial" w:hAnsi="Arial" w:cs="Arial"/>
        </w:rPr>
        <w:t>administer</w:t>
      </w:r>
      <w:r w:rsidRPr="00A348DB">
        <w:rPr>
          <w:rFonts w:ascii="Arial" w:hAnsi="Arial" w:cs="Arial"/>
        </w:rPr>
        <w:t xml:space="preserve"> its own reinsurance program by establishing or contracting with a nonprofit reinsurance entity</w:t>
      </w:r>
      <w:r>
        <w:rPr>
          <w:rFonts w:ascii="Arial" w:hAnsi="Arial" w:cs="Arial"/>
        </w:rPr>
        <w:t>. If yes, provide the name of the selected entity.</w:t>
      </w:r>
    </w:p>
    <w:p w:rsidR="00096EB7" w:rsidRPr="00AA7E40" w:rsidRDefault="00D97C76" w:rsidP="00186316">
      <w:pPr>
        <w:pStyle w:val="ListParagraph"/>
        <w:numPr>
          <w:ilvl w:val="0"/>
          <w:numId w:val="14"/>
        </w:numPr>
        <w:spacing w:after="0"/>
        <w:rPr>
          <w:rFonts w:ascii="Arial" w:hAnsi="Arial" w:cs="Arial"/>
        </w:rPr>
      </w:pPr>
      <w:r w:rsidRPr="00AA7E40">
        <w:rPr>
          <w:rFonts w:ascii="Arial" w:hAnsi="Arial" w:cs="Arial"/>
        </w:rPr>
        <w:t>Designation of the individual</w:t>
      </w:r>
      <w:r w:rsidR="00247694" w:rsidRPr="00AA7E40">
        <w:rPr>
          <w:rFonts w:ascii="Arial" w:hAnsi="Arial" w:cs="Arial"/>
        </w:rPr>
        <w:t>(s)</w:t>
      </w:r>
      <w:r w:rsidR="006C2019">
        <w:rPr>
          <w:rFonts w:ascii="Arial" w:hAnsi="Arial" w:cs="Arial"/>
        </w:rPr>
        <w:t xml:space="preserve"> </w:t>
      </w:r>
      <w:r w:rsidR="00247694" w:rsidRPr="00AA7E40">
        <w:rPr>
          <w:rFonts w:ascii="Arial" w:hAnsi="Arial" w:cs="Arial"/>
        </w:rPr>
        <w:t>(D</w:t>
      </w:r>
      <w:r w:rsidR="00605BEE" w:rsidRPr="00AA7E40">
        <w:rPr>
          <w:rFonts w:ascii="Arial" w:hAnsi="Arial" w:cs="Arial"/>
        </w:rPr>
        <w:t>esignee)</w:t>
      </w:r>
      <w:r w:rsidRPr="00AA7E40">
        <w:rPr>
          <w:rFonts w:ascii="Arial" w:hAnsi="Arial" w:cs="Arial"/>
        </w:rPr>
        <w:t xml:space="preserve"> authorized to act as primary point of contact and authorized to bind the State with HHS regarding the State’s Exchange, as well as to complete and sign the Exchange Application</w:t>
      </w:r>
      <w:r w:rsidR="002119C7">
        <w:rPr>
          <w:rFonts w:ascii="Arial" w:hAnsi="Arial" w:cs="Arial"/>
        </w:rPr>
        <w:t xml:space="preserve">. </w:t>
      </w:r>
      <w:r w:rsidR="006C2019">
        <w:rPr>
          <w:rFonts w:ascii="Arial" w:hAnsi="Arial" w:cs="Arial"/>
        </w:rPr>
        <w:t xml:space="preserve"> </w:t>
      </w:r>
      <w:r w:rsidR="002119C7">
        <w:rPr>
          <w:rFonts w:ascii="Arial" w:hAnsi="Arial" w:cs="Arial"/>
        </w:rPr>
        <w:t>The State Medicaid Director</w:t>
      </w:r>
      <w:r w:rsidR="002119C7" w:rsidRPr="002D26C7">
        <w:rPr>
          <w:rFonts w:ascii="Arial" w:hAnsi="Arial" w:cs="Arial"/>
        </w:rPr>
        <w:t xml:space="preserve"> will be assumed to be the primary contact on issues related to eligibility determination and </w:t>
      </w:r>
      <w:r w:rsidR="002119C7" w:rsidRPr="00E554E2">
        <w:rPr>
          <w:rFonts w:ascii="Arial" w:hAnsi="Arial" w:cs="Arial"/>
        </w:rPr>
        <w:t>coordination unless otherwise indicated by State Governor</w:t>
      </w:r>
      <w:r w:rsidR="002119C7">
        <w:rPr>
          <w:rFonts w:ascii="Arial" w:hAnsi="Arial" w:cs="Arial"/>
        </w:rPr>
        <w:t xml:space="preserve"> or the </w:t>
      </w:r>
      <w:r w:rsidR="002119C7" w:rsidRPr="00E554E2">
        <w:rPr>
          <w:rFonts w:ascii="Arial" w:hAnsi="Arial" w:cs="Arial"/>
        </w:rPr>
        <w:t xml:space="preserve">authorized personnel in </w:t>
      </w:r>
      <w:r w:rsidR="00DC7397">
        <w:rPr>
          <w:rFonts w:ascii="Arial" w:hAnsi="Arial" w:cs="Arial"/>
        </w:rPr>
        <w:t>the Declaration L</w:t>
      </w:r>
      <w:r w:rsidR="002119C7" w:rsidRPr="00E554E2">
        <w:rPr>
          <w:rFonts w:ascii="Arial" w:hAnsi="Arial" w:cs="Arial"/>
        </w:rPr>
        <w:t>etter.</w:t>
      </w:r>
      <w:r w:rsidR="002119C7">
        <w:rPr>
          <w:rFonts w:ascii="Arial" w:hAnsi="Arial" w:cs="Arial"/>
        </w:rPr>
        <w:t xml:space="preserve">  In States with separate CHIP programs, the State’s CHIP Director will be assumed to serve as the point of contact for CHIP-related eligibility issues unless otherwise indicated</w:t>
      </w:r>
      <w:r w:rsidR="00003455">
        <w:rPr>
          <w:rFonts w:ascii="Arial" w:hAnsi="Arial" w:cs="Arial"/>
        </w:rPr>
        <w:t>.</w:t>
      </w:r>
    </w:p>
    <w:p w:rsidR="00605BEE" w:rsidRPr="00605BEE" w:rsidRDefault="00605BEE" w:rsidP="00605BEE">
      <w:pPr>
        <w:pStyle w:val="ListParagraph"/>
        <w:spacing w:after="0"/>
        <w:rPr>
          <w:rFonts w:ascii="Arial" w:hAnsi="Arial" w:cs="Arial"/>
        </w:rPr>
      </w:pPr>
    </w:p>
    <w:p w:rsidR="00BF0E18" w:rsidRPr="00761ABE" w:rsidRDefault="00BF0E18" w:rsidP="00A14363">
      <w:pPr>
        <w:pStyle w:val="Heading3"/>
      </w:pPr>
      <w:r w:rsidRPr="00761ABE">
        <w:t>F</w:t>
      </w:r>
      <w:r w:rsidR="00D246BB">
        <w:t>ederally-facilitated Exchange</w:t>
      </w:r>
      <w:r w:rsidR="00D97C76">
        <w:t xml:space="preserve"> </w:t>
      </w:r>
    </w:p>
    <w:p w:rsidR="00547AB5" w:rsidRPr="002D26C7" w:rsidRDefault="00547AB5" w:rsidP="00547AB5">
      <w:pPr>
        <w:pStyle w:val="ListParagraph"/>
        <w:numPr>
          <w:ilvl w:val="0"/>
          <w:numId w:val="14"/>
        </w:numPr>
        <w:spacing w:after="0"/>
        <w:rPr>
          <w:rFonts w:ascii="Gill Sans MT" w:hAnsi="Gill Sans MT" w:cs="Arial"/>
        </w:rPr>
      </w:pPr>
      <w:r w:rsidRPr="002D26C7">
        <w:rPr>
          <w:rFonts w:ascii="Arial" w:hAnsi="Arial" w:cs="Arial"/>
        </w:rPr>
        <w:t xml:space="preserve">Confirmation of the State’s intention to </w:t>
      </w:r>
      <w:r>
        <w:rPr>
          <w:rFonts w:ascii="Arial" w:hAnsi="Arial" w:cs="Arial"/>
        </w:rPr>
        <w:t>elect for the Secretary to establish and operate a</w:t>
      </w:r>
      <w:r w:rsidRPr="002D26C7">
        <w:rPr>
          <w:rFonts w:ascii="Arial" w:hAnsi="Arial" w:cs="Arial"/>
        </w:rPr>
        <w:t xml:space="preserve"> </w:t>
      </w:r>
      <w:r>
        <w:rPr>
          <w:rFonts w:ascii="Arial" w:hAnsi="Arial" w:cs="Arial"/>
        </w:rPr>
        <w:t>Federally-facilitated Exchange</w:t>
      </w:r>
      <w:r w:rsidR="00003455">
        <w:rPr>
          <w:rFonts w:ascii="Arial" w:hAnsi="Arial" w:cs="Arial"/>
        </w:rPr>
        <w:t>.</w:t>
      </w:r>
      <w:r>
        <w:rPr>
          <w:rFonts w:ascii="Arial" w:hAnsi="Arial" w:cs="Arial"/>
        </w:rPr>
        <w:t xml:space="preserve"> </w:t>
      </w:r>
    </w:p>
    <w:p w:rsidR="002D26C7" w:rsidRPr="002D26C7" w:rsidRDefault="002D26C7" w:rsidP="00186316">
      <w:pPr>
        <w:pStyle w:val="ListParagraph"/>
        <w:numPr>
          <w:ilvl w:val="0"/>
          <w:numId w:val="14"/>
        </w:numPr>
        <w:rPr>
          <w:rFonts w:ascii="Arial" w:hAnsi="Arial" w:cs="Arial"/>
        </w:rPr>
      </w:pPr>
      <w:r w:rsidRPr="002D26C7">
        <w:rPr>
          <w:rFonts w:ascii="Arial" w:hAnsi="Arial" w:cs="Arial"/>
        </w:rPr>
        <w:t>Designation of t</w:t>
      </w:r>
      <w:r w:rsidR="00BF0E18" w:rsidRPr="002D26C7">
        <w:rPr>
          <w:rFonts w:ascii="Arial" w:hAnsi="Arial" w:cs="Arial"/>
        </w:rPr>
        <w:t xml:space="preserve">he State agency or official </w:t>
      </w:r>
      <w:r w:rsidR="007819CB" w:rsidRPr="002D26C7">
        <w:rPr>
          <w:rFonts w:ascii="Arial" w:hAnsi="Arial" w:cs="Arial"/>
        </w:rPr>
        <w:t>who</w:t>
      </w:r>
      <w:r w:rsidR="00BF0E18" w:rsidRPr="002D26C7">
        <w:rPr>
          <w:rFonts w:ascii="Arial" w:hAnsi="Arial" w:cs="Arial"/>
        </w:rPr>
        <w:t xml:space="preserve"> is authorized </w:t>
      </w:r>
      <w:r w:rsidR="00C50E2D">
        <w:rPr>
          <w:rFonts w:ascii="Arial" w:hAnsi="Arial" w:cs="Arial"/>
        </w:rPr>
        <w:t xml:space="preserve">by the State </w:t>
      </w:r>
      <w:r w:rsidR="00BF0E18" w:rsidRPr="002D26C7">
        <w:rPr>
          <w:rFonts w:ascii="Arial" w:hAnsi="Arial" w:cs="Arial"/>
        </w:rPr>
        <w:t xml:space="preserve">to collaborate with HHS </w:t>
      </w:r>
      <w:r w:rsidRPr="002D26C7">
        <w:rPr>
          <w:rFonts w:ascii="Arial" w:hAnsi="Arial" w:cs="Arial"/>
        </w:rPr>
        <w:t>on issues related</w:t>
      </w:r>
      <w:r w:rsidR="00265EAD">
        <w:rPr>
          <w:rFonts w:ascii="Arial" w:hAnsi="Arial" w:cs="Arial"/>
        </w:rPr>
        <w:t xml:space="preserve"> to Exchange issues in the </w:t>
      </w:r>
      <w:r w:rsidR="00D87600">
        <w:rPr>
          <w:rFonts w:ascii="Arial" w:hAnsi="Arial" w:cs="Arial"/>
        </w:rPr>
        <w:t>F</w:t>
      </w:r>
      <w:r w:rsidR="006E53A0">
        <w:rPr>
          <w:rFonts w:ascii="Arial" w:hAnsi="Arial" w:cs="Arial"/>
        </w:rPr>
        <w:t>ederally-facilitated Exchange</w:t>
      </w:r>
      <w:r w:rsidR="00A07F69">
        <w:rPr>
          <w:rFonts w:ascii="Arial" w:hAnsi="Arial" w:cs="Arial"/>
        </w:rPr>
        <w:t xml:space="preserve"> in that State</w:t>
      </w:r>
      <w:r w:rsidR="00AA7E40">
        <w:rPr>
          <w:rFonts w:ascii="Arial" w:hAnsi="Arial" w:cs="Arial"/>
        </w:rPr>
        <w:t xml:space="preserve">.  </w:t>
      </w:r>
      <w:r w:rsidR="00A07F69">
        <w:rPr>
          <w:rFonts w:ascii="Arial" w:hAnsi="Arial" w:cs="Arial"/>
        </w:rPr>
        <w:t xml:space="preserve">The </w:t>
      </w:r>
      <w:r w:rsidR="00787834">
        <w:rPr>
          <w:rFonts w:ascii="Arial" w:hAnsi="Arial" w:cs="Arial"/>
        </w:rPr>
        <w:t>State Medicaid Director</w:t>
      </w:r>
      <w:r w:rsidRPr="002D26C7">
        <w:rPr>
          <w:rFonts w:ascii="Arial" w:hAnsi="Arial" w:cs="Arial"/>
        </w:rPr>
        <w:t xml:space="preserve"> will be assumed to be the primary contact on issues related to eligibility determination and </w:t>
      </w:r>
      <w:r w:rsidRPr="00E554E2">
        <w:rPr>
          <w:rFonts w:ascii="Arial" w:hAnsi="Arial" w:cs="Arial"/>
        </w:rPr>
        <w:t xml:space="preserve">coordination </w:t>
      </w:r>
      <w:r w:rsidR="00F45914" w:rsidRPr="00E554E2">
        <w:rPr>
          <w:rFonts w:ascii="Arial" w:hAnsi="Arial" w:cs="Arial"/>
        </w:rPr>
        <w:t>unless otherwise indicated by State Governor</w:t>
      </w:r>
      <w:r w:rsidR="00C50E2D">
        <w:rPr>
          <w:rFonts w:ascii="Arial" w:hAnsi="Arial" w:cs="Arial"/>
        </w:rPr>
        <w:t xml:space="preserve"> or the </w:t>
      </w:r>
      <w:r w:rsidR="00F45914" w:rsidRPr="00E554E2">
        <w:rPr>
          <w:rFonts w:ascii="Arial" w:hAnsi="Arial" w:cs="Arial"/>
        </w:rPr>
        <w:t xml:space="preserve">authorized personnel in </w:t>
      </w:r>
      <w:r w:rsidR="00210D90">
        <w:rPr>
          <w:rFonts w:ascii="Arial" w:hAnsi="Arial" w:cs="Arial"/>
        </w:rPr>
        <w:t xml:space="preserve">the </w:t>
      </w:r>
      <w:r w:rsidR="004649F4">
        <w:rPr>
          <w:rFonts w:ascii="Arial" w:hAnsi="Arial" w:cs="Arial"/>
        </w:rPr>
        <w:t xml:space="preserve">Declaration </w:t>
      </w:r>
      <w:r w:rsidR="00DC7397">
        <w:rPr>
          <w:rFonts w:ascii="Arial" w:hAnsi="Arial" w:cs="Arial"/>
        </w:rPr>
        <w:t>L</w:t>
      </w:r>
      <w:r w:rsidR="00F45914" w:rsidRPr="00E554E2">
        <w:rPr>
          <w:rFonts w:ascii="Arial" w:hAnsi="Arial" w:cs="Arial"/>
        </w:rPr>
        <w:t>etter</w:t>
      </w:r>
      <w:r w:rsidRPr="00E554E2">
        <w:rPr>
          <w:rFonts w:ascii="Arial" w:hAnsi="Arial" w:cs="Arial"/>
        </w:rPr>
        <w:t>.</w:t>
      </w:r>
      <w:r w:rsidR="00E554E2">
        <w:rPr>
          <w:rFonts w:ascii="Arial" w:hAnsi="Arial" w:cs="Arial"/>
        </w:rPr>
        <w:t xml:space="preserve"> </w:t>
      </w:r>
      <w:r w:rsidR="00787834">
        <w:rPr>
          <w:rFonts w:ascii="Arial" w:hAnsi="Arial" w:cs="Arial"/>
        </w:rPr>
        <w:t xml:space="preserve"> In States with separate CHIP programs, the State’s CHIP Director will </w:t>
      </w:r>
      <w:r w:rsidR="00210D90">
        <w:rPr>
          <w:rFonts w:ascii="Arial" w:hAnsi="Arial" w:cs="Arial"/>
        </w:rPr>
        <w:t xml:space="preserve">be assumed to </w:t>
      </w:r>
      <w:r w:rsidR="00787834">
        <w:rPr>
          <w:rFonts w:ascii="Arial" w:hAnsi="Arial" w:cs="Arial"/>
        </w:rPr>
        <w:t xml:space="preserve">serve as the point of contact for </w:t>
      </w:r>
      <w:r w:rsidR="00A273F9">
        <w:rPr>
          <w:rFonts w:ascii="Arial" w:hAnsi="Arial" w:cs="Arial"/>
        </w:rPr>
        <w:t>CHIP-related eligibility issues</w:t>
      </w:r>
      <w:r w:rsidR="00210D90">
        <w:rPr>
          <w:rFonts w:ascii="Arial" w:hAnsi="Arial" w:cs="Arial"/>
        </w:rPr>
        <w:t xml:space="preserve"> unless otherwise indicated</w:t>
      </w:r>
      <w:r w:rsidR="00003455">
        <w:rPr>
          <w:rFonts w:ascii="Arial" w:hAnsi="Arial" w:cs="Arial"/>
        </w:rPr>
        <w:t>.</w:t>
      </w:r>
    </w:p>
    <w:p w:rsidR="00AB0215" w:rsidRPr="00A348DB" w:rsidRDefault="00AB0215" w:rsidP="00AB0215">
      <w:pPr>
        <w:pStyle w:val="ListParagraph"/>
        <w:numPr>
          <w:ilvl w:val="0"/>
          <w:numId w:val="14"/>
        </w:numPr>
        <w:rPr>
          <w:rFonts w:ascii="Arial" w:hAnsi="Arial" w:cs="Arial"/>
        </w:rPr>
      </w:pPr>
      <w:r w:rsidRPr="00A348DB">
        <w:rPr>
          <w:rFonts w:ascii="Arial" w:hAnsi="Arial" w:cs="Arial"/>
        </w:rPr>
        <w:lastRenderedPageBreak/>
        <w:t>Indicat</w:t>
      </w:r>
      <w:r>
        <w:rPr>
          <w:rFonts w:ascii="Arial" w:hAnsi="Arial" w:cs="Arial"/>
        </w:rPr>
        <w:t>ion of whether</w:t>
      </w:r>
      <w:r w:rsidRPr="00A348DB">
        <w:rPr>
          <w:rFonts w:ascii="Arial" w:hAnsi="Arial" w:cs="Arial"/>
        </w:rPr>
        <w:t xml:space="preserve"> the State intends to </w:t>
      </w:r>
      <w:r>
        <w:rPr>
          <w:rFonts w:ascii="Arial" w:hAnsi="Arial" w:cs="Arial"/>
        </w:rPr>
        <w:t>administer</w:t>
      </w:r>
      <w:r w:rsidRPr="00A348DB">
        <w:rPr>
          <w:rFonts w:ascii="Arial" w:hAnsi="Arial" w:cs="Arial"/>
        </w:rPr>
        <w:t xml:space="preserve"> its own reinsurance program by establishing or contracting with a nonprofit reinsurance entity</w:t>
      </w:r>
      <w:r>
        <w:rPr>
          <w:rFonts w:ascii="Arial" w:hAnsi="Arial" w:cs="Arial"/>
        </w:rPr>
        <w:t xml:space="preserve">. If yes, </w:t>
      </w:r>
      <w:r w:rsidR="00DD2618">
        <w:rPr>
          <w:rFonts w:ascii="Arial" w:hAnsi="Arial" w:cs="Arial"/>
        </w:rPr>
        <w:t>indicate how the State meets or will meet the requirements of Section 5.2: reinsurance.</w:t>
      </w:r>
    </w:p>
    <w:p w:rsidR="00730584" w:rsidRPr="00024C58" w:rsidRDefault="005972E1" w:rsidP="00024C58">
      <w:pPr>
        <w:rPr>
          <w:rFonts w:ascii="Arial" w:hAnsi="Arial" w:cs="Arial"/>
        </w:rPr>
      </w:pPr>
      <w:r w:rsidRPr="00024C58">
        <w:rPr>
          <w:rFonts w:ascii="Arial" w:hAnsi="Arial" w:cs="Arial"/>
        </w:rPr>
        <w:t xml:space="preserve">If a </w:t>
      </w:r>
      <w:r w:rsidR="00DC7397" w:rsidRPr="00024C58">
        <w:rPr>
          <w:rFonts w:ascii="Arial" w:hAnsi="Arial" w:cs="Arial"/>
        </w:rPr>
        <w:t>Declaration L</w:t>
      </w:r>
      <w:r w:rsidR="00730584" w:rsidRPr="00024C58">
        <w:rPr>
          <w:rFonts w:ascii="Arial" w:hAnsi="Arial" w:cs="Arial"/>
        </w:rPr>
        <w:t xml:space="preserve">etter is not received </w:t>
      </w:r>
      <w:r w:rsidR="00BF365D">
        <w:rPr>
          <w:rFonts w:ascii="Arial" w:hAnsi="Arial" w:cs="Arial"/>
        </w:rPr>
        <w:t>30 business days</w:t>
      </w:r>
      <w:r w:rsidR="00E87E49">
        <w:rPr>
          <w:rFonts w:ascii="Arial" w:hAnsi="Arial" w:cs="Arial"/>
        </w:rPr>
        <w:t xml:space="preserve"> prior to January 1, 2013</w:t>
      </w:r>
      <w:r w:rsidR="00536A1C" w:rsidRPr="00024C58">
        <w:rPr>
          <w:rFonts w:ascii="Arial" w:hAnsi="Arial" w:cs="Arial"/>
        </w:rPr>
        <w:t xml:space="preserve"> </w:t>
      </w:r>
      <w:r w:rsidR="00E87E49">
        <w:rPr>
          <w:rFonts w:ascii="Arial" w:hAnsi="Arial" w:cs="Arial"/>
        </w:rPr>
        <w:t>(</w:t>
      </w:r>
      <w:r w:rsidR="00536A1C" w:rsidRPr="00024C58">
        <w:rPr>
          <w:rFonts w:ascii="Arial" w:hAnsi="Arial" w:cs="Arial"/>
        </w:rPr>
        <w:t>November 16, 2012</w:t>
      </w:r>
      <w:r w:rsidR="00E87E49">
        <w:rPr>
          <w:rFonts w:ascii="Arial" w:hAnsi="Arial" w:cs="Arial"/>
        </w:rPr>
        <w:t>),</w:t>
      </w:r>
      <w:r w:rsidR="00B01C31" w:rsidRPr="00024C58">
        <w:rPr>
          <w:rFonts w:ascii="Arial" w:hAnsi="Arial" w:cs="Arial"/>
        </w:rPr>
        <w:t xml:space="preserve"> </w:t>
      </w:r>
      <w:r w:rsidR="0022412C" w:rsidRPr="00024C58">
        <w:rPr>
          <w:rFonts w:ascii="Arial" w:hAnsi="Arial" w:cs="Arial"/>
        </w:rPr>
        <w:t>HHS</w:t>
      </w:r>
      <w:r w:rsidR="00A66238" w:rsidRPr="00024C58">
        <w:rPr>
          <w:rFonts w:ascii="Arial" w:hAnsi="Arial" w:cs="Arial"/>
        </w:rPr>
        <w:t xml:space="preserve"> will</w:t>
      </w:r>
      <w:r w:rsidR="00795B89" w:rsidRPr="00024C58">
        <w:rPr>
          <w:rFonts w:ascii="Arial" w:hAnsi="Arial" w:cs="Arial"/>
        </w:rPr>
        <w:t xml:space="preserve"> plan to</w:t>
      </w:r>
      <w:r w:rsidR="0022412C" w:rsidRPr="00024C58">
        <w:rPr>
          <w:rFonts w:ascii="Arial" w:hAnsi="Arial" w:cs="Arial"/>
        </w:rPr>
        <w:t xml:space="preserve"> </w:t>
      </w:r>
      <w:r w:rsidR="00536A1C" w:rsidRPr="00024C58">
        <w:rPr>
          <w:rFonts w:ascii="Arial" w:hAnsi="Arial" w:cs="Arial"/>
        </w:rPr>
        <w:t xml:space="preserve">implement a </w:t>
      </w:r>
      <w:r w:rsidR="006E53A0" w:rsidRPr="00024C58">
        <w:rPr>
          <w:rFonts w:ascii="Arial" w:hAnsi="Arial" w:cs="Arial"/>
        </w:rPr>
        <w:t>Federally-facilitated Exchange</w:t>
      </w:r>
      <w:r w:rsidR="00D246BB" w:rsidRPr="00024C58">
        <w:rPr>
          <w:rFonts w:ascii="Arial" w:hAnsi="Arial" w:cs="Arial"/>
        </w:rPr>
        <w:t xml:space="preserve"> </w:t>
      </w:r>
      <w:r w:rsidR="00A66238" w:rsidRPr="00024C58">
        <w:rPr>
          <w:rFonts w:ascii="Arial" w:hAnsi="Arial" w:cs="Arial"/>
        </w:rPr>
        <w:t>for</w:t>
      </w:r>
      <w:r w:rsidR="00D246BB" w:rsidRPr="00024C58">
        <w:rPr>
          <w:rFonts w:ascii="Arial" w:hAnsi="Arial" w:cs="Arial"/>
        </w:rPr>
        <w:t xml:space="preserve"> the State</w:t>
      </w:r>
      <w:r w:rsidR="00536A1C" w:rsidRPr="00024C58">
        <w:rPr>
          <w:rFonts w:ascii="Arial" w:hAnsi="Arial" w:cs="Arial"/>
        </w:rPr>
        <w:t>.</w:t>
      </w:r>
      <w:r w:rsidR="005D47E1" w:rsidRPr="00024C58">
        <w:rPr>
          <w:rFonts w:ascii="Arial" w:hAnsi="Arial" w:cs="Arial"/>
        </w:rPr>
        <w:t xml:space="preserve">  </w:t>
      </w:r>
      <w:r w:rsidR="00D86406" w:rsidRPr="00024C58">
        <w:rPr>
          <w:rFonts w:ascii="Arial" w:hAnsi="Arial" w:cs="Arial"/>
        </w:rPr>
        <w:t>In t</w:t>
      </w:r>
      <w:r w:rsidRPr="00024C58">
        <w:rPr>
          <w:rFonts w:ascii="Arial" w:hAnsi="Arial" w:cs="Arial"/>
        </w:rPr>
        <w:t>he absence of a</w:t>
      </w:r>
      <w:r w:rsidR="00DC7397" w:rsidRPr="00024C58">
        <w:rPr>
          <w:rFonts w:ascii="Arial" w:hAnsi="Arial" w:cs="Arial"/>
        </w:rPr>
        <w:t xml:space="preserve"> Declaration L</w:t>
      </w:r>
      <w:r w:rsidR="00D86406" w:rsidRPr="00024C58">
        <w:rPr>
          <w:rFonts w:ascii="Arial" w:hAnsi="Arial" w:cs="Arial"/>
        </w:rPr>
        <w:t>etter</w:t>
      </w:r>
      <w:r w:rsidR="002B6079">
        <w:rPr>
          <w:rFonts w:ascii="Arial" w:hAnsi="Arial" w:cs="Arial"/>
        </w:rPr>
        <w:t>,</w:t>
      </w:r>
      <w:r w:rsidR="00D86406" w:rsidRPr="00024C58">
        <w:rPr>
          <w:rFonts w:ascii="Arial" w:hAnsi="Arial" w:cs="Arial"/>
        </w:rPr>
        <w:t xml:space="preserve"> </w:t>
      </w:r>
      <w:r w:rsidR="00536A1C" w:rsidRPr="00024C58">
        <w:rPr>
          <w:rFonts w:ascii="Arial" w:hAnsi="Arial" w:cs="Arial"/>
        </w:rPr>
        <w:t xml:space="preserve">HHS will operate </w:t>
      </w:r>
      <w:r w:rsidR="00A66238" w:rsidRPr="00024C58">
        <w:rPr>
          <w:rFonts w:ascii="Arial" w:hAnsi="Arial" w:cs="Arial"/>
        </w:rPr>
        <w:t>a</w:t>
      </w:r>
      <w:r w:rsidR="00536A1C" w:rsidRPr="00024C58">
        <w:rPr>
          <w:rFonts w:ascii="Arial" w:hAnsi="Arial" w:cs="Arial"/>
        </w:rPr>
        <w:t xml:space="preserve"> </w:t>
      </w:r>
      <w:r w:rsidR="006E53A0" w:rsidRPr="00024C58">
        <w:rPr>
          <w:rFonts w:ascii="Arial" w:hAnsi="Arial" w:cs="Arial"/>
        </w:rPr>
        <w:t>Federally-facilitated Exchange</w:t>
      </w:r>
      <w:r w:rsidR="00730584" w:rsidRPr="00024C58">
        <w:rPr>
          <w:rFonts w:ascii="Arial" w:hAnsi="Arial" w:cs="Arial"/>
        </w:rPr>
        <w:t xml:space="preserve"> </w:t>
      </w:r>
      <w:r w:rsidR="00A66238" w:rsidRPr="00024C58">
        <w:rPr>
          <w:rFonts w:ascii="Arial" w:hAnsi="Arial" w:cs="Arial"/>
        </w:rPr>
        <w:t>for</w:t>
      </w:r>
      <w:r w:rsidR="00730584" w:rsidRPr="00024C58">
        <w:rPr>
          <w:rFonts w:ascii="Arial" w:hAnsi="Arial" w:cs="Arial"/>
        </w:rPr>
        <w:t xml:space="preserve"> the State under the following assumptions:</w:t>
      </w:r>
    </w:p>
    <w:p w:rsidR="00730584" w:rsidRDefault="00730584" w:rsidP="00186316">
      <w:pPr>
        <w:pStyle w:val="ListParagraph"/>
        <w:numPr>
          <w:ilvl w:val="0"/>
          <w:numId w:val="1"/>
        </w:numPr>
        <w:rPr>
          <w:rFonts w:ascii="Arial" w:hAnsi="Arial" w:cs="Arial"/>
        </w:rPr>
      </w:pPr>
      <w:r w:rsidRPr="00730584">
        <w:rPr>
          <w:rFonts w:ascii="Arial" w:hAnsi="Arial" w:cs="Arial"/>
        </w:rPr>
        <w:t xml:space="preserve">The State will not administer its own </w:t>
      </w:r>
      <w:r w:rsidR="00564B17">
        <w:rPr>
          <w:rFonts w:ascii="Arial" w:hAnsi="Arial" w:cs="Arial"/>
        </w:rPr>
        <w:t>reinsurance program</w:t>
      </w:r>
      <w:r w:rsidRPr="00730584">
        <w:rPr>
          <w:rFonts w:ascii="Arial" w:hAnsi="Arial" w:cs="Arial"/>
        </w:rPr>
        <w:t xml:space="preserve">; </w:t>
      </w:r>
    </w:p>
    <w:p w:rsidR="00730584" w:rsidRPr="00730584" w:rsidRDefault="00730584" w:rsidP="00186316">
      <w:pPr>
        <w:pStyle w:val="ListParagraph"/>
        <w:numPr>
          <w:ilvl w:val="0"/>
          <w:numId w:val="1"/>
        </w:numPr>
        <w:rPr>
          <w:rFonts w:ascii="Arial" w:hAnsi="Arial" w:cs="Arial"/>
        </w:rPr>
      </w:pPr>
      <w:r>
        <w:rPr>
          <w:rFonts w:ascii="Arial" w:hAnsi="Arial" w:cs="Arial"/>
        </w:rPr>
        <w:t>The State’s</w:t>
      </w:r>
      <w:r w:rsidRPr="00730584">
        <w:rPr>
          <w:rFonts w:ascii="Arial" w:hAnsi="Arial" w:cs="Arial"/>
        </w:rPr>
        <w:t xml:space="preserve"> small group and individual markets will be merged in the </w:t>
      </w:r>
      <w:r w:rsidR="006E53A0">
        <w:rPr>
          <w:rFonts w:ascii="Arial" w:hAnsi="Arial" w:cs="Arial"/>
        </w:rPr>
        <w:t>Federally-facilitated Exchange</w:t>
      </w:r>
      <w:r>
        <w:rPr>
          <w:rFonts w:ascii="Arial" w:hAnsi="Arial" w:cs="Arial"/>
        </w:rPr>
        <w:t xml:space="preserve"> </w:t>
      </w:r>
      <w:r w:rsidRPr="00730584">
        <w:rPr>
          <w:rFonts w:ascii="Arial" w:hAnsi="Arial" w:cs="Arial"/>
        </w:rPr>
        <w:t xml:space="preserve">only if the current individual and </w:t>
      </w:r>
      <w:r w:rsidR="009F778D">
        <w:rPr>
          <w:rFonts w:ascii="Arial" w:hAnsi="Arial" w:cs="Arial"/>
        </w:rPr>
        <w:t>small group markets are merged</w:t>
      </w:r>
      <w:r w:rsidR="00AA7E40">
        <w:rPr>
          <w:rFonts w:ascii="Arial" w:hAnsi="Arial" w:cs="Arial"/>
        </w:rPr>
        <w:t xml:space="preserve">.  </w:t>
      </w:r>
      <w:r w:rsidR="009F778D">
        <w:rPr>
          <w:rFonts w:ascii="Arial" w:hAnsi="Arial" w:cs="Arial"/>
        </w:rPr>
        <w:t xml:space="preserve">If a State does not merge the individual and small group market risk pools, the SHOP </w:t>
      </w:r>
      <w:r w:rsidR="00D7387F">
        <w:rPr>
          <w:rFonts w:ascii="Arial" w:hAnsi="Arial" w:cs="Arial"/>
        </w:rPr>
        <w:t>will</w:t>
      </w:r>
      <w:r w:rsidR="009F778D">
        <w:rPr>
          <w:rFonts w:ascii="Arial" w:hAnsi="Arial" w:cs="Arial"/>
        </w:rPr>
        <w:t xml:space="preserve"> permit each qualified employee to enroll only in QHPs in the small group market; </w:t>
      </w:r>
      <w:r w:rsidR="00D86406">
        <w:rPr>
          <w:rFonts w:ascii="Arial" w:hAnsi="Arial" w:cs="Arial"/>
        </w:rPr>
        <w:t>and</w:t>
      </w:r>
    </w:p>
    <w:p w:rsidR="0047015E" w:rsidRPr="00DD3408" w:rsidRDefault="003E5CCA" w:rsidP="00186316">
      <w:pPr>
        <w:pStyle w:val="ListParagraph"/>
        <w:numPr>
          <w:ilvl w:val="0"/>
          <w:numId w:val="1"/>
        </w:numPr>
        <w:contextualSpacing w:val="0"/>
        <w:rPr>
          <w:rFonts w:ascii="Arial" w:hAnsi="Arial" w:cs="Arial"/>
        </w:rPr>
      </w:pPr>
      <w:r>
        <w:rPr>
          <w:rFonts w:ascii="Arial" w:hAnsi="Arial" w:cs="Arial"/>
        </w:rPr>
        <w:t>The State’s current definition of “small group” employer (i.e., up to 50, or up to 100 employees) will be followed</w:t>
      </w:r>
      <w:r w:rsidR="00795B89">
        <w:rPr>
          <w:rFonts w:ascii="Arial" w:hAnsi="Arial" w:cs="Arial"/>
        </w:rPr>
        <w:t>, while the</w:t>
      </w:r>
      <w:r w:rsidRPr="003E5CCA">
        <w:rPr>
          <w:rFonts w:ascii="Arial" w:hAnsi="Arial" w:cs="Arial"/>
        </w:rPr>
        <w:t xml:space="preserve"> method of determining employer size</w:t>
      </w:r>
      <w:r w:rsidR="00795B89">
        <w:rPr>
          <w:rFonts w:ascii="Arial" w:hAnsi="Arial" w:cs="Arial"/>
        </w:rPr>
        <w:t xml:space="preserve"> will be</w:t>
      </w:r>
      <w:r w:rsidRPr="003E5CCA">
        <w:rPr>
          <w:rFonts w:ascii="Arial" w:hAnsi="Arial" w:cs="Arial"/>
        </w:rPr>
        <w:t xml:space="preserve"> based on</w:t>
      </w:r>
      <w:r w:rsidR="00795B89">
        <w:rPr>
          <w:rFonts w:ascii="Arial" w:hAnsi="Arial" w:cs="Arial"/>
        </w:rPr>
        <w:t xml:space="preserve"> full-time equivalent employees consistent with other Affordable Care Act policies.</w:t>
      </w:r>
    </w:p>
    <w:p w:rsidR="005849EB" w:rsidRDefault="005849EB" w:rsidP="00730584">
      <w:pPr>
        <w:spacing w:after="0"/>
        <w:rPr>
          <w:rFonts w:ascii="Gill Sans MT" w:hAnsi="Gill Sans MT" w:cs="Arial"/>
        </w:rPr>
      </w:pPr>
    </w:p>
    <w:p w:rsidR="0030608B" w:rsidRPr="00EC1A97" w:rsidRDefault="00F229C3" w:rsidP="0030608B">
      <w:pPr>
        <w:pStyle w:val="Title"/>
        <w:rPr>
          <w:rFonts w:ascii="Gill Sans MT" w:hAnsi="Gill Sans MT" w:cs="Arial"/>
        </w:rPr>
      </w:pPr>
      <w:r>
        <w:t xml:space="preserve">Section II: </w:t>
      </w:r>
      <w:r w:rsidR="00AA7A0D">
        <w:rPr>
          <w:rFonts w:ascii="Gill Sans MT" w:hAnsi="Gill Sans MT" w:cs="Arial"/>
        </w:rPr>
        <w:t>Application</w:t>
      </w:r>
      <w:r w:rsidR="00057266">
        <w:rPr>
          <w:rFonts w:ascii="Gill Sans MT" w:hAnsi="Gill Sans MT" w:cs="Arial"/>
        </w:rPr>
        <w:t xml:space="preserve"> for Approval of Affordable</w:t>
      </w:r>
      <w:r w:rsidR="00057266" w:rsidRPr="007E6BFE">
        <w:rPr>
          <w:rFonts w:ascii="Gill Sans MT" w:hAnsi="Gill Sans MT" w:cs="Arial"/>
        </w:rPr>
        <w:t xml:space="preserve"> </w:t>
      </w:r>
      <w:r w:rsidR="00057266">
        <w:rPr>
          <w:rFonts w:ascii="Gill Sans MT" w:hAnsi="Gill Sans MT" w:cs="Arial"/>
        </w:rPr>
        <w:t>State-b</w:t>
      </w:r>
      <w:r w:rsidR="00057266" w:rsidRPr="007E6BFE">
        <w:rPr>
          <w:rFonts w:ascii="Gill Sans MT" w:hAnsi="Gill Sans MT" w:cs="Arial"/>
        </w:rPr>
        <w:t xml:space="preserve">ased and </w:t>
      </w:r>
      <w:r w:rsidR="00057266">
        <w:rPr>
          <w:rFonts w:ascii="Gill Sans MT" w:hAnsi="Gill Sans MT" w:cs="Arial"/>
        </w:rPr>
        <w:t>State</w:t>
      </w:r>
      <w:r w:rsidR="00057266" w:rsidRPr="007E6BFE">
        <w:rPr>
          <w:rFonts w:ascii="Gill Sans MT" w:hAnsi="Gill Sans MT" w:cs="Arial"/>
        </w:rPr>
        <w:t xml:space="preserve"> P</w:t>
      </w:r>
      <w:r w:rsidR="00057266">
        <w:rPr>
          <w:rFonts w:ascii="Gill Sans MT" w:hAnsi="Gill Sans MT" w:cs="Arial"/>
        </w:rPr>
        <w:t>artnership Insurance Exchanges</w:t>
      </w:r>
    </w:p>
    <w:p w:rsidR="00565C85" w:rsidRDefault="00FC768B" w:rsidP="00FC768B">
      <w:pPr>
        <w:jc w:val="center"/>
        <w:rPr>
          <w:noProof/>
        </w:rPr>
      </w:pPr>
      <w:r>
        <w:rPr>
          <w:rFonts w:ascii="Arial" w:hAnsi="Arial" w:cs="Arial"/>
          <w:b/>
          <w:noProof/>
        </w:rPr>
        <w:t>Table of Contents</w:t>
      </w:r>
      <w:r w:rsidR="008141CB">
        <w:rPr>
          <w:rFonts w:cs="Arial"/>
          <w:noProof/>
        </w:rPr>
        <w:fldChar w:fldCharType="begin"/>
      </w:r>
      <w:r w:rsidR="0030608B">
        <w:rPr>
          <w:rFonts w:cs="Arial"/>
          <w:noProof/>
        </w:rPr>
        <w:instrText xml:space="preserve"> TOC \o "1-1" \h \z \u </w:instrText>
      </w:r>
      <w:r w:rsidR="008141CB">
        <w:rPr>
          <w:rFonts w:cs="Arial"/>
          <w:noProof/>
        </w:rPr>
        <w:fldChar w:fldCharType="separate"/>
      </w:r>
    </w:p>
    <w:p w:rsidR="00565C85" w:rsidRDefault="004C1448">
      <w:pPr>
        <w:pStyle w:val="TOC1"/>
        <w:rPr>
          <w:rFonts w:asciiTheme="minorHAnsi" w:eastAsiaTheme="minorEastAsia" w:hAnsiTheme="minorHAnsi"/>
          <w:noProof/>
        </w:rPr>
      </w:pPr>
      <w:hyperlink w:anchor="_Toc329259018" w:history="1">
        <w:r w:rsidR="00565C85" w:rsidRPr="006C0575">
          <w:rPr>
            <w:rStyle w:val="Hyperlink"/>
            <w:noProof/>
          </w:rPr>
          <w:t>Application Instructions</w:t>
        </w:r>
        <w:r w:rsidR="00565C85">
          <w:rPr>
            <w:noProof/>
            <w:webHidden/>
          </w:rPr>
          <w:tab/>
        </w:r>
        <w:r w:rsidR="008141CB">
          <w:rPr>
            <w:noProof/>
            <w:webHidden/>
          </w:rPr>
          <w:fldChar w:fldCharType="begin"/>
        </w:r>
        <w:r w:rsidR="00565C85">
          <w:rPr>
            <w:noProof/>
            <w:webHidden/>
          </w:rPr>
          <w:instrText xml:space="preserve"> PAGEREF _Toc329259018 \h </w:instrText>
        </w:r>
        <w:r w:rsidR="008141CB">
          <w:rPr>
            <w:noProof/>
            <w:webHidden/>
          </w:rPr>
        </w:r>
        <w:r w:rsidR="008141CB">
          <w:rPr>
            <w:noProof/>
            <w:webHidden/>
          </w:rPr>
          <w:fldChar w:fldCharType="separate"/>
        </w:r>
        <w:r w:rsidR="00565C85">
          <w:rPr>
            <w:noProof/>
            <w:webHidden/>
          </w:rPr>
          <w:t>10</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19" w:history="1">
        <w:r w:rsidR="00565C85" w:rsidRPr="006C0575">
          <w:rPr>
            <w:rStyle w:val="Hyperlink"/>
            <w:noProof/>
          </w:rPr>
          <w:t>Attestation</w:t>
        </w:r>
        <w:r w:rsidR="00565C85">
          <w:rPr>
            <w:noProof/>
            <w:webHidden/>
          </w:rPr>
          <w:tab/>
        </w:r>
        <w:r w:rsidR="008141CB">
          <w:rPr>
            <w:noProof/>
            <w:webHidden/>
          </w:rPr>
          <w:fldChar w:fldCharType="begin"/>
        </w:r>
        <w:r w:rsidR="00565C85">
          <w:rPr>
            <w:noProof/>
            <w:webHidden/>
          </w:rPr>
          <w:instrText xml:space="preserve"> PAGEREF _Toc329259019 \h </w:instrText>
        </w:r>
        <w:r w:rsidR="008141CB">
          <w:rPr>
            <w:noProof/>
            <w:webHidden/>
          </w:rPr>
        </w:r>
        <w:r w:rsidR="008141CB">
          <w:rPr>
            <w:noProof/>
            <w:webHidden/>
          </w:rPr>
          <w:fldChar w:fldCharType="separate"/>
        </w:r>
        <w:r w:rsidR="00565C85">
          <w:rPr>
            <w:noProof/>
            <w:webHidden/>
          </w:rPr>
          <w:t>17</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20" w:history="1">
        <w:r w:rsidR="00565C85" w:rsidRPr="006C0575">
          <w:rPr>
            <w:rStyle w:val="Hyperlink"/>
            <w:noProof/>
          </w:rPr>
          <w:t>State Background Information for Application Submission</w:t>
        </w:r>
        <w:r w:rsidR="00565C85">
          <w:rPr>
            <w:noProof/>
            <w:webHidden/>
          </w:rPr>
          <w:tab/>
        </w:r>
        <w:r w:rsidR="008141CB">
          <w:rPr>
            <w:noProof/>
            <w:webHidden/>
          </w:rPr>
          <w:fldChar w:fldCharType="begin"/>
        </w:r>
        <w:r w:rsidR="00565C85">
          <w:rPr>
            <w:noProof/>
            <w:webHidden/>
          </w:rPr>
          <w:instrText xml:space="preserve"> PAGEREF _Toc329259020 \h </w:instrText>
        </w:r>
        <w:r w:rsidR="008141CB">
          <w:rPr>
            <w:noProof/>
            <w:webHidden/>
          </w:rPr>
        </w:r>
        <w:r w:rsidR="008141CB">
          <w:rPr>
            <w:noProof/>
            <w:webHidden/>
          </w:rPr>
          <w:fldChar w:fldCharType="separate"/>
        </w:r>
        <w:r w:rsidR="00565C85">
          <w:rPr>
            <w:noProof/>
            <w:webHidden/>
          </w:rPr>
          <w:t>18</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21" w:history="1">
        <w:r w:rsidR="00565C85" w:rsidRPr="006C0575">
          <w:rPr>
            <w:rStyle w:val="Hyperlink"/>
            <w:noProof/>
          </w:rPr>
          <w:t>1.0 Legal Authority and Governance</w:t>
        </w:r>
        <w:r w:rsidR="00565C85">
          <w:rPr>
            <w:noProof/>
            <w:webHidden/>
          </w:rPr>
          <w:tab/>
        </w:r>
        <w:r w:rsidR="008141CB">
          <w:rPr>
            <w:noProof/>
            <w:webHidden/>
          </w:rPr>
          <w:fldChar w:fldCharType="begin"/>
        </w:r>
        <w:r w:rsidR="00565C85">
          <w:rPr>
            <w:noProof/>
            <w:webHidden/>
          </w:rPr>
          <w:instrText xml:space="preserve"> PAGEREF _Toc329259021 \h </w:instrText>
        </w:r>
        <w:r w:rsidR="008141CB">
          <w:rPr>
            <w:noProof/>
            <w:webHidden/>
          </w:rPr>
        </w:r>
        <w:r w:rsidR="008141CB">
          <w:rPr>
            <w:noProof/>
            <w:webHidden/>
          </w:rPr>
          <w:fldChar w:fldCharType="separate"/>
        </w:r>
        <w:r w:rsidR="00565C85">
          <w:rPr>
            <w:noProof/>
            <w:webHidden/>
          </w:rPr>
          <w:t>19</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22" w:history="1">
        <w:r w:rsidR="00565C85" w:rsidRPr="006C0575">
          <w:rPr>
            <w:rStyle w:val="Hyperlink"/>
            <w:noProof/>
          </w:rPr>
          <w:t>2.0 Consumer and Stakeholder Engagement and Support</w:t>
        </w:r>
        <w:r w:rsidR="00565C85">
          <w:rPr>
            <w:noProof/>
            <w:webHidden/>
          </w:rPr>
          <w:tab/>
        </w:r>
        <w:r w:rsidR="008141CB">
          <w:rPr>
            <w:noProof/>
            <w:webHidden/>
          </w:rPr>
          <w:fldChar w:fldCharType="begin"/>
        </w:r>
        <w:r w:rsidR="00565C85">
          <w:rPr>
            <w:noProof/>
            <w:webHidden/>
          </w:rPr>
          <w:instrText xml:space="preserve"> PAGEREF _Toc329259022 \h </w:instrText>
        </w:r>
        <w:r w:rsidR="008141CB">
          <w:rPr>
            <w:noProof/>
            <w:webHidden/>
          </w:rPr>
        </w:r>
        <w:r w:rsidR="008141CB">
          <w:rPr>
            <w:noProof/>
            <w:webHidden/>
          </w:rPr>
          <w:fldChar w:fldCharType="separate"/>
        </w:r>
        <w:r w:rsidR="00565C85">
          <w:rPr>
            <w:noProof/>
            <w:webHidden/>
          </w:rPr>
          <w:t>21</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23" w:history="1">
        <w:r w:rsidR="00565C85" w:rsidRPr="006C0575">
          <w:rPr>
            <w:rStyle w:val="Hyperlink"/>
            <w:noProof/>
          </w:rPr>
          <w:t>3.0 Eligibility and Enrollment</w:t>
        </w:r>
        <w:r w:rsidR="00565C85">
          <w:rPr>
            <w:noProof/>
            <w:webHidden/>
          </w:rPr>
          <w:tab/>
        </w:r>
        <w:r w:rsidR="008141CB">
          <w:rPr>
            <w:noProof/>
            <w:webHidden/>
          </w:rPr>
          <w:fldChar w:fldCharType="begin"/>
        </w:r>
        <w:r w:rsidR="00565C85">
          <w:rPr>
            <w:noProof/>
            <w:webHidden/>
          </w:rPr>
          <w:instrText xml:space="preserve"> PAGEREF _Toc329259023 \h </w:instrText>
        </w:r>
        <w:r w:rsidR="008141CB">
          <w:rPr>
            <w:noProof/>
            <w:webHidden/>
          </w:rPr>
        </w:r>
        <w:r w:rsidR="008141CB">
          <w:rPr>
            <w:noProof/>
            <w:webHidden/>
          </w:rPr>
          <w:fldChar w:fldCharType="separate"/>
        </w:r>
        <w:r w:rsidR="00565C85">
          <w:rPr>
            <w:noProof/>
            <w:webHidden/>
          </w:rPr>
          <w:t>26</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24" w:history="1">
        <w:r w:rsidR="00565C85" w:rsidRPr="006C0575">
          <w:rPr>
            <w:rStyle w:val="Hyperlink"/>
            <w:noProof/>
          </w:rPr>
          <w:t>4.0 Plan Management</w:t>
        </w:r>
        <w:r w:rsidR="00565C85">
          <w:rPr>
            <w:noProof/>
            <w:webHidden/>
          </w:rPr>
          <w:tab/>
        </w:r>
        <w:r w:rsidR="008141CB">
          <w:rPr>
            <w:noProof/>
            <w:webHidden/>
          </w:rPr>
          <w:fldChar w:fldCharType="begin"/>
        </w:r>
        <w:r w:rsidR="00565C85">
          <w:rPr>
            <w:noProof/>
            <w:webHidden/>
          </w:rPr>
          <w:instrText xml:space="preserve"> PAGEREF _Toc329259024 \h </w:instrText>
        </w:r>
        <w:r w:rsidR="008141CB">
          <w:rPr>
            <w:noProof/>
            <w:webHidden/>
          </w:rPr>
        </w:r>
        <w:r w:rsidR="008141CB">
          <w:rPr>
            <w:noProof/>
            <w:webHidden/>
          </w:rPr>
          <w:fldChar w:fldCharType="separate"/>
        </w:r>
        <w:r w:rsidR="00565C85">
          <w:rPr>
            <w:noProof/>
            <w:webHidden/>
          </w:rPr>
          <w:t>33</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25" w:history="1">
        <w:r w:rsidR="00565C85" w:rsidRPr="006C0575">
          <w:rPr>
            <w:rStyle w:val="Hyperlink"/>
            <w:noProof/>
          </w:rPr>
          <w:t>5.0 Risk Adjustment and Reinsurance</w:t>
        </w:r>
        <w:r w:rsidR="00565C85">
          <w:rPr>
            <w:noProof/>
            <w:webHidden/>
          </w:rPr>
          <w:tab/>
        </w:r>
        <w:r w:rsidR="008141CB">
          <w:rPr>
            <w:noProof/>
            <w:webHidden/>
          </w:rPr>
          <w:fldChar w:fldCharType="begin"/>
        </w:r>
        <w:r w:rsidR="00565C85">
          <w:rPr>
            <w:noProof/>
            <w:webHidden/>
          </w:rPr>
          <w:instrText xml:space="preserve"> PAGEREF _Toc329259025 \h </w:instrText>
        </w:r>
        <w:r w:rsidR="008141CB">
          <w:rPr>
            <w:noProof/>
            <w:webHidden/>
          </w:rPr>
        </w:r>
        <w:r w:rsidR="008141CB">
          <w:rPr>
            <w:noProof/>
            <w:webHidden/>
          </w:rPr>
          <w:fldChar w:fldCharType="separate"/>
        </w:r>
        <w:r w:rsidR="00565C85">
          <w:rPr>
            <w:noProof/>
            <w:webHidden/>
          </w:rPr>
          <w:t>37</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26" w:history="1">
        <w:r w:rsidR="00565C85" w:rsidRPr="006C0575">
          <w:rPr>
            <w:rStyle w:val="Hyperlink"/>
            <w:noProof/>
          </w:rPr>
          <w:t>6.0 Small Business Health Options Program (SHOP)</w:t>
        </w:r>
        <w:r w:rsidR="00565C85">
          <w:rPr>
            <w:noProof/>
            <w:webHidden/>
          </w:rPr>
          <w:tab/>
        </w:r>
        <w:r w:rsidR="008141CB">
          <w:rPr>
            <w:noProof/>
            <w:webHidden/>
          </w:rPr>
          <w:fldChar w:fldCharType="begin"/>
        </w:r>
        <w:r w:rsidR="00565C85">
          <w:rPr>
            <w:noProof/>
            <w:webHidden/>
          </w:rPr>
          <w:instrText xml:space="preserve"> PAGEREF _Toc329259026 \h </w:instrText>
        </w:r>
        <w:r w:rsidR="008141CB">
          <w:rPr>
            <w:noProof/>
            <w:webHidden/>
          </w:rPr>
        </w:r>
        <w:r w:rsidR="008141CB">
          <w:rPr>
            <w:noProof/>
            <w:webHidden/>
          </w:rPr>
          <w:fldChar w:fldCharType="separate"/>
        </w:r>
        <w:r w:rsidR="00565C85">
          <w:rPr>
            <w:noProof/>
            <w:webHidden/>
          </w:rPr>
          <w:t>38</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27" w:history="1">
        <w:r w:rsidR="00565C85" w:rsidRPr="006C0575">
          <w:rPr>
            <w:rStyle w:val="Hyperlink"/>
            <w:noProof/>
          </w:rPr>
          <w:t>7.0 Organization and Human Resources</w:t>
        </w:r>
        <w:r w:rsidR="00565C85">
          <w:rPr>
            <w:noProof/>
            <w:webHidden/>
          </w:rPr>
          <w:tab/>
        </w:r>
        <w:r w:rsidR="008141CB">
          <w:rPr>
            <w:noProof/>
            <w:webHidden/>
          </w:rPr>
          <w:fldChar w:fldCharType="begin"/>
        </w:r>
        <w:r w:rsidR="00565C85">
          <w:rPr>
            <w:noProof/>
            <w:webHidden/>
          </w:rPr>
          <w:instrText xml:space="preserve"> PAGEREF _Toc329259027 \h </w:instrText>
        </w:r>
        <w:r w:rsidR="008141CB">
          <w:rPr>
            <w:noProof/>
            <w:webHidden/>
          </w:rPr>
        </w:r>
        <w:r w:rsidR="008141CB">
          <w:rPr>
            <w:noProof/>
            <w:webHidden/>
          </w:rPr>
          <w:fldChar w:fldCharType="separate"/>
        </w:r>
        <w:r w:rsidR="00565C85">
          <w:rPr>
            <w:noProof/>
            <w:webHidden/>
          </w:rPr>
          <w:t>40</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28" w:history="1">
        <w:r w:rsidR="00565C85" w:rsidRPr="006C0575">
          <w:rPr>
            <w:rStyle w:val="Hyperlink"/>
            <w:noProof/>
          </w:rPr>
          <w:t>8.0 Finance and Accounting</w:t>
        </w:r>
        <w:r w:rsidR="00565C85">
          <w:rPr>
            <w:noProof/>
            <w:webHidden/>
          </w:rPr>
          <w:tab/>
        </w:r>
        <w:r w:rsidR="008141CB">
          <w:rPr>
            <w:noProof/>
            <w:webHidden/>
          </w:rPr>
          <w:fldChar w:fldCharType="begin"/>
        </w:r>
        <w:r w:rsidR="00565C85">
          <w:rPr>
            <w:noProof/>
            <w:webHidden/>
          </w:rPr>
          <w:instrText xml:space="preserve"> PAGEREF _Toc329259028 \h </w:instrText>
        </w:r>
        <w:r w:rsidR="008141CB">
          <w:rPr>
            <w:noProof/>
            <w:webHidden/>
          </w:rPr>
        </w:r>
        <w:r w:rsidR="008141CB">
          <w:rPr>
            <w:noProof/>
            <w:webHidden/>
          </w:rPr>
          <w:fldChar w:fldCharType="separate"/>
        </w:r>
        <w:r w:rsidR="00565C85">
          <w:rPr>
            <w:noProof/>
            <w:webHidden/>
          </w:rPr>
          <w:t>41</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29" w:history="1">
        <w:r w:rsidR="00565C85" w:rsidRPr="006C0575">
          <w:rPr>
            <w:rStyle w:val="Hyperlink"/>
            <w:noProof/>
          </w:rPr>
          <w:t>9.0 Technology</w:t>
        </w:r>
        <w:r w:rsidR="00565C85">
          <w:rPr>
            <w:noProof/>
            <w:webHidden/>
          </w:rPr>
          <w:tab/>
        </w:r>
        <w:r w:rsidR="008141CB">
          <w:rPr>
            <w:noProof/>
            <w:webHidden/>
          </w:rPr>
          <w:fldChar w:fldCharType="begin"/>
        </w:r>
        <w:r w:rsidR="00565C85">
          <w:rPr>
            <w:noProof/>
            <w:webHidden/>
          </w:rPr>
          <w:instrText xml:space="preserve"> PAGEREF _Toc329259029 \h </w:instrText>
        </w:r>
        <w:r w:rsidR="008141CB">
          <w:rPr>
            <w:noProof/>
            <w:webHidden/>
          </w:rPr>
        </w:r>
        <w:r w:rsidR="008141CB">
          <w:rPr>
            <w:noProof/>
            <w:webHidden/>
          </w:rPr>
          <w:fldChar w:fldCharType="separate"/>
        </w:r>
        <w:r w:rsidR="00565C85">
          <w:rPr>
            <w:noProof/>
            <w:webHidden/>
          </w:rPr>
          <w:t>41</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30" w:history="1">
        <w:r w:rsidR="00565C85" w:rsidRPr="006C0575">
          <w:rPr>
            <w:rStyle w:val="Hyperlink"/>
            <w:noProof/>
          </w:rPr>
          <w:t>10.0 Privacy and Security</w:t>
        </w:r>
        <w:r w:rsidR="00565C85">
          <w:rPr>
            <w:noProof/>
            <w:webHidden/>
          </w:rPr>
          <w:tab/>
        </w:r>
        <w:r w:rsidR="008141CB">
          <w:rPr>
            <w:noProof/>
            <w:webHidden/>
          </w:rPr>
          <w:fldChar w:fldCharType="begin"/>
        </w:r>
        <w:r w:rsidR="00565C85">
          <w:rPr>
            <w:noProof/>
            <w:webHidden/>
          </w:rPr>
          <w:instrText xml:space="preserve"> PAGEREF _Toc329259030 \h </w:instrText>
        </w:r>
        <w:r w:rsidR="008141CB">
          <w:rPr>
            <w:noProof/>
            <w:webHidden/>
          </w:rPr>
        </w:r>
        <w:r w:rsidR="008141CB">
          <w:rPr>
            <w:noProof/>
            <w:webHidden/>
          </w:rPr>
          <w:fldChar w:fldCharType="separate"/>
        </w:r>
        <w:r w:rsidR="00565C85">
          <w:rPr>
            <w:noProof/>
            <w:webHidden/>
          </w:rPr>
          <w:t>41</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31" w:history="1">
        <w:r w:rsidR="00565C85" w:rsidRPr="006C0575">
          <w:rPr>
            <w:rStyle w:val="Hyperlink"/>
            <w:noProof/>
          </w:rPr>
          <w:t>11.0 Oversight and Monitoring</w:t>
        </w:r>
        <w:r w:rsidR="00565C85">
          <w:rPr>
            <w:noProof/>
            <w:webHidden/>
          </w:rPr>
          <w:tab/>
        </w:r>
        <w:r w:rsidR="008141CB">
          <w:rPr>
            <w:noProof/>
            <w:webHidden/>
          </w:rPr>
          <w:fldChar w:fldCharType="begin"/>
        </w:r>
        <w:r w:rsidR="00565C85">
          <w:rPr>
            <w:noProof/>
            <w:webHidden/>
          </w:rPr>
          <w:instrText xml:space="preserve"> PAGEREF _Toc329259031 \h </w:instrText>
        </w:r>
        <w:r w:rsidR="008141CB">
          <w:rPr>
            <w:noProof/>
            <w:webHidden/>
          </w:rPr>
        </w:r>
        <w:r w:rsidR="008141CB">
          <w:rPr>
            <w:noProof/>
            <w:webHidden/>
          </w:rPr>
          <w:fldChar w:fldCharType="separate"/>
        </w:r>
        <w:r w:rsidR="00565C85">
          <w:rPr>
            <w:noProof/>
            <w:webHidden/>
          </w:rPr>
          <w:t>42</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32" w:history="1">
        <w:r w:rsidR="00565C85" w:rsidRPr="006C0575">
          <w:rPr>
            <w:rStyle w:val="Hyperlink"/>
            <w:noProof/>
          </w:rPr>
          <w:t>12.0 Contracting, Outsourcing, and Agreements</w:t>
        </w:r>
        <w:r w:rsidR="00565C85">
          <w:rPr>
            <w:noProof/>
            <w:webHidden/>
          </w:rPr>
          <w:tab/>
        </w:r>
        <w:r w:rsidR="008141CB">
          <w:rPr>
            <w:noProof/>
            <w:webHidden/>
          </w:rPr>
          <w:fldChar w:fldCharType="begin"/>
        </w:r>
        <w:r w:rsidR="00565C85">
          <w:rPr>
            <w:noProof/>
            <w:webHidden/>
          </w:rPr>
          <w:instrText xml:space="preserve"> PAGEREF _Toc329259032 \h </w:instrText>
        </w:r>
        <w:r w:rsidR="008141CB">
          <w:rPr>
            <w:noProof/>
            <w:webHidden/>
          </w:rPr>
        </w:r>
        <w:r w:rsidR="008141CB">
          <w:rPr>
            <w:noProof/>
            <w:webHidden/>
          </w:rPr>
          <w:fldChar w:fldCharType="separate"/>
        </w:r>
        <w:r w:rsidR="00565C85">
          <w:rPr>
            <w:noProof/>
            <w:webHidden/>
          </w:rPr>
          <w:t>43</w:t>
        </w:r>
        <w:r w:rsidR="008141CB">
          <w:rPr>
            <w:noProof/>
            <w:webHidden/>
          </w:rPr>
          <w:fldChar w:fldCharType="end"/>
        </w:r>
      </w:hyperlink>
    </w:p>
    <w:p w:rsidR="00565C85" w:rsidRDefault="004C1448">
      <w:pPr>
        <w:pStyle w:val="TOC1"/>
        <w:rPr>
          <w:rFonts w:asciiTheme="minorHAnsi" w:eastAsiaTheme="minorEastAsia" w:hAnsiTheme="minorHAnsi"/>
          <w:noProof/>
        </w:rPr>
      </w:pPr>
      <w:hyperlink w:anchor="_Toc329259033" w:history="1">
        <w:r w:rsidR="00565C85" w:rsidRPr="006C0575">
          <w:rPr>
            <w:rStyle w:val="Hyperlink"/>
            <w:noProof/>
          </w:rPr>
          <w:t>13.0 State Partnership Exchange Activities</w:t>
        </w:r>
        <w:r w:rsidR="00565C85">
          <w:rPr>
            <w:noProof/>
            <w:webHidden/>
          </w:rPr>
          <w:tab/>
        </w:r>
        <w:r w:rsidR="008141CB">
          <w:rPr>
            <w:noProof/>
            <w:webHidden/>
          </w:rPr>
          <w:fldChar w:fldCharType="begin"/>
        </w:r>
        <w:r w:rsidR="00565C85">
          <w:rPr>
            <w:noProof/>
            <w:webHidden/>
          </w:rPr>
          <w:instrText xml:space="preserve"> PAGEREF _Toc329259033 \h </w:instrText>
        </w:r>
        <w:r w:rsidR="008141CB">
          <w:rPr>
            <w:noProof/>
            <w:webHidden/>
          </w:rPr>
        </w:r>
        <w:r w:rsidR="008141CB">
          <w:rPr>
            <w:noProof/>
            <w:webHidden/>
          </w:rPr>
          <w:fldChar w:fldCharType="separate"/>
        </w:r>
        <w:r w:rsidR="00565C85">
          <w:rPr>
            <w:noProof/>
            <w:webHidden/>
          </w:rPr>
          <w:t>43</w:t>
        </w:r>
        <w:r w:rsidR="008141CB">
          <w:rPr>
            <w:noProof/>
            <w:webHidden/>
          </w:rPr>
          <w:fldChar w:fldCharType="end"/>
        </w:r>
      </w:hyperlink>
    </w:p>
    <w:p w:rsidR="0030608B" w:rsidRPr="007E6BFE" w:rsidRDefault="008141CB" w:rsidP="0030608B">
      <w:pPr>
        <w:rPr>
          <w:rFonts w:ascii="Arial" w:hAnsi="Arial" w:cs="Arial"/>
          <w:noProof/>
        </w:rPr>
      </w:pPr>
      <w:r>
        <w:rPr>
          <w:rFonts w:ascii="Arial" w:hAnsi="Arial" w:cs="Arial"/>
          <w:noProof/>
        </w:rPr>
        <w:fldChar w:fldCharType="end"/>
      </w:r>
    </w:p>
    <w:p w:rsidR="00A0720B" w:rsidRPr="00552975" w:rsidRDefault="00552975" w:rsidP="00552975">
      <w:pPr>
        <w:spacing w:after="150" w:line="240" w:lineRule="auto"/>
        <w:rPr>
          <w:rFonts w:ascii="Arial" w:eastAsia="Times New Roman" w:hAnsi="Arial" w:cs="Arial"/>
          <w:i/>
          <w:sz w:val="27"/>
          <w:szCs w:val="27"/>
        </w:rPr>
      </w:pPr>
      <w:r w:rsidRPr="00730584">
        <w:rPr>
          <w:rFonts w:ascii="Arial" w:eastAsia="Times New Roman" w:hAnsi="Arial" w:cs="Arial"/>
          <w:i/>
        </w:rPr>
        <w:t xml:space="preserve">The Exchange </w:t>
      </w:r>
      <w:r w:rsidR="00FE0578">
        <w:rPr>
          <w:rFonts w:ascii="Arial" w:eastAsia="Times New Roman" w:hAnsi="Arial" w:cs="Arial"/>
          <w:i/>
        </w:rPr>
        <w:t>Application</w:t>
      </w:r>
      <w:r w:rsidR="00E339DD">
        <w:rPr>
          <w:rFonts w:ascii="Arial" w:eastAsia="Times New Roman" w:hAnsi="Arial" w:cs="Arial"/>
          <w:i/>
        </w:rPr>
        <w:t xml:space="preserve"> </w:t>
      </w:r>
      <w:r w:rsidR="00787834">
        <w:rPr>
          <w:rFonts w:ascii="Arial" w:eastAsia="Times New Roman" w:hAnsi="Arial" w:cs="Arial"/>
          <w:i/>
        </w:rPr>
        <w:t>must</w:t>
      </w:r>
      <w:r w:rsidR="00E339DD">
        <w:rPr>
          <w:rFonts w:ascii="Arial" w:eastAsia="Times New Roman" w:hAnsi="Arial" w:cs="Arial"/>
          <w:i/>
        </w:rPr>
        <w:t xml:space="preserve"> be completed online</w:t>
      </w:r>
      <w:r w:rsidR="00AA7E40">
        <w:rPr>
          <w:rFonts w:ascii="Arial" w:eastAsia="Times New Roman" w:hAnsi="Arial" w:cs="Arial"/>
          <w:i/>
        </w:rPr>
        <w:t xml:space="preserve">.  </w:t>
      </w:r>
      <w:r w:rsidR="00AB0215">
        <w:rPr>
          <w:rFonts w:ascii="Arial" w:eastAsia="Times New Roman" w:hAnsi="Arial" w:cs="Arial"/>
          <w:i/>
        </w:rPr>
        <w:t>Beginning September 14, 2012,</w:t>
      </w:r>
      <w:r w:rsidR="00E87E49">
        <w:rPr>
          <w:rFonts w:ascii="Arial" w:eastAsia="Times New Roman" w:hAnsi="Arial" w:cs="Arial"/>
          <w:i/>
        </w:rPr>
        <w:t xml:space="preserve"> the Exchange Application</w:t>
      </w:r>
      <w:r w:rsidR="00AB0215">
        <w:rPr>
          <w:rFonts w:ascii="Arial" w:eastAsia="Times New Roman" w:hAnsi="Arial" w:cs="Arial"/>
          <w:i/>
        </w:rPr>
        <w:t xml:space="preserve"> will be</w:t>
      </w:r>
      <w:r w:rsidRPr="00730584">
        <w:rPr>
          <w:rFonts w:ascii="Arial" w:eastAsia="Times New Roman" w:hAnsi="Arial" w:cs="Arial"/>
          <w:i/>
        </w:rPr>
        <w:t xml:space="preserve"> available for online </w:t>
      </w:r>
      <w:r w:rsidR="00AB0215">
        <w:rPr>
          <w:rFonts w:ascii="Arial" w:eastAsia="Times New Roman" w:hAnsi="Arial" w:cs="Arial"/>
          <w:i/>
        </w:rPr>
        <w:t xml:space="preserve">completion and </w:t>
      </w:r>
      <w:r w:rsidRPr="00730584">
        <w:rPr>
          <w:rFonts w:ascii="Arial" w:eastAsia="Times New Roman" w:hAnsi="Arial" w:cs="Arial"/>
          <w:i/>
        </w:rPr>
        <w:t xml:space="preserve">submission on </w:t>
      </w:r>
      <w:r w:rsidR="00D246BB">
        <w:rPr>
          <w:rFonts w:ascii="Arial" w:eastAsia="Times New Roman" w:hAnsi="Arial" w:cs="Arial"/>
          <w:i/>
        </w:rPr>
        <w:t>CMS’ Cen</w:t>
      </w:r>
      <w:r w:rsidRPr="00730584">
        <w:rPr>
          <w:rFonts w:ascii="Arial" w:eastAsia="Times New Roman" w:hAnsi="Arial" w:cs="Arial"/>
          <w:i/>
        </w:rPr>
        <w:t xml:space="preserve">ter for Consumer Information and Insurance Oversight’s (CCIIO) State Exchange Resource and Virtual Information System (SERVIS) system </w:t>
      </w:r>
      <w:hyperlink r:id="rId15" w:history="1">
        <w:r w:rsidR="002B6C19" w:rsidRPr="002B6C19">
          <w:rPr>
            <w:rStyle w:val="Hyperlink"/>
            <w:rFonts w:ascii="Arial" w:hAnsi="Arial" w:cs="Arial"/>
          </w:rPr>
          <w:t>https://servis.cms.gov</w:t>
        </w:r>
      </w:hyperlink>
      <w:r w:rsidR="002B6C19" w:rsidRPr="002B6C19">
        <w:rPr>
          <w:rFonts w:ascii="Arial" w:hAnsi="Arial" w:cs="Arial"/>
        </w:rPr>
        <w:t>.</w:t>
      </w:r>
      <w:r w:rsidR="00A172B8">
        <w:rPr>
          <w:rStyle w:val="FootnoteReference"/>
          <w:rFonts w:ascii="Arial" w:hAnsi="Arial" w:cs="Arial"/>
        </w:rPr>
        <w:footnoteReference w:id="6"/>
      </w:r>
      <w:r w:rsidR="002B6C19">
        <w:t xml:space="preserve"> </w:t>
      </w:r>
      <w:r w:rsidRPr="00730584">
        <w:rPr>
          <w:rFonts w:ascii="Arial" w:eastAsia="Times New Roman" w:hAnsi="Arial" w:cs="Arial"/>
          <w:i/>
        </w:rPr>
        <w:t xml:space="preserve">The online </w:t>
      </w:r>
      <w:r w:rsidR="00E87E49">
        <w:rPr>
          <w:rFonts w:ascii="Arial" w:eastAsia="Times New Roman" w:hAnsi="Arial" w:cs="Arial"/>
          <w:i/>
        </w:rPr>
        <w:t xml:space="preserve">Exchange </w:t>
      </w:r>
      <w:r w:rsidR="00FE0578">
        <w:rPr>
          <w:rFonts w:ascii="Arial" w:eastAsia="Times New Roman" w:hAnsi="Arial" w:cs="Arial"/>
          <w:i/>
        </w:rPr>
        <w:t>Application</w:t>
      </w:r>
      <w:r w:rsidRPr="00730584">
        <w:rPr>
          <w:rFonts w:ascii="Arial" w:eastAsia="Times New Roman" w:hAnsi="Arial" w:cs="Arial"/>
          <w:i/>
        </w:rPr>
        <w:t xml:space="preserve"> has been designed so only the ques</w:t>
      </w:r>
      <w:r w:rsidR="00121249">
        <w:rPr>
          <w:rFonts w:ascii="Arial" w:eastAsia="Times New Roman" w:hAnsi="Arial" w:cs="Arial"/>
          <w:i/>
        </w:rPr>
        <w:t>tions relevant to the Exchange M</w:t>
      </w:r>
      <w:r w:rsidRPr="00730584">
        <w:rPr>
          <w:rFonts w:ascii="Arial" w:eastAsia="Times New Roman" w:hAnsi="Arial" w:cs="Arial"/>
          <w:i/>
        </w:rPr>
        <w:t>odel the State has selected will be presented to the applicant</w:t>
      </w:r>
      <w:r w:rsidR="00AA7E40" w:rsidRPr="00730584">
        <w:rPr>
          <w:rFonts w:ascii="Arial" w:eastAsia="Times New Roman" w:hAnsi="Arial" w:cs="Arial"/>
          <w:i/>
        </w:rPr>
        <w:t xml:space="preserve">.  </w:t>
      </w:r>
      <w:r w:rsidR="0030608B" w:rsidRPr="007E6BFE">
        <w:rPr>
          <w:rFonts w:ascii="Arial" w:hAnsi="Arial" w:cs="Arial"/>
          <w:sz w:val="24"/>
          <w:szCs w:val="24"/>
        </w:rPr>
        <w:br w:type="page"/>
      </w:r>
    </w:p>
    <w:p w:rsidR="00356B38" w:rsidRDefault="00356B38" w:rsidP="00610835">
      <w:pPr>
        <w:pStyle w:val="Heading1"/>
        <w:numPr>
          <w:ilvl w:val="0"/>
          <w:numId w:val="0"/>
        </w:numPr>
        <w:pBdr>
          <w:bottom w:val="single" w:sz="4" w:space="13" w:color="auto"/>
        </w:pBdr>
      </w:pPr>
    </w:p>
    <w:p w:rsidR="0030608B" w:rsidRPr="007E6BFE" w:rsidRDefault="002D6CB3" w:rsidP="00610835">
      <w:pPr>
        <w:pStyle w:val="Heading1"/>
        <w:numPr>
          <w:ilvl w:val="0"/>
          <w:numId w:val="0"/>
        </w:numPr>
        <w:pBdr>
          <w:bottom w:val="single" w:sz="4" w:space="13" w:color="auto"/>
        </w:pBdr>
      </w:pPr>
      <w:bookmarkStart w:id="1" w:name="_Toc329259018"/>
      <w:r>
        <w:t xml:space="preserve">Application </w:t>
      </w:r>
      <w:r w:rsidR="0075045B">
        <w:t>Instructions</w:t>
      </w:r>
      <w:bookmarkEnd w:id="1"/>
      <w:r w:rsidR="00606C32">
        <w:t xml:space="preserve"> </w:t>
      </w:r>
    </w:p>
    <w:p w:rsidR="00926137" w:rsidRDefault="00926137" w:rsidP="00AA7A0D">
      <w:pPr>
        <w:spacing w:after="0"/>
        <w:rPr>
          <w:rFonts w:ascii="Gill Sans MT" w:hAnsi="Gill Sans MT" w:cs="Arial"/>
          <w:b/>
          <w:color w:val="1F497D" w:themeColor="text2"/>
          <w:sz w:val="28"/>
          <w:szCs w:val="28"/>
        </w:rPr>
      </w:pPr>
      <w:bookmarkStart w:id="2" w:name="_Ref321138854"/>
    </w:p>
    <w:p w:rsidR="001D68CB" w:rsidRDefault="001D68CB" w:rsidP="00A14363">
      <w:pPr>
        <w:pStyle w:val="Heading2"/>
        <w:rPr>
          <w:rFonts w:ascii="Arial" w:hAnsi="Arial"/>
        </w:rPr>
      </w:pPr>
      <w:r>
        <w:t>Introduction</w:t>
      </w:r>
    </w:p>
    <w:p w:rsidR="001D68CB" w:rsidRPr="009F0A9A" w:rsidRDefault="001D68CB" w:rsidP="001D68CB">
      <w:pPr>
        <w:rPr>
          <w:rFonts w:ascii="Arial" w:hAnsi="Arial" w:cs="Arial"/>
        </w:rPr>
      </w:pPr>
      <w:r>
        <w:rPr>
          <w:rFonts w:ascii="Arial" w:hAnsi="Arial" w:cs="Arial"/>
        </w:rPr>
        <w:t>In a</w:t>
      </w:r>
      <w:r w:rsidR="007A571E">
        <w:rPr>
          <w:rFonts w:ascii="Arial" w:hAnsi="Arial" w:cs="Arial"/>
        </w:rPr>
        <w:t>ddition to a</w:t>
      </w:r>
      <w:r w:rsidR="00D86406">
        <w:rPr>
          <w:rFonts w:ascii="Arial" w:hAnsi="Arial" w:cs="Arial"/>
        </w:rPr>
        <w:t xml:space="preserve"> </w:t>
      </w:r>
      <w:r w:rsidR="00DC7397">
        <w:rPr>
          <w:rFonts w:ascii="Arial" w:hAnsi="Arial" w:cs="Arial"/>
        </w:rPr>
        <w:t>Declaration L</w:t>
      </w:r>
      <w:r>
        <w:rPr>
          <w:rFonts w:ascii="Arial" w:hAnsi="Arial" w:cs="Arial"/>
        </w:rPr>
        <w:t>etter, a complete Exchange Blueprint requires submission of an Exchange Application</w:t>
      </w:r>
      <w:r w:rsidR="00AA7E40">
        <w:rPr>
          <w:rFonts w:ascii="Arial" w:hAnsi="Arial" w:cs="Arial"/>
        </w:rPr>
        <w:t xml:space="preserve">.  </w:t>
      </w:r>
      <w:r>
        <w:rPr>
          <w:rFonts w:ascii="Arial" w:hAnsi="Arial" w:cs="Arial"/>
        </w:rPr>
        <w:t xml:space="preserve">This </w:t>
      </w:r>
      <w:r w:rsidR="00E87E49">
        <w:rPr>
          <w:rFonts w:ascii="Arial" w:hAnsi="Arial" w:cs="Arial"/>
        </w:rPr>
        <w:t xml:space="preserve">Exchange </w:t>
      </w:r>
      <w:r>
        <w:rPr>
          <w:rFonts w:ascii="Arial" w:hAnsi="Arial" w:cs="Arial"/>
        </w:rPr>
        <w:t>Application is used to document a State’s completion</w:t>
      </w:r>
      <w:r w:rsidR="00E87E49">
        <w:rPr>
          <w:rFonts w:ascii="Arial" w:hAnsi="Arial" w:cs="Arial"/>
        </w:rPr>
        <w:t>,</w:t>
      </w:r>
      <w:r>
        <w:rPr>
          <w:rFonts w:ascii="Arial" w:hAnsi="Arial" w:cs="Arial"/>
        </w:rPr>
        <w:t xml:space="preserve"> or progress towards complet</w:t>
      </w:r>
      <w:r w:rsidR="00564B17">
        <w:rPr>
          <w:rFonts w:ascii="Arial" w:hAnsi="Arial" w:cs="Arial"/>
        </w:rPr>
        <w:t>ion</w:t>
      </w:r>
      <w:r w:rsidR="00E87E49">
        <w:rPr>
          <w:rFonts w:ascii="Arial" w:hAnsi="Arial" w:cs="Arial"/>
        </w:rPr>
        <w:t>,</w:t>
      </w:r>
      <w:r w:rsidR="00564B17">
        <w:rPr>
          <w:rFonts w:ascii="Arial" w:hAnsi="Arial" w:cs="Arial"/>
        </w:rPr>
        <w:t xml:space="preserve"> of all Exchange requirements</w:t>
      </w:r>
      <w:r>
        <w:rPr>
          <w:rFonts w:ascii="Arial" w:hAnsi="Arial" w:cs="Arial"/>
        </w:rPr>
        <w:t xml:space="preserve">, either as a State-based Exchange or State Partnership </w:t>
      </w:r>
      <w:r w:rsidRPr="009F0A9A">
        <w:rPr>
          <w:rFonts w:ascii="Arial" w:hAnsi="Arial" w:cs="Arial"/>
        </w:rPr>
        <w:t xml:space="preserve">Exchange. </w:t>
      </w:r>
    </w:p>
    <w:p w:rsidR="00205B9B" w:rsidRPr="00A14363" w:rsidRDefault="00205B9B" w:rsidP="00A14363">
      <w:pPr>
        <w:pStyle w:val="Heading2"/>
      </w:pPr>
      <w:r>
        <w:t xml:space="preserve">Exchange Application: Overview of </w:t>
      </w:r>
      <w:r w:rsidR="00FE0578" w:rsidRPr="009F0A9A">
        <w:t>Exchange Activities</w:t>
      </w:r>
      <w:r w:rsidR="005523DE" w:rsidRPr="009F0A9A">
        <w:t xml:space="preserve"> </w:t>
      </w:r>
    </w:p>
    <w:p w:rsidR="00E66AD7" w:rsidRDefault="00FE0578" w:rsidP="00564B17">
      <w:pPr>
        <w:rPr>
          <w:rFonts w:ascii="Arial" w:hAnsi="Arial" w:cs="Arial"/>
        </w:rPr>
      </w:pPr>
      <w:r w:rsidRPr="000F6FF9">
        <w:rPr>
          <w:rFonts w:ascii="Arial" w:hAnsi="Arial" w:cs="Arial"/>
        </w:rPr>
        <w:t xml:space="preserve">The Exchange </w:t>
      </w:r>
      <w:r>
        <w:rPr>
          <w:rFonts w:ascii="Arial" w:hAnsi="Arial" w:cs="Arial"/>
        </w:rPr>
        <w:t xml:space="preserve">Application </w:t>
      </w:r>
      <w:r w:rsidRPr="000F6FF9">
        <w:rPr>
          <w:rFonts w:ascii="Arial" w:hAnsi="Arial" w:cs="Arial"/>
        </w:rPr>
        <w:t>is comprised of a</w:t>
      </w:r>
      <w:r w:rsidR="00564B17">
        <w:rPr>
          <w:rFonts w:ascii="Arial" w:hAnsi="Arial" w:cs="Arial"/>
        </w:rPr>
        <w:t xml:space="preserve"> list of a</w:t>
      </w:r>
      <w:r w:rsidRPr="000F6FF9">
        <w:rPr>
          <w:rFonts w:ascii="Arial" w:hAnsi="Arial" w:cs="Arial"/>
        </w:rPr>
        <w:t>ctivities that a</w:t>
      </w:r>
      <w:r w:rsidR="003760E1">
        <w:rPr>
          <w:rFonts w:ascii="Arial" w:hAnsi="Arial" w:cs="Arial"/>
        </w:rPr>
        <w:t xml:space="preserve"> State-based </w:t>
      </w:r>
      <w:r>
        <w:rPr>
          <w:rFonts w:ascii="Arial" w:hAnsi="Arial" w:cs="Arial"/>
        </w:rPr>
        <w:t xml:space="preserve">Exchange </w:t>
      </w:r>
      <w:r w:rsidR="00E87E49">
        <w:rPr>
          <w:rFonts w:ascii="Arial" w:hAnsi="Arial" w:cs="Arial"/>
        </w:rPr>
        <w:t xml:space="preserve">or State Partnership Exchange </w:t>
      </w:r>
      <w:r w:rsidR="00547AB5">
        <w:rPr>
          <w:rFonts w:ascii="Arial" w:hAnsi="Arial" w:cs="Arial"/>
        </w:rPr>
        <w:t>must</w:t>
      </w:r>
      <w:r w:rsidRPr="000F6FF9">
        <w:rPr>
          <w:rFonts w:ascii="Arial" w:hAnsi="Arial" w:cs="Arial"/>
        </w:rPr>
        <w:t xml:space="preserve"> perform </w:t>
      </w:r>
      <w:r w:rsidR="003760E1">
        <w:rPr>
          <w:rFonts w:ascii="Arial" w:hAnsi="Arial" w:cs="Arial"/>
        </w:rPr>
        <w:t xml:space="preserve">to </w:t>
      </w:r>
      <w:r w:rsidR="00E87E49">
        <w:rPr>
          <w:rFonts w:ascii="Arial" w:hAnsi="Arial" w:cs="Arial"/>
        </w:rPr>
        <w:t xml:space="preserve">comply </w:t>
      </w:r>
      <w:r w:rsidRPr="000F6FF9">
        <w:rPr>
          <w:rFonts w:ascii="Arial" w:hAnsi="Arial" w:cs="Arial"/>
        </w:rPr>
        <w:t>with the A</w:t>
      </w:r>
      <w:r>
        <w:rPr>
          <w:rFonts w:ascii="Arial" w:hAnsi="Arial" w:cs="Arial"/>
        </w:rPr>
        <w:t>ffordable Care Act</w:t>
      </w:r>
      <w:r w:rsidRPr="000F6FF9">
        <w:rPr>
          <w:rFonts w:ascii="Arial" w:hAnsi="Arial" w:cs="Arial"/>
        </w:rPr>
        <w:t xml:space="preserve"> and associated </w:t>
      </w:r>
      <w:r w:rsidRPr="00BF0E18">
        <w:rPr>
          <w:rFonts w:ascii="Arial" w:hAnsi="Arial" w:cs="Arial"/>
        </w:rPr>
        <w:t>regulations.</w:t>
      </w:r>
      <w:r w:rsidR="00C60995">
        <w:rPr>
          <w:rFonts w:ascii="Arial" w:hAnsi="Arial" w:cs="Arial"/>
        </w:rPr>
        <w:t xml:space="preserve"> In some instances, a State may use Federal services to perform an Exchange activity. Table 1 outlines all of the Exchange activities</w:t>
      </w:r>
      <w:r w:rsidR="00283F30">
        <w:rPr>
          <w:rFonts w:ascii="Arial" w:hAnsi="Arial" w:cs="Arial"/>
        </w:rPr>
        <w:t xml:space="preserve"> that an Exchange must perform </w:t>
      </w:r>
      <w:r w:rsidR="00C60995">
        <w:rPr>
          <w:rFonts w:ascii="Arial" w:hAnsi="Arial" w:cs="Arial"/>
        </w:rPr>
        <w:t xml:space="preserve">and </w:t>
      </w:r>
      <w:r w:rsidR="00283F30">
        <w:rPr>
          <w:rFonts w:ascii="Arial" w:hAnsi="Arial" w:cs="Arial"/>
        </w:rPr>
        <w:t>can</w:t>
      </w:r>
      <w:r w:rsidR="00C60995">
        <w:rPr>
          <w:rFonts w:ascii="Arial" w:hAnsi="Arial" w:cs="Arial"/>
        </w:rPr>
        <w:t xml:space="preserve"> serve as a roadmap</w:t>
      </w:r>
      <w:r w:rsidR="00283F30">
        <w:rPr>
          <w:rFonts w:ascii="Arial" w:hAnsi="Arial" w:cs="Arial"/>
        </w:rPr>
        <w:t xml:space="preserve"> for Exchange development</w:t>
      </w:r>
      <w:r w:rsidR="00C60995">
        <w:rPr>
          <w:rFonts w:ascii="Arial" w:hAnsi="Arial" w:cs="Arial"/>
        </w:rPr>
        <w:t xml:space="preserve">.  </w:t>
      </w:r>
      <w:bookmarkStart w:id="3" w:name="_Ref322095560"/>
    </w:p>
    <w:p w:rsidR="00E66AD7" w:rsidRDefault="00E66AD7" w:rsidP="00E66AD7">
      <w:pPr>
        <w:rPr>
          <w:rFonts w:ascii="Arial" w:hAnsi="Arial" w:cs="Arial"/>
        </w:rPr>
      </w:pPr>
      <w:r w:rsidRPr="00C41D25">
        <w:rPr>
          <w:rFonts w:ascii="Arial" w:hAnsi="Arial" w:cs="Arial"/>
        </w:rPr>
        <w:t xml:space="preserve">States that are seeking Approval of their </w:t>
      </w:r>
      <w:r>
        <w:rPr>
          <w:rFonts w:ascii="Arial" w:hAnsi="Arial" w:cs="Arial"/>
        </w:rPr>
        <w:t>State-based</w:t>
      </w:r>
      <w:r w:rsidR="008B4C7D">
        <w:rPr>
          <w:rFonts w:ascii="Arial" w:hAnsi="Arial" w:cs="Arial"/>
        </w:rPr>
        <w:t xml:space="preserve"> </w:t>
      </w:r>
      <w:r>
        <w:rPr>
          <w:rFonts w:ascii="Arial" w:hAnsi="Arial" w:cs="Arial"/>
        </w:rPr>
        <w:t xml:space="preserve">Exchange </w:t>
      </w:r>
      <w:r w:rsidRPr="00C41D25">
        <w:rPr>
          <w:rFonts w:ascii="Arial" w:hAnsi="Arial" w:cs="Arial"/>
        </w:rPr>
        <w:t xml:space="preserve">or </w:t>
      </w:r>
      <w:r>
        <w:rPr>
          <w:rFonts w:ascii="Arial" w:hAnsi="Arial" w:cs="Arial"/>
        </w:rPr>
        <w:t>State Partnership Exchange</w:t>
      </w:r>
      <w:r w:rsidR="00C60995">
        <w:rPr>
          <w:rFonts w:ascii="Arial" w:hAnsi="Arial" w:cs="Arial"/>
        </w:rPr>
        <w:t xml:space="preserve"> should use Table 1 to complete the Application accordingly.</w:t>
      </w:r>
      <w:r w:rsidRPr="00C41D25">
        <w:rPr>
          <w:rFonts w:ascii="Arial" w:hAnsi="Arial" w:cs="Arial"/>
        </w:rPr>
        <w:t xml:space="preserve"> </w:t>
      </w:r>
      <w:r w:rsidR="00C60995">
        <w:rPr>
          <w:rFonts w:ascii="Arial" w:hAnsi="Arial" w:cs="Arial"/>
        </w:rPr>
        <w:t xml:space="preserve"> </w:t>
      </w:r>
      <w:r>
        <w:rPr>
          <w:rFonts w:ascii="Arial" w:hAnsi="Arial" w:cs="Arial"/>
        </w:rPr>
        <w:t>Required activities within an Exchange mod</w:t>
      </w:r>
      <w:r w:rsidR="00FE3E00">
        <w:rPr>
          <w:rFonts w:ascii="Arial" w:hAnsi="Arial" w:cs="Arial"/>
        </w:rPr>
        <w:t xml:space="preserve">el are designated with an “X”. </w:t>
      </w:r>
      <w:r>
        <w:rPr>
          <w:rFonts w:ascii="Arial" w:hAnsi="Arial" w:cs="Arial"/>
        </w:rPr>
        <w:t>Select activities are also described as “if applic</w:t>
      </w:r>
      <w:r w:rsidR="00C60995">
        <w:rPr>
          <w:rFonts w:ascii="Arial" w:hAnsi="Arial" w:cs="Arial"/>
        </w:rPr>
        <w:t>able</w:t>
      </w:r>
      <w:r w:rsidR="002D6CB3">
        <w:rPr>
          <w:rFonts w:ascii="Arial" w:hAnsi="Arial" w:cs="Arial"/>
        </w:rPr>
        <w:t>,</w:t>
      </w:r>
      <w:r w:rsidR="00C60995">
        <w:rPr>
          <w:rFonts w:ascii="Arial" w:hAnsi="Arial" w:cs="Arial"/>
        </w:rPr>
        <w:t>”</w:t>
      </w:r>
      <w:r w:rsidR="002D6CB3">
        <w:rPr>
          <w:rFonts w:ascii="Arial" w:hAnsi="Arial" w:cs="Arial"/>
        </w:rPr>
        <w:t xml:space="preserve"> “</w:t>
      </w:r>
      <w:r w:rsidR="005517B2">
        <w:rPr>
          <w:rFonts w:ascii="Arial" w:hAnsi="Arial" w:cs="Arial"/>
        </w:rPr>
        <w:t>can</w:t>
      </w:r>
      <w:r w:rsidR="002D6CB3">
        <w:rPr>
          <w:rFonts w:ascii="Arial" w:hAnsi="Arial" w:cs="Arial"/>
        </w:rPr>
        <w:t xml:space="preserve"> </w:t>
      </w:r>
      <w:r w:rsidR="00715493">
        <w:rPr>
          <w:rFonts w:ascii="Arial" w:hAnsi="Arial" w:cs="Arial"/>
        </w:rPr>
        <w:t>use Federal government services</w:t>
      </w:r>
      <w:r w:rsidR="00C60995">
        <w:rPr>
          <w:rFonts w:ascii="Arial" w:hAnsi="Arial" w:cs="Arial"/>
        </w:rPr>
        <w:t>,</w:t>
      </w:r>
      <w:r w:rsidR="00715493">
        <w:rPr>
          <w:rFonts w:ascii="Arial" w:hAnsi="Arial" w:cs="Arial"/>
        </w:rPr>
        <w:t>”</w:t>
      </w:r>
      <w:r>
        <w:rPr>
          <w:rFonts w:ascii="Arial" w:hAnsi="Arial" w:cs="Arial"/>
        </w:rPr>
        <w:t xml:space="preserve"> “may e</w:t>
      </w:r>
      <w:r w:rsidR="00C60995">
        <w:rPr>
          <w:rFonts w:ascii="Arial" w:hAnsi="Arial" w:cs="Arial"/>
        </w:rPr>
        <w:t>lect to perform,” and “optional</w:t>
      </w:r>
      <w:r>
        <w:rPr>
          <w:rFonts w:ascii="Arial" w:hAnsi="Arial" w:cs="Arial"/>
        </w:rPr>
        <w:t>.</w:t>
      </w:r>
      <w:r w:rsidR="002B6079">
        <w:rPr>
          <w:rFonts w:ascii="Arial" w:hAnsi="Arial" w:cs="Arial"/>
        </w:rPr>
        <w:t>”</w:t>
      </w:r>
      <w:r>
        <w:rPr>
          <w:rFonts w:ascii="Arial" w:hAnsi="Arial" w:cs="Arial"/>
        </w:rPr>
        <w:t xml:space="preserve">  States may attest to activities being completed by the Exchange or a designee – through contract, agreement, or other arrangement; however, the Exchange is ultimately responsible for successful performance of the activity.</w:t>
      </w:r>
    </w:p>
    <w:p w:rsidR="003760E1" w:rsidRDefault="003760E1" w:rsidP="00FE0578">
      <w:pPr>
        <w:rPr>
          <w:rFonts w:ascii="Arial" w:hAnsi="Arial" w:cs="Arial"/>
        </w:rPr>
      </w:pPr>
      <w:r w:rsidRPr="00FE31CB">
        <w:rPr>
          <w:rFonts w:ascii="Arial" w:hAnsi="Arial" w:cs="Arial"/>
        </w:rPr>
        <w:t xml:space="preserve">Approval requirements for a </w:t>
      </w:r>
      <w:r>
        <w:rPr>
          <w:rFonts w:ascii="Arial" w:hAnsi="Arial" w:cs="Arial"/>
        </w:rPr>
        <w:t>State Partnership Exchange</w:t>
      </w:r>
      <w:r w:rsidRPr="00FE31CB">
        <w:rPr>
          <w:rFonts w:ascii="Arial" w:hAnsi="Arial" w:cs="Arial"/>
        </w:rPr>
        <w:t xml:space="preserve"> will mirror </w:t>
      </w:r>
      <w:r>
        <w:rPr>
          <w:rFonts w:ascii="Arial" w:hAnsi="Arial" w:cs="Arial"/>
        </w:rPr>
        <w:t>State-based Exchange</w:t>
      </w:r>
      <w:r w:rsidRPr="00FE31CB">
        <w:rPr>
          <w:rFonts w:ascii="Arial" w:hAnsi="Arial" w:cs="Arial"/>
        </w:rPr>
        <w:t xml:space="preserve"> Approval requirements for </w:t>
      </w:r>
      <w:r w:rsidR="009F31FF">
        <w:rPr>
          <w:rFonts w:ascii="Arial" w:hAnsi="Arial" w:cs="Arial"/>
        </w:rPr>
        <w:t>those</w:t>
      </w:r>
      <w:r w:rsidRPr="00FE31CB">
        <w:rPr>
          <w:rFonts w:ascii="Arial" w:hAnsi="Arial" w:cs="Arial"/>
        </w:rPr>
        <w:t xml:space="preserve"> activities a State elects to </w:t>
      </w:r>
      <w:r>
        <w:rPr>
          <w:rFonts w:ascii="Arial" w:hAnsi="Arial" w:cs="Arial"/>
        </w:rPr>
        <w:t>perform within a Federally-facilitated Exchange</w:t>
      </w:r>
      <w:r w:rsidRPr="00FE31CB">
        <w:rPr>
          <w:rFonts w:ascii="Arial" w:hAnsi="Arial" w:cs="Arial"/>
        </w:rPr>
        <w:t xml:space="preserve">.  Therefore, all States that seek Approval of a </w:t>
      </w:r>
      <w:r>
        <w:rPr>
          <w:rFonts w:ascii="Arial" w:hAnsi="Arial" w:cs="Arial"/>
        </w:rPr>
        <w:t>State-based Exchange</w:t>
      </w:r>
      <w:r w:rsidRPr="00FE31CB">
        <w:rPr>
          <w:rFonts w:ascii="Arial" w:hAnsi="Arial" w:cs="Arial"/>
        </w:rPr>
        <w:t xml:space="preserve"> or a </w:t>
      </w:r>
      <w:r>
        <w:rPr>
          <w:rFonts w:ascii="Arial" w:hAnsi="Arial" w:cs="Arial"/>
        </w:rPr>
        <w:t>State Partnership Exchange</w:t>
      </w:r>
      <w:r w:rsidRPr="00FE31CB">
        <w:rPr>
          <w:rFonts w:ascii="Arial" w:hAnsi="Arial" w:cs="Arial"/>
        </w:rPr>
        <w:t xml:space="preserve"> </w:t>
      </w:r>
      <w:r>
        <w:rPr>
          <w:rFonts w:ascii="Arial" w:hAnsi="Arial" w:cs="Arial"/>
        </w:rPr>
        <w:t xml:space="preserve">can </w:t>
      </w:r>
      <w:r w:rsidRPr="00FE31CB">
        <w:rPr>
          <w:rFonts w:ascii="Arial" w:hAnsi="Arial" w:cs="Arial"/>
        </w:rPr>
        <w:t xml:space="preserve">use this </w:t>
      </w:r>
      <w:r>
        <w:rPr>
          <w:rFonts w:ascii="Arial" w:hAnsi="Arial" w:cs="Arial"/>
        </w:rPr>
        <w:t xml:space="preserve">list of activities and common elements </w:t>
      </w:r>
      <w:r w:rsidRPr="00FE31CB">
        <w:rPr>
          <w:rFonts w:ascii="Arial" w:hAnsi="Arial" w:cs="Arial"/>
        </w:rPr>
        <w:t>as part of the Exchange Approval process</w:t>
      </w:r>
      <w:r w:rsidR="00AA7E40" w:rsidRPr="00FE31CB">
        <w:rPr>
          <w:rFonts w:ascii="Arial" w:hAnsi="Arial" w:cs="Arial"/>
        </w:rPr>
        <w:t>.</w:t>
      </w:r>
      <w:r w:rsidR="00AA7E40">
        <w:rPr>
          <w:rFonts w:ascii="Arial" w:hAnsi="Arial" w:cs="Arial"/>
        </w:rPr>
        <w:t xml:space="preserve">  </w:t>
      </w:r>
      <w:r>
        <w:rPr>
          <w:rFonts w:ascii="Arial" w:hAnsi="Arial" w:cs="Arial"/>
        </w:rPr>
        <w:t xml:space="preserve">The activities associated with the </w:t>
      </w:r>
      <w:r w:rsidR="002835DE">
        <w:rPr>
          <w:rFonts w:ascii="Arial" w:hAnsi="Arial" w:cs="Arial"/>
        </w:rPr>
        <w:t xml:space="preserve">State </w:t>
      </w:r>
      <w:r>
        <w:rPr>
          <w:rFonts w:ascii="Arial" w:hAnsi="Arial" w:cs="Arial"/>
        </w:rPr>
        <w:t>Partnership Exchanges are similarly designated</w:t>
      </w:r>
      <w:r w:rsidR="002835DE">
        <w:rPr>
          <w:rFonts w:ascii="Arial" w:hAnsi="Arial" w:cs="Arial"/>
        </w:rPr>
        <w:t xml:space="preserve"> in Table 1</w:t>
      </w:r>
      <w:r>
        <w:rPr>
          <w:rFonts w:ascii="Arial" w:hAnsi="Arial" w:cs="Arial"/>
        </w:rPr>
        <w:t xml:space="preserve"> below.  </w:t>
      </w:r>
    </w:p>
    <w:p w:rsidR="003760E1" w:rsidRDefault="003760E1" w:rsidP="00EE3BBF">
      <w:pPr>
        <w:rPr>
          <w:rFonts w:ascii="Arial" w:hAnsi="Arial" w:cs="Arial"/>
        </w:rPr>
      </w:pPr>
      <w:r>
        <w:rPr>
          <w:rFonts w:ascii="Arial" w:hAnsi="Arial" w:cs="Arial"/>
        </w:rPr>
        <w:t xml:space="preserve">States </w:t>
      </w:r>
      <w:r w:rsidR="00574371">
        <w:rPr>
          <w:rFonts w:ascii="Arial" w:hAnsi="Arial" w:cs="Arial"/>
        </w:rPr>
        <w:t>that</w:t>
      </w:r>
      <w:r>
        <w:rPr>
          <w:rFonts w:ascii="Arial" w:hAnsi="Arial" w:cs="Arial"/>
        </w:rPr>
        <w:t xml:space="preserve"> are applying to be State-based Exchanges are </w:t>
      </w:r>
      <w:r w:rsidR="00574371">
        <w:rPr>
          <w:rFonts w:ascii="Arial" w:hAnsi="Arial" w:cs="Arial"/>
        </w:rPr>
        <w:t xml:space="preserve">also </w:t>
      </w:r>
      <w:r w:rsidR="009C49F3">
        <w:rPr>
          <w:rFonts w:ascii="Arial" w:hAnsi="Arial" w:cs="Arial"/>
        </w:rPr>
        <w:t>encouraged</w:t>
      </w:r>
      <w:r>
        <w:rPr>
          <w:rFonts w:ascii="Arial" w:hAnsi="Arial" w:cs="Arial"/>
        </w:rPr>
        <w:t xml:space="preserve"> to complete the subset of activities associated with the Partn</w:t>
      </w:r>
      <w:r w:rsidR="00B068A1">
        <w:rPr>
          <w:rFonts w:ascii="Arial" w:hAnsi="Arial" w:cs="Arial"/>
        </w:rPr>
        <w:t>ership model</w:t>
      </w:r>
      <w:r w:rsidR="008B4C7D">
        <w:rPr>
          <w:rFonts w:ascii="Arial" w:hAnsi="Arial" w:cs="Arial"/>
        </w:rPr>
        <w:t>s</w:t>
      </w:r>
      <w:r w:rsidR="00B068A1">
        <w:rPr>
          <w:rFonts w:ascii="Arial" w:hAnsi="Arial" w:cs="Arial"/>
        </w:rPr>
        <w:t xml:space="preserve">.  </w:t>
      </w:r>
      <w:r w:rsidR="00C60995">
        <w:rPr>
          <w:rFonts w:ascii="Arial" w:hAnsi="Arial" w:cs="Arial"/>
        </w:rPr>
        <w:t>By also completing the Partnership activities, a State can assure that if it receives Conditional Approval but is ultimately unable to achieve operat</w:t>
      </w:r>
      <w:r w:rsidR="00283F30">
        <w:rPr>
          <w:rFonts w:ascii="Arial" w:hAnsi="Arial" w:cs="Arial"/>
        </w:rPr>
        <w:t>ional milestones in other areas</w:t>
      </w:r>
      <w:r w:rsidR="00C60995">
        <w:rPr>
          <w:rFonts w:ascii="Arial" w:hAnsi="Arial" w:cs="Arial"/>
        </w:rPr>
        <w:t xml:space="preserve"> it will be able to participate as a</w:t>
      </w:r>
      <w:r w:rsidR="002835DE">
        <w:rPr>
          <w:rFonts w:ascii="Arial" w:hAnsi="Arial" w:cs="Arial"/>
        </w:rPr>
        <w:t xml:space="preserve">State </w:t>
      </w:r>
      <w:r w:rsidR="00C60995">
        <w:rPr>
          <w:rFonts w:ascii="Arial" w:hAnsi="Arial" w:cs="Arial"/>
        </w:rPr>
        <w:t>Partner</w:t>
      </w:r>
      <w:r w:rsidR="002835DE">
        <w:rPr>
          <w:rFonts w:ascii="Arial" w:hAnsi="Arial" w:cs="Arial"/>
        </w:rPr>
        <w:t>ship Exchange</w:t>
      </w:r>
      <w:r w:rsidR="00C60995">
        <w:rPr>
          <w:rFonts w:ascii="Arial" w:hAnsi="Arial" w:cs="Arial"/>
        </w:rPr>
        <w:t xml:space="preserve"> in </w:t>
      </w:r>
      <w:r w:rsidR="008B4C7D">
        <w:rPr>
          <w:rFonts w:ascii="Arial" w:hAnsi="Arial" w:cs="Arial"/>
        </w:rPr>
        <w:t>p</w:t>
      </w:r>
      <w:r w:rsidR="00C60995">
        <w:rPr>
          <w:rFonts w:ascii="Arial" w:hAnsi="Arial" w:cs="Arial"/>
        </w:rPr>
        <w:t xml:space="preserve">an </w:t>
      </w:r>
      <w:r w:rsidR="008B4C7D">
        <w:rPr>
          <w:rFonts w:ascii="Arial" w:hAnsi="Arial" w:cs="Arial"/>
        </w:rPr>
        <w:t>y</w:t>
      </w:r>
      <w:r w:rsidR="00C60995">
        <w:rPr>
          <w:rFonts w:ascii="Arial" w:hAnsi="Arial" w:cs="Arial"/>
        </w:rPr>
        <w:t>ear 2014.</w:t>
      </w:r>
      <w:r w:rsidR="00EE3BBF">
        <w:rPr>
          <w:rFonts w:ascii="Arial" w:hAnsi="Arial" w:cs="Arial"/>
        </w:rPr>
        <w:t xml:space="preserve"> </w:t>
      </w:r>
    </w:p>
    <w:p w:rsidR="003760E1" w:rsidRDefault="003760E1" w:rsidP="003760E1">
      <w:pPr>
        <w:rPr>
          <w:rFonts w:ascii="Arial" w:hAnsi="Arial" w:cs="Arial"/>
        </w:rPr>
      </w:pPr>
      <w:r>
        <w:rPr>
          <w:rFonts w:ascii="Arial" w:hAnsi="Arial" w:cs="Arial"/>
        </w:rPr>
        <w:t xml:space="preserve">If you are interested in additional requirements associated with a Regional or Subsidiary Exchange, please contact your State Officer or email CCIIO at </w:t>
      </w:r>
      <w:hyperlink r:id="rId16" w:history="1">
        <w:r w:rsidRPr="00AB1A17">
          <w:rPr>
            <w:rStyle w:val="Hyperlink"/>
            <w:rFonts w:ascii="Arial" w:hAnsi="Arial" w:cs="Arial"/>
          </w:rPr>
          <w:t>State.Exchange.Group@cms.hhs.gov</w:t>
        </w:r>
      </w:hyperlink>
      <w:r>
        <w:rPr>
          <w:rFonts w:ascii="Arial" w:hAnsi="Arial" w:cs="Arial"/>
        </w:rPr>
        <w:t xml:space="preserve">. </w:t>
      </w:r>
    </w:p>
    <w:p w:rsidR="00C703C0" w:rsidRDefault="00C703C0" w:rsidP="003760E1">
      <w:pPr>
        <w:rPr>
          <w:rFonts w:ascii="Arial" w:hAnsi="Arial" w:cs="Arial"/>
        </w:rPr>
      </w:pPr>
    </w:p>
    <w:p w:rsidR="00B068A1" w:rsidRPr="00FE0578" w:rsidRDefault="00B068A1" w:rsidP="003760E1">
      <w:pPr>
        <w:rPr>
          <w:rFonts w:ascii="Arial" w:hAnsi="Arial" w:cs="Arial"/>
        </w:rPr>
      </w:pPr>
    </w:p>
    <w:bookmarkEnd w:id="3"/>
    <w:p w:rsidR="00A14363" w:rsidRDefault="00A14363">
      <w:pPr>
        <w:rPr>
          <w:rFonts w:asciiTheme="majorHAnsi" w:eastAsiaTheme="majorEastAsia" w:hAnsiTheme="majorHAnsi" w:cstheme="majorBidi"/>
          <w:b/>
          <w:color w:val="243F60" w:themeColor="accent1" w:themeShade="7F"/>
        </w:rPr>
      </w:pPr>
      <w:r>
        <w:rPr>
          <w:b/>
        </w:rPr>
        <w:br w:type="page"/>
      </w:r>
    </w:p>
    <w:p w:rsidR="00800129" w:rsidRPr="00C41D25" w:rsidRDefault="001D5D70" w:rsidP="00800129">
      <w:pPr>
        <w:pStyle w:val="Heading5"/>
        <w:jc w:val="center"/>
        <w:rPr>
          <w:rFonts w:ascii="Arial" w:hAnsi="Arial" w:cs="Arial"/>
          <w:color w:val="auto"/>
          <w:sz w:val="20"/>
          <w:szCs w:val="20"/>
          <w:highlight w:val="yellow"/>
        </w:rPr>
      </w:pPr>
      <w:r>
        <w:rPr>
          <w:b/>
        </w:rPr>
        <w:lastRenderedPageBreak/>
        <w:t>Table</w:t>
      </w:r>
      <w:r w:rsidRPr="00010E09">
        <w:rPr>
          <w:b/>
        </w:rPr>
        <w:t xml:space="preserve"> 1: </w:t>
      </w:r>
      <w:r>
        <w:rPr>
          <w:b/>
        </w:rPr>
        <w:t>Roadmap for Completing the Exchange Application</w:t>
      </w:r>
    </w:p>
    <w:tbl>
      <w:tblPr>
        <w:tblW w:w="10114" w:type="dxa"/>
        <w:tblInd w:w="18" w:type="dxa"/>
        <w:tblLook w:val="04A0" w:firstRow="1" w:lastRow="0" w:firstColumn="1" w:lastColumn="0" w:noHBand="0" w:noVBand="1"/>
      </w:tblPr>
      <w:tblGrid>
        <w:gridCol w:w="3960"/>
        <w:gridCol w:w="6154"/>
      </w:tblGrid>
      <w:tr w:rsidR="00800129" w:rsidRPr="002D4BF9">
        <w:trPr>
          <w:trHeight w:val="315"/>
          <w:tblHeader/>
        </w:trPr>
        <w:tc>
          <w:tcPr>
            <w:tcW w:w="3960" w:type="dxa"/>
            <w:tcBorders>
              <w:top w:val="single" w:sz="8" w:space="0" w:color="auto"/>
              <w:left w:val="single" w:sz="8" w:space="0" w:color="auto"/>
              <w:bottom w:val="single" w:sz="8" w:space="0" w:color="auto"/>
              <w:right w:val="nil"/>
            </w:tcBorders>
            <w:shd w:val="clear" w:color="000000" w:fill="1F497D"/>
            <w:vAlign w:val="center"/>
          </w:tcPr>
          <w:p w:rsidR="00800129" w:rsidRPr="002D4BF9" w:rsidRDefault="00800129" w:rsidP="00B05181">
            <w:pPr>
              <w:jc w:val="center"/>
              <w:rPr>
                <w:rFonts w:ascii="Arial" w:eastAsia="Times New Roman" w:hAnsi="Arial" w:cs="Arial"/>
                <w:b/>
                <w:bCs/>
                <w:color w:val="FFFFFF" w:themeColor="background1"/>
              </w:rPr>
            </w:pPr>
            <w:r w:rsidRPr="002D4BF9">
              <w:rPr>
                <w:rFonts w:ascii="Arial" w:eastAsia="Times New Roman" w:hAnsi="Arial" w:cs="Arial"/>
                <w:b/>
                <w:bCs/>
                <w:color w:val="FFFFFF" w:themeColor="background1"/>
              </w:rPr>
              <w:t>Section of Exchange Blueprint</w:t>
            </w:r>
          </w:p>
        </w:tc>
        <w:tc>
          <w:tcPr>
            <w:tcW w:w="6154" w:type="dxa"/>
            <w:tcBorders>
              <w:top w:val="single" w:sz="8" w:space="0" w:color="auto"/>
              <w:left w:val="single" w:sz="8" w:space="0" w:color="auto"/>
              <w:bottom w:val="single" w:sz="8" w:space="0" w:color="auto"/>
              <w:right w:val="single" w:sz="8" w:space="0" w:color="000000"/>
            </w:tcBorders>
            <w:shd w:val="clear" w:color="000000" w:fill="1F497D"/>
            <w:vAlign w:val="center"/>
          </w:tcPr>
          <w:p w:rsidR="00800129" w:rsidRPr="002D4BF9" w:rsidRDefault="00800129" w:rsidP="00B05181">
            <w:pPr>
              <w:jc w:val="center"/>
              <w:rPr>
                <w:rFonts w:ascii="Arial" w:eastAsia="Times New Roman" w:hAnsi="Arial" w:cs="Arial"/>
                <w:b/>
                <w:bCs/>
                <w:color w:val="FFFFFF"/>
              </w:rPr>
            </w:pPr>
            <w:r>
              <w:rPr>
                <w:rFonts w:ascii="Arial" w:eastAsia="Times New Roman" w:hAnsi="Arial" w:cs="Arial"/>
                <w:b/>
                <w:bCs/>
                <w:color w:val="FFFFFF"/>
              </w:rPr>
              <w:t>Required Activities</w:t>
            </w:r>
          </w:p>
        </w:tc>
      </w:tr>
    </w:tbl>
    <w:tbl>
      <w:tblPr>
        <w:tblStyle w:val="TableGrid"/>
        <w:tblW w:w="10098" w:type="dxa"/>
        <w:tblLook w:val="04A0" w:firstRow="1" w:lastRow="0" w:firstColumn="1" w:lastColumn="0" w:noHBand="0" w:noVBand="1"/>
      </w:tblPr>
      <w:tblGrid>
        <w:gridCol w:w="3978"/>
        <w:gridCol w:w="1980"/>
        <w:gridCol w:w="2070"/>
        <w:gridCol w:w="2070"/>
      </w:tblGrid>
      <w:tr w:rsidR="00800129" w:rsidRPr="002D4BF9">
        <w:trPr>
          <w:cantSplit/>
          <w:trHeight w:val="728"/>
          <w:tblHeader/>
        </w:trPr>
        <w:tc>
          <w:tcPr>
            <w:tcW w:w="3978" w:type="dxa"/>
            <w:shd w:val="clear" w:color="auto" w:fill="DBE5F1" w:themeFill="accent1" w:themeFillTint="33"/>
            <w:vAlign w:val="center"/>
          </w:tcPr>
          <w:p w:rsidR="00800129" w:rsidRPr="002D4BF9" w:rsidRDefault="00800129" w:rsidP="00B05181">
            <w:pPr>
              <w:jc w:val="center"/>
              <w:rPr>
                <w:rFonts w:ascii="Arial" w:eastAsia="Times New Roman" w:hAnsi="Arial" w:cs="Arial"/>
                <w:bCs/>
                <w:color w:val="000000"/>
                <w:sz w:val="20"/>
                <w:szCs w:val="20"/>
              </w:rPr>
            </w:pPr>
            <w:r>
              <w:rPr>
                <w:rFonts w:ascii="Arial" w:eastAsia="Times New Roman" w:hAnsi="Arial" w:cs="Arial"/>
                <w:b/>
                <w:bCs/>
                <w:color w:val="000000"/>
                <w:sz w:val="20"/>
                <w:szCs w:val="20"/>
              </w:rPr>
              <w:t>Exchange Activity</w:t>
            </w:r>
            <w:r w:rsidRPr="002D4BF9">
              <w:rPr>
                <w:rFonts w:ascii="Arial" w:eastAsia="Times New Roman" w:hAnsi="Arial" w:cs="Arial"/>
                <w:b/>
                <w:bCs/>
                <w:color w:val="000000"/>
                <w:sz w:val="20"/>
                <w:szCs w:val="20"/>
              </w:rPr>
              <w:br/>
            </w:r>
          </w:p>
        </w:tc>
        <w:tc>
          <w:tcPr>
            <w:tcW w:w="1980" w:type="dxa"/>
            <w:shd w:val="clear" w:color="auto" w:fill="DBE5F1" w:themeFill="accent1" w:themeFillTint="33"/>
            <w:vAlign w:val="center"/>
          </w:tcPr>
          <w:p w:rsidR="00800129" w:rsidRPr="002D4BF9" w:rsidRDefault="00800129" w:rsidP="00B05181">
            <w:pPr>
              <w:jc w:val="center"/>
              <w:rPr>
                <w:rFonts w:ascii="Arial" w:eastAsia="Times New Roman" w:hAnsi="Arial" w:cs="Arial"/>
                <w:b/>
                <w:bCs/>
                <w:color w:val="000000"/>
                <w:sz w:val="20"/>
                <w:szCs w:val="20"/>
              </w:rPr>
            </w:pPr>
            <w:r w:rsidRPr="002D4BF9">
              <w:rPr>
                <w:rFonts w:ascii="Arial" w:eastAsia="Times New Roman" w:hAnsi="Arial" w:cs="Arial"/>
                <w:b/>
                <w:bCs/>
                <w:color w:val="000000"/>
                <w:sz w:val="20"/>
                <w:szCs w:val="20"/>
              </w:rPr>
              <w:t>State-based Exchange</w:t>
            </w:r>
          </w:p>
        </w:tc>
        <w:tc>
          <w:tcPr>
            <w:tcW w:w="2070" w:type="dxa"/>
            <w:shd w:val="clear" w:color="auto" w:fill="DBE5F1" w:themeFill="accent1" w:themeFillTint="33"/>
            <w:vAlign w:val="center"/>
          </w:tcPr>
          <w:p w:rsidR="00800129" w:rsidRPr="002D4BF9" w:rsidRDefault="00800129" w:rsidP="00B05181">
            <w:pPr>
              <w:jc w:val="center"/>
              <w:rPr>
                <w:rFonts w:ascii="Arial" w:eastAsia="Times New Roman" w:hAnsi="Arial" w:cs="Arial"/>
                <w:b/>
                <w:bCs/>
                <w:color w:val="000000"/>
                <w:sz w:val="20"/>
                <w:szCs w:val="20"/>
              </w:rPr>
            </w:pPr>
            <w:r>
              <w:rPr>
                <w:rFonts w:ascii="Arial" w:hAnsi="Arial" w:cs="Arial"/>
                <w:b/>
                <w:sz w:val="20"/>
                <w:szCs w:val="20"/>
              </w:rPr>
              <w:t>State Partnership Exchange– Plan Management</w:t>
            </w:r>
          </w:p>
        </w:tc>
        <w:tc>
          <w:tcPr>
            <w:tcW w:w="2070" w:type="dxa"/>
            <w:shd w:val="clear" w:color="auto" w:fill="DBE5F1" w:themeFill="accent1" w:themeFillTint="33"/>
            <w:vAlign w:val="center"/>
          </w:tcPr>
          <w:p w:rsidR="00800129" w:rsidRPr="002D4BF9" w:rsidRDefault="00800129" w:rsidP="00B05181">
            <w:pPr>
              <w:jc w:val="center"/>
              <w:rPr>
                <w:rFonts w:ascii="Arial" w:eastAsia="Times New Roman" w:hAnsi="Arial" w:cs="Arial"/>
                <w:b/>
                <w:bCs/>
                <w:color w:val="000000"/>
                <w:sz w:val="20"/>
                <w:szCs w:val="20"/>
              </w:rPr>
            </w:pPr>
            <w:r>
              <w:rPr>
                <w:rFonts w:ascii="Arial" w:hAnsi="Arial" w:cs="Arial"/>
                <w:b/>
                <w:sz w:val="20"/>
                <w:szCs w:val="20"/>
              </w:rPr>
              <w:t>State Partnership Exchange– Consumer Assistance</w:t>
            </w:r>
          </w:p>
        </w:tc>
      </w:tr>
      <w:tr w:rsidR="00800129" w:rsidRPr="00AC62DA">
        <w:trPr>
          <w:cantSplit/>
        </w:trPr>
        <w:tc>
          <w:tcPr>
            <w:tcW w:w="10098" w:type="dxa"/>
            <w:gridSpan w:val="4"/>
            <w:shd w:val="clear" w:color="auto" w:fill="D9D9D9" w:themeFill="background1" w:themeFillShade="D9"/>
          </w:tcPr>
          <w:p w:rsidR="00800129" w:rsidRPr="002C1D95" w:rsidRDefault="00800129" w:rsidP="00186316">
            <w:pPr>
              <w:pStyle w:val="ListParagraph"/>
              <w:numPr>
                <w:ilvl w:val="0"/>
                <w:numId w:val="7"/>
              </w:numPr>
              <w:rPr>
                <w:rFonts w:ascii="Arial" w:hAnsi="Arial" w:cs="Arial"/>
                <w:sz w:val="20"/>
                <w:szCs w:val="20"/>
              </w:rPr>
            </w:pPr>
            <w:r w:rsidRPr="002C1D95">
              <w:rPr>
                <w:rFonts w:ascii="Arial" w:eastAsia="Times New Roman" w:hAnsi="Arial" w:cs="Arial"/>
                <w:b/>
                <w:bCs/>
                <w:color w:val="000000"/>
                <w:sz w:val="20"/>
                <w:szCs w:val="20"/>
              </w:rPr>
              <w:t>Legal Authority and Governance</w:t>
            </w: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sidRPr="00AC62DA">
              <w:rPr>
                <w:rFonts w:ascii="Arial" w:eastAsia="Times New Roman" w:hAnsi="Arial" w:cs="Arial"/>
                <w:color w:val="000000"/>
                <w:sz w:val="20"/>
                <w:szCs w:val="20"/>
              </w:rPr>
              <w:t>1.1 Enabling authority for Exchange and SHOP</w:t>
            </w:r>
          </w:p>
        </w:tc>
        <w:tc>
          <w:tcPr>
            <w:tcW w:w="1980" w:type="dxa"/>
          </w:tcPr>
          <w:p w:rsidR="00800129" w:rsidRPr="00AC62DA" w:rsidRDefault="00800129" w:rsidP="00B05181">
            <w:pPr>
              <w:jc w:val="center"/>
              <w:rPr>
                <w:rFonts w:ascii="Arial" w:eastAsia="Times New Roman" w:hAnsi="Arial" w:cs="Arial"/>
                <w:color w:val="000000"/>
                <w:sz w:val="20"/>
                <w:szCs w:val="20"/>
              </w:rPr>
            </w:pPr>
            <w:r>
              <w:rPr>
                <w:rFonts w:ascii="Arial" w:eastAsia="Times New Roman" w:hAnsi="Arial" w:cs="Arial"/>
                <w:color w:val="000000"/>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sidRPr="00AC62DA">
              <w:rPr>
                <w:rFonts w:ascii="Arial" w:eastAsia="Times New Roman" w:hAnsi="Arial" w:cs="Arial"/>
                <w:color w:val="000000"/>
                <w:sz w:val="20"/>
                <w:szCs w:val="20"/>
              </w:rPr>
              <w:t xml:space="preserve">1.2 </w:t>
            </w:r>
            <w:r>
              <w:rPr>
                <w:rFonts w:ascii="Arial" w:eastAsia="Times New Roman" w:hAnsi="Arial" w:cs="Arial"/>
                <w:color w:val="000000"/>
                <w:sz w:val="20"/>
                <w:szCs w:val="20"/>
              </w:rPr>
              <w:t>B</w:t>
            </w:r>
            <w:r w:rsidRPr="00AC62DA">
              <w:rPr>
                <w:rFonts w:ascii="Arial" w:eastAsia="Times New Roman" w:hAnsi="Arial" w:cs="Arial"/>
                <w:color w:val="000000"/>
                <w:sz w:val="20"/>
                <w:szCs w:val="20"/>
              </w:rPr>
              <w:t>oard and governance structure</w:t>
            </w:r>
          </w:p>
        </w:tc>
        <w:tc>
          <w:tcPr>
            <w:tcW w:w="1980" w:type="dxa"/>
          </w:tcPr>
          <w:p w:rsidR="00800129" w:rsidRPr="00AC62DA" w:rsidRDefault="00800129" w:rsidP="00B05181">
            <w:pPr>
              <w:jc w:val="center"/>
              <w:rPr>
                <w:rFonts w:ascii="Arial" w:eastAsia="Times New Roman" w:hAnsi="Arial" w:cs="Arial"/>
                <w:color w:val="000000"/>
                <w:sz w:val="20"/>
                <w:szCs w:val="20"/>
              </w:rPr>
            </w:pPr>
            <w:r>
              <w:rPr>
                <w:rFonts w:ascii="Arial" w:eastAsia="Times New Roman" w:hAnsi="Arial" w:cs="Arial"/>
                <w:color w:val="000000"/>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10098" w:type="dxa"/>
            <w:gridSpan w:val="4"/>
            <w:shd w:val="clear" w:color="auto" w:fill="D9D9D9" w:themeFill="background1" w:themeFillShade="D9"/>
          </w:tcPr>
          <w:p w:rsidR="00800129" w:rsidRPr="002C1D95" w:rsidRDefault="00800129" w:rsidP="00186316">
            <w:pPr>
              <w:pStyle w:val="ListParagraph"/>
              <w:numPr>
                <w:ilvl w:val="0"/>
                <w:numId w:val="7"/>
              </w:numPr>
              <w:rPr>
                <w:rFonts w:ascii="Arial" w:hAnsi="Arial" w:cs="Arial"/>
                <w:sz w:val="20"/>
                <w:szCs w:val="20"/>
              </w:rPr>
            </w:pPr>
            <w:r w:rsidRPr="0017090F">
              <w:rPr>
                <w:rFonts w:ascii="Arial" w:eastAsia="Times New Roman" w:hAnsi="Arial" w:cs="Arial"/>
                <w:b/>
                <w:bCs/>
                <w:color w:val="000000"/>
                <w:sz w:val="20"/>
                <w:szCs w:val="20"/>
              </w:rPr>
              <w:t>Consumer and Stakeholder Engagement and Support</w:t>
            </w: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sidRPr="00AC62DA">
              <w:rPr>
                <w:rFonts w:ascii="Arial" w:eastAsia="Times New Roman" w:hAnsi="Arial" w:cs="Arial"/>
                <w:color w:val="000000"/>
                <w:sz w:val="20"/>
                <w:szCs w:val="20"/>
              </w:rPr>
              <w:t>2.1 Stakeholder consultation</w:t>
            </w:r>
            <w:r>
              <w:rPr>
                <w:rFonts w:ascii="Arial" w:eastAsia="Times New Roman" w:hAnsi="Arial" w:cs="Arial"/>
                <w:color w:val="000000"/>
                <w:sz w:val="20"/>
                <w:szCs w:val="20"/>
              </w:rPr>
              <w:t xml:space="preserve"> plan</w:t>
            </w:r>
          </w:p>
        </w:tc>
        <w:tc>
          <w:tcPr>
            <w:tcW w:w="1980" w:type="dxa"/>
          </w:tcPr>
          <w:p w:rsidR="00800129" w:rsidRPr="001F34C0" w:rsidRDefault="00800129" w:rsidP="00B05181">
            <w:pPr>
              <w:jc w:val="center"/>
              <w:rPr>
                <w:rFonts w:ascii="Arial" w:eastAsia="Times New Roman" w:hAnsi="Arial" w:cs="Arial"/>
                <w:color w:val="000000"/>
                <w:sz w:val="20"/>
                <w:szCs w:val="20"/>
              </w:rPr>
            </w:pPr>
            <w:r>
              <w:rPr>
                <w:rFonts w:ascii="Arial" w:eastAsia="Times New Roman" w:hAnsi="Arial" w:cs="Arial"/>
                <w:color w:val="000000"/>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sidRPr="00AC62DA">
              <w:rPr>
                <w:rFonts w:ascii="Arial" w:eastAsia="Times New Roman" w:hAnsi="Arial" w:cs="Arial"/>
                <w:color w:val="000000"/>
                <w:sz w:val="20"/>
                <w:szCs w:val="20"/>
              </w:rPr>
              <w:t xml:space="preserve">2.2 </w:t>
            </w:r>
            <w:r w:rsidR="0021353D">
              <w:rPr>
                <w:rFonts w:ascii="Arial" w:eastAsia="Times New Roman" w:hAnsi="Arial" w:cs="Arial"/>
                <w:color w:val="000000"/>
                <w:sz w:val="20"/>
                <w:szCs w:val="20"/>
              </w:rPr>
              <w:t>Tribal consultation p</w:t>
            </w:r>
            <w:r>
              <w:rPr>
                <w:rFonts w:ascii="Arial" w:eastAsia="Times New Roman" w:hAnsi="Arial" w:cs="Arial"/>
                <w:color w:val="000000"/>
                <w:sz w:val="20"/>
                <w:szCs w:val="20"/>
              </w:rPr>
              <w:t>lan</w:t>
            </w:r>
          </w:p>
        </w:tc>
        <w:tc>
          <w:tcPr>
            <w:tcW w:w="1980" w:type="dxa"/>
          </w:tcPr>
          <w:p w:rsidR="00800129" w:rsidRPr="001F34C0" w:rsidRDefault="00800129" w:rsidP="00B05181">
            <w:pPr>
              <w:jc w:val="center"/>
              <w:rPr>
                <w:rFonts w:ascii="Arial" w:eastAsia="Times New Roman" w:hAnsi="Arial" w:cs="Arial"/>
                <w:sz w:val="20"/>
                <w:szCs w:val="20"/>
              </w:rPr>
            </w:pPr>
            <w:r>
              <w:rPr>
                <w:rFonts w:ascii="Arial" w:eastAsia="Times New Roman" w:hAnsi="Arial" w:cs="Arial"/>
                <w:sz w:val="20"/>
                <w:szCs w:val="20"/>
              </w:rPr>
              <w:t>X</w:t>
            </w:r>
            <w:r>
              <w:rPr>
                <w:rFonts w:ascii="Arial" w:eastAsia="Times New Roman" w:hAnsi="Arial" w:cs="Arial"/>
                <w:sz w:val="20"/>
                <w:szCs w:val="20"/>
              </w:rPr>
              <w:br/>
            </w:r>
            <w:r w:rsidRPr="001F34C0">
              <w:rPr>
                <w:rFonts w:ascii="Arial" w:eastAsia="Times New Roman" w:hAnsi="Arial" w:cs="Arial"/>
                <w:i/>
                <w:sz w:val="20"/>
                <w:szCs w:val="20"/>
              </w:rPr>
              <w:t xml:space="preserve">if </w:t>
            </w:r>
            <w:r>
              <w:rPr>
                <w:rFonts w:ascii="Arial" w:eastAsia="Times New Roman" w:hAnsi="Arial" w:cs="Arial"/>
                <w:i/>
                <w:sz w:val="20"/>
                <w:szCs w:val="20"/>
              </w:rPr>
              <w:t>applicable</w:t>
            </w:r>
          </w:p>
        </w:tc>
        <w:tc>
          <w:tcPr>
            <w:tcW w:w="2070" w:type="dxa"/>
          </w:tcPr>
          <w:p w:rsidR="00800129" w:rsidRPr="00E1129B"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sidRPr="00AC62DA">
              <w:rPr>
                <w:rFonts w:ascii="Arial" w:eastAsia="Times New Roman" w:hAnsi="Arial" w:cs="Arial"/>
                <w:color w:val="000000"/>
                <w:sz w:val="20"/>
                <w:szCs w:val="20"/>
              </w:rPr>
              <w:t>2.3 Outreach and education</w:t>
            </w:r>
          </w:p>
        </w:tc>
        <w:tc>
          <w:tcPr>
            <w:tcW w:w="1980" w:type="dxa"/>
          </w:tcPr>
          <w:p w:rsidR="00800129" w:rsidRPr="00AC62DA" w:rsidRDefault="00800129" w:rsidP="00B05181">
            <w:pPr>
              <w:jc w:val="center"/>
              <w:rPr>
                <w:rFonts w:ascii="Arial" w:eastAsia="Times New Roman" w:hAnsi="Arial" w:cs="Arial"/>
                <w:color w:val="000000"/>
                <w:sz w:val="20"/>
                <w:szCs w:val="20"/>
              </w:rPr>
            </w:pPr>
            <w:r>
              <w:rPr>
                <w:rFonts w:ascii="Arial" w:eastAsia="Times New Roman" w:hAnsi="Arial" w:cs="Arial"/>
                <w:color w:val="000000"/>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Pr>
                <w:rFonts w:ascii="Arial" w:eastAsia="Times New Roman" w:hAnsi="Arial" w:cs="Arial"/>
                <w:color w:val="000000"/>
                <w:sz w:val="20"/>
                <w:szCs w:val="20"/>
              </w:rPr>
              <w:t>2.4 Call center</w:t>
            </w:r>
          </w:p>
        </w:tc>
        <w:tc>
          <w:tcPr>
            <w:tcW w:w="1980" w:type="dxa"/>
          </w:tcPr>
          <w:p w:rsidR="00800129" w:rsidRPr="00AC62DA" w:rsidRDefault="00800129" w:rsidP="00B05181">
            <w:pPr>
              <w:jc w:val="center"/>
              <w:rPr>
                <w:rFonts w:ascii="Arial" w:eastAsia="Times New Roman" w:hAnsi="Arial" w:cs="Arial"/>
                <w:color w:val="000000"/>
                <w:sz w:val="20"/>
                <w:szCs w:val="20"/>
              </w:rPr>
            </w:pPr>
            <w:r>
              <w:rPr>
                <w:rFonts w:ascii="Arial" w:eastAsia="Times New Roman" w:hAnsi="Arial" w:cs="Arial"/>
                <w:color w:val="000000"/>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Pr>
                <w:rFonts w:ascii="Arial" w:eastAsia="Times New Roman" w:hAnsi="Arial" w:cs="Arial"/>
                <w:color w:val="000000"/>
                <w:sz w:val="20"/>
                <w:szCs w:val="20"/>
              </w:rPr>
              <w:t>2.5 Internet web site</w:t>
            </w:r>
          </w:p>
        </w:tc>
        <w:tc>
          <w:tcPr>
            <w:tcW w:w="1980" w:type="dxa"/>
          </w:tcPr>
          <w:p w:rsidR="00800129" w:rsidRPr="00AC62DA" w:rsidRDefault="00800129" w:rsidP="00B05181">
            <w:pPr>
              <w:jc w:val="center"/>
              <w:rPr>
                <w:rFonts w:ascii="Arial" w:eastAsia="Times New Roman" w:hAnsi="Arial" w:cs="Arial"/>
                <w:color w:val="000000"/>
                <w:sz w:val="20"/>
                <w:szCs w:val="20"/>
              </w:rPr>
            </w:pPr>
            <w:r>
              <w:rPr>
                <w:rFonts w:ascii="Arial" w:eastAsia="Times New Roman" w:hAnsi="Arial" w:cs="Arial"/>
                <w:color w:val="000000"/>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Pr>
                <w:rFonts w:ascii="Arial" w:eastAsia="Times New Roman" w:hAnsi="Arial" w:cs="Arial"/>
                <w:color w:val="000000"/>
                <w:sz w:val="20"/>
                <w:szCs w:val="20"/>
              </w:rPr>
              <w:t>2.6 Navigators</w:t>
            </w:r>
          </w:p>
        </w:tc>
        <w:tc>
          <w:tcPr>
            <w:tcW w:w="1980" w:type="dxa"/>
          </w:tcPr>
          <w:p w:rsidR="00800129" w:rsidRPr="00AC62DA" w:rsidRDefault="00800129" w:rsidP="00B05181">
            <w:pPr>
              <w:jc w:val="center"/>
              <w:rPr>
                <w:rFonts w:ascii="Arial" w:eastAsia="Times New Roman" w:hAnsi="Arial" w:cs="Arial"/>
                <w:color w:val="000000"/>
                <w:sz w:val="20"/>
                <w:szCs w:val="20"/>
              </w:rPr>
            </w:pPr>
            <w:r>
              <w:rPr>
                <w:rFonts w:ascii="Arial" w:eastAsia="Times New Roman" w:hAnsi="Arial" w:cs="Arial"/>
                <w:color w:val="000000"/>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E95BC7" w:rsidRPr="00B068A1" w:rsidRDefault="00E95BC7" w:rsidP="00B068A1">
            <w:pPr>
              <w:jc w:val="center"/>
              <w:rPr>
                <w:rFonts w:ascii="Arial" w:hAnsi="Arial" w:cs="Arial"/>
                <w:sz w:val="20"/>
                <w:szCs w:val="20"/>
              </w:rPr>
            </w:pPr>
          </w:p>
        </w:tc>
      </w:tr>
      <w:tr w:rsidR="00B10FFD" w:rsidRPr="0022412C" w:rsidTr="00B10FFD">
        <w:tc>
          <w:tcPr>
            <w:tcW w:w="3978" w:type="dxa"/>
          </w:tcPr>
          <w:p w:rsidR="00B10FFD" w:rsidRPr="0022412C" w:rsidRDefault="00B10FFD" w:rsidP="00B10FFD">
            <w:pPr>
              <w:rPr>
                <w:rFonts w:ascii="Arial" w:eastAsia="Times New Roman" w:hAnsi="Arial" w:cs="Arial"/>
                <w:color w:val="000000"/>
                <w:sz w:val="20"/>
                <w:szCs w:val="20"/>
              </w:rPr>
            </w:pPr>
            <w:r>
              <w:rPr>
                <w:rFonts w:ascii="Arial" w:eastAsia="Times New Roman" w:hAnsi="Arial" w:cs="Arial"/>
                <w:color w:val="000000"/>
                <w:sz w:val="20"/>
                <w:szCs w:val="20"/>
              </w:rPr>
              <w:t>2.7 In-person assistance p</w:t>
            </w:r>
            <w:r w:rsidRPr="00582979">
              <w:rPr>
                <w:rFonts w:ascii="Arial" w:eastAsia="Times New Roman" w:hAnsi="Arial" w:cs="Arial"/>
                <w:color w:val="000000"/>
                <w:sz w:val="20"/>
                <w:szCs w:val="20"/>
              </w:rPr>
              <w:t>rogram</w:t>
            </w:r>
          </w:p>
        </w:tc>
        <w:tc>
          <w:tcPr>
            <w:tcW w:w="1980" w:type="dxa"/>
          </w:tcPr>
          <w:p w:rsidR="00B10FFD" w:rsidRDefault="00B10FFD" w:rsidP="00B10FFD">
            <w:pPr>
              <w:jc w:val="center"/>
              <w:rPr>
                <w:rFonts w:ascii="Arial" w:eastAsia="Times New Roman" w:hAnsi="Arial" w:cs="Arial"/>
                <w:color w:val="000000"/>
                <w:sz w:val="20"/>
                <w:szCs w:val="20"/>
              </w:rPr>
            </w:pPr>
            <w:r>
              <w:rPr>
                <w:rFonts w:ascii="Arial" w:eastAsia="Times New Roman" w:hAnsi="Arial" w:cs="Arial"/>
                <w:color w:val="000000"/>
                <w:sz w:val="20"/>
                <w:szCs w:val="20"/>
              </w:rPr>
              <w:t>X</w:t>
            </w:r>
          </w:p>
          <w:p w:rsidR="00B10FFD" w:rsidRPr="00823873" w:rsidRDefault="00B10FFD" w:rsidP="00B10FFD">
            <w:pPr>
              <w:jc w:val="center"/>
              <w:rPr>
                <w:rFonts w:ascii="Arial" w:eastAsia="Times New Roman" w:hAnsi="Arial" w:cs="Arial"/>
                <w:i/>
                <w:color w:val="000000"/>
                <w:sz w:val="20"/>
                <w:szCs w:val="20"/>
              </w:rPr>
            </w:pPr>
            <w:r w:rsidRPr="00823873">
              <w:rPr>
                <w:rFonts w:ascii="Arial" w:eastAsia="Times New Roman" w:hAnsi="Arial" w:cs="Arial"/>
                <w:i/>
                <w:color w:val="000000"/>
                <w:sz w:val="20"/>
                <w:szCs w:val="20"/>
              </w:rPr>
              <w:t>if applicable</w:t>
            </w:r>
          </w:p>
        </w:tc>
        <w:tc>
          <w:tcPr>
            <w:tcW w:w="2070" w:type="dxa"/>
          </w:tcPr>
          <w:p w:rsidR="00B10FFD" w:rsidRPr="0022412C" w:rsidRDefault="00B10FFD" w:rsidP="00B10FFD">
            <w:pPr>
              <w:jc w:val="center"/>
              <w:rPr>
                <w:rFonts w:ascii="Arial" w:hAnsi="Arial" w:cs="Arial"/>
                <w:sz w:val="20"/>
                <w:szCs w:val="20"/>
              </w:rPr>
            </w:pPr>
          </w:p>
        </w:tc>
        <w:tc>
          <w:tcPr>
            <w:tcW w:w="2070" w:type="dxa"/>
          </w:tcPr>
          <w:p w:rsidR="00B10FFD" w:rsidRPr="0022412C" w:rsidRDefault="00B10FFD" w:rsidP="00B10FFD">
            <w:pPr>
              <w:jc w:val="center"/>
              <w:rPr>
                <w:rFonts w:ascii="Arial" w:hAnsi="Arial" w:cs="Arial"/>
                <w:sz w:val="20"/>
                <w:szCs w:val="20"/>
              </w:rPr>
            </w:pPr>
          </w:p>
        </w:tc>
      </w:tr>
      <w:tr w:rsidR="00800129" w:rsidRPr="00AC62DA">
        <w:trPr>
          <w:cantSplit/>
        </w:trPr>
        <w:tc>
          <w:tcPr>
            <w:tcW w:w="3978" w:type="dxa"/>
          </w:tcPr>
          <w:p w:rsidR="00800129" w:rsidRPr="0022412C" w:rsidRDefault="00800129" w:rsidP="00B05181">
            <w:pPr>
              <w:rPr>
                <w:rFonts w:ascii="Arial" w:eastAsia="Times New Roman" w:hAnsi="Arial" w:cs="Arial"/>
                <w:color w:val="000000"/>
                <w:sz w:val="20"/>
                <w:szCs w:val="20"/>
              </w:rPr>
            </w:pPr>
            <w:r w:rsidRPr="0022412C">
              <w:rPr>
                <w:rFonts w:ascii="Arial" w:eastAsia="Times New Roman" w:hAnsi="Arial" w:cs="Arial"/>
                <w:color w:val="000000"/>
                <w:sz w:val="20"/>
                <w:szCs w:val="20"/>
              </w:rPr>
              <w:t>2.</w:t>
            </w:r>
            <w:r w:rsidR="00B10FFD">
              <w:rPr>
                <w:rFonts w:ascii="Arial" w:eastAsia="Times New Roman" w:hAnsi="Arial" w:cs="Arial"/>
                <w:color w:val="000000"/>
                <w:sz w:val="20"/>
                <w:szCs w:val="20"/>
              </w:rPr>
              <w:t>8</w:t>
            </w:r>
            <w:r w:rsidRPr="0022412C">
              <w:rPr>
                <w:rFonts w:ascii="Arial" w:eastAsia="Times New Roman" w:hAnsi="Arial" w:cs="Arial"/>
                <w:color w:val="000000"/>
                <w:sz w:val="20"/>
                <w:szCs w:val="20"/>
              </w:rPr>
              <w:t xml:space="preserve"> Agents/brokers</w:t>
            </w:r>
          </w:p>
        </w:tc>
        <w:tc>
          <w:tcPr>
            <w:tcW w:w="1980" w:type="dxa"/>
          </w:tcPr>
          <w:p w:rsidR="00800129" w:rsidRPr="0022412C" w:rsidRDefault="00800129" w:rsidP="00B05181">
            <w:pPr>
              <w:jc w:val="center"/>
              <w:rPr>
                <w:rFonts w:ascii="Arial" w:eastAsia="Times New Roman" w:hAnsi="Arial" w:cs="Arial"/>
                <w:color w:val="000000"/>
                <w:sz w:val="20"/>
                <w:szCs w:val="20"/>
              </w:rPr>
            </w:pPr>
            <w:r>
              <w:rPr>
                <w:rFonts w:ascii="Arial" w:eastAsia="Times New Roman" w:hAnsi="Arial" w:cs="Arial"/>
                <w:color w:val="000000"/>
                <w:sz w:val="20"/>
                <w:szCs w:val="20"/>
              </w:rPr>
              <w:t>X</w:t>
            </w:r>
            <w:r w:rsidRPr="0022412C">
              <w:rPr>
                <w:rFonts w:ascii="Arial" w:eastAsia="Times New Roman" w:hAnsi="Arial" w:cs="Arial"/>
                <w:color w:val="000000"/>
                <w:sz w:val="20"/>
                <w:szCs w:val="20"/>
              </w:rPr>
              <w:br/>
            </w:r>
            <w:r w:rsidRPr="0022412C">
              <w:rPr>
                <w:rFonts w:ascii="Arial" w:eastAsia="Times New Roman" w:hAnsi="Arial" w:cs="Arial"/>
                <w:i/>
                <w:color w:val="000000"/>
                <w:sz w:val="20"/>
                <w:szCs w:val="20"/>
              </w:rPr>
              <w:t>if applicable</w:t>
            </w:r>
          </w:p>
        </w:tc>
        <w:tc>
          <w:tcPr>
            <w:tcW w:w="2070" w:type="dxa"/>
          </w:tcPr>
          <w:p w:rsidR="00800129" w:rsidRPr="0022412C" w:rsidRDefault="00800129" w:rsidP="00B05181">
            <w:pPr>
              <w:jc w:val="center"/>
              <w:rPr>
                <w:rFonts w:ascii="Arial" w:hAnsi="Arial" w:cs="Arial"/>
                <w:sz w:val="20"/>
                <w:szCs w:val="20"/>
              </w:rPr>
            </w:pPr>
          </w:p>
        </w:tc>
        <w:tc>
          <w:tcPr>
            <w:tcW w:w="2070" w:type="dxa"/>
          </w:tcPr>
          <w:p w:rsidR="00800129" w:rsidRPr="0022412C" w:rsidRDefault="00800129" w:rsidP="00B05181">
            <w:pPr>
              <w:rPr>
                <w:rFonts w:ascii="Arial" w:hAnsi="Arial" w:cs="Arial"/>
                <w:sz w:val="20"/>
                <w:szCs w:val="20"/>
              </w:rPr>
            </w:pPr>
          </w:p>
        </w:tc>
      </w:tr>
      <w:tr w:rsidR="00800129" w:rsidRPr="00AC62DA">
        <w:trPr>
          <w:cantSplit/>
        </w:trPr>
        <w:tc>
          <w:tcPr>
            <w:tcW w:w="3978" w:type="dxa"/>
          </w:tcPr>
          <w:p w:rsidR="00800129" w:rsidRPr="0022412C" w:rsidRDefault="00800129" w:rsidP="00B05181">
            <w:pPr>
              <w:rPr>
                <w:rFonts w:ascii="Arial" w:eastAsia="Times New Roman" w:hAnsi="Arial" w:cs="Arial"/>
                <w:color w:val="000000"/>
                <w:sz w:val="20"/>
                <w:szCs w:val="20"/>
              </w:rPr>
            </w:pPr>
            <w:r w:rsidRPr="0022412C">
              <w:rPr>
                <w:rFonts w:ascii="Arial" w:eastAsia="Times New Roman" w:hAnsi="Arial" w:cs="Arial"/>
                <w:color w:val="000000"/>
                <w:sz w:val="20"/>
                <w:szCs w:val="20"/>
              </w:rPr>
              <w:t>2.</w:t>
            </w:r>
            <w:r w:rsidR="00B10FFD">
              <w:rPr>
                <w:rFonts w:ascii="Arial" w:eastAsia="Times New Roman" w:hAnsi="Arial" w:cs="Arial"/>
                <w:color w:val="000000"/>
                <w:sz w:val="20"/>
                <w:szCs w:val="20"/>
              </w:rPr>
              <w:t>9</w:t>
            </w:r>
            <w:r w:rsidRPr="0022412C">
              <w:rPr>
                <w:rFonts w:ascii="Arial" w:eastAsia="Times New Roman" w:hAnsi="Arial" w:cs="Arial"/>
                <w:color w:val="000000"/>
                <w:sz w:val="20"/>
                <w:szCs w:val="20"/>
              </w:rPr>
              <w:t xml:space="preserve"> Web brokers</w:t>
            </w:r>
          </w:p>
        </w:tc>
        <w:tc>
          <w:tcPr>
            <w:tcW w:w="1980" w:type="dxa"/>
          </w:tcPr>
          <w:p w:rsidR="00800129" w:rsidRPr="0022412C" w:rsidRDefault="00800129" w:rsidP="00B05181">
            <w:pPr>
              <w:jc w:val="center"/>
              <w:rPr>
                <w:rFonts w:ascii="Arial" w:eastAsia="Times New Roman" w:hAnsi="Arial" w:cs="Arial"/>
                <w:color w:val="000000"/>
                <w:sz w:val="20"/>
                <w:szCs w:val="20"/>
              </w:rPr>
            </w:pPr>
            <w:r>
              <w:rPr>
                <w:rFonts w:ascii="Arial" w:eastAsia="Times New Roman" w:hAnsi="Arial" w:cs="Arial"/>
                <w:color w:val="000000"/>
                <w:sz w:val="20"/>
                <w:szCs w:val="20"/>
              </w:rPr>
              <w:t>X</w:t>
            </w:r>
            <w:r w:rsidRPr="0022412C">
              <w:rPr>
                <w:rFonts w:ascii="Arial" w:eastAsia="Times New Roman" w:hAnsi="Arial" w:cs="Arial"/>
                <w:color w:val="000000"/>
                <w:sz w:val="20"/>
                <w:szCs w:val="20"/>
              </w:rPr>
              <w:br/>
            </w:r>
            <w:r w:rsidRPr="0022412C">
              <w:rPr>
                <w:rFonts w:ascii="Arial" w:eastAsia="Times New Roman" w:hAnsi="Arial" w:cs="Arial"/>
                <w:i/>
                <w:color w:val="000000"/>
                <w:sz w:val="20"/>
                <w:szCs w:val="20"/>
              </w:rPr>
              <w:t>if applicable</w:t>
            </w:r>
          </w:p>
        </w:tc>
        <w:tc>
          <w:tcPr>
            <w:tcW w:w="2070" w:type="dxa"/>
          </w:tcPr>
          <w:p w:rsidR="00800129" w:rsidRPr="0022412C" w:rsidRDefault="00800129" w:rsidP="00B05181">
            <w:pPr>
              <w:jc w:val="center"/>
              <w:rPr>
                <w:rFonts w:ascii="Arial" w:hAnsi="Arial" w:cs="Arial"/>
                <w:sz w:val="20"/>
                <w:szCs w:val="20"/>
              </w:rPr>
            </w:pPr>
          </w:p>
        </w:tc>
        <w:tc>
          <w:tcPr>
            <w:tcW w:w="2070" w:type="dxa"/>
          </w:tcPr>
          <w:p w:rsidR="00800129" w:rsidRPr="0022412C" w:rsidRDefault="00800129" w:rsidP="00B05181">
            <w:pPr>
              <w:rPr>
                <w:rFonts w:ascii="Arial" w:hAnsi="Arial" w:cs="Arial"/>
                <w:sz w:val="20"/>
                <w:szCs w:val="20"/>
              </w:rPr>
            </w:pPr>
          </w:p>
        </w:tc>
      </w:tr>
      <w:tr w:rsidR="00800129" w:rsidRPr="00AC62DA">
        <w:trPr>
          <w:cantSplit/>
        </w:trPr>
        <w:tc>
          <w:tcPr>
            <w:tcW w:w="10098" w:type="dxa"/>
            <w:gridSpan w:val="4"/>
            <w:shd w:val="clear" w:color="auto" w:fill="D9D9D9" w:themeFill="background1" w:themeFillShade="D9"/>
          </w:tcPr>
          <w:p w:rsidR="00800129" w:rsidRPr="002C1D95" w:rsidRDefault="00800129" w:rsidP="00186316">
            <w:pPr>
              <w:pStyle w:val="ListParagraph"/>
              <w:numPr>
                <w:ilvl w:val="0"/>
                <w:numId w:val="7"/>
              </w:numPr>
              <w:rPr>
                <w:rFonts w:ascii="Arial" w:hAnsi="Arial" w:cs="Arial"/>
                <w:sz w:val="20"/>
                <w:szCs w:val="20"/>
              </w:rPr>
            </w:pPr>
            <w:r w:rsidRPr="002C1D95">
              <w:rPr>
                <w:rFonts w:ascii="Arial" w:eastAsia="Times New Roman" w:hAnsi="Arial" w:cs="Arial"/>
                <w:b/>
                <w:bCs/>
                <w:color w:val="000000"/>
                <w:sz w:val="20"/>
                <w:szCs w:val="20"/>
              </w:rPr>
              <w:t>Eligibility and Enrollment</w:t>
            </w: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sidRPr="00AC62DA">
              <w:rPr>
                <w:rFonts w:ascii="Arial" w:eastAsia="Times New Roman" w:hAnsi="Arial" w:cs="Arial"/>
                <w:color w:val="000000"/>
                <w:sz w:val="20"/>
                <w:szCs w:val="20"/>
              </w:rPr>
              <w:t xml:space="preserve">3.1 </w:t>
            </w:r>
            <w:r>
              <w:rPr>
                <w:rFonts w:ascii="Arial" w:eastAsia="Times New Roman" w:hAnsi="Arial" w:cs="Arial"/>
                <w:color w:val="000000"/>
                <w:sz w:val="20"/>
                <w:szCs w:val="20"/>
              </w:rPr>
              <w:t>Single streamlined application(s) for Exchange and SHOP</w:t>
            </w:r>
          </w:p>
        </w:tc>
        <w:tc>
          <w:tcPr>
            <w:tcW w:w="1980" w:type="dxa"/>
          </w:tcPr>
          <w:p w:rsidR="00800129" w:rsidRPr="00AC62DA" w:rsidRDefault="00800129" w:rsidP="00B05181">
            <w:pPr>
              <w:jc w:val="center"/>
              <w:rPr>
                <w:rFonts w:ascii="Arial" w:hAnsi="Arial" w:cs="Arial"/>
                <w:sz w:val="20"/>
                <w:szCs w:val="20"/>
              </w:rPr>
            </w:pPr>
            <w:r>
              <w:rPr>
                <w:rFonts w:ascii="Arial" w:hAnsi="Arial" w:cs="Arial"/>
                <w:sz w:val="20"/>
                <w:szCs w:val="20"/>
              </w:rPr>
              <w:t>X</w:t>
            </w:r>
            <w:r>
              <w:rPr>
                <w:rFonts w:ascii="Arial" w:hAnsi="Arial" w:cs="Arial"/>
                <w:sz w:val="20"/>
                <w:szCs w:val="20"/>
              </w:rPr>
              <w:br/>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sidRPr="00AC62DA">
              <w:rPr>
                <w:rFonts w:ascii="Arial" w:eastAsia="Times New Roman" w:hAnsi="Arial" w:cs="Arial"/>
                <w:color w:val="000000"/>
                <w:sz w:val="20"/>
                <w:szCs w:val="20"/>
              </w:rPr>
              <w:t>3.2 Coordin</w:t>
            </w:r>
            <w:r>
              <w:rPr>
                <w:rFonts w:ascii="Arial" w:eastAsia="Times New Roman" w:hAnsi="Arial" w:cs="Arial"/>
                <w:color w:val="000000"/>
                <w:sz w:val="20"/>
                <w:szCs w:val="20"/>
              </w:rPr>
              <w:t>ation strategy with</w:t>
            </w:r>
            <w:r w:rsidRPr="00AC62DA">
              <w:rPr>
                <w:rFonts w:ascii="Arial" w:eastAsia="Times New Roman" w:hAnsi="Arial" w:cs="Arial"/>
                <w:color w:val="000000"/>
                <w:sz w:val="20"/>
                <w:szCs w:val="20"/>
              </w:rPr>
              <w:t xml:space="preserve"> In</w:t>
            </w:r>
            <w:r>
              <w:rPr>
                <w:rFonts w:ascii="Arial" w:eastAsia="Times New Roman" w:hAnsi="Arial" w:cs="Arial"/>
                <w:color w:val="000000"/>
                <w:sz w:val="20"/>
                <w:szCs w:val="20"/>
              </w:rPr>
              <w:t>surance Affordability Programs and the SHOP</w:t>
            </w:r>
          </w:p>
        </w:tc>
        <w:tc>
          <w:tcPr>
            <w:tcW w:w="1980" w:type="dxa"/>
          </w:tcPr>
          <w:p w:rsidR="00800129" w:rsidRPr="00AC62DA" w:rsidRDefault="00800129" w:rsidP="00B05181">
            <w:pPr>
              <w:jc w:val="center"/>
              <w:rPr>
                <w:rFonts w:ascii="Arial" w:hAnsi="Arial" w:cs="Arial"/>
                <w:sz w:val="20"/>
                <w:szCs w:val="20"/>
              </w:rPr>
            </w:pPr>
            <w:r>
              <w:rPr>
                <w:rFonts w:ascii="Arial" w:hAnsi="Arial" w:cs="Arial"/>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sidRPr="00AC62DA">
              <w:rPr>
                <w:rFonts w:ascii="Arial" w:eastAsia="Times New Roman" w:hAnsi="Arial" w:cs="Arial"/>
                <w:color w:val="000000"/>
                <w:sz w:val="20"/>
                <w:szCs w:val="20"/>
              </w:rPr>
              <w:t xml:space="preserve">3.3 </w:t>
            </w:r>
            <w:r>
              <w:rPr>
                <w:rFonts w:ascii="Arial" w:eastAsia="Times New Roman" w:hAnsi="Arial" w:cs="Arial"/>
                <w:color w:val="000000"/>
                <w:sz w:val="20"/>
                <w:szCs w:val="20"/>
              </w:rPr>
              <w:t>Application, updates, acceptance and processing, and responses to redeterminations</w:t>
            </w:r>
          </w:p>
        </w:tc>
        <w:tc>
          <w:tcPr>
            <w:tcW w:w="1980" w:type="dxa"/>
          </w:tcPr>
          <w:p w:rsidR="00800129" w:rsidRPr="00AC62DA" w:rsidRDefault="00800129" w:rsidP="00B05181">
            <w:pPr>
              <w:jc w:val="center"/>
              <w:rPr>
                <w:rFonts w:ascii="Arial" w:hAnsi="Arial" w:cs="Arial"/>
                <w:sz w:val="20"/>
                <w:szCs w:val="20"/>
              </w:rPr>
            </w:pPr>
            <w:r>
              <w:rPr>
                <w:rFonts w:ascii="Arial" w:hAnsi="Arial" w:cs="Arial"/>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sidRPr="00AC62DA">
              <w:rPr>
                <w:rFonts w:ascii="Arial" w:eastAsia="Times New Roman" w:hAnsi="Arial" w:cs="Arial"/>
                <w:color w:val="000000"/>
                <w:sz w:val="20"/>
                <w:szCs w:val="20"/>
              </w:rPr>
              <w:t xml:space="preserve">3.4 </w:t>
            </w:r>
            <w:r>
              <w:rPr>
                <w:rFonts w:ascii="Arial" w:eastAsia="Times New Roman" w:hAnsi="Arial" w:cs="Arial"/>
                <w:color w:val="000000"/>
                <w:sz w:val="20"/>
                <w:szCs w:val="20"/>
              </w:rPr>
              <w:t xml:space="preserve">Notices, </w:t>
            </w:r>
            <w:r w:rsidRPr="00AC62DA">
              <w:rPr>
                <w:rFonts w:ascii="Arial" w:eastAsia="Times New Roman" w:hAnsi="Arial" w:cs="Arial"/>
                <w:color w:val="000000"/>
                <w:sz w:val="20"/>
                <w:szCs w:val="20"/>
              </w:rPr>
              <w:t>dat</w:t>
            </w:r>
            <w:r>
              <w:rPr>
                <w:rFonts w:ascii="Arial" w:eastAsia="Times New Roman" w:hAnsi="Arial" w:cs="Arial"/>
                <w:color w:val="000000"/>
                <w:sz w:val="20"/>
                <w:szCs w:val="20"/>
              </w:rPr>
              <w:t>a matching, annual redeterminations and response processing</w:t>
            </w:r>
          </w:p>
        </w:tc>
        <w:tc>
          <w:tcPr>
            <w:tcW w:w="1980" w:type="dxa"/>
          </w:tcPr>
          <w:p w:rsidR="00800129" w:rsidRPr="00AC62DA" w:rsidRDefault="00800129" w:rsidP="00B05181">
            <w:pPr>
              <w:jc w:val="center"/>
              <w:rPr>
                <w:rFonts w:ascii="Arial" w:hAnsi="Arial" w:cs="Arial"/>
                <w:sz w:val="20"/>
                <w:szCs w:val="20"/>
              </w:rPr>
            </w:pPr>
            <w:r>
              <w:rPr>
                <w:rFonts w:ascii="Arial" w:hAnsi="Arial" w:cs="Arial"/>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Pr>
                <w:rFonts w:ascii="Arial" w:eastAsia="Times New Roman" w:hAnsi="Arial" w:cs="Arial"/>
                <w:color w:val="000000"/>
                <w:sz w:val="20"/>
                <w:szCs w:val="20"/>
              </w:rPr>
              <w:t>3.5 V</w:t>
            </w:r>
            <w:r w:rsidRPr="00AC62DA">
              <w:rPr>
                <w:rFonts w:ascii="Arial" w:eastAsia="Times New Roman" w:hAnsi="Arial" w:cs="Arial"/>
                <w:color w:val="000000"/>
                <w:sz w:val="20"/>
                <w:szCs w:val="20"/>
              </w:rPr>
              <w:t>erifications</w:t>
            </w:r>
          </w:p>
        </w:tc>
        <w:tc>
          <w:tcPr>
            <w:tcW w:w="1980" w:type="dxa"/>
          </w:tcPr>
          <w:p w:rsidR="00800129" w:rsidRDefault="00800129" w:rsidP="00B05181">
            <w:pPr>
              <w:jc w:val="center"/>
              <w:rPr>
                <w:rFonts w:ascii="Arial" w:hAnsi="Arial" w:cs="Arial"/>
                <w:sz w:val="20"/>
                <w:szCs w:val="20"/>
              </w:rPr>
            </w:pPr>
            <w:r>
              <w:rPr>
                <w:rFonts w:ascii="Arial" w:hAnsi="Arial" w:cs="Arial"/>
                <w:sz w:val="20"/>
                <w:szCs w:val="20"/>
              </w:rPr>
              <w:t>X</w:t>
            </w:r>
          </w:p>
          <w:p w:rsidR="00FA457E" w:rsidRPr="00AC62DA" w:rsidRDefault="00FA457E"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Pr>
                <w:rFonts w:ascii="Arial" w:eastAsia="Times New Roman" w:hAnsi="Arial" w:cs="Arial"/>
                <w:color w:val="000000"/>
                <w:sz w:val="20"/>
                <w:szCs w:val="20"/>
              </w:rPr>
              <w:t>3.6 Document acceptance and processing</w:t>
            </w:r>
          </w:p>
        </w:tc>
        <w:tc>
          <w:tcPr>
            <w:tcW w:w="1980" w:type="dxa"/>
          </w:tcPr>
          <w:p w:rsidR="00800129" w:rsidRPr="00AC62DA" w:rsidRDefault="00800129" w:rsidP="00B05181">
            <w:pPr>
              <w:jc w:val="center"/>
              <w:rPr>
                <w:rFonts w:ascii="Arial" w:hAnsi="Arial" w:cs="Arial"/>
                <w:sz w:val="20"/>
                <w:szCs w:val="20"/>
              </w:rPr>
            </w:pPr>
            <w:r>
              <w:rPr>
                <w:rFonts w:ascii="Arial" w:hAnsi="Arial" w:cs="Arial"/>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800129" w:rsidP="00B05181">
            <w:pPr>
              <w:rPr>
                <w:rFonts w:ascii="Arial" w:eastAsia="Times New Roman" w:hAnsi="Arial" w:cs="Arial"/>
                <w:color w:val="000000"/>
                <w:sz w:val="20"/>
                <w:szCs w:val="20"/>
              </w:rPr>
            </w:pPr>
            <w:r w:rsidRPr="00AC62DA">
              <w:rPr>
                <w:rFonts w:ascii="Arial" w:eastAsia="Times New Roman" w:hAnsi="Arial" w:cs="Arial"/>
                <w:color w:val="000000"/>
                <w:sz w:val="20"/>
                <w:szCs w:val="20"/>
              </w:rPr>
              <w:t xml:space="preserve">3.7 </w:t>
            </w:r>
            <w:r>
              <w:rPr>
                <w:rFonts w:ascii="Arial" w:hAnsi="Arial" w:cs="Arial"/>
                <w:sz w:val="20"/>
                <w:szCs w:val="20"/>
              </w:rPr>
              <w:t>E</w:t>
            </w:r>
            <w:r w:rsidRPr="00AC62DA">
              <w:rPr>
                <w:rFonts w:ascii="Arial" w:hAnsi="Arial" w:cs="Arial"/>
                <w:sz w:val="20"/>
                <w:szCs w:val="20"/>
              </w:rPr>
              <w:t xml:space="preserve">ligibility </w:t>
            </w:r>
            <w:r>
              <w:rPr>
                <w:rFonts w:ascii="Arial" w:hAnsi="Arial" w:cs="Arial"/>
                <w:sz w:val="20"/>
                <w:szCs w:val="20"/>
              </w:rPr>
              <w:t>determination</w:t>
            </w:r>
          </w:p>
        </w:tc>
        <w:tc>
          <w:tcPr>
            <w:tcW w:w="1980" w:type="dxa"/>
          </w:tcPr>
          <w:p w:rsidR="00BB6858" w:rsidRPr="00AC62DA" w:rsidRDefault="00800129" w:rsidP="00DD744A">
            <w:pPr>
              <w:jc w:val="center"/>
              <w:rPr>
                <w:rFonts w:ascii="Arial" w:hAnsi="Arial" w:cs="Arial"/>
                <w:sz w:val="20"/>
                <w:szCs w:val="20"/>
              </w:rPr>
            </w:pPr>
            <w:r>
              <w:rPr>
                <w:rFonts w:ascii="Arial" w:hAnsi="Arial" w:cs="Arial"/>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22412C" w:rsidRDefault="00800129" w:rsidP="00D42B1B">
            <w:pPr>
              <w:rPr>
                <w:rFonts w:ascii="Arial" w:eastAsia="Times New Roman" w:hAnsi="Arial" w:cs="Arial"/>
                <w:color w:val="000000"/>
                <w:sz w:val="20"/>
                <w:szCs w:val="20"/>
              </w:rPr>
            </w:pPr>
            <w:r>
              <w:rPr>
                <w:rFonts w:ascii="Arial" w:eastAsia="Times New Roman" w:hAnsi="Arial" w:cs="Arial"/>
                <w:color w:val="000000"/>
                <w:sz w:val="20"/>
                <w:szCs w:val="20"/>
              </w:rPr>
              <w:t>3.8</w:t>
            </w:r>
            <w:r w:rsidRPr="0022412C">
              <w:rPr>
                <w:rFonts w:ascii="Arial" w:eastAsia="Times New Roman" w:hAnsi="Arial" w:cs="Arial"/>
                <w:color w:val="000000"/>
                <w:sz w:val="20"/>
                <w:szCs w:val="20"/>
              </w:rPr>
              <w:t xml:space="preserve"> </w:t>
            </w:r>
            <w:r>
              <w:rPr>
                <w:rFonts w:ascii="Arial" w:eastAsia="Times New Roman" w:hAnsi="Arial" w:cs="Arial"/>
                <w:color w:val="000000"/>
                <w:sz w:val="20"/>
                <w:szCs w:val="20"/>
              </w:rPr>
              <w:t>E</w:t>
            </w:r>
            <w:r w:rsidRPr="0022412C">
              <w:rPr>
                <w:rFonts w:ascii="Arial" w:eastAsia="Times New Roman" w:hAnsi="Arial" w:cs="Arial"/>
                <w:color w:val="000000"/>
                <w:sz w:val="20"/>
                <w:szCs w:val="20"/>
              </w:rPr>
              <w:t>ligibility</w:t>
            </w:r>
            <w:r>
              <w:rPr>
                <w:rFonts w:ascii="Arial" w:eastAsia="Times New Roman" w:hAnsi="Arial" w:cs="Arial"/>
                <w:color w:val="000000"/>
                <w:sz w:val="20"/>
                <w:szCs w:val="20"/>
              </w:rPr>
              <w:t xml:space="preserve"> determinations for APTC and </w:t>
            </w:r>
            <w:r w:rsidRPr="0022412C">
              <w:rPr>
                <w:rFonts w:ascii="Arial" w:eastAsia="Times New Roman" w:hAnsi="Arial" w:cs="Arial"/>
                <w:color w:val="000000"/>
                <w:sz w:val="20"/>
                <w:szCs w:val="20"/>
              </w:rPr>
              <w:t>CSR</w:t>
            </w:r>
          </w:p>
        </w:tc>
        <w:tc>
          <w:tcPr>
            <w:tcW w:w="1980" w:type="dxa"/>
          </w:tcPr>
          <w:p w:rsidR="00800129" w:rsidRPr="0022412C" w:rsidRDefault="00800129" w:rsidP="00F2165C">
            <w:pPr>
              <w:jc w:val="center"/>
              <w:rPr>
                <w:rFonts w:ascii="Arial" w:hAnsi="Arial" w:cs="Arial"/>
                <w:sz w:val="20"/>
                <w:szCs w:val="20"/>
              </w:rPr>
            </w:pPr>
            <w:r>
              <w:rPr>
                <w:rFonts w:ascii="Arial" w:hAnsi="Arial" w:cs="Arial"/>
                <w:sz w:val="20"/>
                <w:szCs w:val="20"/>
              </w:rPr>
              <w:t>X</w:t>
            </w:r>
            <w:r w:rsidRPr="0022412C">
              <w:rPr>
                <w:rFonts w:ascii="Arial" w:hAnsi="Arial" w:cs="Arial"/>
                <w:sz w:val="20"/>
                <w:szCs w:val="20"/>
              </w:rPr>
              <w:br/>
            </w:r>
            <w:r w:rsidR="00292974">
              <w:rPr>
                <w:rFonts w:ascii="Arial" w:hAnsi="Arial" w:cs="Arial"/>
                <w:i/>
                <w:sz w:val="20"/>
                <w:szCs w:val="20"/>
              </w:rPr>
              <w:t>can use Federal service</w:t>
            </w:r>
          </w:p>
        </w:tc>
        <w:tc>
          <w:tcPr>
            <w:tcW w:w="2070" w:type="dxa"/>
          </w:tcPr>
          <w:p w:rsidR="00800129" w:rsidRPr="0022412C"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572329"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3.9</w:t>
            </w:r>
            <w:r w:rsidR="00800129" w:rsidRPr="00572329">
              <w:rPr>
                <w:rFonts w:ascii="Arial" w:eastAsia="Times New Roman" w:hAnsi="Arial" w:cs="Arial"/>
                <w:color w:val="000000"/>
                <w:sz w:val="20"/>
                <w:szCs w:val="20"/>
              </w:rPr>
              <w:t xml:space="preserve"> </w:t>
            </w:r>
            <w:r w:rsidR="00800129">
              <w:rPr>
                <w:rFonts w:ascii="Arial" w:eastAsia="Times New Roman" w:hAnsi="Arial" w:cs="Arial"/>
                <w:color w:val="000000"/>
                <w:sz w:val="20"/>
                <w:szCs w:val="20"/>
              </w:rPr>
              <w:t>Applicant and employer notification</w:t>
            </w:r>
          </w:p>
        </w:tc>
        <w:tc>
          <w:tcPr>
            <w:tcW w:w="1980" w:type="dxa"/>
          </w:tcPr>
          <w:p w:rsidR="00800129" w:rsidRPr="00AC62DA" w:rsidRDefault="00800129" w:rsidP="00B05181">
            <w:pPr>
              <w:jc w:val="center"/>
              <w:rPr>
                <w:rFonts w:ascii="Arial" w:hAnsi="Arial" w:cs="Arial"/>
                <w:sz w:val="20"/>
                <w:szCs w:val="20"/>
              </w:rPr>
            </w:pPr>
            <w:r>
              <w:rPr>
                <w:rFonts w:ascii="Arial" w:hAnsi="Arial" w:cs="Arial"/>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572329" w:rsidRDefault="002160D1" w:rsidP="00E71E1B">
            <w:pPr>
              <w:rPr>
                <w:rFonts w:ascii="Arial" w:eastAsia="Times New Roman" w:hAnsi="Arial" w:cs="Arial"/>
                <w:color w:val="000000"/>
                <w:sz w:val="20"/>
                <w:szCs w:val="20"/>
              </w:rPr>
            </w:pPr>
            <w:r>
              <w:rPr>
                <w:rFonts w:ascii="Arial" w:eastAsia="Times New Roman" w:hAnsi="Arial" w:cs="Arial"/>
                <w:color w:val="000000"/>
                <w:sz w:val="20"/>
                <w:szCs w:val="20"/>
              </w:rPr>
              <w:t>3.10</w:t>
            </w:r>
            <w:r w:rsidR="00800129" w:rsidRPr="00572329">
              <w:rPr>
                <w:rFonts w:ascii="Arial" w:eastAsia="Times New Roman" w:hAnsi="Arial" w:cs="Arial"/>
                <w:color w:val="000000"/>
                <w:sz w:val="20"/>
                <w:szCs w:val="20"/>
              </w:rPr>
              <w:t xml:space="preserve"> </w:t>
            </w:r>
            <w:r w:rsidR="00E71E1B">
              <w:rPr>
                <w:rFonts w:ascii="Arial" w:eastAsia="Times New Roman" w:hAnsi="Arial" w:cs="Arial"/>
                <w:color w:val="000000"/>
                <w:sz w:val="20"/>
                <w:szCs w:val="20"/>
              </w:rPr>
              <w:t>Individual</w:t>
            </w:r>
            <w:r w:rsidR="00CD661E">
              <w:rPr>
                <w:rFonts w:ascii="Arial" w:eastAsia="Times New Roman" w:hAnsi="Arial" w:cs="Arial"/>
                <w:color w:val="000000"/>
                <w:sz w:val="20"/>
                <w:szCs w:val="20"/>
              </w:rPr>
              <w:t xml:space="preserve"> responsibility requirement and payment </w:t>
            </w:r>
            <w:r w:rsidR="00800129">
              <w:rPr>
                <w:rFonts w:ascii="Arial" w:eastAsia="Times New Roman" w:hAnsi="Arial" w:cs="Arial"/>
                <w:color w:val="000000"/>
                <w:sz w:val="20"/>
                <w:szCs w:val="20"/>
              </w:rPr>
              <w:t>exemption determinations</w:t>
            </w:r>
            <w:r w:rsidR="00800129" w:rsidRPr="00572329">
              <w:rPr>
                <w:rFonts w:ascii="Arial" w:eastAsia="Times New Roman" w:hAnsi="Arial" w:cs="Arial"/>
                <w:color w:val="000000"/>
                <w:sz w:val="20"/>
                <w:szCs w:val="20"/>
              </w:rPr>
              <w:t xml:space="preserve"> </w:t>
            </w:r>
          </w:p>
        </w:tc>
        <w:tc>
          <w:tcPr>
            <w:tcW w:w="1980" w:type="dxa"/>
          </w:tcPr>
          <w:p w:rsidR="00800129" w:rsidRPr="00AC62DA" w:rsidRDefault="00800129" w:rsidP="00292974">
            <w:pPr>
              <w:jc w:val="center"/>
              <w:rPr>
                <w:rFonts w:ascii="Arial" w:hAnsi="Arial" w:cs="Arial"/>
                <w:sz w:val="20"/>
                <w:szCs w:val="20"/>
              </w:rPr>
            </w:pPr>
            <w:r>
              <w:rPr>
                <w:rFonts w:ascii="Arial" w:hAnsi="Arial" w:cs="Arial"/>
                <w:sz w:val="20"/>
                <w:szCs w:val="20"/>
              </w:rPr>
              <w:t>X</w:t>
            </w:r>
            <w:r>
              <w:rPr>
                <w:rFonts w:ascii="Arial" w:hAnsi="Arial" w:cs="Arial"/>
                <w:sz w:val="20"/>
                <w:szCs w:val="20"/>
              </w:rPr>
              <w:br/>
            </w:r>
            <w:r w:rsidR="00292974">
              <w:rPr>
                <w:rFonts w:ascii="Arial" w:hAnsi="Arial" w:cs="Arial"/>
                <w:i/>
                <w:sz w:val="20"/>
                <w:szCs w:val="20"/>
              </w:rPr>
              <w:t>can use Federal service</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3.11</w:t>
            </w:r>
            <w:r w:rsidR="00800129" w:rsidRPr="00AC62DA">
              <w:rPr>
                <w:rFonts w:ascii="Arial" w:eastAsia="Times New Roman" w:hAnsi="Arial" w:cs="Arial"/>
                <w:color w:val="000000"/>
                <w:sz w:val="20"/>
                <w:szCs w:val="20"/>
              </w:rPr>
              <w:t xml:space="preserve"> </w:t>
            </w:r>
            <w:r w:rsidR="00800129">
              <w:rPr>
                <w:rFonts w:ascii="Arial" w:eastAsia="Times New Roman" w:hAnsi="Arial" w:cs="Arial"/>
                <w:color w:val="000000"/>
                <w:sz w:val="20"/>
                <w:szCs w:val="20"/>
              </w:rPr>
              <w:t>Eligibility</w:t>
            </w:r>
            <w:r w:rsidR="00800129" w:rsidRPr="00AC62DA">
              <w:rPr>
                <w:rFonts w:ascii="Arial" w:eastAsia="Times New Roman" w:hAnsi="Arial" w:cs="Arial"/>
                <w:color w:val="000000"/>
                <w:sz w:val="20"/>
                <w:szCs w:val="20"/>
              </w:rPr>
              <w:t xml:space="preserve"> appeals</w:t>
            </w:r>
          </w:p>
        </w:tc>
        <w:tc>
          <w:tcPr>
            <w:tcW w:w="1980" w:type="dxa"/>
          </w:tcPr>
          <w:p w:rsidR="00FF0857" w:rsidRPr="00AC62DA" w:rsidRDefault="00800129" w:rsidP="00FF0857">
            <w:pPr>
              <w:jc w:val="center"/>
              <w:rPr>
                <w:rFonts w:ascii="Arial" w:hAnsi="Arial" w:cs="Arial"/>
                <w:sz w:val="20"/>
                <w:szCs w:val="20"/>
              </w:rPr>
            </w:pPr>
            <w:r>
              <w:rPr>
                <w:rFonts w:ascii="Arial" w:hAnsi="Arial" w:cs="Arial"/>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800129" w:rsidRPr="00AC62DA">
        <w:trPr>
          <w:cantSplit/>
        </w:trPr>
        <w:tc>
          <w:tcPr>
            <w:tcW w:w="3978" w:type="dxa"/>
          </w:tcPr>
          <w:p w:rsidR="00800129"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3.12</w:t>
            </w:r>
            <w:r w:rsidR="00800129" w:rsidRPr="00AC62DA">
              <w:rPr>
                <w:rFonts w:ascii="Arial" w:eastAsia="Times New Roman" w:hAnsi="Arial" w:cs="Arial"/>
                <w:color w:val="000000"/>
                <w:sz w:val="20"/>
                <w:szCs w:val="20"/>
              </w:rPr>
              <w:t xml:space="preserve"> </w:t>
            </w:r>
            <w:r w:rsidR="00800129">
              <w:rPr>
                <w:rFonts w:ascii="Arial" w:eastAsia="Times New Roman" w:hAnsi="Arial" w:cs="Arial"/>
                <w:color w:val="000000"/>
                <w:sz w:val="20"/>
                <w:szCs w:val="20"/>
              </w:rPr>
              <w:t>QHP selections and terminations, and APTC/advance CSR information processing</w:t>
            </w:r>
          </w:p>
        </w:tc>
        <w:tc>
          <w:tcPr>
            <w:tcW w:w="1980" w:type="dxa"/>
          </w:tcPr>
          <w:p w:rsidR="00800129" w:rsidRPr="00AC62DA" w:rsidRDefault="00800129" w:rsidP="00B05181">
            <w:pPr>
              <w:jc w:val="center"/>
              <w:rPr>
                <w:rFonts w:ascii="Arial" w:hAnsi="Arial" w:cs="Arial"/>
                <w:sz w:val="20"/>
                <w:szCs w:val="20"/>
              </w:rPr>
            </w:pPr>
            <w:r>
              <w:rPr>
                <w:rFonts w:ascii="Arial" w:hAnsi="Arial" w:cs="Arial"/>
                <w:sz w:val="20"/>
                <w:szCs w:val="20"/>
              </w:rPr>
              <w:t>X</w:t>
            </w:r>
          </w:p>
        </w:tc>
        <w:tc>
          <w:tcPr>
            <w:tcW w:w="2070" w:type="dxa"/>
          </w:tcPr>
          <w:p w:rsidR="00800129" w:rsidRPr="00AC62DA" w:rsidRDefault="00800129" w:rsidP="00B05181">
            <w:pPr>
              <w:jc w:val="center"/>
              <w:rPr>
                <w:rFonts w:ascii="Arial" w:hAnsi="Arial" w:cs="Arial"/>
                <w:sz w:val="20"/>
                <w:szCs w:val="20"/>
              </w:rPr>
            </w:pPr>
          </w:p>
        </w:tc>
        <w:tc>
          <w:tcPr>
            <w:tcW w:w="2070" w:type="dxa"/>
          </w:tcPr>
          <w:p w:rsidR="00800129" w:rsidRPr="00AC62DA" w:rsidRDefault="00800129" w:rsidP="00B05181">
            <w:pPr>
              <w:jc w:val="center"/>
              <w:rPr>
                <w:rFonts w:ascii="Arial" w:hAnsi="Arial" w:cs="Arial"/>
                <w:sz w:val="20"/>
                <w:szCs w:val="20"/>
              </w:rPr>
            </w:pPr>
          </w:p>
        </w:tc>
      </w:tr>
      <w:tr w:rsidR="002160D1" w:rsidRPr="00AC62DA">
        <w:trPr>
          <w:cantSplit/>
        </w:trPr>
        <w:tc>
          <w:tcPr>
            <w:tcW w:w="3978" w:type="dxa"/>
          </w:tcPr>
          <w:p w:rsidR="002160D1" w:rsidRPr="00520008" w:rsidRDefault="002160D1" w:rsidP="002160D1">
            <w:pPr>
              <w:rPr>
                <w:rFonts w:ascii="Arial" w:eastAsia="Times New Roman" w:hAnsi="Arial" w:cs="Arial"/>
                <w:color w:val="000000"/>
                <w:sz w:val="20"/>
                <w:szCs w:val="20"/>
              </w:rPr>
            </w:pPr>
            <w:r w:rsidRPr="00520008">
              <w:rPr>
                <w:rFonts w:ascii="Arial" w:eastAsia="Times New Roman" w:hAnsi="Arial" w:cs="Arial"/>
                <w:color w:val="000000"/>
                <w:sz w:val="20"/>
                <w:szCs w:val="20"/>
              </w:rPr>
              <w:t xml:space="preserve">3.13 Electronically report results </w:t>
            </w:r>
            <w:r w:rsidRPr="00520008">
              <w:rPr>
                <w:rFonts w:ascii="Arial" w:hAnsi="Arial" w:cs="Arial"/>
                <w:sz w:val="20"/>
                <w:szCs w:val="20"/>
              </w:rPr>
              <w:t>of eligibility assessments and determinations</w:t>
            </w:r>
          </w:p>
        </w:tc>
        <w:tc>
          <w:tcPr>
            <w:tcW w:w="1980" w:type="dxa"/>
          </w:tcPr>
          <w:p w:rsidR="002160D1" w:rsidRPr="00AC62DA" w:rsidRDefault="002160D1" w:rsidP="002160D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c>
          <w:tcPr>
            <w:tcW w:w="2070" w:type="dxa"/>
          </w:tcPr>
          <w:p w:rsidR="002160D1" w:rsidRPr="00AC62DA" w:rsidRDefault="002160D1" w:rsidP="00B05181">
            <w:pPr>
              <w:jc w:val="center"/>
              <w:rPr>
                <w:rFonts w:ascii="Arial" w:hAnsi="Arial" w:cs="Arial"/>
                <w:sz w:val="20"/>
                <w:szCs w:val="20"/>
              </w:rPr>
            </w:pPr>
          </w:p>
        </w:tc>
      </w:tr>
      <w:tr w:rsidR="00F61D4D" w:rsidRPr="00AC62DA" w:rsidTr="00696982">
        <w:trPr>
          <w:cantSplit/>
        </w:trPr>
        <w:tc>
          <w:tcPr>
            <w:tcW w:w="3978" w:type="dxa"/>
          </w:tcPr>
          <w:p w:rsidR="00F61D4D" w:rsidRPr="00C54C51" w:rsidRDefault="00F61D4D" w:rsidP="00696982">
            <w:pPr>
              <w:rPr>
                <w:rFonts w:ascii="Arial" w:eastAsia="Times New Roman" w:hAnsi="Arial" w:cs="Arial"/>
                <w:color w:val="000000"/>
                <w:sz w:val="20"/>
                <w:szCs w:val="20"/>
              </w:rPr>
            </w:pPr>
            <w:r w:rsidRPr="00C54C51">
              <w:rPr>
                <w:rFonts w:ascii="Arial" w:eastAsia="Times New Roman" w:hAnsi="Arial" w:cs="Arial"/>
                <w:color w:val="000000"/>
                <w:sz w:val="20"/>
                <w:szCs w:val="20"/>
              </w:rPr>
              <w:lastRenderedPageBreak/>
              <w:t xml:space="preserve">3.14 </w:t>
            </w:r>
            <w:r>
              <w:rPr>
                <w:rFonts w:ascii="Arial" w:eastAsia="Times New Roman" w:hAnsi="Arial" w:cs="Arial"/>
                <w:b/>
                <w:color w:val="000000"/>
                <w:sz w:val="20"/>
                <w:szCs w:val="20"/>
              </w:rPr>
              <w:t xml:space="preserve">. </w:t>
            </w:r>
            <w:r>
              <w:rPr>
                <w:color w:val="1F497D"/>
              </w:rPr>
              <w:t>In accordance with section 155.345(i) of the Exchange Final Rule, the Exchange must follow procedures established in accordance with 45 CFR 152.45 related to the</w:t>
            </w:r>
            <w:r w:rsidRPr="00C54C51">
              <w:rPr>
                <w:rFonts w:ascii="Arial" w:eastAsia="Times New Roman" w:hAnsi="Arial" w:cs="Arial"/>
                <w:b/>
                <w:color w:val="000000"/>
                <w:sz w:val="20"/>
                <w:szCs w:val="20"/>
              </w:rPr>
              <w:t xml:space="preserve"> </w:t>
            </w:r>
            <w:r w:rsidRPr="008D24BE">
              <w:rPr>
                <w:rFonts w:ascii="Arial" w:eastAsia="Times New Roman" w:hAnsi="Arial" w:cs="Arial"/>
                <w:color w:val="000000"/>
                <w:sz w:val="20"/>
                <w:szCs w:val="20"/>
              </w:rPr>
              <w:t>Pre-Existing Condition Insurance Plan (PCIP) transition</w:t>
            </w:r>
          </w:p>
        </w:tc>
        <w:tc>
          <w:tcPr>
            <w:tcW w:w="1980" w:type="dxa"/>
          </w:tcPr>
          <w:p w:rsidR="00F61D4D" w:rsidRPr="00AC62DA" w:rsidRDefault="00F61D4D" w:rsidP="00696982">
            <w:pPr>
              <w:jc w:val="center"/>
              <w:rPr>
                <w:rFonts w:ascii="Arial" w:hAnsi="Arial" w:cs="Arial"/>
                <w:sz w:val="20"/>
                <w:szCs w:val="20"/>
              </w:rPr>
            </w:pPr>
            <w:r>
              <w:rPr>
                <w:rFonts w:ascii="Arial" w:hAnsi="Arial" w:cs="Arial"/>
                <w:sz w:val="20"/>
                <w:szCs w:val="20"/>
              </w:rPr>
              <w:t>X</w:t>
            </w:r>
          </w:p>
        </w:tc>
        <w:tc>
          <w:tcPr>
            <w:tcW w:w="2070" w:type="dxa"/>
          </w:tcPr>
          <w:p w:rsidR="00F61D4D" w:rsidRDefault="00F61D4D" w:rsidP="00696982">
            <w:pPr>
              <w:jc w:val="center"/>
              <w:rPr>
                <w:rFonts w:ascii="Arial" w:hAnsi="Arial" w:cs="Arial"/>
                <w:i/>
                <w:sz w:val="20"/>
                <w:szCs w:val="20"/>
              </w:rPr>
            </w:pPr>
            <w:r>
              <w:rPr>
                <w:rFonts w:ascii="Arial" w:hAnsi="Arial" w:cs="Arial"/>
                <w:i/>
                <w:sz w:val="20"/>
                <w:szCs w:val="20"/>
              </w:rPr>
              <w:t>X</w:t>
            </w:r>
          </w:p>
          <w:p w:rsidR="00F61D4D" w:rsidRDefault="00F61D4D" w:rsidP="00696982">
            <w:pPr>
              <w:jc w:val="center"/>
              <w:rPr>
                <w:rFonts w:ascii="Arial" w:hAnsi="Arial" w:cs="Arial"/>
                <w:i/>
                <w:sz w:val="20"/>
                <w:szCs w:val="20"/>
              </w:rPr>
            </w:pPr>
            <w:r>
              <w:rPr>
                <w:rFonts w:ascii="Arial" w:hAnsi="Arial" w:cs="Arial"/>
                <w:i/>
                <w:sz w:val="20"/>
                <w:szCs w:val="20"/>
              </w:rPr>
              <w:t xml:space="preserve">(as applicable) </w:t>
            </w:r>
          </w:p>
          <w:p w:rsidR="00F61D4D" w:rsidRPr="003013D0" w:rsidRDefault="00F61D4D" w:rsidP="00696982">
            <w:pPr>
              <w:jc w:val="center"/>
              <w:rPr>
                <w:rFonts w:ascii="Arial" w:hAnsi="Arial" w:cs="Arial"/>
                <w:i/>
                <w:sz w:val="20"/>
                <w:szCs w:val="20"/>
              </w:rPr>
            </w:pPr>
          </w:p>
        </w:tc>
        <w:tc>
          <w:tcPr>
            <w:tcW w:w="2070" w:type="dxa"/>
          </w:tcPr>
          <w:p w:rsidR="00F61D4D" w:rsidRDefault="00F61D4D" w:rsidP="00696982">
            <w:pPr>
              <w:jc w:val="center"/>
              <w:rPr>
                <w:rFonts w:ascii="Arial" w:hAnsi="Arial" w:cs="Arial"/>
                <w:i/>
                <w:sz w:val="20"/>
                <w:szCs w:val="20"/>
              </w:rPr>
            </w:pPr>
            <w:r>
              <w:rPr>
                <w:rFonts w:ascii="Arial" w:hAnsi="Arial" w:cs="Arial"/>
                <w:i/>
                <w:sz w:val="20"/>
                <w:szCs w:val="20"/>
              </w:rPr>
              <w:t>X</w:t>
            </w:r>
          </w:p>
          <w:p w:rsidR="00F61D4D" w:rsidRPr="003013D0" w:rsidRDefault="00F61D4D" w:rsidP="00696982">
            <w:pPr>
              <w:jc w:val="center"/>
              <w:rPr>
                <w:rFonts w:ascii="Arial" w:hAnsi="Arial" w:cs="Arial"/>
                <w:i/>
                <w:sz w:val="20"/>
                <w:szCs w:val="20"/>
              </w:rPr>
            </w:pPr>
            <w:r>
              <w:rPr>
                <w:rFonts w:ascii="Arial" w:hAnsi="Arial" w:cs="Arial"/>
                <w:i/>
                <w:sz w:val="20"/>
                <w:szCs w:val="20"/>
              </w:rPr>
              <w:t>(as applicable)</w:t>
            </w:r>
          </w:p>
        </w:tc>
      </w:tr>
      <w:tr w:rsidR="002160D1" w:rsidRPr="00AC62DA">
        <w:trPr>
          <w:cantSplit/>
        </w:trPr>
        <w:tc>
          <w:tcPr>
            <w:tcW w:w="10098" w:type="dxa"/>
            <w:gridSpan w:val="4"/>
            <w:shd w:val="clear" w:color="auto" w:fill="D9D9D9" w:themeFill="background1" w:themeFillShade="D9"/>
          </w:tcPr>
          <w:p w:rsidR="002160D1" w:rsidRPr="002C1D95" w:rsidRDefault="002160D1" w:rsidP="00186316">
            <w:pPr>
              <w:pStyle w:val="ListParagraph"/>
              <w:numPr>
                <w:ilvl w:val="0"/>
                <w:numId w:val="7"/>
              </w:numPr>
              <w:rPr>
                <w:rFonts w:ascii="Arial" w:hAnsi="Arial" w:cs="Arial"/>
                <w:b/>
                <w:sz w:val="20"/>
                <w:szCs w:val="20"/>
              </w:rPr>
            </w:pPr>
            <w:r w:rsidRPr="002C1D95">
              <w:rPr>
                <w:rFonts w:ascii="Arial" w:eastAsia="Times New Roman" w:hAnsi="Arial" w:cs="Arial"/>
                <w:b/>
                <w:color w:val="000000"/>
                <w:sz w:val="20"/>
                <w:szCs w:val="20"/>
              </w:rPr>
              <w:t>Plan Management</w:t>
            </w: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4.1</w:t>
            </w:r>
            <w:r w:rsidRPr="00AC62DA">
              <w:rPr>
                <w:rFonts w:ascii="Arial" w:eastAsia="Times New Roman" w:hAnsi="Arial" w:cs="Arial"/>
                <w:color w:val="000000"/>
                <w:sz w:val="20"/>
                <w:szCs w:val="20"/>
              </w:rPr>
              <w:t xml:space="preserve"> </w:t>
            </w:r>
            <w:r>
              <w:rPr>
                <w:rFonts w:ascii="Arial" w:eastAsia="Times New Roman" w:hAnsi="Arial" w:cs="Arial"/>
                <w:color w:val="000000"/>
                <w:sz w:val="20"/>
                <w:szCs w:val="20"/>
              </w:rPr>
              <w:t>Appropriate</w:t>
            </w:r>
            <w:r w:rsidRPr="00AC62DA">
              <w:rPr>
                <w:rFonts w:ascii="Arial" w:eastAsia="Times New Roman" w:hAnsi="Arial" w:cs="Arial"/>
                <w:color w:val="000000"/>
                <w:sz w:val="20"/>
                <w:szCs w:val="20"/>
              </w:rPr>
              <w:t xml:space="preserve"> authority t</w:t>
            </w:r>
            <w:r>
              <w:rPr>
                <w:rFonts w:ascii="Arial" w:eastAsia="Times New Roman" w:hAnsi="Arial" w:cs="Arial"/>
                <w:color w:val="000000"/>
                <w:sz w:val="20"/>
                <w:szCs w:val="20"/>
              </w:rPr>
              <w:t>o perform and oversee certification of QHPs</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4.2</w:t>
            </w:r>
            <w:r w:rsidRPr="00AC62DA">
              <w:rPr>
                <w:rFonts w:ascii="Arial" w:eastAsia="Times New Roman" w:hAnsi="Arial" w:cs="Arial"/>
                <w:color w:val="000000"/>
                <w:sz w:val="20"/>
                <w:szCs w:val="20"/>
              </w:rPr>
              <w:t xml:space="preserve"> </w:t>
            </w:r>
            <w:r>
              <w:rPr>
                <w:rFonts w:ascii="Arial" w:eastAsia="Times New Roman" w:hAnsi="Arial" w:cs="Arial"/>
                <w:color w:val="000000"/>
                <w:sz w:val="20"/>
                <w:szCs w:val="20"/>
              </w:rPr>
              <w:t>QHP certification process</w:t>
            </w:r>
            <w:r w:rsidRPr="00AC62DA">
              <w:rPr>
                <w:rFonts w:ascii="Arial" w:eastAsia="Times New Roman" w:hAnsi="Arial" w:cs="Arial"/>
                <w:color w:val="000000"/>
                <w:sz w:val="20"/>
                <w:szCs w:val="20"/>
              </w:rPr>
              <w:t xml:space="preserve"> </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3978" w:type="dxa"/>
          </w:tcPr>
          <w:p w:rsidR="002160D1" w:rsidRPr="006977C3" w:rsidRDefault="002160D1" w:rsidP="00B05181">
            <w:pPr>
              <w:rPr>
                <w:rFonts w:ascii="Arial" w:eastAsia="Times New Roman" w:hAnsi="Arial" w:cs="Arial"/>
                <w:color w:val="000000"/>
                <w:sz w:val="20"/>
                <w:szCs w:val="20"/>
              </w:rPr>
            </w:pPr>
            <w:r w:rsidRPr="006977C3">
              <w:rPr>
                <w:rFonts w:ascii="Arial" w:eastAsia="Times New Roman" w:hAnsi="Arial" w:cs="Arial"/>
                <w:color w:val="000000"/>
                <w:sz w:val="20"/>
                <w:szCs w:val="20"/>
              </w:rPr>
              <w:t>4.3 P</w:t>
            </w:r>
            <w:r w:rsidRPr="006977C3">
              <w:rPr>
                <w:rFonts w:ascii="Arial" w:hAnsi="Arial" w:cs="Arial"/>
                <w:sz w:val="20"/>
                <w:szCs w:val="20"/>
              </w:rPr>
              <w:t>lan management system(s) or processes that support the collection of QHP issuer and plan data</w:t>
            </w:r>
          </w:p>
        </w:tc>
        <w:tc>
          <w:tcPr>
            <w:tcW w:w="1980" w:type="dxa"/>
          </w:tcPr>
          <w:p w:rsidR="002160D1" w:rsidRPr="006977C3" w:rsidRDefault="002160D1" w:rsidP="00B05181">
            <w:pPr>
              <w:jc w:val="center"/>
              <w:rPr>
                <w:rFonts w:ascii="Arial" w:hAnsi="Arial" w:cs="Arial"/>
                <w:sz w:val="20"/>
                <w:szCs w:val="20"/>
              </w:rPr>
            </w:pPr>
            <w:r w:rsidRPr="006977C3">
              <w:rPr>
                <w:rFonts w:ascii="Arial" w:hAnsi="Arial" w:cs="Arial"/>
                <w:sz w:val="20"/>
                <w:szCs w:val="20"/>
              </w:rPr>
              <w:t>X</w:t>
            </w:r>
          </w:p>
        </w:tc>
        <w:tc>
          <w:tcPr>
            <w:tcW w:w="2070" w:type="dxa"/>
          </w:tcPr>
          <w:p w:rsidR="002160D1" w:rsidRPr="006977C3" w:rsidRDefault="002160D1" w:rsidP="00B05181">
            <w:pPr>
              <w:jc w:val="center"/>
              <w:rPr>
                <w:rFonts w:ascii="Arial" w:hAnsi="Arial" w:cs="Arial"/>
                <w:sz w:val="20"/>
                <w:szCs w:val="20"/>
              </w:rPr>
            </w:pPr>
            <w:r w:rsidRPr="006977C3">
              <w:rPr>
                <w:rFonts w:ascii="Arial" w:hAnsi="Arial" w:cs="Arial"/>
                <w:sz w:val="20"/>
                <w:szCs w:val="20"/>
              </w:rPr>
              <w:t>X</w:t>
            </w:r>
          </w:p>
        </w:tc>
        <w:tc>
          <w:tcPr>
            <w:tcW w:w="2070" w:type="dxa"/>
          </w:tcPr>
          <w:p w:rsidR="002160D1" w:rsidRPr="006977C3" w:rsidRDefault="002160D1" w:rsidP="00B05181">
            <w:pPr>
              <w:jc w:val="center"/>
              <w:rPr>
                <w:rFonts w:ascii="Arial" w:hAnsi="Arial" w:cs="Arial"/>
                <w:sz w:val="20"/>
                <w:szCs w:val="20"/>
              </w:rPr>
            </w:pP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4.4</w:t>
            </w:r>
            <w:r w:rsidRPr="00AC62DA">
              <w:rPr>
                <w:rFonts w:ascii="Arial" w:eastAsia="Times New Roman" w:hAnsi="Arial" w:cs="Arial"/>
                <w:color w:val="000000"/>
                <w:sz w:val="20"/>
                <w:szCs w:val="20"/>
              </w:rPr>
              <w:t xml:space="preserve"> </w:t>
            </w:r>
            <w:r>
              <w:rPr>
                <w:rFonts w:ascii="Arial" w:eastAsia="Times New Roman" w:hAnsi="Arial" w:cs="Arial"/>
                <w:color w:val="000000"/>
                <w:sz w:val="20"/>
                <w:szCs w:val="20"/>
              </w:rPr>
              <w:t>E</w:t>
            </w:r>
            <w:r w:rsidRPr="00AC62DA">
              <w:rPr>
                <w:rFonts w:ascii="Arial" w:eastAsia="Times New Roman" w:hAnsi="Arial" w:cs="Arial"/>
                <w:color w:val="000000"/>
                <w:sz w:val="20"/>
                <w:szCs w:val="20"/>
              </w:rPr>
              <w:t>nsure ongoing QHP compliance</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4.5</w:t>
            </w:r>
            <w:r w:rsidRPr="00AC62DA">
              <w:rPr>
                <w:rFonts w:ascii="Arial" w:eastAsia="Times New Roman" w:hAnsi="Arial" w:cs="Arial"/>
                <w:color w:val="000000"/>
                <w:sz w:val="20"/>
                <w:szCs w:val="20"/>
              </w:rPr>
              <w:t xml:space="preserve"> </w:t>
            </w:r>
            <w:r>
              <w:rPr>
                <w:rFonts w:ascii="Arial" w:eastAsia="Times New Roman" w:hAnsi="Arial" w:cs="Arial"/>
                <w:color w:val="000000"/>
                <w:sz w:val="20"/>
                <w:szCs w:val="20"/>
              </w:rPr>
              <w:t>S</w:t>
            </w:r>
            <w:r w:rsidRPr="00AC62DA">
              <w:rPr>
                <w:rFonts w:ascii="Arial" w:eastAsia="Times New Roman" w:hAnsi="Arial" w:cs="Arial"/>
                <w:color w:val="000000"/>
                <w:sz w:val="20"/>
                <w:szCs w:val="20"/>
              </w:rPr>
              <w:t>upport issuers and provide technical assistance</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4.6</w:t>
            </w:r>
            <w:r w:rsidRPr="00AC62DA">
              <w:rPr>
                <w:rFonts w:ascii="Arial" w:eastAsia="Times New Roman" w:hAnsi="Arial" w:cs="Arial"/>
                <w:color w:val="000000"/>
                <w:sz w:val="20"/>
                <w:szCs w:val="20"/>
              </w:rPr>
              <w:t xml:space="preserve"> </w:t>
            </w:r>
            <w:r>
              <w:rPr>
                <w:rFonts w:ascii="Arial" w:eastAsia="Times New Roman" w:hAnsi="Arial" w:cs="Arial"/>
                <w:color w:val="000000"/>
                <w:sz w:val="20"/>
                <w:szCs w:val="20"/>
              </w:rPr>
              <w:t>I</w:t>
            </w:r>
            <w:r w:rsidRPr="00AC62DA">
              <w:rPr>
                <w:rFonts w:ascii="Arial" w:eastAsia="Times New Roman" w:hAnsi="Arial" w:cs="Arial"/>
                <w:color w:val="000000"/>
                <w:sz w:val="20"/>
                <w:szCs w:val="20"/>
              </w:rPr>
              <w:t>ssuer recertification,</w:t>
            </w:r>
            <w:r>
              <w:rPr>
                <w:rFonts w:ascii="Arial" w:eastAsia="Times New Roman" w:hAnsi="Arial" w:cs="Arial"/>
                <w:color w:val="000000"/>
                <w:sz w:val="20"/>
                <w:szCs w:val="20"/>
              </w:rPr>
              <w:t xml:space="preserve"> decertification and appeals</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4.7</w:t>
            </w:r>
            <w:r w:rsidRPr="00AC62DA">
              <w:rPr>
                <w:rFonts w:ascii="Arial" w:eastAsia="Times New Roman" w:hAnsi="Arial" w:cs="Arial"/>
                <w:color w:val="000000"/>
                <w:sz w:val="20"/>
                <w:szCs w:val="20"/>
              </w:rPr>
              <w:t xml:space="preserve"> Timeline for QHP accreditation</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4.8</w:t>
            </w:r>
            <w:r w:rsidRPr="00AC62DA">
              <w:rPr>
                <w:rFonts w:ascii="Arial" w:eastAsia="Times New Roman" w:hAnsi="Arial" w:cs="Arial"/>
                <w:color w:val="000000"/>
                <w:sz w:val="20"/>
                <w:szCs w:val="20"/>
              </w:rPr>
              <w:t xml:space="preserve"> QHP quality reporting</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10098" w:type="dxa"/>
            <w:gridSpan w:val="4"/>
            <w:shd w:val="clear" w:color="auto" w:fill="D9D9D9" w:themeFill="background1" w:themeFillShade="D9"/>
          </w:tcPr>
          <w:p w:rsidR="002160D1" w:rsidRPr="002C1D95" w:rsidRDefault="002160D1" w:rsidP="00186316">
            <w:pPr>
              <w:pStyle w:val="ListParagraph"/>
              <w:numPr>
                <w:ilvl w:val="0"/>
                <w:numId w:val="7"/>
              </w:numPr>
              <w:rPr>
                <w:rFonts w:ascii="Arial" w:hAnsi="Arial" w:cs="Arial"/>
                <w:b/>
                <w:sz w:val="20"/>
                <w:szCs w:val="20"/>
              </w:rPr>
            </w:pPr>
            <w:bookmarkStart w:id="4" w:name="_Ref324162351"/>
            <w:r w:rsidRPr="002C1D95">
              <w:rPr>
                <w:rFonts w:ascii="Arial" w:eastAsia="Times New Roman" w:hAnsi="Arial" w:cs="Arial"/>
                <w:b/>
                <w:color w:val="000000"/>
                <w:sz w:val="20"/>
                <w:szCs w:val="20"/>
              </w:rPr>
              <w:t>Risk Adjustment &amp; Reinsurance</w:t>
            </w:r>
            <w:bookmarkEnd w:id="4"/>
          </w:p>
        </w:tc>
      </w:tr>
      <w:tr w:rsidR="002160D1" w:rsidRPr="00AC62DA">
        <w:trPr>
          <w:cantSplit/>
        </w:trPr>
        <w:tc>
          <w:tcPr>
            <w:tcW w:w="3978" w:type="dxa"/>
          </w:tcPr>
          <w:p w:rsidR="002160D1" w:rsidRPr="001F34C0" w:rsidRDefault="002160D1" w:rsidP="00B05181">
            <w:pPr>
              <w:rPr>
                <w:rFonts w:ascii="Arial" w:eastAsia="Times New Roman" w:hAnsi="Arial" w:cs="Arial"/>
                <w:color w:val="000000"/>
                <w:sz w:val="20"/>
                <w:szCs w:val="20"/>
              </w:rPr>
            </w:pPr>
            <w:r w:rsidRPr="001F34C0">
              <w:rPr>
                <w:rFonts w:ascii="Arial" w:eastAsia="Times New Roman" w:hAnsi="Arial" w:cs="Arial"/>
                <w:color w:val="000000"/>
                <w:sz w:val="20"/>
                <w:szCs w:val="20"/>
              </w:rPr>
              <w:t xml:space="preserve">5.1 </w:t>
            </w:r>
            <w:r>
              <w:rPr>
                <w:rFonts w:ascii="Arial" w:eastAsia="Times New Roman" w:hAnsi="Arial" w:cs="Arial"/>
                <w:color w:val="000000"/>
                <w:sz w:val="20"/>
                <w:szCs w:val="20"/>
              </w:rPr>
              <w:t>R</w:t>
            </w:r>
            <w:r w:rsidRPr="001F34C0">
              <w:rPr>
                <w:rFonts w:ascii="Arial" w:hAnsi="Arial" w:cs="Arial"/>
                <w:sz w:val="20"/>
                <w:szCs w:val="20"/>
              </w:rPr>
              <w:t>isk adju</w:t>
            </w:r>
            <w:r>
              <w:rPr>
                <w:rFonts w:ascii="Arial" w:hAnsi="Arial" w:cs="Arial"/>
                <w:sz w:val="20"/>
                <w:szCs w:val="20"/>
              </w:rPr>
              <w:t>stment program</w:t>
            </w:r>
          </w:p>
        </w:tc>
        <w:tc>
          <w:tcPr>
            <w:tcW w:w="1980" w:type="dxa"/>
          </w:tcPr>
          <w:p w:rsidR="002160D1" w:rsidRPr="008843D2" w:rsidRDefault="002160D1" w:rsidP="00B05181">
            <w:pPr>
              <w:jc w:val="center"/>
              <w:rPr>
                <w:rFonts w:ascii="Arial" w:hAnsi="Arial" w:cs="Arial"/>
                <w:i/>
                <w:sz w:val="20"/>
                <w:szCs w:val="20"/>
              </w:rPr>
            </w:pPr>
            <w:r>
              <w:rPr>
                <w:rFonts w:ascii="Arial" w:hAnsi="Arial" w:cs="Arial"/>
                <w:sz w:val="20"/>
                <w:szCs w:val="20"/>
              </w:rPr>
              <w:t>X</w:t>
            </w:r>
            <w:r>
              <w:rPr>
                <w:rFonts w:ascii="Arial" w:hAnsi="Arial" w:cs="Arial"/>
                <w:sz w:val="20"/>
                <w:szCs w:val="20"/>
              </w:rPr>
              <w:br/>
            </w:r>
            <w:r w:rsidR="00292974">
              <w:rPr>
                <w:rFonts w:ascii="Arial" w:hAnsi="Arial" w:cs="Arial"/>
                <w:i/>
                <w:sz w:val="20"/>
                <w:szCs w:val="20"/>
              </w:rPr>
              <w:t>can use Federal service</w:t>
            </w:r>
          </w:p>
        </w:tc>
        <w:tc>
          <w:tcPr>
            <w:tcW w:w="2070" w:type="dxa"/>
          </w:tcPr>
          <w:p w:rsidR="002160D1" w:rsidRPr="008A7468" w:rsidRDefault="002160D1" w:rsidP="00B05181">
            <w:pPr>
              <w:jc w:val="center"/>
              <w:rPr>
                <w:rFonts w:ascii="Arial" w:hAnsi="Arial" w:cs="Arial"/>
                <w:sz w:val="20"/>
                <w:szCs w:val="20"/>
                <w:highlight w:val="green"/>
              </w:rPr>
            </w:pPr>
          </w:p>
        </w:tc>
        <w:tc>
          <w:tcPr>
            <w:tcW w:w="2070" w:type="dxa"/>
          </w:tcPr>
          <w:p w:rsidR="002160D1" w:rsidRPr="008A7468" w:rsidRDefault="002160D1" w:rsidP="00B05181">
            <w:pPr>
              <w:jc w:val="center"/>
              <w:rPr>
                <w:rFonts w:ascii="Arial" w:hAnsi="Arial" w:cs="Arial"/>
                <w:sz w:val="20"/>
                <w:szCs w:val="20"/>
                <w:highlight w:val="green"/>
              </w:rPr>
            </w:pP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sidRPr="00AC62DA">
              <w:rPr>
                <w:rFonts w:ascii="Arial" w:eastAsia="Times New Roman" w:hAnsi="Arial" w:cs="Arial"/>
                <w:color w:val="000000"/>
                <w:sz w:val="20"/>
                <w:szCs w:val="20"/>
              </w:rPr>
              <w:t xml:space="preserve">5.2 </w:t>
            </w:r>
            <w:r>
              <w:rPr>
                <w:rFonts w:ascii="Arial" w:hAnsi="Arial" w:cs="Arial"/>
                <w:sz w:val="20"/>
                <w:szCs w:val="20"/>
              </w:rPr>
              <w:t>Reinsurance program</w:t>
            </w:r>
          </w:p>
        </w:tc>
        <w:tc>
          <w:tcPr>
            <w:tcW w:w="1980" w:type="dxa"/>
          </w:tcPr>
          <w:p w:rsidR="002160D1" w:rsidRPr="008A7468" w:rsidRDefault="002160D1" w:rsidP="00B05181">
            <w:pPr>
              <w:jc w:val="center"/>
              <w:rPr>
                <w:rFonts w:ascii="Arial" w:hAnsi="Arial" w:cs="Arial"/>
                <w:sz w:val="20"/>
                <w:szCs w:val="20"/>
                <w:highlight w:val="green"/>
              </w:rPr>
            </w:pPr>
            <w:r>
              <w:rPr>
                <w:rFonts w:ascii="Arial" w:hAnsi="Arial" w:cs="Arial"/>
                <w:sz w:val="20"/>
                <w:szCs w:val="20"/>
              </w:rPr>
              <w:t>X</w:t>
            </w:r>
            <w:r>
              <w:rPr>
                <w:rFonts w:ascii="Arial" w:hAnsi="Arial" w:cs="Arial"/>
                <w:sz w:val="20"/>
                <w:szCs w:val="20"/>
              </w:rPr>
              <w:br/>
            </w:r>
            <w:r w:rsidR="00292974">
              <w:rPr>
                <w:rFonts w:ascii="Arial" w:hAnsi="Arial" w:cs="Arial"/>
                <w:i/>
                <w:sz w:val="20"/>
                <w:szCs w:val="20"/>
              </w:rPr>
              <w:t>can use Federal service</w:t>
            </w:r>
          </w:p>
        </w:tc>
        <w:tc>
          <w:tcPr>
            <w:tcW w:w="2070" w:type="dxa"/>
          </w:tcPr>
          <w:p w:rsidR="002160D1" w:rsidRDefault="00B068A1" w:rsidP="00BE13DF">
            <w:pPr>
              <w:jc w:val="center"/>
              <w:rPr>
                <w:rFonts w:ascii="Arial" w:hAnsi="Arial" w:cs="Arial"/>
                <w:i/>
                <w:sz w:val="20"/>
                <w:szCs w:val="20"/>
              </w:rPr>
            </w:pPr>
            <w:r>
              <w:rPr>
                <w:rFonts w:ascii="Arial" w:hAnsi="Arial" w:cs="Arial"/>
                <w:sz w:val="20"/>
                <w:szCs w:val="20"/>
              </w:rPr>
              <w:t>X</w:t>
            </w:r>
            <w:r w:rsidR="002160D1">
              <w:rPr>
                <w:rFonts w:ascii="Arial" w:hAnsi="Arial" w:cs="Arial"/>
                <w:sz w:val="20"/>
                <w:szCs w:val="20"/>
              </w:rPr>
              <w:br/>
            </w:r>
            <w:r w:rsidR="002160D1">
              <w:rPr>
                <w:rFonts w:ascii="Arial" w:hAnsi="Arial" w:cs="Arial"/>
                <w:i/>
                <w:sz w:val="20"/>
                <w:szCs w:val="20"/>
              </w:rPr>
              <w:t>may</w:t>
            </w:r>
            <w:r w:rsidR="002160D1" w:rsidRPr="001F34C0">
              <w:rPr>
                <w:rFonts w:ascii="Arial" w:hAnsi="Arial" w:cs="Arial"/>
                <w:i/>
                <w:sz w:val="20"/>
                <w:szCs w:val="20"/>
              </w:rPr>
              <w:t xml:space="preserve"> </w:t>
            </w:r>
            <w:r w:rsidR="002160D1">
              <w:rPr>
                <w:rFonts w:ascii="Arial" w:hAnsi="Arial" w:cs="Arial"/>
                <w:i/>
                <w:sz w:val="20"/>
                <w:szCs w:val="20"/>
              </w:rPr>
              <w:t>elect to perform</w:t>
            </w:r>
          </w:p>
          <w:p w:rsidR="00B068A1" w:rsidRPr="008A7468" w:rsidRDefault="00125E8B" w:rsidP="00BE13DF">
            <w:pPr>
              <w:jc w:val="center"/>
              <w:rPr>
                <w:rFonts w:ascii="Arial" w:hAnsi="Arial" w:cs="Arial"/>
                <w:sz w:val="20"/>
                <w:szCs w:val="20"/>
                <w:highlight w:val="green"/>
              </w:rPr>
            </w:pPr>
            <w:r>
              <w:rPr>
                <w:rFonts w:ascii="Arial" w:hAnsi="Arial" w:cs="Arial"/>
                <w:i/>
                <w:sz w:val="20"/>
                <w:szCs w:val="20"/>
              </w:rPr>
              <w:t>or can use Federal s</w:t>
            </w:r>
            <w:r w:rsidR="00B068A1">
              <w:rPr>
                <w:rFonts w:ascii="Arial" w:hAnsi="Arial" w:cs="Arial"/>
                <w:i/>
                <w:sz w:val="20"/>
                <w:szCs w:val="20"/>
              </w:rPr>
              <w:t>ervice</w:t>
            </w:r>
          </w:p>
        </w:tc>
        <w:tc>
          <w:tcPr>
            <w:tcW w:w="2070" w:type="dxa"/>
          </w:tcPr>
          <w:p w:rsidR="002160D1" w:rsidRDefault="002160D1" w:rsidP="00B05181">
            <w:pPr>
              <w:jc w:val="center"/>
              <w:rPr>
                <w:rFonts w:ascii="Arial" w:hAnsi="Arial" w:cs="Arial"/>
                <w:sz w:val="20"/>
                <w:szCs w:val="20"/>
              </w:rPr>
            </w:pPr>
            <w:r>
              <w:rPr>
                <w:rFonts w:ascii="Arial" w:hAnsi="Arial" w:cs="Arial"/>
                <w:sz w:val="20"/>
                <w:szCs w:val="20"/>
              </w:rPr>
              <w:t>X</w:t>
            </w:r>
          </w:p>
          <w:p w:rsidR="00B068A1" w:rsidRDefault="00B068A1" w:rsidP="00B068A1">
            <w:pPr>
              <w:jc w:val="center"/>
              <w:rPr>
                <w:rFonts w:ascii="Arial" w:hAnsi="Arial" w:cs="Arial"/>
                <w:i/>
                <w:sz w:val="20"/>
                <w:szCs w:val="20"/>
              </w:rPr>
            </w:pPr>
            <w:r>
              <w:rPr>
                <w:rFonts w:ascii="Arial" w:hAnsi="Arial" w:cs="Arial"/>
                <w:i/>
                <w:sz w:val="20"/>
                <w:szCs w:val="20"/>
              </w:rPr>
              <w:t>may</w:t>
            </w:r>
            <w:r w:rsidRPr="001F34C0">
              <w:rPr>
                <w:rFonts w:ascii="Arial" w:hAnsi="Arial" w:cs="Arial"/>
                <w:i/>
                <w:sz w:val="20"/>
                <w:szCs w:val="20"/>
              </w:rPr>
              <w:t xml:space="preserve"> </w:t>
            </w:r>
            <w:r>
              <w:rPr>
                <w:rFonts w:ascii="Arial" w:hAnsi="Arial" w:cs="Arial"/>
                <w:i/>
                <w:sz w:val="20"/>
                <w:szCs w:val="20"/>
              </w:rPr>
              <w:t>elect to perform</w:t>
            </w:r>
          </w:p>
          <w:p w:rsidR="002160D1" w:rsidRPr="008A7468" w:rsidRDefault="00125E8B" w:rsidP="00B068A1">
            <w:pPr>
              <w:jc w:val="center"/>
              <w:rPr>
                <w:rFonts w:ascii="Arial" w:hAnsi="Arial" w:cs="Arial"/>
                <w:sz w:val="20"/>
                <w:szCs w:val="20"/>
                <w:highlight w:val="green"/>
              </w:rPr>
            </w:pPr>
            <w:r>
              <w:rPr>
                <w:rFonts w:ascii="Arial" w:hAnsi="Arial" w:cs="Arial"/>
                <w:i/>
                <w:sz w:val="20"/>
                <w:szCs w:val="20"/>
              </w:rPr>
              <w:t>or can use Federal s</w:t>
            </w:r>
            <w:r w:rsidR="00B068A1">
              <w:rPr>
                <w:rFonts w:ascii="Arial" w:hAnsi="Arial" w:cs="Arial"/>
                <w:i/>
                <w:sz w:val="20"/>
                <w:szCs w:val="20"/>
              </w:rPr>
              <w:t>ervice</w:t>
            </w:r>
          </w:p>
        </w:tc>
      </w:tr>
      <w:tr w:rsidR="002160D1" w:rsidRPr="00AC62DA">
        <w:trPr>
          <w:cantSplit/>
        </w:trPr>
        <w:tc>
          <w:tcPr>
            <w:tcW w:w="10098" w:type="dxa"/>
            <w:gridSpan w:val="4"/>
            <w:shd w:val="clear" w:color="auto" w:fill="D9D9D9" w:themeFill="background1" w:themeFillShade="D9"/>
          </w:tcPr>
          <w:p w:rsidR="002160D1" w:rsidRPr="002C1D95" w:rsidRDefault="002160D1" w:rsidP="00186316">
            <w:pPr>
              <w:pStyle w:val="ListParagraph"/>
              <w:numPr>
                <w:ilvl w:val="0"/>
                <w:numId w:val="7"/>
              </w:numPr>
              <w:rPr>
                <w:rFonts w:ascii="Arial" w:hAnsi="Arial" w:cs="Arial"/>
                <w:b/>
                <w:sz w:val="20"/>
                <w:szCs w:val="20"/>
              </w:rPr>
            </w:pPr>
            <w:r w:rsidRPr="002C1D95">
              <w:rPr>
                <w:rFonts w:ascii="Arial" w:eastAsia="Times New Roman" w:hAnsi="Arial" w:cs="Arial"/>
                <w:b/>
                <w:color w:val="000000"/>
                <w:sz w:val="20"/>
                <w:szCs w:val="20"/>
              </w:rPr>
              <w:t>SHOP</w:t>
            </w:r>
          </w:p>
        </w:tc>
      </w:tr>
      <w:tr w:rsidR="002160D1" w:rsidRPr="00AC62DA">
        <w:trPr>
          <w:cantSplit/>
        </w:trPr>
        <w:tc>
          <w:tcPr>
            <w:tcW w:w="3978" w:type="dxa"/>
          </w:tcPr>
          <w:p w:rsidR="002160D1" w:rsidRPr="00AC62DA" w:rsidRDefault="002160D1" w:rsidP="00B05181">
            <w:pPr>
              <w:pStyle w:val="NoSpacing"/>
              <w:rPr>
                <w:rFonts w:cs="Arial"/>
                <w:i/>
                <w:sz w:val="20"/>
                <w:szCs w:val="20"/>
              </w:rPr>
            </w:pPr>
            <w:r w:rsidRPr="00AC62DA">
              <w:rPr>
                <w:rFonts w:eastAsia="Times New Roman" w:cs="Arial"/>
                <w:color w:val="000000"/>
                <w:sz w:val="20"/>
                <w:szCs w:val="20"/>
              </w:rPr>
              <w:t>6.1 SHOP complian</w:t>
            </w:r>
            <w:r>
              <w:rPr>
                <w:rFonts w:eastAsia="Times New Roman" w:cs="Arial"/>
                <w:color w:val="000000"/>
                <w:sz w:val="20"/>
                <w:szCs w:val="20"/>
              </w:rPr>
              <w:t>ce</w:t>
            </w:r>
            <w:r w:rsidRPr="00AC62DA">
              <w:rPr>
                <w:rFonts w:eastAsia="Times New Roman" w:cs="Arial"/>
                <w:color w:val="000000"/>
                <w:sz w:val="20"/>
                <w:szCs w:val="20"/>
              </w:rPr>
              <w:t xml:space="preserve"> with </w:t>
            </w:r>
            <w:r>
              <w:rPr>
                <w:rFonts w:cs="Arial"/>
                <w:sz w:val="20"/>
                <w:szCs w:val="20"/>
              </w:rPr>
              <w:t>45 CFR 155 Subpart H</w:t>
            </w:r>
          </w:p>
          <w:p w:rsidR="002160D1" w:rsidRPr="00AC62DA" w:rsidRDefault="002160D1" w:rsidP="00B05181">
            <w:pPr>
              <w:jc w:val="right"/>
              <w:rPr>
                <w:rFonts w:ascii="Arial" w:eastAsia="Times New Roman" w:hAnsi="Arial" w:cs="Arial"/>
                <w:color w:val="000000"/>
                <w:sz w:val="20"/>
                <w:szCs w:val="20"/>
              </w:rPr>
            </w:pP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3978" w:type="dxa"/>
          </w:tcPr>
          <w:p w:rsidR="002160D1" w:rsidRPr="00AC62DA" w:rsidRDefault="002160D1" w:rsidP="00B05181">
            <w:pPr>
              <w:pStyle w:val="NoSpacing"/>
              <w:rPr>
                <w:rFonts w:eastAsia="Times New Roman" w:cs="Arial"/>
                <w:color w:val="000000"/>
                <w:sz w:val="20"/>
                <w:szCs w:val="20"/>
              </w:rPr>
            </w:pPr>
            <w:r w:rsidRPr="00AC62DA">
              <w:rPr>
                <w:rFonts w:cs="Arial"/>
                <w:sz w:val="20"/>
                <w:szCs w:val="20"/>
              </w:rPr>
              <w:t xml:space="preserve">6.2 </w:t>
            </w:r>
            <w:r>
              <w:rPr>
                <w:rFonts w:cs="Arial"/>
                <w:sz w:val="20"/>
                <w:szCs w:val="20"/>
              </w:rPr>
              <w:t>SHOP premium aggregation</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c>
          <w:tcPr>
            <w:tcW w:w="2070" w:type="dxa"/>
          </w:tcPr>
          <w:p w:rsidR="002160D1" w:rsidRPr="00AC62DA" w:rsidRDefault="002160D1" w:rsidP="00B05181">
            <w:pPr>
              <w:jc w:val="center"/>
              <w:rPr>
                <w:rFonts w:ascii="Arial" w:hAnsi="Arial" w:cs="Arial"/>
                <w:sz w:val="20"/>
                <w:szCs w:val="20"/>
              </w:rPr>
            </w:pPr>
          </w:p>
        </w:tc>
      </w:tr>
      <w:tr w:rsidR="00B167A5" w:rsidRPr="00AC62DA">
        <w:trPr>
          <w:cantSplit/>
        </w:trPr>
        <w:tc>
          <w:tcPr>
            <w:tcW w:w="3978" w:type="dxa"/>
          </w:tcPr>
          <w:p w:rsidR="00B167A5" w:rsidRPr="00AC62DA" w:rsidRDefault="00B167A5" w:rsidP="00B05181">
            <w:pPr>
              <w:pStyle w:val="NoSpacing"/>
              <w:rPr>
                <w:rFonts w:cs="Arial"/>
                <w:sz w:val="20"/>
                <w:szCs w:val="20"/>
              </w:rPr>
            </w:pPr>
            <w:r>
              <w:rPr>
                <w:rFonts w:cs="Arial"/>
                <w:sz w:val="20"/>
                <w:szCs w:val="20"/>
              </w:rPr>
              <w:t xml:space="preserve">6.3 </w:t>
            </w:r>
            <w:r>
              <w:rPr>
                <w:rFonts w:eastAsia="Times New Roman" w:cs="Arial"/>
                <w:color w:val="000000"/>
                <w:sz w:val="20"/>
                <w:szCs w:val="20"/>
              </w:rPr>
              <w:t xml:space="preserve">Electronically report results </w:t>
            </w:r>
            <w:r>
              <w:rPr>
                <w:rFonts w:cs="Arial"/>
                <w:sz w:val="20"/>
                <w:szCs w:val="20"/>
              </w:rPr>
              <w:t>of</w:t>
            </w:r>
            <w:r w:rsidRPr="00572329">
              <w:rPr>
                <w:rFonts w:cs="Arial"/>
                <w:sz w:val="20"/>
                <w:szCs w:val="20"/>
              </w:rPr>
              <w:t xml:space="preserve"> eligibility </w:t>
            </w:r>
            <w:r>
              <w:rPr>
                <w:rFonts w:cs="Arial"/>
                <w:sz w:val="20"/>
                <w:szCs w:val="20"/>
              </w:rPr>
              <w:t xml:space="preserve">assessments and </w:t>
            </w:r>
            <w:r w:rsidRPr="00572329">
              <w:rPr>
                <w:rFonts w:cs="Arial"/>
                <w:sz w:val="20"/>
                <w:szCs w:val="20"/>
              </w:rPr>
              <w:t>determin</w:t>
            </w:r>
            <w:r>
              <w:rPr>
                <w:rFonts w:cs="Arial"/>
                <w:sz w:val="20"/>
                <w:szCs w:val="20"/>
              </w:rPr>
              <w:t>ations for SHOP</w:t>
            </w:r>
          </w:p>
        </w:tc>
        <w:tc>
          <w:tcPr>
            <w:tcW w:w="1980" w:type="dxa"/>
          </w:tcPr>
          <w:p w:rsidR="00B167A5" w:rsidRDefault="00B167A5" w:rsidP="00B05181">
            <w:pPr>
              <w:jc w:val="center"/>
              <w:rPr>
                <w:rFonts w:ascii="Arial" w:hAnsi="Arial" w:cs="Arial"/>
                <w:sz w:val="20"/>
                <w:szCs w:val="20"/>
              </w:rPr>
            </w:pPr>
            <w:r>
              <w:rPr>
                <w:rFonts w:ascii="Arial" w:hAnsi="Arial" w:cs="Arial"/>
                <w:sz w:val="20"/>
                <w:szCs w:val="20"/>
              </w:rPr>
              <w:t>X</w:t>
            </w:r>
          </w:p>
        </w:tc>
        <w:tc>
          <w:tcPr>
            <w:tcW w:w="2070" w:type="dxa"/>
          </w:tcPr>
          <w:p w:rsidR="00B167A5" w:rsidRPr="00AC62DA" w:rsidRDefault="00B167A5" w:rsidP="00B05181">
            <w:pPr>
              <w:jc w:val="center"/>
              <w:rPr>
                <w:rFonts w:ascii="Arial" w:hAnsi="Arial" w:cs="Arial"/>
                <w:sz w:val="20"/>
                <w:szCs w:val="20"/>
              </w:rPr>
            </w:pPr>
          </w:p>
        </w:tc>
        <w:tc>
          <w:tcPr>
            <w:tcW w:w="2070" w:type="dxa"/>
          </w:tcPr>
          <w:p w:rsidR="00B167A5" w:rsidRPr="00AC62DA" w:rsidRDefault="00B167A5" w:rsidP="00B05181">
            <w:pPr>
              <w:jc w:val="center"/>
              <w:rPr>
                <w:rFonts w:ascii="Arial" w:hAnsi="Arial" w:cs="Arial"/>
                <w:sz w:val="20"/>
                <w:szCs w:val="20"/>
              </w:rPr>
            </w:pPr>
          </w:p>
        </w:tc>
      </w:tr>
      <w:tr w:rsidR="002160D1" w:rsidRPr="00AC62DA">
        <w:trPr>
          <w:cantSplit/>
        </w:trPr>
        <w:tc>
          <w:tcPr>
            <w:tcW w:w="10098" w:type="dxa"/>
            <w:gridSpan w:val="4"/>
            <w:shd w:val="clear" w:color="auto" w:fill="D9D9D9" w:themeFill="background1" w:themeFillShade="D9"/>
          </w:tcPr>
          <w:p w:rsidR="002160D1" w:rsidRPr="002C1D95" w:rsidRDefault="002160D1" w:rsidP="00186316">
            <w:pPr>
              <w:pStyle w:val="ListParagraph"/>
              <w:numPr>
                <w:ilvl w:val="0"/>
                <w:numId w:val="7"/>
              </w:numPr>
              <w:rPr>
                <w:rFonts w:ascii="Arial" w:hAnsi="Arial" w:cs="Arial"/>
                <w:b/>
                <w:sz w:val="20"/>
                <w:szCs w:val="20"/>
              </w:rPr>
            </w:pPr>
            <w:r w:rsidRPr="002C1D95">
              <w:rPr>
                <w:rFonts w:ascii="Arial" w:eastAsia="Times New Roman" w:hAnsi="Arial" w:cs="Arial"/>
                <w:b/>
                <w:color w:val="000000"/>
                <w:sz w:val="20"/>
                <w:szCs w:val="20"/>
              </w:rPr>
              <w:t>Organization &amp; Human Resources</w:t>
            </w:r>
          </w:p>
        </w:tc>
      </w:tr>
      <w:tr w:rsidR="002160D1" w:rsidRPr="00AC62DA">
        <w:trPr>
          <w:cantSplit/>
        </w:trPr>
        <w:tc>
          <w:tcPr>
            <w:tcW w:w="3978" w:type="dxa"/>
          </w:tcPr>
          <w:p w:rsidR="002160D1" w:rsidRDefault="002160D1" w:rsidP="00B05181">
            <w:pPr>
              <w:pStyle w:val="NoSpacing"/>
              <w:rPr>
                <w:rFonts w:cs="Arial"/>
                <w:sz w:val="20"/>
                <w:szCs w:val="20"/>
              </w:rPr>
            </w:pPr>
            <w:r w:rsidRPr="00AC62DA">
              <w:rPr>
                <w:rFonts w:cs="Arial"/>
                <w:sz w:val="20"/>
                <w:szCs w:val="20"/>
              </w:rPr>
              <w:t xml:space="preserve">7.1 </w:t>
            </w:r>
            <w:r>
              <w:rPr>
                <w:rFonts w:cs="Arial"/>
                <w:sz w:val="20"/>
                <w:szCs w:val="20"/>
              </w:rPr>
              <w:t>O</w:t>
            </w:r>
            <w:r w:rsidRPr="00AC62DA">
              <w:rPr>
                <w:rFonts w:cs="Arial"/>
                <w:sz w:val="20"/>
                <w:szCs w:val="20"/>
              </w:rPr>
              <w:t>rganizational structure and staffing resources to</w:t>
            </w:r>
            <w:r>
              <w:rPr>
                <w:rFonts w:cs="Arial"/>
                <w:sz w:val="20"/>
                <w:szCs w:val="20"/>
              </w:rPr>
              <w:t xml:space="preserve"> perform Exchange activities</w:t>
            </w:r>
          </w:p>
          <w:p w:rsidR="002160D1" w:rsidRPr="00AC62DA" w:rsidRDefault="002160D1" w:rsidP="00B05181">
            <w:pPr>
              <w:pStyle w:val="NoSpacing"/>
              <w:rPr>
                <w:rFonts w:eastAsia="Times New Roman" w:cs="Arial"/>
                <w:color w:val="000000"/>
                <w:sz w:val="20"/>
                <w:szCs w:val="20"/>
              </w:rPr>
            </w:pP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10098" w:type="dxa"/>
            <w:gridSpan w:val="4"/>
            <w:shd w:val="clear" w:color="auto" w:fill="D9D9D9" w:themeFill="background1" w:themeFillShade="D9"/>
          </w:tcPr>
          <w:p w:rsidR="002160D1" w:rsidRPr="002C1D95" w:rsidRDefault="002160D1" w:rsidP="00186316">
            <w:pPr>
              <w:pStyle w:val="ListParagraph"/>
              <w:numPr>
                <w:ilvl w:val="0"/>
                <w:numId w:val="7"/>
              </w:numPr>
              <w:rPr>
                <w:rFonts w:ascii="Arial" w:hAnsi="Arial" w:cs="Arial"/>
                <w:b/>
                <w:sz w:val="20"/>
                <w:szCs w:val="20"/>
              </w:rPr>
            </w:pPr>
            <w:r w:rsidRPr="002C1D95">
              <w:rPr>
                <w:rFonts w:ascii="Arial" w:eastAsia="Times New Roman" w:hAnsi="Arial" w:cs="Arial"/>
                <w:b/>
                <w:color w:val="000000"/>
                <w:sz w:val="20"/>
                <w:szCs w:val="20"/>
              </w:rPr>
              <w:t>Finance &amp; Accounting</w:t>
            </w:r>
          </w:p>
        </w:tc>
      </w:tr>
      <w:tr w:rsidR="002160D1" w:rsidRPr="00AC62DA">
        <w:trPr>
          <w:cantSplit/>
        </w:trPr>
        <w:tc>
          <w:tcPr>
            <w:tcW w:w="3978" w:type="dxa"/>
          </w:tcPr>
          <w:p w:rsidR="002160D1" w:rsidRPr="00AC62DA" w:rsidRDefault="002160D1" w:rsidP="00B05181">
            <w:pPr>
              <w:pStyle w:val="NoSpacing"/>
              <w:rPr>
                <w:rFonts w:eastAsia="Times New Roman" w:cs="Arial"/>
                <w:color w:val="000000"/>
                <w:sz w:val="20"/>
                <w:szCs w:val="20"/>
              </w:rPr>
            </w:pPr>
            <w:r w:rsidRPr="00AC62DA">
              <w:rPr>
                <w:rFonts w:eastAsia="Times New Roman" w:cs="Arial"/>
                <w:color w:val="000000"/>
                <w:sz w:val="20"/>
                <w:szCs w:val="20"/>
              </w:rPr>
              <w:t xml:space="preserve">8.1 </w:t>
            </w:r>
            <w:r>
              <w:rPr>
                <w:rFonts w:eastAsia="Times New Roman" w:cs="Arial"/>
                <w:color w:val="000000"/>
                <w:sz w:val="20"/>
                <w:szCs w:val="20"/>
              </w:rPr>
              <w:t>L</w:t>
            </w:r>
            <w:r w:rsidRPr="00AC62DA">
              <w:rPr>
                <w:rFonts w:cs="Arial"/>
                <w:sz w:val="20"/>
                <w:szCs w:val="20"/>
              </w:rPr>
              <w:t>ong-term operational cost</w:t>
            </w:r>
            <w:r>
              <w:rPr>
                <w:rFonts w:cs="Arial"/>
                <w:sz w:val="20"/>
                <w:szCs w:val="20"/>
              </w:rPr>
              <w:t>, budget, and management plan</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10098" w:type="dxa"/>
            <w:gridSpan w:val="4"/>
            <w:shd w:val="clear" w:color="auto" w:fill="D9D9D9" w:themeFill="background1" w:themeFillShade="D9"/>
          </w:tcPr>
          <w:p w:rsidR="002160D1" w:rsidRPr="002C1D95" w:rsidRDefault="002160D1" w:rsidP="00186316">
            <w:pPr>
              <w:pStyle w:val="ListParagraph"/>
              <w:numPr>
                <w:ilvl w:val="0"/>
                <w:numId w:val="7"/>
              </w:numPr>
              <w:rPr>
                <w:rFonts w:ascii="Arial" w:hAnsi="Arial" w:cs="Arial"/>
                <w:b/>
                <w:sz w:val="20"/>
                <w:szCs w:val="20"/>
              </w:rPr>
            </w:pPr>
            <w:r w:rsidRPr="002C1D95">
              <w:rPr>
                <w:rFonts w:ascii="Arial" w:eastAsia="Times New Roman" w:hAnsi="Arial" w:cs="Arial"/>
                <w:b/>
                <w:color w:val="000000"/>
                <w:sz w:val="20"/>
                <w:szCs w:val="20"/>
              </w:rPr>
              <w:t>Technology</w:t>
            </w: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9.1 Compliance with HHS IT</w:t>
            </w:r>
            <w:r w:rsidRPr="00AC62DA">
              <w:rPr>
                <w:rFonts w:ascii="Arial" w:eastAsia="Times New Roman" w:hAnsi="Arial" w:cs="Arial"/>
                <w:color w:val="000000"/>
                <w:sz w:val="20"/>
                <w:szCs w:val="20"/>
              </w:rPr>
              <w:t xml:space="preserve"> Guidance</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9.2 A</w:t>
            </w:r>
            <w:r w:rsidRPr="00AC62DA">
              <w:rPr>
                <w:rFonts w:ascii="Arial" w:eastAsia="Times New Roman" w:hAnsi="Arial" w:cs="Arial"/>
                <w:color w:val="000000"/>
                <w:sz w:val="20"/>
                <w:szCs w:val="20"/>
              </w:rPr>
              <w:t>dequate technolo</w:t>
            </w:r>
            <w:r>
              <w:rPr>
                <w:rFonts w:ascii="Arial" w:eastAsia="Times New Roman" w:hAnsi="Arial" w:cs="Arial"/>
                <w:color w:val="000000"/>
                <w:sz w:val="20"/>
                <w:szCs w:val="20"/>
              </w:rPr>
              <w:t>gy infrastructure and bandwidth</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9.3</w:t>
            </w:r>
            <w:r w:rsidRPr="00AC62DA">
              <w:rPr>
                <w:rFonts w:ascii="Arial" w:eastAsia="Times New Roman" w:hAnsi="Arial" w:cs="Arial"/>
                <w:color w:val="000000"/>
                <w:sz w:val="20"/>
                <w:szCs w:val="20"/>
              </w:rPr>
              <w:t xml:space="preserve"> IV&amp;V, quality</w:t>
            </w:r>
            <w:r>
              <w:rPr>
                <w:rFonts w:ascii="Arial" w:eastAsia="Times New Roman" w:hAnsi="Arial" w:cs="Arial"/>
                <w:color w:val="000000"/>
                <w:sz w:val="20"/>
                <w:szCs w:val="20"/>
              </w:rPr>
              <w:t xml:space="preserve"> management and test procedures</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10098" w:type="dxa"/>
            <w:gridSpan w:val="4"/>
            <w:shd w:val="clear" w:color="auto" w:fill="D9D9D9" w:themeFill="background1" w:themeFillShade="D9"/>
          </w:tcPr>
          <w:p w:rsidR="002160D1" w:rsidRPr="002C1D95" w:rsidRDefault="002160D1" w:rsidP="00186316">
            <w:pPr>
              <w:pStyle w:val="ListParagraph"/>
              <w:numPr>
                <w:ilvl w:val="0"/>
                <w:numId w:val="7"/>
              </w:numPr>
              <w:rPr>
                <w:rFonts w:ascii="Arial" w:hAnsi="Arial" w:cs="Arial"/>
                <w:b/>
                <w:sz w:val="20"/>
                <w:szCs w:val="20"/>
              </w:rPr>
            </w:pPr>
            <w:r w:rsidRPr="002C1D95">
              <w:rPr>
                <w:rFonts w:ascii="Arial" w:eastAsia="Times New Roman" w:hAnsi="Arial" w:cs="Arial"/>
                <w:b/>
                <w:color w:val="000000"/>
                <w:sz w:val="20"/>
                <w:szCs w:val="20"/>
              </w:rPr>
              <w:t>Privacy &amp; Security</w:t>
            </w:r>
          </w:p>
        </w:tc>
      </w:tr>
      <w:tr w:rsidR="002160D1" w:rsidRPr="00AC62DA">
        <w:trPr>
          <w:cantSplit/>
        </w:trPr>
        <w:tc>
          <w:tcPr>
            <w:tcW w:w="3978" w:type="dxa"/>
          </w:tcPr>
          <w:p w:rsidR="002160D1" w:rsidRPr="00AC62DA" w:rsidRDefault="002160D1" w:rsidP="00125E8B">
            <w:pPr>
              <w:rPr>
                <w:rFonts w:ascii="Arial" w:eastAsia="Times New Roman" w:hAnsi="Arial" w:cs="Arial"/>
                <w:color w:val="000000"/>
                <w:sz w:val="20"/>
                <w:szCs w:val="20"/>
              </w:rPr>
            </w:pPr>
            <w:r w:rsidRPr="00AC62DA">
              <w:rPr>
                <w:rFonts w:ascii="Arial" w:eastAsia="Times New Roman" w:hAnsi="Arial" w:cs="Arial"/>
                <w:color w:val="000000"/>
                <w:sz w:val="20"/>
                <w:szCs w:val="20"/>
              </w:rPr>
              <w:lastRenderedPageBreak/>
              <w:t xml:space="preserve">10.1 </w:t>
            </w:r>
            <w:r w:rsidR="00125E8B">
              <w:rPr>
                <w:rFonts w:ascii="Arial" w:hAnsi="Arial" w:cs="Arial"/>
                <w:sz w:val="20"/>
                <w:szCs w:val="20"/>
              </w:rPr>
              <w:t>Privacy and Security standards p</w:t>
            </w:r>
            <w:r w:rsidRPr="00AC62DA">
              <w:rPr>
                <w:rFonts w:ascii="Arial" w:hAnsi="Arial" w:cs="Arial"/>
                <w:sz w:val="20"/>
                <w:szCs w:val="20"/>
              </w:rPr>
              <w:t>olicies and procedures</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Default="005D230C" w:rsidP="00B05181">
            <w:pPr>
              <w:jc w:val="center"/>
              <w:rPr>
                <w:rFonts w:ascii="Arial" w:hAnsi="Arial" w:cs="Arial"/>
                <w:sz w:val="20"/>
                <w:szCs w:val="20"/>
              </w:rPr>
            </w:pPr>
            <w:r>
              <w:rPr>
                <w:rFonts w:ascii="Arial" w:hAnsi="Arial" w:cs="Arial"/>
                <w:sz w:val="20"/>
                <w:szCs w:val="20"/>
              </w:rPr>
              <w:t>X</w:t>
            </w:r>
          </w:p>
          <w:p w:rsidR="00F6314B" w:rsidRPr="008D24BE" w:rsidRDefault="00F6314B" w:rsidP="00B05181">
            <w:pPr>
              <w:spacing w:after="200" w:line="276" w:lineRule="auto"/>
              <w:jc w:val="center"/>
              <w:rPr>
                <w:rFonts w:ascii="Arial" w:hAnsi="Arial" w:cs="Arial"/>
                <w:i/>
                <w:sz w:val="20"/>
                <w:szCs w:val="20"/>
              </w:rPr>
            </w:pPr>
            <w:r>
              <w:rPr>
                <w:rFonts w:ascii="Arial" w:hAnsi="Arial" w:cs="Arial"/>
                <w:sz w:val="20"/>
                <w:szCs w:val="20"/>
              </w:rPr>
              <w:t>(</w:t>
            </w:r>
            <w:r w:rsidR="002835DE">
              <w:rPr>
                <w:rFonts w:ascii="Arial" w:hAnsi="Arial" w:cs="Arial"/>
                <w:i/>
                <w:sz w:val="20"/>
                <w:szCs w:val="20"/>
              </w:rPr>
              <w:t>if</w:t>
            </w:r>
            <w:r>
              <w:rPr>
                <w:rFonts w:ascii="Arial" w:hAnsi="Arial" w:cs="Arial"/>
                <w:i/>
                <w:sz w:val="20"/>
                <w:szCs w:val="20"/>
              </w:rPr>
              <w:t xml:space="preserve"> applicable)</w:t>
            </w:r>
          </w:p>
        </w:tc>
      </w:tr>
      <w:tr w:rsidR="002160D1" w:rsidRPr="00AC62DA">
        <w:trPr>
          <w:cantSplit/>
        </w:trPr>
        <w:tc>
          <w:tcPr>
            <w:tcW w:w="3978" w:type="dxa"/>
          </w:tcPr>
          <w:p w:rsidR="002160D1" w:rsidRPr="00753984" w:rsidRDefault="002160D1" w:rsidP="00125E8B">
            <w:pPr>
              <w:rPr>
                <w:rFonts w:ascii="Arial" w:eastAsia="Times New Roman" w:hAnsi="Arial" w:cs="Arial"/>
                <w:color w:val="000000"/>
                <w:sz w:val="20"/>
                <w:szCs w:val="20"/>
              </w:rPr>
            </w:pPr>
            <w:r w:rsidRPr="00753984">
              <w:rPr>
                <w:rFonts w:ascii="Arial" w:eastAsia="Times New Roman" w:hAnsi="Arial" w:cs="Arial"/>
                <w:color w:val="000000"/>
                <w:sz w:val="20"/>
                <w:szCs w:val="20"/>
              </w:rPr>
              <w:t xml:space="preserve">10.2 Safeguards </w:t>
            </w:r>
            <w:r w:rsidR="00125E8B">
              <w:rPr>
                <w:rFonts w:ascii="Arial" w:eastAsia="Times New Roman" w:hAnsi="Arial" w:cs="Arial"/>
                <w:color w:val="000000"/>
                <w:sz w:val="20"/>
                <w:szCs w:val="20"/>
              </w:rPr>
              <w:t>based on HHS IT guidance</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3978" w:type="dxa"/>
          </w:tcPr>
          <w:p w:rsidR="002160D1" w:rsidRPr="00AC62DA" w:rsidRDefault="002160D1" w:rsidP="002B6079">
            <w:pPr>
              <w:rPr>
                <w:rFonts w:ascii="Arial" w:eastAsia="Times New Roman" w:hAnsi="Arial" w:cs="Arial"/>
                <w:color w:val="000000"/>
                <w:sz w:val="20"/>
                <w:szCs w:val="20"/>
              </w:rPr>
            </w:pPr>
            <w:r w:rsidRPr="00AC62DA">
              <w:rPr>
                <w:rFonts w:ascii="Arial" w:eastAsia="Times New Roman" w:hAnsi="Arial" w:cs="Arial"/>
                <w:color w:val="000000"/>
                <w:sz w:val="20"/>
                <w:szCs w:val="20"/>
              </w:rPr>
              <w:t xml:space="preserve">10.3 </w:t>
            </w:r>
            <w:r>
              <w:rPr>
                <w:rFonts w:ascii="Arial" w:eastAsia="Times New Roman" w:hAnsi="Arial" w:cs="Arial"/>
                <w:color w:val="000000"/>
                <w:sz w:val="20"/>
                <w:szCs w:val="20"/>
              </w:rPr>
              <w:t xml:space="preserve">Safeguard </w:t>
            </w:r>
            <w:r w:rsidR="002B6079">
              <w:rPr>
                <w:rFonts w:ascii="Arial" w:eastAsia="Times New Roman" w:hAnsi="Arial" w:cs="Arial"/>
                <w:color w:val="000000"/>
                <w:sz w:val="20"/>
                <w:szCs w:val="20"/>
              </w:rPr>
              <w:t>p</w:t>
            </w:r>
            <w:r>
              <w:rPr>
                <w:rFonts w:ascii="Arial" w:eastAsia="Times New Roman" w:hAnsi="Arial" w:cs="Arial"/>
                <w:color w:val="000000"/>
                <w:sz w:val="20"/>
                <w:szCs w:val="20"/>
              </w:rPr>
              <w:t>rotections</w:t>
            </w:r>
            <w:r w:rsidR="002B6079">
              <w:rPr>
                <w:rFonts w:ascii="Arial" w:eastAsia="Times New Roman" w:hAnsi="Arial" w:cs="Arial"/>
                <w:color w:val="000000"/>
                <w:sz w:val="20"/>
                <w:szCs w:val="20"/>
              </w:rPr>
              <w:t xml:space="preserve"> for Federal information</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p>
        </w:tc>
        <w:tc>
          <w:tcPr>
            <w:tcW w:w="2070" w:type="dxa"/>
          </w:tcPr>
          <w:p w:rsidR="002160D1" w:rsidRPr="00AC62DA" w:rsidRDefault="002160D1" w:rsidP="00B05181">
            <w:pPr>
              <w:jc w:val="center"/>
              <w:rPr>
                <w:rFonts w:ascii="Arial" w:hAnsi="Arial" w:cs="Arial"/>
                <w:sz w:val="20"/>
                <w:szCs w:val="20"/>
              </w:rPr>
            </w:pPr>
          </w:p>
        </w:tc>
      </w:tr>
      <w:tr w:rsidR="002160D1" w:rsidRPr="00AC62DA">
        <w:trPr>
          <w:cantSplit/>
        </w:trPr>
        <w:tc>
          <w:tcPr>
            <w:tcW w:w="10098" w:type="dxa"/>
            <w:gridSpan w:val="4"/>
            <w:shd w:val="clear" w:color="auto" w:fill="D9D9D9" w:themeFill="background1" w:themeFillShade="D9"/>
          </w:tcPr>
          <w:p w:rsidR="002160D1" w:rsidRPr="00930C64" w:rsidRDefault="002160D1" w:rsidP="00B05181">
            <w:pPr>
              <w:rPr>
                <w:rFonts w:ascii="Arial" w:hAnsi="Arial" w:cs="Arial"/>
                <w:b/>
                <w:sz w:val="20"/>
                <w:szCs w:val="20"/>
              </w:rPr>
            </w:pPr>
            <w:r>
              <w:rPr>
                <w:rFonts w:ascii="Arial" w:eastAsia="Times New Roman" w:hAnsi="Arial" w:cs="Arial"/>
                <w:b/>
                <w:color w:val="000000"/>
                <w:sz w:val="20"/>
                <w:szCs w:val="20"/>
              </w:rPr>
              <w:t xml:space="preserve">11.0 </w:t>
            </w:r>
            <w:r w:rsidRPr="00930C64">
              <w:rPr>
                <w:rFonts w:ascii="Arial" w:eastAsia="Times New Roman" w:hAnsi="Arial" w:cs="Arial"/>
                <w:b/>
                <w:color w:val="000000"/>
                <w:sz w:val="20"/>
                <w:szCs w:val="20"/>
              </w:rPr>
              <w:t>Oversight, Monitoring, &amp; Reporting</w:t>
            </w: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hAnsi="Arial" w:cs="Arial"/>
                <w:sz w:val="20"/>
                <w:szCs w:val="20"/>
              </w:rPr>
              <w:t>11</w:t>
            </w:r>
            <w:r w:rsidRPr="00AC62DA">
              <w:rPr>
                <w:rFonts w:ascii="Arial" w:hAnsi="Arial" w:cs="Arial"/>
                <w:sz w:val="20"/>
                <w:szCs w:val="20"/>
              </w:rPr>
              <w:t xml:space="preserve">.1 </w:t>
            </w:r>
            <w:r>
              <w:rPr>
                <w:rFonts w:ascii="Arial" w:hAnsi="Arial" w:cs="Arial"/>
                <w:sz w:val="20"/>
                <w:szCs w:val="20"/>
              </w:rPr>
              <w:t>Routine</w:t>
            </w:r>
            <w:r w:rsidRPr="00AC62DA">
              <w:rPr>
                <w:rFonts w:ascii="Arial" w:hAnsi="Arial" w:cs="Arial"/>
                <w:sz w:val="20"/>
                <w:szCs w:val="20"/>
              </w:rPr>
              <w:t xml:space="preserve"> oversight and monitori</w:t>
            </w:r>
            <w:r>
              <w:rPr>
                <w:rFonts w:ascii="Arial" w:hAnsi="Arial" w:cs="Arial"/>
                <w:sz w:val="20"/>
                <w:szCs w:val="20"/>
              </w:rPr>
              <w:t>ng of the Exchange’s activities</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Default="005D230C" w:rsidP="00B05181">
            <w:pPr>
              <w:jc w:val="center"/>
              <w:rPr>
                <w:rFonts w:ascii="Arial" w:hAnsi="Arial" w:cs="Arial"/>
                <w:sz w:val="20"/>
                <w:szCs w:val="20"/>
              </w:rPr>
            </w:pPr>
            <w:r>
              <w:rPr>
                <w:rFonts w:ascii="Arial" w:hAnsi="Arial" w:cs="Arial"/>
                <w:sz w:val="20"/>
                <w:szCs w:val="20"/>
              </w:rPr>
              <w:t>X</w:t>
            </w:r>
          </w:p>
          <w:p w:rsidR="00F6314B" w:rsidRPr="008D24BE" w:rsidRDefault="00F6314B" w:rsidP="00B05181">
            <w:pPr>
              <w:spacing w:after="200" w:line="276" w:lineRule="auto"/>
              <w:jc w:val="center"/>
              <w:rPr>
                <w:rFonts w:ascii="Arial" w:hAnsi="Arial" w:cs="Arial"/>
                <w:i/>
                <w:sz w:val="20"/>
                <w:szCs w:val="20"/>
              </w:rPr>
            </w:pPr>
            <w:r>
              <w:rPr>
                <w:rFonts w:ascii="Arial" w:hAnsi="Arial" w:cs="Arial"/>
                <w:sz w:val="20"/>
                <w:szCs w:val="20"/>
              </w:rPr>
              <w:t>(</w:t>
            </w:r>
            <w:r w:rsidR="002835DE">
              <w:rPr>
                <w:rFonts w:ascii="Arial" w:hAnsi="Arial" w:cs="Arial"/>
                <w:i/>
                <w:sz w:val="20"/>
                <w:szCs w:val="20"/>
              </w:rPr>
              <w:t>if</w:t>
            </w:r>
            <w:r>
              <w:rPr>
                <w:rFonts w:ascii="Arial" w:hAnsi="Arial" w:cs="Arial"/>
                <w:i/>
                <w:sz w:val="20"/>
                <w:szCs w:val="20"/>
              </w:rPr>
              <w:t xml:space="preserve"> applicable)</w:t>
            </w: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11</w:t>
            </w:r>
            <w:r w:rsidRPr="00AC62DA">
              <w:rPr>
                <w:rFonts w:ascii="Arial" w:eastAsia="Times New Roman" w:hAnsi="Arial" w:cs="Arial"/>
                <w:color w:val="000000"/>
                <w:sz w:val="20"/>
                <w:szCs w:val="20"/>
              </w:rPr>
              <w:t xml:space="preserve">.2 </w:t>
            </w:r>
            <w:r>
              <w:rPr>
                <w:rFonts w:ascii="Arial" w:hAnsi="Arial" w:cs="Arial"/>
                <w:sz w:val="20"/>
                <w:szCs w:val="20"/>
              </w:rPr>
              <w:t>T</w:t>
            </w:r>
            <w:r w:rsidRPr="00AC62DA">
              <w:rPr>
                <w:rFonts w:ascii="Arial" w:hAnsi="Arial" w:cs="Arial"/>
                <w:sz w:val="20"/>
                <w:szCs w:val="20"/>
              </w:rPr>
              <w:t>rack/report performance and outcomes metrics</w:t>
            </w:r>
            <w:r>
              <w:rPr>
                <w:rFonts w:ascii="Arial" w:hAnsi="Arial" w:cs="Arial"/>
                <w:sz w:val="20"/>
                <w:szCs w:val="20"/>
              </w:rPr>
              <w:t xml:space="preserve"> related to Exchange activities</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Default="005D230C" w:rsidP="00B05181">
            <w:pPr>
              <w:jc w:val="center"/>
              <w:rPr>
                <w:rFonts w:ascii="Arial" w:hAnsi="Arial" w:cs="Arial"/>
                <w:sz w:val="20"/>
                <w:szCs w:val="20"/>
              </w:rPr>
            </w:pPr>
            <w:r>
              <w:rPr>
                <w:rFonts w:ascii="Arial" w:hAnsi="Arial" w:cs="Arial"/>
                <w:sz w:val="20"/>
                <w:szCs w:val="20"/>
              </w:rPr>
              <w:t>X</w:t>
            </w:r>
          </w:p>
          <w:p w:rsidR="00F6314B" w:rsidRPr="00AC62DA" w:rsidRDefault="00F6314B" w:rsidP="00B05181">
            <w:pPr>
              <w:jc w:val="center"/>
              <w:rPr>
                <w:rFonts w:ascii="Arial" w:hAnsi="Arial" w:cs="Arial"/>
                <w:sz w:val="20"/>
                <w:szCs w:val="20"/>
              </w:rPr>
            </w:pPr>
            <w:r>
              <w:rPr>
                <w:rFonts w:ascii="Arial" w:hAnsi="Arial" w:cs="Arial"/>
                <w:sz w:val="20"/>
                <w:szCs w:val="20"/>
              </w:rPr>
              <w:t>(</w:t>
            </w:r>
            <w:r w:rsidR="002835DE">
              <w:rPr>
                <w:rFonts w:ascii="Arial" w:hAnsi="Arial" w:cs="Arial"/>
                <w:i/>
                <w:sz w:val="20"/>
                <w:szCs w:val="20"/>
              </w:rPr>
              <w:t>if</w:t>
            </w:r>
            <w:r>
              <w:rPr>
                <w:rFonts w:ascii="Arial" w:hAnsi="Arial" w:cs="Arial"/>
                <w:i/>
                <w:sz w:val="20"/>
                <w:szCs w:val="20"/>
              </w:rPr>
              <w:t xml:space="preserve"> applicable)</w:t>
            </w: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eastAsia="Times New Roman" w:hAnsi="Arial" w:cs="Arial"/>
                <w:color w:val="000000"/>
                <w:sz w:val="20"/>
                <w:szCs w:val="20"/>
              </w:rPr>
              <w:t>11</w:t>
            </w:r>
            <w:r w:rsidRPr="00AC62DA">
              <w:rPr>
                <w:rFonts w:ascii="Arial" w:eastAsia="Times New Roman" w:hAnsi="Arial" w:cs="Arial"/>
                <w:color w:val="000000"/>
                <w:sz w:val="20"/>
                <w:szCs w:val="20"/>
              </w:rPr>
              <w:t xml:space="preserve">.3 </w:t>
            </w:r>
            <w:r>
              <w:rPr>
                <w:rFonts w:ascii="Arial" w:hAnsi="Arial" w:cs="Arial"/>
                <w:sz w:val="20"/>
                <w:szCs w:val="20"/>
              </w:rPr>
              <w:t>Uphold</w:t>
            </w:r>
            <w:r w:rsidRPr="00AC62DA">
              <w:rPr>
                <w:rFonts w:ascii="Arial" w:hAnsi="Arial" w:cs="Arial"/>
                <w:sz w:val="20"/>
                <w:szCs w:val="20"/>
              </w:rPr>
              <w:t xml:space="preserve"> financial integrity provisions including accounting, reporting, and auditing procedures</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Default="005D230C" w:rsidP="00B05181">
            <w:pPr>
              <w:jc w:val="center"/>
              <w:rPr>
                <w:rFonts w:ascii="Arial" w:hAnsi="Arial" w:cs="Arial"/>
                <w:sz w:val="20"/>
                <w:szCs w:val="20"/>
              </w:rPr>
            </w:pPr>
            <w:r>
              <w:rPr>
                <w:rFonts w:ascii="Arial" w:hAnsi="Arial" w:cs="Arial"/>
                <w:sz w:val="20"/>
                <w:szCs w:val="20"/>
              </w:rPr>
              <w:t>X</w:t>
            </w:r>
          </w:p>
          <w:p w:rsidR="00F6314B" w:rsidRPr="00AC62DA" w:rsidRDefault="00F6314B" w:rsidP="00B05181">
            <w:pPr>
              <w:jc w:val="center"/>
              <w:rPr>
                <w:rFonts w:ascii="Arial" w:hAnsi="Arial" w:cs="Arial"/>
                <w:sz w:val="20"/>
                <w:szCs w:val="20"/>
              </w:rPr>
            </w:pPr>
            <w:r>
              <w:rPr>
                <w:rFonts w:ascii="Arial" w:hAnsi="Arial" w:cs="Arial"/>
                <w:sz w:val="20"/>
                <w:szCs w:val="20"/>
              </w:rPr>
              <w:t>(</w:t>
            </w:r>
            <w:r w:rsidR="002835DE">
              <w:rPr>
                <w:rFonts w:ascii="Arial" w:hAnsi="Arial" w:cs="Arial"/>
                <w:i/>
                <w:sz w:val="20"/>
                <w:szCs w:val="20"/>
              </w:rPr>
              <w:t>if</w:t>
            </w:r>
            <w:r>
              <w:rPr>
                <w:rFonts w:ascii="Arial" w:hAnsi="Arial" w:cs="Arial"/>
                <w:i/>
                <w:sz w:val="20"/>
                <w:szCs w:val="20"/>
              </w:rPr>
              <w:t xml:space="preserve"> applicable)</w:t>
            </w:r>
          </w:p>
        </w:tc>
      </w:tr>
      <w:tr w:rsidR="002160D1" w:rsidRPr="002C1D95">
        <w:trPr>
          <w:cantSplit/>
        </w:trPr>
        <w:tc>
          <w:tcPr>
            <w:tcW w:w="10098" w:type="dxa"/>
            <w:gridSpan w:val="4"/>
            <w:shd w:val="clear" w:color="auto" w:fill="D9D9D9" w:themeFill="background1" w:themeFillShade="D9"/>
          </w:tcPr>
          <w:p w:rsidR="002160D1" w:rsidRPr="001A300F" w:rsidRDefault="002160D1" w:rsidP="00B05181">
            <w:pPr>
              <w:rPr>
                <w:rFonts w:ascii="Arial" w:hAnsi="Arial" w:cs="Arial"/>
                <w:b/>
                <w:sz w:val="20"/>
                <w:szCs w:val="20"/>
              </w:rPr>
            </w:pPr>
            <w:r>
              <w:rPr>
                <w:rFonts w:ascii="Arial" w:eastAsia="Times New Roman" w:hAnsi="Arial" w:cs="Arial"/>
                <w:b/>
                <w:color w:val="000000"/>
                <w:sz w:val="20"/>
                <w:szCs w:val="20"/>
              </w:rPr>
              <w:t xml:space="preserve">12.0 </w:t>
            </w:r>
            <w:r w:rsidRPr="001A300F">
              <w:rPr>
                <w:rFonts w:ascii="Arial" w:eastAsia="Times New Roman" w:hAnsi="Arial" w:cs="Arial"/>
                <w:b/>
                <w:color w:val="000000"/>
                <w:sz w:val="20"/>
                <w:szCs w:val="20"/>
              </w:rPr>
              <w:t>Contracting, Outsourcing, and Agreements</w:t>
            </w:r>
          </w:p>
        </w:tc>
      </w:tr>
      <w:tr w:rsidR="002160D1" w:rsidRPr="00AC62DA">
        <w:trPr>
          <w:cantSplit/>
        </w:trPr>
        <w:tc>
          <w:tcPr>
            <w:tcW w:w="3978" w:type="dxa"/>
          </w:tcPr>
          <w:p w:rsidR="002160D1" w:rsidRPr="00AC62DA" w:rsidRDefault="002160D1" w:rsidP="00B05181">
            <w:pPr>
              <w:rPr>
                <w:rFonts w:ascii="Arial" w:eastAsia="Times New Roman" w:hAnsi="Arial" w:cs="Arial"/>
                <w:color w:val="000000"/>
                <w:sz w:val="20"/>
                <w:szCs w:val="20"/>
              </w:rPr>
            </w:pPr>
            <w:r>
              <w:rPr>
                <w:rFonts w:ascii="Arial" w:hAnsi="Arial" w:cs="Arial"/>
                <w:sz w:val="20"/>
                <w:szCs w:val="20"/>
              </w:rPr>
              <w:t>12</w:t>
            </w:r>
            <w:r w:rsidRPr="00AC62DA">
              <w:rPr>
                <w:rFonts w:ascii="Arial" w:hAnsi="Arial" w:cs="Arial"/>
                <w:sz w:val="20"/>
                <w:szCs w:val="20"/>
              </w:rPr>
              <w:t xml:space="preserve">.1 </w:t>
            </w:r>
            <w:r>
              <w:rPr>
                <w:rFonts w:ascii="Arial" w:hAnsi="Arial" w:cs="Arial"/>
                <w:sz w:val="20"/>
                <w:szCs w:val="20"/>
              </w:rPr>
              <w:t>Contracting and outsourcing agreements</w:t>
            </w:r>
          </w:p>
        </w:tc>
        <w:tc>
          <w:tcPr>
            <w:tcW w:w="198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Pr="00AC62DA" w:rsidRDefault="002160D1" w:rsidP="00B05181">
            <w:pPr>
              <w:jc w:val="center"/>
              <w:rPr>
                <w:rFonts w:ascii="Arial" w:hAnsi="Arial" w:cs="Arial"/>
                <w:sz w:val="20"/>
                <w:szCs w:val="20"/>
              </w:rPr>
            </w:pPr>
            <w:r>
              <w:rPr>
                <w:rFonts w:ascii="Arial" w:hAnsi="Arial" w:cs="Arial"/>
                <w:sz w:val="20"/>
                <w:szCs w:val="20"/>
              </w:rPr>
              <w:t>X</w:t>
            </w:r>
          </w:p>
        </w:tc>
        <w:tc>
          <w:tcPr>
            <w:tcW w:w="2070" w:type="dxa"/>
          </w:tcPr>
          <w:p w:rsidR="002160D1" w:rsidRDefault="005D230C" w:rsidP="00B05181">
            <w:pPr>
              <w:jc w:val="center"/>
              <w:rPr>
                <w:rFonts w:ascii="Arial" w:hAnsi="Arial" w:cs="Arial"/>
                <w:sz w:val="20"/>
                <w:szCs w:val="20"/>
              </w:rPr>
            </w:pPr>
            <w:commentRangeStart w:id="5"/>
            <w:r>
              <w:rPr>
                <w:rFonts w:ascii="Arial" w:hAnsi="Arial" w:cs="Arial"/>
                <w:sz w:val="20"/>
                <w:szCs w:val="20"/>
              </w:rPr>
              <w:t>X</w:t>
            </w:r>
            <w:commentRangeEnd w:id="5"/>
            <w:r w:rsidR="007A4378">
              <w:rPr>
                <w:rStyle w:val="CommentReference"/>
              </w:rPr>
              <w:commentReference w:id="5"/>
            </w:r>
          </w:p>
          <w:p w:rsidR="00F6314B" w:rsidRPr="00AC62DA" w:rsidRDefault="002835DE" w:rsidP="00B05181">
            <w:pPr>
              <w:jc w:val="center"/>
              <w:rPr>
                <w:rFonts w:ascii="Arial" w:hAnsi="Arial" w:cs="Arial"/>
                <w:sz w:val="20"/>
                <w:szCs w:val="20"/>
              </w:rPr>
            </w:pPr>
            <w:r w:rsidRPr="008D24BE">
              <w:rPr>
                <w:rFonts w:ascii="Arial" w:hAnsi="Arial" w:cs="Arial"/>
                <w:i/>
                <w:sz w:val="20"/>
                <w:szCs w:val="20"/>
              </w:rPr>
              <w:t>(if</w:t>
            </w:r>
            <w:r w:rsidR="00F6314B">
              <w:rPr>
                <w:rFonts w:ascii="Arial" w:hAnsi="Arial" w:cs="Arial"/>
                <w:i/>
                <w:sz w:val="20"/>
                <w:szCs w:val="20"/>
              </w:rPr>
              <w:t xml:space="preserve"> applicable)</w:t>
            </w:r>
          </w:p>
        </w:tc>
      </w:tr>
      <w:tr w:rsidR="002160D1" w:rsidRPr="00AC62DA">
        <w:trPr>
          <w:cantSplit/>
        </w:trPr>
        <w:tc>
          <w:tcPr>
            <w:tcW w:w="10098" w:type="dxa"/>
            <w:gridSpan w:val="4"/>
            <w:shd w:val="clear" w:color="auto" w:fill="D9D9D9" w:themeFill="background1" w:themeFillShade="D9"/>
          </w:tcPr>
          <w:p w:rsidR="002160D1" w:rsidRPr="0070719E" w:rsidRDefault="002160D1" w:rsidP="00B05181">
            <w:pPr>
              <w:rPr>
                <w:rFonts w:ascii="Arial" w:hAnsi="Arial" w:cs="Arial"/>
                <w:sz w:val="20"/>
                <w:szCs w:val="20"/>
              </w:rPr>
            </w:pPr>
            <w:r w:rsidRPr="0070719E">
              <w:rPr>
                <w:rFonts w:ascii="Arial" w:hAnsi="Arial" w:cs="Arial"/>
                <w:b/>
                <w:sz w:val="20"/>
                <w:szCs w:val="20"/>
              </w:rPr>
              <w:t>13.0 State Partnership Exchange Activities</w:t>
            </w:r>
          </w:p>
        </w:tc>
      </w:tr>
      <w:tr w:rsidR="002160D1" w:rsidRPr="00AC62DA">
        <w:trPr>
          <w:cantSplit/>
          <w:trHeight w:val="341"/>
        </w:trPr>
        <w:tc>
          <w:tcPr>
            <w:tcW w:w="3978" w:type="dxa"/>
          </w:tcPr>
          <w:p w:rsidR="002160D1" w:rsidRPr="0070719E" w:rsidRDefault="00240327" w:rsidP="002835DE">
            <w:pPr>
              <w:rPr>
                <w:rFonts w:ascii="Arial" w:hAnsi="Arial" w:cs="Arial"/>
                <w:sz w:val="20"/>
                <w:szCs w:val="20"/>
              </w:rPr>
            </w:pPr>
            <w:r>
              <w:rPr>
                <w:rFonts w:ascii="Arial" w:hAnsi="Arial" w:cs="Arial"/>
                <w:sz w:val="20"/>
                <w:szCs w:val="20"/>
              </w:rPr>
              <w:t xml:space="preserve">13.1 Plan Management </w:t>
            </w:r>
          </w:p>
        </w:tc>
        <w:tc>
          <w:tcPr>
            <w:tcW w:w="1980" w:type="dxa"/>
          </w:tcPr>
          <w:p w:rsidR="002160D1" w:rsidRPr="0070719E" w:rsidRDefault="002160D1" w:rsidP="00B05181">
            <w:pPr>
              <w:jc w:val="center"/>
              <w:rPr>
                <w:rFonts w:ascii="Arial" w:hAnsi="Arial" w:cs="Arial"/>
                <w:sz w:val="20"/>
                <w:szCs w:val="20"/>
              </w:rPr>
            </w:pPr>
            <w:r>
              <w:rPr>
                <w:rFonts w:ascii="Arial" w:hAnsi="Arial" w:cs="Arial"/>
                <w:sz w:val="20"/>
                <w:szCs w:val="20"/>
              </w:rPr>
              <w:t>Optional</w:t>
            </w:r>
          </w:p>
        </w:tc>
        <w:tc>
          <w:tcPr>
            <w:tcW w:w="2070" w:type="dxa"/>
            <w:vAlign w:val="center"/>
          </w:tcPr>
          <w:p w:rsidR="002160D1" w:rsidRPr="0070719E" w:rsidRDefault="002160D1" w:rsidP="00791F85">
            <w:pPr>
              <w:jc w:val="center"/>
              <w:rPr>
                <w:rStyle w:val="CommentReference"/>
              </w:rPr>
            </w:pPr>
            <w:r w:rsidRPr="0070719E">
              <w:rPr>
                <w:rFonts w:ascii="Arial" w:hAnsi="Arial" w:cs="Arial"/>
                <w:sz w:val="20"/>
                <w:szCs w:val="20"/>
              </w:rPr>
              <w:t>X</w:t>
            </w:r>
          </w:p>
        </w:tc>
        <w:tc>
          <w:tcPr>
            <w:tcW w:w="2070" w:type="dxa"/>
          </w:tcPr>
          <w:p w:rsidR="002160D1" w:rsidRPr="0070719E" w:rsidRDefault="002160D1" w:rsidP="00B05181">
            <w:pPr>
              <w:jc w:val="center"/>
              <w:rPr>
                <w:rFonts w:ascii="Arial" w:hAnsi="Arial" w:cs="Arial"/>
                <w:sz w:val="20"/>
                <w:szCs w:val="20"/>
              </w:rPr>
            </w:pPr>
          </w:p>
        </w:tc>
      </w:tr>
      <w:tr w:rsidR="002160D1" w:rsidRPr="00AC62DA">
        <w:trPr>
          <w:cantSplit/>
        </w:trPr>
        <w:tc>
          <w:tcPr>
            <w:tcW w:w="3978" w:type="dxa"/>
          </w:tcPr>
          <w:p w:rsidR="002160D1" w:rsidRPr="0070719E" w:rsidRDefault="002160D1" w:rsidP="00B05181">
            <w:pPr>
              <w:rPr>
                <w:rFonts w:ascii="Arial" w:eastAsia="Times New Roman" w:hAnsi="Arial" w:cs="Arial"/>
                <w:color w:val="000000"/>
                <w:sz w:val="20"/>
                <w:szCs w:val="20"/>
              </w:rPr>
            </w:pPr>
            <w:r w:rsidRPr="0070719E">
              <w:rPr>
                <w:rFonts w:ascii="Arial" w:eastAsia="Times New Roman" w:hAnsi="Arial" w:cs="Arial"/>
                <w:color w:val="000000"/>
                <w:sz w:val="20"/>
                <w:szCs w:val="20"/>
              </w:rPr>
              <w:t>13.2 Capacity to interface with the Federally-facilitated Exchange</w:t>
            </w:r>
          </w:p>
        </w:tc>
        <w:tc>
          <w:tcPr>
            <w:tcW w:w="1980" w:type="dxa"/>
          </w:tcPr>
          <w:p w:rsidR="002160D1" w:rsidRPr="0070719E" w:rsidRDefault="002160D1" w:rsidP="00B05181">
            <w:pPr>
              <w:jc w:val="center"/>
              <w:rPr>
                <w:rFonts w:ascii="Arial" w:hAnsi="Arial" w:cs="Arial"/>
                <w:sz w:val="20"/>
                <w:szCs w:val="20"/>
              </w:rPr>
            </w:pPr>
            <w:r>
              <w:rPr>
                <w:rFonts w:ascii="Arial" w:hAnsi="Arial" w:cs="Arial"/>
                <w:sz w:val="20"/>
                <w:szCs w:val="20"/>
              </w:rPr>
              <w:t>Optional</w:t>
            </w:r>
          </w:p>
        </w:tc>
        <w:tc>
          <w:tcPr>
            <w:tcW w:w="2070" w:type="dxa"/>
          </w:tcPr>
          <w:p w:rsidR="002160D1" w:rsidRPr="0070719E" w:rsidRDefault="002160D1" w:rsidP="00B05181">
            <w:pPr>
              <w:jc w:val="center"/>
              <w:rPr>
                <w:rFonts w:ascii="Arial" w:hAnsi="Arial" w:cs="Arial"/>
                <w:sz w:val="20"/>
                <w:szCs w:val="20"/>
              </w:rPr>
            </w:pPr>
            <w:r w:rsidRPr="0070719E">
              <w:rPr>
                <w:rFonts w:ascii="Arial" w:hAnsi="Arial" w:cs="Arial"/>
                <w:sz w:val="20"/>
                <w:szCs w:val="20"/>
              </w:rPr>
              <w:t>X</w:t>
            </w:r>
          </w:p>
        </w:tc>
        <w:tc>
          <w:tcPr>
            <w:tcW w:w="2070" w:type="dxa"/>
          </w:tcPr>
          <w:p w:rsidR="002160D1" w:rsidRPr="0070719E" w:rsidRDefault="002160D1" w:rsidP="00B05181">
            <w:pPr>
              <w:jc w:val="center"/>
              <w:rPr>
                <w:rFonts w:ascii="Arial" w:hAnsi="Arial" w:cs="Arial"/>
                <w:sz w:val="20"/>
                <w:szCs w:val="20"/>
              </w:rPr>
            </w:pPr>
            <w:r w:rsidRPr="0070719E">
              <w:rPr>
                <w:rFonts w:ascii="Arial" w:hAnsi="Arial" w:cs="Arial"/>
                <w:sz w:val="20"/>
                <w:szCs w:val="20"/>
              </w:rPr>
              <w:t>X</w:t>
            </w:r>
          </w:p>
        </w:tc>
      </w:tr>
      <w:tr w:rsidR="002160D1" w:rsidRPr="00AC62DA">
        <w:trPr>
          <w:cantSplit/>
        </w:trPr>
        <w:tc>
          <w:tcPr>
            <w:tcW w:w="3978" w:type="dxa"/>
          </w:tcPr>
          <w:p w:rsidR="002160D1" w:rsidRPr="0022412C" w:rsidRDefault="002160D1" w:rsidP="002835DE">
            <w:pPr>
              <w:rPr>
                <w:rFonts w:ascii="Arial" w:eastAsia="Times New Roman" w:hAnsi="Arial" w:cs="Arial"/>
                <w:color w:val="000000"/>
                <w:sz w:val="20"/>
                <w:szCs w:val="20"/>
              </w:rPr>
            </w:pPr>
            <w:r>
              <w:rPr>
                <w:rFonts w:ascii="Arial" w:eastAsia="Times New Roman" w:hAnsi="Arial" w:cs="Arial"/>
                <w:color w:val="000000"/>
                <w:sz w:val="20"/>
                <w:szCs w:val="20"/>
              </w:rPr>
              <w:t>13.3</w:t>
            </w:r>
            <w:r w:rsidRPr="0022412C">
              <w:rPr>
                <w:rFonts w:ascii="Arial" w:eastAsia="Times New Roman" w:hAnsi="Arial" w:cs="Arial"/>
                <w:color w:val="000000"/>
                <w:sz w:val="20"/>
                <w:szCs w:val="20"/>
              </w:rPr>
              <w:t xml:space="preserve"> Consumer</w:t>
            </w:r>
            <w:r>
              <w:rPr>
                <w:rFonts w:ascii="Arial" w:eastAsia="Times New Roman" w:hAnsi="Arial" w:cs="Arial"/>
                <w:color w:val="000000"/>
                <w:sz w:val="20"/>
                <w:szCs w:val="20"/>
              </w:rPr>
              <w:t xml:space="preserve"> </w:t>
            </w:r>
            <w:r w:rsidR="00546F31">
              <w:rPr>
                <w:rFonts w:ascii="Arial" w:eastAsia="Times New Roman" w:hAnsi="Arial" w:cs="Arial"/>
                <w:color w:val="000000"/>
                <w:sz w:val="20"/>
                <w:szCs w:val="20"/>
              </w:rPr>
              <w:t>A</w:t>
            </w:r>
            <w:r w:rsidRPr="0022412C">
              <w:rPr>
                <w:rFonts w:ascii="Arial" w:eastAsia="Times New Roman" w:hAnsi="Arial" w:cs="Arial"/>
                <w:color w:val="000000"/>
                <w:sz w:val="20"/>
                <w:szCs w:val="20"/>
              </w:rPr>
              <w:t>ssistance</w:t>
            </w:r>
            <w:r w:rsidR="00240327">
              <w:rPr>
                <w:rFonts w:ascii="Arial" w:eastAsia="Times New Roman" w:hAnsi="Arial" w:cs="Arial"/>
                <w:color w:val="000000"/>
                <w:sz w:val="20"/>
                <w:szCs w:val="20"/>
              </w:rPr>
              <w:t xml:space="preserve"> </w:t>
            </w:r>
          </w:p>
        </w:tc>
        <w:tc>
          <w:tcPr>
            <w:tcW w:w="1980" w:type="dxa"/>
          </w:tcPr>
          <w:p w:rsidR="002160D1" w:rsidRPr="0022412C" w:rsidRDefault="002160D1" w:rsidP="00B05181">
            <w:pPr>
              <w:jc w:val="center"/>
              <w:rPr>
                <w:rFonts w:ascii="Arial" w:eastAsia="Times New Roman" w:hAnsi="Arial" w:cs="Arial"/>
                <w:color w:val="000000"/>
                <w:sz w:val="20"/>
                <w:szCs w:val="20"/>
              </w:rPr>
            </w:pPr>
            <w:r w:rsidRPr="0022412C">
              <w:rPr>
                <w:rFonts w:ascii="Arial" w:hAnsi="Arial" w:cs="Arial"/>
                <w:sz w:val="20"/>
                <w:szCs w:val="20"/>
              </w:rPr>
              <w:t>Optional</w:t>
            </w:r>
          </w:p>
        </w:tc>
        <w:tc>
          <w:tcPr>
            <w:tcW w:w="2070" w:type="dxa"/>
          </w:tcPr>
          <w:p w:rsidR="002160D1" w:rsidRPr="0022412C" w:rsidRDefault="002160D1" w:rsidP="00B05181">
            <w:pPr>
              <w:jc w:val="center"/>
              <w:rPr>
                <w:rFonts w:ascii="Arial" w:hAnsi="Arial" w:cs="Arial"/>
                <w:sz w:val="20"/>
                <w:szCs w:val="20"/>
              </w:rPr>
            </w:pPr>
          </w:p>
        </w:tc>
        <w:tc>
          <w:tcPr>
            <w:tcW w:w="2070" w:type="dxa"/>
          </w:tcPr>
          <w:p w:rsidR="002160D1" w:rsidRPr="0022412C" w:rsidRDefault="002160D1" w:rsidP="00B05181">
            <w:pPr>
              <w:jc w:val="center"/>
              <w:rPr>
                <w:rFonts w:ascii="Arial" w:hAnsi="Arial" w:cs="Arial"/>
                <w:sz w:val="20"/>
                <w:szCs w:val="20"/>
              </w:rPr>
            </w:pPr>
            <w:r>
              <w:rPr>
                <w:rFonts w:ascii="Arial" w:hAnsi="Arial" w:cs="Arial"/>
                <w:sz w:val="20"/>
                <w:szCs w:val="20"/>
              </w:rPr>
              <w:t>X</w:t>
            </w:r>
          </w:p>
        </w:tc>
      </w:tr>
    </w:tbl>
    <w:p w:rsidR="001D68CB" w:rsidRDefault="001D68CB" w:rsidP="001D68CB">
      <w:pPr>
        <w:rPr>
          <w:rFonts w:ascii="Gill Sans MT" w:hAnsi="Gill Sans MT" w:cs="Arial"/>
          <w:b/>
          <w:color w:val="1F497D" w:themeColor="text2"/>
          <w:sz w:val="28"/>
          <w:szCs w:val="28"/>
        </w:rPr>
      </w:pPr>
    </w:p>
    <w:p w:rsidR="001D68CB" w:rsidRPr="00AA7A0D" w:rsidRDefault="002835DE" w:rsidP="00A14363">
      <w:pPr>
        <w:pStyle w:val="Heading2"/>
      </w:pPr>
      <w:r>
        <w:t xml:space="preserve">Relationship between </w:t>
      </w:r>
      <w:r w:rsidR="001D68CB" w:rsidRPr="00AA7A0D">
        <w:t xml:space="preserve">Exchange </w:t>
      </w:r>
      <w:r w:rsidR="00EE3BBF">
        <w:t>Application</w:t>
      </w:r>
      <w:r w:rsidR="001D68CB" w:rsidRPr="00AA7A0D">
        <w:t xml:space="preserve"> </w:t>
      </w:r>
      <w:r w:rsidR="00EE3BBF">
        <w:t>and the Establishment Grant Review Process</w:t>
      </w:r>
    </w:p>
    <w:p w:rsidR="00D52E34" w:rsidRDefault="001D68CB" w:rsidP="003F158A">
      <w:pPr>
        <w:tabs>
          <w:tab w:val="left" w:pos="1032"/>
        </w:tabs>
        <w:spacing w:after="0"/>
        <w:rPr>
          <w:rFonts w:ascii="Arial" w:hAnsi="Arial" w:cs="Arial"/>
        </w:rPr>
      </w:pPr>
      <w:r w:rsidRPr="00AA7A0D">
        <w:rPr>
          <w:rFonts w:ascii="Arial" w:hAnsi="Arial" w:cs="Arial"/>
        </w:rPr>
        <w:t xml:space="preserve">HHS has developed an Establishment Review Process </w:t>
      </w:r>
      <w:r w:rsidR="002835DE">
        <w:rPr>
          <w:rFonts w:ascii="Arial" w:hAnsi="Arial" w:cs="Arial"/>
        </w:rPr>
        <w:t xml:space="preserve">to monitor and </w:t>
      </w:r>
      <w:r w:rsidRPr="00AA7A0D">
        <w:rPr>
          <w:rFonts w:ascii="Arial" w:hAnsi="Arial" w:cs="Arial"/>
        </w:rPr>
        <w:t xml:space="preserve">assist States that have received </w:t>
      </w:r>
      <w:r w:rsidR="00753984">
        <w:rPr>
          <w:rFonts w:ascii="Arial" w:hAnsi="Arial" w:cs="Arial"/>
        </w:rPr>
        <w:t>grant(s) through the Cooperative Agreements for Establishment of Exchanges u</w:t>
      </w:r>
      <w:r w:rsidRPr="00AA7A0D">
        <w:rPr>
          <w:rFonts w:ascii="Arial" w:hAnsi="Arial" w:cs="Arial"/>
        </w:rPr>
        <w:t xml:space="preserve">nder the Affordable Care Act </w:t>
      </w:r>
      <w:r w:rsidR="00125E8B" w:rsidRPr="00AA7A0D">
        <w:rPr>
          <w:rFonts w:ascii="Arial" w:hAnsi="Arial" w:cs="Arial"/>
        </w:rPr>
        <w:t>1311(a</w:t>
      </w:r>
      <w:r w:rsidR="00F6029F">
        <w:rPr>
          <w:rFonts w:ascii="Arial" w:hAnsi="Arial" w:cs="Arial"/>
        </w:rPr>
        <w:t>)</w:t>
      </w:r>
      <w:r w:rsidRPr="00AA7A0D">
        <w:rPr>
          <w:rFonts w:ascii="Arial" w:hAnsi="Arial" w:cs="Arial"/>
        </w:rPr>
        <w:t xml:space="preserve">.  While </w:t>
      </w:r>
      <w:r w:rsidR="00F6029F">
        <w:rPr>
          <w:rFonts w:ascii="Arial" w:hAnsi="Arial" w:cs="Arial"/>
        </w:rPr>
        <w:t>the Establishment Review Process</w:t>
      </w:r>
      <w:r w:rsidRPr="00AA7A0D">
        <w:rPr>
          <w:rFonts w:ascii="Arial" w:hAnsi="Arial" w:cs="Arial"/>
        </w:rPr>
        <w:t xml:space="preserve"> is intended to support States as they work toward Exchange Approval, the </w:t>
      </w:r>
      <w:r w:rsidR="00F6029F">
        <w:rPr>
          <w:rFonts w:ascii="Arial" w:hAnsi="Arial" w:cs="Arial"/>
        </w:rPr>
        <w:t>Establishment Review Process</w:t>
      </w:r>
      <w:r w:rsidRPr="00AA7A0D">
        <w:rPr>
          <w:rFonts w:ascii="Arial" w:hAnsi="Arial" w:cs="Arial"/>
        </w:rPr>
        <w:t xml:space="preserve"> is independent of the Exchange Approval process.  </w:t>
      </w:r>
      <w:r w:rsidR="005F539A">
        <w:rPr>
          <w:rFonts w:ascii="Arial" w:hAnsi="Arial" w:cs="Arial"/>
        </w:rPr>
        <w:t xml:space="preserve">However, to streamline data collection requirements, HHS has aligned requirements so that a </w:t>
      </w:r>
      <w:r w:rsidR="00F6029F">
        <w:rPr>
          <w:rFonts w:ascii="Arial" w:hAnsi="Arial" w:cs="Arial"/>
        </w:rPr>
        <w:t>State may utilize</w:t>
      </w:r>
      <w:r w:rsidRPr="00AA7A0D">
        <w:rPr>
          <w:rFonts w:ascii="Arial" w:hAnsi="Arial" w:cs="Arial"/>
        </w:rPr>
        <w:t xml:space="preserve"> information </w:t>
      </w:r>
      <w:r w:rsidR="00F6029F">
        <w:rPr>
          <w:rFonts w:ascii="Arial" w:hAnsi="Arial" w:cs="Arial"/>
        </w:rPr>
        <w:t>submitted</w:t>
      </w:r>
      <w:r w:rsidRPr="00AA7A0D">
        <w:rPr>
          <w:rFonts w:ascii="Arial" w:hAnsi="Arial" w:cs="Arial"/>
        </w:rPr>
        <w:t xml:space="preserve"> during the Establishment Review Process to </w:t>
      </w:r>
      <w:r w:rsidR="00F6029F">
        <w:rPr>
          <w:rFonts w:ascii="Arial" w:hAnsi="Arial" w:cs="Arial"/>
        </w:rPr>
        <w:t>complete a State’s Exchange Blueprint</w:t>
      </w:r>
      <w:r w:rsidRPr="00AA7A0D">
        <w:rPr>
          <w:rFonts w:ascii="Arial" w:hAnsi="Arial" w:cs="Arial"/>
        </w:rPr>
        <w:t xml:space="preserve">.  </w:t>
      </w:r>
      <w:r w:rsidR="00F6029F">
        <w:rPr>
          <w:rFonts w:ascii="Arial" w:hAnsi="Arial" w:cs="Arial"/>
        </w:rPr>
        <w:t xml:space="preserve">If a State successfully completes a portion of an activity requirement during its Establishment Review, the State may waive out of re-submitting testing files or supporting documentation as part of the </w:t>
      </w:r>
      <w:r w:rsidR="002835DE">
        <w:rPr>
          <w:rFonts w:ascii="Arial" w:hAnsi="Arial" w:cs="Arial"/>
        </w:rPr>
        <w:t xml:space="preserve">Exchange </w:t>
      </w:r>
      <w:r w:rsidR="00F6029F">
        <w:rPr>
          <w:rFonts w:ascii="Arial" w:hAnsi="Arial" w:cs="Arial"/>
        </w:rPr>
        <w:t xml:space="preserve">Application requirements.  </w:t>
      </w:r>
      <w:r w:rsidR="00FD6A67">
        <w:rPr>
          <w:rFonts w:ascii="Arial" w:hAnsi="Arial" w:cs="Arial"/>
        </w:rPr>
        <w:t>As referenced in the Exchange Application, a</w:t>
      </w:r>
      <w:r w:rsidR="00490092">
        <w:rPr>
          <w:rFonts w:ascii="Arial" w:hAnsi="Arial" w:cs="Arial"/>
        </w:rPr>
        <w:t xml:space="preserve"> State may </w:t>
      </w:r>
      <w:r w:rsidR="00FD6A67">
        <w:rPr>
          <w:rFonts w:ascii="Arial" w:hAnsi="Arial" w:cs="Arial"/>
        </w:rPr>
        <w:t>upload</w:t>
      </w:r>
      <w:r w:rsidR="00490092">
        <w:rPr>
          <w:rFonts w:ascii="Arial" w:hAnsi="Arial" w:cs="Arial"/>
        </w:rPr>
        <w:t xml:space="preserve"> </w:t>
      </w:r>
      <w:r w:rsidR="00FD6A67">
        <w:rPr>
          <w:rFonts w:ascii="Arial" w:hAnsi="Arial" w:cs="Arial"/>
        </w:rPr>
        <w:t xml:space="preserve">and submit </w:t>
      </w:r>
      <w:r w:rsidR="00490092">
        <w:rPr>
          <w:rFonts w:ascii="Arial" w:hAnsi="Arial" w:cs="Arial"/>
        </w:rPr>
        <w:t>a letter(s) from HHS</w:t>
      </w:r>
      <w:r w:rsidR="00F6029F">
        <w:rPr>
          <w:rFonts w:ascii="Arial" w:hAnsi="Arial" w:cs="Arial"/>
        </w:rPr>
        <w:t xml:space="preserve"> </w:t>
      </w:r>
      <w:r w:rsidR="009C58A5">
        <w:rPr>
          <w:rFonts w:ascii="Arial" w:hAnsi="Arial" w:cs="Arial"/>
        </w:rPr>
        <w:t>confirming</w:t>
      </w:r>
      <w:r w:rsidR="00490092">
        <w:rPr>
          <w:rFonts w:ascii="Arial" w:hAnsi="Arial" w:cs="Arial"/>
        </w:rPr>
        <w:t xml:space="preserve"> </w:t>
      </w:r>
      <w:r w:rsidR="00490092" w:rsidRPr="000E3C6F">
        <w:rPr>
          <w:rFonts w:ascii="Arial" w:hAnsi="Arial" w:cs="Arial"/>
        </w:rPr>
        <w:t xml:space="preserve">successful </w:t>
      </w:r>
      <w:r w:rsidR="000E3C6F">
        <w:rPr>
          <w:rFonts w:ascii="Arial" w:hAnsi="Arial" w:cs="Arial"/>
        </w:rPr>
        <w:t xml:space="preserve">completion of </w:t>
      </w:r>
      <w:r w:rsidR="00CD51BD">
        <w:rPr>
          <w:rFonts w:ascii="Arial" w:hAnsi="Arial" w:cs="Arial"/>
        </w:rPr>
        <w:t>documentation requ</w:t>
      </w:r>
      <w:r w:rsidR="00421D13">
        <w:rPr>
          <w:rFonts w:ascii="Arial" w:hAnsi="Arial" w:cs="Arial"/>
        </w:rPr>
        <w:t>i</w:t>
      </w:r>
      <w:r w:rsidR="00CD51BD">
        <w:rPr>
          <w:rFonts w:ascii="Arial" w:hAnsi="Arial" w:cs="Arial"/>
        </w:rPr>
        <w:t>rements</w:t>
      </w:r>
      <w:r w:rsidR="00F6029F">
        <w:rPr>
          <w:rFonts w:ascii="Arial" w:hAnsi="Arial" w:cs="Arial"/>
        </w:rPr>
        <w:t xml:space="preserve"> instead of re-submitting documentation</w:t>
      </w:r>
      <w:r w:rsidR="00A50F86">
        <w:rPr>
          <w:rFonts w:ascii="Arial" w:hAnsi="Arial" w:cs="Arial"/>
        </w:rPr>
        <w:t xml:space="preserve">.  </w:t>
      </w:r>
    </w:p>
    <w:p w:rsidR="003F158A" w:rsidRPr="003F158A" w:rsidRDefault="003F158A" w:rsidP="003F158A">
      <w:pPr>
        <w:tabs>
          <w:tab w:val="left" w:pos="1032"/>
        </w:tabs>
        <w:spacing w:after="0"/>
        <w:rPr>
          <w:rFonts w:ascii="Arial" w:hAnsi="Arial" w:cs="Arial"/>
        </w:rPr>
      </w:pPr>
    </w:p>
    <w:p w:rsidR="00B92547" w:rsidRDefault="002B137E" w:rsidP="00A14363">
      <w:pPr>
        <w:pStyle w:val="Heading2"/>
      </w:pPr>
      <w:r>
        <w:t>Completion</w:t>
      </w:r>
      <w:r w:rsidRPr="000F6FF9">
        <w:t xml:space="preserve"> of</w:t>
      </w:r>
      <w:r>
        <w:t xml:space="preserve"> the</w:t>
      </w:r>
      <w:r w:rsidRPr="000F6FF9">
        <w:t xml:space="preserve"> Exchange </w:t>
      </w:r>
      <w:r w:rsidR="00B7071E">
        <w:t>Application</w:t>
      </w:r>
      <w:r w:rsidRPr="000F6FF9">
        <w:t xml:space="preserve"> </w:t>
      </w:r>
    </w:p>
    <w:p w:rsidR="002B137E" w:rsidRPr="00B92547" w:rsidRDefault="002B137E" w:rsidP="002B137E">
      <w:pPr>
        <w:rPr>
          <w:rFonts w:ascii="Gill Sans MT" w:hAnsi="Gill Sans MT" w:cs="Arial"/>
          <w:b/>
          <w:color w:val="1F497D" w:themeColor="text2"/>
          <w:sz w:val="28"/>
          <w:szCs w:val="28"/>
        </w:rPr>
      </w:pPr>
      <w:r w:rsidRPr="000F6FF9">
        <w:rPr>
          <w:rFonts w:ascii="Arial" w:hAnsi="Arial" w:cs="Arial"/>
        </w:rPr>
        <w:t xml:space="preserve">In completing the Exchange </w:t>
      </w:r>
      <w:r w:rsidR="00B7071E">
        <w:rPr>
          <w:rFonts w:ascii="Arial" w:hAnsi="Arial" w:cs="Arial"/>
        </w:rPr>
        <w:t>Application</w:t>
      </w:r>
      <w:r w:rsidRPr="000F6FF9">
        <w:rPr>
          <w:rFonts w:ascii="Arial" w:hAnsi="Arial" w:cs="Arial"/>
        </w:rPr>
        <w:t xml:space="preserve">, </w:t>
      </w:r>
      <w:r w:rsidR="00EE3BBF">
        <w:rPr>
          <w:rFonts w:ascii="Arial" w:hAnsi="Arial" w:cs="Arial"/>
        </w:rPr>
        <w:t xml:space="preserve">States </w:t>
      </w:r>
      <w:r w:rsidR="004E29BA">
        <w:rPr>
          <w:rFonts w:ascii="Arial" w:hAnsi="Arial" w:cs="Arial"/>
        </w:rPr>
        <w:t>are</w:t>
      </w:r>
      <w:r w:rsidR="00EE3BBF">
        <w:rPr>
          <w:rFonts w:ascii="Arial" w:hAnsi="Arial" w:cs="Arial"/>
        </w:rPr>
        <w:t xml:space="preserve"> asked to submit</w:t>
      </w:r>
      <w:r w:rsidR="00FE31CB">
        <w:rPr>
          <w:rFonts w:ascii="Arial" w:hAnsi="Arial" w:cs="Arial"/>
        </w:rPr>
        <w:t xml:space="preserve"> </w:t>
      </w:r>
      <w:r w:rsidR="00EE3BBF">
        <w:rPr>
          <w:rFonts w:ascii="Arial" w:hAnsi="Arial" w:cs="Arial"/>
        </w:rPr>
        <w:t xml:space="preserve">the </w:t>
      </w:r>
      <w:r w:rsidR="00FE31CB">
        <w:rPr>
          <w:rFonts w:ascii="Arial" w:hAnsi="Arial" w:cs="Arial"/>
        </w:rPr>
        <w:t>elements described below</w:t>
      </w:r>
      <w:r w:rsidR="002F753A">
        <w:rPr>
          <w:rFonts w:ascii="Arial" w:hAnsi="Arial" w:cs="Arial"/>
        </w:rPr>
        <w:t>.</w:t>
      </w:r>
      <w:r w:rsidR="00FE31CB">
        <w:rPr>
          <w:rFonts w:ascii="Arial" w:hAnsi="Arial" w:cs="Arial"/>
        </w:rPr>
        <w:t xml:space="preserve"> </w:t>
      </w:r>
    </w:p>
    <w:p w:rsidR="00EE3BBF" w:rsidRPr="00EE3BBF" w:rsidRDefault="00552FD3" w:rsidP="00A14363">
      <w:pPr>
        <w:pStyle w:val="Heading3"/>
      </w:pPr>
      <w:r>
        <w:lastRenderedPageBreak/>
        <w:t>Attestations</w:t>
      </w:r>
    </w:p>
    <w:p w:rsidR="004E55AD" w:rsidRPr="00D957F8" w:rsidRDefault="002B137E" w:rsidP="00D957F8">
      <w:pPr>
        <w:rPr>
          <w:rFonts w:ascii="Arial" w:hAnsi="Arial" w:cs="Arial"/>
        </w:rPr>
      </w:pPr>
      <w:r w:rsidRPr="00EE3BBF">
        <w:rPr>
          <w:rFonts w:ascii="Arial" w:hAnsi="Arial" w:cs="Arial"/>
        </w:rPr>
        <w:t xml:space="preserve">The </w:t>
      </w:r>
      <w:r w:rsidR="00EE3BBF" w:rsidRPr="00EE3BBF">
        <w:rPr>
          <w:rFonts w:ascii="Arial" w:hAnsi="Arial" w:cs="Arial"/>
        </w:rPr>
        <w:t>individual</w:t>
      </w:r>
      <w:r w:rsidR="00D86406">
        <w:rPr>
          <w:rFonts w:ascii="Arial" w:hAnsi="Arial" w:cs="Arial"/>
        </w:rPr>
        <w:t>(s)</w:t>
      </w:r>
      <w:r w:rsidR="00121249" w:rsidRPr="00EE3BBF">
        <w:rPr>
          <w:rFonts w:ascii="Arial" w:hAnsi="Arial" w:cs="Arial"/>
        </w:rPr>
        <w:t xml:space="preserve"> designated in the Declaration </w:t>
      </w:r>
      <w:r w:rsidR="00DC7397">
        <w:rPr>
          <w:rFonts w:ascii="Arial" w:hAnsi="Arial" w:cs="Arial"/>
        </w:rPr>
        <w:t>L</w:t>
      </w:r>
      <w:r w:rsidR="00DD3408">
        <w:rPr>
          <w:rFonts w:ascii="Arial" w:hAnsi="Arial" w:cs="Arial"/>
        </w:rPr>
        <w:t>etter (</w:t>
      </w:r>
      <w:r w:rsidR="00DC7397">
        <w:rPr>
          <w:rFonts w:ascii="Arial" w:hAnsi="Arial" w:cs="Arial"/>
        </w:rPr>
        <w:t xml:space="preserve">the </w:t>
      </w:r>
      <w:r w:rsidR="00DD3408">
        <w:rPr>
          <w:rFonts w:ascii="Arial" w:hAnsi="Arial" w:cs="Arial"/>
        </w:rPr>
        <w:t>Designee</w:t>
      </w:r>
      <w:r w:rsidR="002835DE">
        <w:rPr>
          <w:rFonts w:ascii="Arial" w:hAnsi="Arial" w:cs="Arial"/>
        </w:rPr>
        <w:t>(s)</w:t>
      </w:r>
      <w:r w:rsidR="00190B83" w:rsidRPr="00EE3BBF">
        <w:rPr>
          <w:rFonts w:ascii="Arial" w:hAnsi="Arial" w:cs="Arial"/>
        </w:rPr>
        <w:t>)</w:t>
      </w:r>
      <w:r w:rsidRPr="00EE3BBF">
        <w:rPr>
          <w:rFonts w:ascii="Arial" w:hAnsi="Arial" w:cs="Arial"/>
        </w:rPr>
        <w:t xml:space="preserve"> </w:t>
      </w:r>
      <w:r w:rsidR="00587F55" w:rsidRPr="00EE3BBF">
        <w:rPr>
          <w:rFonts w:ascii="Arial" w:hAnsi="Arial" w:cs="Arial"/>
        </w:rPr>
        <w:t>must</w:t>
      </w:r>
      <w:r w:rsidRPr="00EE3BBF">
        <w:rPr>
          <w:rFonts w:ascii="Arial" w:hAnsi="Arial" w:cs="Arial"/>
        </w:rPr>
        <w:t xml:space="preserve"> attest</w:t>
      </w:r>
      <w:r w:rsidR="00C50E2D" w:rsidRPr="00EE3BBF">
        <w:rPr>
          <w:rFonts w:ascii="Arial" w:hAnsi="Arial" w:cs="Arial"/>
        </w:rPr>
        <w:t xml:space="preserve">, on behalf of the State, </w:t>
      </w:r>
      <w:r w:rsidRPr="00EE3BBF">
        <w:rPr>
          <w:rFonts w:ascii="Arial" w:hAnsi="Arial" w:cs="Arial"/>
        </w:rPr>
        <w:t xml:space="preserve">to either completion or </w:t>
      </w:r>
      <w:r w:rsidR="00030A6E">
        <w:rPr>
          <w:rFonts w:ascii="Arial" w:hAnsi="Arial" w:cs="Arial"/>
        </w:rPr>
        <w:t>expected completion</w:t>
      </w:r>
      <w:r w:rsidR="00515198">
        <w:rPr>
          <w:rFonts w:ascii="Arial" w:hAnsi="Arial" w:cs="Arial"/>
        </w:rPr>
        <w:t xml:space="preserve"> of an Exchange a</w:t>
      </w:r>
      <w:r w:rsidRPr="00EE3BBF">
        <w:rPr>
          <w:rFonts w:ascii="Arial" w:hAnsi="Arial" w:cs="Arial"/>
        </w:rPr>
        <w:t>ctivity</w:t>
      </w:r>
      <w:r w:rsidR="00AA7E40" w:rsidRPr="00EE3BBF">
        <w:rPr>
          <w:rFonts w:ascii="Arial" w:hAnsi="Arial" w:cs="Arial"/>
        </w:rPr>
        <w:t xml:space="preserve">.  </w:t>
      </w:r>
      <w:r w:rsidR="00775808">
        <w:rPr>
          <w:rFonts w:ascii="Arial" w:hAnsi="Arial" w:cs="Arial"/>
        </w:rPr>
        <w:t>Specifically, t</w:t>
      </w:r>
      <w:r w:rsidRPr="00D957F8">
        <w:rPr>
          <w:rFonts w:ascii="Arial" w:hAnsi="Arial" w:cs="Arial"/>
        </w:rPr>
        <w:t xml:space="preserve">he State </w:t>
      </w:r>
      <w:r w:rsidR="00D957F8" w:rsidRPr="00D957F8">
        <w:rPr>
          <w:rFonts w:ascii="Arial" w:hAnsi="Arial" w:cs="Arial"/>
        </w:rPr>
        <w:t>can</w:t>
      </w:r>
      <w:r w:rsidRPr="00D957F8">
        <w:rPr>
          <w:rFonts w:ascii="Arial" w:hAnsi="Arial" w:cs="Arial"/>
        </w:rPr>
        <w:t xml:space="preserve"> attest to their Exchange’s </w:t>
      </w:r>
      <w:r w:rsidR="00D957F8">
        <w:rPr>
          <w:rFonts w:ascii="Arial" w:hAnsi="Arial" w:cs="Arial"/>
        </w:rPr>
        <w:t xml:space="preserve">current </w:t>
      </w:r>
      <w:r w:rsidRPr="00D957F8">
        <w:rPr>
          <w:rFonts w:ascii="Arial" w:hAnsi="Arial" w:cs="Arial"/>
        </w:rPr>
        <w:t>ability to meet specified Exchange requirements</w:t>
      </w:r>
      <w:r w:rsidR="00AA7E40" w:rsidRPr="00D957F8">
        <w:rPr>
          <w:rFonts w:ascii="Arial" w:hAnsi="Arial" w:cs="Arial"/>
        </w:rPr>
        <w:t xml:space="preserve">.  </w:t>
      </w:r>
      <w:r w:rsidR="00D957F8">
        <w:rPr>
          <w:rFonts w:ascii="Arial" w:hAnsi="Arial" w:cs="Arial"/>
        </w:rPr>
        <w:t xml:space="preserve">Alternatively, if </w:t>
      </w:r>
      <w:r w:rsidRPr="00D957F8">
        <w:rPr>
          <w:rFonts w:ascii="Arial" w:hAnsi="Arial" w:cs="Arial"/>
        </w:rPr>
        <w:t>the State</w:t>
      </w:r>
      <w:r w:rsidR="00096EB7" w:rsidRPr="00D957F8">
        <w:rPr>
          <w:rFonts w:ascii="Arial" w:hAnsi="Arial" w:cs="Arial"/>
        </w:rPr>
        <w:t xml:space="preserve"> is unable to meet </w:t>
      </w:r>
      <w:r w:rsidR="00DA55E2" w:rsidRPr="00D957F8">
        <w:rPr>
          <w:rFonts w:ascii="Arial" w:hAnsi="Arial" w:cs="Arial"/>
        </w:rPr>
        <w:t>requirements</w:t>
      </w:r>
      <w:r w:rsidRPr="00D957F8">
        <w:rPr>
          <w:rFonts w:ascii="Arial" w:hAnsi="Arial" w:cs="Arial"/>
        </w:rPr>
        <w:t xml:space="preserve"> by the time of the Exchange </w:t>
      </w:r>
      <w:r w:rsidR="00157180">
        <w:rPr>
          <w:rFonts w:ascii="Arial" w:hAnsi="Arial" w:cs="Arial"/>
        </w:rPr>
        <w:t>Application</w:t>
      </w:r>
      <w:r w:rsidRPr="00D957F8">
        <w:rPr>
          <w:rFonts w:ascii="Arial" w:hAnsi="Arial" w:cs="Arial"/>
        </w:rPr>
        <w:t xml:space="preserve"> submission date, the State </w:t>
      </w:r>
      <w:r w:rsidR="00EE3BBF" w:rsidRPr="00D957F8">
        <w:rPr>
          <w:rFonts w:ascii="Arial" w:hAnsi="Arial" w:cs="Arial"/>
        </w:rPr>
        <w:t>may</w:t>
      </w:r>
      <w:r w:rsidRPr="00D957F8">
        <w:rPr>
          <w:rFonts w:ascii="Arial" w:hAnsi="Arial" w:cs="Arial"/>
        </w:rPr>
        <w:t xml:space="preserve"> attest </w:t>
      </w:r>
      <w:r w:rsidR="00A172B8">
        <w:rPr>
          <w:rFonts w:ascii="Arial" w:hAnsi="Arial" w:cs="Arial"/>
        </w:rPr>
        <w:t>to expected completion and</w:t>
      </w:r>
      <w:r w:rsidRPr="00D957F8">
        <w:rPr>
          <w:rFonts w:ascii="Arial" w:hAnsi="Arial" w:cs="Arial"/>
        </w:rPr>
        <w:t xml:space="preserve">its expected ability to meet the </w:t>
      </w:r>
      <w:r w:rsidR="00EE3BBF" w:rsidRPr="00D957F8">
        <w:rPr>
          <w:rFonts w:ascii="Arial" w:hAnsi="Arial" w:cs="Arial"/>
        </w:rPr>
        <w:t>specified a</w:t>
      </w:r>
      <w:r w:rsidRPr="00D957F8">
        <w:rPr>
          <w:rFonts w:ascii="Arial" w:hAnsi="Arial" w:cs="Arial"/>
        </w:rPr>
        <w:t>ctivity</w:t>
      </w:r>
      <w:r w:rsidR="00DA55E2" w:rsidRPr="00D957F8">
        <w:rPr>
          <w:rFonts w:ascii="Arial" w:hAnsi="Arial" w:cs="Arial"/>
        </w:rPr>
        <w:t xml:space="preserve"> requirement</w:t>
      </w:r>
      <w:r w:rsidR="00C50E2D" w:rsidRPr="00D957F8">
        <w:rPr>
          <w:rFonts w:ascii="Arial" w:hAnsi="Arial" w:cs="Arial"/>
        </w:rPr>
        <w:t xml:space="preserve">s </w:t>
      </w:r>
      <w:r w:rsidR="00D957F8">
        <w:rPr>
          <w:rFonts w:ascii="Arial" w:hAnsi="Arial" w:cs="Arial"/>
        </w:rPr>
        <w:t xml:space="preserve">by a </w:t>
      </w:r>
      <w:r w:rsidR="005F539A">
        <w:rPr>
          <w:rFonts w:ascii="Arial" w:hAnsi="Arial" w:cs="Arial"/>
        </w:rPr>
        <w:t>future</w:t>
      </w:r>
      <w:r w:rsidR="00D957F8">
        <w:rPr>
          <w:rFonts w:ascii="Arial" w:hAnsi="Arial" w:cs="Arial"/>
        </w:rPr>
        <w:t xml:space="preserve"> date</w:t>
      </w:r>
      <w:r w:rsidR="00190B83" w:rsidRPr="00D957F8">
        <w:rPr>
          <w:rFonts w:ascii="Arial" w:hAnsi="Arial" w:cs="Arial"/>
        </w:rPr>
        <w:t>.</w:t>
      </w:r>
    </w:p>
    <w:p w:rsidR="002B137E" w:rsidRDefault="00FE31CB" w:rsidP="00D957F8">
      <w:pPr>
        <w:rPr>
          <w:rFonts w:ascii="Arial" w:hAnsi="Arial" w:cs="Arial"/>
        </w:rPr>
      </w:pPr>
      <w:r w:rsidRPr="00D957F8">
        <w:rPr>
          <w:rFonts w:ascii="Arial" w:hAnsi="Arial" w:cs="Arial"/>
        </w:rPr>
        <w:t>As appropriate, f</w:t>
      </w:r>
      <w:r w:rsidR="002B137E" w:rsidRPr="00D957F8">
        <w:rPr>
          <w:rFonts w:ascii="Arial" w:hAnsi="Arial" w:cs="Arial"/>
        </w:rPr>
        <w:t xml:space="preserve">or </w:t>
      </w:r>
      <w:r w:rsidR="00D957F8">
        <w:rPr>
          <w:rFonts w:ascii="Arial" w:hAnsi="Arial" w:cs="Arial"/>
        </w:rPr>
        <w:t xml:space="preserve">attestations </w:t>
      </w:r>
      <w:r w:rsidR="00030A6E">
        <w:rPr>
          <w:rFonts w:ascii="Arial" w:hAnsi="Arial" w:cs="Arial"/>
        </w:rPr>
        <w:t>related to</w:t>
      </w:r>
      <w:r w:rsidR="00D957F8" w:rsidRPr="00D957F8">
        <w:rPr>
          <w:rFonts w:ascii="Arial" w:hAnsi="Arial" w:cs="Arial"/>
        </w:rPr>
        <w:t xml:space="preserve"> expected </w:t>
      </w:r>
      <w:r w:rsidR="00030A6E">
        <w:rPr>
          <w:rFonts w:ascii="Arial" w:hAnsi="Arial" w:cs="Arial"/>
        </w:rPr>
        <w:t>completion</w:t>
      </w:r>
      <w:r w:rsidR="002B137E" w:rsidRPr="00D957F8">
        <w:rPr>
          <w:rFonts w:ascii="Arial" w:hAnsi="Arial" w:cs="Arial"/>
        </w:rPr>
        <w:t xml:space="preserve">, the State should provide a timeline and work plan that includes key milestones, including any </w:t>
      </w:r>
      <w:r w:rsidR="008233CE">
        <w:rPr>
          <w:rFonts w:ascii="Arial" w:hAnsi="Arial" w:cs="Arial"/>
        </w:rPr>
        <w:t>vendor-related agreements</w:t>
      </w:r>
      <w:r w:rsidR="002B137E" w:rsidRPr="00D957F8">
        <w:rPr>
          <w:rFonts w:ascii="Arial" w:hAnsi="Arial" w:cs="Arial"/>
        </w:rPr>
        <w:t xml:space="preserve">, so that </w:t>
      </w:r>
      <w:r w:rsidR="0022412C" w:rsidRPr="00D957F8">
        <w:rPr>
          <w:rFonts w:ascii="Arial" w:hAnsi="Arial" w:cs="Arial"/>
        </w:rPr>
        <w:t>HHS</w:t>
      </w:r>
      <w:r w:rsidR="002B137E" w:rsidRPr="00D957F8">
        <w:rPr>
          <w:rFonts w:ascii="Arial" w:hAnsi="Arial" w:cs="Arial"/>
        </w:rPr>
        <w:t xml:space="preserve"> </w:t>
      </w:r>
      <w:r w:rsidR="00A172B8">
        <w:rPr>
          <w:rFonts w:ascii="Arial" w:hAnsi="Arial" w:cs="Arial"/>
        </w:rPr>
        <w:t>understands</w:t>
      </w:r>
      <w:r w:rsidR="002B137E" w:rsidRPr="00D957F8">
        <w:rPr>
          <w:rFonts w:ascii="Arial" w:hAnsi="Arial" w:cs="Arial"/>
        </w:rPr>
        <w:t xml:space="preserve"> the State’s expected ability to complete the </w:t>
      </w:r>
      <w:r w:rsidR="00D957F8">
        <w:rPr>
          <w:rFonts w:ascii="Arial" w:hAnsi="Arial" w:cs="Arial"/>
        </w:rPr>
        <w:t xml:space="preserve">activity </w:t>
      </w:r>
      <w:r w:rsidR="0098339A" w:rsidRPr="00D957F8">
        <w:rPr>
          <w:rFonts w:ascii="Arial" w:hAnsi="Arial" w:cs="Arial"/>
        </w:rPr>
        <w:t xml:space="preserve">by a </w:t>
      </w:r>
      <w:r w:rsidR="005F539A">
        <w:rPr>
          <w:rFonts w:ascii="Arial" w:hAnsi="Arial" w:cs="Arial"/>
        </w:rPr>
        <w:t>future date</w:t>
      </w:r>
      <w:r w:rsidR="002B137E" w:rsidRPr="00D957F8">
        <w:rPr>
          <w:rFonts w:ascii="Arial" w:hAnsi="Arial" w:cs="Arial"/>
        </w:rPr>
        <w:t>.  The State may choose to provide one comprehensive work plan that outlines all applicable activities</w:t>
      </w:r>
      <w:r w:rsidRPr="00D957F8">
        <w:rPr>
          <w:rFonts w:ascii="Arial" w:hAnsi="Arial" w:cs="Arial"/>
        </w:rPr>
        <w:t xml:space="preserve"> or a set of work plans that logically bundle </w:t>
      </w:r>
      <w:r w:rsidR="00D957F8">
        <w:rPr>
          <w:rFonts w:ascii="Arial" w:hAnsi="Arial" w:cs="Arial"/>
        </w:rPr>
        <w:t>activities</w:t>
      </w:r>
      <w:r w:rsidRPr="00D957F8">
        <w:rPr>
          <w:rFonts w:ascii="Arial" w:hAnsi="Arial" w:cs="Arial"/>
        </w:rPr>
        <w:t xml:space="preserve"> (e.g., a </w:t>
      </w:r>
      <w:r w:rsidR="00F80E9C" w:rsidRPr="00D957F8">
        <w:rPr>
          <w:rFonts w:ascii="Arial" w:hAnsi="Arial" w:cs="Arial"/>
        </w:rPr>
        <w:t>work plan</w:t>
      </w:r>
      <w:r w:rsidR="00C97F7D">
        <w:rPr>
          <w:rFonts w:ascii="Arial" w:hAnsi="Arial" w:cs="Arial"/>
        </w:rPr>
        <w:t xml:space="preserve"> for all Eligibility a</w:t>
      </w:r>
      <w:r w:rsidRPr="00D957F8">
        <w:rPr>
          <w:rFonts w:ascii="Arial" w:hAnsi="Arial" w:cs="Arial"/>
        </w:rPr>
        <w:t>ctivities).  H</w:t>
      </w:r>
      <w:r w:rsidR="002B137E" w:rsidRPr="00D957F8">
        <w:rPr>
          <w:rFonts w:ascii="Arial" w:hAnsi="Arial" w:cs="Arial"/>
        </w:rPr>
        <w:t>owever, the work plan</w:t>
      </w:r>
      <w:r w:rsidR="00A172B8">
        <w:rPr>
          <w:rFonts w:ascii="Arial" w:hAnsi="Arial" w:cs="Arial"/>
        </w:rPr>
        <w:t>(</w:t>
      </w:r>
      <w:r w:rsidRPr="00D957F8">
        <w:rPr>
          <w:rFonts w:ascii="Arial" w:hAnsi="Arial" w:cs="Arial"/>
        </w:rPr>
        <w:t>s</w:t>
      </w:r>
      <w:r w:rsidR="00A172B8">
        <w:rPr>
          <w:rFonts w:ascii="Arial" w:hAnsi="Arial" w:cs="Arial"/>
        </w:rPr>
        <w:t>)</w:t>
      </w:r>
      <w:r w:rsidR="002B137E" w:rsidRPr="00D957F8">
        <w:rPr>
          <w:rFonts w:ascii="Arial" w:hAnsi="Arial" w:cs="Arial"/>
        </w:rPr>
        <w:t xml:space="preserve"> </w:t>
      </w:r>
      <w:r w:rsidRPr="00D957F8">
        <w:rPr>
          <w:rFonts w:ascii="Arial" w:hAnsi="Arial" w:cs="Arial"/>
        </w:rPr>
        <w:t>must</w:t>
      </w:r>
      <w:r w:rsidR="002B137E" w:rsidRPr="00D957F8">
        <w:rPr>
          <w:rFonts w:ascii="Arial" w:hAnsi="Arial" w:cs="Arial"/>
        </w:rPr>
        <w:t xml:space="preserve"> clearly reference the </w:t>
      </w:r>
      <w:r w:rsidRPr="00D957F8">
        <w:rPr>
          <w:rFonts w:ascii="Arial" w:hAnsi="Arial" w:cs="Arial"/>
        </w:rPr>
        <w:t xml:space="preserve">specific </w:t>
      </w:r>
      <w:r w:rsidR="002B137E" w:rsidRPr="00D957F8">
        <w:rPr>
          <w:rFonts w:ascii="Arial" w:hAnsi="Arial" w:cs="Arial"/>
        </w:rPr>
        <w:t xml:space="preserve">activities required as part of the Exchange </w:t>
      </w:r>
      <w:r w:rsidR="00EE3BBF" w:rsidRPr="00D957F8">
        <w:rPr>
          <w:rFonts w:ascii="Arial" w:hAnsi="Arial" w:cs="Arial"/>
        </w:rPr>
        <w:t>Application</w:t>
      </w:r>
      <w:r w:rsidR="002B137E" w:rsidRPr="00D957F8">
        <w:rPr>
          <w:rFonts w:ascii="Arial" w:hAnsi="Arial" w:cs="Arial"/>
        </w:rPr>
        <w:t>.</w:t>
      </w:r>
    </w:p>
    <w:p w:rsidR="00552FD3" w:rsidRPr="00EE3BBF" w:rsidRDefault="00552FD3" w:rsidP="00A14363">
      <w:pPr>
        <w:pStyle w:val="Heading3"/>
      </w:pPr>
      <w:r>
        <w:t>Supporting Documentation</w:t>
      </w:r>
    </w:p>
    <w:p w:rsidR="002B137E" w:rsidRDefault="005F539A" w:rsidP="00EE3BBF">
      <w:pPr>
        <w:rPr>
          <w:rFonts w:ascii="Arial" w:hAnsi="Arial" w:cs="Arial"/>
        </w:rPr>
      </w:pPr>
      <w:r>
        <w:rPr>
          <w:rFonts w:ascii="Arial" w:hAnsi="Arial" w:cs="Arial"/>
        </w:rPr>
        <w:t>For some activities, supporting d</w:t>
      </w:r>
      <w:r w:rsidR="00C97CA5" w:rsidRPr="00EE3BBF">
        <w:rPr>
          <w:rFonts w:ascii="Arial" w:hAnsi="Arial" w:cs="Arial"/>
        </w:rPr>
        <w:t>ocume</w:t>
      </w:r>
      <w:r w:rsidR="00EE3BBF">
        <w:rPr>
          <w:rFonts w:ascii="Arial" w:hAnsi="Arial" w:cs="Arial"/>
        </w:rPr>
        <w:t xml:space="preserve">ntation </w:t>
      </w:r>
      <w:r>
        <w:rPr>
          <w:rFonts w:ascii="Arial" w:hAnsi="Arial" w:cs="Arial"/>
        </w:rPr>
        <w:t>is required</w:t>
      </w:r>
      <w:r w:rsidR="00775808">
        <w:rPr>
          <w:rFonts w:ascii="Arial" w:hAnsi="Arial" w:cs="Arial"/>
        </w:rPr>
        <w:t>.</w:t>
      </w:r>
      <w:r w:rsidR="00C97CA5" w:rsidRPr="00EE3BBF">
        <w:rPr>
          <w:rFonts w:ascii="Arial" w:hAnsi="Arial" w:cs="Arial"/>
        </w:rPr>
        <w:t xml:space="preserve">  S</w:t>
      </w:r>
      <w:r w:rsidR="002B137E" w:rsidRPr="00EE3BBF">
        <w:rPr>
          <w:rFonts w:ascii="Arial" w:hAnsi="Arial" w:cs="Arial"/>
        </w:rPr>
        <w:t>tate</w:t>
      </w:r>
      <w:r w:rsidR="00C97CA5" w:rsidRPr="00EE3BBF">
        <w:rPr>
          <w:rFonts w:ascii="Arial" w:hAnsi="Arial" w:cs="Arial"/>
        </w:rPr>
        <w:t>s</w:t>
      </w:r>
      <w:r w:rsidR="002B137E" w:rsidRPr="00EE3BBF">
        <w:rPr>
          <w:rFonts w:ascii="Arial" w:hAnsi="Arial" w:cs="Arial"/>
        </w:rPr>
        <w:t xml:space="preserve"> </w:t>
      </w:r>
      <w:r w:rsidR="00587F55" w:rsidRPr="00EE3BBF">
        <w:rPr>
          <w:rFonts w:ascii="Arial" w:hAnsi="Arial" w:cs="Arial"/>
        </w:rPr>
        <w:t>must</w:t>
      </w:r>
      <w:r w:rsidR="002B137E" w:rsidRPr="00EE3BBF">
        <w:rPr>
          <w:rFonts w:ascii="Arial" w:hAnsi="Arial" w:cs="Arial"/>
        </w:rPr>
        <w:t xml:space="preserve"> </w:t>
      </w:r>
      <w:r w:rsidR="00C97CA5" w:rsidRPr="00EE3BBF">
        <w:rPr>
          <w:rFonts w:ascii="Arial" w:hAnsi="Arial" w:cs="Arial"/>
        </w:rPr>
        <w:t xml:space="preserve">upload requested documentation associated with the Exchange </w:t>
      </w:r>
      <w:r w:rsidR="00515198">
        <w:rPr>
          <w:rFonts w:ascii="Arial" w:hAnsi="Arial" w:cs="Arial"/>
        </w:rPr>
        <w:t>a</w:t>
      </w:r>
      <w:r w:rsidR="00C97CA5" w:rsidRPr="00EE3BBF">
        <w:rPr>
          <w:rFonts w:ascii="Arial" w:hAnsi="Arial" w:cs="Arial"/>
        </w:rPr>
        <w:t>ctivity</w:t>
      </w:r>
      <w:r w:rsidR="002B137E" w:rsidRPr="00EE3BBF">
        <w:rPr>
          <w:rFonts w:ascii="Arial" w:hAnsi="Arial" w:cs="Arial"/>
        </w:rPr>
        <w:t>.  Alternatively a</w:t>
      </w:r>
      <w:r w:rsidR="00247694">
        <w:rPr>
          <w:rFonts w:ascii="Arial" w:hAnsi="Arial" w:cs="Arial"/>
        </w:rPr>
        <w:t xml:space="preserve"> State may submit a letter(s) from HHS confirming successful demonstration of the associated supporting document through the Establishment Review process</w:t>
      </w:r>
      <w:r w:rsidR="002B137E" w:rsidRPr="00EE3BBF">
        <w:rPr>
          <w:rFonts w:ascii="Arial" w:hAnsi="Arial" w:cs="Arial"/>
        </w:rPr>
        <w:t xml:space="preserve">.  In such cases, the State does not need to provide </w:t>
      </w:r>
      <w:r w:rsidR="00394945" w:rsidRPr="00EE3BBF">
        <w:rPr>
          <w:rFonts w:ascii="Arial" w:hAnsi="Arial" w:cs="Arial"/>
        </w:rPr>
        <w:t>documentation/descriptions</w:t>
      </w:r>
      <w:r w:rsidR="002B137E" w:rsidRPr="00EE3BBF">
        <w:rPr>
          <w:rFonts w:ascii="Arial" w:hAnsi="Arial" w:cs="Arial"/>
        </w:rPr>
        <w:t xml:space="preserve">, and </w:t>
      </w:r>
      <w:r w:rsidR="00370057" w:rsidRPr="00EE3BBF">
        <w:rPr>
          <w:rFonts w:ascii="Arial" w:hAnsi="Arial" w:cs="Arial"/>
        </w:rPr>
        <w:t>HHS</w:t>
      </w:r>
      <w:r w:rsidR="002B137E" w:rsidRPr="00EE3BBF">
        <w:rPr>
          <w:rFonts w:ascii="Arial" w:hAnsi="Arial" w:cs="Arial"/>
        </w:rPr>
        <w:t xml:space="preserve"> will confirm the State’s submitted documentation from the Establishment Review.</w:t>
      </w:r>
    </w:p>
    <w:p w:rsidR="00552FD3" w:rsidRPr="00EE3BBF" w:rsidRDefault="00552FD3" w:rsidP="00A14363">
      <w:pPr>
        <w:pStyle w:val="Heading3"/>
      </w:pPr>
      <w:r>
        <w:t>Testing Files</w:t>
      </w:r>
    </w:p>
    <w:p w:rsidR="00EE3BBF" w:rsidRDefault="00EE3BBF" w:rsidP="00EE3BBF">
      <w:pPr>
        <w:rPr>
          <w:rFonts w:ascii="Arial" w:hAnsi="Arial" w:cs="Arial"/>
        </w:rPr>
      </w:pPr>
      <w:r>
        <w:rPr>
          <w:rFonts w:ascii="Arial" w:hAnsi="Arial" w:cs="Arial"/>
        </w:rPr>
        <w:t>As part of a standard systems development process, States and their vendors will develop</w:t>
      </w:r>
      <w:r w:rsidR="00A172B8">
        <w:rPr>
          <w:rFonts w:ascii="Arial" w:hAnsi="Arial" w:cs="Arial"/>
        </w:rPr>
        <w:t xml:space="preserve"> and implement</w:t>
      </w:r>
      <w:r>
        <w:rPr>
          <w:rFonts w:ascii="Arial" w:hAnsi="Arial" w:cs="Arial"/>
        </w:rPr>
        <w:t xml:space="preserve"> testing and validation </w:t>
      </w:r>
      <w:r w:rsidR="00A172B8">
        <w:rPr>
          <w:rFonts w:ascii="Arial" w:hAnsi="Arial" w:cs="Arial"/>
        </w:rPr>
        <w:t>plans</w:t>
      </w:r>
      <w:r>
        <w:rPr>
          <w:rFonts w:ascii="Arial" w:hAnsi="Arial" w:cs="Arial"/>
        </w:rPr>
        <w:t xml:space="preserve">.  For some activities, the Application requires submission of these files.  </w:t>
      </w:r>
    </w:p>
    <w:p w:rsidR="00A322D9" w:rsidRPr="007E76AD" w:rsidRDefault="00EE3BBF" w:rsidP="00EE3BBF">
      <w:pPr>
        <w:rPr>
          <w:rFonts w:ascii="Arial" w:hAnsi="Arial" w:cs="Arial"/>
        </w:rPr>
      </w:pPr>
      <w:r>
        <w:rPr>
          <w:rFonts w:ascii="Arial" w:hAnsi="Arial" w:cs="Arial"/>
        </w:rPr>
        <w:t>Three different types of</w:t>
      </w:r>
      <w:r w:rsidR="00A322D9" w:rsidRPr="007E76AD">
        <w:rPr>
          <w:rFonts w:ascii="Arial" w:hAnsi="Arial" w:cs="Arial"/>
        </w:rPr>
        <w:t xml:space="preserve"> </w:t>
      </w:r>
      <w:r w:rsidR="004B2CA7" w:rsidRPr="007E76AD">
        <w:rPr>
          <w:rFonts w:ascii="Arial" w:hAnsi="Arial" w:cs="Arial"/>
        </w:rPr>
        <w:t xml:space="preserve">testing </w:t>
      </w:r>
      <w:r w:rsidR="00A322D9" w:rsidRPr="007E76AD">
        <w:rPr>
          <w:rFonts w:ascii="Arial" w:hAnsi="Arial" w:cs="Arial"/>
        </w:rPr>
        <w:t xml:space="preserve">files </w:t>
      </w:r>
      <w:r>
        <w:rPr>
          <w:rFonts w:ascii="Arial" w:hAnsi="Arial" w:cs="Arial"/>
        </w:rPr>
        <w:t>may be</w:t>
      </w:r>
      <w:r w:rsidR="00A322D9" w:rsidRPr="007E76AD">
        <w:rPr>
          <w:rFonts w:ascii="Arial" w:hAnsi="Arial" w:cs="Arial"/>
        </w:rPr>
        <w:t xml:space="preserve"> required:</w:t>
      </w:r>
    </w:p>
    <w:p w:rsidR="00A322D9" w:rsidRPr="000F6FF9" w:rsidRDefault="00A322D9" w:rsidP="00186316">
      <w:pPr>
        <w:pStyle w:val="ListParagraph"/>
        <w:numPr>
          <w:ilvl w:val="0"/>
          <w:numId w:val="2"/>
        </w:numPr>
        <w:rPr>
          <w:rFonts w:ascii="Arial" w:hAnsi="Arial" w:cs="Arial"/>
        </w:rPr>
      </w:pPr>
      <w:r w:rsidRPr="000F6FF9">
        <w:rPr>
          <w:rFonts w:ascii="Arial" w:hAnsi="Arial" w:cs="Arial"/>
          <w:b/>
        </w:rPr>
        <w:t>Summary of results of State-developed testing:</w:t>
      </w:r>
      <w:r w:rsidRPr="000F6FF9">
        <w:rPr>
          <w:rFonts w:ascii="Arial" w:hAnsi="Arial" w:cs="Arial"/>
        </w:rPr>
        <w:t xml:space="preserve"> These summaries should document State-defined and executed system testing, including details of Exchange </w:t>
      </w:r>
      <w:r w:rsidR="00C97F7D">
        <w:rPr>
          <w:rFonts w:ascii="Arial" w:hAnsi="Arial" w:cs="Arial"/>
        </w:rPr>
        <w:t>a</w:t>
      </w:r>
      <w:r w:rsidRPr="000F6FF9">
        <w:rPr>
          <w:rFonts w:ascii="Arial" w:hAnsi="Arial" w:cs="Arial"/>
        </w:rPr>
        <w:t xml:space="preserve">ctivities tested, the scope of testing activities conducted, and metrics detailing the results of that testing as it relates to each designated Exchange </w:t>
      </w:r>
      <w:r w:rsidR="00157180">
        <w:rPr>
          <w:rFonts w:ascii="Arial" w:hAnsi="Arial" w:cs="Arial"/>
        </w:rPr>
        <w:t>Application</w:t>
      </w:r>
      <w:r w:rsidRPr="000F6FF9">
        <w:rPr>
          <w:rFonts w:ascii="Arial" w:hAnsi="Arial" w:cs="Arial"/>
        </w:rPr>
        <w:t xml:space="preserve"> requirement.</w:t>
      </w:r>
    </w:p>
    <w:p w:rsidR="00A322D9" w:rsidRPr="000F6FF9" w:rsidRDefault="00A322D9" w:rsidP="00186316">
      <w:pPr>
        <w:pStyle w:val="ListParagraph"/>
        <w:numPr>
          <w:ilvl w:val="0"/>
          <w:numId w:val="2"/>
        </w:numPr>
        <w:rPr>
          <w:rFonts w:ascii="Arial" w:hAnsi="Arial" w:cs="Arial"/>
        </w:rPr>
      </w:pPr>
      <w:r w:rsidRPr="000F6FF9">
        <w:rPr>
          <w:rFonts w:ascii="Arial" w:hAnsi="Arial" w:cs="Arial"/>
          <w:b/>
        </w:rPr>
        <w:t xml:space="preserve">Results of State execution of </w:t>
      </w:r>
      <w:r>
        <w:rPr>
          <w:rFonts w:ascii="Arial" w:hAnsi="Arial" w:cs="Arial"/>
          <w:b/>
        </w:rPr>
        <w:t>HHS</w:t>
      </w:r>
      <w:r w:rsidRPr="000F6FF9">
        <w:rPr>
          <w:rFonts w:ascii="Arial" w:hAnsi="Arial" w:cs="Arial"/>
          <w:b/>
        </w:rPr>
        <w:t>-developed test scenarios:</w:t>
      </w:r>
      <w:r w:rsidRPr="000F6FF9">
        <w:rPr>
          <w:rFonts w:ascii="Arial" w:hAnsi="Arial" w:cs="Arial"/>
        </w:rPr>
        <w:t xml:space="preserve"> </w:t>
      </w:r>
      <w:r w:rsidR="00A172B8">
        <w:rPr>
          <w:rFonts w:ascii="Arial" w:hAnsi="Arial" w:cs="Arial"/>
        </w:rPr>
        <w:t>HHS, in collaboration with States, developed test scenarios to</w:t>
      </w:r>
      <w:r w:rsidRPr="000F6FF9">
        <w:rPr>
          <w:rFonts w:ascii="Arial" w:hAnsi="Arial" w:cs="Arial"/>
        </w:rPr>
        <w:t xml:space="preserve"> confirm implementation of those Exchange </w:t>
      </w:r>
      <w:r w:rsidR="00C97F7D">
        <w:rPr>
          <w:rFonts w:ascii="Arial" w:hAnsi="Arial" w:cs="Arial"/>
        </w:rPr>
        <w:t>a</w:t>
      </w:r>
      <w:r w:rsidRPr="000F6FF9">
        <w:rPr>
          <w:rFonts w:ascii="Arial" w:hAnsi="Arial" w:cs="Arial"/>
        </w:rPr>
        <w:t>ctivities that require standardization across all State Exchanges.  These scenarios will be released to a central Test Library on the Collaborative Application Lifecycle Tool (CALT)</w:t>
      </w:r>
      <w:r>
        <w:rPr>
          <w:rStyle w:val="FootnoteReference"/>
          <w:rFonts w:ascii="Arial" w:hAnsi="Arial" w:cs="Arial"/>
        </w:rPr>
        <w:footnoteReference w:id="7"/>
      </w:r>
      <w:r w:rsidRPr="000F6FF9">
        <w:rPr>
          <w:rFonts w:ascii="Arial" w:hAnsi="Arial" w:cs="Arial"/>
        </w:rPr>
        <w:t>.</w:t>
      </w:r>
      <w:r>
        <w:rPr>
          <w:rFonts w:ascii="Arial" w:hAnsi="Arial" w:cs="Arial"/>
        </w:rPr>
        <w:t xml:space="preserve">  For CALT login and password assistance, please send a request to </w:t>
      </w:r>
      <w:hyperlink r:id="rId18" w:history="1">
        <w:r w:rsidRPr="00AB1A17">
          <w:rPr>
            <w:rStyle w:val="Hyperlink"/>
            <w:rFonts w:ascii="Arial" w:hAnsi="Arial" w:cs="Arial"/>
          </w:rPr>
          <w:t>CALT_Support@cms.hhs.gov</w:t>
        </w:r>
      </w:hyperlink>
      <w:r>
        <w:rPr>
          <w:rFonts w:ascii="Arial" w:hAnsi="Arial" w:cs="Arial"/>
        </w:rPr>
        <w:t xml:space="preserve">. </w:t>
      </w:r>
    </w:p>
    <w:p w:rsidR="001D68CB" w:rsidRDefault="00A322D9" w:rsidP="00186316">
      <w:pPr>
        <w:pStyle w:val="ListParagraph"/>
        <w:numPr>
          <w:ilvl w:val="0"/>
          <w:numId w:val="2"/>
        </w:numPr>
        <w:rPr>
          <w:rFonts w:ascii="Arial" w:hAnsi="Arial" w:cs="Arial"/>
        </w:rPr>
      </w:pPr>
      <w:r w:rsidRPr="000F6FF9">
        <w:rPr>
          <w:rFonts w:ascii="Arial" w:hAnsi="Arial" w:cs="Arial"/>
          <w:b/>
        </w:rPr>
        <w:lastRenderedPageBreak/>
        <w:t xml:space="preserve">Summary of Independent Verification &amp; Validation (IV&amp;V) of applicable system components: </w:t>
      </w:r>
      <w:r w:rsidR="00A172B8">
        <w:rPr>
          <w:rFonts w:ascii="Arial" w:hAnsi="Arial" w:cs="Arial"/>
        </w:rPr>
        <w:t>A report</w:t>
      </w:r>
      <w:r w:rsidRPr="000F6FF9">
        <w:rPr>
          <w:rFonts w:ascii="Arial" w:hAnsi="Arial" w:cs="Arial"/>
        </w:rPr>
        <w:t xml:space="preserve"> by an independent third party </w:t>
      </w:r>
      <w:r w:rsidR="00A172B8">
        <w:rPr>
          <w:rFonts w:ascii="Arial" w:hAnsi="Arial" w:cs="Arial"/>
        </w:rPr>
        <w:t xml:space="preserve">which </w:t>
      </w:r>
      <w:r w:rsidRPr="000F6FF9">
        <w:rPr>
          <w:rFonts w:ascii="Arial" w:hAnsi="Arial" w:cs="Arial"/>
        </w:rPr>
        <w:t>provide</w:t>
      </w:r>
      <w:r w:rsidR="00A172B8">
        <w:rPr>
          <w:rFonts w:ascii="Arial" w:hAnsi="Arial" w:cs="Arial"/>
        </w:rPr>
        <w:t>s</w:t>
      </w:r>
      <w:r w:rsidRPr="000F6FF9">
        <w:rPr>
          <w:rFonts w:ascii="Arial" w:hAnsi="Arial" w:cs="Arial"/>
        </w:rPr>
        <w:t xml:space="preserve"> verification and validation that designated Exchange </w:t>
      </w:r>
      <w:r w:rsidR="00C97F7D">
        <w:rPr>
          <w:rFonts w:ascii="Arial" w:hAnsi="Arial" w:cs="Arial"/>
        </w:rPr>
        <w:t>a</w:t>
      </w:r>
      <w:r w:rsidRPr="000F6FF9">
        <w:rPr>
          <w:rFonts w:ascii="Arial" w:hAnsi="Arial" w:cs="Arial"/>
        </w:rPr>
        <w:t xml:space="preserve">ctivities are built and operating as designed and in compliance with documented requirements.   </w:t>
      </w:r>
    </w:p>
    <w:p w:rsidR="00C81B51" w:rsidRDefault="00C81B51" w:rsidP="00C81B51">
      <w:pPr>
        <w:pStyle w:val="ListParagraph"/>
        <w:ind w:left="360"/>
        <w:rPr>
          <w:rFonts w:ascii="Arial" w:hAnsi="Arial" w:cs="Arial"/>
          <w:b/>
        </w:rPr>
      </w:pPr>
    </w:p>
    <w:p w:rsidR="00C81B51" w:rsidRDefault="00C81B51" w:rsidP="00C81B51">
      <w:pPr>
        <w:pStyle w:val="ListParagraph"/>
        <w:ind w:left="360"/>
        <w:rPr>
          <w:rFonts w:ascii="Arial" w:hAnsi="Arial" w:cs="Arial"/>
        </w:rPr>
      </w:pPr>
    </w:p>
    <w:p w:rsidR="00552FD3" w:rsidRPr="00EE3BBF" w:rsidRDefault="00552FD3" w:rsidP="00A14363">
      <w:pPr>
        <w:pStyle w:val="Heading3"/>
      </w:pPr>
      <w:r>
        <w:t>Upload Relevant Files</w:t>
      </w:r>
    </w:p>
    <w:p w:rsidR="00800129" w:rsidRPr="00800129" w:rsidRDefault="00240327" w:rsidP="00800129">
      <w:pPr>
        <w:rPr>
          <w:rFonts w:ascii="Arial" w:hAnsi="Arial" w:cs="Arial"/>
        </w:rPr>
      </w:pPr>
      <w:r>
        <w:rPr>
          <w:rFonts w:ascii="Arial" w:hAnsi="Arial" w:cs="Arial"/>
        </w:rPr>
        <w:t>Files are requeste</w:t>
      </w:r>
      <w:r w:rsidR="0083700B">
        <w:rPr>
          <w:rFonts w:ascii="Arial" w:hAnsi="Arial" w:cs="Arial"/>
        </w:rPr>
        <w:t>d to be uploaded, as applicable.</w:t>
      </w:r>
      <w:r>
        <w:rPr>
          <w:rFonts w:ascii="Arial" w:hAnsi="Arial" w:cs="Arial"/>
        </w:rPr>
        <w:t xml:space="preserve"> </w:t>
      </w:r>
      <w:r w:rsidR="00800129" w:rsidRPr="00800129">
        <w:rPr>
          <w:rFonts w:ascii="Arial" w:hAnsi="Arial" w:cs="Arial"/>
        </w:rPr>
        <w:t xml:space="preserve">The files should be clearly labeled with the appropriate </w:t>
      </w:r>
      <w:r w:rsidR="008233CE">
        <w:rPr>
          <w:rFonts w:ascii="Arial" w:hAnsi="Arial" w:cs="Arial"/>
        </w:rPr>
        <w:t xml:space="preserve">activity or </w:t>
      </w:r>
      <w:r w:rsidR="000E52EE">
        <w:rPr>
          <w:rFonts w:ascii="Arial" w:hAnsi="Arial" w:cs="Arial"/>
        </w:rPr>
        <w:t>activities</w:t>
      </w:r>
      <w:r w:rsidR="00800129">
        <w:rPr>
          <w:rFonts w:ascii="Arial" w:hAnsi="Arial" w:cs="Arial"/>
        </w:rPr>
        <w:t>)</w:t>
      </w:r>
      <w:r w:rsidR="00800129" w:rsidRPr="00800129">
        <w:rPr>
          <w:rFonts w:ascii="Arial" w:hAnsi="Arial" w:cs="Arial"/>
        </w:rPr>
        <w:t>.</w:t>
      </w:r>
      <w:r w:rsidR="00800129">
        <w:rPr>
          <w:rFonts w:ascii="Arial" w:hAnsi="Arial" w:cs="Arial"/>
        </w:rPr>
        <w:t xml:space="preserve"> </w:t>
      </w:r>
      <w:r w:rsidR="00515198">
        <w:rPr>
          <w:rFonts w:ascii="Arial" w:hAnsi="Arial" w:cs="Arial"/>
        </w:rPr>
        <w:t xml:space="preserve"> </w:t>
      </w:r>
      <w:r w:rsidR="004E29BA">
        <w:rPr>
          <w:rFonts w:ascii="Arial" w:hAnsi="Arial" w:cs="Arial"/>
        </w:rPr>
        <w:t xml:space="preserve">Activities requiring additional documentation in the form of uploaded files are specifically identified in the Exchange Application.  </w:t>
      </w:r>
      <w:r w:rsidR="00515198">
        <w:rPr>
          <w:rFonts w:ascii="Arial" w:hAnsi="Arial" w:cs="Arial"/>
        </w:rPr>
        <w:t>Depending on the Exchange a</w:t>
      </w:r>
      <w:r w:rsidR="00800129" w:rsidRPr="00800129">
        <w:rPr>
          <w:rFonts w:ascii="Arial" w:hAnsi="Arial" w:cs="Arial"/>
        </w:rPr>
        <w:t xml:space="preserve">ctivity being tested, a given </w:t>
      </w:r>
      <w:r w:rsidR="00800129">
        <w:rPr>
          <w:rFonts w:ascii="Arial" w:hAnsi="Arial" w:cs="Arial"/>
        </w:rPr>
        <w:t xml:space="preserve">document or </w:t>
      </w:r>
      <w:r w:rsidR="00800129" w:rsidRPr="00800129">
        <w:rPr>
          <w:rFonts w:ascii="Arial" w:hAnsi="Arial" w:cs="Arial"/>
        </w:rPr>
        <w:t xml:space="preserve">file may encompass multiple activities.  In such cases, please note any file cross-referencing and clearly label the activities within the attachments.  States do not need to upload the same file multiple times.  Instead referencingwill allow </w:t>
      </w:r>
      <w:r w:rsidR="004E29BA">
        <w:rPr>
          <w:rFonts w:ascii="Arial" w:hAnsi="Arial" w:cs="Arial"/>
        </w:rPr>
        <w:t>HHS</w:t>
      </w:r>
      <w:r w:rsidR="00800129" w:rsidRPr="00800129">
        <w:rPr>
          <w:rFonts w:ascii="Arial" w:hAnsi="Arial" w:cs="Arial"/>
        </w:rPr>
        <w:t xml:space="preserve"> to identify files provided, as appropriate.</w:t>
      </w:r>
    </w:p>
    <w:p w:rsidR="00800129" w:rsidRPr="00B76E3F" w:rsidRDefault="00800129" w:rsidP="00186316">
      <w:pPr>
        <w:pStyle w:val="ListParagraph"/>
        <w:numPr>
          <w:ilvl w:val="0"/>
          <w:numId w:val="19"/>
        </w:numPr>
        <w:spacing w:after="0" w:line="240" w:lineRule="auto"/>
        <w:contextualSpacing w:val="0"/>
        <w:rPr>
          <w:rFonts w:ascii="Arial" w:hAnsi="Arial" w:cs="Arial"/>
        </w:rPr>
      </w:pPr>
      <w:r w:rsidRPr="00B76E3F">
        <w:rPr>
          <w:rFonts w:ascii="Arial" w:hAnsi="Arial" w:cs="Arial"/>
        </w:rPr>
        <w:t>Supporting Documentation</w:t>
      </w:r>
    </w:p>
    <w:p w:rsidR="00800129" w:rsidRPr="00B76E3F" w:rsidRDefault="00800129" w:rsidP="00186316">
      <w:pPr>
        <w:pStyle w:val="ListParagraph"/>
        <w:numPr>
          <w:ilvl w:val="0"/>
          <w:numId w:val="19"/>
        </w:numPr>
        <w:spacing w:after="0" w:line="240" w:lineRule="auto"/>
        <w:contextualSpacing w:val="0"/>
        <w:rPr>
          <w:rFonts w:ascii="Arial" w:hAnsi="Arial" w:cs="Arial"/>
        </w:rPr>
      </w:pPr>
      <w:r w:rsidRPr="00B76E3F">
        <w:rPr>
          <w:rFonts w:ascii="Arial" w:hAnsi="Arial" w:cs="Arial"/>
        </w:rPr>
        <w:t xml:space="preserve">Testing Files </w:t>
      </w:r>
    </w:p>
    <w:p w:rsidR="00800129" w:rsidRPr="00B76E3F" w:rsidRDefault="00800129" w:rsidP="00186316">
      <w:pPr>
        <w:pStyle w:val="ListParagraph"/>
        <w:numPr>
          <w:ilvl w:val="0"/>
          <w:numId w:val="19"/>
        </w:numPr>
        <w:spacing w:after="0" w:line="240" w:lineRule="auto"/>
        <w:contextualSpacing w:val="0"/>
        <w:rPr>
          <w:rFonts w:ascii="Arial" w:hAnsi="Arial" w:cs="Arial"/>
        </w:rPr>
      </w:pPr>
      <w:r w:rsidRPr="00B76E3F">
        <w:rPr>
          <w:rFonts w:ascii="Arial" w:hAnsi="Arial" w:cs="Arial"/>
        </w:rPr>
        <w:t xml:space="preserve">Letter(s) from </w:t>
      </w:r>
      <w:r>
        <w:rPr>
          <w:rFonts w:ascii="Arial" w:hAnsi="Arial" w:cs="Arial"/>
        </w:rPr>
        <w:t>HHS</w:t>
      </w:r>
      <w:r w:rsidRPr="00B76E3F">
        <w:rPr>
          <w:rFonts w:ascii="Arial" w:hAnsi="Arial" w:cs="Arial"/>
        </w:rPr>
        <w:t xml:space="preserve"> allowing an applicant to waive out of any requirements successful</w:t>
      </w:r>
      <w:r w:rsidR="004E0BD4">
        <w:rPr>
          <w:rFonts w:ascii="Arial" w:hAnsi="Arial" w:cs="Arial"/>
        </w:rPr>
        <w:t>ly</w:t>
      </w:r>
      <w:r w:rsidRPr="00B76E3F">
        <w:rPr>
          <w:rFonts w:ascii="Arial" w:hAnsi="Arial" w:cs="Arial"/>
        </w:rPr>
        <w:t xml:space="preserve"> complet</w:t>
      </w:r>
      <w:r w:rsidR="004E0BD4">
        <w:rPr>
          <w:rFonts w:ascii="Arial" w:hAnsi="Arial" w:cs="Arial"/>
        </w:rPr>
        <w:t>ed</w:t>
      </w:r>
      <w:r w:rsidRPr="00B76E3F">
        <w:rPr>
          <w:rFonts w:ascii="Arial" w:hAnsi="Arial" w:cs="Arial"/>
        </w:rPr>
        <w:t xml:space="preserve"> </w:t>
      </w:r>
      <w:r w:rsidR="004E0BD4">
        <w:rPr>
          <w:rFonts w:ascii="Arial" w:hAnsi="Arial" w:cs="Arial"/>
        </w:rPr>
        <w:t xml:space="preserve">in </w:t>
      </w:r>
      <w:r>
        <w:rPr>
          <w:rFonts w:ascii="Arial" w:hAnsi="Arial" w:cs="Arial"/>
        </w:rPr>
        <w:t>an Establishment Review(s)</w:t>
      </w:r>
    </w:p>
    <w:p w:rsidR="00753984" w:rsidRDefault="00800129" w:rsidP="00D957F8">
      <w:pPr>
        <w:pStyle w:val="ListParagraph"/>
        <w:numPr>
          <w:ilvl w:val="0"/>
          <w:numId w:val="19"/>
        </w:numPr>
        <w:spacing w:after="0" w:line="240" w:lineRule="auto"/>
        <w:contextualSpacing w:val="0"/>
        <w:rPr>
          <w:rFonts w:ascii="Arial" w:hAnsi="Arial" w:cs="Arial"/>
        </w:rPr>
      </w:pPr>
      <w:r>
        <w:rPr>
          <w:rFonts w:ascii="Arial" w:hAnsi="Arial" w:cs="Arial"/>
        </w:rPr>
        <w:t xml:space="preserve">Expected </w:t>
      </w:r>
      <w:r w:rsidR="00030A6E">
        <w:rPr>
          <w:rFonts w:ascii="Arial" w:hAnsi="Arial" w:cs="Arial"/>
        </w:rPr>
        <w:t>Completion</w:t>
      </w:r>
      <w:r>
        <w:rPr>
          <w:rFonts w:ascii="Arial" w:hAnsi="Arial" w:cs="Arial"/>
        </w:rPr>
        <w:t xml:space="preserve"> Work Plan</w:t>
      </w:r>
      <w:r w:rsidRPr="00B76E3F">
        <w:rPr>
          <w:rFonts w:ascii="Arial" w:hAnsi="Arial" w:cs="Arial"/>
        </w:rPr>
        <w:t xml:space="preserve"> </w:t>
      </w:r>
    </w:p>
    <w:p w:rsidR="00F576A8" w:rsidRPr="00F576A8" w:rsidRDefault="00F576A8" w:rsidP="00F576A8">
      <w:pPr>
        <w:pStyle w:val="ListParagraph"/>
        <w:spacing w:after="0" w:line="240" w:lineRule="auto"/>
        <w:contextualSpacing w:val="0"/>
        <w:rPr>
          <w:rFonts w:ascii="Arial" w:hAnsi="Arial" w:cs="Arial"/>
        </w:rPr>
      </w:pPr>
    </w:p>
    <w:p w:rsidR="007A2811" w:rsidRPr="008D24BE" w:rsidRDefault="008141CB" w:rsidP="00A14363">
      <w:pPr>
        <w:pStyle w:val="Heading2"/>
        <w:rPr>
          <w:b w:val="0"/>
        </w:rPr>
      </w:pPr>
      <w:r w:rsidRPr="008D24BE">
        <w:rPr>
          <w:b w:val="0"/>
        </w:rPr>
        <w:t>Operational Readiness Assessment and Additional Information Requests</w:t>
      </w:r>
    </w:p>
    <w:p w:rsidR="00FE0578" w:rsidRPr="00F855FE" w:rsidRDefault="00FE0578" w:rsidP="00A322D9">
      <w:pPr>
        <w:rPr>
          <w:rFonts w:ascii="Arial" w:hAnsi="Arial" w:cs="Arial"/>
        </w:rPr>
      </w:pPr>
      <w:r w:rsidRPr="00F855FE">
        <w:rPr>
          <w:rFonts w:ascii="Arial" w:hAnsi="Arial" w:cs="Arial"/>
        </w:rPr>
        <w:t>In addition to reviewing the completed Exchange Application, HHS may conduct on-site or virtual Exchange assessments as part of its verification of an Exchange’s Operational Readiness</w:t>
      </w:r>
      <w:r w:rsidR="00AA7E40" w:rsidRPr="00F855FE">
        <w:rPr>
          <w:rFonts w:ascii="Arial" w:hAnsi="Arial" w:cs="Arial"/>
        </w:rPr>
        <w:t xml:space="preserve">.  </w:t>
      </w:r>
      <w:r w:rsidRPr="00F855FE">
        <w:rPr>
          <w:rFonts w:ascii="Arial" w:hAnsi="Arial" w:cs="Arial"/>
          <w:bCs/>
        </w:rPr>
        <w:t>Operational Readiness</w:t>
      </w:r>
      <w:r w:rsidRPr="00F855FE">
        <w:rPr>
          <w:rFonts w:ascii="Arial" w:hAnsi="Arial" w:cs="Arial"/>
        </w:rPr>
        <w:t xml:space="preserve"> entails HHS’</w:t>
      </w:r>
      <w:r w:rsidR="00F54498" w:rsidRPr="00F855FE">
        <w:rPr>
          <w:rFonts w:ascii="Arial" w:hAnsi="Arial" w:cs="Arial"/>
        </w:rPr>
        <w:t xml:space="preserve"> and its Federal agency partners’</w:t>
      </w:r>
      <w:r w:rsidRPr="00F855FE">
        <w:rPr>
          <w:rFonts w:ascii="Arial" w:hAnsi="Arial" w:cs="Arial"/>
        </w:rPr>
        <w:t xml:space="preserve"> assessment to determine the capacity of an Exchange to conduct Exchange business.  </w:t>
      </w:r>
      <w:r w:rsidR="009C58A5" w:rsidRPr="00F855FE">
        <w:rPr>
          <w:rFonts w:ascii="Arial" w:hAnsi="Arial" w:cs="Arial"/>
        </w:rPr>
        <w:t>The objective</w:t>
      </w:r>
      <w:r w:rsidRPr="00F855FE">
        <w:rPr>
          <w:rFonts w:ascii="Arial" w:hAnsi="Arial" w:cs="Arial"/>
        </w:rPr>
        <w:t xml:space="preserve"> of the Operational Readiness </w:t>
      </w:r>
      <w:r w:rsidR="0077585C" w:rsidRPr="00F855FE">
        <w:rPr>
          <w:rFonts w:ascii="Arial" w:hAnsi="Arial" w:cs="Arial"/>
        </w:rPr>
        <w:t>assessment</w:t>
      </w:r>
      <w:r w:rsidRPr="00F855FE">
        <w:rPr>
          <w:rFonts w:ascii="Arial" w:hAnsi="Arial" w:cs="Arial"/>
        </w:rPr>
        <w:t xml:space="preserve"> is to assure that an Exchange’s policies, procedures, operations, technology, and </w:t>
      </w:r>
      <w:r w:rsidR="005523DE" w:rsidRPr="00F855FE">
        <w:rPr>
          <w:rFonts w:ascii="Arial" w:hAnsi="Arial" w:cs="Arial"/>
        </w:rPr>
        <w:t>other administrative capacities</w:t>
      </w:r>
      <w:r w:rsidRPr="00F855FE">
        <w:rPr>
          <w:rFonts w:ascii="Arial" w:hAnsi="Arial" w:cs="Arial"/>
        </w:rPr>
        <w:t xml:space="preserve"> have been implemented and scaled to meet the needs of the State’s Exchange population.  HHS will use the information in a State’s </w:t>
      </w:r>
      <w:r w:rsidR="00A172B8">
        <w:rPr>
          <w:rFonts w:ascii="Arial" w:hAnsi="Arial" w:cs="Arial"/>
        </w:rPr>
        <w:t xml:space="preserve">Exchange </w:t>
      </w:r>
      <w:r w:rsidR="005523DE" w:rsidRPr="00F855FE">
        <w:rPr>
          <w:rFonts w:ascii="Arial" w:hAnsi="Arial" w:cs="Arial"/>
        </w:rPr>
        <w:t>Application</w:t>
      </w:r>
      <w:r w:rsidRPr="00F855FE">
        <w:rPr>
          <w:rFonts w:ascii="Arial" w:hAnsi="Arial" w:cs="Arial"/>
        </w:rPr>
        <w:t>, including results from a State’s Testing Files, to determine the need for</w:t>
      </w:r>
      <w:r w:rsidR="00A172B8">
        <w:rPr>
          <w:rFonts w:ascii="Arial" w:hAnsi="Arial" w:cs="Arial"/>
        </w:rPr>
        <w:t>,</w:t>
      </w:r>
      <w:r w:rsidRPr="00F855FE">
        <w:rPr>
          <w:rFonts w:ascii="Arial" w:hAnsi="Arial" w:cs="Arial"/>
        </w:rPr>
        <w:t xml:space="preserve"> and timing of</w:t>
      </w:r>
      <w:r w:rsidR="00A172B8">
        <w:rPr>
          <w:rFonts w:ascii="Arial" w:hAnsi="Arial" w:cs="Arial"/>
        </w:rPr>
        <w:t>,</w:t>
      </w:r>
      <w:r w:rsidRPr="00F855FE">
        <w:rPr>
          <w:rFonts w:ascii="Arial" w:hAnsi="Arial" w:cs="Arial"/>
        </w:rPr>
        <w:t xml:space="preserve"> an on-site or virtual Operational Readiness assessment. </w:t>
      </w:r>
    </w:p>
    <w:p w:rsidR="0087047A" w:rsidRPr="00F855FE" w:rsidRDefault="00FE0578" w:rsidP="00A322D9">
      <w:pPr>
        <w:rPr>
          <w:rFonts w:ascii="Arial" w:hAnsi="Arial" w:cs="Arial"/>
        </w:rPr>
      </w:pPr>
      <w:r w:rsidRPr="00F855FE">
        <w:rPr>
          <w:rFonts w:ascii="Arial" w:hAnsi="Arial" w:cs="Arial"/>
        </w:rPr>
        <w:t xml:space="preserve">In addition, the State may be asked to provide </w:t>
      </w:r>
      <w:r w:rsidR="00F54498" w:rsidRPr="00F855FE">
        <w:rPr>
          <w:rFonts w:ascii="Arial" w:hAnsi="Arial" w:cs="Arial"/>
        </w:rPr>
        <w:t>supplemental</w:t>
      </w:r>
      <w:r w:rsidRPr="00F855FE">
        <w:rPr>
          <w:rFonts w:ascii="Arial" w:hAnsi="Arial" w:cs="Arial"/>
        </w:rPr>
        <w:t xml:space="preserve"> information after the Application has been submitted, as determined necessary by HHS</w:t>
      </w:r>
      <w:r w:rsidR="00F54498" w:rsidRPr="00F855FE">
        <w:rPr>
          <w:rFonts w:ascii="Arial" w:hAnsi="Arial" w:cs="Arial"/>
        </w:rPr>
        <w:t xml:space="preserve"> and its Federal agency partners.</w:t>
      </w:r>
    </w:p>
    <w:p w:rsidR="00C41D25" w:rsidRPr="008D24BE" w:rsidRDefault="008141CB" w:rsidP="00A14363">
      <w:pPr>
        <w:pStyle w:val="Heading2"/>
        <w:rPr>
          <w:b w:val="0"/>
        </w:rPr>
      </w:pPr>
      <w:r w:rsidRPr="008D24BE">
        <w:rPr>
          <w:b w:val="0"/>
        </w:rPr>
        <w:t>Public Transparency</w:t>
      </w:r>
    </w:p>
    <w:p w:rsidR="006602BA" w:rsidRPr="00F855FE" w:rsidRDefault="006602BA" w:rsidP="006602BA">
      <w:pPr>
        <w:rPr>
          <w:rFonts w:ascii="Arial" w:hAnsi="Arial" w:cs="Arial"/>
        </w:rPr>
      </w:pPr>
      <w:r w:rsidRPr="00F855FE">
        <w:rPr>
          <w:rFonts w:ascii="Arial" w:hAnsi="Arial" w:cs="Arial"/>
        </w:rPr>
        <w:t xml:space="preserve">The Affordable Care Act envisions a significant role for consumers and other stakeholders in the design, implementation and on-going operations of Exchanges.  </w:t>
      </w:r>
      <w:r w:rsidR="00062419">
        <w:rPr>
          <w:rFonts w:ascii="Arial" w:hAnsi="Arial" w:cs="Arial"/>
        </w:rPr>
        <w:t>For example</w:t>
      </w:r>
      <w:r w:rsidRPr="00F855FE">
        <w:rPr>
          <w:rFonts w:ascii="Arial" w:hAnsi="Arial" w:cs="Arial"/>
        </w:rPr>
        <w:t>, an Exchange that is an independent State agency or a non-profit established by a State will include consum</w:t>
      </w:r>
      <w:r w:rsidR="0087047A" w:rsidRPr="00F855FE">
        <w:rPr>
          <w:rFonts w:ascii="Arial" w:hAnsi="Arial" w:cs="Arial"/>
        </w:rPr>
        <w:t>er representatives on its board and</w:t>
      </w:r>
      <w:r w:rsidRPr="00F855FE">
        <w:rPr>
          <w:rFonts w:ascii="Arial" w:hAnsi="Arial" w:cs="Arial"/>
        </w:rPr>
        <w:t xml:space="preserve"> hold regular public governing board meetings</w:t>
      </w:r>
      <w:r w:rsidR="0087047A" w:rsidRPr="00F855FE">
        <w:rPr>
          <w:rFonts w:ascii="Arial" w:hAnsi="Arial" w:cs="Arial"/>
        </w:rPr>
        <w:t>.</w:t>
      </w:r>
      <w:r w:rsidRPr="00F855FE">
        <w:rPr>
          <w:rFonts w:ascii="Arial" w:hAnsi="Arial" w:cs="Arial"/>
        </w:rPr>
        <w:t xml:space="preserve"> </w:t>
      </w:r>
      <w:r w:rsidR="0087047A" w:rsidRPr="00F855FE">
        <w:rPr>
          <w:rFonts w:ascii="Arial" w:hAnsi="Arial" w:cs="Arial"/>
        </w:rPr>
        <w:t>I</w:t>
      </w:r>
      <w:r w:rsidRPr="00F855FE">
        <w:rPr>
          <w:rFonts w:ascii="Arial" w:hAnsi="Arial" w:cs="Arial"/>
        </w:rPr>
        <w:t>n addition, Exchanges will develop and implement a comprehensive stakeholder engagement plan that includes meaningful engagements with consumers, advocates, employers, and members of Federally-recognized Tribes (where applicable).</w:t>
      </w:r>
    </w:p>
    <w:p w:rsidR="00C41D25" w:rsidRPr="00F855FE" w:rsidRDefault="00C41D25" w:rsidP="00C41D25">
      <w:pPr>
        <w:rPr>
          <w:rFonts w:ascii="Arial" w:hAnsi="Arial" w:cs="Arial"/>
        </w:rPr>
      </w:pPr>
      <w:r w:rsidRPr="00F855FE">
        <w:rPr>
          <w:rFonts w:ascii="Arial" w:hAnsi="Arial" w:cs="Arial"/>
        </w:rPr>
        <w:lastRenderedPageBreak/>
        <w:t>In that spirit</w:t>
      </w:r>
      <w:r w:rsidR="006E53A0" w:rsidRPr="00F855FE">
        <w:rPr>
          <w:rFonts w:ascii="Arial" w:hAnsi="Arial" w:cs="Arial"/>
        </w:rPr>
        <w:t>,</w:t>
      </w:r>
      <w:r w:rsidR="003367C2" w:rsidRPr="00F855FE">
        <w:rPr>
          <w:rFonts w:ascii="Arial" w:hAnsi="Arial" w:cs="Arial"/>
        </w:rPr>
        <w:t xml:space="preserve"> as part of a State’s Approval or Conditional Approval </w:t>
      </w:r>
      <w:r w:rsidR="00062419">
        <w:rPr>
          <w:rFonts w:ascii="Arial" w:hAnsi="Arial" w:cs="Arial"/>
        </w:rPr>
        <w:t>decision</w:t>
      </w:r>
      <w:r w:rsidR="003367C2" w:rsidRPr="00F855FE">
        <w:rPr>
          <w:rFonts w:ascii="Arial" w:hAnsi="Arial" w:cs="Arial"/>
        </w:rPr>
        <w:t xml:space="preserve">, States should post </w:t>
      </w:r>
      <w:r w:rsidRPr="00F855FE">
        <w:rPr>
          <w:rFonts w:ascii="Arial" w:hAnsi="Arial" w:cs="Arial"/>
        </w:rPr>
        <w:t xml:space="preserve">the following sections </w:t>
      </w:r>
      <w:r w:rsidR="00F54498" w:rsidRPr="00F855FE">
        <w:rPr>
          <w:rFonts w:ascii="Arial" w:hAnsi="Arial" w:cs="Arial"/>
        </w:rPr>
        <w:t xml:space="preserve">(excluding test data) </w:t>
      </w:r>
      <w:r w:rsidRPr="00F855FE">
        <w:rPr>
          <w:rFonts w:ascii="Arial" w:hAnsi="Arial" w:cs="Arial"/>
        </w:rPr>
        <w:t xml:space="preserve">of a State’s Exchange </w:t>
      </w:r>
      <w:r w:rsidR="00157180" w:rsidRPr="00F855FE">
        <w:rPr>
          <w:rFonts w:ascii="Arial" w:hAnsi="Arial" w:cs="Arial"/>
        </w:rPr>
        <w:t>Application</w:t>
      </w:r>
      <w:r w:rsidRPr="00F855FE">
        <w:rPr>
          <w:rFonts w:ascii="Arial" w:hAnsi="Arial" w:cs="Arial"/>
        </w:rPr>
        <w:t xml:space="preserve"> on the </w:t>
      </w:r>
      <w:r w:rsidR="003367C2" w:rsidRPr="00F855FE">
        <w:rPr>
          <w:rFonts w:ascii="Arial" w:hAnsi="Arial" w:cs="Arial"/>
        </w:rPr>
        <w:t xml:space="preserve">appropriate State </w:t>
      </w:r>
      <w:r w:rsidRPr="00F855FE">
        <w:rPr>
          <w:rFonts w:ascii="Arial" w:hAnsi="Arial" w:cs="Arial"/>
        </w:rPr>
        <w:t>website withi</w:t>
      </w:r>
      <w:r w:rsidR="006E53A0" w:rsidRPr="00F855FE">
        <w:rPr>
          <w:rFonts w:ascii="Arial" w:hAnsi="Arial" w:cs="Arial"/>
        </w:rPr>
        <w:t>n ten (10) business days of an Approval or Conditional A</w:t>
      </w:r>
      <w:r w:rsidRPr="00F855FE">
        <w:rPr>
          <w:rFonts w:ascii="Arial" w:hAnsi="Arial" w:cs="Arial"/>
        </w:rPr>
        <w:t xml:space="preserve">pproval decision: </w:t>
      </w:r>
    </w:p>
    <w:p w:rsidR="00C41D25" w:rsidRPr="00F855FE" w:rsidRDefault="00C41D25" w:rsidP="00186316">
      <w:pPr>
        <w:pStyle w:val="ListParagraph"/>
        <w:numPr>
          <w:ilvl w:val="0"/>
          <w:numId w:val="15"/>
        </w:numPr>
        <w:spacing w:after="0" w:line="240" w:lineRule="auto"/>
        <w:contextualSpacing w:val="0"/>
        <w:rPr>
          <w:rFonts w:ascii="Arial" w:hAnsi="Arial" w:cs="Arial"/>
        </w:rPr>
      </w:pPr>
      <w:r w:rsidRPr="00F855FE">
        <w:rPr>
          <w:rFonts w:ascii="Arial" w:hAnsi="Arial" w:cs="Arial"/>
        </w:rPr>
        <w:t>Section 1.2: Exchange</w:t>
      </w:r>
      <w:r w:rsidR="00F846EC" w:rsidRPr="00F855FE">
        <w:rPr>
          <w:rFonts w:ascii="Arial" w:hAnsi="Arial" w:cs="Arial"/>
        </w:rPr>
        <w:t xml:space="preserve"> board and g</w:t>
      </w:r>
      <w:r w:rsidR="006E53A0" w:rsidRPr="00F855FE">
        <w:rPr>
          <w:rFonts w:ascii="Arial" w:hAnsi="Arial" w:cs="Arial"/>
        </w:rPr>
        <w:t xml:space="preserve">overnance </w:t>
      </w:r>
      <w:r w:rsidR="00F846EC" w:rsidRPr="00F855FE">
        <w:rPr>
          <w:rFonts w:ascii="Arial" w:hAnsi="Arial" w:cs="Arial"/>
        </w:rPr>
        <w:t>s</w:t>
      </w:r>
      <w:r w:rsidR="006E53A0" w:rsidRPr="00F855FE">
        <w:rPr>
          <w:rFonts w:ascii="Arial" w:hAnsi="Arial" w:cs="Arial"/>
        </w:rPr>
        <w:t>tructure</w:t>
      </w:r>
      <w:r w:rsidRPr="00F855FE">
        <w:rPr>
          <w:rFonts w:ascii="Arial" w:hAnsi="Arial" w:cs="Arial"/>
        </w:rPr>
        <w:t xml:space="preserve"> </w:t>
      </w:r>
    </w:p>
    <w:p w:rsidR="006E53A0" w:rsidRPr="00F855FE" w:rsidRDefault="00C41D25" w:rsidP="00186316">
      <w:pPr>
        <w:pStyle w:val="ListParagraph"/>
        <w:numPr>
          <w:ilvl w:val="0"/>
          <w:numId w:val="15"/>
        </w:numPr>
        <w:spacing w:after="0" w:line="240" w:lineRule="auto"/>
        <w:contextualSpacing w:val="0"/>
        <w:rPr>
          <w:rFonts w:ascii="Arial" w:hAnsi="Arial" w:cs="Arial"/>
        </w:rPr>
      </w:pPr>
      <w:r w:rsidRPr="00F855FE">
        <w:rPr>
          <w:rFonts w:ascii="Arial" w:hAnsi="Arial" w:cs="Arial"/>
        </w:rPr>
        <w:t>Section 2.1:</w:t>
      </w:r>
      <w:r w:rsidR="00F846EC" w:rsidRPr="00F855FE">
        <w:rPr>
          <w:rFonts w:ascii="Arial" w:hAnsi="Arial" w:cs="Arial"/>
        </w:rPr>
        <w:t xml:space="preserve"> Stakeholder consultation p</w:t>
      </w:r>
      <w:r w:rsidR="006E53A0" w:rsidRPr="00F855FE">
        <w:rPr>
          <w:rFonts w:ascii="Arial" w:hAnsi="Arial" w:cs="Arial"/>
        </w:rPr>
        <w:t>lan</w:t>
      </w:r>
    </w:p>
    <w:p w:rsidR="006E53A0" w:rsidRPr="00F855FE" w:rsidRDefault="00C41D25" w:rsidP="00186316">
      <w:pPr>
        <w:pStyle w:val="ListParagraph"/>
        <w:numPr>
          <w:ilvl w:val="0"/>
          <w:numId w:val="15"/>
        </w:numPr>
        <w:spacing w:after="0" w:line="240" w:lineRule="auto"/>
        <w:contextualSpacing w:val="0"/>
        <w:rPr>
          <w:rFonts w:ascii="Arial" w:hAnsi="Arial" w:cs="Arial"/>
        </w:rPr>
      </w:pPr>
      <w:r w:rsidRPr="00F855FE">
        <w:rPr>
          <w:rFonts w:ascii="Arial" w:hAnsi="Arial" w:cs="Arial"/>
        </w:rPr>
        <w:t>Section 2</w:t>
      </w:r>
      <w:r w:rsidR="006E53A0" w:rsidRPr="00F855FE">
        <w:rPr>
          <w:rFonts w:ascii="Arial" w:hAnsi="Arial" w:cs="Arial"/>
        </w:rPr>
        <w:t>.2: Tribal consultation policy</w:t>
      </w:r>
    </w:p>
    <w:p w:rsidR="006E53A0" w:rsidRDefault="00C41D25" w:rsidP="00186316">
      <w:pPr>
        <w:pStyle w:val="ListParagraph"/>
        <w:numPr>
          <w:ilvl w:val="0"/>
          <w:numId w:val="15"/>
        </w:numPr>
        <w:spacing w:after="0" w:line="240" w:lineRule="auto"/>
        <w:contextualSpacing w:val="0"/>
        <w:rPr>
          <w:rFonts w:ascii="Arial" w:hAnsi="Arial" w:cs="Arial"/>
        </w:rPr>
      </w:pPr>
      <w:r w:rsidRPr="00C41D25">
        <w:rPr>
          <w:rFonts w:ascii="Arial" w:hAnsi="Arial" w:cs="Arial"/>
        </w:rPr>
        <w:t>Section 2</w:t>
      </w:r>
      <w:r w:rsidR="006E53A0">
        <w:rPr>
          <w:rFonts w:ascii="Arial" w:hAnsi="Arial" w:cs="Arial"/>
        </w:rPr>
        <w:t>.3</w:t>
      </w:r>
      <w:r w:rsidR="009F31FF">
        <w:rPr>
          <w:rFonts w:ascii="Arial" w:hAnsi="Arial" w:cs="Arial"/>
        </w:rPr>
        <w:t xml:space="preserve">: </w:t>
      </w:r>
      <w:r w:rsidR="006E53A0">
        <w:rPr>
          <w:rFonts w:ascii="Arial" w:hAnsi="Arial" w:cs="Arial"/>
        </w:rPr>
        <w:t>Outreach and education plan</w:t>
      </w:r>
    </w:p>
    <w:p w:rsidR="006E53A0" w:rsidRDefault="00323211" w:rsidP="00186316">
      <w:pPr>
        <w:pStyle w:val="ListParagraph"/>
        <w:numPr>
          <w:ilvl w:val="0"/>
          <w:numId w:val="15"/>
        </w:numPr>
        <w:spacing w:after="0" w:line="240" w:lineRule="auto"/>
        <w:contextualSpacing w:val="0"/>
        <w:rPr>
          <w:rFonts w:ascii="Arial" w:hAnsi="Arial" w:cs="Arial"/>
        </w:rPr>
      </w:pPr>
      <w:r>
        <w:rPr>
          <w:rFonts w:ascii="Arial" w:hAnsi="Arial" w:cs="Arial"/>
        </w:rPr>
        <w:t>Section 2.6</w:t>
      </w:r>
      <w:r w:rsidR="006E53A0">
        <w:rPr>
          <w:rFonts w:ascii="Arial" w:hAnsi="Arial" w:cs="Arial"/>
        </w:rPr>
        <w:t>: Navigators</w:t>
      </w:r>
    </w:p>
    <w:p w:rsidR="008B687E" w:rsidRPr="008B687E" w:rsidRDefault="008B687E" w:rsidP="008B687E">
      <w:pPr>
        <w:pStyle w:val="ListParagraph"/>
        <w:numPr>
          <w:ilvl w:val="0"/>
          <w:numId w:val="15"/>
        </w:numPr>
        <w:spacing w:after="0" w:line="240" w:lineRule="auto"/>
        <w:contextualSpacing w:val="0"/>
        <w:rPr>
          <w:rFonts w:ascii="Arial" w:hAnsi="Arial" w:cs="Arial"/>
        </w:rPr>
      </w:pPr>
      <w:r>
        <w:rPr>
          <w:rFonts w:ascii="Arial" w:hAnsi="Arial" w:cs="Arial"/>
        </w:rPr>
        <w:t>Section 2.7: Role of in-person assistance programs</w:t>
      </w:r>
    </w:p>
    <w:p w:rsidR="008B687E" w:rsidRPr="008B687E" w:rsidRDefault="00C41D25" w:rsidP="008B687E">
      <w:pPr>
        <w:pStyle w:val="ListParagraph"/>
        <w:numPr>
          <w:ilvl w:val="0"/>
          <w:numId w:val="15"/>
        </w:numPr>
        <w:spacing w:after="0" w:line="240" w:lineRule="auto"/>
        <w:contextualSpacing w:val="0"/>
        <w:rPr>
          <w:rFonts w:ascii="Arial" w:hAnsi="Arial" w:cs="Arial"/>
        </w:rPr>
      </w:pPr>
      <w:r w:rsidRPr="00C41D25">
        <w:rPr>
          <w:rFonts w:ascii="Arial" w:hAnsi="Arial" w:cs="Arial"/>
        </w:rPr>
        <w:t xml:space="preserve">Section </w:t>
      </w:r>
      <w:r w:rsidR="008B687E">
        <w:rPr>
          <w:rFonts w:ascii="Arial" w:hAnsi="Arial" w:cs="Arial"/>
        </w:rPr>
        <w:t>2.8</w:t>
      </w:r>
      <w:r w:rsidR="009F31FF">
        <w:rPr>
          <w:rFonts w:ascii="Arial" w:hAnsi="Arial" w:cs="Arial"/>
        </w:rPr>
        <w:t xml:space="preserve">: </w:t>
      </w:r>
      <w:r w:rsidR="00F846EC">
        <w:rPr>
          <w:rFonts w:ascii="Arial" w:hAnsi="Arial" w:cs="Arial"/>
        </w:rPr>
        <w:t>Role of agents and b</w:t>
      </w:r>
      <w:r w:rsidR="006E53A0">
        <w:rPr>
          <w:rFonts w:ascii="Arial" w:hAnsi="Arial" w:cs="Arial"/>
        </w:rPr>
        <w:t>rokers</w:t>
      </w:r>
    </w:p>
    <w:p w:rsidR="00C41D25" w:rsidRDefault="008B687E" w:rsidP="00186316">
      <w:pPr>
        <w:pStyle w:val="ListParagraph"/>
        <w:numPr>
          <w:ilvl w:val="0"/>
          <w:numId w:val="15"/>
        </w:numPr>
        <w:spacing w:after="0" w:line="240" w:lineRule="auto"/>
        <w:contextualSpacing w:val="0"/>
        <w:rPr>
          <w:rFonts w:ascii="Arial" w:hAnsi="Arial" w:cs="Arial"/>
        </w:rPr>
      </w:pPr>
      <w:r>
        <w:rPr>
          <w:rFonts w:ascii="Arial" w:hAnsi="Arial" w:cs="Arial"/>
        </w:rPr>
        <w:t>Section 2.9</w:t>
      </w:r>
      <w:r w:rsidR="00C41D25" w:rsidRPr="00C41D25">
        <w:rPr>
          <w:rFonts w:ascii="Arial" w:hAnsi="Arial" w:cs="Arial"/>
        </w:rPr>
        <w:t xml:space="preserve">: Role of web agents and brokers </w:t>
      </w:r>
    </w:p>
    <w:p w:rsidR="00C41D25" w:rsidRPr="00C41D25" w:rsidRDefault="00C41D25" w:rsidP="00186316">
      <w:pPr>
        <w:pStyle w:val="ListParagraph"/>
        <w:numPr>
          <w:ilvl w:val="0"/>
          <w:numId w:val="15"/>
        </w:numPr>
        <w:spacing w:after="0" w:line="240" w:lineRule="auto"/>
        <w:contextualSpacing w:val="0"/>
        <w:rPr>
          <w:rFonts w:ascii="Arial" w:hAnsi="Arial" w:cs="Arial"/>
        </w:rPr>
      </w:pPr>
      <w:r w:rsidRPr="00C41D25">
        <w:rPr>
          <w:rFonts w:ascii="Arial" w:hAnsi="Arial" w:cs="Arial"/>
        </w:rPr>
        <w:t>Section 3.1: State-developed single-streamlined application (if applicable)</w:t>
      </w:r>
    </w:p>
    <w:p w:rsidR="00C41D25" w:rsidRPr="00C41D25" w:rsidRDefault="00C41D25" w:rsidP="00186316">
      <w:pPr>
        <w:pStyle w:val="ListParagraph"/>
        <w:numPr>
          <w:ilvl w:val="0"/>
          <w:numId w:val="15"/>
        </w:numPr>
        <w:spacing w:after="0" w:line="240" w:lineRule="auto"/>
        <w:contextualSpacing w:val="0"/>
        <w:rPr>
          <w:rFonts w:ascii="Arial" w:hAnsi="Arial" w:cs="Arial"/>
        </w:rPr>
      </w:pPr>
      <w:r w:rsidRPr="00C41D25">
        <w:rPr>
          <w:rFonts w:ascii="Arial" w:hAnsi="Arial" w:cs="Arial"/>
        </w:rPr>
        <w:t>Section 3.2: Coordination strategy</w:t>
      </w:r>
    </w:p>
    <w:p w:rsidR="00C41D25" w:rsidRPr="00E2093B" w:rsidRDefault="00C41D25" w:rsidP="00E6260E">
      <w:pPr>
        <w:pStyle w:val="ListParagraph"/>
        <w:numPr>
          <w:ilvl w:val="0"/>
          <w:numId w:val="15"/>
        </w:numPr>
        <w:spacing w:after="0" w:line="240" w:lineRule="auto"/>
        <w:contextualSpacing w:val="0"/>
        <w:rPr>
          <w:rFonts w:ascii="Arial" w:hAnsi="Arial" w:cs="Arial"/>
        </w:rPr>
      </w:pPr>
      <w:r w:rsidRPr="00E2093B">
        <w:rPr>
          <w:rFonts w:ascii="Arial" w:hAnsi="Arial" w:cs="Arial"/>
        </w:rPr>
        <w:t>Section 3.1</w:t>
      </w:r>
      <w:r w:rsidR="00800129" w:rsidRPr="00E6260E">
        <w:rPr>
          <w:rFonts w:ascii="Arial" w:hAnsi="Arial" w:cs="Arial"/>
        </w:rPr>
        <w:t>4</w:t>
      </w:r>
      <w:r w:rsidR="009F31FF" w:rsidRPr="00E2093B">
        <w:rPr>
          <w:rFonts w:ascii="Arial" w:hAnsi="Arial" w:cs="Arial"/>
        </w:rPr>
        <w:t xml:space="preserve">: </w:t>
      </w:r>
      <w:r w:rsidR="00E2093B" w:rsidRPr="00E2093B">
        <w:rPr>
          <w:rFonts w:ascii="Arial" w:hAnsi="Arial" w:cs="Arial"/>
        </w:rPr>
        <w:t xml:space="preserve">PCIP transition </w:t>
      </w:r>
      <w:r w:rsidRPr="00E2093B">
        <w:rPr>
          <w:rFonts w:ascii="Arial" w:hAnsi="Arial" w:cs="Arial"/>
        </w:rPr>
        <w:t>Section 4.4: Integration between Exchange and other State entities with respect to QHP issuer oversight</w:t>
      </w:r>
    </w:p>
    <w:p w:rsidR="00C41D25" w:rsidRPr="00C41D25" w:rsidRDefault="00C41D25" w:rsidP="00186316">
      <w:pPr>
        <w:pStyle w:val="ListParagraph"/>
        <w:numPr>
          <w:ilvl w:val="0"/>
          <w:numId w:val="15"/>
        </w:numPr>
        <w:spacing w:after="0" w:line="240" w:lineRule="auto"/>
        <w:contextualSpacing w:val="0"/>
        <w:rPr>
          <w:rFonts w:ascii="Arial" w:hAnsi="Arial" w:cs="Arial"/>
        </w:rPr>
      </w:pPr>
      <w:r w:rsidRPr="00C41D25">
        <w:rPr>
          <w:rFonts w:ascii="Arial" w:hAnsi="Arial" w:cs="Arial"/>
        </w:rPr>
        <w:t>Section 8.1:  Long-term operational cost plan</w:t>
      </w:r>
    </w:p>
    <w:p w:rsidR="006602BA" w:rsidRPr="000A3057" w:rsidRDefault="00C41D25" w:rsidP="006602BA">
      <w:pPr>
        <w:rPr>
          <w:rFonts w:ascii="Arial" w:hAnsi="Arial" w:cs="Arial"/>
        </w:rPr>
      </w:pPr>
      <w:r w:rsidRPr="00C41D25">
        <w:rPr>
          <w:rFonts w:ascii="Arial" w:hAnsi="Arial" w:cs="Arial"/>
        </w:rPr>
        <w:br/>
      </w:r>
      <w:r w:rsidR="006602BA" w:rsidRPr="00C41D25">
        <w:rPr>
          <w:rFonts w:ascii="Arial" w:hAnsi="Arial" w:cs="Arial"/>
        </w:rPr>
        <w:t xml:space="preserve">If a State is concerned that the publication of the above information may jeopardize an active </w:t>
      </w:r>
      <w:r w:rsidR="005D6E86">
        <w:rPr>
          <w:rFonts w:ascii="Arial" w:hAnsi="Arial" w:cs="Arial"/>
        </w:rPr>
        <w:t xml:space="preserve">procurement </w:t>
      </w:r>
      <w:r w:rsidR="006602BA">
        <w:rPr>
          <w:rFonts w:ascii="Arial" w:hAnsi="Arial" w:cs="Arial"/>
        </w:rPr>
        <w:t>process, it may contact their State O</w:t>
      </w:r>
      <w:r w:rsidR="006602BA" w:rsidRPr="00C41D25">
        <w:rPr>
          <w:rFonts w:ascii="Arial" w:hAnsi="Arial" w:cs="Arial"/>
        </w:rPr>
        <w:t>fficer or email</w:t>
      </w:r>
      <w:r w:rsidR="006602BA">
        <w:rPr>
          <w:rFonts w:ascii="Arial" w:hAnsi="Arial" w:cs="Arial"/>
        </w:rPr>
        <w:t xml:space="preserve"> CCIIO at </w:t>
      </w:r>
      <w:hyperlink r:id="rId19" w:history="1">
        <w:r w:rsidR="006602BA" w:rsidRPr="00AB1A17">
          <w:rPr>
            <w:rStyle w:val="Hyperlink"/>
            <w:rFonts w:ascii="Arial" w:hAnsi="Arial" w:cs="Arial"/>
          </w:rPr>
          <w:t>State.Exchange.Group@cms.hhs.gov</w:t>
        </w:r>
      </w:hyperlink>
      <w:r w:rsidR="006602BA">
        <w:rPr>
          <w:rFonts w:ascii="Arial" w:hAnsi="Arial" w:cs="Arial"/>
        </w:rPr>
        <w:t xml:space="preserve"> to discuss the timing of the</w:t>
      </w:r>
      <w:r w:rsidR="006602BA" w:rsidRPr="00C41D25">
        <w:rPr>
          <w:rFonts w:ascii="Arial" w:hAnsi="Arial" w:cs="Arial"/>
        </w:rPr>
        <w:t xml:space="preserve"> pu</w:t>
      </w:r>
      <w:r w:rsidR="006602BA">
        <w:rPr>
          <w:rFonts w:ascii="Arial" w:hAnsi="Arial" w:cs="Arial"/>
        </w:rPr>
        <w:t xml:space="preserve">blication of this information. </w:t>
      </w:r>
    </w:p>
    <w:p w:rsidR="00B7071E" w:rsidRDefault="005523DE" w:rsidP="00A14363">
      <w:pPr>
        <w:pStyle w:val="Heading2"/>
        <w:rPr>
          <w:rFonts w:ascii="Arial" w:hAnsi="Arial"/>
        </w:rPr>
      </w:pPr>
      <w:r>
        <w:t>Application Format and A</w:t>
      </w:r>
      <w:r w:rsidR="00B7071E">
        <w:t>vailability</w:t>
      </w:r>
    </w:p>
    <w:p w:rsidR="006E6800" w:rsidRDefault="00044507" w:rsidP="000B64A1">
      <w:r>
        <w:rPr>
          <w:rFonts w:ascii="Arial" w:hAnsi="Arial" w:cs="Arial"/>
        </w:rPr>
        <w:t xml:space="preserve">The Exchange </w:t>
      </w:r>
      <w:r w:rsidR="005523DE">
        <w:rPr>
          <w:rFonts w:ascii="Arial" w:hAnsi="Arial" w:cs="Arial"/>
        </w:rPr>
        <w:t>Application</w:t>
      </w:r>
      <w:r w:rsidR="0080317C">
        <w:rPr>
          <w:rFonts w:ascii="Arial" w:hAnsi="Arial" w:cs="Arial"/>
        </w:rPr>
        <w:t xml:space="preserve"> will be electronically available </w:t>
      </w:r>
      <w:r w:rsidR="005523DE">
        <w:rPr>
          <w:rFonts w:ascii="Arial" w:hAnsi="Arial" w:cs="Arial"/>
        </w:rPr>
        <w:t xml:space="preserve">for States to complete </w:t>
      </w:r>
      <w:r w:rsidRPr="002C1D95">
        <w:rPr>
          <w:rFonts w:ascii="Arial" w:hAnsi="Arial" w:cs="Arial"/>
        </w:rPr>
        <w:t xml:space="preserve">on HHS’ Center for Consumer Information </w:t>
      </w:r>
      <w:r w:rsidRPr="0080317C">
        <w:rPr>
          <w:rFonts w:ascii="Arial" w:hAnsi="Arial" w:cs="Arial"/>
        </w:rPr>
        <w:t xml:space="preserve">and Insurance </w:t>
      </w:r>
      <w:r w:rsidRPr="002B6C19">
        <w:rPr>
          <w:rFonts w:ascii="Arial" w:hAnsi="Arial" w:cs="Arial"/>
        </w:rPr>
        <w:t xml:space="preserve">Oversight’s (CCIIO) State Exchange Resource and Virtual Information System (SERVIS) system </w:t>
      </w:r>
      <w:hyperlink r:id="rId20" w:history="1">
        <w:r w:rsidR="002B6C19" w:rsidRPr="002B6C19">
          <w:rPr>
            <w:rStyle w:val="Hyperlink"/>
            <w:rFonts w:ascii="Arial" w:hAnsi="Arial" w:cs="Arial"/>
          </w:rPr>
          <w:t>https://servis.cms.gov</w:t>
        </w:r>
      </w:hyperlink>
      <w:r w:rsidR="002B6C19" w:rsidRPr="002B6C19">
        <w:rPr>
          <w:rFonts w:ascii="Arial" w:hAnsi="Arial" w:cs="Arial"/>
        </w:rPr>
        <w:t xml:space="preserve"> </w:t>
      </w:r>
      <w:r w:rsidR="00B7071E" w:rsidRPr="002B6C19">
        <w:rPr>
          <w:rFonts w:ascii="Arial" w:hAnsi="Arial" w:cs="Arial"/>
        </w:rPr>
        <w:t>beginning</w:t>
      </w:r>
      <w:r w:rsidR="00B7071E" w:rsidRPr="0080317C">
        <w:rPr>
          <w:rFonts w:ascii="Arial" w:hAnsi="Arial" w:cs="Arial"/>
        </w:rPr>
        <w:t xml:space="preserve"> September 1</w:t>
      </w:r>
      <w:r w:rsidR="00DD65A7">
        <w:rPr>
          <w:rFonts w:ascii="Arial" w:hAnsi="Arial" w:cs="Arial"/>
        </w:rPr>
        <w:t>4</w:t>
      </w:r>
      <w:r w:rsidR="006E67A5">
        <w:rPr>
          <w:rFonts w:ascii="Arial" w:hAnsi="Arial" w:cs="Arial"/>
        </w:rPr>
        <w:t>, 2012.</w:t>
      </w:r>
      <w:bookmarkEnd w:id="2"/>
    </w:p>
    <w:p w:rsidR="006E6800" w:rsidRDefault="006E6800" w:rsidP="006E6800">
      <w:pPr>
        <w:pStyle w:val="Heading1"/>
        <w:numPr>
          <w:ilvl w:val="0"/>
          <w:numId w:val="0"/>
        </w:numPr>
        <w:pBdr>
          <w:bottom w:val="single" w:sz="4" w:space="13" w:color="auto"/>
        </w:pBdr>
      </w:pPr>
      <w:bookmarkStart w:id="6" w:name="_Toc329259019"/>
      <w:r>
        <w:t>Attestation</w:t>
      </w:r>
      <w:bookmarkEnd w:id="6"/>
    </w:p>
    <w:p w:rsidR="006E6800" w:rsidRPr="00632547" w:rsidRDefault="006E6800" w:rsidP="00632547"/>
    <w:p w:rsidR="0071654E" w:rsidRPr="00731A55" w:rsidRDefault="0071654E" w:rsidP="0071654E">
      <w:pPr>
        <w:rPr>
          <w:rFonts w:ascii="Arial" w:hAnsi="Arial" w:cs="Arial"/>
          <w:sz w:val="24"/>
          <w:szCs w:val="24"/>
        </w:rPr>
      </w:pPr>
      <w:r w:rsidRPr="00731A55">
        <w:rPr>
          <w:rFonts w:ascii="Arial" w:hAnsi="Arial" w:cs="Arial"/>
          <w:b/>
          <w:sz w:val="24"/>
          <w:szCs w:val="24"/>
        </w:rPr>
        <w:t>ON THIS DATE</w:t>
      </w:r>
      <w:r>
        <w:rPr>
          <w:rFonts w:ascii="Arial" w:hAnsi="Arial" w:cs="Arial"/>
          <w:sz w:val="24"/>
          <w:szCs w:val="24"/>
        </w:rPr>
        <w:t xml:space="preserve">, </w:t>
      </w:r>
      <w:r w:rsidR="001D5D70">
        <w:rPr>
          <w:rFonts w:ascii="Arial" w:hAnsi="Arial" w:cs="Arial"/>
          <w:sz w:val="24"/>
          <w:szCs w:val="24"/>
        </w:rPr>
        <w:t xml:space="preserve">I ATTEST THAT THE STATEMENTS AND INFORMATION CONTAINED IN THIS EXCHANGE BLUEPRINT AND DOCUMENTS SUBMITTED IN CONJUNCTION WITH THIS EXCHANGE BLUEPRINT ACCURATELY REPRESENT THE STATUS OF MY STATE’S INSURANCE EXCHANGE BEING </w:t>
      </w:r>
      <w:r w:rsidR="001D5D70" w:rsidRPr="001D5D70">
        <w:rPr>
          <w:rFonts w:ascii="Arial" w:hAnsi="Arial" w:cs="Arial"/>
          <w:sz w:val="24"/>
          <w:szCs w:val="24"/>
        </w:rPr>
        <w:t>DEVELOPED UNDER TITLE I OF THE PATIENT PROTECTION AND AFFORDABLE CARE ACT OF 2010 (Pub. L. 111-148), AS AMENDED BY THE HEALTH CARE AND EDUCATION RECONCILIATION ACT OF 2010 (Pub. L. 111-152), AND REFERRED TO COLLECTIVELY AS THE AFFORDABLE CARE ACT; AND REGULATIONS AT 45 CFR PARTS 153, 155 AND 156.</w:t>
      </w:r>
    </w:p>
    <w:p w:rsidR="0071654E" w:rsidRPr="004A6D0A" w:rsidRDefault="0071654E" w:rsidP="0071654E">
      <w:pPr>
        <w:rPr>
          <w:rFonts w:ascii="Gill Sans MT" w:hAnsi="Gill Sans MT" w:cs="Times New Roman"/>
          <w:szCs w:val="24"/>
        </w:rPr>
      </w:pPr>
    </w:p>
    <w:p w:rsidR="0071654E" w:rsidRPr="008852CE" w:rsidRDefault="0071654E" w:rsidP="0071654E">
      <w:pPr>
        <w:rPr>
          <w:rFonts w:ascii="Arial" w:hAnsi="Arial" w:cs="Arial"/>
          <w:szCs w:val="24"/>
        </w:rPr>
      </w:pPr>
      <w:r w:rsidRPr="008852CE">
        <w:rPr>
          <w:rFonts w:ascii="Arial" w:hAnsi="Arial" w:cs="Arial"/>
          <w:szCs w:val="24"/>
        </w:rPr>
        <w:t>State: ___________________________________________________________</w:t>
      </w:r>
    </w:p>
    <w:p w:rsidR="0071654E" w:rsidRPr="008852CE" w:rsidRDefault="0071654E" w:rsidP="0071654E">
      <w:pPr>
        <w:ind w:left="2880"/>
        <w:rPr>
          <w:rFonts w:ascii="Arial" w:hAnsi="Arial" w:cs="Arial"/>
          <w:szCs w:val="24"/>
        </w:rPr>
      </w:pPr>
      <w:r w:rsidRPr="008852CE">
        <w:rPr>
          <w:rFonts w:ascii="Arial" w:hAnsi="Arial" w:cs="Arial"/>
          <w:szCs w:val="24"/>
        </w:rPr>
        <w:t xml:space="preserve">            (Name of State)</w:t>
      </w:r>
    </w:p>
    <w:p w:rsidR="0071654E" w:rsidRPr="008852CE" w:rsidRDefault="0071654E" w:rsidP="0071654E">
      <w:pPr>
        <w:rPr>
          <w:rFonts w:ascii="Arial" w:hAnsi="Arial" w:cs="Arial"/>
          <w:szCs w:val="24"/>
        </w:rPr>
      </w:pPr>
    </w:p>
    <w:p w:rsidR="0071654E" w:rsidRPr="008852CE" w:rsidRDefault="0071654E" w:rsidP="0071654E">
      <w:pPr>
        <w:rPr>
          <w:rFonts w:ascii="Arial" w:hAnsi="Arial" w:cs="Arial"/>
          <w:szCs w:val="24"/>
        </w:rPr>
      </w:pPr>
      <w:r w:rsidRPr="008852CE">
        <w:rPr>
          <w:rFonts w:ascii="Arial" w:hAnsi="Arial" w:cs="Arial"/>
          <w:szCs w:val="24"/>
        </w:rPr>
        <w:t>________________________________________________________________________</w:t>
      </w:r>
    </w:p>
    <w:p w:rsidR="0071654E" w:rsidRPr="008852CE" w:rsidRDefault="0071654E" w:rsidP="0071654E">
      <w:pPr>
        <w:jc w:val="center"/>
        <w:rPr>
          <w:rFonts w:ascii="Arial" w:hAnsi="Arial" w:cs="Arial"/>
          <w:szCs w:val="24"/>
        </w:rPr>
      </w:pPr>
      <w:r>
        <w:rPr>
          <w:rFonts w:ascii="Arial" w:hAnsi="Arial" w:cs="Arial"/>
          <w:szCs w:val="24"/>
        </w:rPr>
        <w:t>(Signature o</w:t>
      </w:r>
      <w:r w:rsidRPr="00247694">
        <w:rPr>
          <w:rFonts w:ascii="Arial" w:hAnsi="Arial" w:cs="Arial"/>
          <w:szCs w:val="24"/>
        </w:rPr>
        <w:t xml:space="preserve">f </w:t>
      </w:r>
      <w:r w:rsidR="002805B2" w:rsidRPr="00247694">
        <w:rPr>
          <w:rFonts w:ascii="Arial" w:hAnsi="Arial" w:cs="Arial"/>
          <w:szCs w:val="24"/>
        </w:rPr>
        <w:t>Governor</w:t>
      </w:r>
      <w:r>
        <w:rPr>
          <w:rFonts w:ascii="Arial" w:hAnsi="Arial" w:cs="Arial"/>
          <w:szCs w:val="24"/>
        </w:rPr>
        <w:t xml:space="preserve"> </w:t>
      </w:r>
      <w:r w:rsidR="00247694">
        <w:rPr>
          <w:rFonts w:ascii="Arial" w:hAnsi="Arial" w:cs="Arial"/>
          <w:szCs w:val="24"/>
        </w:rPr>
        <w:t>D</w:t>
      </w:r>
      <w:r>
        <w:rPr>
          <w:rFonts w:ascii="Arial" w:hAnsi="Arial" w:cs="Arial"/>
          <w:szCs w:val="24"/>
        </w:rPr>
        <w:t xml:space="preserve">esignee of the </w:t>
      </w:r>
      <w:r w:rsidR="00ED23D9">
        <w:rPr>
          <w:rFonts w:ascii="Arial" w:hAnsi="Arial" w:cs="Arial"/>
          <w:szCs w:val="24"/>
        </w:rPr>
        <w:t>State</w:t>
      </w:r>
      <w:r w:rsidRPr="008852CE">
        <w:rPr>
          <w:rFonts w:ascii="Arial" w:hAnsi="Arial" w:cs="Arial"/>
          <w:szCs w:val="24"/>
        </w:rPr>
        <w:t>, Date Signed)</w:t>
      </w:r>
    </w:p>
    <w:p w:rsidR="00582238" w:rsidRDefault="00582238" w:rsidP="00610835"/>
    <w:p w:rsidR="00186316" w:rsidRDefault="00186316" w:rsidP="00582238">
      <w:pPr>
        <w:tabs>
          <w:tab w:val="left" w:pos="7380"/>
        </w:tabs>
        <w:rPr>
          <w:rFonts w:ascii="Arial" w:hAnsi="Arial" w:cs="Arial"/>
        </w:rPr>
      </w:pPr>
    </w:p>
    <w:p w:rsidR="005517B2" w:rsidRDefault="005517B2" w:rsidP="00582238">
      <w:pPr>
        <w:tabs>
          <w:tab w:val="left" w:pos="7380"/>
        </w:tabs>
        <w:rPr>
          <w:rFonts w:ascii="Arial" w:hAnsi="Arial" w:cs="Arial"/>
        </w:rPr>
      </w:pPr>
    </w:p>
    <w:p w:rsidR="005517B2" w:rsidRDefault="005517B2" w:rsidP="00582238">
      <w:pPr>
        <w:tabs>
          <w:tab w:val="left" w:pos="7380"/>
        </w:tabs>
        <w:rPr>
          <w:rFonts w:ascii="Arial" w:hAnsi="Arial" w:cs="Arial"/>
        </w:rPr>
      </w:pPr>
    </w:p>
    <w:p w:rsidR="005517B2" w:rsidRDefault="005517B2" w:rsidP="00582238">
      <w:pPr>
        <w:tabs>
          <w:tab w:val="left" w:pos="7380"/>
        </w:tabs>
        <w:rPr>
          <w:rFonts w:ascii="Arial" w:hAnsi="Arial" w:cs="Arial"/>
        </w:rPr>
      </w:pPr>
    </w:p>
    <w:p w:rsidR="005517B2" w:rsidRDefault="005517B2" w:rsidP="00582238">
      <w:pPr>
        <w:tabs>
          <w:tab w:val="left" w:pos="7380"/>
        </w:tabs>
        <w:rPr>
          <w:rFonts w:ascii="Arial" w:hAnsi="Arial" w:cs="Arial"/>
        </w:rPr>
      </w:pPr>
    </w:p>
    <w:p w:rsidR="005517B2" w:rsidRDefault="005517B2" w:rsidP="00582238">
      <w:pPr>
        <w:tabs>
          <w:tab w:val="left" w:pos="7380"/>
        </w:tabs>
        <w:rPr>
          <w:rFonts w:ascii="Arial" w:hAnsi="Arial" w:cs="Arial"/>
        </w:rPr>
      </w:pPr>
    </w:p>
    <w:p w:rsidR="005517B2" w:rsidRDefault="005517B2" w:rsidP="00582238">
      <w:pPr>
        <w:tabs>
          <w:tab w:val="left" w:pos="7380"/>
        </w:tabs>
        <w:rPr>
          <w:rFonts w:ascii="Arial" w:hAnsi="Arial" w:cs="Arial"/>
        </w:rPr>
      </w:pPr>
    </w:p>
    <w:p w:rsidR="005517B2" w:rsidRDefault="005517B2" w:rsidP="00582238">
      <w:pPr>
        <w:tabs>
          <w:tab w:val="left" w:pos="7380"/>
        </w:tabs>
        <w:rPr>
          <w:rFonts w:ascii="Arial" w:hAnsi="Arial" w:cs="Arial"/>
        </w:rPr>
      </w:pPr>
    </w:p>
    <w:p w:rsidR="000B64A1" w:rsidRDefault="000B64A1">
      <w:pPr>
        <w:rPr>
          <w:rFonts w:ascii="Arial" w:hAnsi="Arial" w:cs="Arial"/>
        </w:rPr>
      </w:pPr>
      <w:r>
        <w:rPr>
          <w:rFonts w:ascii="Arial" w:hAnsi="Arial" w:cs="Arial"/>
        </w:rPr>
        <w:br w:type="page"/>
      </w:r>
    </w:p>
    <w:p w:rsidR="005517B2" w:rsidRDefault="005517B2" w:rsidP="005517B2">
      <w:pPr>
        <w:pStyle w:val="Heading1"/>
        <w:numPr>
          <w:ilvl w:val="0"/>
          <w:numId w:val="0"/>
        </w:numPr>
        <w:pBdr>
          <w:bottom w:val="single" w:sz="4" w:space="13" w:color="auto"/>
        </w:pBdr>
      </w:pPr>
      <w:bookmarkStart w:id="7" w:name="_Toc323313526"/>
    </w:p>
    <w:p w:rsidR="005517B2" w:rsidRDefault="005517B2" w:rsidP="005517B2">
      <w:pPr>
        <w:pStyle w:val="Heading1"/>
        <w:numPr>
          <w:ilvl w:val="0"/>
          <w:numId w:val="0"/>
        </w:numPr>
        <w:pBdr>
          <w:bottom w:val="single" w:sz="4" w:space="13" w:color="auto"/>
        </w:pBdr>
      </w:pPr>
      <w:bookmarkStart w:id="8" w:name="_Toc329259020"/>
      <w:r w:rsidRPr="00125E8B">
        <w:t>State Background Information for Application Submission</w:t>
      </w:r>
      <w:bookmarkEnd w:id="8"/>
    </w:p>
    <w:p w:rsidR="005517B2" w:rsidRPr="00FC768B" w:rsidRDefault="005517B2" w:rsidP="005517B2">
      <w:pPr>
        <w:pStyle w:val="Title"/>
        <w:pBdr>
          <w:bottom w:val="none" w:sz="0" w:space="0" w:color="auto"/>
        </w:pBdr>
        <w:rPr>
          <w:color w:val="auto"/>
          <w:sz w:val="8"/>
          <w:szCs w:val="8"/>
        </w:rPr>
      </w:pPr>
    </w:p>
    <w:tbl>
      <w:tblPr>
        <w:tblStyle w:val="TableGrid"/>
        <w:tblW w:w="0" w:type="auto"/>
        <w:tblLook w:val="04A0" w:firstRow="1" w:lastRow="0" w:firstColumn="1" w:lastColumn="0" w:noHBand="0" w:noVBand="1"/>
      </w:tblPr>
      <w:tblGrid>
        <w:gridCol w:w="10296"/>
      </w:tblGrid>
      <w:tr w:rsidR="005517B2">
        <w:tc>
          <w:tcPr>
            <w:tcW w:w="10296" w:type="dxa"/>
          </w:tcPr>
          <w:p w:rsidR="005517B2" w:rsidRPr="00DD65A7" w:rsidRDefault="005517B2" w:rsidP="000B64A1">
            <w:pPr>
              <w:pStyle w:val="ListParagraph"/>
              <w:numPr>
                <w:ilvl w:val="0"/>
                <w:numId w:val="25"/>
              </w:numPr>
              <w:rPr>
                <w:rFonts w:ascii="Times New Roman" w:hAnsi="Times New Roman" w:cs="Times New Roman"/>
                <w:b/>
              </w:rPr>
            </w:pPr>
            <w:r>
              <w:rPr>
                <w:rFonts w:ascii="Times New Roman" w:hAnsi="Times New Roman" w:cs="Times New Roman"/>
                <w:b/>
              </w:rPr>
              <w:t>STATE NAME</w:t>
            </w:r>
          </w:p>
          <w:p w:rsidR="005517B2" w:rsidRDefault="005517B2" w:rsidP="000B64A1">
            <w:pPr>
              <w:rPr>
                <w:rFonts w:ascii="Times New Roman" w:hAnsi="Times New Roman" w:cs="Times New Roman"/>
                <w:b/>
              </w:rPr>
            </w:pPr>
          </w:p>
          <w:p w:rsidR="005517B2" w:rsidRPr="00402681" w:rsidRDefault="005517B2" w:rsidP="000B64A1">
            <w:pPr>
              <w:rPr>
                <w:rFonts w:ascii="Times New Roman" w:hAnsi="Times New Roman" w:cs="Times New Roman"/>
                <w:b/>
              </w:rPr>
            </w:pPr>
          </w:p>
        </w:tc>
      </w:tr>
      <w:tr w:rsidR="005517B2">
        <w:tc>
          <w:tcPr>
            <w:tcW w:w="10296" w:type="dxa"/>
          </w:tcPr>
          <w:p w:rsidR="005517B2" w:rsidRPr="00DD65A7" w:rsidRDefault="005517B2" w:rsidP="000B64A1">
            <w:pPr>
              <w:pStyle w:val="ListParagraph"/>
              <w:numPr>
                <w:ilvl w:val="0"/>
                <w:numId w:val="25"/>
              </w:numPr>
              <w:rPr>
                <w:rFonts w:ascii="Times New Roman" w:hAnsi="Times New Roman" w:cs="Times New Roman"/>
              </w:rPr>
            </w:pPr>
            <w:r w:rsidRPr="00DD65A7">
              <w:rPr>
                <w:rFonts w:ascii="Times New Roman" w:hAnsi="Times New Roman" w:cs="Times New Roman"/>
                <w:b/>
              </w:rPr>
              <w:t xml:space="preserve">DESIGNATED EXCHANGE </w:t>
            </w:r>
            <w:r w:rsidRPr="000A3057">
              <w:rPr>
                <w:rFonts w:ascii="Times New Roman" w:hAnsi="Times New Roman" w:cs="Times New Roman"/>
                <w:b/>
              </w:rPr>
              <w:t>OFFICIAL(S)</w:t>
            </w:r>
            <w:r w:rsidRPr="00DD65A7">
              <w:rPr>
                <w:rFonts w:ascii="Times New Roman" w:hAnsi="Times New Roman" w:cs="Times New Roman"/>
                <w:b/>
              </w:rPr>
              <w:t xml:space="preserve"> TO COMPLETE EXCHANGE </w:t>
            </w:r>
            <w:r>
              <w:rPr>
                <w:rFonts w:ascii="Times New Roman" w:hAnsi="Times New Roman" w:cs="Times New Roman"/>
                <w:b/>
              </w:rPr>
              <w:t>APPLICATION</w:t>
            </w:r>
            <w:r w:rsidRPr="00DD65A7">
              <w:rPr>
                <w:rFonts w:ascii="Times New Roman" w:hAnsi="Times New Roman" w:cs="Times New Roman"/>
                <w:b/>
              </w:rPr>
              <w:t xml:space="preserve"> &amp; CONTACT INFORMATION</w:t>
            </w:r>
          </w:p>
          <w:p w:rsidR="005517B2" w:rsidRDefault="005517B2" w:rsidP="000B64A1">
            <w:pPr>
              <w:pStyle w:val="ListParagraph"/>
              <w:ind w:left="360"/>
              <w:rPr>
                <w:rFonts w:ascii="Times New Roman" w:hAnsi="Times New Roman" w:cs="Times New Roman"/>
              </w:rPr>
            </w:pPr>
          </w:p>
          <w:p w:rsidR="005517B2" w:rsidRPr="00DD65A7" w:rsidRDefault="005517B2" w:rsidP="000B64A1">
            <w:pPr>
              <w:pStyle w:val="ListParagraph"/>
              <w:ind w:left="360"/>
              <w:rPr>
                <w:rFonts w:ascii="Times New Roman" w:hAnsi="Times New Roman" w:cs="Times New Roman"/>
              </w:rPr>
            </w:pPr>
            <w:r w:rsidRPr="00DD65A7">
              <w:rPr>
                <w:rFonts w:ascii="Times New Roman" w:hAnsi="Times New Roman" w:cs="Times New Roman"/>
              </w:rPr>
              <w:t>NAME:</w:t>
            </w:r>
          </w:p>
          <w:p w:rsidR="005517B2" w:rsidRPr="00D95CD9" w:rsidRDefault="005517B2" w:rsidP="000B64A1">
            <w:pPr>
              <w:ind w:left="720" w:hanging="360"/>
              <w:rPr>
                <w:rFonts w:ascii="Times New Roman" w:hAnsi="Times New Roman" w:cs="Times New Roman"/>
              </w:rPr>
            </w:pPr>
            <w:r w:rsidRPr="00D95CD9">
              <w:rPr>
                <w:rFonts w:ascii="Times New Roman" w:hAnsi="Times New Roman" w:cs="Times New Roman"/>
              </w:rPr>
              <w:t>TELEPHONE:</w:t>
            </w:r>
          </w:p>
          <w:p w:rsidR="005517B2" w:rsidRDefault="005517B2" w:rsidP="000B64A1">
            <w:pPr>
              <w:ind w:left="720" w:hanging="360"/>
              <w:rPr>
                <w:rFonts w:ascii="Times New Roman" w:hAnsi="Times New Roman" w:cs="Times New Roman"/>
              </w:rPr>
            </w:pPr>
            <w:r w:rsidRPr="00D95CD9">
              <w:rPr>
                <w:rFonts w:ascii="Times New Roman" w:hAnsi="Times New Roman" w:cs="Times New Roman"/>
              </w:rPr>
              <w:t>EMAIL ADDRESS:</w:t>
            </w:r>
          </w:p>
          <w:p w:rsidR="005517B2" w:rsidRDefault="005517B2" w:rsidP="000B64A1">
            <w:pPr>
              <w:ind w:left="720" w:hanging="360"/>
              <w:rPr>
                <w:rFonts w:ascii="Times New Roman" w:hAnsi="Times New Roman" w:cs="Times New Roman"/>
              </w:rPr>
            </w:pPr>
          </w:p>
          <w:p w:rsidR="005517B2" w:rsidRPr="00DD65A7" w:rsidRDefault="005517B2" w:rsidP="000B64A1">
            <w:pPr>
              <w:pStyle w:val="ListParagraph"/>
              <w:ind w:left="360"/>
              <w:rPr>
                <w:rFonts w:ascii="Times New Roman" w:hAnsi="Times New Roman" w:cs="Times New Roman"/>
              </w:rPr>
            </w:pPr>
            <w:r w:rsidRPr="00DD65A7">
              <w:rPr>
                <w:rFonts w:ascii="Times New Roman" w:hAnsi="Times New Roman" w:cs="Times New Roman"/>
              </w:rPr>
              <w:t>NAME:</w:t>
            </w:r>
          </w:p>
          <w:p w:rsidR="005517B2" w:rsidRPr="00D95CD9" w:rsidRDefault="005517B2" w:rsidP="000B64A1">
            <w:pPr>
              <w:ind w:left="720" w:hanging="360"/>
              <w:rPr>
                <w:rFonts w:ascii="Times New Roman" w:hAnsi="Times New Roman" w:cs="Times New Roman"/>
              </w:rPr>
            </w:pPr>
            <w:r w:rsidRPr="00D95CD9">
              <w:rPr>
                <w:rFonts w:ascii="Times New Roman" w:hAnsi="Times New Roman" w:cs="Times New Roman"/>
              </w:rPr>
              <w:t>TELEPHONE:</w:t>
            </w:r>
          </w:p>
          <w:p w:rsidR="005517B2" w:rsidRPr="00D95CD9" w:rsidRDefault="005517B2" w:rsidP="000B64A1">
            <w:pPr>
              <w:ind w:left="720" w:hanging="360"/>
              <w:rPr>
                <w:rFonts w:ascii="Times New Roman" w:hAnsi="Times New Roman" w:cs="Times New Roman"/>
              </w:rPr>
            </w:pPr>
            <w:r w:rsidRPr="00D95CD9">
              <w:rPr>
                <w:rFonts w:ascii="Times New Roman" w:hAnsi="Times New Roman" w:cs="Times New Roman"/>
              </w:rPr>
              <w:t>EMAIL ADDRESS:</w:t>
            </w:r>
          </w:p>
          <w:p w:rsidR="005517B2" w:rsidRPr="00125E8B" w:rsidRDefault="005517B2" w:rsidP="00125E8B">
            <w:pPr>
              <w:rPr>
                <w:rFonts w:ascii="Times New Roman" w:hAnsi="Times New Roman" w:cs="Times New Roman"/>
                <w:b/>
              </w:rPr>
            </w:pPr>
          </w:p>
        </w:tc>
      </w:tr>
      <w:tr w:rsidR="005517B2">
        <w:tc>
          <w:tcPr>
            <w:tcW w:w="10296" w:type="dxa"/>
          </w:tcPr>
          <w:p w:rsidR="005517B2" w:rsidRPr="00DD65A7" w:rsidRDefault="00E71E1B" w:rsidP="000B64A1">
            <w:pPr>
              <w:pStyle w:val="ListParagraph"/>
              <w:numPr>
                <w:ilvl w:val="0"/>
                <w:numId w:val="25"/>
              </w:numPr>
              <w:rPr>
                <w:rFonts w:ascii="Times New Roman" w:hAnsi="Times New Roman" w:cs="Times New Roman"/>
                <w:b/>
              </w:rPr>
            </w:pPr>
            <w:r>
              <w:rPr>
                <w:rFonts w:ascii="Times New Roman" w:hAnsi="Times New Roman" w:cs="Times New Roman"/>
                <w:b/>
              </w:rPr>
              <w:t>STATE EXCHANGE MODEL (C</w:t>
            </w:r>
            <w:r w:rsidR="005517B2" w:rsidRPr="000A3057">
              <w:rPr>
                <w:rFonts w:ascii="Times New Roman" w:hAnsi="Times New Roman" w:cs="Times New Roman"/>
                <w:b/>
              </w:rPr>
              <w:t xml:space="preserve">an check </w:t>
            </w:r>
            <w:r>
              <w:rPr>
                <w:rFonts w:ascii="Times New Roman" w:hAnsi="Times New Roman" w:cs="Times New Roman"/>
                <w:b/>
              </w:rPr>
              <w:t>more than one. States applying for State-based Exchange are encouraged to also select and complete partnership requirements.</w:t>
            </w:r>
            <w:r w:rsidR="005517B2" w:rsidRPr="000A3057">
              <w:rPr>
                <w:rFonts w:ascii="Times New Roman" w:hAnsi="Times New Roman" w:cs="Times New Roman"/>
                <w:b/>
              </w:rPr>
              <w:t>)</w:t>
            </w:r>
          </w:p>
          <w:p w:rsidR="005517B2" w:rsidRDefault="005517B2" w:rsidP="000B64A1">
            <w:pPr>
              <w:rPr>
                <w:rFonts w:ascii="Times New Roman" w:hAnsi="Times New Roman" w:cs="Times New Roman"/>
              </w:rPr>
            </w:pPr>
          </w:p>
          <w:p w:rsidR="005517B2" w:rsidRPr="007D6D37" w:rsidRDefault="00DD744A" w:rsidP="000B64A1">
            <w:pPr>
              <w:tabs>
                <w:tab w:val="left" w:pos="5370"/>
              </w:tabs>
              <w:rPr>
                <w:rFonts w:ascii="Times New Roman" w:hAnsi="Times New Roman" w:cs="Times New Roman"/>
                <w:b/>
              </w:rPr>
            </w:pPr>
            <w:r>
              <w:rPr>
                <w:rFonts w:ascii="Times New Roman" w:hAnsi="Times New Roman" w:cs="Times New Roman"/>
              </w:rPr>
              <w:t xml:space="preserve">          __</w:t>
            </w:r>
            <w:r w:rsidR="005517B2" w:rsidRPr="007D6D37">
              <w:rPr>
                <w:rFonts w:ascii="Times New Roman" w:hAnsi="Times New Roman" w:cs="Times New Roman"/>
                <w:b/>
              </w:rPr>
              <w:t>STATE-BASED EXCHANGE</w:t>
            </w:r>
            <w:r>
              <w:rPr>
                <w:rFonts w:ascii="Times New Roman" w:hAnsi="Times New Roman" w:cs="Times New Roman"/>
                <w:b/>
              </w:rPr>
              <w:t xml:space="preserve">                             __</w:t>
            </w:r>
            <w:r w:rsidR="005517B2">
              <w:rPr>
                <w:rFonts w:ascii="Times New Roman" w:hAnsi="Times New Roman" w:cs="Times New Roman"/>
                <w:b/>
              </w:rPr>
              <w:t>STATE PARTNERSHIP EXCHANGE</w:t>
            </w:r>
          </w:p>
          <w:p w:rsidR="005517B2" w:rsidRDefault="005517B2" w:rsidP="000B64A1">
            <w:pPr>
              <w:rPr>
                <w:rFonts w:ascii="Times New Roman" w:hAnsi="Times New Roman" w:cs="Times New Roman"/>
              </w:rPr>
            </w:pPr>
            <w:r>
              <w:rPr>
                <w:rFonts w:ascii="Times New Roman" w:hAnsi="Times New Roman" w:cs="Times New Roman"/>
              </w:rPr>
              <w:t xml:space="preserve">                                                                                                        </w:t>
            </w:r>
          </w:p>
          <w:p w:rsidR="005517B2" w:rsidRPr="00DD65A7" w:rsidRDefault="005517B2" w:rsidP="000B64A1">
            <w:pPr>
              <w:ind w:left="720"/>
              <w:rPr>
                <w:rFonts w:ascii="Times New Roman" w:hAnsi="Times New Roman" w:cs="Times New Roman"/>
                <w:b/>
              </w:rPr>
            </w:pPr>
            <w:r w:rsidRPr="00DD65A7">
              <w:rPr>
                <w:rFonts w:ascii="Times New Roman" w:hAnsi="Times New Roman" w:cs="Times New Roman"/>
                <w:b/>
              </w:rPr>
              <w:t xml:space="preserve">                                                                     </w:t>
            </w:r>
            <w:r>
              <w:rPr>
                <w:rFonts w:ascii="Times New Roman" w:hAnsi="Times New Roman" w:cs="Times New Roman"/>
                <w:b/>
              </w:rPr>
              <w:t xml:space="preserve">                       </w:t>
            </w:r>
            <w:r w:rsidR="00DD744A">
              <w:rPr>
                <w:rFonts w:ascii="Times New Roman" w:hAnsi="Times New Roman" w:cs="Times New Roman"/>
                <w:b/>
              </w:rPr>
              <w:t>__</w:t>
            </w:r>
            <w:r>
              <w:rPr>
                <w:rFonts w:ascii="Times New Roman" w:hAnsi="Times New Roman" w:cs="Times New Roman"/>
                <w:b/>
              </w:rPr>
              <w:t>PLAN MANAGEMENT</w:t>
            </w:r>
            <w:r w:rsidRPr="00DD65A7">
              <w:rPr>
                <w:rFonts w:ascii="Times New Roman" w:hAnsi="Times New Roman" w:cs="Times New Roman"/>
                <w:b/>
              </w:rPr>
              <w:t xml:space="preserve">                                                           </w:t>
            </w:r>
          </w:p>
          <w:p w:rsidR="005517B2" w:rsidRPr="00DD65A7" w:rsidRDefault="005517B2" w:rsidP="000B64A1">
            <w:pPr>
              <w:rPr>
                <w:rFonts w:ascii="Times New Roman" w:hAnsi="Times New Roman" w:cs="Times New Roman"/>
                <w:b/>
              </w:rPr>
            </w:pPr>
            <w:r w:rsidRPr="00DD65A7">
              <w:rPr>
                <w:rFonts w:ascii="Times New Roman" w:hAnsi="Times New Roman" w:cs="Times New Roman"/>
                <w:b/>
              </w:rPr>
              <w:t xml:space="preserve">                                                                                                     </w:t>
            </w:r>
          </w:p>
          <w:p w:rsidR="005517B2" w:rsidRDefault="005517B2" w:rsidP="000B64A1">
            <w:pPr>
              <w:ind w:left="720"/>
              <w:rPr>
                <w:rFonts w:ascii="Times New Roman" w:hAnsi="Times New Roman" w:cs="Times New Roman"/>
                <w:b/>
              </w:rPr>
            </w:pPr>
            <w:r w:rsidRPr="00DD65A7">
              <w:rPr>
                <w:rFonts w:ascii="Times New Roman" w:hAnsi="Times New Roman" w:cs="Times New Roman"/>
                <w:b/>
              </w:rPr>
              <w:t xml:space="preserve">                                                                     </w:t>
            </w:r>
            <w:r>
              <w:rPr>
                <w:rFonts w:ascii="Times New Roman" w:hAnsi="Times New Roman" w:cs="Times New Roman"/>
                <w:b/>
              </w:rPr>
              <w:t xml:space="preserve">                       </w:t>
            </w:r>
            <w:r w:rsidR="00DD744A">
              <w:rPr>
                <w:rFonts w:ascii="Times New Roman" w:hAnsi="Times New Roman" w:cs="Times New Roman"/>
                <w:b/>
              </w:rPr>
              <w:t>__</w:t>
            </w:r>
            <w:r>
              <w:rPr>
                <w:rFonts w:ascii="Times New Roman" w:hAnsi="Times New Roman" w:cs="Times New Roman"/>
                <w:b/>
              </w:rPr>
              <w:t>CONSUMER ASSISTANCE</w:t>
            </w:r>
          </w:p>
          <w:p w:rsidR="005517B2" w:rsidRPr="00FC768B" w:rsidRDefault="005517B2" w:rsidP="000B64A1">
            <w:pPr>
              <w:ind w:left="720"/>
              <w:rPr>
                <w:rFonts w:ascii="Times New Roman" w:hAnsi="Times New Roman" w:cs="Times New Roman"/>
                <w:b/>
              </w:rPr>
            </w:pPr>
          </w:p>
        </w:tc>
      </w:tr>
      <w:tr w:rsidR="009379E2">
        <w:tc>
          <w:tcPr>
            <w:tcW w:w="10296" w:type="dxa"/>
            <w:tcBorders>
              <w:bottom w:val="single" w:sz="4" w:space="0" w:color="auto"/>
            </w:tcBorders>
          </w:tcPr>
          <w:p w:rsidR="009379E2" w:rsidRDefault="00DD744A" w:rsidP="00DC6A6E">
            <w:pPr>
              <w:pStyle w:val="ListParagraph"/>
              <w:numPr>
                <w:ilvl w:val="0"/>
                <w:numId w:val="25"/>
              </w:numPr>
              <w:rPr>
                <w:rFonts w:ascii="Times New Roman" w:hAnsi="Times New Roman" w:cs="Times New Roman"/>
                <w:b/>
              </w:rPr>
            </w:pPr>
            <w:r>
              <w:rPr>
                <w:rFonts w:ascii="Times New Roman" w:hAnsi="Times New Roman" w:cs="Times New Roman"/>
                <w:b/>
              </w:rPr>
              <w:t xml:space="preserve">If you are pursuing a State-based Exchange, indicate if you will be using </w:t>
            </w:r>
            <w:r w:rsidR="00E71E1B">
              <w:rPr>
                <w:rFonts w:ascii="Times New Roman" w:hAnsi="Times New Roman" w:cs="Times New Roman"/>
                <w:b/>
              </w:rPr>
              <w:t xml:space="preserve">any of </w:t>
            </w:r>
            <w:r>
              <w:rPr>
                <w:rFonts w:ascii="Times New Roman" w:hAnsi="Times New Roman" w:cs="Times New Roman"/>
                <w:b/>
              </w:rPr>
              <w:t>the following federal services:</w:t>
            </w:r>
            <w:r w:rsidR="00E71E1B">
              <w:rPr>
                <w:rFonts w:ascii="Times New Roman" w:hAnsi="Times New Roman" w:cs="Times New Roman"/>
                <w:b/>
              </w:rPr>
              <w:t xml:space="preserve"> (Check all that apply)</w:t>
            </w:r>
          </w:p>
          <w:p w:rsidR="00DD744A" w:rsidRDefault="00DD744A" w:rsidP="00DD744A">
            <w:pPr>
              <w:pStyle w:val="ListParagraph"/>
              <w:ind w:left="360"/>
              <w:rPr>
                <w:rFonts w:ascii="Times New Roman" w:hAnsi="Times New Roman" w:cs="Times New Roman"/>
                <w:b/>
              </w:rPr>
            </w:pPr>
          </w:p>
          <w:p w:rsidR="00DD744A" w:rsidRDefault="00DD744A" w:rsidP="00DD744A">
            <w:pPr>
              <w:pStyle w:val="ListParagraph"/>
              <w:ind w:left="360"/>
              <w:rPr>
                <w:rFonts w:ascii="Times New Roman" w:hAnsi="Times New Roman" w:cs="Times New Roman"/>
                <w:b/>
              </w:rPr>
            </w:pPr>
            <w:r>
              <w:rPr>
                <w:rFonts w:ascii="Times New Roman" w:hAnsi="Times New Roman" w:cs="Times New Roman"/>
                <w:b/>
              </w:rPr>
              <w:t>__</w:t>
            </w:r>
            <w:r w:rsidR="00E71E1B">
              <w:rPr>
                <w:rFonts w:ascii="Times New Roman" w:hAnsi="Times New Roman" w:cs="Times New Roman"/>
                <w:b/>
              </w:rPr>
              <w:t>3.8 Eligibility</w:t>
            </w:r>
            <w:r w:rsidR="001C534A">
              <w:rPr>
                <w:rFonts w:ascii="Times New Roman" w:hAnsi="Times New Roman" w:cs="Times New Roman"/>
                <w:b/>
              </w:rPr>
              <w:t xml:space="preserve"> determinations for APTC and CSR</w:t>
            </w:r>
          </w:p>
          <w:p w:rsidR="00E71E1B" w:rsidRDefault="00E71E1B" w:rsidP="00DD744A">
            <w:pPr>
              <w:pStyle w:val="ListParagraph"/>
              <w:ind w:left="360"/>
              <w:rPr>
                <w:rFonts w:ascii="Times New Roman" w:hAnsi="Times New Roman" w:cs="Times New Roman"/>
                <w:b/>
              </w:rPr>
            </w:pPr>
            <w:r>
              <w:rPr>
                <w:rFonts w:ascii="Times New Roman" w:hAnsi="Times New Roman" w:cs="Times New Roman"/>
                <w:b/>
              </w:rPr>
              <w:t>__3.10 Individual responsibility requirements and payment exemption determinations</w:t>
            </w:r>
          </w:p>
          <w:p w:rsidR="00E71E1B" w:rsidRDefault="001C534A" w:rsidP="00DD744A">
            <w:pPr>
              <w:pStyle w:val="ListParagraph"/>
              <w:ind w:left="360"/>
              <w:rPr>
                <w:rFonts w:ascii="Times New Roman" w:hAnsi="Times New Roman" w:cs="Times New Roman"/>
                <w:b/>
              </w:rPr>
            </w:pPr>
            <w:r>
              <w:rPr>
                <w:rFonts w:ascii="Times New Roman" w:hAnsi="Times New Roman" w:cs="Times New Roman"/>
                <w:b/>
              </w:rPr>
              <w:t>__5.1 Risk a</w:t>
            </w:r>
            <w:r w:rsidR="00E71E1B">
              <w:rPr>
                <w:rFonts w:ascii="Times New Roman" w:hAnsi="Times New Roman" w:cs="Times New Roman"/>
                <w:b/>
              </w:rPr>
              <w:t>djustment program</w:t>
            </w:r>
          </w:p>
          <w:p w:rsidR="00DD744A" w:rsidRPr="0000605F" w:rsidRDefault="00E71E1B" w:rsidP="0000605F">
            <w:pPr>
              <w:pStyle w:val="ListParagraph"/>
              <w:ind w:left="360"/>
              <w:rPr>
                <w:rFonts w:ascii="Times New Roman" w:hAnsi="Times New Roman" w:cs="Times New Roman"/>
                <w:b/>
              </w:rPr>
            </w:pPr>
            <w:r>
              <w:rPr>
                <w:rFonts w:ascii="Times New Roman" w:hAnsi="Times New Roman" w:cs="Times New Roman"/>
                <w:b/>
              </w:rPr>
              <w:t>__5.2 Reinsurance program</w:t>
            </w:r>
          </w:p>
          <w:p w:rsidR="00DD744A" w:rsidRPr="00994EB5" w:rsidRDefault="00DD744A" w:rsidP="00DD744A">
            <w:pPr>
              <w:pStyle w:val="ListParagraph"/>
              <w:ind w:left="360"/>
              <w:rPr>
                <w:rFonts w:ascii="Times New Roman" w:hAnsi="Times New Roman" w:cs="Times New Roman"/>
                <w:b/>
              </w:rPr>
            </w:pPr>
          </w:p>
        </w:tc>
      </w:tr>
      <w:tr w:rsidR="0000605F">
        <w:tc>
          <w:tcPr>
            <w:tcW w:w="10296" w:type="dxa"/>
            <w:tcBorders>
              <w:bottom w:val="single" w:sz="4" w:space="0" w:color="auto"/>
            </w:tcBorders>
          </w:tcPr>
          <w:p w:rsidR="0000605F" w:rsidRDefault="0000605F" w:rsidP="0000605F">
            <w:pPr>
              <w:pStyle w:val="ListParagraph"/>
              <w:numPr>
                <w:ilvl w:val="0"/>
                <w:numId w:val="25"/>
              </w:numPr>
              <w:rPr>
                <w:rFonts w:ascii="Times New Roman" w:hAnsi="Times New Roman" w:cs="Times New Roman"/>
                <w:b/>
              </w:rPr>
            </w:pPr>
            <w:r>
              <w:rPr>
                <w:rFonts w:ascii="Times New Roman" w:hAnsi="Times New Roman" w:cs="Times New Roman"/>
                <w:b/>
              </w:rPr>
              <w:t xml:space="preserve">If you are pursuing a State Partnership Exchange, indicate if you will be using any of the following federal services: </w:t>
            </w:r>
          </w:p>
          <w:p w:rsidR="0000605F" w:rsidRDefault="0000605F" w:rsidP="0000605F">
            <w:pPr>
              <w:pStyle w:val="ListParagraph"/>
              <w:ind w:left="360"/>
              <w:rPr>
                <w:rFonts w:ascii="Times New Roman" w:hAnsi="Times New Roman" w:cs="Times New Roman"/>
                <w:b/>
              </w:rPr>
            </w:pPr>
          </w:p>
          <w:p w:rsidR="0000605F" w:rsidRPr="0000605F" w:rsidRDefault="0000605F" w:rsidP="0000605F">
            <w:pPr>
              <w:pStyle w:val="ListParagraph"/>
              <w:ind w:left="360"/>
              <w:rPr>
                <w:rFonts w:ascii="Times New Roman" w:hAnsi="Times New Roman" w:cs="Times New Roman"/>
                <w:b/>
              </w:rPr>
            </w:pPr>
            <w:r>
              <w:rPr>
                <w:rFonts w:ascii="Times New Roman" w:hAnsi="Times New Roman" w:cs="Times New Roman"/>
                <w:b/>
              </w:rPr>
              <w:t>__5.2 Reinsurance program</w:t>
            </w:r>
          </w:p>
          <w:p w:rsidR="0000605F" w:rsidRDefault="0000605F" w:rsidP="0000605F">
            <w:pPr>
              <w:pStyle w:val="ListParagraph"/>
              <w:ind w:left="360"/>
              <w:rPr>
                <w:rFonts w:ascii="Times New Roman" w:hAnsi="Times New Roman" w:cs="Times New Roman"/>
                <w:b/>
              </w:rPr>
            </w:pPr>
          </w:p>
        </w:tc>
      </w:tr>
      <w:bookmarkEnd w:id="7"/>
    </w:tbl>
    <w:p w:rsidR="005517B2" w:rsidRDefault="005517B2" w:rsidP="00582238">
      <w:pPr>
        <w:tabs>
          <w:tab w:val="left" w:pos="7380"/>
        </w:tabs>
        <w:rPr>
          <w:rFonts w:ascii="Arial" w:hAnsi="Arial" w:cs="Arial"/>
        </w:rPr>
      </w:pPr>
    </w:p>
    <w:p w:rsidR="005517B2" w:rsidRDefault="005517B2" w:rsidP="00582238">
      <w:pPr>
        <w:tabs>
          <w:tab w:val="left" w:pos="7380"/>
        </w:tabs>
        <w:rPr>
          <w:rFonts w:ascii="Arial" w:hAnsi="Arial" w:cs="Arial"/>
        </w:rPr>
        <w:sectPr w:rsidR="005517B2">
          <w:footerReference w:type="first" r:id="rId21"/>
          <w:pgSz w:w="12240" w:h="15840" w:code="1"/>
          <w:pgMar w:top="1152" w:right="1008" w:bottom="1008" w:left="1152" w:header="720" w:footer="720" w:gutter="0"/>
          <w:cols w:space="720"/>
          <w:titlePg/>
          <w:docGrid w:linePitch="360"/>
        </w:sectPr>
      </w:pPr>
    </w:p>
    <w:tbl>
      <w:tblPr>
        <w:tblStyle w:val="TableGrid"/>
        <w:tblpPr w:leftFromText="180" w:rightFromText="180" w:vertAnchor="page" w:horzAnchor="page" w:tblpX="2693" w:tblpY="1401"/>
        <w:tblW w:w="14634" w:type="dxa"/>
        <w:tblLook w:val="04A0" w:firstRow="1" w:lastRow="0" w:firstColumn="1" w:lastColumn="0" w:noHBand="0" w:noVBand="1"/>
      </w:tblPr>
      <w:tblGrid>
        <w:gridCol w:w="7038"/>
        <w:gridCol w:w="7596"/>
      </w:tblGrid>
      <w:tr w:rsidR="00CD5DA3">
        <w:trPr>
          <w:trHeight w:val="620"/>
        </w:trPr>
        <w:tc>
          <w:tcPr>
            <w:tcW w:w="7038" w:type="dxa"/>
          </w:tcPr>
          <w:p w:rsidR="00CD5DA3" w:rsidRDefault="00CD5DA3" w:rsidP="00874371">
            <w:pPr>
              <w:pStyle w:val="NoSpacing"/>
              <w:spacing w:before="200"/>
            </w:pPr>
            <w:r w:rsidRPr="00C15E66">
              <w:rPr>
                <w:noProof/>
                <w:sz w:val="24"/>
                <w:szCs w:val="24"/>
              </w:rPr>
              <w:lastRenderedPageBreak/>
              <w:drawing>
                <wp:anchor distT="0" distB="0" distL="114300" distR="114300" simplePos="0" relativeHeight="251675648" behindDoc="0" locked="0" layoutInCell="1" allowOverlap="1" wp14:anchorId="18BCD58D" wp14:editId="1F59413D">
                  <wp:simplePos x="0" y="0"/>
                  <wp:positionH relativeFrom="column">
                    <wp:posOffset>756920</wp:posOffset>
                  </wp:positionH>
                  <wp:positionV relativeFrom="paragraph">
                    <wp:posOffset>69850</wp:posOffset>
                  </wp:positionV>
                  <wp:extent cx="361950" cy="285750"/>
                  <wp:effectExtent l="0" t="0" r="0" b="0"/>
                  <wp:wrapNone/>
                  <wp:docPr id="2" name="Picture 2" descr="Blank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pic:spPr>
                      </pic:pic>
                    </a:graphicData>
                  </a:graphic>
                </wp:anchor>
              </w:drawing>
            </w:r>
            <w:r w:rsidRPr="00C15E66">
              <w:rPr>
                <w:b/>
                <w:bCs/>
                <w:sz w:val="24"/>
                <w:szCs w:val="24"/>
              </w:rPr>
              <w:t>Legend</w:t>
            </w:r>
            <w:r>
              <w:t>:               </w:t>
            </w:r>
            <w:r w:rsidR="00AE154A">
              <w:t xml:space="preserve"> </w:t>
            </w:r>
            <w:r w:rsidR="00C15E66">
              <w:t xml:space="preserve"> </w:t>
            </w:r>
            <w:r>
              <w:t xml:space="preserve">Blank fields require response from applicant </w:t>
            </w:r>
          </w:p>
        </w:tc>
        <w:tc>
          <w:tcPr>
            <w:tcW w:w="7596" w:type="dxa"/>
            <w:vAlign w:val="center"/>
          </w:tcPr>
          <w:p w:rsidR="00AE154A" w:rsidRDefault="00AE154A" w:rsidP="00874371">
            <w:pPr>
              <w:pStyle w:val="NoSpacing"/>
              <w:spacing w:before="200"/>
            </w:pPr>
            <w:r>
              <w:rPr>
                <w:noProof/>
              </w:rPr>
              <w:drawing>
                <wp:anchor distT="0" distB="0" distL="114300" distR="114300" simplePos="0" relativeHeight="251676672" behindDoc="0" locked="0" layoutInCell="1" allowOverlap="1" wp14:anchorId="3E2891C9" wp14:editId="356D9094">
                  <wp:simplePos x="0" y="0"/>
                  <wp:positionH relativeFrom="column">
                    <wp:posOffset>12700</wp:posOffset>
                  </wp:positionH>
                  <wp:positionV relativeFrom="paragraph">
                    <wp:posOffset>40005</wp:posOffset>
                  </wp:positionV>
                  <wp:extent cx="361950" cy="285750"/>
                  <wp:effectExtent l="0" t="0" r="0" b="0"/>
                  <wp:wrapNone/>
                  <wp:docPr id="4" name="Picture 4" descr="Shaded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pic:spPr>
                      </pic:pic>
                    </a:graphicData>
                  </a:graphic>
                </wp:anchor>
              </w:drawing>
            </w:r>
            <w:r>
              <w:t xml:space="preserve">            Shaded fields require no response from applicant</w:t>
            </w:r>
          </w:p>
        </w:tc>
      </w:tr>
      <w:tr w:rsidR="00AE154A">
        <w:trPr>
          <w:trHeight w:val="432"/>
        </w:trPr>
        <w:tc>
          <w:tcPr>
            <w:tcW w:w="14634" w:type="dxa"/>
            <w:gridSpan w:val="2"/>
            <w:vAlign w:val="center"/>
          </w:tcPr>
          <w:p w:rsidR="00AE154A" w:rsidRPr="00C15E66" w:rsidRDefault="00AE154A" w:rsidP="00874371">
            <w:pPr>
              <w:pStyle w:val="NoSpacing"/>
              <w:ind w:left="432" w:hanging="180"/>
            </w:pPr>
            <w:r w:rsidRPr="00C15E66">
              <w:t>* Supporting Documentation and Testing Files eligible for waive out given an applicant’s successful completion of an Establishment Review(s)</w:t>
            </w:r>
          </w:p>
        </w:tc>
      </w:tr>
    </w:tbl>
    <w:p w:rsidR="001128BE" w:rsidRDefault="001128BE" w:rsidP="00186316">
      <w:pPr>
        <w:pStyle w:val="NoSpacing"/>
      </w:pPr>
    </w:p>
    <w:p w:rsidR="00874371" w:rsidRDefault="00874371" w:rsidP="00186316">
      <w:pPr>
        <w:pStyle w:val="NoSpacing"/>
      </w:pPr>
    </w:p>
    <w:p w:rsidR="00874371" w:rsidRDefault="00874371" w:rsidP="00186316">
      <w:pPr>
        <w:pStyle w:val="NoSpacing"/>
        <w:rPr>
          <w:sz w:val="4"/>
          <w:szCs w:val="4"/>
        </w:rPr>
      </w:pPr>
    </w:p>
    <w:p w:rsidR="00874371" w:rsidRDefault="00874371" w:rsidP="00186316">
      <w:pPr>
        <w:pStyle w:val="NoSpacing"/>
        <w:rPr>
          <w:sz w:val="4"/>
          <w:szCs w:val="4"/>
        </w:rPr>
      </w:pPr>
    </w:p>
    <w:p w:rsidR="00874371" w:rsidRDefault="00874371" w:rsidP="00186316">
      <w:pPr>
        <w:pStyle w:val="NoSpacing"/>
        <w:rPr>
          <w:sz w:val="4"/>
          <w:szCs w:val="4"/>
        </w:rPr>
      </w:pPr>
    </w:p>
    <w:p w:rsidR="00874371" w:rsidRDefault="00874371" w:rsidP="00186316">
      <w:pPr>
        <w:pStyle w:val="NoSpacing"/>
        <w:rPr>
          <w:sz w:val="4"/>
          <w:szCs w:val="4"/>
        </w:rPr>
      </w:pPr>
    </w:p>
    <w:p w:rsidR="00874371" w:rsidRDefault="00874371" w:rsidP="00186316">
      <w:pPr>
        <w:pStyle w:val="NoSpacing"/>
        <w:rPr>
          <w:sz w:val="4"/>
          <w:szCs w:val="4"/>
        </w:rPr>
      </w:pPr>
    </w:p>
    <w:p w:rsidR="00874371" w:rsidRDefault="00874371" w:rsidP="00186316">
      <w:pPr>
        <w:pStyle w:val="NoSpacing"/>
        <w:rPr>
          <w:sz w:val="4"/>
          <w:szCs w:val="4"/>
        </w:rPr>
      </w:pPr>
    </w:p>
    <w:p w:rsidR="00874371" w:rsidRPr="00874371" w:rsidRDefault="00874371" w:rsidP="00186316">
      <w:pPr>
        <w:pStyle w:val="NoSpacing"/>
        <w:rPr>
          <w:sz w:val="4"/>
          <w:szCs w:val="4"/>
        </w:rPr>
      </w:pPr>
    </w:p>
    <w:tbl>
      <w:tblPr>
        <w:tblStyle w:val="TableGrid"/>
        <w:tblW w:w="18133" w:type="dxa"/>
        <w:tblLayout w:type="fixed"/>
        <w:tblLook w:val="04A0" w:firstRow="1" w:lastRow="0" w:firstColumn="1" w:lastColumn="0" w:noHBand="0" w:noVBand="1"/>
      </w:tblPr>
      <w:tblGrid>
        <w:gridCol w:w="819"/>
        <w:gridCol w:w="6489"/>
        <w:gridCol w:w="630"/>
        <w:gridCol w:w="925"/>
        <w:gridCol w:w="892"/>
        <w:gridCol w:w="812"/>
        <w:gridCol w:w="635"/>
        <w:gridCol w:w="5761"/>
        <w:gridCol w:w="1170"/>
      </w:tblGrid>
      <w:tr w:rsidR="00FF7EC9" w:rsidRPr="00FF7EC9">
        <w:trPr>
          <w:cantSplit/>
          <w:trHeight w:val="477"/>
          <w:tblHeader/>
        </w:trPr>
        <w:tc>
          <w:tcPr>
            <w:tcW w:w="7308" w:type="dxa"/>
            <w:gridSpan w:val="2"/>
            <w:vMerge w:val="restart"/>
            <w:vAlign w:val="center"/>
          </w:tcPr>
          <w:p w:rsidR="00F26A9F" w:rsidRPr="00FF7EC9" w:rsidRDefault="00F26A9F" w:rsidP="00F26A9F">
            <w:pPr>
              <w:rPr>
                <w:rStyle w:val="Heading2Char"/>
              </w:rPr>
            </w:pPr>
            <w:r w:rsidRPr="00FF7EC9">
              <w:rPr>
                <w:rStyle w:val="Heading2Char"/>
                <w:rFonts w:ascii="Arial" w:hAnsi="Arial"/>
                <w:color w:val="auto"/>
              </w:rPr>
              <w:t>Exchange Activity</w:t>
            </w:r>
          </w:p>
        </w:tc>
        <w:tc>
          <w:tcPr>
            <w:tcW w:w="1555" w:type="dxa"/>
            <w:gridSpan w:val="2"/>
            <w:vAlign w:val="center"/>
          </w:tcPr>
          <w:p w:rsidR="00F26A9F" w:rsidRPr="00FF7EC9" w:rsidRDefault="00F26A9F" w:rsidP="00F26A9F">
            <w:pPr>
              <w:pStyle w:val="Bodywithspecialindent"/>
              <w:spacing w:after="0"/>
              <w:jc w:val="center"/>
              <w:rPr>
                <w:rStyle w:val="Heading2Char"/>
              </w:rPr>
            </w:pPr>
            <w:r w:rsidRPr="00FF7EC9">
              <w:rPr>
                <w:rStyle w:val="Heading2Char"/>
                <w:rFonts w:ascii="Arial" w:hAnsi="Arial"/>
                <w:color w:val="auto"/>
                <w:sz w:val="22"/>
                <w:szCs w:val="22"/>
              </w:rPr>
              <w:t>Attestation</w:t>
            </w:r>
          </w:p>
        </w:tc>
        <w:tc>
          <w:tcPr>
            <w:tcW w:w="2339" w:type="dxa"/>
            <w:gridSpan w:val="3"/>
            <w:vAlign w:val="center"/>
          </w:tcPr>
          <w:p w:rsidR="00F26A9F" w:rsidRPr="00FF7EC9" w:rsidRDefault="00F26A9F" w:rsidP="00F26A9F">
            <w:pPr>
              <w:pStyle w:val="Bodywithspecialindent"/>
              <w:spacing w:after="0"/>
              <w:jc w:val="center"/>
              <w:rPr>
                <w:rStyle w:val="Heading2Char"/>
              </w:rPr>
            </w:pPr>
            <w:r w:rsidRPr="00FF7EC9">
              <w:rPr>
                <w:rStyle w:val="Heading2Char"/>
                <w:rFonts w:ascii="Arial" w:hAnsi="Arial"/>
                <w:color w:val="auto"/>
                <w:sz w:val="22"/>
                <w:szCs w:val="22"/>
              </w:rPr>
              <w:t>Testing Files*</w:t>
            </w:r>
          </w:p>
        </w:tc>
        <w:tc>
          <w:tcPr>
            <w:tcW w:w="5761" w:type="dxa"/>
            <w:vMerge w:val="restart"/>
            <w:vAlign w:val="center"/>
          </w:tcPr>
          <w:p w:rsidR="00F26A9F" w:rsidRPr="00FF7EC9" w:rsidRDefault="00F26A9F" w:rsidP="00F26A9F">
            <w:pPr>
              <w:pStyle w:val="Bodywithspecialindent"/>
              <w:rPr>
                <w:rStyle w:val="Heading2Char"/>
              </w:rPr>
            </w:pPr>
            <w:r w:rsidRPr="00FF7EC9">
              <w:rPr>
                <w:rStyle w:val="Heading2Char"/>
                <w:rFonts w:ascii="Arial" w:hAnsi="Arial"/>
                <w:color w:val="auto"/>
              </w:rPr>
              <w:t>Supporting Documentation*</w:t>
            </w:r>
          </w:p>
        </w:tc>
        <w:tc>
          <w:tcPr>
            <w:tcW w:w="1170" w:type="dxa"/>
            <w:vMerge w:val="restart"/>
            <w:vAlign w:val="center"/>
          </w:tcPr>
          <w:p w:rsidR="00F26A9F" w:rsidRPr="00FF7EC9" w:rsidRDefault="00F26A9F" w:rsidP="00F26A9F">
            <w:pPr>
              <w:pStyle w:val="Bodywithspecialindent"/>
              <w:ind w:left="77" w:hanging="77"/>
              <w:jc w:val="center"/>
              <w:rPr>
                <w:rStyle w:val="Heading2Char"/>
              </w:rPr>
            </w:pPr>
            <w:r w:rsidRPr="00FF7EC9">
              <w:rPr>
                <w:rStyle w:val="Heading2Char"/>
                <w:rFonts w:ascii="Arial" w:hAnsi="Arial"/>
                <w:color w:val="auto"/>
                <w:sz w:val="20"/>
                <w:szCs w:val="20"/>
              </w:rPr>
              <w:t xml:space="preserve">HHS Approval Letter for Waive Out </w:t>
            </w:r>
            <w:r w:rsidRPr="00FF7EC9">
              <w:rPr>
                <w:rStyle w:val="Heading2Char"/>
                <w:rFonts w:ascii="Arial" w:hAnsi="Arial"/>
                <w:color w:val="auto"/>
                <w:sz w:val="20"/>
                <w:szCs w:val="20"/>
              </w:rPr>
              <w:br/>
              <w:t>(X)</w:t>
            </w:r>
          </w:p>
        </w:tc>
      </w:tr>
      <w:tr w:rsidR="00FF7EC9" w:rsidRPr="00FF7EC9">
        <w:trPr>
          <w:cantSplit/>
          <w:trHeight w:val="1340"/>
          <w:tblHeader/>
        </w:trPr>
        <w:tc>
          <w:tcPr>
            <w:tcW w:w="7308" w:type="dxa"/>
            <w:gridSpan w:val="2"/>
            <w:vMerge/>
            <w:textDirection w:val="btLr"/>
          </w:tcPr>
          <w:p w:rsidR="00F26A9F" w:rsidRPr="00FF7EC9" w:rsidRDefault="00F26A9F" w:rsidP="00743767">
            <w:pPr>
              <w:pStyle w:val="Bodywithspecialindent"/>
              <w:ind w:left="113" w:right="113" w:firstLine="0"/>
              <w:jc w:val="center"/>
              <w:rPr>
                <w:rStyle w:val="Heading2Char"/>
              </w:rPr>
            </w:pPr>
          </w:p>
        </w:tc>
        <w:tc>
          <w:tcPr>
            <w:tcW w:w="630" w:type="dxa"/>
            <w:shd w:val="clear" w:color="auto" w:fill="auto"/>
            <w:textDirection w:val="btLr"/>
          </w:tcPr>
          <w:p w:rsidR="00F26A9F" w:rsidRPr="00FF7EC9" w:rsidRDefault="00F26A9F" w:rsidP="00743767">
            <w:pPr>
              <w:pStyle w:val="Bodywithspecialindent"/>
              <w:spacing w:after="0"/>
              <w:ind w:left="115" w:right="115" w:firstLine="0"/>
              <w:jc w:val="center"/>
              <w:rPr>
                <w:rStyle w:val="Heading2Char"/>
              </w:rPr>
            </w:pPr>
            <w:r w:rsidRPr="00FF7EC9">
              <w:rPr>
                <w:rStyle w:val="Heading2Char"/>
                <w:rFonts w:ascii="Arial" w:hAnsi="Arial"/>
                <w:color w:val="auto"/>
                <w:sz w:val="20"/>
                <w:szCs w:val="20"/>
              </w:rPr>
              <w:t>Completed</w:t>
            </w:r>
          </w:p>
          <w:p w:rsidR="00F26A9F" w:rsidRPr="00FF7EC9" w:rsidRDefault="00F26A9F" w:rsidP="00743767">
            <w:pPr>
              <w:pStyle w:val="Bodywithspecialindent"/>
              <w:spacing w:after="0"/>
              <w:ind w:left="115" w:right="115" w:firstLine="0"/>
              <w:jc w:val="center"/>
              <w:rPr>
                <w:rStyle w:val="Heading2Char"/>
              </w:rPr>
            </w:pPr>
            <w:r w:rsidRPr="00FF7EC9">
              <w:rPr>
                <w:rStyle w:val="Heading2Char"/>
                <w:rFonts w:ascii="Arial" w:hAnsi="Arial"/>
                <w:color w:val="auto"/>
                <w:sz w:val="20"/>
                <w:szCs w:val="20"/>
              </w:rPr>
              <w:t>(X)</w:t>
            </w:r>
          </w:p>
        </w:tc>
        <w:tc>
          <w:tcPr>
            <w:tcW w:w="925" w:type="dxa"/>
            <w:shd w:val="clear" w:color="auto" w:fill="auto"/>
            <w:textDirection w:val="btLr"/>
          </w:tcPr>
          <w:p w:rsidR="00F26A9F" w:rsidRPr="00FF7EC9" w:rsidRDefault="00F26A9F" w:rsidP="00743767">
            <w:pPr>
              <w:pStyle w:val="Bodywithspecialindent"/>
              <w:spacing w:after="0"/>
              <w:ind w:left="115" w:right="115" w:firstLine="0"/>
              <w:jc w:val="center"/>
              <w:rPr>
                <w:rStyle w:val="Heading2Char"/>
              </w:rPr>
            </w:pPr>
            <w:r w:rsidRPr="00FF7EC9">
              <w:rPr>
                <w:rStyle w:val="Heading2Char"/>
                <w:rFonts w:ascii="Arial" w:hAnsi="Arial"/>
                <w:color w:val="auto"/>
                <w:sz w:val="20"/>
                <w:szCs w:val="20"/>
              </w:rPr>
              <w:t>Expected Completion</w:t>
            </w:r>
          </w:p>
          <w:p w:rsidR="00F26A9F" w:rsidRPr="00FF7EC9" w:rsidRDefault="00F26A9F" w:rsidP="00743767">
            <w:pPr>
              <w:pStyle w:val="Bodywithspecialindent"/>
              <w:spacing w:after="0"/>
              <w:ind w:left="115" w:right="115" w:firstLine="0"/>
              <w:jc w:val="center"/>
              <w:rPr>
                <w:rStyle w:val="Heading2Char"/>
              </w:rPr>
            </w:pPr>
            <w:r w:rsidRPr="00FF7EC9">
              <w:rPr>
                <w:rStyle w:val="Heading2Char"/>
                <w:rFonts w:ascii="Arial" w:hAnsi="Arial"/>
                <w:color w:val="auto"/>
                <w:sz w:val="20"/>
                <w:szCs w:val="20"/>
              </w:rPr>
              <w:t>(date)</w:t>
            </w:r>
          </w:p>
        </w:tc>
        <w:tc>
          <w:tcPr>
            <w:tcW w:w="892" w:type="dxa"/>
            <w:textDirection w:val="btLr"/>
          </w:tcPr>
          <w:p w:rsidR="00F26A9F" w:rsidRPr="00FF7EC9" w:rsidRDefault="00F26A9F" w:rsidP="00743767">
            <w:pPr>
              <w:pStyle w:val="Bodywithspecialindent"/>
              <w:spacing w:after="0"/>
              <w:ind w:left="115" w:right="115" w:firstLine="0"/>
              <w:jc w:val="center"/>
              <w:rPr>
                <w:rStyle w:val="Heading2Char"/>
              </w:rPr>
            </w:pPr>
            <w:r w:rsidRPr="00FF7EC9">
              <w:rPr>
                <w:rStyle w:val="Heading2Char"/>
                <w:rFonts w:ascii="Arial" w:hAnsi="Arial"/>
                <w:color w:val="auto"/>
                <w:sz w:val="20"/>
                <w:szCs w:val="20"/>
              </w:rPr>
              <w:t>State</w:t>
            </w:r>
            <w:r w:rsidRPr="00FF7EC9">
              <w:rPr>
                <w:rStyle w:val="Heading2Char"/>
                <w:rFonts w:ascii="Arial" w:hAnsi="Arial"/>
                <w:color w:val="auto"/>
                <w:sz w:val="20"/>
                <w:szCs w:val="20"/>
              </w:rPr>
              <w:br/>
              <w:t>Summary</w:t>
            </w:r>
            <w:r w:rsidRPr="00FF7EC9">
              <w:rPr>
                <w:rStyle w:val="Heading2Char"/>
                <w:rFonts w:ascii="Arial" w:hAnsi="Arial"/>
                <w:color w:val="auto"/>
                <w:sz w:val="20"/>
                <w:szCs w:val="20"/>
              </w:rPr>
              <w:br/>
              <w:t>(X)</w:t>
            </w:r>
          </w:p>
        </w:tc>
        <w:tc>
          <w:tcPr>
            <w:tcW w:w="812" w:type="dxa"/>
            <w:textDirection w:val="btLr"/>
          </w:tcPr>
          <w:p w:rsidR="00F26A9F" w:rsidRPr="00FF7EC9" w:rsidRDefault="00973DDC" w:rsidP="00743767">
            <w:pPr>
              <w:pStyle w:val="Bodywithspecialindent"/>
              <w:spacing w:after="0"/>
              <w:ind w:left="113" w:right="113" w:firstLine="0"/>
              <w:jc w:val="center"/>
              <w:rPr>
                <w:rStyle w:val="Heading2Char"/>
              </w:rPr>
            </w:pPr>
            <w:r w:rsidRPr="00FF7EC9">
              <w:rPr>
                <w:rStyle w:val="Heading2Char"/>
                <w:rFonts w:ascii="Arial" w:hAnsi="Arial"/>
                <w:color w:val="auto"/>
                <w:sz w:val="20"/>
                <w:szCs w:val="20"/>
              </w:rPr>
              <w:t>HHS-D</w:t>
            </w:r>
            <w:r w:rsidR="00F26A9F" w:rsidRPr="00FF7EC9">
              <w:rPr>
                <w:rStyle w:val="Heading2Char"/>
                <w:rFonts w:ascii="Arial" w:hAnsi="Arial"/>
                <w:color w:val="auto"/>
                <w:sz w:val="20"/>
                <w:szCs w:val="20"/>
              </w:rPr>
              <w:t>eveloped</w:t>
            </w:r>
            <w:r w:rsidR="00F26A9F" w:rsidRPr="00FF7EC9">
              <w:rPr>
                <w:rStyle w:val="Heading2Char"/>
                <w:rFonts w:ascii="Arial" w:hAnsi="Arial"/>
                <w:color w:val="auto"/>
                <w:sz w:val="20"/>
                <w:szCs w:val="20"/>
              </w:rPr>
              <w:br/>
              <w:t>(X)</w:t>
            </w:r>
          </w:p>
        </w:tc>
        <w:tc>
          <w:tcPr>
            <w:tcW w:w="635" w:type="dxa"/>
            <w:textDirection w:val="btLr"/>
          </w:tcPr>
          <w:p w:rsidR="00F26A9F" w:rsidRPr="00FF7EC9" w:rsidRDefault="00F26A9F" w:rsidP="00743767">
            <w:pPr>
              <w:pStyle w:val="Bodywithspecialindent"/>
              <w:spacing w:after="0"/>
              <w:ind w:left="113" w:right="113" w:firstLine="0"/>
              <w:jc w:val="center"/>
              <w:rPr>
                <w:rStyle w:val="Heading2Char"/>
              </w:rPr>
            </w:pPr>
            <w:r w:rsidRPr="00FF7EC9">
              <w:rPr>
                <w:rStyle w:val="Heading2Char"/>
                <w:rFonts w:ascii="Arial" w:hAnsi="Arial"/>
                <w:color w:val="auto"/>
                <w:sz w:val="20"/>
                <w:szCs w:val="20"/>
              </w:rPr>
              <w:t>IV&amp;V</w:t>
            </w:r>
            <w:r w:rsidRPr="00FF7EC9">
              <w:rPr>
                <w:rStyle w:val="Heading2Char"/>
                <w:rFonts w:ascii="Arial" w:hAnsi="Arial"/>
                <w:color w:val="auto"/>
                <w:sz w:val="20"/>
                <w:szCs w:val="20"/>
              </w:rPr>
              <w:br/>
              <w:t>(X)</w:t>
            </w:r>
          </w:p>
        </w:tc>
        <w:tc>
          <w:tcPr>
            <w:tcW w:w="5761" w:type="dxa"/>
            <w:vMerge/>
          </w:tcPr>
          <w:p w:rsidR="00F26A9F" w:rsidRPr="00FF7EC9" w:rsidRDefault="00F26A9F" w:rsidP="00F26A9F">
            <w:pPr>
              <w:pStyle w:val="Bodywithspecialindent"/>
              <w:jc w:val="center"/>
              <w:rPr>
                <w:rStyle w:val="Heading2Char"/>
              </w:rPr>
            </w:pPr>
          </w:p>
        </w:tc>
        <w:tc>
          <w:tcPr>
            <w:tcW w:w="1170" w:type="dxa"/>
            <w:vMerge/>
          </w:tcPr>
          <w:p w:rsidR="00F26A9F" w:rsidRPr="00FF7EC9" w:rsidRDefault="00F26A9F" w:rsidP="00F26A9F">
            <w:pPr>
              <w:pStyle w:val="Bodywithspecialindent"/>
              <w:ind w:left="77" w:hanging="77"/>
              <w:jc w:val="center"/>
              <w:rPr>
                <w:rStyle w:val="Heading2Char"/>
              </w:rPr>
            </w:pPr>
          </w:p>
        </w:tc>
      </w:tr>
      <w:tr w:rsidR="00FF7EC9" w:rsidRPr="00FF7EC9">
        <w:trPr>
          <w:cantSplit/>
          <w:trHeight w:val="332"/>
        </w:trPr>
        <w:tc>
          <w:tcPr>
            <w:tcW w:w="18133" w:type="dxa"/>
            <w:gridSpan w:val="9"/>
            <w:shd w:val="clear" w:color="auto" w:fill="000000" w:themeFill="text1"/>
          </w:tcPr>
          <w:p w:rsidR="00C9553F" w:rsidRPr="00FF7EC9" w:rsidRDefault="00DC61D5" w:rsidP="00102BD6">
            <w:pPr>
              <w:pStyle w:val="Heading1"/>
              <w:numPr>
                <w:ilvl w:val="0"/>
                <w:numId w:val="0"/>
              </w:numPr>
              <w:pBdr>
                <w:bottom w:val="none" w:sz="0" w:space="0" w:color="auto"/>
              </w:pBdr>
              <w:ind w:left="360" w:hanging="360"/>
              <w:jc w:val="left"/>
              <w:outlineLvl w:val="0"/>
              <w:rPr>
                <w:rStyle w:val="Heading2Char"/>
                <w:rFonts w:eastAsiaTheme="minorHAnsi"/>
                <w:b/>
                <w:bCs w:val="0"/>
              </w:rPr>
            </w:pPr>
            <w:bookmarkStart w:id="9" w:name="_Toc324706210"/>
            <w:bookmarkStart w:id="10" w:name="_Toc329259021"/>
            <w:r w:rsidRPr="00CB4821">
              <w:rPr>
                <w:rStyle w:val="IntenseEmphasis"/>
              </w:rPr>
              <w:t xml:space="preserve">1.0 </w:t>
            </w:r>
            <w:bookmarkEnd w:id="9"/>
            <w:r w:rsidRPr="00CB4821">
              <w:rPr>
                <w:rStyle w:val="IntenseEmphasis"/>
              </w:rPr>
              <w:t>Legal Authority and Governance</w:t>
            </w:r>
            <w:bookmarkEnd w:id="10"/>
          </w:p>
        </w:tc>
      </w:tr>
      <w:tr w:rsidR="00FF7EC9" w:rsidRPr="00FF7EC9">
        <w:trPr>
          <w:cantSplit/>
          <w:trHeight w:val="4670"/>
        </w:trPr>
        <w:tc>
          <w:tcPr>
            <w:tcW w:w="819" w:type="dxa"/>
          </w:tcPr>
          <w:p w:rsidR="00696982" w:rsidRDefault="002B10BC" w:rsidP="008D24BE">
            <w:pPr>
              <w:pStyle w:val="Bodywithspecialindent"/>
              <w:spacing w:beforeLines="40" w:before="96" w:after="120"/>
              <w:ind w:left="0" w:firstLine="0"/>
              <w:rPr>
                <w:rStyle w:val="IntenseEmphasis"/>
                <w:rFonts w:eastAsiaTheme="majorEastAsia"/>
                <w:b/>
                <w:bCs/>
                <w:sz w:val="28"/>
                <w:szCs w:val="28"/>
              </w:rPr>
            </w:pPr>
            <w:r w:rsidRPr="00FF7EC9">
              <w:rPr>
                <w:rStyle w:val="IntenseEmphasis"/>
              </w:rPr>
              <w:t>1.1</w:t>
            </w:r>
          </w:p>
        </w:tc>
        <w:tc>
          <w:tcPr>
            <w:tcW w:w="6489" w:type="dxa"/>
          </w:tcPr>
          <w:p w:rsidR="002B10BC" w:rsidRPr="00FF7EC9" w:rsidRDefault="002B10BC" w:rsidP="008D24BE">
            <w:pPr>
              <w:pStyle w:val="Bodywithspecialindent"/>
              <w:spacing w:beforeLines="40" w:before="96" w:after="120"/>
              <w:ind w:left="0" w:firstLine="0"/>
              <w:rPr>
                <w:rStyle w:val="IntenseEmphasis"/>
              </w:rPr>
            </w:pPr>
            <w:r w:rsidRPr="00FF7EC9">
              <w:rPr>
                <w:rStyle w:val="Heading2Char"/>
                <w:rFonts w:ascii="Arial" w:hAnsi="Arial"/>
                <w:b w:val="0"/>
                <w:color w:val="auto"/>
                <w:sz w:val="22"/>
                <w:szCs w:val="22"/>
              </w:rPr>
              <w:t>The State has enabling authority to operate an Affordable Insurance Exchange, including a</w:t>
            </w:r>
            <w:r w:rsidRPr="00FF7EC9">
              <w:rPr>
                <w:rFonts w:cs="Arial"/>
              </w:rPr>
              <w:t xml:space="preserve"> Small Business Health Options Program (SHOP), compliant with Affordable Care Act Section 1321(b) and implementing regulations.</w:t>
            </w:r>
          </w:p>
        </w:tc>
        <w:tc>
          <w:tcPr>
            <w:tcW w:w="630" w:type="dxa"/>
            <w:shd w:val="clear" w:color="auto" w:fill="auto"/>
          </w:tcPr>
          <w:p w:rsidR="005F3385" w:rsidRDefault="005F3385" w:rsidP="008D24BE">
            <w:pPr>
              <w:pStyle w:val="Bodywithspecialindent"/>
              <w:spacing w:beforeLines="40" w:before="96" w:after="120"/>
              <w:ind w:left="0" w:firstLine="0"/>
              <w:rPr>
                <w:rStyle w:val="Heading2Char"/>
                <w:rFonts w:eastAsiaTheme="majorEastAsia"/>
                <w:b w:val="0"/>
                <w:bCs/>
              </w:rPr>
            </w:pPr>
          </w:p>
        </w:tc>
        <w:tc>
          <w:tcPr>
            <w:tcW w:w="925" w:type="dxa"/>
            <w:shd w:val="clear" w:color="auto" w:fill="auto"/>
          </w:tcPr>
          <w:p w:rsidR="005F3385" w:rsidRDefault="005F3385" w:rsidP="008D24BE">
            <w:pPr>
              <w:pStyle w:val="Bodywithspecialindent"/>
              <w:spacing w:beforeLines="40" w:before="96" w:after="120"/>
              <w:ind w:left="0" w:firstLine="0"/>
              <w:rPr>
                <w:rStyle w:val="Heading2Char"/>
                <w:rFonts w:eastAsiaTheme="majorEastAsia"/>
                <w:b w:val="0"/>
                <w:bC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Heading2Char"/>
                <w:rFonts w:eastAsiaTheme="majorEastAsia"/>
                <w:b w:val="0"/>
                <w:bCs/>
              </w:rPr>
            </w:pPr>
          </w:p>
        </w:tc>
        <w:tc>
          <w:tcPr>
            <w:tcW w:w="812" w:type="dxa"/>
            <w:shd w:val="clear" w:color="auto" w:fill="808080" w:themeFill="background1" w:themeFillShade="80"/>
          </w:tcPr>
          <w:p w:rsidR="003B0028" w:rsidRDefault="003B0028" w:rsidP="008D24BE">
            <w:pPr>
              <w:pStyle w:val="Bodywithspecialindent"/>
              <w:spacing w:beforeLines="40" w:before="96" w:after="0"/>
              <w:ind w:left="0" w:firstLine="0"/>
              <w:rPr>
                <w:rStyle w:val="Heading2Char"/>
                <w:rFonts w:eastAsiaTheme="majorEastAsia"/>
                <w:b w:val="0"/>
                <w:bCs/>
              </w:rPr>
            </w:pPr>
          </w:p>
        </w:tc>
        <w:tc>
          <w:tcPr>
            <w:tcW w:w="635" w:type="dxa"/>
            <w:shd w:val="clear" w:color="auto" w:fill="808080" w:themeFill="background1" w:themeFillShade="80"/>
          </w:tcPr>
          <w:p w:rsidR="003B0028" w:rsidRDefault="003B0028" w:rsidP="008D24BE">
            <w:pPr>
              <w:pStyle w:val="Bodywithspecialindent"/>
              <w:spacing w:beforeLines="40" w:before="96" w:after="0"/>
              <w:ind w:left="0" w:firstLine="0"/>
              <w:rPr>
                <w:rStyle w:val="Heading2Char"/>
                <w:rFonts w:eastAsiaTheme="majorEastAsia"/>
                <w:b w:val="0"/>
                <w:bCs/>
              </w:rPr>
            </w:pPr>
          </w:p>
        </w:tc>
        <w:tc>
          <w:tcPr>
            <w:tcW w:w="5761" w:type="dxa"/>
          </w:tcPr>
          <w:p w:rsidR="003B0028" w:rsidRDefault="002B10BC" w:rsidP="008D24BE">
            <w:pPr>
              <w:pStyle w:val="Bodywithspecialindent"/>
              <w:spacing w:beforeLines="40" w:before="96" w:after="0"/>
              <w:ind w:left="0" w:firstLine="0"/>
              <w:rPr>
                <w:rStyle w:val="Heading2Char"/>
                <w:rFonts w:eastAsiaTheme="majorEastAsia"/>
                <w:b w:val="0"/>
                <w:bCs/>
              </w:rPr>
            </w:pPr>
            <w:r w:rsidRPr="00FF7EC9">
              <w:rPr>
                <w:rStyle w:val="Heading2Char"/>
                <w:rFonts w:ascii="Arial" w:hAnsi="Arial"/>
                <w:b w:val="0"/>
                <w:color w:val="auto"/>
                <w:sz w:val="22"/>
                <w:szCs w:val="22"/>
              </w:rPr>
              <w:t>Copy of current law and/or regulation that indicates that the State has necessary legal authority to establish an Exchange or that establishes the Exchange.</w:t>
            </w:r>
          </w:p>
          <w:p w:rsidR="003B0028" w:rsidRDefault="002B10BC" w:rsidP="008D24BE">
            <w:pPr>
              <w:pStyle w:val="Bodywithspecialindent"/>
              <w:spacing w:beforeLines="40" w:before="96" w:after="0"/>
              <w:ind w:left="0" w:firstLine="0"/>
              <w:rPr>
                <w:rStyle w:val="Heading2Char"/>
                <w:rFonts w:eastAsiaTheme="majorEastAsia"/>
                <w:b w:val="0"/>
                <w:bCs/>
              </w:rPr>
            </w:pPr>
            <w:r w:rsidRPr="00FF7EC9">
              <w:rPr>
                <w:rStyle w:val="Heading2Char"/>
                <w:rFonts w:ascii="Arial" w:hAnsi="Arial"/>
                <w:i/>
                <w:color w:val="auto"/>
                <w:sz w:val="22"/>
                <w:szCs w:val="22"/>
              </w:rPr>
              <w:t>OR</w:t>
            </w:r>
          </w:p>
          <w:p w:rsidR="003B0028" w:rsidRDefault="00743A8B" w:rsidP="008D24BE">
            <w:pPr>
              <w:pStyle w:val="Bodywithspecialindent"/>
              <w:spacing w:beforeLines="40" w:before="96" w:after="0"/>
              <w:ind w:left="0" w:firstLine="0"/>
              <w:rPr>
                <w:rStyle w:val="Heading2Char"/>
                <w:rFonts w:eastAsiaTheme="majorEastAsia"/>
                <w:b w:val="0"/>
                <w:bCs/>
              </w:rPr>
            </w:pPr>
            <w:r w:rsidRPr="00743A8B">
              <w:rPr>
                <w:rStyle w:val="Heading2Char"/>
                <w:rFonts w:ascii="Arial" w:hAnsi="Arial"/>
                <w:b w:val="0"/>
                <w:color w:val="auto"/>
                <w:sz w:val="22"/>
                <w:szCs w:val="22"/>
              </w:rPr>
              <w:t>Other legislation or general authority (e.g., Executive Order) that the State has determined provides the necessary legal authority to establish an Exchange.</w:t>
            </w:r>
          </w:p>
          <w:p w:rsidR="003B0028" w:rsidRDefault="00565C85" w:rsidP="008D24BE">
            <w:pPr>
              <w:pStyle w:val="Bodywithspecialindent"/>
              <w:spacing w:beforeLines="40" w:before="96" w:after="0"/>
              <w:ind w:left="0" w:firstLine="0"/>
              <w:rPr>
                <w:rStyle w:val="Heading2Char"/>
                <w:rFonts w:eastAsiaTheme="majorEastAsia"/>
                <w:b w:val="0"/>
                <w:bCs/>
              </w:rPr>
            </w:pPr>
            <w:r w:rsidRPr="00565C85">
              <w:rPr>
                <w:rFonts w:cs="Arial"/>
                <w:i/>
              </w:rPr>
              <w:t xml:space="preserve">If the SHOP was separately authorized from the Exchange, pursuant to Affordable Care Act </w:t>
            </w:r>
            <w:r w:rsidRPr="00565C85">
              <w:rPr>
                <w:rFonts w:eastAsia="Times New Roman" w:cs="Arial"/>
                <w:i/>
                <w:color w:val="000000"/>
              </w:rPr>
              <w:t xml:space="preserve">§ </w:t>
            </w:r>
            <w:r w:rsidRPr="00565C85">
              <w:rPr>
                <w:rFonts w:cs="Arial"/>
                <w:i/>
              </w:rPr>
              <w:t>1321(b),</w:t>
            </w:r>
            <w:r w:rsidRPr="00D97078">
              <w:rPr>
                <w:rFonts w:cs="Arial"/>
              </w:rPr>
              <w:t xml:space="preserve"> provide documentation demonstrating that the State has enabling authority to establish and operate a SHOP.</w:t>
            </w:r>
          </w:p>
          <w:p w:rsidR="003B0028" w:rsidRDefault="003B0028" w:rsidP="008D24BE">
            <w:pPr>
              <w:pStyle w:val="Bodywithspecialindent"/>
              <w:spacing w:beforeLines="40" w:before="96" w:after="0"/>
              <w:ind w:left="0" w:firstLine="0"/>
              <w:rPr>
                <w:rStyle w:val="Heading2Char"/>
                <w:rFonts w:eastAsiaTheme="majorEastAsia"/>
                <w:b w:val="0"/>
                <w:bCs/>
              </w:rPr>
            </w:pPr>
          </w:p>
          <w:p w:rsidR="003B0028" w:rsidRDefault="002B10BC" w:rsidP="008D24BE">
            <w:pPr>
              <w:pStyle w:val="Bodywithspecialindent"/>
              <w:spacing w:beforeLines="40" w:before="96" w:after="0"/>
              <w:ind w:left="0" w:firstLine="0"/>
              <w:rPr>
                <w:rStyle w:val="Heading2Char"/>
                <w:rFonts w:eastAsiaTheme="majorEastAsia"/>
                <w:b w:val="0"/>
                <w:bCs/>
              </w:rPr>
            </w:pPr>
            <w:r w:rsidRPr="00FF7EC9">
              <w:rPr>
                <w:rStyle w:val="Heading2Char"/>
                <w:rFonts w:ascii="Arial" w:hAnsi="Arial"/>
                <w:i/>
                <w:color w:val="auto"/>
                <w:sz w:val="22"/>
                <w:szCs w:val="22"/>
              </w:rPr>
              <w:t>AND</w:t>
            </w:r>
          </w:p>
          <w:p w:rsidR="003B0028" w:rsidRDefault="008141CB" w:rsidP="008D24BE">
            <w:pPr>
              <w:pStyle w:val="Bodywithspecialindent"/>
              <w:spacing w:beforeLines="40" w:before="96" w:after="0"/>
              <w:ind w:left="0" w:firstLine="0"/>
              <w:rPr>
                <w:rStyle w:val="Heading2Char"/>
                <w:rFonts w:eastAsiaTheme="majorEastAsia"/>
                <w:b w:val="0"/>
                <w:bCs/>
              </w:rPr>
            </w:pPr>
            <w:r w:rsidRPr="008D24BE">
              <w:rPr>
                <w:rStyle w:val="Heading2Char"/>
                <w:rFonts w:ascii="Arial" w:hAnsi="Arial"/>
                <w:b w:val="0"/>
                <w:i/>
                <w:color w:val="auto"/>
                <w:sz w:val="22"/>
                <w:szCs w:val="22"/>
              </w:rPr>
              <w:t>If authority is not clear on its face</w:t>
            </w:r>
            <w:r w:rsidR="00565C85">
              <w:rPr>
                <w:rStyle w:val="Heading2Char"/>
                <w:rFonts w:ascii="Arial" w:hAnsi="Arial"/>
                <w:b w:val="0"/>
                <w:color w:val="auto"/>
                <w:sz w:val="22"/>
                <w:szCs w:val="22"/>
              </w:rPr>
              <w:t>, provide a</w:t>
            </w:r>
            <w:r w:rsidR="002B10BC" w:rsidRPr="00FF7EC9">
              <w:rPr>
                <w:rStyle w:val="Heading2Char"/>
                <w:rFonts w:ascii="Arial" w:hAnsi="Arial"/>
                <w:b w:val="0"/>
                <w:color w:val="auto"/>
                <w:sz w:val="22"/>
                <w:szCs w:val="22"/>
              </w:rPr>
              <w:t xml:space="preserve"> Statement from the legal counsel of the office of the applicant, the Governor’s legal counsel, or the State’s Attorney General’s Office (correspondence or a formal legal opinion) certifying that the State is authorized to establish an Exchange under State law.</w:t>
            </w:r>
            <w:r w:rsidR="002B10BC" w:rsidRPr="00FF7EC9">
              <w:rPr>
                <w:rStyle w:val="Heading2Char"/>
                <w:rFonts w:ascii="Arial" w:hAnsi="Arial"/>
                <w:b w:val="0"/>
                <w:color w:val="auto"/>
                <w:sz w:val="22"/>
                <w:szCs w:val="22"/>
              </w:rPr>
              <w:br/>
            </w:r>
          </w:p>
        </w:tc>
        <w:tc>
          <w:tcPr>
            <w:tcW w:w="1170" w:type="dxa"/>
          </w:tcPr>
          <w:p w:rsidR="003B0028" w:rsidRDefault="003B0028" w:rsidP="008D24BE">
            <w:pPr>
              <w:pStyle w:val="Bodywithspecialindent"/>
              <w:spacing w:beforeLines="40" w:before="96" w:after="0"/>
              <w:ind w:left="0" w:firstLine="0"/>
              <w:rPr>
                <w:rStyle w:val="Heading2Char"/>
              </w:rPr>
            </w:pPr>
          </w:p>
        </w:tc>
      </w:tr>
      <w:tr w:rsidR="00FF7EC9" w:rsidRPr="00FF7EC9">
        <w:tc>
          <w:tcPr>
            <w:tcW w:w="819" w:type="dxa"/>
          </w:tcPr>
          <w:p w:rsidR="002B10BC" w:rsidRPr="00FF7EC9" w:rsidRDefault="002B10BC" w:rsidP="008D24BE">
            <w:pPr>
              <w:pStyle w:val="Bodywithspecialindent"/>
              <w:spacing w:beforeLines="40" w:before="96" w:after="120"/>
              <w:rPr>
                <w:rStyle w:val="IntenseEmphasis"/>
              </w:rPr>
            </w:pPr>
            <w:r w:rsidRPr="00FF7EC9">
              <w:rPr>
                <w:rStyle w:val="IntenseEmphasis"/>
              </w:rPr>
              <w:t>1.2</w:t>
            </w:r>
          </w:p>
        </w:tc>
        <w:tc>
          <w:tcPr>
            <w:tcW w:w="6489" w:type="dxa"/>
          </w:tcPr>
          <w:p w:rsidR="005F3385" w:rsidRDefault="00565C85" w:rsidP="008D24BE">
            <w:pPr>
              <w:pStyle w:val="Bodywithspecialindent"/>
              <w:spacing w:beforeLines="40" w:before="96" w:after="120"/>
              <w:ind w:left="0" w:firstLine="0"/>
              <w:rPr>
                <w:rFonts w:eastAsia="Times New Roman"/>
              </w:rPr>
            </w:pPr>
            <w:r>
              <w:t xml:space="preserve">The Exchange has been established </w:t>
            </w:r>
            <w:r w:rsidRPr="00E14A62">
              <w:t xml:space="preserve">in compliance with </w:t>
            </w:r>
            <w:r w:rsidRPr="00E14A62">
              <w:lastRenderedPageBreak/>
              <w:t>Affordable Care Act 1311(d)</w:t>
            </w:r>
            <w:r>
              <w:t xml:space="preserve"> </w:t>
            </w:r>
            <w:r w:rsidRPr="00E14A62">
              <w:t xml:space="preserve">and </w:t>
            </w:r>
            <w:r w:rsidRPr="00E14A62">
              <w:rPr>
                <w:rFonts w:eastAsia="Times New Roman"/>
              </w:rPr>
              <w:t>45 CFR 155.110.</w:t>
            </w:r>
          </w:p>
          <w:p w:rsidR="005F3385" w:rsidRDefault="005F3385" w:rsidP="008D24BE">
            <w:pPr>
              <w:pStyle w:val="Bodywithspecialindent"/>
              <w:spacing w:beforeLines="40" w:before="96" w:after="120"/>
              <w:ind w:left="0" w:firstLine="0"/>
              <w:rPr>
                <w:rFonts w:eastAsia="Times New Roman"/>
              </w:rPr>
            </w:pPr>
          </w:p>
          <w:p w:rsidR="005F3385" w:rsidRDefault="0005110B" w:rsidP="008D24BE">
            <w:pPr>
              <w:pStyle w:val="Bodywithspecialindent"/>
              <w:spacing w:beforeLines="40" w:before="96" w:after="120"/>
              <w:ind w:left="0" w:firstLine="0"/>
              <w:rPr>
                <w:rStyle w:val="IntenseEmphasis"/>
              </w:rPr>
            </w:pPr>
            <w:r w:rsidRPr="00D22A9F">
              <w:rPr>
                <w:rFonts w:cs="Arial"/>
              </w:rPr>
              <w:t>If State agency</w:t>
            </w:r>
            <w:r>
              <w:rPr>
                <w:rFonts w:cs="Arial"/>
              </w:rPr>
              <w:t>,</w:t>
            </w:r>
            <w:r w:rsidRPr="00D22A9F">
              <w:rPr>
                <w:rFonts w:cs="Arial"/>
              </w:rPr>
              <w:t xml:space="preserve"> please proceed to </w:t>
            </w:r>
            <w:r>
              <w:rPr>
                <w:rFonts w:cs="Arial"/>
              </w:rPr>
              <w:t>S</w:t>
            </w:r>
            <w:r w:rsidRPr="00D22A9F">
              <w:rPr>
                <w:rFonts w:cs="Arial"/>
              </w:rPr>
              <w:t>ection 2.</w:t>
            </w:r>
          </w:p>
        </w:tc>
        <w:tc>
          <w:tcPr>
            <w:tcW w:w="630" w:type="dxa"/>
            <w:shd w:val="clear" w:color="auto" w:fill="auto"/>
          </w:tcPr>
          <w:p w:rsidR="003B0028" w:rsidRDefault="003B0028" w:rsidP="008D24BE">
            <w:pPr>
              <w:pStyle w:val="Bodywithspecialindent"/>
              <w:spacing w:beforeLines="40" w:before="96" w:after="120"/>
              <w:ind w:left="0" w:firstLine="0"/>
              <w:jc w:val="center"/>
              <w:rPr>
                <w:rStyle w:val="IntenseEmphasis"/>
              </w:rPr>
            </w:pPr>
          </w:p>
        </w:tc>
        <w:tc>
          <w:tcPr>
            <w:tcW w:w="925" w:type="dxa"/>
            <w:shd w:val="clear" w:color="auto" w:fill="auto"/>
          </w:tcPr>
          <w:p w:rsidR="003B0028" w:rsidRDefault="003B0028"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5761" w:type="dxa"/>
            <w:shd w:val="clear" w:color="auto" w:fill="FFFFFF" w:themeFill="background1"/>
          </w:tcPr>
          <w:p w:rsidR="003B0028" w:rsidRDefault="00565C85" w:rsidP="008D24BE">
            <w:pPr>
              <w:pStyle w:val="Bodywithspecialindent"/>
              <w:spacing w:beforeLines="40" w:before="96" w:after="120"/>
              <w:ind w:left="0" w:firstLine="0"/>
              <w:rPr>
                <w:rStyle w:val="IntenseEmphasis"/>
              </w:rPr>
            </w:pPr>
            <w:r>
              <w:rPr>
                <w:rFonts w:cs="Arial"/>
              </w:rPr>
              <w:t xml:space="preserve"> Brief description of governance structure (e.g., State agency, non-profit organization). </w:t>
            </w:r>
            <w:r>
              <w:rPr>
                <w:rFonts w:cs="Arial"/>
                <w:b/>
              </w:rPr>
              <w:t xml:space="preserve">If State agency please </w:t>
            </w:r>
            <w:r>
              <w:rPr>
                <w:rFonts w:cs="Arial"/>
                <w:b/>
              </w:rPr>
              <w:lastRenderedPageBreak/>
              <w:t>proceed to Section 2.</w:t>
            </w:r>
          </w:p>
        </w:tc>
        <w:tc>
          <w:tcPr>
            <w:tcW w:w="1170" w:type="dxa"/>
            <w:shd w:val="clear" w:color="auto" w:fill="FFFFFF" w:themeFill="background1"/>
          </w:tcPr>
          <w:p w:rsidR="003B0028" w:rsidRDefault="003B0028" w:rsidP="008D24BE">
            <w:pPr>
              <w:pStyle w:val="Bodywithspecialindent"/>
              <w:spacing w:beforeLines="40" w:before="96" w:after="120"/>
              <w:ind w:left="0" w:firstLine="0"/>
              <w:rPr>
                <w:rFonts w:cs="Arial"/>
              </w:rPr>
            </w:pPr>
          </w:p>
        </w:tc>
      </w:tr>
      <w:tr w:rsidR="00FF7EC9" w:rsidRPr="00FF7EC9">
        <w:tc>
          <w:tcPr>
            <w:tcW w:w="819" w:type="dxa"/>
          </w:tcPr>
          <w:p w:rsidR="002B10BC" w:rsidRPr="00FF7EC9" w:rsidRDefault="002B10BC" w:rsidP="008D24BE">
            <w:pPr>
              <w:pStyle w:val="Bodywithspecialindent"/>
              <w:spacing w:beforeLines="40" w:before="96" w:after="120"/>
              <w:rPr>
                <w:rStyle w:val="IntenseEmphasis"/>
              </w:rPr>
            </w:pPr>
            <w:r w:rsidRPr="00FF7EC9">
              <w:rPr>
                <w:rStyle w:val="IntenseEmphasis"/>
              </w:rPr>
              <w:lastRenderedPageBreak/>
              <w:t>1.2a</w:t>
            </w:r>
          </w:p>
        </w:tc>
        <w:tc>
          <w:tcPr>
            <w:tcW w:w="6489" w:type="dxa"/>
            <w:shd w:val="clear" w:color="auto" w:fill="auto"/>
          </w:tcPr>
          <w:p w:rsidR="005F3385" w:rsidRDefault="0051548E" w:rsidP="008D24BE">
            <w:pPr>
              <w:pStyle w:val="Bodywithspecialindent"/>
              <w:spacing w:beforeLines="40" w:before="96" w:after="120"/>
              <w:ind w:left="0" w:firstLine="0"/>
              <w:rPr>
                <w:rStyle w:val="IntenseEmphasis"/>
              </w:rPr>
            </w:pPr>
            <w:r>
              <w:t xml:space="preserve">The Exchange board and governance structure has been </w:t>
            </w:r>
            <w:r w:rsidRPr="007E6BFE">
              <w:t xml:space="preserve">established </w:t>
            </w:r>
            <w:r w:rsidRPr="00E14A62">
              <w:t>in compliance with Affordable Care Act 1311(d)</w:t>
            </w:r>
            <w:r>
              <w:t xml:space="preserve"> </w:t>
            </w:r>
            <w:r w:rsidRPr="00E14A62">
              <w:t xml:space="preserve">and </w:t>
            </w:r>
            <w:r w:rsidRPr="00E14A62">
              <w:rPr>
                <w:rFonts w:eastAsia="Times New Roman"/>
              </w:rPr>
              <w:t>45 CFR 155.110.</w:t>
            </w:r>
          </w:p>
        </w:tc>
        <w:tc>
          <w:tcPr>
            <w:tcW w:w="630" w:type="dxa"/>
            <w:shd w:val="clear" w:color="auto" w:fill="auto"/>
          </w:tcPr>
          <w:p w:rsidR="005F3385" w:rsidRDefault="005F3385" w:rsidP="008D24BE">
            <w:pPr>
              <w:pStyle w:val="Bodywithspecialindent"/>
              <w:spacing w:beforeLines="40" w:before="96" w:after="120"/>
              <w:ind w:left="0" w:firstLine="0"/>
              <w:jc w:val="center"/>
              <w:rPr>
                <w:rStyle w:val="IntenseEmphasis"/>
              </w:rPr>
            </w:pPr>
          </w:p>
        </w:tc>
        <w:tc>
          <w:tcPr>
            <w:tcW w:w="925" w:type="dxa"/>
            <w:shd w:val="clear" w:color="auto" w:fill="auto"/>
          </w:tcPr>
          <w:p w:rsidR="003B0028" w:rsidRDefault="003B0028" w:rsidP="008D24BE">
            <w:pPr>
              <w:pStyle w:val="Bodywithspecialindent"/>
              <w:spacing w:beforeLines="40" w:before="96" w:after="120"/>
              <w:ind w:left="0" w:firstLine="0"/>
              <w:jc w:val="center"/>
              <w:rPr>
                <w:rStyle w:val="IntenseEmphasis"/>
              </w:rPr>
            </w:pPr>
          </w:p>
        </w:tc>
        <w:tc>
          <w:tcPr>
            <w:tcW w:w="892" w:type="dxa"/>
            <w:shd w:val="clear" w:color="auto" w:fill="7F7F7F" w:themeFill="text1" w:themeFillTint="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7F7F7F" w:themeFill="text1" w:themeFillTint="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7F7F7F" w:themeFill="text1" w:themeFillTint="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auto"/>
          </w:tcPr>
          <w:p w:rsidR="003B0028" w:rsidRDefault="00565C85" w:rsidP="008D24BE">
            <w:pPr>
              <w:pStyle w:val="Bodywithspecialindent"/>
              <w:spacing w:beforeLines="40" w:before="96" w:after="120"/>
              <w:ind w:left="0" w:firstLine="0"/>
              <w:rPr>
                <w:rStyle w:val="IntenseEmphasis"/>
              </w:rPr>
            </w:pPr>
            <w:r>
              <w:rPr>
                <w:rFonts w:cs="Arial"/>
              </w:rPr>
              <w:t>B</w:t>
            </w:r>
            <w:r w:rsidRPr="007E6BFE">
              <w:rPr>
                <w:rFonts w:cs="Arial"/>
              </w:rPr>
              <w:t xml:space="preserve">rief description of board composition, including board members’ affiliations </w:t>
            </w:r>
            <w:r>
              <w:rPr>
                <w:rFonts w:cs="Arial"/>
              </w:rPr>
              <w:t>and any consumer representation.  Note any differences in board composition and governance structure for SHOP.</w:t>
            </w:r>
          </w:p>
        </w:tc>
        <w:tc>
          <w:tcPr>
            <w:tcW w:w="1170" w:type="dxa"/>
            <w:shd w:val="clear" w:color="auto" w:fill="auto"/>
          </w:tcPr>
          <w:p w:rsidR="003B0028" w:rsidRDefault="003B0028" w:rsidP="008D24BE">
            <w:pPr>
              <w:pStyle w:val="Bodywithspecialindent"/>
              <w:spacing w:beforeLines="40" w:before="96" w:after="120"/>
              <w:ind w:left="0" w:firstLine="0"/>
              <w:rPr>
                <w:rStyle w:val="IntenseEmphasis"/>
              </w:rPr>
            </w:pPr>
          </w:p>
        </w:tc>
      </w:tr>
      <w:tr w:rsidR="00FF7EC9" w:rsidRPr="00FF7EC9">
        <w:tc>
          <w:tcPr>
            <w:tcW w:w="819" w:type="dxa"/>
          </w:tcPr>
          <w:p w:rsidR="002B10BC" w:rsidRPr="00FF7EC9" w:rsidRDefault="002B10BC" w:rsidP="008D24BE">
            <w:pPr>
              <w:pStyle w:val="Bodywithspecialindent"/>
              <w:spacing w:beforeLines="40" w:before="96" w:after="120"/>
              <w:rPr>
                <w:rStyle w:val="IntenseEmphasis"/>
              </w:rPr>
            </w:pPr>
            <w:r w:rsidRPr="00FF7EC9">
              <w:rPr>
                <w:rStyle w:val="IntenseEmphasis"/>
              </w:rPr>
              <w:t>1.2b</w:t>
            </w:r>
          </w:p>
        </w:tc>
        <w:tc>
          <w:tcPr>
            <w:tcW w:w="6489" w:type="dxa"/>
          </w:tcPr>
          <w:p w:rsidR="005F3385" w:rsidRDefault="002B10BC" w:rsidP="008D24BE">
            <w:pPr>
              <w:pStyle w:val="Bodywithspecialindent"/>
              <w:spacing w:beforeLines="40" w:before="96" w:after="120"/>
              <w:ind w:left="0" w:firstLine="0"/>
              <w:rPr>
                <w:rStyle w:val="IntenseEmphasis"/>
              </w:rPr>
            </w:pPr>
            <w:r w:rsidRPr="00FF7EC9">
              <w:rPr>
                <w:rFonts w:cs="Arial"/>
              </w:rPr>
              <w:t>The Exchange has a formal, publicly-adopted charter or bylaws.</w:t>
            </w:r>
          </w:p>
        </w:tc>
        <w:tc>
          <w:tcPr>
            <w:tcW w:w="630" w:type="dxa"/>
          </w:tcPr>
          <w:p w:rsidR="005F3385" w:rsidRDefault="005F3385" w:rsidP="008D24BE">
            <w:pPr>
              <w:pStyle w:val="Bodywithspecialindent"/>
              <w:spacing w:beforeLines="40" w:before="96" w:after="120"/>
              <w:ind w:left="0" w:firstLine="0"/>
              <w:jc w:val="center"/>
              <w:rPr>
                <w:rStyle w:val="IntenseEmphasis"/>
              </w:rPr>
            </w:pPr>
          </w:p>
        </w:tc>
        <w:tc>
          <w:tcPr>
            <w:tcW w:w="925" w:type="dxa"/>
          </w:tcPr>
          <w:p w:rsidR="003B0028" w:rsidRDefault="003B0028"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FF7EC9" w:rsidRPr="00FF7EC9">
        <w:tc>
          <w:tcPr>
            <w:tcW w:w="819" w:type="dxa"/>
          </w:tcPr>
          <w:p w:rsidR="002B10BC" w:rsidRPr="00FF7EC9" w:rsidRDefault="002B10BC" w:rsidP="008D24BE">
            <w:pPr>
              <w:pStyle w:val="Bodywithspecialindent"/>
              <w:spacing w:beforeLines="40" w:before="96" w:after="120"/>
              <w:rPr>
                <w:rStyle w:val="IntenseEmphasis"/>
              </w:rPr>
            </w:pPr>
            <w:r w:rsidRPr="00FF7EC9">
              <w:rPr>
                <w:rStyle w:val="IntenseEmphasis"/>
              </w:rPr>
              <w:t>1.2c</w:t>
            </w:r>
          </w:p>
        </w:tc>
        <w:tc>
          <w:tcPr>
            <w:tcW w:w="6489" w:type="dxa"/>
          </w:tcPr>
          <w:p w:rsidR="005F3385" w:rsidRDefault="002B10BC" w:rsidP="008D24BE">
            <w:pPr>
              <w:pStyle w:val="Bodywithspecialindent"/>
              <w:spacing w:beforeLines="40" w:before="96" w:after="120"/>
              <w:ind w:left="0" w:firstLine="0"/>
              <w:rPr>
                <w:rStyle w:val="IntenseEmphasis"/>
              </w:rPr>
            </w:pPr>
            <w:r w:rsidRPr="00FF7EC9">
              <w:rPr>
                <w:rFonts w:cs="Arial"/>
                <w:i/>
              </w:rPr>
              <w:t xml:space="preserve">: </w:t>
            </w:r>
            <w:r w:rsidRPr="00FF7EC9">
              <w:rPr>
                <w:rFonts w:cs="Arial"/>
              </w:rPr>
              <w:t xml:space="preserve">The Exchange has </w:t>
            </w:r>
            <w:r w:rsidR="000F6FAB">
              <w:t xml:space="preserve">established governance policies in compliance with 45 CFR 155.110(d) and </w:t>
            </w:r>
            <w:r w:rsidRPr="00FF7EC9">
              <w:rPr>
                <w:rFonts w:cs="Arial"/>
              </w:rPr>
              <w:t>obtained conflict of interest disclosures from board members, including disclosures of financial interest.</w:t>
            </w:r>
          </w:p>
        </w:tc>
        <w:tc>
          <w:tcPr>
            <w:tcW w:w="630" w:type="dxa"/>
          </w:tcPr>
          <w:p w:rsidR="005F3385" w:rsidRDefault="005F3385" w:rsidP="008D24BE">
            <w:pPr>
              <w:pStyle w:val="Bodywithspecialindent"/>
              <w:spacing w:beforeLines="40" w:before="96" w:after="120"/>
              <w:ind w:left="0" w:firstLine="0"/>
              <w:jc w:val="center"/>
              <w:rPr>
                <w:rStyle w:val="IntenseEmphasis"/>
              </w:rPr>
            </w:pPr>
          </w:p>
        </w:tc>
        <w:tc>
          <w:tcPr>
            <w:tcW w:w="925" w:type="dxa"/>
          </w:tcPr>
          <w:p w:rsidR="003B0028" w:rsidRDefault="003B0028"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FF7EC9" w:rsidRPr="00FF7EC9">
        <w:tc>
          <w:tcPr>
            <w:tcW w:w="819" w:type="dxa"/>
          </w:tcPr>
          <w:p w:rsidR="002B10BC" w:rsidRPr="00FF7EC9" w:rsidRDefault="002B10BC" w:rsidP="008D24BE">
            <w:pPr>
              <w:pStyle w:val="Bodywithspecialindent"/>
              <w:spacing w:beforeLines="40" w:before="96" w:after="120"/>
              <w:rPr>
                <w:rStyle w:val="IntenseEmphasis"/>
              </w:rPr>
            </w:pPr>
            <w:r w:rsidRPr="00FF7EC9">
              <w:rPr>
                <w:rStyle w:val="IntenseEmphasis"/>
              </w:rPr>
              <w:t>1.2d</w:t>
            </w:r>
          </w:p>
        </w:tc>
        <w:tc>
          <w:tcPr>
            <w:tcW w:w="6489" w:type="dxa"/>
          </w:tcPr>
          <w:p w:rsidR="005F3385" w:rsidRDefault="002B10BC" w:rsidP="008D24BE">
            <w:pPr>
              <w:pStyle w:val="Bodywithspecialindent"/>
              <w:spacing w:beforeLines="40" w:before="96" w:after="120"/>
              <w:ind w:left="0" w:firstLine="0"/>
              <w:rPr>
                <w:rFonts w:cs="Arial"/>
                <w:i/>
              </w:rPr>
            </w:pPr>
            <w:r w:rsidRPr="00FF7EC9">
              <w:rPr>
                <w:rFonts w:cs="Arial"/>
              </w:rPr>
              <w:t xml:space="preserve">The governing board </w:t>
            </w:r>
            <w:r w:rsidR="000F6FAB">
              <w:rPr>
                <w:rFonts w:cs="Arial"/>
                <w:szCs w:val="24"/>
              </w:rPr>
              <w:t xml:space="preserve">has </w:t>
            </w:r>
            <w:r w:rsidRPr="00FF7EC9">
              <w:rPr>
                <w:rFonts w:cs="Arial"/>
              </w:rPr>
              <w:t>at least one voting member who is a consumer representative, and does not have</w:t>
            </w:r>
            <w:r w:rsidRPr="00FF7EC9">
              <w:rPr>
                <w:rFonts w:cs="Arial"/>
                <w:szCs w:val="24"/>
              </w:rPr>
              <w:t xml:space="preserve"> a majority of voting representatives with a conflict of interest.</w:t>
            </w:r>
          </w:p>
        </w:tc>
        <w:tc>
          <w:tcPr>
            <w:tcW w:w="630" w:type="dxa"/>
          </w:tcPr>
          <w:p w:rsidR="005F3385" w:rsidRDefault="005F3385" w:rsidP="008D24BE">
            <w:pPr>
              <w:pStyle w:val="Bodywithspecialindent"/>
              <w:spacing w:beforeLines="40" w:before="96" w:after="120"/>
              <w:ind w:left="0" w:firstLine="0"/>
              <w:jc w:val="center"/>
              <w:rPr>
                <w:rStyle w:val="IntenseEmphasis"/>
              </w:rPr>
            </w:pPr>
          </w:p>
        </w:tc>
        <w:tc>
          <w:tcPr>
            <w:tcW w:w="925" w:type="dxa"/>
          </w:tcPr>
          <w:p w:rsidR="003B0028" w:rsidRDefault="003B0028"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FF7EC9" w:rsidRPr="00FF7EC9">
        <w:trPr>
          <w:cantSplit/>
        </w:trPr>
        <w:tc>
          <w:tcPr>
            <w:tcW w:w="819" w:type="dxa"/>
          </w:tcPr>
          <w:p w:rsidR="002B10BC" w:rsidRPr="00FF7EC9" w:rsidRDefault="002B10BC" w:rsidP="008D24BE">
            <w:pPr>
              <w:pStyle w:val="Bodywithspecialindent"/>
              <w:spacing w:beforeLines="40" w:before="96" w:after="120"/>
              <w:rPr>
                <w:rStyle w:val="IntenseEmphasis"/>
              </w:rPr>
            </w:pPr>
            <w:r w:rsidRPr="00FF7EC9">
              <w:rPr>
                <w:rStyle w:val="IntenseEmphasis"/>
              </w:rPr>
              <w:t>1.2e</w:t>
            </w:r>
          </w:p>
        </w:tc>
        <w:tc>
          <w:tcPr>
            <w:tcW w:w="6489" w:type="dxa"/>
          </w:tcPr>
          <w:p w:rsidR="005F3385" w:rsidRDefault="002B10BC" w:rsidP="008D24BE">
            <w:pPr>
              <w:pStyle w:val="Bodywithspecialindent"/>
              <w:spacing w:beforeLines="40" w:before="96" w:after="120"/>
              <w:ind w:left="0" w:firstLine="0"/>
              <w:rPr>
                <w:rFonts w:cs="Arial"/>
                <w:i/>
              </w:rPr>
            </w:pPr>
            <w:r w:rsidRPr="00FF7EC9">
              <w:rPr>
                <w:rFonts w:cs="Arial"/>
              </w:rPr>
              <w:t>The majority of the voting members have relevant experience in health benefits administration, health care finance, health plan purchasing, health care delivery system administration, public health, or health policy issues related to the individual and small group markets and the uninsured.</w:t>
            </w:r>
          </w:p>
        </w:tc>
        <w:tc>
          <w:tcPr>
            <w:tcW w:w="630" w:type="dxa"/>
          </w:tcPr>
          <w:p w:rsidR="005F3385" w:rsidRDefault="005F3385" w:rsidP="008D24BE">
            <w:pPr>
              <w:pStyle w:val="Bodywithspecialindent"/>
              <w:spacing w:beforeLines="40" w:before="96" w:after="120"/>
              <w:ind w:left="0" w:firstLine="0"/>
              <w:jc w:val="center"/>
              <w:rPr>
                <w:rStyle w:val="IntenseEmphasis"/>
              </w:rPr>
            </w:pPr>
          </w:p>
        </w:tc>
        <w:tc>
          <w:tcPr>
            <w:tcW w:w="925" w:type="dxa"/>
          </w:tcPr>
          <w:p w:rsidR="003B0028" w:rsidRDefault="003B0028"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FF7EC9" w:rsidRPr="00FF7EC9">
        <w:trPr>
          <w:cantSplit/>
        </w:trPr>
        <w:tc>
          <w:tcPr>
            <w:tcW w:w="819" w:type="dxa"/>
          </w:tcPr>
          <w:p w:rsidR="002B10BC" w:rsidRPr="00FF7EC9" w:rsidRDefault="002B10BC" w:rsidP="008D24BE">
            <w:pPr>
              <w:pStyle w:val="Bodywithspecialindent"/>
              <w:spacing w:beforeLines="40" w:before="96" w:after="120"/>
              <w:rPr>
                <w:rStyle w:val="IntenseEmphasis"/>
              </w:rPr>
            </w:pPr>
            <w:r w:rsidRPr="00FF7EC9">
              <w:rPr>
                <w:rStyle w:val="IntenseEmphasis"/>
              </w:rPr>
              <w:lastRenderedPageBreak/>
              <w:t>1.2f</w:t>
            </w:r>
          </w:p>
        </w:tc>
        <w:tc>
          <w:tcPr>
            <w:tcW w:w="6489" w:type="dxa"/>
          </w:tcPr>
          <w:p w:rsidR="005F3385" w:rsidRDefault="002B10BC" w:rsidP="008D24BE">
            <w:pPr>
              <w:pStyle w:val="Bodywithspecialindent"/>
              <w:spacing w:beforeLines="40" w:before="96" w:after="120"/>
              <w:ind w:left="0" w:firstLine="0"/>
              <w:rPr>
                <w:rFonts w:cs="Arial"/>
              </w:rPr>
            </w:pPr>
            <w:r w:rsidRPr="00FF7EC9">
              <w:rPr>
                <w:rFonts w:cs="Arial"/>
                <w:i/>
              </w:rPr>
              <w:t xml:space="preserve"> </w:t>
            </w:r>
            <w:r w:rsidRPr="00FF7EC9">
              <w:rPr>
                <w:rFonts w:cs="Arial"/>
              </w:rPr>
              <w:t>The Exchange holds regular public governing board meetings that are announced in advance.</w:t>
            </w:r>
          </w:p>
          <w:p w:rsidR="005F3385" w:rsidRDefault="005F3385" w:rsidP="008D24BE">
            <w:pPr>
              <w:pStyle w:val="Bodywithspecialindent"/>
              <w:spacing w:beforeLines="40" w:before="96" w:after="120"/>
              <w:ind w:left="0" w:firstLine="0"/>
              <w:rPr>
                <w:rFonts w:cs="Arial"/>
              </w:rPr>
            </w:pPr>
          </w:p>
          <w:p w:rsidR="003B0028" w:rsidRDefault="003B0028" w:rsidP="008D24BE">
            <w:pPr>
              <w:pStyle w:val="Bodywithspecialindent"/>
              <w:spacing w:beforeLines="40" w:before="96" w:after="120"/>
              <w:ind w:left="0" w:firstLine="0"/>
              <w:rPr>
                <w:rFonts w:cs="Arial"/>
              </w:rPr>
            </w:pPr>
          </w:p>
          <w:p w:rsidR="003B0028" w:rsidRDefault="003B0028" w:rsidP="008D24BE">
            <w:pPr>
              <w:pStyle w:val="Bodywithspecialindent"/>
              <w:spacing w:beforeLines="40" w:before="96" w:after="120"/>
              <w:ind w:left="0" w:firstLine="0"/>
              <w:rPr>
                <w:rFonts w:cs="Arial"/>
              </w:rPr>
            </w:pPr>
          </w:p>
        </w:tc>
        <w:tc>
          <w:tcPr>
            <w:tcW w:w="630" w:type="dxa"/>
          </w:tcPr>
          <w:p w:rsidR="003B0028" w:rsidRDefault="003B0028" w:rsidP="008D24BE">
            <w:pPr>
              <w:pStyle w:val="Bodywithspecialindent"/>
              <w:spacing w:beforeLines="40" w:before="96" w:after="120"/>
              <w:ind w:left="0" w:firstLine="0"/>
              <w:jc w:val="center"/>
              <w:rPr>
                <w:rStyle w:val="IntenseEmphasis"/>
              </w:rPr>
            </w:pPr>
          </w:p>
        </w:tc>
        <w:tc>
          <w:tcPr>
            <w:tcW w:w="925" w:type="dxa"/>
          </w:tcPr>
          <w:p w:rsidR="003B0028" w:rsidRDefault="003B0028"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FF7EC9" w:rsidRPr="00FF7EC9">
        <w:trPr>
          <w:cantSplit/>
          <w:trHeight w:val="20"/>
        </w:trPr>
        <w:tc>
          <w:tcPr>
            <w:tcW w:w="18133" w:type="dxa"/>
            <w:gridSpan w:val="9"/>
          </w:tcPr>
          <w:p w:rsidR="00C9553F" w:rsidRPr="00FF7EC9" w:rsidRDefault="009379E2" w:rsidP="00102BD6">
            <w:pPr>
              <w:pStyle w:val="Heading1"/>
              <w:numPr>
                <w:ilvl w:val="0"/>
                <w:numId w:val="0"/>
              </w:numPr>
              <w:pBdr>
                <w:bottom w:val="none" w:sz="0" w:space="0" w:color="auto"/>
              </w:pBdr>
              <w:ind w:left="360" w:hanging="360"/>
              <w:jc w:val="left"/>
              <w:outlineLvl w:val="0"/>
            </w:pPr>
            <w:bookmarkStart w:id="11" w:name="_Toc329259022"/>
            <w:r w:rsidRPr="00FF7EC9">
              <w:t>2.0 Consumer and Stakeholder Engagement and Support</w:t>
            </w:r>
            <w:bookmarkEnd w:id="11"/>
          </w:p>
        </w:tc>
      </w:tr>
      <w:tr w:rsidR="00FF7EC9" w:rsidRPr="00FF7EC9">
        <w:trPr>
          <w:cantSplit/>
        </w:trPr>
        <w:tc>
          <w:tcPr>
            <w:tcW w:w="819" w:type="dxa"/>
          </w:tcPr>
          <w:p w:rsidR="002B10BC" w:rsidRPr="00FF7EC9" w:rsidRDefault="002B10BC" w:rsidP="008D24BE">
            <w:pPr>
              <w:pStyle w:val="Bodywithspecialindent"/>
              <w:spacing w:beforeLines="40" w:before="96" w:after="120"/>
              <w:rPr>
                <w:rStyle w:val="IntenseEmphasis"/>
              </w:rPr>
            </w:pPr>
            <w:r w:rsidRPr="00FF7EC9">
              <w:rPr>
                <w:rStyle w:val="IntenseEmphasis"/>
              </w:rPr>
              <w:t>2.1</w:t>
            </w:r>
          </w:p>
        </w:tc>
        <w:tc>
          <w:tcPr>
            <w:tcW w:w="6489" w:type="dxa"/>
            <w:shd w:val="clear" w:color="auto" w:fill="auto"/>
          </w:tcPr>
          <w:p w:rsidR="005F3385" w:rsidRDefault="002B10BC" w:rsidP="008D24BE">
            <w:pPr>
              <w:pStyle w:val="NoSpacing"/>
              <w:spacing w:beforeLines="40" w:before="96" w:after="120"/>
              <w:rPr>
                <w:rStyle w:val="IntenseEmphasis"/>
                <w:rFonts w:eastAsiaTheme="majorEastAsia"/>
                <w:b/>
                <w:bCs/>
                <w:sz w:val="28"/>
                <w:szCs w:val="28"/>
              </w:rPr>
            </w:pPr>
            <w:r w:rsidRPr="00FF7EC9">
              <w:rPr>
                <w:rFonts w:cs="Arial"/>
              </w:rPr>
              <w:t>The Exchange has developed and implemented a stakeholder consultation plan and has and will continue to consult with consumers, small businesses, State Medicaid and CHIP agencies, agents/brokers, employer organizations, and other relevant stakeholders as required under 45 CFR 155.130.</w:t>
            </w:r>
          </w:p>
        </w:tc>
        <w:tc>
          <w:tcPr>
            <w:tcW w:w="630" w:type="dxa"/>
            <w:shd w:val="clear" w:color="auto" w:fill="auto"/>
          </w:tcPr>
          <w:p w:rsidR="005F3385" w:rsidRDefault="005F3385" w:rsidP="008D24BE">
            <w:pPr>
              <w:pStyle w:val="Bodywithspecialindent"/>
              <w:spacing w:beforeLines="40" w:before="96" w:after="120"/>
              <w:ind w:left="0" w:firstLine="0"/>
              <w:rPr>
                <w:rStyle w:val="Heading2Char"/>
                <w:rFonts w:eastAsiaTheme="majorEastAsia"/>
                <w:b w:val="0"/>
                <w:bCs/>
              </w:rPr>
            </w:pPr>
          </w:p>
        </w:tc>
        <w:tc>
          <w:tcPr>
            <w:tcW w:w="925" w:type="dxa"/>
            <w:shd w:val="clear" w:color="auto" w:fill="auto"/>
          </w:tcPr>
          <w:p w:rsidR="003B0028" w:rsidRDefault="003B0028" w:rsidP="008D24BE">
            <w:pPr>
              <w:pStyle w:val="Bodywithspecialindent"/>
              <w:spacing w:beforeLines="40" w:before="96" w:after="120"/>
              <w:ind w:left="0" w:firstLine="0"/>
              <w:rPr>
                <w:rStyle w:val="Heading2Char"/>
                <w:rFonts w:eastAsiaTheme="majorEastAsia"/>
                <w:b w:val="0"/>
                <w:bC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Heading2Char"/>
                <w:rFonts w:eastAsiaTheme="majorEastAsia"/>
                <w:b w:val="0"/>
                <w:bCs/>
              </w:rPr>
            </w:pPr>
          </w:p>
        </w:tc>
        <w:tc>
          <w:tcPr>
            <w:tcW w:w="812" w:type="dxa"/>
            <w:shd w:val="clear" w:color="auto" w:fill="808080" w:themeFill="background1" w:themeFillShade="80"/>
          </w:tcPr>
          <w:p w:rsidR="00696982" w:rsidRDefault="00696982" w:rsidP="008D24BE">
            <w:pPr>
              <w:spacing w:beforeLines="40" w:before="96" w:after="120"/>
              <w:rPr>
                <w:rFonts w:ascii="Arial" w:hAnsi="Arial" w:cs="Arial"/>
              </w:rPr>
            </w:pPr>
          </w:p>
        </w:tc>
        <w:tc>
          <w:tcPr>
            <w:tcW w:w="635" w:type="dxa"/>
            <w:shd w:val="clear" w:color="auto" w:fill="808080" w:themeFill="background1" w:themeFillShade="80"/>
          </w:tcPr>
          <w:p w:rsidR="00696982" w:rsidRDefault="00696982" w:rsidP="008D24BE">
            <w:pPr>
              <w:spacing w:beforeLines="40" w:before="96" w:after="120"/>
              <w:rPr>
                <w:rFonts w:ascii="Arial" w:hAnsi="Arial" w:cs="Arial"/>
              </w:rPr>
            </w:pPr>
          </w:p>
        </w:tc>
        <w:tc>
          <w:tcPr>
            <w:tcW w:w="5761" w:type="dxa"/>
            <w:shd w:val="clear" w:color="auto" w:fill="auto"/>
          </w:tcPr>
          <w:p w:rsidR="00696982" w:rsidRDefault="002B10BC" w:rsidP="008D24BE">
            <w:pPr>
              <w:spacing w:beforeLines="40" w:before="96" w:after="120"/>
              <w:rPr>
                <w:rStyle w:val="Heading2Char"/>
                <w:rFonts w:eastAsiaTheme="majorEastAsia"/>
                <w:b w:val="0"/>
                <w:bCs/>
              </w:rPr>
            </w:pPr>
            <w:r w:rsidRPr="00FF7EC9">
              <w:rPr>
                <w:rFonts w:ascii="Arial" w:hAnsi="Arial" w:cs="Arial"/>
              </w:rPr>
              <w:t>Brief description of the stakeholder consultation plan that addresses how consultation will occur on an ongoing basis with consumers, small businesses, State Medicaid and CHIP agencies, agents/brokers, employer organizations, and other relevant stakeholders as required under 45 CFR 155.130.</w:t>
            </w:r>
          </w:p>
        </w:tc>
        <w:tc>
          <w:tcPr>
            <w:tcW w:w="1170" w:type="dxa"/>
          </w:tcPr>
          <w:p w:rsidR="00696982" w:rsidRDefault="00696982" w:rsidP="008D24BE">
            <w:pPr>
              <w:spacing w:beforeLines="40" w:before="96" w:after="120"/>
              <w:rPr>
                <w:rFonts w:ascii="Arial" w:hAnsi="Arial" w:cs="Arial"/>
              </w:rPr>
            </w:pPr>
          </w:p>
        </w:tc>
      </w:tr>
      <w:tr w:rsidR="00FF7EC9" w:rsidRPr="00FF7EC9">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2.2</w:t>
            </w:r>
          </w:p>
        </w:tc>
        <w:tc>
          <w:tcPr>
            <w:tcW w:w="6489" w:type="dxa"/>
          </w:tcPr>
          <w:p w:rsidR="002B10BC" w:rsidRPr="00FF7EC9" w:rsidRDefault="002B10BC" w:rsidP="00743767">
            <w:pPr>
              <w:pStyle w:val="NoSpacing"/>
              <w:spacing w:before="40" w:after="120"/>
              <w:rPr>
                <w:rFonts w:cs="Arial"/>
                <w:i/>
              </w:rPr>
            </w:pPr>
            <w:r w:rsidRPr="00FF7EC9">
              <w:rPr>
                <w:rFonts w:cs="Arial"/>
                <w:i/>
              </w:rPr>
              <w:t>Applicable only to States with Federally-recognized Tribes</w:t>
            </w:r>
            <w:r w:rsidRPr="00FF7EC9">
              <w:rPr>
                <w:rFonts w:cs="Arial"/>
              </w:rPr>
              <w:t xml:space="preserve">: The Exchange, in consultation with the Federally-recognized Tribes, has developed and implemented a Tribal consultation policy or process, which has been submitted to HHS. </w:t>
            </w:r>
          </w:p>
        </w:tc>
        <w:tc>
          <w:tcPr>
            <w:tcW w:w="630" w:type="dxa"/>
            <w:shd w:val="clear" w:color="auto" w:fill="FFFFFF" w:themeFill="background1"/>
          </w:tcPr>
          <w:p w:rsidR="002B10BC" w:rsidRPr="00FF7EC9" w:rsidRDefault="002B10BC" w:rsidP="00743767">
            <w:pPr>
              <w:pStyle w:val="Bodywithspecialindent"/>
              <w:spacing w:before="40" w:after="120"/>
              <w:ind w:left="0" w:firstLine="0"/>
              <w:jc w:val="center"/>
              <w:rPr>
                <w:rStyle w:val="IntenseEmphasis"/>
              </w:rPr>
            </w:pPr>
          </w:p>
        </w:tc>
        <w:tc>
          <w:tcPr>
            <w:tcW w:w="925" w:type="dxa"/>
            <w:shd w:val="clear" w:color="auto" w:fill="FFFFFF" w:themeFill="background1"/>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r>
      <w:tr w:rsidR="00FF7EC9" w:rsidRPr="00FF7EC9">
        <w:trPr>
          <w:cantSplit/>
        </w:trPr>
        <w:tc>
          <w:tcPr>
            <w:tcW w:w="819" w:type="dxa"/>
          </w:tcPr>
          <w:p w:rsidR="002B10BC" w:rsidRPr="00FF7EC9" w:rsidRDefault="002B10BC" w:rsidP="00743767">
            <w:pPr>
              <w:pStyle w:val="Bodywithspecialindent"/>
              <w:spacing w:before="40" w:after="120"/>
              <w:rPr>
                <w:rStyle w:val="IntenseEmphasis"/>
              </w:rPr>
            </w:pPr>
            <w:r w:rsidRPr="00FF7EC9">
              <w:rPr>
                <w:rStyle w:val="IntenseEmphasis"/>
              </w:rPr>
              <w:lastRenderedPageBreak/>
              <w:t>2.3</w:t>
            </w:r>
          </w:p>
        </w:tc>
        <w:tc>
          <w:tcPr>
            <w:tcW w:w="6489" w:type="dxa"/>
          </w:tcPr>
          <w:p w:rsidR="002B10BC" w:rsidRPr="00FF7EC9" w:rsidRDefault="002B10BC" w:rsidP="00743767">
            <w:pPr>
              <w:pStyle w:val="NoSpacing"/>
              <w:spacing w:before="40" w:after="120"/>
              <w:rPr>
                <w:rFonts w:cs="Arial"/>
              </w:rPr>
            </w:pPr>
            <w:r w:rsidRPr="00FF7EC9">
              <w:rPr>
                <w:rFonts w:cs="Arial"/>
              </w:rPr>
              <w:t xml:space="preserve">The Exchange provides culturally and linguistically appropriate outreach and educational materials to the public, including auxiliary aids and services for people with disabilities, regarding eligibility and enrollment options, program information, benefits, and services available through the Exchange, the Insurance Affordability Program(s), and the SHOP.   </w:t>
            </w:r>
          </w:p>
          <w:p w:rsidR="002B10BC" w:rsidRPr="00FF7EC9" w:rsidRDefault="002B10BC" w:rsidP="00743767">
            <w:pPr>
              <w:pStyle w:val="NoSpacing"/>
              <w:spacing w:before="40" w:after="120"/>
              <w:rPr>
                <w:rStyle w:val="IntenseEmphasis"/>
              </w:rPr>
            </w:pPr>
            <w:r w:rsidRPr="00FF7EC9">
              <w:rPr>
                <w:rFonts w:cs="Arial"/>
              </w:rPr>
              <w:t>In addition, the Exchange has an outreach plan for populations including: individuals, entities with experience in facilitating enrollment such as agents/brokers, small businesses and their employees, employer groups, health care providers, community-based organizations, Federally-recognized Tribal communities, advocates for hard-to-reach populations, and other relevant populations as outlined in 45 CFR 155.130.</w:t>
            </w:r>
          </w:p>
        </w:tc>
        <w:tc>
          <w:tcPr>
            <w:tcW w:w="630" w:type="dxa"/>
            <w:shd w:val="clear" w:color="auto" w:fill="auto"/>
          </w:tcPr>
          <w:p w:rsidR="002B10BC" w:rsidRPr="00FF7EC9" w:rsidRDefault="002B10BC" w:rsidP="00743767">
            <w:pPr>
              <w:pStyle w:val="Bodywithspecialindent"/>
              <w:spacing w:before="40" w:after="120"/>
              <w:ind w:left="0" w:firstLine="0"/>
              <w:jc w:val="center"/>
              <w:rPr>
                <w:rStyle w:val="IntenseEmphasis"/>
              </w:rPr>
            </w:pPr>
          </w:p>
        </w:tc>
        <w:tc>
          <w:tcPr>
            <w:tcW w:w="925" w:type="dxa"/>
            <w:shd w:val="clear" w:color="auto" w:fill="auto"/>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c>
          <w:tcPr>
            <w:tcW w:w="5761" w:type="dxa"/>
            <w:shd w:val="clear" w:color="auto" w:fill="auto"/>
          </w:tcPr>
          <w:p w:rsidR="002B10BC" w:rsidRPr="00FF7EC9" w:rsidRDefault="002B10BC" w:rsidP="00775C78">
            <w:pPr>
              <w:pStyle w:val="Bodywithspecialindent"/>
              <w:spacing w:before="40" w:after="120"/>
              <w:ind w:left="0" w:firstLine="0"/>
              <w:rPr>
                <w:rStyle w:val="IntenseEmphasis"/>
              </w:rPr>
            </w:pPr>
            <w:r w:rsidRPr="00FF7EC9">
              <w:rPr>
                <w:rFonts w:cs="Arial"/>
              </w:rPr>
              <w:t>Brief description of the outreach plan(s) and targeted efforts that address each population or type of stakeholder, including those identified in 45 CFR 155.130.</w:t>
            </w:r>
          </w:p>
        </w:tc>
        <w:tc>
          <w:tcPr>
            <w:tcW w:w="1170" w:type="dxa"/>
          </w:tcPr>
          <w:p w:rsidR="002B10BC" w:rsidRPr="00FF7EC9" w:rsidRDefault="002B10BC" w:rsidP="00743767">
            <w:pPr>
              <w:pStyle w:val="Bodywithspecialindent"/>
              <w:spacing w:before="40" w:after="120"/>
              <w:ind w:left="0" w:firstLine="0"/>
              <w:rPr>
                <w:rFonts w:cs="Arial"/>
              </w:rPr>
            </w:pPr>
          </w:p>
        </w:tc>
      </w:tr>
      <w:tr w:rsidR="00FF7EC9" w:rsidRPr="00FF7EC9">
        <w:trPr>
          <w:cantSplit/>
        </w:trPr>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2.3a</w:t>
            </w:r>
          </w:p>
        </w:tc>
        <w:tc>
          <w:tcPr>
            <w:tcW w:w="6489" w:type="dxa"/>
          </w:tcPr>
          <w:p w:rsidR="002B10BC" w:rsidRPr="00FF7EC9" w:rsidRDefault="002B10BC" w:rsidP="00775C78">
            <w:pPr>
              <w:pStyle w:val="Bodywithspecialindent"/>
              <w:spacing w:before="40" w:after="120"/>
              <w:ind w:left="0" w:firstLine="0"/>
              <w:rPr>
                <w:rStyle w:val="IntenseEmphasis"/>
              </w:rPr>
            </w:pPr>
            <w:r w:rsidRPr="00FF7EC9">
              <w:rPr>
                <w:rFonts w:cs="Arial"/>
              </w:rPr>
              <w:t xml:space="preserve">The Exchange has developed and provides culturally and linguistically appropriate outreach and educational materials and auxiliary aids and services to people with disabilities (including information in alternate format), </w:t>
            </w:r>
            <w:r w:rsidR="00641E6D" w:rsidRPr="00FF7EC9">
              <w:rPr>
                <w:rFonts w:cs="Arial"/>
              </w:rPr>
              <w:t>r</w:t>
            </w:r>
            <w:r w:rsidRPr="00FF7EC9">
              <w:rPr>
                <w:rFonts w:cs="Arial"/>
              </w:rPr>
              <w:t>egarding eligibility and enrollment options, program information, benefits, and services available through the Exchange, SHOP, and other Insurance Affordability Programs, as required in 45 CFR 155.205(c).</w:t>
            </w:r>
          </w:p>
        </w:tc>
        <w:tc>
          <w:tcPr>
            <w:tcW w:w="630" w:type="dxa"/>
          </w:tcPr>
          <w:p w:rsidR="002B10BC" w:rsidRPr="00FF7EC9" w:rsidRDefault="002B10BC" w:rsidP="00743767">
            <w:pPr>
              <w:pStyle w:val="Bodywithspecialindent"/>
              <w:spacing w:before="40" w:after="120"/>
              <w:ind w:left="0" w:firstLine="0"/>
              <w:jc w:val="center"/>
              <w:rPr>
                <w:rStyle w:val="IntenseEmphasis"/>
              </w:rPr>
            </w:pPr>
          </w:p>
        </w:tc>
        <w:tc>
          <w:tcPr>
            <w:tcW w:w="925" w:type="dxa"/>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r>
      <w:tr w:rsidR="00FF7EC9" w:rsidRPr="00FF7EC9">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2.3b</w:t>
            </w:r>
          </w:p>
        </w:tc>
        <w:tc>
          <w:tcPr>
            <w:tcW w:w="6489" w:type="dxa"/>
          </w:tcPr>
          <w:p w:rsidR="002B10BC" w:rsidRPr="00FF7EC9" w:rsidRDefault="002B10BC" w:rsidP="00743767">
            <w:pPr>
              <w:pStyle w:val="Bodywithspecialindent"/>
              <w:spacing w:before="40" w:after="120"/>
              <w:ind w:left="0" w:firstLine="0"/>
              <w:rPr>
                <w:rFonts w:cs="Arial"/>
                <w:i/>
              </w:rPr>
            </w:pPr>
            <w:r w:rsidRPr="00FF7EC9">
              <w:rPr>
                <w:rFonts w:cs="Arial"/>
              </w:rPr>
              <w:t>The Exchange has an outreach plan for populations including: individuals, entities with experience in facilitating enrollment such as agents/brokers, small businesses and their employees, employer groups, health care providers, community-based organizations, Federally-recognized Tribal communities, advocates for hard-to-reach populations, and other relevant populations as outlined in 45 CFR 155.130.</w:t>
            </w:r>
          </w:p>
        </w:tc>
        <w:tc>
          <w:tcPr>
            <w:tcW w:w="630" w:type="dxa"/>
          </w:tcPr>
          <w:p w:rsidR="002B10BC" w:rsidRPr="00FF7EC9" w:rsidRDefault="002B10BC" w:rsidP="00743767">
            <w:pPr>
              <w:pStyle w:val="Bodywithspecialindent"/>
              <w:spacing w:before="40" w:after="120"/>
              <w:ind w:left="0" w:firstLine="0"/>
              <w:jc w:val="center"/>
              <w:rPr>
                <w:rStyle w:val="IntenseEmphasis"/>
              </w:rPr>
            </w:pPr>
          </w:p>
        </w:tc>
        <w:tc>
          <w:tcPr>
            <w:tcW w:w="925" w:type="dxa"/>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r>
      <w:tr w:rsidR="00FF7EC9" w:rsidRPr="00FF7EC9">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2.4</w:t>
            </w:r>
          </w:p>
        </w:tc>
        <w:tc>
          <w:tcPr>
            <w:tcW w:w="6489" w:type="dxa"/>
          </w:tcPr>
          <w:p w:rsidR="002B10BC" w:rsidRPr="00FF7EC9" w:rsidRDefault="002B10BC" w:rsidP="00743767">
            <w:pPr>
              <w:pStyle w:val="NoSpacing"/>
              <w:spacing w:before="40" w:after="120"/>
              <w:rPr>
                <w:rFonts w:cs="Arial"/>
                <w:i/>
              </w:rPr>
            </w:pPr>
            <w:r w:rsidRPr="00FF7EC9">
              <w:rPr>
                <w:rFonts w:cs="Arial"/>
              </w:rPr>
              <w:t xml:space="preserve">The Exchange provides for the operation of a toll-free telephone hotline (call center) to respond to requests for assistance from </w:t>
            </w:r>
            <w:r w:rsidRPr="00FF7EC9">
              <w:rPr>
                <w:rFonts w:cs="Arial"/>
              </w:rPr>
              <w:lastRenderedPageBreak/>
              <w:t>the public, including individuals, employers, and employees, at no cost to the caller as specified by 45 CFR 155.205(a).</w:t>
            </w:r>
          </w:p>
        </w:tc>
        <w:tc>
          <w:tcPr>
            <w:tcW w:w="630" w:type="dxa"/>
            <w:shd w:val="clear" w:color="auto" w:fill="auto"/>
          </w:tcPr>
          <w:p w:rsidR="002B10BC" w:rsidRPr="00FF7EC9" w:rsidRDefault="002B10BC" w:rsidP="00743767">
            <w:pPr>
              <w:pStyle w:val="Bodywithspecialindent"/>
              <w:spacing w:before="40" w:after="120"/>
              <w:ind w:left="0" w:firstLine="0"/>
              <w:jc w:val="center"/>
              <w:rPr>
                <w:rStyle w:val="IntenseEmphasis"/>
              </w:rPr>
            </w:pPr>
          </w:p>
        </w:tc>
        <w:tc>
          <w:tcPr>
            <w:tcW w:w="925" w:type="dxa"/>
            <w:shd w:val="clear" w:color="auto" w:fill="auto"/>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c>
          <w:tcPr>
            <w:tcW w:w="5761" w:type="dxa"/>
            <w:shd w:val="clear" w:color="auto" w:fill="auto"/>
          </w:tcPr>
          <w:p w:rsidR="002B10BC" w:rsidRPr="00FF7EC9" w:rsidRDefault="002B10BC" w:rsidP="00743767">
            <w:pPr>
              <w:pStyle w:val="Bodywithspecialindent"/>
              <w:spacing w:before="40" w:after="120"/>
              <w:ind w:left="0" w:firstLine="0"/>
              <w:rPr>
                <w:rStyle w:val="IntenseEmphasis"/>
              </w:rPr>
            </w:pPr>
            <w:r w:rsidRPr="00FF7EC9">
              <w:rPr>
                <w:rFonts w:cs="Arial"/>
              </w:rPr>
              <w:t xml:space="preserve">Brief description of the call center’s strategy for managing call volume, plan for translation services, and </w:t>
            </w:r>
            <w:r w:rsidR="00DB5E89" w:rsidRPr="00FF7EC9">
              <w:rPr>
                <w:rFonts w:cs="Arial"/>
              </w:rPr>
              <w:lastRenderedPageBreak/>
              <w:t>toll-free telephone number.</w:t>
            </w:r>
          </w:p>
        </w:tc>
        <w:tc>
          <w:tcPr>
            <w:tcW w:w="1170" w:type="dxa"/>
          </w:tcPr>
          <w:p w:rsidR="002B10BC" w:rsidRPr="00FF7EC9" w:rsidRDefault="002B10BC" w:rsidP="00743767">
            <w:pPr>
              <w:pStyle w:val="Bodywithspecialindent"/>
              <w:spacing w:before="40" w:after="120"/>
              <w:ind w:left="0" w:firstLine="0"/>
              <w:rPr>
                <w:rFonts w:cs="Arial"/>
              </w:rPr>
            </w:pPr>
          </w:p>
        </w:tc>
      </w:tr>
      <w:tr w:rsidR="00FF7EC9" w:rsidRPr="00FF7EC9">
        <w:tc>
          <w:tcPr>
            <w:tcW w:w="819" w:type="dxa"/>
          </w:tcPr>
          <w:p w:rsidR="002B10BC" w:rsidRPr="00CB4821" w:rsidRDefault="002B10BC" w:rsidP="00743767">
            <w:pPr>
              <w:pStyle w:val="Bodywithspecialindent"/>
              <w:spacing w:before="40" w:after="120"/>
              <w:rPr>
                <w:rStyle w:val="IntenseEmphasis"/>
              </w:rPr>
            </w:pPr>
            <w:r w:rsidRPr="00CB4821">
              <w:rPr>
                <w:rStyle w:val="IntenseEmphasis"/>
              </w:rPr>
              <w:lastRenderedPageBreak/>
              <w:t>2.4a</w:t>
            </w:r>
          </w:p>
        </w:tc>
        <w:tc>
          <w:tcPr>
            <w:tcW w:w="6489" w:type="dxa"/>
          </w:tcPr>
          <w:p w:rsidR="002B10BC" w:rsidRPr="00CB4821" w:rsidRDefault="002B10BC" w:rsidP="00F855FE">
            <w:pPr>
              <w:pStyle w:val="Bodywithspecialindent"/>
              <w:spacing w:before="40" w:after="120"/>
              <w:ind w:left="0" w:firstLine="0"/>
              <w:rPr>
                <w:rFonts w:cs="Arial"/>
                <w:i/>
              </w:rPr>
            </w:pPr>
            <w:r w:rsidRPr="00CB4821">
              <w:rPr>
                <w:rFonts w:cs="Arial"/>
              </w:rPr>
              <w:t>The Exchange provides for the operation of a toll-free telephone hotline (call center) which acts as a central line to handle seamless application support, coordinates with other Insurance Affordability Program(s) and with other State and Federal agencies</w:t>
            </w:r>
            <w:r w:rsidR="008141CB" w:rsidRPr="008D24BE">
              <w:rPr>
                <w:rFonts w:cs="Arial"/>
              </w:rPr>
              <w:t xml:space="preserve">, and responds to </w:t>
            </w:r>
            <w:r w:rsidRPr="00CB4821">
              <w:rPr>
                <w:rFonts w:cs="Arial"/>
              </w:rPr>
              <w:t>requests for assistance from the public, including individuals, employers, and employees, at no cost to the caller as specified by 45 CFR 155.205(a).</w:t>
            </w:r>
          </w:p>
        </w:tc>
        <w:tc>
          <w:tcPr>
            <w:tcW w:w="630" w:type="dxa"/>
          </w:tcPr>
          <w:p w:rsidR="002B10BC" w:rsidRPr="00FF7EC9" w:rsidRDefault="002B10BC" w:rsidP="00743767">
            <w:pPr>
              <w:pStyle w:val="Bodywithspecialindent"/>
              <w:spacing w:before="40" w:after="120"/>
              <w:ind w:left="0" w:firstLine="0"/>
              <w:jc w:val="center"/>
              <w:rPr>
                <w:rStyle w:val="IntenseEmphasis"/>
              </w:rPr>
            </w:pPr>
          </w:p>
        </w:tc>
        <w:tc>
          <w:tcPr>
            <w:tcW w:w="925" w:type="dxa"/>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r>
      <w:tr w:rsidR="00FF7EC9" w:rsidRPr="00FF7EC9">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2.4b</w:t>
            </w:r>
          </w:p>
        </w:tc>
        <w:tc>
          <w:tcPr>
            <w:tcW w:w="6489" w:type="dxa"/>
          </w:tcPr>
          <w:p w:rsidR="002B10BC" w:rsidRPr="00FF7EC9" w:rsidRDefault="002B10BC" w:rsidP="00743767">
            <w:pPr>
              <w:pStyle w:val="Bodywithspecialindent"/>
              <w:spacing w:before="40" w:after="120"/>
              <w:ind w:left="0" w:firstLine="0"/>
              <w:rPr>
                <w:rFonts w:cs="Arial"/>
                <w:i/>
              </w:rPr>
            </w:pPr>
            <w:r w:rsidRPr="00FF7EC9">
              <w:rPr>
                <w:rFonts w:cs="Arial"/>
              </w:rPr>
              <w:t>The Exchange provides translation and oral interpretation services and auxiliary aids and services to the public, including individuals, employers, and employees, at no cost to the caller.</w:t>
            </w:r>
          </w:p>
        </w:tc>
        <w:tc>
          <w:tcPr>
            <w:tcW w:w="630" w:type="dxa"/>
          </w:tcPr>
          <w:p w:rsidR="002B10BC" w:rsidRPr="00FF7EC9" w:rsidRDefault="002B10BC" w:rsidP="00743767">
            <w:pPr>
              <w:pStyle w:val="Bodywithspecialindent"/>
              <w:spacing w:before="40" w:after="120"/>
              <w:ind w:left="0" w:firstLine="0"/>
              <w:jc w:val="center"/>
              <w:rPr>
                <w:rStyle w:val="IntenseEmphasis"/>
              </w:rPr>
            </w:pPr>
          </w:p>
        </w:tc>
        <w:tc>
          <w:tcPr>
            <w:tcW w:w="925" w:type="dxa"/>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r>
      <w:tr w:rsidR="00FF7EC9" w:rsidRPr="00FF7EC9">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2.4c</w:t>
            </w:r>
          </w:p>
        </w:tc>
        <w:tc>
          <w:tcPr>
            <w:tcW w:w="6489" w:type="dxa"/>
          </w:tcPr>
          <w:p w:rsidR="002B10BC" w:rsidRPr="00FF7EC9" w:rsidRDefault="002B10BC" w:rsidP="00743767">
            <w:pPr>
              <w:pStyle w:val="Bodywithspecialindent"/>
              <w:spacing w:before="40" w:after="120"/>
              <w:ind w:left="0" w:firstLine="0"/>
              <w:rPr>
                <w:rFonts w:cs="Arial"/>
              </w:rPr>
            </w:pPr>
            <w:r w:rsidRPr="00FF7EC9">
              <w:rPr>
                <w:rFonts w:cs="Arial"/>
              </w:rPr>
              <w:t>The Exchange provides adequate training and resources to operate the call center, including an operating plan and procedures.</w:t>
            </w:r>
          </w:p>
        </w:tc>
        <w:tc>
          <w:tcPr>
            <w:tcW w:w="630" w:type="dxa"/>
          </w:tcPr>
          <w:p w:rsidR="002B10BC" w:rsidRPr="00FF7EC9" w:rsidRDefault="002B10BC" w:rsidP="00743767">
            <w:pPr>
              <w:pStyle w:val="Bodywithspecialindent"/>
              <w:spacing w:before="40" w:after="120"/>
              <w:ind w:left="0" w:firstLine="0"/>
              <w:jc w:val="center"/>
              <w:rPr>
                <w:rStyle w:val="IntenseEmphasis"/>
              </w:rPr>
            </w:pPr>
          </w:p>
        </w:tc>
        <w:tc>
          <w:tcPr>
            <w:tcW w:w="925" w:type="dxa"/>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r>
      <w:tr w:rsidR="00FF7EC9" w:rsidRPr="00FF7EC9">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2.5</w:t>
            </w:r>
          </w:p>
        </w:tc>
        <w:tc>
          <w:tcPr>
            <w:tcW w:w="6489" w:type="dxa"/>
          </w:tcPr>
          <w:p w:rsidR="002B10BC" w:rsidRPr="00FF7EC9" w:rsidRDefault="002B10BC" w:rsidP="00743767">
            <w:pPr>
              <w:pStyle w:val="Bodywithspecialindent"/>
              <w:spacing w:before="40" w:after="120"/>
              <w:ind w:left="0" w:firstLine="0"/>
              <w:rPr>
                <w:rFonts w:cs="Arial"/>
              </w:rPr>
            </w:pPr>
            <w:r w:rsidRPr="00FF7EC9">
              <w:rPr>
                <w:rFonts w:cs="Arial"/>
              </w:rPr>
              <w:t>The Exchange has established and maintains an up-to-date Internet Web site that provides timely and accessible information on Qualified Health Plans (QHPs) available through the Exchange, Insurance Affordability Program(s), and the SHOP, and includes requirements specified in 45 CFR 155.205(b).</w:t>
            </w:r>
          </w:p>
        </w:tc>
        <w:tc>
          <w:tcPr>
            <w:tcW w:w="630" w:type="dxa"/>
            <w:shd w:val="clear" w:color="auto" w:fill="auto"/>
          </w:tcPr>
          <w:p w:rsidR="002B10BC" w:rsidRPr="00FF7EC9" w:rsidRDefault="002B10BC" w:rsidP="00743767">
            <w:pPr>
              <w:pStyle w:val="Bodywithspecialindent"/>
              <w:spacing w:before="40" w:after="120"/>
              <w:ind w:left="0" w:firstLine="0"/>
              <w:jc w:val="center"/>
              <w:rPr>
                <w:rStyle w:val="IntenseEmphasis"/>
              </w:rPr>
            </w:pPr>
          </w:p>
        </w:tc>
        <w:tc>
          <w:tcPr>
            <w:tcW w:w="925" w:type="dxa"/>
            <w:shd w:val="clear" w:color="auto" w:fill="auto"/>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c>
          <w:tcPr>
            <w:tcW w:w="5761" w:type="dxa"/>
            <w:shd w:val="clear" w:color="auto" w:fill="FFFFFF" w:themeFill="background1"/>
          </w:tcPr>
          <w:p w:rsidR="002B10BC" w:rsidRPr="00FF7EC9" w:rsidRDefault="002B10BC" w:rsidP="00743767">
            <w:pPr>
              <w:pStyle w:val="Bodywithspecialindent"/>
              <w:spacing w:before="40" w:after="120"/>
              <w:ind w:left="0" w:firstLine="0"/>
              <w:rPr>
                <w:rStyle w:val="IntenseEmphasis"/>
              </w:rPr>
            </w:pPr>
            <w:r w:rsidRPr="00FF7EC9">
              <w:rPr>
                <w:rFonts w:cs="Arial"/>
              </w:rPr>
              <w:t>Internet Web site URL address for the Exchange and the SHOP, if different.</w:t>
            </w:r>
          </w:p>
        </w:tc>
        <w:tc>
          <w:tcPr>
            <w:tcW w:w="1170" w:type="dxa"/>
            <w:shd w:val="clear" w:color="auto" w:fill="FFFFFF" w:themeFill="background1"/>
          </w:tcPr>
          <w:p w:rsidR="002B10BC" w:rsidRPr="00FF7EC9" w:rsidRDefault="002B10BC" w:rsidP="00743767">
            <w:pPr>
              <w:pStyle w:val="Bodywithspecialindent"/>
              <w:spacing w:before="40" w:after="120"/>
              <w:ind w:left="0" w:firstLine="0"/>
              <w:rPr>
                <w:rFonts w:cs="Arial"/>
              </w:rPr>
            </w:pPr>
          </w:p>
        </w:tc>
      </w:tr>
      <w:tr w:rsidR="00FF7EC9" w:rsidRPr="00FF7EC9">
        <w:trPr>
          <w:cantSplit/>
        </w:trPr>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2.5a</w:t>
            </w:r>
          </w:p>
        </w:tc>
        <w:tc>
          <w:tcPr>
            <w:tcW w:w="6489" w:type="dxa"/>
          </w:tcPr>
          <w:p w:rsidR="002B10BC" w:rsidRPr="00FF7EC9" w:rsidRDefault="002B10BC" w:rsidP="00743767">
            <w:pPr>
              <w:pStyle w:val="Bodywithspecialindent"/>
              <w:spacing w:before="40" w:after="120"/>
              <w:ind w:left="0" w:firstLine="0"/>
              <w:rPr>
                <w:rFonts w:cs="Arial"/>
              </w:rPr>
            </w:pPr>
            <w:r w:rsidRPr="00FF7EC9">
              <w:rPr>
                <w:rFonts w:eastAsia="Times New Roman" w:cs="Arial"/>
              </w:rPr>
              <w:t>The Exchange has established and maintains an up-to-date Internet Web site that provides timely and accessible information on Qualified Health Plans (QHPs) available through the Exchange, Insurance Affordability Program(s), and the SHOP, and includes requirements specified in 45 CFR 155.205(b).</w:t>
            </w:r>
          </w:p>
        </w:tc>
        <w:tc>
          <w:tcPr>
            <w:tcW w:w="630" w:type="dxa"/>
          </w:tcPr>
          <w:p w:rsidR="002B10BC" w:rsidRPr="00FF7EC9" w:rsidRDefault="002B10BC" w:rsidP="00743767">
            <w:pPr>
              <w:pStyle w:val="Bodywithspecialindent"/>
              <w:spacing w:before="40" w:after="120"/>
              <w:ind w:left="0" w:firstLine="0"/>
              <w:jc w:val="center"/>
              <w:rPr>
                <w:rStyle w:val="IntenseEmphasis"/>
              </w:rPr>
            </w:pPr>
          </w:p>
        </w:tc>
        <w:tc>
          <w:tcPr>
            <w:tcW w:w="925" w:type="dxa"/>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r>
      <w:tr w:rsidR="00FF7EC9" w:rsidRPr="00FF7EC9">
        <w:tc>
          <w:tcPr>
            <w:tcW w:w="819" w:type="dxa"/>
          </w:tcPr>
          <w:p w:rsidR="002B10BC" w:rsidRPr="00FF7EC9" w:rsidRDefault="002B10BC" w:rsidP="00743767">
            <w:pPr>
              <w:pStyle w:val="Bodywithspecialindent"/>
              <w:spacing w:before="40" w:after="120"/>
              <w:rPr>
                <w:rStyle w:val="IntenseEmphasis"/>
              </w:rPr>
            </w:pPr>
            <w:r w:rsidRPr="00FF7EC9">
              <w:rPr>
                <w:rStyle w:val="IntenseEmphasis"/>
              </w:rPr>
              <w:lastRenderedPageBreak/>
              <w:t>2.5b</w:t>
            </w:r>
          </w:p>
        </w:tc>
        <w:tc>
          <w:tcPr>
            <w:tcW w:w="6489" w:type="dxa"/>
          </w:tcPr>
          <w:p w:rsidR="002B10BC" w:rsidRPr="00FF7EC9" w:rsidRDefault="002B10BC" w:rsidP="005508CB">
            <w:pPr>
              <w:pStyle w:val="Bodywithspecialindent"/>
              <w:spacing w:before="40" w:after="120"/>
              <w:ind w:left="0" w:firstLine="0"/>
              <w:rPr>
                <w:rFonts w:cs="Arial"/>
              </w:rPr>
            </w:pPr>
            <w:r w:rsidRPr="00FF7EC9">
              <w:rPr>
                <w:rFonts w:cs="Arial"/>
              </w:rPr>
              <w:t xml:space="preserve">The Exchange’s Internet Web </w:t>
            </w:r>
            <w:r w:rsidRPr="001E6D2F">
              <w:rPr>
                <w:rFonts w:cs="Arial"/>
              </w:rPr>
              <w:t>site provides</w:t>
            </w:r>
            <w:r w:rsidR="005508CB" w:rsidRPr="001E6D2F">
              <w:rPr>
                <w:rFonts w:cs="Arial"/>
              </w:rPr>
              <w:t xml:space="preserve"> </w:t>
            </w:r>
            <w:r w:rsidR="008141CB" w:rsidRPr="008D24BE">
              <w:rPr>
                <w:rFonts w:cs="Arial"/>
              </w:rPr>
              <w:t>information on</w:t>
            </w:r>
            <w:r w:rsidRPr="00FF7EC9">
              <w:rPr>
                <w:rFonts w:cs="Arial"/>
              </w:rPr>
              <w:t xml:space="preserve"> premium and cost-sharing, QHP comparison, metal level of QHP coverage, transparency of coverage measures, and a provider directory.</w:t>
            </w:r>
          </w:p>
        </w:tc>
        <w:tc>
          <w:tcPr>
            <w:tcW w:w="630" w:type="dxa"/>
          </w:tcPr>
          <w:p w:rsidR="002B10BC" w:rsidRPr="00FF7EC9" w:rsidRDefault="002B10BC" w:rsidP="00743767">
            <w:pPr>
              <w:pStyle w:val="Bodywithspecialindent"/>
              <w:spacing w:before="40" w:after="120"/>
              <w:ind w:left="0" w:firstLine="0"/>
              <w:jc w:val="center"/>
              <w:rPr>
                <w:rStyle w:val="IntenseEmphasis"/>
              </w:rPr>
            </w:pPr>
          </w:p>
        </w:tc>
        <w:tc>
          <w:tcPr>
            <w:tcW w:w="925" w:type="dxa"/>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r>
      <w:tr w:rsidR="00FF7EC9" w:rsidRPr="00FF7EC9">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2.5c</w:t>
            </w:r>
          </w:p>
        </w:tc>
        <w:tc>
          <w:tcPr>
            <w:tcW w:w="6489" w:type="dxa"/>
          </w:tcPr>
          <w:p w:rsidR="002B10BC" w:rsidRPr="00FF7EC9" w:rsidRDefault="002B10BC" w:rsidP="00743767">
            <w:pPr>
              <w:pStyle w:val="Bodywithspecialindent"/>
              <w:spacing w:before="40" w:after="120"/>
              <w:ind w:left="0" w:firstLine="0"/>
              <w:rPr>
                <w:rFonts w:cs="Arial"/>
              </w:rPr>
            </w:pPr>
            <w:r w:rsidRPr="00FF7EC9">
              <w:rPr>
                <w:rFonts w:cs="Arial"/>
              </w:rPr>
              <w:t>The Exchange’s Internet Web site provides information in a manner that is accessible to individuals with disabilities and individuals with limited English proficiency, as required in 45 CFR 155.205(b) and (c).</w:t>
            </w:r>
          </w:p>
        </w:tc>
        <w:tc>
          <w:tcPr>
            <w:tcW w:w="630" w:type="dxa"/>
          </w:tcPr>
          <w:p w:rsidR="002B10BC" w:rsidRPr="00FF7EC9" w:rsidRDefault="002B10BC" w:rsidP="00743767">
            <w:pPr>
              <w:pStyle w:val="Bodywithspecialindent"/>
              <w:spacing w:before="40" w:after="120"/>
              <w:ind w:left="0" w:firstLine="0"/>
              <w:jc w:val="center"/>
              <w:rPr>
                <w:rStyle w:val="IntenseEmphasis"/>
              </w:rPr>
            </w:pPr>
          </w:p>
        </w:tc>
        <w:tc>
          <w:tcPr>
            <w:tcW w:w="925" w:type="dxa"/>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r>
      <w:tr w:rsidR="00FF7EC9" w:rsidRPr="00FF7EC9">
        <w:trPr>
          <w:cantSplit/>
        </w:trPr>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2.6</w:t>
            </w:r>
          </w:p>
        </w:tc>
        <w:tc>
          <w:tcPr>
            <w:tcW w:w="6489" w:type="dxa"/>
          </w:tcPr>
          <w:p w:rsidR="00C42C46" w:rsidRPr="00FF7EC9" w:rsidRDefault="00C42C46" w:rsidP="00C42C46">
            <w:pPr>
              <w:pStyle w:val="NoSpacing"/>
              <w:spacing w:before="40" w:after="120"/>
              <w:rPr>
                <w:rFonts w:cs="Arial"/>
                <w:i/>
              </w:rPr>
            </w:pPr>
            <w:r>
              <w:t>The Exchange has established or has a process in place to establish and operate a Navigator program that is consistent with the applicable requirements of 45 CFR 155.210, including the development of training and conflict of interest standards, and adherence to privacy and security standards specified in 45 CFR 155.210 and 45 CFR 155.260.</w:t>
            </w:r>
          </w:p>
        </w:tc>
        <w:tc>
          <w:tcPr>
            <w:tcW w:w="630" w:type="dxa"/>
            <w:shd w:val="clear" w:color="auto" w:fill="auto"/>
          </w:tcPr>
          <w:p w:rsidR="002B10BC" w:rsidRPr="00FF7EC9" w:rsidRDefault="002B10BC" w:rsidP="00743767">
            <w:pPr>
              <w:pStyle w:val="Bodywithspecialindent"/>
              <w:spacing w:before="40" w:after="120"/>
              <w:ind w:left="0" w:firstLine="0"/>
              <w:jc w:val="center"/>
              <w:rPr>
                <w:rStyle w:val="IntenseEmphasis"/>
              </w:rPr>
            </w:pPr>
          </w:p>
        </w:tc>
        <w:tc>
          <w:tcPr>
            <w:tcW w:w="925" w:type="dxa"/>
            <w:shd w:val="clear" w:color="auto" w:fill="auto"/>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Fonts w:cs="Arial"/>
              </w:rPr>
            </w:pPr>
          </w:p>
        </w:tc>
        <w:tc>
          <w:tcPr>
            <w:tcW w:w="5761" w:type="dxa"/>
            <w:shd w:val="clear" w:color="auto" w:fill="auto"/>
          </w:tcPr>
          <w:p w:rsidR="00C42C46" w:rsidRPr="00FF7EC9" w:rsidRDefault="00C42C46" w:rsidP="00775C78">
            <w:pPr>
              <w:pStyle w:val="Bodywithspecialindent"/>
              <w:spacing w:before="40" w:after="120"/>
              <w:ind w:left="0" w:firstLine="0"/>
              <w:rPr>
                <w:rStyle w:val="IntenseEmphasis"/>
              </w:rPr>
            </w:pPr>
            <w:r>
              <w:rPr>
                <w:rFonts w:cs="Arial"/>
              </w:rPr>
              <w:t>Brief description of Exchange’s plan to operate a Navigator program, including documentation outlining the Exchange’s progress in developing conflict of interest and training standards; how it will ensure Navigators are appropriately trained and meet the Exchange’s conflict of interest, privacy and security standards; and a timeline and strategy for funding for the Navigator program and making the program fully operational.</w:t>
            </w:r>
          </w:p>
        </w:tc>
        <w:tc>
          <w:tcPr>
            <w:tcW w:w="1170" w:type="dxa"/>
          </w:tcPr>
          <w:p w:rsidR="002B10BC" w:rsidRPr="00FF7EC9" w:rsidRDefault="002B10BC" w:rsidP="00743767">
            <w:pPr>
              <w:pStyle w:val="Bodywithspecialindent"/>
              <w:spacing w:before="40" w:after="120"/>
              <w:ind w:left="0" w:firstLine="0"/>
              <w:rPr>
                <w:rFonts w:cs="Arial"/>
              </w:rPr>
            </w:pPr>
          </w:p>
        </w:tc>
      </w:tr>
      <w:tr w:rsidR="00FF7EC9" w:rsidRPr="00FF7EC9">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2.6a</w:t>
            </w:r>
          </w:p>
        </w:tc>
        <w:tc>
          <w:tcPr>
            <w:tcW w:w="6489" w:type="dxa"/>
          </w:tcPr>
          <w:p w:rsidR="00C42C46" w:rsidRPr="00FF7EC9" w:rsidRDefault="00C42C46" w:rsidP="00743767">
            <w:pPr>
              <w:pStyle w:val="Bodywithspecialindent"/>
              <w:spacing w:before="40" w:after="120"/>
              <w:ind w:left="0" w:firstLine="0"/>
              <w:rPr>
                <w:rFonts w:cs="Arial"/>
              </w:rPr>
            </w:pPr>
            <w:r>
              <w:t>The Exchange has established or has a process in place to establish and operate a Navigator program that is consistent with the applicable requirements specified in 45 CFR 155.210 and 45 CFR 155.260.</w:t>
            </w:r>
          </w:p>
        </w:tc>
        <w:tc>
          <w:tcPr>
            <w:tcW w:w="630" w:type="dxa"/>
          </w:tcPr>
          <w:p w:rsidR="002B10BC" w:rsidRPr="00FF7EC9" w:rsidRDefault="002B10BC" w:rsidP="00743767">
            <w:pPr>
              <w:pStyle w:val="Bodywithspecialindent"/>
              <w:spacing w:before="40" w:after="120"/>
              <w:ind w:left="0" w:firstLine="0"/>
              <w:jc w:val="center"/>
              <w:rPr>
                <w:rStyle w:val="IntenseEmphasis"/>
              </w:rPr>
            </w:pPr>
          </w:p>
        </w:tc>
        <w:tc>
          <w:tcPr>
            <w:tcW w:w="925" w:type="dxa"/>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r>
      <w:tr w:rsidR="00FF7EC9" w:rsidRPr="00FF7EC9">
        <w:tc>
          <w:tcPr>
            <w:tcW w:w="819" w:type="dxa"/>
          </w:tcPr>
          <w:p w:rsidR="002B10BC" w:rsidRPr="00FF7EC9" w:rsidRDefault="002B10BC" w:rsidP="00743767">
            <w:pPr>
              <w:pStyle w:val="Bodywithspecialindent"/>
              <w:spacing w:before="40" w:after="120"/>
              <w:rPr>
                <w:rStyle w:val="IntenseEmphasis"/>
              </w:rPr>
            </w:pPr>
            <w:r w:rsidRPr="00FF7EC9">
              <w:rPr>
                <w:rStyle w:val="IntenseEmphasis"/>
              </w:rPr>
              <w:t>2.6b</w:t>
            </w:r>
          </w:p>
        </w:tc>
        <w:tc>
          <w:tcPr>
            <w:tcW w:w="6489" w:type="dxa"/>
          </w:tcPr>
          <w:p w:rsidR="00C42C46" w:rsidRPr="00C42C46" w:rsidRDefault="00C42C46" w:rsidP="00C42C46">
            <w:pPr>
              <w:rPr>
                <w:rFonts w:ascii="Arial" w:hAnsi="Arial" w:cs="Arial"/>
              </w:rPr>
            </w:pPr>
            <w:r w:rsidRPr="00C42C46">
              <w:rPr>
                <w:rFonts w:ascii="Arial" w:hAnsi="Arial" w:cs="Arial"/>
              </w:rPr>
              <w:t xml:space="preserve">The Exchange has a plan for the ongoing funding of an Exchange Navigator program, </w:t>
            </w:r>
            <w:r w:rsidR="000465D7">
              <w:rPr>
                <w:rFonts w:ascii="Arial" w:hAnsi="Arial" w:cs="Arial"/>
              </w:rPr>
              <w:t>in order to award</w:t>
            </w:r>
            <w:r w:rsidR="00F37616">
              <w:rPr>
                <w:rFonts w:ascii="Arial" w:hAnsi="Arial" w:cs="Arial"/>
              </w:rPr>
              <w:t xml:space="preserve"> at</w:t>
            </w:r>
            <w:r w:rsidRPr="00C42C46">
              <w:rPr>
                <w:rFonts w:ascii="Arial" w:hAnsi="Arial" w:cs="Arial"/>
              </w:rPr>
              <w:t xml:space="preserve"> least two (2) types of entities, one of which is a </w:t>
            </w:r>
            <w:r w:rsidR="0061137F">
              <w:rPr>
                <w:rFonts w:ascii="Arial" w:hAnsi="Arial" w:cs="Arial"/>
              </w:rPr>
              <w:t xml:space="preserve">community or </w:t>
            </w:r>
            <w:r w:rsidRPr="00C42C46">
              <w:rPr>
                <w:rFonts w:ascii="Arial" w:hAnsi="Arial" w:cs="Arial"/>
              </w:rPr>
              <w:t xml:space="preserve">consumer-focused organization or non-profit entity. Grant agreements ensure that Navigator grantees (“Navigators”) will conduct the five (5) duties outlined in 45 CFR 155.210(e). </w:t>
            </w:r>
          </w:p>
          <w:p w:rsidR="00C42C46" w:rsidRPr="00FF7EC9" w:rsidRDefault="00C42C46" w:rsidP="00775C78">
            <w:pPr>
              <w:pStyle w:val="Bodywithspecialindent"/>
              <w:spacing w:before="40" w:after="120"/>
              <w:ind w:left="0" w:firstLine="0"/>
              <w:rPr>
                <w:rFonts w:cs="Arial"/>
              </w:rPr>
            </w:pPr>
          </w:p>
        </w:tc>
        <w:tc>
          <w:tcPr>
            <w:tcW w:w="630" w:type="dxa"/>
          </w:tcPr>
          <w:p w:rsidR="002B10BC" w:rsidRPr="00FF7EC9" w:rsidRDefault="002B10BC" w:rsidP="00743767">
            <w:pPr>
              <w:pStyle w:val="Bodywithspecialindent"/>
              <w:spacing w:before="40" w:after="120"/>
              <w:ind w:left="0" w:firstLine="0"/>
              <w:jc w:val="center"/>
              <w:rPr>
                <w:rStyle w:val="IntenseEmphasis"/>
              </w:rPr>
            </w:pPr>
          </w:p>
        </w:tc>
        <w:tc>
          <w:tcPr>
            <w:tcW w:w="925" w:type="dxa"/>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r>
      <w:tr w:rsidR="00FF7EC9" w:rsidRPr="00FF7EC9">
        <w:tc>
          <w:tcPr>
            <w:tcW w:w="819" w:type="dxa"/>
          </w:tcPr>
          <w:p w:rsidR="002B10BC" w:rsidRPr="00FF7EC9" w:rsidRDefault="002B10BC" w:rsidP="00743767">
            <w:pPr>
              <w:pStyle w:val="Bodywithspecialindent"/>
              <w:spacing w:before="40" w:after="120"/>
              <w:rPr>
                <w:rStyle w:val="IntenseEmphasis"/>
              </w:rPr>
            </w:pPr>
            <w:r w:rsidRPr="00FF7EC9">
              <w:rPr>
                <w:rStyle w:val="IntenseEmphasis"/>
              </w:rPr>
              <w:lastRenderedPageBreak/>
              <w:t>2.6c</w:t>
            </w:r>
          </w:p>
        </w:tc>
        <w:tc>
          <w:tcPr>
            <w:tcW w:w="6489" w:type="dxa"/>
          </w:tcPr>
          <w:p w:rsidR="00C42C46" w:rsidRPr="00CD51BD" w:rsidRDefault="00C42C46" w:rsidP="00A05B10">
            <w:pPr>
              <w:rPr>
                <w:rFonts w:ascii="Arial" w:hAnsi="Arial" w:cs="Arial"/>
              </w:rPr>
            </w:pPr>
            <w:r w:rsidRPr="00C42C46">
              <w:rPr>
                <w:rFonts w:ascii="Arial" w:hAnsi="Arial" w:cs="Arial"/>
              </w:rPr>
              <w:t xml:space="preserve">The Exchange has </w:t>
            </w:r>
            <w:r w:rsidR="00A05B10">
              <w:rPr>
                <w:rFonts w:ascii="Arial" w:hAnsi="Arial" w:cs="Arial"/>
              </w:rPr>
              <w:t xml:space="preserve">begun to develop training and  </w:t>
            </w:r>
            <w:r w:rsidRPr="00C42C46">
              <w:rPr>
                <w:rFonts w:ascii="Arial" w:hAnsi="Arial" w:cs="Arial"/>
              </w:rPr>
              <w:t>conflict of interest standards for Navigators.</w:t>
            </w:r>
          </w:p>
        </w:tc>
        <w:tc>
          <w:tcPr>
            <w:tcW w:w="630" w:type="dxa"/>
          </w:tcPr>
          <w:p w:rsidR="002B10BC" w:rsidRPr="00FF7EC9" w:rsidRDefault="002B10BC" w:rsidP="00743767">
            <w:pPr>
              <w:pStyle w:val="Bodywithspecialindent"/>
              <w:spacing w:before="40" w:after="120"/>
              <w:ind w:left="0" w:firstLine="0"/>
              <w:jc w:val="center"/>
              <w:rPr>
                <w:rStyle w:val="IntenseEmphasis"/>
              </w:rPr>
            </w:pPr>
          </w:p>
        </w:tc>
        <w:tc>
          <w:tcPr>
            <w:tcW w:w="925" w:type="dxa"/>
          </w:tcPr>
          <w:p w:rsidR="002B10BC" w:rsidRPr="00FF7EC9" w:rsidRDefault="002B10BC"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2B10BC" w:rsidRPr="00FF7EC9" w:rsidRDefault="002B10BC" w:rsidP="00743767">
            <w:pPr>
              <w:pStyle w:val="Bodywithspecialindent"/>
              <w:spacing w:before="40" w:after="120"/>
              <w:ind w:left="0" w:firstLine="0"/>
              <w:rPr>
                <w:rStyle w:val="IntenseEmphasis"/>
              </w:rPr>
            </w:pPr>
          </w:p>
        </w:tc>
      </w:tr>
      <w:tr w:rsidR="008B687E" w:rsidRPr="00FF7EC9">
        <w:trPr>
          <w:cantSplit/>
        </w:trPr>
        <w:tc>
          <w:tcPr>
            <w:tcW w:w="819" w:type="dxa"/>
          </w:tcPr>
          <w:p w:rsidR="008B687E" w:rsidRPr="00FF7EC9" w:rsidRDefault="008B687E" w:rsidP="00B10FFD">
            <w:pPr>
              <w:pStyle w:val="Bodywithspecialindent"/>
              <w:spacing w:before="40" w:after="120"/>
              <w:rPr>
                <w:rStyle w:val="IntenseEmphasis"/>
              </w:rPr>
            </w:pPr>
            <w:r>
              <w:rPr>
                <w:rStyle w:val="IntenseEmphasis"/>
              </w:rPr>
              <w:t>2.7</w:t>
            </w:r>
          </w:p>
        </w:tc>
        <w:tc>
          <w:tcPr>
            <w:tcW w:w="6489" w:type="dxa"/>
          </w:tcPr>
          <w:p w:rsidR="008B687E" w:rsidRPr="00FF7EC9" w:rsidRDefault="00EA1D68" w:rsidP="00B10FFD">
            <w:pPr>
              <w:pStyle w:val="Bodywithspecialindent"/>
              <w:spacing w:before="40" w:after="120"/>
              <w:ind w:left="0" w:firstLine="0"/>
              <w:rPr>
                <w:rFonts w:cs="Arial"/>
                <w:i/>
              </w:rPr>
            </w:pPr>
            <w:r w:rsidRPr="00AB7854">
              <w:rPr>
                <w:i/>
              </w:rPr>
              <w:t>If applicable:</w:t>
            </w:r>
            <w:r>
              <w:t xml:space="preserve"> </w:t>
            </w:r>
            <w:r w:rsidRPr="00582979">
              <w:t>The Exchange has established an in-person assistance program distinct from the Navigator program and has a process in place to operate the program consistent with the applicable requirements of 45 CFR 155.20(c), (d), and (e).</w:t>
            </w:r>
          </w:p>
        </w:tc>
        <w:tc>
          <w:tcPr>
            <w:tcW w:w="630" w:type="dxa"/>
            <w:shd w:val="clear" w:color="auto" w:fill="auto"/>
          </w:tcPr>
          <w:p w:rsidR="008B687E" w:rsidRPr="00FF7EC9" w:rsidRDefault="008B687E" w:rsidP="00B10FFD">
            <w:pPr>
              <w:pStyle w:val="Bodywithspecialindent"/>
              <w:spacing w:before="40" w:after="120"/>
              <w:ind w:left="0" w:firstLine="0"/>
              <w:jc w:val="center"/>
              <w:rPr>
                <w:rStyle w:val="IntenseEmphasis"/>
              </w:rPr>
            </w:pPr>
          </w:p>
        </w:tc>
        <w:tc>
          <w:tcPr>
            <w:tcW w:w="925" w:type="dxa"/>
            <w:shd w:val="clear" w:color="auto" w:fill="auto"/>
          </w:tcPr>
          <w:p w:rsidR="008B687E" w:rsidRPr="00FF7EC9" w:rsidRDefault="008B687E" w:rsidP="00B10FFD">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B10FFD">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B10FFD">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B10FFD">
            <w:pPr>
              <w:pStyle w:val="Bodywithspecialindent"/>
              <w:spacing w:before="40" w:after="120"/>
              <w:ind w:left="0" w:firstLine="0"/>
              <w:rPr>
                <w:rStyle w:val="IntenseEmphasis"/>
              </w:rPr>
            </w:pPr>
          </w:p>
        </w:tc>
        <w:tc>
          <w:tcPr>
            <w:tcW w:w="5761" w:type="dxa"/>
            <w:shd w:val="clear" w:color="auto" w:fill="auto"/>
          </w:tcPr>
          <w:p w:rsidR="008B687E" w:rsidRPr="00FF7EC9" w:rsidRDefault="00EA1D68" w:rsidP="00B10FFD">
            <w:pPr>
              <w:pStyle w:val="Bodywithspecialindent"/>
              <w:spacing w:before="40" w:after="120"/>
              <w:ind w:left="0" w:firstLine="0"/>
              <w:rPr>
                <w:rStyle w:val="IntenseEmphasis"/>
              </w:rPr>
            </w:pPr>
            <w:r w:rsidRPr="00582979">
              <w:rPr>
                <w:rFonts w:cs="Arial"/>
              </w:rPr>
              <w:t>Brief description of Exchange’s plan to operate an in-person assistance program distinct from the Navigator program, which provides in-person assistance to consumers including documentation outlining the Exchange’s progress in developing conflict of interest and training standards; how it will ensure in-person assist</w:t>
            </w:r>
            <w:r>
              <w:rPr>
                <w:rFonts w:cs="Arial"/>
              </w:rPr>
              <w:t>ance program staff</w:t>
            </w:r>
            <w:r w:rsidRPr="00582979">
              <w:rPr>
                <w:rFonts w:cs="Arial"/>
              </w:rPr>
              <w:t xml:space="preserve"> are </w:t>
            </w:r>
            <w:r w:rsidRPr="004D1175">
              <w:rPr>
                <w:rFonts w:cs="Arial"/>
              </w:rPr>
              <w:t>appropriately trained and meet the Exchange’s conflict of interest, accessibility, and privacy and security standards; and a timeline and strategy for funding for the in-person assist</w:t>
            </w:r>
            <w:r>
              <w:rPr>
                <w:rFonts w:cs="Arial"/>
              </w:rPr>
              <w:t>ance</w:t>
            </w:r>
            <w:r w:rsidRPr="004D1175">
              <w:rPr>
                <w:rFonts w:cs="Arial"/>
              </w:rPr>
              <w:t xml:space="preserve"> program and making the program fully operational.</w:t>
            </w:r>
          </w:p>
        </w:tc>
        <w:tc>
          <w:tcPr>
            <w:tcW w:w="1170" w:type="dxa"/>
          </w:tcPr>
          <w:p w:rsidR="008B687E" w:rsidRPr="00FF7EC9" w:rsidRDefault="008B687E" w:rsidP="00B10FFD">
            <w:pPr>
              <w:pStyle w:val="Bodywithspecialindent"/>
              <w:spacing w:before="40" w:after="120"/>
              <w:ind w:left="0" w:firstLine="0"/>
              <w:rPr>
                <w:rStyle w:val="IntenseEmphasis"/>
              </w:rPr>
            </w:pPr>
          </w:p>
        </w:tc>
      </w:tr>
      <w:tr w:rsidR="008B687E" w:rsidRPr="00FF7EC9">
        <w:trPr>
          <w:cantSplit/>
        </w:trPr>
        <w:tc>
          <w:tcPr>
            <w:tcW w:w="819" w:type="dxa"/>
          </w:tcPr>
          <w:p w:rsidR="008B687E" w:rsidRPr="00FF7EC9" w:rsidRDefault="008B687E" w:rsidP="00743767">
            <w:pPr>
              <w:pStyle w:val="Bodywithspecialindent"/>
              <w:spacing w:before="40" w:after="120"/>
              <w:rPr>
                <w:rStyle w:val="IntenseEmphasis"/>
              </w:rPr>
            </w:pPr>
            <w:r>
              <w:rPr>
                <w:rStyle w:val="IntenseEmphasis"/>
              </w:rPr>
              <w:t>2.8</w:t>
            </w:r>
          </w:p>
        </w:tc>
        <w:tc>
          <w:tcPr>
            <w:tcW w:w="6489" w:type="dxa"/>
          </w:tcPr>
          <w:p w:rsidR="008B687E" w:rsidRPr="00FF7EC9" w:rsidRDefault="008B687E" w:rsidP="00743767">
            <w:pPr>
              <w:pStyle w:val="NoSpacing"/>
              <w:spacing w:before="40" w:after="120"/>
              <w:rPr>
                <w:rFonts w:cs="Arial"/>
                <w:i/>
              </w:rPr>
            </w:pPr>
            <w:r w:rsidRPr="00FF7EC9">
              <w:rPr>
                <w:rFonts w:cs="Arial"/>
                <w:i/>
              </w:rPr>
              <w:t xml:space="preserve">If applicable: </w:t>
            </w:r>
            <w:r w:rsidRPr="00FF7EC9">
              <w:rPr>
                <w:rFonts w:cs="Arial"/>
              </w:rPr>
              <w:t xml:space="preserve">If the State permits activities by agents and brokers pursuant to 45 CFR 155.220(a), the Exchange has clearly defined the role of agents and brokers including evidence of licensure, training, and compliance with 45 CFR 155.220(c)-(e).  The Exchange will have agreements with agents/brokers consistent with 45 CFR 155.220(d), which address agent/broker registration with the Exchange, training on QHP options and Insurance Affordability Program(s), and adherence to privacy and security standards, as specified in 45 CFR </w:t>
            </w:r>
            <w:r w:rsidRPr="00FF7EC9">
              <w:rPr>
                <w:rFonts w:eastAsia="Times New Roman" w:cs="Arial"/>
              </w:rPr>
              <w:t>155.260.</w:t>
            </w:r>
          </w:p>
        </w:tc>
        <w:tc>
          <w:tcPr>
            <w:tcW w:w="630"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Fonts w:cs="Arial"/>
                <w:i/>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Fonts w:cs="Arial"/>
                <w:i/>
              </w:rPr>
            </w:pPr>
          </w:p>
        </w:tc>
        <w:tc>
          <w:tcPr>
            <w:tcW w:w="5761" w:type="dxa"/>
            <w:shd w:val="clear" w:color="auto" w:fill="auto"/>
          </w:tcPr>
          <w:p w:rsidR="008B687E" w:rsidRPr="00FF7EC9" w:rsidRDefault="008B687E" w:rsidP="00743767">
            <w:pPr>
              <w:pStyle w:val="Bodywithspecialindent"/>
              <w:spacing w:before="40" w:after="120"/>
              <w:ind w:left="0" w:firstLine="0"/>
              <w:rPr>
                <w:rFonts w:cs="Arial"/>
              </w:rPr>
            </w:pPr>
            <w:r w:rsidRPr="00FF7EC9">
              <w:rPr>
                <w:rFonts w:cs="Arial"/>
                <w:i/>
              </w:rPr>
              <w:t>If applicable:</w:t>
            </w:r>
            <w:r w:rsidRPr="00FF7EC9">
              <w:rPr>
                <w:rFonts w:cs="Arial"/>
              </w:rPr>
              <w:t xml:space="preserve"> Brief description of the strategy, including the Exchange’s compensation policy for agents/brokers, including web brokers, as it relates to their enrollment of individuals through the Exchange.</w:t>
            </w:r>
          </w:p>
          <w:p w:rsidR="008B687E" w:rsidRPr="00FF7EC9" w:rsidRDefault="008B687E" w:rsidP="00743767">
            <w:pPr>
              <w:pStyle w:val="Bodywithspecialindent"/>
              <w:spacing w:before="40" w:after="120"/>
              <w:ind w:left="0" w:firstLine="0"/>
              <w:rPr>
                <w:rFonts w:cs="Arial"/>
                <w:b/>
                <w:i/>
              </w:rPr>
            </w:pPr>
            <w:r w:rsidRPr="00FF7EC9">
              <w:rPr>
                <w:rFonts w:cs="Arial"/>
                <w:b/>
                <w:i/>
              </w:rPr>
              <w:t>AND</w:t>
            </w:r>
          </w:p>
          <w:p w:rsidR="008B687E" w:rsidRPr="00FF7EC9" w:rsidRDefault="008B687E" w:rsidP="00743767">
            <w:pPr>
              <w:pStyle w:val="Bodywithspecialindent"/>
              <w:spacing w:before="40" w:after="120"/>
              <w:ind w:left="0" w:firstLine="0"/>
              <w:rPr>
                <w:rStyle w:val="IntenseEmphasis"/>
              </w:rPr>
            </w:pPr>
            <w:r w:rsidRPr="00FF7EC9">
              <w:rPr>
                <w:rFonts w:cs="Arial"/>
                <w:i/>
              </w:rPr>
              <w:t>If applicable:</w:t>
            </w:r>
            <w:r w:rsidRPr="00FF7EC9">
              <w:rPr>
                <w:rFonts w:cs="Arial"/>
              </w:rPr>
              <w:t xml:space="preserve"> Brief description of the Exchange’s policy for ensuring compliance with 45 CFR 155.220(d) and (e), including how it will ensure agents/brokers are appropriately trained and meet the Exchange’s privacy and security standards.</w:t>
            </w:r>
          </w:p>
        </w:tc>
        <w:tc>
          <w:tcPr>
            <w:tcW w:w="1170" w:type="dxa"/>
          </w:tcPr>
          <w:p w:rsidR="008B687E" w:rsidRPr="00FF7EC9" w:rsidRDefault="008B687E" w:rsidP="00743767">
            <w:pPr>
              <w:pStyle w:val="Bodywithspecialindent"/>
              <w:spacing w:before="40" w:after="120"/>
              <w:ind w:left="0" w:firstLine="0"/>
              <w:rPr>
                <w:rFonts w:cs="Arial"/>
                <w:i/>
              </w:rPr>
            </w:pPr>
          </w:p>
        </w:tc>
      </w:tr>
      <w:tr w:rsidR="008B687E" w:rsidRPr="00FF7EC9">
        <w:tc>
          <w:tcPr>
            <w:tcW w:w="819" w:type="dxa"/>
          </w:tcPr>
          <w:p w:rsidR="008B687E" w:rsidRPr="00FF7EC9" w:rsidRDefault="008B687E" w:rsidP="00743767">
            <w:pPr>
              <w:pStyle w:val="Bodywithspecialindent"/>
              <w:spacing w:before="40" w:after="120"/>
              <w:rPr>
                <w:rStyle w:val="IntenseEmphasis"/>
              </w:rPr>
            </w:pPr>
            <w:r>
              <w:rPr>
                <w:rStyle w:val="IntenseEmphasis"/>
              </w:rPr>
              <w:t>2.8</w:t>
            </w:r>
            <w:r w:rsidRPr="00FF7EC9">
              <w:rPr>
                <w:rStyle w:val="IntenseEmphasis"/>
              </w:rPr>
              <w:t>a</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i/>
              </w:rPr>
              <w:t>If applicable:</w:t>
            </w:r>
            <w:r w:rsidRPr="00FF7EC9">
              <w:rPr>
                <w:rFonts w:cs="Arial"/>
              </w:rPr>
              <w:t xml:space="preserve"> The Exchange has a process to verify that agents/brokers are in compliance with State law, including licensure requirements consistent with 45 CFR 155.220(e).</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rPr>
                <w:rStyle w:val="IntenseEmphasis"/>
              </w:rPr>
            </w:pPr>
            <w:r>
              <w:rPr>
                <w:rStyle w:val="IntenseEmphasis"/>
              </w:rPr>
              <w:t>2.9</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i/>
              </w:rPr>
              <w:t xml:space="preserve">If applicable: </w:t>
            </w:r>
            <w:r w:rsidRPr="00FF7EC9">
              <w:rPr>
                <w:rFonts w:cs="Arial"/>
              </w:rPr>
              <w:t xml:space="preserve">If the State permits activities by agents and brokers pursuant to 45 CFR 155.220(a), the Exchange has </w:t>
            </w:r>
            <w:r w:rsidRPr="00FF7EC9">
              <w:rPr>
                <w:rFonts w:cs="Arial"/>
              </w:rPr>
              <w:lastRenderedPageBreak/>
              <w:t>clearly defined the role of web brokers including evidence of licensure, training, and compliance with 45 CFR</w:t>
            </w:r>
            <w:r w:rsidRPr="00FF7EC9">
              <w:rPr>
                <w:rFonts w:eastAsia="Times New Roman" w:cs="Arial"/>
              </w:rPr>
              <w:t xml:space="preserve"> </w:t>
            </w:r>
            <w:r w:rsidRPr="00FF7EC9">
              <w:rPr>
                <w:rFonts w:cs="Arial"/>
              </w:rPr>
              <w:t>155.220(c)-(e). Specifically, the Exchange has agreements with web brokers consistent with 45 CFR</w:t>
            </w:r>
            <w:r w:rsidRPr="00FF7EC9">
              <w:rPr>
                <w:rFonts w:eastAsia="Times New Roman" w:cs="Arial"/>
              </w:rPr>
              <w:t xml:space="preserve"> </w:t>
            </w:r>
            <w:r w:rsidRPr="00FF7EC9">
              <w:rPr>
                <w:rFonts w:cs="Arial"/>
              </w:rPr>
              <w:t xml:space="preserve">155.220(d), which address agent/broker registration with the Exchange, training on QHP options and Insurance Affordability Program(s), and adherence to privacy and security standards, as specified in 45 CFR </w:t>
            </w:r>
            <w:r w:rsidRPr="00FF7EC9">
              <w:rPr>
                <w:rFonts w:eastAsia="Times New Roman" w:cs="Arial"/>
              </w:rPr>
              <w:t>155.260.</w:t>
            </w:r>
          </w:p>
        </w:tc>
        <w:tc>
          <w:tcPr>
            <w:tcW w:w="630"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Fonts w:cs="Arial"/>
                <w:i/>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Fonts w:cs="Arial"/>
                <w:i/>
              </w:rPr>
            </w:pPr>
          </w:p>
        </w:tc>
        <w:tc>
          <w:tcPr>
            <w:tcW w:w="5761" w:type="dxa"/>
            <w:shd w:val="clear" w:color="auto" w:fill="auto"/>
          </w:tcPr>
          <w:p w:rsidR="008B687E" w:rsidRPr="00FF7EC9" w:rsidRDefault="008B687E" w:rsidP="00743767">
            <w:pPr>
              <w:pStyle w:val="Bodywithspecialindent"/>
              <w:spacing w:before="40" w:after="120"/>
              <w:ind w:left="0" w:firstLine="0"/>
              <w:rPr>
                <w:rFonts w:cs="Arial"/>
              </w:rPr>
            </w:pPr>
            <w:r w:rsidRPr="00FF7EC9">
              <w:rPr>
                <w:rFonts w:cs="Arial"/>
                <w:i/>
              </w:rPr>
              <w:t>If applicable:</w:t>
            </w:r>
            <w:r w:rsidRPr="00FF7EC9">
              <w:rPr>
                <w:rFonts w:cs="Arial"/>
              </w:rPr>
              <w:t xml:space="preserve"> Brief description of how the Exchange’s Internet Web site will interface with web brokers’ Web </w:t>
            </w:r>
            <w:r w:rsidRPr="00FF7EC9">
              <w:rPr>
                <w:rFonts w:cs="Arial"/>
              </w:rPr>
              <w:lastRenderedPageBreak/>
              <w:t>sites.</w:t>
            </w:r>
          </w:p>
          <w:p w:rsidR="008B687E" w:rsidRPr="00FF7EC9" w:rsidRDefault="008B687E" w:rsidP="00743767">
            <w:pPr>
              <w:pStyle w:val="Bodywithspecialindent"/>
              <w:spacing w:before="40" w:after="120"/>
              <w:ind w:left="0" w:firstLine="0"/>
              <w:rPr>
                <w:rFonts w:cs="Arial"/>
                <w:b/>
                <w:i/>
              </w:rPr>
            </w:pPr>
            <w:r w:rsidRPr="00FF7EC9">
              <w:rPr>
                <w:rFonts w:cs="Arial"/>
                <w:b/>
                <w:i/>
              </w:rPr>
              <w:t>AND</w:t>
            </w:r>
          </w:p>
          <w:p w:rsidR="008B687E" w:rsidRPr="00FF7EC9" w:rsidRDefault="008B687E" w:rsidP="00743767">
            <w:pPr>
              <w:pStyle w:val="Bodywithspecialindent"/>
              <w:spacing w:before="40" w:after="120"/>
              <w:ind w:left="0" w:firstLine="0"/>
              <w:rPr>
                <w:rStyle w:val="IntenseEmphasis"/>
              </w:rPr>
            </w:pPr>
            <w:r w:rsidRPr="00FF7EC9">
              <w:rPr>
                <w:rFonts w:cs="Arial"/>
                <w:i/>
              </w:rPr>
              <w:t>If applicable:</w:t>
            </w:r>
            <w:r w:rsidRPr="00FF7EC9">
              <w:rPr>
                <w:rFonts w:cs="Arial"/>
              </w:rPr>
              <w:t xml:space="preserve"> Brief description of Exchange’s policy for ensuring compliance with 45 CFR</w:t>
            </w:r>
            <w:r w:rsidRPr="00FF7EC9">
              <w:rPr>
                <w:rFonts w:eastAsia="Times New Roman" w:cs="Arial"/>
              </w:rPr>
              <w:t xml:space="preserve"> </w:t>
            </w:r>
            <w:r w:rsidRPr="00FF7EC9">
              <w:rPr>
                <w:rFonts w:cs="Arial"/>
              </w:rPr>
              <w:t>155.220(c)(3),(d) and (e), including how it will ensure web brokers are appropriately trained and meet the Exchange’s privacy and security standards.</w:t>
            </w:r>
          </w:p>
        </w:tc>
        <w:tc>
          <w:tcPr>
            <w:tcW w:w="1170" w:type="dxa"/>
          </w:tcPr>
          <w:p w:rsidR="008B687E" w:rsidRPr="00FF7EC9" w:rsidRDefault="008B687E" w:rsidP="00743767">
            <w:pPr>
              <w:pStyle w:val="Bodywithspecialindent"/>
              <w:spacing w:before="40" w:after="120"/>
              <w:ind w:left="0" w:firstLine="0"/>
              <w:rPr>
                <w:rFonts w:cs="Arial"/>
                <w:i/>
              </w:rPr>
            </w:pPr>
          </w:p>
        </w:tc>
      </w:tr>
      <w:tr w:rsidR="008B687E" w:rsidRPr="00FF7EC9">
        <w:tc>
          <w:tcPr>
            <w:tcW w:w="819" w:type="dxa"/>
          </w:tcPr>
          <w:p w:rsidR="008B687E" w:rsidRPr="00FF7EC9" w:rsidRDefault="008B687E" w:rsidP="00743767">
            <w:pPr>
              <w:pStyle w:val="Bodywithspecialindent"/>
              <w:spacing w:before="40" w:after="120"/>
              <w:rPr>
                <w:rStyle w:val="IntenseEmphasis"/>
              </w:rPr>
            </w:pPr>
            <w:r>
              <w:rPr>
                <w:rStyle w:val="IntenseEmphasis"/>
              </w:rPr>
              <w:lastRenderedPageBreak/>
              <w:t>2.9</w:t>
            </w:r>
            <w:r w:rsidRPr="00FF7EC9">
              <w:rPr>
                <w:rStyle w:val="IntenseEmphasis"/>
              </w:rPr>
              <w:t>a</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i/>
              </w:rPr>
              <w:t>If applicable:</w:t>
            </w:r>
            <w:r w:rsidRPr="00FF7EC9">
              <w:rPr>
                <w:rFonts w:cs="Arial"/>
              </w:rPr>
              <w:t xml:space="preserve"> The Exchange has a process to verify that web brokers are in compliance with State law including licensure requirements consistent with 45 CFR</w:t>
            </w:r>
            <w:r w:rsidRPr="00FF7EC9">
              <w:rPr>
                <w:rFonts w:eastAsia="Times New Roman" w:cs="Arial"/>
              </w:rPr>
              <w:t xml:space="preserve"> </w:t>
            </w:r>
            <w:r w:rsidRPr="00FF7EC9">
              <w:rPr>
                <w:rFonts w:cs="Arial"/>
              </w:rPr>
              <w:t>155.220(e).</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rPr>
          <w:cantSplit/>
        </w:trPr>
        <w:tc>
          <w:tcPr>
            <w:tcW w:w="819" w:type="dxa"/>
          </w:tcPr>
          <w:p w:rsidR="008B687E" w:rsidRPr="00FF7EC9" w:rsidRDefault="008B687E" w:rsidP="00743767">
            <w:pPr>
              <w:pStyle w:val="Bodywithspecialindent"/>
              <w:spacing w:before="40" w:after="120"/>
              <w:rPr>
                <w:rStyle w:val="IntenseEmphasis"/>
              </w:rPr>
            </w:pPr>
            <w:r>
              <w:rPr>
                <w:rStyle w:val="IntenseEmphasis"/>
              </w:rPr>
              <w:t>2.9</w:t>
            </w:r>
            <w:r w:rsidRPr="00FF7EC9">
              <w:rPr>
                <w:rStyle w:val="IntenseEmphasis"/>
              </w:rPr>
              <w:t>b</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i/>
              </w:rPr>
              <w:t>If applicable:</w:t>
            </w:r>
            <w:r w:rsidRPr="00FF7EC9">
              <w:rPr>
                <w:rFonts w:cs="Arial"/>
              </w:rPr>
              <w:t xml:space="preserve"> The Exchange has agreements with web brokers, consistent with 45 CFR</w:t>
            </w:r>
            <w:r w:rsidRPr="00FF7EC9">
              <w:rPr>
                <w:rFonts w:eastAsia="Times New Roman" w:cs="Arial"/>
              </w:rPr>
              <w:t xml:space="preserve"> </w:t>
            </w:r>
            <w:r w:rsidRPr="00FF7EC9">
              <w:rPr>
                <w:rFonts w:cs="Arial"/>
              </w:rPr>
              <w:t xml:space="preserve">155.220(d), which address web broker registration with the Exchange, training on QHP options and Insurance Affordability Program(s), and adherence to privacy and security standards, as specified  in 45 CFR </w:t>
            </w:r>
            <w:r w:rsidRPr="00FF7EC9">
              <w:rPr>
                <w:rFonts w:eastAsia="Times New Roman" w:cs="Arial"/>
              </w:rPr>
              <w:t>155.260.</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rPr>
          <w:cantSplit/>
        </w:trPr>
        <w:tc>
          <w:tcPr>
            <w:tcW w:w="18133" w:type="dxa"/>
            <w:gridSpan w:val="9"/>
          </w:tcPr>
          <w:p w:rsidR="008B687E" w:rsidRPr="00FF7EC9" w:rsidRDefault="008B687E" w:rsidP="00102BD6">
            <w:pPr>
              <w:pStyle w:val="Heading1"/>
              <w:numPr>
                <w:ilvl w:val="0"/>
                <w:numId w:val="0"/>
              </w:numPr>
              <w:pBdr>
                <w:bottom w:val="none" w:sz="0" w:space="0" w:color="auto"/>
              </w:pBdr>
              <w:ind w:left="360" w:hanging="360"/>
              <w:jc w:val="left"/>
              <w:outlineLvl w:val="0"/>
            </w:pPr>
            <w:bookmarkStart w:id="12" w:name="_Toc329259023"/>
            <w:r w:rsidRPr="00FF7EC9">
              <w:t>3.0 Eligibility and Enrollment</w:t>
            </w:r>
            <w:bookmarkEnd w:id="12"/>
          </w:p>
        </w:tc>
      </w:tr>
      <w:tr w:rsidR="008B687E" w:rsidRPr="00FF7EC9">
        <w:trPr>
          <w:cantSplit/>
        </w:trPr>
        <w:tc>
          <w:tcPr>
            <w:tcW w:w="819" w:type="dxa"/>
          </w:tcPr>
          <w:p w:rsidR="008B687E" w:rsidRPr="00FF7EC9" w:rsidRDefault="008B687E" w:rsidP="00743767">
            <w:pPr>
              <w:pStyle w:val="Bodywithspecialindent"/>
              <w:spacing w:before="40" w:after="120"/>
              <w:rPr>
                <w:rStyle w:val="IntenseEmphasis"/>
              </w:rPr>
            </w:pPr>
            <w:r w:rsidRPr="00FF7EC9">
              <w:rPr>
                <w:rStyle w:val="IntenseEmphasis"/>
              </w:rPr>
              <w:t>3.1</w:t>
            </w:r>
          </w:p>
        </w:tc>
        <w:tc>
          <w:tcPr>
            <w:tcW w:w="6489" w:type="dxa"/>
          </w:tcPr>
          <w:p w:rsidR="008B687E" w:rsidRPr="00FF7EC9" w:rsidRDefault="008B687E" w:rsidP="00743767">
            <w:pPr>
              <w:pStyle w:val="NoSpacing"/>
              <w:spacing w:before="40" w:after="120"/>
              <w:rPr>
                <w:rStyle w:val="IntenseEmphasis"/>
              </w:rPr>
            </w:pPr>
            <w:r w:rsidRPr="00FF7EC9">
              <w:rPr>
                <w:rFonts w:cs="Arial"/>
              </w:rPr>
              <w:t xml:space="preserve">The Exchange has developed and will use an HHS-approved single, streamlined application for the individual market – or will use the HHS-developed application – to determine eligibility and collect information that is necessary for enrollment in a QHP for the individual market and for insurance affordability programs as specified in 45 CFR 155.405. The Exchange has developed and will use an HHS-approved application for SHOP or will use the HHS-developed application for SHOP </w:t>
            </w:r>
            <w:r w:rsidRPr="00FF7EC9">
              <w:rPr>
                <w:rStyle w:val="apple-style-span"/>
                <w:rFonts w:cs="Arial"/>
              </w:rPr>
              <w:t>employers and employees as specified in 45 CFR 155.730.</w:t>
            </w:r>
          </w:p>
        </w:tc>
        <w:tc>
          <w:tcPr>
            <w:tcW w:w="630" w:type="dxa"/>
            <w:shd w:val="clear" w:color="auto" w:fill="auto"/>
          </w:tcPr>
          <w:p w:rsidR="008B687E" w:rsidRPr="00FF7EC9" w:rsidRDefault="008B687E" w:rsidP="00743767">
            <w:pPr>
              <w:pStyle w:val="Bodywithspecialindent"/>
              <w:spacing w:before="40" w:after="120"/>
              <w:ind w:left="0" w:firstLine="0"/>
              <w:rPr>
                <w:rStyle w:val="Heading2Char"/>
              </w:rPr>
            </w:pPr>
          </w:p>
        </w:tc>
        <w:tc>
          <w:tcPr>
            <w:tcW w:w="925" w:type="dxa"/>
            <w:shd w:val="clear" w:color="auto" w:fill="auto"/>
          </w:tcPr>
          <w:p w:rsidR="008B687E" w:rsidRPr="00FF7EC9" w:rsidRDefault="008B687E" w:rsidP="00743767">
            <w:pPr>
              <w:pStyle w:val="Bodywithspecialindent"/>
              <w:spacing w:before="40" w:after="120"/>
              <w:ind w:left="0" w:firstLine="0"/>
              <w:rPr>
                <w:rStyle w:val="Heading2Char"/>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Heading2Char"/>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Heading2Char"/>
              </w:rPr>
            </w:pPr>
          </w:p>
        </w:tc>
        <w:tc>
          <w:tcPr>
            <w:tcW w:w="635" w:type="dxa"/>
            <w:shd w:val="clear" w:color="auto" w:fill="808080" w:themeFill="background1" w:themeFillShade="80"/>
          </w:tcPr>
          <w:p w:rsidR="008B687E" w:rsidRPr="00FF7EC9" w:rsidRDefault="008B687E" w:rsidP="00743767">
            <w:pPr>
              <w:spacing w:before="40" w:after="120"/>
              <w:rPr>
                <w:rFonts w:ascii="Arial" w:hAnsi="Arial" w:cs="Arial"/>
                <w:i/>
              </w:rPr>
            </w:pPr>
          </w:p>
        </w:tc>
        <w:tc>
          <w:tcPr>
            <w:tcW w:w="5761" w:type="dxa"/>
            <w:shd w:val="clear" w:color="auto" w:fill="FFFFFF" w:themeFill="background1"/>
          </w:tcPr>
          <w:p w:rsidR="008B687E" w:rsidRPr="00FF7EC9" w:rsidRDefault="008B687E" w:rsidP="00743767">
            <w:pPr>
              <w:spacing w:before="40" w:after="120"/>
              <w:rPr>
                <w:rFonts w:ascii="Arial" w:hAnsi="Arial" w:cs="Arial"/>
              </w:rPr>
            </w:pPr>
            <w:r w:rsidRPr="00FF7EC9">
              <w:rPr>
                <w:rFonts w:ascii="Arial" w:hAnsi="Arial" w:cs="Arial"/>
                <w:i/>
              </w:rPr>
              <w:t>If applicable:</w:t>
            </w:r>
            <w:r w:rsidRPr="00FF7EC9">
              <w:rPr>
                <w:rFonts w:ascii="Arial" w:hAnsi="Arial" w:cs="Arial"/>
              </w:rPr>
              <w:t xml:space="preserve"> State-developed single-streamlined application to determine eligibility for the individual market.</w:t>
            </w:r>
          </w:p>
          <w:p w:rsidR="008B687E" w:rsidRPr="008B687E" w:rsidRDefault="008B687E" w:rsidP="00743767">
            <w:pPr>
              <w:spacing w:before="40" w:after="120" w:line="276" w:lineRule="auto"/>
              <w:rPr>
                <w:rFonts w:ascii="Arial" w:hAnsi="Arial" w:cs="Arial"/>
                <w:b/>
                <w:i/>
                <w:sz w:val="16"/>
                <w:szCs w:val="16"/>
              </w:rPr>
            </w:pPr>
            <w:r w:rsidRPr="008B687E">
              <w:rPr>
                <w:rFonts w:ascii="Arial" w:hAnsi="Arial" w:cs="Arial"/>
                <w:b/>
                <w:i/>
              </w:rPr>
              <w:t>AND</w:t>
            </w:r>
          </w:p>
          <w:p w:rsidR="008B687E" w:rsidRPr="00FF7EC9" w:rsidRDefault="008B687E" w:rsidP="00743767">
            <w:pPr>
              <w:spacing w:before="40" w:after="120"/>
              <w:rPr>
                <w:rStyle w:val="Heading2Char"/>
                <w:rFonts w:ascii="Arial" w:hAnsi="Arial" w:cstheme="minorBidi"/>
                <w:b w:val="0"/>
                <w:color w:val="auto"/>
                <w:sz w:val="22"/>
                <w:szCs w:val="22"/>
              </w:rPr>
            </w:pPr>
            <w:r w:rsidRPr="00FF7EC9">
              <w:rPr>
                <w:rFonts w:ascii="Arial" w:hAnsi="Arial" w:cs="Arial"/>
                <w:i/>
              </w:rPr>
              <w:t>If applicable:</w:t>
            </w:r>
            <w:r w:rsidRPr="00FF7EC9">
              <w:rPr>
                <w:rFonts w:ascii="Arial" w:hAnsi="Arial" w:cs="Arial"/>
              </w:rPr>
              <w:t xml:space="preserve"> State-developed single-streamlined application to determine eligibility for the SHOP.</w:t>
            </w:r>
          </w:p>
        </w:tc>
        <w:tc>
          <w:tcPr>
            <w:tcW w:w="1170" w:type="dxa"/>
            <w:shd w:val="clear" w:color="auto" w:fill="FFFFFF" w:themeFill="background1"/>
          </w:tcPr>
          <w:p w:rsidR="008B687E" w:rsidRPr="00FF7EC9" w:rsidRDefault="008B687E" w:rsidP="00743767">
            <w:pPr>
              <w:spacing w:before="40" w:after="120"/>
              <w:rPr>
                <w:rFonts w:ascii="Arial" w:hAnsi="Arial" w:cs="Arial"/>
                <w:i/>
              </w:rPr>
            </w:pPr>
          </w:p>
        </w:tc>
      </w:tr>
      <w:tr w:rsidR="008B687E" w:rsidRPr="00FF7EC9">
        <w:trPr>
          <w:cantSplit/>
        </w:trPr>
        <w:tc>
          <w:tcPr>
            <w:tcW w:w="819" w:type="dxa"/>
          </w:tcPr>
          <w:p w:rsidR="008B687E" w:rsidRPr="00FF7EC9" w:rsidRDefault="008B687E" w:rsidP="00743767">
            <w:pPr>
              <w:pStyle w:val="Bodywithspecialindent"/>
              <w:spacing w:before="40" w:after="120"/>
              <w:rPr>
                <w:rStyle w:val="IntenseEmphasis"/>
              </w:rPr>
            </w:pPr>
            <w:r w:rsidRPr="00FF7EC9">
              <w:rPr>
                <w:rStyle w:val="IntenseEmphasis"/>
              </w:rPr>
              <w:lastRenderedPageBreak/>
              <w:t>3.1a1</w:t>
            </w:r>
          </w:p>
        </w:tc>
        <w:tc>
          <w:tcPr>
            <w:tcW w:w="6489" w:type="dxa"/>
          </w:tcPr>
          <w:p w:rsidR="008B687E" w:rsidRPr="00FF7EC9" w:rsidRDefault="008B687E" w:rsidP="00743767">
            <w:pPr>
              <w:pStyle w:val="NoSpacing"/>
              <w:spacing w:before="40" w:after="120"/>
              <w:rPr>
                <w:rFonts w:cs="Arial"/>
                <w:b/>
                <w:i/>
              </w:rPr>
            </w:pPr>
            <w:r w:rsidRPr="00FF7EC9">
              <w:rPr>
                <w:rFonts w:cs="Arial"/>
              </w:rPr>
              <w:t xml:space="preserve">The Exchange has developed and will use </w:t>
            </w:r>
            <w:r w:rsidR="00CB4821">
              <w:rPr>
                <w:rFonts w:cs="Arial"/>
              </w:rPr>
              <w:t>a</w:t>
            </w:r>
            <w:r w:rsidRPr="00FF7EC9">
              <w:rPr>
                <w:rFonts w:cs="Arial"/>
              </w:rPr>
              <w:t xml:space="preserve"> HHS-approved single, streamlined application for the individual market to determine eligibility and collect information that is necessary for enrollment in a QHP and for insurance affordability programs as specified in 45 CFR 155.405.</w:t>
            </w:r>
            <w:r w:rsidRPr="00FF7EC9">
              <w:rPr>
                <w:rFonts w:cs="Arial"/>
              </w:rPr>
              <w:br/>
            </w:r>
            <w:r w:rsidRPr="00FF7EC9">
              <w:rPr>
                <w:rFonts w:cs="Arial"/>
                <w:b/>
                <w:i/>
              </w:rPr>
              <w:t>OR</w:t>
            </w:r>
          </w:p>
        </w:tc>
        <w:tc>
          <w:tcPr>
            <w:tcW w:w="630" w:type="dxa"/>
            <w:shd w:val="clear" w:color="auto" w:fill="FFFFFF" w:themeFill="background1"/>
          </w:tcPr>
          <w:p w:rsidR="008B687E" w:rsidRPr="00FF7EC9" w:rsidRDefault="008B687E" w:rsidP="00743767">
            <w:pPr>
              <w:pStyle w:val="Bodywithspecialindent"/>
              <w:spacing w:before="40" w:after="120"/>
              <w:ind w:left="0" w:firstLine="0"/>
              <w:rPr>
                <w:rStyle w:val="Heading2Char"/>
              </w:rPr>
            </w:pPr>
          </w:p>
        </w:tc>
        <w:tc>
          <w:tcPr>
            <w:tcW w:w="925" w:type="dxa"/>
            <w:shd w:val="clear" w:color="auto" w:fill="FFFFFF" w:themeFill="background1"/>
          </w:tcPr>
          <w:p w:rsidR="008B687E" w:rsidRPr="00FF7EC9" w:rsidRDefault="008B687E" w:rsidP="00743767">
            <w:pPr>
              <w:pStyle w:val="Bodywithspecialindent"/>
              <w:spacing w:before="40" w:after="120"/>
              <w:ind w:left="0" w:firstLine="0"/>
              <w:rPr>
                <w:rStyle w:val="Heading2Char"/>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Heading2Char"/>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Heading2Char"/>
              </w:rPr>
            </w:pPr>
          </w:p>
        </w:tc>
        <w:tc>
          <w:tcPr>
            <w:tcW w:w="635" w:type="dxa"/>
            <w:shd w:val="clear" w:color="auto" w:fill="808080" w:themeFill="background1" w:themeFillShade="80"/>
          </w:tcPr>
          <w:p w:rsidR="008B687E" w:rsidRPr="00FF7EC9" w:rsidRDefault="008B687E" w:rsidP="00743767">
            <w:pPr>
              <w:spacing w:before="40" w:after="120"/>
              <w:rPr>
                <w:rFonts w:ascii="Arial" w:hAnsi="Arial" w:cs="Arial"/>
                <w:i/>
              </w:rPr>
            </w:pPr>
          </w:p>
        </w:tc>
        <w:tc>
          <w:tcPr>
            <w:tcW w:w="5761" w:type="dxa"/>
            <w:shd w:val="clear" w:color="auto" w:fill="808080" w:themeFill="background1" w:themeFillShade="80"/>
          </w:tcPr>
          <w:p w:rsidR="008B687E" w:rsidRPr="00FF7EC9" w:rsidRDefault="008B687E" w:rsidP="00743767">
            <w:pPr>
              <w:spacing w:before="40" w:after="120"/>
              <w:rPr>
                <w:rFonts w:ascii="Arial" w:hAnsi="Arial" w:cs="Arial"/>
                <w:i/>
              </w:rPr>
            </w:pPr>
          </w:p>
        </w:tc>
        <w:tc>
          <w:tcPr>
            <w:tcW w:w="1170" w:type="dxa"/>
            <w:shd w:val="clear" w:color="auto" w:fill="808080" w:themeFill="background1" w:themeFillShade="80"/>
          </w:tcPr>
          <w:p w:rsidR="008B687E" w:rsidRPr="00FF7EC9" w:rsidRDefault="008B687E" w:rsidP="00743767">
            <w:pPr>
              <w:spacing w:before="40" w:after="120"/>
              <w:rPr>
                <w:rFonts w:ascii="Arial" w:hAnsi="Arial" w:cs="Arial"/>
                <w:i/>
              </w:rPr>
            </w:pPr>
          </w:p>
        </w:tc>
      </w:tr>
      <w:tr w:rsidR="008B687E" w:rsidRPr="00FF7EC9">
        <w:trPr>
          <w:cantSplit/>
        </w:trPr>
        <w:tc>
          <w:tcPr>
            <w:tcW w:w="819" w:type="dxa"/>
          </w:tcPr>
          <w:p w:rsidR="008B687E" w:rsidRPr="00FF7EC9" w:rsidRDefault="008B687E" w:rsidP="00743767">
            <w:pPr>
              <w:pStyle w:val="Bodywithspecialindent"/>
              <w:spacing w:before="40" w:after="120"/>
              <w:rPr>
                <w:rStyle w:val="IntenseEmphasis"/>
              </w:rPr>
            </w:pPr>
            <w:r w:rsidRPr="00FF7EC9">
              <w:rPr>
                <w:rStyle w:val="IntenseEmphasis"/>
              </w:rPr>
              <w:t>3.1a2</w:t>
            </w:r>
          </w:p>
        </w:tc>
        <w:tc>
          <w:tcPr>
            <w:tcW w:w="6489" w:type="dxa"/>
          </w:tcPr>
          <w:p w:rsidR="008B687E" w:rsidRPr="00FF7EC9" w:rsidRDefault="008B687E" w:rsidP="00743767">
            <w:pPr>
              <w:pStyle w:val="NoSpacing"/>
              <w:spacing w:before="40" w:after="120"/>
              <w:rPr>
                <w:rStyle w:val="IntenseEmphasis"/>
              </w:rPr>
            </w:pPr>
            <w:r w:rsidRPr="00FF7EC9">
              <w:rPr>
                <w:rFonts w:cs="Arial"/>
              </w:rPr>
              <w:t>The Exchange will use the HHS-developed single, streamlined application for the individual market to determine eligibility and collect information that is necessary for enrollment in a QHP and for insurance affordability programs as specified in 45 CFR 155.405.</w:t>
            </w:r>
          </w:p>
        </w:tc>
        <w:tc>
          <w:tcPr>
            <w:tcW w:w="630" w:type="dxa"/>
            <w:shd w:val="clear" w:color="auto" w:fill="FFFFFF" w:themeFill="background1"/>
          </w:tcPr>
          <w:p w:rsidR="008B687E" w:rsidRPr="00FF7EC9" w:rsidRDefault="008B687E" w:rsidP="00743767">
            <w:pPr>
              <w:pStyle w:val="Bodywithspecialindent"/>
              <w:spacing w:before="40" w:after="120"/>
              <w:ind w:left="0" w:firstLine="0"/>
              <w:rPr>
                <w:rStyle w:val="Heading2Char"/>
              </w:rPr>
            </w:pPr>
          </w:p>
        </w:tc>
        <w:tc>
          <w:tcPr>
            <w:tcW w:w="925" w:type="dxa"/>
            <w:shd w:val="clear" w:color="auto" w:fill="FFFFFF" w:themeFill="background1"/>
          </w:tcPr>
          <w:p w:rsidR="008B687E" w:rsidRPr="00FF7EC9" w:rsidRDefault="008B687E" w:rsidP="00743767">
            <w:pPr>
              <w:pStyle w:val="Bodywithspecialindent"/>
              <w:spacing w:before="40" w:after="120"/>
              <w:ind w:left="0" w:firstLine="0"/>
              <w:rPr>
                <w:rStyle w:val="Heading2Char"/>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Heading2Char"/>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Heading2Char"/>
              </w:rPr>
            </w:pPr>
          </w:p>
        </w:tc>
        <w:tc>
          <w:tcPr>
            <w:tcW w:w="635" w:type="dxa"/>
            <w:shd w:val="clear" w:color="auto" w:fill="808080" w:themeFill="background1" w:themeFillShade="80"/>
          </w:tcPr>
          <w:p w:rsidR="008B687E" w:rsidRPr="00FF7EC9" w:rsidRDefault="008B687E" w:rsidP="00743767">
            <w:pPr>
              <w:spacing w:before="40" w:after="120"/>
              <w:rPr>
                <w:rFonts w:ascii="Arial" w:hAnsi="Arial" w:cs="Arial"/>
                <w:i/>
              </w:rPr>
            </w:pPr>
          </w:p>
        </w:tc>
        <w:tc>
          <w:tcPr>
            <w:tcW w:w="5761" w:type="dxa"/>
            <w:shd w:val="clear" w:color="auto" w:fill="808080" w:themeFill="background1" w:themeFillShade="80"/>
          </w:tcPr>
          <w:p w:rsidR="008B687E" w:rsidRPr="00FF7EC9" w:rsidRDefault="008B687E" w:rsidP="00743767">
            <w:pPr>
              <w:spacing w:before="40" w:after="120"/>
              <w:rPr>
                <w:rFonts w:ascii="Arial" w:hAnsi="Arial" w:cs="Arial"/>
                <w:i/>
              </w:rPr>
            </w:pPr>
          </w:p>
        </w:tc>
        <w:tc>
          <w:tcPr>
            <w:tcW w:w="1170" w:type="dxa"/>
            <w:shd w:val="clear" w:color="auto" w:fill="808080" w:themeFill="background1" w:themeFillShade="80"/>
          </w:tcPr>
          <w:p w:rsidR="008B687E" w:rsidRPr="00FF7EC9" w:rsidRDefault="008B687E" w:rsidP="00743767">
            <w:pPr>
              <w:spacing w:before="40" w:after="120"/>
              <w:rPr>
                <w:rFonts w:ascii="Arial" w:hAnsi="Arial" w:cs="Arial"/>
                <w:i/>
              </w:rPr>
            </w:pPr>
          </w:p>
        </w:tc>
      </w:tr>
      <w:tr w:rsidR="008B687E" w:rsidRPr="00FF7EC9">
        <w:trPr>
          <w:cantSplit/>
        </w:trPr>
        <w:tc>
          <w:tcPr>
            <w:tcW w:w="819" w:type="dxa"/>
          </w:tcPr>
          <w:p w:rsidR="008B687E" w:rsidRPr="00FF7EC9" w:rsidRDefault="008B687E" w:rsidP="00743767">
            <w:pPr>
              <w:pStyle w:val="Bodywithspecialindent"/>
              <w:spacing w:before="40" w:after="120"/>
              <w:rPr>
                <w:rStyle w:val="IntenseEmphasis"/>
              </w:rPr>
            </w:pPr>
            <w:r w:rsidRPr="00FF7EC9">
              <w:rPr>
                <w:rStyle w:val="IntenseEmphasis"/>
              </w:rPr>
              <w:t>3.1b1</w:t>
            </w:r>
          </w:p>
        </w:tc>
        <w:tc>
          <w:tcPr>
            <w:tcW w:w="6489" w:type="dxa"/>
          </w:tcPr>
          <w:p w:rsidR="008B687E" w:rsidRPr="00FF7EC9" w:rsidRDefault="008B687E" w:rsidP="00743767">
            <w:pPr>
              <w:spacing w:before="40"/>
              <w:rPr>
                <w:rFonts w:ascii="Arial" w:hAnsi="Arial" w:cs="Arial"/>
              </w:rPr>
            </w:pPr>
            <w:r w:rsidRPr="00FF7EC9">
              <w:rPr>
                <w:rStyle w:val="apple-style-span"/>
                <w:rFonts w:ascii="Arial" w:hAnsi="Arial" w:cs="Arial"/>
              </w:rPr>
              <w:t>The Exchange has developed and will use HHS-approved applications for SHOP employers and employees as specified in 45 CFR 155.730.</w:t>
            </w:r>
          </w:p>
          <w:p w:rsidR="008B687E" w:rsidRPr="00FF7EC9" w:rsidRDefault="008B687E" w:rsidP="00743767">
            <w:pPr>
              <w:pStyle w:val="NoSpacing"/>
              <w:spacing w:before="40" w:after="120"/>
              <w:rPr>
                <w:rFonts w:cs="Arial"/>
              </w:rPr>
            </w:pPr>
            <w:r w:rsidRPr="00FF7EC9">
              <w:rPr>
                <w:rFonts w:cs="Arial"/>
                <w:b/>
                <w:i/>
              </w:rPr>
              <w:t>OR</w:t>
            </w:r>
          </w:p>
        </w:tc>
        <w:tc>
          <w:tcPr>
            <w:tcW w:w="630" w:type="dxa"/>
            <w:shd w:val="clear" w:color="auto" w:fill="FFFFFF" w:themeFill="background1"/>
          </w:tcPr>
          <w:p w:rsidR="008B687E" w:rsidRPr="00FF7EC9" w:rsidRDefault="008B687E" w:rsidP="00743767">
            <w:pPr>
              <w:pStyle w:val="Bodywithspecialindent"/>
              <w:spacing w:before="40" w:after="120"/>
              <w:ind w:left="0" w:firstLine="0"/>
              <w:rPr>
                <w:rStyle w:val="Heading2Char"/>
              </w:rPr>
            </w:pPr>
          </w:p>
        </w:tc>
        <w:tc>
          <w:tcPr>
            <w:tcW w:w="925" w:type="dxa"/>
            <w:shd w:val="clear" w:color="auto" w:fill="FFFFFF" w:themeFill="background1"/>
          </w:tcPr>
          <w:p w:rsidR="008B687E" w:rsidRPr="00FF7EC9" w:rsidRDefault="008B687E" w:rsidP="00743767">
            <w:pPr>
              <w:pStyle w:val="Bodywithspecialindent"/>
              <w:spacing w:before="40" w:after="120"/>
              <w:ind w:left="0" w:firstLine="0"/>
              <w:rPr>
                <w:rStyle w:val="Heading2Char"/>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Heading2Char"/>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Heading2Char"/>
              </w:rPr>
            </w:pPr>
          </w:p>
        </w:tc>
        <w:tc>
          <w:tcPr>
            <w:tcW w:w="635" w:type="dxa"/>
            <w:shd w:val="clear" w:color="auto" w:fill="808080" w:themeFill="background1" w:themeFillShade="80"/>
          </w:tcPr>
          <w:p w:rsidR="008B687E" w:rsidRPr="00FF7EC9" w:rsidRDefault="008B687E" w:rsidP="00743767">
            <w:pPr>
              <w:spacing w:before="40" w:after="120"/>
              <w:rPr>
                <w:rFonts w:ascii="Arial" w:hAnsi="Arial" w:cs="Arial"/>
                <w:i/>
              </w:rPr>
            </w:pPr>
          </w:p>
        </w:tc>
        <w:tc>
          <w:tcPr>
            <w:tcW w:w="5761" w:type="dxa"/>
            <w:shd w:val="clear" w:color="auto" w:fill="808080" w:themeFill="background1" w:themeFillShade="80"/>
          </w:tcPr>
          <w:p w:rsidR="008B687E" w:rsidRPr="00FF7EC9" w:rsidRDefault="008B687E" w:rsidP="00743767">
            <w:pPr>
              <w:spacing w:before="40" w:after="120"/>
              <w:rPr>
                <w:rFonts w:ascii="Arial" w:hAnsi="Arial" w:cs="Arial"/>
                <w:i/>
              </w:rPr>
            </w:pPr>
          </w:p>
        </w:tc>
        <w:tc>
          <w:tcPr>
            <w:tcW w:w="1170" w:type="dxa"/>
            <w:shd w:val="clear" w:color="auto" w:fill="808080" w:themeFill="background1" w:themeFillShade="80"/>
          </w:tcPr>
          <w:p w:rsidR="008B687E" w:rsidRPr="00FF7EC9" w:rsidRDefault="008B687E" w:rsidP="00743767">
            <w:pPr>
              <w:spacing w:before="40" w:after="120"/>
              <w:rPr>
                <w:rFonts w:ascii="Arial" w:hAnsi="Arial" w:cs="Arial"/>
                <w:i/>
              </w:rPr>
            </w:pPr>
          </w:p>
        </w:tc>
      </w:tr>
      <w:tr w:rsidR="008B687E" w:rsidRPr="00FF7EC9">
        <w:trPr>
          <w:cantSplit/>
        </w:trPr>
        <w:tc>
          <w:tcPr>
            <w:tcW w:w="819" w:type="dxa"/>
          </w:tcPr>
          <w:p w:rsidR="008B687E" w:rsidRPr="00FF7EC9" w:rsidRDefault="008B687E" w:rsidP="00743767">
            <w:pPr>
              <w:pStyle w:val="Bodywithspecialindent"/>
              <w:spacing w:before="40" w:after="120"/>
              <w:rPr>
                <w:rStyle w:val="IntenseEmphasis"/>
              </w:rPr>
            </w:pPr>
            <w:r w:rsidRPr="00FF7EC9">
              <w:rPr>
                <w:rStyle w:val="IntenseEmphasis"/>
              </w:rPr>
              <w:t>3.1b2</w:t>
            </w:r>
          </w:p>
        </w:tc>
        <w:tc>
          <w:tcPr>
            <w:tcW w:w="6489" w:type="dxa"/>
          </w:tcPr>
          <w:p w:rsidR="008B687E" w:rsidRPr="00FF7EC9" w:rsidRDefault="008B687E" w:rsidP="00743767">
            <w:pPr>
              <w:pStyle w:val="bodywithspecialindent0"/>
              <w:spacing w:before="40" w:beforeAutospacing="0" w:after="120" w:afterAutospacing="0"/>
              <w:rPr>
                <w:rFonts w:ascii="Arial" w:hAnsi="Arial" w:cs="Arial"/>
                <w:sz w:val="22"/>
                <w:szCs w:val="22"/>
              </w:rPr>
            </w:pPr>
            <w:r w:rsidRPr="00FF7EC9">
              <w:rPr>
                <w:rFonts w:ascii="Arial" w:hAnsi="Arial" w:cs="Arial"/>
                <w:sz w:val="22"/>
                <w:szCs w:val="22"/>
              </w:rPr>
              <w:t>The Exchange will use the HHS-developed applications for SHOP employers and employees as specified in 45 CFR 155.730.</w:t>
            </w:r>
          </w:p>
        </w:tc>
        <w:tc>
          <w:tcPr>
            <w:tcW w:w="630" w:type="dxa"/>
            <w:shd w:val="clear" w:color="auto" w:fill="FFFFFF" w:themeFill="background1"/>
          </w:tcPr>
          <w:p w:rsidR="008B687E" w:rsidRPr="00FF7EC9" w:rsidRDefault="008B687E" w:rsidP="00743767">
            <w:pPr>
              <w:pStyle w:val="Bodywithspecialindent"/>
              <w:spacing w:before="40" w:after="120"/>
              <w:ind w:left="0" w:firstLine="0"/>
              <w:rPr>
                <w:rStyle w:val="Heading2Char"/>
              </w:rPr>
            </w:pPr>
          </w:p>
        </w:tc>
        <w:tc>
          <w:tcPr>
            <w:tcW w:w="925" w:type="dxa"/>
            <w:shd w:val="clear" w:color="auto" w:fill="FFFFFF" w:themeFill="background1"/>
          </w:tcPr>
          <w:p w:rsidR="008B687E" w:rsidRPr="00FF7EC9" w:rsidRDefault="008B687E" w:rsidP="00743767">
            <w:pPr>
              <w:pStyle w:val="Bodywithspecialindent"/>
              <w:spacing w:before="40" w:after="120"/>
              <w:ind w:left="0" w:firstLine="0"/>
              <w:rPr>
                <w:rStyle w:val="Heading2Char"/>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Heading2Char"/>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Heading2Char"/>
              </w:rPr>
            </w:pPr>
          </w:p>
        </w:tc>
        <w:tc>
          <w:tcPr>
            <w:tcW w:w="635" w:type="dxa"/>
            <w:shd w:val="clear" w:color="auto" w:fill="808080" w:themeFill="background1" w:themeFillShade="80"/>
          </w:tcPr>
          <w:p w:rsidR="008B687E" w:rsidRPr="00FF7EC9" w:rsidRDefault="008B687E" w:rsidP="00743767">
            <w:pPr>
              <w:spacing w:before="40" w:after="120"/>
              <w:rPr>
                <w:rFonts w:ascii="Arial" w:hAnsi="Arial" w:cs="Arial"/>
                <w:i/>
              </w:rPr>
            </w:pPr>
          </w:p>
        </w:tc>
        <w:tc>
          <w:tcPr>
            <w:tcW w:w="5761" w:type="dxa"/>
            <w:shd w:val="clear" w:color="auto" w:fill="808080" w:themeFill="background1" w:themeFillShade="80"/>
          </w:tcPr>
          <w:p w:rsidR="008B687E" w:rsidRPr="00FF7EC9" w:rsidRDefault="008B687E" w:rsidP="00743767">
            <w:pPr>
              <w:spacing w:before="40" w:after="120"/>
              <w:rPr>
                <w:rFonts w:ascii="Arial" w:hAnsi="Arial" w:cs="Arial"/>
                <w:i/>
              </w:rPr>
            </w:pPr>
          </w:p>
        </w:tc>
        <w:tc>
          <w:tcPr>
            <w:tcW w:w="1170" w:type="dxa"/>
            <w:shd w:val="clear" w:color="auto" w:fill="808080" w:themeFill="background1" w:themeFillShade="80"/>
          </w:tcPr>
          <w:p w:rsidR="008B687E" w:rsidRPr="00FF7EC9" w:rsidRDefault="008B687E" w:rsidP="00743767">
            <w:pPr>
              <w:spacing w:before="40" w:after="120"/>
              <w:rPr>
                <w:rFonts w:ascii="Arial" w:hAnsi="Arial" w:cs="Arial"/>
                <w:i/>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3.2</w:t>
            </w:r>
          </w:p>
        </w:tc>
        <w:tc>
          <w:tcPr>
            <w:tcW w:w="6489" w:type="dxa"/>
          </w:tcPr>
          <w:p w:rsidR="008B687E" w:rsidRPr="00FF7EC9" w:rsidRDefault="008B687E" w:rsidP="00743767">
            <w:pPr>
              <w:pStyle w:val="NoSpacing"/>
              <w:spacing w:before="40" w:after="120"/>
              <w:rPr>
                <w:rFonts w:cs="Arial"/>
              </w:rPr>
            </w:pPr>
            <w:r w:rsidRPr="00FF7EC9">
              <w:rPr>
                <w:rFonts w:cs="Arial"/>
              </w:rPr>
              <w:t>The Exchange has developed and documented a coordination strategy with other agencies administering Insurance Affordability Programs and the SHOP that enables the Exchange to carry out the eligibility and enrollment activities.</w:t>
            </w:r>
          </w:p>
        </w:tc>
        <w:tc>
          <w:tcPr>
            <w:tcW w:w="630"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Fonts w:cs="Arial"/>
              </w:rPr>
            </w:pPr>
          </w:p>
        </w:tc>
        <w:tc>
          <w:tcPr>
            <w:tcW w:w="5761" w:type="dxa"/>
            <w:shd w:val="clear" w:color="auto" w:fill="auto"/>
          </w:tcPr>
          <w:p w:rsidR="008B687E" w:rsidRPr="00FF7EC9" w:rsidRDefault="008B687E" w:rsidP="00743767">
            <w:pPr>
              <w:pStyle w:val="Bodywithspecialindent"/>
              <w:spacing w:before="40" w:after="120"/>
              <w:ind w:left="0" w:firstLine="0"/>
              <w:rPr>
                <w:rStyle w:val="IntenseEmphasis"/>
              </w:rPr>
            </w:pPr>
            <w:r w:rsidRPr="00FF7EC9">
              <w:rPr>
                <w:rFonts w:cs="Arial"/>
              </w:rPr>
              <w:t>Brief description of the Exchange’s coordination strategy with other agencies administering Insurance Affordability Programs and the SHOP related to eligibility and enrollment activities.</w:t>
            </w:r>
          </w:p>
        </w:tc>
        <w:tc>
          <w:tcPr>
            <w:tcW w:w="1170" w:type="dxa"/>
          </w:tcPr>
          <w:p w:rsidR="008B687E" w:rsidRPr="00FF7EC9" w:rsidRDefault="008B687E" w:rsidP="00743767">
            <w:pPr>
              <w:pStyle w:val="Bodywithspecialindent"/>
              <w:spacing w:before="40" w:after="120"/>
              <w:ind w:left="0" w:firstLine="0"/>
              <w:rPr>
                <w:rFonts w:cs="Arial"/>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3.3</w:t>
            </w:r>
          </w:p>
        </w:tc>
        <w:tc>
          <w:tcPr>
            <w:tcW w:w="6489" w:type="dxa"/>
          </w:tcPr>
          <w:p w:rsidR="008B687E" w:rsidRPr="00FF7EC9" w:rsidRDefault="008B687E" w:rsidP="00743767">
            <w:pPr>
              <w:pStyle w:val="NoSpacing"/>
              <w:spacing w:before="40" w:after="120"/>
              <w:rPr>
                <w:rFonts w:cs="Arial"/>
              </w:rPr>
            </w:pPr>
            <w:r w:rsidRPr="00FF7EC9">
              <w:rPr>
                <w:rFonts w:cs="Arial"/>
              </w:rPr>
              <w:t>The Exchange has the capacity to accept and process applications, updates, and responses to redeterminations from applicants and enrollees, including applicants and enrollees who have disabilities or limited English proficiency, through all required channels, including in-person, online, mail, and phone.</w:t>
            </w:r>
          </w:p>
        </w:tc>
        <w:tc>
          <w:tcPr>
            <w:tcW w:w="630"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auto"/>
          </w:tcPr>
          <w:p w:rsidR="008B687E" w:rsidRPr="00FF7EC9" w:rsidRDefault="008B687E" w:rsidP="00743767">
            <w:pPr>
              <w:pStyle w:val="Bodywithspecialindent"/>
              <w:spacing w:before="40" w:after="120"/>
              <w:ind w:left="0" w:firstLine="0"/>
              <w:rPr>
                <w:rStyle w:val="IntenseEmphasis"/>
              </w:rPr>
            </w:pPr>
          </w:p>
        </w:tc>
      </w:tr>
      <w:tr w:rsidR="008B687E" w:rsidRPr="00FF7EC9">
        <w:trPr>
          <w:cantSplit/>
        </w:trPr>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lastRenderedPageBreak/>
              <w:t>3.3a</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accept and process applications, updates, and responses to redeterminations from applicants and enrollees in-person.</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rPr>
          <w:cantSplit/>
        </w:trPr>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3.3b</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accept and process applications, updates, and responses to redeterminations from applicants and enrollees online.</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3.3c</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accept and process applications, updates, and responses to redeterminations from applicants and enrollees via mail.</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rPr>
          <w:cantSplit/>
        </w:trPr>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3.3d</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accept and process applications, updates, and responses to redeterminations from applicants and enrollees via phone.</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3.3e</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conduct the activities set out in 3.3a-3.3d for applicants and enrollees who have disabilities or limited English proficiency.</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rPr>
          <w:cantSplit/>
        </w:trPr>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3.4</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send notices, including notices in alternate formats and multiple languages; conduct periodic data matching; and conduct annual redeterminations and process responses in-person, online, via mail, and over the phone</w:t>
            </w:r>
            <w:r w:rsidRPr="00FF7EC9" w:rsidDel="008C419B">
              <w:rPr>
                <w:rFonts w:cs="Arial"/>
              </w:rPr>
              <w:t xml:space="preserve"> </w:t>
            </w:r>
            <w:r w:rsidRPr="00FF7EC9">
              <w:rPr>
                <w:rFonts w:cs="Arial"/>
              </w:rPr>
              <w:t>pursuant to 45 CFR 155, subpart D.</w:t>
            </w:r>
          </w:p>
        </w:tc>
        <w:tc>
          <w:tcPr>
            <w:tcW w:w="630"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635" w:type="dxa"/>
          </w:tcPr>
          <w:p w:rsidR="008B687E" w:rsidRPr="00FF7EC9" w:rsidRDefault="008B687E" w:rsidP="00743767">
            <w:pPr>
              <w:pStyle w:val="Bodywithspecialindent"/>
              <w:spacing w:before="40" w:after="120"/>
              <w:ind w:left="0" w:firstLine="0"/>
              <w:rPr>
                <w:rFonts w:cs="Arial"/>
              </w:rPr>
            </w:pPr>
          </w:p>
        </w:tc>
        <w:tc>
          <w:tcPr>
            <w:tcW w:w="5761" w:type="dxa"/>
            <w:shd w:val="clear" w:color="auto" w:fill="auto"/>
          </w:tcPr>
          <w:p w:rsidR="008B687E" w:rsidRPr="00FF7EC9" w:rsidRDefault="008B687E" w:rsidP="00743767">
            <w:pPr>
              <w:pStyle w:val="Bodywithspecialindent"/>
              <w:spacing w:before="40" w:after="120"/>
              <w:ind w:left="0" w:firstLine="0"/>
              <w:rPr>
                <w:rStyle w:val="IntenseEmphasis"/>
              </w:rPr>
            </w:pPr>
            <w:r w:rsidRPr="002E3A48">
              <w:rPr>
                <w:rFonts w:cs="Arial"/>
                <w:i/>
              </w:rPr>
              <w:t>If the Exchange will conduct additional periodic data matching in accordance with 45 CFR 155.330(d)(2),</w:t>
            </w:r>
            <w:r w:rsidRPr="00FF7EC9">
              <w:rPr>
                <w:rFonts w:cs="Arial"/>
              </w:rPr>
              <w:t xml:space="preserve"> </w:t>
            </w:r>
            <w:r>
              <w:rPr>
                <w:rFonts w:cs="Arial"/>
              </w:rPr>
              <w:t xml:space="preserve">provide </w:t>
            </w:r>
            <w:r w:rsidRPr="00FF7EC9">
              <w:rPr>
                <w:rFonts w:cs="Arial"/>
              </w:rPr>
              <w:t>brief description of the data sources to be used.</w:t>
            </w:r>
          </w:p>
        </w:tc>
        <w:tc>
          <w:tcPr>
            <w:tcW w:w="1170" w:type="dxa"/>
          </w:tcPr>
          <w:p w:rsidR="008B687E" w:rsidRPr="00FF7EC9" w:rsidRDefault="008B687E" w:rsidP="00743767">
            <w:pPr>
              <w:pStyle w:val="Bodywithspecialindent"/>
              <w:spacing w:before="40" w:after="120"/>
              <w:ind w:left="0" w:firstLine="0"/>
              <w:rPr>
                <w:rFonts w:cs="Arial"/>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3.4a</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generate and send notices, including notices in alternate formats and multiple languages, pursuant to 45 CFR 155, subpart D.</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3.4b</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conduct periodic data matching pursuant to 45 CFR 155, subpart D and act on the results of the data matching.</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lastRenderedPageBreak/>
              <w:t>3.4c</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conduct annual redeterminations and process responses through all channels pursuant to 45 CFR 155, subpart D.</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3.5</w:t>
            </w:r>
          </w:p>
        </w:tc>
        <w:tc>
          <w:tcPr>
            <w:tcW w:w="6489" w:type="dxa"/>
          </w:tcPr>
          <w:p w:rsidR="008B687E" w:rsidRPr="00FF7EC9" w:rsidRDefault="008B687E" w:rsidP="00743767">
            <w:pPr>
              <w:pStyle w:val="NoSpacing"/>
              <w:spacing w:before="40" w:after="120"/>
              <w:rPr>
                <w:rFonts w:cs="Arial"/>
                <w:i/>
              </w:rPr>
            </w:pPr>
            <w:r w:rsidRPr="00FF7EC9">
              <w:rPr>
                <w:rFonts w:cs="Arial"/>
              </w:rPr>
              <w:t>The Exchange has the capacity to conduct verifications pursuant to 45 CFR 155, subpart D, and is able to connect to data sources, such as the Data Services Hub, and other sources as needed.</w:t>
            </w:r>
          </w:p>
          <w:p w:rsidR="008B687E" w:rsidRPr="00FF7EC9" w:rsidRDefault="008B687E" w:rsidP="00743767">
            <w:pPr>
              <w:pStyle w:val="Bodywithspecialindent"/>
              <w:spacing w:before="40" w:after="120"/>
              <w:ind w:left="0" w:firstLine="0"/>
              <w:rPr>
                <w:rFonts w:cs="Arial"/>
              </w:rPr>
            </w:pPr>
          </w:p>
        </w:tc>
        <w:tc>
          <w:tcPr>
            <w:tcW w:w="630"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635" w:type="dxa"/>
          </w:tcPr>
          <w:p w:rsidR="008B687E" w:rsidRPr="00FF7EC9" w:rsidRDefault="008B687E" w:rsidP="00743767">
            <w:pPr>
              <w:pStyle w:val="Bodywithspecialindent"/>
              <w:spacing w:before="40" w:after="120"/>
              <w:ind w:left="0" w:firstLine="0"/>
              <w:rPr>
                <w:rFonts w:cs="Arial"/>
              </w:rPr>
            </w:pPr>
          </w:p>
        </w:tc>
        <w:tc>
          <w:tcPr>
            <w:tcW w:w="5761" w:type="dxa"/>
            <w:shd w:val="clear" w:color="auto" w:fill="auto"/>
          </w:tcPr>
          <w:p w:rsidR="008B687E" w:rsidRPr="00FF7EC9" w:rsidRDefault="008B687E" w:rsidP="00743767">
            <w:pPr>
              <w:pStyle w:val="Bodywithspecialindent"/>
              <w:spacing w:before="40" w:after="120"/>
              <w:ind w:left="0" w:firstLine="0"/>
              <w:rPr>
                <w:rFonts w:cs="Arial"/>
              </w:rPr>
            </w:pPr>
            <w:r w:rsidRPr="00FF7EC9">
              <w:rPr>
                <w:rFonts w:cs="Arial"/>
              </w:rPr>
              <w:t>Comprehensive list of data sources that the State is connecting to or interfacing with, including a description of the data types and information associated with each source (including data sources that are used as primary verification methods or are used when information is not reasonably compatible).</w:t>
            </w:r>
          </w:p>
          <w:p w:rsidR="008B687E" w:rsidRPr="00FF7EC9" w:rsidRDefault="008B687E" w:rsidP="00743767">
            <w:pPr>
              <w:pStyle w:val="Bodywithspecialindent"/>
              <w:spacing w:before="40" w:after="120"/>
              <w:ind w:left="0" w:firstLine="0"/>
              <w:rPr>
                <w:rFonts w:cs="Arial"/>
                <w:b/>
                <w:i/>
              </w:rPr>
            </w:pPr>
            <w:r w:rsidRPr="00FF7EC9">
              <w:rPr>
                <w:rFonts w:cs="Arial"/>
                <w:b/>
                <w:i/>
              </w:rPr>
              <w:t>AND</w:t>
            </w:r>
          </w:p>
          <w:p w:rsidR="008B687E" w:rsidRPr="00FF7EC9" w:rsidRDefault="008B687E" w:rsidP="00743767">
            <w:pPr>
              <w:pStyle w:val="NoSpacing"/>
              <w:spacing w:before="40" w:after="120"/>
              <w:rPr>
                <w:rStyle w:val="IntenseEmphasis"/>
              </w:rPr>
            </w:pPr>
            <w:r w:rsidRPr="00FF7EC9">
              <w:rPr>
                <w:rFonts w:cs="Arial"/>
              </w:rPr>
              <w:t>Brief description of how verifications will be conducted in the following areas: residency, citizenship and immigration status, incarceration, household income, family/household size, whether an individual is an Indian, enrollment in an eligible employer-sponsored plan (if applicable), eligibility for qualifying coverage in an eligible employer-sponsored plan, and eligibility for non-employer-sponsored minimum essential coverage.  If applicable, describe any of the verifications listed above that may require the support of Federal agencies.</w:t>
            </w:r>
          </w:p>
        </w:tc>
        <w:tc>
          <w:tcPr>
            <w:tcW w:w="1170" w:type="dxa"/>
          </w:tcPr>
          <w:p w:rsidR="008B687E" w:rsidRPr="00FF7EC9" w:rsidRDefault="008B687E" w:rsidP="00743767">
            <w:pPr>
              <w:pStyle w:val="Bodywithspecialindent"/>
              <w:spacing w:before="40" w:after="120"/>
              <w:ind w:left="0" w:firstLine="0"/>
              <w:rPr>
                <w:rFonts w:cs="Arial"/>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3.6</w:t>
            </w:r>
          </w:p>
        </w:tc>
        <w:tc>
          <w:tcPr>
            <w:tcW w:w="6489" w:type="dxa"/>
          </w:tcPr>
          <w:p w:rsidR="008B687E" w:rsidRPr="00FF7EC9" w:rsidRDefault="008B687E" w:rsidP="00102BD6">
            <w:pPr>
              <w:pStyle w:val="NoSpacing"/>
              <w:rPr>
                <w:rFonts w:cs="Arial"/>
              </w:rPr>
            </w:pPr>
            <w:r w:rsidRPr="00FF7EC9">
              <w:rPr>
                <w:rFonts w:cs="Arial"/>
              </w:rPr>
              <w:t>The Exchange has the appropriate privacy protections and capacity to accept, store, associate, and process documents received from individual applicants and enrollees electronically, and the ability to accept, image, upload, associate, and process paper documentation received from applicants and enrollees via mail and/or fax.</w:t>
            </w:r>
          </w:p>
        </w:tc>
        <w:tc>
          <w:tcPr>
            <w:tcW w:w="630"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auto"/>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3.6a</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 xml:space="preserve">The Exchange has the appropriate privacy protections and capacity to accept, store, associate, and process documents </w:t>
            </w:r>
            <w:r w:rsidRPr="00FF7EC9">
              <w:rPr>
                <w:rFonts w:cs="Arial"/>
              </w:rPr>
              <w:lastRenderedPageBreak/>
              <w:t>received from applicants and enrollees electronically.</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lastRenderedPageBreak/>
              <w:t>3.6b</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appropriate privacy protections and capacity to accept, image, upload, associate, and process paper documentation received from applicants and enrollees via mail and/or fax.</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rPr>
          <w:cantSplit/>
        </w:trPr>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3.7</w:t>
            </w:r>
          </w:p>
        </w:tc>
        <w:tc>
          <w:tcPr>
            <w:tcW w:w="6489" w:type="dxa"/>
          </w:tcPr>
          <w:p w:rsidR="008B687E" w:rsidRPr="00FF7EC9" w:rsidRDefault="008B687E" w:rsidP="00743767">
            <w:pPr>
              <w:pStyle w:val="NoSpacing"/>
              <w:spacing w:before="40" w:after="120"/>
              <w:rPr>
                <w:rFonts w:cs="Arial"/>
              </w:rPr>
            </w:pPr>
            <w:r w:rsidRPr="00FF7EC9">
              <w:rPr>
                <w:rFonts w:cs="Arial"/>
              </w:rPr>
              <w:t>The Exchange has the capacity to determine individual eligibility for enrollment in a QHP through the Exchange and for employee and employer participation in the SHOP.  In addition, the Exchange has the capacity to assess or determine eligibility for Medicaid and CHIP based on Modified Adjusted Gross Income (MAGI).</w:t>
            </w:r>
          </w:p>
        </w:tc>
        <w:tc>
          <w:tcPr>
            <w:tcW w:w="630"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635" w:type="dxa"/>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auto"/>
          </w:tcPr>
          <w:p w:rsidR="008B687E" w:rsidRPr="00FF7EC9" w:rsidRDefault="008B687E" w:rsidP="00743767">
            <w:pPr>
              <w:pStyle w:val="Bodywithspecialindent"/>
              <w:spacing w:before="40" w:after="120"/>
              <w:ind w:left="0" w:firstLine="0"/>
              <w:rPr>
                <w:rStyle w:val="IntenseEmphasis"/>
              </w:rPr>
            </w:pPr>
          </w:p>
        </w:tc>
      </w:tr>
      <w:tr w:rsidR="008B687E" w:rsidRPr="00FF7EC9">
        <w:trPr>
          <w:cantSplit/>
          <w:trHeight w:val="773"/>
        </w:trPr>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3.7a</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determine individual eligibility for enrollment in a QHP through the Exchange.</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3.7b1</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determine eligibility for Medicaid and CHIP based on MAGI.</w:t>
            </w:r>
            <w:r w:rsidRPr="00FF7EC9">
              <w:rPr>
                <w:rFonts w:cs="Arial"/>
              </w:rPr>
              <w:br/>
            </w:r>
            <w:r w:rsidRPr="00FF7EC9">
              <w:rPr>
                <w:rFonts w:cs="Arial"/>
                <w:b/>
                <w:i/>
              </w:rPr>
              <w:t>OR</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3.7b2</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assess eligibility for Medicaid and CHIP based on MAGI.</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3.7c</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determine eligibility for employee and employer participation in SHOP</w:t>
            </w:r>
            <w:r w:rsidRPr="00FF7EC9">
              <w:rPr>
                <w:rFonts w:cs="Arial"/>
                <w:szCs w:val="24"/>
              </w:rPr>
              <w:t>.</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3.7d</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accept and process applications that have been transferred from other agencies administering Insurance Affordability Program(s).</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rPr>
          <w:cantSplit/>
          <w:trHeight w:val="1160"/>
        </w:trPr>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lastRenderedPageBreak/>
              <w:t>3.8</w:t>
            </w:r>
          </w:p>
        </w:tc>
        <w:tc>
          <w:tcPr>
            <w:tcW w:w="6489" w:type="dxa"/>
          </w:tcPr>
          <w:p w:rsidR="008B687E" w:rsidRPr="00FF7EC9" w:rsidRDefault="008B687E" w:rsidP="00743767">
            <w:pPr>
              <w:pStyle w:val="NoSpacing"/>
              <w:spacing w:before="40" w:after="120"/>
              <w:rPr>
                <w:rFonts w:cs="Arial"/>
                <w:i/>
              </w:rPr>
            </w:pPr>
            <w:r w:rsidRPr="00FF7EC9">
              <w:rPr>
                <w:rFonts w:cs="Arial"/>
              </w:rPr>
              <w:t>The Exchange has the capacity to determine eligibility for Advance Payments of the Premium Tax Credit (APTC) and Cost Sharing Reductions (CSR), including calculating maximum APTC, independently or through the use of a Federally-managed service.</w:t>
            </w:r>
          </w:p>
        </w:tc>
        <w:tc>
          <w:tcPr>
            <w:tcW w:w="630"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635" w:type="dxa"/>
          </w:tcPr>
          <w:p w:rsidR="008B687E" w:rsidRPr="00FF7EC9" w:rsidRDefault="008B687E" w:rsidP="00743767">
            <w:pPr>
              <w:pStyle w:val="Bodywithspecialindent"/>
              <w:spacing w:before="40" w:after="120"/>
              <w:ind w:left="0" w:firstLine="0"/>
              <w:rPr>
                <w:rFonts w:cs="Arial"/>
              </w:rPr>
            </w:pPr>
          </w:p>
        </w:tc>
        <w:tc>
          <w:tcPr>
            <w:tcW w:w="5761" w:type="dxa"/>
            <w:shd w:val="clear" w:color="auto" w:fill="auto"/>
          </w:tcPr>
          <w:p w:rsidR="008B687E" w:rsidRPr="00FF7EC9" w:rsidRDefault="008B687E" w:rsidP="00A432E7">
            <w:pPr>
              <w:pStyle w:val="Bodywithspecialindent"/>
              <w:spacing w:before="40" w:after="120"/>
              <w:ind w:left="0" w:firstLine="0"/>
              <w:rPr>
                <w:rStyle w:val="IntenseEmphasis"/>
              </w:rPr>
            </w:pPr>
            <w:r w:rsidRPr="00FF7EC9">
              <w:rPr>
                <w:rFonts w:cs="Arial"/>
                <w:i/>
                <w:iCs/>
              </w:rPr>
              <w:t xml:space="preserve">If the Exchange is using Federally-managed services: </w:t>
            </w:r>
            <w:r w:rsidRPr="00FF7EC9">
              <w:rPr>
                <w:rFonts w:cs="Arial"/>
                <w:iCs/>
              </w:rPr>
              <w:t>P</w:t>
            </w:r>
            <w:r w:rsidRPr="00FF7EC9">
              <w:rPr>
                <w:rFonts w:cs="Arial"/>
              </w:rPr>
              <w:t>rovide a description of the end-to-end process, including activities conducted by the Exchange and integration points with the Federally-managed service.</w:t>
            </w:r>
          </w:p>
        </w:tc>
        <w:tc>
          <w:tcPr>
            <w:tcW w:w="1170" w:type="dxa"/>
          </w:tcPr>
          <w:p w:rsidR="008B687E" w:rsidRPr="00FF7EC9" w:rsidRDefault="008B687E" w:rsidP="00743767">
            <w:pPr>
              <w:pStyle w:val="Bodywithspecialindent"/>
              <w:spacing w:before="40" w:after="120"/>
              <w:ind w:left="0" w:firstLine="0"/>
              <w:rPr>
                <w:rFonts w:cs="Arial"/>
              </w:rPr>
            </w:pPr>
          </w:p>
        </w:tc>
      </w:tr>
      <w:tr w:rsidR="008B687E" w:rsidRPr="00FF7EC9">
        <w:trPr>
          <w:cantSplit/>
        </w:trPr>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3.9</w:t>
            </w:r>
          </w:p>
        </w:tc>
        <w:tc>
          <w:tcPr>
            <w:tcW w:w="6489" w:type="dxa"/>
          </w:tcPr>
          <w:p w:rsidR="008B687E" w:rsidRPr="00FF7EC9" w:rsidRDefault="008B687E" w:rsidP="00B4098A">
            <w:pPr>
              <w:pStyle w:val="NoSpacing"/>
              <w:spacing w:before="40" w:after="120"/>
              <w:rPr>
                <w:rFonts w:cs="Arial"/>
              </w:rPr>
            </w:pPr>
            <w:r w:rsidRPr="00FF7EC9">
              <w:rPr>
                <w:rFonts w:cs="Arial"/>
              </w:rPr>
              <w:t>The Exchange has the capacity to independently send notices, as necessary, to applicants and employers pursuant to 45 CFR 155 subpart D that are in plain language, address the appropriate audience, and meet content requirements.</w:t>
            </w:r>
          </w:p>
        </w:tc>
        <w:tc>
          <w:tcPr>
            <w:tcW w:w="630"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635" w:type="dxa"/>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auto"/>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3.10</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accept applications and updates, conduct verifications, and determine eligibility for individual responsibility requirement and payment exemptions independently or through the use of Federally-managed services.</w:t>
            </w:r>
          </w:p>
        </w:tc>
        <w:tc>
          <w:tcPr>
            <w:tcW w:w="630"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635" w:type="dxa"/>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FFFFFF" w:themeFill="background1"/>
          </w:tcPr>
          <w:p w:rsidR="008B687E" w:rsidRPr="00FF7EC9" w:rsidRDefault="008B687E" w:rsidP="00743767">
            <w:pPr>
              <w:pStyle w:val="Bodywithspecialindent"/>
              <w:spacing w:before="40" w:after="120"/>
              <w:ind w:left="0" w:firstLine="0"/>
              <w:rPr>
                <w:rStyle w:val="IntenseEmphasis"/>
              </w:rPr>
            </w:pPr>
            <w:r w:rsidRPr="00FF7EC9">
              <w:rPr>
                <w:rStyle w:val="IntenseEmphasis"/>
                <w:i/>
              </w:rPr>
              <w:t>If the Exchange is using Federally-managed services</w:t>
            </w:r>
            <w:r w:rsidRPr="00FF7EC9">
              <w:rPr>
                <w:rStyle w:val="IntenseEmphasis"/>
              </w:rPr>
              <w:t xml:space="preserve">: </w:t>
            </w:r>
            <w:r>
              <w:rPr>
                <w:rStyle w:val="IntenseEmphasis"/>
              </w:rPr>
              <w:t xml:space="preserve">Provide </w:t>
            </w:r>
            <w:r>
              <w:rPr>
                <w:rFonts w:cs="Arial"/>
              </w:rPr>
              <w:t>b</w:t>
            </w:r>
            <w:r w:rsidRPr="00FF7EC9">
              <w:rPr>
                <w:rFonts w:cs="Arial"/>
              </w:rPr>
              <w:t>rief description of the end-to-end process, including activities conducted by the Exchange and integration points with the Federally-managed service.</w:t>
            </w:r>
          </w:p>
        </w:tc>
        <w:tc>
          <w:tcPr>
            <w:tcW w:w="1170" w:type="dxa"/>
            <w:shd w:val="clear" w:color="auto" w:fill="FFFFFF" w:themeFill="background1"/>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3.11</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support the eligibility appeals process and to implement appeals decisions, as appropriate, for individuals, employers, and employees.</w:t>
            </w:r>
          </w:p>
        </w:tc>
        <w:tc>
          <w:tcPr>
            <w:tcW w:w="630"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635" w:type="dxa"/>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auto"/>
          </w:tcPr>
          <w:p w:rsidR="008B687E" w:rsidRPr="00FF7EC9" w:rsidRDefault="008B687E" w:rsidP="00743767">
            <w:pPr>
              <w:pStyle w:val="Bodywithspecialindent"/>
              <w:spacing w:before="40" w:after="120"/>
              <w:ind w:left="0" w:firstLine="0"/>
              <w:rPr>
                <w:rStyle w:val="IntenseEmphasis"/>
              </w:rPr>
            </w:pPr>
          </w:p>
        </w:tc>
      </w:tr>
      <w:tr w:rsidR="008B687E" w:rsidRPr="00FF7EC9">
        <w:trPr>
          <w:cantSplit/>
        </w:trPr>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3.12</w:t>
            </w:r>
          </w:p>
        </w:tc>
        <w:tc>
          <w:tcPr>
            <w:tcW w:w="6489" w:type="dxa"/>
          </w:tcPr>
          <w:p w:rsidR="008B687E" w:rsidRPr="00FF7EC9" w:rsidRDefault="008B687E" w:rsidP="00743767">
            <w:pPr>
              <w:pStyle w:val="NoSpacing"/>
              <w:spacing w:before="40" w:after="120"/>
              <w:rPr>
                <w:rFonts w:cs="Arial"/>
              </w:rPr>
            </w:pPr>
            <w:r w:rsidRPr="00FF7EC9">
              <w:rPr>
                <w:rFonts w:cs="Arial"/>
              </w:rPr>
              <w:t>The Exchange and SHOP have the capacity to process QHP selections and terminations in accordance with 45 CFR 155.400 and 155.430, compute actual APTC, and report and reconcile QHP selections, terminations, and APTC/advance CSR information in coordination with issuers and CMS.  This includes exchanging relevant information with issuers and CMS using electronic enrollment transaction standards.</w:t>
            </w:r>
          </w:p>
        </w:tc>
        <w:tc>
          <w:tcPr>
            <w:tcW w:w="630"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auto"/>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auto"/>
          </w:tcPr>
          <w:p w:rsidR="008B687E" w:rsidRPr="00FF7EC9" w:rsidRDefault="008B687E" w:rsidP="00743767">
            <w:pPr>
              <w:pStyle w:val="Bodywithspecialindent"/>
              <w:spacing w:before="40" w:after="120"/>
              <w:ind w:left="0" w:firstLine="0"/>
              <w:rPr>
                <w:rStyle w:val="IntenseEmphasis"/>
              </w:rPr>
            </w:pPr>
          </w:p>
        </w:tc>
        <w:tc>
          <w:tcPr>
            <w:tcW w:w="635" w:type="dxa"/>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auto"/>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3.12a</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process QHP selections and terminations using electronic enrollment transaction standards in coordination with issuers and CMS.</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lastRenderedPageBreak/>
              <w:t>3.12b</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compute actual APTC.</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3.12c</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Exchange has the capacity to report and reconcile QHP selections, terminations, and APTC/advance CSR information in coordination with issuers and CMS.</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3.12d</w:t>
            </w:r>
          </w:p>
        </w:tc>
        <w:tc>
          <w:tcPr>
            <w:tcW w:w="6489" w:type="dxa"/>
          </w:tcPr>
          <w:p w:rsidR="008B687E" w:rsidRPr="00FF7EC9" w:rsidRDefault="008B687E" w:rsidP="00743767">
            <w:pPr>
              <w:pStyle w:val="Bodywithspecialindent"/>
              <w:spacing w:before="40" w:after="120"/>
              <w:ind w:left="0" w:firstLine="0"/>
              <w:rPr>
                <w:rFonts w:cs="Arial"/>
              </w:rPr>
            </w:pPr>
            <w:r w:rsidRPr="00FF7EC9">
              <w:rPr>
                <w:rFonts w:cs="Arial"/>
              </w:rPr>
              <w:t>The SHOP has the capacity to process QHP selections and terminations, including reporting and reconciling selection and termination information.</w:t>
            </w:r>
          </w:p>
        </w:tc>
        <w:tc>
          <w:tcPr>
            <w:tcW w:w="630" w:type="dxa"/>
          </w:tcPr>
          <w:p w:rsidR="008B687E" w:rsidRPr="00FF7EC9" w:rsidRDefault="008B687E" w:rsidP="00743767">
            <w:pPr>
              <w:pStyle w:val="Bodywithspecialindent"/>
              <w:spacing w:before="40" w:after="120"/>
              <w:ind w:left="0" w:firstLine="0"/>
              <w:jc w:val="center"/>
              <w:rPr>
                <w:rStyle w:val="IntenseEmphasis"/>
              </w:rPr>
            </w:pPr>
          </w:p>
        </w:tc>
        <w:tc>
          <w:tcPr>
            <w:tcW w:w="925" w:type="dxa"/>
          </w:tcPr>
          <w:p w:rsidR="008B687E" w:rsidRPr="00FF7EC9" w:rsidRDefault="008B687E"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r>
      <w:tr w:rsidR="008B687E" w:rsidRPr="00FF7EC9">
        <w:tc>
          <w:tcPr>
            <w:tcW w:w="819" w:type="dxa"/>
          </w:tcPr>
          <w:p w:rsidR="008B687E" w:rsidRPr="00FF7EC9" w:rsidRDefault="008B687E" w:rsidP="002160D1">
            <w:pPr>
              <w:pStyle w:val="Bodywithspecialindent"/>
              <w:spacing w:before="40" w:after="120"/>
              <w:ind w:left="0" w:firstLine="0"/>
              <w:rPr>
                <w:rStyle w:val="IntenseEmphasis"/>
              </w:rPr>
            </w:pPr>
            <w:r w:rsidRPr="00FF7EC9">
              <w:rPr>
                <w:rStyle w:val="IntenseEmphasis"/>
              </w:rPr>
              <w:t>3.13</w:t>
            </w:r>
          </w:p>
        </w:tc>
        <w:tc>
          <w:tcPr>
            <w:tcW w:w="6489" w:type="dxa"/>
          </w:tcPr>
          <w:p w:rsidR="008B687E" w:rsidRPr="00FF7EC9" w:rsidRDefault="008B687E" w:rsidP="00B4098A">
            <w:pPr>
              <w:pStyle w:val="NoSpacing"/>
              <w:spacing w:before="40" w:after="120"/>
              <w:rPr>
                <w:rFonts w:cs="Arial"/>
              </w:rPr>
            </w:pPr>
            <w:r w:rsidRPr="00FF7EC9">
              <w:rPr>
                <w:rFonts w:cs="Arial"/>
              </w:rPr>
              <w:t>The Exchange has the capacity to electronically report results of eligibility and exemption assessments and determinations, and provide associated information to HHS, IRS, and other agencies administering Insurance Affordability Programs, as applicable. This includes information necessary to support administration of the APTC and CSR as well as to support the employer responsibility provisions of the Affordable Care Act.</w:t>
            </w:r>
          </w:p>
        </w:tc>
        <w:tc>
          <w:tcPr>
            <w:tcW w:w="630" w:type="dxa"/>
          </w:tcPr>
          <w:p w:rsidR="008B687E" w:rsidRPr="00FF7EC9" w:rsidRDefault="008B687E" w:rsidP="002160D1">
            <w:pPr>
              <w:pStyle w:val="Bodywithspecialindent"/>
              <w:spacing w:before="40" w:after="120"/>
              <w:ind w:left="0" w:firstLine="0"/>
              <w:jc w:val="center"/>
              <w:rPr>
                <w:rStyle w:val="IntenseEmphasis"/>
              </w:rPr>
            </w:pPr>
          </w:p>
        </w:tc>
        <w:tc>
          <w:tcPr>
            <w:tcW w:w="925" w:type="dxa"/>
          </w:tcPr>
          <w:p w:rsidR="008B687E" w:rsidRPr="00FF7EC9" w:rsidRDefault="008B687E" w:rsidP="002160D1">
            <w:pPr>
              <w:pStyle w:val="Bodywithspecialindent"/>
              <w:spacing w:before="40" w:after="120"/>
              <w:ind w:left="0" w:firstLine="0"/>
              <w:jc w:val="center"/>
              <w:rPr>
                <w:rStyle w:val="IntenseEmphasis"/>
              </w:rPr>
            </w:pPr>
          </w:p>
        </w:tc>
        <w:tc>
          <w:tcPr>
            <w:tcW w:w="892" w:type="dxa"/>
            <w:shd w:val="clear" w:color="auto" w:fill="FFFFFF" w:themeFill="background1"/>
          </w:tcPr>
          <w:p w:rsidR="008B687E" w:rsidRPr="00FF7EC9" w:rsidRDefault="008B687E" w:rsidP="002160D1">
            <w:pPr>
              <w:pStyle w:val="Bodywithspecialindent"/>
              <w:spacing w:before="40" w:after="120"/>
              <w:ind w:left="0" w:firstLine="0"/>
              <w:rPr>
                <w:rStyle w:val="IntenseEmphasis"/>
              </w:rPr>
            </w:pPr>
          </w:p>
        </w:tc>
        <w:tc>
          <w:tcPr>
            <w:tcW w:w="812" w:type="dxa"/>
            <w:shd w:val="clear" w:color="auto" w:fill="FFFFFF" w:themeFill="background1"/>
          </w:tcPr>
          <w:p w:rsidR="008B687E" w:rsidRPr="00FF7EC9" w:rsidRDefault="008B687E" w:rsidP="002160D1">
            <w:pPr>
              <w:pStyle w:val="Bodywithspecialindent"/>
              <w:spacing w:before="40" w:after="120"/>
              <w:ind w:left="0" w:firstLine="0"/>
              <w:rPr>
                <w:rStyle w:val="IntenseEmphasis"/>
              </w:rPr>
            </w:pPr>
          </w:p>
        </w:tc>
        <w:tc>
          <w:tcPr>
            <w:tcW w:w="635" w:type="dxa"/>
            <w:shd w:val="clear" w:color="auto" w:fill="FFFFFF" w:themeFill="background1"/>
          </w:tcPr>
          <w:p w:rsidR="008B687E" w:rsidRPr="00FF7EC9" w:rsidRDefault="008B687E" w:rsidP="002160D1">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2160D1">
            <w:pPr>
              <w:pStyle w:val="Bodywithspecialindent"/>
              <w:spacing w:before="40" w:after="120"/>
              <w:ind w:left="0" w:firstLine="0"/>
              <w:rPr>
                <w:rStyle w:val="IntenseEmphasis"/>
              </w:rPr>
            </w:pPr>
          </w:p>
        </w:tc>
        <w:tc>
          <w:tcPr>
            <w:tcW w:w="1170" w:type="dxa"/>
            <w:shd w:val="clear" w:color="auto" w:fill="FFFFFF" w:themeFill="background1"/>
          </w:tcPr>
          <w:p w:rsidR="008B687E" w:rsidRPr="00FF7EC9" w:rsidRDefault="008B687E" w:rsidP="002160D1">
            <w:pPr>
              <w:pStyle w:val="Bodywithspecialindent"/>
              <w:spacing w:before="40" w:after="120"/>
              <w:ind w:left="0" w:firstLine="0"/>
              <w:rPr>
                <w:rStyle w:val="IntenseEmphasis"/>
              </w:rPr>
            </w:pPr>
          </w:p>
        </w:tc>
      </w:tr>
      <w:tr w:rsidR="008B687E" w:rsidRPr="00FF7EC9" w:rsidTr="008D24BE">
        <w:tc>
          <w:tcPr>
            <w:tcW w:w="819" w:type="dxa"/>
          </w:tcPr>
          <w:p w:rsidR="008B687E" w:rsidRPr="00FF7EC9" w:rsidRDefault="008B687E" w:rsidP="00743767">
            <w:pPr>
              <w:pStyle w:val="Bodywithspecialindent"/>
              <w:spacing w:before="40" w:after="120"/>
              <w:ind w:left="0" w:firstLine="0"/>
              <w:rPr>
                <w:rStyle w:val="IntenseEmphasis"/>
              </w:rPr>
            </w:pPr>
            <w:r w:rsidRPr="00FF7EC9">
              <w:rPr>
                <w:rStyle w:val="IntenseEmphasis"/>
              </w:rPr>
              <w:t>3.14</w:t>
            </w:r>
          </w:p>
        </w:tc>
        <w:tc>
          <w:tcPr>
            <w:tcW w:w="6489" w:type="dxa"/>
            <w:shd w:val="clear" w:color="auto" w:fill="FFFFFF" w:themeFill="background1"/>
          </w:tcPr>
          <w:p w:rsidR="008B687E" w:rsidRPr="00FF7EC9" w:rsidRDefault="00F61D4D" w:rsidP="00C54C51">
            <w:pPr>
              <w:pStyle w:val="NoSpacing"/>
              <w:spacing w:before="40" w:after="120"/>
              <w:rPr>
                <w:rFonts w:cs="Arial"/>
              </w:rPr>
            </w:pPr>
            <w:r w:rsidRPr="00C54C51">
              <w:rPr>
                <w:rFonts w:eastAsia="Times New Roman" w:cs="Arial"/>
                <w:color w:val="000000"/>
                <w:sz w:val="20"/>
                <w:szCs w:val="20"/>
              </w:rPr>
              <w:t xml:space="preserve">3.14 </w:t>
            </w:r>
            <w:r>
              <w:rPr>
                <w:rFonts w:eastAsia="Times New Roman" w:cs="Arial"/>
                <w:b/>
                <w:color w:val="000000"/>
                <w:sz w:val="20"/>
                <w:szCs w:val="20"/>
              </w:rPr>
              <w:t xml:space="preserve">. </w:t>
            </w:r>
            <w:r>
              <w:rPr>
                <w:color w:val="1F497D"/>
              </w:rPr>
              <w:t>In accordance with section 155.345(i) of the Exchange Final Rule, the Exchange must follow procedures established in accordance with 45 CFR 152.45 related to the</w:t>
            </w:r>
            <w:r w:rsidRPr="00C54C51">
              <w:rPr>
                <w:rFonts w:eastAsia="Times New Roman" w:cs="Arial"/>
                <w:b/>
                <w:color w:val="000000"/>
                <w:sz w:val="20"/>
                <w:szCs w:val="20"/>
              </w:rPr>
              <w:t xml:space="preserve"> </w:t>
            </w:r>
            <w:r w:rsidR="008141CB" w:rsidRPr="008D24BE">
              <w:rPr>
                <w:rFonts w:eastAsia="Times New Roman" w:cs="Arial"/>
                <w:color w:val="000000"/>
                <w:sz w:val="20"/>
                <w:szCs w:val="20"/>
              </w:rPr>
              <w:t>Pre-Existing Condition Insurance Plan (PCIP) transition</w:t>
            </w:r>
          </w:p>
        </w:tc>
        <w:tc>
          <w:tcPr>
            <w:tcW w:w="630"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925" w:type="dxa"/>
            <w:shd w:val="clear" w:color="auto" w:fill="FFFFFF" w:themeFill="background1"/>
          </w:tcPr>
          <w:p w:rsidR="008B687E" w:rsidRPr="00FF7EC9" w:rsidRDefault="008B687E" w:rsidP="00743767">
            <w:pPr>
              <w:pStyle w:val="Bodywithspecialindent"/>
              <w:spacing w:before="40" w:after="120"/>
              <w:ind w:left="0" w:firstLine="0"/>
              <w:jc w:val="center"/>
              <w:rPr>
                <w:rStyle w:val="IntenseEmphasis"/>
              </w:rPr>
            </w:pPr>
          </w:p>
        </w:tc>
        <w:tc>
          <w:tcPr>
            <w:tcW w:w="892" w:type="dxa"/>
            <w:shd w:val="solid" w:color="808080" w:themeColor="background1" w:themeShade="80" w:fill="auto"/>
          </w:tcPr>
          <w:p w:rsidR="008B687E" w:rsidRPr="00FF7EC9" w:rsidRDefault="008B687E" w:rsidP="00743767">
            <w:pPr>
              <w:pStyle w:val="Bodywithspecialindent"/>
              <w:spacing w:before="40" w:after="120"/>
              <w:ind w:left="0" w:firstLine="0"/>
              <w:rPr>
                <w:rStyle w:val="IntenseEmphasis"/>
              </w:rPr>
            </w:pPr>
          </w:p>
        </w:tc>
        <w:tc>
          <w:tcPr>
            <w:tcW w:w="812" w:type="dxa"/>
            <w:shd w:val="solid" w:color="808080" w:themeColor="background1" w:themeShade="80" w:fill="auto"/>
          </w:tcPr>
          <w:p w:rsidR="008B687E" w:rsidRPr="00FF7EC9" w:rsidRDefault="008B687E" w:rsidP="00743767">
            <w:pPr>
              <w:pStyle w:val="Bodywithspecialindent"/>
              <w:spacing w:before="40" w:after="120"/>
              <w:ind w:left="0" w:firstLine="0"/>
              <w:rPr>
                <w:rStyle w:val="IntenseEmphasis"/>
              </w:rPr>
            </w:pPr>
          </w:p>
        </w:tc>
        <w:tc>
          <w:tcPr>
            <w:tcW w:w="635" w:type="dxa"/>
            <w:shd w:val="solid" w:color="808080" w:themeColor="background1" w:themeShade="80" w:fill="auto"/>
          </w:tcPr>
          <w:p w:rsidR="008B687E" w:rsidRPr="00FF7EC9" w:rsidRDefault="008B687E"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8B687E" w:rsidRPr="00FF7EC9" w:rsidRDefault="008B687E" w:rsidP="00743767">
            <w:pPr>
              <w:pStyle w:val="Bodywithspecialindent"/>
              <w:spacing w:before="40" w:after="120"/>
              <w:ind w:left="0" w:firstLine="0"/>
              <w:rPr>
                <w:rStyle w:val="IntenseEmphasis"/>
              </w:rPr>
            </w:pPr>
          </w:p>
        </w:tc>
        <w:tc>
          <w:tcPr>
            <w:tcW w:w="1170" w:type="dxa"/>
            <w:shd w:val="clear" w:color="auto" w:fill="auto"/>
          </w:tcPr>
          <w:p w:rsidR="008B687E" w:rsidRPr="00FF7EC9" w:rsidRDefault="008B687E" w:rsidP="00743767">
            <w:pPr>
              <w:pStyle w:val="Bodywithspecialindent"/>
              <w:spacing w:before="40" w:after="120"/>
              <w:ind w:left="0" w:firstLine="0"/>
              <w:rPr>
                <w:rStyle w:val="IntenseEmphasis"/>
              </w:rPr>
            </w:pPr>
          </w:p>
        </w:tc>
      </w:tr>
      <w:tr w:rsidR="008B687E" w:rsidRPr="00FF7EC9">
        <w:trPr>
          <w:trHeight w:val="314"/>
        </w:trPr>
        <w:tc>
          <w:tcPr>
            <w:tcW w:w="18133" w:type="dxa"/>
            <w:gridSpan w:val="9"/>
            <w:shd w:val="clear" w:color="auto" w:fill="000000" w:themeFill="text1"/>
          </w:tcPr>
          <w:p w:rsidR="008B687E" w:rsidRDefault="008B687E" w:rsidP="00102BD6">
            <w:pPr>
              <w:pStyle w:val="Heading1"/>
              <w:numPr>
                <w:ilvl w:val="0"/>
                <w:numId w:val="0"/>
              </w:numPr>
              <w:pBdr>
                <w:bottom w:val="none" w:sz="0" w:space="0" w:color="auto"/>
              </w:pBdr>
              <w:ind w:left="360" w:hanging="360"/>
              <w:jc w:val="left"/>
              <w:outlineLvl w:val="0"/>
            </w:pPr>
            <w:bookmarkStart w:id="13" w:name="_Toc329259024"/>
            <w:r w:rsidRPr="00FF7EC9">
              <w:t>4.0 Plan Management</w:t>
            </w:r>
            <w:bookmarkEnd w:id="13"/>
            <w:r>
              <w:t xml:space="preserve"> </w:t>
            </w:r>
          </w:p>
          <w:p w:rsidR="008B687E" w:rsidRPr="0014179F" w:rsidRDefault="008B687E" w:rsidP="0014179F">
            <w:r>
              <w:t>If applying for Plan Management Partnership the appropriate State entity rather than the “Exchange” will complete this section.</w:t>
            </w:r>
          </w:p>
        </w:tc>
      </w:tr>
      <w:tr w:rsidR="008B687E" w:rsidRPr="00FF7EC9">
        <w:trPr>
          <w:trHeight w:val="800"/>
        </w:trPr>
        <w:tc>
          <w:tcPr>
            <w:tcW w:w="819" w:type="dxa"/>
          </w:tcPr>
          <w:p w:rsidR="008B687E" w:rsidRPr="00FF7EC9" w:rsidRDefault="008B687E" w:rsidP="008D24BE">
            <w:pPr>
              <w:pStyle w:val="Bodywithspecialindent"/>
              <w:spacing w:beforeLines="40" w:before="96" w:after="120"/>
              <w:rPr>
                <w:rStyle w:val="IntenseEmphasis"/>
              </w:rPr>
            </w:pPr>
            <w:r w:rsidRPr="00FF7EC9">
              <w:rPr>
                <w:rStyle w:val="IntenseEmphasis"/>
              </w:rPr>
              <w:t>4.1</w:t>
            </w:r>
          </w:p>
        </w:tc>
        <w:tc>
          <w:tcPr>
            <w:tcW w:w="6489" w:type="dxa"/>
          </w:tcPr>
          <w:p w:rsidR="00696982" w:rsidRDefault="008B687E" w:rsidP="008D24BE">
            <w:pPr>
              <w:spacing w:beforeLines="40" w:before="96" w:after="120"/>
              <w:rPr>
                <w:rFonts w:ascii="Arial" w:hAnsi="Arial" w:cs="Arial"/>
              </w:rPr>
            </w:pPr>
            <w:r w:rsidRPr="00FF7EC9">
              <w:rPr>
                <w:rFonts w:ascii="Arial" w:hAnsi="Arial" w:cs="Arial"/>
              </w:rPr>
              <w:t>The Exchange has the appropriate authority to perform the certification of QHPs and to oversee QHP issuers consistent with 45 CFR 155.1010(a).</w:t>
            </w:r>
          </w:p>
        </w:tc>
        <w:tc>
          <w:tcPr>
            <w:tcW w:w="630" w:type="dxa"/>
            <w:shd w:val="clear" w:color="auto" w:fill="FFFFFF" w:themeFill="background1"/>
          </w:tcPr>
          <w:p w:rsidR="005F3385" w:rsidRDefault="005F3385" w:rsidP="008D24BE">
            <w:pPr>
              <w:pStyle w:val="Bodywithspecialindent"/>
              <w:spacing w:beforeLines="40" w:before="96" w:after="120"/>
              <w:ind w:left="0" w:firstLine="0"/>
              <w:rPr>
                <w:rStyle w:val="Heading2Char"/>
              </w:rPr>
            </w:pPr>
          </w:p>
        </w:tc>
        <w:tc>
          <w:tcPr>
            <w:tcW w:w="925" w:type="dxa"/>
            <w:shd w:val="clear" w:color="auto" w:fill="FFFFFF" w:themeFill="background1"/>
          </w:tcPr>
          <w:p w:rsidR="005F3385" w:rsidRDefault="005F3385" w:rsidP="008D24BE">
            <w:pPr>
              <w:pStyle w:val="Bodywithspecialindent"/>
              <w:spacing w:beforeLines="40" w:before="96" w:after="120"/>
              <w:ind w:left="0" w:firstLine="0"/>
              <w:rPr>
                <w:rStyle w:val="Heading2Char"/>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Heading2Char"/>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5761" w:type="dxa"/>
            <w:shd w:val="clear" w:color="auto" w:fill="FFFFFF" w:themeFill="background1"/>
          </w:tcPr>
          <w:p w:rsidR="003B0028" w:rsidRDefault="008B687E" w:rsidP="008D24BE">
            <w:pPr>
              <w:pStyle w:val="Bodywithspecialindent"/>
              <w:spacing w:beforeLines="40" w:before="96" w:after="120"/>
              <w:ind w:left="0" w:firstLine="0"/>
              <w:rPr>
                <w:rStyle w:val="Heading2Char"/>
              </w:rPr>
            </w:pPr>
            <w:r w:rsidRPr="00FF7EC9">
              <w:rPr>
                <w:rFonts w:cs="Arial"/>
              </w:rPr>
              <w:t>Citation of the State’s applicable statutory and/or regulatory authority(ies).</w:t>
            </w:r>
          </w:p>
        </w:tc>
        <w:tc>
          <w:tcPr>
            <w:tcW w:w="1170" w:type="dxa"/>
            <w:shd w:val="clear" w:color="auto" w:fill="FFFFFF" w:themeFill="background1"/>
          </w:tcPr>
          <w:p w:rsidR="003B0028" w:rsidRDefault="003B0028" w:rsidP="008D24BE">
            <w:pPr>
              <w:pStyle w:val="Bodywithspecialindent"/>
              <w:spacing w:beforeLines="40" w:before="96" w:after="120"/>
              <w:ind w:left="0" w:firstLine="0"/>
              <w:rPr>
                <w:rFonts w:cs="Arial"/>
              </w:rPr>
            </w:pPr>
          </w:p>
        </w:tc>
      </w:tr>
      <w:tr w:rsidR="008B687E" w:rsidRPr="00FF7EC9">
        <w:trPr>
          <w:cantSplit/>
        </w:trPr>
        <w:tc>
          <w:tcPr>
            <w:tcW w:w="819" w:type="dxa"/>
          </w:tcPr>
          <w:p w:rsidR="008B687E" w:rsidRPr="00FF7EC9" w:rsidRDefault="008B687E" w:rsidP="008D24BE">
            <w:pPr>
              <w:pStyle w:val="Bodywithspecialindent"/>
              <w:spacing w:beforeLines="40" w:before="96" w:after="120"/>
              <w:rPr>
                <w:rStyle w:val="IntenseEmphasis"/>
              </w:rPr>
            </w:pPr>
            <w:r w:rsidRPr="00FF7EC9">
              <w:rPr>
                <w:rStyle w:val="IntenseEmphasis"/>
              </w:rPr>
              <w:lastRenderedPageBreak/>
              <w:t>4.2</w:t>
            </w:r>
          </w:p>
        </w:tc>
        <w:tc>
          <w:tcPr>
            <w:tcW w:w="6489" w:type="dxa"/>
          </w:tcPr>
          <w:p w:rsidR="005F3385" w:rsidRDefault="008B687E" w:rsidP="008D24BE">
            <w:pPr>
              <w:pStyle w:val="Bodywithspecialindent"/>
              <w:spacing w:beforeLines="40" w:before="96" w:after="120"/>
              <w:ind w:left="0" w:firstLine="0"/>
              <w:rPr>
                <w:rStyle w:val="IntenseEmphasis"/>
              </w:rPr>
            </w:pPr>
            <w:r w:rsidRPr="00FF7EC9">
              <w:rPr>
                <w:rFonts w:cs="Arial"/>
              </w:rPr>
              <w:t>The Exchange has a process in place to certify QHPs pursuant to 45 CFR 155.1000(c) and according to QHP certification requirements contained in 45 CFR 156.</w:t>
            </w:r>
          </w:p>
        </w:tc>
        <w:tc>
          <w:tcPr>
            <w:tcW w:w="630" w:type="dxa"/>
            <w:shd w:val="clear" w:color="auto" w:fill="auto"/>
          </w:tcPr>
          <w:p w:rsidR="005F3385" w:rsidRDefault="005F3385" w:rsidP="008D24BE">
            <w:pPr>
              <w:pStyle w:val="Bodywithspecialindent"/>
              <w:spacing w:beforeLines="40" w:before="96" w:after="120"/>
              <w:ind w:left="0" w:firstLine="0"/>
              <w:rPr>
                <w:rStyle w:val="IntenseEmphasis"/>
              </w:rPr>
            </w:pPr>
          </w:p>
        </w:tc>
        <w:tc>
          <w:tcPr>
            <w:tcW w:w="925" w:type="dxa"/>
            <w:shd w:val="clear" w:color="auto" w:fill="auto"/>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5761" w:type="dxa"/>
            <w:shd w:val="clear" w:color="auto" w:fill="FFFFFF" w:themeFill="background1"/>
          </w:tcPr>
          <w:p w:rsidR="003B0028" w:rsidRDefault="008B687E" w:rsidP="008D24BE">
            <w:pPr>
              <w:pStyle w:val="Bodywithspecialindent"/>
              <w:spacing w:beforeLines="40" w:before="96" w:after="120"/>
              <w:ind w:left="0" w:firstLine="0"/>
              <w:rPr>
                <w:rFonts w:cs="Arial"/>
              </w:rPr>
            </w:pPr>
            <w:r w:rsidRPr="00FF7EC9">
              <w:rPr>
                <w:rFonts w:cs="Arial"/>
              </w:rPr>
              <w:t>Brief description of how the Exchange will ensure that the issuers and health plans meet each of the QHP certification standards.  Include the process that the Exchange will use to evaluate issuers and health plans against each of the QHP certification standards, including any differences specific to SHOP.</w:t>
            </w:r>
          </w:p>
          <w:p w:rsidR="008B687E" w:rsidRPr="00FF7EC9" w:rsidRDefault="008B687E" w:rsidP="002E3A48">
            <w:pPr>
              <w:pStyle w:val="Bodywithspecialindent"/>
              <w:spacing w:before="40" w:after="120"/>
              <w:ind w:left="0" w:firstLine="0"/>
              <w:rPr>
                <w:rFonts w:cs="Arial"/>
                <w:b/>
                <w:i/>
              </w:rPr>
            </w:pPr>
            <w:r w:rsidRPr="00FF7EC9">
              <w:rPr>
                <w:rFonts w:cs="Arial"/>
                <w:b/>
                <w:i/>
              </w:rPr>
              <w:t>AND</w:t>
            </w:r>
          </w:p>
          <w:p w:rsidR="008B687E" w:rsidRPr="00FF7EC9" w:rsidRDefault="008B687E" w:rsidP="008D24BE">
            <w:pPr>
              <w:pStyle w:val="Bodywithspecialindent"/>
              <w:spacing w:beforeLines="40" w:before="96" w:after="120"/>
              <w:ind w:left="0" w:firstLine="0"/>
              <w:rPr>
                <w:rFonts w:cs="Arial"/>
              </w:rPr>
            </w:pPr>
          </w:p>
          <w:p w:rsidR="005F3385" w:rsidRDefault="008B687E" w:rsidP="008D24BE">
            <w:pPr>
              <w:pStyle w:val="Bodywithspecialindent"/>
              <w:spacing w:beforeLines="40" w:before="96" w:after="120"/>
              <w:ind w:left="0" w:firstLine="0"/>
              <w:rPr>
                <w:rFonts w:cs="Arial"/>
              </w:rPr>
            </w:pPr>
            <w:r w:rsidRPr="00FF7EC9">
              <w:rPr>
                <w:rFonts w:cs="Arial"/>
              </w:rPr>
              <w:t xml:space="preserve">Brief description of entities responsible for QHP certification and briefly describe the roles and responsibilities of each entity as they relate to each of the QHP certification standards.  </w:t>
            </w:r>
          </w:p>
          <w:p w:rsidR="008B687E" w:rsidRPr="00FF7EC9" w:rsidRDefault="008B687E" w:rsidP="002E3A48">
            <w:pPr>
              <w:pStyle w:val="Bodywithspecialindent"/>
              <w:spacing w:before="40" w:after="120"/>
              <w:ind w:left="0" w:firstLine="0"/>
              <w:rPr>
                <w:rFonts w:cs="Arial"/>
                <w:b/>
                <w:i/>
              </w:rPr>
            </w:pPr>
            <w:r w:rsidRPr="00FF7EC9">
              <w:rPr>
                <w:rFonts w:cs="Arial"/>
                <w:b/>
                <w:i/>
              </w:rPr>
              <w:t>AND</w:t>
            </w:r>
          </w:p>
          <w:p w:rsidR="008B687E" w:rsidRPr="00FF7EC9" w:rsidRDefault="008B687E" w:rsidP="008D24BE">
            <w:pPr>
              <w:pStyle w:val="Bodywithspecialindent"/>
              <w:spacing w:beforeLines="40" w:before="96" w:after="120"/>
              <w:ind w:left="0" w:firstLine="0"/>
              <w:rPr>
                <w:rStyle w:val="IntenseEmphasis"/>
              </w:rPr>
            </w:pPr>
            <w:r>
              <w:rPr>
                <w:rFonts w:cs="Arial"/>
              </w:rPr>
              <w:t>B</w:t>
            </w:r>
            <w:r w:rsidRPr="00FF7EC9">
              <w:rPr>
                <w:rFonts w:cs="Arial"/>
              </w:rPr>
              <w:t>rief description of the integration between the Exchange and the State Department of Insurance.</w:t>
            </w:r>
          </w:p>
        </w:tc>
        <w:tc>
          <w:tcPr>
            <w:tcW w:w="1170" w:type="dxa"/>
            <w:shd w:val="clear" w:color="auto" w:fill="FFFFFF" w:themeFill="background1"/>
          </w:tcPr>
          <w:p w:rsidR="005F3385" w:rsidRDefault="005F3385" w:rsidP="008D24BE">
            <w:pPr>
              <w:pStyle w:val="Bodywithspecialindent"/>
              <w:spacing w:beforeLines="40" w:before="96" w:after="120"/>
              <w:ind w:left="0" w:firstLine="0"/>
              <w:rPr>
                <w:rFonts w:cs="Arial"/>
              </w:rPr>
            </w:pPr>
          </w:p>
        </w:tc>
      </w:tr>
      <w:tr w:rsidR="008B687E" w:rsidRPr="00FF7EC9">
        <w:trPr>
          <w:cantSplit/>
        </w:trPr>
        <w:tc>
          <w:tcPr>
            <w:tcW w:w="819" w:type="dxa"/>
          </w:tcPr>
          <w:p w:rsidR="008B687E" w:rsidRPr="00FF7EC9" w:rsidRDefault="008B687E" w:rsidP="008D24BE">
            <w:pPr>
              <w:pStyle w:val="Bodywithspecialindent"/>
              <w:spacing w:beforeLines="40" w:before="96" w:after="120"/>
              <w:rPr>
                <w:rStyle w:val="IntenseEmphasis"/>
              </w:rPr>
            </w:pPr>
            <w:r w:rsidRPr="00FF7EC9">
              <w:rPr>
                <w:rStyle w:val="IntenseEmphasis"/>
              </w:rPr>
              <w:t>4.2a</w:t>
            </w:r>
          </w:p>
        </w:tc>
        <w:tc>
          <w:tcPr>
            <w:tcW w:w="6489" w:type="dxa"/>
          </w:tcPr>
          <w:p w:rsidR="00696982" w:rsidRDefault="008B687E" w:rsidP="008D24BE">
            <w:pPr>
              <w:pStyle w:val="Bodywithspecialindent"/>
              <w:spacing w:beforeLines="40" w:before="96" w:after="120"/>
              <w:ind w:left="0" w:firstLine="0"/>
              <w:rPr>
                <w:rFonts w:cs="Arial"/>
              </w:rPr>
            </w:pPr>
            <w:r w:rsidRPr="00FF7EC9">
              <w:rPr>
                <w:rFonts w:cs="Arial"/>
              </w:rPr>
              <w:t>The Exchange has the capacity to certify QHPs in advance of the annual open enrollment period pursuant to 45 CFR 155.1010(a)(1).</w:t>
            </w:r>
          </w:p>
        </w:tc>
        <w:tc>
          <w:tcPr>
            <w:tcW w:w="630"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925"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8B687E" w:rsidRPr="00FF7EC9">
        <w:tc>
          <w:tcPr>
            <w:tcW w:w="819" w:type="dxa"/>
          </w:tcPr>
          <w:p w:rsidR="008B687E" w:rsidRPr="00FF7EC9" w:rsidRDefault="008B687E" w:rsidP="008D24BE">
            <w:pPr>
              <w:pStyle w:val="Bodywithspecialindent"/>
              <w:spacing w:beforeLines="40" w:before="96" w:after="120"/>
              <w:rPr>
                <w:rStyle w:val="IntenseEmphasis"/>
              </w:rPr>
            </w:pPr>
            <w:r w:rsidRPr="00FF7EC9">
              <w:rPr>
                <w:rStyle w:val="IntenseEmphasis"/>
              </w:rPr>
              <w:t>4.2b</w:t>
            </w:r>
          </w:p>
        </w:tc>
        <w:tc>
          <w:tcPr>
            <w:tcW w:w="6489" w:type="dxa"/>
          </w:tcPr>
          <w:p w:rsidR="005F3385" w:rsidRDefault="008B687E" w:rsidP="008D24BE">
            <w:pPr>
              <w:pStyle w:val="Bodywithspecialindent"/>
              <w:spacing w:beforeLines="40" w:before="96" w:after="120"/>
              <w:ind w:left="0" w:firstLine="0"/>
              <w:rPr>
                <w:rFonts w:cs="Arial"/>
              </w:rPr>
            </w:pPr>
            <w:r w:rsidRPr="00FF7EC9">
              <w:rPr>
                <w:rFonts w:cs="Arial"/>
              </w:rPr>
              <w:t>The Exchange has the capacity to ensure QHPs comply with the QHP certification standards contained in 45 CFR 156 including, but not limited to, standards relating to licensure, solvency, service area, network adequacy, essential community providers, marketing and discriminatory benefit design, accreditation, and consideration of rate increases.</w:t>
            </w:r>
          </w:p>
        </w:tc>
        <w:tc>
          <w:tcPr>
            <w:tcW w:w="630"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925" w:type="dxa"/>
            <w:shd w:val="clear" w:color="auto" w:fill="FFFFFF" w:themeFill="background1"/>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8B687E" w:rsidRPr="00FF7EC9">
        <w:trPr>
          <w:cantSplit/>
        </w:trPr>
        <w:tc>
          <w:tcPr>
            <w:tcW w:w="819" w:type="dxa"/>
          </w:tcPr>
          <w:p w:rsidR="008B687E" w:rsidRPr="00FF7EC9" w:rsidRDefault="008B687E" w:rsidP="008D24BE">
            <w:pPr>
              <w:pStyle w:val="Bodywithspecialindent"/>
              <w:spacing w:beforeLines="40" w:before="96" w:after="120"/>
              <w:rPr>
                <w:rStyle w:val="IntenseEmphasis"/>
              </w:rPr>
            </w:pPr>
            <w:r w:rsidRPr="00FF7EC9">
              <w:rPr>
                <w:rStyle w:val="IntenseEmphasis"/>
              </w:rPr>
              <w:lastRenderedPageBreak/>
              <w:t>4.2c</w:t>
            </w:r>
          </w:p>
        </w:tc>
        <w:tc>
          <w:tcPr>
            <w:tcW w:w="6489" w:type="dxa"/>
          </w:tcPr>
          <w:p w:rsidR="005F3385" w:rsidRDefault="008B687E" w:rsidP="008D24BE">
            <w:pPr>
              <w:pStyle w:val="Bodywithspecialindent"/>
              <w:spacing w:beforeLines="40" w:before="96" w:after="120"/>
              <w:ind w:left="0" w:firstLine="0"/>
              <w:rPr>
                <w:rFonts w:cs="Arial"/>
              </w:rPr>
            </w:pPr>
            <w:r w:rsidRPr="00FF7EC9">
              <w:rPr>
                <w:rFonts w:cs="Arial"/>
              </w:rPr>
              <w:t>The Exchange has the capacity to collect, analyze, and if required, submit to the Federal government for review QHPs’ plan variations for cost-sharing reductions, advance payment estimates for such reductions, and any supporting documentation needed to ensure compliance with applicable regulations and accuracy of the cost-sharing reduction advance payments.</w:t>
            </w:r>
          </w:p>
        </w:tc>
        <w:tc>
          <w:tcPr>
            <w:tcW w:w="630"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925" w:type="dxa"/>
            <w:shd w:val="clear" w:color="auto" w:fill="FFFFFF" w:themeFill="background1"/>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8B687E" w:rsidRPr="00FF7EC9">
        <w:tc>
          <w:tcPr>
            <w:tcW w:w="819" w:type="dxa"/>
          </w:tcPr>
          <w:p w:rsidR="008B687E" w:rsidRPr="00FF7EC9" w:rsidRDefault="008B687E" w:rsidP="008D24BE">
            <w:pPr>
              <w:pStyle w:val="Bodywithspecialindent"/>
              <w:spacing w:beforeLines="40" w:before="96" w:after="120"/>
              <w:rPr>
                <w:rStyle w:val="IntenseEmphasis"/>
              </w:rPr>
            </w:pPr>
            <w:r w:rsidRPr="00FF7EC9">
              <w:rPr>
                <w:rStyle w:val="IntenseEmphasis"/>
              </w:rPr>
              <w:t>4.2d</w:t>
            </w:r>
          </w:p>
        </w:tc>
        <w:tc>
          <w:tcPr>
            <w:tcW w:w="6489" w:type="dxa"/>
          </w:tcPr>
          <w:p w:rsidR="008B687E" w:rsidRPr="00FF7EC9" w:rsidRDefault="008B687E" w:rsidP="008D24BE">
            <w:pPr>
              <w:pStyle w:val="Bodywithspecialindent"/>
              <w:spacing w:beforeLines="40" w:before="96" w:after="120"/>
              <w:ind w:left="0" w:firstLine="0"/>
              <w:rPr>
                <w:rFonts w:cs="Arial"/>
              </w:rPr>
            </w:pPr>
            <w:r w:rsidRPr="00FF7EC9">
              <w:rPr>
                <w:rFonts w:cs="Arial"/>
              </w:rPr>
              <w:t xml:space="preserve">The Exchange has the capacity to </w:t>
            </w:r>
            <w:r w:rsidRPr="001E6D2F">
              <w:rPr>
                <w:rFonts w:cs="Arial"/>
              </w:rPr>
              <w:t xml:space="preserve">ensure </w:t>
            </w:r>
            <w:r w:rsidR="008141CB" w:rsidRPr="008D24BE">
              <w:rPr>
                <w:rFonts w:cs="Arial"/>
              </w:rPr>
              <w:t>QHPs</w:t>
            </w:r>
            <w:r w:rsidRPr="00FF7EC9">
              <w:rPr>
                <w:rFonts w:cs="Arial"/>
              </w:rPr>
              <w:t xml:space="preserve"> meet actuarial value and essential health benefit standards in accordance with applicable regulations and guidance.</w:t>
            </w:r>
          </w:p>
        </w:tc>
        <w:tc>
          <w:tcPr>
            <w:tcW w:w="630"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925" w:type="dxa"/>
            <w:shd w:val="clear" w:color="auto" w:fill="FFFFFF" w:themeFill="background1"/>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8B687E" w:rsidRPr="00FF7EC9">
        <w:trPr>
          <w:cantSplit/>
        </w:trPr>
        <w:tc>
          <w:tcPr>
            <w:tcW w:w="819" w:type="dxa"/>
          </w:tcPr>
          <w:p w:rsidR="008B687E" w:rsidRPr="00FF7EC9" w:rsidRDefault="008B687E" w:rsidP="008D24BE">
            <w:pPr>
              <w:pStyle w:val="Bodywithspecialindent"/>
              <w:spacing w:beforeLines="40" w:before="96" w:after="120"/>
              <w:rPr>
                <w:rStyle w:val="IntenseEmphasis"/>
              </w:rPr>
            </w:pPr>
            <w:r w:rsidRPr="00FF7EC9">
              <w:rPr>
                <w:rStyle w:val="IntenseEmphasis"/>
              </w:rPr>
              <w:t>4.2e</w:t>
            </w:r>
          </w:p>
        </w:tc>
        <w:tc>
          <w:tcPr>
            <w:tcW w:w="6489" w:type="dxa"/>
          </w:tcPr>
          <w:p w:rsidR="008B687E" w:rsidRPr="00FF7EC9" w:rsidRDefault="008B687E" w:rsidP="00B8112F">
            <w:pPr>
              <w:rPr>
                <w:rFonts w:ascii="Arial" w:hAnsi="Arial" w:cs="Arial"/>
              </w:rPr>
            </w:pPr>
            <w:r w:rsidRPr="00FF7EC9">
              <w:rPr>
                <w:rFonts w:ascii="Arial" w:hAnsi="Arial" w:cs="Arial"/>
              </w:rPr>
              <w:t>The Exchange has the capacity to ensure QHPs’ compliance with market reform rules in accordance with applicable regulations and guidance.</w:t>
            </w:r>
          </w:p>
        </w:tc>
        <w:tc>
          <w:tcPr>
            <w:tcW w:w="630" w:type="dxa"/>
            <w:shd w:val="clear" w:color="auto" w:fill="FFFFFF" w:themeFill="background1"/>
          </w:tcPr>
          <w:p w:rsidR="008B687E" w:rsidRPr="00FF7EC9" w:rsidRDefault="008B687E" w:rsidP="008D24BE">
            <w:pPr>
              <w:pStyle w:val="Bodywithspecialindent"/>
              <w:spacing w:beforeLines="40" w:before="96" w:after="120"/>
              <w:ind w:left="0" w:firstLine="0"/>
              <w:rPr>
                <w:rStyle w:val="IntenseEmphasis"/>
              </w:rPr>
            </w:pPr>
          </w:p>
        </w:tc>
        <w:tc>
          <w:tcPr>
            <w:tcW w:w="925" w:type="dxa"/>
          </w:tcPr>
          <w:p w:rsidR="005F3385" w:rsidRDefault="005F3385"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4E0CD4" w:rsidRPr="00FF7EC9" w:rsidTr="008D24BE">
        <w:trPr>
          <w:cantSplit/>
        </w:trPr>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4.3</w:t>
            </w:r>
          </w:p>
        </w:tc>
        <w:tc>
          <w:tcPr>
            <w:tcW w:w="6489" w:type="dxa"/>
          </w:tcPr>
          <w:p w:rsidR="004E0CD4" w:rsidRDefault="004E0CD4" w:rsidP="008D24BE">
            <w:pPr>
              <w:pStyle w:val="Bodywithspecialindent"/>
              <w:spacing w:beforeLines="40" w:before="96" w:after="120"/>
              <w:ind w:left="0" w:firstLine="0"/>
              <w:rPr>
                <w:rFonts w:cs="Arial"/>
              </w:rPr>
            </w:pPr>
            <w:r w:rsidRPr="00CB4821">
              <w:t xml:space="preserve">The Exchange uses a plan management system(s) or </w:t>
            </w:r>
            <w:r w:rsidR="008141CB" w:rsidRPr="008D24BE">
              <w:t>processes that support the collection of QHP issuer and plan data; facilitate the QHP certification process; manage QHP issuers and plans; and integrate with other Exchange business areas, including the Exchange Internet Web site, call center, quality, eligibility and enrollment, and premium processing.</w:t>
            </w:r>
          </w:p>
          <w:p w:rsidR="005F3385" w:rsidRDefault="005F3385" w:rsidP="008D24BE">
            <w:pPr>
              <w:pStyle w:val="Bodywithspecialindent"/>
              <w:spacing w:beforeLines="40" w:before="96" w:after="120"/>
              <w:ind w:left="0" w:firstLine="0"/>
              <w:rPr>
                <w:rFonts w:cs="Arial"/>
              </w:rPr>
            </w:pPr>
          </w:p>
        </w:tc>
        <w:tc>
          <w:tcPr>
            <w:tcW w:w="630" w:type="dxa"/>
            <w:shd w:val="clear" w:color="auto" w:fill="auto"/>
          </w:tcPr>
          <w:p w:rsidR="003B0028" w:rsidRDefault="003B0028" w:rsidP="008D24BE">
            <w:pPr>
              <w:pStyle w:val="Bodywithspecialindent"/>
              <w:spacing w:beforeLines="40" w:before="96" w:after="120"/>
              <w:ind w:left="0" w:firstLine="0"/>
              <w:rPr>
                <w:rStyle w:val="IntenseEmphasis"/>
              </w:rPr>
            </w:pPr>
          </w:p>
        </w:tc>
        <w:tc>
          <w:tcPr>
            <w:tcW w:w="925" w:type="dxa"/>
            <w:shd w:val="clear" w:color="auto" w:fill="auto"/>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auto"/>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7F7F7F" w:themeFill="text1" w:themeFillTint="80"/>
          </w:tcPr>
          <w:p w:rsidR="003B0028" w:rsidRDefault="003B0028" w:rsidP="008D24BE">
            <w:pPr>
              <w:pStyle w:val="Bodywithspecialindent"/>
              <w:spacing w:beforeLines="40" w:before="96" w:after="120"/>
              <w:ind w:left="0" w:firstLine="0"/>
              <w:rPr>
                <w:rFonts w:cs="Arial"/>
              </w:rPr>
            </w:pPr>
          </w:p>
        </w:tc>
        <w:tc>
          <w:tcPr>
            <w:tcW w:w="635" w:type="dxa"/>
            <w:shd w:val="clear" w:color="auto" w:fill="7F7F7F" w:themeFill="text1" w:themeFillTint="80"/>
          </w:tcPr>
          <w:p w:rsidR="003B0028" w:rsidRDefault="003B0028" w:rsidP="008D24BE">
            <w:pPr>
              <w:pStyle w:val="Bodywithspecialindent"/>
              <w:spacing w:beforeLines="40" w:before="96" w:after="120"/>
              <w:ind w:left="0" w:firstLine="0"/>
              <w:rPr>
                <w:rFonts w:cs="Arial"/>
              </w:rPr>
            </w:pPr>
          </w:p>
        </w:tc>
        <w:tc>
          <w:tcPr>
            <w:tcW w:w="5761" w:type="dxa"/>
          </w:tcPr>
          <w:p w:rsidR="003B0028" w:rsidRDefault="004E0CD4" w:rsidP="008D24BE">
            <w:pPr>
              <w:pStyle w:val="Bodywithspecialindent"/>
              <w:spacing w:beforeLines="40" w:before="96" w:after="120"/>
              <w:ind w:left="0" w:firstLine="0"/>
              <w:rPr>
                <w:rFonts w:cs="Arial"/>
              </w:rPr>
            </w:pPr>
            <w:r w:rsidRPr="00FF7EC9">
              <w:rPr>
                <w:rFonts w:cs="Arial"/>
              </w:rPr>
              <w:t>Brief description of the anticipated number of health plans expected to participate in the Exchange</w:t>
            </w:r>
            <w:r>
              <w:rPr>
                <w:rFonts w:cs="Arial"/>
              </w:rPr>
              <w:t>.</w:t>
            </w:r>
          </w:p>
          <w:p w:rsidR="004E0CD4" w:rsidRPr="00FF7EC9" w:rsidRDefault="004E0CD4" w:rsidP="002E3A48">
            <w:pPr>
              <w:pStyle w:val="Bodywithspecialindent"/>
              <w:spacing w:before="40" w:after="120"/>
              <w:ind w:left="0" w:firstLine="0"/>
              <w:rPr>
                <w:rFonts w:cs="Arial"/>
                <w:b/>
                <w:i/>
              </w:rPr>
            </w:pPr>
            <w:r w:rsidRPr="00FF7EC9">
              <w:rPr>
                <w:rFonts w:cs="Arial"/>
                <w:b/>
                <w:i/>
              </w:rPr>
              <w:t>AND</w:t>
            </w:r>
          </w:p>
          <w:p w:rsidR="004E0CD4" w:rsidRPr="00FF7EC9" w:rsidRDefault="004E0CD4" w:rsidP="008D24BE">
            <w:pPr>
              <w:pStyle w:val="Bodywithspecialindent"/>
              <w:spacing w:beforeLines="40" w:before="96" w:after="120"/>
              <w:ind w:left="0" w:firstLine="0"/>
              <w:rPr>
                <w:rStyle w:val="IntenseEmphasis"/>
              </w:rPr>
            </w:pPr>
            <w:r>
              <w:rPr>
                <w:rFonts w:cs="Arial"/>
              </w:rPr>
              <w:t xml:space="preserve">Brief description of </w:t>
            </w:r>
            <w:r w:rsidRPr="00FF7EC9">
              <w:rPr>
                <w:rFonts w:cs="Arial"/>
              </w:rPr>
              <w:t>the collection method and applicable systems that will be used to support the business operations of Plan Management.</w:t>
            </w:r>
          </w:p>
        </w:tc>
        <w:tc>
          <w:tcPr>
            <w:tcW w:w="1170" w:type="dxa"/>
          </w:tcPr>
          <w:p w:rsidR="005F3385" w:rsidRDefault="005F3385" w:rsidP="008D24BE">
            <w:pPr>
              <w:pStyle w:val="Bodywithspecialindent"/>
              <w:spacing w:beforeLines="40" w:before="96" w:after="120"/>
              <w:ind w:left="0" w:firstLine="0"/>
              <w:rPr>
                <w:rFonts w:cs="Arial"/>
              </w:rPr>
            </w:pPr>
          </w:p>
        </w:tc>
      </w:tr>
      <w:tr w:rsidR="004E0CD4" w:rsidRPr="00FF7EC9">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4.3a</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The Exchange has the capacity to collect and analyze information on plan rates, covered benefits, and cost-sharing requirements pursuant to 45 CFR 155.1020.</w:t>
            </w:r>
          </w:p>
        </w:tc>
        <w:tc>
          <w:tcPr>
            <w:tcW w:w="630" w:type="dxa"/>
          </w:tcPr>
          <w:p w:rsidR="005F3385" w:rsidRDefault="005F3385" w:rsidP="008D24BE">
            <w:pPr>
              <w:pStyle w:val="Bodywithspecialindent"/>
              <w:spacing w:beforeLines="40" w:before="96" w:after="120"/>
              <w:ind w:left="0" w:firstLine="0"/>
              <w:rPr>
                <w:rStyle w:val="IntenseEmphasis"/>
              </w:rPr>
            </w:pPr>
          </w:p>
        </w:tc>
        <w:tc>
          <w:tcPr>
            <w:tcW w:w="925" w:type="dxa"/>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4E0CD4" w:rsidRPr="00FF7EC9">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4.3b</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 xml:space="preserve">The Exchange has the capacity to use plan rate data and rules for purposes such as generating consumer-facing premiums and determining the second-lowest cost silver plan for premium </w:t>
            </w:r>
            <w:r w:rsidRPr="00FF7EC9">
              <w:rPr>
                <w:rFonts w:cs="Arial"/>
              </w:rPr>
              <w:lastRenderedPageBreak/>
              <w:t>tax credit calculations.</w:t>
            </w:r>
          </w:p>
        </w:tc>
        <w:tc>
          <w:tcPr>
            <w:tcW w:w="630" w:type="dxa"/>
          </w:tcPr>
          <w:p w:rsidR="005F3385" w:rsidRDefault="005F3385" w:rsidP="008D24BE">
            <w:pPr>
              <w:pStyle w:val="Bodywithspecialindent"/>
              <w:spacing w:beforeLines="40" w:before="96" w:after="120"/>
              <w:ind w:left="0" w:firstLine="0"/>
              <w:rPr>
                <w:rStyle w:val="IntenseEmphasis"/>
              </w:rPr>
            </w:pPr>
          </w:p>
        </w:tc>
        <w:tc>
          <w:tcPr>
            <w:tcW w:w="925" w:type="dxa"/>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4E0CD4" w:rsidRPr="00FF7EC9">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lastRenderedPageBreak/>
              <w:t>4.4</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The Exchange has the capacity to ensure QHPs’ ongoing compliance with QHP certification requirements pursuant to 45 CFR 155.1010(a)(2), including a process for monitoring QHP performance and collecting, analyzing, and resolving enrollee complaints.</w:t>
            </w:r>
          </w:p>
        </w:tc>
        <w:tc>
          <w:tcPr>
            <w:tcW w:w="630" w:type="dxa"/>
            <w:shd w:val="clear" w:color="auto" w:fill="auto"/>
          </w:tcPr>
          <w:p w:rsidR="005F3385" w:rsidRDefault="005F3385" w:rsidP="008D24BE">
            <w:pPr>
              <w:pStyle w:val="Bodywithspecialindent"/>
              <w:spacing w:beforeLines="40" w:before="96" w:after="120"/>
              <w:ind w:left="0" w:firstLine="0"/>
              <w:rPr>
                <w:rStyle w:val="IntenseEmphasis"/>
              </w:rPr>
            </w:pPr>
          </w:p>
        </w:tc>
        <w:tc>
          <w:tcPr>
            <w:tcW w:w="925" w:type="dxa"/>
            <w:shd w:val="clear" w:color="auto" w:fill="auto"/>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5761" w:type="dxa"/>
            <w:shd w:val="clear" w:color="auto" w:fill="FFFFFF" w:themeFill="background1"/>
          </w:tcPr>
          <w:p w:rsidR="003B0028" w:rsidRDefault="003B0028" w:rsidP="008D24BE">
            <w:pPr>
              <w:pStyle w:val="Bodywithspecialindent"/>
              <w:spacing w:beforeLines="40" w:before="96" w:after="120"/>
              <w:ind w:left="0" w:firstLine="0"/>
              <w:rPr>
                <w:rFonts w:cs="Arial"/>
              </w:rPr>
            </w:pPr>
          </w:p>
          <w:p w:rsidR="004E0CD4" w:rsidRDefault="004E0CD4" w:rsidP="00B2031C">
            <w:pPr>
              <w:rPr>
                <w:b/>
                <w:bCs/>
                <w:color w:val="1F497D"/>
              </w:rPr>
            </w:pPr>
            <w:r w:rsidRPr="00B2031C">
              <w:rPr>
                <w:rFonts w:ascii="Arial" w:hAnsi="Arial" w:cs="Arial"/>
                <w:bCs/>
                <w:color w:val="000000"/>
              </w:rPr>
              <w:t xml:space="preserve">Brief description of approach to ensuring QHP compliance and monitoring </w:t>
            </w:r>
            <w:r>
              <w:rPr>
                <w:rFonts w:ascii="Arial" w:hAnsi="Arial" w:cs="Arial"/>
                <w:bCs/>
                <w:color w:val="000000"/>
              </w:rPr>
              <w:t xml:space="preserve">of </w:t>
            </w:r>
            <w:r w:rsidRPr="00B2031C">
              <w:rPr>
                <w:rFonts w:ascii="Arial" w:hAnsi="Arial" w:cs="Arial"/>
                <w:bCs/>
                <w:color w:val="000000"/>
              </w:rPr>
              <w:t>QHP performance, including any integration between Exchange and other State entities</w:t>
            </w:r>
            <w:r>
              <w:rPr>
                <w:rFonts w:ascii="Calisto MT" w:hAnsi="Calisto MT"/>
                <w:b/>
                <w:bCs/>
                <w:color w:val="000000"/>
                <w:sz w:val="24"/>
                <w:szCs w:val="24"/>
              </w:rPr>
              <w:t>.</w:t>
            </w:r>
          </w:p>
          <w:p w:rsidR="004E0CD4" w:rsidRPr="00FF7EC9" w:rsidRDefault="004E0CD4" w:rsidP="008D24BE">
            <w:pPr>
              <w:pStyle w:val="Bodywithspecialindent"/>
              <w:spacing w:beforeLines="40" w:before="96" w:after="120"/>
              <w:ind w:left="0" w:firstLine="0"/>
              <w:rPr>
                <w:rStyle w:val="IntenseEmphasis"/>
              </w:rPr>
            </w:pPr>
          </w:p>
        </w:tc>
        <w:tc>
          <w:tcPr>
            <w:tcW w:w="1170" w:type="dxa"/>
            <w:shd w:val="clear" w:color="auto" w:fill="FFFFFF" w:themeFill="background1"/>
          </w:tcPr>
          <w:p w:rsidR="005F3385" w:rsidRDefault="005F3385" w:rsidP="008D24BE">
            <w:pPr>
              <w:pStyle w:val="Bodywithspecialindent"/>
              <w:spacing w:beforeLines="40" w:before="96" w:after="120"/>
              <w:ind w:left="0" w:firstLine="0"/>
              <w:rPr>
                <w:rFonts w:cs="Arial"/>
              </w:rPr>
            </w:pPr>
          </w:p>
        </w:tc>
      </w:tr>
      <w:tr w:rsidR="004E0CD4" w:rsidRPr="00FF7EC9">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4.4a</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The Exchange has the capacity to ensure QHPs’ ongoing compliance with QHP certification requirements pursuant to 45 CFR 155.1010(a)(2) and Exchange operational requirements.</w:t>
            </w:r>
          </w:p>
        </w:tc>
        <w:tc>
          <w:tcPr>
            <w:tcW w:w="630" w:type="dxa"/>
          </w:tcPr>
          <w:p w:rsidR="005F3385" w:rsidRDefault="005F3385" w:rsidP="008D24BE">
            <w:pPr>
              <w:pStyle w:val="Bodywithspecialindent"/>
              <w:spacing w:beforeLines="40" w:before="96" w:after="120"/>
              <w:ind w:left="0" w:firstLine="0"/>
              <w:rPr>
                <w:rStyle w:val="IntenseEmphasis"/>
              </w:rPr>
            </w:pPr>
          </w:p>
        </w:tc>
        <w:tc>
          <w:tcPr>
            <w:tcW w:w="925" w:type="dxa"/>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4E0CD4" w:rsidRPr="00FF7EC9">
        <w:trPr>
          <w:cantSplit/>
        </w:trPr>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4.4b</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The Exchange has a process to monitor QHP performance and to collect, analyze, and resolve enrollee complaints in conjunction with any applicable State entities (e.g., State Department of Insurance, consumer assistance programs, and ombudsmen).</w:t>
            </w:r>
          </w:p>
        </w:tc>
        <w:tc>
          <w:tcPr>
            <w:tcW w:w="630" w:type="dxa"/>
          </w:tcPr>
          <w:p w:rsidR="005F3385" w:rsidRDefault="005F3385" w:rsidP="008D24BE">
            <w:pPr>
              <w:pStyle w:val="Bodywithspecialindent"/>
              <w:spacing w:beforeLines="40" w:before="96" w:after="120"/>
              <w:ind w:left="0" w:firstLine="0"/>
              <w:rPr>
                <w:rStyle w:val="IntenseEmphasis"/>
              </w:rPr>
            </w:pPr>
          </w:p>
        </w:tc>
        <w:tc>
          <w:tcPr>
            <w:tcW w:w="925" w:type="dxa"/>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4E0CD4" w:rsidRPr="00FF7EC9">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4.5</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The Exchange has the capacity to support issuers and provides technical assistance to ensure ongoing compliance with QHP issuer operational standards.</w:t>
            </w:r>
          </w:p>
        </w:tc>
        <w:tc>
          <w:tcPr>
            <w:tcW w:w="630"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925" w:type="dxa"/>
            <w:shd w:val="clear" w:color="auto" w:fill="FFFFFF" w:themeFill="background1"/>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5761" w:type="dxa"/>
          </w:tcPr>
          <w:p w:rsidR="003B0028" w:rsidRDefault="004E0CD4" w:rsidP="008D24BE">
            <w:pPr>
              <w:pStyle w:val="Bodywithspecialindent"/>
              <w:spacing w:beforeLines="40" w:before="96" w:after="120"/>
              <w:ind w:left="0" w:firstLine="0"/>
              <w:rPr>
                <w:rStyle w:val="IntenseEmphasis"/>
              </w:rPr>
            </w:pPr>
            <w:r w:rsidRPr="00FF7EC9">
              <w:rPr>
                <w:rFonts w:cs="Arial"/>
              </w:rPr>
              <w:t>Description of issuer technical assistance and support activities to be provided by the Exchange and examples where applicable.</w:t>
            </w:r>
          </w:p>
        </w:tc>
        <w:tc>
          <w:tcPr>
            <w:tcW w:w="1170" w:type="dxa"/>
          </w:tcPr>
          <w:p w:rsidR="003B0028" w:rsidRDefault="003B0028" w:rsidP="008D24BE">
            <w:pPr>
              <w:pStyle w:val="Bodywithspecialindent"/>
              <w:spacing w:beforeLines="40" w:before="96" w:after="120"/>
              <w:ind w:left="0" w:firstLine="0"/>
              <w:rPr>
                <w:rFonts w:cs="Arial"/>
              </w:rPr>
            </w:pPr>
          </w:p>
        </w:tc>
      </w:tr>
      <w:tr w:rsidR="004E0CD4" w:rsidRPr="00FF7EC9">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4.6</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The Exchange has a process for QHP issuer recertification, decertification, and appeal of decertification determinations pursuant to 45 CFR 155.1075 and 155.1080.</w:t>
            </w:r>
          </w:p>
        </w:tc>
        <w:tc>
          <w:tcPr>
            <w:tcW w:w="630" w:type="dxa"/>
            <w:shd w:val="clear" w:color="auto" w:fill="auto"/>
          </w:tcPr>
          <w:p w:rsidR="005F3385" w:rsidRDefault="005F3385" w:rsidP="008D24BE">
            <w:pPr>
              <w:pStyle w:val="Bodywithspecialindent"/>
              <w:spacing w:beforeLines="40" w:before="96" w:after="120"/>
              <w:ind w:left="0" w:firstLine="0"/>
              <w:rPr>
                <w:rStyle w:val="IntenseEmphasis"/>
              </w:rPr>
            </w:pPr>
          </w:p>
        </w:tc>
        <w:tc>
          <w:tcPr>
            <w:tcW w:w="925" w:type="dxa"/>
            <w:shd w:val="clear" w:color="auto" w:fill="auto"/>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5761" w:type="dxa"/>
          </w:tcPr>
          <w:p w:rsidR="003B0028" w:rsidRDefault="004E0CD4" w:rsidP="008D24BE">
            <w:pPr>
              <w:pStyle w:val="Bodywithspecialindent"/>
              <w:spacing w:beforeLines="40" w:before="96" w:after="120"/>
              <w:ind w:left="0" w:firstLine="0"/>
              <w:rPr>
                <w:rFonts w:cs="Arial"/>
              </w:rPr>
            </w:pPr>
            <w:r w:rsidRPr="00FF7EC9">
              <w:rPr>
                <w:rFonts w:cs="Arial"/>
              </w:rPr>
              <w:t>Brief description of the process for transitioning enrollees to new QHPs in the event of a QHP decertification, including any differences specific to SHOP.</w:t>
            </w:r>
          </w:p>
          <w:p w:rsidR="003B0028" w:rsidRDefault="004E0CD4" w:rsidP="008D24BE">
            <w:pPr>
              <w:pStyle w:val="Bodywithspecialindent"/>
              <w:spacing w:beforeLines="40" w:before="96" w:after="120"/>
              <w:ind w:left="0" w:firstLine="0"/>
              <w:rPr>
                <w:rFonts w:cs="Arial"/>
                <w:b/>
                <w:i/>
              </w:rPr>
            </w:pPr>
            <w:r w:rsidRPr="00085CAF">
              <w:rPr>
                <w:rFonts w:cs="Arial"/>
                <w:b/>
                <w:i/>
              </w:rPr>
              <w:t>AND</w:t>
            </w:r>
          </w:p>
          <w:p w:rsidR="003B0028" w:rsidRDefault="004E0CD4" w:rsidP="008D24BE">
            <w:pPr>
              <w:pStyle w:val="Bodywithspecialindent"/>
              <w:spacing w:beforeLines="40" w:before="96" w:after="120"/>
              <w:ind w:left="0" w:firstLine="0"/>
              <w:rPr>
                <w:rFonts w:cs="Arial"/>
              </w:rPr>
            </w:pPr>
            <w:r>
              <w:rPr>
                <w:rFonts w:cs="Arial"/>
              </w:rPr>
              <w:t>Brief description of general approach for decertification, recertification, and appeals of decertification.</w:t>
            </w:r>
          </w:p>
        </w:tc>
        <w:tc>
          <w:tcPr>
            <w:tcW w:w="1170" w:type="dxa"/>
          </w:tcPr>
          <w:p w:rsidR="003B0028" w:rsidRDefault="003B0028" w:rsidP="008D24BE">
            <w:pPr>
              <w:pStyle w:val="Bodywithspecialindent"/>
              <w:spacing w:beforeLines="40" w:before="96" w:after="120"/>
              <w:ind w:left="0" w:firstLine="0"/>
              <w:rPr>
                <w:rFonts w:cs="Arial"/>
              </w:rPr>
            </w:pPr>
          </w:p>
        </w:tc>
      </w:tr>
      <w:tr w:rsidR="004E0CD4" w:rsidRPr="00FF7EC9">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lastRenderedPageBreak/>
              <w:t>4.6a</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The Exchange has a process for recertification of QHP issuers and QHPs including the annual receipt and review of QHP rate, benefit, and cost sharing information pursuant to 45 CFR 155.1020(c).</w:t>
            </w:r>
          </w:p>
        </w:tc>
        <w:tc>
          <w:tcPr>
            <w:tcW w:w="630" w:type="dxa"/>
          </w:tcPr>
          <w:p w:rsidR="005F3385" w:rsidRDefault="005F3385" w:rsidP="008D24BE">
            <w:pPr>
              <w:pStyle w:val="Bodywithspecialindent"/>
              <w:spacing w:beforeLines="40" w:before="96" w:after="120"/>
              <w:ind w:left="0" w:firstLine="0"/>
              <w:rPr>
                <w:rStyle w:val="IntenseEmphasis"/>
              </w:rPr>
            </w:pPr>
          </w:p>
        </w:tc>
        <w:tc>
          <w:tcPr>
            <w:tcW w:w="925" w:type="dxa"/>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r>
      <w:tr w:rsidR="004E0CD4" w:rsidRPr="00FF7EC9">
        <w:trPr>
          <w:cantSplit/>
        </w:trPr>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4.6b</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The Exchange has a process for decertification of QHPs and QHP issuers and a process for transitioning enrollees into new QHPs pursuant to 45 CFR 155.1080.</w:t>
            </w:r>
          </w:p>
        </w:tc>
        <w:tc>
          <w:tcPr>
            <w:tcW w:w="630" w:type="dxa"/>
          </w:tcPr>
          <w:p w:rsidR="005F3385" w:rsidRDefault="005F3385" w:rsidP="008D24BE">
            <w:pPr>
              <w:pStyle w:val="Bodywithspecialindent"/>
              <w:spacing w:beforeLines="40" w:before="96" w:after="120"/>
              <w:ind w:left="0" w:firstLine="0"/>
              <w:rPr>
                <w:rStyle w:val="IntenseEmphasis"/>
              </w:rPr>
            </w:pPr>
          </w:p>
        </w:tc>
        <w:tc>
          <w:tcPr>
            <w:tcW w:w="925" w:type="dxa"/>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r>
      <w:tr w:rsidR="004E0CD4" w:rsidRPr="00FF7EC9">
        <w:trPr>
          <w:cantSplit/>
        </w:trPr>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4.6c</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 xml:space="preserve">The Exchange has a process for the </w:t>
            </w:r>
            <w:r>
              <w:rPr>
                <w:rFonts w:cs="Arial"/>
              </w:rPr>
              <w:t xml:space="preserve">QHP issuer </w:t>
            </w:r>
            <w:r w:rsidRPr="00FF7EC9">
              <w:rPr>
                <w:rFonts w:cs="Arial"/>
              </w:rPr>
              <w:t>appeal of a decertification of a QHP pursuant to 45 CFR 155.1080 and any necessary appeal of QHP certification determinations consistent with any applicable State laws or regulations.</w:t>
            </w:r>
          </w:p>
        </w:tc>
        <w:tc>
          <w:tcPr>
            <w:tcW w:w="630" w:type="dxa"/>
          </w:tcPr>
          <w:p w:rsidR="005F3385" w:rsidRDefault="005F3385" w:rsidP="008D24BE">
            <w:pPr>
              <w:pStyle w:val="Bodywithspecialindent"/>
              <w:spacing w:beforeLines="40" w:before="96" w:after="120"/>
              <w:ind w:left="0" w:firstLine="0"/>
              <w:rPr>
                <w:rStyle w:val="IntenseEmphasis"/>
              </w:rPr>
            </w:pPr>
          </w:p>
        </w:tc>
        <w:tc>
          <w:tcPr>
            <w:tcW w:w="925" w:type="dxa"/>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r>
      <w:tr w:rsidR="004E0CD4" w:rsidRPr="00FF7EC9">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4.7</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The Exchange has set a timeline for QHP issuer accreditation in accordance with 45 CFR 155.1045.  The Exchange also has systems and procedures in place to ensure QHP issuers meet accreditation requirements (per 45 CFR 156.275) as part of QHP certification in accordance with applicable rulemaking and guidance.</w:t>
            </w:r>
          </w:p>
        </w:tc>
        <w:tc>
          <w:tcPr>
            <w:tcW w:w="630"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925" w:type="dxa"/>
            <w:shd w:val="clear" w:color="auto" w:fill="FFFFFF" w:themeFill="background1"/>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r>
      <w:tr w:rsidR="004E0CD4" w:rsidRPr="00FF7EC9">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4.8</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The Exchange has systems and procedures in place to ensure that QHP issuers meet the minimum certification requirements pertaining to quality reporting and provide relevant information to the Exchange and HHS pursuant to Affordable Care Act 1311(c)(1), 1322(e)(3), and as specified in rulemaking.</w:t>
            </w:r>
          </w:p>
        </w:tc>
        <w:tc>
          <w:tcPr>
            <w:tcW w:w="630"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925" w:type="dxa"/>
            <w:shd w:val="clear" w:color="auto" w:fill="FFFFFF" w:themeFill="background1"/>
          </w:tcPr>
          <w:p w:rsidR="003B0028" w:rsidRDefault="003B0028"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Fonts w:cs="Arial"/>
              </w:rPr>
            </w:pPr>
          </w:p>
        </w:tc>
      </w:tr>
      <w:tr w:rsidR="004E0CD4" w:rsidRPr="00FF7EC9">
        <w:trPr>
          <w:cantSplit/>
          <w:trHeight w:val="332"/>
        </w:trPr>
        <w:tc>
          <w:tcPr>
            <w:tcW w:w="18133" w:type="dxa"/>
            <w:gridSpan w:val="9"/>
            <w:shd w:val="clear" w:color="auto" w:fill="000000" w:themeFill="text1"/>
          </w:tcPr>
          <w:p w:rsidR="004E0CD4" w:rsidRPr="00FF7EC9" w:rsidRDefault="004E0CD4" w:rsidP="00102BD6">
            <w:pPr>
              <w:pStyle w:val="Heading1"/>
              <w:numPr>
                <w:ilvl w:val="0"/>
                <w:numId w:val="0"/>
              </w:numPr>
              <w:pBdr>
                <w:bottom w:val="none" w:sz="0" w:space="0" w:color="auto"/>
              </w:pBdr>
              <w:ind w:left="360" w:hanging="360"/>
              <w:jc w:val="left"/>
              <w:outlineLvl w:val="0"/>
            </w:pPr>
            <w:bookmarkStart w:id="14" w:name="_Toc329259025"/>
            <w:r w:rsidRPr="00FF7EC9">
              <w:t>5.0 Risk Adjustment and Reinsurance</w:t>
            </w:r>
            <w:bookmarkEnd w:id="14"/>
          </w:p>
        </w:tc>
      </w:tr>
      <w:tr w:rsidR="004E0CD4" w:rsidRPr="00FF7EC9">
        <w:trPr>
          <w:cantSplit/>
        </w:trPr>
        <w:tc>
          <w:tcPr>
            <w:tcW w:w="18133" w:type="dxa"/>
            <w:gridSpan w:val="9"/>
          </w:tcPr>
          <w:p w:rsidR="004E0CD4" w:rsidRPr="00FF7EC9" w:rsidRDefault="00F61D4D" w:rsidP="008D24BE">
            <w:pPr>
              <w:pStyle w:val="Bodywithspecialindent"/>
              <w:spacing w:beforeLines="40" w:before="96" w:after="120"/>
              <w:ind w:left="0" w:firstLine="0"/>
              <w:rPr>
                <w:rFonts w:cs="Arial"/>
                <w:i/>
              </w:rPr>
            </w:pPr>
            <w:r>
              <w:rPr>
                <w:rFonts w:cs="Arial"/>
                <w:i/>
                <w:iCs/>
              </w:rPr>
              <w:t xml:space="preserve">Additional requirements for Risk Adjustment will be </w:t>
            </w:r>
            <w:r>
              <w:rPr>
                <w:i/>
                <w:iCs/>
              </w:rPr>
              <w:t>provided in the HHS Notice of Benefit and Payment Parameters.”</w:t>
            </w:r>
          </w:p>
        </w:tc>
      </w:tr>
      <w:tr w:rsidR="004E0CD4" w:rsidRPr="00FF7EC9">
        <w:trPr>
          <w:cantSplit/>
        </w:trPr>
        <w:tc>
          <w:tcPr>
            <w:tcW w:w="819" w:type="dxa"/>
          </w:tcPr>
          <w:p w:rsidR="004E0CD4" w:rsidRPr="00FF7EC9" w:rsidRDefault="004E0CD4" w:rsidP="00D92A5E">
            <w:pPr>
              <w:pStyle w:val="Bodywithspecialindent"/>
              <w:spacing w:before="40" w:after="120"/>
              <w:rPr>
                <w:rStyle w:val="IntenseEmphasis"/>
              </w:rPr>
            </w:pPr>
            <w:r w:rsidRPr="00FF7EC9">
              <w:rPr>
                <w:rStyle w:val="IntenseEmphasis"/>
              </w:rPr>
              <w:lastRenderedPageBreak/>
              <w:t>5.1</w:t>
            </w:r>
          </w:p>
        </w:tc>
        <w:tc>
          <w:tcPr>
            <w:tcW w:w="6489" w:type="dxa"/>
          </w:tcPr>
          <w:p w:rsidR="004E0CD4" w:rsidRPr="00FF7EC9" w:rsidRDefault="004E0CD4" w:rsidP="00D92A5E">
            <w:pPr>
              <w:spacing w:before="40" w:after="120"/>
              <w:rPr>
                <w:rFonts w:ascii="Arial" w:hAnsi="Arial" w:cs="Arial"/>
              </w:rPr>
            </w:pPr>
            <w:r w:rsidRPr="00FF7EC9">
              <w:rPr>
                <w:rFonts w:ascii="Arial" w:hAnsi="Arial" w:cs="Arial"/>
              </w:rPr>
              <w:t>The State has the legal authority to operate the risk adjustment program per 45 CFR 153 and Affordable Care Act 1343, if the State chooses to administer its own risk adjustment program.</w:t>
            </w:r>
          </w:p>
        </w:tc>
        <w:tc>
          <w:tcPr>
            <w:tcW w:w="630" w:type="dxa"/>
            <w:shd w:val="clear" w:color="auto" w:fill="auto"/>
          </w:tcPr>
          <w:p w:rsidR="004E0CD4" w:rsidRPr="00FF7EC9" w:rsidRDefault="004E0CD4" w:rsidP="008D24BE">
            <w:pPr>
              <w:pStyle w:val="Bodywithspecialindent"/>
              <w:spacing w:beforeLines="40" w:before="96" w:after="120"/>
              <w:ind w:left="0" w:firstLine="0"/>
              <w:rPr>
                <w:rStyle w:val="Heading2Char"/>
              </w:rPr>
            </w:pPr>
          </w:p>
        </w:tc>
        <w:tc>
          <w:tcPr>
            <w:tcW w:w="925" w:type="dxa"/>
            <w:shd w:val="clear" w:color="auto" w:fill="auto"/>
          </w:tcPr>
          <w:p w:rsidR="005F3385" w:rsidRDefault="005F3385" w:rsidP="008D24BE">
            <w:pPr>
              <w:pStyle w:val="Bodywithspecialindent"/>
              <w:spacing w:beforeLines="40" w:before="96" w:after="120"/>
              <w:ind w:left="0" w:firstLine="0"/>
              <w:rPr>
                <w:rStyle w:val="Heading2Char"/>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Heading2Char"/>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Heading2Char"/>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Heading2Char"/>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Heading2Char"/>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Fonts w:cs="Arial"/>
                <w:i/>
              </w:rPr>
            </w:pPr>
          </w:p>
        </w:tc>
      </w:tr>
      <w:tr w:rsidR="004E0CD4" w:rsidRPr="00FF7EC9">
        <w:trPr>
          <w:cantSplit/>
        </w:trPr>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5.1a</w:t>
            </w:r>
          </w:p>
        </w:tc>
        <w:tc>
          <w:tcPr>
            <w:tcW w:w="6489" w:type="dxa"/>
          </w:tcPr>
          <w:p w:rsidR="004E0CD4" w:rsidRPr="00FF7EC9" w:rsidRDefault="004E0CD4" w:rsidP="00743767">
            <w:pPr>
              <w:spacing w:before="40" w:after="120"/>
              <w:rPr>
                <w:rFonts w:ascii="Arial" w:hAnsi="Arial" w:cs="Arial"/>
              </w:rPr>
            </w:pPr>
            <w:r w:rsidRPr="00FF7EC9">
              <w:rPr>
                <w:rFonts w:ascii="Arial" w:hAnsi="Arial" w:cs="Arial"/>
                <w:i/>
              </w:rPr>
              <w:t>If applicable:</w:t>
            </w:r>
            <w:r w:rsidRPr="00FF7EC9">
              <w:rPr>
                <w:rFonts w:ascii="Arial" w:hAnsi="Arial" w:cs="Arial"/>
              </w:rPr>
              <w:t xml:space="preserve"> </w:t>
            </w:r>
            <w:r w:rsidRPr="00FF7EC9">
              <w:rPr>
                <w:rFonts w:ascii="Arial" w:hAnsi="Arial" w:cs="Arial"/>
                <w:b/>
                <w:u w:val="single"/>
              </w:rPr>
              <w:t>&lt;Insert government agency or other entity name&gt;</w:t>
            </w:r>
            <w:r w:rsidRPr="00FF7EC9">
              <w:rPr>
                <w:rFonts w:ascii="Arial" w:hAnsi="Arial" w:cs="Arial"/>
              </w:rPr>
              <w:t xml:space="preserve"> will be overseeing the risk adjustment program.  This risk adjustment entity must meet the requirements outlined in 45 CFR 155.110 and can include Departments of Insurance (DOIs).  Note: the entity cannot be a </w:t>
            </w:r>
            <w:r w:rsidRPr="00FF7EC9">
              <w:rPr>
                <w:rFonts w:ascii="Arial" w:hAnsi="Arial" w:cs="Arial"/>
                <w:szCs w:val="24"/>
              </w:rPr>
              <w:t>health insurance issuer</w:t>
            </w:r>
            <w:r w:rsidRPr="00FF7EC9">
              <w:rPr>
                <w:rFonts w:ascii="Arial" w:hAnsi="Arial" w:cs="Arial"/>
              </w:rPr>
              <w:t>.  Options include DOI, Medicaid, or “Other Entity.”</w:t>
            </w:r>
          </w:p>
        </w:tc>
        <w:tc>
          <w:tcPr>
            <w:tcW w:w="630" w:type="dxa"/>
            <w:shd w:val="clear" w:color="auto" w:fill="FFFFFF" w:themeFill="background1"/>
          </w:tcPr>
          <w:p w:rsidR="004E0CD4" w:rsidRPr="00FF7EC9" w:rsidRDefault="004E0CD4" w:rsidP="008D24BE">
            <w:pPr>
              <w:pStyle w:val="Bodywithspecialindent"/>
              <w:spacing w:beforeLines="40" w:before="96" w:after="120"/>
              <w:ind w:left="0" w:firstLine="0"/>
              <w:jc w:val="center"/>
              <w:rPr>
                <w:rStyle w:val="IntenseEmphasis"/>
              </w:rPr>
            </w:pPr>
          </w:p>
        </w:tc>
        <w:tc>
          <w:tcPr>
            <w:tcW w:w="925" w:type="dxa"/>
          </w:tcPr>
          <w:p w:rsidR="005F3385" w:rsidRDefault="005F3385"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FFFFFF" w:themeFill="background1"/>
          </w:tcPr>
          <w:p w:rsidR="003B0028" w:rsidRDefault="004E0CD4" w:rsidP="008D24BE">
            <w:pPr>
              <w:pStyle w:val="Bodywithspecialindent"/>
              <w:spacing w:beforeLines="40" w:before="96" w:after="120"/>
              <w:ind w:left="0" w:firstLine="0"/>
              <w:rPr>
                <w:rFonts w:cs="Arial"/>
              </w:rPr>
            </w:pPr>
            <w:r w:rsidRPr="00FF7EC9">
              <w:rPr>
                <w:rFonts w:cs="Arial"/>
                <w:i/>
              </w:rPr>
              <w:t>If the State plans to administer its own risk adjustment program</w:t>
            </w:r>
            <w:r w:rsidRPr="00FF7EC9">
              <w:rPr>
                <w:rFonts w:cs="Arial"/>
              </w:rPr>
              <w:t xml:space="preserve">: Indicate the entity(s) that will be operating the risk adjustment </w:t>
            </w:r>
            <w:r>
              <w:rPr>
                <w:rFonts w:cs="Arial"/>
              </w:rPr>
              <w:t xml:space="preserve">program, and provide a brief description. </w:t>
            </w:r>
            <w:r w:rsidRPr="00FF7EC9">
              <w:rPr>
                <w:rFonts w:cs="Arial"/>
              </w:rPr>
              <w:t xml:space="preserve"> </w:t>
            </w:r>
          </w:p>
          <w:p w:rsidR="003B0028" w:rsidRDefault="003B0028" w:rsidP="008D24BE">
            <w:pPr>
              <w:pStyle w:val="Bodywithspecialindent"/>
              <w:spacing w:beforeLines="40" w:before="96" w:after="120"/>
              <w:ind w:left="0" w:firstLine="0"/>
              <w:rPr>
                <w:rStyle w:val="IntenseEmphasis"/>
              </w:rPr>
            </w:pPr>
          </w:p>
        </w:tc>
        <w:tc>
          <w:tcPr>
            <w:tcW w:w="1170" w:type="dxa"/>
            <w:shd w:val="clear" w:color="auto" w:fill="FFFFFF" w:themeFill="background1"/>
          </w:tcPr>
          <w:p w:rsidR="003B0028" w:rsidRDefault="003B0028" w:rsidP="008D24BE">
            <w:pPr>
              <w:pStyle w:val="Bodywithspecialindent"/>
              <w:spacing w:beforeLines="40" w:before="96" w:after="120"/>
              <w:ind w:left="0" w:firstLine="0"/>
              <w:rPr>
                <w:rFonts w:cs="Arial"/>
              </w:rPr>
            </w:pPr>
          </w:p>
        </w:tc>
      </w:tr>
      <w:tr w:rsidR="004E0CD4" w:rsidRPr="00FF7EC9">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5.2</w:t>
            </w:r>
          </w:p>
        </w:tc>
        <w:tc>
          <w:tcPr>
            <w:tcW w:w="6489" w:type="dxa"/>
          </w:tcPr>
          <w:p w:rsidR="004E0CD4" w:rsidRPr="00FF7EC9" w:rsidRDefault="004E0CD4" w:rsidP="00743767">
            <w:pPr>
              <w:pStyle w:val="Bodywithspecialindent"/>
              <w:spacing w:before="40" w:after="120"/>
              <w:ind w:left="0" w:firstLine="0"/>
              <w:rPr>
                <w:rStyle w:val="IntenseEmphasis"/>
              </w:rPr>
            </w:pPr>
            <w:r>
              <w:t xml:space="preserve">The State operates its own reinsurance </w:t>
            </w:r>
            <w:r w:rsidRPr="00A05B10">
              <w:t xml:space="preserve">program per </w:t>
            </w:r>
            <w:r w:rsidRPr="00A05B10">
              <w:rPr>
                <w:color w:val="FF0000"/>
              </w:rPr>
              <w:t>45 CFR 153</w:t>
            </w:r>
            <w:r>
              <w:rPr>
                <w:color w:val="FF0000"/>
              </w:rPr>
              <w:t xml:space="preserve"> and</w:t>
            </w:r>
            <w:r w:rsidRPr="00A05B10">
              <w:rPr>
                <w:color w:val="FF0000"/>
              </w:rPr>
              <w:t xml:space="preserve"> </w:t>
            </w:r>
            <w:r w:rsidRPr="00A05B10">
              <w:t>Affordable Care Act 1341.</w:t>
            </w:r>
          </w:p>
        </w:tc>
        <w:tc>
          <w:tcPr>
            <w:tcW w:w="630" w:type="dxa"/>
            <w:shd w:val="clear" w:color="auto" w:fill="FFFFFF" w:themeFill="background1"/>
          </w:tcPr>
          <w:p w:rsidR="004E0CD4" w:rsidRPr="00FF7EC9" w:rsidRDefault="004E0CD4" w:rsidP="008D24BE">
            <w:pPr>
              <w:pStyle w:val="Bodywithspecialindent"/>
              <w:spacing w:beforeLines="40" w:before="96" w:after="120"/>
              <w:ind w:left="0" w:firstLine="0"/>
              <w:rPr>
                <w:rStyle w:val="IntenseEmphasis"/>
              </w:rPr>
            </w:pPr>
          </w:p>
        </w:tc>
        <w:tc>
          <w:tcPr>
            <w:tcW w:w="925"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4E0CD4" w:rsidRPr="00FF7EC9">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5.2a</w:t>
            </w:r>
          </w:p>
        </w:tc>
        <w:tc>
          <w:tcPr>
            <w:tcW w:w="6489" w:type="dxa"/>
          </w:tcPr>
          <w:p w:rsidR="004E0CD4" w:rsidRDefault="004E0CD4" w:rsidP="009134AE">
            <w:pPr>
              <w:pStyle w:val="Default"/>
              <w:rPr>
                <w:sz w:val="22"/>
                <w:szCs w:val="22"/>
              </w:rPr>
            </w:pPr>
            <w:r w:rsidRPr="00FF7EC9">
              <w:rPr>
                <w:i/>
              </w:rPr>
              <w:t xml:space="preserve">If applicable: </w:t>
            </w:r>
            <w:r w:rsidRPr="00A05B10">
              <w:rPr>
                <w:sz w:val="22"/>
                <w:szCs w:val="22"/>
              </w:rPr>
              <w:t xml:space="preserve">The reinsurance entity </w:t>
            </w:r>
            <w:r w:rsidRPr="00A05B10">
              <w:rPr>
                <w:color w:val="FF0000"/>
                <w:sz w:val="22"/>
                <w:szCs w:val="22"/>
              </w:rPr>
              <w:t xml:space="preserve">will be a not-for-profit entity and </w:t>
            </w:r>
            <w:r w:rsidRPr="00A05B10">
              <w:rPr>
                <w:sz w:val="22"/>
                <w:szCs w:val="22"/>
              </w:rPr>
              <w:t xml:space="preserve">will have the legal authority and capacity to receive self-insured market reinsurance contributions from HHS, determine payment amounts, </w:t>
            </w:r>
            <w:r w:rsidRPr="00A05B10">
              <w:rPr>
                <w:color w:val="FF0000"/>
                <w:sz w:val="22"/>
                <w:szCs w:val="22"/>
              </w:rPr>
              <w:t xml:space="preserve">distribute payments, </w:t>
            </w:r>
            <w:r w:rsidRPr="00A05B10">
              <w:rPr>
                <w:sz w:val="22"/>
                <w:szCs w:val="22"/>
              </w:rPr>
              <w:t>and perform data collection and auditing functions regarding reinsurance payments.</w:t>
            </w:r>
            <w:r>
              <w:rPr>
                <w:sz w:val="22"/>
                <w:szCs w:val="22"/>
              </w:rPr>
              <w:t xml:space="preserve"> </w:t>
            </w:r>
          </w:p>
          <w:p w:rsidR="004E0CD4" w:rsidRPr="00FF7EC9" w:rsidRDefault="004E0CD4" w:rsidP="009134AE">
            <w:pPr>
              <w:pStyle w:val="Bodywithspecialindent"/>
              <w:spacing w:before="40" w:after="120"/>
              <w:ind w:left="0" w:firstLine="0"/>
              <w:rPr>
                <w:rFonts w:cs="Arial"/>
              </w:rPr>
            </w:pPr>
            <w:r w:rsidRPr="00FF7EC9">
              <w:rPr>
                <w:rFonts w:cs="Arial"/>
              </w:rPr>
              <w:t xml:space="preserve"> </w:t>
            </w:r>
          </w:p>
        </w:tc>
        <w:tc>
          <w:tcPr>
            <w:tcW w:w="630" w:type="dxa"/>
            <w:shd w:val="clear" w:color="auto" w:fill="FFFFFF" w:themeFill="background1"/>
          </w:tcPr>
          <w:p w:rsidR="004E0CD4" w:rsidRPr="00FF7EC9" w:rsidRDefault="004E0CD4" w:rsidP="008D24BE">
            <w:pPr>
              <w:pStyle w:val="Bodywithspecialindent"/>
              <w:spacing w:beforeLines="40" w:before="96" w:after="120"/>
              <w:ind w:left="0" w:firstLine="0"/>
              <w:rPr>
                <w:rStyle w:val="IntenseEmphasis"/>
              </w:rPr>
            </w:pPr>
          </w:p>
        </w:tc>
        <w:tc>
          <w:tcPr>
            <w:tcW w:w="925"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1170"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r>
      <w:tr w:rsidR="004E0CD4" w:rsidRPr="00FF7EC9">
        <w:trPr>
          <w:cantSplit/>
        </w:trPr>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5.2b</w:t>
            </w:r>
          </w:p>
        </w:tc>
        <w:tc>
          <w:tcPr>
            <w:tcW w:w="6489" w:type="dxa"/>
          </w:tcPr>
          <w:p w:rsidR="004E0CD4" w:rsidRPr="00FF7EC9" w:rsidRDefault="004E0CD4" w:rsidP="00743767">
            <w:pPr>
              <w:pStyle w:val="Bodywithspecialindent"/>
              <w:spacing w:before="40" w:after="120"/>
              <w:ind w:left="0" w:firstLine="0"/>
              <w:rPr>
                <w:rFonts w:cs="Arial"/>
              </w:rPr>
            </w:pPr>
            <w:r w:rsidRPr="00FF7EC9">
              <w:rPr>
                <w:rFonts w:cs="Arial"/>
                <w:i/>
              </w:rPr>
              <w:t>If the entity collects contributions in the fully insured market in the State</w:t>
            </w:r>
            <w:r w:rsidRPr="00FF7EC9">
              <w:rPr>
                <w:rFonts w:cs="Arial"/>
              </w:rPr>
              <w:t>: The reinsurance entity will have the legal authority and capacity to identify all issuers in the State's fully insured market that owe reinsurance contributions, determine appropriate contribution amounts from issuers, and ensure the collection of reinsurance contributions.</w:t>
            </w:r>
          </w:p>
        </w:tc>
        <w:tc>
          <w:tcPr>
            <w:tcW w:w="630" w:type="dxa"/>
            <w:shd w:val="clear" w:color="auto" w:fill="FFFFFF" w:themeFill="background1"/>
          </w:tcPr>
          <w:p w:rsidR="004E0CD4" w:rsidRPr="00FF7EC9" w:rsidRDefault="004E0CD4" w:rsidP="008D24BE">
            <w:pPr>
              <w:pStyle w:val="Bodywithspecialindent"/>
              <w:spacing w:beforeLines="40" w:before="96" w:after="120"/>
              <w:ind w:left="0" w:firstLine="0"/>
              <w:rPr>
                <w:rStyle w:val="IntenseEmphasis"/>
              </w:rPr>
            </w:pPr>
          </w:p>
        </w:tc>
        <w:tc>
          <w:tcPr>
            <w:tcW w:w="925"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FFFFFF" w:themeFill="background1"/>
          </w:tcPr>
          <w:p w:rsidR="003B0028" w:rsidRDefault="004E0CD4" w:rsidP="008D24BE">
            <w:pPr>
              <w:pStyle w:val="Bodywithspecialindent"/>
              <w:spacing w:beforeLines="40" w:before="96" w:after="120"/>
              <w:ind w:left="0" w:firstLine="0"/>
              <w:rPr>
                <w:rStyle w:val="IntenseEmphasis"/>
              </w:rPr>
            </w:pPr>
            <w:r w:rsidRPr="00FF7EC9">
              <w:rPr>
                <w:rFonts w:cs="Arial"/>
              </w:rPr>
              <w:t xml:space="preserve">Brief description of how the State’s reinsurance entity intends to collect contributions from the fully insured market and identify </w:t>
            </w:r>
            <w:r>
              <w:rPr>
                <w:rFonts w:cs="Arial"/>
              </w:rPr>
              <w:t>sub-</w:t>
            </w:r>
            <w:r w:rsidRPr="00FF7EC9">
              <w:rPr>
                <w:rFonts w:cs="Arial"/>
              </w:rPr>
              <w:t xml:space="preserve">contractors that will be involved in collecting contributions from the fully insured market.  </w:t>
            </w:r>
            <w:r w:rsidRPr="00FF7EC9">
              <w:rPr>
                <w:rFonts w:cs="Arial"/>
                <w:i/>
              </w:rPr>
              <w:t>Note</w:t>
            </w:r>
            <w:r w:rsidRPr="00FF7EC9">
              <w:rPr>
                <w:rFonts w:cs="Arial"/>
              </w:rPr>
              <w:t>: State must inform HHS of its intent to collect contributions from the fully insured market no later than December 1, 2012.  HHS will collect contributions from the self-insured market.</w:t>
            </w:r>
          </w:p>
        </w:tc>
        <w:tc>
          <w:tcPr>
            <w:tcW w:w="1170" w:type="dxa"/>
            <w:shd w:val="clear" w:color="auto" w:fill="FFFFFF" w:themeFill="background1"/>
          </w:tcPr>
          <w:p w:rsidR="003B0028" w:rsidRDefault="003B0028" w:rsidP="008D24BE">
            <w:pPr>
              <w:pStyle w:val="Bodywithspecialindent"/>
              <w:spacing w:beforeLines="40" w:before="96" w:after="120"/>
              <w:ind w:left="0" w:firstLine="0"/>
              <w:rPr>
                <w:rFonts w:cs="Arial"/>
              </w:rPr>
            </w:pPr>
          </w:p>
        </w:tc>
      </w:tr>
      <w:tr w:rsidR="004E0CD4" w:rsidRPr="00FF7EC9">
        <w:trPr>
          <w:cantSplit/>
        </w:trPr>
        <w:tc>
          <w:tcPr>
            <w:tcW w:w="819" w:type="dxa"/>
          </w:tcPr>
          <w:p w:rsidR="004E0CD4" w:rsidRPr="00FF7EC9" w:rsidRDefault="004E0CD4" w:rsidP="00743767">
            <w:pPr>
              <w:pStyle w:val="Bodywithspecialindent"/>
              <w:spacing w:before="40" w:after="120"/>
              <w:rPr>
                <w:rStyle w:val="IntenseEmphasis"/>
              </w:rPr>
            </w:pPr>
            <w:r w:rsidRPr="00FF7EC9">
              <w:rPr>
                <w:rStyle w:val="IntenseEmphasis"/>
              </w:rPr>
              <w:lastRenderedPageBreak/>
              <w:t>5.2c</w:t>
            </w:r>
          </w:p>
        </w:tc>
        <w:tc>
          <w:tcPr>
            <w:tcW w:w="6489" w:type="dxa"/>
          </w:tcPr>
          <w:p w:rsidR="004E0CD4" w:rsidRPr="00FF7EC9" w:rsidRDefault="004E0CD4" w:rsidP="00743767">
            <w:pPr>
              <w:pStyle w:val="Bodywithspecialindent"/>
              <w:spacing w:before="40" w:after="120"/>
              <w:ind w:left="0" w:firstLine="0"/>
              <w:rPr>
                <w:rFonts w:cs="Arial"/>
                <w:i/>
              </w:rPr>
            </w:pPr>
            <w:r w:rsidRPr="00FF7EC9">
              <w:rPr>
                <w:rFonts w:cs="Arial"/>
                <w:i/>
              </w:rPr>
              <w:t xml:space="preserve">If the State opts to modify the Federal reinsurance parameters, collect reinsurance contributions in the fully-insured market, collect additional reinsurance contributions, modify HHS requirements for data collection or collection frequency for issuers receiving reinsurance payments, and/or use more than one reinsurance entity: </w:t>
            </w:r>
            <w:r w:rsidRPr="00FF7EC9">
              <w:rPr>
                <w:rFonts w:cs="Arial"/>
              </w:rPr>
              <w:t>The State will publish its reinsurance modifications in a State notice of benefit and payment parameters by March 1, 2013.</w:t>
            </w:r>
          </w:p>
        </w:tc>
        <w:tc>
          <w:tcPr>
            <w:tcW w:w="630" w:type="dxa"/>
            <w:shd w:val="clear" w:color="auto" w:fill="FFFFFF" w:themeFill="background1"/>
          </w:tcPr>
          <w:p w:rsidR="004E0CD4" w:rsidRPr="00FF7EC9" w:rsidRDefault="004E0CD4" w:rsidP="008D24BE">
            <w:pPr>
              <w:pStyle w:val="Bodywithspecialindent"/>
              <w:spacing w:beforeLines="40" w:before="96" w:after="120"/>
              <w:ind w:left="0" w:firstLine="0"/>
              <w:rPr>
                <w:rStyle w:val="IntenseEmphasis"/>
              </w:rPr>
            </w:pPr>
          </w:p>
        </w:tc>
        <w:tc>
          <w:tcPr>
            <w:tcW w:w="925" w:type="dxa"/>
            <w:shd w:val="clear" w:color="auto" w:fill="FFFFFF" w:themeFill="background1"/>
          </w:tcPr>
          <w:p w:rsidR="005F3385" w:rsidRDefault="005F3385"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635" w:type="dxa"/>
            <w:shd w:val="clear" w:color="auto" w:fill="808080" w:themeFill="background1" w:themeFillShade="80"/>
          </w:tcPr>
          <w:p w:rsidR="003B0028" w:rsidRDefault="003B0028" w:rsidP="008D24BE">
            <w:pPr>
              <w:pStyle w:val="Bodywithspecialindent"/>
              <w:spacing w:beforeLines="40" w:before="96" w:after="120"/>
              <w:ind w:left="0" w:firstLine="0"/>
              <w:rPr>
                <w:rStyle w:val="IntenseEmphasis"/>
              </w:rPr>
            </w:pPr>
          </w:p>
        </w:tc>
        <w:tc>
          <w:tcPr>
            <w:tcW w:w="5761" w:type="dxa"/>
            <w:shd w:val="clear" w:color="auto" w:fill="FFFFFF" w:themeFill="background1"/>
          </w:tcPr>
          <w:p w:rsidR="003B0028" w:rsidRDefault="004E0CD4" w:rsidP="008D24BE">
            <w:pPr>
              <w:pStyle w:val="Bodywithspecialindent"/>
              <w:spacing w:beforeLines="40" w:before="96" w:after="120"/>
              <w:ind w:left="0" w:firstLine="0"/>
              <w:rPr>
                <w:rStyle w:val="IntenseEmphasis"/>
              </w:rPr>
            </w:pPr>
            <w:r w:rsidRPr="00FF7EC9">
              <w:rPr>
                <w:rFonts w:cs="Arial"/>
              </w:rPr>
              <w:t>Timeline under which the State will submit its modifications in the State notice of benefit and payment parameters.</w:t>
            </w:r>
          </w:p>
        </w:tc>
        <w:tc>
          <w:tcPr>
            <w:tcW w:w="1170" w:type="dxa"/>
            <w:shd w:val="clear" w:color="auto" w:fill="FFFFFF" w:themeFill="background1"/>
          </w:tcPr>
          <w:p w:rsidR="003B0028" w:rsidRDefault="003B0028" w:rsidP="008D24BE">
            <w:pPr>
              <w:pStyle w:val="Bodywithspecialindent"/>
              <w:spacing w:beforeLines="40" w:before="96" w:after="120"/>
              <w:ind w:left="0" w:firstLine="0"/>
              <w:rPr>
                <w:rFonts w:cs="Arial"/>
              </w:rPr>
            </w:pPr>
          </w:p>
        </w:tc>
      </w:tr>
      <w:tr w:rsidR="004E0CD4" w:rsidRPr="00FF7EC9">
        <w:trPr>
          <w:trHeight w:val="305"/>
        </w:trPr>
        <w:tc>
          <w:tcPr>
            <w:tcW w:w="18133" w:type="dxa"/>
            <w:gridSpan w:val="9"/>
            <w:shd w:val="clear" w:color="auto" w:fill="000000" w:themeFill="text1"/>
          </w:tcPr>
          <w:p w:rsidR="004E0CD4" w:rsidRPr="00FF7EC9" w:rsidRDefault="004E0CD4" w:rsidP="00102BD6">
            <w:pPr>
              <w:pStyle w:val="Heading1"/>
              <w:numPr>
                <w:ilvl w:val="0"/>
                <w:numId w:val="0"/>
              </w:numPr>
              <w:pBdr>
                <w:bottom w:val="none" w:sz="0" w:space="0" w:color="auto"/>
              </w:pBdr>
              <w:ind w:left="360" w:hanging="360"/>
              <w:jc w:val="left"/>
              <w:outlineLvl w:val="0"/>
            </w:pPr>
            <w:bookmarkStart w:id="15" w:name="_Toc329259026"/>
            <w:r w:rsidRPr="00FF7EC9">
              <w:t>6.0 Small Business Health Options Program (SHOP)</w:t>
            </w:r>
            <w:bookmarkEnd w:id="15"/>
          </w:p>
        </w:tc>
      </w:tr>
      <w:tr w:rsidR="004E0CD4" w:rsidRPr="00FF7EC9">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6.1</w:t>
            </w:r>
          </w:p>
        </w:tc>
        <w:tc>
          <w:tcPr>
            <w:tcW w:w="6489" w:type="dxa"/>
          </w:tcPr>
          <w:p w:rsidR="004E0CD4" w:rsidRPr="00FF7EC9" w:rsidRDefault="004E0CD4" w:rsidP="00743767">
            <w:pPr>
              <w:spacing w:before="40" w:after="120"/>
              <w:rPr>
                <w:rFonts w:ascii="Arial" w:hAnsi="Arial" w:cs="Arial"/>
              </w:rPr>
            </w:pPr>
            <w:r w:rsidRPr="00FF7EC9">
              <w:rPr>
                <w:rFonts w:ascii="Arial" w:hAnsi="Arial" w:cs="Arial"/>
              </w:rPr>
              <w:t>The SHOP is compliant with regulatory requirements pursuant to 45 CFR 155 Subpart H.</w:t>
            </w:r>
          </w:p>
        </w:tc>
        <w:tc>
          <w:tcPr>
            <w:tcW w:w="630" w:type="dxa"/>
            <w:shd w:val="clear" w:color="auto" w:fill="auto"/>
          </w:tcPr>
          <w:p w:rsidR="004E0CD4" w:rsidRPr="00FF7EC9" w:rsidRDefault="004E0CD4" w:rsidP="008D24BE">
            <w:pPr>
              <w:pStyle w:val="Bodywithspecialindent"/>
              <w:spacing w:beforeLines="40" w:before="96" w:after="120"/>
              <w:ind w:left="0" w:firstLine="0"/>
              <w:rPr>
                <w:rStyle w:val="Heading2Char"/>
              </w:rPr>
            </w:pPr>
          </w:p>
        </w:tc>
        <w:tc>
          <w:tcPr>
            <w:tcW w:w="925" w:type="dxa"/>
            <w:shd w:val="clear" w:color="auto" w:fill="auto"/>
          </w:tcPr>
          <w:p w:rsidR="005F3385" w:rsidRDefault="005F3385" w:rsidP="008D24BE">
            <w:pPr>
              <w:pStyle w:val="Bodywithspecialindent"/>
              <w:spacing w:beforeLines="40" w:before="96" w:after="120"/>
              <w:ind w:left="0" w:firstLine="0"/>
              <w:rPr>
                <w:rStyle w:val="Heading2Char"/>
                <w:rFonts w:eastAsiaTheme="majorEastAsia"/>
                <w:b w:val="0"/>
                <w:bC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Heading2Char"/>
                <w:rFonts w:eastAsiaTheme="majorEastAsia"/>
                <w:b w:val="0"/>
                <w:bCs/>
              </w:rPr>
            </w:pPr>
          </w:p>
        </w:tc>
        <w:tc>
          <w:tcPr>
            <w:tcW w:w="812" w:type="dxa"/>
            <w:shd w:val="clear" w:color="auto" w:fill="808080" w:themeFill="background1" w:themeFillShade="80"/>
          </w:tcPr>
          <w:p w:rsidR="004E0CD4" w:rsidRPr="00FF7EC9" w:rsidRDefault="004E0CD4" w:rsidP="00743767">
            <w:pPr>
              <w:pStyle w:val="Bodywithspecialindent"/>
              <w:spacing w:before="120" w:after="120"/>
              <w:ind w:left="0" w:firstLine="0"/>
              <w:rPr>
                <w:rFonts w:cs="Arial"/>
              </w:rPr>
            </w:pPr>
          </w:p>
        </w:tc>
        <w:tc>
          <w:tcPr>
            <w:tcW w:w="635" w:type="dxa"/>
            <w:shd w:val="clear" w:color="auto" w:fill="808080" w:themeFill="background1" w:themeFillShade="80"/>
          </w:tcPr>
          <w:p w:rsidR="004E0CD4" w:rsidRPr="00FF7EC9" w:rsidRDefault="004E0CD4" w:rsidP="00743767">
            <w:pPr>
              <w:pStyle w:val="Bodywithspecialindent"/>
              <w:spacing w:before="120" w:after="120"/>
              <w:ind w:left="0" w:firstLine="0"/>
              <w:rPr>
                <w:rFonts w:cs="Arial"/>
              </w:rPr>
            </w:pPr>
          </w:p>
        </w:tc>
        <w:tc>
          <w:tcPr>
            <w:tcW w:w="5761" w:type="dxa"/>
            <w:shd w:val="clear" w:color="auto" w:fill="FFFFFF" w:themeFill="background1"/>
          </w:tcPr>
          <w:p w:rsidR="004E0CD4" w:rsidRPr="00FF7EC9" w:rsidRDefault="004E0CD4" w:rsidP="00743767">
            <w:pPr>
              <w:pStyle w:val="Bodywithspecialindent"/>
              <w:spacing w:before="120" w:after="120"/>
              <w:ind w:left="0" w:firstLine="0"/>
              <w:rPr>
                <w:rStyle w:val="Heading2Char"/>
              </w:rPr>
            </w:pPr>
            <w:r w:rsidRPr="00FF7EC9">
              <w:rPr>
                <w:rFonts w:cs="Arial"/>
              </w:rPr>
              <w:t>Brief description of how the size of a small business is determined in the Exchange and whether the small group market includes employers with 51 to 100 employees in 2014 and 2015.</w:t>
            </w:r>
          </w:p>
        </w:tc>
        <w:tc>
          <w:tcPr>
            <w:tcW w:w="1170" w:type="dxa"/>
            <w:shd w:val="clear" w:color="auto" w:fill="FFFFFF" w:themeFill="background1"/>
          </w:tcPr>
          <w:p w:rsidR="004E0CD4" w:rsidRPr="00FF7EC9" w:rsidRDefault="004E0CD4" w:rsidP="00743767">
            <w:pPr>
              <w:pStyle w:val="Bodywithspecialindent"/>
              <w:spacing w:before="120" w:after="120"/>
              <w:ind w:left="0" w:firstLine="0"/>
              <w:rPr>
                <w:rFonts w:cs="Arial"/>
              </w:rPr>
            </w:pPr>
          </w:p>
        </w:tc>
      </w:tr>
      <w:tr w:rsidR="004E0CD4" w:rsidRPr="00FF7EC9">
        <w:trPr>
          <w:cantSplit/>
        </w:trPr>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6.1a</w:t>
            </w:r>
          </w:p>
        </w:tc>
        <w:tc>
          <w:tcPr>
            <w:tcW w:w="6489" w:type="dxa"/>
          </w:tcPr>
          <w:p w:rsidR="004E0CD4" w:rsidRPr="00FF7EC9" w:rsidRDefault="004E0CD4" w:rsidP="00743767">
            <w:pPr>
              <w:spacing w:before="40" w:after="120"/>
              <w:rPr>
                <w:rFonts w:ascii="Arial" w:hAnsi="Arial" w:cs="Arial"/>
              </w:rPr>
            </w:pPr>
            <w:r w:rsidRPr="00FF7EC9">
              <w:rPr>
                <w:rFonts w:ascii="Arial" w:hAnsi="Arial" w:cs="Arial"/>
              </w:rPr>
              <w:t>The SHOP has capacity to allow a qualified employer to select a level of coverage as described in the Affordable Care Act 1302(d)(1), in which all QHPs within that level are made available to the qualified employees of the employer.</w:t>
            </w:r>
          </w:p>
        </w:tc>
        <w:tc>
          <w:tcPr>
            <w:tcW w:w="630" w:type="dxa"/>
          </w:tcPr>
          <w:p w:rsidR="004E0CD4" w:rsidRPr="00FF7EC9" w:rsidRDefault="004E0CD4" w:rsidP="008D24BE">
            <w:pPr>
              <w:pStyle w:val="Bodywithspecialindent"/>
              <w:spacing w:beforeLines="40" w:before="96" w:after="120"/>
              <w:ind w:left="0" w:firstLine="0"/>
              <w:jc w:val="center"/>
              <w:rPr>
                <w:rStyle w:val="IntenseEmphasis"/>
              </w:rPr>
            </w:pPr>
          </w:p>
        </w:tc>
        <w:tc>
          <w:tcPr>
            <w:tcW w:w="925" w:type="dxa"/>
          </w:tcPr>
          <w:p w:rsidR="005F3385" w:rsidRDefault="005F3385"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r>
      <w:tr w:rsidR="004E0CD4" w:rsidRPr="00FF7EC9">
        <w:trPr>
          <w:cantSplit/>
        </w:trPr>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6.1b</w:t>
            </w:r>
          </w:p>
        </w:tc>
        <w:tc>
          <w:tcPr>
            <w:tcW w:w="6489" w:type="dxa"/>
          </w:tcPr>
          <w:p w:rsidR="004E0CD4" w:rsidRPr="00FF7EC9" w:rsidRDefault="004E0CD4" w:rsidP="00743767">
            <w:pPr>
              <w:spacing w:before="40" w:after="120"/>
              <w:rPr>
                <w:rFonts w:ascii="Arial" w:hAnsi="Arial" w:cs="Arial"/>
              </w:rPr>
            </w:pPr>
            <w:r w:rsidRPr="00FF7EC9">
              <w:rPr>
                <w:rFonts w:ascii="Arial" w:hAnsi="Arial" w:cs="Arial"/>
              </w:rPr>
              <w:t>The SHOP has capacity to ensure that all QHP issuers make rate changes at a uniform time that is either quarterly, monthly, or annually, and has the capacity to prohibit all QHP issuers from varying rates for a qualified employer during the employer’s plan year.</w:t>
            </w:r>
          </w:p>
        </w:tc>
        <w:tc>
          <w:tcPr>
            <w:tcW w:w="630" w:type="dxa"/>
          </w:tcPr>
          <w:p w:rsidR="004E0CD4" w:rsidRPr="00FF7EC9" w:rsidRDefault="004E0CD4" w:rsidP="008D24BE">
            <w:pPr>
              <w:pStyle w:val="Bodywithspecialindent"/>
              <w:spacing w:beforeLines="40" w:before="96" w:after="120"/>
              <w:ind w:left="0" w:firstLine="0"/>
              <w:jc w:val="center"/>
              <w:rPr>
                <w:rStyle w:val="IntenseEmphasis"/>
              </w:rPr>
            </w:pPr>
          </w:p>
        </w:tc>
        <w:tc>
          <w:tcPr>
            <w:tcW w:w="925" w:type="dxa"/>
          </w:tcPr>
          <w:p w:rsidR="005F3385" w:rsidRDefault="005F3385"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r>
      <w:tr w:rsidR="004E0CD4" w:rsidRPr="00FF7EC9">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6.1c</w:t>
            </w:r>
          </w:p>
        </w:tc>
        <w:tc>
          <w:tcPr>
            <w:tcW w:w="6489" w:type="dxa"/>
          </w:tcPr>
          <w:p w:rsidR="004E0CD4" w:rsidRPr="00FF7EC9" w:rsidRDefault="004E0CD4" w:rsidP="00743767">
            <w:pPr>
              <w:spacing w:before="40" w:after="120"/>
              <w:rPr>
                <w:rFonts w:ascii="Arial" w:hAnsi="Arial" w:cs="Arial"/>
              </w:rPr>
            </w:pPr>
            <w:r w:rsidRPr="00FF7EC9">
              <w:rPr>
                <w:rFonts w:ascii="Arial" w:hAnsi="Arial" w:cs="Arial"/>
              </w:rPr>
              <w:t>The SHOP has capacity to offer small employers only QHPs that meet the requirements for the State’s small group market.</w:t>
            </w:r>
          </w:p>
        </w:tc>
        <w:tc>
          <w:tcPr>
            <w:tcW w:w="630" w:type="dxa"/>
          </w:tcPr>
          <w:p w:rsidR="004E0CD4" w:rsidRPr="00FF7EC9" w:rsidRDefault="004E0CD4" w:rsidP="008D24BE">
            <w:pPr>
              <w:pStyle w:val="Bodywithspecialindent"/>
              <w:spacing w:beforeLines="40" w:before="96" w:after="120"/>
              <w:ind w:left="0" w:firstLine="0"/>
              <w:jc w:val="center"/>
              <w:rPr>
                <w:rStyle w:val="IntenseEmphasis"/>
              </w:rPr>
            </w:pPr>
          </w:p>
        </w:tc>
        <w:tc>
          <w:tcPr>
            <w:tcW w:w="925" w:type="dxa"/>
          </w:tcPr>
          <w:p w:rsidR="005F3385" w:rsidRDefault="005F3385"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r>
      <w:tr w:rsidR="004E0CD4" w:rsidRPr="00FF7EC9">
        <w:trPr>
          <w:cantSplit/>
        </w:trPr>
        <w:tc>
          <w:tcPr>
            <w:tcW w:w="819" w:type="dxa"/>
          </w:tcPr>
          <w:p w:rsidR="004E0CD4" w:rsidRPr="00FF7EC9" w:rsidRDefault="004E0CD4" w:rsidP="00743767">
            <w:pPr>
              <w:pStyle w:val="Bodywithspecialindent"/>
              <w:spacing w:before="40" w:after="120"/>
              <w:rPr>
                <w:rStyle w:val="IntenseEmphasis"/>
              </w:rPr>
            </w:pPr>
            <w:r w:rsidRPr="00FF7EC9">
              <w:rPr>
                <w:rStyle w:val="IntenseEmphasis"/>
              </w:rPr>
              <w:lastRenderedPageBreak/>
              <w:t>6.1d</w:t>
            </w:r>
          </w:p>
        </w:tc>
        <w:tc>
          <w:tcPr>
            <w:tcW w:w="6489" w:type="dxa"/>
          </w:tcPr>
          <w:p w:rsidR="004E0CD4" w:rsidRPr="00FF7EC9" w:rsidRDefault="004E0CD4" w:rsidP="00743767">
            <w:pPr>
              <w:spacing w:before="40" w:after="120"/>
              <w:rPr>
                <w:rFonts w:ascii="Arial" w:hAnsi="Arial" w:cs="Arial"/>
              </w:rPr>
            </w:pPr>
            <w:r w:rsidRPr="00FF7EC9">
              <w:rPr>
                <w:rFonts w:ascii="Arial" w:hAnsi="Arial" w:cs="Arial"/>
              </w:rPr>
              <w:t>If the SHOP decides to implement minimum participation requirements, the SHOP has capacity to authorize uniform group participation rules for the offering of health insurance coverage in the SHOP.</w:t>
            </w:r>
          </w:p>
        </w:tc>
        <w:tc>
          <w:tcPr>
            <w:tcW w:w="630" w:type="dxa"/>
          </w:tcPr>
          <w:p w:rsidR="004E0CD4" w:rsidRPr="00FF7EC9" w:rsidRDefault="004E0CD4" w:rsidP="008D24BE">
            <w:pPr>
              <w:pStyle w:val="Bodywithspecialindent"/>
              <w:spacing w:beforeLines="40" w:before="96" w:after="120"/>
              <w:ind w:left="0" w:firstLine="0"/>
              <w:jc w:val="center"/>
              <w:rPr>
                <w:rStyle w:val="IntenseEmphasis"/>
              </w:rPr>
            </w:pPr>
          </w:p>
        </w:tc>
        <w:tc>
          <w:tcPr>
            <w:tcW w:w="925" w:type="dxa"/>
          </w:tcPr>
          <w:p w:rsidR="005F3385" w:rsidRDefault="005F3385"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r>
      <w:tr w:rsidR="004E0CD4" w:rsidRPr="00FF7EC9">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6.1e</w:t>
            </w:r>
          </w:p>
        </w:tc>
        <w:tc>
          <w:tcPr>
            <w:tcW w:w="6489" w:type="dxa"/>
          </w:tcPr>
          <w:p w:rsidR="004E0CD4" w:rsidRPr="00FF7EC9" w:rsidRDefault="004E0CD4" w:rsidP="00743767">
            <w:pPr>
              <w:spacing w:before="40" w:after="120"/>
              <w:rPr>
                <w:rFonts w:ascii="Arial" w:hAnsi="Arial" w:cs="Arial"/>
              </w:rPr>
            </w:pPr>
            <w:r w:rsidRPr="00FF7EC9">
              <w:rPr>
                <w:rFonts w:ascii="Arial" w:hAnsi="Arial" w:cs="Arial"/>
              </w:rPr>
              <w:t>The SHOP has established a premium calculator, as described in 45 CFR 155.205(b)(6), to facilitate the comparison of available QHPs after the application of any applicable employer contribution in lieu of any advance payment of the premium tax credit and any cost-sharing reductions.</w:t>
            </w:r>
          </w:p>
        </w:tc>
        <w:tc>
          <w:tcPr>
            <w:tcW w:w="630" w:type="dxa"/>
          </w:tcPr>
          <w:p w:rsidR="004E0CD4" w:rsidRPr="00FF7EC9" w:rsidRDefault="004E0CD4" w:rsidP="008D24BE">
            <w:pPr>
              <w:pStyle w:val="Bodywithspecialindent"/>
              <w:spacing w:beforeLines="40" w:before="96" w:after="120"/>
              <w:ind w:left="0" w:firstLine="0"/>
              <w:jc w:val="center"/>
              <w:rPr>
                <w:rStyle w:val="IntenseEmphasis"/>
              </w:rPr>
            </w:pPr>
          </w:p>
        </w:tc>
        <w:tc>
          <w:tcPr>
            <w:tcW w:w="925" w:type="dxa"/>
          </w:tcPr>
          <w:p w:rsidR="005F3385" w:rsidRDefault="005F3385" w:rsidP="008D24BE">
            <w:pPr>
              <w:pStyle w:val="Bodywithspecialindent"/>
              <w:spacing w:beforeLines="40" w:before="96" w:after="120"/>
              <w:ind w:left="0" w:firstLine="0"/>
              <w:jc w:val="center"/>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r>
      <w:tr w:rsidR="004E0CD4" w:rsidRPr="00FF7EC9">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6.2</w:t>
            </w:r>
          </w:p>
        </w:tc>
        <w:tc>
          <w:tcPr>
            <w:tcW w:w="6489" w:type="dxa"/>
          </w:tcPr>
          <w:p w:rsidR="004E0CD4" w:rsidRPr="00FF7EC9" w:rsidRDefault="004E0CD4" w:rsidP="00743767">
            <w:pPr>
              <w:pStyle w:val="Bodywithspecialindent"/>
              <w:spacing w:before="40" w:after="120"/>
              <w:ind w:left="0" w:firstLine="0"/>
              <w:rPr>
                <w:rStyle w:val="IntenseEmphasis"/>
              </w:rPr>
            </w:pPr>
            <w:r w:rsidRPr="00FF7EC9">
              <w:rPr>
                <w:rFonts w:cs="Arial"/>
              </w:rPr>
              <w:t>The Exchange has the capacity for SHOP premium aggregation pursuant to 45 CFR 155.705.</w:t>
            </w:r>
          </w:p>
        </w:tc>
        <w:tc>
          <w:tcPr>
            <w:tcW w:w="630" w:type="dxa"/>
            <w:shd w:val="clear" w:color="auto" w:fill="auto"/>
          </w:tcPr>
          <w:p w:rsidR="004E0CD4" w:rsidRPr="00FF7EC9" w:rsidRDefault="004E0CD4" w:rsidP="008D24BE">
            <w:pPr>
              <w:pStyle w:val="Bodywithspecialindent"/>
              <w:spacing w:beforeLines="40" w:before="96" w:after="120"/>
              <w:ind w:left="0" w:firstLine="0"/>
              <w:rPr>
                <w:rStyle w:val="IntenseEmphasis"/>
              </w:rPr>
            </w:pPr>
          </w:p>
        </w:tc>
        <w:tc>
          <w:tcPr>
            <w:tcW w:w="925" w:type="dxa"/>
            <w:shd w:val="clear" w:color="auto" w:fill="auto"/>
          </w:tcPr>
          <w:p w:rsidR="005F3385" w:rsidRDefault="005F3385" w:rsidP="008D24BE">
            <w:pPr>
              <w:pStyle w:val="Bodywithspecialindent"/>
              <w:spacing w:beforeLines="40" w:before="96" w:after="120"/>
              <w:ind w:left="0" w:firstLine="0"/>
              <w:rPr>
                <w:rStyle w:val="IntenseEmphasis"/>
              </w:rPr>
            </w:pPr>
          </w:p>
        </w:tc>
        <w:tc>
          <w:tcPr>
            <w:tcW w:w="892" w:type="dxa"/>
            <w:shd w:val="clear" w:color="auto" w:fill="auto"/>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auto"/>
          </w:tcPr>
          <w:p w:rsidR="004E0CD4" w:rsidRPr="00FF7EC9" w:rsidRDefault="004E0CD4" w:rsidP="00743767">
            <w:pPr>
              <w:pStyle w:val="Bodywithspecialindent"/>
              <w:ind w:left="0" w:firstLine="0"/>
              <w:rPr>
                <w:rStyle w:val="IntenseEmphasis"/>
              </w:rPr>
            </w:pPr>
          </w:p>
        </w:tc>
        <w:tc>
          <w:tcPr>
            <w:tcW w:w="635" w:type="dxa"/>
            <w:shd w:val="clear" w:color="auto" w:fill="auto"/>
          </w:tcPr>
          <w:p w:rsidR="004E0CD4" w:rsidRPr="00FF7EC9" w:rsidRDefault="004E0CD4" w:rsidP="00743767">
            <w:pPr>
              <w:pStyle w:val="Bodywithspecialindent"/>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1170" w:type="dxa"/>
            <w:shd w:val="clear" w:color="auto" w:fill="auto"/>
          </w:tcPr>
          <w:p w:rsidR="004E0CD4" w:rsidRPr="00FF7EC9" w:rsidRDefault="004E0CD4" w:rsidP="00743767">
            <w:pPr>
              <w:pStyle w:val="Bodywithspecialindent"/>
              <w:ind w:left="0" w:firstLine="0"/>
              <w:rPr>
                <w:rStyle w:val="IntenseEmphasis"/>
              </w:rPr>
            </w:pPr>
          </w:p>
        </w:tc>
      </w:tr>
      <w:tr w:rsidR="004E0CD4" w:rsidRPr="00FF7EC9">
        <w:trPr>
          <w:cantSplit/>
        </w:trPr>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6.2a</w:t>
            </w:r>
          </w:p>
        </w:tc>
        <w:tc>
          <w:tcPr>
            <w:tcW w:w="6489" w:type="dxa"/>
          </w:tcPr>
          <w:p w:rsidR="004E0CD4" w:rsidRPr="00FF7EC9" w:rsidRDefault="004E0CD4" w:rsidP="00743767">
            <w:pPr>
              <w:pStyle w:val="Bodywithspecialindent"/>
              <w:spacing w:before="40" w:after="120"/>
              <w:ind w:left="0" w:firstLine="0"/>
              <w:rPr>
                <w:rFonts w:cs="Arial"/>
              </w:rPr>
            </w:pPr>
            <w:r w:rsidRPr="00FF7EC9">
              <w:rPr>
                <w:rFonts w:cs="Arial"/>
              </w:rPr>
              <w:t>The Exchange has the systems in place for billing employers, receiving employer and employee contributions toward premiums, and making aggregated premium payments to issuers.</w:t>
            </w:r>
          </w:p>
        </w:tc>
        <w:tc>
          <w:tcPr>
            <w:tcW w:w="630" w:type="dxa"/>
          </w:tcPr>
          <w:p w:rsidR="004E0CD4" w:rsidRPr="00FF7EC9" w:rsidRDefault="004E0CD4" w:rsidP="008D24BE">
            <w:pPr>
              <w:pStyle w:val="Bodywithspecialindent"/>
              <w:spacing w:beforeLines="40" w:before="96" w:after="120"/>
              <w:ind w:left="0" w:firstLine="0"/>
              <w:rPr>
                <w:rStyle w:val="IntenseEmphasis"/>
              </w:rPr>
            </w:pPr>
          </w:p>
        </w:tc>
        <w:tc>
          <w:tcPr>
            <w:tcW w:w="925" w:type="dxa"/>
          </w:tcPr>
          <w:p w:rsidR="005F3385" w:rsidRDefault="005F3385"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r>
      <w:tr w:rsidR="004E0CD4" w:rsidRPr="00FF7EC9">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6.2b</w:t>
            </w:r>
          </w:p>
        </w:tc>
        <w:tc>
          <w:tcPr>
            <w:tcW w:w="6489" w:type="dxa"/>
          </w:tcPr>
          <w:p w:rsidR="004E0CD4" w:rsidRPr="00FF7EC9" w:rsidRDefault="004E0CD4" w:rsidP="00743767">
            <w:pPr>
              <w:pStyle w:val="Bodywithspecialindent"/>
              <w:spacing w:before="40" w:after="120"/>
              <w:ind w:left="0" w:firstLine="0"/>
              <w:rPr>
                <w:rFonts w:cs="Arial"/>
              </w:rPr>
            </w:pPr>
            <w:r w:rsidRPr="00FF7EC9">
              <w:rPr>
                <w:rFonts w:cs="Arial"/>
              </w:rPr>
              <w:t>The Exchange has a process for managing non-payment or late premiums; including how and when notices are sent to employers.</w:t>
            </w:r>
          </w:p>
        </w:tc>
        <w:tc>
          <w:tcPr>
            <w:tcW w:w="630" w:type="dxa"/>
          </w:tcPr>
          <w:p w:rsidR="004E0CD4" w:rsidRPr="00FF7EC9" w:rsidRDefault="004E0CD4" w:rsidP="008D24BE">
            <w:pPr>
              <w:pStyle w:val="Bodywithspecialindent"/>
              <w:spacing w:beforeLines="40" w:before="96" w:after="120"/>
              <w:ind w:left="0" w:firstLine="0"/>
              <w:rPr>
                <w:rStyle w:val="IntenseEmphasis"/>
              </w:rPr>
            </w:pPr>
          </w:p>
        </w:tc>
        <w:tc>
          <w:tcPr>
            <w:tcW w:w="925" w:type="dxa"/>
          </w:tcPr>
          <w:p w:rsidR="005F3385" w:rsidRDefault="005F3385" w:rsidP="008D24BE">
            <w:pPr>
              <w:pStyle w:val="Bodywithspecialindent"/>
              <w:spacing w:beforeLines="40" w:before="96" w:after="120"/>
              <w:ind w:left="0" w:firstLine="0"/>
              <w:rPr>
                <w:rStyle w:val="IntenseEmphasis"/>
              </w:rPr>
            </w:pPr>
          </w:p>
        </w:tc>
        <w:tc>
          <w:tcPr>
            <w:tcW w:w="892" w:type="dxa"/>
            <w:shd w:val="clear" w:color="auto" w:fill="808080" w:themeFill="background1" w:themeFillShade="80"/>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r>
      <w:tr w:rsidR="004E0CD4" w:rsidRPr="00FF7EC9">
        <w:trPr>
          <w:cantSplit/>
        </w:trPr>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6.3</w:t>
            </w:r>
          </w:p>
        </w:tc>
        <w:tc>
          <w:tcPr>
            <w:tcW w:w="6489" w:type="dxa"/>
          </w:tcPr>
          <w:p w:rsidR="004E0CD4" w:rsidRDefault="004E0CD4" w:rsidP="00743767">
            <w:pPr>
              <w:pStyle w:val="Bodywithspecialindent"/>
              <w:spacing w:before="40" w:after="120"/>
              <w:ind w:left="0" w:firstLine="0"/>
              <w:rPr>
                <w:rFonts w:cs="Arial"/>
              </w:rPr>
            </w:pPr>
            <w:r w:rsidRPr="00FF7EC9">
              <w:rPr>
                <w:rFonts w:cs="Arial"/>
              </w:rPr>
              <w:t>The SHOP Exchange has the capacity to electronically report information to the IRS for tax administration purposes.</w:t>
            </w:r>
          </w:p>
          <w:p w:rsidR="004E0CD4" w:rsidRDefault="004E0CD4" w:rsidP="00743767">
            <w:pPr>
              <w:pStyle w:val="Bodywithspecialindent"/>
              <w:spacing w:before="40" w:after="120"/>
              <w:ind w:left="0" w:firstLine="0"/>
              <w:rPr>
                <w:rFonts w:cs="Arial"/>
              </w:rPr>
            </w:pPr>
          </w:p>
          <w:p w:rsidR="004E0CD4" w:rsidRDefault="004E0CD4" w:rsidP="00743767">
            <w:pPr>
              <w:pStyle w:val="Bodywithspecialindent"/>
              <w:spacing w:before="40" w:after="120"/>
              <w:ind w:left="0" w:firstLine="0"/>
              <w:rPr>
                <w:rFonts w:cs="Arial"/>
              </w:rPr>
            </w:pPr>
          </w:p>
          <w:p w:rsidR="004E0CD4" w:rsidRDefault="004E0CD4" w:rsidP="00743767">
            <w:pPr>
              <w:pStyle w:val="Bodywithspecialindent"/>
              <w:spacing w:before="40" w:after="120"/>
              <w:ind w:left="0" w:firstLine="0"/>
              <w:rPr>
                <w:rFonts w:cs="Arial"/>
              </w:rPr>
            </w:pPr>
          </w:p>
          <w:p w:rsidR="004E0CD4" w:rsidRDefault="004E0CD4" w:rsidP="00743767">
            <w:pPr>
              <w:pStyle w:val="Bodywithspecialindent"/>
              <w:spacing w:before="40" w:after="120"/>
              <w:ind w:left="0" w:firstLine="0"/>
              <w:rPr>
                <w:rFonts w:cs="Arial"/>
              </w:rPr>
            </w:pPr>
          </w:p>
          <w:p w:rsidR="004E0CD4" w:rsidRPr="00FF7EC9" w:rsidRDefault="004E0CD4" w:rsidP="00743767">
            <w:pPr>
              <w:pStyle w:val="Bodywithspecialindent"/>
              <w:spacing w:before="40" w:after="120"/>
              <w:ind w:left="0" w:firstLine="0"/>
              <w:rPr>
                <w:rFonts w:cs="Arial"/>
              </w:rPr>
            </w:pPr>
          </w:p>
        </w:tc>
        <w:tc>
          <w:tcPr>
            <w:tcW w:w="630" w:type="dxa"/>
          </w:tcPr>
          <w:p w:rsidR="004E0CD4" w:rsidRPr="00FF7EC9" w:rsidRDefault="004E0CD4" w:rsidP="008D24BE">
            <w:pPr>
              <w:pStyle w:val="Bodywithspecialindent"/>
              <w:spacing w:beforeLines="40" w:before="96" w:after="120"/>
              <w:ind w:left="0" w:firstLine="0"/>
              <w:rPr>
                <w:rStyle w:val="IntenseEmphasis"/>
              </w:rPr>
            </w:pPr>
          </w:p>
        </w:tc>
        <w:tc>
          <w:tcPr>
            <w:tcW w:w="925" w:type="dxa"/>
          </w:tcPr>
          <w:p w:rsidR="005F3385" w:rsidRDefault="005F3385" w:rsidP="008D24BE">
            <w:pPr>
              <w:pStyle w:val="Bodywithspecialindent"/>
              <w:spacing w:beforeLines="40" w:before="96" w:after="120"/>
              <w:ind w:left="0" w:firstLine="0"/>
              <w:rPr>
                <w:rStyle w:val="IntenseEmphasis"/>
              </w:rPr>
            </w:pPr>
          </w:p>
        </w:tc>
        <w:tc>
          <w:tcPr>
            <w:tcW w:w="892" w:type="dxa"/>
            <w:shd w:val="clear" w:color="auto" w:fill="auto"/>
          </w:tcPr>
          <w:p w:rsidR="005F3385" w:rsidRDefault="005F3385" w:rsidP="008D24BE">
            <w:pPr>
              <w:pStyle w:val="Bodywithspecialindent"/>
              <w:spacing w:beforeLines="40" w:before="96" w:after="120"/>
              <w:ind w:left="0" w:firstLine="0"/>
              <w:rPr>
                <w:rStyle w:val="IntenseEmphasis"/>
              </w:rPr>
            </w:pPr>
          </w:p>
        </w:tc>
        <w:tc>
          <w:tcPr>
            <w:tcW w:w="812" w:type="dxa"/>
            <w:shd w:val="clear" w:color="auto" w:fill="auto"/>
          </w:tcPr>
          <w:p w:rsidR="004E0CD4" w:rsidRPr="00FF7EC9" w:rsidRDefault="004E0CD4" w:rsidP="00743767">
            <w:pPr>
              <w:pStyle w:val="Bodywithspecialindent"/>
              <w:ind w:left="0" w:firstLine="0"/>
              <w:rPr>
                <w:rStyle w:val="IntenseEmphasis"/>
              </w:rPr>
            </w:pPr>
          </w:p>
        </w:tc>
        <w:tc>
          <w:tcPr>
            <w:tcW w:w="635" w:type="dxa"/>
            <w:shd w:val="clear" w:color="auto" w:fill="auto"/>
          </w:tcPr>
          <w:p w:rsidR="004E0CD4" w:rsidRPr="00FF7EC9" w:rsidRDefault="004E0CD4" w:rsidP="00743767">
            <w:pPr>
              <w:pStyle w:val="Bodywithspecialindent"/>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ind w:left="0" w:firstLine="0"/>
              <w:rPr>
                <w:rStyle w:val="IntenseEmphasis"/>
              </w:rPr>
            </w:pPr>
          </w:p>
        </w:tc>
        <w:tc>
          <w:tcPr>
            <w:tcW w:w="1170" w:type="dxa"/>
            <w:shd w:val="clear" w:color="auto" w:fill="FFFFFF" w:themeFill="background1"/>
          </w:tcPr>
          <w:p w:rsidR="004E0CD4" w:rsidRPr="00FF7EC9" w:rsidRDefault="004E0CD4" w:rsidP="00743767">
            <w:pPr>
              <w:pStyle w:val="Bodywithspecialindent"/>
              <w:ind w:left="0" w:firstLine="0"/>
              <w:rPr>
                <w:rStyle w:val="IntenseEmphasis"/>
              </w:rPr>
            </w:pPr>
          </w:p>
        </w:tc>
      </w:tr>
      <w:tr w:rsidR="004E0CD4" w:rsidRPr="00FF7EC9">
        <w:trPr>
          <w:trHeight w:val="350"/>
        </w:trPr>
        <w:tc>
          <w:tcPr>
            <w:tcW w:w="18133" w:type="dxa"/>
            <w:gridSpan w:val="9"/>
            <w:shd w:val="clear" w:color="auto" w:fill="000000" w:themeFill="text1"/>
          </w:tcPr>
          <w:p w:rsidR="004E0CD4" w:rsidRPr="00FF7EC9" w:rsidRDefault="004E0CD4" w:rsidP="00102BD6">
            <w:pPr>
              <w:pStyle w:val="Heading1"/>
              <w:numPr>
                <w:ilvl w:val="0"/>
                <w:numId w:val="0"/>
              </w:numPr>
              <w:pBdr>
                <w:bottom w:val="none" w:sz="0" w:space="0" w:color="auto"/>
              </w:pBdr>
              <w:ind w:left="360" w:hanging="360"/>
              <w:jc w:val="left"/>
              <w:outlineLvl w:val="0"/>
              <w:rPr>
                <w:rStyle w:val="Heading2Char"/>
                <w:rFonts w:eastAsiaTheme="minorHAnsi"/>
                <w:b/>
                <w:bCs w:val="0"/>
              </w:rPr>
            </w:pPr>
            <w:bookmarkStart w:id="16" w:name="_Toc329259027"/>
            <w:r w:rsidRPr="00FF7EC9">
              <w:rPr>
                <w:rStyle w:val="IntenseEmphasis"/>
              </w:rPr>
              <w:lastRenderedPageBreak/>
              <w:t>7.0 Organization and Human Resources</w:t>
            </w:r>
            <w:bookmarkEnd w:id="16"/>
          </w:p>
        </w:tc>
      </w:tr>
      <w:tr w:rsidR="004E0CD4" w:rsidRPr="00FF7EC9">
        <w:trPr>
          <w:cantSplit/>
        </w:trPr>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7.1</w:t>
            </w:r>
          </w:p>
        </w:tc>
        <w:tc>
          <w:tcPr>
            <w:tcW w:w="6489" w:type="dxa"/>
          </w:tcPr>
          <w:p w:rsidR="004E0CD4" w:rsidRPr="00FF7EC9" w:rsidRDefault="004E0CD4" w:rsidP="00743767">
            <w:pPr>
              <w:spacing w:before="40" w:after="120"/>
              <w:rPr>
                <w:rFonts w:ascii="Arial" w:hAnsi="Arial" w:cs="Arial"/>
              </w:rPr>
            </w:pPr>
            <w:r w:rsidRPr="00FF7EC9">
              <w:rPr>
                <w:rFonts w:ascii="Arial" w:hAnsi="Arial" w:cs="Arial"/>
              </w:rPr>
              <w:t>The Exchange has an appropriate organizational structure and staffing resources to perform Exchange activities.</w:t>
            </w:r>
          </w:p>
        </w:tc>
        <w:tc>
          <w:tcPr>
            <w:tcW w:w="630" w:type="dxa"/>
            <w:shd w:val="clear" w:color="auto" w:fill="auto"/>
          </w:tcPr>
          <w:p w:rsidR="004E0CD4" w:rsidRPr="00FF7EC9" w:rsidRDefault="004E0CD4" w:rsidP="00743767">
            <w:pPr>
              <w:pStyle w:val="Bodywithspecialindent"/>
              <w:spacing w:before="40" w:after="120"/>
              <w:ind w:left="0" w:firstLine="0"/>
              <w:rPr>
                <w:rStyle w:val="Heading2Char"/>
              </w:rPr>
            </w:pPr>
          </w:p>
        </w:tc>
        <w:tc>
          <w:tcPr>
            <w:tcW w:w="925" w:type="dxa"/>
            <w:shd w:val="clear" w:color="auto" w:fill="auto"/>
          </w:tcPr>
          <w:p w:rsidR="004E0CD4" w:rsidRPr="00FF7EC9" w:rsidRDefault="004E0CD4" w:rsidP="00743767">
            <w:pPr>
              <w:pStyle w:val="Bodywithspecialindent"/>
              <w:spacing w:before="40" w:after="120"/>
              <w:ind w:left="0" w:firstLine="0"/>
              <w:rPr>
                <w:rStyle w:val="Heading2Char"/>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Heading2Char"/>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Heading2Char"/>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Heading2Char"/>
              </w:rPr>
            </w:pPr>
          </w:p>
        </w:tc>
        <w:tc>
          <w:tcPr>
            <w:tcW w:w="5761" w:type="dxa"/>
            <w:shd w:val="clear" w:color="auto" w:fill="FFFFFF" w:themeFill="background1"/>
          </w:tcPr>
          <w:p w:rsidR="004E0CD4" w:rsidRPr="00FF7EC9" w:rsidRDefault="004E0CD4" w:rsidP="00743767">
            <w:pPr>
              <w:pStyle w:val="Bodywithspecialindent"/>
              <w:spacing w:before="40" w:after="120"/>
              <w:ind w:left="0" w:firstLine="0"/>
              <w:rPr>
                <w:rStyle w:val="Heading2Char"/>
              </w:rPr>
            </w:pPr>
            <w:r w:rsidRPr="00FF7EC9">
              <w:rPr>
                <w:rStyle w:val="Heading2Char"/>
                <w:rFonts w:ascii="Arial" w:hAnsi="Arial"/>
                <w:b w:val="0"/>
                <w:color w:val="auto"/>
                <w:sz w:val="22"/>
                <w:szCs w:val="22"/>
              </w:rPr>
              <w:t>Organizational chart</w:t>
            </w:r>
          </w:p>
          <w:p w:rsidR="004E0CD4" w:rsidRPr="00FF7EC9" w:rsidRDefault="004E0CD4" w:rsidP="00743767">
            <w:pPr>
              <w:pStyle w:val="Bodywithspecialindent"/>
              <w:spacing w:before="40" w:after="120"/>
              <w:ind w:left="0" w:firstLine="0"/>
              <w:rPr>
                <w:rStyle w:val="Heading2Char"/>
              </w:rPr>
            </w:pPr>
            <w:r w:rsidRPr="00FF7EC9">
              <w:rPr>
                <w:rStyle w:val="Heading2Char"/>
                <w:rFonts w:ascii="Arial" w:hAnsi="Arial"/>
                <w:i/>
                <w:color w:val="auto"/>
                <w:sz w:val="22"/>
                <w:szCs w:val="22"/>
              </w:rPr>
              <w:t>AND</w:t>
            </w:r>
          </w:p>
          <w:p w:rsidR="004E0CD4" w:rsidRPr="00FF7EC9" w:rsidRDefault="004E0CD4" w:rsidP="00743767">
            <w:pPr>
              <w:pStyle w:val="Bodywithspecialindent"/>
              <w:spacing w:before="40" w:after="120"/>
              <w:ind w:left="0" w:firstLine="0"/>
              <w:rPr>
                <w:rStyle w:val="Heading2Char"/>
              </w:rPr>
            </w:pPr>
            <w:r w:rsidRPr="00FF7EC9">
              <w:rPr>
                <w:rFonts w:cs="Arial"/>
              </w:rPr>
              <w:t>Brief description of the hiring strategy that addresses competencies, roles, and responsibilities needed to perform key Exchange activities.</w:t>
            </w:r>
          </w:p>
        </w:tc>
        <w:tc>
          <w:tcPr>
            <w:tcW w:w="1170" w:type="dxa"/>
            <w:shd w:val="clear" w:color="auto" w:fill="FFFFFF" w:themeFill="background1"/>
          </w:tcPr>
          <w:p w:rsidR="004E0CD4" w:rsidRPr="00FF7EC9" w:rsidRDefault="004E0CD4" w:rsidP="00743767">
            <w:pPr>
              <w:pStyle w:val="Bodywithspecialindent"/>
              <w:spacing w:before="40" w:after="120"/>
              <w:ind w:left="0" w:firstLine="0"/>
              <w:rPr>
                <w:rStyle w:val="Heading2Char"/>
              </w:rPr>
            </w:pPr>
          </w:p>
        </w:tc>
      </w:tr>
      <w:tr w:rsidR="004E0CD4" w:rsidRPr="00FF7EC9">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7.1a</w:t>
            </w:r>
          </w:p>
        </w:tc>
        <w:tc>
          <w:tcPr>
            <w:tcW w:w="6489" w:type="dxa"/>
          </w:tcPr>
          <w:p w:rsidR="004E0CD4" w:rsidRPr="00FF7EC9" w:rsidRDefault="004E0CD4" w:rsidP="00743767">
            <w:pPr>
              <w:spacing w:before="40" w:after="120"/>
              <w:rPr>
                <w:rFonts w:ascii="Arial" w:hAnsi="Arial" w:cs="Arial"/>
              </w:rPr>
            </w:pPr>
            <w:r w:rsidRPr="00FF7EC9">
              <w:rPr>
                <w:rFonts w:ascii="Arial" w:hAnsi="Arial" w:cs="Arial"/>
              </w:rPr>
              <w:t>The Exchange has an organizational structure that includes leadership/key staff and encompasses key Exchange activities.</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7.1b</w:t>
            </w:r>
          </w:p>
        </w:tc>
        <w:tc>
          <w:tcPr>
            <w:tcW w:w="6489" w:type="dxa"/>
          </w:tcPr>
          <w:p w:rsidR="004E0CD4" w:rsidRPr="00FF7EC9" w:rsidRDefault="004E0CD4" w:rsidP="00743767">
            <w:pPr>
              <w:spacing w:before="40" w:after="120"/>
              <w:rPr>
                <w:rFonts w:ascii="Arial" w:hAnsi="Arial" w:cs="Arial"/>
              </w:rPr>
            </w:pPr>
            <w:r w:rsidRPr="00FF7EC9">
              <w:rPr>
                <w:rFonts w:ascii="Arial" w:hAnsi="Arial" w:cs="Arial"/>
              </w:rPr>
              <w:t>The Exchange has a hiring strategy that addresses competencies, roles, and responsibilities needed to perform key Exchange activities.</w:t>
            </w:r>
          </w:p>
          <w:p w:rsidR="004E0CD4" w:rsidRPr="00FF7EC9" w:rsidRDefault="004E0CD4" w:rsidP="00743767">
            <w:pPr>
              <w:spacing w:before="40" w:after="120"/>
              <w:rPr>
                <w:rFonts w:ascii="Arial" w:hAnsi="Arial" w:cs="Arial"/>
              </w:rPr>
            </w:pPr>
          </w:p>
          <w:p w:rsidR="004E0CD4" w:rsidRPr="00FF7EC9" w:rsidRDefault="004E0CD4" w:rsidP="00743767">
            <w:pPr>
              <w:spacing w:before="40" w:after="120"/>
              <w:rPr>
                <w:rFonts w:ascii="Arial" w:hAnsi="Arial" w:cs="Arial"/>
              </w:rPr>
            </w:pP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c>
          <w:tcPr>
            <w:tcW w:w="18133" w:type="dxa"/>
            <w:gridSpan w:val="9"/>
          </w:tcPr>
          <w:p w:rsidR="004E0CD4" w:rsidRPr="00FF7EC9" w:rsidRDefault="004E0CD4" w:rsidP="00102BD6">
            <w:pPr>
              <w:pStyle w:val="Heading1"/>
              <w:numPr>
                <w:ilvl w:val="0"/>
                <w:numId w:val="0"/>
              </w:numPr>
              <w:pBdr>
                <w:bottom w:val="none" w:sz="0" w:space="0" w:color="auto"/>
              </w:pBdr>
              <w:jc w:val="left"/>
              <w:outlineLvl w:val="0"/>
              <w:rPr>
                <w:rStyle w:val="IntenseEmphasis"/>
                <w:rFonts w:eastAsiaTheme="minorHAnsi"/>
                <w:b w:val="0"/>
                <w:bCs w:val="0"/>
                <w:sz w:val="22"/>
                <w:szCs w:val="22"/>
              </w:rPr>
            </w:pPr>
            <w:bookmarkStart w:id="17" w:name="_Toc329259028"/>
            <w:r w:rsidRPr="00FF7EC9">
              <w:rPr>
                <w:rStyle w:val="IntenseEmphasis"/>
              </w:rPr>
              <w:t>8.0 Finance and Accounting</w:t>
            </w:r>
            <w:bookmarkEnd w:id="17"/>
          </w:p>
        </w:tc>
      </w:tr>
      <w:tr w:rsidR="004E0CD4" w:rsidRPr="00FF7EC9">
        <w:tc>
          <w:tcPr>
            <w:tcW w:w="819" w:type="dxa"/>
          </w:tcPr>
          <w:p w:rsidR="004E0CD4" w:rsidRPr="00FF7EC9" w:rsidRDefault="004E0CD4" w:rsidP="00743767">
            <w:pPr>
              <w:pStyle w:val="Bodywithspecialindent"/>
              <w:spacing w:before="40" w:after="120"/>
              <w:rPr>
                <w:rStyle w:val="IntenseEmphasis"/>
              </w:rPr>
            </w:pPr>
            <w:r w:rsidRPr="00FF7EC9">
              <w:rPr>
                <w:rStyle w:val="IntenseEmphasis"/>
              </w:rPr>
              <w:t>8.1</w:t>
            </w:r>
          </w:p>
        </w:tc>
        <w:tc>
          <w:tcPr>
            <w:tcW w:w="6489" w:type="dxa"/>
          </w:tcPr>
          <w:p w:rsidR="004E0CD4" w:rsidRPr="00FF7EC9" w:rsidRDefault="004E0CD4" w:rsidP="00743767">
            <w:pPr>
              <w:spacing w:before="40" w:after="120"/>
              <w:rPr>
                <w:rFonts w:ascii="Arial" w:hAnsi="Arial" w:cs="Arial"/>
              </w:rPr>
            </w:pPr>
            <w:r w:rsidRPr="00FF7EC9">
              <w:rPr>
                <w:rFonts w:ascii="Arial" w:hAnsi="Arial" w:cs="Arial"/>
              </w:rPr>
              <w:t>The Exchange has a long-term operational cost, budget, and management plan.</w:t>
            </w:r>
          </w:p>
        </w:tc>
        <w:tc>
          <w:tcPr>
            <w:tcW w:w="630" w:type="dxa"/>
            <w:shd w:val="clear" w:color="auto" w:fill="auto"/>
          </w:tcPr>
          <w:p w:rsidR="004E0CD4" w:rsidRPr="00FF7EC9" w:rsidRDefault="004E0CD4" w:rsidP="00743767">
            <w:pPr>
              <w:pStyle w:val="Bodywithspecialindent"/>
              <w:spacing w:before="40" w:after="120"/>
              <w:ind w:left="0" w:firstLine="0"/>
              <w:jc w:val="center"/>
              <w:rPr>
                <w:rStyle w:val="IntenseEmphasis"/>
              </w:rPr>
            </w:pPr>
          </w:p>
        </w:tc>
        <w:tc>
          <w:tcPr>
            <w:tcW w:w="925" w:type="dxa"/>
            <w:shd w:val="clear" w:color="auto" w:fill="auto"/>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auto"/>
          </w:tcPr>
          <w:p w:rsidR="004E0CD4" w:rsidRPr="00FF7EC9" w:rsidRDefault="004E0CD4" w:rsidP="0010189F">
            <w:pPr>
              <w:pStyle w:val="Bodywithspecialindent"/>
              <w:spacing w:before="40" w:after="120"/>
              <w:ind w:left="0" w:firstLine="0"/>
              <w:rPr>
                <w:rFonts w:cs="Arial"/>
              </w:rPr>
            </w:pPr>
            <w:r w:rsidRPr="00FF7EC9">
              <w:rPr>
                <w:rFonts w:cs="Arial"/>
              </w:rPr>
              <w:t>Brief description of the methods the Exchange will use to generate revenue and how the Exchange will address any financial deficits.</w:t>
            </w:r>
          </w:p>
          <w:p w:rsidR="004E0CD4" w:rsidRPr="00FF7EC9" w:rsidRDefault="004E0CD4" w:rsidP="00DB5E89">
            <w:pPr>
              <w:pStyle w:val="Bodywithspecialindent"/>
              <w:spacing w:before="40" w:after="120"/>
              <w:ind w:left="0" w:firstLine="0"/>
              <w:rPr>
                <w:rStyle w:val="Heading2Char"/>
              </w:rPr>
            </w:pPr>
            <w:r w:rsidRPr="00FF7EC9">
              <w:rPr>
                <w:rStyle w:val="Heading2Char"/>
                <w:rFonts w:ascii="Arial" w:hAnsi="Arial"/>
                <w:i/>
                <w:color w:val="auto"/>
                <w:sz w:val="22"/>
                <w:szCs w:val="22"/>
              </w:rPr>
              <w:t>AND</w:t>
            </w:r>
          </w:p>
          <w:p w:rsidR="004E0CD4" w:rsidRPr="00FF7EC9" w:rsidRDefault="004E0CD4" w:rsidP="0010189F">
            <w:pPr>
              <w:pStyle w:val="Bodywithspecialindent"/>
              <w:spacing w:before="40" w:after="120"/>
              <w:ind w:left="0" w:firstLine="0"/>
              <w:rPr>
                <w:rStyle w:val="IntenseEmphasis"/>
              </w:rPr>
            </w:pPr>
            <w:r w:rsidRPr="00FF7EC9">
              <w:rPr>
                <w:rFonts w:cs="Arial"/>
                <w:noProof/>
              </w:rPr>
              <w:t>Model budget entailing expected operating costs, revenues, and expenditures.</w:t>
            </w:r>
          </w:p>
        </w:tc>
        <w:tc>
          <w:tcPr>
            <w:tcW w:w="1170" w:type="dxa"/>
            <w:shd w:val="clear" w:color="auto" w:fill="auto"/>
          </w:tcPr>
          <w:p w:rsidR="004E0CD4" w:rsidRPr="00FF7EC9" w:rsidRDefault="004E0CD4" w:rsidP="00743767">
            <w:pPr>
              <w:pStyle w:val="Bodywithspecialindent"/>
              <w:spacing w:before="40" w:after="120"/>
              <w:ind w:left="0" w:firstLine="0"/>
              <w:rPr>
                <w:rStyle w:val="IntenseEmphasis"/>
              </w:rPr>
            </w:pPr>
          </w:p>
        </w:tc>
      </w:tr>
      <w:tr w:rsidR="004E0CD4" w:rsidRPr="00FF7EC9">
        <w:trPr>
          <w:cantSplit/>
        </w:trPr>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8.1a</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a long-term operational budget and management plan, monitors its finances, and is able to track its costs and revenues.</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rPr>
          <w:cantSplit/>
        </w:trPr>
        <w:tc>
          <w:tcPr>
            <w:tcW w:w="819" w:type="dxa"/>
          </w:tcPr>
          <w:p w:rsidR="004E0CD4" w:rsidRPr="00FF7EC9" w:rsidRDefault="004E0CD4" w:rsidP="0010189F">
            <w:pPr>
              <w:pStyle w:val="Bodywithspecialindent"/>
              <w:spacing w:before="40" w:after="120"/>
              <w:rPr>
                <w:rStyle w:val="IntenseEmphasis"/>
              </w:rPr>
            </w:pPr>
            <w:r w:rsidRPr="00FF7EC9">
              <w:rPr>
                <w:rStyle w:val="IntenseEmphasis"/>
              </w:rPr>
              <w:lastRenderedPageBreak/>
              <w:t>8.1b</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defined methods for generating revenue (e.g., user fees) pursuant to Affordable Care Act 1311(d)(5)(A), and has the appropriate legal authority.</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c>
          <w:tcPr>
            <w:tcW w:w="18133" w:type="dxa"/>
            <w:gridSpan w:val="9"/>
          </w:tcPr>
          <w:p w:rsidR="004E0CD4" w:rsidRPr="00FF7EC9" w:rsidRDefault="004E0CD4" w:rsidP="00102BD6">
            <w:pPr>
              <w:pStyle w:val="Heading1"/>
              <w:numPr>
                <w:ilvl w:val="0"/>
                <w:numId w:val="0"/>
              </w:numPr>
              <w:pBdr>
                <w:bottom w:val="none" w:sz="0" w:space="0" w:color="auto"/>
              </w:pBdr>
              <w:ind w:left="360" w:hanging="360"/>
              <w:jc w:val="left"/>
              <w:outlineLvl w:val="0"/>
              <w:rPr>
                <w:rStyle w:val="IntenseEmphasis"/>
                <w:rFonts w:eastAsiaTheme="minorHAnsi"/>
                <w:b w:val="0"/>
                <w:bCs w:val="0"/>
                <w:sz w:val="22"/>
                <w:szCs w:val="22"/>
              </w:rPr>
            </w:pPr>
            <w:bookmarkStart w:id="18" w:name="_Toc329259029"/>
            <w:r w:rsidRPr="00FF7EC9">
              <w:rPr>
                <w:rStyle w:val="IntenseEmphasis"/>
              </w:rPr>
              <w:t>9.0 Technology</w:t>
            </w:r>
            <w:bookmarkEnd w:id="18"/>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9.1</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technology and system functionality complies with relevant HHS information technology (IT) guidance.</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auto"/>
          </w:tcPr>
          <w:p w:rsidR="004E0CD4" w:rsidRPr="00FF7EC9" w:rsidRDefault="004E0CD4" w:rsidP="00743767">
            <w:pPr>
              <w:pStyle w:val="Bodywithspecialindent"/>
              <w:spacing w:before="40" w:after="120"/>
              <w:ind w:left="0" w:firstLine="0"/>
              <w:rPr>
                <w:rStyle w:val="IntenseEmphasis"/>
              </w:rPr>
            </w:pPr>
            <w:r w:rsidRPr="00FF7EC9">
              <w:rPr>
                <w:rStyle w:val="Heading2Char"/>
                <w:rFonts w:ascii="Arial" w:hAnsi="Arial"/>
                <w:b w:val="0"/>
                <w:color w:val="auto"/>
                <w:sz w:val="22"/>
                <w:szCs w:val="22"/>
              </w:rPr>
              <w:t>Brief description of any areas of significant variation between Exchange technology and system functionality and HHS IT guidance.</w:t>
            </w:r>
          </w:p>
        </w:tc>
        <w:tc>
          <w:tcPr>
            <w:tcW w:w="1170" w:type="dxa"/>
            <w:shd w:val="clear" w:color="auto" w:fill="auto"/>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9.2</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the adequate technology infrastructure and bandwidth required to support all of the Exchange activities.</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rPr>
          <w:cantSplit/>
        </w:trPr>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9.3</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effectively implements IV&amp;V, quality management, and test procedures for Exchange development activities and demonstrates it has achieved HHS-defined essential functionality for each required activity.</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auto"/>
          </w:tcPr>
          <w:p w:rsidR="004E0CD4" w:rsidRPr="00FF7EC9" w:rsidRDefault="004E0CD4" w:rsidP="00743767">
            <w:pPr>
              <w:pStyle w:val="Bodywithspecialindent"/>
              <w:spacing w:before="40" w:after="120"/>
              <w:ind w:left="0" w:firstLine="0"/>
              <w:rPr>
                <w:rStyle w:val="IntenseEmphasis"/>
              </w:rPr>
            </w:pPr>
            <w:r w:rsidRPr="00FF7EC9">
              <w:rPr>
                <w:rFonts w:cs="Arial"/>
              </w:rPr>
              <w:t>Brief description of the front-end system engineering work including IT, quality assurance processes and IV&amp;V services used to validate requirements, business processes and development of the Exchange.</w:t>
            </w:r>
          </w:p>
        </w:tc>
        <w:tc>
          <w:tcPr>
            <w:tcW w:w="1170" w:type="dxa"/>
            <w:shd w:val="clear" w:color="auto" w:fill="auto"/>
          </w:tcPr>
          <w:p w:rsidR="004E0CD4" w:rsidRPr="00FF7EC9" w:rsidRDefault="004E0CD4" w:rsidP="00743767">
            <w:pPr>
              <w:pStyle w:val="Bodywithspecialindent"/>
              <w:spacing w:before="40" w:after="120"/>
              <w:ind w:left="0" w:firstLine="0"/>
              <w:rPr>
                <w:rStyle w:val="IntenseEmphasis"/>
              </w:rPr>
            </w:pPr>
          </w:p>
        </w:tc>
      </w:tr>
      <w:tr w:rsidR="004E0CD4" w:rsidRPr="00FF7EC9">
        <w:tc>
          <w:tcPr>
            <w:tcW w:w="18133" w:type="dxa"/>
            <w:gridSpan w:val="9"/>
          </w:tcPr>
          <w:p w:rsidR="004E0CD4" w:rsidRPr="00FF7EC9" w:rsidRDefault="004E0CD4" w:rsidP="00102BD6">
            <w:pPr>
              <w:pStyle w:val="Heading1"/>
              <w:numPr>
                <w:ilvl w:val="0"/>
                <w:numId w:val="0"/>
              </w:numPr>
              <w:pBdr>
                <w:bottom w:val="none" w:sz="0" w:space="0" w:color="auto"/>
              </w:pBdr>
              <w:ind w:left="360" w:hanging="360"/>
              <w:jc w:val="left"/>
              <w:outlineLvl w:val="0"/>
              <w:rPr>
                <w:rStyle w:val="IntenseEmphasis"/>
                <w:rFonts w:eastAsiaTheme="minorHAnsi"/>
                <w:b w:val="0"/>
                <w:bCs w:val="0"/>
                <w:sz w:val="22"/>
                <w:szCs w:val="22"/>
              </w:rPr>
            </w:pPr>
            <w:bookmarkStart w:id="19" w:name="_Toc329259030"/>
            <w:r w:rsidRPr="00FF7EC9">
              <w:rPr>
                <w:rStyle w:val="IntenseEmphasis"/>
              </w:rPr>
              <w:t>10.0 Privacy and Security</w:t>
            </w:r>
            <w:bookmarkEnd w:id="19"/>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10.1</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established and implemented written policies and procedures regarding the Privacy and Security standards set forth in 45 CFR 155.260(a)-(g).</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Fonts w:cs="Arial"/>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10.2</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established and implemented safeguards that (1) ensure the critical outcomes in 45 CFR 155.260(a)(4), including authentication and identity proofing functionality, and (2) incorporates HHS IT requirements as applicable.</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FFFFFF" w:themeFill="background1"/>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FFFFFF" w:themeFill="background1"/>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Fonts w:cs="Arial"/>
              </w:rPr>
            </w:pPr>
          </w:p>
        </w:tc>
        <w:tc>
          <w:tcPr>
            <w:tcW w:w="1170" w:type="dxa"/>
            <w:shd w:val="clear" w:color="auto" w:fill="FFFFFF" w:themeFill="background1"/>
          </w:tcPr>
          <w:p w:rsidR="004E0CD4" w:rsidRPr="00FF7EC9" w:rsidRDefault="004E0CD4" w:rsidP="00743767">
            <w:pPr>
              <w:pStyle w:val="Bodywithspecialindent"/>
              <w:spacing w:before="40" w:after="120"/>
              <w:ind w:left="0" w:firstLine="0"/>
              <w:rPr>
                <w:rStyle w:val="IntenseEmphasis"/>
              </w:rPr>
            </w:pPr>
          </w:p>
        </w:tc>
      </w:tr>
      <w:tr w:rsidR="004E0CD4" w:rsidRPr="00FF7EC9">
        <w:trPr>
          <w:cantSplit/>
        </w:trPr>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10.3</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adequate safeguards in place to protect the confidentiality of all Federal information received through the Data Services Hub, including but not limited to Federal tax information.</w:t>
            </w:r>
          </w:p>
        </w:tc>
        <w:tc>
          <w:tcPr>
            <w:tcW w:w="630" w:type="dxa"/>
            <w:shd w:val="clear" w:color="auto" w:fill="auto"/>
          </w:tcPr>
          <w:p w:rsidR="004E0CD4" w:rsidRPr="00FF7EC9" w:rsidRDefault="004E0CD4" w:rsidP="00743767">
            <w:pPr>
              <w:pStyle w:val="Bodywithspecialindent"/>
              <w:spacing w:before="40" w:after="120"/>
              <w:ind w:left="0" w:firstLine="0"/>
              <w:jc w:val="center"/>
              <w:rPr>
                <w:rStyle w:val="IntenseEmphasis"/>
              </w:rPr>
            </w:pPr>
          </w:p>
        </w:tc>
        <w:tc>
          <w:tcPr>
            <w:tcW w:w="925" w:type="dxa"/>
            <w:shd w:val="clear" w:color="auto" w:fill="auto"/>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Fonts w:cs="Arial"/>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lastRenderedPageBreak/>
              <w:t>10.3a</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adequate safeguards in place to protect the confidentiality of all Federal information received through the Data Services Hub, including but not limited to Federal tax information.</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Fonts w:cs="Arial"/>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rPr>
          <w:cantSplit/>
        </w:trPr>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10.3b</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developed and received a letter of acceptance from the IRS on its Safeguard Procedures Report related to the protection of Federal tax information.</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Fonts w:cs="Arial"/>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rPr>
          <w:cantSplit/>
        </w:trPr>
        <w:tc>
          <w:tcPr>
            <w:tcW w:w="18133" w:type="dxa"/>
            <w:gridSpan w:val="9"/>
          </w:tcPr>
          <w:p w:rsidR="004E0CD4" w:rsidRPr="00FF7EC9" w:rsidRDefault="004E0CD4" w:rsidP="00102BD6">
            <w:pPr>
              <w:pStyle w:val="Heading1"/>
              <w:numPr>
                <w:ilvl w:val="0"/>
                <w:numId w:val="0"/>
              </w:numPr>
              <w:pBdr>
                <w:bottom w:val="none" w:sz="0" w:space="0" w:color="auto"/>
              </w:pBdr>
              <w:ind w:left="360" w:hanging="360"/>
              <w:jc w:val="left"/>
              <w:outlineLvl w:val="0"/>
              <w:rPr>
                <w:rStyle w:val="IntenseEmphasis"/>
                <w:rFonts w:eastAsiaTheme="minorHAnsi"/>
                <w:b w:val="0"/>
                <w:bCs w:val="0"/>
                <w:sz w:val="22"/>
                <w:szCs w:val="22"/>
              </w:rPr>
            </w:pPr>
            <w:bookmarkStart w:id="20" w:name="_Toc329259031"/>
            <w:r w:rsidRPr="00FF7EC9">
              <w:rPr>
                <w:rStyle w:val="IntenseEmphasis"/>
              </w:rPr>
              <w:t>11.0 Oversight and Monitoring</w:t>
            </w:r>
            <w:bookmarkEnd w:id="20"/>
          </w:p>
        </w:tc>
      </w:tr>
      <w:tr w:rsidR="004E0CD4" w:rsidRPr="00FF7EC9">
        <w:trPr>
          <w:cantSplit/>
        </w:trPr>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11.1</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a process in place to perform required activities related to routine oversight and monitoring of Exchange activities (and will supplement those policies and procedures to implement regulations promulgated under the Affordable Care Act 1313</w:t>
            </w:r>
            <w:r w:rsidRPr="00FF7EC9">
              <w:rPr>
                <w:rFonts w:ascii="Arial" w:eastAsia="Times New Roman" w:hAnsi="Arial" w:cs="Arial"/>
              </w:rPr>
              <w:t>).</w:t>
            </w:r>
          </w:p>
        </w:tc>
        <w:tc>
          <w:tcPr>
            <w:tcW w:w="630" w:type="dxa"/>
            <w:shd w:val="clear" w:color="auto" w:fill="auto"/>
          </w:tcPr>
          <w:p w:rsidR="004E0CD4" w:rsidRPr="00FF7EC9" w:rsidRDefault="004E0CD4" w:rsidP="00743767">
            <w:pPr>
              <w:pStyle w:val="Bodywithspecialindent"/>
              <w:spacing w:before="40" w:after="120"/>
              <w:ind w:left="0" w:firstLine="0"/>
              <w:jc w:val="center"/>
              <w:rPr>
                <w:rStyle w:val="IntenseEmphasis"/>
              </w:rPr>
            </w:pPr>
          </w:p>
        </w:tc>
        <w:tc>
          <w:tcPr>
            <w:tcW w:w="925" w:type="dxa"/>
            <w:shd w:val="clear" w:color="auto" w:fill="auto"/>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auto"/>
          </w:tcPr>
          <w:p w:rsidR="004E0CD4" w:rsidRPr="00FF7EC9" w:rsidRDefault="004E0CD4" w:rsidP="00FB048D">
            <w:pPr>
              <w:pStyle w:val="Bodywithspecialindent"/>
              <w:spacing w:before="40" w:after="120"/>
              <w:ind w:left="0" w:firstLine="0"/>
              <w:rPr>
                <w:rStyle w:val="Heading2Char"/>
              </w:rPr>
            </w:pPr>
            <w:r w:rsidRPr="00FF7EC9">
              <w:rPr>
                <w:rFonts w:cs="Arial"/>
              </w:rPr>
              <w:t>Brief description of the oversight and monitoring plan for the Exchange, including any specific protocols for quality monitoring of Exchange activities (e.g., Eligibility and Enrollment, Plan Management).</w:t>
            </w:r>
          </w:p>
        </w:tc>
        <w:tc>
          <w:tcPr>
            <w:tcW w:w="1170" w:type="dxa"/>
            <w:shd w:val="clear" w:color="auto" w:fill="auto"/>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11.1a</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in effect policies and procedures for performing routine oversight and monitoring of Exchange activities.</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Fonts w:cs="Arial"/>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11.1b</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in effect quality controls as part of oversight and monitoring of Exchange activities.</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Fonts w:cs="Arial"/>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11.2</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the capacity to track and report performance and outcome metrics related to Exchange Activities in a format and manner specified by HHS necessary for, but not limited to, annual reports required by Affordable Care Act 1313(a).</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auto"/>
          </w:tcPr>
          <w:p w:rsidR="004E0CD4" w:rsidRPr="00FF7EC9" w:rsidRDefault="004E0CD4" w:rsidP="00FB58F7">
            <w:pPr>
              <w:pStyle w:val="Bodywithspecialindent"/>
              <w:spacing w:before="40" w:after="120"/>
              <w:ind w:left="0" w:firstLine="0"/>
              <w:rPr>
                <w:rFonts w:cs="Arial"/>
              </w:rPr>
            </w:pPr>
            <w:r w:rsidRPr="00FF7EC9">
              <w:rPr>
                <w:rFonts w:cs="Arial"/>
              </w:rPr>
              <w:t>Brief description of</w:t>
            </w:r>
            <w:r w:rsidR="00FB58F7">
              <w:rPr>
                <w:rFonts w:cs="Arial"/>
              </w:rPr>
              <w:t xml:space="preserve"> data collection and reporting processes and</w:t>
            </w:r>
            <w:r w:rsidRPr="00FF7EC9">
              <w:rPr>
                <w:rFonts w:cs="Arial"/>
              </w:rPr>
              <w:t xml:space="preserve"> Exchange activity-related performance metrics that the Exchange intends to track for internal purposes as part of ongoing quality controls and improvement plan.</w:t>
            </w:r>
          </w:p>
        </w:tc>
        <w:tc>
          <w:tcPr>
            <w:tcW w:w="1170" w:type="dxa"/>
            <w:shd w:val="clear" w:color="auto" w:fill="auto"/>
          </w:tcPr>
          <w:p w:rsidR="004E0CD4" w:rsidRPr="00FF7EC9" w:rsidRDefault="004E0CD4" w:rsidP="00743767">
            <w:pPr>
              <w:pStyle w:val="Bodywithspecialindent"/>
              <w:spacing w:before="40" w:after="120"/>
              <w:ind w:left="0" w:firstLine="0"/>
              <w:rPr>
                <w:rStyle w:val="IntenseEmphasis"/>
              </w:rPr>
            </w:pPr>
          </w:p>
        </w:tc>
      </w:tr>
      <w:tr w:rsidR="004E0CD4" w:rsidRPr="00FF7EC9">
        <w:trPr>
          <w:cantSplit/>
        </w:trPr>
        <w:tc>
          <w:tcPr>
            <w:tcW w:w="819" w:type="dxa"/>
          </w:tcPr>
          <w:p w:rsidR="004E0CD4" w:rsidRPr="00FF7EC9" w:rsidRDefault="004E0CD4" w:rsidP="0010189F">
            <w:pPr>
              <w:pStyle w:val="Bodywithspecialindent"/>
              <w:spacing w:before="40" w:after="120"/>
              <w:rPr>
                <w:rStyle w:val="IntenseEmphasis"/>
              </w:rPr>
            </w:pPr>
            <w:r w:rsidRPr="00FF7EC9">
              <w:rPr>
                <w:rStyle w:val="IntenseEmphasis"/>
              </w:rPr>
              <w:lastRenderedPageBreak/>
              <w:t>11.3</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Exchange has instituted procedures and policies that promote compliance with the financial integrity provisions of Affordable Care Act 1313 (and will supplement those policies and procedures to implement regulations promulgated under the Affordable Care Act 1313), including the requirements related to accounting, reporting, auditing, cooperation with investigations, and application of the False Claims Act.</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auto"/>
          </w:tcPr>
          <w:p w:rsidR="004E0CD4" w:rsidRPr="00FF7EC9" w:rsidRDefault="004E0CD4" w:rsidP="00743767">
            <w:pPr>
              <w:pStyle w:val="Bodywithspecialindent"/>
              <w:spacing w:before="40" w:after="120"/>
              <w:ind w:left="0" w:firstLine="0"/>
              <w:rPr>
                <w:rFonts w:cs="Arial"/>
              </w:rPr>
            </w:pPr>
            <w:r w:rsidRPr="00FF7EC9">
              <w:rPr>
                <w:rFonts w:cs="Arial"/>
              </w:rPr>
              <w:t>Indicate the financial or accounting standards with which the Exchange is in compliance (e.g., Government Accounting Standards Board, Government Accountability Office (GAO) Government Auditing Standards (Yellow Book), OMB Circular A-123 “Management’s Responsibility for Internal Control”).</w:t>
            </w:r>
          </w:p>
        </w:tc>
        <w:tc>
          <w:tcPr>
            <w:tcW w:w="1170" w:type="dxa"/>
            <w:shd w:val="clear" w:color="auto" w:fill="auto"/>
          </w:tcPr>
          <w:p w:rsidR="004E0CD4" w:rsidRPr="00FF7EC9" w:rsidRDefault="004E0CD4" w:rsidP="00743767">
            <w:pPr>
              <w:pStyle w:val="Bodywithspecialindent"/>
              <w:spacing w:before="40" w:after="120"/>
              <w:ind w:left="0" w:firstLine="0"/>
              <w:rPr>
                <w:rStyle w:val="IntenseEmphasis"/>
              </w:rPr>
            </w:pPr>
          </w:p>
        </w:tc>
      </w:tr>
      <w:tr w:rsidR="004E0CD4" w:rsidRPr="00FF7EC9">
        <w:tc>
          <w:tcPr>
            <w:tcW w:w="18133" w:type="dxa"/>
            <w:gridSpan w:val="9"/>
          </w:tcPr>
          <w:p w:rsidR="004E0CD4" w:rsidRPr="00FF7EC9" w:rsidRDefault="004E0CD4" w:rsidP="00102BD6">
            <w:pPr>
              <w:pStyle w:val="Heading1"/>
              <w:numPr>
                <w:ilvl w:val="0"/>
                <w:numId w:val="0"/>
              </w:numPr>
              <w:pBdr>
                <w:bottom w:val="none" w:sz="0" w:space="0" w:color="auto"/>
              </w:pBdr>
              <w:jc w:val="left"/>
              <w:outlineLvl w:val="0"/>
              <w:rPr>
                <w:rStyle w:val="IntenseEmphasis"/>
                <w:rFonts w:eastAsiaTheme="minorHAnsi"/>
                <w:b w:val="0"/>
                <w:bCs w:val="0"/>
                <w:sz w:val="22"/>
                <w:szCs w:val="22"/>
              </w:rPr>
            </w:pPr>
            <w:bookmarkStart w:id="21" w:name="_Toc329259032"/>
            <w:r w:rsidRPr="00FF7EC9">
              <w:rPr>
                <w:rStyle w:val="IntenseEmphasis"/>
              </w:rPr>
              <w:t>12.0 Contracting, Outsourcing, and Agreements</w:t>
            </w:r>
            <w:bookmarkEnd w:id="21"/>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12.1</w:t>
            </w:r>
          </w:p>
        </w:tc>
        <w:tc>
          <w:tcPr>
            <w:tcW w:w="6489" w:type="dxa"/>
          </w:tcPr>
          <w:p w:rsidR="004E0CD4" w:rsidRPr="00FF7EC9" w:rsidRDefault="004E0CD4" w:rsidP="00125B87">
            <w:pPr>
              <w:spacing w:before="40" w:after="120"/>
              <w:rPr>
                <w:rFonts w:ascii="Arial" w:hAnsi="Arial" w:cs="Arial"/>
              </w:rPr>
            </w:pPr>
            <w:r w:rsidRPr="00FF7EC9">
              <w:rPr>
                <w:rFonts w:ascii="Arial" w:hAnsi="Arial" w:cs="Arial"/>
              </w:rPr>
              <w:t>The Exchange has executed appropriate contractual, outsourcing, and partnership agreements with vendors and/or State and Federal agencies for all Exchange activities and functionality as needed, including data and privacy agreements.</w:t>
            </w:r>
            <w:r>
              <w:rPr>
                <w:rFonts w:ascii="Arial" w:hAnsi="Arial" w:cs="Arial"/>
              </w:rPr>
              <w:t xml:space="preserve"> </w:t>
            </w:r>
            <w:r w:rsidRPr="00C44047">
              <w:rPr>
                <w:rFonts w:ascii="Arial" w:hAnsi="Arial" w:cs="Arial"/>
              </w:rPr>
              <w:t>Exchange contracting entities meet the requirements for eligible contracting entities outlined in 45 CFR 155.110.</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auto"/>
          </w:tcPr>
          <w:p w:rsidR="004E0CD4" w:rsidRPr="00FF7EC9" w:rsidRDefault="004E0CD4" w:rsidP="00A90A14">
            <w:pPr>
              <w:pStyle w:val="Bodywithspecialindent"/>
              <w:spacing w:before="40" w:after="120"/>
              <w:ind w:left="0" w:firstLine="0"/>
              <w:rPr>
                <w:rFonts w:cs="Arial"/>
              </w:rPr>
            </w:pPr>
            <w:r w:rsidRPr="00FF7EC9">
              <w:rPr>
                <w:rStyle w:val="Heading2Char"/>
                <w:rFonts w:ascii="Arial" w:hAnsi="Arial"/>
                <w:b w:val="0"/>
                <w:color w:val="auto"/>
                <w:sz w:val="22"/>
                <w:szCs w:val="22"/>
              </w:rPr>
              <w:t>List of all contractor(s) with which Exchange has contracted and a notation of the services that the contractor(s) will support.</w:t>
            </w:r>
          </w:p>
        </w:tc>
        <w:tc>
          <w:tcPr>
            <w:tcW w:w="1170" w:type="dxa"/>
            <w:shd w:val="clear" w:color="auto" w:fill="auto"/>
          </w:tcPr>
          <w:p w:rsidR="004E0CD4" w:rsidRPr="00FF7EC9" w:rsidRDefault="004E0CD4" w:rsidP="00743767">
            <w:pPr>
              <w:pStyle w:val="Bodywithspecialindent"/>
              <w:spacing w:before="40" w:after="120"/>
              <w:ind w:left="0" w:firstLine="0"/>
              <w:rPr>
                <w:rStyle w:val="IntenseEmphasis"/>
              </w:rPr>
            </w:pPr>
          </w:p>
        </w:tc>
      </w:tr>
      <w:tr w:rsidR="004E0CD4" w:rsidRPr="00FF7EC9">
        <w:tc>
          <w:tcPr>
            <w:tcW w:w="18133" w:type="dxa"/>
            <w:gridSpan w:val="9"/>
          </w:tcPr>
          <w:p w:rsidR="004E0CD4" w:rsidRPr="00FF7EC9" w:rsidRDefault="004E0CD4" w:rsidP="00102BD6">
            <w:pPr>
              <w:pStyle w:val="Heading1"/>
              <w:numPr>
                <w:ilvl w:val="0"/>
                <w:numId w:val="0"/>
              </w:numPr>
              <w:pBdr>
                <w:bottom w:val="none" w:sz="0" w:space="0" w:color="auto"/>
              </w:pBdr>
              <w:ind w:left="360" w:hanging="360"/>
              <w:jc w:val="left"/>
              <w:outlineLvl w:val="0"/>
              <w:rPr>
                <w:rStyle w:val="IntenseEmphasis"/>
                <w:rFonts w:eastAsiaTheme="minorHAnsi"/>
                <w:b w:val="0"/>
                <w:bCs w:val="0"/>
                <w:sz w:val="22"/>
                <w:szCs w:val="22"/>
              </w:rPr>
            </w:pPr>
            <w:bookmarkStart w:id="22" w:name="_Toc329259033"/>
            <w:r w:rsidRPr="00FF7EC9">
              <w:rPr>
                <w:rStyle w:val="IntenseEmphasis"/>
              </w:rPr>
              <w:t>13.0 State Partnership Exchange Activities</w:t>
            </w:r>
            <w:bookmarkEnd w:id="22"/>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13.1</w:t>
            </w:r>
          </w:p>
        </w:tc>
        <w:tc>
          <w:tcPr>
            <w:tcW w:w="6489" w:type="dxa"/>
          </w:tcPr>
          <w:p w:rsidR="004E0CD4" w:rsidRPr="00FF7EC9" w:rsidRDefault="004E0CD4" w:rsidP="00056582">
            <w:pPr>
              <w:spacing w:before="40" w:after="120"/>
              <w:rPr>
                <w:rFonts w:ascii="Arial" w:hAnsi="Arial" w:cs="Arial"/>
              </w:rPr>
            </w:pPr>
            <w:r w:rsidRPr="00FF7EC9">
              <w:rPr>
                <w:rFonts w:ascii="Arial" w:hAnsi="Arial" w:cs="Arial"/>
              </w:rPr>
              <w:t>The State has appropriate agreements in place to operate the Plan Management activities for a State Partnership Exchange.</w:t>
            </w:r>
          </w:p>
        </w:tc>
        <w:tc>
          <w:tcPr>
            <w:tcW w:w="630" w:type="dxa"/>
            <w:shd w:val="clear" w:color="auto" w:fill="FFFFFF" w:themeFill="background1"/>
          </w:tcPr>
          <w:p w:rsidR="004E0CD4" w:rsidRPr="00FF7EC9" w:rsidRDefault="004E0CD4" w:rsidP="00743767">
            <w:pPr>
              <w:pStyle w:val="Bodywithspecialindent"/>
              <w:spacing w:before="40" w:after="120"/>
              <w:ind w:left="0" w:firstLine="0"/>
              <w:jc w:val="center"/>
              <w:rPr>
                <w:rStyle w:val="IntenseEmphasis"/>
              </w:rPr>
            </w:pPr>
          </w:p>
        </w:tc>
        <w:tc>
          <w:tcPr>
            <w:tcW w:w="925" w:type="dxa"/>
            <w:shd w:val="clear" w:color="auto" w:fill="FFFFFF" w:themeFill="background1"/>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Heading2Char"/>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13.1a</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State and applicable entities have agreed to a process for timely plan management data submission in the specified format to the Federally-facilitated Exchange.</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Heading2Char"/>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rPr>
          <w:cantSplit/>
        </w:trPr>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13.1b</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State and applicable entities have signed and agreed to adhere to the terms and conditions of all necessary agreement(s) required to carry out required Exchange activities.</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Heading2Char"/>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10189F">
            <w:pPr>
              <w:pStyle w:val="Bodywithspecialindent"/>
              <w:spacing w:before="40" w:after="120"/>
              <w:rPr>
                <w:rStyle w:val="IntenseEmphasis"/>
              </w:rPr>
            </w:pPr>
            <w:r w:rsidRPr="00FF7EC9">
              <w:rPr>
                <w:rStyle w:val="IntenseEmphasis"/>
              </w:rPr>
              <w:t>13.1c</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State and applicable entities have agreed on a process for coordination with Federally-facilitated Exchange account managers and oversight.</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Heading2Char"/>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rPr>
          <w:cantSplit/>
        </w:trPr>
        <w:tc>
          <w:tcPr>
            <w:tcW w:w="819" w:type="dxa"/>
          </w:tcPr>
          <w:p w:rsidR="004E0CD4" w:rsidRPr="00FF7EC9" w:rsidRDefault="004E0CD4" w:rsidP="0010189F">
            <w:pPr>
              <w:pStyle w:val="Bodywithspecialindent"/>
              <w:spacing w:before="40" w:after="120"/>
              <w:rPr>
                <w:rStyle w:val="IntenseEmphasis"/>
              </w:rPr>
            </w:pPr>
            <w:r w:rsidRPr="00FF7EC9">
              <w:rPr>
                <w:rStyle w:val="IntenseEmphasis"/>
              </w:rPr>
              <w:lastRenderedPageBreak/>
              <w:t>13.2</w:t>
            </w:r>
          </w:p>
        </w:tc>
        <w:tc>
          <w:tcPr>
            <w:tcW w:w="6489" w:type="dxa"/>
          </w:tcPr>
          <w:p w:rsidR="004E0CD4" w:rsidRPr="00FF7EC9" w:rsidRDefault="004E0CD4" w:rsidP="0010189F">
            <w:pPr>
              <w:spacing w:before="40" w:after="120"/>
              <w:rPr>
                <w:rFonts w:ascii="Arial" w:hAnsi="Arial" w:cs="Arial"/>
              </w:rPr>
            </w:pPr>
            <w:r w:rsidRPr="00FF7EC9">
              <w:rPr>
                <w:rFonts w:ascii="Arial" w:hAnsi="Arial" w:cs="Arial"/>
              </w:rPr>
              <w:t>The State has the capacity to interface with the Federally-facilitated Exchange, as necessary, to ensure a seamless consumer experience.</w:t>
            </w:r>
          </w:p>
        </w:tc>
        <w:tc>
          <w:tcPr>
            <w:tcW w:w="630" w:type="dxa"/>
            <w:shd w:val="clear" w:color="auto" w:fill="FFFFFF" w:themeFill="background1"/>
          </w:tcPr>
          <w:p w:rsidR="004E0CD4" w:rsidRPr="00FF7EC9" w:rsidRDefault="004E0CD4" w:rsidP="00743767">
            <w:pPr>
              <w:pStyle w:val="Bodywithspecialindent"/>
              <w:spacing w:before="40" w:after="120"/>
              <w:ind w:left="0" w:firstLine="0"/>
              <w:jc w:val="center"/>
              <w:rPr>
                <w:rStyle w:val="IntenseEmphasis"/>
              </w:rPr>
            </w:pPr>
          </w:p>
        </w:tc>
        <w:tc>
          <w:tcPr>
            <w:tcW w:w="925" w:type="dxa"/>
            <w:shd w:val="clear" w:color="auto" w:fill="FFFFFF" w:themeFill="background1"/>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auto"/>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auto"/>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auto"/>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Heading2Char"/>
              </w:rPr>
            </w:pPr>
          </w:p>
        </w:tc>
        <w:tc>
          <w:tcPr>
            <w:tcW w:w="1170" w:type="dxa"/>
            <w:shd w:val="clear" w:color="auto" w:fill="auto"/>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13.2a</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The State and the applicable State agencies have the capacity to conduct necessary coordination with the Exchange regarding customer service, outreach, and education.</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Heading2Char"/>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rPr>
          <w:cantSplit/>
        </w:trPr>
        <w:tc>
          <w:tcPr>
            <w:tcW w:w="819" w:type="dxa"/>
          </w:tcPr>
          <w:p w:rsidR="004E0CD4" w:rsidRPr="00FF7EC9" w:rsidRDefault="004E0CD4" w:rsidP="008D24BE">
            <w:pPr>
              <w:pStyle w:val="Bodywithspecialindent"/>
              <w:spacing w:beforeLines="40" w:before="96" w:after="120"/>
              <w:rPr>
                <w:rStyle w:val="IntenseEmphasis"/>
              </w:rPr>
            </w:pPr>
            <w:r w:rsidRPr="00FF7EC9">
              <w:rPr>
                <w:rStyle w:val="IntenseEmphasis"/>
              </w:rPr>
              <w:t>13.2b</w:t>
            </w:r>
          </w:p>
        </w:tc>
        <w:tc>
          <w:tcPr>
            <w:tcW w:w="6489" w:type="dxa"/>
          </w:tcPr>
          <w:p w:rsidR="005F3385" w:rsidRDefault="004E0CD4" w:rsidP="008D24BE">
            <w:pPr>
              <w:pStyle w:val="Bodywithspecialindent"/>
              <w:spacing w:beforeLines="40" w:before="96" w:after="120"/>
              <w:ind w:left="0" w:firstLine="0"/>
              <w:rPr>
                <w:rFonts w:cs="Arial"/>
              </w:rPr>
            </w:pPr>
            <w:r w:rsidRPr="00FF7EC9">
              <w:rPr>
                <w:rFonts w:cs="Arial"/>
              </w:rPr>
              <w:t xml:space="preserve">The applicable State agencies have the capacity to share data with the Exchange that is needed to support the eligibility process for Insurance Affordability Programs.  </w:t>
            </w:r>
          </w:p>
        </w:tc>
        <w:tc>
          <w:tcPr>
            <w:tcW w:w="630" w:type="dxa"/>
          </w:tcPr>
          <w:p w:rsidR="004E0CD4" w:rsidRPr="00FF7EC9" w:rsidRDefault="004E0CD4" w:rsidP="00743767">
            <w:pPr>
              <w:pStyle w:val="Bodywithspecialindent"/>
              <w:spacing w:before="40" w:after="120"/>
              <w:ind w:left="0" w:firstLine="0"/>
              <w:jc w:val="center"/>
              <w:rPr>
                <w:rStyle w:val="IntenseEmphasis"/>
              </w:rPr>
            </w:pPr>
          </w:p>
        </w:tc>
        <w:tc>
          <w:tcPr>
            <w:tcW w:w="925" w:type="dxa"/>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Heading2Char"/>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8D24BE">
            <w:pPr>
              <w:pStyle w:val="Bodywithspecialindent"/>
              <w:spacing w:beforeLines="40" w:before="96" w:after="120"/>
              <w:rPr>
                <w:rStyle w:val="Emphasis"/>
              </w:rPr>
            </w:pPr>
            <w:r w:rsidRPr="00FF7EC9">
              <w:rPr>
                <w:rStyle w:val="Emphasis"/>
              </w:rPr>
              <w:t>13.3</w:t>
            </w:r>
          </w:p>
        </w:tc>
        <w:tc>
          <w:tcPr>
            <w:tcW w:w="6489" w:type="dxa"/>
            <w:vAlign w:val="bottom"/>
          </w:tcPr>
          <w:p w:rsidR="005F3385" w:rsidRDefault="004E0CD4" w:rsidP="008D24BE">
            <w:pPr>
              <w:pStyle w:val="Bodywithspecialindent"/>
              <w:spacing w:beforeLines="40" w:before="96" w:after="120"/>
              <w:ind w:left="0" w:firstLine="0"/>
              <w:rPr>
                <w:rFonts w:cs="Arial"/>
              </w:rPr>
            </w:pPr>
            <w:r w:rsidRPr="00582979">
              <w:rPr>
                <w:rFonts w:cs="Arial"/>
              </w:rPr>
              <w:t xml:space="preserve">The </w:t>
            </w:r>
            <w:r>
              <w:rPr>
                <w:rFonts w:cs="Arial"/>
              </w:rPr>
              <w:t xml:space="preserve">appropriate </w:t>
            </w:r>
            <w:r w:rsidRPr="00582979">
              <w:rPr>
                <w:rFonts w:cs="Arial"/>
              </w:rPr>
              <w:t>State</w:t>
            </w:r>
            <w:r>
              <w:rPr>
                <w:rFonts w:cs="Arial"/>
              </w:rPr>
              <w:t xml:space="preserve"> entity</w:t>
            </w:r>
            <w:r w:rsidRPr="00582979">
              <w:rPr>
                <w:rFonts w:cs="Arial"/>
              </w:rPr>
              <w:t xml:space="preserve"> has appropriate agreements in place </w:t>
            </w:r>
            <w:r>
              <w:rPr>
                <w:rFonts w:cs="Arial"/>
              </w:rPr>
              <w:t xml:space="preserve">and capacity </w:t>
            </w:r>
            <w:r w:rsidRPr="00582979">
              <w:rPr>
                <w:rFonts w:cs="Arial"/>
              </w:rPr>
              <w:t>to manage and operate a Navigator program and to establish and operate an in-person assistance program for a State Partnership Exchange.</w:t>
            </w:r>
          </w:p>
        </w:tc>
        <w:tc>
          <w:tcPr>
            <w:tcW w:w="630" w:type="dxa"/>
            <w:shd w:val="clear" w:color="auto" w:fill="FFFFFF" w:themeFill="background1"/>
          </w:tcPr>
          <w:p w:rsidR="004E0CD4" w:rsidRPr="00FF7EC9" w:rsidRDefault="004E0CD4" w:rsidP="00743767">
            <w:pPr>
              <w:pStyle w:val="Bodywithspecialindent"/>
              <w:spacing w:before="40" w:after="120"/>
              <w:ind w:left="0" w:firstLine="0"/>
              <w:jc w:val="center"/>
              <w:rPr>
                <w:rStyle w:val="IntenseEmphasis"/>
              </w:rPr>
            </w:pPr>
          </w:p>
        </w:tc>
        <w:tc>
          <w:tcPr>
            <w:tcW w:w="925" w:type="dxa"/>
            <w:shd w:val="clear" w:color="auto" w:fill="FFFFFF" w:themeFill="background1"/>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808080" w:themeFill="background1" w:themeFillShade="80"/>
          </w:tcPr>
          <w:p w:rsidR="004E0CD4" w:rsidRPr="00FF7EC9" w:rsidRDefault="004E0CD4" w:rsidP="00743767">
            <w:pPr>
              <w:pStyle w:val="Bodywithspecialindent"/>
              <w:spacing w:before="40" w:after="120"/>
              <w:ind w:left="0" w:firstLine="0"/>
              <w:rPr>
                <w:rStyle w:val="Heading2Char"/>
              </w:rPr>
            </w:pPr>
          </w:p>
        </w:tc>
        <w:tc>
          <w:tcPr>
            <w:tcW w:w="1170" w:type="dxa"/>
            <w:shd w:val="clear" w:color="auto" w:fill="808080" w:themeFill="background1" w:themeFillShade="80"/>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8D24BE">
            <w:pPr>
              <w:pStyle w:val="Bodywithspecialindent"/>
              <w:spacing w:beforeLines="40" w:before="96" w:after="120"/>
              <w:rPr>
                <w:rStyle w:val="Emphasis"/>
              </w:rPr>
            </w:pPr>
            <w:r>
              <w:rPr>
                <w:rStyle w:val="Emphasis"/>
              </w:rPr>
              <w:t>13.3a</w:t>
            </w:r>
          </w:p>
        </w:tc>
        <w:tc>
          <w:tcPr>
            <w:tcW w:w="6489" w:type="dxa"/>
            <w:shd w:val="clear" w:color="auto" w:fill="auto"/>
            <w:vAlign w:val="bottom"/>
          </w:tcPr>
          <w:p w:rsidR="005F3385" w:rsidRDefault="004E0CD4" w:rsidP="008D24BE">
            <w:pPr>
              <w:pStyle w:val="Bodywithspecialindent"/>
              <w:spacing w:beforeLines="40" w:before="96" w:after="120"/>
              <w:ind w:left="0" w:firstLine="0"/>
            </w:pPr>
            <w:r w:rsidRPr="00582979">
              <w:t>The appropriate State entity has established or has a process in place to support, administer, and oversee (as applicable) aspects of the F</w:t>
            </w:r>
            <w:r>
              <w:t>ederally-facilitated Exchange</w:t>
            </w:r>
            <w:r w:rsidRPr="00582979">
              <w:t xml:space="preserve"> Navigator program consistent with the applicable requirements of 45 CFR 155.210, including ensuring that Navigators are adhering to the training and conflict of interest standards established by the F</w:t>
            </w:r>
            <w:r>
              <w:t>ederally-facilitated Exchange</w:t>
            </w:r>
            <w:r w:rsidRPr="00582979">
              <w:t xml:space="preserve"> and to the privacy and security standards developed by the F</w:t>
            </w:r>
            <w:r>
              <w:t>ederally-facilitated Exchange</w:t>
            </w:r>
            <w:r w:rsidRPr="00582979">
              <w:t xml:space="preserve"> pursuant to 45 CFR 155.260</w:t>
            </w:r>
            <w:r>
              <w:t>.</w:t>
            </w:r>
          </w:p>
        </w:tc>
        <w:tc>
          <w:tcPr>
            <w:tcW w:w="630" w:type="dxa"/>
            <w:shd w:val="clear" w:color="auto" w:fill="auto"/>
          </w:tcPr>
          <w:p w:rsidR="004E0CD4" w:rsidRPr="00FF7EC9" w:rsidRDefault="004E0CD4" w:rsidP="00743767">
            <w:pPr>
              <w:pStyle w:val="Bodywithspecialindent"/>
              <w:spacing w:before="40" w:after="120"/>
              <w:ind w:left="0" w:firstLine="0"/>
              <w:jc w:val="center"/>
              <w:rPr>
                <w:rStyle w:val="IntenseEmphasis"/>
              </w:rPr>
            </w:pPr>
          </w:p>
        </w:tc>
        <w:tc>
          <w:tcPr>
            <w:tcW w:w="925" w:type="dxa"/>
            <w:shd w:val="clear" w:color="auto" w:fill="auto"/>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7F7F7F" w:themeFill="text1" w:themeFillTint="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7F7F7F" w:themeFill="text1" w:themeFillTint="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7F7F7F" w:themeFill="text1" w:themeFillTint="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auto"/>
          </w:tcPr>
          <w:p w:rsidR="004E0CD4" w:rsidRPr="00FF7EC9" w:rsidRDefault="004E0CD4" w:rsidP="00085CAF">
            <w:pPr>
              <w:pStyle w:val="Bodywithspecialindent"/>
              <w:spacing w:before="40" w:after="120"/>
              <w:ind w:left="0" w:firstLine="0"/>
              <w:rPr>
                <w:rStyle w:val="Heading2Char"/>
              </w:rPr>
            </w:pPr>
            <w:r w:rsidRPr="00582979">
              <w:rPr>
                <w:rFonts w:cs="Arial"/>
              </w:rPr>
              <w:t>Brief description of the appropriate State entity’s plan to operate a Navigator program, including how it will ensure Navigators are appropriately trained and meet the F</w:t>
            </w:r>
            <w:r>
              <w:rPr>
                <w:rFonts w:cs="Arial"/>
              </w:rPr>
              <w:t>ederally-facilitated Exchange</w:t>
            </w:r>
            <w:r w:rsidRPr="00582979">
              <w:rPr>
                <w:rFonts w:cs="Arial"/>
              </w:rPr>
              <w:t>’s conflict of interest, privacy and security standards.</w:t>
            </w:r>
          </w:p>
        </w:tc>
        <w:tc>
          <w:tcPr>
            <w:tcW w:w="1170" w:type="dxa"/>
            <w:shd w:val="clear" w:color="auto" w:fill="auto"/>
          </w:tcPr>
          <w:p w:rsidR="004E0CD4" w:rsidRPr="00FF7EC9" w:rsidRDefault="004E0CD4" w:rsidP="00743767">
            <w:pPr>
              <w:pStyle w:val="Bodywithspecialindent"/>
              <w:spacing w:before="40" w:after="120"/>
              <w:ind w:left="0" w:firstLine="0"/>
              <w:rPr>
                <w:rStyle w:val="IntenseEmphasis"/>
              </w:rPr>
            </w:pPr>
          </w:p>
        </w:tc>
      </w:tr>
      <w:tr w:rsidR="004E0CD4" w:rsidRPr="00FF7EC9">
        <w:tc>
          <w:tcPr>
            <w:tcW w:w="819" w:type="dxa"/>
          </w:tcPr>
          <w:p w:rsidR="004E0CD4" w:rsidRPr="00FF7EC9" w:rsidRDefault="004E0CD4" w:rsidP="008D24BE">
            <w:pPr>
              <w:pStyle w:val="Bodywithspecialindent"/>
              <w:spacing w:beforeLines="40" w:before="96" w:after="120"/>
              <w:rPr>
                <w:rStyle w:val="Emphasis"/>
              </w:rPr>
            </w:pPr>
            <w:r>
              <w:rPr>
                <w:rStyle w:val="Emphasis"/>
              </w:rPr>
              <w:t>13.3b</w:t>
            </w:r>
          </w:p>
        </w:tc>
        <w:tc>
          <w:tcPr>
            <w:tcW w:w="6489" w:type="dxa"/>
            <w:shd w:val="clear" w:color="auto" w:fill="auto"/>
            <w:vAlign w:val="bottom"/>
          </w:tcPr>
          <w:p w:rsidR="005F3385" w:rsidRDefault="004E0CD4" w:rsidP="008D24BE">
            <w:pPr>
              <w:pStyle w:val="Bodywithspecialindent"/>
              <w:spacing w:beforeLines="40" w:before="96" w:after="120"/>
              <w:ind w:left="0" w:firstLine="0"/>
              <w:rPr>
                <w:rFonts w:cs="Arial"/>
              </w:rPr>
            </w:pPr>
            <w:r w:rsidRPr="00582979">
              <w:t xml:space="preserve">The appropriate State entity has established an in-person assistance program distinct from the Navigator program, and </w:t>
            </w:r>
            <w:r>
              <w:t xml:space="preserve">has </w:t>
            </w:r>
            <w:r w:rsidRPr="00582979">
              <w:t>a process in place to operate the program consistent with F</w:t>
            </w:r>
            <w:r>
              <w:t>ederally-facilitated Exchange</w:t>
            </w:r>
            <w:r w:rsidRPr="00582979">
              <w:t xml:space="preserve"> guidance, policies and </w:t>
            </w:r>
            <w:r w:rsidRPr="00582979">
              <w:lastRenderedPageBreak/>
              <w:t xml:space="preserve">procedures.  </w:t>
            </w:r>
          </w:p>
        </w:tc>
        <w:tc>
          <w:tcPr>
            <w:tcW w:w="630" w:type="dxa"/>
            <w:shd w:val="clear" w:color="auto" w:fill="auto"/>
          </w:tcPr>
          <w:p w:rsidR="004E0CD4" w:rsidRPr="00FF7EC9" w:rsidRDefault="004E0CD4" w:rsidP="00743767">
            <w:pPr>
              <w:pStyle w:val="Bodywithspecialindent"/>
              <w:spacing w:before="40" w:after="120"/>
              <w:ind w:left="0" w:firstLine="0"/>
              <w:jc w:val="center"/>
              <w:rPr>
                <w:rStyle w:val="IntenseEmphasis"/>
              </w:rPr>
            </w:pPr>
          </w:p>
        </w:tc>
        <w:tc>
          <w:tcPr>
            <w:tcW w:w="925" w:type="dxa"/>
            <w:shd w:val="clear" w:color="auto" w:fill="auto"/>
          </w:tcPr>
          <w:p w:rsidR="004E0CD4" w:rsidRPr="00FF7EC9" w:rsidRDefault="004E0CD4" w:rsidP="00743767">
            <w:pPr>
              <w:pStyle w:val="Bodywithspecialindent"/>
              <w:spacing w:before="40" w:after="120"/>
              <w:ind w:left="0" w:firstLine="0"/>
              <w:jc w:val="center"/>
              <w:rPr>
                <w:rStyle w:val="IntenseEmphasis"/>
              </w:rPr>
            </w:pPr>
          </w:p>
        </w:tc>
        <w:tc>
          <w:tcPr>
            <w:tcW w:w="892" w:type="dxa"/>
            <w:shd w:val="clear" w:color="auto" w:fill="7F7F7F" w:themeFill="text1" w:themeFillTint="80"/>
          </w:tcPr>
          <w:p w:rsidR="004E0CD4" w:rsidRPr="00FF7EC9" w:rsidRDefault="004E0CD4" w:rsidP="00743767">
            <w:pPr>
              <w:pStyle w:val="Bodywithspecialindent"/>
              <w:spacing w:before="40" w:after="120"/>
              <w:ind w:left="0" w:firstLine="0"/>
              <w:rPr>
                <w:rStyle w:val="IntenseEmphasis"/>
              </w:rPr>
            </w:pPr>
          </w:p>
        </w:tc>
        <w:tc>
          <w:tcPr>
            <w:tcW w:w="812" w:type="dxa"/>
            <w:shd w:val="clear" w:color="auto" w:fill="7F7F7F" w:themeFill="text1" w:themeFillTint="80"/>
          </w:tcPr>
          <w:p w:rsidR="004E0CD4" w:rsidRPr="00FF7EC9" w:rsidRDefault="004E0CD4" w:rsidP="00743767">
            <w:pPr>
              <w:pStyle w:val="Bodywithspecialindent"/>
              <w:spacing w:before="40" w:after="120"/>
              <w:ind w:left="0" w:firstLine="0"/>
              <w:rPr>
                <w:rStyle w:val="IntenseEmphasis"/>
              </w:rPr>
            </w:pPr>
          </w:p>
        </w:tc>
        <w:tc>
          <w:tcPr>
            <w:tcW w:w="635" w:type="dxa"/>
            <w:shd w:val="clear" w:color="auto" w:fill="7F7F7F" w:themeFill="text1" w:themeFillTint="80"/>
          </w:tcPr>
          <w:p w:rsidR="004E0CD4" w:rsidRPr="00FF7EC9" w:rsidRDefault="004E0CD4" w:rsidP="00743767">
            <w:pPr>
              <w:pStyle w:val="Bodywithspecialindent"/>
              <w:spacing w:before="40" w:after="120"/>
              <w:ind w:left="0" w:firstLine="0"/>
              <w:rPr>
                <w:rStyle w:val="IntenseEmphasis"/>
              </w:rPr>
            </w:pPr>
          </w:p>
        </w:tc>
        <w:tc>
          <w:tcPr>
            <w:tcW w:w="5761" w:type="dxa"/>
            <w:shd w:val="clear" w:color="auto" w:fill="auto"/>
          </w:tcPr>
          <w:p w:rsidR="004E0CD4" w:rsidRPr="00FF7EC9" w:rsidRDefault="004E0CD4" w:rsidP="00085CAF">
            <w:pPr>
              <w:pStyle w:val="Bodywithspecialindent"/>
              <w:spacing w:before="40" w:after="120"/>
              <w:ind w:left="0" w:firstLine="0"/>
              <w:rPr>
                <w:rStyle w:val="Heading2Char"/>
              </w:rPr>
            </w:pPr>
            <w:commentRangeStart w:id="23"/>
            <w:r w:rsidRPr="00582979">
              <w:rPr>
                <w:rFonts w:cs="Arial"/>
              </w:rPr>
              <w:t>Brief description of the appropriate State entity’s plan to operate an in-person assistance program including documentation outlining how it will meet the requirements set out in F</w:t>
            </w:r>
            <w:r>
              <w:rPr>
                <w:rFonts w:cs="Arial"/>
              </w:rPr>
              <w:t>ederally-facilitated Exchange</w:t>
            </w:r>
            <w:r w:rsidRPr="00582979">
              <w:rPr>
                <w:rFonts w:cs="Arial"/>
              </w:rPr>
              <w:t xml:space="preserve"> guidance, policies and procedures.</w:t>
            </w:r>
            <w:commentRangeEnd w:id="23"/>
            <w:r w:rsidR="00003AF2">
              <w:rPr>
                <w:rStyle w:val="CommentReference"/>
                <w:rFonts w:asciiTheme="minorHAnsi" w:hAnsiTheme="minorHAnsi"/>
              </w:rPr>
              <w:commentReference w:id="23"/>
            </w:r>
          </w:p>
        </w:tc>
        <w:tc>
          <w:tcPr>
            <w:tcW w:w="1170" w:type="dxa"/>
            <w:shd w:val="clear" w:color="auto" w:fill="auto"/>
          </w:tcPr>
          <w:p w:rsidR="004E0CD4" w:rsidRPr="00FF7EC9" w:rsidRDefault="004E0CD4" w:rsidP="00743767">
            <w:pPr>
              <w:pStyle w:val="Bodywithspecialindent"/>
              <w:spacing w:before="40" w:after="120"/>
              <w:ind w:left="0" w:firstLine="0"/>
              <w:rPr>
                <w:rStyle w:val="IntenseEmphasis"/>
              </w:rPr>
            </w:pPr>
          </w:p>
        </w:tc>
      </w:tr>
    </w:tbl>
    <w:p w:rsidR="00102BD6" w:rsidRDefault="00102BD6" w:rsidP="00A4652B">
      <w:pPr>
        <w:pStyle w:val="NoSpacing"/>
      </w:pPr>
    </w:p>
    <w:p w:rsidR="00102BD6" w:rsidRDefault="00102BD6" w:rsidP="00102BD6">
      <w:pPr>
        <w:rPr>
          <w:rFonts w:ascii="Arial" w:hAnsi="Arial"/>
        </w:rPr>
      </w:pPr>
      <w:r>
        <w:br w:type="page"/>
      </w:r>
    </w:p>
    <w:p w:rsidR="00383BA7" w:rsidRDefault="00937B40" w:rsidP="00A4652B">
      <w:pPr>
        <w:pStyle w:val="NoSpacing"/>
      </w:pPr>
      <w:r>
        <w:lastRenderedPageBreak/>
        <w:br w:type="textWrapping" w:clear="all"/>
      </w:r>
    </w:p>
    <w:p w:rsidR="00383BA7" w:rsidRDefault="00383BA7" w:rsidP="00A4652B">
      <w:pPr>
        <w:pStyle w:val="NoSpacing"/>
      </w:pPr>
    </w:p>
    <w:tbl>
      <w:tblPr>
        <w:tblStyle w:val="TableGrid"/>
        <w:tblW w:w="0" w:type="auto"/>
        <w:tblLook w:val="04A0" w:firstRow="1" w:lastRow="0" w:firstColumn="1" w:lastColumn="0" w:noHBand="0" w:noVBand="1"/>
      </w:tblPr>
      <w:tblGrid>
        <w:gridCol w:w="6678"/>
        <w:gridCol w:w="7200"/>
      </w:tblGrid>
      <w:tr w:rsidR="00750D40">
        <w:trPr>
          <w:cantSplit/>
          <w:trHeight w:val="837"/>
        </w:trPr>
        <w:tc>
          <w:tcPr>
            <w:tcW w:w="13878" w:type="dxa"/>
            <w:gridSpan w:val="2"/>
          </w:tcPr>
          <w:p w:rsidR="00750D40" w:rsidRPr="002805B2" w:rsidRDefault="00750D40" w:rsidP="00D92A5E">
            <w:pPr>
              <w:spacing w:before="40" w:after="120"/>
            </w:pPr>
            <w:r w:rsidRPr="00D92A5E">
              <w:rPr>
                <w:rFonts w:ascii="Arial" w:hAnsi="Arial" w:cs="Arial"/>
                <w:b/>
                <w:sz w:val="28"/>
                <w:szCs w:val="28"/>
                <w:u w:val="single"/>
              </w:rPr>
              <w:t>Relevant File Uploads</w:t>
            </w:r>
            <w:r>
              <w:rPr>
                <w:rFonts w:ascii="Arial" w:hAnsi="Arial" w:cs="Arial"/>
                <w:b/>
              </w:rPr>
              <w:br/>
            </w:r>
            <w:r w:rsidRPr="00750D40">
              <w:rPr>
                <w:rFonts w:ascii="Arial" w:hAnsi="Arial" w:cs="Arial"/>
              </w:rPr>
              <w:t>The following files should be uploaded as applicable.  Files should be clearly labeled with the appropriate activity(ie</w:t>
            </w:r>
            <w:r w:rsidR="00515198">
              <w:rPr>
                <w:rFonts w:ascii="Arial" w:hAnsi="Arial" w:cs="Arial"/>
              </w:rPr>
              <w:t>s).  Depending on the Exchange a</w:t>
            </w:r>
            <w:r w:rsidRPr="00750D40">
              <w:rPr>
                <w:rFonts w:ascii="Arial" w:hAnsi="Arial" w:cs="Arial"/>
              </w:rPr>
              <w:t xml:space="preserve">ctivity being tested, a given document or file may encompass </w:t>
            </w:r>
            <w:r w:rsidRPr="00800129">
              <w:rPr>
                <w:rFonts w:ascii="Arial" w:hAnsi="Arial" w:cs="Arial"/>
              </w:rPr>
              <w:t xml:space="preserve">multiple activities.  In such cases, please note any file cross-referencing and clearly label the activities within the attachments.  States do not need to upload the same file multiple times.  </w:t>
            </w:r>
          </w:p>
        </w:tc>
      </w:tr>
      <w:tr w:rsidR="00750D40">
        <w:trPr>
          <w:cantSplit/>
          <w:trHeight w:val="629"/>
        </w:trPr>
        <w:tc>
          <w:tcPr>
            <w:tcW w:w="6678" w:type="dxa"/>
            <w:vAlign w:val="center"/>
          </w:tcPr>
          <w:p w:rsidR="00750D40" w:rsidRPr="002805B2" w:rsidRDefault="00750D40" w:rsidP="007373EA">
            <w:pPr>
              <w:rPr>
                <w:rFonts w:ascii="Arial" w:hAnsi="Arial" w:cs="Arial"/>
                <w:b/>
              </w:rPr>
            </w:pPr>
            <w:r>
              <w:rPr>
                <w:rFonts w:ascii="Arial" w:hAnsi="Arial" w:cs="Arial"/>
                <w:b/>
              </w:rPr>
              <w:t>Testing Files</w:t>
            </w:r>
          </w:p>
        </w:tc>
        <w:tc>
          <w:tcPr>
            <w:tcW w:w="7200" w:type="dxa"/>
          </w:tcPr>
          <w:p w:rsidR="00750D40" w:rsidRDefault="004C1448" w:rsidP="009E7604">
            <w:pPr>
              <w:pStyle w:val="Heading3"/>
              <w:outlineLvl w:val="2"/>
              <w:rPr>
                <w:noProof/>
              </w:rPr>
            </w:pPr>
            <w:r>
              <w:rPr>
                <w:noProof/>
              </w:rPr>
              <w:pict>
                <v:rect id="Rectangle 10" o:spid="_x0000_s1026" alt="Description: Browse Button" style="position:absolute;margin-left:141.65pt;margin-top:4.4pt;width:44.85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" fillcolor="white [2577]" strokecolor="black [3040]">
                  <v:fill color2="#4c4c4c [961]" rotate="t" focusposition=".5,.5" focussize="" focus="100%" type="gradientRadial"/>
                  <v:shadow on="t" opacity="24903f" origin=",.5" offset="0,.55556mm"/>
                  <v:path arrowok="t"/>
                  <v:textbox>
                    <w:txbxContent>
                      <w:p w:rsidR="00E87E49" w:rsidRPr="007779D0" w:rsidRDefault="00E87E49" w:rsidP="002805B2">
                        <w:pPr>
                          <w:jc w:val="center"/>
                          <w:rPr>
                            <w:sz w:val="18"/>
                            <w:szCs w:val="18"/>
                          </w:rPr>
                        </w:pPr>
                        <w:r w:rsidRPr="007779D0">
                          <w:rPr>
                            <w:sz w:val="18"/>
                            <w:szCs w:val="18"/>
                          </w:rPr>
                          <w:t>Browse</w:t>
                        </w:r>
                      </w:p>
                    </w:txbxContent>
                  </v:textbox>
                </v:rect>
              </w:pict>
            </w:r>
          </w:p>
        </w:tc>
      </w:tr>
      <w:tr w:rsidR="00750D40">
        <w:trPr>
          <w:cantSplit/>
          <w:trHeight w:val="611"/>
        </w:trPr>
        <w:tc>
          <w:tcPr>
            <w:tcW w:w="6678" w:type="dxa"/>
            <w:vAlign w:val="center"/>
          </w:tcPr>
          <w:p w:rsidR="00750D40" w:rsidRPr="002805B2" w:rsidRDefault="00750D40" w:rsidP="007373EA">
            <w:pPr>
              <w:rPr>
                <w:rFonts w:ascii="Arial" w:hAnsi="Arial" w:cs="Arial"/>
                <w:b/>
              </w:rPr>
            </w:pPr>
            <w:r>
              <w:rPr>
                <w:rFonts w:ascii="Arial" w:hAnsi="Arial" w:cs="Arial"/>
                <w:b/>
              </w:rPr>
              <w:t>Supporting Documentation</w:t>
            </w:r>
          </w:p>
        </w:tc>
        <w:tc>
          <w:tcPr>
            <w:tcW w:w="7200" w:type="dxa"/>
          </w:tcPr>
          <w:p w:rsidR="00750D40" w:rsidRDefault="004C1448" w:rsidP="009E7604">
            <w:pPr>
              <w:pStyle w:val="Heading3"/>
              <w:outlineLvl w:val="2"/>
              <w:rPr>
                <w:noProof/>
              </w:rPr>
            </w:pPr>
            <w:r>
              <w:rPr>
                <w:noProof/>
              </w:rPr>
              <w:pict>
                <v:rect id="Rectangle 7" o:spid="_x0000_s1027" alt="Description: Browse Button" style="position:absolute;margin-left:141.65pt;margin-top:5.1pt;width:44.85pt;height:2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" fillcolor="white [2577]" strokecolor="black [3040]">
                  <v:fill color2="#4c4c4c [961]" rotate="t" focusposition=".5,.5" focussize="" focus="100%" type="gradientRadial"/>
                  <v:shadow on="t" opacity="24903f" origin=",.5" offset="0,.55556mm"/>
                  <v:path arrowok="t"/>
                  <v:textbox>
                    <w:txbxContent>
                      <w:p w:rsidR="00E87E49" w:rsidRPr="007779D0" w:rsidRDefault="00E87E49" w:rsidP="00750D40">
                        <w:pPr>
                          <w:jc w:val="center"/>
                          <w:rPr>
                            <w:sz w:val="18"/>
                            <w:szCs w:val="18"/>
                          </w:rPr>
                        </w:pPr>
                        <w:r w:rsidRPr="007779D0">
                          <w:rPr>
                            <w:sz w:val="18"/>
                            <w:szCs w:val="18"/>
                          </w:rPr>
                          <w:t>Browse</w:t>
                        </w:r>
                      </w:p>
                    </w:txbxContent>
                  </v:textbox>
                </v:rect>
              </w:pict>
            </w:r>
          </w:p>
        </w:tc>
      </w:tr>
      <w:tr w:rsidR="00750D40">
        <w:trPr>
          <w:cantSplit/>
          <w:trHeight w:val="890"/>
        </w:trPr>
        <w:tc>
          <w:tcPr>
            <w:tcW w:w="6678" w:type="dxa"/>
            <w:vAlign w:val="center"/>
          </w:tcPr>
          <w:p w:rsidR="00750D40" w:rsidRPr="00750D40" w:rsidRDefault="00750D40" w:rsidP="007373EA">
            <w:pPr>
              <w:rPr>
                <w:rFonts w:ascii="Arial" w:hAnsi="Arial" w:cs="Arial"/>
                <w:b/>
              </w:rPr>
            </w:pPr>
            <w:r w:rsidRPr="00750D40">
              <w:rPr>
                <w:rFonts w:ascii="Arial" w:hAnsi="Arial" w:cs="Arial"/>
                <w:b/>
              </w:rPr>
              <w:t xml:space="preserve">Letter(s) from HHS allowing an applicant to waive out of any </w:t>
            </w:r>
            <w:r w:rsidR="002E3A48">
              <w:rPr>
                <w:rFonts w:ascii="Arial" w:hAnsi="Arial" w:cs="Arial"/>
                <w:b/>
              </w:rPr>
              <w:t xml:space="preserve">supporting documentation and/or testing file </w:t>
            </w:r>
            <w:r w:rsidRPr="00750D40">
              <w:rPr>
                <w:rFonts w:ascii="Arial" w:hAnsi="Arial" w:cs="Arial"/>
                <w:b/>
              </w:rPr>
              <w:t>requirements given successful completion of an</w:t>
            </w:r>
            <w:r w:rsidR="00CD51BD">
              <w:rPr>
                <w:rFonts w:ascii="Arial" w:hAnsi="Arial" w:cs="Arial"/>
                <w:b/>
              </w:rPr>
              <w:t xml:space="preserve"> activity through</w:t>
            </w:r>
            <w:r w:rsidRPr="00750D40">
              <w:rPr>
                <w:rFonts w:ascii="Arial" w:hAnsi="Arial" w:cs="Arial"/>
                <w:b/>
              </w:rPr>
              <w:t xml:space="preserve"> Establishment Review(s)</w:t>
            </w:r>
          </w:p>
        </w:tc>
        <w:tc>
          <w:tcPr>
            <w:tcW w:w="7200" w:type="dxa"/>
          </w:tcPr>
          <w:p w:rsidR="00750D40" w:rsidRDefault="004C1448" w:rsidP="009E7604">
            <w:pPr>
              <w:pStyle w:val="Heading3"/>
              <w:outlineLvl w:val="2"/>
              <w:rPr>
                <w:noProof/>
              </w:rPr>
            </w:pPr>
            <w:r>
              <w:rPr>
                <w:noProof/>
              </w:rPr>
              <w:pict>
                <v:rect id="Rectangle 8" o:spid="_x0000_s1028" alt="Description: Browse Button" style="position:absolute;margin-left:141.65pt;margin-top:10.6pt;width:44.85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" fillcolor="white [2577]" strokecolor="black [3040]">
                  <v:fill color2="#4c4c4c [961]" rotate="t" focusposition=".5,.5" focussize="" focus="100%" type="gradientRadial"/>
                  <v:shadow on="t" opacity="24903f" origin=",.5" offset="0,.55556mm"/>
                  <v:path arrowok="t"/>
                  <v:textbox>
                    <w:txbxContent>
                      <w:p w:rsidR="00E87E49" w:rsidRPr="007779D0" w:rsidRDefault="00E87E49" w:rsidP="00750D40">
                        <w:pPr>
                          <w:jc w:val="center"/>
                          <w:rPr>
                            <w:sz w:val="18"/>
                            <w:szCs w:val="18"/>
                          </w:rPr>
                        </w:pPr>
                        <w:r w:rsidRPr="007779D0">
                          <w:rPr>
                            <w:sz w:val="18"/>
                            <w:szCs w:val="18"/>
                          </w:rPr>
                          <w:t>Browse</w:t>
                        </w:r>
                      </w:p>
                    </w:txbxContent>
                  </v:textbox>
                </v:rect>
              </w:pict>
            </w:r>
          </w:p>
        </w:tc>
      </w:tr>
      <w:tr w:rsidR="00750D40">
        <w:trPr>
          <w:cantSplit/>
          <w:trHeight w:val="620"/>
        </w:trPr>
        <w:tc>
          <w:tcPr>
            <w:tcW w:w="6678" w:type="dxa"/>
            <w:vAlign w:val="center"/>
          </w:tcPr>
          <w:p w:rsidR="00750D40" w:rsidRPr="00750D40" w:rsidRDefault="00750D40" w:rsidP="007373EA">
            <w:pPr>
              <w:rPr>
                <w:rFonts w:ascii="Arial" w:hAnsi="Arial" w:cs="Arial"/>
                <w:b/>
              </w:rPr>
            </w:pPr>
            <w:r w:rsidRPr="00750D40">
              <w:rPr>
                <w:rFonts w:ascii="Arial" w:hAnsi="Arial" w:cs="Arial"/>
                <w:b/>
              </w:rPr>
              <w:t xml:space="preserve">Expected Completion Work Plan and Timeframes </w:t>
            </w:r>
          </w:p>
          <w:p w:rsidR="00750D40" w:rsidRPr="00750D40" w:rsidRDefault="00750D40" w:rsidP="007373EA">
            <w:pPr>
              <w:rPr>
                <w:rFonts w:ascii="Arial" w:hAnsi="Arial" w:cs="Arial"/>
              </w:rPr>
            </w:pPr>
          </w:p>
        </w:tc>
        <w:tc>
          <w:tcPr>
            <w:tcW w:w="7200" w:type="dxa"/>
          </w:tcPr>
          <w:p w:rsidR="00750D40" w:rsidRDefault="004C1448" w:rsidP="009E7604">
            <w:pPr>
              <w:pStyle w:val="Heading3"/>
              <w:outlineLvl w:val="2"/>
              <w:rPr>
                <w:noProof/>
              </w:rPr>
            </w:pPr>
            <w:r>
              <w:rPr>
                <w:noProof/>
              </w:rPr>
              <w:pict>
                <v:rect id="Rectangle 9" o:spid="_x0000_s1029" alt="Description: Browse Button" style="position:absolute;margin-left:141.65pt;margin-top:3.25pt;width:44.85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" fillcolor="white [2577]" strokecolor="black [3040]">
                  <v:fill color2="#4c4c4c [961]" rotate="t" focusposition=".5,.5" focussize="" focus="100%" type="gradientRadial"/>
                  <v:shadow on="t" opacity="24903f" origin=",.5" offset="0,.55556mm"/>
                  <v:path arrowok="t"/>
                  <v:textbox>
                    <w:txbxContent>
                      <w:p w:rsidR="00E87E49" w:rsidRPr="007779D0" w:rsidRDefault="00E87E49" w:rsidP="00750D40">
                        <w:pPr>
                          <w:jc w:val="center"/>
                          <w:rPr>
                            <w:sz w:val="18"/>
                            <w:szCs w:val="18"/>
                          </w:rPr>
                        </w:pPr>
                        <w:r w:rsidRPr="007779D0">
                          <w:rPr>
                            <w:sz w:val="18"/>
                            <w:szCs w:val="18"/>
                          </w:rPr>
                          <w:t>Browse</w:t>
                        </w:r>
                      </w:p>
                    </w:txbxContent>
                  </v:textbox>
                </v:rect>
              </w:pict>
            </w:r>
          </w:p>
        </w:tc>
      </w:tr>
      <w:tr w:rsidR="002805B2">
        <w:trPr>
          <w:cantSplit/>
        </w:trPr>
        <w:tc>
          <w:tcPr>
            <w:tcW w:w="6678" w:type="dxa"/>
          </w:tcPr>
          <w:p w:rsidR="002805B2" w:rsidRPr="002E3A48" w:rsidRDefault="002E3A48" w:rsidP="002E3A48">
            <w:pPr>
              <w:rPr>
                <w:rFonts w:ascii="Arial" w:hAnsi="Arial" w:cs="Arial"/>
                <w:b/>
              </w:rPr>
            </w:pPr>
            <w:r>
              <w:rPr>
                <w:rFonts w:ascii="Arial" w:hAnsi="Arial" w:cs="Arial"/>
                <w:b/>
              </w:rPr>
              <w:t>Please provide any additional comments related to completion of this Application</w:t>
            </w:r>
          </w:p>
        </w:tc>
        <w:tc>
          <w:tcPr>
            <w:tcW w:w="7200" w:type="dxa"/>
          </w:tcPr>
          <w:p w:rsidR="002805B2" w:rsidRDefault="002805B2" w:rsidP="009E7604">
            <w:pPr>
              <w:pStyle w:val="Heading3"/>
              <w:outlineLvl w:val="2"/>
            </w:pPr>
          </w:p>
          <w:p w:rsidR="002805B2" w:rsidRDefault="002805B2" w:rsidP="002805B2"/>
          <w:p w:rsidR="002805B2" w:rsidRDefault="002805B2" w:rsidP="002805B2"/>
          <w:p w:rsidR="002805B2" w:rsidRPr="002805B2" w:rsidRDefault="002805B2" w:rsidP="002805B2"/>
        </w:tc>
      </w:tr>
    </w:tbl>
    <w:p w:rsidR="000F6FF9" w:rsidRPr="00610835" w:rsidRDefault="000F6FF9" w:rsidP="00610835"/>
    <w:sectPr w:rsidR="000F6FF9" w:rsidRPr="00610835" w:rsidSect="00C63B0D">
      <w:pgSz w:w="20160" w:h="12240" w:orient="landscape" w:code="5"/>
      <w:pgMar w:top="1152" w:right="1152" w:bottom="1008" w:left="1008" w:header="720" w:footer="288"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User" w:date="2012-08-02T19:29:00Z" w:initials="U">
    <w:p w:rsidR="00E87E49" w:rsidRDefault="00E87E49">
      <w:pPr>
        <w:pStyle w:val="CommentText"/>
      </w:pPr>
      <w:r>
        <w:rPr>
          <w:rStyle w:val="CommentReference"/>
        </w:rPr>
        <w:annotationRef/>
      </w:r>
      <w:r>
        <w:t>Why are there new Xes in this column?  When a state is doing minimal consumer assistance, do they really need to adhere to these overgith, monitoring, reporting requirements?</w:t>
      </w:r>
    </w:p>
  </w:comment>
  <w:comment w:id="23" w:author="User" w:date="2012-08-08T13:39:00Z" w:initials="U">
    <w:p w:rsidR="00E87E49" w:rsidRDefault="00E87E49">
      <w:pPr>
        <w:pStyle w:val="CommentText"/>
      </w:pPr>
      <w:r>
        <w:rPr>
          <w:rStyle w:val="CommentReference"/>
        </w:rPr>
        <w:annotationRef/>
      </w:r>
      <w:r>
        <w:t>Why are the state roles different for Navigators versus assisters (e.g., conflict of interest and privacy and security standards)?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48" w:rsidRDefault="004C1448" w:rsidP="009F6124">
      <w:pPr>
        <w:spacing w:after="0" w:line="240" w:lineRule="auto"/>
      </w:pPr>
      <w:r>
        <w:separator/>
      </w:r>
    </w:p>
    <w:p w:rsidR="004C1448" w:rsidRDefault="004C1448"/>
  </w:endnote>
  <w:endnote w:type="continuationSeparator" w:id="0">
    <w:p w:rsidR="004C1448" w:rsidRDefault="004C1448" w:rsidP="009F6124">
      <w:pPr>
        <w:spacing w:after="0" w:line="240" w:lineRule="auto"/>
      </w:pPr>
      <w:r>
        <w:continuationSeparator/>
      </w:r>
    </w:p>
    <w:p w:rsidR="004C1448" w:rsidRDefault="004C1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elior">
    <w:altName w:val="Cambria"/>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63380"/>
      <w:docPartObj>
        <w:docPartGallery w:val="Page Numbers (Bottom of Page)"/>
        <w:docPartUnique/>
      </w:docPartObj>
    </w:sdtPr>
    <w:sdtEndPr>
      <w:rPr>
        <w:noProof/>
      </w:rPr>
    </w:sdtEndPr>
    <w:sdtContent>
      <w:p w:rsidR="00E87E49" w:rsidRDefault="004C1448" w:rsidP="00D45098">
        <w:pPr>
          <w:pStyle w:val="Footer"/>
          <w:jc w:val="right"/>
        </w:pPr>
        <w:r>
          <w:fldChar w:fldCharType="begin"/>
        </w:r>
        <w:r>
          <w:instrText xml:space="preserve"> PAGE   \* MERGEFORMAT </w:instrText>
        </w:r>
        <w:r>
          <w:fldChar w:fldCharType="separate"/>
        </w:r>
        <w:r w:rsidR="008D24BE">
          <w:rPr>
            <w:noProof/>
          </w:rPr>
          <w:t>10</w:t>
        </w:r>
        <w:r>
          <w:rPr>
            <w:noProof/>
          </w:rPr>
          <w:fldChar w:fldCharType="end"/>
        </w:r>
      </w:p>
    </w:sdtContent>
  </w:sdt>
  <w:p w:rsidR="00E87E49" w:rsidRDefault="00E87E49" w:rsidP="00814E29">
    <w:pPr>
      <w:pStyle w:val="Footer"/>
    </w:pPr>
  </w:p>
  <w:p w:rsidR="00E87E49" w:rsidRDefault="00E87E49" w:rsidP="00C8086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63381"/>
      <w:docPartObj>
        <w:docPartGallery w:val="Page Numbers (Bottom of Page)"/>
        <w:docPartUnique/>
      </w:docPartObj>
    </w:sdtPr>
    <w:sdtEndPr>
      <w:rPr>
        <w:noProof/>
      </w:rPr>
    </w:sdtEndPr>
    <w:sdtContent>
      <w:p w:rsidR="00E87E49" w:rsidRDefault="004C1448">
        <w:pPr>
          <w:pStyle w:val="Footer"/>
          <w:jc w:val="right"/>
        </w:pPr>
        <w:r>
          <w:fldChar w:fldCharType="begin"/>
        </w:r>
        <w:r>
          <w:instrText xml:space="preserve"> PAGE  \* Arabic  \* MERGEFORMAT </w:instrText>
        </w:r>
        <w:r>
          <w:fldChar w:fldCharType="separate"/>
        </w:r>
        <w:r w:rsidR="008D24BE">
          <w:rPr>
            <w:noProof/>
          </w:rPr>
          <w:t>1</w:t>
        </w:r>
        <w:r>
          <w:rPr>
            <w:noProof/>
          </w:rPr>
          <w:fldChar w:fldCharType="end"/>
        </w:r>
      </w:p>
    </w:sdtContent>
  </w:sdt>
  <w:p w:rsidR="00E87E49" w:rsidRDefault="00E87E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054513"/>
      <w:docPartObj>
        <w:docPartGallery w:val="Page Numbers (Bottom of Page)"/>
        <w:docPartUnique/>
      </w:docPartObj>
    </w:sdtPr>
    <w:sdtEndPr>
      <w:rPr>
        <w:noProof/>
      </w:rPr>
    </w:sdtEndPr>
    <w:sdtContent>
      <w:p w:rsidR="00E87E49" w:rsidRDefault="004C1448">
        <w:pPr>
          <w:pStyle w:val="Footer"/>
          <w:jc w:val="right"/>
        </w:pPr>
        <w:r>
          <w:fldChar w:fldCharType="begin"/>
        </w:r>
        <w:r>
          <w:instrText xml:space="preserve"> PAGE  \* Arabic  \* MERGEFORMAT </w:instrText>
        </w:r>
        <w:r>
          <w:fldChar w:fldCharType="separate"/>
        </w:r>
        <w:r w:rsidR="008D24BE">
          <w:rPr>
            <w:noProof/>
          </w:rPr>
          <w:t>20</w:t>
        </w:r>
        <w:r>
          <w:rPr>
            <w:noProof/>
          </w:rPr>
          <w:fldChar w:fldCharType="end"/>
        </w:r>
      </w:p>
    </w:sdtContent>
  </w:sdt>
  <w:p w:rsidR="00E87E49" w:rsidRDefault="00E87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48" w:rsidRDefault="004C1448" w:rsidP="009F6124">
      <w:pPr>
        <w:spacing w:after="0" w:line="240" w:lineRule="auto"/>
      </w:pPr>
      <w:r>
        <w:separator/>
      </w:r>
    </w:p>
    <w:p w:rsidR="004C1448" w:rsidRDefault="004C1448"/>
  </w:footnote>
  <w:footnote w:type="continuationSeparator" w:id="0">
    <w:p w:rsidR="004C1448" w:rsidRDefault="004C1448" w:rsidP="009F6124">
      <w:pPr>
        <w:spacing w:after="0" w:line="240" w:lineRule="auto"/>
      </w:pPr>
      <w:r>
        <w:continuationSeparator/>
      </w:r>
    </w:p>
    <w:p w:rsidR="004C1448" w:rsidRDefault="004C1448"/>
  </w:footnote>
  <w:footnote w:id="1">
    <w:p w:rsidR="00E87E49" w:rsidRPr="0083176E" w:rsidRDefault="00E87E49" w:rsidP="006D3C90">
      <w:pPr>
        <w:pStyle w:val="FootnoteText"/>
        <w:rPr>
          <w:rFonts w:ascii="Arial" w:hAnsi="Arial" w:cs="Arial"/>
        </w:rPr>
      </w:pPr>
      <w:r w:rsidRPr="0083176E">
        <w:rPr>
          <w:rStyle w:val="FootnoteReference"/>
          <w:rFonts w:ascii="Arial" w:hAnsi="Arial" w:cs="Arial"/>
        </w:rPr>
        <w:footnoteRef/>
      </w:r>
      <w:r w:rsidRPr="0083176E">
        <w:rPr>
          <w:rFonts w:ascii="Arial" w:hAnsi="Arial" w:cs="Arial"/>
        </w:rPr>
        <w:t xml:space="preserve"> Affordable Care Act 1311(b)(1)</w:t>
      </w:r>
    </w:p>
  </w:footnote>
  <w:footnote w:id="2">
    <w:p w:rsidR="00E87E49" w:rsidRPr="0005110B" w:rsidRDefault="00E87E49" w:rsidP="0005110B">
      <w:pPr>
        <w:pStyle w:val="FootnoteText"/>
        <w:rPr>
          <w:rFonts w:ascii="Arial" w:hAnsi="Arial" w:cs="Arial"/>
        </w:rPr>
      </w:pPr>
      <w:r w:rsidRPr="0005110B">
        <w:rPr>
          <w:rStyle w:val="FootnoteReference"/>
          <w:rFonts w:ascii="Arial" w:hAnsi="Arial" w:cs="Arial"/>
        </w:rPr>
        <w:footnoteRef/>
      </w:r>
      <w:r w:rsidRPr="0005110B">
        <w:rPr>
          <w:rFonts w:ascii="Arial" w:hAnsi="Arial" w:cs="Arial"/>
        </w:rPr>
        <w:t xml:space="preserve"> </w:t>
      </w:r>
      <w:r>
        <w:rPr>
          <w:rFonts w:ascii="Arial" w:hAnsi="Arial" w:cs="Arial"/>
          <w:i/>
          <w:iCs/>
        </w:rPr>
        <w:t xml:space="preserve">Additional requirements for Risk Adjustment will be  </w:t>
      </w:r>
      <w:r>
        <w:rPr>
          <w:i/>
          <w:iCs/>
        </w:rPr>
        <w:t>provided in the HHS Notice of Benefit and Payment Parameters.”</w:t>
      </w:r>
    </w:p>
  </w:footnote>
  <w:footnote w:id="3">
    <w:p w:rsidR="00E87E49" w:rsidRDefault="00E87E49" w:rsidP="0054310B">
      <w:pPr>
        <w:pStyle w:val="FootnoteText"/>
      </w:pPr>
      <w:r w:rsidRPr="0083176E">
        <w:rPr>
          <w:rStyle w:val="FootnoteReference"/>
          <w:rFonts w:ascii="Arial" w:hAnsi="Arial" w:cs="Arial"/>
        </w:rPr>
        <w:footnoteRef/>
      </w:r>
      <w:r w:rsidRPr="0083176E">
        <w:rPr>
          <w:rFonts w:ascii="Arial" w:hAnsi="Arial" w:cs="Arial"/>
        </w:rPr>
        <w:t xml:space="preserve"> 45 CFR 155.105, Establishment of Exchanges and Qualified Health Plans; Exchange Standards for Employers, 77 Fed. Reg. 18310, 18446 (Mar. 27, 2012)</w:t>
      </w:r>
    </w:p>
  </w:footnote>
  <w:footnote w:id="4">
    <w:p w:rsidR="00E87E49" w:rsidRDefault="00E87E49">
      <w:pPr>
        <w:pStyle w:val="FootnoteText"/>
      </w:pPr>
      <w:r>
        <w:rPr>
          <w:rStyle w:val="FootnoteReference"/>
        </w:rPr>
        <w:footnoteRef/>
      </w:r>
      <w:r>
        <w:t xml:space="preserve"> </w:t>
      </w:r>
      <w:r w:rsidR="004539EC" w:rsidRPr="004539EC">
        <w:t>http://www.grants.gov/search/search.do;jsessionid=0VqkQpTV3Z1fR74Z7rvnwjqf42vlsyw15Qp1FWKbqrQlJ8CQ7zJj!-1406353995?oppId=180734&amp;mode=VIEW</w:t>
      </w:r>
    </w:p>
  </w:footnote>
  <w:footnote w:id="5">
    <w:p w:rsidR="00DC736B" w:rsidRDefault="00E87E49" w:rsidP="00DC736B">
      <w:pPr>
        <w:pStyle w:val="PlainText"/>
        <w:rPr>
          <w:rFonts w:ascii="Arial" w:hAnsi="Arial" w:cs="Arial"/>
        </w:rPr>
      </w:pPr>
      <w:r>
        <w:rPr>
          <w:rStyle w:val="FootnoteReference"/>
        </w:rPr>
        <w:footnoteRef/>
      </w:r>
      <w:r>
        <w:t xml:space="preserve"> </w:t>
      </w:r>
      <w:r w:rsidRPr="00DE7EB5">
        <w:rPr>
          <w:rFonts w:ascii="Arial" w:hAnsi="Arial" w:cs="Arial"/>
        </w:rPr>
        <w:t xml:space="preserve"> </w:t>
      </w:r>
      <w:r w:rsidR="00DC736B">
        <w:rPr>
          <w:rFonts w:ascii="Arial" w:hAnsi="Arial" w:cs="Arial"/>
        </w:rPr>
        <w:t xml:space="preserve">CMS has been advised that in some States, the Governor does not have the authority to enter into a State Partnership Exchange. Please contact </w:t>
      </w:r>
      <w:r w:rsidRPr="00DE7EB5">
        <w:rPr>
          <w:rFonts w:ascii="Arial" w:hAnsi="Arial" w:cs="Arial"/>
        </w:rPr>
        <w:t xml:space="preserve"> your </w:t>
      </w:r>
      <w:r>
        <w:rPr>
          <w:rFonts w:ascii="Arial" w:hAnsi="Arial" w:cs="Arial"/>
        </w:rPr>
        <w:t xml:space="preserve">CCIIO </w:t>
      </w:r>
      <w:r w:rsidRPr="00DE7EB5">
        <w:rPr>
          <w:rFonts w:ascii="Arial" w:hAnsi="Arial" w:cs="Arial"/>
        </w:rPr>
        <w:t>State Officer</w:t>
      </w:r>
      <w:r>
        <w:rPr>
          <w:rFonts w:ascii="Arial" w:hAnsi="Arial" w:cs="Arial"/>
        </w:rPr>
        <w:t xml:space="preserve"> if</w:t>
      </w:r>
      <w:r w:rsidR="00DC736B">
        <w:rPr>
          <w:rFonts w:ascii="Arial" w:hAnsi="Arial" w:cs="Arial"/>
        </w:rPr>
        <w:t xml:space="preserve"> the Governor of your State believes that another entity is the appropriate authority to sign the State’s Model Declaration Letter so that we can work with your State on an appropriate arrangement. </w:t>
      </w:r>
    </w:p>
    <w:p w:rsidR="00E87E49" w:rsidRDefault="00E87E49">
      <w:pPr>
        <w:pStyle w:val="FootnoteText"/>
      </w:pPr>
    </w:p>
  </w:footnote>
  <w:footnote w:id="6">
    <w:p w:rsidR="00A172B8" w:rsidRDefault="00A172B8">
      <w:pPr>
        <w:pStyle w:val="FootnoteText"/>
      </w:pPr>
      <w:r>
        <w:rPr>
          <w:rStyle w:val="FootnoteReference"/>
        </w:rPr>
        <w:footnoteRef/>
      </w:r>
      <w:r>
        <w:t xml:space="preserve"> SERVIS and the Collaborative Application Lifecycle Tool (CALT) are password protected. To receive a CALT/SERVIS user ID and password please contact </w:t>
      </w:r>
      <w:hyperlink r:id="rId1" w:history="1">
        <w:r w:rsidRPr="00A42ABE">
          <w:rPr>
            <w:rStyle w:val="Hyperlink"/>
          </w:rPr>
          <w:t>CALT_support@cms.hhs.gov</w:t>
        </w:r>
      </w:hyperlink>
      <w:r>
        <w:t xml:space="preserve"> or </w:t>
      </w:r>
      <w:hyperlink r:id="rId2" w:history="1">
        <w:r w:rsidRPr="00A42ABE">
          <w:rPr>
            <w:rStyle w:val="Hyperlink"/>
          </w:rPr>
          <w:t>SERVIS_Support@cms.hhs.gov</w:t>
        </w:r>
      </w:hyperlink>
      <w:r>
        <w:t xml:space="preserve">. </w:t>
      </w:r>
    </w:p>
  </w:footnote>
  <w:footnote w:id="7">
    <w:p w:rsidR="00E87E49" w:rsidRPr="003A5822" w:rsidRDefault="00E87E49" w:rsidP="00A322D9">
      <w:pPr>
        <w:pStyle w:val="FootnoteText"/>
        <w:rPr>
          <w:rFonts w:ascii="Arial" w:hAnsi="Arial" w:cs="Arial"/>
        </w:rPr>
      </w:pPr>
      <w:r w:rsidRPr="003A5822">
        <w:rPr>
          <w:rStyle w:val="FootnoteReference"/>
          <w:rFonts w:ascii="Arial" w:hAnsi="Arial" w:cs="Arial"/>
        </w:rPr>
        <w:footnoteRef/>
      </w:r>
      <w:r w:rsidRPr="003A5822">
        <w:rPr>
          <w:rFonts w:ascii="Arial" w:hAnsi="Arial" w:cs="Arial"/>
        </w:rPr>
        <w:t xml:space="preserve"> Test scenarios will be available on the Collaborative Application Lifecycle Tool (CALT) site (</w:t>
      </w:r>
      <w:hyperlink r:id="rId3" w:history="1">
        <w:r w:rsidRPr="003A5822">
          <w:rPr>
            <w:rStyle w:val="Hyperlink"/>
            <w:rFonts w:ascii="Arial" w:hAnsi="Arial" w:cs="Arial"/>
          </w:rPr>
          <w:t>https://calt.hhs.gov</w:t>
        </w:r>
      </w:hyperlink>
      <w:r w:rsidRPr="003A5822">
        <w:rPr>
          <w:rFonts w:ascii="Arial" w:hAnsi="Arial" w:cs="Arial"/>
        </w:rPr>
        <w:t>); a more specific link to</w:t>
      </w:r>
      <w:r>
        <w:rPr>
          <w:rFonts w:ascii="Arial" w:hAnsi="Arial" w:cs="Arial"/>
        </w:rPr>
        <w:t xml:space="preserve"> the</w:t>
      </w:r>
      <w:r w:rsidRPr="003A5822">
        <w:rPr>
          <w:rFonts w:ascii="Arial" w:hAnsi="Arial" w:cs="Arial"/>
        </w:rPr>
        <w:t xml:space="preserve"> site will be provided at a future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49" w:rsidRPr="00581ECC" w:rsidRDefault="00E87E49" w:rsidP="00581ECC">
    <w:pPr>
      <w:pBdr>
        <w:bottom w:val="single" w:sz="4" w:space="1" w:color="auto"/>
      </w:pBd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087"/>
    <w:multiLevelType w:val="hybridMultilevel"/>
    <w:tmpl w:val="E902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46E1B"/>
    <w:multiLevelType w:val="hybridMultilevel"/>
    <w:tmpl w:val="AD62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A1BF9"/>
    <w:multiLevelType w:val="hybridMultilevel"/>
    <w:tmpl w:val="80CA6DC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35F28"/>
    <w:multiLevelType w:val="hybridMultilevel"/>
    <w:tmpl w:val="951E0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3570B"/>
    <w:multiLevelType w:val="hybridMultilevel"/>
    <w:tmpl w:val="9F46C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D476D1"/>
    <w:multiLevelType w:val="hybridMultilevel"/>
    <w:tmpl w:val="E13C7824"/>
    <w:lvl w:ilvl="0" w:tplc="936C2BB4">
      <w:start w:val="1"/>
      <w:numFmt w:val="bullet"/>
      <w:lvlText w:val="•"/>
      <w:lvlJc w:val="left"/>
      <w:pPr>
        <w:tabs>
          <w:tab w:val="num" w:pos="720"/>
        </w:tabs>
        <w:ind w:left="720" w:hanging="360"/>
      </w:pPr>
      <w:rPr>
        <w:rFonts w:ascii="Arial" w:hAnsi="Arial" w:hint="default"/>
      </w:rPr>
    </w:lvl>
    <w:lvl w:ilvl="1" w:tplc="15EEA0B4">
      <w:start w:val="1"/>
      <w:numFmt w:val="bullet"/>
      <w:lvlText w:val="•"/>
      <w:lvlJc w:val="left"/>
      <w:pPr>
        <w:tabs>
          <w:tab w:val="num" w:pos="1440"/>
        </w:tabs>
        <w:ind w:left="1440" w:hanging="360"/>
      </w:pPr>
      <w:rPr>
        <w:rFonts w:ascii="Arial" w:hAnsi="Arial" w:hint="default"/>
      </w:rPr>
    </w:lvl>
    <w:lvl w:ilvl="2" w:tplc="A8902BEC" w:tentative="1">
      <w:start w:val="1"/>
      <w:numFmt w:val="bullet"/>
      <w:lvlText w:val="•"/>
      <w:lvlJc w:val="left"/>
      <w:pPr>
        <w:tabs>
          <w:tab w:val="num" w:pos="2160"/>
        </w:tabs>
        <w:ind w:left="2160" w:hanging="360"/>
      </w:pPr>
      <w:rPr>
        <w:rFonts w:ascii="Arial" w:hAnsi="Arial" w:hint="default"/>
      </w:rPr>
    </w:lvl>
    <w:lvl w:ilvl="3" w:tplc="81983946" w:tentative="1">
      <w:start w:val="1"/>
      <w:numFmt w:val="bullet"/>
      <w:lvlText w:val="•"/>
      <w:lvlJc w:val="left"/>
      <w:pPr>
        <w:tabs>
          <w:tab w:val="num" w:pos="2880"/>
        </w:tabs>
        <w:ind w:left="2880" w:hanging="360"/>
      </w:pPr>
      <w:rPr>
        <w:rFonts w:ascii="Arial" w:hAnsi="Arial" w:hint="default"/>
      </w:rPr>
    </w:lvl>
    <w:lvl w:ilvl="4" w:tplc="B2CA7796" w:tentative="1">
      <w:start w:val="1"/>
      <w:numFmt w:val="bullet"/>
      <w:lvlText w:val="•"/>
      <w:lvlJc w:val="left"/>
      <w:pPr>
        <w:tabs>
          <w:tab w:val="num" w:pos="3600"/>
        </w:tabs>
        <w:ind w:left="3600" w:hanging="360"/>
      </w:pPr>
      <w:rPr>
        <w:rFonts w:ascii="Arial" w:hAnsi="Arial" w:hint="default"/>
      </w:rPr>
    </w:lvl>
    <w:lvl w:ilvl="5" w:tplc="46268CD4" w:tentative="1">
      <w:start w:val="1"/>
      <w:numFmt w:val="bullet"/>
      <w:lvlText w:val="•"/>
      <w:lvlJc w:val="left"/>
      <w:pPr>
        <w:tabs>
          <w:tab w:val="num" w:pos="4320"/>
        </w:tabs>
        <w:ind w:left="4320" w:hanging="360"/>
      </w:pPr>
      <w:rPr>
        <w:rFonts w:ascii="Arial" w:hAnsi="Arial" w:hint="default"/>
      </w:rPr>
    </w:lvl>
    <w:lvl w:ilvl="6" w:tplc="2CB443B2" w:tentative="1">
      <w:start w:val="1"/>
      <w:numFmt w:val="bullet"/>
      <w:lvlText w:val="•"/>
      <w:lvlJc w:val="left"/>
      <w:pPr>
        <w:tabs>
          <w:tab w:val="num" w:pos="5040"/>
        </w:tabs>
        <w:ind w:left="5040" w:hanging="360"/>
      </w:pPr>
      <w:rPr>
        <w:rFonts w:ascii="Arial" w:hAnsi="Arial" w:hint="default"/>
      </w:rPr>
    </w:lvl>
    <w:lvl w:ilvl="7" w:tplc="4FFC0162" w:tentative="1">
      <w:start w:val="1"/>
      <w:numFmt w:val="bullet"/>
      <w:lvlText w:val="•"/>
      <w:lvlJc w:val="left"/>
      <w:pPr>
        <w:tabs>
          <w:tab w:val="num" w:pos="5760"/>
        </w:tabs>
        <w:ind w:left="5760" w:hanging="360"/>
      </w:pPr>
      <w:rPr>
        <w:rFonts w:ascii="Arial" w:hAnsi="Arial" w:hint="default"/>
      </w:rPr>
    </w:lvl>
    <w:lvl w:ilvl="8" w:tplc="540A82D0" w:tentative="1">
      <w:start w:val="1"/>
      <w:numFmt w:val="bullet"/>
      <w:lvlText w:val="•"/>
      <w:lvlJc w:val="left"/>
      <w:pPr>
        <w:tabs>
          <w:tab w:val="num" w:pos="6480"/>
        </w:tabs>
        <w:ind w:left="6480" w:hanging="360"/>
      </w:pPr>
      <w:rPr>
        <w:rFonts w:ascii="Arial" w:hAnsi="Arial" w:hint="default"/>
      </w:rPr>
    </w:lvl>
  </w:abstractNum>
  <w:abstractNum w:abstractNumId="6">
    <w:nsid w:val="176C38DE"/>
    <w:multiLevelType w:val="hybridMultilevel"/>
    <w:tmpl w:val="CC04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50F21"/>
    <w:multiLevelType w:val="multilevel"/>
    <w:tmpl w:val="4BB0FD8E"/>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C3C6979"/>
    <w:multiLevelType w:val="hybridMultilevel"/>
    <w:tmpl w:val="8A8A69FE"/>
    <w:lvl w:ilvl="0" w:tplc="13A29CF2">
      <w:start w:val="1"/>
      <w:numFmt w:val="bullet"/>
      <w:lvlText w:val="•"/>
      <w:lvlJc w:val="left"/>
      <w:pPr>
        <w:tabs>
          <w:tab w:val="num" w:pos="540"/>
        </w:tabs>
        <w:ind w:left="540" w:hanging="360"/>
      </w:pPr>
      <w:rPr>
        <w:rFonts w:ascii="Arial" w:hAnsi="Arial" w:hint="default"/>
        <w:color w:val="000000" w:themeColor="text1"/>
      </w:rPr>
    </w:lvl>
    <w:lvl w:ilvl="1" w:tplc="E952834A" w:tentative="1">
      <w:start w:val="1"/>
      <w:numFmt w:val="bullet"/>
      <w:lvlText w:val="•"/>
      <w:lvlJc w:val="left"/>
      <w:pPr>
        <w:tabs>
          <w:tab w:val="num" w:pos="1260"/>
        </w:tabs>
        <w:ind w:left="1260" w:hanging="360"/>
      </w:pPr>
      <w:rPr>
        <w:rFonts w:ascii="Arial" w:hAnsi="Arial" w:hint="default"/>
      </w:rPr>
    </w:lvl>
    <w:lvl w:ilvl="2" w:tplc="531CD53A" w:tentative="1">
      <w:start w:val="1"/>
      <w:numFmt w:val="bullet"/>
      <w:lvlText w:val="•"/>
      <w:lvlJc w:val="left"/>
      <w:pPr>
        <w:tabs>
          <w:tab w:val="num" w:pos="1980"/>
        </w:tabs>
        <w:ind w:left="1980" w:hanging="360"/>
      </w:pPr>
      <w:rPr>
        <w:rFonts w:ascii="Arial" w:hAnsi="Arial" w:hint="default"/>
      </w:rPr>
    </w:lvl>
    <w:lvl w:ilvl="3" w:tplc="937CA3CE" w:tentative="1">
      <w:start w:val="1"/>
      <w:numFmt w:val="bullet"/>
      <w:lvlText w:val="•"/>
      <w:lvlJc w:val="left"/>
      <w:pPr>
        <w:tabs>
          <w:tab w:val="num" w:pos="2700"/>
        </w:tabs>
        <w:ind w:left="2700" w:hanging="360"/>
      </w:pPr>
      <w:rPr>
        <w:rFonts w:ascii="Arial" w:hAnsi="Arial" w:hint="default"/>
      </w:rPr>
    </w:lvl>
    <w:lvl w:ilvl="4" w:tplc="827EC376" w:tentative="1">
      <w:start w:val="1"/>
      <w:numFmt w:val="bullet"/>
      <w:lvlText w:val="•"/>
      <w:lvlJc w:val="left"/>
      <w:pPr>
        <w:tabs>
          <w:tab w:val="num" w:pos="3420"/>
        </w:tabs>
        <w:ind w:left="3420" w:hanging="360"/>
      </w:pPr>
      <w:rPr>
        <w:rFonts w:ascii="Arial" w:hAnsi="Arial" w:hint="default"/>
      </w:rPr>
    </w:lvl>
    <w:lvl w:ilvl="5" w:tplc="29DAEE30" w:tentative="1">
      <w:start w:val="1"/>
      <w:numFmt w:val="bullet"/>
      <w:lvlText w:val="•"/>
      <w:lvlJc w:val="left"/>
      <w:pPr>
        <w:tabs>
          <w:tab w:val="num" w:pos="4140"/>
        </w:tabs>
        <w:ind w:left="4140" w:hanging="360"/>
      </w:pPr>
      <w:rPr>
        <w:rFonts w:ascii="Arial" w:hAnsi="Arial" w:hint="default"/>
      </w:rPr>
    </w:lvl>
    <w:lvl w:ilvl="6" w:tplc="4470EBA0" w:tentative="1">
      <w:start w:val="1"/>
      <w:numFmt w:val="bullet"/>
      <w:lvlText w:val="•"/>
      <w:lvlJc w:val="left"/>
      <w:pPr>
        <w:tabs>
          <w:tab w:val="num" w:pos="4860"/>
        </w:tabs>
        <w:ind w:left="4860" w:hanging="360"/>
      </w:pPr>
      <w:rPr>
        <w:rFonts w:ascii="Arial" w:hAnsi="Arial" w:hint="default"/>
      </w:rPr>
    </w:lvl>
    <w:lvl w:ilvl="7" w:tplc="157E03CA" w:tentative="1">
      <w:start w:val="1"/>
      <w:numFmt w:val="bullet"/>
      <w:lvlText w:val="•"/>
      <w:lvlJc w:val="left"/>
      <w:pPr>
        <w:tabs>
          <w:tab w:val="num" w:pos="5580"/>
        </w:tabs>
        <w:ind w:left="5580" w:hanging="360"/>
      </w:pPr>
      <w:rPr>
        <w:rFonts w:ascii="Arial" w:hAnsi="Arial" w:hint="default"/>
      </w:rPr>
    </w:lvl>
    <w:lvl w:ilvl="8" w:tplc="C04A478A" w:tentative="1">
      <w:start w:val="1"/>
      <w:numFmt w:val="bullet"/>
      <w:lvlText w:val="•"/>
      <w:lvlJc w:val="left"/>
      <w:pPr>
        <w:tabs>
          <w:tab w:val="num" w:pos="6300"/>
        </w:tabs>
        <w:ind w:left="6300" w:hanging="360"/>
      </w:pPr>
      <w:rPr>
        <w:rFonts w:ascii="Arial" w:hAnsi="Arial" w:hint="default"/>
      </w:rPr>
    </w:lvl>
  </w:abstractNum>
  <w:abstractNum w:abstractNumId="9">
    <w:nsid w:val="1C454836"/>
    <w:multiLevelType w:val="hybridMultilevel"/>
    <w:tmpl w:val="02D63EBE"/>
    <w:lvl w:ilvl="0" w:tplc="94948E0E">
      <w:start w:val="1"/>
      <w:numFmt w:val="bullet"/>
      <w:lvlText w:val="•"/>
      <w:lvlJc w:val="left"/>
      <w:pPr>
        <w:tabs>
          <w:tab w:val="num" w:pos="720"/>
        </w:tabs>
        <w:ind w:left="720" w:hanging="360"/>
      </w:pPr>
      <w:rPr>
        <w:rFonts w:ascii="Arial" w:hAnsi="Arial" w:hint="default"/>
      </w:rPr>
    </w:lvl>
    <w:lvl w:ilvl="1" w:tplc="20826A0E">
      <w:start w:val="1"/>
      <w:numFmt w:val="bullet"/>
      <w:lvlText w:val="•"/>
      <w:lvlJc w:val="left"/>
      <w:pPr>
        <w:tabs>
          <w:tab w:val="num" w:pos="1440"/>
        </w:tabs>
        <w:ind w:left="1440" w:hanging="360"/>
      </w:pPr>
      <w:rPr>
        <w:rFonts w:ascii="Arial" w:hAnsi="Arial" w:hint="default"/>
      </w:rPr>
    </w:lvl>
    <w:lvl w:ilvl="2" w:tplc="F3A46232" w:tentative="1">
      <w:start w:val="1"/>
      <w:numFmt w:val="bullet"/>
      <w:lvlText w:val="•"/>
      <w:lvlJc w:val="left"/>
      <w:pPr>
        <w:tabs>
          <w:tab w:val="num" w:pos="2160"/>
        </w:tabs>
        <w:ind w:left="2160" w:hanging="360"/>
      </w:pPr>
      <w:rPr>
        <w:rFonts w:ascii="Arial" w:hAnsi="Arial" w:hint="default"/>
      </w:rPr>
    </w:lvl>
    <w:lvl w:ilvl="3" w:tplc="88EE95EA" w:tentative="1">
      <w:start w:val="1"/>
      <w:numFmt w:val="bullet"/>
      <w:lvlText w:val="•"/>
      <w:lvlJc w:val="left"/>
      <w:pPr>
        <w:tabs>
          <w:tab w:val="num" w:pos="2880"/>
        </w:tabs>
        <w:ind w:left="2880" w:hanging="360"/>
      </w:pPr>
      <w:rPr>
        <w:rFonts w:ascii="Arial" w:hAnsi="Arial" w:hint="default"/>
      </w:rPr>
    </w:lvl>
    <w:lvl w:ilvl="4" w:tplc="97F8A158" w:tentative="1">
      <w:start w:val="1"/>
      <w:numFmt w:val="bullet"/>
      <w:lvlText w:val="•"/>
      <w:lvlJc w:val="left"/>
      <w:pPr>
        <w:tabs>
          <w:tab w:val="num" w:pos="3600"/>
        </w:tabs>
        <w:ind w:left="3600" w:hanging="360"/>
      </w:pPr>
      <w:rPr>
        <w:rFonts w:ascii="Arial" w:hAnsi="Arial" w:hint="default"/>
      </w:rPr>
    </w:lvl>
    <w:lvl w:ilvl="5" w:tplc="25A208F0" w:tentative="1">
      <w:start w:val="1"/>
      <w:numFmt w:val="bullet"/>
      <w:lvlText w:val="•"/>
      <w:lvlJc w:val="left"/>
      <w:pPr>
        <w:tabs>
          <w:tab w:val="num" w:pos="4320"/>
        </w:tabs>
        <w:ind w:left="4320" w:hanging="360"/>
      </w:pPr>
      <w:rPr>
        <w:rFonts w:ascii="Arial" w:hAnsi="Arial" w:hint="default"/>
      </w:rPr>
    </w:lvl>
    <w:lvl w:ilvl="6" w:tplc="2A7087B0" w:tentative="1">
      <w:start w:val="1"/>
      <w:numFmt w:val="bullet"/>
      <w:lvlText w:val="•"/>
      <w:lvlJc w:val="left"/>
      <w:pPr>
        <w:tabs>
          <w:tab w:val="num" w:pos="5040"/>
        </w:tabs>
        <w:ind w:left="5040" w:hanging="360"/>
      </w:pPr>
      <w:rPr>
        <w:rFonts w:ascii="Arial" w:hAnsi="Arial" w:hint="default"/>
      </w:rPr>
    </w:lvl>
    <w:lvl w:ilvl="7" w:tplc="00D40896" w:tentative="1">
      <w:start w:val="1"/>
      <w:numFmt w:val="bullet"/>
      <w:lvlText w:val="•"/>
      <w:lvlJc w:val="left"/>
      <w:pPr>
        <w:tabs>
          <w:tab w:val="num" w:pos="5760"/>
        </w:tabs>
        <w:ind w:left="5760" w:hanging="360"/>
      </w:pPr>
      <w:rPr>
        <w:rFonts w:ascii="Arial" w:hAnsi="Arial" w:hint="default"/>
      </w:rPr>
    </w:lvl>
    <w:lvl w:ilvl="8" w:tplc="A2AABB5E" w:tentative="1">
      <w:start w:val="1"/>
      <w:numFmt w:val="bullet"/>
      <w:lvlText w:val="•"/>
      <w:lvlJc w:val="left"/>
      <w:pPr>
        <w:tabs>
          <w:tab w:val="num" w:pos="6480"/>
        </w:tabs>
        <w:ind w:left="6480" w:hanging="360"/>
      </w:pPr>
      <w:rPr>
        <w:rFonts w:ascii="Arial" w:hAnsi="Arial" w:hint="default"/>
      </w:rPr>
    </w:lvl>
  </w:abstractNum>
  <w:abstractNum w:abstractNumId="10">
    <w:nsid w:val="1C8844B2"/>
    <w:multiLevelType w:val="hybridMultilevel"/>
    <w:tmpl w:val="594E96CC"/>
    <w:lvl w:ilvl="0" w:tplc="8C46DC0C">
      <w:start w:val="1"/>
      <w:numFmt w:val="bullet"/>
      <w:lvlText w:val="•"/>
      <w:lvlJc w:val="left"/>
      <w:pPr>
        <w:tabs>
          <w:tab w:val="num" w:pos="720"/>
        </w:tabs>
        <w:ind w:left="720" w:hanging="360"/>
      </w:pPr>
      <w:rPr>
        <w:rFonts w:ascii="Arial" w:hAnsi="Arial" w:hint="default"/>
      </w:rPr>
    </w:lvl>
    <w:lvl w:ilvl="1" w:tplc="64A46EB4">
      <w:start w:val="1"/>
      <w:numFmt w:val="bullet"/>
      <w:lvlText w:val="•"/>
      <w:lvlJc w:val="left"/>
      <w:pPr>
        <w:tabs>
          <w:tab w:val="num" w:pos="1440"/>
        </w:tabs>
        <w:ind w:left="1440" w:hanging="360"/>
      </w:pPr>
      <w:rPr>
        <w:rFonts w:ascii="Arial" w:hAnsi="Arial" w:hint="default"/>
      </w:rPr>
    </w:lvl>
    <w:lvl w:ilvl="2" w:tplc="61AED010" w:tentative="1">
      <w:start w:val="1"/>
      <w:numFmt w:val="bullet"/>
      <w:lvlText w:val="•"/>
      <w:lvlJc w:val="left"/>
      <w:pPr>
        <w:tabs>
          <w:tab w:val="num" w:pos="2160"/>
        </w:tabs>
        <w:ind w:left="2160" w:hanging="360"/>
      </w:pPr>
      <w:rPr>
        <w:rFonts w:ascii="Arial" w:hAnsi="Arial" w:hint="default"/>
      </w:rPr>
    </w:lvl>
    <w:lvl w:ilvl="3" w:tplc="9FD08CFA" w:tentative="1">
      <w:start w:val="1"/>
      <w:numFmt w:val="bullet"/>
      <w:lvlText w:val="•"/>
      <w:lvlJc w:val="left"/>
      <w:pPr>
        <w:tabs>
          <w:tab w:val="num" w:pos="2880"/>
        </w:tabs>
        <w:ind w:left="2880" w:hanging="360"/>
      </w:pPr>
      <w:rPr>
        <w:rFonts w:ascii="Arial" w:hAnsi="Arial" w:hint="default"/>
      </w:rPr>
    </w:lvl>
    <w:lvl w:ilvl="4" w:tplc="FC0CDDBE" w:tentative="1">
      <w:start w:val="1"/>
      <w:numFmt w:val="bullet"/>
      <w:lvlText w:val="•"/>
      <w:lvlJc w:val="left"/>
      <w:pPr>
        <w:tabs>
          <w:tab w:val="num" w:pos="3600"/>
        </w:tabs>
        <w:ind w:left="3600" w:hanging="360"/>
      </w:pPr>
      <w:rPr>
        <w:rFonts w:ascii="Arial" w:hAnsi="Arial" w:hint="default"/>
      </w:rPr>
    </w:lvl>
    <w:lvl w:ilvl="5" w:tplc="79923664" w:tentative="1">
      <w:start w:val="1"/>
      <w:numFmt w:val="bullet"/>
      <w:lvlText w:val="•"/>
      <w:lvlJc w:val="left"/>
      <w:pPr>
        <w:tabs>
          <w:tab w:val="num" w:pos="4320"/>
        </w:tabs>
        <w:ind w:left="4320" w:hanging="360"/>
      </w:pPr>
      <w:rPr>
        <w:rFonts w:ascii="Arial" w:hAnsi="Arial" w:hint="default"/>
      </w:rPr>
    </w:lvl>
    <w:lvl w:ilvl="6" w:tplc="EED4BD8C" w:tentative="1">
      <w:start w:val="1"/>
      <w:numFmt w:val="bullet"/>
      <w:lvlText w:val="•"/>
      <w:lvlJc w:val="left"/>
      <w:pPr>
        <w:tabs>
          <w:tab w:val="num" w:pos="5040"/>
        </w:tabs>
        <w:ind w:left="5040" w:hanging="360"/>
      </w:pPr>
      <w:rPr>
        <w:rFonts w:ascii="Arial" w:hAnsi="Arial" w:hint="default"/>
      </w:rPr>
    </w:lvl>
    <w:lvl w:ilvl="7" w:tplc="2098CC44" w:tentative="1">
      <w:start w:val="1"/>
      <w:numFmt w:val="bullet"/>
      <w:lvlText w:val="•"/>
      <w:lvlJc w:val="left"/>
      <w:pPr>
        <w:tabs>
          <w:tab w:val="num" w:pos="5760"/>
        </w:tabs>
        <w:ind w:left="5760" w:hanging="360"/>
      </w:pPr>
      <w:rPr>
        <w:rFonts w:ascii="Arial" w:hAnsi="Arial" w:hint="default"/>
      </w:rPr>
    </w:lvl>
    <w:lvl w:ilvl="8" w:tplc="E912D518" w:tentative="1">
      <w:start w:val="1"/>
      <w:numFmt w:val="bullet"/>
      <w:lvlText w:val="•"/>
      <w:lvlJc w:val="left"/>
      <w:pPr>
        <w:tabs>
          <w:tab w:val="num" w:pos="6480"/>
        </w:tabs>
        <w:ind w:left="6480" w:hanging="360"/>
      </w:pPr>
      <w:rPr>
        <w:rFonts w:ascii="Arial" w:hAnsi="Arial" w:hint="default"/>
      </w:rPr>
    </w:lvl>
  </w:abstractNum>
  <w:abstractNum w:abstractNumId="11">
    <w:nsid w:val="1C9C3FA4"/>
    <w:multiLevelType w:val="multilevel"/>
    <w:tmpl w:val="8984F64E"/>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1D8C4267"/>
    <w:multiLevelType w:val="multilevel"/>
    <w:tmpl w:val="F36C3874"/>
    <w:lvl w:ilvl="0">
      <w:start w:val="3"/>
      <w:numFmt w:val="decimal"/>
      <w:pStyle w:val="Heading1"/>
      <w:lvlText w:val="%1."/>
      <w:lvlJc w:val="left"/>
      <w:pPr>
        <w:ind w:left="360" w:hanging="360"/>
      </w:pPr>
      <w:rPr>
        <w:rFonts w:hint="default"/>
      </w:rPr>
    </w:lvl>
    <w:lvl w:ilvl="1">
      <w:start w:val="13"/>
      <w:numFmt w:val="decimal"/>
      <w:isLgl/>
      <w:lvlText w:val="%1.%2"/>
      <w:lvlJc w:val="left"/>
      <w:pPr>
        <w:ind w:left="0" w:hanging="360"/>
      </w:pPr>
      <w:rPr>
        <w:rFonts w:hint="default"/>
        <w:i w:val="0"/>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13">
    <w:nsid w:val="23147103"/>
    <w:multiLevelType w:val="hybridMultilevel"/>
    <w:tmpl w:val="94447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D54A50"/>
    <w:multiLevelType w:val="hybridMultilevel"/>
    <w:tmpl w:val="6CCE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1F29FA"/>
    <w:multiLevelType w:val="multilevel"/>
    <w:tmpl w:val="3FC621E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6">
    <w:nsid w:val="28E33F7C"/>
    <w:multiLevelType w:val="hybridMultilevel"/>
    <w:tmpl w:val="E1AC2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4363D"/>
    <w:multiLevelType w:val="hybridMultilevel"/>
    <w:tmpl w:val="4CF25468"/>
    <w:lvl w:ilvl="0" w:tplc="8D4E4A34">
      <w:start w:val="1"/>
      <w:numFmt w:val="decimal"/>
      <w:lvlText w:val="%1.1"/>
      <w:lvlJc w:val="left"/>
      <w:pPr>
        <w:ind w:left="3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3AC85782"/>
    <w:multiLevelType w:val="hybridMultilevel"/>
    <w:tmpl w:val="F44CC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0C6E63"/>
    <w:multiLevelType w:val="multilevel"/>
    <w:tmpl w:val="9EACB916"/>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cs="Times New Roman" w:hint="default"/>
        <w:b w:val="0"/>
        <w:i w:val="0"/>
        <w:sz w:val="24"/>
      </w:rPr>
    </w:lvl>
    <w:lvl w:ilvl="5">
      <w:start w:val="1"/>
      <w:numFmt w:val="decimal"/>
      <w:lvlText w:val="%1.%2.%3.%4.%5.%6."/>
      <w:lvlJc w:val="left"/>
      <w:pPr>
        <w:tabs>
          <w:tab w:val="num" w:pos="4176"/>
        </w:tabs>
        <w:ind w:left="4176" w:hanging="1080"/>
      </w:pPr>
      <w:rPr>
        <w:rFonts w:ascii="Arial Narrow" w:hAnsi="Arial Narrow" w:cs="Times New Roman" w:hint="default"/>
        <w:b w:val="0"/>
        <w:i w:val="0"/>
        <w:sz w:val="24"/>
      </w:rPr>
    </w:lvl>
    <w:lvl w:ilvl="6">
      <w:start w:val="1"/>
      <w:numFmt w:val="decimal"/>
      <w:lvlText w:val="%1.%2.%3.%4.%5.%6.%7."/>
      <w:lvlJc w:val="left"/>
      <w:pPr>
        <w:tabs>
          <w:tab w:val="num" w:pos="5400"/>
        </w:tabs>
        <w:ind w:left="5400" w:hanging="1224"/>
      </w:pPr>
      <w:rPr>
        <w:rFonts w:ascii="Arial Narrow" w:hAnsi="Arial Narrow" w:cs="Times New Roman" w:hint="default"/>
        <w:b w:val="0"/>
        <w:i w:val="0"/>
        <w:sz w:val="24"/>
      </w:rPr>
    </w:lvl>
    <w:lvl w:ilvl="7">
      <w:start w:val="1"/>
      <w:numFmt w:val="decimal"/>
      <w:lvlText w:val="%1.%2.%3.%4.%5.%6.%7.%8."/>
      <w:lvlJc w:val="left"/>
      <w:pPr>
        <w:tabs>
          <w:tab w:val="num" w:pos="3744"/>
        </w:tabs>
        <w:ind w:left="3744" w:hanging="1224"/>
      </w:pPr>
      <w:rPr>
        <w:rFonts w:ascii="Arial Narrow" w:hAnsi="Arial Narrow" w:cs="Times New Roman" w:hint="default"/>
        <w:b w:val="0"/>
        <w:i w:val="0"/>
        <w:sz w:val="18"/>
      </w:rPr>
    </w:lvl>
    <w:lvl w:ilvl="8">
      <w:start w:val="1"/>
      <w:numFmt w:val="decimal"/>
      <w:lvlText w:val="%1.%2.%3.%4.%5.%6.%7.%8.%9."/>
      <w:lvlJc w:val="left"/>
      <w:pPr>
        <w:tabs>
          <w:tab w:val="num" w:pos="4320"/>
        </w:tabs>
        <w:ind w:left="4320" w:hanging="1440"/>
      </w:pPr>
      <w:rPr>
        <w:rFonts w:ascii="Arial Narrow" w:hAnsi="Arial Narrow" w:cs="Times New Roman" w:hint="default"/>
        <w:b w:val="0"/>
        <w:i w:val="0"/>
        <w:sz w:val="18"/>
      </w:rPr>
    </w:lvl>
  </w:abstractNum>
  <w:abstractNum w:abstractNumId="20">
    <w:nsid w:val="3F7D5272"/>
    <w:multiLevelType w:val="hybridMultilevel"/>
    <w:tmpl w:val="8A0C94A8"/>
    <w:lvl w:ilvl="0" w:tplc="48821368">
      <w:start w:val="1"/>
      <w:numFmt w:val="bullet"/>
      <w:lvlText w:val="•"/>
      <w:lvlJc w:val="left"/>
      <w:pPr>
        <w:tabs>
          <w:tab w:val="num" w:pos="720"/>
        </w:tabs>
        <w:ind w:left="720" w:hanging="360"/>
      </w:pPr>
      <w:rPr>
        <w:rFonts w:ascii="Arial" w:hAnsi="Arial" w:hint="default"/>
      </w:rPr>
    </w:lvl>
    <w:lvl w:ilvl="1" w:tplc="780A9C4A">
      <w:start w:val="1"/>
      <w:numFmt w:val="bullet"/>
      <w:lvlText w:val="•"/>
      <w:lvlJc w:val="left"/>
      <w:pPr>
        <w:tabs>
          <w:tab w:val="num" w:pos="1440"/>
        </w:tabs>
        <w:ind w:left="1440" w:hanging="360"/>
      </w:pPr>
      <w:rPr>
        <w:rFonts w:ascii="Arial" w:hAnsi="Arial" w:hint="default"/>
        <w:color w:val="000000" w:themeColor="text1"/>
      </w:rPr>
    </w:lvl>
    <w:lvl w:ilvl="2" w:tplc="8ABCB4C4" w:tentative="1">
      <w:start w:val="1"/>
      <w:numFmt w:val="bullet"/>
      <w:lvlText w:val="•"/>
      <w:lvlJc w:val="left"/>
      <w:pPr>
        <w:tabs>
          <w:tab w:val="num" w:pos="2160"/>
        </w:tabs>
        <w:ind w:left="2160" w:hanging="360"/>
      </w:pPr>
      <w:rPr>
        <w:rFonts w:ascii="Arial" w:hAnsi="Arial" w:hint="default"/>
      </w:rPr>
    </w:lvl>
    <w:lvl w:ilvl="3" w:tplc="5856455A" w:tentative="1">
      <w:start w:val="1"/>
      <w:numFmt w:val="bullet"/>
      <w:lvlText w:val="•"/>
      <w:lvlJc w:val="left"/>
      <w:pPr>
        <w:tabs>
          <w:tab w:val="num" w:pos="2880"/>
        </w:tabs>
        <w:ind w:left="2880" w:hanging="360"/>
      </w:pPr>
      <w:rPr>
        <w:rFonts w:ascii="Arial" w:hAnsi="Arial" w:hint="default"/>
      </w:rPr>
    </w:lvl>
    <w:lvl w:ilvl="4" w:tplc="E53A8DEC" w:tentative="1">
      <w:start w:val="1"/>
      <w:numFmt w:val="bullet"/>
      <w:lvlText w:val="•"/>
      <w:lvlJc w:val="left"/>
      <w:pPr>
        <w:tabs>
          <w:tab w:val="num" w:pos="3600"/>
        </w:tabs>
        <w:ind w:left="3600" w:hanging="360"/>
      </w:pPr>
      <w:rPr>
        <w:rFonts w:ascii="Arial" w:hAnsi="Arial" w:hint="default"/>
      </w:rPr>
    </w:lvl>
    <w:lvl w:ilvl="5" w:tplc="275C6410" w:tentative="1">
      <w:start w:val="1"/>
      <w:numFmt w:val="bullet"/>
      <w:lvlText w:val="•"/>
      <w:lvlJc w:val="left"/>
      <w:pPr>
        <w:tabs>
          <w:tab w:val="num" w:pos="4320"/>
        </w:tabs>
        <w:ind w:left="4320" w:hanging="360"/>
      </w:pPr>
      <w:rPr>
        <w:rFonts w:ascii="Arial" w:hAnsi="Arial" w:hint="default"/>
      </w:rPr>
    </w:lvl>
    <w:lvl w:ilvl="6" w:tplc="2670F76C" w:tentative="1">
      <w:start w:val="1"/>
      <w:numFmt w:val="bullet"/>
      <w:lvlText w:val="•"/>
      <w:lvlJc w:val="left"/>
      <w:pPr>
        <w:tabs>
          <w:tab w:val="num" w:pos="5040"/>
        </w:tabs>
        <w:ind w:left="5040" w:hanging="360"/>
      </w:pPr>
      <w:rPr>
        <w:rFonts w:ascii="Arial" w:hAnsi="Arial" w:hint="default"/>
      </w:rPr>
    </w:lvl>
    <w:lvl w:ilvl="7" w:tplc="7B0CE672" w:tentative="1">
      <w:start w:val="1"/>
      <w:numFmt w:val="bullet"/>
      <w:lvlText w:val="•"/>
      <w:lvlJc w:val="left"/>
      <w:pPr>
        <w:tabs>
          <w:tab w:val="num" w:pos="5760"/>
        </w:tabs>
        <w:ind w:left="5760" w:hanging="360"/>
      </w:pPr>
      <w:rPr>
        <w:rFonts w:ascii="Arial" w:hAnsi="Arial" w:hint="default"/>
      </w:rPr>
    </w:lvl>
    <w:lvl w:ilvl="8" w:tplc="6A780C0E" w:tentative="1">
      <w:start w:val="1"/>
      <w:numFmt w:val="bullet"/>
      <w:lvlText w:val="•"/>
      <w:lvlJc w:val="left"/>
      <w:pPr>
        <w:tabs>
          <w:tab w:val="num" w:pos="6480"/>
        </w:tabs>
        <w:ind w:left="6480" w:hanging="360"/>
      </w:pPr>
      <w:rPr>
        <w:rFonts w:ascii="Arial" w:hAnsi="Arial" w:hint="default"/>
      </w:rPr>
    </w:lvl>
  </w:abstractNum>
  <w:abstractNum w:abstractNumId="21">
    <w:nsid w:val="3FAB3567"/>
    <w:multiLevelType w:val="multilevel"/>
    <w:tmpl w:val="BBA2BBFA"/>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48D300DF"/>
    <w:multiLevelType w:val="hybridMultilevel"/>
    <w:tmpl w:val="10808580"/>
    <w:lvl w:ilvl="0" w:tplc="96E8EC5C">
      <w:start w:val="1"/>
      <w:numFmt w:val="bullet"/>
      <w:lvlText w:val="•"/>
      <w:lvlJc w:val="left"/>
      <w:pPr>
        <w:tabs>
          <w:tab w:val="num" w:pos="720"/>
        </w:tabs>
        <w:ind w:left="720" w:hanging="360"/>
      </w:pPr>
      <w:rPr>
        <w:rFonts w:ascii="Arial" w:hAnsi="Arial" w:hint="default"/>
      </w:rPr>
    </w:lvl>
    <w:lvl w:ilvl="1" w:tplc="0F8A8022">
      <w:start w:val="1"/>
      <w:numFmt w:val="bullet"/>
      <w:lvlText w:val="•"/>
      <w:lvlJc w:val="left"/>
      <w:pPr>
        <w:tabs>
          <w:tab w:val="num" w:pos="1440"/>
        </w:tabs>
        <w:ind w:left="1440" w:hanging="360"/>
      </w:pPr>
      <w:rPr>
        <w:rFonts w:ascii="Arial" w:hAnsi="Arial" w:hint="default"/>
        <w:color w:val="000000" w:themeColor="text1"/>
      </w:rPr>
    </w:lvl>
    <w:lvl w:ilvl="2" w:tplc="7138F87A" w:tentative="1">
      <w:start w:val="1"/>
      <w:numFmt w:val="bullet"/>
      <w:lvlText w:val="•"/>
      <w:lvlJc w:val="left"/>
      <w:pPr>
        <w:tabs>
          <w:tab w:val="num" w:pos="2160"/>
        </w:tabs>
        <w:ind w:left="2160" w:hanging="360"/>
      </w:pPr>
      <w:rPr>
        <w:rFonts w:ascii="Arial" w:hAnsi="Arial" w:hint="default"/>
      </w:rPr>
    </w:lvl>
    <w:lvl w:ilvl="3" w:tplc="1BE6A9AA" w:tentative="1">
      <w:start w:val="1"/>
      <w:numFmt w:val="bullet"/>
      <w:lvlText w:val="•"/>
      <w:lvlJc w:val="left"/>
      <w:pPr>
        <w:tabs>
          <w:tab w:val="num" w:pos="2880"/>
        </w:tabs>
        <w:ind w:left="2880" w:hanging="360"/>
      </w:pPr>
      <w:rPr>
        <w:rFonts w:ascii="Arial" w:hAnsi="Arial" w:hint="default"/>
      </w:rPr>
    </w:lvl>
    <w:lvl w:ilvl="4" w:tplc="8F3ECBE6" w:tentative="1">
      <w:start w:val="1"/>
      <w:numFmt w:val="bullet"/>
      <w:lvlText w:val="•"/>
      <w:lvlJc w:val="left"/>
      <w:pPr>
        <w:tabs>
          <w:tab w:val="num" w:pos="3600"/>
        </w:tabs>
        <w:ind w:left="3600" w:hanging="360"/>
      </w:pPr>
      <w:rPr>
        <w:rFonts w:ascii="Arial" w:hAnsi="Arial" w:hint="default"/>
      </w:rPr>
    </w:lvl>
    <w:lvl w:ilvl="5" w:tplc="CF44DCCE" w:tentative="1">
      <w:start w:val="1"/>
      <w:numFmt w:val="bullet"/>
      <w:lvlText w:val="•"/>
      <w:lvlJc w:val="left"/>
      <w:pPr>
        <w:tabs>
          <w:tab w:val="num" w:pos="4320"/>
        </w:tabs>
        <w:ind w:left="4320" w:hanging="360"/>
      </w:pPr>
      <w:rPr>
        <w:rFonts w:ascii="Arial" w:hAnsi="Arial" w:hint="default"/>
      </w:rPr>
    </w:lvl>
    <w:lvl w:ilvl="6" w:tplc="84B6AABA" w:tentative="1">
      <w:start w:val="1"/>
      <w:numFmt w:val="bullet"/>
      <w:lvlText w:val="•"/>
      <w:lvlJc w:val="left"/>
      <w:pPr>
        <w:tabs>
          <w:tab w:val="num" w:pos="5040"/>
        </w:tabs>
        <w:ind w:left="5040" w:hanging="360"/>
      </w:pPr>
      <w:rPr>
        <w:rFonts w:ascii="Arial" w:hAnsi="Arial" w:hint="default"/>
      </w:rPr>
    </w:lvl>
    <w:lvl w:ilvl="7" w:tplc="15B62F80" w:tentative="1">
      <w:start w:val="1"/>
      <w:numFmt w:val="bullet"/>
      <w:lvlText w:val="•"/>
      <w:lvlJc w:val="left"/>
      <w:pPr>
        <w:tabs>
          <w:tab w:val="num" w:pos="5760"/>
        </w:tabs>
        <w:ind w:left="5760" w:hanging="360"/>
      </w:pPr>
      <w:rPr>
        <w:rFonts w:ascii="Arial" w:hAnsi="Arial" w:hint="default"/>
      </w:rPr>
    </w:lvl>
    <w:lvl w:ilvl="8" w:tplc="AD2040BC" w:tentative="1">
      <w:start w:val="1"/>
      <w:numFmt w:val="bullet"/>
      <w:lvlText w:val="•"/>
      <w:lvlJc w:val="left"/>
      <w:pPr>
        <w:tabs>
          <w:tab w:val="num" w:pos="6480"/>
        </w:tabs>
        <w:ind w:left="6480" w:hanging="360"/>
      </w:pPr>
      <w:rPr>
        <w:rFonts w:ascii="Arial" w:hAnsi="Arial" w:hint="default"/>
      </w:rPr>
    </w:lvl>
  </w:abstractNum>
  <w:abstractNum w:abstractNumId="23">
    <w:nsid w:val="4C3022E0"/>
    <w:multiLevelType w:val="hybridMultilevel"/>
    <w:tmpl w:val="3996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D83FB7"/>
    <w:multiLevelType w:val="hybridMultilevel"/>
    <w:tmpl w:val="97868382"/>
    <w:lvl w:ilvl="0" w:tplc="9C7E3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1C0343"/>
    <w:multiLevelType w:val="hybridMultilevel"/>
    <w:tmpl w:val="526A2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A34DD5"/>
    <w:multiLevelType w:val="hybridMultilevel"/>
    <w:tmpl w:val="35042B4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AF81EEE"/>
    <w:multiLevelType w:val="hybridMultilevel"/>
    <w:tmpl w:val="CA6401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C7957A0"/>
    <w:multiLevelType w:val="multilevel"/>
    <w:tmpl w:val="40601732"/>
    <w:lvl w:ilvl="0">
      <w:start w:val="1"/>
      <w:numFmt w:val="decimal"/>
      <w:lvlText w:val="%1.0"/>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8BF3D67"/>
    <w:multiLevelType w:val="multilevel"/>
    <w:tmpl w:val="3BC0966A"/>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8E8593C"/>
    <w:multiLevelType w:val="multilevel"/>
    <w:tmpl w:val="242AC6A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6A9F3042"/>
    <w:multiLevelType w:val="hybridMultilevel"/>
    <w:tmpl w:val="1F66DE4A"/>
    <w:lvl w:ilvl="0" w:tplc="79A06A42">
      <w:start w:val="1"/>
      <w:numFmt w:val="bullet"/>
      <w:lvlText w:val="•"/>
      <w:lvlJc w:val="left"/>
      <w:pPr>
        <w:tabs>
          <w:tab w:val="num" w:pos="540"/>
        </w:tabs>
        <w:ind w:left="540" w:hanging="360"/>
      </w:pPr>
      <w:rPr>
        <w:rFonts w:ascii="Arial" w:hAnsi="Arial" w:hint="default"/>
      </w:rPr>
    </w:lvl>
    <w:lvl w:ilvl="1" w:tplc="E952834A" w:tentative="1">
      <w:start w:val="1"/>
      <w:numFmt w:val="bullet"/>
      <w:lvlText w:val="•"/>
      <w:lvlJc w:val="left"/>
      <w:pPr>
        <w:tabs>
          <w:tab w:val="num" w:pos="1260"/>
        </w:tabs>
        <w:ind w:left="1260" w:hanging="360"/>
      </w:pPr>
      <w:rPr>
        <w:rFonts w:ascii="Arial" w:hAnsi="Arial" w:hint="default"/>
      </w:rPr>
    </w:lvl>
    <w:lvl w:ilvl="2" w:tplc="531CD53A" w:tentative="1">
      <w:start w:val="1"/>
      <w:numFmt w:val="bullet"/>
      <w:lvlText w:val="•"/>
      <w:lvlJc w:val="left"/>
      <w:pPr>
        <w:tabs>
          <w:tab w:val="num" w:pos="1980"/>
        </w:tabs>
        <w:ind w:left="1980" w:hanging="360"/>
      </w:pPr>
      <w:rPr>
        <w:rFonts w:ascii="Arial" w:hAnsi="Arial" w:hint="default"/>
      </w:rPr>
    </w:lvl>
    <w:lvl w:ilvl="3" w:tplc="937CA3CE" w:tentative="1">
      <w:start w:val="1"/>
      <w:numFmt w:val="bullet"/>
      <w:lvlText w:val="•"/>
      <w:lvlJc w:val="left"/>
      <w:pPr>
        <w:tabs>
          <w:tab w:val="num" w:pos="2700"/>
        </w:tabs>
        <w:ind w:left="2700" w:hanging="360"/>
      </w:pPr>
      <w:rPr>
        <w:rFonts w:ascii="Arial" w:hAnsi="Arial" w:hint="default"/>
      </w:rPr>
    </w:lvl>
    <w:lvl w:ilvl="4" w:tplc="827EC376" w:tentative="1">
      <w:start w:val="1"/>
      <w:numFmt w:val="bullet"/>
      <w:lvlText w:val="•"/>
      <w:lvlJc w:val="left"/>
      <w:pPr>
        <w:tabs>
          <w:tab w:val="num" w:pos="3420"/>
        </w:tabs>
        <w:ind w:left="3420" w:hanging="360"/>
      </w:pPr>
      <w:rPr>
        <w:rFonts w:ascii="Arial" w:hAnsi="Arial" w:hint="default"/>
      </w:rPr>
    </w:lvl>
    <w:lvl w:ilvl="5" w:tplc="29DAEE30" w:tentative="1">
      <w:start w:val="1"/>
      <w:numFmt w:val="bullet"/>
      <w:lvlText w:val="•"/>
      <w:lvlJc w:val="left"/>
      <w:pPr>
        <w:tabs>
          <w:tab w:val="num" w:pos="4140"/>
        </w:tabs>
        <w:ind w:left="4140" w:hanging="360"/>
      </w:pPr>
      <w:rPr>
        <w:rFonts w:ascii="Arial" w:hAnsi="Arial" w:hint="default"/>
      </w:rPr>
    </w:lvl>
    <w:lvl w:ilvl="6" w:tplc="4470EBA0" w:tentative="1">
      <w:start w:val="1"/>
      <w:numFmt w:val="bullet"/>
      <w:lvlText w:val="•"/>
      <w:lvlJc w:val="left"/>
      <w:pPr>
        <w:tabs>
          <w:tab w:val="num" w:pos="4860"/>
        </w:tabs>
        <w:ind w:left="4860" w:hanging="360"/>
      </w:pPr>
      <w:rPr>
        <w:rFonts w:ascii="Arial" w:hAnsi="Arial" w:hint="default"/>
      </w:rPr>
    </w:lvl>
    <w:lvl w:ilvl="7" w:tplc="157E03CA" w:tentative="1">
      <w:start w:val="1"/>
      <w:numFmt w:val="bullet"/>
      <w:lvlText w:val="•"/>
      <w:lvlJc w:val="left"/>
      <w:pPr>
        <w:tabs>
          <w:tab w:val="num" w:pos="5580"/>
        </w:tabs>
        <w:ind w:left="5580" w:hanging="360"/>
      </w:pPr>
      <w:rPr>
        <w:rFonts w:ascii="Arial" w:hAnsi="Arial" w:hint="default"/>
      </w:rPr>
    </w:lvl>
    <w:lvl w:ilvl="8" w:tplc="C04A478A" w:tentative="1">
      <w:start w:val="1"/>
      <w:numFmt w:val="bullet"/>
      <w:lvlText w:val="•"/>
      <w:lvlJc w:val="left"/>
      <w:pPr>
        <w:tabs>
          <w:tab w:val="num" w:pos="6300"/>
        </w:tabs>
        <w:ind w:left="6300" w:hanging="360"/>
      </w:pPr>
      <w:rPr>
        <w:rFonts w:ascii="Arial" w:hAnsi="Arial" w:hint="default"/>
      </w:rPr>
    </w:lvl>
  </w:abstractNum>
  <w:abstractNum w:abstractNumId="32">
    <w:nsid w:val="6B5E5166"/>
    <w:multiLevelType w:val="hybridMultilevel"/>
    <w:tmpl w:val="DC9E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0B5047"/>
    <w:multiLevelType w:val="hybridMultilevel"/>
    <w:tmpl w:val="9EDA93EA"/>
    <w:lvl w:ilvl="0" w:tplc="4CD8872E">
      <w:start w:val="1"/>
      <w:numFmt w:val="bullet"/>
      <w:lvlText w:val="•"/>
      <w:lvlJc w:val="left"/>
      <w:pPr>
        <w:tabs>
          <w:tab w:val="num" w:pos="720"/>
        </w:tabs>
        <w:ind w:left="720" w:hanging="360"/>
      </w:pPr>
      <w:rPr>
        <w:rFonts w:ascii="Arial" w:hAnsi="Arial" w:hint="default"/>
      </w:rPr>
    </w:lvl>
    <w:lvl w:ilvl="1" w:tplc="13A29CF2">
      <w:start w:val="1"/>
      <w:numFmt w:val="bullet"/>
      <w:lvlText w:val="•"/>
      <w:lvlJc w:val="left"/>
      <w:pPr>
        <w:tabs>
          <w:tab w:val="num" w:pos="1440"/>
        </w:tabs>
        <w:ind w:left="1440" w:hanging="360"/>
      </w:pPr>
      <w:rPr>
        <w:rFonts w:ascii="Arial" w:hAnsi="Arial" w:hint="default"/>
        <w:color w:val="000000" w:themeColor="text1"/>
      </w:rPr>
    </w:lvl>
    <w:lvl w:ilvl="2" w:tplc="A0A8CA3C" w:tentative="1">
      <w:start w:val="1"/>
      <w:numFmt w:val="bullet"/>
      <w:lvlText w:val="•"/>
      <w:lvlJc w:val="left"/>
      <w:pPr>
        <w:tabs>
          <w:tab w:val="num" w:pos="2160"/>
        </w:tabs>
        <w:ind w:left="2160" w:hanging="360"/>
      </w:pPr>
      <w:rPr>
        <w:rFonts w:ascii="Arial" w:hAnsi="Arial" w:hint="default"/>
      </w:rPr>
    </w:lvl>
    <w:lvl w:ilvl="3" w:tplc="E0F0EE70" w:tentative="1">
      <w:start w:val="1"/>
      <w:numFmt w:val="bullet"/>
      <w:lvlText w:val="•"/>
      <w:lvlJc w:val="left"/>
      <w:pPr>
        <w:tabs>
          <w:tab w:val="num" w:pos="2880"/>
        </w:tabs>
        <w:ind w:left="2880" w:hanging="360"/>
      </w:pPr>
      <w:rPr>
        <w:rFonts w:ascii="Arial" w:hAnsi="Arial" w:hint="default"/>
      </w:rPr>
    </w:lvl>
    <w:lvl w:ilvl="4" w:tplc="C0EA7BFC" w:tentative="1">
      <w:start w:val="1"/>
      <w:numFmt w:val="bullet"/>
      <w:lvlText w:val="•"/>
      <w:lvlJc w:val="left"/>
      <w:pPr>
        <w:tabs>
          <w:tab w:val="num" w:pos="3600"/>
        </w:tabs>
        <w:ind w:left="3600" w:hanging="360"/>
      </w:pPr>
      <w:rPr>
        <w:rFonts w:ascii="Arial" w:hAnsi="Arial" w:hint="default"/>
      </w:rPr>
    </w:lvl>
    <w:lvl w:ilvl="5" w:tplc="12F21D76" w:tentative="1">
      <w:start w:val="1"/>
      <w:numFmt w:val="bullet"/>
      <w:lvlText w:val="•"/>
      <w:lvlJc w:val="left"/>
      <w:pPr>
        <w:tabs>
          <w:tab w:val="num" w:pos="4320"/>
        </w:tabs>
        <w:ind w:left="4320" w:hanging="360"/>
      </w:pPr>
      <w:rPr>
        <w:rFonts w:ascii="Arial" w:hAnsi="Arial" w:hint="default"/>
      </w:rPr>
    </w:lvl>
    <w:lvl w:ilvl="6" w:tplc="A94688AE" w:tentative="1">
      <w:start w:val="1"/>
      <w:numFmt w:val="bullet"/>
      <w:lvlText w:val="•"/>
      <w:lvlJc w:val="left"/>
      <w:pPr>
        <w:tabs>
          <w:tab w:val="num" w:pos="5040"/>
        </w:tabs>
        <w:ind w:left="5040" w:hanging="360"/>
      </w:pPr>
      <w:rPr>
        <w:rFonts w:ascii="Arial" w:hAnsi="Arial" w:hint="default"/>
      </w:rPr>
    </w:lvl>
    <w:lvl w:ilvl="7" w:tplc="1F5C8D48" w:tentative="1">
      <w:start w:val="1"/>
      <w:numFmt w:val="bullet"/>
      <w:lvlText w:val="•"/>
      <w:lvlJc w:val="left"/>
      <w:pPr>
        <w:tabs>
          <w:tab w:val="num" w:pos="5760"/>
        </w:tabs>
        <w:ind w:left="5760" w:hanging="360"/>
      </w:pPr>
      <w:rPr>
        <w:rFonts w:ascii="Arial" w:hAnsi="Arial" w:hint="default"/>
      </w:rPr>
    </w:lvl>
    <w:lvl w:ilvl="8" w:tplc="6DE42A3C" w:tentative="1">
      <w:start w:val="1"/>
      <w:numFmt w:val="bullet"/>
      <w:lvlText w:val="•"/>
      <w:lvlJc w:val="left"/>
      <w:pPr>
        <w:tabs>
          <w:tab w:val="num" w:pos="6480"/>
        </w:tabs>
        <w:ind w:left="6480" w:hanging="360"/>
      </w:pPr>
      <w:rPr>
        <w:rFonts w:ascii="Arial" w:hAnsi="Arial" w:hint="default"/>
      </w:rPr>
    </w:lvl>
  </w:abstractNum>
  <w:abstractNum w:abstractNumId="34">
    <w:nsid w:val="78AC40DD"/>
    <w:multiLevelType w:val="hybridMultilevel"/>
    <w:tmpl w:val="2B666428"/>
    <w:lvl w:ilvl="0" w:tplc="EF205C10">
      <w:start w:val="1"/>
      <w:numFmt w:val="bullet"/>
      <w:lvlText w:val="•"/>
      <w:lvlJc w:val="left"/>
      <w:pPr>
        <w:tabs>
          <w:tab w:val="num" w:pos="720"/>
        </w:tabs>
        <w:ind w:left="720" w:hanging="360"/>
      </w:pPr>
      <w:rPr>
        <w:rFonts w:ascii="Arial" w:hAnsi="Arial" w:hint="default"/>
      </w:rPr>
    </w:lvl>
    <w:lvl w:ilvl="1" w:tplc="405C9034">
      <w:start w:val="1"/>
      <w:numFmt w:val="bullet"/>
      <w:lvlText w:val="•"/>
      <w:lvlJc w:val="left"/>
      <w:pPr>
        <w:tabs>
          <w:tab w:val="num" w:pos="1440"/>
        </w:tabs>
        <w:ind w:left="1440" w:hanging="360"/>
      </w:pPr>
      <w:rPr>
        <w:rFonts w:ascii="Arial" w:hAnsi="Arial" w:hint="default"/>
      </w:rPr>
    </w:lvl>
    <w:lvl w:ilvl="2" w:tplc="C2A842F4" w:tentative="1">
      <w:start w:val="1"/>
      <w:numFmt w:val="bullet"/>
      <w:lvlText w:val="•"/>
      <w:lvlJc w:val="left"/>
      <w:pPr>
        <w:tabs>
          <w:tab w:val="num" w:pos="2160"/>
        </w:tabs>
        <w:ind w:left="2160" w:hanging="360"/>
      </w:pPr>
      <w:rPr>
        <w:rFonts w:ascii="Arial" w:hAnsi="Arial" w:hint="default"/>
      </w:rPr>
    </w:lvl>
    <w:lvl w:ilvl="3" w:tplc="EC32C5AC" w:tentative="1">
      <w:start w:val="1"/>
      <w:numFmt w:val="bullet"/>
      <w:lvlText w:val="•"/>
      <w:lvlJc w:val="left"/>
      <w:pPr>
        <w:tabs>
          <w:tab w:val="num" w:pos="2880"/>
        </w:tabs>
        <w:ind w:left="2880" w:hanging="360"/>
      </w:pPr>
      <w:rPr>
        <w:rFonts w:ascii="Arial" w:hAnsi="Arial" w:hint="default"/>
      </w:rPr>
    </w:lvl>
    <w:lvl w:ilvl="4" w:tplc="EA123D46" w:tentative="1">
      <w:start w:val="1"/>
      <w:numFmt w:val="bullet"/>
      <w:lvlText w:val="•"/>
      <w:lvlJc w:val="left"/>
      <w:pPr>
        <w:tabs>
          <w:tab w:val="num" w:pos="3600"/>
        </w:tabs>
        <w:ind w:left="3600" w:hanging="360"/>
      </w:pPr>
      <w:rPr>
        <w:rFonts w:ascii="Arial" w:hAnsi="Arial" w:hint="default"/>
      </w:rPr>
    </w:lvl>
    <w:lvl w:ilvl="5" w:tplc="FCDAEC8C" w:tentative="1">
      <w:start w:val="1"/>
      <w:numFmt w:val="bullet"/>
      <w:lvlText w:val="•"/>
      <w:lvlJc w:val="left"/>
      <w:pPr>
        <w:tabs>
          <w:tab w:val="num" w:pos="4320"/>
        </w:tabs>
        <w:ind w:left="4320" w:hanging="360"/>
      </w:pPr>
      <w:rPr>
        <w:rFonts w:ascii="Arial" w:hAnsi="Arial" w:hint="default"/>
      </w:rPr>
    </w:lvl>
    <w:lvl w:ilvl="6" w:tplc="77A2E688" w:tentative="1">
      <w:start w:val="1"/>
      <w:numFmt w:val="bullet"/>
      <w:lvlText w:val="•"/>
      <w:lvlJc w:val="left"/>
      <w:pPr>
        <w:tabs>
          <w:tab w:val="num" w:pos="5040"/>
        </w:tabs>
        <w:ind w:left="5040" w:hanging="360"/>
      </w:pPr>
      <w:rPr>
        <w:rFonts w:ascii="Arial" w:hAnsi="Arial" w:hint="default"/>
      </w:rPr>
    </w:lvl>
    <w:lvl w:ilvl="7" w:tplc="7D9C3912" w:tentative="1">
      <w:start w:val="1"/>
      <w:numFmt w:val="bullet"/>
      <w:lvlText w:val="•"/>
      <w:lvlJc w:val="left"/>
      <w:pPr>
        <w:tabs>
          <w:tab w:val="num" w:pos="5760"/>
        </w:tabs>
        <w:ind w:left="5760" w:hanging="360"/>
      </w:pPr>
      <w:rPr>
        <w:rFonts w:ascii="Arial" w:hAnsi="Arial" w:hint="default"/>
      </w:rPr>
    </w:lvl>
    <w:lvl w:ilvl="8" w:tplc="BC582308" w:tentative="1">
      <w:start w:val="1"/>
      <w:numFmt w:val="bullet"/>
      <w:lvlText w:val="•"/>
      <w:lvlJc w:val="left"/>
      <w:pPr>
        <w:tabs>
          <w:tab w:val="num" w:pos="6480"/>
        </w:tabs>
        <w:ind w:left="6480" w:hanging="360"/>
      </w:pPr>
      <w:rPr>
        <w:rFonts w:ascii="Arial" w:hAnsi="Arial" w:hint="default"/>
      </w:rPr>
    </w:lvl>
  </w:abstractNum>
  <w:abstractNum w:abstractNumId="35">
    <w:nsid w:val="78FC1FEC"/>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E5C6936"/>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4"/>
  </w:num>
  <w:num w:numId="3">
    <w:abstractNumId w:val="19"/>
  </w:num>
  <w:num w:numId="4">
    <w:abstractNumId w:val="17"/>
  </w:num>
  <w:num w:numId="5">
    <w:abstractNumId w:val="12"/>
  </w:num>
  <w:num w:numId="6">
    <w:abstractNumId w:val="12"/>
    <w:lvlOverride w:ilvl="0">
      <w:startOverride w:val="1"/>
    </w:lvlOverride>
  </w:num>
  <w:num w:numId="7">
    <w:abstractNumId w:val="28"/>
  </w:num>
  <w:num w:numId="8">
    <w:abstractNumId w:val="12"/>
    <w:lvlOverride w:ilvl="0">
      <w:startOverride w:val="11"/>
    </w:lvlOverride>
  </w:num>
  <w:num w:numId="9">
    <w:abstractNumId w:val="36"/>
  </w:num>
  <w:num w:numId="10">
    <w:abstractNumId w:val="29"/>
  </w:num>
  <w:num w:numId="11">
    <w:abstractNumId w:val="35"/>
  </w:num>
  <w:num w:numId="12">
    <w:abstractNumId w:val="14"/>
  </w:num>
  <w:num w:numId="13">
    <w:abstractNumId w:val="16"/>
  </w:num>
  <w:num w:numId="14">
    <w:abstractNumId w:val="13"/>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8"/>
  </w:num>
  <w:num w:numId="18">
    <w:abstractNumId w:val="1"/>
  </w:num>
  <w:num w:numId="19">
    <w:abstractNumId w:val="26"/>
  </w:num>
  <w:num w:numId="20">
    <w:abstractNumId w:val="34"/>
  </w:num>
  <w:num w:numId="21">
    <w:abstractNumId w:val="9"/>
  </w:num>
  <w:num w:numId="22">
    <w:abstractNumId w:val="10"/>
  </w:num>
  <w:num w:numId="23">
    <w:abstractNumId w:val="5"/>
  </w:num>
  <w:num w:numId="24">
    <w:abstractNumId w:val="3"/>
  </w:num>
  <w:num w:numId="25">
    <w:abstractNumId w:val="24"/>
  </w:num>
  <w:num w:numId="26">
    <w:abstractNumId w:val="2"/>
  </w:num>
  <w:num w:numId="27">
    <w:abstractNumId w:val="12"/>
    <w:lvlOverride w:ilvl="0">
      <w:startOverride w:val="10"/>
    </w:lvlOverride>
  </w:num>
  <w:num w:numId="28">
    <w:abstractNumId w:val="15"/>
  </w:num>
  <w:num w:numId="29">
    <w:abstractNumId w:val="0"/>
  </w:num>
  <w:num w:numId="30">
    <w:abstractNumId w:val="11"/>
  </w:num>
  <w:num w:numId="31">
    <w:abstractNumId w:val="7"/>
  </w:num>
  <w:num w:numId="32">
    <w:abstractNumId w:val="21"/>
  </w:num>
  <w:num w:numId="33">
    <w:abstractNumId w:val="30"/>
  </w:num>
  <w:num w:numId="34">
    <w:abstractNumId w:val="31"/>
  </w:num>
  <w:num w:numId="35">
    <w:abstractNumId w:val="33"/>
  </w:num>
  <w:num w:numId="36">
    <w:abstractNumId w:val="20"/>
  </w:num>
  <w:num w:numId="37">
    <w:abstractNumId w:val="22"/>
  </w:num>
  <w:num w:numId="38">
    <w:abstractNumId w:val="8"/>
  </w:num>
  <w:num w:numId="39">
    <w:abstractNumId w:val="6"/>
  </w:num>
  <w:num w:numId="4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3D13"/>
    <w:rsid w:val="00000790"/>
    <w:rsid w:val="00001568"/>
    <w:rsid w:val="00002010"/>
    <w:rsid w:val="00002871"/>
    <w:rsid w:val="0000327D"/>
    <w:rsid w:val="00003455"/>
    <w:rsid w:val="0000347E"/>
    <w:rsid w:val="000037D6"/>
    <w:rsid w:val="00003AF2"/>
    <w:rsid w:val="00003B64"/>
    <w:rsid w:val="00003E73"/>
    <w:rsid w:val="00004E85"/>
    <w:rsid w:val="0000605F"/>
    <w:rsid w:val="00006F35"/>
    <w:rsid w:val="00007A17"/>
    <w:rsid w:val="00007D1E"/>
    <w:rsid w:val="00010E09"/>
    <w:rsid w:val="00011983"/>
    <w:rsid w:val="00011C55"/>
    <w:rsid w:val="000130ED"/>
    <w:rsid w:val="000141C0"/>
    <w:rsid w:val="0001467D"/>
    <w:rsid w:val="00015FD5"/>
    <w:rsid w:val="000162AD"/>
    <w:rsid w:val="00016E1B"/>
    <w:rsid w:val="000173A7"/>
    <w:rsid w:val="000207AC"/>
    <w:rsid w:val="00020841"/>
    <w:rsid w:val="00020BD3"/>
    <w:rsid w:val="00023929"/>
    <w:rsid w:val="000244AB"/>
    <w:rsid w:val="00024C58"/>
    <w:rsid w:val="00026653"/>
    <w:rsid w:val="000269A9"/>
    <w:rsid w:val="000301F3"/>
    <w:rsid w:val="000303D9"/>
    <w:rsid w:val="00030A6E"/>
    <w:rsid w:val="0003251D"/>
    <w:rsid w:val="000334C0"/>
    <w:rsid w:val="000341B8"/>
    <w:rsid w:val="00034569"/>
    <w:rsid w:val="0003456F"/>
    <w:rsid w:val="000358CE"/>
    <w:rsid w:val="00035C85"/>
    <w:rsid w:val="000366A4"/>
    <w:rsid w:val="000412F0"/>
    <w:rsid w:val="00041DAC"/>
    <w:rsid w:val="0004256B"/>
    <w:rsid w:val="00042798"/>
    <w:rsid w:val="00043179"/>
    <w:rsid w:val="00043728"/>
    <w:rsid w:val="00043E16"/>
    <w:rsid w:val="00044507"/>
    <w:rsid w:val="0004455D"/>
    <w:rsid w:val="0004507A"/>
    <w:rsid w:val="00045403"/>
    <w:rsid w:val="00045F8A"/>
    <w:rsid w:val="0004617B"/>
    <w:rsid w:val="000465D7"/>
    <w:rsid w:val="00047264"/>
    <w:rsid w:val="00050295"/>
    <w:rsid w:val="00050B57"/>
    <w:rsid w:val="0005110B"/>
    <w:rsid w:val="00051B3F"/>
    <w:rsid w:val="00051EB1"/>
    <w:rsid w:val="00053325"/>
    <w:rsid w:val="00053E84"/>
    <w:rsid w:val="00054AB1"/>
    <w:rsid w:val="00054B82"/>
    <w:rsid w:val="00055C23"/>
    <w:rsid w:val="00055D7D"/>
    <w:rsid w:val="00055F76"/>
    <w:rsid w:val="00056582"/>
    <w:rsid w:val="000565AA"/>
    <w:rsid w:val="00056DA7"/>
    <w:rsid w:val="00057266"/>
    <w:rsid w:val="00057DE2"/>
    <w:rsid w:val="00061C19"/>
    <w:rsid w:val="0006207D"/>
    <w:rsid w:val="0006231C"/>
    <w:rsid w:val="00062419"/>
    <w:rsid w:val="00063466"/>
    <w:rsid w:val="00063932"/>
    <w:rsid w:val="00063C2A"/>
    <w:rsid w:val="00064265"/>
    <w:rsid w:val="000648D4"/>
    <w:rsid w:val="00064A11"/>
    <w:rsid w:val="00066A5D"/>
    <w:rsid w:val="000675B2"/>
    <w:rsid w:val="0007053E"/>
    <w:rsid w:val="00072584"/>
    <w:rsid w:val="000730B5"/>
    <w:rsid w:val="000744CD"/>
    <w:rsid w:val="0007498B"/>
    <w:rsid w:val="00076FC5"/>
    <w:rsid w:val="0007729A"/>
    <w:rsid w:val="000808A8"/>
    <w:rsid w:val="00082698"/>
    <w:rsid w:val="00083570"/>
    <w:rsid w:val="0008450C"/>
    <w:rsid w:val="00084B76"/>
    <w:rsid w:val="00085783"/>
    <w:rsid w:val="00085CAF"/>
    <w:rsid w:val="00086415"/>
    <w:rsid w:val="00087913"/>
    <w:rsid w:val="00090F68"/>
    <w:rsid w:val="00091FB0"/>
    <w:rsid w:val="000922BB"/>
    <w:rsid w:val="00093B9C"/>
    <w:rsid w:val="000950D4"/>
    <w:rsid w:val="00096A38"/>
    <w:rsid w:val="00096C4F"/>
    <w:rsid w:val="00096CEB"/>
    <w:rsid w:val="00096EB7"/>
    <w:rsid w:val="000A0CAE"/>
    <w:rsid w:val="000A1248"/>
    <w:rsid w:val="000A13EF"/>
    <w:rsid w:val="000A15A1"/>
    <w:rsid w:val="000A207B"/>
    <w:rsid w:val="000A3057"/>
    <w:rsid w:val="000A3E19"/>
    <w:rsid w:val="000A4244"/>
    <w:rsid w:val="000A431C"/>
    <w:rsid w:val="000A4620"/>
    <w:rsid w:val="000A667B"/>
    <w:rsid w:val="000A6802"/>
    <w:rsid w:val="000A7036"/>
    <w:rsid w:val="000A7D0C"/>
    <w:rsid w:val="000B20DC"/>
    <w:rsid w:val="000B2BA7"/>
    <w:rsid w:val="000B447B"/>
    <w:rsid w:val="000B57BC"/>
    <w:rsid w:val="000B5B79"/>
    <w:rsid w:val="000B5CA5"/>
    <w:rsid w:val="000B6353"/>
    <w:rsid w:val="000B64A1"/>
    <w:rsid w:val="000B68D9"/>
    <w:rsid w:val="000B7DB0"/>
    <w:rsid w:val="000C17BD"/>
    <w:rsid w:val="000C2DEB"/>
    <w:rsid w:val="000C342D"/>
    <w:rsid w:val="000C4A98"/>
    <w:rsid w:val="000C4CB7"/>
    <w:rsid w:val="000C6AB1"/>
    <w:rsid w:val="000C6E7D"/>
    <w:rsid w:val="000D0F34"/>
    <w:rsid w:val="000D2AB3"/>
    <w:rsid w:val="000D2E8B"/>
    <w:rsid w:val="000D32FF"/>
    <w:rsid w:val="000D36D3"/>
    <w:rsid w:val="000D3929"/>
    <w:rsid w:val="000D49D1"/>
    <w:rsid w:val="000D49FF"/>
    <w:rsid w:val="000D4A76"/>
    <w:rsid w:val="000D4BD4"/>
    <w:rsid w:val="000D67E1"/>
    <w:rsid w:val="000D74CA"/>
    <w:rsid w:val="000E091A"/>
    <w:rsid w:val="000E25D5"/>
    <w:rsid w:val="000E3C6F"/>
    <w:rsid w:val="000E3DB2"/>
    <w:rsid w:val="000E4259"/>
    <w:rsid w:val="000E481A"/>
    <w:rsid w:val="000E4F4F"/>
    <w:rsid w:val="000E4FBE"/>
    <w:rsid w:val="000E52EE"/>
    <w:rsid w:val="000E61BE"/>
    <w:rsid w:val="000E79DE"/>
    <w:rsid w:val="000F065C"/>
    <w:rsid w:val="000F28BF"/>
    <w:rsid w:val="000F2EF6"/>
    <w:rsid w:val="000F6360"/>
    <w:rsid w:val="000F6E55"/>
    <w:rsid w:val="000F6FAB"/>
    <w:rsid w:val="000F6FD3"/>
    <w:rsid w:val="000F6FF9"/>
    <w:rsid w:val="0010105D"/>
    <w:rsid w:val="0010189F"/>
    <w:rsid w:val="00101CF1"/>
    <w:rsid w:val="00102BD6"/>
    <w:rsid w:val="00106C2D"/>
    <w:rsid w:val="00107799"/>
    <w:rsid w:val="00107808"/>
    <w:rsid w:val="00110771"/>
    <w:rsid w:val="001107F9"/>
    <w:rsid w:val="00112521"/>
    <w:rsid w:val="001125A1"/>
    <w:rsid w:val="001128BE"/>
    <w:rsid w:val="001128C0"/>
    <w:rsid w:val="00112C8B"/>
    <w:rsid w:val="0011302B"/>
    <w:rsid w:val="00114112"/>
    <w:rsid w:val="00114858"/>
    <w:rsid w:val="00115508"/>
    <w:rsid w:val="00116483"/>
    <w:rsid w:val="001176B6"/>
    <w:rsid w:val="00121249"/>
    <w:rsid w:val="0012196A"/>
    <w:rsid w:val="001247E3"/>
    <w:rsid w:val="001253E1"/>
    <w:rsid w:val="0012566B"/>
    <w:rsid w:val="00125821"/>
    <w:rsid w:val="00125B87"/>
    <w:rsid w:val="00125E8B"/>
    <w:rsid w:val="00125FA6"/>
    <w:rsid w:val="001263FD"/>
    <w:rsid w:val="00126913"/>
    <w:rsid w:val="00126CF7"/>
    <w:rsid w:val="0012776E"/>
    <w:rsid w:val="00130C89"/>
    <w:rsid w:val="00131A5B"/>
    <w:rsid w:val="00131BDE"/>
    <w:rsid w:val="0013284C"/>
    <w:rsid w:val="00134969"/>
    <w:rsid w:val="00136E47"/>
    <w:rsid w:val="001401AA"/>
    <w:rsid w:val="00140F25"/>
    <w:rsid w:val="00140FCC"/>
    <w:rsid w:val="0014179F"/>
    <w:rsid w:val="00142951"/>
    <w:rsid w:val="00142C7B"/>
    <w:rsid w:val="00142D9A"/>
    <w:rsid w:val="0014416C"/>
    <w:rsid w:val="0014462E"/>
    <w:rsid w:val="00145BE3"/>
    <w:rsid w:val="0014745F"/>
    <w:rsid w:val="00150074"/>
    <w:rsid w:val="00150812"/>
    <w:rsid w:val="00151CA9"/>
    <w:rsid w:val="001528C6"/>
    <w:rsid w:val="00154840"/>
    <w:rsid w:val="001565A6"/>
    <w:rsid w:val="00157180"/>
    <w:rsid w:val="0016037C"/>
    <w:rsid w:val="001605F7"/>
    <w:rsid w:val="00162C85"/>
    <w:rsid w:val="00163D7C"/>
    <w:rsid w:val="00166637"/>
    <w:rsid w:val="00166BE1"/>
    <w:rsid w:val="00166E7E"/>
    <w:rsid w:val="0016751E"/>
    <w:rsid w:val="0017033E"/>
    <w:rsid w:val="0017090F"/>
    <w:rsid w:val="001750D6"/>
    <w:rsid w:val="00176418"/>
    <w:rsid w:val="00177653"/>
    <w:rsid w:val="00180991"/>
    <w:rsid w:val="00180E90"/>
    <w:rsid w:val="00181D34"/>
    <w:rsid w:val="00182AF7"/>
    <w:rsid w:val="00183E21"/>
    <w:rsid w:val="00183ECB"/>
    <w:rsid w:val="00183F0C"/>
    <w:rsid w:val="001840BB"/>
    <w:rsid w:val="0018458A"/>
    <w:rsid w:val="001846D3"/>
    <w:rsid w:val="00184B8D"/>
    <w:rsid w:val="001854D5"/>
    <w:rsid w:val="0018610D"/>
    <w:rsid w:val="00186316"/>
    <w:rsid w:val="00186F43"/>
    <w:rsid w:val="00187533"/>
    <w:rsid w:val="00187EBE"/>
    <w:rsid w:val="001902D3"/>
    <w:rsid w:val="00190B83"/>
    <w:rsid w:val="00192404"/>
    <w:rsid w:val="00192981"/>
    <w:rsid w:val="00194530"/>
    <w:rsid w:val="00196BF8"/>
    <w:rsid w:val="00196CFB"/>
    <w:rsid w:val="0019754C"/>
    <w:rsid w:val="00197C43"/>
    <w:rsid w:val="001A0371"/>
    <w:rsid w:val="001A141E"/>
    <w:rsid w:val="001A1859"/>
    <w:rsid w:val="001A1B3D"/>
    <w:rsid w:val="001A1ED0"/>
    <w:rsid w:val="001A239C"/>
    <w:rsid w:val="001A2F16"/>
    <w:rsid w:val="001A300F"/>
    <w:rsid w:val="001A4A8D"/>
    <w:rsid w:val="001A4D34"/>
    <w:rsid w:val="001A6AE6"/>
    <w:rsid w:val="001A6BC7"/>
    <w:rsid w:val="001A72E7"/>
    <w:rsid w:val="001B01DD"/>
    <w:rsid w:val="001B050E"/>
    <w:rsid w:val="001B1B4D"/>
    <w:rsid w:val="001B3493"/>
    <w:rsid w:val="001B358F"/>
    <w:rsid w:val="001B3E87"/>
    <w:rsid w:val="001B48F7"/>
    <w:rsid w:val="001B5D62"/>
    <w:rsid w:val="001C01CF"/>
    <w:rsid w:val="001C097E"/>
    <w:rsid w:val="001C150C"/>
    <w:rsid w:val="001C1BE8"/>
    <w:rsid w:val="001C2846"/>
    <w:rsid w:val="001C3A2F"/>
    <w:rsid w:val="001C46A6"/>
    <w:rsid w:val="001C495A"/>
    <w:rsid w:val="001C52C3"/>
    <w:rsid w:val="001C534A"/>
    <w:rsid w:val="001C74B1"/>
    <w:rsid w:val="001D273D"/>
    <w:rsid w:val="001D27E1"/>
    <w:rsid w:val="001D464A"/>
    <w:rsid w:val="001D4D7C"/>
    <w:rsid w:val="001D51E5"/>
    <w:rsid w:val="001D54FB"/>
    <w:rsid w:val="001D5D70"/>
    <w:rsid w:val="001D6274"/>
    <w:rsid w:val="001D68CB"/>
    <w:rsid w:val="001D7921"/>
    <w:rsid w:val="001E04E8"/>
    <w:rsid w:val="001E09C6"/>
    <w:rsid w:val="001E0B05"/>
    <w:rsid w:val="001E1146"/>
    <w:rsid w:val="001E15CF"/>
    <w:rsid w:val="001E29E9"/>
    <w:rsid w:val="001E2BC2"/>
    <w:rsid w:val="001E3399"/>
    <w:rsid w:val="001E33C4"/>
    <w:rsid w:val="001E4E35"/>
    <w:rsid w:val="001E5226"/>
    <w:rsid w:val="001E65AF"/>
    <w:rsid w:val="001E67DC"/>
    <w:rsid w:val="001E6A8D"/>
    <w:rsid w:val="001E6D2F"/>
    <w:rsid w:val="001E76F1"/>
    <w:rsid w:val="001F0105"/>
    <w:rsid w:val="001F2BC5"/>
    <w:rsid w:val="001F3018"/>
    <w:rsid w:val="001F34C0"/>
    <w:rsid w:val="001F3B13"/>
    <w:rsid w:val="001F4272"/>
    <w:rsid w:val="001F5E35"/>
    <w:rsid w:val="001F6F45"/>
    <w:rsid w:val="001F7D27"/>
    <w:rsid w:val="00200076"/>
    <w:rsid w:val="002037B3"/>
    <w:rsid w:val="00203B9C"/>
    <w:rsid w:val="00205B9B"/>
    <w:rsid w:val="002077F1"/>
    <w:rsid w:val="00207F81"/>
    <w:rsid w:val="002109B3"/>
    <w:rsid w:val="00210CAC"/>
    <w:rsid w:val="00210D90"/>
    <w:rsid w:val="00210F81"/>
    <w:rsid w:val="002119C7"/>
    <w:rsid w:val="00212331"/>
    <w:rsid w:val="0021353D"/>
    <w:rsid w:val="00213873"/>
    <w:rsid w:val="00213A24"/>
    <w:rsid w:val="00213E2E"/>
    <w:rsid w:val="002150F4"/>
    <w:rsid w:val="00215504"/>
    <w:rsid w:val="002160D1"/>
    <w:rsid w:val="00216F93"/>
    <w:rsid w:val="0022344F"/>
    <w:rsid w:val="0022412C"/>
    <w:rsid w:val="00224756"/>
    <w:rsid w:val="00225012"/>
    <w:rsid w:val="00226598"/>
    <w:rsid w:val="00227333"/>
    <w:rsid w:val="00227617"/>
    <w:rsid w:val="00227AB0"/>
    <w:rsid w:val="00227E18"/>
    <w:rsid w:val="002304F3"/>
    <w:rsid w:val="002309C0"/>
    <w:rsid w:val="002312E4"/>
    <w:rsid w:val="0023183D"/>
    <w:rsid w:val="00232A42"/>
    <w:rsid w:val="00233B9D"/>
    <w:rsid w:val="00233D4E"/>
    <w:rsid w:val="00234CDF"/>
    <w:rsid w:val="002351C9"/>
    <w:rsid w:val="00235C9B"/>
    <w:rsid w:val="002362EB"/>
    <w:rsid w:val="00237009"/>
    <w:rsid w:val="00237908"/>
    <w:rsid w:val="00240327"/>
    <w:rsid w:val="00243035"/>
    <w:rsid w:val="002433C2"/>
    <w:rsid w:val="00243C3E"/>
    <w:rsid w:val="002442F6"/>
    <w:rsid w:val="00244868"/>
    <w:rsid w:val="00244CD6"/>
    <w:rsid w:val="00245178"/>
    <w:rsid w:val="0024647D"/>
    <w:rsid w:val="0024677F"/>
    <w:rsid w:val="00246A30"/>
    <w:rsid w:val="0024713E"/>
    <w:rsid w:val="00247694"/>
    <w:rsid w:val="00250099"/>
    <w:rsid w:val="00254442"/>
    <w:rsid w:val="00255D8C"/>
    <w:rsid w:val="0025619F"/>
    <w:rsid w:val="00257023"/>
    <w:rsid w:val="002626F8"/>
    <w:rsid w:val="00262777"/>
    <w:rsid w:val="00263145"/>
    <w:rsid w:val="00263FDC"/>
    <w:rsid w:val="002647DB"/>
    <w:rsid w:val="002654F1"/>
    <w:rsid w:val="00265CA1"/>
    <w:rsid w:val="00265EAD"/>
    <w:rsid w:val="002663F6"/>
    <w:rsid w:val="00266988"/>
    <w:rsid w:val="00267A96"/>
    <w:rsid w:val="002703B5"/>
    <w:rsid w:val="00270CDA"/>
    <w:rsid w:val="002727B1"/>
    <w:rsid w:val="00272B04"/>
    <w:rsid w:val="002733E8"/>
    <w:rsid w:val="00273C9F"/>
    <w:rsid w:val="0027430A"/>
    <w:rsid w:val="00274522"/>
    <w:rsid w:val="0027515F"/>
    <w:rsid w:val="00275634"/>
    <w:rsid w:val="0027603B"/>
    <w:rsid w:val="00276B1D"/>
    <w:rsid w:val="0028059B"/>
    <w:rsid w:val="002805B2"/>
    <w:rsid w:val="00280791"/>
    <w:rsid w:val="002807BD"/>
    <w:rsid w:val="002818D4"/>
    <w:rsid w:val="002827F6"/>
    <w:rsid w:val="00282DA4"/>
    <w:rsid w:val="00282F4A"/>
    <w:rsid w:val="00283244"/>
    <w:rsid w:val="002835DE"/>
    <w:rsid w:val="00283DCA"/>
    <w:rsid w:val="00283F30"/>
    <w:rsid w:val="00284113"/>
    <w:rsid w:val="00284F38"/>
    <w:rsid w:val="00286585"/>
    <w:rsid w:val="00287BE3"/>
    <w:rsid w:val="00287D4E"/>
    <w:rsid w:val="002906E6"/>
    <w:rsid w:val="00290721"/>
    <w:rsid w:val="0029148D"/>
    <w:rsid w:val="0029156A"/>
    <w:rsid w:val="002927FE"/>
    <w:rsid w:val="00292886"/>
    <w:rsid w:val="00292974"/>
    <w:rsid w:val="00293AEC"/>
    <w:rsid w:val="0029401B"/>
    <w:rsid w:val="00294621"/>
    <w:rsid w:val="0029483F"/>
    <w:rsid w:val="00294AD3"/>
    <w:rsid w:val="00295288"/>
    <w:rsid w:val="00296287"/>
    <w:rsid w:val="00296EA4"/>
    <w:rsid w:val="002A0353"/>
    <w:rsid w:val="002A04CA"/>
    <w:rsid w:val="002A05A9"/>
    <w:rsid w:val="002A23F3"/>
    <w:rsid w:val="002A2A1D"/>
    <w:rsid w:val="002A4E90"/>
    <w:rsid w:val="002A5BFA"/>
    <w:rsid w:val="002A5E10"/>
    <w:rsid w:val="002A6F40"/>
    <w:rsid w:val="002B0B4C"/>
    <w:rsid w:val="002B10BC"/>
    <w:rsid w:val="002B137E"/>
    <w:rsid w:val="002B1661"/>
    <w:rsid w:val="002B2147"/>
    <w:rsid w:val="002B258B"/>
    <w:rsid w:val="002B28EE"/>
    <w:rsid w:val="002B3504"/>
    <w:rsid w:val="002B3BF4"/>
    <w:rsid w:val="002B3F03"/>
    <w:rsid w:val="002B420B"/>
    <w:rsid w:val="002B4D87"/>
    <w:rsid w:val="002B6079"/>
    <w:rsid w:val="002B6C19"/>
    <w:rsid w:val="002B7BB6"/>
    <w:rsid w:val="002C0A21"/>
    <w:rsid w:val="002C1D95"/>
    <w:rsid w:val="002C36CD"/>
    <w:rsid w:val="002C4280"/>
    <w:rsid w:val="002C4FB4"/>
    <w:rsid w:val="002C672D"/>
    <w:rsid w:val="002C6799"/>
    <w:rsid w:val="002C6D15"/>
    <w:rsid w:val="002C7ADB"/>
    <w:rsid w:val="002D0EEC"/>
    <w:rsid w:val="002D1770"/>
    <w:rsid w:val="002D19A5"/>
    <w:rsid w:val="002D2020"/>
    <w:rsid w:val="002D2052"/>
    <w:rsid w:val="002D26C7"/>
    <w:rsid w:val="002D309E"/>
    <w:rsid w:val="002D4140"/>
    <w:rsid w:val="002D45A7"/>
    <w:rsid w:val="002D4BF9"/>
    <w:rsid w:val="002D4D80"/>
    <w:rsid w:val="002D6358"/>
    <w:rsid w:val="002D66A2"/>
    <w:rsid w:val="002D6B9F"/>
    <w:rsid w:val="002D6CB3"/>
    <w:rsid w:val="002D6DC2"/>
    <w:rsid w:val="002E267F"/>
    <w:rsid w:val="002E2783"/>
    <w:rsid w:val="002E2B73"/>
    <w:rsid w:val="002E3A48"/>
    <w:rsid w:val="002E50FB"/>
    <w:rsid w:val="002E54BA"/>
    <w:rsid w:val="002E6159"/>
    <w:rsid w:val="002E61BF"/>
    <w:rsid w:val="002E6DF6"/>
    <w:rsid w:val="002E7040"/>
    <w:rsid w:val="002E7423"/>
    <w:rsid w:val="002E7671"/>
    <w:rsid w:val="002E779B"/>
    <w:rsid w:val="002F1698"/>
    <w:rsid w:val="002F17D8"/>
    <w:rsid w:val="002F4197"/>
    <w:rsid w:val="002F42C6"/>
    <w:rsid w:val="002F43B3"/>
    <w:rsid w:val="002F4440"/>
    <w:rsid w:val="002F45A1"/>
    <w:rsid w:val="002F48E8"/>
    <w:rsid w:val="002F4C20"/>
    <w:rsid w:val="002F546A"/>
    <w:rsid w:val="002F579E"/>
    <w:rsid w:val="002F753A"/>
    <w:rsid w:val="002F76E3"/>
    <w:rsid w:val="00300E3C"/>
    <w:rsid w:val="0030104C"/>
    <w:rsid w:val="0030134F"/>
    <w:rsid w:val="003013D0"/>
    <w:rsid w:val="003026D7"/>
    <w:rsid w:val="003027E9"/>
    <w:rsid w:val="00302A26"/>
    <w:rsid w:val="00304751"/>
    <w:rsid w:val="0030608B"/>
    <w:rsid w:val="00306340"/>
    <w:rsid w:val="00306411"/>
    <w:rsid w:val="00306B10"/>
    <w:rsid w:val="00310254"/>
    <w:rsid w:val="003106B0"/>
    <w:rsid w:val="00312B03"/>
    <w:rsid w:val="00312E61"/>
    <w:rsid w:val="00314276"/>
    <w:rsid w:val="003147DD"/>
    <w:rsid w:val="003157C8"/>
    <w:rsid w:val="00315875"/>
    <w:rsid w:val="00316C0B"/>
    <w:rsid w:val="00317FD4"/>
    <w:rsid w:val="00321321"/>
    <w:rsid w:val="00321DEC"/>
    <w:rsid w:val="003221A7"/>
    <w:rsid w:val="003221D5"/>
    <w:rsid w:val="00322551"/>
    <w:rsid w:val="00322843"/>
    <w:rsid w:val="00323211"/>
    <w:rsid w:val="00324044"/>
    <w:rsid w:val="00326806"/>
    <w:rsid w:val="00326987"/>
    <w:rsid w:val="00327831"/>
    <w:rsid w:val="00327ACA"/>
    <w:rsid w:val="00327B97"/>
    <w:rsid w:val="003302C7"/>
    <w:rsid w:val="0033052B"/>
    <w:rsid w:val="0033109F"/>
    <w:rsid w:val="00331553"/>
    <w:rsid w:val="00333E73"/>
    <w:rsid w:val="00333F0E"/>
    <w:rsid w:val="0033413D"/>
    <w:rsid w:val="003367C2"/>
    <w:rsid w:val="00337308"/>
    <w:rsid w:val="003373FD"/>
    <w:rsid w:val="0033776C"/>
    <w:rsid w:val="00340C4E"/>
    <w:rsid w:val="003410ED"/>
    <w:rsid w:val="00342403"/>
    <w:rsid w:val="0034240C"/>
    <w:rsid w:val="0034277A"/>
    <w:rsid w:val="00342BC9"/>
    <w:rsid w:val="00342C23"/>
    <w:rsid w:val="00342F3F"/>
    <w:rsid w:val="00344585"/>
    <w:rsid w:val="003456B8"/>
    <w:rsid w:val="0034621F"/>
    <w:rsid w:val="0034641F"/>
    <w:rsid w:val="0034718A"/>
    <w:rsid w:val="003478FA"/>
    <w:rsid w:val="0035254F"/>
    <w:rsid w:val="003541A6"/>
    <w:rsid w:val="003567E8"/>
    <w:rsid w:val="00356B38"/>
    <w:rsid w:val="00356E75"/>
    <w:rsid w:val="003577F7"/>
    <w:rsid w:val="00361FA7"/>
    <w:rsid w:val="003626C9"/>
    <w:rsid w:val="003634B1"/>
    <w:rsid w:val="003634E8"/>
    <w:rsid w:val="00364C55"/>
    <w:rsid w:val="003659D8"/>
    <w:rsid w:val="00365CD1"/>
    <w:rsid w:val="003667CE"/>
    <w:rsid w:val="00370057"/>
    <w:rsid w:val="0037035B"/>
    <w:rsid w:val="00371566"/>
    <w:rsid w:val="00371B94"/>
    <w:rsid w:val="003724A8"/>
    <w:rsid w:val="00372BDA"/>
    <w:rsid w:val="0037380D"/>
    <w:rsid w:val="00373E0C"/>
    <w:rsid w:val="003748EC"/>
    <w:rsid w:val="00374B00"/>
    <w:rsid w:val="00375C3E"/>
    <w:rsid w:val="003760E1"/>
    <w:rsid w:val="0037686C"/>
    <w:rsid w:val="00377330"/>
    <w:rsid w:val="003800AB"/>
    <w:rsid w:val="0038139E"/>
    <w:rsid w:val="00383BA7"/>
    <w:rsid w:val="00384AFE"/>
    <w:rsid w:val="00387628"/>
    <w:rsid w:val="00387BA9"/>
    <w:rsid w:val="0039203C"/>
    <w:rsid w:val="003929E6"/>
    <w:rsid w:val="00393988"/>
    <w:rsid w:val="00394945"/>
    <w:rsid w:val="00395089"/>
    <w:rsid w:val="003959DF"/>
    <w:rsid w:val="003A065A"/>
    <w:rsid w:val="003A1318"/>
    <w:rsid w:val="003A20A3"/>
    <w:rsid w:val="003A2B39"/>
    <w:rsid w:val="003A511E"/>
    <w:rsid w:val="003A5549"/>
    <w:rsid w:val="003A5822"/>
    <w:rsid w:val="003A6C9D"/>
    <w:rsid w:val="003A7386"/>
    <w:rsid w:val="003A75B2"/>
    <w:rsid w:val="003B0028"/>
    <w:rsid w:val="003B1393"/>
    <w:rsid w:val="003B200C"/>
    <w:rsid w:val="003B201C"/>
    <w:rsid w:val="003B23F1"/>
    <w:rsid w:val="003B24A1"/>
    <w:rsid w:val="003B4C7D"/>
    <w:rsid w:val="003B50D5"/>
    <w:rsid w:val="003B725E"/>
    <w:rsid w:val="003B749D"/>
    <w:rsid w:val="003B77F0"/>
    <w:rsid w:val="003B7F24"/>
    <w:rsid w:val="003C0F47"/>
    <w:rsid w:val="003C13F2"/>
    <w:rsid w:val="003C20AE"/>
    <w:rsid w:val="003C2457"/>
    <w:rsid w:val="003C4296"/>
    <w:rsid w:val="003C5133"/>
    <w:rsid w:val="003C61AD"/>
    <w:rsid w:val="003C7B54"/>
    <w:rsid w:val="003C7DBF"/>
    <w:rsid w:val="003D02DB"/>
    <w:rsid w:val="003D049E"/>
    <w:rsid w:val="003D0770"/>
    <w:rsid w:val="003D099C"/>
    <w:rsid w:val="003D10E4"/>
    <w:rsid w:val="003D2182"/>
    <w:rsid w:val="003D2588"/>
    <w:rsid w:val="003D2978"/>
    <w:rsid w:val="003D52AC"/>
    <w:rsid w:val="003D5896"/>
    <w:rsid w:val="003D7B0C"/>
    <w:rsid w:val="003E01E3"/>
    <w:rsid w:val="003E38DF"/>
    <w:rsid w:val="003E395B"/>
    <w:rsid w:val="003E4172"/>
    <w:rsid w:val="003E41D6"/>
    <w:rsid w:val="003E42DC"/>
    <w:rsid w:val="003E44A9"/>
    <w:rsid w:val="003E5CCA"/>
    <w:rsid w:val="003E686A"/>
    <w:rsid w:val="003E6871"/>
    <w:rsid w:val="003E703F"/>
    <w:rsid w:val="003E7459"/>
    <w:rsid w:val="003F11E9"/>
    <w:rsid w:val="003F158A"/>
    <w:rsid w:val="003F25C0"/>
    <w:rsid w:val="003F27E5"/>
    <w:rsid w:val="003F39DB"/>
    <w:rsid w:val="003F46B4"/>
    <w:rsid w:val="003F4F8C"/>
    <w:rsid w:val="003F694C"/>
    <w:rsid w:val="00401207"/>
    <w:rsid w:val="0040223E"/>
    <w:rsid w:val="00402345"/>
    <w:rsid w:val="0040244D"/>
    <w:rsid w:val="00403359"/>
    <w:rsid w:val="00405447"/>
    <w:rsid w:val="0040563E"/>
    <w:rsid w:val="0041076D"/>
    <w:rsid w:val="004112C8"/>
    <w:rsid w:val="00412976"/>
    <w:rsid w:val="00412A94"/>
    <w:rsid w:val="00412E11"/>
    <w:rsid w:val="0041341C"/>
    <w:rsid w:val="00413AB4"/>
    <w:rsid w:val="00413F09"/>
    <w:rsid w:val="00413FC4"/>
    <w:rsid w:val="00414EFE"/>
    <w:rsid w:val="0041515C"/>
    <w:rsid w:val="0041554D"/>
    <w:rsid w:val="004166A0"/>
    <w:rsid w:val="00416886"/>
    <w:rsid w:val="00416B77"/>
    <w:rsid w:val="00417475"/>
    <w:rsid w:val="004174BE"/>
    <w:rsid w:val="004202A2"/>
    <w:rsid w:val="00420920"/>
    <w:rsid w:val="00420BCA"/>
    <w:rsid w:val="00421D13"/>
    <w:rsid w:val="004227A9"/>
    <w:rsid w:val="004227E8"/>
    <w:rsid w:val="00423CF5"/>
    <w:rsid w:val="004244F8"/>
    <w:rsid w:val="0042490F"/>
    <w:rsid w:val="00424BD0"/>
    <w:rsid w:val="0042527D"/>
    <w:rsid w:val="00427145"/>
    <w:rsid w:val="00430412"/>
    <w:rsid w:val="0043082B"/>
    <w:rsid w:val="00431733"/>
    <w:rsid w:val="00432BE5"/>
    <w:rsid w:val="004330E1"/>
    <w:rsid w:val="0043551F"/>
    <w:rsid w:val="00440FFD"/>
    <w:rsid w:val="00441AD2"/>
    <w:rsid w:val="00443389"/>
    <w:rsid w:val="00443E02"/>
    <w:rsid w:val="004444DC"/>
    <w:rsid w:val="00445004"/>
    <w:rsid w:val="00445777"/>
    <w:rsid w:val="00446EBB"/>
    <w:rsid w:val="00452789"/>
    <w:rsid w:val="004539EC"/>
    <w:rsid w:val="00454C77"/>
    <w:rsid w:val="00455040"/>
    <w:rsid w:val="004552CD"/>
    <w:rsid w:val="004555B6"/>
    <w:rsid w:val="00455C6F"/>
    <w:rsid w:val="00456122"/>
    <w:rsid w:val="004561E1"/>
    <w:rsid w:val="0045644D"/>
    <w:rsid w:val="00457215"/>
    <w:rsid w:val="00457645"/>
    <w:rsid w:val="00460038"/>
    <w:rsid w:val="00461BD1"/>
    <w:rsid w:val="00461D06"/>
    <w:rsid w:val="00462A9E"/>
    <w:rsid w:val="004631F1"/>
    <w:rsid w:val="004643C5"/>
    <w:rsid w:val="004649F4"/>
    <w:rsid w:val="004671EA"/>
    <w:rsid w:val="00467288"/>
    <w:rsid w:val="004676EC"/>
    <w:rsid w:val="00467A84"/>
    <w:rsid w:val="00467ED8"/>
    <w:rsid w:val="0047015E"/>
    <w:rsid w:val="00471130"/>
    <w:rsid w:val="004716C3"/>
    <w:rsid w:val="004747DA"/>
    <w:rsid w:val="00474E31"/>
    <w:rsid w:val="00475238"/>
    <w:rsid w:val="00476EC0"/>
    <w:rsid w:val="00480E85"/>
    <w:rsid w:val="00481B5C"/>
    <w:rsid w:val="00483207"/>
    <w:rsid w:val="00484A3F"/>
    <w:rsid w:val="004851C2"/>
    <w:rsid w:val="00485B82"/>
    <w:rsid w:val="004862AC"/>
    <w:rsid w:val="00486EC4"/>
    <w:rsid w:val="00487232"/>
    <w:rsid w:val="004874E0"/>
    <w:rsid w:val="00490092"/>
    <w:rsid w:val="0049164C"/>
    <w:rsid w:val="004924F0"/>
    <w:rsid w:val="0049285A"/>
    <w:rsid w:val="004934A9"/>
    <w:rsid w:val="00493656"/>
    <w:rsid w:val="0049371D"/>
    <w:rsid w:val="00493E00"/>
    <w:rsid w:val="00493FF9"/>
    <w:rsid w:val="00495E78"/>
    <w:rsid w:val="004A0587"/>
    <w:rsid w:val="004A0FF3"/>
    <w:rsid w:val="004A2749"/>
    <w:rsid w:val="004A2DD7"/>
    <w:rsid w:val="004A43D1"/>
    <w:rsid w:val="004A4A77"/>
    <w:rsid w:val="004A4EA4"/>
    <w:rsid w:val="004A5F6C"/>
    <w:rsid w:val="004B139B"/>
    <w:rsid w:val="004B20D1"/>
    <w:rsid w:val="004B2CA7"/>
    <w:rsid w:val="004B370E"/>
    <w:rsid w:val="004B3F48"/>
    <w:rsid w:val="004B44F3"/>
    <w:rsid w:val="004B4B92"/>
    <w:rsid w:val="004B5A9B"/>
    <w:rsid w:val="004B6516"/>
    <w:rsid w:val="004B6F18"/>
    <w:rsid w:val="004B738E"/>
    <w:rsid w:val="004C075A"/>
    <w:rsid w:val="004C1448"/>
    <w:rsid w:val="004C1B3D"/>
    <w:rsid w:val="004C1E6F"/>
    <w:rsid w:val="004C2008"/>
    <w:rsid w:val="004C2111"/>
    <w:rsid w:val="004C240C"/>
    <w:rsid w:val="004C2832"/>
    <w:rsid w:val="004C33B7"/>
    <w:rsid w:val="004C569D"/>
    <w:rsid w:val="004C616A"/>
    <w:rsid w:val="004C6C88"/>
    <w:rsid w:val="004D0B5E"/>
    <w:rsid w:val="004D1175"/>
    <w:rsid w:val="004D1E53"/>
    <w:rsid w:val="004D234E"/>
    <w:rsid w:val="004D2373"/>
    <w:rsid w:val="004D2436"/>
    <w:rsid w:val="004D2EB5"/>
    <w:rsid w:val="004D453E"/>
    <w:rsid w:val="004D49C8"/>
    <w:rsid w:val="004D6131"/>
    <w:rsid w:val="004D6132"/>
    <w:rsid w:val="004D6758"/>
    <w:rsid w:val="004D6BBE"/>
    <w:rsid w:val="004D71F3"/>
    <w:rsid w:val="004D73F2"/>
    <w:rsid w:val="004D79D9"/>
    <w:rsid w:val="004E0BD4"/>
    <w:rsid w:val="004E0CD4"/>
    <w:rsid w:val="004E18D3"/>
    <w:rsid w:val="004E29BA"/>
    <w:rsid w:val="004E3BD7"/>
    <w:rsid w:val="004E3C0B"/>
    <w:rsid w:val="004E3CC2"/>
    <w:rsid w:val="004E55AD"/>
    <w:rsid w:val="004E5CE3"/>
    <w:rsid w:val="004E67D0"/>
    <w:rsid w:val="004E731D"/>
    <w:rsid w:val="004F0FD4"/>
    <w:rsid w:val="004F10A2"/>
    <w:rsid w:val="004F12DD"/>
    <w:rsid w:val="004F1D34"/>
    <w:rsid w:val="004F206B"/>
    <w:rsid w:val="004F617F"/>
    <w:rsid w:val="004F7019"/>
    <w:rsid w:val="004F786C"/>
    <w:rsid w:val="00500464"/>
    <w:rsid w:val="00500F59"/>
    <w:rsid w:val="005030E8"/>
    <w:rsid w:val="00503D4F"/>
    <w:rsid w:val="00505C17"/>
    <w:rsid w:val="005067B3"/>
    <w:rsid w:val="005069B2"/>
    <w:rsid w:val="00507340"/>
    <w:rsid w:val="00507B5F"/>
    <w:rsid w:val="005101F9"/>
    <w:rsid w:val="00511D63"/>
    <w:rsid w:val="00513A09"/>
    <w:rsid w:val="00514826"/>
    <w:rsid w:val="00514E09"/>
    <w:rsid w:val="00515198"/>
    <w:rsid w:val="0051548E"/>
    <w:rsid w:val="005159B7"/>
    <w:rsid w:val="00515DF1"/>
    <w:rsid w:val="00515DF7"/>
    <w:rsid w:val="005163D1"/>
    <w:rsid w:val="00516BF8"/>
    <w:rsid w:val="005179F3"/>
    <w:rsid w:val="00520008"/>
    <w:rsid w:val="0052022B"/>
    <w:rsid w:val="00521E26"/>
    <w:rsid w:val="00521F8E"/>
    <w:rsid w:val="00521FC3"/>
    <w:rsid w:val="00525F2A"/>
    <w:rsid w:val="00525F39"/>
    <w:rsid w:val="00526FBB"/>
    <w:rsid w:val="0052754E"/>
    <w:rsid w:val="0053004A"/>
    <w:rsid w:val="00530559"/>
    <w:rsid w:val="0053108A"/>
    <w:rsid w:val="00531131"/>
    <w:rsid w:val="00531534"/>
    <w:rsid w:val="00532212"/>
    <w:rsid w:val="00533DE6"/>
    <w:rsid w:val="005345F5"/>
    <w:rsid w:val="00535E4A"/>
    <w:rsid w:val="00536A1C"/>
    <w:rsid w:val="00536B2E"/>
    <w:rsid w:val="00537003"/>
    <w:rsid w:val="0053766F"/>
    <w:rsid w:val="00537EAD"/>
    <w:rsid w:val="00540340"/>
    <w:rsid w:val="00541174"/>
    <w:rsid w:val="0054138B"/>
    <w:rsid w:val="0054289C"/>
    <w:rsid w:val="0054302B"/>
    <w:rsid w:val="0054310B"/>
    <w:rsid w:val="005455DF"/>
    <w:rsid w:val="00546DC3"/>
    <w:rsid w:val="00546F31"/>
    <w:rsid w:val="00547708"/>
    <w:rsid w:val="00547AB5"/>
    <w:rsid w:val="00547E58"/>
    <w:rsid w:val="005508CB"/>
    <w:rsid w:val="00551285"/>
    <w:rsid w:val="005517B2"/>
    <w:rsid w:val="005523DE"/>
    <w:rsid w:val="00552975"/>
    <w:rsid w:val="00552FD3"/>
    <w:rsid w:val="00554C58"/>
    <w:rsid w:val="005556D8"/>
    <w:rsid w:val="00556869"/>
    <w:rsid w:val="005577C3"/>
    <w:rsid w:val="00560015"/>
    <w:rsid w:val="00560F8F"/>
    <w:rsid w:val="005611C9"/>
    <w:rsid w:val="0056213E"/>
    <w:rsid w:val="00563F22"/>
    <w:rsid w:val="005649ED"/>
    <w:rsid w:val="00564B17"/>
    <w:rsid w:val="00564BAA"/>
    <w:rsid w:val="0056587B"/>
    <w:rsid w:val="00565C85"/>
    <w:rsid w:val="00565EBE"/>
    <w:rsid w:val="00566D09"/>
    <w:rsid w:val="00570C20"/>
    <w:rsid w:val="005720BD"/>
    <w:rsid w:val="00572329"/>
    <w:rsid w:val="00572AF4"/>
    <w:rsid w:val="00572FD3"/>
    <w:rsid w:val="00573097"/>
    <w:rsid w:val="005734AD"/>
    <w:rsid w:val="00574371"/>
    <w:rsid w:val="0057503C"/>
    <w:rsid w:val="00575246"/>
    <w:rsid w:val="00575F76"/>
    <w:rsid w:val="00576725"/>
    <w:rsid w:val="00577D04"/>
    <w:rsid w:val="00580F9A"/>
    <w:rsid w:val="005812C7"/>
    <w:rsid w:val="00581E7C"/>
    <w:rsid w:val="00581ECC"/>
    <w:rsid w:val="00582238"/>
    <w:rsid w:val="00582A17"/>
    <w:rsid w:val="00582C0D"/>
    <w:rsid w:val="00583910"/>
    <w:rsid w:val="005849EB"/>
    <w:rsid w:val="005853C2"/>
    <w:rsid w:val="00585994"/>
    <w:rsid w:val="00585B55"/>
    <w:rsid w:val="00585C19"/>
    <w:rsid w:val="005869A3"/>
    <w:rsid w:val="00587841"/>
    <w:rsid w:val="00587F55"/>
    <w:rsid w:val="00591513"/>
    <w:rsid w:val="005923EF"/>
    <w:rsid w:val="00592488"/>
    <w:rsid w:val="0059255E"/>
    <w:rsid w:val="005930F0"/>
    <w:rsid w:val="00595C91"/>
    <w:rsid w:val="0059651B"/>
    <w:rsid w:val="005972E1"/>
    <w:rsid w:val="005A1AD5"/>
    <w:rsid w:val="005A213D"/>
    <w:rsid w:val="005A2427"/>
    <w:rsid w:val="005A3325"/>
    <w:rsid w:val="005B08A1"/>
    <w:rsid w:val="005B0DBB"/>
    <w:rsid w:val="005B1320"/>
    <w:rsid w:val="005B3583"/>
    <w:rsid w:val="005B3877"/>
    <w:rsid w:val="005B39AE"/>
    <w:rsid w:val="005B49AC"/>
    <w:rsid w:val="005B541D"/>
    <w:rsid w:val="005B5948"/>
    <w:rsid w:val="005B5ABB"/>
    <w:rsid w:val="005B5D54"/>
    <w:rsid w:val="005B76CA"/>
    <w:rsid w:val="005C0048"/>
    <w:rsid w:val="005C1438"/>
    <w:rsid w:val="005C2121"/>
    <w:rsid w:val="005C267D"/>
    <w:rsid w:val="005C294C"/>
    <w:rsid w:val="005C303E"/>
    <w:rsid w:val="005C38F5"/>
    <w:rsid w:val="005C3BC4"/>
    <w:rsid w:val="005C3C84"/>
    <w:rsid w:val="005C3F73"/>
    <w:rsid w:val="005C44B4"/>
    <w:rsid w:val="005C58B2"/>
    <w:rsid w:val="005C6B42"/>
    <w:rsid w:val="005C6C3C"/>
    <w:rsid w:val="005C7470"/>
    <w:rsid w:val="005C75F2"/>
    <w:rsid w:val="005D0680"/>
    <w:rsid w:val="005D08D6"/>
    <w:rsid w:val="005D1369"/>
    <w:rsid w:val="005D230C"/>
    <w:rsid w:val="005D2974"/>
    <w:rsid w:val="005D2A79"/>
    <w:rsid w:val="005D2A92"/>
    <w:rsid w:val="005D47E1"/>
    <w:rsid w:val="005D4815"/>
    <w:rsid w:val="005D4B70"/>
    <w:rsid w:val="005D682F"/>
    <w:rsid w:val="005D6DE9"/>
    <w:rsid w:val="005D6E86"/>
    <w:rsid w:val="005D6FBE"/>
    <w:rsid w:val="005E09BB"/>
    <w:rsid w:val="005E09D1"/>
    <w:rsid w:val="005E1D3E"/>
    <w:rsid w:val="005E27D6"/>
    <w:rsid w:val="005E2C43"/>
    <w:rsid w:val="005E36FF"/>
    <w:rsid w:val="005E3AD7"/>
    <w:rsid w:val="005E4440"/>
    <w:rsid w:val="005E46B6"/>
    <w:rsid w:val="005E4BD9"/>
    <w:rsid w:val="005E7BE7"/>
    <w:rsid w:val="005F0C6E"/>
    <w:rsid w:val="005F0EF1"/>
    <w:rsid w:val="005F11AE"/>
    <w:rsid w:val="005F1BBA"/>
    <w:rsid w:val="005F2C3E"/>
    <w:rsid w:val="005F320D"/>
    <w:rsid w:val="005F3385"/>
    <w:rsid w:val="005F402D"/>
    <w:rsid w:val="005F4AEF"/>
    <w:rsid w:val="005F5312"/>
    <w:rsid w:val="005F539A"/>
    <w:rsid w:val="005F6450"/>
    <w:rsid w:val="005F6A63"/>
    <w:rsid w:val="005F7609"/>
    <w:rsid w:val="00602888"/>
    <w:rsid w:val="00602D66"/>
    <w:rsid w:val="00602E73"/>
    <w:rsid w:val="00603014"/>
    <w:rsid w:val="00603130"/>
    <w:rsid w:val="00603A4F"/>
    <w:rsid w:val="00605276"/>
    <w:rsid w:val="00605BEE"/>
    <w:rsid w:val="00605CFD"/>
    <w:rsid w:val="00606C32"/>
    <w:rsid w:val="0060706D"/>
    <w:rsid w:val="00607C02"/>
    <w:rsid w:val="006106BC"/>
    <w:rsid w:val="00610835"/>
    <w:rsid w:val="006111BF"/>
    <w:rsid w:val="0061137F"/>
    <w:rsid w:val="00611673"/>
    <w:rsid w:val="00612504"/>
    <w:rsid w:val="006127DF"/>
    <w:rsid w:val="00613F80"/>
    <w:rsid w:val="00614943"/>
    <w:rsid w:val="00614D40"/>
    <w:rsid w:val="006168CB"/>
    <w:rsid w:val="00617631"/>
    <w:rsid w:val="00617B48"/>
    <w:rsid w:val="00617BB7"/>
    <w:rsid w:val="00620368"/>
    <w:rsid w:val="0062066E"/>
    <w:rsid w:val="00620C68"/>
    <w:rsid w:val="0062107E"/>
    <w:rsid w:val="00623F50"/>
    <w:rsid w:val="00624988"/>
    <w:rsid w:val="00624C7D"/>
    <w:rsid w:val="00625C1D"/>
    <w:rsid w:val="00625C45"/>
    <w:rsid w:val="0063081B"/>
    <w:rsid w:val="00632547"/>
    <w:rsid w:val="00632D35"/>
    <w:rsid w:val="00633A75"/>
    <w:rsid w:val="00633D69"/>
    <w:rsid w:val="00634BD0"/>
    <w:rsid w:val="00634D01"/>
    <w:rsid w:val="00635766"/>
    <w:rsid w:val="00635ED0"/>
    <w:rsid w:val="00637281"/>
    <w:rsid w:val="0063745A"/>
    <w:rsid w:val="00640FD3"/>
    <w:rsid w:val="0064110B"/>
    <w:rsid w:val="00641E6D"/>
    <w:rsid w:val="0064209C"/>
    <w:rsid w:val="00642D21"/>
    <w:rsid w:val="006464CA"/>
    <w:rsid w:val="00652129"/>
    <w:rsid w:val="006525D9"/>
    <w:rsid w:val="00653558"/>
    <w:rsid w:val="00653F8F"/>
    <w:rsid w:val="006549A3"/>
    <w:rsid w:val="00656780"/>
    <w:rsid w:val="00656FDB"/>
    <w:rsid w:val="006571D9"/>
    <w:rsid w:val="006602BA"/>
    <w:rsid w:val="0066034B"/>
    <w:rsid w:val="006604DF"/>
    <w:rsid w:val="00660883"/>
    <w:rsid w:val="0066141A"/>
    <w:rsid w:val="006621B1"/>
    <w:rsid w:val="00663A9F"/>
    <w:rsid w:val="00663B03"/>
    <w:rsid w:val="00664099"/>
    <w:rsid w:val="00664774"/>
    <w:rsid w:val="006649EC"/>
    <w:rsid w:val="00665815"/>
    <w:rsid w:val="0066589F"/>
    <w:rsid w:val="00666452"/>
    <w:rsid w:val="00666475"/>
    <w:rsid w:val="00667D85"/>
    <w:rsid w:val="00670550"/>
    <w:rsid w:val="006708DE"/>
    <w:rsid w:val="006710C5"/>
    <w:rsid w:val="00671809"/>
    <w:rsid w:val="00671DAD"/>
    <w:rsid w:val="00673834"/>
    <w:rsid w:val="0067423E"/>
    <w:rsid w:val="00676B54"/>
    <w:rsid w:val="00677546"/>
    <w:rsid w:val="00680370"/>
    <w:rsid w:val="00681C52"/>
    <w:rsid w:val="00681E4E"/>
    <w:rsid w:val="00681E57"/>
    <w:rsid w:val="00681EDD"/>
    <w:rsid w:val="006836D2"/>
    <w:rsid w:val="00683746"/>
    <w:rsid w:val="00683A6D"/>
    <w:rsid w:val="00683CA1"/>
    <w:rsid w:val="00684918"/>
    <w:rsid w:val="00685442"/>
    <w:rsid w:val="00686BC2"/>
    <w:rsid w:val="0068754E"/>
    <w:rsid w:val="006903D2"/>
    <w:rsid w:val="00690504"/>
    <w:rsid w:val="006907E6"/>
    <w:rsid w:val="00690CA2"/>
    <w:rsid w:val="006928CE"/>
    <w:rsid w:val="00692C24"/>
    <w:rsid w:val="0069306C"/>
    <w:rsid w:val="006932C8"/>
    <w:rsid w:val="006938F7"/>
    <w:rsid w:val="00693FAB"/>
    <w:rsid w:val="00694413"/>
    <w:rsid w:val="00694A28"/>
    <w:rsid w:val="00694C85"/>
    <w:rsid w:val="006955E9"/>
    <w:rsid w:val="00695E13"/>
    <w:rsid w:val="006963A7"/>
    <w:rsid w:val="00696982"/>
    <w:rsid w:val="00697322"/>
    <w:rsid w:val="006A0C04"/>
    <w:rsid w:val="006A12C8"/>
    <w:rsid w:val="006A13AC"/>
    <w:rsid w:val="006A238F"/>
    <w:rsid w:val="006A2F61"/>
    <w:rsid w:val="006A4056"/>
    <w:rsid w:val="006A4A2A"/>
    <w:rsid w:val="006A5718"/>
    <w:rsid w:val="006A6D74"/>
    <w:rsid w:val="006A79DE"/>
    <w:rsid w:val="006B0FD5"/>
    <w:rsid w:val="006B2296"/>
    <w:rsid w:val="006B3709"/>
    <w:rsid w:val="006B38CD"/>
    <w:rsid w:val="006B3BBB"/>
    <w:rsid w:val="006B4769"/>
    <w:rsid w:val="006B48BE"/>
    <w:rsid w:val="006B51FB"/>
    <w:rsid w:val="006B551A"/>
    <w:rsid w:val="006B5A11"/>
    <w:rsid w:val="006B7180"/>
    <w:rsid w:val="006B71DE"/>
    <w:rsid w:val="006B74BA"/>
    <w:rsid w:val="006C024F"/>
    <w:rsid w:val="006C0F10"/>
    <w:rsid w:val="006C1248"/>
    <w:rsid w:val="006C17F8"/>
    <w:rsid w:val="006C1BC5"/>
    <w:rsid w:val="006C1FFC"/>
    <w:rsid w:val="006C2019"/>
    <w:rsid w:val="006C2301"/>
    <w:rsid w:val="006C26A9"/>
    <w:rsid w:val="006C4140"/>
    <w:rsid w:val="006C4ED4"/>
    <w:rsid w:val="006C5AC6"/>
    <w:rsid w:val="006C5AEC"/>
    <w:rsid w:val="006C5ED0"/>
    <w:rsid w:val="006C6535"/>
    <w:rsid w:val="006C6BF7"/>
    <w:rsid w:val="006C771A"/>
    <w:rsid w:val="006D0E21"/>
    <w:rsid w:val="006D192C"/>
    <w:rsid w:val="006D1CD8"/>
    <w:rsid w:val="006D31B9"/>
    <w:rsid w:val="006D3C90"/>
    <w:rsid w:val="006D436D"/>
    <w:rsid w:val="006D49E8"/>
    <w:rsid w:val="006D4B17"/>
    <w:rsid w:val="006D55FE"/>
    <w:rsid w:val="006D5855"/>
    <w:rsid w:val="006D5BB3"/>
    <w:rsid w:val="006D694F"/>
    <w:rsid w:val="006D6C01"/>
    <w:rsid w:val="006E01BB"/>
    <w:rsid w:val="006E050A"/>
    <w:rsid w:val="006E15D4"/>
    <w:rsid w:val="006E1627"/>
    <w:rsid w:val="006E1D0F"/>
    <w:rsid w:val="006E2D5A"/>
    <w:rsid w:val="006E336B"/>
    <w:rsid w:val="006E4397"/>
    <w:rsid w:val="006E4862"/>
    <w:rsid w:val="006E4AA1"/>
    <w:rsid w:val="006E53A0"/>
    <w:rsid w:val="006E545E"/>
    <w:rsid w:val="006E6058"/>
    <w:rsid w:val="006E67A5"/>
    <w:rsid w:val="006E6800"/>
    <w:rsid w:val="006F1129"/>
    <w:rsid w:val="006F3F47"/>
    <w:rsid w:val="006F4A65"/>
    <w:rsid w:val="006F5F2B"/>
    <w:rsid w:val="006F605C"/>
    <w:rsid w:val="006F62C4"/>
    <w:rsid w:val="006F7262"/>
    <w:rsid w:val="0070044F"/>
    <w:rsid w:val="00700928"/>
    <w:rsid w:val="0070106C"/>
    <w:rsid w:val="007010BC"/>
    <w:rsid w:val="007018B8"/>
    <w:rsid w:val="007020E6"/>
    <w:rsid w:val="0070223A"/>
    <w:rsid w:val="007029CA"/>
    <w:rsid w:val="0070438E"/>
    <w:rsid w:val="00704929"/>
    <w:rsid w:val="0070515D"/>
    <w:rsid w:val="00705A75"/>
    <w:rsid w:val="00705C13"/>
    <w:rsid w:val="00705CCE"/>
    <w:rsid w:val="0070705F"/>
    <w:rsid w:val="00710360"/>
    <w:rsid w:val="00710D8C"/>
    <w:rsid w:val="007110B3"/>
    <w:rsid w:val="00712BE3"/>
    <w:rsid w:val="007132AB"/>
    <w:rsid w:val="0071414C"/>
    <w:rsid w:val="00714B75"/>
    <w:rsid w:val="00714C9B"/>
    <w:rsid w:val="00715493"/>
    <w:rsid w:val="00715BCF"/>
    <w:rsid w:val="0071615B"/>
    <w:rsid w:val="0071654E"/>
    <w:rsid w:val="007170B3"/>
    <w:rsid w:val="007172FF"/>
    <w:rsid w:val="0071780C"/>
    <w:rsid w:val="00717A07"/>
    <w:rsid w:val="00720F61"/>
    <w:rsid w:val="0072109F"/>
    <w:rsid w:val="00721A19"/>
    <w:rsid w:val="0072220D"/>
    <w:rsid w:val="0072391C"/>
    <w:rsid w:val="00724E61"/>
    <w:rsid w:val="00725569"/>
    <w:rsid w:val="00730073"/>
    <w:rsid w:val="00730584"/>
    <w:rsid w:val="00731526"/>
    <w:rsid w:val="00731641"/>
    <w:rsid w:val="00731A55"/>
    <w:rsid w:val="007341BB"/>
    <w:rsid w:val="00734217"/>
    <w:rsid w:val="00734743"/>
    <w:rsid w:val="00735A34"/>
    <w:rsid w:val="0073607C"/>
    <w:rsid w:val="007373EA"/>
    <w:rsid w:val="007377C7"/>
    <w:rsid w:val="00737D00"/>
    <w:rsid w:val="00740288"/>
    <w:rsid w:val="00740776"/>
    <w:rsid w:val="00740DE2"/>
    <w:rsid w:val="00741508"/>
    <w:rsid w:val="00742AD1"/>
    <w:rsid w:val="0074371A"/>
    <w:rsid w:val="00743767"/>
    <w:rsid w:val="00743A8B"/>
    <w:rsid w:val="0074433E"/>
    <w:rsid w:val="00744C2D"/>
    <w:rsid w:val="00744E31"/>
    <w:rsid w:val="00747B16"/>
    <w:rsid w:val="00747FF2"/>
    <w:rsid w:val="0075045B"/>
    <w:rsid w:val="00750BC2"/>
    <w:rsid w:val="00750D40"/>
    <w:rsid w:val="007518DA"/>
    <w:rsid w:val="0075383A"/>
    <w:rsid w:val="00753984"/>
    <w:rsid w:val="00753B20"/>
    <w:rsid w:val="00754619"/>
    <w:rsid w:val="00755889"/>
    <w:rsid w:val="007578C5"/>
    <w:rsid w:val="00757AEF"/>
    <w:rsid w:val="00760940"/>
    <w:rsid w:val="007612C0"/>
    <w:rsid w:val="00761ABE"/>
    <w:rsid w:val="00763D63"/>
    <w:rsid w:val="007644DA"/>
    <w:rsid w:val="0076555C"/>
    <w:rsid w:val="00765F8D"/>
    <w:rsid w:val="007673B1"/>
    <w:rsid w:val="00770C6D"/>
    <w:rsid w:val="0077238B"/>
    <w:rsid w:val="007735A4"/>
    <w:rsid w:val="00775808"/>
    <w:rsid w:val="0077585C"/>
    <w:rsid w:val="00775C78"/>
    <w:rsid w:val="00776AF2"/>
    <w:rsid w:val="00776D67"/>
    <w:rsid w:val="007805C4"/>
    <w:rsid w:val="007806E2"/>
    <w:rsid w:val="00781164"/>
    <w:rsid w:val="007818BE"/>
    <w:rsid w:val="007819CB"/>
    <w:rsid w:val="00781A62"/>
    <w:rsid w:val="00782BF0"/>
    <w:rsid w:val="00784449"/>
    <w:rsid w:val="0078459A"/>
    <w:rsid w:val="0078492B"/>
    <w:rsid w:val="00786654"/>
    <w:rsid w:val="00787699"/>
    <w:rsid w:val="00787834"/>
    <w:rsid w:val="007878B9"/>
    <w:rsid w:val="00791F1D"/>
    <w:rsid w:val="00791F85"/>
    <w:rsid w:val="00792869"/>
    <w:rsid w:val="00792A9C"/>
    <w:rsid w:val="00792FF8"/>
    <w:rsid w:val="0079331A"/>
    <w:rsid w:val="00793579"/>
    <w:rsid w:val="007935D4"/>
    <w:rsid w:val="007937EE"/>
    <w:rsid w:val="00794198"/>
    <w:rsid w:val="00794B0C"/>
    <w:rsid w:val="00794D90"/>
    <w:rsid w:val="00795B89"/>
    <w:rsid w:val="007A2099"/>
    <w:rsid w:val="007A2811"/>
    <w:rsid w:val="007A335B"/>
    <w:rsid w:val="007A3A74"/>
    <w:rsid w:val="007A3C1F"/>
    <w:rsid w:val="007A3D63"/>
    <w:rsid w:val="007A4378"/>
    <w:rsid w:val="007A5528"/>
    <w:rsid w:val="007A571E"/>
    <w:rsid w:val="007A6B3F"/>
    <w:rsid w:val="007A799E"/>
    <w:rsid w:val="007B120C"/>
    <w:rsid w:val="007B2440"/>
    <w:rsid w:val="007B2A2B"/>
    <w:rsid w:val="007B2B1C"/>
    <w:rsid w:val="007B3627"/>
    <w:rsid w:val="007B382A"/>
    <w:rsid w:val="007B4181"/>
    <w:rsid w:val="007B49A5"/>
    <w:rsid w:val="007B5907"/>
    <w:rsid w:val="007B66D5"/>
    <w:rsid w:val="007B6FD3"/>
    <w:rsid w:val="007B7C0A"/>
    <w:rsid w:val="007C0D9E"/>
    <w:rsid w:val="007C1480"/>
    <w:rsid w:val="007C1E2A"/>
    <w:rsid w:val="007C1ED2"/>
    <w:rsid w:val="007C2A18"/>
    <w:rsid w:val="007C2EB4"/>
    <w:rsid w:val="007C3E19"/>
    <w:rsid w:val="007C4321"/>
    <w:rsid w:val="007C4764"/>
    <w:rsid w:val="007C5B58"/>
    <w:rsid w:val="007C5E57"/>
    <w:rsid w:val="007C7B8A"/>
    <w:rsid w:val="007D0171"/>
    <w:rsid w:val="007D212D"/>
    <w:rsid w:val="007D35B7"/>
    <w:rsid w:val="007D50B8"/>
    <w:rsid w:val="007D5177"/>
    <w:rsid w:val="007D5EDD"/>
    <w:rsid w:val="007E0733"/>
    <w:rsid w:val="007E08AC"/>
    <w:rsid w:val="007E127B"/>
    <w:rsid w:val="007E192D"/>
    <w:rsid w:val="007E4A13"/>
    <w:rsid w:val="007E4BBE"/>
    <w:rsid w:val="007E59E1"/>
    <w:rsid w:val="007E5EC5"/>
    <w:rsid w:val="007E6567"/>
    <w:rsid w:val="007E6BFE"/>
    <w:rsid w:val="007E6D3B"/>
    <w:rsid w:val="007E7562"/>
    <w:rsid w:val="007E761C"/>
    <w:rsid w:val="007E76AD"/>
    <w:rsid w:val="007E7FD7"/>
    <w:rsid w:val="007F071C"/>
    <w:rsid w:val="007F07AD"/>
    <w:rsid w:val="007F09D8"/>
    <w:rsid w:val="007F0CE3"/>
    <w:rsid w:val="007F0FD3"/>
    <w:rsid w:val="007F2C21"/>
    <w:rsid w:val="007F3797"/>
    <w:rsid w:val="007F43DB"/>
    <w:rsid w:val="007F45EE"/>
    <w:rsid w:val="007F47D9"/>
    <w:rsid w:val="007F7161"/>
    <w:rsid w:val="007F76D4"/>
    <w:rsid w:val="007F7AFA"/>
    <w:rsid w:val="007F7FD2"/>
    <w:rsid w:val="00800129"/>
    <w:rsid w:val="00800832"/>
    <w:rsid w:val="0080128A"/>
    <w:rsid w:val="00801A7F"/>
    <w:rsid w:val="0080251D"/>
    <w:rsid w:val="008027F4"/>
    <w:rsid w:val="00802E9B"/>
    <w:rsid w:val="0080317C"/>
    <w:rsid w:val="00803CA9"/>
    <w:rsid w:val="008043ED"/>
    <w:rsid w:val="00804502"/>
    <w:rsid w:val="00804980"/>
    <w:rsid w:val="00804AB8"/>
    <w:rsid w:val="00807ADF"/>
    <w:rsid w:val="00807F82"/>
    <w:rsid w:val="00810047"/>
    <w:rsid w:val="008101D2"/>
    <w:rsid w:val="008105D3"/>
    <w:rsid w:val="00810876"/>
    <w:rsid w:val="00812552"/>
    <w:rsid w:val="008141CB"/>
    <w:rsid w:val="008143AD"/>
    <w:rsid w:val="00814646"/>
    <w:rsid w:val="00814BDF"/>
    <w:rsid w:val="00814E29"/>
    <w:rsid w:val="0081527B"/>
    <w:rsid w:val="00816909"/>
    <w:rsid w:val="008172F4"/>
    <w:rsid w:val="0081755B"/>
    <w:rsid w:val="00817601"/>
    <w:rsid w:val="0082108C"/>
    <w:rsid w:val="00822E93"/>
    <w:rsid w:val="008233CE"/>
    <w:rsid w:val="00823873"/>
    <w:rsid w:val="0082475A"/>
    <w:rsid w:val="0082508E"/>
    <w:rsid w:val="00825732"/>
    <w:rsid w:val="00825E26"/>
    <w:rsid w:val="00826D14"/>
    <w:rsid w:val="0082747A"/>
    <w:rsid w:val="008275DD"/>
    <w:rsid w:val="00827AD3"/>
    <w:rsid w:val="00830951"/>
    <w:rsid w:val="0083176E"/>
    <w:rsid w:val="00831ABF"/>
    <w:rsid w:val="00834837"/>
    <w:rsid w:val="00834E25"/>
    <w:rsid w:val="00835CEE"/>
    <w:rsid w:val="00835F00"/>
    <w:rsid w:val="0083633C"/>
    <w:rsid w:val="00836731"/>
    <w:rsid w:val="00836C93"/>
    <w:rsid w:val="0083700B"/>
    <w:rsid w:val="00840162"/>
    <w:rsid w:val="0084033D"/>
    <w:rsid w:val="0084093C"/>
    <w:rsid w:val="00841939"/>
    <w:rsid w:val="00842AEF"/>
    <w:rsid w:val="008449C8"/>
    <w:rsid w:val="008458BF"/>
    <w:rsid w:val="00846799"/>
    <w:rsid w:val="00846D7F"/>
    <w:rsid w:val="00847592"/>
    <w:rsid w:val="00847CD5"/>
    <w:rsid w:val="0085044E"/>
    <w:rsid w:val="008506DB"/>
    <w:rsid w:val="00850DFD"/>
    <w:rsid w:val="00851561"/>
    <w:rsid w:val="008516E4"/>
    <w:rsid w:val="00852DB9"/>
    <w:rsid w:val="00852DFC"/>
    <w:rsid w:val="00855380"/>
    <w:rsid w:val="00855556"/>
    <w:rsid w:val="00856251"/>
    <w:rsid w:val="00857DAB"/>
    <w:rsid w:val="00861662"/>
    <w:rsid w:val="00861669"/>
    <w:rsid w:val="00861D46"/>
    <w:rsid w:val="00862692"/>
    <w:rsid w:val="008635FF"/>
    <w:rsid w:val="0086439B"/>
    <w:rsid w:val="0086502C"/>
    <w:rsid w:val="00865680"/>
    <w:rsid w:val="0086627B"/>
    <w:rsid w:val="00866D51"/>
    <w:rsid w:val="00866F6F"/>
    <w:rsid w:val="0086727A"/>
    <w:rsid w:val="00867835"/>
    <w:rsid w:val="0087047A"/>
    <w:rsid w:val="00871106"/>
    <w:rsid w:val="00871488"/>
    <w:rsid w:val="00872CB7"/>
    <w:rsid w:val="008734E4"/>
    <w:rsid w:val="00873752"/>
    <w:rsid w:val="00874371"/>
    <w:rsid w:val="0087498E"/>
    <w:rsid w:val="00874F19"/>
    <w:rsid w:val="00875489"/>
    <w:rsid w:val="008759D5"/>
    <w:rsid w:val="0087632F"/>
    <w:rsid w:val="00881782"/>
    <w:rsid w:val="008821A4"/>
    <w:rsid w:val="008821E2"/>
    <w:rsid w:val="00882331"/>
    <w:rsid w:val="00882574"/>
    <w:rsid w:val="00883321"/>
    <w:rsid w:val="008843D2"/>
    <w:rsid w:val="008849B2"/>
    <w:rsid w:val="0088638E"/>
    <w:rsid w:val="008866B0"/>
    <w:rsid w:val="00886755"/>
    <w:rsid w:val="00886F00"/>
    <w:rsid w:val="008870DF"/>
    <w:rsid w:val="00892306"/>
    <w:rsid w:val="00892442"/>
    <w:rsid w:val="008924AF"/>
    <w:rsid w:val="0089271E"/>
    <w:rsid w:val="008940F6"/>
    <w:rsid w:val="00894263"/>
    <w:rsid w:val="00894CA1"/>
    <w:rsid w:val="0089634F"/>
    <w:rsid w:val="00897853"/>
    <w:rsid w:val="00897B8D"/>
    <w:rsid w:val="008A2CF5"/>
    <w:rsid w:val="008A2D38"/>
    <w:rsid w:val="008A31A5"/>
    <w:rsid w:val="008A32F7"/>
    <w:rsid w:val="008A33D5"/>
    <w:rsid w:val="008A38C9"/>
    <w:rsid w:val="008A3E39"/>
    <w:rsid w:val="008A43EA"/>
    <w:rsid w:val="008A4F9B"/>
    <w:rsid w:val="008A5584"/>
    <w:rsid w:val="008A5E40"/>
    <w:rsid w:val="008A7468"/>
    <w:rsid w:val="008B02C5"/>
    <w:rsid w:val="008B0ECF"/>
    <w:rsid w:val="008B1FDA"/>
    <w:rsid w:val="008B25DF"/>
    <w:rsid w:val="008B2B44"/>
    <w:rsid w:val="008B2C24"/>
    <w:rsid w:val="008B47DD"/>
    <w:rsid w:val="008B4C7D"/>
    <w:rsid w:val="008B4CCA"/>
    <w:rsid w:val="008B614E"/>
    <w:rsid w:val="008B678C"/>
    <w:rsid w:val="008B687E"/>
    <w:rsid w:val="008C045A"/>
    <w:rsid w:val="008C1355"/>
    <w:rsid w:val="008C1659"/>
    <w:rsid w:val="008C2066"/>
    <w:rsid w:val="008C2CBC"/>
    <w:rsid w:val="008C330A"/>
    <w:rsid w:val="008C6B40"/>
    <w:rsid w:val="008C70D9"/>
    <w:rsid w:val="008C7459"/>
    <w:rsid w:val="008D02C0"/>
    <w:rsid w:val="008D17E3"/>
    <w:rsid w:val="008D18EC"/>
    <w:rsid w:val="008D2293"/>
    <w:rsid w:val="008D24BE"/>
    <w:rsid w:val="008D2B7B"/>
    <w:rsid w:val="008D3163"/>
    <w:rsid w:val="008D381E"/>
    <w:rsid w:val="008D4D74"/>
    <w:rsid w:val="008D56E5"/>
    <w:rsid w:val="008D669D"/>
    <w:rsid w:val="008D7678"/>
    <w:rsid w:val="008D7B11"/>
    <w:rsid w:val="008E0253"/>
    <w:rsid w:val="008E2279"/>
    <w:rsid w:val="008E2563"/>
    <w:rsid w:val="008E3706"/>
    <w:rsid w:val="008E3893"/>
    <w:rsid w:val="008E6A73"/>
    <w:rsid w:val="008E724B"/>
    <w:rsid w:val="008F0979"/>
    <w:rsid w:val="008F1785"/>
    <w:rsid w:val="008F201E"/>
    <w:rsid w:val="008F203A"/>
    <w:rsid w:val="008F4C2D"/>
    <w:rsid w:val="008F505F"/>
    <w:rsid w:val="008F5EB6"/>
    <w:rsid w:val="008F618E"/>
    <w:rsid w:val="008F68C3"/>
    <w:rsid w:val="00900079"/>
    <w:rsid w:val="00900D3B"/>
    <w:rsid w:val="00901CD7"/>
    <w:rsid w:val="00902769"/>
    <w:rsid w:val="00902A16"/>
    <w:rsid w:val="00903C36"/>
    <w:rsid w:val="0090401E"/>
    <w:rsid w:val="0090566E"/>
    <w:rsid w:val="00905AC1"/>
    <w:rsid w:val="0091127C"/>
    <w:rsid w:val="00911861"/>
    <w:rsid w:val="00911A0F"/>
    <w:rsid w:val="00911AB2"/>
    <w:rsid w:val="009134AE"/>
    <w:rsid w:val="00913B00"/>
    <w:rsid w:val="00914AC4"/>
    <w:rsid w:val="00914FF9"/>
    <w:rsid w:val="00915344"/>
    <w:rsid w:val="009155D3"/>
    <w:rsid w:val="00916FA6"/>
    <w:rsid w:val="009202C2"/>
    <w:rsid w:val="00920711"/>
    <w:rsid w:val="0092270D"/>
    <w:rsid w:val="00922C7A"/>
    <w:rsid w:val="00923819"/>
    <w:rsid w:val="00924D5D"/>
    <w:rsid w:val="009251C4"/>
    <w:rsid w:val="009254A2"/>
    <w:rsid w:val="00926137"/>
    <w:rsid w:val="009261F6"/>
    <w:rsid w:val="00927D4D"/>
    <w:rsid w:val="009304A1"/>
    <w:rsid w:val="00930C64"/>
    <w:rsid w:val="0093184D"/>
    <w:rsid w:val="00931A1C"/>
    <w:rsid w:val="00931F74"/>
    <w:rsid w:val="00932275"/>
    <w:rsid w:val="0093378B"/>
    <w:rsid w:val="00934870"/>
    <w:rsid w:val="009349A5"/>
    <w:rsid w:val="00934AB7"/>
    <w:rsid w:val="00934F3D"/>
    <w:rsid w:val="009356B8"/>
    <w:rsid w:val="009358F6"/>
    <w:rsid w:val="00936116"/>
    <w:rsid w:val="00936492"/>
    <w:rsid w:val="00936536"/>
    <w:rsid w:val="00936827"/>
    <w:rsid w:val="009372C8"/>
    <w:rsid w:val="00937429"/>
    <w:rsid w:val="009379E2"/>
    <w:rsid w:val="00937B40"/>
    <w:rsid w:val="0094070B"/>
    <w:rsid w:val="0094103C"/>
    <w:rsid w:val="00941163"/>
    <w:rsid w:val="00941351"/>
    <w:rsid w:val="00942A68"/>
    <w:rsid w:val="00943B4B"/>
    <w:rsid w:val="0094482B"/>
    <w:rsid w:val="00945821"/>
    <w:rsid w:val="00946851"/>
    <w:rsid w:val="0094721D"/>
    <w:rsid w:val="0094783C"/>
    <w:rsid w:val="00947E1E"/>
    <w:rsid w:val="009507DA"/>
    <w:rsid w:val="009509C8"/>
    <w:rsid w:val="009516DD"/>
    <w:rsid w:val="009518B4"/>
    <w:rsid w:val="00951B11"/>
    <w:rsid w:val="00952DA2"/>
    <w:rsid w:val="00952E9A"/>
    <w:rsid w:val="009538C0"/>
    <w:rsid w:val="009544C9"/>
    <w:rsid w:val="00954643"/>
    <w:rsid w:val="0096004C"/>
    <w:rsid w:val="00961C1E"/>
    <w:rsid w:val="009629BD"/>
    <w:rsid w:val="00962F2B"/>
    <w:rsid w:val="009642DC"/>
    <w:rsid w:val="00965243"/>
    <w:rsid w:val="00970010"/>
    <w:rsid w:val="00970868"/>
    <w:rsid w:val="00971A0E"/>
    <w:rsid w:val="0097282E"/>
    <w:rsid w:val="00972981"/>
    <w:rsid w:val="00973592"/>
    <w:rsid w:val="009736C6"/>
    <w:rsid w:val="00973DDC"/>
    <w:rsid w:val="00973ED8"/>
    <w:rsid w:val="00973F3A"/>
    <w:rsid w:val="0097561E"/>
    <w:rsid w:val="00976DEA"/>
    <w:rsid w:val="00976E27"/>
    <w:rsid w:val="009777C8"/>
    <w:rsid w:val="00980608"/>
    <w:rsid w:val="00981166"/>
    <w:rsid w:val="00983209"/>
    <w:rsid w:val="0098339A"/>
    <w:rsid w:val="00983761"/>
    <w:rsid w:val="00983A7F"/>
    <w:rsid w:val="00984A9C"/>
    <w:rsid w:val="00986916"/>
    <w:rsid w:val="009878ED"/>
    <w:rsid w:val="009902CD"/>
    <w:rsid w:val="0099145A"/>
    <w:rsid w:val="00991C4D"/>
    <w:rsid w:val="00991E75"/>
    <w:rsid w:val="00992B03"/>
    <w:rsid w:val="00992B21"/>
    <w:rsid w:val="00994EB5"/>
    <w:rsid w:val="00995783"/>
    <w:rsid w:val="00996491"/>
    <w:rsid w:val="009A011D"/>
    <w:rsid w:val="009A0A5E"/>
    <w:rsid w:val="009A0B3E"/>
    <w:rsid w:val="009A1D87"/>
    <w:rsid w:val="009A35D8"/>
    <w:rsid w:val="009A477A"/>
    <w:rsid w:val="009A5B8B"/>
    <w:rsid w:val="009A744A"/>
    <w:rsid w:val="009B09F3"/>
    <w:rsid w:val="009B1096"/>
    <w:rsid w:val="009B15B0"/>
    <w:rsid w:val="009B1729"/>
    <w:rsid w:val="009B388F"/>
    <w:rsid w:val="009B3BAF"/>
    <w:rsid w:val="009B43A0"/>
    <w:rsid w:val="009B58F5"/>
    <w:rsid w:val="009B67D3"/>
    <w:rsid w:val="009B6B95"/>
    <w:rsid w:val="009C0FAE"/>
    <w:rsid w:val="009C12AB"/>
    <w:rsid w:val="009C35CA"/>
    <w:rsid w:val="009C3EB5"/>
    <w:rsid w:val="009C49F3"/>
    <w:rsid w:val="009C4F0C"/>
    <w:rsid w:val="009C5359"/>
    <w:rsid w:val="009C5460"/>
    <w:rsid w:val="009C58A5"/>
    <w:rsid w:val="009C6256"/>
    <w:rsid w:val="009C7212"/>
    <w:rsid w:val="009C7911"/>
    <w:rsid w:val="009C7E89"/>
    <w:rsid w:val="009D01FA"/>
    <w:rsid w:val="009D198B"/>
    <w:rsid w:val="009D3989"/>
    <w:rsid w:val="009D541B"/>
    <w:rsid w:val="009E0BA7"/>
    <w:rsid w:val="009E1119"/>
    <w:rsid w:val="009E1667"/>
    <w:rsid w:val="009E1AF2"/>
    <w:rsid w:val="009E1D5B"/>
    <w:rsid w:val="009E2E0C"/>
    <w:rsid w:val="009E2EBF"/>
    <w:rsid w:val="009E3DC7"/>
    <w:rsid w:val="009E4D21"/>
    <w:rsid w:val="009E6554"/>
    <w:rsid w:val="009E7604"/>
    <w:rsid w:val="009F0A9A"/>
    <w:rsid w:val="009F16B9"/>
    <w:rsid w:val="009F2987"/>
    <w:rsid w:val="009F319B"/>
    <w:rsid w:val="009F31FF"/>
    <w:rsid w:val="009F453C"/>
    <w:rsid w:val="009F6124"/>
    <w:rsid w:val="009F63D9"/>
    <w:rsid w:val="009F767A"/>
    <w:rsid w:val="009F778D"/>
    <w:rsid w:val="00A0099E"/>
    <w:rsid w:val="00A00F29"/>
    <w:rsid w:val="00A027ED"/>
    <w:rsid w:val="00A02A15"/>
    <w:rsid w:val="00A02EE3"/>
    <w:rsid w:val="00A03D49"/>
    <w:rsid w:val="00A03F38"/>
    <w:rsid w:val="00A03FC6"/>
    <w:rsid w:val="00A05B10"/>
    <w:rsid w:val="00A0720B"/>
    <w:rsid w:val="00A073CD"/>
    <w:rsid w:val="00A07F69"/>
    <w:rsid w:val="00A112BF"/>
    <w:rsid w:val="00A12887"/>
    <w:rsid w:val="00A138C3"/>
    <w:rsid w:val="00A13ED0"/>
    <w:rsid w:val="00A142D8"/>
    <w:rsid w:val="00A14363"/>
    <w:rsid w:val="00A14E11"/>
    <w:rsid w:val="00A14FF7"/>
    <w:rsid w:val="00A15770"/>
    <w:rsid w:val="00A163C9"/>
    <w:rsid w:val="00A16D3A"/>
    <w:rsid w:val="00A172B8"/>
    <w:rsid w:val="00A17A62"/>
    <w:rsid w:val="00A207B0"/>
    <w:rsid w:val="00A2203D"/>
    <w:rsid w:val="00A222A2"/>
    <w:rsid w:val="00A2351D"/>
    <w:rsid w:val="00A23C53"/>
    <w:rsid w:val="00A24657"/>
    <w:rsid w:val="00A257DF"/>
    <w:rsid w:val="00A273F9"/>
    <w:rsid w:val="00A322D9"/>
    <w:rsid w:val="00A348DB"/>
    <w:rsid w:val="00A37834"/>
    <w:rsid w:val="00A40293"/>
    <w:rsid w:val="00A40BC5"/>
    <w:rsid w:val="00A41426"/>
    <w:rsid w:val="00A4300E"/>
    <w:rsid w:val="00A432E7"/>
    <w:rsid w:val="00A43746"/>
    <w:rsid w:val="00A456B1"/>
    <w:rsid w:val="00A45A86"/>
    <w:rsid w:val="00A4652B"/>
    <w:rsid w:val="00A4666F"/>
    <w:rsid w:val="00A4688B"/>
    <w:rsid w:val="00A46C0F"/>
    <w:rsid w:val="00A5094A"/>
    <w:rsid w:val="00A50C54"/>
    <w:rsid w:val="00A50EAD"/>
    <w:rsid w:val="00A50EB3"/>
    <w:rsid w:val="00A50F86"/>
    <w:rsid w:val="00A51185"/>
    <w:rsid w:val="00A515BF"/>
    <w:rsid w:val="00A523DE"/>
    <w:rsid w:val="00A547CD"/>
    <w:rsid w:val="00A5578B"/>
    <w:rsid w:val="00A56018"/>
    <w:rsid w:val="00A61BE4"/>
    <w:rsid w:val="00A63963"/>
    <w:rsid w:val="00A63AA2"/>
    <w:rsid w:val="00A6451E"/>
    <w:rsid w:val="00A64D9E"/>
    <w:rsid w:val="00A65C02"/>
    <w:rsid w:val="00A6612A"/>
    <w:rsid w:val="00A66238"/>
    <w:rsid w:val="00A67D62"/>
    <w:rsid w:val="00A70525"/>
    <w:rsid w:val="00A70972"/>
    <w:rsid w:val="00A70D43"/>
    <w:rsid w:val="00A70E32"/>
    <w:rsid w:val="00A71929"/>
    <w:rsid w:val="00A72EF2"/>
    <w:rsid w:val="00A739AC"/>
    <w:rsid w:val="00A813BC"/>
    <w:rsid w:val="00A816E2"/>
    <w:rsid w:val="00A81E36"/>
    <w:rsid w:val="00A8277A"/>
    <w:rsid w:val="00A828C5"/>
    <w:rsid w:val="00A82A80"/>
    <w:rsid w:val="00A868A6"/>
    <w:rsid w:val="00A86BE3"/>
    <w:rsid w:val="00A86D9F"/>
    <w:rsid w:val="00A87962"/>
    <w:rsid w:val="00A87BBB"/>
    <w:rsid w:val="00A87DAD"/>
    <w:rsid w:val="00A90185"/>
    <w:rsid w:val="00A905B4"/>
    <w:rsid w:val="00A90A14"/>
    <w:rsid w:val="00A92E61"/>
    <w:rsid w:val="00A936B4"/>
    <w:rsid w:val="00A9439C"/>
    <w:rsid w:val="00A94AAC"/>
    <w:rsid w:val="00A9513E"/>
    <w:rsid w:val="00A968D3"/>
    <w:rsid w:val="00A979C3"/>
    <w:rsid w:val="00AA0660"/>
    <w:rsid w:val="00AA1929"/>
    <w:rsid w:val="00AA3776"/>
    <w:rsid w:val="00AA3E94"/>
    <w:rsid w:val="00AA58C9"/>
    <w:rsid w:val="00AA60FE"/>
    <w:rsid w:val="00AA6CEA"/>
    <w:rsid w:val="00AA6DF0"/>
    <w:rsid w:val="00AA6EF5"/>
    <w:rsid w:val="00AA7A0D"/>
    <w:rsid w:val="00AA7E40"/>
    <w:rsid w:val="00AB0215"/>
    <w:rsid w:val="00AB0C69"/>
    <w:rsid w:val="00AB0D73"/>
    <w:rsid w:val="00AB0E13"/>
    <w:rsid w:val="00AB0FE0"/>
    <w:rsid w:val="00AB24A5"/>
    <w:rsid w:val="00AB33DB"/>
    <w:rsid w:val="00AB3ED9"/>
    <w:rsid w:val="00AB4825"/>
    <w:rsid w:val="00AB5A7F"/>
    <w:rsid w:val="00AB732E"/>
    <w:rsid w:val="00AC10FD"/>
    <w:rsid w:val="00AC1B4A"/>
    <w:rsid w:val="00AC2BF9"/>
    <w:rsid w:val="00AC3997"/>
    <w:rsid w:val="00AC3C54"/>
    <w:rsid w:val="00AC3E12"/>
    <w:rsid w:val="00AC410B"/>
    <w:rsid w:val="00AC6239"/>
    <w:rsid w:val="00AC62DA"/>
    <w:rsid w:val="00AD0341"/>
    <w:rsid w:val="00AD216D"/>
    <w:rsid w:val="00AD3274"/>
    <w:rsid w:val="00AD3A42"/>
    <w:rsid w:val="00AD425F"/>
    <w:rsid w:val="00AD52BC"/>
    <w:rsid w:val="00AD5389"/>
    <w:rsid w:val="00AD6114"/>
    <w:rsid w:val="00AD6E48"/>
    <w:rsid w:val="00AD7578"/>
    <w:rsid w:val="00AD7BB8"/>
    <w:rsid w:val="00AE0217"/>
    <w:rsid w:val="00AE065A"/>
    <w:rsid w:val="00AE1391"/>
    <w:rsid w:val="00AE154A"/>
    <w:rsid w:val="00AE17B3"/>
    <w:rsid w:val="00AE582A"/>
    <w:rsid w:val="00AE681F"/>
    <w:rsid w:val="00AE69A1"/>
    <w:rsid w:val="00AE7A57"/>
    <w:rsid w:val="00AE7EFD"/>
    <w:rsid w:val="00AF1B7C"/>
    <w:rsid w:val="00AF2DF4"/>
    <w:rsid w:val="00AF3698"/>
    <w:rsid w:val="00AF3CE4"/>
    <w:rsid w:val="00AF5D53"/>
    <w:rsid w:val="00AF6886"/>
    <w:rsid w:val="00AF6CEB"/>
    <w:rsid w:val="00B00C5C"/>
    <w:rsid w:val="00B01136"/>
    <w:rsid w:val="00B01461"/>
    <w:rsid w:val="00B01C31"/>
    <w:rsid w:val="00B0212B"/>
    <w:rsid w:val="00B02CA7"/>
    <w:rsid w:val="00B02D6F"/>
    <w:rsid w:val="00B05181"/>
    <w:rsid w:val="00B0582F"/>
    <w:rsid w:val="00B068A1"/>
    <w:rsid w:val="00B070C1"/>
    <w:rsid w:val="00B07312"/>
    <w:rsid w:val="00B10A9B"/>
    <w:rsid w:val="00B10FFD"/>
    <w:rsid w:val="00B110A2"/>
    <w:rsid w:val="00B11699"/>
    <w:rsid w:val="00B15A95"/>
    <w:rsid w:val="00B15C60"/>
    <w:rsid w:val="00B1605E"/>
    <w:rsid w:val="00B167A5"/>
    <w:rsid w:val="00B16AE5"/>
    <w:rsid w:val="00B16C17"/>
    <w:rsid w:val="00B2031C"/>
    <w:rsid w:val="00B20424"/>
    <w:rsid w:val="00B2177E"/>
    <w:rsid w:val="00B22094"/>
    <w:rsid w:val="00B26228"/>
    <w:rsid w:val="00B26B47"/>
    <w:rsid w:val="00B26CA2"/>
    <w:rsid w:val="00B274DB"/>
    <w:rsid w:val="00B33BDE"/>
    <w:rsid w:val="00B35078"/>
    <w:rsid w:val="00B35AEB"/>
    <w:rsid w:val="00B3669D"/>
    <w:rsid w:val="00B36DE1"/>
    <w:rsid w:val="00B403B2"/>
    <w:rsid w:val="00B4080D"/>
    <w:rsid w:val="00B4098A"/>
    <w:rsid w:val="00B416B2"/>
    <w:rsid w:val="00B44F99"/>
    <w:rsid w:val="00B46389"/>
    <w:rsid w:val="00B478A2"/>
    <w:rsid w:val="00B51284"/>
    <w:rsid w:val="00B5140B"/>
    <w:rsid w:val="00B51F74"/>
    <w:rsid w:val="00B52653"/>
    <w:rsid w:val="00B54325"/>
    <w:rsid w:val="00B55C3A"/>
    <w:rsid w:val="00B566C0"/>
    <w:rsid w:val="00B56CE6"/>
    <w:rsid w:val="00B5754A"/>
    <w:rsid w:val="00B604B7"/>
    <w:rsid w:val="00B634D6"/>
    <w:rsid w:val="00B6394C"/>
    <w:rsid w:val="00B63D3E"/>
    <w:rsid w:val="00B6496B"/>
    <w:rsid w:val="00B672FF"/>
    <w:rsid w:val="00B70127"/>
    <w:rsid w:val="00B7033F"/>
    <w:rsid w:val="00B7071E"/>
    <w:rsid w:val="00B72761"/>
    <w:rsid w:val="00B741AA"/>
    <w:rsid w:val="00B74A38"/>
    <w:rsid w:val="00B74C4A"/>
    <w:rsid w:val="00B755CE"/>
    <w:rsid w:val="00B759B1"/>
    <w:rsid w:val="00B76CCA"/>
    <w:rsid w:val="00B804BE"/>
    <w:rsid w:val="00B80E65"/>
    <w:rsid w:val="00B8112F"/>
    <w:rsid w:val="00B81BA5"/>
    <w:rsid w:val="00B82119"/>
    <w:rsid w:val="00B831CF"/>
    <w:rsid w:val="00B8334A"/>
    <w:rsid w:val="00B83708"/>
    <w:rsid w:val="00B845E9"/>
    <w:rsid w:val="00B8485B"/>
    <w:rsid w:val="00B866AA"/>
    <w:rsid w:val="00B868B2"/>
    <w:rsid w:val="00B872A6"/>
    <w:rsid w:val="00B87446"/>
    <w:rsid w:val="00B877E9"/>
    <w:rsid w:val="00B87C52"/>
    <w:rsid w:val="00B90756"/>
    <w:rsid w:val="00B909F1"/>
    <w:rsid w:val="00B91062"/>
    <w:rsid w:val="00B9213E"/>
    <w:rsid w:val="00B92547"/>
    <w:rsid w:val="00B97761"/>
    <w:rsid w:val="00B97DF9"/>
    <w:rsid w:val="00BA02D6"/>
    <w:rsid w:val="00BA08EF"/>
    <w:rsid w:val="00BA1A23"/>
    <w:rsid w:val="00BA1BDE"/>
    <w:rsid w:val="00BA27C9"/>
    <w:rsid w:val="00BA2A13"/>
    <w:rsid w:val="00BA39F0"/>
    <w:rsid w:val="00BA443F"/>
    <w:rsid w:val="00BA4A82"/>
    <w:rsid w:val="00BA5121"/>
    <w:rsid w:val="00BA67A1"/>
    <w:rsid w:val="00BA6B42"/>
    <w:rsid w:val="00BA6BDA"/>
    <w:rsid w:val="00BA6C14"/>
    <w:rsid w:val="00BA6CC1"/>
    <w:rsid w:val="00BB09B4"/>
    <w:rsid w:val="00BB0A07"/>
    <w:rsid w:val="00BB0DD9"/>
    <w:rsid w:val="00BB1290"/>
    <w:rsid w:val="00BB1B4A"/>
    <w:rsid w:val="00BB24C8"/>
    <w:rsid w:val="00BB3247"/>
    <w:rsid w:val="00BB37BC"/>
    <w:rsid w:val="00BB3FA2"/>
    <w:rsid w:val="00BB4CCD"/>
    <w:rsid w:val="00BB4D84"/>
    <w:rsid w:val="00BB4E26"/>
    <w:rsid w:val="00BB571B"/>
    <w:rsid w:val="00BB5A3F"/>
    <w:rsid w:val="00BB6109"/>
    <w:rsid w:val="00BB6162"/>
    <w:rsid w:val="00BB6858"/>
    <w:rsid w:val="00BB68FC"/>
    <w:rsid w:val="00BB6C9F"/>
    <w:rsid w:val="00BB6FBB"/>
    <w:rsid w:val="00BB7489"/>
    <w:rsid w:val="00BC06B4"/>
    <w:rsid w:val="00BC21FF"/>
    <w:rsid w:val="00BC232C"/>
    <w:rsid w:val="00BC2CF5"/>
    <w:rsid w:val="00BC3D13"/>
    <w:rsid w:val="00BC4213"/>
    <w:rsid w:val="00BC555C"/>
    <w:rsid w:val="00BC56B5"/>
    <w:rsid w:val="00BC56C6"/>
    <w:rsid w:val="00BD07D8"/>
    <w:rsid w:val="00BD1124"/>
    <w:rsid w:val="00BD1CA3"/>
    <w:rsid w:val="00BD28D0"/>
    <w:rsid w:val="00BD3678"/>
    <w:rsid w:val="00BD48C0"/>
    <w:rsid w:val="00BD6C6C"/>
    <w:rsid w:val="00BD6E81"/>
    <w:rsid w:val="00BE03A3"/>
    <w:rsid w:val="00BE0E0A"/>
    <w:rsid w:val="00BE13DF"/>
    <w:rsid w:val="00BE1ECC"/>
    <w:rsid w:val="00BE1F06"/>
    <w:rsid w:val="00BE2EAA"/>
    <w:rsid w:val="00BE2EEC"/>
    <w:rsid w:val="00BE340B"/>
    <w:rsid w:val="00BE3B21"/>
    <w:rsid w:val="00BE461F"/>
    <w:rsid w:val="00BE5537"/>
    <w:rsid w:val="00BE5C68"/>
    <w:rsid w:val="00BE7A78"/>
    <w:rsid w:val="00BF094A"/>
    <w:rsid w:val="00BF0A43"/>
    <w:rsid w:val="00BF0E18"/>
    <w:rsid w:val="00BF365D"/>
    <w:rsid w:val="00BF6E05"/>
    <w:rsid w:val="00C012C2"/>
    <w:rsid w:val="00C01612"/>
    <w:rsid w:val="00C01BBD"/>
    <w:rsid w:val="00C04AB4"/>
    <w:rsid w:val="00C0515C"/>
    <w:rsid w:val="00C0537A"/>
    <w:rsid w:val="00C0584F"/>
    <w:rsid w:val="00C06558"/>
    <w:rsid w:val="00C07D0B"/>
    <w:rsid w:val="00C103FE"/>
    <w:rsid w:val="00C10D46"/>
    <w:rsid w:val="00C113D7"/>
    <w:rsid w:val="00C127F6"/>
    <w:rsid w:val="00C12C8E"/>
    <w:rsid w:val="00C12D6A"/>
    <w:rsid w:val="00C132F3"/>
    <w:rsid w:val="00C13FFA"/>
    <w:rsid w:val="00C14E25"/>
    <w:rsid w:val="00C156AE"/>
    <w:rsid w:val="00C15E66"/>
    <w:rsid w:val="00C1682B"/>
    <w:rsid w:val="00C16A67"/>
    <w:rsid w:val="00C16EFE"/>
    <w:rsid w:val="00C21080"/>
    <w:rsid w:val="00C23F88"/>
    <w:rsid w:val="00C24AF7"/>
    <w:rsid w:val="00C24BED"/>
    <w:rsid w:val="00C27348"/>
    <w:rsid w:val="00C27592"/>
    <w:rsid w:val="00C330F0"/>
    <w:rsid w:val="00C35C8E"/>
    <w:rsid w:val="00C35DA5"/>
    <w:rsid w:val="00C35E41"/>
    <w:rsid w:val="00C36ABC"/>
    <w:rsid w:val="00C40914"/>
    <w:rsid w:val="00C40A35"/>
    <w:rsid w:val="00C40C3D"/>
    <w:rsid w:val="00C41D25"/>
    <w:rsid w:val="00C42271"/>
    <w:rsid w:val="00C42C46"/>
    <w:rsid w:val="00C43A0D"/>
    <w:rsid w:val="00C43CC9"/>
    <w:rsid w:val="00C43D03"/>
    <w:rsid w:val="00C44047"/>
    <w:rsid w:val="00C44203"/>
    <w:rsid w:val="00C444FB"/>
    <w:rsid w:val="00C46ADE"/>
    <w:rsid w:val="00C476A2"/>
    <w:rsid w:val="00C4784D"/>
    <w:rsid w:val="00C50C7C"/>
    <w:rsid w:val="00C50E2D"/>
    <w:rsid w:val="00C5297A"/>
    <w:rsid w:val="00C54181"/>
    <w:rsid w:val="00C54C51"/>
    <w:rsid w:val="00C54E12"/>
    <w:rsid w:val="00C55942"/>
    <w:rsid w:val="00C55D07"/>
    <w:rsid w:val="00C5701F"/>
    <w:rsid w:val="00C57C26"/>
    <w:rsid w:val="00C60995"/>
    <w:rsid w:val="00C612D6"/>
    <w:rsid w:val="00C61CD0"/>
    <w:rsid w:val="00C61E6A"/>
    <w:rsid w:val="00C62270"/>
    <w:rsid w:val="00C62E7C"/>
    <w:rsid w:val="00C632CA"/>
    <w:rsid w:val="00C63B0D"/>
    <w:rsid w:val="00C654EC"/>
    <w:rsid w:val="00C703C0"/>
    <w:rsid w:val="00C70615"/>
    <w:rsid w:val="00C722E6"/>
    <w:rsid w:val="00C72375"/>
    <w:rsid w:val="00C725D2"/>
    <w:rsid w:val="00C73288"/>
    <w:rsid w:val="00C73DC1"/>
    <w:rsid w:val="00C741DF"/>
    <w:rsid w:val="00C742B0"/>
    <w:rsid w:val="00C743D2"/>
    <w:rsid w:val="00C75DF8"/>
    <w:rsid w:val="00C80510"/>
    <w:rsid w:val="00C80867"/>
    <w:rsid w:val="00C81531"/>
    <w:rsid w:val="00C81B51"/>
    <w:rsid w:val="00C81D14"/>
    <w:rsid w:val="00C82DC6"/>
    <w:rsid w:val="00C844A5"/>
    <w:rsid w:val="00C85603"/>
    <w:rsid w:val="00C8606D"/>
    <w:rsid w:val="00C873CE"/>
    <w:rsid w:val="00C87BE5"/>
    <w:rsid w:val="00C87DAB"/>
    <w:rsid w:val="00C9092B"/>
    <w:rsid w:val="00C9155F"/>
    <w:rsid w:val="00C920E8"/>
    <w:rsid w:val="00C941C6"/>
    <w:rsid w:val="00C94BA8"/>
    <w:rsid w:val="00C9553F"/>
    <w:rsid w:val="00C958CD"/>
    <w:rsid w:val="00C95A2C"/>
    <w:rsid w:val="00C9653A"/>
    <w:rsid w:val="00C96E4D"/>
    <w:rsid w:val="00C96F3C"/>
    <w:rsid w:val="00C97CA5"/>
    <w:rsid w:val="00C97F7D"/>
    <w:rsid w:val="00CA0A4F"/>
    <w:rsid w:val="00CA1464"/>
    <w:rsid w:val="00CA1823"/>
    <w:rsid w:val="00CA226D"/>
    <w:rsid w:val="00CA2684"/>
    <w:rsid w:val="00CA5485"/>
    <w:rsid w:val="00CA6948"/>
    <w:rsid w:val="00CA7424"/>
    <w:rsid w:val="00CA75ED"/>
    <w:rsid w:val="00CA7A91"/>
    <w:rsid w:val="00CA7B3E"/>
    <w:rsid w:val="00CB177C"/>
    <w:rsid w:val="00CB1B1A"/>
    <w:rsid w:val="00CB3A6A"/>
    <w:rsid w:val="00CB4821"/>
    <w:rsid w:val="00CB4CF4"/>
    <w:rsid w:val="00CB4DD9"/>
    <w:rsid w:val="00CB6AD4"/>
    <w:rsid w:val="00CB7268"/>
    <w:rsid w:val="00CC0591"/>
    <w:rsid w:val="00CC06C6"/>
    <w:rsid w:val="00CC2E79"/>
    <w:rsid w:val="00CC3567"/>
    <w:rsid w:val="00CC3912"/>
    <w:rsid w:val="00CC419C"/>
    <w:rsid w:val="00CC497B"/>
    <w:rsid w:val="00CC4C8C"/>
    <w:rsid w:val="00CC527E"/>
    <w:rsid w:val="00CC54CE"/>
    <w:rsid w:val="00CC5676"/>
    <w:rsid w:val="00CC5801"/>
    <w:rsid w:val="00CC5B50"/>
    <w:rsid w:val="00CC66AB"/>
    <w:rsid w:val="00CC6731"/>
    <w:rsid w:val="00CD23E0"/>
    <w:rsid w:val="00CD2E25"/>
    <w:rsid w:val="00CD35E4"/>
    <w:rsid w:val="00CD3800"/>
    <w:rsid w:val="00CD4CC7"/>
    <w:rsid w:val="00CD51BD"/>
    <w:rsid w:val="00CD5DA3"/>
    <w:rsid w:val="00CD661E"/>
    <w:rsid w:val="00CD7148"/>
    <w:rsid w:val="00CD731F"/>
    <w:rsid w:val="00CD7BFC"/>
    <w:rsid w:val="00CE0378"/>
    <w:rsid w:val="00CE058E"/>
    <w:rsid w:val="00CE0BD2"/>
    <w:rsid w:val="00CE2092"/>
    <w:rsid w:val="00CE22E9"/>
    <w:rsid w:val="00CE2B29"/>
    <w:rsid w:val="00CE4698"/>
    <w:rsid w:val="00CE4D8C"/>
    <w:rsid w:val="00CE5009"/>
    <w:rsid w:val="00CE5428"/>
    <w:rsid w:val="00CE5577"/>
    <w:rsid w:val="00CE5C33"/>
    <w:rsid w:val="00CE5C99"/>
    <w:rsid w:val="00CE5E31"/>
    <w:rsid w:val="00CE6086"/>
    <w:rsid w:val="00CE6F9C"/>
    <w:rsid w:val="00CE7001"/>
    <w:rsid w:val="00CE7994"/>
    <w:rsid w:val="00CF0312"/>
    <w:rsid w:val="00CF27CF"/>
    <w:rsid w:val="00CF2C97"/>
    <w:rsid w:val="00CF4676"/>
    <w:rsid w:val="00CF48C1"/>
    <w:rsid w:val="00CF543C"/>
    <w:rsid w:val="00D00253"/>
    <w:rsid w:val="00D00565"/>
    <w:rsid w:val="00D00DC2"/>
    <w:rsid w:val="00D0154A"/>
    <w:rsid w:val="00D01B0B"/>
    <w:rsid w:val="00D03723"/>
    <w:rsid w:val="00D03B53"/>
    <w:rsid w:val="00D0426B"/>
    <w:rsid w:val="00D04F9E"/>
    <w:rsid w:val="00D051B7"/>
    <w:rsid w:val="00D05498"/>
    <w:rsid w:val="00D059B9"/>
    <w:rsid w:val="00D06B31"/>
    <w:rsid w:val="00D0715A"/>
    <w:rsid w:val="00D10BDA"/>
    <w:rsid w:val="00D13CCC"/>
    <w:rsid w:val="00D13E24"/>
    <w:rsid w:val="00D14570"/>
    <w:rsid w:val="00D160D5"/>
    <w:rsid w:val="00D16502"/>
    <w:rsid w:val="00D165B7"/>
    <w:rsid w:val="00D169F6"/>
    <w:rsid w:val="00D16C46"/>
    <w:rsid w:val="00D17180"/>
    <w:rsid w:val="00D17FCE"/>
    <w:rsid w:val="00D20404"/>
    <w:rsid w:val="00D204A5"/>
    <w:rsid w:val="00D2100E"/>
    <w:rsid w:val="00D218C4"/>
    <w:rsid w:val="00D21979"/>
    <w:rsid w:val="00D22518"/>
    <w:rsid w:val="00D22A9F"/>
    <w:rsid w:val="00D238EA"/>
    <w:rsid w:val="00D24308"/>
    <w:rsid w:val="00D246BB"/>
    <w:rsid w:val="00D246D6"/>
    <w:rsid w:val="00D24B6E"/>
    <w:rsid w:val="00D24B82"/>
    <w:rsid w:val="00D250C2"/>
    <w:rsid w:val="00D26C10"/>
    <w:rsid w:val="00D26DF2"/>
    <w:rsid w:val="00D2771C"/>
    <w:rsid w:val="00D27B05"/>
    <w:rsid w:val="00D27E91"/>
    <w:rsid w:val="00D30F8D"/>
    <w:rsid w:val="00D31A4F"/>
    <w:rsid w:val="00D33749"/>
    <w:rsid w:val="00D33C92"/>
    <w:rsid w:val="00D343FA"/>
    <w:rsid w:val="00D34D9D"/>
    <w:rsid w:val="00D34E92"/>
    <w:rsid w:val="00D34FAE"/>
    <w:rsid w:val="00D35A6B"/>
    <w:rsid w:val="00D36EB0"/>
    <w:rsid w:val="00D377A9"/>
    <w:rsid w:val="00D41029"/>
    <w:rsid w:val="00D417F6"/>
    <w:rsid w:val="00D42057"/>
    <w:rsid w:val="00D42059"/>
    <w:rsid w:val="00D42B1B"/>
    <w:rsid w:val="00D430A4"/>
    <w:rsid w:val="00D44338"/>
    <w:rsid w:val="00D446DC"/>
    <w:rsid w:val="00D446EC"/>
    <w:rsid w:val="00D44F0C"/>
    <w:rsid w:val="00D45098"/>
    <w:rsid w:val="00D45C35"/>
    <w:rsid w:val="00D461FE"/>
    <w:rsid w:val="00D464FF"/>
    <w:rsid w:val="00D4692F"/>
    <w:rsid w:val="00D5113F"/>
    <w:rsid w:val="00D52E34"/>
    <w:rsid w:val="00D53764"/>
    <w:rsid w:val="00D54BDA"/>
    <w:rsid w:val="00D5527B"/>
    <w:rsid w:val="00D556B4"/>
    <w:rsid w:val="00D557CC"/>
    <w:rsid w:val="00D56A2A"/>
    <w:rsid w:val="00D56EC6"/>
    <w:rsid w:val="00D574D2"/>
    <w:rsid w:val="00D57F59"/>
    <w:rsid w:val="00D60387"/>
    <w:rsid w:val="00D624E6"/>
    <w:rsid w:val="00D62608"/>
    <w:rsid w:val="00D636A9"/>
    <w:rsid w:val="00D636ED"/>
    <w:rsid w:val="00D638F3"/>
    <w:rsid w:val="00D642F6"/>
    <w:rsid w:val="00D6474B"/>
    <w:rsid w:val="00D6475A"/>
    <w:rsid w:val="00D653FC"/>
    <w:rsid w:val="00D67C4B"/>
    <w:rsid w:val="00D71F3F"/>
    <w:rsid w:val="00D720BC"/>
    <w:rsid w:val="00D7213F"/>
    <w:rsid w:val="00D72A9E"/>
    <w:rsid w:val="00D732B5"/>
    <w:rsid w:val="00D7387F"/>
    <w:rsid w:val="00D73CE9"/>
    <w:rsid w:val="00D73FF1"/>
    <w:rsid w:val="00D74196"/>
    <w:rsid w:val="00D7534D"/>
    <w:rsid w:val="00D772D2"/>
    <w:rsid w:val="00D773B4"/>
    <w:rsid w:val="00D7752F"/>
    <w:rsid w:val="00D80060"/>
    <w:rsid w:val="00D80230"/>
    <w:rsid w:val="00D80259"/>
    <w:rsid w:val="00D823F9"/>
    <w:rsid w:val="00D83031"/>
    <w:rsid w:val="00D837EE"/>
    <w:rsid w:val="00D8482B"/>
    <w:rsid w:val="00D84FC7"/>
    <w:rsid w:val="00D86406"/>
    <w:rsid w:val="00D87600"/>
    <w:rsid w:val="00D87D09"/>
    <w:rsid w:val="00D90596"/>
    <w:rsid w:val="00D91457"/>
    <w:rsid w:val="00D9192C"/>
    <w:rsid w:val="00D92A5E"/>
    <w:rsid w:val="00D932FC"/>
    <w:rsid w:val="00D94040"/>
    <w:rsid w:val="00D943A1"/>
    <w:rsid w:val="00D94B69"/>
    <w:rsid w:val="00D957F8"/>
    <w:rsid w:val="00D962AF"/>
    <w:rsid w:val="00D965BE"/>
    <w:rsid w:val="00D97078"/>
    <w:rsid w:val="00D9764D"/>
    <w:rsid w:val="00D97C76"/>
    <w:rsid w:val="00D97FC5"/>
    <w:rsid w:val="00DA39C9"/>
    <w:rsid w:val="00DA3C22"/>
    <w:rsid w:val="00DA3C9C"/>
    <w:rsid w:val="00DA4C3C"/>
    <w:rsid w:val="00DA55E2"/>
    <w:rsid w:val="00DA62EF"/>
    <w:rsid w:val="00DA76F0"/>
    <w:rsid w:val="00DB09E2"/>
    <w:rsid w:val="00DB0CBD"/>
    <w:rsid w:val="00DB1132"/>
    <w:rsid w:val="00DB1CD9"/>
    <w:rsid w:val="00DB2A0A"/>
    <w:rsid w:val="00DB4B09"/>
    <w:rsid w:val="00DB5E89"/>
    <w:rsid w:val="00DB65F4"/>
    <w:rsid w:val="00DB6B8A"/>
    <w:rsid w:val="00DB6F7C"/>
    <w:rsid w:val="00DB7DB8"/>
    <w:rsid w:val="00DC0F98"/>
    <w:rsid w:val="00DC1CC2"/>
    <w:rsid w:val="00DC1DCC"/>
    <w:rsid w:val="00DC4427"/>
    <w:rsid w:val="00DC451D"/>
    <w:rsid w:val="00DC4E95"/>
    <w:rsid w:val="00DC4F25"/>
    <w:rsid w:val="00DC5063"/>
    <w:rsid w:val="00DC61D5"/>
    <w:rsid w:val="00DC6A6E"/>
    <w:rsid w:val="00DC736B"/>
    <w:rsid w:val="00DC7397"/>
    <w:rsid w:val="00DC7590"/>
    <w:rsid w:val="00DC77C4"/>
    <w:rsid w:val="00DD0B26"/>
    <w:rsid w:val="00DD0F66"/>
    <w:rsid w:val="00DD1A01"/>
    <w:rsid w:val="00DD2618"/>
    <w:rsid w:val="00DD283F"/>
    <w:rsid w:val="00DD2E8D"/>
    <w:rsid w:val="00DD2F15"/>
    <w:rsid w:val="00DD3408"/>
    <w:rsid w:val="00DD65A7"/>
    <w:rsid w:val="00DD712C"/>
    <w:rsid w:val="00DD744A"/>
    <w:rsid w:val="00DE01E1"/>
    <w:rsid w:val="00DE05B7"/>
    <w:rsid w:val="00DE07DB"/>
    <w:rsid w:val="00DE304C"/>
    <w:rsid w:val="00DE3163"/>
    <w:rsid w:val="00DE32E2"/>
    <w:rsid w:val="00DE3346"/>
    <w:rsid w:val="00DE356F"/>
    <w:rsid w:val="00DE3BE8"/>
    <w:rsid w:val="00DE4507"/>
    <w:rsid w:val="00DE4894"/>
    <w:rsid w:val="00DE48E9"/>
    <w:rsid w:val="00DE53A5"/>
    <w:rsid w:val="00DE6980"/>
    <w:rsid w:val="00DE7220"/>
    <w:rsid w:val="00DE7E20"/>
    <w:rsid w:val="00DE7EB5"/>
    <w:rsid w:val="00DE7F0C"/>
    <w:rsid w:val="00DF05DA"/>
    <w:rsid w:val="00DF0F9C"/>
    <w:rsid w:val="00DF19B5"/>
    <w:rsid w:val="00DF1B55"/>
    <w:rsid w:val="00DF2896"/>
    <w:rsid w:val="00DF2D95"/>
    <w:rsid w:val="00DF3F12"/>
    <w:rsid w:val="00DF430A"/>
    <w:rsid w:val="00DF4E2A"/>
    <w:rsid w:val="00DF5086"/>
    <w:rsid w:val="00DF63D1"/>
    <w:rsid w:val="00DF6782"/>
    <w:rsid w:val="00DF7021"/>
    <w:rsid w:val="00E0098E"/>
    <w:rsid w:val="00E01630"/>
    <w:rsid w:val="00E01D5C"/>
    <w:rsid w:val="00E03698"/>
    <w:rsid w:val="00E03F9C"/>
    <w:rsid w:val="00E04CD4"/>
    <w:rsid w:val="00E05567"/>
    <w:rsid w:val="00E0564D"/>
    <w:rsid w:val="00E058E8"/>
    <w:rsid w:val="00E0615C"/>
    <w:rsid w:val="00E06481"/>
    <w:rsid w:val="00E07260"/>
    <w:rsid w:val="00E077D4"/>
    <w:rsid w:val="00E1129B"/>
    <w:rsid w:val="00E11871"/>
    <w:rsid w:val="00E1211A"/>
    <w:rsid w:val="00E142D0"/>
    <w:rsid w:val="00E147F7"/>
    <w:rsid w:val="00E14A62"/>
    <w:rsid w:val="00E1543D"/>
    <w:rsid w:val="00E1775E"/>
    <w:rsid w:val="00E17B84"/>
    <w:rsid w:val="00E20654"/>
    <w:rsid w:val="00E2093B"/>
    <w:rsid w:val="00E22C6F"/>
    <w:rsid w:val="00E22FF0"/>
    <w:rsid w:val="00E24222"/>
    <w:rsid w:val="00E25B7A"/>
    <w:rsid w:val="00E25CF2"/>
    <w:rsid w:val="00E27D0F"/>
    <w:rsid w:val="00E300E2"/>
    <w:rsid w:val="00E30519"/>
    <w:rsid w:val="00E3075A"/>
    <w:rsid w:val="00E308AA"/>
    <w:rsid w:val="00E31056"/>
    <w:rsid w:val="00E31423"/>
    <w:rsid w:val="00E31AC0"/>
    <w:rsid w:val="00E31C74"/>
    <w:rsid w:val="00E33165"/>
    <w:rsid w:val="00E334DC"/>
    <w:rsid w:val="00E339DD"/>
    <w:rsid w:val="00E33A88"/>
    <w:rsid w:val="00E34B1B"/>
    <w:rsid w:val="00E34E6C"/>
    <w:rsid w:val="00E34EAE"/>
    <w:rsid w:val="00E372FE"/>
    <w:rsid w:val="00E37A28"/>
    <w:rsid w:val="00E40329"/>
    <w:rsid w:val="00E4162E"/>
    <w:rsid w:val="00E41FCF"/>
    <w:rsid w:val="00E42056"/>
    <w:rsid w:val="00E423FA"/>
    <w:rsid w:val="00E427EC"/>
    <w:rsid w:val="00E428F2"/>
    <w:rsid w:val="00E42D41"/>
    <w:rsid w:val="00E42DFA"/>
    <w:rsid w:val="00E43BED"/>
    <w:rsid w:val="00E4479E"/>
    <w:rsid w:val="00E44FEC"/>
    <w:rsid w:val="00E454C9"/>
    <w:rsid w:val="00E454E6"/>
    <w:rsid w:val="00E464BE"/>
    <w:rsid w:val="00E46617"/>
    <w:rsid w:val="00E47A81"/>
    <w:rsid w:val="00E50713"/>
    <w:rsid w:val="00E521C1"/>
    <w:rsid w:val="00E53374"/>
    <w:rsid w:val="00E53612"/>
    <w:rsid w:val="00E53E27"/>
    <w:rsid w:val="00E54261"/>
    <w:rsid w:val="00E54484"/>
    <w:rsid w:val="00E55473"/>
    <w:rsid w:val="00E554E2"/>
    <w:rsid w:val="00E5640A"/>
    <w:rsid w:val="00E60A40"/>
    <w:rsid w:val="00E61434"/>
    <w:rsid w:val="00E61450"/>
    <w:rsid w:val="00E61698"/>
    <w:rsid w:val="00E61F04"/>
    <w:rsid w:val="00E6260E"/>
    <w:rsid w:val="00E62C90"/>
    <w:rsid w:val="00E656D4"/>
    <w:rsid w:val="00E65779"/>
    <w:rsid w:val="00E66841"/>
    <w:rsid w:val="00E66AD7"/>
    <w:rsid w:val="00E71AAB"/>
    <w:rsid w:val="00E71E1B"/>
    <w:rsid w:val="00E72AE3"/>
    <w:rsid w:val="00E7354F"/>
    <w:rsid w:val="00E735C9"/>
    <w:rsid w:val="00E73D02"/>
    <w:rsid w:val="00E740A9"/>
    <w:rsid w:val="00E747D2"/>
    <w:rsid w:val="00E75AA6"/>
    <w:rsid w:val="00E75E4F"/>
    <w:rsid w:val="00E7637A"/>
    <w:rsid w:val="00E77C74"/>
    <w:rsid w:val="00E80BD6"/>
    <w:rsid w:val="00E81722"/>
    <w:rsid w:val="00E81A5A"/>
    <w:rsid w:val="00E81B50"/>
    <w:rsid w:val="00E81D9F"/>
    <w:rsid w:val="00E82531"/>
    <w:rsid w:val="00E82B8B"/>
    <w:rsid w:val="00E83079"/>
    <w:rsid w:val="00E8317F"/>
    <w:rsid w:val="00E83669"/>
    <w:rsid w:val="00E83C48"/>
    <w:rsid w:val="00E85616"/>
    <w:rsid w:val="00E85843"/>
    <w:rsid w:val="00E860D8"/>
    <w:rsid w:val="00E86EF4"/>
    <w:rsid w:val="00E879FB"/>
    <w:rsid w:val="00E87E06"/>
    <w:rsid w:val="00E87E49"/>
    <w:rsid w:val="00E91569"/>
    <w:rsid w:val="00E9299D"/>
    <w:rsid w:val="00E93398"/>
    <w:rsid w:val="00E93695"/>
    <w:rsid w:val="00E94EB3"/>
    <w:rsid w:val="00E95BC7"/>
    <w:rsid w:val="00E96022"/>
    <w:rsid w:val="00E965A0"/>
    <w:rsid w:val="00E97331"/>
    <w:rsid w:val="00E97482"/>
    <w:rsid w:val="00EA1191"/>
    <w:rsid w:val="00EA19B3"/>
    <w:rsid w:val="00EA1D68"/>
    <w:rsid w:val="00EA412E"/>
    <w:rsid w:val="00EA4C2B"/>
    <w:rsid w:val="00EA649C"/>
    <w:rsid w:val="00EA6654"/>
    <w:rsid w:val="00EA7653"/>
    <w:rsid w:val="00EA7E8B"/>
    <w:rsid w:val="00EB0546"/>
    <w:rsid w:val="00EB1AC0"/>
    <w:rsid w:val="00EB30FF"/>
    <w:rsid w:val="00EB3953"/>
    <w:rsid w:val="00EB3A90"/>
    <w:rsid w:val="00EB50B9"/>
    <w:rsid w:val="00EB5F92"/>
    <w:rsid w:val="00EC0010"/>
    <w:rsid w:val="00EC0369"/>
    <w:rsid w:val="00EC0FC0"/>
    <w:rsid w:val="00EC19E8"/>
    <w:rsid w:val="00EC1A97"/>
    <w:rsid w:val="00EC2391"/>
    <w:rsid w:val="00EC3DBE"/>
    <w:rsid w:val="00EC414B"/>
    <w:rsid w:val="00EC4EFE"/>
    <w:rsid w:val="00EC73A0"/>
    <w:rsid w:val="00EC73A6"/>
    <w:rsid w:val="00EC7612"/>
    <w:rsid w:val="00ED02DE"/>
    <w:rsid w:val="00ED0D70"/>
    <w:rsid w:val="00ED104C"/>
    <w:rsid w:val="00ED1EF6"/>
    <w:rsid w:val="00ED23D9"/>
    <w:rsid w:val="00ED2B04"/>
    <w:rsid w:val="00ED35F2"/>
    <w:rsid w:val="00ED43AB"/>
    <w:rsid w:val="00ED5F58"/>
    <w:rsid w:val="00ED63D4"/>
    <w:rsid w:val="00ED6A4A"/>
    <w:rsid w:val="00ED7F01"/>
    <w:rsid w:val="00EE0F16"/>
    <w:rsid w:val="00EE1383"/>
    <w:rsid w:val="00EE1D57"/>
    <w:rsid w:val="00EE2035"/>
    <w:rsid w:val="00EE267B"/>
    <w:rsid w:val="00EE3BBF"/>
    <w:rsid w:val="00EE3E7C"/>
    <w:rsid w:val="00EE4CB5"/>
    <w:rsid w:val="00EE4F0F"/>
    <w:rsid w:val="00EE5301"/>
    <w:rsid w:val="00EE5B97"/>
    <w:rsid w:val="00EE5D93"/>
    <w:rsid w:val="00EE6431"/>
    <w:rsid w:val="00EE6B34"/>
    <w:rsid w:val="00EF1098"/>
    <w:rsid w:val="00EF10B4"/>
    <w:rsid w:val="00EF1A43"/>
    <w:rsid w:val="00EF1D80"/>
    <w:rsid w:val="00EF2382"/>
    <w:rsid w:val="00EF320C"/>
    <w:rsid w:val="00EF42C6"/>
    <w:rsid w:val="00EF75A2"/>
    <w:rsid w:val="00F00359"/>
    <w:rsid w:val="00F004E7"/>
    <w:rsid w:val="00F012DB"/>
    <w:rsid w:val="00F021DA"/>
    <w:rsid w:val="00F0326B"/>
    <w:rsid w:val="00F0343F"/>
    <w:rsid w:val="00F034C3"/>
    <w:rsid w:val="00F0350B"/>
    <w:rsid w:val="00F038D5"/>
    <w:rsid w:val="00F04FD9"/>
    <w:rsid w:val="00F05A24"/>
    <w:rsid w:val="00F05EDC"/>
    <w:rsid w:val="00F064D9"/>
    <w:rsid w:val="00F06B82"/>
    <w:rsid w:val="00F105AB"/>
    <w:rsid w:val="00F1063A"/>
    <w:rsid w:val="00F10C54"/>
    <w:rsid w:val="00F11176"/>
    <w:rsid w:val="00F12CEF"/>
    <w:rsid w:val="00F133E8"/>
    <w:rsid w:val="00F140CE"/>
    <w:rsid w:val="00F1538E"/>
    <w:rsid w:val="00F1556F"/>
    <w:rsid w:val="00F15AC9"/>
    <w:rsid w:val="00F203F3"/>
    <w:rsid w:val="00F2165C"/>
    <w:rsid w:val="00F21DB7"/>
    <w:rsid w:val="00F222C2"/>
    <w:rsid w:val="00F2239F"/>
    <w:rsid w:val="00F229C3"/>
    <w:rsid w:val="00F2384D"/>
    <w:rsid w:val="00F248F2"/>
    <w:rsid w:val="00F26A9F"/>
    <w:rsid w:val="00F27301"/>
    <w:rsid w:val="00F2752E"/>
    <w:rsid w:val="00F27B4C"/>
    <w:rsid w:val="00F27B57"/>
    <w:rsid w:val="00F27F4E"/>
    <w:rsid w:val="00F27F6A"/>
    <w:rsid w:val="00F27FAD"/>
    <w:rsid w:val="00F308B0"/>
    <w:rsid w:val="00F36271"/>
    <w:rsid w:val="00F37616"/>
    <w:rsid w:val="00F379F4"/>
    <w:rsid w:val="00F40429"/>
    <w:rsid w:val="00F40712"/>
    <w:rsid w:val="00F41F23"/>
    <w:rsid w:val="00F42EB5"/>
    <w:rsid w:val="00F43D1C"/>
    <w:rsid w:val="00F441E7"/>
    <w:rsid w:val="00F447E8"/>
    <w:rsid w:val="00F453E5"/>
    <w:rsid w:val="00F45914"/>
    <w:rsid w:val="00F4642C"/>
    <w:rsid w:val="00F5079E"/>
    <w:rsid w:val="00F50C02"/>
    <w:rsid w:val="00F50C89"/>
    <w:rsid w:val="00F5170E"/>
    <w:rsid w:val="00F54412"/>
    <w:rsid w:val="00F54498"/>
    <w:rsid w:val="00F5521F"/>
    <w:rsid w:val="00F55565"/>
    <w:rsid w:val="00F55FA5"/>
    <w:rsid w:val="00F56DEB"/>
    <w:rsid w:val="00F574BA"/>
    <w:rsid w:val="00F576A8"/>
    <w:rsid w:val="00F577DB"/>
    <w:rsid w:val="00F6029F"/>
    <w:rsid w:val="00F615B4"/>
    <w:rsid w:val="00F61D4D"/>
    <w:rsid w:val="00F6314B"/>
    <w:rsid w:val="00F6367E"/>
    <w:rsid w:val="00F65DB0"/>
    <w:rsid w:val="00F6743A"/>
    <w:rsid w:val="00F70255"/>
    <w:rsid w:val="00F71155"/>
    <w:rsid w:val="00F728B6"/>
    <w:rsid w:val="00F73213"/>
    <w:rsid w:val="00F749B3"/>
    <w:rsid w:val="00F74AFE"/>
    <w:rsid w:val="00F75130"/>
    <w:rsid w:val="00F751BC"/>
    <w:rsid w:val="00F753B3"/>
    <w:rsid w:val="00F759B0"/>
    <w:rsid w:val="00F75ACC"/>
    <w:rsid w:val="00F75CE7"/>
    <w:rsid w:val="00F76464"/>
    <w:rsid w:val="00F765AD"/>
    <w:rsid w:val="00F778EB"/>
    <w:rsid w:val="00F80195"/>
    <w:rsid w:val="00F80C61"/>
    <w:rsid w:val="00F80E9C"/>
    <w:rsid w:val="00F81067"/>
    <w:rsid w:val="00F82315"/>
    <w:rsid w:val="00F83D2B"/>
    <w:rsid w:val="00F846EC"/>
    <w:rsid w:val="00F855FE"/>
    <w:rsid w:val="00F85D46"/>
    <w:rsid w:val="00F87BB3"/>
    <w:rsid w:val="00F90B88"/>
    <w:rsid w:val="00F90EA6"/>
    <w:rsid w:val="00F91BF2"/>
    <w:rsid w:val="00F9216D"/>
    <w:rsid w:val="00F934E2"/>
    <w:rsid w:val="00F948FC"/>
    <w:rsid w:val="00F94CD7"/>
    <w:rsid w:val="00F9567B"/>
    <w:rsid w:val="00F974E4"/>
    <w:rsid w:val="00FA0645"/>
    <w:rsid w:val="00FA15D4"/>
    <w:rsid w:val="00FA2E85"/>
    <w:rsid w:val="00FA457E"/>
    <w:rsid w:val="00FA47EE"/>
    <w:rsid w:val="00FA4F18"/>
    <w:rsid w:val="00FA55C9"/>
    <w:rsid w:val="00FA6CA6"/>
    <w:rsid w:val="00FA6D99"/>
    <w:rsid w:val="00FA6DDB"/>
    <w:rsid w:val="00FA6E82"/>
    <w:rsid w:val="00FA750F"/>
    <w:rsid w:val="00FA7858"/>
    <w:rsid w:val="00FB048D"/>
    <w:rsid w:val="00FB153F"/>
    <w:rsid w:val="00FB1B4E"/>
    <w:rsid w:val="00FB24F3"/>
    <w:rsid w:val="00FB25DB"/>
    <w:rsid w:val="00FB2691"/>
    <w:rsid w:val="00FB3287"/>
    <w:rsid w:val="00FB496F"/>
    <w:rsid w:val="00FB4E6E"/>
    <w:rsid w:val="00FB4F5C"/>
    <w:rsid w:val="00FB5544"/>
    <w:rsid w:val="00FB58F7"/>
    <w:rsid w:val="00FB6641"/>
    <w:rsid w:val="00FB79AA"/>
    <w:rsid w:val="00FB7A62"/>
    <w:rsid w:val="00FC044C"/>
    <w:rsid w:val="00FC0FFB"/>
    <w:rsid w:val="00FC1436"/>
    <w:rsid w:val="00FC1AEC"/>
    <w:rsid w:val="00FC2072"/>
    <w:rsid w:val="00FC2298"/>
    <w:rsid w:val="00FC3F9D"/>
    <w:rsid w:val="00FC507D"/>
    <w:rsid w:val="00FC5647"/>
    <w:rsid w:val="00FC5C8D"/>
    <w:rsid w:val="00FC5CAA"/>
    <w:rsid w:val="00FC5D2A"/>
    <w:rsid w:val="00FC5FD8"/>
    <w:rsid w:val="00FC6434"/>
    <w:rsid w:val="00FC6D7A"/>
    <w:rsid w:val="00FC768B"/>
    <w:rsid w:val="00FD0092"/>
    <w:rsid w:val="00FD0C61"/>
    <w:rsid w:val="00FD1600"/>
    <w:rsid w:val="00FD3CE5"/>
    <w:rsid w:val="00FD5BDD"/>
    <w:rsid w:val="00FD6918"/>
    <w:rsid w:val="00FD6A67"/>
    <w:rsid w:val="00FD7816"/>
    <w:rsid w:val="00FD7B68"/>
    <w:rsid w:val="00FE0578"/>
    <w:rsid w:val="00FE145A"/>
    <w:rsid w:val="00FE21E4"/>
    <w:rsid w:val="00FE28F2"/>
    <w:rsid w:val="00FE31CB"/>
    <w:rsid w:val="00FE3A94"/>
    <w:rsid w:val="00FE3E00"/>
    <w:rsid w:val="00FE416D"/>
    <w:rsid w:val="00FE55FE"/>
    <w:rsid w:val="00FF0857"/>
    <w:rsid w:val="00FF0E61"/>
    <w:rsid w:val="00FF1FD3"/>
    <w:rsid w:val="00FF35ED"/>
    <w:rsid w:val="00FF3D2B"/>
    <w:rsid w:val="00FF4416"/>
    <w:rsid w:val="00FF47D7"/>
    <w:rsid w:val="00FF49E1"/>
    <w:rsid w:val="00FF5ECB"/>
    <w:rsid w:val="00FF7ADF"/>
    <w:rsid w:val="00FF7E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D"/>
  </w:style>
  <w:style w:type="paragraph" w:styleId="Heading1">
    <w:name w:val="heading 1"/>
    <w:basedOn w:val="Normal"/>
    <w:next w:val="Normal"/>
    <w:link w:val="Heading1Char"/>
    <w:uiPriority w:val="9"/>
    <w:qFormat/>
    <w:rsid w:val="007E127B"/>
    <w:pPr>
      <w:numPr>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center"/>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unhideWhenUsed/>
    <w:qFormat/>
    <w:rsid w:val="009E7604"/>
    <w:pPr>
      <w:outlineLvl w:val="1"/>
    </w:pPr>
    <w:rPr>
      <w:rFonts w:ascii="Gill Sans MT" w:hAnsi="Gill Sans MT" w:cs="Arial"/>
      <w:b/>
      <w:color w:val="1F497D" w:themeColor="text2"/>
      <w:sz w:val="28"/>
      <w:szCs w:val="28"/>
    </w:rPr>
  </w:style>
  <w:style w:type="paragraph" w:styleId="Heading3">
    <w:name w:val="heading 3"/>
    <w:basedOn w:val="Subtitle"/>
    <w:next w:val="Normal"/>
    <w:link w:val="Heading3Char"/>
    <w:uiPriority w:val="9"/>
    <w:unhideWhenUsed/>
    <w:qFormat/>
    <w:rsid w:val="009E7604"/>
    <w:pPr>
      <w:outlineLvl w:val="2"/>
    </w:pPr>
    <w:rPr>
      <w:b/>
      <w:color w:val="1F497D" w:themeColor="text2"/>
    </w:rPr>
  </w:style>
  <w:style w:type="paragraph" w:styleId="Heading4">
    <w:name w:val="heading 4"/>
    <w:basedOn w:val="Normal"/>
    <w:next w:val="Normal"/>
    <w:link w:val="Heading4Char"/>
    <w:uiPriority w:val="9"/>
    <w:unhideWhenUsed/>
    <w:qFormat/>
    <w:rsid w:val="007165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E31C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D2AB3"/>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2C7A5B"/>
    <w:rPr>
      <w:rFonts w:ascii="Lucida Grande" w:hAnsi="Lucida Grande"/>
      <w:sz w:val="18"/>
      <w:szCs w:val="18"/>
    </w:rPr>
  </w:style>
  <w:style w:type="table" w:styleId="TableGrid">
    <w:name w:val="Table Grid"/>
    <w:basedOn w:val="TableNormal"/>
    <w:uiPriority w:val="59"/>
    <w:rsid w:val="00BC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6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124"/>
  </w:style>
  <w:style w:type="paragraph" w:styleId="Footer">
    <w:name w:val="footer"/>
    <w:basedOn w:val="Normal"/>
    <w:link w:val="FooterChar"/>
    <w:uiPriority w:val="99"/>
    <w:unhideWhenUsed/>
    <w:rsid w:val="009F6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124"/>
  </w:style>
  <w:style w:type="paragraph" w:styleId="ListParagraph">
    <w:name w:val="List Paragraph"/>
    <w:basedOn w:val="Normal"/>
    <w:uiPriority w:val="34"/>
    <w:qFormat/>
    <w:rsid w:val="001C46A6"/>
    <w:pPr>
      <w:ind w:left="720"/>
      <w:contextualSpacing/>
    </w:pPr>
  </w:style>
  <w:style w:type="character" w:styleId="CommentReference">
    <w:name w:val="annotation reference"/>
    <w:basedOn w:val="DefaultParagraphFont"/>
    <w:uiPriority w:val="99"/>
    <w:semiHidden/>
    <w:unhideWhenUsed/>
    <w:rsid w:val="000D2AB3"/>
    <w:rPr>
      <w:sz w:val="16"/>
      <w:szCs w:val="16"/>
    </w:rPr>
  </w:style>
  <w:style w:type="paragraph" w:styleId="CommentText">
    <w:name w:val="annotation text"/>
    <w:basedOn w:val="Normal"/>
    <w:link w:val="CommentTextChar"/>
    <w:uiPriority w:val="99"/>
    <w:unhideWhenUsed/>
    <w:rsid w:val="000D2AB3"/>
    <w:pPr>
      <w:spacing w:line="240" w:lineRule="auto"/>
    </w:pPr>
    <w:rPr>
      <w:sz w:val="20"/>
      <w:szCs w:val="20"/>
    </w:rPr>
  </w:style>
  <w:style w:type="character" w:customStyle="1" w:styleId="CommentTextChar">
    <w:name w:val="Comment Text Char"/>
    <w:basedOn w:val="DefaultParagraphFont"/>
    <w:link w:val="CommentText"/>
    <w:uiPriority w:val="99"/>
    <w:rsid w:val="000D2AB3"/>
    <w:rPr>
      <w:sz w:val="20"/>
      <w:szCs w:val="20"/>
    </w:rPr>
  </w:style>
  <w:style w:type="paragraph" w:styleId="CommentSubject">
    <w:name w:val="annotation subject"/>
    <w:basedOn w:val="CommentText"/>
    <w:next w:val="CommentText"/>
    <w:link w:val="CommentSubjectChar"/>
    <w:uiPriority w:val="99"/>
    <w:semiHidden/>
    <w:unhideWhenUsed/>
    <w:rsid w:val="000D2AB3"/>
    <w:rPr>
      <w:b/>
      <w:bCs/>
    </w:rPr>
  </w:style>
  <w:style w:type="character" w:customStyle="1" w:styleId="CommentSubjectChar">
    <w:name w:val="Comment Subject Char"/>
    <w:basedOn w:val="CommentTextChar"/>
    <w:link w:val="CommentSubject"/>
    <w:uiPriority w:val="99"/>
    <w:semiHidden/>
    <w:rsid w:val="000D2AB3"/>
    <w:rPr>
      <w:b/>
      <w:bCs/>
      <w:sz w:val="20"/>
      <w:szCs w:val="20"/>
    </w:rPr>
  </w:style>
  <w:style w:type="character" w:customStyle="1" w:styleId="BalloonTextChar1">
    <w:name w:val="Balloon Text Char1"/>
    <w:basedOn w:val="DefaultParagraphFont"/>
    <w:link w:val="BalloonText"/>
    <w:uiPriority w:val="99"/>
    <w:semiHidden/>
    <w:rsid w:val="000D2AB3"/>
    <w:rPr>
      <w:rFonts w:ascii="Tahoma" w:hAnsi="Tahoma" w:cs="Tahoma"/>
      <w:sz w:val="16"/>
      <w:szCs w:val="16"/>
    </w:rPr>
  </w:style>
  <w:style w:type="character" w:styleId="Hyperlink">
    <w:name w:val="Hyperlink"/>
    <w:basedOn w:val="DefaultParagraphFont"/>
    <w:uiPriority w:val="99"/>
    <w:unhideWhenUsed/>
    <w:rsid w:val="005069B2"/>
    <w:rPr>
      <w:color w:val="0000FF"/>
      <w:u w:val="single"/>
    </w:rPr>
  </w:style>
  <w:style w:type="paragraph" w:customStyle="1" w:styleId="Default">
    <w:name w:val="Default"/>
    <w:rsid w:val="00DB1CD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E2BC2"/>
    <w:pPr>
      <w:spacing w:after="0" w:line="240" w:lineRule="auto"/>
    </w:pPr>
    <w:rPr>
      <w:rFonts w:ascii="Arial" w:hAnsi="Arial"/>
    </w:rPr>
  </w:style>
  <w:style w:type="character" w:customStyle="1" w:styleId="Heading1Char">
    <w:name w:val="Heading 1 Char"/>
    <w:basedOn w:val="DefaultParagraphFont"/>
    <w:link w:val="Heading1"/>
    <w:uiPriority w:val="9"/>
    <w:rsid w:val="007E127B"/>
    <w:rPr>
      <w:rFonts w:ascii="Arial" w:eastAsiaTheme="majorEastAsia" w:hAnsi="Arial" w:cs="Arial"/>
      <w:b/>
      <w:bCs/>
      <w:sz w:val="28"/>
      <w:szCs w:val="28"/>
      <w:shd w:val="clear" w:color="auto" w:fill="F2F2F2" w:themeFill="background1" w:themeFillShade="F2"/>
    </w:rPr>
  </w:style>
  <w:style w:type="paragraph" w:styleId="TOCHeading">
    <w:name w:val="TOC Heading"/>
    <w:basedOn w:val="Heading1"/>
    <w:next w:val="Normal"/>
    <w:uiPriority w:val="39"/>
    <w:unhideWhenUsed/>
    <w:qFormat/>
    <w:rsid w:val="00004E85"/>
    <w:pPr>
      <w:outlineLvl w:val="9"/>
    </w:pPr>
    <w:rPr>
      <w:lang w:eastAsia="ja-JP"/>
    </w:rPr>
  </w:style>
  <w:style w:type="paragraph" w:styleId="TOC1">
    <w:name w:val="toc 1"/>
    <w:basedOn w:val="Normal"/>
    <w:next w:val="Normal"/>
    <w:autoRedefine/>
    <w:uiPriority w:val="39"/>
    <w:unhideWhenUsed/>
    <w:qFormat/>
    <w:rsid w:val="006B71DE"/>
    <w:pPr>
      <w:tabs>
        <w:tab w:val="left" w:pos="450"/>
        <w:tab w:val="right" w:leader="dot" w:pos="9926"/>
      </w:tabs>
      <w:spacing w:after="100"/>
    </w:pPr>
    <w:rPr>
      <w:rFonts w:ascii="Arial" w:hAnsi="Arial"/>
    </w:rPr>
  </w:style>
  <w:style w:type="paragraph" w:styleId="Revision">
    <w:name w:val="Revision"/>
    <w:hidden/>
    <w:uiPriority w:val="99"/>
    <w:semiHidden/>
    <w:rsid w:val="00E47A81"/>
    <w:pPr>
      <w:spacing w:after="0" w:line="240" w:lineRule="auto"/>
    </w:pPr>
  </w:style>
  <w:style w:type="paragraph" w:styleId="Title">
    <w:name w:val="Title"/>
    <w:basedOn w:val="Normal"/>
    <w:next w:val="Normal"/>
    <w:link w:val="TitleChar"/>
    <w:uiPriority w:val="10"/>
    <w:qFormat/>
    <w:rsid w:val="00C808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0867"/>
    <w:rPr>
      <w:rFonts w:asciiTheme="majorHAnsi" w:eastAsiaTheme="majorEastAsia" w:hAnsiTheme="majorHAnsi" w:cstheme="majorBidi"/>
      <w:color w:val="17365D" w:themeColor="text2" w:themeShade="BF"/>
      <w:spacing w:val="5"/>
      <w:kern w:val="28"/>
      <w:sz w:val="52"/>
      <w:szCs w:val="52"/>
    </w:rPr>
  </w:style>
  <w:style w:type="paragraph" w:styleId="EndnoteText">
    <w:name w:val="endnote text"/>
    <w:basedOn w:val="Normal"/>
    <w:link w:val="EndnoteTextChar"/>
    <w:uiPriority w:val="99"/>
    <w:semiHidden/>
    <w:unhideWhenUsed/>
    <w:rsid w:val="00753B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3B20"/>
    <w:rPr>
      <w:sz w:val="20"/>
      <w:szCs w:val="20"/>
    </w:rPr>
  </w:style>
  <w:style w:type="character" w:styleId="EndnoteReference">
    <w:name w:val="endnote reference"/>
    <w:basedOn w:val="DefaultParagraphFont"/>
    <w:uiPriority w:val="99"/>
    <w:semiHidden/>
    <w:unhideWhenUsed/>
    <w:rsid w:val="00753B20"/>
    <w:rPr>
      <w:vertAlign w:val="superscript"/>
    </w:rPr>
  </w:style>
  <w:style w:type="paragraph" w:styleId="FootnoteText">
    <w:name w:val="footnote text"/>
    <w:basedOn w:val="Normal"/>
    <w:link w:val="FootnoteTextChar"/>
    <w:uiPriority w:val="99"/>
    <w:semiHidden/>
    <w:unhideWhenUsed/>
    <w:rsid w:val="00753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B20"/>
    <w:rPr>
      <w:sz w:val="20"/>
      <w:szCs w:val="20"/>
    </w:rPr>
  </w:style>
  <w:style w:type="character" w:styleId="FootnoteReference">
    <w:name w:val="footnote reference"/>
    <w:basedOn w:val="DefaultParagraphFont"/>
    <w:uiPriority w:val="99"/>
    <w:semiHidden/>
    <w:unhideWhenUsed/>
    <w:rsid w:val="00753B20"/>
    <w:rPr>
      <w:vertAlign w:val="superscript"/>
    </w:rPr>
  </w:style>
  <w:style w:type="paragraph" w:customStyle="1" w:styleId="BulletListMultipleLast">
    <w:name w:val="Bullet List Multiple Last"/>
    <w:next w:val="Normal"/>
    <w:rsid w:val="00115508"/>
    <w:pPr>
      <w:numPr>
        <w:numId w:val="3"/>
      </w:numPr>
      <w:spacing w:before="80" w:after="28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E7604"/>
    <w:rPr>
      <w:rFonts w:ascii="Gill Sans MT" w:hAnsi="Gill Sans MT" w:cs="Arial"/>
      <w:b/>
      <w:color w:val="1F497D" w:themeColor="text2"/>
      <w:sz w:val="28"/>
      <w:szCs w:val="28"/>
    </w:rPr>
  </w:style>
  <w:style w:type="table" w:customStyle="1" w:styleId="MediumShading11">
    <w:name w:val="Medium Shading 11"/>
    <w:basedOn w:val="TableNormal"/>
    <w:next w:val="MediumShading12"/>
    <w:uiPriority w:val="63"/>
    <w:rsid w:val="006836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2">
    <w:name w:val="Medium Shading 12"/>
    <w:basedOn w:val="TableNormal"/>
    <w:uiPriority w:val="63"/>
    <w:rsid w:val="006836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9E7604"/>
    <w:rPr>
      <w:rFonts w:asciiTheme="majorHAnsi" w:eastAsiaTheme="majorEastAsia" w:hAnsiTheme="majorHAnsi" w:cstheme="majorBidi"/>
      <w:b/>
      <w:i/>
      <w:iCs/>
      <w:color w:val="1F497D" w:themeColor="text2"/>
      <w:spacing w:val="15"/>
      <w:sz w:val="24"/>
      <w:szCs w:val="24"/>
    </w:rPr>
  </w:style>
  <w:style w:type="paragraph" w:styleId="TOC2">
    <w:name w:val="toc 2"/>
    <w:basedOn w:val="Normal"/>
    <w:next w:val="Normal"/>
    <w:autoRedefine/>
    <w:uiPriority w:val="39"/>
    <w:unhideWhenUsed/>
    <w:qFormat/>
    <w:rsid w:val="002A2A1D"/>
    <w:pPr>
      <w:spacing w:after="100"/>
      <w:ind w:left="220"/>
    </w:pPr>
  </w:style>
  <w:style w:type="paragraph" w:styleId="TOC3">
    <w:name w:val="toc 3"/>
    <w:basedOn w:val="Normal"/>
    <w:next w:val="Normal"/>
    <w:autoRedefine/>
    <w:uiPriority w:val="39"/>
    <w:unhideWhenUsed/>
    <w:qFormat/>
    <w:rsid w:val="002A2A1D"/>
    <w:pPr>
      <w:spacing w:after="100"/>
      <w:ind w:left="440"/>
    </w:pPr>
  </w:style>
  <w:style w:type="paragraph" w:styleId="TOC4">
    <w:name w:val="toc 4"/>
    <w:basedOn w:val="Normal"/>
    <w:next w:val="Normal"/>
    <w:autoRedefine/>
    <w:uiPriority w:val="39"/>
    <w:unhideWhenUsed/>
    <w:rsid w:val="002A2A1D"/>
    <w:pPr>
      <w:spacing w:after="100"/>
      <w:ind w:left="660"/>
    </w:pPr>
    <w:rPr>
      <w:rFonts w:eastAsiaTheme="minorEastAsia"/>
    </w:rPr>
  </w:style>
  <w:style w:type="paragraph" w:styleId="TOC5">
    <w:name w:val="toc 5"/>
    <w:basedOn w:val="Normal"/>
    <w:next w:val="Normal"/>
    <w:autoRedefine/>
    <w:uiPriority w:val="39"/>
    <w:unhideWhenUsed/>
    <w:rsid w:val="002A2A1D"/>
    <w:pPr>
      <w:spacing w:after="100"/>
      <w:ind w:left="880"/>
    </w:pPr>
    <w:rPr>
      <w:rFonts w:eastAsiaTheme="minorEastAsia"/>
    </w:rPr>
  </w:style>
  <w:style w:type="paragraph" w:styleId="TOC6">
    <w:name w:val="toc 6"/>
    <w:basedOn w:val="Normal"/>
    <w:next w:val="Normal"/>
    <w:autoRedefine/>
    <w:uiPriority w:val="39"/>
    <w:unhideWhenUsed/>
    <w:rsid w:val="002A2A1D"/>
    <w:pPr>
      <w:spacing w:after="100"/>
      <w:ind w:left="1100"/>
    </w:pPr>
    <w:rPr>
      <w:rFonts w:eastAsiaTheme="minorEastAsia"/>
    </w:rPr>
  </w:style>
  <w:style w:type="paragraph" w:styleId="TOC7">
    <w:name w:val="toc 7"/>
    <w:basedOn w:val="Normal"/>
    <w:next w:val="Normal"/>
    <w:autoRedefine/>
    <w:uiPriority w:val="39"/>
    <w:unhideWhenUsed/>
    <w:rsid w:val="002A2A1D"/>
    <w:pPr>
      <w:spacing w:after="100"/>
      <w:ind w:left="1320"/>
    </w:pPr>
    <w:rPr>
      <w:rFonts w:eastAsiaTheme="minorEastAsia"/>
    </w:rPr>
  </w:style>
  <w:style w:type="paragraph" w:styleId="TOC8">
    <w:name w:val="toc 8"/>
    <w:basedOn w:val="Normal"/>
    <w:next w:val="Normal"/>
    <w:autoRedefine/>
    <w:uiPriority w:val="39"/>
    <w:unhideWhenUsed/>
    <w:rsid w:val="002A2A1D"/>
    <w:pPr>
      <w:spacing w:after="100"/>
      <w:ind w:left="1540"/>
    </w:pPr>
    <w:rPr>
      <w:rFonts w:eastAsiaTheme="minorEastAsia"/>
    </w:rPr>
  </w:style>
  <w:style w:type="paragraph" w:styleId="TOC9">
    <w:name w:val="toc 9"/>
    <w:basedOn w:val="Normal"/>
    <w:next w:val="Normal"/>
    <w:autoRedefine/>
    <w:uiPriority w:val="39"/>
    <w:unhideWhenUsed/>
    <w:rsid w:val="002A2A1D"/>
    <w:pPr>
      <w:spacing w:after="100"/>
      <w:ind w:left="1760"/>
    </w:pPr>
    <w:rPr>
      <w:rFonts w:eastAsiaTheme="minorEastAsia"/>
    </w:rPr>
  </w:style>
  <w:style w:type="paragraph" w:styleId="Caption">
    <w:name w:val="caption"/>
    <w:basedOn w:val="Normal"/>
    <w:next w:val="Normal"/>
    <w:uiPriority w:val="35"/>
    <w:unhideWhenUsed/>
    <w:qFormat/>
    <w:rsid w:val="00CD3800"/>
    <w:pPr>
      <w:spacing w:line="240" w:lineRule="auto"/>
    </w:pPr>
    <w:rPr>
      <w:b/>
      <w:bCs/>
      <w:color w:val="4F81BD" w:themeColor="accent1"/>
      <w:sz w:val="18"/>
      <w:szCs w:val="18"/>
    </w:rPr>
  </w:style>
  <w:style w:type="numbering" w:customStyle="1" w:styleId="Style1">
    <w:name w:val="Style1"/>
    <w:uiPriority w:val="99"/>
    <w:rsid w:val="00CA7A91"/>
    <w:pPr>
      <w:numPr>
        <w:numId w:val="9"/>
      </w:numPr>
    </w:pPr>
  </w:style>
  <w:style w:type="numbering" w:customStyle="1" w:styleId="Style2">
    <w:name w:val="Style2"/>
    <w:uiPriority w:val="99"/>
    <w:rsid w:val="00CA7A91"/>
    <w:pPr>
      <w:numPr>
        <w:numId w:val="10"/>
      </w:numPr>
    </w:pPr>
  </w:style>
  <w:style w:type="numbering" w:customStyle="1" w:styleId="Style3">
    <w:name w:val="Style3"/>
    <w:uiPriority w:val="99"/>
    <w:rsid w:val="00825732"/>
    <w:pPr>
      <w:numPr>
        <w:numId w:val="11"/>
      </w:numPr>
    </w:pPr>
  </w:style>
  <w:style w:type="character" w:styleId="IntenseEmphasis">
    <w:name w:val="Intense Emphasis"/>
    <w:uiPriority w:val="21"/>
    <w:qFormat/>
    <w:rsid w:val="00D246D6"/>
    <w:rPr>
      <w:rFonts w:ascii="Arial" w:hAnsi="Arial" w:cs="Arial"/>
    </w:rPr>
  </w:style>
  <w:style w:type="character" w:styleId="Emphasis">
    <w:name w:val="Emphasis"/>
    <w:basedOn w:val="IntenseEmphasis"/>
    <w:uiPriority w:val="20"/>
    <w:qFormat/>
    <w:rsid w:val="004C569D"/>
    <w:rPr>
      <w:rFonts w:ascii="Arial" w:hAnsi="Arial" w:cs="Arial"/>
    </w:rPr>
  </w:style>
  <w:style w:type="paragraph" w:customStyle="1" w:styleId="Bodywithspecialindent">
    <w:name w:val="Body with special indent"/>
    <w:basedOn w:val="Normal"/>
    <w:link w:val="BodywithspecialindentChar"/>
    <w:qFormat/>
    <w:rsid w:val="0024647D"/>
    <w:pPr>
      <w:spacing w:after="240" w:line="240" w:lineRule="auto"/>
      <w:ind w:left="518" w:hanging="518"/>
    </w:pPr>
    <w:rPr>
      <w:rFonts w:ascii="Arial" w:hAnsi="Arial"/>
    </w:rPr>
  </w:style>
  <w:style w:type="character" w:customStyle="1" w:styleId="BodywithspecialindentChar">
    <w:name w:val="Body with special indent Char"/>
    <w:basedOn w:val="DefaultParagraphFont"/>
    <w:link w:val="Bodywithspecialindent"/>
    <w:rsid w:val="0024647D"/>
    <w:rPr>
      <w:rFonts w:ascii="Arial" w:hAnsi="Arial"/>
    </w:rPr>
  </w:style>
  <w:style w:type="character" w:customStyle="1" w:styleId="Heading4Char">
    <w:name w:val="Heading 4 Char"/>
    <w:basedOn w:val="DefaultParagraphFont"/>
    <w:link w:val="Heading4"/>
    <w:uiPriority w:val="9"/>
    <w:rsid w:val="0071654E"/>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7165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654E"/>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FE31C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2805B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style-span">
    <w:name w:val="apple-style-span"/>
    <w:basedOn w:val="DefaultParagraphFont"/>
    <w:rsid w:val="00011983"/>
  </w:style>
  <w:style w:type="paragraph" w:customStyle="1" w:styleId="bodywithspecialindent0">
    <w:name w:val="bodywithspecialindent"/>
    <w:basedOn w:val="Normal"/>
    <w:rsid w:val="008101D2"/>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791F1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91F1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D"/>
  </w:style>
  <w:style w:type="paragraph" w:styleId="Heading1">
    <w:name w:val="heading 1"/>
    <w:basedOn w:val="Normal"/>
    <w:next w:val="Normal"/>
    <w:link w:val="Heading1Char"/>
    <w:uiPriority w:val="9"/>
    <w:qFormat/>
    <w:rsid w:val="007E127B"/>
    <w:pPr>
      <w:numPr>
        <w:numId w:val="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center"/>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unhideWhenUsed/>
    <w:qFormat/>
    <w:rsid w:val="009E7604"/>
    <w:pPr>
      <w:outlineLvl w:val="1"/>
    </w:pPr>
    <w:rPr>
      <w:rFonts w:ascii="Gill Sans MT" w:hAnsi="Gill Sans MT" w:cs="Arial"/>
      <w:b/>
      <w:color w:val="1F497D" w:themeColor="text2"/>
      <w:sz w:val="28"/>
      <w:szCs w:val="28"/>
    </w:rPr>
  </w:style>
  <w:style w:type="paragraph" w:styleId="Heading3">
    <w:name w:val="heading 3"/>
    <w:basedOn w:val="Subtitle"/>
    <w:next w:val="Normal"/>
    <w:link w:val="Heading3Char"/>
    <w:uiPriority w:val="9"/>
    <w:unhideWhenUsed/>
    <w:qFormat/>
    <w:rsid w:val="009E7604"/>
    <w:pPr>
      <w:outlineLvl w:val="2"/>
    </w:pPr>
    <w:rPr>
      <w:b/>
      <w:color w:val="1F497D" w:themeColor="text2"/>
    </w:rPr>
  </w:style>
  <w:style w:type="paragraph" w:styleId="Heading4">
    <w:name w:val="heading 4"/>
    <w:basedOn w:val="Normal"/>
    <w:next w:val="Normal"/>
    <w:link w:val="Heading4Char"/>
    <w:uiPriority w:val="9"/>
    <w:unhideWhenUsed/>
    <w:qFormat/>
    <w:rsid w:val="007165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E31C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D2AB3"/>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2C7A5B"/>
    <w:rPr>
      <w:rFonts w:ascii="Lucida Grande" w:hAnsi="Lucida Grande"/>
      <w:sz w:val="18"/>
      <w:szCs w:val="18"/>
    </w:rPr>
  </w:style>
  <w:style w:type="table" w:styleId="TableGrid">
    <w:name w:val="Table Grid"/>
    <w:basedOn w:val="TableNormal"/>
    <w:uiPriority w:val="59"/>
    <w:rsid w:val="00BC3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6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124"/>
  </w:style>
  <w:style w:type="paragraph" w:styleId="Footer">
    <w:name w:val="footer"/>
    <w:basedOn w:val="Normal"/>
    <w:link w:val="FooterChar"/>
    <w:uiPriority w:val="99"/>
    <w:unhideWhenUsed/>
    <w:rsid w:val="009F6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124"/>
  </w:style>
  <w:style w:type="paragraph" w:styleId="ListParagraph">
    <w:name w:val="List Paragraph"/>
    <w:basedOn w:val="Normal"/>
    <w:uiPriority w:val="34"/>
    <w:qFormat/>
    <w:rsid w:val="001C46A6"/>
    <w:pPr>
      <w:ind w:left="720"/>
      <w:contextualSpacing/>
    </w:pPr>
  </w:style>
  <w:style w:type="character" w:styleId="CommentReference">
    <w:name w:val="annotation reference"/>
    <w:basedOn w:val="DefaultParagraphFont"/>
    <w:uiPriority w:val="99"/>
    <w:semiHidden/>
    <w:unhideWhenUsed/>
    <w:rsid w:val="000D2AB3"/>
    <w:rPr>
      <w:sz w:val="16"/>
      <w:szCs w:val="16"/>
    </w:rPr>
  </w:style>
  <w:style w:type="paragraph" w:styleId="CommentText">
    <w:name w:val="annotation text"/>
    <w:basedOn w:val="Normal"/>
    <w:link w:val="CommentTextChar"/>
    <w:uiPriority w:val="99"/>
    <w:unhideWhenUsed/>
    <w:rsid w:val="000D2AB3"/>
    <w:pPr>
      <w:spacing w:line="240" w:lineRule="auto"/>
    </w:pPr>
    <w:rPr>
      <w:sz w:val="20"/>
      <w:szCs w:val="20"/>
    </w:rPr>
  </w:style>
  <w:style w:type="character" w:customStyle="1" w:styleId="CommentTextChar">
    <w:name w:val="Comment Text Char"/>
    <w:basedOn w:val="DefaultParagraphFont"/>
    <w:link w:val="CommentText"/>
    <w:uiPriority w:val="99"/>
    <w:rsid w:val="000D2AB3"/>
    <w:rPr>
      <w:sz w:val="20"/>
      <w:szCs w:val="20"/>
    </w:rPr>
  </w:style>
  <w:style w:type="paragraph" w:styleId="CommentSubject">
    <w:name w:val="annotation subject"/>
    <w:basedOn w:val="CommentText"/>
    <w:next w:val="CommentText"/>
    <w:link w:val="CommentSubjectChar"/>
    <w:uiPriority w:val="99"/>
    <w:semiHidden/>
    <w:unhideWhenUsed/>
    <w:rsid w:val="000D2AB3"/>
    <w:rPr>
      <w:b/>
      <w:bCs/>
    </w:rPr>
  </w:style>
  <w:style w:type="character" w:customStyle="1" w:styleId="CommentSubjectChar">
    <w:name w:val="Comment Subject Char"/>
    <w:basedOn w:val="CommentTextChar"/>
    <w:link w:val="CommentSubject"/>
    <w:uiPriority w:val="99"/>
    <w:semiHidden/>
    <w:rsid w:val="000D2AB3"/>
    <w:rPr>
      <w:b/>
      <w:bCs/>
      <w:sz w:val="20"/>
      <w:szCs w:val="20"/>
    </w:rPr>
  </w:style>
  <w:style w:type="character" w:customStyle="1" w:styleId="BalloonTextChar1">
    <w:name w:val="Balloon Text Char1"/>
    <w:basedOn w:val="DefaultParagraphFont"/>
    <w:link w:val="BalloonText"/>
    <w:uiPriority w:val="99"/>
    <w:semiHidden/>
    <w:rsid w:val="000D2AB3"/>
    <w:rPr>
      <w:rFonts w:ascii="Tahoma" w:hAnsi="Tahoma" w:cs="Tahoma"/>
      <w:sz w:val="16"/>
      <w:szCs w:val="16"/>
    </w:rPr>
  </w:style>
  <w:style w:type="character" w:styleId="Hyperlink">
    <w:name w:val="Hyperlink"/>
    <w:basedOn w:val="DefaultParagraphFont"/>
    <w:uiPriority w:val="99"/>
    <w:unhideWhenUsed/>
    <w:rsid w:val="005069B2"/>
    <w:rPr>
      <w:color w:val="0000FF"/>
      <w:u w:val="single"/>
    </w:rPr>
  </w:style>
  <w:style w:type="paragraph" w:customStyle="1" w:styleId="Default">
    <w:name w:val="Default"/>
    <w:rsid w:val="00DB1CD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E2BC2"/>
    <w:pPr>
      <w:spacing w:after="0" w:line="240" w:lineRule="auto"/>
    </w:pPr>
    <w:rPr>
      <w:rFonts w:ascii="Arial" w:hAnsi="Arial"/>
    </w:rPr>
  </w:style>
  <w:style w:type="character" w:customStyle="1" w:styleId="Heading1Char">
    <w:name w:val="Heading 1 Char"/>
    <w:basedOn w:val="DefaultParagraphFont"/>
    <w:link w:val="Heading1"/>
    <w:uiPriority w:val="9"/>
    <w:rsid w:val="007E127B"/>
    <w:rPr>
      <w:rFonts w:ascii="Arial" w:eastAsiaTheme="majorEastAsia" w:hAnsi="Arial" w:cs="Arial"/>
      <w:b/>
      <w:bCs/>
      <w:sz w:val="28"/>
      <w:szCs w:val="28"/>
      <w:shd w:val="clear" w:color="auto" w:fill="F2F2F2" w:themeFill="background1" w:themeFillShade="F2"/>
    </w:rPr>
  </w:style>
  <w:style w:type="paragraph" w:styleId="TOCHeading">
    <w:name w:val="TOC Heading"/>
    <w:basedOn w:val="Heading1"/>
    <w:next w:val="Normal"/>
    <w:uiPriority w:val="39"/>
    <w:unhideWhenUsed/>
    <w:qFormat/>
    <w:rsid w:val="00004E85"/>
    <w:pPr>
      <w:outlineLvl w:val="9"/>
    </w:pPr>
    <w:rPr>
      <w:lang w:eastAsia="ja-JP"/>
    </w:rPr>
  </w:style>
  <w:style w:type="paragraph" w:styleId="TOC1">
    <w:name w:val="toc 1"/>
    <w:basedOn w:val="Normal"/>
    <w:next w:val="Normal"/>
    <w:autoRedefine/>
    <w:uiPriority w:val="39"/>
    <w:unhideWhenUsed/>
    <w:qFormat/>
    <w:rsid w:val="006B71DE"/>
    <w:pPr>
      <w:tabs>
        <w:tab w:val="left" w:pos="450"/>
        <w:tab w:val="right" w:leader="dot" w:pos="9926"/>
      </w:tabs>
      <w:spacing w:after="100"/>
    </w:pPr>
    <w:rPr>
      <w:rFonts w:ascii="Arial" w:hAnsi="Arial"/>
    </w:rPr>
  </w:style>
  <w:style w:type="paragraph" w:styleId="Revision">
    <w:name w:val="Revision"/>
    <w:hidden/>
    <w:uiPriority w:val="99"/>
    <w:semiHidden/>
    <w:rsid w:val="00E47A81"/>
    <w:pPr>
      <w:spacing w:after="0" w:line="240" w:lineRule="auto"/>
    </w:pPr>
  </w:style>
  <w:style w:type="paragraph" w:styleId="Title">
    <w:name w:val="Title"/>
    <w:basedOn w:val="Normal"/>
    <w:next w:val="Normal"/>
    <w:link w:val="TitleChar"/>
    <w:uiPriority w:val="10"/>
    <w:qFormat/>
    <w:rsid w:val="00C808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0867"/>
    <w:rPr>
      <w:rFonts w:asciiTheme="majorHAnsi" w:eastAsiaTheme="majorEastAsia" w:hAnsiTheme="majorHAnsi" w:cstheme="majorBidi"/>
      <w:color w:val="17365D" w:themeColor="text2" w:themeShade="BF"/>
      <w:spacing w:val="5"/>
      <w:kern w:val="28"/>
      <w:sz w:val="52"/>
      <w:szCs w:val="52"/>
    </w:rPr>
  </w:style>
  <w:style w:type="paragraph" w:styleId="EndnoteText">
    <w:name w:val="endnote text"/>
    <w:basedOn w:val="Normal"/>
    <w:link w:val="EndnoteTextChar"/>
    <w:uiPriority w:val="99"/>
    <w:semiHidden/>
    <w:unhideWhenUsed/>
    <w:rsid w:val="00753B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3B20"/>
    <w:rPr>
      <w:sz w:val="20"/>
      <w:szCs w:val="20"/>
    </w:rPr>
  </w:style>
  <w:style w:type="character" w:styleId="EndnoteReference">
    <w:name w:val="endnote reference"/>
    <w:basedOn w:val="DefaultParagraphFont"/>
    <w:uiPriority w:val="99"/>
    <w:semiHidden/>
    <w:unhideWhenUsed/>
    <w:rsid w:val="00753B20"/>
    <w:rPr>
      <w:vertAlign w:val="superscript"/>
    </w:rPr>
  </w:style>
  <w:style w:type="paragraph" w:styleId="FootnoteText">
    <w:name w:val="footnote text"/>
    <w:basedOn w:val="Normal"/>
    <w:link w:val="FootnoteTextChar"/>
    <w:uiPriority w:val="99"/>
    <w:semiHidden/>
    <w:unhideWhenUsed/>
    <w:rsid w:val="00753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B20"/>
    <w:rPr>
      <w:sz w:val="20"/>
      <w:szCs w:val="20"/>
    </w:rPr>
  </w:style>
  <w:style w:type="character" w:styleId="FootnoteReference">
    <w:name w:val="footnote reference"/>
    <w:basedOn w:val="DefaultParagraphFont"/>
    <w:uiPriority w:val="99"/>
    <w:semiHidden/>
    <w:unhideWhenUsed/>
    <w:rsid w:val="00753B20"/>
    <w:rPr>
      <w:vertAlign w:val="superscript"/>
    </w:rPr>
  </w:style>
  <w:style w:type="paragraph" w:customStyle="1" w:styleId="BulletListMultipleLast">
    <w:name w:val="Bullet List Multiple Last"/>
    <w:next w:val="Normal"/>
    <w:rsid w:val="00115508"/>
    <w:pPr>
      <w:numPr>
        <w:numId w:val="3"/>
      </w:numPr>
      <w:spacing w:before="80" w:after="28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E7604"/>
    <w:rPr>
      <w:rFonts w:ascii="Gill Sans MT" w:hAnsi="Gill Sans MT" w:cs="Arial"/>
      <w:b/>
      <w:color w:val="1F497D" w:themeColor="text2"/>
      <w:sz w:val="28"/>
      <w:szCs w:val="28"/>
    </w:rPr>
  </w:style>
  <w:style w:type="table" w:customStyle="1" w:styleId="MediumShading11">
    <w:name w:val="Medium Shading 11"/>
    <w:basedOn w:val="TableNormal"/>
    <w:next w:val="MediumShading12"/>
    <w:uiPriority w:val="63"/>
    <w:rsid w:val="006836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2">
    <w:name w:val="Medium Shading 12"/>
    <w:basedOn w:val="TableNormal"/>
    <w:uiPriority w:val="63"/>
    <w:rsid w:val="006836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9E7604"/>
    <w:rPr>
      <w:rFonts w:asciiTheme="majorHAnsi" w:eastAsiaTheme="majorEastAsia" w:hAnsiTheme="majorHAnsi" w:cstheme="majorBidi"/>
      <w:b/>
      <w:i/>
      <w:iCs/>
      <w:color w:val="1F497D" w:themeColor="text2"/>
      <w:spacing w:val="15"/>
      <w:sz w:val="24"/>
      <w:szCs w:val="24"/>
    </w:rPr>
  </w:style>
  <w:style w:type="paragraph" w:styleId="TOC2">
    <w:name w:val="toc 2"/>
    <w:basedOn w:val="Normal"/>
    <w:next w:val="Normal"/>
    <w:autoRedefine/>
    <w:uiPriority w:val="39"/>
    <w:unhideWhenUsed/>
    <w:qFormat/>
    <w:rsid w:val="002A2A1D"/>
    <w:pPr>
      <w:spacing w:after="100"/>
      <w:ind w:left="220"/>
    </w:pPr>
  </w:style>
  <w:style w:type="paragraph" w:styleId="TOC3">
    <w:name w:val="toc 3"/>
    <w:basedOn w:val="Normal"/>
    <w:next w:val="Normal"/>
    <w:autoRedefine/>
    <w:uiPriority w:val="39"/>
    <w:unhideWhenUsed/>
    <w:qFormat/>
    <w:rsid w:val="002A2A1D"/>
    <w:pPr>
      <w:spacing w:after="100"/>
      <w:ind w:left="440"/>
    </w:pPr>
  </w:style>
  <w:style w:type="paragraph" w:styleId="TOC4">
    <w:name w:val="toc 4"/>
    <w:basedOn w:val="Normal"/>
    <w:next w:val="Normal"/>
    <w:autoRedefine/>
    <w:uiPriority w:val="39"/>
    <w:unhideWhenUsed/>
    <w:rsid w:val="002A2A1D"/>
    <w:pPr>
      <w:spacing w:after="100"/>
      <w:ind w:left="660"/>
    </w:pPr>
    <w:rPr>
      <w:rFonts w:eastAsiaTheme="minorEastAsia"/>
    </w:rPr>
  </w:style>
  <w:style w:type="paragraph" w:styleId="TOC5">
    <w:name w:val="toc 5"/>
    <w:basedOn w:val="Normal"/>
    <w:next w:val="Normal"/>
    <w:autoRedefine/>
    <w:uiPriority w:val="39"/>
    <w:unhideWhenUsed/>
    <w:rsid w:val="002A2A1D"/>
    <w:pPr>
      <w:spacing w:after="100"/>
      <w:ind w:left="880"/>
    </w:pPr>
    <w:rPr>
      <w:rFonts w:eastAsiaTheme="minorEastAsia"/>
    </w:rPr>
  </w:style>
  <w:style w:type="paragraph" w:styleId="TOC6">
    <w:name w:val="toc 6"/>
    <w:basedOn w:val="Normal"/>
    <w:next w:val="Normal"/>
    <w:autoRedefine/>
    <w:uiPriority w:val="39"/>
    <w:unhideWhenUsed/>
    <w:rsid w:val="002A2A1D"/>
    <w:pPr>
      <w:spacing w:after="100"/>
      <w:ind w:left="1100"/>
    </w:pPr>
    <w:rPr>
      <w:rFonts w:eastAsiaTheme="minorEastAsia"/>
    </w:rPr>
  </w:style>
  <w:style w:type="paragraph" w:styleId="TOC7">
    <w:name w:val="toc 7"/>
    <w:basedOn w:val="Normal"/>
    <w:next w:val="Normal"/>
    <w:autoRedefine/>
    <w:uiPriority w:val="39"/>
    <w:unhideWhenUsed/>
    <w:rsid w:val="002A2A1D"/>
    <w:pPr>
      <w:spacing w:after="100"/>
      <w:ind w:left="1320"/>
    </w:pPr>
    <w:rPr>
      <w:rFonts w:eastAsiaTheme="minorEastAsia"/>
    </w:rPr>
  </w:style>
  <w:style w:type="paragraph" w:styleId="TOC8">
    <w:name w:val="toc 8"/>
    <w:basedOn w:val="Normal"/>
    <w:next w:val="Normal"/>
    <w:autoRedefine/>
    <w:uiPriority w:val="39"/>
    <w:unhideWhenUsed/>
    <w:rsid w:val="002A2A1D"/>
    <w:pPr>
      <w:spacing w:after="100"/>
      <w:ind w:left="1540"/>
    </w:pPr>
    <w:rPr>
      <w:rFonts w:eastAsiaTheme="minorEastAsia"/>
    </w:rPr>
  </w:style>
  <w:style w:type="paragraph" w:styleId="TOC9">
    <w:name w:val="toc 9"/>
    <w:basedOn w:val="Normal"/>
    <w:next w:val="Normal"/>
    <w:autoRedefine/>
    <w:uiPriority w:val="39"/>
    <w:unhideWhenUsed/>
    <w:rsid w:val="002A2A1D"/>
    <w:pPr>
      <w:spacing w:after="100"/>
      <w:ind w:left="1760"/>
    </w:pPr>
    <w:rPr>
      <w:rFonts w:eastAsiaTheme="minorEastAsia"/>
    </w:rPr>
  </w:style>
  <w:style w:type="paragraph" w:styleId="Caption">
    <w:name w:val="caption"/>
    <w:basedOn w:val="Normal"/>
    <w:next w:val="Normal"/>
    <w:uiPriority w:val="35"/>
    <w:unhideWhenUsed/>
    <w:qFormat/>
    <w:rsid w:val="00CD3800"/>
    <w:pPr>
      <w:spacing w:line="240" w:lineRule="auto"/>
    </w:pPr>
    <w:rPr>
      <w:b/>
      <w:bCs/>
      <w:color w:val="4F81BD" w:themeColor="accent1"/>
      <w:sz w:val="18"/>
      <w:szCs w:val="18"/>
    </w:rPr>
  </w:style>
  <w:style w:type="numbering" w:customStyle="1" w:styleId="Style1">
    <w:name w:val="Style1"/>
    <w:uiPriority w:val="99"/>
    <w:rsid w:val="00CA7A91"/>
    <w:pPr>
      <w:numPr>
        <w:numId w:val="9"/>
      </w:numPr>
    </w:pPr>
  </w:style>
  <w:style w:type="numbering" w:customStyle="1" w:styleId="Style2">
    <w:name w:val="Style2"/>
    <w:uiPriority w:val="99"/>
    <w:rsid w:val="00CA7A91"/>
    <w:pPr>
      <w:numPr>
        <w:numId w:val="10"/>
      </w:numPr>
    </w:pPr>
  </w:style>
  <w:style w:type="numbering" w:customStyle="1" w:styleId="Style3">
    <w:name w:val="Style3"/>
    <w:uiPriority w:val="99"/>
    <w:rsid w:val="00825732"/>
    <w:pPr>
      <w:numPr>
        <w:numId w:val="11"/>
      </w:numPr>
    </w:pPr>
  </w:style>
  <w:style w:type="character" w:styleId="IntenseEmphasis">
    <w:name w:val="Intense Emphasis"/>
    <w:uiPriority w:val="21"/>
    <w:qFormat/>
    <w:rsid w:val="00D246D6"/>
    <w:rPr>
      <w:rFonts w:ascii="Arial" w:hAnsi="Arial" w:cs="Arial"/>
    </w:rPr>
  </w:style>
  <w:style w:type="character" w:styleId="Emphasis">
    <w:name w:val="Emphasis"/>
    <w:basedOn w:val="IntenseEmphasis"/>
    <w:uiPriority w:val="20"/>
    <w:qFormat/>
    <w:rsid w:val="004C569D"/>
    <w:rPr>
      <w:rFonts w:ascii="Arial" w:hAnsi="Arial" w:cs="Arial"/>
    </w:rPr>
  </w:style>
  <w:style w:type="paragraph" w:customStyle="1" w:styleId="Bodywithspecialindent">
    <w:name w:val="Body with special indent"/>
    <w:basedOn w:val="Normal"/>
    <w:link w:val="BodywithspecialindentChar"/>
    <w:qFormat/>
    <w:rsid w:val="0024647D"/>
    <w:pPr>
      <w:spacing w:after="240" w:line="240" w:lineRule="auto"/>
      <w:ind w:left="518" w:hanging="518"/>
    </w:pPr>
    <w:rPr>
      <w:rFonts w:ascii="Arial" w:hAnsi="Arial"/>
    </w:rPr>
  </w:style>
  <w:style w:type="character" w:customStyle="1" w:styleId="BodywithspecialindentChar">
    <w:name w:val="Body with special indent Char"/>
    <w:basedOn w:val="DefaultParagraphFont"/>
    <w:link w:val="Bodywithspecialindent"/>
    <w:rsid w:val="0024647D"/>
    <w:rPr>
      <w:rFonts w:ascii="Arial" w:hAnsi="Arial"/>
    </w:rPr>
  </w:style>
  <w:style w:type="character" w:customStyle="1" w:styleId="Heading4Char">
    <w:name w:val="Heading 4 Char"/>
    <w:basedOn w:val="DefaultParagraphFont"/>
    <w:link w:val="Heading4"/>
    <w:uiPriority w:val="9"/>
    <w:rsid w:val="0071654E"/>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7165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654E"/>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FE31C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2805B2"/>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style-span">
    <w:name w:val="apple-style-span"/>
    <w:basedOn w:val="DefaultParagraphFont"/>
    <w:rsid w:val="00011983"/>
  </w:style>
  <w:style w:type="paragraph" w:customStyle="1" w:styleId="bodywithspecialindent0">
    <w:name w:val="bodywithspecialindent"/>
    <w:basedOn w:val="Normal"/>
    <w:rsid w:val="008101D2"/>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791F1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91F1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595">
      <w:bodyDiv w:val="1"/>
      <w:marLeft w:val="0"/>
      <w:marRight w:val="0"/>
      <w:marTop w:val="0"/>
      <w:marBottom w:val="0"/>
      <w:divBdr>
        <w:top w:val="none" w:sz="0" w:space="0" w:color="auto"/>
        <w:left w:val="none" w:sz="0" w:space="0" w:color="auto"/>
        <w:bottom w:val="none" w:sz="0" w:space="0" w:color="auto"/>
        <w:right w:val="none" w:sz="0" w:space="0" w:color="auto"/>
      </w:divBdr>
    </w:div>
    <w:div w:id="11536169">
      <w:bodyDiv w:val="1"/>
      <w:marLeft w:val="0"/>
      <w:marRight w:val="0"/>
      <w:marTop w:val="0"/>
      <w:marBottom w:val="0"/>
      <w:divBdr>
        <w:top w:val="none" w:sz="0" w:space="0" w:color="auto"/>
        <w:left w:val="none" w:sz="0" w:space="0" w:color="auto"/>
        <w:bottom w:val="none" w:sz="0" w:space="0" w:color="auto"/>
        <w:right w:val="none" w:sz="0" w:space="0" w:color="auto"/>
      </w:divBdr>
    </w:div>
    <w:div w:id="67073400">
      <w:bodyDiv w:val="1"/>
      <w:marLeft w:val="0"/>
      <w:marRight w:val="0"/>
      <w:marTop w:val="0"/>
      <w:marBottom w:val="0"/>
      <w:divBdr>
        <w:top w:val="none" w:sz="0" w:space="0" w:color="auto"/>
        <w:left w:val="none" w:sz="0" w:space="0" w:color="auto"/>
        <w:bottom w:val="none" w:sz="0" w:space="0" w:color="auto"/>
        <w:right w:val="none" w:sz="0" w:space="0" w:color="auto"/>
      </w:divBdr>
    </w:div>
    <w:div w:id="76748930">
      <w:bodyDiv w:val="1"/>
      <w:marLeft w:val="0"/>
      <w:marRight w:val="0"/>
      <w:marTop w:val="0"/>
      <w:marBottom w:val="0"/>
      <w:divBdr>
        <w:top w:val="none" w:sz="0" w:space="0" w:color="auto"/>
        <w:left w:val="none" w:sz="0" w:space="0" w:color="auto"/>
        <w:bottom w:val="none" w:sz="0" w:space="0" w:color="auto"/>
        <w:right w:val="none" w:sz="0" w:space="0" w:color="auto"/>
      </w:divBdr>
    </w:div>
    <w:div w:id="122768642">
      <w:bodyDiv w:val="1"/>
      <w:marLeft w:val="0"/>
      <w:marRight w:val="0"/>
      <w:marTop w:val="0"/>
      <w:marBottom w:val="0"/>
      <w:divBdr>
        <w:top w:val="none" w:sz="0" w:space="0" w:color="auto"/>
        <w:left w:val="none" w:sz="0" w:space="0" w:color="auto"/>
        <w:bottom w:val="none" w:sz="0" w:space="0" w:color="auto"/>
        <w:right w:val="none" w:sz="0" w:space="0" w:color="auto"/>
      </w:divBdr>
    </w:div>
    <w:div w:id="164757809">
      <w:bodyDiv w:val="1"/>
      <w:marLeft w:val="0"/>
      <w:marRight w:val="0"/>
      <w:marTop w:val="0"/>
      <w:marBottom w:val="0"/>
      <w:divBdr>
        <w:top w:val="none" w:sz="0" w:space="0" w:color="auto"/>
        <w:left w:val="none" w:sz="0" w:space="0" w:color="auto"/>
        <w:bottom w:val="none" w:sz="0" w:space="0" w:color="auto"/>
        <w:right w:val="none" w:sz="0" w:space="0" w:color="auto"/>
      </w:divBdr>
    </w:div>
    <w:div w:id="174852149">
      <w:bodyDiv w:val="1"/>
      <w:marLeft w:val="0"/>
      <w:marRight w:val="0"/>
      <w:marTop w:val="0"/>
      <w:marBottom w:val="0"/>
      <w:divBdr>
        <w:top w:val="none" w:sz="0" w:space="0" w:color="auto"/>
        <w:left w:val="none" w:sz="0" w:space="0" w:color="auto"/>
        <w:bottom w:val="none" w:sz="0" w:space="0" w:color="auto"/>
        <w:right w:val="none" w:sz="0" w:space="0" w:color="auto"/>
      </w:divBdr>
    </w:div>
    <w:div w:id="223026110">
      <w:bodyDiv w:val="1"/>
      <w:marLeft w:val="0"/>
      <w:marRight w:val="0"/>
      <w:marTop w:val="0"/>
      <w:marBottom w:val="0"/>
      <w:divBdr>
        <w:top w:val="none" w:sz="0" w:space="0" w:color="auto"/>
        <w:left w:val="none" w:sz="0" w:space="0" w:color="auto"/>
        <w:bottom w:val="none" w:sz="0" w:space="0" w:color="auto"/>
        <w:right w:val="none" w:sz="0" w:space="0" w:color="auto"/>
      </w:divBdr>
    </w:div>
    <w:div w:id="266231836">
      <w:bodyDiv w:val="1"/>
      <w:marLeft w:val="0"/>
      <w:marRight w:val="0"/>
      <w:marTop w:val="0"/>
      <w:marBottom w:val="0"/>
      <w:divBdr>
        <w:top w:val="none" w:sz="0" w:space="0" w:color="auto"/>
        <w:left w:val="none" w:sz="0" w:space="0" w:color="auto"/>
        <w:bottom w:val="none" w:sz="0" w:space="0" w:color="auto"/>
        <w:right w:val="none" w:sz="0" w:space="0" w:color="auto"/>
      </w:divBdr>
    </w:div>
    <w:div w:id="276371478">
      <w:bodyDiv w:val="1"/>
      <w:marLeft w:val="0"/>
      <w:marRight w:val="0"/>
      <w:marTop w:val="0"/>
      <w:marBottom w:val="0"/>
      <w:divBdr>
        <w:top w:val="none" w:sz="0" w:space="0" w:color="auto"/>
        <w:left w:val="none" w:sz="0" w:space="0" w:color="auto"/>
        <w:bottom w:val="none" w:sz="0" w:space="0" w:color="auto"/>
        <w:right w:val="none" w:sz="0" w:space="0" w:color="auto"/>
      </w:divBdr>
    </w:div>
    <w:div w:id="334117684">
      <w:bodyDiv w:val="1"/>
      <w:marLeft w:val="0"/>
      <w:marRight w:val="0"/>
      <w:marTop w:val="0"/>
      <w:marBottom w:val="0"/>
      <w:divBdr>
        <w:top w:val="none" w:sz="0" w:space="0" w:color="auto"/>
        <w:left w:val="none" w:sz="0" w:space="0" w:color="auto"/>
        <w:bottom w:val="none" w:sz="0" w:space="0" w:color="auto"/>
        <w:right w:val="none" w:sz="0" w:space="0" w:color="auto"/>
      </w:divBdr>
    </w:div>
    <w:div w:id="363672614">
      <w:bodyDiv w:val="1"/>
      <w:marLeft w:val="0"/>
      <w:marRight w:val="0"/>
      <w:marTop w:val="0"/>
      <w:marBottom w:val="0"/>
      <w:divBdr>
        <w:top w:val="none" w:sz="0" w:space="0" w:color="auto"/>
        <w:left w:val="none" w:sz="0" w:space="0" w:color="auto"/>
        <w:bottom w:val="none" w:sz="0" w:space="0" w:color="auto"/>
        <w:right w:val="none" w:sz="0" w:space="0" w:color="auto"/>
      </w:divBdr>
    </w:div>
    <w:div w:id="445001424">
      <w:bodyDiv w:val="1"/>
      <w:marLeft w:val="0"/>
      <w:marRight w:val="0"/>
      <w:marTop w:val="0"/>
      <w:marBottom w:val="0"/>
      <w:divBdr>
        <w:top w:val="none" w:sz="0" w:space="0" w:color="auto"/>
        <w:left w:val="none" w:sz="0" w:space="0" w:color="auto"/>
        <w:bottom w:val="none" w:sz="0" w:space="0" w:color="auto"/>
        <w:right w:val="none" w:sz="0" w:space="0" w:color="auto"/>
      </w:divBdr>
    </w:div>
    <w:div w:id="457653002">
      <w:bodyDiv w:val="1"/>
      <w:marLeft w:val="0"/>
      <w:marRight w:val="0"/>
      <w:marTop w:val="0"/>
      <w:marBottom w:val="0"/>
      <w:divBdr>
        <w:top w:val="none" w:sz="0" w:space="0" w:color="auto"/>
        <w:left w:val="none" w:sz="0" w:space="0" w:color="auto"/>
        <w:bottom w:val="none" w:sz="0" w:space="0" w:color="auto"/>
        <w:right w:val="none" w:sz="0" w:space="0" w:color="auto"/>
      </w:divBdr>
    </w:div>
    <w:div w:id="467629424">
      <w:bodyDiv w:val="1"/>
      <w:marLeft w:val="0"/>
      <w:marRight w:val="0"/>
      <w:marTop w:val="0"/>
      <w:marBottom w:val="0"/>
      <w:divBdr>
        <w:top w:val="none" w:sz="0" w:space="0" w:color="auto"/>
        <w:left w:val="none" w:sz="0" w:space="0" w:color="auto"/>
        <w:bottom w:val="none" w:sz="0" w:space="0" w:color="auto"/>
        <w:right w:val="none" w:sz="0" w:space="0" w:color="auto"/>
      </w:divBdr>
    </w:div>
    <w:div w:id="470710934">
      <w:bodyDiv w:val="1"/>
      <w:marLeft w:val="0"/>
      <w:marRight w:val="0"/>
      <w:marTop w:val="0"/>
      <w:marBottom w:val="0"/>
      <w:divBdr>
        <w:top w:val="none" w:sz="0" w:space="0" w:color="auto"/>
        <w:left w:val="none" w:sz="0" w:space="0" w:color="auto"/>
        <w:bottom w:val="none" w:sz="0" w:space="0" w:color="auto"/>
        <w:right w:val="none" w:sz="0" w:space="0" w:color="auto"/>
      </w:divBdr>
    </w:div>
    <w:div w:id="554243569">
      <w:bodyDiv w:val="1"/>
      <w:marLeft w:val="0"/>
      <w:marRight w:val="0"/>
      <w:marTop w:val="0"/>
      <w:marBottom w:val="0"/>
      <w:divBdr>
        <w:top w:val="none" w:sz="0" w:space="0" w:color="auto"/>
        <w:left w:val="none" w:sz="0" w:space="0" w:color="auto"/>
        <w:bottom w:val="none" w:sz="0" w:space="0" w:color="auto"/>
        <w:right w:val="none" w:sz="0" w:space="0" w:color="auto"/>
      </w:divBdr>
    </w:div>
    <w:div w:id="567617264">
      <w:bodyDiv w:val="1"/>
      <w:marLeft w:val="0"/>
      <w:marRight w:val="0"/>
      <w:marTop w:val="0"/>
      <w:marBottom w:val="0"/>
      <w:divBdr>
        <w:top w:val="none" w:sz="0" w:space="0" w:color="auto"/>
        <w:left w:val="none" w:sz="0" w:space="0" w:color="auto"/>
        <w:bottom w:val="none" w:sz="0" w:space="0" w:color="auto"/>
        <w:right w:val="none" w:sz="0" w:space="0" w:color="auto"/>
      </w:divBdr>
    </w:div>
    <w:div w:id="586691721">
      <w:bodyDiv w:val="1"/>
      <w:marLeft w:val="0"/>
      <w:marRight w:val="0"/>
      <w:marTop w:val="0"/>
      <w:marBottom w:val="0"/>
      <w:divBdr>
        <w:top w:val="none" w:sz="0" w:space="0" w:color="auto"/>
        <w:left w:val="none" w:sz="0" w:space="0" w:color="auto"/>
        <w:bottom w:val="none" w:sz="0" w:space="0" w:color="auto"/>
        <w:right w:val="none" w:sz="0" w:space="0" w:color="auto"/>
      </w:divBdr>
    </w:div>
    <w:div w:id="588081077">
      <w:bodyDiv w:val="1"/>
      <w:marLeft w:val="0"/>
      <w:marRight w:val="0"/>
      <w:marTop w:val="0"/>
      <w:marBottom w:val="0"/>
      <w:divBdr>
        <w:top w:val="none" w:sz="0" w:space="0" w:color="auto"/>
        <w:left w:val="none" w:sz="0" w:space="0" w:color="auto"/>
        <w:bottom w:val="none" w:sz="0" w:space="0" w:color="auto"/>
        <w:right w:val="none" w:sz="0" w:space="0" w:color="auto"/>
      </w:divBdr>
    </w:div>
    <w:div w:id="591276971">
      <w:bodyDiv w:val="1"/>
      <w:marLeft w:val="0"/>
      <w:marRight w:val="0"/>
      <w:marTop w:val="0"/>
      <w:marBottom w:val="0"/>
      <w:divBdr>
        <w:top w:val="none" w:sz="0" w:space="0" w:color="auto"/>
        <w:left w:val="none" w:sz="0" w:space="0" w:color="auto"/>
        <w:bottom w:val="none" w:sz="0" w:space="0" w:color="auto"/>
        <w:right w:val="none" w:sz="0" w:space="0" w:color="auto"/>
      </w:divBdr>
    </w:div>
    <w:div w:id="624390561">
      <w:bodyDiv w:val="1"/>
      <w:marLeft w:val="0"/>
      <w:marRight w:val="0"/>
      <w:marTop w:val="0"/>
      <w:marBottom w:val="0"/>
      <w:divBdr>
        <w:top w:val="none" w:sz="0" w:space="0" w:color="auto"/>
        <w:left w:val="none" w:sz="0" w:space="0" w:color="auto"/>
        <w:bottom w:val="none" w:sz="0" w:space="0" w:color="auto"/>
        <w:right w:val="none" w:sz="0" w:space="0" w:color="auto"/>
      </w:divBdr>
    </w:div>
    <w:div w:id="742485433">
      <w:bodyDiv w:val="1"/>
      <w:marLeft w:val="0"/>
      <w:marRight w:val="0"/>
      <w:marTop w:val="0"/>
      <w:marBottom w:val="0"/>
      <w:divBdr>
        <w:top w:val="none" w:sz="0" w:space="0" w:color="auto"/>
        <w:left w:val="none" w:sz="0" w:space="0" w:color="auto"/>
        <w:bottom w:val="none" w:sz="0" w:space="0" w:color="auto"/>
        <w:right w:val="none" w:sz="0" w:space="0" w:color="auto"/>
      </w:divBdr>
    </w:div>
    <w:div w:id="754009322">
      <w:bodyDiv w:val="1"/>
      <w:marLeft w:val="0"/>
      <w:marRight w:val="0"/>
      <w:marTop w:val="0"/>
      <w:marBottom w:val="0"/>
      <w:divBdr>
        <w:top w:val="none" w:sz="0" w:space="0" w:color="auto"/>
        <w:left w:val="none" w:sz="0" w:space="0" w:color="auto"/>
        <w:bottom w:val="none" w:sz="0" w:space="0" w:color="auto"/>
        <w:right w:val="none" w:sz="0" w:space="0" w:color="auto"/>
      </w:divBdr>
      <w:divsChild>
        <w:div w:id="27994653">
          <w:marLeft w:val="547"/>
          <w:marRight w:val="0"/>
          <w:marTop w:val="96"/>
          <w:marBottom w:val="0"/>
          <w:divBdr>
            <w:top w:val="none" w:sz="0" w:space="0" w:color="auto"/>
            <w:left w:val="none" w:sz="0" w:space="0" w:color="auto"/>
            <w:bottom w:val="none" w:sz="0" w:space="0" w:color="auto"/>
            <w:right w:val="none" w:sz="0" w:space="0" w:color="auto"/>
          </w:divBdr>
        </w:div>
      </w:divsChild>
    </w:div>
    <w:div w:id="792211711">
      <w:bodyDiv w:val="1"/>
      <w:marLeft w:val="0"/>
      <w:marRight w:val="0"/>
      <w:marTop w:val="0"/>
      <w:marBottom w:val="0"/>
      <w:divBdr>
        <w:top w:val="none" w:sz="0" w:space="0" w:color="auto"/>
        <w:left w:val="none" w:sz="0" w:space="0" w:color="auto"/>
        <w:bottom w:val="none" w:sz="0" w:space="0" w:color="auto"/>
        <w:right w:val="none" w:sz="0" w:space="0" w:color="auto"/>
      </w:divBdr>
    </w:div>
    <w:div w:id="793017150">
      <w:bodyDiv w:val="1"/>
      <w:marLeft w:val="0"/>
      <w:marRight w:val="0"/>
      <w:marTop w:val="0"/>
      <w:marBottom w:val="0"/>
      <w:divBdr>
        <w:top w:val="none" w:sz="0" w:space="0" w:color="auto"/>
        <w:left w:val="none" w:sz="0" w:space="0" w:color="auto"/>
        <w:bottom w:val="none" w:sz="0" w:space="0" w:color="auto"/>
        <w:right w:val="none" w:sz="0" w:space="0" w:color="auto"/>
      </w:divBdr>
    </w:div>
    <w:div w:id="807551839">
      <w:bodyDiv w:val="1"/>
      <w:marLeft w:val="0"/>
      <w:marRight w:val="0"/>
      <w:marTop w:val="0"/>
      <w:marBottom w:val="0"/>
      <w:divBdr>
        <w:top w:val="none" w:sz="0" w:space="0" w:color="auto"/>
        <w:left w:val="none" w:sz="0" w:space="0" w:color="auto"/>
        <w:bottom w:val="none" w:sz="0" w:space="0" w:color="auto"/>
        <w:right w:val="none" w:sz="0" w:space="0" w:color="auto"/>
      </w:divBdr>
    </w:div>
    <w:div w:id="907114177">
      <w:bodyDiv w:val="1"/>
      <w:marLeft w:val="0"/>
      <w:marRight w:val="0"/>
      <w:marTop w:val="0"/>
      <w:marBottom w:val="0"/>
      <w:divBdr>
        <w:top w:val="none" w:sz="0" w:space="0" w:color="auto"/>
        <w:left w:val="none" w:sz="0" w:space="0" w:color="auto"/>
        <w:bottom w:val="none" w:sz="0" w:space="0" w:color="auto"/>
        <w:right w:val="none" w:sz="0" w:space="0" w:color="auto"/>
      </w:divBdr>
    </w:div>
    <w:div w:id="992369753">
      <w:bodyDiv w:val="1"/>
      <w:marLeft w:val="0"/>
      <w:marRight w:val="0"/>
      <w:marTop w:val="0"/>
      <w:marBottom w:val="0"/>
      <w:divBdr>
        <w:top w:val="none" w:sz="0" w:space="0" w:color="auto"/>
        <w:left w:val="none" w:sz="0" w:space="0" w:color="auto"/>
        <w:bottom w:val="none" w:sz="0" w:space="0" w:color="auto"/>
        <w:right w:val="none" w:sz="0" w:space="0" w:color="auto"/>
      </w:divBdr>
    </w:div>
    <w:div w:id="995840276">
      <w:bodyDiv w:val="1"/>
      <w:marLeft w:val="0"/>
      <w:marRight w:val="0"/>
      <w:marTop w:val="0"/>
      <w:marBottom w:val="0"/>
      <w:divBdr>
        <w:top w:val="none" w:sz="0" w:space="0" w:color="auto"/>
        <w:left w:val="none" w:sz="0" w:space="0" w:color="auto"/>
        <w:bottom w:val="none" w:sz="0" w:space="0" w:color="auto"/>
        <w:right w:val="none" w:sz="0" w:space="0" w:color="auto"/>
      </w:divBdr>
    </w:div>
    <w:div w:id="1009068605">
      <w:bodyDiv w:val="1"/>
      <w:marLeft w:val="0"/>
      <w:marRight w:val="0"/>
      <w:marTop w:val="0"/>
      <w:marBottom w:val="0"/>
      <w:divBdr>
        <w:top w:val="none" w:sz="0" w:space="0" w:color="auto"/>
        <w:left w:val="none" w:sz="0" w:space="0" w:color="auto"/>
        <w:bottom w:val="none" w:sz="0" w:space="0" w:color="auto"/>
        <w:right w:val="none" w:sz="0" w:space="0" w:color="auto"/>
      </w:divBdr>
    </w:div>
    <w:div w:id="1053624450">
      <w:bodyDiv w:val="1"/>
      <w:marLeft w:val="0"/>
      <w:marRight w:val="0"/>
      <w:marTop w:val="0"/>
      <w:marBottom w:val="0"/>
      <w:divBdr>
        <w:top w:val="none" w:sz="0" w:space="0" w:color="auto"/>
        <w:left w:val="none" w:sz="0" w:space="0" w:color="auto"/>
        <w:bottom w:val="none" w:sz="0" w:space="0" w:color="auto"/>
        <w:right w:val="none" w:sz="0" w:space="0" w:color="auto"/>
      </w:divBdr>
    </w:div>
    <w:div w:id="1070031893">
      <w:bodyDiv w:val="1"/>
      <w:marLeft w:val="0"/>
      <w:marRight w:val="0"/>
      <w:marTop w:val="0"/>
      <w:marBottom w:val="0"/>
      <w:divBdr>
        <w:top w:val="none" w:sz="0" w:space="0" w:color="auto"/>
        <w:left w:val="none" w:sz="0" w:space="0" w:color="auto"/>
        <w:bottom w:val="none" w:sz="0" w:space="0" w:color="auto"/>
        <w:right w:val="none" w:sz="0" w:space="0" w:color="auto"/>
      </w:divBdr>
    </w:div>
    <w:div w:id="1072312105">
      <w:bodyDiv w:val="1"/>
      <w:marLeft w:val="0"/>
      <w:marRight w:val="0"/>
      <w:marTop w:val="0"/>
      <w:marBottom w:val="0"/>
      <w:divBdr>
        <w:top w:val="none" w:sz="0" w:space="0" w:color="auto"/>
        <w:left w:val="none" w:sz="0" w:space="0" w:color="auto"/>
        <w:bottom w:val="none" w:sz="0" w:space="0" w:color="auto"/>
        <w:right w:val="none" w:sz="0" w:space="0" w:color="auto"/>
      </w:divBdr>
    </w:div>
    <w:div w:id="1096100864">
      <w:bodyDiv w:val="1"/>
      <w:marLeft w:val="0"/>
      <w:marRight w:val="0"/>
      <w:marTop w:val="0"/>
      <w:marBottom w:val="0"/>
      <w:divBdr>
        <w:top w:val="none" w:sz="0" w:space="0" w:color="auto"/>
        <w:left w:val="none" w:sz="0" w:space="0" w:color="auto"/>
        <w:bottom w:val="none" w:sz="0" w:space="0" w:color="auto"/>
        <w:right w:val="none" w:sz="0" w:space="0" w:color="auto"/>
      </w:divBdr>
    </w:div>
    <w:div w:id="1100881652">
      <w:bodyDiv w:val="1"/>
      <w:marLeft w:val="0"/>
      <w:marRight w:val="0"/>
      <w:marTop w:val="0"/>
      <w:marBottom w:val="0"/>
      <w:divBdr>
        <w:top w:val="none" w:sz="0" w:space="0" w:color="auto"/>
        <w:left w:val="none" w:sz="0" w:space="0" w:color="auto"/>
        <w:bottom w:val="none" w:sz="0" w:space="0" w:color="auto"/>
        <w:right w:val="none" w:sz="0" w:space="0" w:color="auto"/>
      </w:divBdr>
    </w:div>
    <w:div w:id="1150633299">
      <w:bodyDiv w:val="1"/>
      <w:marLeft w:val="0"/>
      <w:marRight w:val="0"/>
      <w:marTop w:val="0"/>
      <w:marBottom w:val="0"/>
      <w:divBdr>
        <w:top w:val="none" w:sz="0" w:space="0" w:color="auto"/>
        <w:left w:val="none" w:sz="0" w:space="0" w:color="auto"/>
        <w:bottom w:val="none" w:sz="0" w:space="0" w:color="auto"/>
        <w:right w:val="none" w:sz="0" w:space="0" w:color="auto"/>
      </w:divBdr>
    </w:div>
    <w:div w:id="1183786507">
      <w:bodyDiv w:val="1"/>
      <w:marLeft w:val="0"/>
      <w:marRight w:val="0"/>
      <w:marTop w:val="0"/>
      <w:marBottom w:val="0"/>
      <w:divBdr>
        <w:top w:val="none" w:sz="0" w:space="0" w:color="auto"/>
        <w:left w:val="none" w:sz="0" w:space="0" w:color="auto"/>
        <w:bottom w:val="none" w:sz="0" w:space="0" w:color="auto"/>
        <w:right w:val="none" w:sz="0" w:space="0" w:color="auto"/>
      </w:divBdr>
    </w:div>
    <w:div w:id="1231960284">
      <w:bodyDiv w:val="1"/>
      <w:marLeft w:val="0"/>
      <w:marRight w:val="0"/>
      <w:marTop w:val="0"/>
      <w:marBottom w:val="0"/>
      <w:divBdr>
        <w:top w:val="none" w:sz="0" w:space="0" w:color="auto"/>
        <w:left w:val="none" w:sz="0" w:space="0" w:color="auto"/>
        <w:bottom w:val="none" w:sz="0" w:space="0" w:color="auto"/>
        <w:right w:val="none" w:sz="0" w:space="0" w:color="auto"/>
      </w:divBdr>
    </w:div>
    <w:div w:id="1262102134">
      <w:bodyDiv w:val="1"/>
      <w:marLeft w:val="0"/>
      <w:marRight w:val="0"/>
      <w:marTop w:val="0"/>
      <w:marBottom w:val="0"/>
      <w:divBdr>
        <w:top w:val="none" w:sz="0" w:space="0" w:color="auto"/>
        <w:left w:val="none" w:sz="0" w:space="0" w:color="auto"/>
        <w:bottom w:val="none" w:sz="0" w:space="0" w:color="auto"/>
        <w:right w:val="none" w:sz="0" w:space="0" w:color="auto"/>
      </w:divBdr>
    </w:div>
    <w:div w:id="1279490201">
      <w:bodyDiv w:val="1"/>
      <w:marLeft w:val="0"/>
      <w:marRight w:val="0"/>
      <w:marTop w:val="0"/>
      <w:marBottom w:val="0"/>
      <w:divBdr>
        <w:top w:val="none" w:sz="0" w:space="0" w:color="auto"/>
        <w:left w:val="none" w:sz="0" w:space="0" w:color="auto"/>
        <w:bottom w:val="none" w:sz="0" w:space="0" w:color="auto"/>
        <w:right w:val="none" w:sz="0" w:space="0" w:color="auto"/>
      </w:divBdr>
    </w:div>
    <w:div w:id="1288975247">
      <w:bodyDiv w:val="1"/>
      <w:marLeft w:val="0"/>
      <w:marRight w:val="0"/>
      <w:marTop w:val="0"/>
      <w:marBottom w:val="0"/>
      <w:divBdr>
        <w:top w:val="none" w:sz="0" w:space="0" w:color="auto"/>
        <w:left w:val="none" w:sz="0" w:space="0" w:color="auto"/>
        <w:bottom w:val="none" w:sz="0" w:space="0" w:color="auto"/>
        <w:right w:val="none" w:sz="0" w:space="0" w:color="auto"/>
      </w:divBdr>
    </w:div>
    <w:div w:id="1321038438">
      <w:bodyDiv w:val="1"/>
      <w:marLeft w:val="0"/>
      <w:marRight w:val="0"/>
      <w:marTop w:val="0"/>
      <w:marBottom w:val="0"/>
      <w:divBdr>
        <w:top w:val="none" w:sz="0" w:space="0" w:color="auto"/>
        <w:left w:val="none" w:sz="0" w:space="0" w:color="auto"/>
        <w:bottom w:val="none" w:sz="0" w:space="0" w:color="auto"/>
        <w:right w:val="none" w:sz="0" w:space="0" w:color="auto"/>
      </w:divBdr>
    </w:div>
    <w:div w:id="1347634069">
      <w:bodyDiv w:val="1"/>
      <w:marLeft w:val="0"/>
      <w:marRight w:val="0"/>
      <w:marTop w:val="0"/>
      <w:marBottom w:val="0"/>
      <w:divBdr>
        <w:top w:val="none" w:sz="0" w:space="0" w:color="auto"/>
        <w:left w:val="none" w:sz="0" w:space="0" w:color="auto"/>
        <w:bottom w:val="none" w:sz="0" w:space="0" w:color="auto"/>
        <w:right w:val="none" w:sz="0" w:space="0" w:color="auto"/>
      </w:divBdr>
    </w:div>
    <w:div w:id="1369642583">
      <w:bodyDiv w:val="1"/>
      <w:marLeft w:val="0"/>
      <w:marRight w:val="0"/>
      <w:marTop w:val="0"/>
      <w:marBottom w:val="0"/>
      <w:divBdr>
        <w:top w:val="none" w:sz="0" w:space="0" w:color="auto"/>
        <w:left w:val="none" w:sz="0" w:space="0" w:color="auto"/>
        <w:bottom w:val="none" w:sz="0" w:space="0" w:color="auto"/>
        <w:right w:val="none" w:sz="0" w:space="0" w:color="auto"/>
      </w:divBdr>
    </w:div>
    <w:div w:id="1541623321">
      <w:bodyDiv w:val="1"/>
      <w:marLeft w:val="0"/>
      <w:marRight w:val="0"/>
      <w:marTop w:val="0"/>
      <w:marBottom w:val="0"/>
      <w:divBdr>
        <w:top w:val="none" w:sz="0" w:space="0" w:color="auto"/>
        <w:left w:val="none" w:sz="0" w:space="0" w:color="auto"/>
        <w:bottom w:val="none" w:sz="0" w:space="0" w:color="auto"/>
        <w:right w:val="none" w:sz="0" w:space="0" w:color="auto"/>
      </w:divBdr>
    </w:div>
    <w:div w:id="1545826115">
      <w:bodyDiv w:val="1"/>
      <w:marLeft w:val="0"/>
      <w:marRight w:val="0"/>
      <w:marTop w:val="0"/>
      <w:marBottom w:val="0"/>
      <w:divBdr>
        <w:top w:val="none" w:sz="0" w:space="0" w:color="auto"/>
        <w:left w:val="none" w:sz="0" w:space="0" w:color="auto"/>
        <w:bottom w:val="none" w:sz="0" w:space="0" w:color="auto"/>
        <w:right w:val="none" w:sz="0" w:space="0" w:color="auto"/>
      </w:divBdr>
    </w:div>
    <w:div w:id="1561865556">
      <w:bodyDiv w:val="1"/>
      <w:marLeft w:val="0"/>
      <w:marRight w:val="0"/>
      <w:marTop w:val="0"/>
      <w:marBottom w:val="0"/>
      <w:divBdr>
        <w:top w:val="none" w:sz="0" w:space="0" w:color="auto"/>
        <w:left w:val="none" w:sz="0" w:space="0" w:color="auto"/>
        <w:bottom w:val="none" w:sz="0" w:space="0" w:color="auto"/>
        <w:right w:val="none" w:sz="0" w:space="0" w:color="auto"/>
      </w:divBdr>
    </w:div>
    <w:div w:id="1688753076">
      <w:bodyDiv w:val="1"/>
      <w:marLeft w:val="0"/>
      <w:marRight w:val="0"/>
      <w:marTop w:val="0"/>
      <w:marBottom w:val="0"/>
      <w:divBdr>
        <w:top w:val="none" w:sz="0" w:space="0" w:color="auto"/>
        <w:left w:val="none" w:sz="0" w:space="0" w:color="auto"/>
        <w:bottom w:val="none" w:sz="0" w:space="0" w:color="auto"/>
        <w:right w:val="none" w:sz="0" w:space="0" w:color="auto"/>
      </w:divBdr>
    </w:div>
    <w:div w:id="1698777848">
      <w:bodyDiv w:val="1"/>
      <w:marLeft w:val="0"/>
      <w:marRight w:val="0"/>
      <w:marTop w:val="0"/>
      <w:marBottom w:val="0"/>
      <w:divBdr>
        <w:top w:val="none" w:sz="0" w:space="0" w:color="auto"/>
        <w:left w:val="none" w:sz="0" w:space="0" w:color="auto"/>
        <w:bottom w:val="none" w:sz="0" w:space="0" w:color="auto"/>
        <w:right w:val="none" w:sz="0" w:space="0" w:color="auto"/>
      </w:divBdr>
    </w:div>
    <w:div w:id="1701054140">
      <w:bodyDiv w:val="1"/>
      <w:marLeft w:val="0"/>
      <w:marRight w:val="0"/>
      <w:marTop w:val="0"/>
      <w:marBottom w:val="0"/>
      <w:divBdr>
        <w:top w:val="none" w:sz="0" w:space="0" w:color="auto"/>
        <w:left w:val="none" w:sz="0" w:space="0" w:color="auto"/>
        <w:bottom w:val="none" w:sz="0" w:space="0" w:color="auto"/>
        <w:right w:val="none" w:sz="0" w:space="0" w:color="auto"/>
      </w:divBdr>
    </w:div>
    <w:div w:id="1755861794">
      <w:bodyDiv w:val="1"/>
      <w:marLeft w:val="0"/>
      <w:marRight w:val="0"/>
      <w:marTop w:val="0"/>
      <w:marBottom w:val="0"/>
      <w:divBdr>
        <w:top w:val="none" w:sz="0" w:space="0" w:color="auto"/>
        <w:left w:val="none" w:sz="0" w:space="0" w:color="auto"/>
        <w:bottom w:val="none" w:sz="0" w:space="0" w:color="auto"/>
        <w:right w:val="none" w:sz="0" w:space="0" w:color="auto"/>
      </w:divBdr>
    </w:div>
    <w:div w:id="1767841721">
      <w:bodyDiv w:val="1"/>
      <w:marLeft w:val="0"/>
      <w:marRight w:val="0"/>
      <w:marTop w:val="0"/>
      <w:marBottom w:val="0"/>
      <w:divBdr>
        <w:top w:val="none" w:sz="0" w:space="0" w:color="auto"/>
        <w:left w:val="none" w:sz="0" w:space="0" w:color="auto"/>
        <w:bottom w:val="none" w:sz="0" w:space="0" w:color="auto"/>
        <w:right w:val="none" w:sz="0" w:space="0" w:color="auto"/>
      </w:divBdr>
    </w:div>
    <w:div w:id="1769884908">
      <w:bodyDiv w:val="1"/>
      <w:marLeft w:val="0"/>
      <w:marRight w:val="0"/>
      <w:marTop w:val="0"/>
      <w:marBottom w:val="0"/>
      <w:divBdr>
        <w:top w:val="none" w:sz="0" w:space="0" w:color="auto"/>
        <w:left w:val="none" w:sz="0" w:space="0" w:color="auto"/>
        <w:bottom w:val="none" w:sz="0" w:space="0" w:color="auto"/>
        <w:right w:val="none" w:sz="0" w:space="0" w:color="auto"/>
      </w:divBdr>
    </w:div>
    <w:div w:id="1779257970">
      <w:bodyDiv w:val="1"/>
      <w:marLeft w:val="0"/>
      <w:marRight w:val="0"/>
      <w:marTop w:val="0"/>
      <w:marBottom w:val="0"/>
      <w:divBdr>
        <w:top w:val="none" w:sz="0" w:space="0" w:color="auto"/>
        <w:left w:val="none" w:sz="0" w:space="0" w:color="auto"/>
        <w:bottom w:val="none" w:sz="0" w:space="0" w:color="auto"/>
        <w:right w:val="none" w:sz="0" w:space="0" w:color="auto"/>
      </w:divBdr>
    </w:div>
    <w:div w:id="1845436874">
      <w:bodyDiv w:val="1"/>
      <w:marLeft w:val="0"/>
      <w:marRight w:val="0"/>
      <w:marTop w:val="0"/>
      <w:marBottom w:val="0"/>
      <w:divBdr>
        <w:top w:val="none" w:sz="0" w:space="0" w:color="auto"/>
        <w:left w:val="none" w:sz="0" w:space="0" w:color="auto"/>
        <w:bottom w:val="none" w:sz="0" w:space="0" w:color="auto"/>
        <w:right w:val="none" w:sz="0" w:space="0" w:color="auto"/>
      </w:divBdr>
    </w:div>
    <w:div w:id="1878852846">
      <w:bodyDiv w:val="1"/>
      <w:marLeft w:val="0"/>
      <w:marRight w:val="0"/>
      <w:marTop w:val="0"/>
      <w:marBottom w:val="0"/>
      <w:divBdr>
        <w:top w:val="none" w:sz="0" w:space="0" w:color="auto"/>
        <w:left w:val="none" w:sz="0" w:space="0" w:color="auto"/>
        <w:bottom w:val="none" w:sz="0" w:space="0" w:color="auto"/>
        <w:right w:val="none" w:sz="0" w:space="0" w:color="auto"/>
      </w:divBdr>
    </w:div>
    <w:div w:id="1884975280">
      <w:bodyDiv w:val="1"/>
      <w:marLeft w:val="0"/>
      <w:marRight w:val="0"/>
      <w:marTop w:val="0"/>
      <w:marBottom w:val="0"/>
      <w:divBdr>
        <w:top w:val="none" w:sz="0" w:space="0" w:color="auto"/>
        <w:left w:val="none" w:sz="0" w:space="0" w:color="auto"/>
        <w:bottom w:val="none" w:sz="0" w:space="0" w:color="auto"/>
        <w:right w:val="none" w:sz="0" w:space="0" w:color="auto"/>
      </w:divBdr>
    </w:div>
    <w:div w:id="1901473813">
      <w:bodyDiv w:val="1"/>
      <w:marLeft w:val="0"/>
      <w:marRight w:val="0"/>
      <w:marTop w:val="0"/>
      <w:marBottom w:val="0"/>
      <w:divBdr>
        <w:top w:val="none" w:sz="0" w:space="0" w:color="auto"/>
        <w:left w:val="none" w:sz="0" w:space="0" w:color="auto"/>
        <w:bottom w:val="none" w:sz="0" w:space="0" w:color="auto"/>
        <w:right w:val="none" w:sz="0" w:space="0" w:color="auto"/>
      </w:divBdr>
    </w:div>
    <w:div w:id="1954047213">
      <w:bodyDiv w:val="1"/>
      <w:marLeft w:val="0"/>
      <w:marRight w:val="0"/>
      <w:marTop w:val="0"/>
      <w:marBottom w:val="0"/>
      <w:divBdr>
        <w:top w:val="none" w:sz="0" w:space="0" w:color="auto"/>
        <w:left w:val="none" w:sz="0" w:space="0" w:color="auto"/>
        <w:bottom w:val="none" w:sz="0" w:space="0" w:color="auto"/>
        <w:right w:val="none" w:sz="0" w:space="0" w:color="auto"/>
      </w:divBdr>
    </w:div>
    <w:div w:id="1966039863">
      <w:bodyDiv w:val="1"/>
      <w:marLeft w:val="0"/>
      <w:marRight w:val="0"/>
      <w:marTop w:val="0"/>
      <w:marBottom w:val="0"/>
      <w:divBdr>
        <w:top w:val="none" w:sz="0" w:space="0" w:color="auto"/>
        <w:left w:val="none" w:sz="0" w:space="0" w:color="auto"/>
        <w:bottom w:val="none" w:sz="0" w:space="0" w:color="auto"/>
        <w:right w:val="none" w:sz="0" w:space="0" w:color="auto"/>
      </w:divBdr>
    </w:div>
    <w:div w:id="1987784338">
      <w:bodyDiv w:val="1"/>
      <w:marLeft w:val="0"/>
      <w:marRight w:val="0"/>
      <w:marTop w:val="0"/>
      <w:marBottom w:val="0"/>
      <w:divBdr>
        <w:top w:val="none" w:sz="0" w:space="0" w:color="auto"/>
        <w:left w:val="none" w:sz="0" w:space="0" w:color="auto"/>
        <w:bottom w:val="none" w:sz="0" w:space="0" w:color="auto"/>
        <w:right w:val="none" w:sz="0" w:space="0" w:color="auto"/>
      </w:divBdr>
    </w:div>
    <w:div w:id="2038504464">
      <w:bodyDiv w:val="1"/>
      <w:marLeft w:val="0"/>
      <w:marRight w:val="0"/>
      <w:marTop w:val="0"/>
      <w:marBottom w:val="0"/>
      <w:divBdr>
        <w:top w:val="none" w:sz="0" w:space="0" w:color="auto"/>
        <w:left w:val="none" w:sz="0" w:space="0" w:color="auto"/>
        <w:bottom w:val="none" w:sz="0" w:space="0" w:color="auto"/>
        <w:right w:val="none" w:sz="0" w:space="0" w:color="auto"/>
      </w:divBdr>
    </w:div>
    <w:div w:id="2131774614">
      <w:bodyDiv w:val="1"/>
      <w:marLeft w:val="0"/>
      <w:marRight w:val="0"/>
      <w:marTop w:val="0"/>
      <w:marBottom w:val="0"/>
      <w:divBdr>
        <w:top w:val="none" w:sz="0" w:space="0" w:color="auto"/>
        <w:left w:val="none" w:sz="0" w:space="0" w:color="auto"/>
        <w:bottom w:val="none" w:sz="0" w:space="0" w:color="auto"/>
        <w:right w:val="none" w:sz="0" w:space="0" w:color="auto"/>
      </w:divBdr>
    </w:div>
    <w:div w:id="21387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ALT_Support@cms.hhs.go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tate.Exchange.Group@cms.hhs.gov" TargetMode="External"/><Relationship Id="rId20" Type="http://schemas.openxmlformats.org/officeDocument/2006/relationships/hyperlink" Target="https://servis.cm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ervis.cms.gov" TargetMode="External"/><Relationship Id="rId23" Type="http://schemas.openxmlformats.org/officeDocument/2006/relationships/image" Target="media/image3.emf"/><Relationship Id="rId10" Type="http://schemas.openxmlformats.org/officeDocument/2006/relationships/hyperlink" Target="mailto:State.Exchange.Group@cms.hhs.gov" TargetMode="External"/><Relationship Id="rId19" Type="http://schemas.openxmlformats.org/officeDocument/2006/relationships/hyperlink" Target="mailto:State.Exchange.Group@cms.hh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tate.Exchange.Group@cms.hhs.gov" TargetMode="External"/><Relationship Id="rId22"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calt.hhs.gov" TargetMode="External"/><Relationship Id="rId2" Type="http://schemas.openxmlformats.org/officeDocument/2006/relationships/hyperlink" Target="mailto:SERVIS_Support@cms.hhs.gov" TargetMode="External"/><Relationship Id="rId1" Type="http://schemas.openxmlformats.org/officeDocument/2006/relationships/hyperlink" Target="mailto:CALT_support@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DD5EF-0A89-4F3D-9A81-67BCCF36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12197</Words>
  <Characters>69528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Draft Blueprint for Approval of Affordable State-based and State Partnership Insurance Exchanges</vt:lpstr>
    </vt:vector>
  </TitlesOfParts>
  <Company>Booz Allen Hamilton</Company>
  <LinksUpToDate>false</LinksUpToDate>
  <CharactersWithSpaces>81562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Blueprint for Approval of Affordable State-based and State Partnership Insurance Exchanges</dc:title>
  <dc:subject>Affordable Health Care Act</dc:subject>
  <dc:creator>Department of Health and Human Services</dc:creator>
  <cp:keywords>Draft, Blueprint, Approval, Affordable, State-based, State, Partnership, Insurance, Exchange, Health, Care, Act</cp:keywords>
  <cp:lastModifiedBy>CTAC</cp:lastModifiedBy>
  <cp:revision>2</cp:revision>
  <cp:lastPrinted>2012-05-14T13:28:00Z</cp:lastPrinted>
  <dcterms:created xsi:type="dcterms:W3CDTF">2012-08-13T16:18:00Z</dcterms:created>
  <dcterms:modified xsi:type="dcterms:W3CDTF">2012-08-13T16:18:00Z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-1443599555</vt:i4>
  </property>
  <property fmtid="{D5CDD505-2E9C-101B-9397-08002B2CF9AE}" pid="4" name="_EmailSubject">
    <vt:lpwstr>CMS-10416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1042358644</vt:i4>
  </property>
  <property fmtid="{D5CDD505-2E9C-101B-9397-08002B2CF9AE}" pid="8" name="_ReviewingToolsShownOnce">
    <vt:lpwstr/>
  </property>
</Properties>
</file>