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1E4" w:rsidRPr="00417458" w:rsidRDefault="00C911E4" w:rsidP="004174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bCs/>
          <w:sz w:val="32"/>
          <w:u w:val="single"/>
        </w:rPr>
      </w:pPr>
      <w:bookmarkStart w:id="0" w:name="_GoBack"/>
      <w:bookmarkEnd w:id="0"/>
      <w:r w:rsidRPr="00417458">
        <w:rPr>
          <w:b/>
          <w:bCs/>
          <w:sz w:val="32"/>
          <w:u w:val="single"/>
        </w:rPr>
        <w:t>Supporting Statement – Part A</w:t>
      </w:r>
    </w:p>
    <w:p w:rsidR="00FE3551" w:rsidRPr="00FE3551" w:rsidRDefault="00FE3551" w:rsidP="00FE35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32"/>
          <w:szCs w:val="32"/>
          <w:u w:val="single"/>
        </w:rPr>
      </w:pPr>
      <w:r w:rsidRPr="00FE3551">
        <w:rPr>
          <w:bCs/>
          <w:sz w:val="32"/>
          <w:szCs w:val="32"/>
          <w:u w:val="single"/>
        </w:rPr>
        <w:t xml:space="preserve">PPS-exempt Cancer Hospital Quality Reporting (PCHQR) Program </w:t>
      </w:r>
    </w:p>
    <w:p w:rsidR="00C34AD6" w:rsidRPr="00FE3551" w:rsidRDefault="00C34A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34AD6" w:rsidRDefault="00C34AD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C34AD6" w:rsidRDefault="00C34AD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3551" w:rsidRDefault="008A3A8D" w:rsidP="00F16B2F">
      <w:pPr>
        <w:pStyle w:val="BodyText"/>
        <w:spacing w:after="240"/>
        <w:rPr>
          <w:color w:val="auto"/>
          <w:sz w:val="24"/>
          <w:szCs w:val="24"/>
        </w:rPr>
      </w:pPr>
      <w:r>
        <w:rPr>
          <w:color w:val="auto"/>
          <w:sz w:val="24"/>
          <w:szCs w:val="24"/>
        </w:rPr>
        <w:tab/>
      </w:r>
      <w:r w:rsidR="00FE3551" w:rsidRPr="00FE3551">
        <w:rPr>
          <w:color w:val="auto"/>
          <w:sz w:val="24"/>
          <w:szCs w:val="24"/>
        </w:rPr>
        <w:t>Pursuant to section 1886(d)(1)(B)(v) of the Act</w:t>
      </w:r>
      <w:r w:rsidR="002C570D">
        <w:rPr>
          <w:color w:val="auto"/>
          <w:sz w:val="24"/>
          <w:szCs w:val="24"/>
        </w:rPr>
        <w:t xml:space="preserve"> as amended by section 3005 of the Affordable Care Act </w:t>
      </w:r>
      <w:r w:rsidR="00FE3551" w:rsidRPr="00FE3551">
        <w:rPr>
          <w:color w:val="auto"/>
          <w:sz w:val="24"/>
          <w:szCs w:val="24"/>
        </w:rPr>
        <w:t>, starting in FY2014, and for subsequent fiscal years,</w:t>
      </w:r>
      <w:r>
        <w:rPr>
          <w:color w:val="auto"/>
          <w:sz w:val="24"/>
          <w:szCs w:val="24"/>
        </w:rPr>
        <w:t xml:space="preserve"> PPS-exempt cancer hospitals</w:t>
      </w:r>
      <w:r w:rsidR="00FE3551" w:rsidRPr="00FE3551">
        <w:rPr>
          <w:color w:val="auto"/>
          <w:sz w:val="24"/>
          <w:szCs w:val="24"/>
        </w:rPr>
        <w:t xml:space="preserve"> </w:t>
      </w:r>
      <w:r>
        <w:rPr>
          <w:color w:val="auto"/>
          <w:sz w:val="24"/>
          <w:szCs w:val="24"/>
        </w:rPr>
        <w:t>(</w:t>
      </w:r>
      <w:r w:rsidR="00FE3551" w:rsidRPr="00FE3551">
        <w:rPr>
          <w:color w:val="auto"/>
          <w:sz w:val="24"/>
          <w:szCs w:val="24"/>
        </w:rPr>
        <w:t>PCHs</w:t>
      </w:r>
      <w:r>
        <w:rPr>
          <w:color w:val="auto"/>
          <w:sz w:val="24"/>
          <w:szCs w:val="24"/>
        </w:rPr>
        <w:t>)</w:t>
      </w:r>
      <w:r w:rsidR="00FE3551" w:rsidRPr="00FE3551">
        <w:rPr>
          <w:color w:val="auto"/>
          <w:sz w:val="24"/>
          <w:szCs w:val="24"/>
        </w:rPr>
        <w:t xml:space="preserve"> shall submit pre-defined quality measures to CMS.  To comply with the statutory mandate, we are </w:t>
      </w:r>
      <w:r w:rsidR="00FE3551">
        <w:rPr>
          <w:color w:val="auto"/>
          <w:sz w:val="24"/>
          <w:szCs w:val="24"/>
        </w:rPr>
        <w:t xml:space="preserve">implementing </w:t>
      </w:r>
      <w:r w:rsidR="00FE3551" w:rsidRPr="00FE3551">
        <w:rPr>
          <w:color w:val="auto"/>
          <w:sz w:val="24"/>
          <w:szCs w:val="24"/>
        </w:rPr>
        <w:t xml:space="preserve">the PPS-exempt Cancer Hospital Quality Reporting </w:t>
      </w:r>
      <w:r w:rsidR="002C570D" w:rsidRPr="00FE3551">
        <w:rPr>
          <w:color w:val="auto"/>
          <w:sz w:val="24"/>
          <w:szCs w:val="24"/>
        </w:rPr>
        <w:t>Program</w:t>
      </w:r>
      <w:r w:rsidR="00FE3551" w:rsidRPr="00FE3551">
        <w:rPr>
          <w:color w:val="auto"/>
          <w:sz w:val="24"/>
          <w:szCs w:val="24"/>
        </w:rPr>
        <w:t xml:space="preserve"> (</w:t>
      </w:r>
      <w:r w:rsidR="00160434">
        <w:rPr>
          <w:color w:val="auto"/>
          <w:sz w:val="24"/>
          <w:szCs w:val="24"/>
        </w:rPr>
        <w:t>PCH</w:t>
      </w:r>
      <w:r w:rsidR="00FE3551" w:rsidRPr="00FE3551">
        <w:rPr>
          <w:color w:val="auto"/>
          <w:sz w:val="24"/>
          <w:szCs w:val="24"/>
        </w:rPr>
        <w:t xml:space="preserve">QR) </w:t>
      </w:r>
      <w:r w:rsidR="002C570D" w:rsidRPr="002C570D">
        <w:rPr>
          <w:color w:val="auto"/>
          <w:sz w:val="24"/>
          <w:szCs w:val="24"/>
        </w:rPr>
        <w:t>in our sustained efforts to improving the quality of care for inpatient cancer patients</w:t>
      </w:r>
      <w:r w:rsidR="002C570D">
        <w:rPr>
          <w:color w:val="auto"/>
          <w:sz w:val="24"/>
          <w:szCs w:val="24"/>
        </w:rPr>
        <w:t xml:space="preserve">. It is our </w:t>
      </w:r>
      <w:r w:rsidR="002C570D" w:rsidRPr="002C570D">
        <w:rPr>
          <w:color w:val="auto"/>
          <w:sz w:val="24"/>
          <w:szCs w:val="24"/>
        </w:rPr>
        <w:t xml:space="preserve">aims and goals to facilitate </w:t>
      </w:r>
      <w:r>
        <w:rPr>
          <w:color w:val="auto"/>
          <w:sz w:val="24"/>
          <w:szCs w:val="24"/>
        </w:rPr>
        <w:t xml:space="preserve">high </w:t>
      </w:r>
      <w:r w:rsidR="002C570D" w:rsidRPr="002C570D">
        <w:rPr>
          <w:color w:val="auto"/>
          <w:sz w:val="24"/>
          <w:szCs w:val="24"/>
        </w:rPr>
        <w:t xml:space="preserve">quality </w:t>
      </w:r>
      <w:r>
        <w:rPr>
          <w:color w:val="auto"/>
          <w:sz w:val="24"/>
          <w:szCs w:val="24"/>
        </w:rPr>
        <w:t xml:space="preserve">of </w:t>
      </w:r>
      <w:r w:rsidR="002C570D" w:rsidRPr="002C570D">
        <w:rPr>
          <w:color w:val="auto"/>
          <w:sz w:val="24"/>
          <w:szCs w:val="24"/>
        </w:rPr>
        <w:t xml:space="preserve">care in a manner that is effective and meaningful, while remaining mindful of reporting burden </w:t>
      </w:r>
      <w:r>
        <w:rPr>
          <w:color w:val="auto"/>
          <w:sz w:val="24"/>
          <w:szCs w:val="24"/>
        </w:rPr>
        <w:t>pose on the P</w:t>
      </w:r>
      <w:r w:rsidR="002C570D" w:rsidRPr="002C570D">
        <w:rPr>
          <w:color w:val="auto"/>
          <w:sz w:val="24"/>
          <w:szCs w:val="24"/>
        </w:rPr>
        <w:t>CHs</w:t>
      </w:r>
      <w:r>
        <w:rPr>
          <w:color w:val="auto"/>
          <w:sz w:val="24"/>
          <w:szCs w:val="24"/>
        </w:rPr>
        <w:t xml:space="preserve">. Therefore, CMS intends to </w:t>
      </w:r>
      <w:r w:rsidR="002C570D" w:rsidRPr="002C570D">
        <w:rPr>
          <w:color w:val="auto"/>
          <w:sz w:val="24"/>
          <w:szCs w:val="24"/>
        </w:rPr>
        <w:t>reduce and avoid duplicative reporting efforts when</w:t>
      </w:r>
      <w:r>
        <w:rPr>
          <w:color w:val="auto"/>
          <w:sz w:val="24"/>
          <w:szCs w:val="24"/>
        </w:rPr>
        <w:t>ever</w:t>
      </w:r>
      <w:r w:rsidR="002C570D" w:rsidRPr="002C570D">
        <w:rPr>
          <w:color w:val="auto"/>
          <w:sz w:val="24"/>
          <w:szCs w:val="24"/>
        </w:rPr>
        <w:t xml:space="preserve"> possible</w:t>
      </w:r>
      <w:r w:rsidR="00842C58">
        <w:rPr>
          <w:color w:val="auto"/>
          <w:sz w:val="24"/>
          <w:szCs w:val="24"/>
        </w:rPr>
        <w:t xml:space="preserve"> by leveraging existing infrastructure</w:t>
      </w:r>
      <w:r>
        <w:rPr>
          <w:color w:val="auto"/>
          <w:sz w:val="24"/>
          <w:szCs w:val="24"/>
        </w:rPr>
        <w:t>.</w:t>
      </w:r>
    </w:p>
    <w:p w:rsidR="00D40068" w:rsidRDefault="005F2C75" w:rsidP="005F2C75">
      <w:pPr>
        <w:ind w:firstLine="720"/>
        <w:outlineLvl w:val="0"/>
        <w:rPr>
          <w:sz w:val="24"/>
        </w:rPr>
      </w:pPr>
      <w:r w:rsidRPr="005F2C75">
        <w:rPr>
          <w:sz w:val="24"/>
        </w:rPr>
        <w:t xml:space="preserve">For the FY2014 </w:t>
      </w:r>
      <w:r>
        <w:rPr>
          <w:sz w:val="24"/>
        </w:rPr>
        <w:t xml:space="preserve">program year, </w:t>
      </w:r>
      <w:r w:rsidRPr="005F2C75">
        <w:rPr>
          <w:sz w:val="24"/>
        </w:rPr>
        <w:t xml:space="preserve">we are proposing </w:t>
      </w:r>
      <w:r>
        <w:rPr>
          <w:sz w:val="24"/>
        </w:rPr>
        <w:t>five (</w:t>
      </w:r>
      <w:r w:rsidRPr="005F2C75">
        <w:rPr>
          <w:sz w:val="24"/>
        </w:rPr>
        <w:t>5</w:t>
      </w:r>
      <w:r>
        <w:rPr>
          <w:sz w:val="24"/>
        </w:rPr>
        <w:t>)</w:t>
      </w:r>
      <w:r w:rsidRPr="005F2C75">
        <w:rPr>
          <w:sz w:val="24"/>
        </w:rPr>
        <w:t xml:space="preserve"> NQF-endorsed quality</w:t>
      </w:r>
      <w:r w:rsidR="006E4A88">
        <w:rPr>
          <w:sz w:val="24"/>
        </w:rPr>
        <w:t xml:space="preserve"> measures developed by t</w:t>
      </w:r>
      <w:r w:rsidRPr="005F2C75">
        <w:rPr>
          <w:sz w:val="24"/>
        </w:rPr>
        <w:t>he C</w:t>
      </w:r>
      <w:r w:rsidR="00E41F00">
        <w:rPr>
          <w:sz w:val="24"/>
        </w:rPr>
        <w:t xml:space="preserve">enter for </w:t>
      </w:r>
      <w:r>
        <w:rPr>
          <w:sz w:val="24"/>
        </w:rPr>
        <w:t>D</w:t>
      </w:r>
      <w:r w:rsidR="00E41F00">
        <w:rPr>
          <w:sz w:val="24"/>
        </w:rPr>
        <w:t xml:space="preserve">isease </w:t>
      </w:r>
      <w:r>
        <w:rPr>
          <w:sz w:val="24"/>
        </w:rPr>
        <w:t>C</w:t>
      </w:r>
      <w:r w:rsidR="00E41F00">
        <w:rPr>
          <w:sz w:val="24"/>
        </w:rPr>
        <w:t>ontrol (CDC)</w:t>
      </w:r>
      <w:r>
        <w:rPr>
          <w:sz w:val="24"/>
        </w:rPr>
        <w:t xml:space="preserve"> and A</w:t>
      </w:r>
      <w:r w:rsidR="00E41F00">
        <w:rPr>
          <w:sz w:val="24"/>
        </w:rPr>
        <w:t>merican College of Surgeons’/Commission on Cancer (ACS</w:t>
      </w:r>
      <w:r>
        <w:rPr>
          <w:sz w:val="24"/>
        </w:rPr>
        <w:t>/CoC</w:t>
      </w:r>
      <w:r w:rsidR="00E41F00">
        <w:rPr>
          <w:sz w:val="24"/>
        </w:rPr>
        <w:t>)</w:t>
      </w:r>
      <w:r w:rsidRPr="005F2C75">
        <w:rPr>
          <w:sz w:val="24"/>
        </w:rPr>
        <w:t>.</w:t>
      </w:r>
      <w:r w:rsidR="00D40068">
        <w:rPr>
          <w:sz w:val="24"/>
        </w:rPr>
        <w:t xml:space="preserve"> </w:t>
      </w:r>
    </w:p>
    <w:p w:rsidR="00E22D7D" w:rsidRDefault="00E22D7D" w:rsidP="005F2C75">
      <w:pPr>
        <w:ind w:firstLine="720"/>
        <w:outlineLvl w:val="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5F2C75" w:rsidRPr="00D25447" w:rsidTr="00D25447">
        <w:tc>
          <w:tcPr>
            <w:tcW w:w="2628" w:type="dxa"/>
            <w:vAlign w:val="center"/>
          </w:tcPr>
          <w:p w:rsidR="005F2C75" w:rsidRPr="00D25447" w:rsidRDefault="005F2C75" w:rsidP="00D25447">
            <w:pPr>
              <w:jc w:val="center"/>
              <w:outlineLvl w:val="0"/>
              <w:rPr>
                <w:sz w:val="24"/>
              </w:rPr>
            </w:pPr>
            <w:r w:rsidRPr="00D25447">
              <w:rPr>
                <w:sz w:val="24"/>
              </w:rPr>
              <w:t>MEASURE STEWART</w:t>
            </w:r>
          </w:p>
        </w:tc>
        <w:tc>
          <w:tcPr>
            <w:tcW w:w="6948" w:type="dxa"/>
          </w:tcPr>
          <w:p w:rsidR="005F2C75" w:rsidRPr="00D25447" w:rsidRDefault="005F2C75" w:rsidP="00D25447">
            <w:pPr>
              <w:jc w:val="center"/>
              <w:outlineLvl w:val="0"/>
              <w:rPr>
                <w:sz w:val="24"/>
              </w:rPr>
            </w:pPr>
            <w:r w:rsidRPr="00D25447">
              <w:rPr>
                <w:sz w:val="24"/>
              </w:rPr>
              <w:t>QUALITY MEASSURES</w:t>
            </w:r>
          </w:p>
        </w:tc>
      </w:tr>
      <w:tr w:rsidR="005F2C75" w:rsidRPr="00D25447" w:rsidTr="00D25447">
        <w:tc>
          <w:tcPr>
            <w:tcW w:w="2628" w:type="dxa"/>
            <w:vMerge w:val="restart"/>
            <w:vAlign w:val="center"/>
          </w:tcPr>
          <w:p w:rsidR="005F2C75" w:rsidRPr="00D25447" w:rsidRDefault="005F2C75" w:rsidP="00D25447">
            <w:pPr>
              <w:jc w:val="center"/>
              <w:outlineLvl w:val="0"/>
              <w:rPr>
                <w:sz w:val="24"/>
              </w:rPr>
            </w:pPr>
            <w:r w:rsidRPr="00D25447">
              <w:rPr>
                <w:sz w:val="24"/>
              </w:rPr>
              <w:t>ACS/CoC</w:t>
            </w:r>
          </w:p>
        </w:tc>
        <w:tc>
          <w:tcPr>
            <w:tcW w:w="6948" w:type="dxa"/>
          </w:tcPr>
          <w:p w:rsidR="005F2C75" w:rsidRPr="00D25447" w:rsidRDefault="005F2C75" w:rsidP="00D25447">
            <w:pPr>
              <w:jc w:val="center"/>
              <w:outlineLvl w:val="0"/>
              <w:rPr>
                <w:sz w:val="24"/>
              </w:rPr>
            </w:pPr>
            <w:r w:rsidRPr="00D25447">
              <w:rPr>
                <w:sz w:val="24"/>
              </w:rPr>
              <w:t>Adjuvant chemotherapy for Stage III colon cancer (NQF#0223)</w:t>
            </w:r>
          </w:p>
        </w:tc>
      </w:tr>
      <w:tr w:rsidR="005F2C75" w:rsidRPr="00D25447" w:rsidTr="00D25447">
        <w:tc>
          <w:tcPr>
            <w:tcW w:w="2628" w:type="dxa"/>
            <w:vMerge/>
          </w:tcPr>
          <w:p w:rsidR="005F2C75" w:rsidRPr="00D25447" w:rsidRDefault="005F2C75" w:rsidP="00D25447">
            <w:pPr>
              <w:outlineLvl w:val="0"/>
              <w:rPr>
                <w:sz w:val="24"/>
              </w:rPr>
            </w:pPr>
          </w:p>
        </w:tc>
        <w:tc>
          <w:tcPr>
            <w:tcW w:w="6948" w:type="dxa"/>
          </w:tcPr>
          <w:p w:rsidR="005F2C75" w:rsidRDefault="005F2C75" w:rsidP="00D25447">
            <w:pPr>
              <w:pStyle w:val="ListParagraph"/>
              <w:ind w:left="0"/>
              <w:jc w:val="center"/>
            </w:pPr>
            <w:r w:rsidRPr="005F2C75">
              <w:t>Combination chemotherapy for AJCC T1c or Stage II or III hormone receptor-negative breast cancer (NQF#0559)</w:t>
            </w:r>
          </w:p>
        </w:tc>
      </w:tr>
      <w:tr w:rsidR="005F2C75" w:rsidRPr="00D25447" w:rsidTr="00D25447">
        <w:tc>
          <w:tcPr>
            <w:tcW w:w="2628" w:type="dxa"/>
            <w:vMerge/>
          </w:tcPr>
          <w:p w:rsidR="005F2C75" w:rsidRPr="00D25447" w:rsidRDefault="005F2C75" w:rsidP="00D25447">
            <w:pPr>
              <w:outlineLvl w:val="0"/>
              <w:rPr>
                <w:sz w:val="24"/>
              </w:rPr>
            </w:pPr>
          </w:p>
        </w:tc>
        <w:tc>
          <w:tcPr>
            <w:tcW w:w="6948" w:type="dxa"/>
          </w:tcPr>
          <w:p w:rsidR="005F2C75" w:rsidRPr="00D25447" w:rsidRDefault="005F2C75" w:rsidP="00D25447">
            <w:pPr>
              <w:jc w:val="center"/>
              <w:outlineLvl w:val="0"/>
              <w:rPr>
                <w:sz w:val="24"/>
              </w:rPr>
            </w:pPr>
            <w:r w:rsidRPr="00D25447">
              <w:rPr>
                <w:sz w:val="24"/>
              </w:rPr>
              <w:t>Hormone therapy for AJCC T1c or Stage II or III hormone receptor-positive breast cancer (NQF#0220)</w:t>
            </w:r>
          </w:p>
        </w:tc>
      </w:tr>
      <w:tr w:rsidR="005F2C75" w:rsidRPr="00D25447" w:rsidTr="00D25447">
        <w:tc>
          <w:tcPr>
            <w:tcW w:w="2628" w:type="dxa"/>
            <w:vMerge w:val="restart"/>
            <w:vAlign w:val="center"/>
          </w:tcPr>
          <w:p w:rsidR="005F2C75" w:rsidRPr="00D25447" w:rsidRDefault="005F2C75" w:rsidP="00D25447">
            <w:pPr>
              <w:jc w:val="center"/>
              <w:outlineLvl w:val="0"/>
              <w:rPr>
                <w:sz w:val="24"/>
              </w:rPr>
            </w:pPr>
            <w:r w:rsidRPr="00D25447">
              <w:rPr>
                <w:sz w:val="24"/>
              </w:rPr>
              <w:t>CDC</w:t>
            </w:r>
          </w:p>
        </w:tc>
        <w:tc>
          <w:tcPr>
            <w:tcW w:w="6948" w:type="dxa"/>
          </w:tcPr>
          <w:p w:rsidR="00171D79" w:rsidRPr="00D25447" w:rsidRDefault="00171D79" w:rsidP="00D25447">
            <w:pPr>
              <w:jc w:val="center"/>
              <w:outlineLvl w:val="0"/>
              <w:rPr>
                <w:sz w:val="24"/>
              </w:rPr>
            </w:pPr>
            <w:r w:rsidRPr="00D25447">
              <w:rPr>
                <w:sz w:val="24"/>
              </w:rPr>
              <w:t>Health Acquired Infection (HAI) Measure</w:t>
            </w:r>
          </w:p>
          <w:p w:rsidR="005F2C75" w:rsidRPr="00D25447" w:rsidRDefault="005F2C75" w:rsidP="00D25447">
            <w:pPr>
              <w:jc w:val="center"/>
              <w:outlineLvl w:val="0"/>
              <w:rPr>
                <w:sz w:val="24"/>
              </w:rPr>
            </w:pPr>
            <w:r w:rsidRPr="00D25447">
              <w:rPr>
                <w:sz w:val="24"/>
              </w:rPr>
              <w:t>Central Line-Associated Bloodstream Infection (CLABSI) Outcome Measure (NQF#0754)</w:t>
            </w:r>
          </w:p>
        </w:tc>
      </w:tr>
      <w:tr w:rsidR="005F2C75" w:rsidRPr="00D25447" w:rsidTr="00D25447">
        <w:tc>
          <w:tcPr>
            <w:tcW w:w="2628" w:type="dxa"/>
            <w:vMerge/>
          </w:tcPr>
          <w:p w:rsidR="005F2C75" w:rsidRPr="00D25447" w:rsidRDefault="005F2C75" w:rsidP="00D25447">
            <w:pPr>
              <w:outlineLvl w:val="0"/>
              <w:rPr>
                <w:sz w:val="24"/>
              </w:rPr>
            </w:pPr>
          </w:p>
        </w:tc>
        <w:tc>
          <w:tcPr>
            <w:tcW w:w="6948" w:type="dxa"/>
          </w:tcPr>
          <w:p w:rsidR="00171D79" w:rsidRPr="00D25447" w:rsidRDefault="00171D79" w:rsidP="00D25447">
            <w:pPr>
              <w:jc w:val="center"/>
              <w:outlineLvl w:val="0"/>
              <w:rPr>
                <w:sz w:val="24"/>
              </w:rPr>
            </w:pPr>
            <w:r w:rsidRPr="00D25447">
              <w:rPr>
                <w:sz w:val="24"/>
              </w:rPr>
              <w:t>Health Acquired Infection (HAI) Measure</w:t>
            </w:r>
          </w:p>
          <w:p w:rsidR="005F2C75" w:rsidRPr="00D25447" w:rsidRDefault="005F2C75" w:rsidP="00D25447">
            <w:pPr>
              <w:jc w:val="center"/>
              <w:outlineLvl w:val="0"/>
              <w:rPr>
                <w:sz w:val="24"/>
              </w:rPr>
            </w:pPr>
            <w:r w:rsidRPr="00D25447">
              <w:rPr>
                <w:sz w:val="24"/>
              </w:rPr>
              <w:t>Catheter-Associated Urinary Tract Infection (CAUTI) Outcome Measure (NQF#0752)</w:t>
            </w:r>
          </w:p>
        </w:tc>
      </w:tr>
    </w:tbl>
    <w:p w:rsidR="005F2C75" w:rsidRPr="005F2C75" w:rsidRDefault="005F2C75" w:rsidP="005F2C75">
      <w:pPr>
        <w:ind w:firstLine="720"/>
        <w:outlineLvl w:val="0"/>
        <w:rPr>
          <w:sz w:val="24"/>
        </w:rPr>
      </w:pPr>
      <w:r w:rsidRPr="005F2C75">
        <w:rPr>
          <w:sz w:val="24"/>
        </w:rPr>
        <w:t xml:space="preserve">  </w:t>
      </w:r>
    </w:p>
    <w:p w:rsidR="00E22D7D" w:rsidRDefault="00D40068" w:rsidP="00E22D7D">
      <w:pPr>
        <w:ind w:firstLine="720"/>
        <w:outlineLvl w:val="0"/>
        <w:rPr>
          <w:sz w:val="24"/>
        </w:rPr>
      </w:pPr>
      <w:r>
        <w:rPr>
          <w:sz w:val="24"/>
        </w:rPr>
        <w:t>A</w:t>
      </w:r>
      <w:r w:rsidRPr="00D40068">
        <w:rPr>
          <w:sz w:val="24"/>
        </w:rPr>
        <w:t xml:space="preserve">lthough PCHs have not reported on quality measures to CMS, they have some familiarity with and experience in reporting of quality data.  More specifically, out of the 11 existing PCHs, 10 are currently reporting the proposed measures to the </w:t>
      </w:r>
      <w:r>
        <w:rPr>
          <w:sz w:val="24"/>
        </w:rPr>
        <w:t>ACS/CoC</w:t>
      </w:r>
      <w:r w:rsidRPr="00D40068">
        <w:rPr>
          <w:sz w:val="24"/>
        </w:rPr>
        <w:t xml:space="preserve">.  This equates to 91 percent of PCHs that already report the measures on a regular basis.  Likewise; a majority of the PCHs have been submitting data to the </w:t>
      </w:r>
      <w:r>
        <w:rPr>
          <w:sz w:val="24"/>
        </w:rPr>
        <w:t>CDC</w:t>
      </w:r>
      <w:r w:rsidR="00BE7C7B">
        <w:rPr>
          <w:sz w:val="24"/>
        </w:rPr>
        <w:t xml:space="preserve"> under the </w:t>
      </w:r>
      <w:r w:rsidR="00BE7C7B" w:rsidRPr="00BE7C7B">
        <w:rPr>
          <w:sz w:val="24"/>
        </w:rPr>
        <w:t>NHSN OMB Paperwork Reduction Act (PRA) package number 0920-0666</w:t>
      </w:r>
      <w:r w:rsidRPr="00D40068">
        <w:rPr>
          <w:sz w:val="24"/>
        </w:rPr>
        <w:t xml:space="preserve">. The fact that the majority of the PCHs have demonstrated the ability to report the measures indicates the proposed regulation does not significantly impact PCHs. </w:t>
      </w:r>
      <w:r w:rsidR="00E22D7D">
        <w:rPr>
          <w:sz w:val="24"/>
        </w:rPr>
        <w:t xml:space="preserve">We are proposing </w:t>
      </w:r>
      <w:r w:rsidR="007466D1">
        <w:rPr>
          <w:sz w:val="24"/>
        </w:rPr>
        <w:t xml:space="preserve">a </w:t>
      </w:r>
      <w:r w:rsidR="00E22D7D">
        <w:rPr>
          <w:sz w:val="24"/>
        </w:rPr>
        <w:t>two-step approach in data reporting. First, patient-level data will be submitted to th</w:t>
      </w:r>
      <w:r w:rsidR="00BE7C7B">
        <w:rPr>
          <w:sz w:val="24"/>
        </w:rPr>
        <w:t xml:space="preserve">e </w:t>
      </w:r>
      <w:r w:rsidR="008A3A8D">
        <w:rPr>
          <w:sz w:val="24"/>
        </w:rPr>
        <w:t xml:space="preserve">CDC and ACS/CoC </w:t>
      </w:r>
      <w:r w:rsidR="00E22D7D">
        <w:rPr>
          <w:sz w:val="24"/>
        </w:rPr>
        <w:t xml:space="preserve">by the PCHs. And secondly, the </w:t>
      </w:r>
      <w:r w:rsidR="00BE7C7B">
        <w:rPr>
          <w:sz w:val="24"/>
        </w:rPr>
        <w:t xml:space="preserve">CDC and a CMS contractor </w:t>
      </w:r>
      <w:r w:rsidR="00E22D7D">
        <w:rPr>
          <w:sz w:val="24"/>
        </w:rPr>
        <w:t>will submit aggregated and calculated measure rates to CMS. Therefore, to minimize burden and avoid duplicative reporting efforts, PCHs only have to submit</w:t>
      </w:r>
      <w:r w:rsidR="00E90EF3">
        <w:rPr>
          <w:sz w:val="24"/>
        </w:rPr>
        <w:t xml:space="preserve"> </w:t>
      </w:r>
      <w:r w:rsidR="00E90EF3">
        <w:rPr>
          <w:sz w:val="24"/>
        </w:rPr>
        <w:lastRenderedPageBreak/>
        <w:t>data</w:t>
      </w:r>
      <w:r w:rsidR="00E22D7D">
        <w:rPr>
          <w:sz w:val="24"/>
        </w:rPr>
        <w:t xml:space="preserve"> once to each entity.</w:t>
      </w:r>
    </w:p>
    <w:p w:rsidR="00D40068" w:rsidRPr="00D40068" w:rsidRDefault="00D40068" w:rsidP="00D40068">
      <w:pPr>
        <w:rPr>
          <w:sz w:val="24"/>
        </w:rPr>
      </w:pPr>
    </w:p>
    <w:p w:rsidR="002A05D8" w:rsidRDefault="002A05D8" w:rsidP="00F16B2F">
      <w:pPr>
        <w:pStyle w:val="BodyText"/>
        <w:spacing w:after="240"/>
        <w:rPr>
          <w:color w:val="auto"/>
          <w:sz w:val="24"/>
          <w:szCs w:val="24"/>
        </w:rPr>
      </w:pPr>
      <w:r w:rsidRPr="002A05D8">
        <w:rPr>
          <w:color w:val="auto"/>
          <w:sz w:val="24"/>
          <w:szCs w:val="24"/>
        </w:rPr>
        <w:t xml:space="preserve">CMS is proposing to implement some procedural requirements to </w:t>
      </w:r>
      <w:r w:rsidR="00790171">
        <w:rPr>
          <w:color w:val="auto"/>
          <w:sz w:val="24"/>
          <w:szCs w:val="24"/>
        </w:rPr>
        <w:t xml:space="preserve">meet the statutory mandate </w:t>
      </w:r>
      <w:r w:rsidR="00D56759">
        <w:rPr>
          <w:color w:val="auto"/>
          <w:sz w:val="24"/>
          <w:szCs w:val="24"/>
        </w:rPr>
        <w:t xml:space="preserve">by setting boundaries </w:t>
      </w:r>
      <w:r w:rsidR="00790171">
        <w:rPr>
          <w:color w:val="auto"/>
          <w:sz w:val="24"/>
          <w:szCs w:val="24"/>
        </w:rPr>
        <w:t xml:space="preserve">and </w:t>
      </w:r>
      <w:r w:rsidRPr="002A05D8">
        <w:rPr>
          <w:color w:val="auto"/>
          <w:sz w:val="24"/>
          <w:szCs w:val="24"/>
        </w:rPr>
        <w:t>align with current quality reporting programs. These procedural requirements would involve submi</w:t>
      </w:r>
      <w:r w:rsidR="00F26AF0">
        <w:rPr>
          <w:color w:val="auto"/>
          <w:sz w:val="24"/>
          <w:szCs w:val="24"/>
        </w:rPr>
        <w:t xml:space="preserve">ssion of </w:t>
      </w:r>
      <w:r w:rsidRPr="002A05D8">
        <w:rPr>
          <w:color w:val="auto"/>
          <w:sz w:val="24"/>
          <w:szCs w:val="24"/>
        </w:rPr>
        <w:t xml:space="preserve">forms to comply with the PCHQR Program </w:t>
      </w:r>
      <w:r w:rsidR="0067601C">
        <w:rPr>
          <w:color w:val="auto"/>
          <w:sz w:val="24"/>
          <w:szCs w:val="24"/>
        </w:rPr>
        <w:t xml:space="preserve">requirement </w:t>
      </w:r>
      <w:r w:rsidRPr="002A05D8">
        <w:rPr>
          <w:color w:val="auto"/>
          <w:sz w:val="24"/>
          <w:szCs w:val="24"/>
        </w:rPr>
        <w:t xml:space="preserve">and aligns with current CMS reporting requirements for other quality programs (i.e., Hospital Inpatient Quality Reporting, Hospital Outpatient Quality Reporting, and Hospital Value-Based Purchasing). The aforementioned forms that require clearance are the Notice of Participation (NOP), Data Accuracy and Completeness Acknowledgement (DACA), </w:t>
      </w:r>
      <w:r w:rsidR="00123F4D" w:rsidRPr="002A05D8">
        <w:rPr>
          <w:color w:val="auto"/>
          <w:sz w:val="24"/>
          <w:szCs w:val="24"/>
        </w:rPr>
        <w:t xml:space="preserve">Decline Participation, </w:t>
      </w:r>
      <w:r w:rsidR="00123F4D" w:rsidRPr="00123F4D">
        <w:rPr>
          <w:color w:val="auto"/>
          <w:sz w:val="24"/>
          <w:szCs w:val="24"/>
        </w:rPr>
        <w:t>Participation Withdrawal Form</w:t>
      </w:r>
      <w:r w:rsidR="00123F4D">
        <w:rPr>
          <w:color w:val="auto"/>
          <w:sz w:val="24"/>
          <w:szCs w:val="24"/>
        </w:rPr>
        <w:t xml:space="preserve">, </w:t>
      </w:r>
      <w:r w:rsidRPr="002A05D8">
        <w:rPr>
          <w:color w:val="auto"/>
          <w:sz w:val="24"/>
          <w:szCs w:val="24"/>
        </w:rPr>
        <w:t xml:space="preserve">and </w:t>
      </w:r>
      <w:r w:rsidR="001A6207">
        <w:rPr>
          <w:color w:val="auto"/>
          <w:sz w:val="24"/>
          <w:szCs w:val="24"/>
        </w:rPr>
        <w:t>Intensive Care Unit (I</w:t>
      </w:r>
      <w:r w:rsidRPr="002A05D8">
        <w:rPr>
          <w:color w:val="auto"/>
          <w:sz w:val="24"/>
          <w:szCs w:val="24"/>
        </w:rPr>
        <w:t>CU</w:t>
      </w:r>
      <w:r w:rsidR="001A6207">
        <w:rPr>
          <w:color w:val="auto"/>
          <w:sz w:val="24"/>
          <w:szCs w:val="24"/>
        </w:rPr>
        <w:t>)</w:t>
      </w:r>
      <w:r w:rsidRPr="002A05D8">
        <w:rPr>
          <w:color w:val="auto"/>
          <w:sz w:val="24"/>
          <w:szCs w:val="24"/>
        </w:rPr>
        <w:t xml:space="preserve"> Location </w:t>
      </w:r>
      <w:r w:rsidR="001A6207">
        <w:rPr>
          <w:color w:val="auto"/>
          <w:sz w:val="24"/>
          <w:szCs w:val="24"/>
        </w:rPr>
        <w:t xml:space="preserve">Waiver </w:t>
      </w:r>
      <w:r w:rsidRPr="002A05D8">
        <w:rPr>
          <w:color w:val="auto"/>
          <w:sz w:val="24"/>
          <w:szCs w:val="24"/>
        </w:rPr>
        <w:t>(specifically for the HAI measures) forms.</w:t>
      </w:r>
    </w:p>
    <w:p w:rsidR="00C34AD6" w:rsidRDefault="00C34AD6" w:rsidP="00F16B2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b/>
          <w:bCs/>
          <w:sz w:val="24"/>
          <w:u w:val="single"/>
        </w:rPr>
        <w:t>B.</w:t>
      </w:r>
      <w:r>
        <w:rPr>
          <w:b/>
          <w:bCs/>
          <w:sz w:val="24"/>
        </w:rPr>
        <w:tab/>
      </w:r>
      <w:r>
        <w:rPr>
          <w:b/>
          <w:bCs/>
          <w:sz w:val="24"/>
          <w:u w:val="single"/>
        </w:rPr>
        <w:t>Justification</w:t>
      </w:r>
    </w:p>
    <w:p w:rsidR="00C34AD6" w:rsidRDefault="00363209" w:rsidP="00F16B2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rPr>
      </w:pPr>
      <w:r>
        <w:rPr>
          <w:sz w:val="24"/>
        </w:rPr>
        <w:t xml:space="preserve">1. </w:t>
      </w:r>
      <w:r w:rsidR="00C34AD6">
        <w:rPr>
          <w:sz w:val="24"/>
          <w:u w:val="single"/>
        </w:rPr>
        <w:t>Need and Legal Basis</w:t>
      </w:r>
    </w:p>
    <w:p w:rsidR="000C5129" w:rsidRDefault="000C5129" w:rsidP="000C512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0C5129">
        <w:rPr>
          <w:sz w:val="24"/>
        </w:rPr>
        <w:t xml:space="preserve">Section 1886(d)(1)(B)(v) in accordance with paragraph (2) of the Act requires that, for FY2014 (October 1, 2013 through September 30, 2014) and each subsequent fiscal year, each PPS-exempt cancer hospital shall submit to the Secretary data on quality measures as specified by the Secretary.  Such data shall be submitted in a form and manner, and at a time, specified by the Secretary.   </w:t>
      </w:r>
    </w:p>
    <w:p w:rsidR="00102767" w:rsidRDefault="00102767" w:rsidP="000C512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102767">
        <w:rPr>
          <w:sz w:val="24"/>
        </w:rPr>
        <w:t xml:space="preserve">In implementing the PPS-exempt Cancer Hospital Quality Reporting (PCHQR) Program, we believe that the development of a quality reporting program that is successful in promoting the delivery of high quality health care services in PCH setting is of paramount importance.  </w:t>
      </w:r>
      <w:r>
        <w:rPr>
          <w:sz w:val="24"/>
        </w:rPr>
        <w:t xml:space="preserve">Therefore in our effort to provide services to the PCHs, we are proposing some procedural requirements to ascertain that the PCHs </w:t>
      </w:r>
      <w:r w:rsidR="005E431C">
        <w:rPr>
          <w:sz w:val="24"/>
        </w:rPr>
        <w:t xml:space="preserve">wish to participate in the Program </w:t>
      </w:r>
      <w:r>
        <w:rPr>
          <w:sz w:val="24"/>
        </w:rPr>
        <w:t>accept the conditions put forth to comply with our agency’s</w:t>
      </w:r>
      <w:r w:rsidR="007E4C60">
        <w:rPr>
          <w:sz w:val="24"/>
        </w:rPr>
        <w:t xml:space="preserve"> reporting (procedural)</w:t>
      </w:r>
      <w:r>
        <w:rPr>
          <w:sz w:val="24"/>
        </w:rPr>
        <w:t xml:space="preserve"> requirements. </w:t>
      </w:r>
    </w:p>
    <w:p w:rsidR="00C929EB" w:rsidRDefault="00102767" w:rsidP="00CE698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102767">
        <w:rPr>
          <w:sz w:val="24"/>
        </w:rPr>
        <w:t xml:space="preserve">As the statute provides in </w:t>
      </w:r>
      <w:r w:rsidR="00CE6980" w:rsidRPr="00CE6980">
        <w:rPr>
          <w:sz w:val="24"/>
        </w:rPr>
        <w:t>section 1886(d)(1)(B)(v) in accordance with paragraph (4)</w:t>
      </w:r>
      <w:r w:rsidRPr="00102767">
        <w:rPr>
          <w:sz w:val="24"/>
        </w:rPr>
        <w:t xml:space="preserve">, in establishing the PCHQR Program, </w:t>
      </w:r>
      <w:r w:rsidR="00CE6980" w:rsidRPr="00CE6980">
        <w:rPr>
          <w:sz w:val="24"/>
        </w:rPr>
        <w:t xml:space="preserve">requires the Secretary to establish procedures </w:t>
      </w:r>
      <w:r w:rsidR="00CE6980" w:rsidRPr="007E4C60">
        <w:rPr>
          <w:sz w:val="24"/>
        </w:rPr>
        <w:t>for making public the data</w:t>
      </w:r>
      <w:r w:rsidR="002A4BFA">
        <w:rPr>
          <w:sz w:val="24"/>
        </w:rPr>
        <w:t>/me</w:t>
      </w:r>
      <w:r w:rsidR="00CE6980">
        <w:rPr>
          <w:sz w:val="24"/>
        </w:rPr>
        <w:t>asure rates</w:t>
      </w:r>
      <w:r w:rsidR="002A4BFA">
        <w:rPr>
          <w:sz w:val="24"/>
        </w:rPr>
        <w:t xml:space="preserve"> </w:t>
      </w:r>
      <w:r w:rsidR="00CE6980" w:rsidRPr="007E4C60">
        <w:rPr>
          <w:sz w:val="24"/>
        </w:rPr>
        <w:t xml:space="preserve">submitted by PPS-exempt cancer hospitals (PCHs) under the PCHQR Program.  </w:t>
      </w:r>
      <w:r w:rsidR="00CE6980">
        <w:rPr>
          <w:sz w:val="24"/>
        </w:rPr>
        <w:t xml:space="preserve">In order for CMS to publish the measure rates, PCHs would need to pledge to participate in the PCHQR program, meaning PCHs would need to submit the Notice of Participation (NOP) form. By submitting the NOP, PCHs are pledging to participate in the PCHQR Program and shall submit the required data pertaining to the five (5) quality measures and </w:t>
      </w:r>
      <w:r w:rsidR="0014238A">
        <w:rPr>
          <w:sz w:val="24"/>
        </w:rPr>
        <w:t xml:space="preserve">additionally, </w:t>
      </w:r>
      <w:r w:rsidR="00CE6980">
        <w:rPr>
          <w:sz w:val="24"/>
        </w:rPr>
        <w:t xml:space="preserve">consent to publicly report their measure rates on </w:t>
      </w:r>
      <w:r w:rsidR="003C5B9D">
        <w:rPr>
          <w:sz w:val="24"/>
        </w:rPr>
        <w:t xml:space="preserve">the </w:t>
      </w:r>
      <w:r w:rsidR="00CE6980">
        <w:rPr>
          <w:sz w:val="24"/>
        </w:rPr>
        <w:t xml:space="preserve">Hospital Compare Web site. </w:t>
      </w:r>
      <w:r w:rsidR="001838B1">
        <w:rPr>
          <w:sz w:val="24"/>
        </w:rPr>
        <w:t>W</w:t>
      </w:r>
      <w:r w:rsidR="00CE6980">
        <w:rPr>
          <w:sz w:val="24"/>
        </w:rPr>
        <w:t xml:space="preserve">e </w:t>
      </w:r>
      <w:r w:rsidR="00FD43C1">
        <w:rPr>
          <w:sz w:val="24"/>
        </w:rPr>
        <w:t>are mindful and r</w:t>
      </w:r>
      <w:r w:rsidR="00CE6980">
        <w:rPr>
          <w:sz w:val="24"/>
        </w:rPr>
        <w:t xml:space="preserve">espectful that PCHs may choose </w:t>
      </w:r>
      <w:r w:rsidR="00AF7C87">
        <w:rPr>
          <w:sz w:val="24"/>
        </w:rPr>
        <w:t xml:space="preserve">not </w:t>
      </w:r>
      <w:r w:rsidR="00CE6980">
        <w:rPr>
          <w:sz w:val="24"/>
        </w:rPr>
        <w:t xml:space="preserve">to participate or withdraw from the Program. </w:t>
      </w:r>
      <w:r w:rsidR="00AF7C87">
        <w:rPr>
          <w:sz w:val="24"/>
        </w:rPr>
        <w:t xml:space="preserve">In our effort to maintain good stewardship, we are providing some means to provide PCHs </w:t>
      </w:r>
      <w:r w:rsidR="002A4BFA">
        <w:rPr>
          <w:sz w:val="24"/>
        </w:rPr>
        <w:t xml:space="preserve">the </w:t>
      </w:r>
      <w:r w:rsidR="00AF7C87">
        <w:rPr>
          <w:sz w:val="24"/>
        </w:rPr>
        <w:t xml:space="preserve">opportunities to decline or withdraw from the Program. </w:t>
      </w:r>
    </w:p>
    <w:p w:rsidR="00E41F00" w:rsidRPr="00902DE5" w:rsidRDefault="00C929EB" w:rsidP="00CE698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 xml:space="preserve">As part of our procedural requirements, we are also requiring the PCHs to acknowledge and attest to the data submitted. </w:t>
      </w:r>
      <w:r w:rsidRPr="00C929EB">
        <w:rPr>
          <w:sz w:val="24"/>
        </w:rPr>
        <w:t xml:space="preserve">We seek to efficiently collect information on valid, reliable, and relevant measures of quality and to share this information with the public, as provided under section </w:t>
      </w:r>
      <w:r w:rsidR="008E2B59">
        <w:rPr>
          <w:sz w:val="24"/>
        </w:rPr>
        <w:t xml:space="preserve">1886(d)(1)(B)(v) as amended by section </w:t>
      </w:r>
      <w:r w:rsidRPr="00C929EB">
        <w:rPr>
          <w:sz w:val="24"/>
        </w:rPr>
        <w:t>3005 of the Affordable Care Act.</w:t>
      </w:r>
      <w:r w:rsidR="0046572A">
        <w:rPr>
          <w:sz w:val="24"/>
        </w:rPr>
        <w:t xml:space="preserve"> PCHs will </w:t>
      </w:r>
      <w:r w:rsidR="0046572A">
        <w:rPr>
          <w:sz w:val="24"/>
        </w:rPr>
        <w:lastRenderedPageBreak/>
        <w:t xml:space="preserve">have to submit the </w:t>
      </w:r>
      <w:r w:rsidR="0046572A" w:rsidRPr="0046572A">
        <w:rPr>
          <w:sz w:val="24"/>
        </w:rPr>
        <w:t>Data Accuracy and Comp</w:t>
      </w:r>
      <w:r w:rsidR="0046572A">
        <w:rPr>
          <w:sz w:val="24"/>
        </w:rPr>
        <w:t>leteness Acknowledgement (DACA) form.</w:t>
      </w:r>
      <w:r w:rsidR="00902DE5">
        <w:rPr>
          <w:sz w:val="24"/>
        </w:rPr>
        <w:t xml:space="preserve"> In submitting this form, </w:t>
      </w:r>
      <w:r w:rsidR="00902DE5" w:rsidRPr="00902DE5">
        <w:rPr>
          <w:sz w:val="24"/>
        </w:rPr>
        <w:t>PCHs acknowledge that the data submitted are true, accurate</w:t>
      </w:r>
      <w:r w:rsidR="00902DE5">
        <w:rPr>
          <w:sz w:val="24"/>
        </w:rPr>
        <w:t>,</w:t>
      </w:r>
      <w:r w:rsidR="00902DE5" w:rsidRPr="00902DE5">
        <w:rPr>
          <w:sz w:val="24"/>
        </w:rPr>
        <w:t xml:space="preserve"> and complete</w:t>
      </w:r>
      <w:r w:rsidR="00902DE5">
        <w:rPr>
          <w:sz w:val="24"/>
        </w:rPr>
        <w:t>.</w:t>
      </w:r>
      <w:r w:rsidR="00E41F00">
        <w:rPr>
          <w:sz w:val="24"/>
        </w:rPr>
        <w:t xml:space="preserve"> </w:t>
      </w:r>
      <w:r w:rsidR="00171D79">
        <w:rPr>
          <w:sz w:val="24"/>
        </w:rPr>
        <w:t xml:space="preserve">Besides submitting the DACA, PCHs are given the opportunity to submit the </w:t>
      </w:r>
      <w:r w:rsidR="00171D79" w:rsidRPr="00171D79">
        <w:rPr>
          <w:sz w:val="24"/>
        </w:rPr>
        <w:t>Intensive Care Unit (ICU) Location Waiver</w:t>
      </w:r>
      <w:r w:rsidR="00171D79">
        <w:rPr>
          <w:sz w:val="24"/>
        </w:rPr>
        <w:t xml:space="preserve"> form. PCHs </w:t>
      </w:r>
      <w:r w:rsidR="00171D79" w:rsidRPr="00171D79">
        <w:rPr>
          <w:sz w:val="24"/>
        </w:rPr>
        <w:t xml:space="preserve">with no ICU </w:t>
      </w:r>
      <w:r w:rsidR="00171D79">
        <w:rPr>
          <w:sz w:val="24"/>
        </w:rPr>
        <w:t>or experiencing low case threshold to meet the inclusion criteria</w:t>
      </w:r>
      <w:r w:rsidR="003E36B9">
        <w:rPr>
          <w:sz w:val="24"/>
        </w:rPr>
        <w:t>, as</w:t>
      </w:r>
      <w:r w:rsidR="00171D79">
        <w:rPr>
          <w:sz w:val="24"/>
        </w:rPr>
        <w:t xml:space="preserve"> set forth by the CDC on two (2) Health Acquired Infection (HAI) measures</w:t>
      </w:r>
      <w:r w:rsidR="003E36B9">
        <w:rPr>
          <w:sz w:val="24"/>
        </w:rPr>
        <w:t>,</w:t>
      </w:r>
      <w:r w:rsidR="00171D79">
        <w:rPr>
          <w:sz w:val="24"/>
        </w:rPr>
        <w:t xml:space="preserve"> </w:t>
      </w:r>
      <w:r w:rsidR="00171D79" w:rsidRPr="00171D79">
        <w:rPr>
          <w:sz w:val="24"/>
        </w:rPr>
        <w:t xml:space="preserve">may request for a waiver </w:t>
      </w:r>
      <w:r w:rsidR="00171D79">
        <w:rPr>
          <w:sz w:val="24"/>
        </w:rPr>
        <w:t xml:space="preserve">to be excluded from data submission. </w:t>
      </w:r>
    </w:p>
    <w:p w:rsidR="00C34AD6" w:rsidRDefault="00C34AD6" w:rsidP="000C512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2.</w:t>
      </w:r>
      <w:r>
        <w:rPr>
          <w:sz w:val="24"/>
        </w:rPr>
        <w:tab/>
      </w:r>
      <w:r>
        <w:rPr>
          <w:sz w:val="24"/>
          <w:u w:val="single"/>
        </w:rPr>
        <w:t>Information Users</w:t>
      </w:r>
    </w:p>
    <w:p w:rsidR="00C34AD6" w:rsidRPr="00943545" w:rsidRDefault="0080677D" w:rsidP="00F16B2F">
      <w:pPr>
        <w:widowControl/>
        <w:numPr>
          <w:ilvl w:val="0"/>
          <w:numId w:val="2"/>
        </w:numPr>
        <w:autoSpaceDE/>
        <w:autoSpaceDN/>
        <w:adjustRightInd/>
        <w:spacing w:after="240"/>
        <w:rPr>
          <w:sz w:val="24"/>
        </w:rPr>
      </w:pPr>
      <w:r>
        <w:rPr>
          <w:sz w:val="24"/>
        </w:rPr>
        <w:t>PCH</w:t>
      </w:r>
      <w:r w:rsidR="000B34F4">
        <w:rPr>
          <w:sz w:val="24"/>
        </w:rPr>
        <w:t xml:space="preserve">s:  </w:t>
      </w:r>
      <w:r w:rsidR="00323FCA">
        <w:rPr>
          <w:sz w:val="24"/>
        </w:rPr>
        <w:t>PCH</w:t>
      </w:r>
      <w:r w:rsidR="000B34F4">
        <w:rPr>
          <w:sz w:val="24"/>
        </w:rPr>
        <w:t xml:space="preserve"> main focus</w:t>
      </w:r>
      <w:r w:rsidR="006518C4">
        <w:rPr>
          <w:sz w:val="24"/>
        </w:rPr>
        <w:t>es</w:t>
      </w:r>
      <w:r w:rsidR="000B34F4">
        <w:rPr>
          <w:sz w:val="24"/>
        </w:rPr>
        <w:t xml:space="preserve"> are to e</w:t>
      </w:r>
      <w:r w:rsidR="00C34AD6">
        <w:rPr>
          <w:sz w:val="24"/>
        </w:rPr>
        <w:t xml:space="preserve">xamine </w:t>
      </w:r>
      <w:r w:rsidR="000B34F4">
        <w:rPr>
          <w:sz w:val="24"/>
        </w:rPr>
        <w:t xml:space="preserve">individual PCH’s </w:t>
      </w:r>
      <w:r w:rsidR="00C34AD6">
        <w:rPr>
          <w:sz w:val="24"/>
        </w:rPr>
        <w:t>specific care domains and types of patients and can compare present performance to past performance with national performance norms</w:t>
      </w:r>
      <w:r w:rsidR="000B34F4">
        <w:rPr>
          <w:sz w:val="24"/>
        </w:rPr>
        <w:t xml:space="preserve">; </w:t>
      </w:r>
      <w:r w:rsidR="00C34AD6">
        <w:rPr>
          <w:sz w:val="24"/>
        </w:rPr>
        <w:t>to evaluate the effectiveness of care provided to specific types of patients and, in the context of investigating processes of care, to individual patients</w:t>
      </w:r>
      <w:r w:rsidR="000B34F4">
        <w:rPr>
          <w:sz w:val="24"/>
        </w:rPr>
        <w:t xml:space="preserve">; </w:t>
      </w:r>
      <w:r w:rsidR="00C34AD6">
        <w:rPr>
          <w:sz w:val="24"/>
        </w:rPr>
        <w:t>to continuously monitor quality improvement outcomes over time, and to objectively assess their own strengths and weaknesses in the clinical services they provide</w:t>
      </w:r>
      <w:r w:rsidR="000B34F4">
        <w:rPr>
          <w:sz w:val="24"/>
        </w:rPr>
        <w:t xml:space="preserve">; and to </w:t>
      </w:r>
      <w:r w:rsidR="00C34AD6">
        <w:rPr>
          <w:sz w:val="24"/>
        </w:rPr>
        <w:t xml:space="preserve">inform the </w:t>
      </w:r>
      <w:r w:rsidR="00323FCA">
        <w:rPr>
          <w:sz w:val="24"/>
        </w:rPr>
        <w:t xml:space="preserve">respective </w:t>
      </w:r>
      <w:r w:rsidR="000B34F4">
        <w:rPr>
          <w:sz w:val="24"/>
        </w:rPr>
        <w:t>PCH</w:t>
      </w:r>
      <w:r w:rsidR="00C34AD6">
        <w:rPr>
          <w:sz w:val="24"/>
        </w:rPr>
        <w:t xml:space="preserve"> of the care-related areas, activities, and/or behaviors that result in effective patient care, and alert them to needed improvements.</w:t>
      </w:r>
      <w:r w:rsidR="00220ACA">
        <w:rPr>
          <w:sz w:val="24"/>
        </w:rPr>
        <w:t xml:space="preserve"> </w:t>
      </w:r>
      <w:r w:rsidR="00C34AD6">
        <w:rPr>
          <w:sz w:val="24"/>
        </w:rPr>
        <w:t xml:space="preserve"> Such information is essential to </w:t>
      </w:r>
      <w:r w:rsidR="000B34F4">
        <w:rPr>
          <w:sz w:val="24"/>
        </w:rPr>
        <w:t>PCH</w:t>
      </w:r>
      <w:r w:rsidR="00C34AD6">
        <w:rPr>
          <w:sz w:val="24"/>
        </w:rPr>
        <w:t xml:space="preserve">s in initiating quality improvement strategies.  They </w:t>
      </w:r>
      <w:r w:rsidR="008B4090">
        <w:rPr>
          <w:sz w:val="24"/>
        </w:rPr>
        <w:t>can also be used</w:t>
      </w:r>
      <w:r w:rsidR="00C34AD6">
        <w:rPr>
          <w:sz w:val="24"/>
        </w:rPr>
        <w:t xml:space="preserve"> to improve </w:t>
      </w:r>
      <w:r w:rsidR="000B34F4">
        <w:rPr>
          <w:sz w:val="24"/>
        </w:rPr>
        <w:t>PCH</w:t>
      </w:r>
      <w:r w:rsidR="00C34AD6">
        <w:rPr>
          <w:sz w:val="24"/>
        </w:rPr>
        <w:t>s’ financial planning and marketing strategies</w:t>
      </w:r>
      <w:r w:rsidR="00C34AD6">
        <w:rPr>
          <w:rStyle w:val="BodyTextChar"/>
          <w:color w:val="auto"/>
          <w:sz w:val="24"/>
        </w:rPr>
        <w:t>.</w:t>
      </w:r>
    </w:p>
    <w:p w:rsidR="00C34AD6" w:rsidRPr="00943545" w:rsidRDefault="00C34AD6" w:rsidP="00F16B2F">
      <w:pPr>
        <w:widowControl/>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 xml:space="preserve">State </w:t>
      </w:r>
      <w:r w:rsidR="0043449B">
        <w:rPr>
          <w:sz w:val="24"/>
        </w:rPr>
        <w:t>A</w:t>
      </w:r>
      <w:r>
        <w:rPr>
          <w:sz w:val="24"/>
        </w:rPr>
        <w:t xml:space="preserve">gencies/CMS:  Agency profiles are used in the process to compare </w:t>
      </w:r>
      <w:r w:rsidR="0043449B">
        <w:rPr>
          <w:sz w:val="24"/>
        </w:rPr>
        <w:t xml:space="preserve">a </w:t>
      </w:r>
      <w:r w:rsidR="000B34F4">
        <w:rPr>
          <w:sz w:val="24"/>
        </w:rPr>
        <w:t>PCH</w:t>
      </w:r>
      <w:r>
        <w:rPr>
          <w:sz w:val="24"/>
        </w:rPr>
        <w:t xml:space="preserve">’s results with </w:t>
      </w:r>
      <w:r w:rsidR="0043449B">
        <w:rPr>
          <w:sz w:val="24"/>
        </w:rPr>
        <w:t xml:space="preserve">its </w:t>
      </w:r>
      <w:r w:rsidR="000B34F4">
        <w:rPr>
          <w:sz w:val="24"/>
        </w:rPr>
        <w:t>peer</w:t>
      </w:r>
      <w:r>
        <w:rPr>
          <w:sz w:val="24"/>
        </w:rPr>
        <w:t xml:space="preserve"> performance.</w:t>
      </w:r>
      <w:r w:rsidR="00220ACA">
        <w:rPr>
          <w:sz w:val="24"/>
        </w:rPr>
        <w:t xml:space="preserve"> </w:t>
      </w:r>
      <w:r>
        <w:rPr>
          <w:sz w:val="24"/>
        </w:rPr>
        <w:t xml:space="preserve"> The availability of </w:t>
      </w:r>
      <w:r w:rsidR="000B34F4">
        <w:rPr>
          <w:sz w:val="24"/>
        </w:rPr>
        <w:t xml:space="preserve">peer </w:t>
      </w:r>
      <w:r>
        <w:rPr>
          <w:sz w:val="24"/>
        </w:rPr>
        <w:t xml:space="preserve">performance enables </w:t>
      </w:r>
      <w:r w:rsidR="0043449B">
        <w:rPr>
          <w:sz w:val="24"/>
        </w:rPr>
        <w:t>s</w:t>
      </w:r>
      <w:r>
        <w:rPr>
          <w:sz w:val="24"/>
        </w:rPr>
        <w:t xml:space="preserve">tate agencies and CMS to identify opportunities for improvement in the </w:t>
      </w:r>
      <w:r w:rsidR="000B34F4">
        <w:rPr>
          <w:sz w:val="24"/>
        </w:rPr>
        <w:t>PCH</w:t>
      </w:r>
      <w:r>
        <w:rPr>
          <w:sz w:val="24"/>
        </w:rPr>
        <w:t xml:space="preserve">, and to evaluate more effectively the </w:t>
      </w:r>
      <w:r w:rsidR="000B34F4">
        <w:rPr>
          <w:sz w:val="24"/>
        </w:rPr>
        <w:t>PCH</w:t>
      </w:r>
      <w:r>
        <w:rPr>
          <w:sz w:val="24"/>
        </w:rPr>
        <w:t>’s own quality assessment and performance improvement program.</w:t>
      </w:r>
      <w:r w:rsidR="00220ACA">
        <w:rPr>
          <w:sz w:val="24"/>
        </w:rPr>
        <w:t xml:space="preserve"> </w:t>
      </w:r>
      <w:r>
        <w:rPr>
          <w:sz w:val="24"/>
        </w:rPr>
        <w:t xml:space="preserve"> </w:t>
      </w:r>
    </w:p>
    <w:p w:rsidR="00C34AD6" w:rsidRPr="00943545" w:rsidRDefault="00C34AD6" w:rsidP="00F16B2F">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Accrediting B</w:t>
      </w:r>
      <w:r w:rsidR="005873F7">
        <w:rPr>
          <w:sz w:val="24"/>
        </w:rPr>
        <w:t>odies:  N</w:t>
      </w:r>
      <w:r>
        <w:rPr>
          <w:sz w:val="24"/>
        </w:rPr>
        <w:t xml:space="preserve">ational accrediting organizations such as the Joint Commission on the Accreditation of Healthcare Organizations (JCAHO) </w:t>
      </w:r>
      <w:r w:rsidR="00687AAB">
        <w:rPr>
          <w:sz w:val="24"/>
        </w:rPr>
        <w:t xml:space="preserve">or state accreditation agencies </w:t>
      </w:r>
      <w:r w:rsidR="005873F7">
        <w:rPr>
          <w:sz w:val="24"/>
        </w:rPr>
        <w:t xml:space="preserve">may wish to use the information </w:t>
      </w:r>
      <w:r>
        <w:rPr>
          <w:sz w:val="24"/>
        </w:rPr>
        <w:t>to target potential or identified problems during the organization’s accredi</w:t>
      </w:r>
      <w:r w:rsidR="0081001C">
        <w:rPr>
          <w:sz w:val="24"/>
        </w:rPr>
        <w:t>tation review of that facility</w:t>
      </w:r>
      <w:r>
        <w:rPr>
          <w:sz w:val="24"/>
        </w:rPr>
        <w:t>.</w:t>
      </w:r>
    </w:p>
    <w:p w:rsidR="00D2741C" w:rsidRDefault="00C34AD6" w:rsidP="00F16B2F">
      <w:pPr>
        <w:widowControl/>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 xml:space="preserve">Beneficiaries/Consumers:  Since November 2003, the </w:t>
      </w:r>
      <w:r w:rsidR="00F86E56">
        <w:rPr>
          <w:sz w:val="24"/>
        </w:rPr>
        <w:t xml:space="preserve">Hospital Inpatient Quality Reporting (HIQR) Program </w:t>
      </w:r>
      <w:r>
        <w:rPr>
          <w:sz w:val="24"/>
        </w:rPr>
        <w:t>ha</w:t>
      </w:r>
      <w:r w:rsidR="00F86E56">
        <w:rPr>
          <w:sz w:val="24"/>
        </w:rPr>
        <w:t>s</w:t>
      </w:r>
      <w:r>
        <w:rPr>
          <w:sz w:val="24"/>
        </w:rPr>
        <w:t xml:space="preserve"> been publicly report</w:t>
      </w:r>
      <w:r w:rsidR="001773CB">
        <w:rPr>
          <w:sz w:val="24"/>
        </w:rPr>
        <w:t xml:space="preserve">ing quality measures </w:t>
      </w:r>
      <w:r>
        <w:rPr>
          <w:sz w:val="24"/>
        </w:rPr>
        <w:t>on the Ho</w:t>
      </w:r>
      <w:r w:rsidR="00F86E56">
        <w:rPr>
          <w:sz w:val="24"/>
        </w:rPr>
        <w:t xml:space="preserve">spital </w:t>
      </w:r>
      <w:r>
        <w:rPr>
          <w:sz w:val="24"/>
        </w:rPr>
        <w:t xml:space="preserve">Compare </w:t>
      </w:r>
      <w:r w:rsidR="00F86E56">
        <w:rPr>
          <w:sz w:val="24"/>
        </w:rPr>
        <w:t>W</w:t>
      </w:r>
      <w:r>
        <w:rPr>
          <w:sz w:val="24"/>
        </w:rPr>
        <w:t>eb</w:t>
      </w:r>
      <w:r w:rsidR="00F86E56">
        <w:rPr>
          <w:sz w:val="24"/>
        </w:rPr>
        <w:t xml:space="preserve"> </w:t>
      </w:r>
      <w:r>
        <w:rPr>
          <w:sz w:val="24"/>
        </w:rPr>
        <w:t xml:space="preserve">site available to consumers on </w:t>
      </w:r>
      <w:r w:rsidRPr="00363783">
        <w:rPr>
          <w:sz w:val="24"/>
        </w:rPr>
        <w:t>www.Medicare.gov</w:t>
      </w:r>
      <w:r>
        <w:rPr>
          <w:sz w:val="24"/>
        </w:rPr>
        <w:t xml:space="preserve">. The website provides information for consumers and their families about the quality of care provided by individual </w:t>
      </w:r>
      <w:r w:rsidR="00F86E56">
        <w:rPr>
          <w:sz w:val="24"/>
        </w:rPr>
        <w:t>hospital</w:t>
      </w:r>
      <w:r>
        <w:rPr>
          <w:sz w:val="24"/>
        </w:rPr>
        <w:t xml:space="preserve">, allowing them to see how well patients of one agency fare compared to other agencies and to the state and national average. </w:t>
      </w:r>
      <w:r w:rsidR="00220ACA">
        <w:rPr>
          <w:sz w:val="24"/>
        </w:rPr>
        <w:t xml:space="preserve"> </w:t>
      </w:r>
      <w:r>
        <w:rPr>
          <w:sz w:val="24"/>
        </w:rPr>
        <w:t>The website presents the quality measures in consumer-friendly language and provides a tool to assist</w:t>
      </w:r>
      <w:r w:rsidR="00F86E56">
        <w:rPr>
          <w:sz w:val="24"/>
        </w:rPr>
        <w:t xml:space="preserve"> consumers in the selection of a hospital</w:t>
      </w:r>
      <w:r>
        <w:rPr>
          <w:sz w:val="24"/>
        </w:rPr>
        <w:t>.</w:t>
      </w:r>
      <w:r w:rsidR="00220ACA">
        <w:rPr>
          <w:sz w:val="24"/>
        </w:rPr>
        <w:t xml:space="preserve"> </w:t>
      </w:r>
      <w:r>
        <w:rPr>
          <w:sz w:val="24"/>
        </w:rPr>
        <w:t xml:space="preserve"> </w:t>
      </w:r>
      <w:r w:rsidR="00944D4B">
        <w:rPr>
          <w:sz w:val="24"/>
        </w:rPr>
        <w:t xml:space="preserve">Modeling after the </w:t>
      </w:r>
      <w:r w:rsidR="00F86E56">
        <w:rPr>
          <w:sz w:val="24"/>
        </w:rPr>
        <w:t xml:space="preserve">HIQR Program, </w:t>
      </w:r>
      <w:r>
        <w:rPr>
          <w:sz w:val="24"/>
        </w:rPr>
        <w:t xml:space="preserve">the </w:t>
      </w:r>
      <w:r w:rsidR="00F86E56">
        <w:rPr>
          <w:sz w:val="24"/>
        </w:rPr>
        <w:t xml:space="preserve">PCHQR Program </w:t>
      </w:r>
      <w:r>
        <w:rPr>
          <w:sz w:val="24"/>
        </w:rPr>
        <w:t xml:space="preserve">uses quality measures to assist consumers in making informed decisions when choosing a </w:t>
      </w:r>
      <w:r w:rsidR="00F86E56">
        <w:rPr>
          <w:sz w:val="24"/>
        </w:rPr>
        <w:t>cancer hospital; to monitor the care the cancer hospital</w:t>
      </w:r>
      <w:r>
        <w:rPr>
          <w:sz w:val="24"/>
        </w:rPr>
        <w:t xml:space="preserve"> is providing; and to stimulate </w:t>
      </w:r>
      <w:r w:rsidR="00F86E56">
        <w:rPr>
          <w:sz w:val="24"/>
        </w:rPr>
        <w:t>cancer hospital</w:t>
      </w:r>
      <w:r>
        <w:rPr>
          <w:sz w:val="24"/>
        </w:rPr>
        <w:t xml:space="preserve"> to further improve quality</w:t>
      </w:r>
      <w:r w:rsidR="00F86E56">
        <w:rPr>
          <w:sz w:val="24"/>
        </w:rPr>
        <w:t xml:space="preserve"> </w:t>
      </w:r>
      <w:r>
        <w:rPr>
          <w:sz w:val="24"/>
        </w:rPr>
        <w:t xml:space="preserve">to identify </w:t>
      </w:r>
      <w:r w:rsidR="00F86E56">
        <w:rPr>
          <w:sz w:val="24"/>
        </w:rPr>
        <w:t xml:space="preserve">the </w:t>
      </w:r>
      <w:r>
        <w:rPr>
          <w:sz w:val="24"/>
        </w:rPr>
        <w:t>optimal practice.</w:t>
      </w:r>
    </w:p>
    <w:p w:rsidR="00C34AD6" w:rsidRDefault="00C34AD6" w:rsidP="00F16B2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rPr>
      </w:pPr>
      <w:r>
        <w:rPr>
          <w:sz w:val="24"/>
        </w:rPr>
        <w:t>3.</w:t>
      </w:r>
      <w:r>
        <w:rPr>
          <w:sz w:val="24"/>
        </w:rPr>
        <w:tab/>
      </w:r>
      <w:r>
        <w:rPr>
          <w:sz w:val="24"/>
          <w:u w:val="single"/>
        </w:rPr>
        <w:t xml:space="preserve">Use of Information Technology </w:t>
      </w:r>
    </w:p>
    <w:p w:rsidR="008A3A8D" w:rsidRDefault="005978DF" w:rsidP="005978DF">
      <w:pPr>
        <w:rPr>
          <w:color w:val="000000"/>
          <w:sz w:val="24"/>
        </w:rPr>
      </w:pPr>
      <w:r w:rsidRPr="005978DF">
        <w:rPr>
          <w:color w:val="000000"/>
          <w:sz w:val="24"/>
        </w:rPr>
        <w:t xml:space="preserve">CMS is providing a secure data warehouse and use of QualityNet (QNet) Exchange Web site for storage and transmittal of the data </w:t>
      </w:r>
      <w:r w:rsidR="009F18CA">
        <w:rPr>
          <w:color w:val="000000"/>
          <w:sz w:val="24"/>
        </w:rPr>
        <w:t xml:space="preserve">prior </w:t>
      </w:r>
      <w:r w:rsidRPr="005978DF">
        <w:rPr>
          <w:color w:val="000000"/>
          <w:sz w:val="24"/>
        </w:rPr>
        <w:t xml:space="preserve">to release of data to the Hospital Compare Web site. </w:t>
      </w:r>
      <w:r w:rsidR="008A3A8D">
        <w:rPr>
          <w:color w:val="000000"/>
          <w:sz w:val="24"/>
        </w:rPr>
        <w:t xml:space="preserve">The </w:t>
      </w:r>
      <w:r w:rsidRPr="005978DF">
        <w:rPr>
          <w:color w:val="000000"/>
          <w:sz w:val="24"/>
        </w:rPr>
        <w:t>PCH</w:t>
      </w:r>
      <w:r w:rsidR="008A3A8D">
        <w:rPr>
          <w:color w:val="000000"/>
          <w:sz w:val="24"/>
        </w:rPr>
        <w:t xml:space="preserve">s will </w:t>
      </w:r>
      <w:r w:rsidRPr="005978DF">
        <w:rPr>
          <w:color w:val="000000"/>
          <w:sz w:val="24"/>
        </w:rPr>
        <w:t>submit</w:t>
      </w:r>
      <w:r w:rsidR="008A3A8D">
        <w:rPr>
          <w:color w:val="000000"/>
          <w:sz w:val="24"/>
        </w:rPr>
        <w:t xml:space="preserve"> the five quality measures mentioned on page one to CDC and ACS/CoC. After the data are calculated by CDC and ACS/CoC, they will submit the calculated measure rates to CMS. </w:t>
      </w:r>
    </w:p>
    <w:p w:rsidR="008A3A8D" w:rsidRDefault="008A3A8D" w:rsidP="005978DF">
      <w:pPr>
        <w:rPr>
          <w:color w:val="000000"/>
          <w:sz w:val="24"/>
        </w:rPr>
      </w:pPr>
    </w:p>
    <w:p w:rsidR="005978DF" w:rsidRPr="005978DF" w:rsidRDefault="008A3A8D" w:rsidP="005978DF">
      <w:pPr>
        <w:rPr>
          <w:color w:val="000000"/>
          <w:sz w:val="24"/>
        </w:rPr>
      </w:pPr>
      <w:r>
        <w:rPr>
          <w:color w:val="000000"/>
          <w:sz w:val="24"/>
        </w:rPr>
        <w:t>Additionally, the secure QNet  Exchange</w:t>
      </w:r>
      <w:r w:rsidR="00842C58">
        <w:rPr>
          <w:color w:val="000000"/>
          <w:sz w:val="24"/>
        </w:rPr>
        <w:t xml:space="preserve"> </w:t>
      </w:r>
      <w:r w:rsidR="006B2B06">
        <w:rPr>
          <w:color w:val="000000"/>
          <w:sz w:val="24"/>
        </w:rPr>
        <w:t xml:space="preserve">Web site will store </w:t>
      </w:r>
      <w:r w:rsidR="005978DF" w:rsidRPr="005978DF">
        <w:rPr>
          <w:color w:val="000000"/>
          <w:sz w:val="24"/>
        </w:rPr>
        <w:t xml:space="preserve">forms </w:t>
      </w:r>
      <w:r w:rsidR="006B2B06">
        <w:rPr>
          <w:color w:val="000000"/>
          <w:sz w:val="24"/>
        </w:rPr>
        <w:t xml:space="preserve">required for this program. The </w:t>
      </w:r>
      <w:r w:rsidR="005978DF" w:rsidRPr="005978DF">
        <w:rPr>
          <w:color w:val="000000"/>
          <w:sz w:val="24"/>
        </w:rPr>
        <w:t>PCH</w:t>
      </w:r>
      <w:r w:rsidR="006B2B06">
        <w:rPr>
          <w:color w:val="000000"/>
          <w:sz w:val="24"/>
        </w:rPr>
        <w:t>s</w:t>
      </w:r>
      <w:r w:rsidR="005978DF" w:rsidRPr="005978DF">
        <w:rPr>
          <w:color w:val="000000"/>
          <w:sz w:val="24"/>
        </w:rPr>
        <w:t xml:space="preserve"> will be able to complete a Notice of Participation or indicate that they do not wish to participate via QualityNet. Samples of each of the forms, the Notice of Participation (NOP), Decline Participation, Data Accuracy and Completeness Acknowledgement (DACA), and Intensive Care Unit (ICU) Location Waiver are included.  </w:t>
      </w:r>
    </w:p>
    <w:p w:rsidR="009F18CA" w:rsidRDefault="009F18CA" w:rsidP="009F18CA">
      <w:pPr>
        <w:keepNext/>
        <w:keepLines/>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34AD6" w:rsidRDefault="00C34AD6" w:rsidP="00F16B2F">
      <w:pPr>
        <w:keepNext/>
        <w:keepLines/>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rPr>
      </w:pPr>
      <w:r>
        <w:rPr>
          <w:sz w:val="24"/>
        </w:rPr>
        <w:t>4.</w:t>
      </w:r>
      <w:r>
        <w:rPr>
          <w:sz w:val="24"/>
        </w:rPr>
        <w:tab/>
      </w:r>
      <w:r>
        <w:rPr>
          <w:sz w:val="24"/>
          <w:u w:val="single"/>
        </w:rPr>
        <w:t xml:space="preserve">Duplication of Efforts </w:t>
      </w:r>
    </w:p>
    <w:p w:rsidR="00C34AD6" w:rsidRDefault="00C34AD6" w:rsidP="00F16B2F">
      <w:pPr>
        <w:pStyle w:val="BodyTextIndent2"/>
        <w:keepNext/>
        <w:keepLines/>
        <w:widowControl/>
        <w:tabs>
          <w:tab w:val="clear" w:pos="432"/>
          <w:tab w:val="left" w:pos="360"/>
        </w:tabs>
        <w:spacing w:after="240"/>
        <w:ind w:left="0"/>
      </w:pPr>
      <w:r>
        <w:rPr>
          <w:i w:val="0"/>
        </w:rPr>
        <w:t xml:space="preserve">The </w:t>
      </w:r>
      <w:r w:rsidR="00522B01">
        <w:rPr>
          <w:i w:val="0"/>
        </w:rPr>
        <w:t>PCHQR Program does</w:t>
      </w:r>
      <w:r>
        <w:rPr>
          <w:i w:val="0"/>
        </w:rPr>
        <w:t xml:space="preserve"> not </w:t>
      </w:r>
      <w:r w:rsidR="00522B01">
        <w:rPr>
          <w:i w:val="0"/>
        </w:rPr>
        <w:t xml:space="preserve">impose </w:t>
      </w:r>
      <w:r>
        <w:rPr>
          <w:i w:val="0"/>
        </w:rPr>
        <w:t xml:space="preserve">duplicate </w:t>
      </w:r>
      <w:r w:rsidR="00522B01">
        <w:rPr>
          <w:i w:val="0"/>
        </w:rPr>
        <w:t xml:space="preserve">data </w:t>
      </w:r>
      <w:r>
        <w:rPr>
          <w:i w:val="0"/>
        </w:rPr>
        <w:t>collection</w:t>
      </w:r>
      <w:r w:rsidR="00522B01">
        <w:rPr>
          <w:i w:val="0"/>
        </w:rPr>
        <w:t xml:space="preserve">. </w:t>
      </w:r>
      <w:r>
        <w:rPr>
          <w:i w:val="0"/>
        </w:rPr>
        <w:t xml:space="preserve">It uses elements that are currently collected </w:t>
      </w:r>
      <w:r w:rsidR="004D35B6">
        <w:rPr>
          <w:i w:val="0"/>
        </w:rPr>
        <w:t xml:space="preserve">by the CDC and ACS/CoC and integrating it into our </w:t>
      </w:r>
      <w:r>
        <w:rPr>
          <w:i w:val="0"/>
        </w:rPr>
        <w:t xml:space="preserve">current </w:t>
      </w:r>
      <w:r w:rsidR="004D35B6">
        <w:rPr>
          <w:i w:val="0"/>
        </w:rPr>
        <w:t>CMS’s system</w:t>
      </w:r>
      <w:r>
        <w:rPr>
          <w:i w:val="0"/>
        </w:rPr>
        <w:t xml:space="preserve">. </w:t>
      </w:r>
      <w:r w:rsidR="006B2B06">
        <w:rPr>
          <w:i w:val="0"/>
        </w:rPr>
        <w:t>Currently, under the HIQR program, hospitals (including some PCHs) are already submitting the CLABSI and CAUTI measures to CDC</w:t>
      </w:r>
      <w:r w:rsidR="00BE7C7B">
        <w:rPr>
          <w:i w:val="0"/>
        </w:rPr>
        <w:t xml:space="preserve"> under </w:t>
      </w:r>
      <w:r w:rsidR="00BE7C7B" w:rsidRPr="00BE7C7B">
        <w:rPr>
          <w:i w:val="0"/>
        </w:rPr>
        <w:t>the NHSN OMB Paperwork Reduction Act (PRA) package number 0920-0666</w:t>
      </w:r>
      <w:r w:rsidR="006B2B06">
        <w:rPr>
          <w:i w:val="0"/>
        </w:rPr>
        <w:t>. Conversely, 10 PCHs are already submitting cancer measures to ACS/CoC.</w:t>
      </w:r>
      <w:r w:rsidR="00842C58">
        <w:rPr>
          <w:i w:val="0"/>
        </w:rPr>
        <w:t xml:space="preserve"> In an effort to reduce burden and minimize duplicative efforts, </w:t>
      </w:r>
      <w:r w:rsidR="006B2B06">
        <w:rPr>
          <w:i w:val="0"/>
        </w:rPr>
        <w:t>CMS is leveraging existing infrastructure</w:t>
      </w:r>
      <w:r w:rsidR="00842C58">
        <w:rPr>
          <w:i w:val="0"/>
        </w:rPr>
        <w:t xml:space="preserve"> through the CDC and ACS/CoC’s infrastructure</w:t>
      </w:r>
      <w:r w:rsidR="006B2B06">
        <w:rPr>
          <w:i w:val="0"/>
        </w:rPr>
        <w:t>.</w:t>
      </w:r>
    </w:p>
    <w:p w:rsidR="00C34AD6" w:rsidRDefault="00C34AD6" w:rsidP="00F16B2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rPr>
      </w:pPr>
      <w:r>
        <w:rPr>
          <w:sz w:val="24"/>
        </w:rPr>
        <w:t>5.</w:t>
      </w:r>
      <w:r>
        <w:rPr>
          <w:sz w:val="24"/>
        </w:rPr>
        <w:tab/>
      </w:r>
      <w:r>
        <w:rPr>
          <w:sz w:val="24"/>
          <w:u w:val="single"/>
        </w:rPr>
        <w:t xml:space="preserve">Small Businesses </w:t>
      </w:r>
    </w:p>
    <w:p w:rsidR="00C34AD6" w:rsidRDefault="00C34AD6" w:rsidP="00F16B2F">
      <w:pPr>
        <w:pStyle w:val="BodyTextIndent2"/>
        <w:widowControl/>
        <w:tabs>
          <w:tab w:val="clear" w:pos="432"/>
          <w:tab w:val="left" w:pos="270"/>
        </w:tabs>
        <w:spacing w:after="240"/>
        <w:ind w:left="0"/>
      </w:pPr>
      <w:r>
        <w:rPr>
          <w:i w:val="0"/>
        </w:rPr>
        <w:t>CMS has taken steps to reduce burden</w:t>
      </w:r>
      <w:r w:rsidR="00D2741C">
        <w:rPr>
          <w:i w:val="0"/>
        </w:rPr>
        <w:t xml:space="preserve"> to all providers, including those that are small businesses</w:t>
      </w:r>
      <w:r>
        <w:rPr>
          <w:i w:val="0"/>
        </w:rPr>
        <w:t xml:space="preserve">. </w:t>
      </w:r>
      <w:r w:rsidR="00EC712C">
        <w:rPr>
          <w:i w:val="0"/>
        </w:rPr>
        <w:t xml:space="preserve"> </w:t>
      </w:r>
      <w:r>
        <w:rPr>
          <w:i w:val="0"/>
        </w:rPr>
        <w:t xml:space="preserve">For example, we </w:t>
      </w:r>
      <w:r w:rsidR="004D35B6">
        <w:rPr>
          <w:i w:val="0"/>
        </w:rPr>
        <w:t xml:space="preserve">will be providing </w:t>
      </w:r>
      <w:r>
        <w:rPr>
          <w:i w:val="0"/>
        </w:rPr>
        <w:t xml:space="preserve">a </w:t>
      </w:r>
      <w:r w:rsidR="004D35B6">
        <w:rPr>
          <w:i w:val="0"/>
        </w:rPr>
        <w:t xml:space="preserve">help-desk hotline </w:t>
      </w:r>
      <w:r>
        <w:rPr>
          <w:i w:val="0"/>
        </w:rPr>
        <w:t>f</w:t>
      </w:r>
      <w:r w:rsidR="004D35B6">
        <w:rPr>
          <w:i w:val="0"/>
        </w:rPr>
        <w:t xml:space="preserve">or troubleshooting purposes and 24/7 free information. </w:t>
      </w:r>
    </w:p>
    <w:p w:rsidR="00C34AD6" w:rsidRDefault="00C34AD6" w:rsidP="00F16B2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rPr>
      </w:pPr>
      <w:r>
        <w:rPr>
          <w:sz w:val="24"/>
        </w:rPr>
        <w:t>6.</w:t>
      </w:r>
      <w:r>
        <w:rPr>
          <w:sz w:val="24"/>
        </w:rPr>
        <w:tab/>
      </w:r>
      <w:r>
        <w:rPr>
          <w:sz w:val="24"/>
          <w:u w:val="single"/>
        </w:rPr>
        <w:t xml:space="preserve">Less Frequent Collection </w:t>
      </w:r>
    </w:p>
    <w:p w:rsidR="00C34AD6" w:rsidRDefault="006B2B06" w:rsidP="00F16B2F">
      <w:pPr>
        <w:pStyle w:val="BodyTextInden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pPr>
      <w:r>
        <w:t>Unlike other existing quality reporting programs, this program is not link to any payment penalties if quality measures are not submitted. Therefore, we propose to collect data on an annual basis</w:t>
      </w:r>
      <w:r w:rsidR="00842C58">
        <w:t>, which sufficiently meets the statutory mandated by the Affordable Care Act</w:t>
      </w:r>
      <w:r>
        <w:t xml:space="preserve">. </w:t>
      </w:r>
    </w:p>
    <w:p w:rsidR="00C34AD6" w:rsidRDefault="00C34AD6" w:rsidP="00F16B2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u w:val="single"/>
        </w:rPr>
      </w:pPr>
      <w:r>
        <w:rPr>
          <w:sz w:val="24"/>
        </w:rPr>
        <w:t>7.</w:t>
      </w:r>
      <w:r>
        <w:rPr>
          <w:sz w:val="24"/>
        </w:rPr>
        <w:tab/>
      </w:r>
      <w:r>
        <w:rPr>
          <w:sz w:val="24"/>
          <w:u w:val="single"/>
        </w:rPr>
        <w:t xml:space="preserve">Special Circumstances </w:t>
      </w:r>
    </w:p>
    <w:p w:rsidR="00C40748" w:rsidRDefault="00C40748" w:rsidP="00CC04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PCHs will have to abide with the reporting procedur</w:t>
      </w:r>
      <w:r w:rsidR="008609C4">
        <w:rPr>
          <w:sz w:val="24"/>
        </w:rPr>
        <w:t>es</w:t>
      </w:r>
      <w:r>
        <w:rPr>
          <w:sz w:val="24"/>
        </w:rPr>
        <w:t xml:space="preserve"> set forth by the CDC and </w:t>
      </w:r>
      <w:r w:rsidR="00CC0469">
        <w:rPr>
          <w:sz w:val="24"/>
        </w:rPr>
        <w:t xml:space="preserve">the CMS contractor to collect </w:t>
      </w:r>
      <w:r>
        <w:rPr>
          <w:sz w:val="24"/>
        </w:rPr>
        <w:t>ACS/CoC</w:t>
      </w:r>
      <w:r w:rsidR="00CC0469">
        <w:rPr>
          <w:sz w:val="24"/>
        </w:rPr>
        <w:t xml:space="preserve"> quality measures</w:t>
      </w:r>
      <w:r>
        <w:rPr>
          <w:sz w:val="24"/>
        </w:rPr>
        <w:t>.</w:t>
      </w:r>
    </w:p>
    <w:p w:rsidR="00C40748" w:rsidRDefault="00C34AD6" w:rsidP="00C4074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u w:val="single"/>
        </w:rPr>
      </w:pPr>
      <w:r>
        <w:rPr>
          <w:sz w:val="24"/>
        </w:rPr>
        <w:t>8.</w:t>
      </w:r>
      <w:r>
        <w:rPr>
          <w:sz w:val="24"/>
        </w:rPr>
        <w:tab/>
      </w:r>
      <w:r>
        <w:rPr>
          <w:sz w:val="24"/>
          <w:u w:val="single"/>
        </w:rPr>
        <w:t xml:space="preserve">Federal Register/Outside Consultation </w:t>
      </w:r>
    </w:p>
    <w:p w:rsidR="00CC281F" w:rsidRDefault="00CC281F" w:rsidP="00CC28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 xml:space="preserve">We are proposing to solicit comments on the procedural requirements through the proposed rule. Additionally, we have been </w:t>
      </w:r>
      <w:r w:rsidR="001D641E">
        <w:rPr>
          <w:sz w:val="24"/>
        </w:rPr>
        <w:t xml:space="preserve">working closely with the reporting entities (CDC and </w:t>
      </w:r>
      <w:r w:rsidR="00CC0469">
        <w:rPr>
          <w:sz w:val="24"/>
        </w:rPr>
        <w:t>CMS contractor to collect ACS/CoC</w:t>
      </w:r>
      <w:r w:rsidR="001D641E">
        <w:rPr>
          <w:sz w:val="24"/>
        </w:rPr>
        <w:t>) and the individual PCHs on details pertaining to the Program.</w:t>
      </w:r>
    </w:p>
    <w:p w:rsidR="00151CDE" w:rsidRDefault="00151CDE" w:rsidP="00CC28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A 60-day Federal Register Notice w</w:t>
      </w:r>
      <w:r w:rsidR="006B2B06">
        <w:rPr>
          <w:sz w:val="24"/>
        </w:rPr>
        <w:t xml:space="preserve">ill be </w:t>
      </w:r>
      <w:r>
        <w:rPr>
          <w:sz w:val="24"/>
        </w:rPr>
        <w:t xml:space="preserve">published on </w:t>
      </w:r>
      <w:r w:rsidR="006B2B06">
        <w:rPr>
          <w:sz w:val="24"/>
        </w:rPr>
        <w:t>April 13, 2012.</w:t>
      </w:r>
      <w:r>
        <w:rPr>
          <w:sz w:val="24"/>
        </w:rPr>
        <w:t xml:space="preserve"> </w:t>
      </w:r>
      <w:r w:rsidR="00EC2F71">
        <w:rPr>
          <w:sz w:val="24"/>
        </w:rPr>
        <w:t>The 60-day FR notice w</w:t>
      </w:r>
      <w:r w:rsidR="006B2B06">
        <w:rPr>
          <w:sz w:val="24"/>
        </w:rPr>
        <w:t xml:space="preserve">ill be </w:t>
      </w:r>
      <w:r w:rsidR="00EC2F71">
        <w:rPr>
          <w:sz w:val="24"/>
        </w:rPr>
        <w:t xml:space="preserve">included in the NPRM that </w:t>
      </w:r>
      <w:r w:rsidR="006B2B06">
        <w:rPr>
          <w:sz w:val="24"/>
        </w:rPr>
        <w:t xml:space="preserve">will be </w:t>
      </w:r>
      <w:r w:rsidR="00EC2F71">
        <w:rPr>
          <w:sz w:val="24"/>
        </w:rPr>
        <w:t>published on</w:t>
      </w:r>
      <w:r w:rsidR="006B2B06">
        <w:rPr>
          <w:sz w:val="24"/>
        </w:rPr>
        <w:t xml:space="preserve"> April 13, 2012. </w:t>
      </w:r>
    </w:p>
    <w:p w:rsidR="00C34AD6" w:rsidRDefault="00C34AD6" w:rsidP="00F16B2F">
      <w:pPr>
        <w:keepNext/>
        <w:keepLines/>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pPr>
      <w:r>
        <w:rPr>
          <w:sz w:val="24"/>
        </w:rPr>
        <w:t>9.</w:t>
      </w:r>
      <w:r>
        <w:rPr>
          <w:sz w:val="24"/>
        </w:rPr>
        <w:tab/>
      </w:r>
      <w:r>
        <w:rPr>
          <w:sz w:val="24"/>
          <w:u w:val="single"/>
        </w:rPr>
        <w:t>Payments/Gifts to Respondents</w:t>
      </w:r>
    </w:p>
    <w:p w:rsidR="00C34AD6" w:rsidRDefault="00C34AD6" w:rsidP="00F16B2F">
      <w:pPr>
        <w:pStyle w:val="BodyTextIndent2"/>
        <w:keepNext/>
        <w:keepLines/>
        <w:widowControl/>
        <w:tabs>
          <w:tab w:val="clear" w:pos="432"/>
        </w:tabs>
        <w:spacing w:after="240"/>
        <w:ind w:left="0"/>
      </w:pPr>
      <w:r>
        <w:rPr>
          <w:i w:val="0"/>
        </w:rPr>
        <w:t>There are no payments or gifts to respondents.</w:t>
      </w:r>
    </w:p>
    <w:p w:rsidR="00C34AD6" w:rsidRDefault="00C34AD6" w:rsidP="00F16B2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rPr>
      </w:pPr>
      <w:r>
        <w:rPr>
          <w:sz w:val="24"/>
        </w:rPr>
        <w:t>10.</w:t>
      </w:r>
      <w:r>
        <w:rPr>
          <w:sz w:val="24"/>
        </w:rPr>
        <w:tab/>
      </w:r>
      <w:r>
        <w:rPr>
          <w:sz w:val="24"/>
          <w:u w:val="single"/>
        </w:rPr>
        <w:t xml:space="preserve">Confidentiality </w:t>
      </w:r>
    </w:p>
    <w:p w:rsidR="00C34AD6" w:rsidRDefault="00C34AD6" w:rsidP="00F16B2F">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iCs/>
          <w:sz w:val="24"/>
        </w:rPr>
        <w:t>We pledge confidentiality of patient-specific data as provided by the Privacy Act of 1974 (5 U.S.C. 552a).</w:t>
      </w:r>
      <w:r w:rsidR="00EC712C">
        <w:rPr>
          <w:iCs/>
          <w:sz w:val="24"/>
        </w:rPr>
        <w:t xml:space="preserve">  </w:t>
      </w:r>
    </w:p>
    <w:p w:rsidR="00C34AD6" w:rsidRDefault="00C34AD6" w:rsidP="00F16B2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rPr>
      </w:pPr>
      <w:r>
        <w:rPr>
          <w:sz w:val="24"/>
        </w:rPr>
        <w:t>11.</w:t>
      </w:r>
      <w:r>
        <w:rPr>
          <w:sz w:val="24"/>
        </w:rPr>
        <w:tab/>
      </w:r>
      <w:r>
        <w:rPr>
          <w:sz w:val="24"/>
          <w:u w:val="single"/>
        </w:rPr>
        <w:t>Sensitive Questions</w:t>
      </w:r>
    </w:p>
    <w:p w:rsidR="00C34AD6" w:rsidRDefault="00C34AD6" w:rsidP="00F16B2F">
      <w:pPr>
        <w:pStyle w:val="BodyTextIndent2"/>
        <w:widowControl/>
        <w:tabs>
          <w:tab w:val="clear" w:pos="432"/>
        </w:tabs>
        <w:spacing w:after="240"/>
        <w:ind w:left="0"/>
      </w:pPr>
      <w:r>
        <w:rPr>
          <w:i w:val="0"/>
          <w:iCs w:val="0"/>
        </w:rPr>
        <w:t>There are no sensitive questions.</w:t>
      </w:r>
    </w:p>
    <w:p w:rsidR="00EC712C" w:rsidRDefault="00C34AD6" w:rsidP="00F16B2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iCs/>
          <w:sz w:val="24"/>
        </w:rPr>
      </w:pPr>
      <w:r>
        <w:rPr>
          <w:sz w:val="24"/>
        </w:rPr>
        <w:t>12.</w:t>
      </w:r>
      <w:r>
        <w:rPr>
          <w:sz w:val="24"/>
        </w:rPr>
        <w:tab/>
      </w:r>
      <w:r>
        <w:rPr>
          <w:sz w:val="24"/>
          <w:u w:val="single"/>
        </w:rPr>
        <w:t xml:space="preserve">Burden Estimates (Hours &amp; Wages) </w:t>
      </w:r>
    </w:p>
    <w:p w:rsidR="00C34AD6" w:rsidRDefault="00C34AD6" w:rsidP="00F16B2F">
      <w:pPr>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 xml:space="preserve">Although minimal, we acknowledge that there is a small burden associated with collecting </w:t>
      </w:r>
      <w:r w:rsidRPr="006E7A34">
        <w:rPr>
          <w:sz w:val="24"/>
        </w:rPr>
        <w:t>information as part of the comprehensive assessment</w:t>
      </w:r>
      <w:r w:rsidR="00EA2D3A">
        <w:rPr>
          <w:sz w:val="24"/>
        </w:rPr>
        <w:t xml:space="preserve"> </w:t>
      </w:r>
      <w:r w:rsidRPr="006E7A34">
        <w:rPr>
          <w:sz w:val="24"/>
        </w:rPr>
        <w:t xml:space="preserve">for </w:t>
      </w:r>
      <w:r w:rsidR="00EA2D3A">
        <w:rPr>
          <w:sz w:val="24"/>
        </w:rPr>
        <w:t>the PCHQR Program requirements</w:t>
      </w:r>
      <w:r w:rsidRPr="006E7A34">
        <w:rPr>
          <w:sz w:val="24"/>
        </w:rPr>
        <w:t>.</w:t>
      </w:r>
      <w:r w:rsidR="006E7A34" w:rsidRPr="006E7A34">
        <w:rPr>
          <w:sz w:val="24"/>
        </w:rPr>
        <w:t xml:space="preserve"> </w:t>
      </w:r>
      <w:r w:rsidRPr="006E7A34">
        <w:rPr>
          <w:sz w:val="24"/>
        </w:rPr>
        <w:t xml:space="preserve"> </w:t>
      </w:r>
      <w:r w:rsidRPr="006E7A34">
        <w:rPr>
          <w:iCs/>
          <w:sz w:val="24"/>
        </w:rPr>
        <w:t xml:space="preserve">Our estimates of time, cost, average </w:t>
      </w:r>
      <w:r w:rsidR="00EA2D3A">
        <w:rPr>
          <w:iCs/>
          <w:sz w:val="24"/>
        </w:rPr>
        <w:t>PCH</w:t>
      </w:r>
      <w:r w:rsidRPr="006E7A34">
        <w:rPr>
          <w:iCs/>
          <w:sz w:val="24"/>
        </w:rPr>
        <w:t xml:space="preserve"> size, and staff salaries are calculated as indicated below</w:t>
      </w:r>
      <w:r w:rsidR="00EA2D3A">
        <w:rPr>
          <w:iCs/>
          <w:sz w:val="24"/>
        </w:rPr>
        <w:t xml:space="preserve">. </w:t>
      </w:r>
    </w:p>
    <w:p w:rsidR="00DA45F2" w:rsidRDefault="00860035" w:rsidP="000E092B">
      <w:pPr>
        <w:shd w:val="clear" w:color="auto" w:fill="FFFFFF"/>
        <w:outlineLvl w:val="2"/>
        <w:rPr>
          <w:sz w:val="24"/>
        </w:rPr>
      </w:pPr>
      <w:r w:rsidRPr="00860035">
        <w:rPr>
          <w:sz w:val="24"/>
        </w:rPr>
        <w:t xml:space="preserve">The burden estimates for data collection related to the proposed measures for the PCHQR Program are calculated for the PCHs with the following figures.  There are approximately 27,273 inpatient cancer cases for all facilities annually and there are approximately 11 PCH facilities nationwide.  There is an average of 2,479 PPS-exempt Cancer Hospital (PCH) Cases per Facility annually.  The average time spent per each quality measure per patient chart abstraction is approximately 30 minutes (based on 2007 GAO measure abstraction work effort survey GAO-07-320).  This includes an estimate of approximately 25 minutes of clinical time spent to conduct chart abstraction for each measure and approximately 5 minutes of administrative time spent to submit data from each </w:t>
      </w:r>
      <w:r w:rsidR="00E37A89">
        <w:rPr>
          <w:sz w:val="24"/>
        </w:rPr>
        <w:t>cancer</w:t>
      </w:r>
      <w:r w:rsidRPr="00860035">
        <w:rPr>
          <w:sz w:val="24"/>
        </w:rPr>
        <w:t xml:space="preserve"> measure to </w:t>
      </w:r>
      <w:r w:rsidR="00E37A89">
        <w:rPr>
          <w:sz w:val="24"/>
        </w:rPr>
        <w:t xml:space="preserve">the CDC and ACS/CoC. </w:t>
      </w:r>
      <w:r w:rsidRPr="00860035">
        <w:rPr>
          <w:sz w:val="24"/>
        </w:rPr>
        <w:t xml:space="preserve">To report on all </w:t>
      </w:r>
      <w:r w:rsidR="00E37A89">
        <w:rPr>
          <w:sz w:val="24"/>
        </w:rPr>
        <w:t xml:space="preserve">five (5) </w:t>
      </w:r>
      <w:r w:rsidRPr="00860035">
        <w:rPr>
          <w:sz w:val="24"/>
        </w:rPr>
        <w:t xml:space="preserve">measures for chart abstraction and administrative time totals approximately </w:t>
      </w:r>
      <w:r w:rsidR="00D07703">
        <w:rPr>
          <w:sz w:val="24"/>
        </w:rPr>
        <w:t>2.</w:t>
      </w:r>
      <w:r w:rsidRPr="00860035">
        <w:rPr>
          <w:sz w:val="24"/>
        </w:rPr>
        <w:t xml:space="preserve">5 hours.   Thus with </w:t>
      </w:r>
      <w:r w:rsidR="000B7392" w:rsidRPr="00860035">
        <w:rPr>
          <w:sz w:val="24"/>
        </w:rPr>
        <w:t xml:space="preserve">2,479 </w:t>
      </w:r>
      <w:r w:rsidRPr="00860035">
        <w:rPr>
          <w:sz w:val="24"/>
        </w:rPr>
        <w:t xml:space="preserve">cases per facility this creates an annual burden of </w:t>
      </w:r>
      <w:r w:rsidR="00A8019C">
        <w:rPr>
          <w:sz w:val="24"/>
        </w:rPr>
        <w:t>68,182</w:t>
      </w:r>
      <w:r w:rsidRPr="00860035">
        <w:rPr>
          <w:sz w:val="24"/>
        </w:rPr>
        <w:t xml:space="preserve"> </w:t>
      </w:r>
      <w:r w:rsidR="00DA45F2">
        <w:rPr>
          <w:sz w:val="24"/>
        </w:rPr>
        <w:t xml:space="preserve">annual burden </w:t>
      </w:r>
      <w:r w:rsidRPr="00860035">
        <w:rPr>
          <w:sz w:val="24"/>
        </w:rPr>
        <w:t>hours</w:t>
      </w:r>
      <w:r w:rsidR="00DA45F2">
        <w:rPr>
          <w:sz w:val="24"/>
        </w:rPr>
        <w:t>.</w:t>
      </w:r>
      <w:r w:rsidRPr="00860035">
        <w:rPr>
          <w:sz w:val="24"/>
        </w:rPr>
        <w:t xml:space="preserve">  </w:t>
      </w:r>
    </w:p>
    <w:p w:rsidR="00DA45F2" w:rsidRDefault="00DA45F2" w:rsidP="000E092B">
      <w:pPr>
        <w:shd w:val="clear" w:color="auto" w:fill="FFFFFF"/>
        <w:outlineLvl w:val="2"/>
        <w:rPr>
          <w:sz w:val="24"/>
        </w:rPr>
      </w:pPr>
    </w:p>
    <w:p w:rsidR="00DA45F2" w:rsidRPr="00DA45F2" w:rsidRDefault="00DA45F2" w:rsidP="00DA45F2">
      <w:pPr>
        <w:shd w:val="clear" w:color="auto" w:fill="FFFFFF"/>
        <w:outlineLvl w:val="2"/>
        <w:rPr>
          <w:sz w:val="24"/>
        </w:rPr>
      </w:pPr>
      <w:r w:rsidRPr="00DA45F2">
        <w:rPr>
          <w:sz w:val="24"/>
        </w:rPr>
        <w:t>Table A</w:t>
      </w:r>
    </w:p>
    <w:tbl>
      <w:tblPr>
        <w:tblW w:w="0" w:type="auto"/>
        <w:tblCellMar>
          <w:left w:w="0" w:type="dxa"/>
          <w:right w:w="0" w:type="dxa"/>
        </w:tblCellMar>
        <w:tblLook w:val="04A0" w:firstRow="1" w:lastRow="0" w:firstColumn="1" w:lastColumn="0" w:noHBand="0" w:noVBand="1"/>
      </w:tblPr>
      <w:tblGrid>
        <w:gridCol w:w="1915"/>
        <w:gridCol w:w="1915"/>
        <w:gridCol w:w="1915"/>
        <w:gridCol w:w="1563"/>
        <w:gridCol w:w="1800"/>
      </w:tblGrid>
      <w:tr w:rsidR="00DA45F2" w:rsidRPr="00DA45F2" w:rsidTr="00252BBE">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45F2" w:rsidRPr="00DA45F2" w:rsidRDefault="00DA45F2" w:rsidP="00DA45F2">
            <w:pPr>
              <w:shd w:val="clear" w:color="auto" w:fill="FFFFFF"/>
              <w:outlineLvl w:val="2"/>
              <w:rPr>
                <w:b/>
                <w:bCs/>
                <w:sz w:val="24"/>
              </w:rPr>
            </w:pPr>
            <w:r w:rsidRPr="00DA45F2">
              <w:rPr>
                <w:b/>
                <w:bCs/>
                <w:sz w:val="24"/>
              </w:rPr>
              <w:t xml:space="preserve">Number of </w:t>
            </w:r>
            <w:r>
              <w:rPr>
                <w:b/>
                <w:bCs/>
                <w:sz w:val="24"/>
              </w:rPr>
              <w:t>PCH</w:t>
            </w:r>
            <w:r w:rsidRPr="00DA45F2">
              <w:rPr>
                <w:b/>
                <w:bCs/>
                <w:sz w:val="24"/>
              </w:rPr>
              <w:t>s</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F2" w:rsidRPr="00DA45F2" w:rsidRDefault="00DA45F2" w:rsidP="00DA45F2">
            <w:pPr>
              <w:shd w:val="clear" w:color="auto" w:fill="FFFFFF"/>
              <w:outlineLvl w:val="2"/>
              <w:rPr>
                <w:b/>
                <w:bCs/>
                <w:sz w:val="24"/>
              </w:rPr>
            </w:pPr>
            <w:r w:rsidRPr="00DA45F2">
              <w:rPr>
                <w:b/>
                <w:bCs/>
                <w:sz w:val="24"/>
              </w:rPr>
              <w:t xml:space="preserve">Number of Cases per </w:t>
            </w:r>
            <w:r>
              <w:rPr>
                <w:b/>
                <w:bCs/>
                <w:sz w:val="24"/>
              </w:rPr>
              <w:t>PCH</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F2" w:rsidRPr="00DA45F2" w:rsidRDefault="00DA45F2" w:rsidP="00DA45F2">
            <w:pPr>
              <w:shd w:val="clear" w:color="auto" w:fill="FFFFFF"/>
              <w:outlineLvl w:val="2"/>
              <w:rPr>
                <w:b/>
                <w:bCs/>
                <w:sz w:val="24"/>
              </w:rPr>
            </w:pPr>
            <w:r w:rsidRPr="00DA45F2">
              <w:rPr>
                <w:b/>
                <w:bCs/>
                <w:sz w:val="24"/>
              </w:rPr>
              <w:t>Total Number of Cases</w:t>
            </w:r>
          </w:p>
        </w:tc>
        <w:tc>
          <w:tcPr>
            <w:tcW w:w="1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F2" w:rsidRPr="00DA45F2" w:rsidRDefault="00DA45F2" w:rsidP="00DA45F2">
            <w:pPr>
              <w:shd w:val="clear" w:color="auto" w:fill="FFFFFF"/>
              <w:outlineLvl w:val="2"/>
              <w:rPr>
                <w:b/>
                <w:bCs/>
                <w:sz w:val="24"/>
              </w:rPr>
            </w:pPr>
            <w:r w:rsidRPr="00DA45F2">
              <w:rPr>
                <w:b/>
                <w:bCs/>
                <w:sz w:val="24"/>
              </w:rPr>
              <w:t>Burden Hours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F2" w:rsidRPr="00DA45F2" w:rsidRDefault="00DA45F2" w:rsidP="00DA45F2">
            <w:pPr>
              <w:shd w:val="clear" w:color="auto" w:fill="FFFFFF"/>
              <w:outlineLvl w:val="2"/>
              <w:rPr>
                <w:b/>
                <w:bCs/>
                <w:sz w:val="24"/>
              </w:rPr>
            </w:pPr>
            <w:r w:rsidRPr="00DA45F2">
              <w:rPr>
                <w:b/>
                <w:bCs/>
                <w:sz w:val="24"/>
              </w:rPr>
              <w:t>Annual Burden Hours</w:t>
            </w:r>
          </w:p>
        </w:tc>
      </w:tr>
      <w:tr w:rsidR="00DA45F2" w:rsidRPr="00DA45F2" w:rsidTr="00252BBE">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45F2" w:rsidRPr="00DA45F2" w:rsidRDefault="00DA45F2" w:rsidP="00DA45F2">
            <w:pPr>
              <w:shd w:val="clear" w:color="auto" w:fill="FFFFFF"/>
              <w:outlineLvl w:val="2"/>
              <w:rPr>
                <w:sz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DA45F2" w:rsidRPr="00DA45F2" w:rsidRDefault="00DA45F2" w:rsidP="00DA45F2">
            <w:pPr>
              <w:shd w:val="clear" w:color="auto" w:fill="FFFFFF"/>
              <w:outlineLvl w:val="2"/>
              <w:rPr>
                <w:sz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DA45F2" w:rsidRPr="00DA45F2" w:rsidRDefault="00DA45F2" w:rsidP="00DA45F2">
            <w:pPr>
              <w:shd w:val="clear" w:color="auto" w:fill="FFFFFF"/>
              <w:outlineLvl w:val="2"/>
              <w:rPr>
                <w:sz w:val="24"/>
              </w:rPr>
            </w:pPr>
          </w:p>
        </w:tc>
        <w:tc>
          <w:tcPr>
            <w:tcW w:w="1563" w:type="dxa"/>
            <w:tcBorders>
              <w:top w:val="nil"/>
              <w:left w:val="nil"/>
              <w:bottom w:val="single" w:sz="8" w:space="0" w:color="auto"/>
              <w:right w:val="single" w:sz="8" w:space="0" w:color="auto"/>
            </w:tcBorders>
            <w:tcMar>
              <w:top w:w="0" w:type="dxa"/>
              <w:left w:w="108" w:type="dxa"/>
              <w:bottom w:w="0" w:type="dxa"/>
              <w:right w:w="108" w:type="dxa"/>
            </w:tcMar>
          </w:tcPr>
          <w:p w:rsidR="00DA45F2" w:rsidRPr="00DA45F2" w:rsidRDefault="00DA45F2" w:rsidP="00DA45F2">
            <w:pPr>
              <w:shd w:val="clear" w:color="auto" w:fill="FFFFFF"/>
              <w:outlineLvl w:val="2"/>
              <w:rPr>
                <w:sz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A45F2" w:rsidRPr="00DA45F2" w:rsidRDefault="00DA45F2" w:rsidP="00DA45F2">
            <w:pPr>
              <w:shd w:val="clear" w:color="auto" w:fill="FFFFFF"/>
              <w:outlineLvl w:val="2"/>
              <w:rPr>
                <w:sz w:val="24"/>
              </w:rPr>
            </w:pPr>
          </w:p>
        </w:tc>
      </w:tr>
      <w:tr w:rsidR="00DA45F2" w:rsidRPr="00DA45F2" w:rsidTr="00252BBE">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5F2" w:rsidRPr="00DA45F2" w:rsidRDefault="00DA45F2" w:rsidP="00DA45F2">
            <w:pPr>
              <w:shd w:val="clear" w:color="auto" w:fill="FFFFFF"/>
              <w:outlineLvl w:val="2"/>
              <w:rPr>
                <w:sz w:val="24"/>
              </w:rPr>
            </w:pPr>
            <w:r w:rsidRPr="00DA45F2">
              <w:rPr>
                <w:sz w:val="24"/>
              </w:rPr>
              <w:t>1</w:t>
            </w:r>
            <w:r>
              <w:rPr>
                <w:sz w:val="24"/>
              </w:rPr>
              <w:t>1</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DA45F2" w:rsidRPr="00DA45F2" w:rsidRDefault="00DA45F2" w:rsidP="00DA45F2">
            <w:pPr>
              <w:shd w:val="clear" w:color="auto" w:fill="FFFFFF"/>
              <w:outlineLvl w:val="2"/>
              <w:rPr>
                <w:sz w:val="24"/>
              </w:rPr>
            </w:pPr>
            <w:r w:rsidRPr="00B10ECE">
              <w:rPr>
                <w:sz w:val="24"/>
              </w:rPr>
              <w:t>2</w:t>
            </w:r>
            <w:r>
              <w:rPr>
                <w:sz w:val="24"/>
              </w:rPr>
              <w:t>,479</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DA45F2" w:rsidRPr="00DA45F2" w:rsidRDefault="00DA45F2" w:rsidP="00DA45F2">
            <w:pPr>
              <w:shd w:val="clear" w:color="auto" w:fill="FFFFFF"/>
              <w:outlineLvl w:val="2"/>
              <w:rPr>
                <w:sz w:val="24"/>
              </w:rPr>
            </w:pPr>
            <w:r>
              <w:rPr>
                <w:sz w:val="24"/>
              </w:rPr>
              <w:t>27,273</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rsidR="00DA45F2" w:rsidRPr="00DA45F2" w:rsidRDefault="00DA45F2" w:rsidP="00DA45F2">
            <w:pPr>
              <w:shd w:val="clear" w:color="auto" w:fill="FFFFFF"/>
              <w:outlineLvl w:val="2"/>
              <w:rPr>
                <w:sz w:val="24"/>
              </w:rPr>
            </w:pPr>
            <w:r>
              <w:rPr>
                <w:sz w:val="24"/>
              </w:rPr>
              <w:t>2.5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A45F2" w:rsidRPr="00DA45F2" w:rsidRDefault="00DA45F2" w:rsidP="00DA45F2">
            <w:pPr>
              <w:shd w:val="clear" w:color="auto" w:fill="FFFFFF"/>
              <w:outlineLvl w:val="2"/>
              <w:rPr>
                <w:sz w:val="24"/>
              </w:rPr>
            </w:pPr>
            <w:r>
              <w:rPr>
                <w:sz w:val="24"/>
              </w:rPr>
              <w:t>68,182</w:t>
            </w:r>
          </w:p>
        </w:tc>
      </w:tr>
    </w:tbl>
    <w:p w:rsidR="00DA45F2" w:rsidRPr="00DA45F2" w:rsidRDefault="00DA45F2" w:rsidP="00DA45F2">
      <w:pPr>
        <w:shd w:val="clear" w:color="auto" w:fill="FFFFFF"/>
        <w:outlineLvl w:val="2"/>
        <w:rPr>
          <w:sz w:val="24"/>
        </w:rPr>
      </w:pPr>
    </w:p>
    <w:p w:rsidR="00B15F16" w:rsidRDefault="00860035" w:rsidP="00876A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860035">
        <w:rPr>
          <w:sz w:val="24"/>
        </w:rPr>
        <w:t>The PRA costs related to wages is based on an hourly rate of $29.47.</w:t>
      </w:r>
      <w:r w:rsidR="000E092B" w:rsidRPr="000E092B">
        <w:rPr>
          <w:rStyle w:val="FootnoteReference"/>
          <w:sz w:val="24"/>
          <w:vertAlign w:val="superscript"/>
        </w:rPr>
        <w:footnoteReference w:id="1"/>
      </w:r>
      <w:r w:rsidRPr="00860035">
        <w:rPr>
          <w:sz w:val="24"/>
        </w:rPr>
        <w:t xml:space="preserve">  </w:t>
      </w:r>
      <w:r w:rsidR="00B15F16" w:rsidRPr="00B15F16">
        <w:rPr>
          <w:sz w:val="24"/>
        </w:rPr>
        <w:t xml:space="preserve">This calculated for the </w:t>
      </w:r>
      <w:r w:rsidR="00B15F16">
        <w:rPr>
          <w:sz w:val="24"/>
        </w:rPr>
        <w:t>68,182</w:t>
      </w:r>
      <w:r w:rsidR="00B15F16" w:rsidRPr="00B15F16">
        <w:rPr>
          <w:sz w:val="24"/>
        </w:rPr>
        <w:t xml:space="preserve"> hours for chart abstraction and data submission is </w:t>
      </w:r>
      <w:r w:rsidR="00B15F16" w:rsidRPr="005339B9">
        <w:rPr>
          <w:sz w:val="24"/>
        </w:rPr>
        <w:t xml:space="preserve">$2,009,043.57 </w:t>
      </w:r>
      <w:r w:rsidR="00B15F16" w:rsidRPr="00B15F16">
        <w:rPr>
          <w:sz w:val="24"/>
        </w:rPr>
        <w:t xml:space="preserve">annual cost per </w:t>
      </w:r>
      <w:r w:rsidR="00B15F16">
        <w:rPr>
          <w:sz w:val="24"/>
        </w:rPr>
        <w:t>all 11 PCHs</w:t>
      </w:r>
      <w:r w:rsidR="00B15F16" w:rsidRPr="00B15F16">
        <w:rPr>
          <w:sz w:val="24"/>
        </w:rPr>
        <w:t xml:space="preserve">.  The estimated burden for training personnel for data collection and submission for </w:t>
      </w:r>
      <w:r w:rsidR="00B15F16">
        <w:rPr>
          <w:sz w:val="24"/>
        </w:rPr>
        <w:t xml:space="preserve">all quality </w:t>
      </w:r>
      <w:r w:rsidR="00876A91">
        <w:rPr>
          <w:sz w:val="24"/>
        </w:rPr>
        <w:t xml:space="preserve">measures is </w:t>
      </w:r>
      <w:r w:rsidR="00082B30">
        <w:rPr>
          <w:sz w:val="24"/>
        </w:rPr>
        <w:t>96</w:t>
      </w:r>
      <w:r w:rsidR="00B15F16" w:rsidRPr="00B15F16">
        <w:rPr>
          <w:sz w:val="24"/>
        </w:rPr>
        <w:t xml:space="preserve"> hours per facility or </w:t>
      </w:r>
      <w:r w:rsidR="00B15F16" w:rsidRPr="003B7BA7">
        <w:rPr>
          <w:sz w:val="24"/>
        </w:rPr>
        <w:t>1</w:t>
      </w:r>
      <w:r w:rsidR="00B15F16">
        <w:rPr>
          <w:sz w:val="24"/>
        </w:rPr>
        <w:t>,056</w:t>
      </w:r>
      <w:r w:rsidR="00B15F16" w:rsidRPr="003B7BA7">
        <w:rPr>
          <w:sz w:val="24"/>
        </w:rPr>
        <w:t xml:space="preserve"> </w:t>
      </w:r>
      <w:r w:rsidR="00B15F16" w:rsidRPr="00B15F16">
        <w:rPr>
          <w:sz w:val="24"/>
        </w:rPr>
        <w:t>hours for all 1</w:t>
      </w:r>
      <w:r w:rsidR="00B15F16">
        <w:rPr>
          <w:sz w:val="24"/>
        </w:rPr>
        <w:t>1 PCH</w:t>
      </w:r>
      <w:r w:rsidR="00B15F16" w:rsidRPr="00B15F16">
        <w:rPr>
          <w:sz w:val="24"/>
        </w:rPr>
        <w:t xml:space="preserve">s.  The cost for this training based on an hourly rate of $29.47 is </w:t>
      </w:r>
      <w:r w:rsidR="00B15F16">
        <w:rPr>
          <w:sz w:val="24"/>
        </w:rPr>
        <w:t>$</w:t>
      </w:r>
      <w:r w:rsidR="00B15F16" w:rsidRPr="003B7BA7">
        <w:rPr>
          <w:sz w:val="24"/>
        </w:rPr>
        <w:t>31</w:t>
      </w:r>
      <w:r w:rsidR="00B15F16">
        <w:rPr>
          <w:sz w:val="24"/>
        </w:rPr>
        <w:t>,</w:t>
      </w:r>
      <w:r w:rsidR="00B15F16" w:rsidRPr="003B7BA7">
        <w:rPr>
          <w:sz w:val="24"/>
        </w:rPr>
        <w:t>120.32</w:t>
      </w:r>
      <w:r w:rsidR="00B15F16">
        <w:rPr>
          <w:sz w:val="24"/>
        </w:rPr>
        <w:t xml:space="preserve"> </w:t>
      </w:r>
      <w:r w:rsidR="00B15F16" w:rsidRPr="00B15F16">
        <w:rPr>
          <w:sz w:val="24"/>
        </w:rPr>
        <w:t xml:space="preserve">training costs for </w:t>
      </w:r>
      <w:r w:rsidR="00B15F16">
        <w:rPr>
          <w:sz w:val="24"/>
        </w:rPr>
        <w:t>all 11 PCHs a</w:t>
      </w:r>
      <w:r w:rsidR="00B15F16" w:rsidRPr="00B15F16">
        <w:rPr>
          <w:sz w:val="24"/>
        </w:rPr>
        <w:t xml:space="preserve">nnually.  The total burden estimates for all data collection and submission costs </w:t>
      </w:r>
      <w:r w:rsidR="00082B30">
        <w:rPr>
          <w:sz w:val="24"/>
        </w:rPr>
        <w:t xml:space="preserve">and training </w:t>
      </w:r>
      <w:r w:rsidR="00B15F16" w:rsidRPr="00B15F16">
        <w:rPr>
          <w:sz w:val="24"/>
        </w:rPr>
        <w:t xml:space="preserve">for </w:t>
      </w:r>
      <w:r w:rsidR="00082B30">
        <w:rPr>
          <w:sz w:val="24"/>
        </w:rPr>
        <w:t>all</w:t>
      </w:r>
      <w:r w:rsidR="00B15F16" w:rsidRPr="00B15F16">
        <w:rPr>
          <w:sz w:val="24"/>
        </w:rPr>
        <w:t xml:space="preserve"> facility is </w:t>
      </w:r>
      <w:r w:rsidR="00082B30" w:rsidRPr="00B15F16">
        <w:rPr>
          <w:sz w:val="24"/>
        </w:rPr>
        <w:t>$2,009,043.57</w:t>
      </w:r>
      <w:r w:rsidR="00082B30">
        <w:rPr>
          <w:sz w:val="24"/>
        </w:rPr>
        <w:t xml:space="preserve"> and $</w:t>
      </w:r>
      <w:r w:rsidR="00082B30" w:rsidRPr="00082B30">
        <w:rPr>
          <w:sz w:val="24"/>
        </w:rPr>
        <w:t>31</w:t>
      </w:r>
      <w:r w:rsidR="00082B30">
        <w:rPr>
          <w:sz w:val="24"/>
        </w:rPr>
        <w:t>,</w:t>
      </w:r>
      <w:r w:rsidR="00082B30" w:rsidRPr="00082B30">
        <w:rPr>
          <w:sz w:val="24"/>
        </w:rPr>
        <w:t>120.32</w:t>
      </w:r>
      <w:r w:rsidR="00082B30">
        <w:rPr>
          <w:sz w:val="24"/>
        </w:rPr>
        <w:t xml:space="preserve"> </w:t>
      </w:r>
      <w:r w:rsidR="00B15F16" w:rsidRPr="00B15F16">
        <w:rPr>
          <w:sz w:val="24"/>
        </w:rPr>
        <w:t xml:space="preserve">annually. The total annual cost for all the facilities for </w:t>
      </w:r>
      <w:r w:rsidR="00082B30">
        <w:rPr>
          <w:sz w:val="24"/>
        </w:rPr>
        <w:t xml:space="preserve">data collection, submission and </w:t>
      </w:r>
      <w:r w:rsidR="00B15F16" w:rsidRPr="00B15F16">
        <w:rPr>
          <w:sz w:val="24"/>
        </w:rPr>
        <w:t xml:space="preserve">training is </w:t>
      </w:r>
      <w:r w:rsidR="00876A91" w:rsidRPr="00876A91">
        <w:rPr>
          <w:sz w:val="24"/>
        </w:rPr>
        <w:t xml:space="preserve">$2,040,163.89 </w:t>
      </w:r>
      <w:r w:rsidR="00B15F16" w:rsidRPr="00B15F16">
        <w:rPr>
          <w:sz w:val="24"/>
        </w:rPr>
        <w:t>(See Table B).</w:t>
      </w:r>
    </w:p>
    <w:p w:rsidR="00B15F16" w:rsidRPr="00B15F16" w:rsidRDefault="00B15F16" w:rsidP="00B15F16">
      <w:pPr>
        <w:shd w:val="clear" w:color="auto" w:fill="FFFFFF"/>
        <w:outlineLvl w:val="2"/>
        <w:rPr>
          <w:sz w:val="24"/>
        </w:rPr>
      </w:pPr>
      <w:r>
        <w:rPr>
          <w:sz w:val="24"/>
        </w:rPr>
        <w:t>Table B</w:t>
      </w:r>
      <w:r w:rsidRPr="00B15F16">
        <w:rPr>
          <w:sz w:val="24"/>
        </w:rPr>
        <w:t xml:space="preserve"> </w:t>
      </w:r>
    </w:p>
    <w:tbl>
      <w:tblPr>
        <w:tblW w:w="5000" w:type="pct"/>
        <w:tblCellMar>
          <w:left w:w="0" w:type="dxa"/>
          <w:right w:w="0" w:type="dxa"/>
        </w:tblCellMar>
        <w:tblLook w:val="04A0" w:firstRow="1" w:lastRow="0" w:firstColumn="1" w:lastColumn="0" w:noHBand="0" w:noVBand="1"/>
      </w:tblPr>
      <w:tblGrid>
        <w:gridCol w:w="2031"/>
        <w:gridCol w:w="1355"/>
        <w:gridCol w:w="1893"/>
        <w:gridCol w:w="2294"/>
        <w:gridCol w:w="2003"/>
      </w:tblGrid>
      <w:tr w:rsidR="00B15F16" w:rsidRPr="00DA45F2" w:rsidTr="00252BBE">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sz w:val="24"/>
              </w:rPr>
            </w:pPr>
            <w:r w:rsidRPr="00DA45F2">
              <w:rPr>
                <w:b/>
                <w:bCs/>
                <w:sz w:val="24"/>
              </w:rPr>
              <w:t>Tasks</w:t>
            </w:r>
          </w:p>
        </w:tc>
        <w:tc>
          <w:tcPr>
            <w:tcW w:w="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5F16" w:rsidRPr="00DA45F2" w:rsidRDefault="00B15F16" w:rsidP="00537F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sz w:val="24"/>
              </w:rPr>
            </w:pPr>
            <w:r w:rsidRPr="00DA45F2">
              <w:rPr>
                <w:b/>
                <w:bCs/>
                <w:sz w:val="24"/>
              </w:rPr>
              <w:t xml:space="preserve">Hours per </w:t>
            </w:r>
            <w:r w:rsidR="00537F02">
              <w:rPr>
                <w:b/>
                <w:bCs/>
                <w:sz w:val="24"/>
              </w:rPr>
              <w:t>PCH</w:t>
            </w:r>
          </w:p>
        </w:tc>
        <w:tc>
          <w:tcPr>
            <w:tcW w:w="9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sz w:val="24"/>
              </w:rPr>
            </w:pPr>
            <w:r w:rsidRPr="00DA45F2">
              <w:rPr>
                <w:b/>
                <w:bCs/>
                <w:sz w:val="24"/>
              </w:rPr>
              <w:t>Wage rate</w:t>
            </w: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5F16" w:rsidRPr="00DA45F2" w:rsidRDefault="00B15F16" w:rsidP="00537F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sz w:val="24"/>
              </w:rPr>
            </w:pPr>
            <w:r w:rsidRPr="00DA45F2">
              <w:rPr>
                <w:b/>
                <w:bCs/>
                <w:sz w:val="24"/>
              </w:rPr>
              <w:t xml:space="preserve">Cost per </w:t>
            </w:r>
            <w:r w:rsidR="00537F02">
              <w:rPr>
                <w:b/>
                <w:bCs/>
                <w:sz w:val="24"/>
              </w:rPr>
              <w:t>PCH</w:t>
            </w:r>
          </w:p>
        </w:tc>
        <w:tc>
          <w:tcPr>
            <w:tcW w:w="10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5F16" w:rsidRPr="00DA45F2" w:rsidRDefault="00B15F16" w:rsidP="00537F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sz w:val="24"/>
              </w:rPr>
            </w:pPr>
            <w:r w:rsidRPr="00DA45F2">
              <w:rPr>
                <w:b/>
                <w:bCs/>
                <w:sz w:val="24"/>
              </w:rPr>
              <w:t xml:space="preserve">Total cost for all </w:t>
            </w:r>
            <w:r w:rsidR="00537F02">
              <w:rPr>
                <w:b/>
                <w:bCs/>
                <w:sz w:val="24"/>
              </w:rPr>
              <w:t>PCH</w:t>
            </w:r>
          </w:p>
        </w:tc>
      </w:tr>
      <w:tr w:rsidR="00B15F16" w:rsidRPr="00DA45F2" w:rsidTr="00252B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tc>
        <w:tc>
          <w:tcPr>
            <w:tcW w:w="988" w:type="pct"/>
            <w:tcBorders>
              <w:top w:val="nil"/>
              <w:left w:val="nil"/>
              <w:bottom w:val="single" w:sz="8" w:space="0" w:color="auto"/>
              <w:right w:val="single" w:sz="8" w:space="0" w:color="auto"/>
            </w:tcBorders>
            <w:tcMar>
              <w:top w:w="0" w:type="dxa"/>
              <w:left w:w="108" w:type="dxa"/>
              <w:bottom w:w="0" w:type="dxa"/>
              <w:right w:w="108" w:type="dxa"/>
            </w:tcMar>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tc>
        <w:tc>
          <w:tcPr>
            <w:tcW w:w="1198" w:type="pct"/>
            <w:tcBorders>
              <w:top w:val="nil"/>
              <w:left w:val="nil"/>
              <w:bottom w:val="single" w:sz="8" w:space="0" w:color="auto"/>
              <w:right w:val="single" w:sz="8" w:space="0" w:color="auto"/>
            </w:tcBorders>
            <w:tcMar>
              <w:top w:w="0" w:type="dxa"/>
              <w:left w:w="108" w:type="dxa"/>
              <w:bottom w:w="0" w:type="dxa"/>
              <w:right w:w="108" w:type="dxa"/>
            </w:tcMar>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tc>
        <w:tc>
          <w:tcPr>
            <w:tcW w:w="1046" w:type="pct"/>
            <w:tcBorders>
              <w:top w:val="nil"/>
              <w:left w:val="nil"/>
              <w:bottom w:val="single" w:sz="8" w:space="0" w:color="auto"/>
              <w:right w:val="single" w:sz="8" w:space="0" w:color="auto"/>
            </w:tcBorders>
            <w:tcMar>
              <w:top w:w="0" w:type="dxa"/>
              <w:left w:w="108" w:type="dxa"/>
              <w:bottom w:w="0" w:type="dxa"/>
              <w:right w:w="108" w:type="dxa"/>
            </w:tcMar>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tc>
      </w:tr>
      <w:tr w:rsidR="00B15F16" w:rsidRPr="00DA45F2" w:rsidTr="00252B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DA45F2">
              <w:rPr>
                <w:sz w:val="24"/>
              </w:rPr>
              <w:t>Data Collection and Submission</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507731">
              <w:rPr>
                <w:sz w:val="24"/>
              </w:rPr>
              <w:t>6</w:t>
            </w:r>
            <w:r>
              <w:rPr>
                <w:sz w:val="24"/>
              </w:rPr>
              <w:t>,</w:t>
            </w:r>
            <w:r w:rsidRPr="00507731">
              <w:rPr>
                <w:sz w:val="24"/>
              </w:rPr>
              <w:t>197.5</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DA45F2">
              <w:rPr>
                <w:sz w:val="24"/>
              </w:rPr>
              <w:t>$29.47</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B15F16">
              <w:rPr>
                <w:sz w:val="24"/>
              </w:rPr>
              <w:t>$182,640.33</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B15F16">
              <w:rPr>
                <w:sz w:val="24"/>
              </w:rPr>
              <w:t>$2,009,043.57</w:t>
            </w:r>
          </w:p>
        </w:tc>
      </w:tr>
      <w:tr w:rsidR="00B15F16" w:rsidRPr="00DA45F2" w:rsidTr="00252B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DA45F2">
              <w:rPr>
                <w:sz w:val="24"/>
              </w:rPr>
              <w:t>Training</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B15F16" w:rsidRPr="00DA45F2" w:rsidRDefault="00082B30"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96</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DA45F2">
              <w:rPr>
                <w:sz w:val="24"/>
              </w:rPr>
              <w:t>$29.47</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B15F16" w:rsidRPr="00DA45F2" w:rsidRDefault="00B15F16" w:rsidP="00537F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B15F16">
              <w:rPr>
                <w:sz w:val="24"/>
              </w:rPr>
              <w:t>$</w:t>
            </w:r>
            <w:r w:rsidR="00082B30" w:rsidRPr="00082B30">
              <w:rPr>
                <w:sz w:val="24"/>
              </w:rPr>
              <w:t>2</w:t>
            </w:r>
            <w:r w:rsidR="00082B30">
              <w:rPr>
                <w:sz w:val="24"/>
              </w:rPr>
              <w:t>,</w:t>
            </w:r>
            <w:r w:rsidR="00082B30" w:rsidRPr="00082B30">
              <w:rPr>
                <w:sz w:val="24"/>
              </w:rPr>
              <w:t>829.12</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B15F16" w:rsidRPr="00DA45F2" w:rsidRDefault="00082B30"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w:t>
            </w:r>
            <w:r w:rsidRPr="00082B30">
              <w:rPr>
                <w:sz w:val="24"/>
              </w:rPr>
              <w:t>31</w:t>
            </w:r>
            <w:r>
              <w:rPr>
                <w:sz w:val="24"/>
              </w:rPr>
              <w:t>,</w:t>
            </w:r>
            <w:r w:rsidRPr="00082B30">
              <w:rPr>
                <w:sz w:val="24"/>
              </w:rPr>
              <w:t>120.32</w:t>
            </w:r>
            <w:r>
              <w:rPr>
                <w:sz w:val="24"/>
              </w:rPr>
              <w:t xml:space="preserve"> </w:t>
            </w:r>
          </w:p>
        </w:tc>
      </w:tr>
      <w:tr w:rsidR="00B15F16" w:rsidRPr="00DA45F2" w:rsidTr="00252B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tc>
        <w:tc>
          <w:tcPr>
            <w:tcW w:w="988" w:type="pct"/>
            <w:tcBorders>
              <w:top w:val="nil"/>
              <w:left w:val="nil"/>
              <w:bottom w:val="single" w:sz="8" w:space="0" w:color="auto"/>
              <w:right w:val="single" w:sz="8" w:space="0" w:color="auto"/>
            </w:tcBorders>
            <w:tcMar>
              <w:top w:w="0" w:type="dxa"/>
              <w:left w:w="108" w:type="dxa"/>
              <w:bottom w:w="0" w:type="dxa"/>
              <w:right w:w="108" w:type="dxa"/>
            </w:tcMar>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tc>
        <w:tc>
          <w:tcPr>
            <w:tcW w:w="1198" w:type="pct"/>
            <w:tcBorders>
              <w:top w:val="nil"/>
              <w:left w:val="nil"/>
              <w:bottom w:val="single" w:sz="8" w:space="0" w:color="auto"/>
              <w:right w:val="single" w:sz="8" w:space="0" w:color="auto"/>
            </w:tcBorders>
            <w:tcMar>
              <w:top w:w="0" w:type="dxa"/>
              <w:left w:w="108" w:type="dxa"/>
              <w:bottom w:w="0" w:type="dxa"/>
              <w:right w:w="108" w:type="dxa"/>
            </w:tcMar>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tc>
        <w:tc>
          <w:tcPr>
            <w:tcW w:w="1046" w:type="pct"/>
            <w:tcBorders>
              <w:top w:val="nil"/>
              <w:left w:val="nil"/>
              <w:bottom w:val="single" w:sz="8" w:space="0" w:color="auto"/>
              <w:right w:val="single" w:sz="8" w:space="0" w:color="auto"/>
            </w:tcBorders>
            <w:tcMar>
              <w:top w:w="0" w:type="dxa"/>
              <w:left w:w="108" w:type="dxa"/>
              <w:bottom w:w="0" w:type="dxa"/>
              <w:right w:w="108" w:type="dxa"/>
            </w:tcMar>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tc>
      </w:tr>
      <w:tr w:rsidR="00B15F16" w:rsidRPr="00DA45F2" w:rsidTr="00252B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DA45F2">
              <w:rPr>
                <w:sz w:val="24"/>
              </w:rPr>
              <w:t>            Total</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tc>
        <w:tc>
          <w:tcPr>
            <w:tcW w:w="988" w:type="pct"/>
            <w:tcBorders>
              <w:top w:val="nil"/>
              <w:left w:val="nil"/>
              <w:bottom w:val="single" w:sz="8" w:space="0" w:color="auto"/>
              <w:right w:val="single" w:sz="8" w:space="0" w:color="auto"/>
            </w:tcBorders>
            <w:tcMar>
              <w:top w:w="0" w:type="dxa"/>
              <w:left w:w="108" w:type="dxa"/>
              <w:bottom w:w="0" w:type="dxa"/>
              <w:right w:w="108" w:type="dxa"/>
            </w:tcMar>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tc>
        <w:tc>
          <w:tcPr>
            <w:tcW w:w="1198" w:type="pct"/>
            <w:tcBorders>
              <w:top w:val="nil"/>
              <w:left w:val="nil"/>
              <w:bottom w:val="single" w:sz="8" w:space="0" w:color="auto"/>
              <w:right w:val="single" w:sz="8" w:space="0" w:color="auto"/>
            </w:tcBorders>
            <w:tcMar>
              <w:top w:w="0" w:type="dxa"/>
              <w:left w:w="108" w:type="dxa"/>
              <w:bottom w:w="0" w:type="dxa"/>
              <w:right w:w="108" w:type="dxa"/>
            </w:tcMar>
          </w:tcPr>
          <w:p w:rsidR="00B15F16" w:rsidRPr="00DA45F2" w:rsidRDefault="00B15F16" w:rsidP="00252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B15F16" w:rsidRPr="00DA45F2" w:rsidRDefault="00537F02" w:rsidP="00537F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w:t>
            </w:r>
            <w:r w:rsidR="00082B30" w:rsidRPr="00082B30">
              <w:rPr>
                <w:sz w:val="24"/>
              </w:rPr>
              <w:t>2</w:t>
            </w:r>
            <w:r w:rsidR="00082B30">
              <w:rPr>
                <w:sz w:val="24"/>
              </w:rPr>
              <w:t>,</w:t>
            </w:r>
            <w:r w:rsidR="00082B30" w:rsidRPr="00082B30">
              <w:rPr>
                <w:sz w:val="24"/>
              </w:rPr>
              <w:t>040</w:t>
            </w:r>
            <w:r w:rsidR="00082B30">
              <w:rPr>
                <w:sz w:val="24"/>
              </w:rPr>
              <w:t>,</w:t>
            </w:r>
            <w:r w:rsidR="00082B30" w:rsidRPr="00082B30">
              <w:rPr>
                <w:sz w:val="24"/>
              </w:rPr>
              <w:t>163.89</w:t>
            </w:r>
          </w:p>
        </w:tc>
      </w:tr>
    </w:tbl>
    <w:p w:rsidR="00B15F16" w:rsidRPr="00B15F16" w:rsidRDefault="00B15F16" w:rsidP="00B15F16">
      <w:pPr>
        <w:shd w:val="clear" w:color="auto" w:fill="FFFFFF"/>
        <w:outlineLvl w:val="2"/>
        <w:rPr>
          <w:sz w:val="24"/>
        </w:rPr>
      </w:pPr>
    </w:p>
    <w:p w:rsidR="000E092B" w:rsidRDefault="000E092B" w:rsidP="000E092B">
      <w:pPr>
        <w:shd w:val="clear" w:color="auto" w:fill="FFFFFF"/>
        <w:outlineLvl w:val="2"/>
        <w:rPr>
          <w:sz w:val="24"/>
        </w:rPr>
      </w:pPr>
      <w:r>
        <w:rPr>
          <w:sz w:val="24"/>
        </w:rPr>
        <w:t xml:space="preserve"> </w:t>
      </w:r>
      <w:r w:rsidR="00082B30">
        <w:rPr>
          <w:sz w:val="24"/>
        </w:rPr>
        <w:tab/>
      </w:r>
      <w:r>
        <w:rPr>
          <w:sz w:val="24"/>
        </w:rPr>
        <w:t xml:space="preserve">The </w:t>
      </w:r>
      <w:r w:rsidRPr="00CB191D">
        <w:rPr>
          <w:bCs/>
          <w:sz w:val="24"/>
        </w:rPr>
        <w:t>Data Accuracy and Completeness Acknowledgement (DACA) Form</w:t>
      </w:r>
      <w:r>
        <w:rPr>
          <w:bCs/>
          <w:sz w:val="24"/>
        </w:rPr>
        <w:t xml:space="preserve">, </w:t>
      </w:r>
      <w:r w:rsidRPr="00CB191D">
        <w:rPr>
          <w:bCs/>
          <w:sz w:val="24"/>
        </w:rPr>
        <w:t>Notice of Participation From</w:t>
      </w:r>
      <w:r>
        <w:rPr>
          <w:bCs/>
          <w:sz w:val="24"/>
        </w:rPr>
        <w:t xml:space="preserve">, Decline to Participate Form, and </w:t>
      </w:r>
      <w:r w:rsidRPr="00CB191D">
        <w:rPr>
          <w:bCs/>
          <w:sz w:val="24"/>
        </w:rPr>
        <w:t>Participation Withdrawal Form</w:t>
      </w:r>
      <w:r>
        <w:rPr>
          <w:bCs/>
          <w:sz w:val="24"/>
        </w:rPr>
        <w:t xml:space="preserve"> will be used whenever there is a change in the PCH’s participation status. However, the </w:t>
      </w:r>
      <w:r>
        <w:rPr>
          <w:sz w:val="24"/>
        </w:rPr>
        <w:t>Intensive Care Unit (I</w:t>
      </w:r>
      <w:r w:rsidRPr="002A05D8">
        <w:rPr>
          <w:sz w:val="24"/>
        </w:rPr>
        <w:t>CU</w:t>
      </w:r>
      <w:r>
        <w:rPr>
          <w:sz w:val="24"/>
        </w:rPr>
        <w:t>)</w:t>
      </w:r>
      <w:r w:rsidRPr="002A05D8">
        <w:rPr>
          <w:sz w:val="24"/>
        </w:rPr>
        <w:t xml:space="preserve"> Location </w:t>
      </w:r>
      <w:r>
        <w:rPr>
          <w:sz w:val="24"/>
        </w:rPr>
        <w:t xml:space="preserve">Waiver Form will be used on every annual data submission. </w:t>
      </w:r>
    </w:p>
    <w:p w:rsidR="00DA45F2" w:rsidRPr="00CB191D" w:rsidRDefault="00DA45F2" w:rsidP="000E092B">
      <w:pPr>
        <w:shd w:val="clear" w:color="auto" w:fill="FFFFFF"/>
        <w:outlineLvl w:val="2"/>
        <w:rPr>
          <w:bCs/>
          <w:sz w:val="24"/>
        </w:rPr>
      </w:pPr>
    </w:p>
    <w:p w:rsidR="00C34AD6" w:rsidRDefault="00C34AD6" w:rsidP="00F16B2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rPr>
      </w:pPr>
      <w:r>
        <w:rPr>
          <w:sz w:val="24"/>
        </w:rPr>
        <w:t>13.</w:t>
      </w:r>
      <w:r>
        <w:rPr>
          <w:sz w:val="24"/>
        </w:rPr>
        <w:tab/>
      </w:r>
      <w:r>
        <w:rPr>
          <w:sz w:val="24"/>
          <w:u w:val="single"/>
        </w:rPr>
        <w:t>Capital Costs</w:t>
      </w:r>
    </w:p>
    <w:p w:rsidR="00C34AD6" w:rsidRDefault="00995B7F" w:rsidP="00995B7F">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pPr>
      <w:r>
        <w:t>T</w:t>
      </w:r>
      <w:r w:rsidR="00C34AD6">
        <w:t xml:space="preserve">here </w:t>
      </w:r>
      <w:r>
        <w:t>will not be any capital cost</w:t>
      </w:r>
      <w:r w:rsidR="00E065CC">
        <w:t>.</w:t>
      </w:r>
      <w:r w:rsidR="00C34AD6">
        <w:t xml:space="preserve">  </w:t>
      </w:r>
    </w:p>
    <w:p w:rsidR="00C34AD6" w:rsidRDefault="00C34AD6" w:rsidP="00F16B2F">
      <w:pPr>
        <w:keepNext/>
        <w:keepLines/>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rPr>
      </w:pPr>
      <w:r>
        <w:rPr>
          <w:sz w:val="24"/>
        </w:rPr>
        <w:t>14.</w:t>
      </w:r>
      <w:r>
        <w:rPr>
          <w:sz w:val="24"/>
        </w:rPr>
        <w:tab/>
      </w:r>
      <w:r>
        <w:rPr>
          <w:sz w:val="24"/>
          <w:u w:val="single"/>
        </w:rPr>
        <w:t>Cost to Federal Government</w:t>
      </w:r>
    </w:p>
    <w:p w:rsidR="002316BA" w:rsidRDefault="002316BA" w:rsidP="002316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2316BA">
        <w:rPr>
          <w:sz w:val="24"/>
        </w:rPr>
        <w:t>The aggregated data for the PCHQR Program measures will be reported directly to QualityNet Exchange website utilizing existing system functionality and support.  There will be minimal additional costs</w:t>
      </w:r>
      <w:r w:rsidR="00AE0741">
        <w:rPr>
          <w:sz w:val="24"/>
        </w:rPr>
        <w:t xml:space="preserve"> to modify existing infrastructure. </w:t>
      </w:r>
      <w:r w:rsidRPr="002316BA">
        <w:rPr>
          <w:sz w:val="24"/>
        </w:rPr>
        <w:t xml:space="preserve">  </w:t>
      </w:r>
    </w:p>
    <w:p w:rsidR="00DD2841" w:rsidRPr="00DD2841" w:rsidRDefault="00DD2841" w:rsidP="00DD2841">
      <w:pPr>
        <w:widowControl/>
        <w:tabs>
          <w:tab w:val="left" w:pos="0"/>
          <w:tab w:val="left" w:pos="720"/>
          <w:tab w:val="left" w:pos="1440"/>
          <w:tab w:val="left" w:pos="2160"/>
        </w:tabs>
        <w:spacing w:after="240"/>
        <w:rPr>
          <w:sz w:val="24"/>
        </w:rPr>
      </w:pPr>
      <w:r w:rsidRPr="00DD2841">
        <w:rPr>
          <w:sz w:val="24"/>
        </w:rPr>
        <w:t>However</w:t>
      </w:r>
      <w:r>
        <w:rPr>
          <w:sz w:val="24"/>
        </w:rPr>
        <w:t>, the labor cost is roughly e</w:t>
      </w:r>
      <w:r w:rsidRPr="00DD2841">
        <w:rPr>
          <w:sz w:val="24"/>
        </w:rPr>
        <w:t>stimate</w:t>
      </w:r>
      <w:r>
        <w:rPr>
          <w:sz w:val="24"/>
        </w:rPr>
        <w:t xml:space="preserve">d at </w:t>
      </w:r>
      <w:r w:rsidRPr="00DD2841">
        <w:rPr>
          <w:sz w:val="24"/>
        </w:rPr>
        <w:t xml:space="preserve">$83,200 for the first year and thereafter $20,800 for subsequent years. </w:t>
      </w:r>
    </w:p>
    <w:p w:rsidR="00DD2841" w:rsidRPr="00DD2841" w:rsidRDefault="00DD2841" w:rsidP="00DD2841">
      <w:pPr>
        <w:widowControl/>
        <w:tabs>
          <w:tab w:val="left" w:pos="0"/>
          <w:tab w:val="left" w:pos="720"/>
          <w:tab w:val="left" w:pos="1440"/>
          <w:tab w:val="left" w:pos="2160"/>
        </w:tabs>
        <w:spacing w:after="240"/>
        <w:rPr>
          <w:sz w:val="24"/>
        </w:rPr>
      </w:pPr>
      <w:r w:rsidRPr="00DD2841">
        <w:rPr>
          <w:sz w:val="24"/>
        </w:rPr>
        <w:t xml:space="preserve">For initial start up staff time, it is estimated that approximately 1,040 hours/FTE. At least 2 FTEs are required, therefore, the total FTEs are 2.080 hours. After the start up, the maintenance is minimal (about 25% less) which would be approximately 520 hours. </w:t>
      </w:r>
    </w:p>
    <w:p w:rsidR="006E7A34" w:rsidRDefault="00C34AD6" w:rsidP="002316BA">
      <w:pPr>
        <w:widowControl/>
        <w:tabs>
          <w:tab w:val="left" w:pos="0"/>
          <w:tab w:val="left" w:pos="432"/>
          <w:tab w:val="left" w:pos="720"/>
          <w:tab w:val="left" w:pos="1440"/>
          <w:tab w:val="left" w:pos="2160"/>
        </w:tabs>
        <w:spacing w:after="240"/>
        <w:ind w:left="432" w:hanging="432"/>
        <w:rPr>
          <w:sz w:val="24"/>
        </w:rPr>
      </w:pPr>
      <w:r>
        <w:rPr>
          <w:sz w:val="24"/>
        </w:rPr>
        <w:t>15.</w:t>
      </w:r>
      <w:r>
        <w:rPr>
          <w:sz w:val="24"/>
        </w:rPr>
        <w:tab/>
      </w:r>
      <w:r>
        <w:rPr>
          <w:sz w:val="24"/>
          <w:u w:val="single"/>
        </w:rPr>
        <w:t>Changes to Burden</w:t>
      </w:r>
      <w:r w:rsidR="002316BA" w:rsidRPr="002E54AD">
        <w:rPr>
          <w:sz w:val="24"/>
        </w:rPr>
        <w:tab/>
      </w:r>
      <w:r w:rsidR="002316BA" w:rsidRPr="002E54AD">
        <w:rPr>
          <w:sz w:val="24"/>
        </w:rPr>
        <w:tab/>
      </w:r>
      <w:r w:rsidR="002316BA" w:rsidRPr="002E54AD">
        <w:rPr>
          <w:sz w:val="24"/>
        </w:rPr>
        <w:tab/>
      </w:r>
      <w:r w:rsidR="002316BA" w:rsidRPr="002E54AD">
        <w:rPr>
          <w:sz w:val="24"/>
        </w:rPr>
        <w:tab/>
      </w:r>
      <w:r w:rsidR="002316BA" w:rsidRPr="002E54AD">
        <w:rPr>
          <w:sz w:val="24"/>
        </w:rPr>
        <w:tab/>
      </w:r>
      <w:r w:rsidR="002316BA" w:rsidRPr="002E54AD">
        <w:rPr>
          <w:sz w:val="24"/>
        </w:rPr>
        <w:tab/>
      </w:r>
      <w:r w:rsidR="002316BA" w:rsidRPr="002E54AD">
        <w:rPr>
          <w:sz w:val="24"/>
        </w:rPr>
        <w:tab/>
      </w:r>
      <w:r w:rsidR="002316BA" w:rsidRPr="002E54AD">
        <w:rPr>
          <w:sz w:val="24"/>
        </w:rPr>
        <w:tab/>
      </w:r>
      <w:r w:rsidR="002316BA" w:rsidRPr="002E54AD">
        <w:rPr>
          <w:sz w:val="24"/>
        </w:rPr>
        <w:tab/>
      </w:r>
      <w:r w:rsidR="002316BA" w:rsidRPr="002E54AD">
        <w:rPr>
          <w:sz w:val="24"/>
        </w:rPr>
        <w:tab/>
      </w:r>
    </w:p>
    <w:p w:rsidR="008609C4" w:rsidRDefault="008609C4" w:rsidP="00F16B2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rPr>
      </w:pPr>
      <w:r>
        <w:rPr>
          <w:sz w:val="24"/>
        </w:rPr>
        <w:t xml:space="preserve">This </w:t>
      </w:r>
      <w:r w:rsidR="00DD2841">
        <w:rPr>
          <w:sz w:val="24"/>
        </w:rPr>
        <w:t xml:space="preserve">is </w:t>
      </w:r>
      <w:r>
        <w:rPr>
          <w:sz w:val="24"/>
        </w:rPr>
        <w:t>a new information collection.</w:t>
      </w:r>
    </w:p>
    <w:p w:rsidR="00C34AD6" w:rsidRDefault="00C34AD6" w:rsidP="00F16B2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u w:val="single"/>
        </w:rPr>
      </w:pPr>
      <w:r>
        <w:rPr>
          <w:sz w:val="24"/>
        </w:rPr>
        <w:t>16.</w:t>
      </w:r>
      <w:r>
        <w:rPr>
          <w:sz w:val="24"/>
        </w:rPr>
        <w:tab/>
      </w:r>
      <w:r>
        <w:rPr>
          <w:sz w:val="24"/>
          <w:u w:val="single"/>
        </w:rPr>
        <w:t>Publication/Tabulation Dates</w:t>
      </w:r>
    </w:p>
    <w:p w:rsidR="00DD2841" w:rsidRDefault="00DD2841" w:rsidP="00DD2841">
      <w:pPr>
        <w:widowControl/>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Final rule display on August 2, 2012.</w:t>
      </w:r>
    </w:p>
    <w:p w:rsidR="00DD2841" w:rsidRDefault="00DD2841" w:rsidP="00DD2841">
      <w:pPr>
        <w:widowControl/>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Quality measures announcement no later than October 1, 2012.</w:t>
      </w:r>
    </w:p>
    <w:p w:rsidR="00DD2841" w:rsidRDefault="00DD2841" w:rsidP="00DD2841">
      <w:pPr>
        <w:widowControl/>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Deadline to complete NOP - August 15, 2013.</w:t>
      </w:r>
    </w:p>
    <w:p w:rsidR="00DD2841" w:rsidRDefault="00DD2841" w:rsidP="00DD2841">
      <w:pPr>
        <w:widowControl/>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Deadline to complete ICU waiver form – August 15, 2013.</w:t>
      </w:r>
    </w:p>
    <w:p w:rsidR="00DD2841" w:rsidRDefault="00DD2841" w:rsidP="00DD2841">
      <w:pPr>
        <w:widowControl/>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Data submission July 1, 2013 – August 15, 2013.</w:t>
      </w:r>
    </w:p>
    <w:p w:rsidR="00DD2841" w:rsidRDefault="00DD2841" w:rsidP="00DD2841">
      <w:pPr>
        <w:widowControl/>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Deadline to complete DACA - August 31, 2013.</w:t>
      </w:r>
    </w:p>
    <w:p w:rsidR="00C34AD6" w:rsidRDefault="00C34AD6" w:rsidP="00F16B2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rPr>
      </w:pPr>
      <w:r>
        <w:rPr>
          <w:sz w:val="24"/>
        </w:rPr>
        <w:t>17.</w:t>
      </w:r>
      <w:r>
        <w:rPr>
          <w:sz w:val="24"/>
        </w:rPr>
        <w:tab/>
      </w:r>
      <w:r>
        <w:rPr>
          <w:sz w:val="24"/>
          <w:u w:val="single"/>
        </w:rPr>
        <w:t>Expiration Date</w:t>
      </w:r>
    </w:p>
    <w:p w:rsidR="003F7407" w:rsidRDefault="003F7407" w:rsidP="003F74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3F7407">
        <w:rPr>
          <w:sz w:val="24"/>
        </w:rPr>
        <w:t>We request an exemption from displaying the expiration date because these tools will be used on a continuous basis by hospitals reporting quality data, with the exception of changes to the PCHQR Program and/or statutory mandate.</w:t>
      </w:r>
    </w:p>
    <w:p w:rsidR="00CB191D" w:rsidRDefault="00CB191D" w:rsidP="00F8511C">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191D" w:rsidRDefault="00CB191D" w:rsidP="00F8511C">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191D" w:rsidRDefault="00CB191D" w:rsidP="00F8511C">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191D" w:rsidRDefault="00CB191D" w:rsidP="00F8511C">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CB191D" w:rsidSect="004A5A41">
      <w:footerReference w:type="default" r:id="rId9"/>
      <w:endnotePr>
        <w:numFmt w:val="decimal"/>
      </w:endnotePr>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6C5" w:rsidRDefault="00EF26C5">
      <w:r>
        <w:separator/>
      </w:r>
    </w:p>
  </w:endnote>
  <w:endnote w:type="continuationSeparator" w:id="0">
    <w:p w:rsidR="00EF26C5" w:rsidRDefault="00EF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CC" w:rsidRDefault="00E065CC">
    <w:pPr>
      <w:pStyle w:val="FootnoteText"/>
      <w:widowControl w:val="0"/>
      <w:autoSpaceDE w:val="0"/>
      <w:autoSpaceDN w:val="0"/>
      <w:adjustRightInd w:val="0"/>
      <w:spacing w:line="240" w:lineRule="exact"/>
      <w:rPr>
        <w:szCs w:val="24"/>
      </w:rPr>
    </w:pPr>
  </w:p>
  <w:p w:rsidR="00E065CC" w:rsidRDefault="00E065CC">
    <w:pPr>
      <w:pStyle w:val="Footer"/>
      <w:framePr w:w="9505" w:wrap="notBeside" w:vAnchor="text" w:hAnchor="text" w:x="1" w:y="1"/>
      <w:rPr>
        <w:rFonts w:ascii="Arial" w:hAnsi="Arial" w:cs="Arial"/>
        <w:sz w:val="2"/>
      </w:rPr>
    </w:pPr>
    <w:r>
      <w:rPr>
        <w:rFonts w:ascii="Arial" w:hAnsi="Arial" w:cs="Arial"/>
        <w:sz w:val="2"/>
        <w:highlight w:val="yellow"/>
      </w:rPr>
      <w:t>__________________________________________________________________________</w:t>
    </w:r>
    <w:r>
      <w:rPr>
        <w:rFonts w:ascii="Arial" w:hAnsi="Arial" w:cs="Arial"/>
        <w:sz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65CC" w:rsidRDefault="00E065CC">
    <w:pPr>
      <w:pStyle w:val="Footer"/>
      <w:framePr w:w="9505" w:wrap="notBeside" w:vAnchor="text" w:hAnchor="text" w:x="1" w:y="1"/>
      <w:rPr>
        <w:rFonts w:ascii="Arial" w:hAnsi="Arial" w:cs="Arial"/>
        <w:b/>
        <w:bCs/>
        <w:sz w:val="18"/>
      </w:rPr>
    </w:pPr>
    <w:r>
      <w:rPr>
        <w:rFonts w:ascii="Arial" w:hAnsi="Arial" w:cs="Arial"/>
        <w:b/>
        <w:bCs/>
        <w:sz w:val="18"/>
      </w:rPr>
      <w:t>Supporting Statement For Paperwork Reduction Act Submission –</w:t>
    </w:r>
    <w:r>
      <w:rPr>
        <w:rFonts w:ascii="Arial" w:hAnsi="Arial" w:cs="Arial"/>
        <w:b/>
        <w:bCs/>
        <w:sz w:val="18"/>
      </w:rPr>
      <w:tab/>
      <w:t xml:space="preserve">Page </w:t>
    </w:r>
    <w:r>
      <w:rPr>
        <w:rStyle w:val="PageNumber"/>
        <w:rFonts w:ascii="Arial" w:hAnsi="Arial" w:cs="Arial"/>
        <w:b/>
        <w:bCs/>
        <w:sz w:val="18"/>
      </w:rPr>
      <w:fldChar w:fldCharType="begin"/>
    </w:r>
    <w:r>
      <w:rPr>
        <w:rStyle w:val="PageNumber"/>
        <w:rFonts w:ascii="Arial" w:hAnsi="Arial" w:cs="Arial"/>
        <w:b/>
        <w:bCs/>
        <w:sz w:val="18"/>
      </w:rPr>
      <w:instrText xml:space="preserve"> PAGE </w:instrText>
    </w:r>
    <w:r>
      <w:rPr>
        <w:rStyle w:val="PageNumber"/>
        <w:rFonts w:ascii="Arial" w:hAnsi="Arial" w:cs="Arial"/>
        <w:b/>
        <w:bCs/>
        <w:sz w:val="18"/>
      </w:rPr>
      <w:fldChar w:fldCharType="separate"/>
    </w:r>
    <w:r w:rsidR="00531284">
      <w:rPr>
        <w:rStyle w:val="PageNumber"/>
        <w:rFonts w:ascii="Arial" w:hAnsi="Arial" w:cs="Arial"/>
        <w:b/>
        <w:bCs/>
        <w:noProof/>
        <w:sz w:val="18"/>
      </w:rPr>
      <w:t>1</w:t>
    </w:r>
    <w:r>
      <w:rPr>
        <w:rStyle w:val="PageNumber"/>
        <w:rFonts w:ascii="Arial" w:hAnsi="Arial" w:cs="Arial"/>
        <w:b/>
        <w:bCs/>
        <w:sz w:val="18"/>
      </w:rPr>
      <w:fldChar w:fldCharType="end"/>
    </w:r>
  </w:p>
  <w:p w:rsidR="00E065CC" w:rsidRDefault="00E065CC">
    <w:pPr>
      <w:pStyle w:val="Footer"/>
      <w:framePr w:w="9505" w:wrap="notBeside" w:vAnchor="text" w:hAnchor="text" w:x="1" w:y="1"/>
      <w:rPr>
        <w:rFonts w:ascii="Arial" w:hAnsi="Arial" w:cs="Arial"/>
        <w:b/>
        <w:bCs/>
        <w:sz w:val="18"/>
      </w:rPr>
    </w:pPr>
    <w:r>
      <w:rPr>
        <w:rFonts w:ascii="Arial" w:hAnsi="Arial" w:cs="Arial"/>
        <w:b/>
        <w:bCs/>
        <w:sz w:val="18"/>
      </w:rPr>
      <w:t>Form# CMS (OMB#</w:t>
    </w:r>
    <w:r w:rsidR="00842C58">
      <w:rPr>
        <w:rFonts w:ascii="Arial" w:hAnsi="Arial" w:cs="Arial"/>
        <w:b/>
        <w:bCs/>
        <w:sz w:val="18"/>
      </w:rPr>
      <w:t>0938-XXXX</w:t>
    </w:r>
    <w:r>
      <w:rPr>
        <w:rFonts w:ascii="Arial" w:hAnsi="Arial" w:cs="Arial"/>
        <w:b/>
        <w:bCs/>
        <w:sz w:val="18"/>
      </w:rPr>
      <w:t>)</w:t>
    </w:r>
  </w:p>
  <w:p w:rsidR="00E065CC" w:rsidRDefault="00E065CC">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6C5" w:rsidRDefault="00EF26C5">
      <w:r>
        <w:separator/>
      </w:r>
    </w:p>
  </w:footnote>
  <w:footnote w:type="continuationSeparator" w:id="0">
    <w:p w:rsidR="00EF26C5" w:rsidRDefault="00EF26C5">
      <w:r>
        <w:continuationSeparator/>
      </w:r>
    </w:p>
  </w:footnote>
  <w:footnote w:id="1">
    <w:p w:rsidR="000E092B" w:rsidRDefault="000E092B">
      <w:pPr>
        <w:pStyle w:val="FootnoteText"/>
      </w:pPr>
      <w:r w:rsidRPr="000E092B">
        <w:rPr>
          <w:rStyle w:val="FootnoteReference"/>
          <w:vertAlign w:val="superscript"/>
        </w:rPr>
        <w:footnoteRef/>
      </w:r>
      <w:r w:rsidRPr="000E092B">
        <w:rPr>
          <w:vertAlign w:val="superscript"/>
        </w:rPr>
        <w:t xml:space="preserve"> </w:t>
      </w:r>
      <w:r>
        <w:t xml:space="preserve">Bureau of Labor Statistics: </w:t>
      </w:r>
      <w:r w:rsidRPr="000E092B">
        <w:t>http://www.bls.gov/oes/current/oes292071.htm</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4AA"/>
    <w:multiLevelType w:val="hybridMultilevel"/>
    <w:tmpl w:val="3782D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374541"/>
    <w:multiLevelType w:val="hybridMultilevel"/>
    <w:tmpl w:val="205A9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B41A1"/>
    <w:multiLevelType w:val="hybridMultilevel"/>
    <w:tmpl w:val="1D50C714"/>
    <w:lvl w:ilvl="0" w:tplc="04090001">
      <w:start w:val="1"/>
      <w:numFmt w:val="bullet"/>
      <w:lvlText w:val=""/>
      <w:lvlJc w:val="left"/>
      <w:pPr>
        <w:tabs>
          <w:tab w:val="num" w:pos="1152"/>
        </w:tabs>
        <w:ind w:left="1152" w:hanging="360"/>
      </w:pPr>
      <w:rPr>
        <w:rFonts w:ascii="Symbol" w:hAnsi="Symbol"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560CB2"/>
    <w:multiLevelType w:val="hybridMultilevel"/>
    <w:tmpl w:val="589CC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EE2242"/>
    <w:multiLevelType w:val="hybridMultilevel"/>
    <w:tmpl w:val="F06A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05117A"/>
    <w:multiLevelType w:val="hybridMultilevel"/>
    <w:tmpl w:val="46323CF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F422069"/>
    <w:multiLevelType w:val="hybridMultilevel"/>
    <w:tmpl w:val="F84618E4"/>
    <w:lvl w:ilvl="0" w:tplc="56B61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284784"/>
    <w:multiLevelType w:val="hybridMultilevel"/>
    <w:tmpl w:val="AE6C086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503A7BBB"/>
    <w:multiLevelType w:val="hybridMultilevel"/>
    <w:tmpl w:val="16369E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59EA3A8C"/>
    <w:multiLevelType w:val="multilevel"/>
    <w:tmpl w:val="4F386CB2"/>
    <w:lvl w:ilvl="0">
      <w:start w:val="1"/>
      <w:numFmt w:val="bullet"/>
      <w:pStyle w:val="SCBulletFirstLevel"/>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F79626D"/>
    <w:multiLevelType w:val="multilevel"/>
    <w:tmpl w:val="D54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2B22BA"/>
    <w:multiLevelType w:val="hybridMultilevel"/>
    <w:tmpl w:val="C970460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2"/>
  </w:num>
  <w:num w:numId="2">
    <w:abstractNumId w:val="4"/>
  </w:num>
  <w:num w:numId="3">
    <w:abstractNumId w:val="1"/>
  </w:num>
  <w:num w:numId="4">
    <w:abstractNumId w:val="9"/>
  </w:num>
  <w:num w:numId="5">
    <w:abstractNumId w:val="5"/>
  </w:num>
  <w:num w:numId="6">
    <w:abstractNumId w:val="0"/>
  </w:num>
  <w:num w:numId="7">
    <w:abstractNumId w:val="3"/>
  </w:num>
  <w:num w:numId="8">
    <w:abstractNumId w:val="14"/>
  </w:num>
  <w:num w:numId="9">
    <w:abstractNumId w:val="10"/>
  </w:num>
  <w:num w:numId="10">
    <w:abstractNumId w:val="11"/>
  </w:num>
  <w:num w:numId="11">
    <w:abstractNumId w:val="7"/>
  </w:num>
  <w:num w:numId="12">
    <w:abstractNumId w:val="8"/>
  </w:num>
  <w:num w:numId="13">
    <w:abstractNumId w:val="1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7D1EEE"/>
    <w:rsid w:val="0002017E"/>
    <w:rsid w:val="0002224D"/>
    <w:rsid w:val="000230DE"/>
    <w:rsid w:val="00030723"/>
    <w:rsid w:val="00040C6D"/>
    <w:rsid w:val="00045E1B"/>
    <w:rsid w:val="000558BC"/>
    <w:rsid w:val="00057BC6"/>
    <w:rsid w:val="000632B9"/>
    <w:rsid w:val="0007181E"/>
    <w:rsid w:val="00075B43"/>
    <w:rsid w:val="0007643A"/>
    <w:rsid w:val="00082B30"/>
    <w:rsid w:val="00086AE9"/>
    <w:rsid w:val="000B0350"/>
    <w:rsid w:val="000B34F4"/>
    <w:rsid w:val="000B4FD2"/>
    <w:rsid w:val="000B7392"/>
    <w:rsid w:val="000C4C80"/>
    <w:rsid w:val="000C5129"/>
    <w:rsid w:val="000D72B2"/>
    <w:rsid w:val="000E092B"/>
    <w:rsid w:val="000E4036"/>
    <w:rsid w:val="000F3CE0"/>
    <w:rsid w:val="00102767"/>
    <w:rsid w:val="00117822"/>
    <w:rsid w:val="00123F4D"/>
    <w:rsid w:val="0014238A"/>
    <w:rsid w:val="00151CDE"/>
    <w:rsid w:val="00160434"/>
    <w:rsid w:val="00171D79"/>
    <w:rsid w:val="00176557"/>
    <w:rsid w:val="001773CB"/>
    <w:rsid w:val="0018063C"/>
    <w:rsid w:val="001838B1"/>
    <w:rsid w:val="00195C24"/>
    <w:rsid w:val="001A50EF"/>
    <w:rsid w:val="001A6207"/>
    <w:rsid w:val="001D1061"/>
    <w:rsid w:val="001D641E"/>
    <w:rsid w:val="001F6CEE"/>
    <w:rsid w:val="00200D07"/>
    <w:rsid w:val="00201697"/>
    <w:rsid w:val="002110BD"/>
    <w:rsid w:val="00220ACA"/>
    <w:rsid w:val="00225F94"/>
    <w:rsid w:val="002316BA"/>
    <w:rsid w:val="00242459"/>
    <w:rsid w:val="00251433"/>
    <w:rsid w:val="00252BBE"/>
    <w:rsid w:val="00254B6C"/>
    <w:rsid w:val="002815AC"/>
    <w:rsid w:val="002A05D8"/>
    <w:rsid w:val="002A4BFA"/>
    <w:rsid w:val="002B21CC"/>
    <w:rsid w:val="002B4B69"/>
    <w:rsid w:val="002B6BF7"/>
    <w:rsid w:val="002C570D"/>
    <w:rsid w:val="002D065F"/>
    <w:rsid w:val="002E54AD"/>
    <w:rsid w:val="002E7E80"/>
    <w:rsid w:val="003012F2"/>
    <w:rsid w:val="003046EE"/>
    <w:rsid w:val="003054D0"/>
    <w:rsid w:val="00323FCA"/>
    <w:rsid w:val="00363209"/>
    <w:rsid w:val="00363783"/>
    <w:rsid w:val="00371AE4"/>
    <w:rsid w:val="003762D2"/>
    <w:rsid w:val="003A6D16"/>
    <w:rsid w:val="003A7D97"/>
    <w:rsid w:val="003C3345"/>
    <w:rsid w:val="003C5B9D"/>
    <w:rsid w:val="003D280B"/>
    <w:rsid w:val="003E36B9"/>
    <w:rsid w:val="003F038A"/>
    <w:rsid w:val="003F30B4"/>
    <w:rsid w:val="003F7407"/>
    <w:rsid w:val="00407C7C"/>
    <w:rsid w:val="004134DC"/>
    <w:rsid w:val="00417458"/>
    <w:rsid w:val="0042145F"/>
    <w:rsid w:val="00431E34"/>
    <w:rsid w:val="00432918"/>
    <w:rsid w:val="0043449B"/>
    <w:rsid w:val="00437C21"/>
    <w:rsid w:val="0046572A"/>
    <w:rsid w:val="00483CA4"/>
    <w:rsid w:val="00483E4D"/>
    <w:rsid w:val="004A3D72"/>
    <w:rsid w:val="004A5A41"/>
    <w:rsid w:val="004A5A4E"/>
    <w:rsid w:val="004D35B6"/>
    <w:rsid w:val="004F1278"/>
    <w:rsid w:val="004F2EFF"/>
    <w:rsid w:val="00503ED1"/>
    <w:rsid w:val="005170F8"/>
    <w:rsid w:val="005203FE"/>
    <w:rsid w:val="00522B01"/>
    <w:rsid w:val="0052495C"/>
    <w:rsid w:val="00527971"/>
    <w:rsid w:val="00531284"/>
    <w:rsid w:val="00537F02"/>
    <w:rsid w:val="005473CF"/>
    <w:rsid w:val="00574AE7"/>
    <w:rsid w:val="005873F7"/>
    <w:rsid w:val="00590216"/>
    <w:rsid w:val="00592AD0"/>
    <w:rsid w:val="005978DF"/>
    <w:rsid w:val="005A2026"/>
    <w:rsid w:val="005E431C"/>
    <w:rsid w:val="005F2C75"/>
    <w:rsid w:val="0061163E"/>
    <w:rsid w:val="006346C9"/>
    <w:rsid w:val="006518C4"/>
    <w:rsid w:val="0067601C"/>
    <w:rsid w:val="006811E5"/>
    <w:rsid w:val="00681E1F"/>
    <w:rsid w:val="00687AAB"/>
    <w:rsid w:val="00692E40"/>
    <w:rsid w:val="006B2B06"/>
    <w:rsid w:val="006B5384"/>
    <w:rsid w:val="006E4A88"/>
    <w:rsid w:val="006E7A34"/>
    <w:rsid w:val="006F74CC"/>
    <w:rsid w:val="007025EB"/>
    <w:rsid w:val="00726E3A"/>
    <w:rsid w:val="00727BE0"/>
    <w:rsid w:val="00730308"/>
    <w:rsid w:val="00745AE1"/>
    <w:rsid w:val="007466D1"/>
    <w:rsid w:val="007636AF"/>
    <w:rsid w:val="00767FE5"/>
    <w:rsid w:val="00790171"/>
    <w:rsid w:val="007A0BFC"/>
    <w:rsid w:val="007A5248"/>
    <w:rsid w:val="007C039A"/>
    <w:rsid w:val="007D1EEE"/>
    <w:rsid w:val="007D6753"/>
    <w:rsid w:val="007E4C60"/>
    <w:rsid w:val="007E58A8"/>
    <w:rsid w:val="008014A5"/>
    <w:rsid w:val="0080677D"/>
    <w:rsid w:val="00806E0C"/>
    <w:rsid w:val="0081001C"/>
    <w:rsid w:val="0081275B"/>
    <w:rsid w:val="00814AF1"/>
    <w:rsid w:val="00821F3C"/>
    <w:rsid w:val="00842C58"/>
    <w:rsid w:val="00845632"/>
    <w:rsid w:val="00856E9E"/>
    <w:rsid w:val="00860035"/>
    <w:rsid w:val="008609C4"/>
    <w:rsid w:val="00874CAE"/>
    <w:rsid w:val="00876A91"/>
    <w:rsid w:val="008813D8"/>
    <w:rsid w:val="008843C3"/>
    <w:rsid w:val="00885427"/>
    <w:rsid w:val="00885623"/>
    <w:rsid w:val="00890D37"/>
    <w:rsid w:val="00894032"/>
    <w:rsid w:val="008952D9"/>
    <w:rsid w:val="008A0DC6"/>
    <w:rsid w:val="008A3A8D"/>
    <w:rsid w:val="008A6F79"/>
    <w:rsid w:val="008B3CBA"/>
    <w:rsid w:val="008B4090"/>
    <w:rsid w:val="008B4537"/>
    <w:rsid w:val="008C5228"/>
    <w:rsid w:val="008C697F"/>
    <w:rsid w:val="008D5B4E"/>
    <w:rsid w:val="008E2B59"/>
    <w:rsid w:val="008F6020"/>
    <w:rsid w:val="00902DE5"/>
    <w:rsid w:val="00910B21"/>
    <w:rsid w:val="00920891"/>
    <w:rsid w:val="00935FD4"/>
    <w:rsid w:val="00942443"/>
    <w:rsid w:val="00943160"/>
    <w:rsid w:val="00943545"/>
    <w:rsid w:val="00944D4B"/>
    <w:rsid w:val="00960557"/>
    <w:rsid w:val="00965152"/>
    <w:rsid w:val="00976102"/>
    <w:rsid w:val="009867E5"/>
    <w:rsid w:val="00995B7F"/>
    <w:rsid w:val="009B1D49"/>
    <w:rsid w:val="009C149E"/>
    <w:rsid w:val="009C4CA9"/>
    <w:rsid w:val="009D4964"/>
    <w:rsid w:val="009F18CA"/>
    <w:rsid w:val="00A04247"/>
    <w:rsid w:val="00A07939"/>
    <w:rsid w:val="00A226DE"/>
    <w:rsid w:val="00A477F5"/>
    <w:rsid w:val="00A72997"/>
    <w:rsid w:val="00A72A28"/>
    <w:rsid w:val="00A8019C"/>
    <w:rsid w:val="00A92EDB"/>
    <w:rsid w:val="00AA6D05"/>
    <w:rsid w:val="00AB153B"/>
    <w:rsid w:val="00AB1D93"/>
    <w:rsid w:val="00AB3453"/>
    <w:rsid w:val="00AE0741"/>
    <w:rsid w:val="00AF7C87"/>
    <w:rsid w:val="00B03139"/>
    <w:rsid w:val="00B0624C"/>
    <w:rsid w:val="00B15F16"/>
    <w:rsid w:val="00B55C5F"/>
    <w:rsid w:val="00B55E51"/>
    <w:rsid w:val="00B63848"/>
    <w:rsid w:val="00B67049"/>
    <w:rsid w:val="00B7603C"/>
    <w:rsid w:val="00B92A2B"/>
    <w:rsid w:val="00BA4A13"/>
    <w:rsid w:val="00BE7C7B"/>
    <w:rsid w:val="00BF0AFC"/>
    <w:rsid w:val="00BF3317"/>
    <w:rsid w:val="00C10FE1"/>
    <w:rsid w:val="00C34AD6"/>
    <w:rsid w:val="00C40748"/>
    <w:rsid w:val="00C5102E"/>
    <w:rsid w:val="00C70993"/>
    <w:rsid w:val="00C911E4"/>
    <w:rsid w:val="00C929EB"/>
    <w:rsid w:val="00C94E44"/>
    <w:rsid w:val="00CB002D"/>
    <w:rsid w:val="00CB191D"/>
    <w:rsid w:val="00CC0469"/>
    <w:rsid w:val="00CC281F"/>
    <w:rsid w:val="00CE3CD6"/>
    <w:rsid w:val="00CE6980"/>
    <w:rsid w:val="00CF3383"/>
    <w:rsid w:val="00CF6873"/>
    <w:rsid w:val="00CF7473"/>
    <w:rsid w:val="00D07703"/>
    <w:rsid w:val="00D118A3"/>
    <w:rsid w:val="00D25447"/>
    <w:rsid w:val="00D2741C"/>
    <w:rsid w:val="00D40068"/>
    <w:rsid w:val="00D430FA"/>
    <w:rsid w:val="00D4335F"/>
    <w:rsid w:val="00D51FDF"/>
    <w:rsid w:val="00D56759"/>
    <w:rsid w:val="00D57C93"/>
    <w:rsid w:val="00D94143"/>
    <w:rsid w:val="00DA45F2"/>
    <w:rsid w:val="00DA5D0A"/>
    <w:rsid w:val="00DA7B8E"/>
    <w:rsid w:val="00DD2841"/>
    <w:rsid w:val="00DE4BBF"/>
    <w:rsid w:val="00E010F5"/>
    <w:rsid w:val="00E03C51"/>
    <w:rsid w:val="00E065CC"/>
    <w:rsid w:val="00E22D7D"/>
    <w:rsid w:val="00E37A89"/>
    <w:rsid w:val="00E409BB"/>
    <w:rsid w:val="00E41F00"/>
    <w:rsid w:val="00E5555B"/>
    <w:rsid w:val="00E7615C"/>
    <w:rsid w:val="00E827B9"/>
    <w:rsid w:val="00E9081F"/>
    <w:rsid w:val="00E90EF3"/>
    <w:rsid w:val="00EA0F44"/>
    <w:rsid w:val="00EA2D3A"/>
    <w:rsid w:val="00EA7319"/>
    <w:rsid w:val="00EC2F71"/>
    <w:rsid w:val="00EC712C"/>
    <w:rsid w:val="00EF26C5"/>
    <w:rsid w:val="00F16B2F"/>
    <w:rsid w:val="00F26AF0"/>
    <w:rsid w:val="00F324BC"/>
    <w:rsid w:val="00F41196"/>
    <w:rsid w:val="00F42B60"/>
    <w:rsid w:val="00F53FAA"/>
    <w:rsid w:val="00F55BC0"/>
    <w:rsid w:val="00F67690"/>
    <w:rsid w:val="00F717F2"/>
    <w:rsid w:val="00F80D9F"/>
    <w:rsid w:val="00F8511C"/>
    <w:rsid w:val="00F86E56"/>
    <w:rsid w:val="00F91A0E"/>
    <w:rsid w:val="00FA1960"/>
    <w:rsid w:val="00FC647B"/>
    <w:rsid w:val="00FD2A84"/>
    <w:rsid w:val="00FD43C1"/>
    <w:rsid w:val="00FE3551"/>
    <w:rsid w:val="00FE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outlineLvl w:val="0"/>
    </w:pPr>
    <w:rPr>
      <w:rFonts w:ascii="Arial" w:hAnsi="Arial" w:cs="Arial"/>
      <w:b/>
      <w:bCs/>
      <w:szCs w:val="20"/>
    </w:rPr>
  </w:style>
  <w:style w:type="paragraph" w:styleId="Heading2">
    <w:name w:val="heading 2"/>
    <w:basedOn w:val="Normal"/>
    <w:next w:val="Normal"/>
    <w:link w:val="Heading2Char"/>
    <w:uiPriority w:val="9"/>
    <w:semiHidden/>
    <w:unhideWhenUsed/>
    <w:qFormat/>
    <w:rsid w:val="001A620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widowControl/>
      <w:autoSpaceDE/>
      <w:autoSpaceDN/>
      <w:adjustRightInd/>
    </w:pPr>
    <w:rPr>
      <w:color w:val="3366FF"/>
      <w:sz w:val="22"/>
      <w:szCs w:val="20"/>
    </w:rPr>
  </w:style>
  <w:style w:type="paragraph" w:styleId="BodyTextIndent">
    <w:name w:val="Body Text Indent"/>
    <w:basedOn w:val="Normal"/>
    <w:semiHidden/>
    <w:pPr>
      <w:ind w:left="432"/>
    </w:pPr>
    <w:rPr>
      <w:sz w:val="24"/>
    </w:rPr>
  </w:style>
  <w:style w:type="paragraph" w:styleId="FootnoteText">
    <w:name w:val="footnote text"/>
    <w:basedOn w:val="Normal"/>
    <w:semiHidden/>
    <w:pPr>
      <w:widowControl/>
      <w:autoSpaceDE/>
      <w:autoSpaceDN/>
      <w:adjustRightInd/>
    </w:pPr>
    <w:rPr>
      <w:szCs w:val="20"/>
    </w:rPr>
  </w:style>
  <w:style w:type="paragraph" w:styleId="BodyTextIndent2">
    <w:name w:val="Body Text Indent 2"/>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i/>
      <w:iCs/>
      <w:sz w:val="24"/>
    </w:rPr>
  </w:style>
  <w:style w:type="paragraph" w:customStyle="1" w:styleId="Table">
    <w:name w:val="Table"/>
    <w:basedOn w:val="Normal"/>
    <w:pPr>
      <w:widowControl/>
      <w:tabs>
        <w:tab w:val="left" w:pos="720"/>
        <w:tab w:val="left" w:pos="1080"/>
        <w:tab w:val="left" w:pos="1440"/>
        <w:tab w:val="left" w:pos="1800"/>
      </w:tabs>
      <w:autoSpaceDE/>
      <w:autoSpaceDN/>
      <w:adjustRightInd/>
      <w:spacing w:line="264" w:lineRule="auto"/>
    </w:pPr>
    <w:rPr>
      <w:rFonts w:ascii="Arial" w:hAnsi="Arial"/>
      <w:szCs w:val="20"/>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customStyle="1" w:styleId="BodyTextChar">
    <w:name w:val="Body Text Char"/>
    <w:rPr>
      <w:color w:val="3366FF"/>
      <w:sz w:val="22"/>
      <w:lang w:val="en-US" w:eastAsia="en-US" w:bidi="ar-SA"/>
    </w:rPr>
  </w:style>
  <w:style w:type="paragraph" w:styleId="BodyTextIndent3">
    <w:name w:val="Body Text Indent 3"/>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color w:val="000000"/>
      <w:sz w:val="24"/>
    </w:rPr>
  </w:style>
  <w:style w:type="paragraph" w:styleId="BodyText2">
    <w:name w:val="Body Text 2"/>
    <w:basedOn w:val="Normal"/>
    <w:semiHidden/>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Cs/>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A72997"/>
    <w:rPr>
      <w:sz w:val="16"/>
      <w:szCs w:val="16"/>
    </w:rPr>
  </w:style>
  <w:style w:type="paragraph" w:styleId="CommentText">
    <w:name w:val="annotation text"/>
    <w:basedOn w:val="Normal"/>
    <w:link w:val="CommentTextChar"/>
    <w:uiPriority w:val="99"/>
    <w:semiHidden/>
    <w:unhideWhenUsed/>
    <w:rsid w:val="00A72997"/>
    <w:rPr>
      <w:szCs w:val="20"/>
    </w:rPr>
  </w:style>
  <w:style w:type="character" w:customStyle="1" w:styleId="CommentTextChar">
    <w:name w:val="Comment Text Char"/>
    <w:basedOn w:val="DefaultParagraphFont"/>
    <w:link w:val="CommentText"/>
    <w:uiPriority w:val="99"/>
    <w:semiHidden/>
    <w:rsid w:val="00A72997"/>
  </w:style>
  <w:style w:type="paragraph" w:styleId="CommentSubject">
    <w:name w:val="annotation subject"/>
    <w:basedOn w:val="CommentText"/>
    <w:next w:val="CommentText"/>
    <w:link w:val="CommentSubjectChar"/>
    <w:uiPriority w:val="99"/>
    <w:semiHidden/>
    <w:unhideWhenUsed/>
    <w:rsid w:val="00A72997"/>
    <w:rPr>
      <w:b/>
      <w:bCs/>
    </w:rPr>
  </w:style>
  <w:style w:type="character" w:customStyle="1" w:styleId="CommentSubjectChar">
    <w:name w:val="Comment Subject Char"/>
    <w:link w:val="CommentSubject"/>
    <w:uiPriority w:val="99"/>
    <w:semiHidden/>
    <w:rsid w:val="00A72997"/>
    <w:rPr>
      <w:b/>
      <w:bCs/>
    </w:rPr>
  </w:style>
  <w:style w:type="paragraph" w:styleId="BalloonText">
    <w:name w:val="Balloon Text"/>
    <w:basedOn w:val="Normal"/>
    <w:link w:val="BalloonTextChar"/>
    <w:uiPriority w:val="99"/>
    <w:semiHidden/>
    <w:unhideWhenUsed/>
    <w:rsid w:val="00A72997"/>
    <w:rPr>
      <w:rFonts w:ascii="Tahoma" w:hAnsi="Tahoma"/>
      <w:sz w:val="16"/>
      <w:szCs w:val="16"/>
    </w:rPr>
  </w:style>
  <w:style w:type="character" w:customStyle="1" w:styleId="BalloonTextChar">
    <w:name w:val="Balloon Text Char"/>
    <w:link w:val="BalloonText"/>
    <w:uiPriority w:val="99"/>
    <w:semiHidden/>
    <w:rsid w:val="00A72997"/>
    <w:rPr>
      <w:rFonts w:ascii="Tahoma" w:hAnsi="Tahoma" w:cs="Tahoma"/>
      <w:sz w:val="16"/>
      <w:szCs w:val="16"/>
    </w:rPr>
  </w:style>
  <w:style w:type="paragraph" w:styleId="Revision">
    <w:name w:val="Revision"/>
    <w:hidden/>
    <w:uiPriority w:val="99"/>
    <w:semiHidden/>
    <w:rsid w:val="00EC712C"/>
    <w:rPr>
      <w:szCs w:val="24"/>
    </w:rPr>
  </w:style>
  <w:style w:type="paragraph" w:customStyle="1" w:styleId="bodytextChar0">
    <w:name w:val="body text Char"/>
    <w:aliases w:val="bt Char,body tx Char,indent Char,flush Char,memo body text Char,body text,bt,body tx,indent,flush,memo body text,indent Char Char Char Char Char,indent Char Char Char Char"/>
    <w:basedOn w:val="Normal"/>
    <w:link w:val="bodytextCharChar"/>
    <w:rsid w:val="00E827B9"/>
    <w:pPr>
      <w:widowControl/>
      <w:autoSpaceDE/>
      <w:autoSpaceDN/>
      <w:adjustRightInd/>
      <w:spacing w:after="240"/>
      <w:ind w:firstLine="720"/>
    </w:pPr>
    <w:rPr>
      <w:sz w:val="24"/>
    </w:rPr>
  </w:style>
  <w:style w:type="character" w:customStyle="1" w:styleId="bodytextCharChar">
    <w:name w:val="body text Char Char"/>
    <w:aliases w:val="bt Char Char,body tx Char Char,indent Char Char,flush Char Char,memo body text Char Char"/>
    <w:link w:val="bodytextChar0"/>
    <w:rsid w:val="00E827B9"/>
    <w:rPr>
      <w:sz w:val="24"/>
      <w:szCs w:val="24"/>
    </w:rPr>
  </w:style>
  <w:style w:type="paragraph" w:styleId="ListParagraph">
    <w:name w:val="List Paragraph"/>
    <w:basedOn w:val="Normal"/>
    <w:uiPriority w:val="34"/>
    <w:qFormat/>
    <w:rsid w:val="005F2C75"/>
    <w:pPr>
      <w:widowControl/>
      <w:autoSpaceDE/>
      <w:autoSpaceDN/>
      <w:adjustRightInd/>
      <w:ind w:left="720"/>
      <w:contextualSpacing/>
    </w:pPr>
    <w:rPr>
      <w:sz w:val="24"/>
    </w:rPr>
  </w:style>
  <w:style w:type="table" w:styleId="TableGrid">
    <w:name w:val="Table Grid"/>
    <w:basedOn w:val="TableNormal"/>
    <w:uiPriority w:val="59"/>
    <w:rsid w:val="005F2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1A6207"/>
    <w:rPr>
      <w:color w:val="2F13FB"/>
      <w:u w:val="single"/>
    </w:rPr>
  </w:style>
  <w:style w:type="paragraph" w:customStyle="1" w:styleId="SCBodyText">
    <w:name w:val="SC Body Text"/>
    <w:basedOn w:val="Normal"/>
    <w:qFormat/>
    <w:rsid w:val="001A6207"/>
    <w:pPr>
      <w:widowControl/>
      <w:autoSpaceDE/>
      <w:autoSpaceDN/>
      <w:adjustRightInd/>
      <w:spacing w:before="80" w:after="80"/>
    </w:pPr>
    <w:rPr>
      <w:rFonts w:ascii="Arial" w:eastAsia="Calibri" w:hAnsi="Arial" w:cs="Arial"/>
      <w:sz w:val="24"/>
      <w:szCs w:val="22"/>
    </w:rPr>
  </w:style>
  <w:style w:type="character" w:customStyle="1" w:styleId="SCBodyTextBold">
    <w:name w:val="SC Body Text Bold"/>
    <w:basedOn w:val="Strong"/>
    <w:qFormat/>
    <w:rsid w:val="001A6207"/>
    <w:rPr>
      <w:rFonts w:ascii="Arial" w:hAnsi="Arial"/>
      <w:b/>
      <w:bCs/>
      <w:i w:val="0"/>
      <w:color w:val="auto"/>
      <w:sz w:val="24"/>
    </w:rPr>
  </w:style>
  <w:style w:type="character" w:customStyle="1" w:styleId="SCBodyTextBoldandItalic">
    <w:name w:val="SC Body Text Bold and Italic"/>
    <w:basedOn w:val="SCBodyTextBold"/>
    <w:qFormat/>
    <w:rsid w:val="001A6207"/>
    <w:rPr>
      <w:rFonts w:ascii="Arial" w:hAnsi="Arial"/>
      <w:b/>
      <w:bCs/>
      <w:i/>
      <w:color w:val="auto"/>
      <w:sz w:val="24"/>
      <w:szCs w:val="22"/>
    </w:rPr>
  </w:style>
  <w:style w:type="paragraph" w:customStyle="1" w:styleId="SCHeadersize14">
    <w:name w:val="SC Header size 14"/>
    <w:basedOn w:val="Heading2"/>
    <w:next w:val="SCBodyText"/>
    <w:qFormat/>
    <w:rsid w:val="001A6207"/>
    <w:pPr>
      <w:widowControl/>
      <w:autoSpaceDE/>
      <w:autoSpaceDN/>
      <w:adjustRightInd/>
      <w:spacing w:before="480" w:after="240"/>
      <w:jc w:val="both"/>
    </w:pPr>
    <w:rPr>
      <w:rFonts w:ascii="Arial" w:hAnsi="Arial" w:cs="Arial"/>
      <w:i w:val="0"/>
      <w:iCs w:val="0"/>
      <w:color w:val="000000"/>
    </w:rPr>
  </w:style>
  <w:style w:type="character" w:styleId="Strong">
    <w:name w:val="Strong"/>
    <w:basedOn w:val="DefaultParagraphFont"/>
    <w:uiPriority w:val="22"/>
    <w:qFormat/>
    <w:rsid w:val="001A6207"/>
    <w:rPr>
      <w:b/>
      <w:bCs/>
    </w:rPr>
  </w:style>
  <w:style w:type="character" w:customStyle="1" w:styleId="Heading2Char">
    <w:name w:val="Heading 2 Char"/>
    <w:basedOn w:val="DefaultParagraphFont"/>
    <w:link w:val="Heading2"/>
    <w:uiPriority w:val="9"/>
    <w:semiHidden/>
    <w:rsid w:val="001A6207"/>
    <w:rPr>
      <w:rFonts w:ascii="Cambria" w:eastAsia="Times New Roman" w:hAnsi="Cambria" w:cs="Times New Roman"/>
      <w:b/>
      <w:bCs/>
      <w:i/>
      <w:iCs/>
      <w:sz w:val="28"/>
      <w:szCs w:val="28"/>
    </w:rPr>
  </w:style>
  <w:style w:type="paragraph" w:customStyle="1" w:styleId="SCBulletFirstLevel">
    <w:name w:val="SC BulletFirstLevel"/>
    <w:basedOn w:val="SCBodyText"/>
    <w:qFormat/>
    <w:rsid w:val="001A6207"/>
    <w:pPr>
      <w:numPr>
        <w:numId w:val="14"/>
      </w:numPr>
      <w:ind w:right="135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97904">
      <w:bodyDiv w:val="1"/>
      <w:marLeft w:val="0"/>
      <w:marRight w:val="0"/>
      <w:marTop w:val="0"/>
      <w:marBottom w:val="0"/>
      <w:divBdr>
        <w:top w:val="none" w:sz="0" w:space="0" w:color="auto"/>
        <w:left w:val="none" w:sz="0" w:space="0" w:color="auto"/>
        <w:bottom w:val="none" w:sz="0" w:space="0" w:color="auto"/>
        <w:right w:val="none" w:sz="0" w:space="0" w:color="auto"/>
      </w:divBdr>
    </w:div>
    <w:div w:id="816609159">
      <w:bodyDiv w:val="1"/>
      <w:marLeft w:val="0"/>
      <w:marRight w:val="0"/>
      <w:marTop w:val="0"/>
      <w:marBottom w:val="0"/>
      <w:divBdr>
        <w:top w:val="none" w:sz="0" w:space="0" w:color="auto"/>
        <w:left w:val="none" w:sz="0" w:space="0" w:color="auto"/>
        <w:bottom w:val="none" w:sz="0" w:space="0" w:color="auto"/>
        <w:right w:val="none" w:sz="0" w:space="0" w:color="auto"/>
      </w:divBdr>
    </w:div>
    <w:div w:id="1093432117">
      <w:bodyDiv w:val="1"/>
      <w:marLeft w:val="0"/>
      <w:marRight w:val="0"/>
      <w:marTop w:val="0"/>
      <w:marBottom w:val="0"/>
      <w:divBdr>
        <w:top w:val="none" w:sz="0" w:space="0" w:color="auto"/>
        <w:left w:val="none" w:sz="0" w:space="0" w:color="auto"/>
        <w:bottom w:val="none" w:sz="0" w:space="0" w:color="auto"/>
        <w:right w:val="none" w:sz="0" w:space="0" w:color="auto"/>
      </w:divBdr>
    </w:div>
    <w:div w:id="190783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26C8-CAD0-4E77-831F-8536565D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CTAC</cp:lastModifiedBy>
  <cp:revision>2</cp:revision>
  <cp:lastPrinted>2012-02-16T14:11:00Z</cp:lastPrinted>
  <dcterms:created xsi:type="dcterms:W3CDTF">2012-08-14T17:06:00Z</dcterms:created>
  <dcterms:modified xsi:type="dcterms:W3CDTF">2012-08-14T17:06:00Z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1845512448</vt:i4>
  </property>
  <property fmtid="{D5CDD505-2E9C-101B-9397-08002B2CF9AE}" pid="4" name="_EmailSubject">
    <vt:lpwstr>ROCIS Edits for CMS-10431 </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ReviewingToolsShownOnce">
    <vt:lpwstr/>
  </property>
</Properties>
</file>