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CF" w:rsidRDefault="005849CF" w:rsidP="00665645">
      <w:pPr>
        <w:pStyle w:val="NormalWeb"/>
        <w:spacing w:before="0" w:beforeAutospacing="0" w:after="0" w:afterAutospacing="0"/>
        <w:jc w:val="center"/>
        <w:rPr>
          <w:caps/>
        </w:rPr>
      </w:pPr>
      <w:bookmarkStart w:id="0" w:name="_GoBack"/>
      <w:bookmarkEnd w:id="0"/>
    </w:p>
    <w:p w:rsidR="005849CF" w:rsidRDefault="005849CF" w:rsidP="00665645">
      <w:pPr>
        <w:pStyle w:val="NormalWeb"/>
        <w:spacing w:before="0" w:beforeAutospacing="0" w:after="0" w:afterAutospacing="0"/>
        <w:jc w:val="center"/>
        <w:rPr>
          <w:caps/>
        </w:rPr>
      </w:pPr>
    </w:p>
    <w:p w:rsidR="004E40CB" w:rsidRPr="00B0575C" w:rsidRDefault="0042042F" w:rsidP="004E40CB">
      <w:pPr>
        <w:jc w:val="center"/>
        <w:rPr>
          <w:rFonts w:ascii="Times New Roman Bold" w:hAnsi="Times New Roman Bold"/>
          <w:b/>
          <w:caps/>
          <w:sz w:val="32"/>
          <w:szCs w:val="32"/>
        </w:rPr>
      </w:pPr>
      <w:r>
        <w:rPr>
          <w:rFonts w:ascii="Times New Roman Bold" w:hAnsi="Times New Roman Bold"/>
          <w:b/>
          <w:caps/>
          <w:sz w:val="32"/>
          <w:szCs w:val="32"/>
        </w:rPr>
        <w:t>CDC</w:t>
      </w:r>
      <w:r w:rsidR="00E64C6E">
        <w:rPr>
          <w:rFonts w:ascii="Times New Roman Bold" w:hAnsi="Times New Roman Bold" w:hint="eastAsia"/>
          <w:b/>
          <w:caps/>
          <w:sz w:val="32"/>
          <w:szCs w:val="32"/>
        </w:rPr>
        <w:t>’</w:t>
      </w:r>
      <w:r w:rsidR="00E64C6E">
        <w:rPr>
          <w:rFonts w:ascii="Times New Roman Bold" w:hAnsi="Times New Roman Bold"/>
          <w:b/>
          <w:caps/>
          <w:sz w:val="32"/>
          <w:szCs w:val="32"/>
        </w:rPr>
        <w:t>S</w:t>
      </w:r>
      <w:r w:rsidR="004E40CB" w:rsidRPr="00B0575C">
        <w:rPr>
          <w:rFonts w:ascii="Times New Roman Bold" w:hAnsi="Times New Roman Bold"/>
          <w:b/>
          <w:caps/>
          <w:sz w:val="32"/>
          <w:szCs w:val="32"/>
        </w:rPr>
        <w:t xml:space="preserve"> Cervical Cancer Study (Cx3)</w:t>
      </w:r>
    </w:p>
    <w:p w:rsidR="004E40CB" w:rsidRPr="00B0575C" w:rsidRDefault="004E40CB" w:rsidP="004E40CB">
      <w:pPr>
        <w:jc w:val="center"/>
        <w:rPr>
          <w:rFonts w:ascii="Times New Roman Bold" w:hAnsi="Times New Roman Bold"/>
          <w:b/>
          <w:caps/>
          <w:sz w:val="32"/>
          <w:szCs w:val="32"/>
        </w:rPr>
      </w:pPr>
      <w:r w:rsidRPr="00B0575C">
        <w:rPr>
          <w:rFonts w:ascii="Times New Roman Bold" w:hAnsi="Times New Roman Bold"/>
          <w:b/>
          <w:caps/>
          <w:sz w:val="32"/>
          <w:szCs w:val="32"/>
        </w:rPr>
        <w:t xml:space="preserve">An Intervention Pilot Study of HPV in </w:t>
      </w:r>
      <w:smartTag w:uri="urn:schemas-microsoft-com:office:smarttags" w:element="State">
        <w:smartTag w:uri="urn:schemas-microsoft-com:office:smarttags" w:element="place">
          <w:r w:rsidRPr="00B0575C">
            <w:rPr>
              <w:rFonts w:ascii="Times New Roman Bold" w:hAnsi="Times New Roman Bold"/>
              <w:b/>
              <w:caps/>
              <w:sz w:val="32"/>
              <w:szCs w:val="32"/>
            </w:rPr>
            <w:t>Illinois</w:t>
          </w:r>
        </w:smartTag>
      </w:smartTag>
      <w:r w:rsidRPr="00B0575C">
        <w:rPr>
          <w:rFonts w:ascii="Times New Roman Bold" w:hAnsi="Times New Roman Bold"/>
          <w:b/>
          <w:caps/>
          <w:sz w:val="32"/>
          <w:szCs w:val="32"/>
        </w:rPr>
        <w:t xml:space="preserve"> NBCCEDP</w:t>
      </w:r>
    </w:p>
    <w:p w:rsidR="004E40CB" w:rsidRDefault="004E40CB" w:rsidP="004E40CB">
      <w:pPr>
        <w:pStyle w:val="NormalWeb"/>
        <w:spacing w:before="0" w:beforeAutospacing="0" w:after="0" w:afterAutospacing="0"/>
        <w:jc w:val="center"/>
      </w:pPr>
    </w:p>
    <w:p w:rsidR="004E40CB" w:rsidRDefault="004E40CB" w:rsidP="004E40CB">
      <w:pPr>
        <w:pStyle w:val="NormalWeb"/>
        <w:spacing w:before="0" w:beforeAutospacing="0" w:after="0" w:afterAutospacing="0"/>
        <w:jc w:val="center"/>
      </w:pPr>
    </w:p>
    <w:p w:rsidR="004E40CB" w:rsidRDefault="004E40CB" w:rsidP="004E40CB">
      <w:pPr>
        <w:pStyle w:val="NormalWeb"/>
        <w:spacing w:before="0" w:beforeAutospacing="0" w:after="0" w:afterAutospacing="0"/>
        <w:jc w:val="center"/>
      </w:pPr>
    </w:p>
    <w:p w:rsidR="00F27129" w:rsidRDefault="004E40CB" w:rsidP="00665645">
      <w:pPr>
        <w:pStyle w:val="NormalWeb"/>
        <w:spacing w:before="0" w:beforeAutospacing="0" w:after="0" w:afterAutospacing="0"/>
        <w:jc w:val="center"/>
        <w:rPr>
          <w:caps/>
        </w:rPr>
      </w:pPr>
      <w:r>
        <w:rPr>
          <w:caps/>
        </w:rPr>
        <w:t>Supporting Statement</w:t>
      </w:r>
    </w:p>
    <w:p w:rsidR="00665645" w:rsidRDefault="00665645" w:rsidP="00665645">
      <w:pPr>
        <w:pStyle w:val="NormalWeb"/>
        <w:spacing w:before="0" w:beforeAutospacing="0" w:after="0" w:afterAutospacing="0"/>
        <w:jc w:val="center"/>
        <w:rPr>
          <w:caps/>
        </w:rPr>
      </w:pPr>
    </w:p>
    <w:p w:rsidR="007821E1" w:rsidRPr="00F27129" w:rsidRDefault="007821E1" w:rsidP="00665645">
      <w:pPr>
        <w:pStyle w:val="NormalWeb"/>
        <w:spacing w:before="0" w:beforeAutospacing="0" w:after="0" w:afterAutospacing="0"/>
        <w:jc w:val="center"/>
        <w:rPr>
          <w:caps/>
        </w:rPr>
      </w:pPr>
      <w:r>
        <w:rPr>
          <w:caps/>
        </w:rPr>
        <w:t>Part a</w:t>
      </w:r>
    </w:p>
    <w:p w:rsidR="00F27129" w:rsidRDefault="00F27129" w:rsidP="00665645">
      <w:pPr>
        <w:pStyle w:val="NormalWeb"/>
        <w:spacing w:before="0" w:beforeAutospacing="0" w:after="0" w:afterAutospacing="0"/>
      </w:pPr>
    </w:p>
    <w:p w:rsidR="00665645" w:rsidRDefault="00665645" w:rsidP="00665645">
      <w:pPr>
        <w:jc w:val="center"/>
        <w:rPr>
          <w:rFonts w:ascii="Times New Roman Bold" w:hAnsi="Times New Roman Bold"/>
          <w:b/>
          <w:caps/>
          <w:sz w:val="32"/>
          <w:szCs w:val="32"/>
        </w:rPr>
      </w:pPr>
    </w:p>
    <w:p w:rsidR="00BA4282" w:rsidRPr="00BA5E08" w:rsidRDefault="00307728" w:rsidP="00665645">
      <w:pPr>
        <w:jc w:val="center"/>
        <w:rPr>
          <w:rFonts w:ascii="Times New Roman Bold" w:hAnsi="Times New Roman Bold"/>
          <w:b/>
        </w:rPr>
      </w:pPr>
      <w:r w:rsidRPr="00BA5E08">
        <w:rPr>
          <w:rFonts w:ascii="Times New Roman Bold" w:hAnsi="Times New Roman Bold"/>
          <w:b/>
        </w:rPr>
        <w:t>Revision, OMB No. 0920-0814</w:t>
      </w:r>
    </w:p>
    <w:p w:rsidR="00BA4282" w:rsidRDefault="00BA4282" w:rsidP="00665645">
      <w:pPr>
        <w:jc w:val="center"/>
        <w:rPr>
          <w:rFonts w:ascii="Times New Roman Bold" w:hAnsi="Times New Roman Bold"/>
          <w:b/>
          <w:caps/>
          <w:sz w:val="32"/>
          <w:szCs w:val="32"/>
        </w:rPr>
      </w:pPr>
    </w:p>
    <w:p w:rsidR="00665645" w:rsidRDefault="00665645" w:rsidP="00665645">
      <w:pPr>
        <w:jc w:val="center"/>
        <w:rPr>
          <w:rFonts w:ascii="Times New Roman Bold" w:hAnsi="Times New Roman Bold"/>
          <w:b/>
          <w:caps/>
          <w:sz w:val="32"/>
          <w:szCs w:val="32"/>
        </w:rPr>
      </w:pPr>
    </w:p>
    <w:p w:rsidR="00665645" w:rsidRDefault="00665645" w:rsidP="00665645">
      <w:pPr>
        <w:jc w:val="center"/>
        <w:rPr>
          <w:rFonts w:ascii="Times New Roman Bold" w:hAnsi="Times New Roman Bold"/>
          <w:b/>
          <w:caps/>
          <w:sz w:val="32"/>
          <w:szCs w:val="32"/>
        </w:rPr>
      </w:pPr>
    </w:p>
    <w:p w:rsidR="00665645" w:rsidRDefault="00665645" w:rsidP="004E40CB">
      <w:pPr>
        <w:pStyle w:val="NormalWeb"/>
        <w:spacing w:before="0" w:beforeAutospacing="0" w:after="0" w:afterAutospacing="0"/>
      </w:pPr>
    </w:p>
    <w:p w:rsidR="00665645" w:rsidRDefault="00665645" w:rsidP="00665645">
      <w:pPr>
        <w:pStyle w:val="NormalWeb"/>
        <w:spacing w:before="0" w:beforeAutospacing="0" w:after="0" w:afterAutospacing="0"/>
        <w:jc w:val="center"/>
      </w:pPr>
    </w:p>
    <w:p w:rsidR="00665645" w:rsidRDefault="00665645" w:rsidP="00665645">
      <w:pPr>
        <w:pStyle w:val="NormalWeb"/>
        <w:spacing w:before="0" w:beforeAutospacing="0" w:after="0" w:afterAutospacing="0"/>
        <w:jc w:val="center"/>
      </w:pPr>
    </w:p>
    <w:p w:rsidR="00665645" w:rsidRDefault="00665645" w:rsidP="00665645">
      <w:pPr>
        <w:pStyle w:val="NormalWeb"/>
        <w:spacing w:before="0" w:beforeAutospacing="0" w:after="0" w:afterAutospacing="0"/>
        <w:jc w:val="center"/>
      </w:pPr>
    </w:p>
    <w:p w:rsidR="00F27129" w:rsidRDefault="00E93107" w:rsidP="00665645">
      <w:pPr>
        <w:pStyle w:val="NormalWeb"/>
        <w:spacing w:before="0" w:beforeAutospacing="0" w:after="0" w:afterAutospacing="0"/>
        <w:jc w:val="center"/>
      </w:pPr>
      <w:r>
        <w:t>April 2</w:t>
      </w:r>
      <w:r w:rsidR="009C6B84">
        <w:t>7</w:t>
      </w:r>
      <w:r w:rsidR="00A672C5">
        <w:t>,</w:t>
      </w:r>
      <w:r w:rsidR="004F3B6B">
        <w:t xml:space="preserve"> 201</w:t>
      </w:r>
      <w:r w:rsidR="00317973">
        <w:t>2</w:t>
      </w:r>
    </w:p>
    <w:p w:rsidR="005849CF" w:rsidRDefault="005849CF" w:rsidP="00665645">
      <w:pPr>
        <w:pStyle w:val="NormalWeb"/>
        <w:spacing w:before="0" w:beforeAutospacing="0" w:after="0" w:afterAutospacing="0"/>
        <w:jc w:val="center"/>
      </w:pPr>
    </w:p>
    <w:p w:rsidR="005849CF" w:rsidRDefault="005849CF" w:rsidP="00665645">
      <w:pPr>
        <w:pStyle w:val="NormalWeb"/>
        <w:spacing w:before="0" w:beforeAutospacing="0" w:after="0" w:afterAutospacing="0"/>
        <w:jc w:val="center"/>
      </w:pPr>
    </w:p>
    <w:p w:rsidR="005849CF" w:rsidRDefault="005849CF"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BA4282" w:rsidRDefault="00BA4282" w:rsidP="00665645">
      <w:pPr>
        <w:pStyle w:val="NormalWeb"/>
        <w:spacing w:before="0" w:beforeAutospacing="0" w:after="0" w:afterAutospacing="0"/>
        <w:jc w:val="center"/>
      </w:pPr>
    </w:p>
    <w:p w:rsidR="00665645" w:rsidRDefault="00665645" w:rsidP="00665645">
      <w:pPr>
        <w:pStyle w:val="NormalWeb"/>
        <w:spacing w:before="0" w:beforeAutospacing="0" w:after="0" w:afterAutospacing="0"/>
        <w:jc w:val="center"/>
      </w:pPr>
    </w:p>
    <w:p w:rsidR="00665645" w:rsidRDefault="00665645" w:rsidP="00665645">
      <w:pPr>
        <w:pStyle w:val="NormalWeb"/>
        <w:spacing w:before="0" w:beforeAutospacing="0" w:after="0" w:afterAutospacing="0"/>
        <w:jc w:val="center"/>
      </w:pPr>
    </w:p>
    <w:p w:rsidR="00665645" w:rsidRDefault="004E40CB" w:rsidP="00665645">
      <w:pPr>
        <w:pStyle w:val="NormalWeb"/>
        <w:spacing w:before="0" w:beforeAutospacing="0" w:after="0" w:afterAutospacing="0"/>
        <w:jc w:val="center"/>
      </w:pPr>
      <w:r>
        <w:t>Contact:</w:t>
      </w:r>
    </w:p>
    <w:p w:rsidR="00F27129" w:rsidRDefault="00665645" w:rsidP="00665645">
      <w:pPr>
        <w:pStyle w:val="NormalWeb"/>
        <w:spacing w:before="0" w:beforeAutospacing="0" w:after="0" w:afterAutospacing="0"/>
        <w:jc w:val="center"/>
      </w:pPr>
      <w:r>
        <w:t>T</w:t>
      </w:r>
      <w:r w:rsidR="002A2728">
        <w:t>echnical Monitor</w:t>
      </w:r>
      <w:r w:rsidR="00F27129">
        <w:t xml:space="preserve"> </w:t>
      </w:r>
      <w:r w:rsidR="002A2728">
        <w:t xml:space="preserve">Vicki </w:t>
      </w:r>
      <w:proofErr w:type="spellStart"/>
      <w:r w:rsidR="002A2728">
        <w:t>Benard</w:t>
      </w:r>
      <w:proofErr w:type="spellEnd"/>
      <w:r w:rsidR="00D4071D">
        <w:t>,</w:t>
      </w:r>
      <w:r w:rsidR="00D4071D" w:rsidRPr="00D4071D">
        <w:rPr>
          <w:b/>
        </w:rPr>
        <w:t xml:space="preserve"> </w:t>
      </w:r>
      <w:r w:rsidR="00D4071D" w:rsidRPr="00D4071D">
        <w:t>PhD</w:t>
      </w:r>
      <w:r w:rsidR="00D4071D" w:rsidRPr="008322D8">
        <w:t xml:space="preserve">, </w:t>
      </w:r>
      <w:r w:rsidR="00D4071D">
        <w:t>E</w:t>
      </w:r>
      <w:r w:rsidR="00D4071D" w:rsidRPr="008322D8">
        <w:t>pidemiologist</w:t>
      </w:r>
    </w:p>
    <w:p w:rsidR="004E40CB" w:rsidRDefault="004E40CB" w:rsidP="004E40CB">
      <w:pPr>
        <w:pStyle w:val="NormalWeb"/>
        <w:spacing w:before="0" w:beforeAutospacing="0" w:after="0" w:afterAutospacing="0"/>
        <w:jc w:val="center"/>
      </w:pPr>
      <w:r>
        <w:t>Telephone: (770) 488-1092</w:t>
      </w:r>
    </w:p>
    <w:p w:rsidR="004E40CB" w:rsidRPr="003E21D6" w:rsidRDefault="004E40CB" w:rsidP="004E40CB">
      <w:pPr>
        <w:pStyle w:val="NormalWeb"/>
        <w:spacing w:before="0" w:beforeAutospacing="0" w:after="0" w:afterAutospacing="0"/>
        <w:jc w:val="center"/>
      </w:pPr>
      <w:r w:rsidRPr="003E21D6">
        <w:t>Fax: (770) 488-4639</w:t>
      </w:r>
    </w:p>
    <w:p w:rsidR="004E40CB" w:rsidRDefault="004E40CB" w:rsidP="004E40CB">
      <w:pPr>
        <w:pStyle w:val="NormalWeb"/>
        <w:spacing w:before="0" w:beforeAutospacing="0" w:after="0" w:afterAutospacing="0"/>
        <w:jc w:val="center"/>
      </w:pPr>
      <w:r w:rsidRPr="003E21D6">
        <w:t>Email: vdb9@cdc.gov</w:t>
      </w:r>
    </w:p>
    <w:p w:rsidR="008306A8" w:rsidRPr="008306A8" w:rsidRDefault="004E40CB" w:rsidP="00665645">
      <w:pPr>
        <w:pStyle w:val="NormalWeb"/>
        <w:spacing w:before="0" w:beforeAutospacing="0" w:after="0" w:afterAutospacing="0"/>
        <w:jc w:val="center"/>
      </w:pPr>
      <w:smartTag w:uri="urn:schemas-microsoft-com:office:smarttags" w:element="place">
        <w:smartTag w:uri="urn:schemas-microsoft-com:office:smarttags" w:element="PlaceName">
          <w:r>
            <w:t>National</w:t>
          </w:r>
        </w:smartTag>
        <w:r>
          <w:t xml:space="preserve"> </w:t>
        </w:r>
        <w:smartTag w:uri="urn:schemas-microsoft-com:office:smarttags" w:element="PlaceType">
          <w:r w:rsidR="008306A8" w:rsidRPr="008306A8">
            <w:t>Center</w:t>
          </w:r>
        </w:smartTag>
      </w:smartTag>
      <w:r w:rsidR="008306A8" w:rsidRPr="008306A8">
        <w:t xml:space="preserve"> for Chronic Disease Prevention and Health Promotion (NCCDPHP)</w:t>
      </w:r>
    </w:p>
    <w:p w:rsidR="00F27129" w:rsidRDefault="002A2728" w:rsidP="00665645">
      <w:pPr>
        <w:pStyle w:val="NormalWeb"/>
        <w:spacing w:before="0" w:beforeAutospacing="0" w:after="0" w:afterAutospacing="0"/>
        <w:jc w:val="center"/>
      </w:pPr>
      <w:r>
        <w:t>Center</w:t>
      </w:r>
      <w:r w:rsidR="004E40CB">
        <w:t>s</w:t>
      </w:r>
      <w:r>
        <w:t xml:space="preserve"> for Disease Control and Prevention</w:t>
      </w:r>
      <w:r w:rsidR="008306A8">
        <w:t xml:space="preserve"> (CDC)</w:t>
      </w:r>
    </w:p>
    <w:p w:rsidR="005849CF" w:rsidRDefault="002A2728" w:rsidP="00665645">
      <w:pPr>
        <w:pStyle w:val="NormalWeb"/>
        <w:spacing w:before="0" w:beforeAutospacing="0" w:after="0" w:afterAutospacing="0"/>
        <w:jc w:val="center"/>
      </w:pPr>
      <w:r>
        <w:t>4770 Buford Highway NE, MS K55</w:t>
      </w:r>
      <w:r w:rsidR="005849CF">
        <w:t xml:space="preserve"> </w:t>
      </w:r>
    </w:p>
    <w:p w:rsidR="00F27129" w:rsidRDefault="002A2728" w:rsidP="00665645">
      <w:pPr>
        <w:pStyle w:val="NormalWeb"/>
        <w:spacing w:before="0" w:beforeAutospacing="0" w:after="0" w:afterAutospacing="0"/>
        <w:jc w:val="center"/>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rsidR="004E40CB">
          <w:t xml:space="preserve"> </w:t>
        </w:r>
        <w:smartTag w:uri="urn:schemas-microsoft-com:office:smarttags" w:element="PostalCode">
          <w:r w:rsidR="004E40CB">
            <w:t>30341</w:t>
          </w:r>
        </w:smartTag>
      </w:smartTag>
    </w:p>
    <w:p w:rsidR="00F27129" w:rsidRDefault="00F27129" w:rsidP="00665645">
      <w:pPr>
        <w:pStyle w:val="NormalWeb"/>
        <w:spacing w:before="0" w:beforeAutospacing="0" w:after="0" w:afterAutospacing="0"/>
        <w:jc w:val="center"/>
        <w:rPr>
          <w:b/>
        </w:rPr>
        <w:sectPr w:rsidR="00F27129" w:rsidSect="00D66A27">
          <w:footerReference w:type="default" r:id="rId9"/>
          <w:headerReference w:type="first" r:id="rId10"/>
          <w:pgSz w:w="12240" w:h="15840" w:code="1"/>
          <w:pgMar w:top="1440" w:right="1440" w:bottom="1440" w:left="1440" w:header="720" w:footer="720" w:gutter="0"/>
          <w:pgNumType w:fmt="lowerRoman" w:start="1"/>
          <w:cols w:space="720"/>
          <w:titlePg/>
          <w:docGrid w:linePitch="360"/>
        </w:sectPr>
      </w:pPr>
      <w:r>
        <w:tab/>
      </w:r>
    </w:p>
    <w:p w:rsidR="00F909EB" w:rsidRDefault="00F909EB" w:rsidP="00665645">
      <w:pPr>
        <w:pStyle w:val="NormalWeb"/>
        <w:spacing w:before="0" w:beforeAutospacing="0" w:after="0" w:afterAutospacing="0"/>
        <w:jc w:val="center"/>
        <w:rPr>
          <w:b/>
        </w:rPr>
      </w:pPr>
      <w:r>
        <w:rPr>
          <w:b/>
        </w:rPr>
        <w:lastRenderedPageBreak/>
        <w:t>Table of Contents</w:t>
      </w:r>
    </w:p>
    <w:p w:rsidR="005F162B" w:rsidRDefault="005F162B" w:rsidP="00665645">
      <w:pPr>
        <w:pStyle w:val="NormalWeb"/>
        <w:spacing w:before="0" w:beforeAutospacing="0" w:after="0" w:afterAutospacing="0"/>
      </w:pPr>
    </w:p>
    <w:p w:rsidR="00F909EB" w:rsidRDefault="005F162B" w:rsidP="00665645">
      <w:pPr>
        <w:pStyle w:val="NormalWeb"/>
        <w:spacing w:before="0" w:beforeAutospacing="0" w:after="0" w:afterAutospacing="0"/>
      </w:pPr>
      <w:r w:rsidRPr="005F162B">
        <w:t>A.1. Circumstances Making the Collection of Information Necessary</w:t>
      </w:r>
    </w:p>
    <w:p w:rsidR="005F162B" w:rsidRPr="00BA6D0F" w:rsidRDefault="005F162B" w:rsidP="00BA6D0F">
      <w:pPr>
        <w:rPr>
          <w:rFonts w:ascii="Times New Roman" w:hAnsi="Times New Roman"/>
        </w:rPr>
      </w:pPr>
      <w:r w:rsidRPr="00BA6D0F">
        <w:rPr>
          <w:rFonts w:ascii="Times New Roman" w:hAnsi="Times New Roman"/>
        </w:rPr>
        <w:t>A.2. Purpose and Use of the Information</w:t>
      </w:r>
    </w:p>
    <w:p w:rsidR="005F162B" w:rsidRDefault="005F162B" w:rsidP="00665645">
      <w:pPr>
        <w:pStyle w:val="NormalWeb"/>
        <w:spacing w:before="0" w:beforeAutospacing="0" w:after="0" w:afterAutospacing="0"/>
      </w:pPr>
      <w:r w:rsidRPr="005F162B">
        <w:t>A.3. Use of Information Technology and Burden Reduction</w:t>
      </w:r>
    </w:p>
    <w:p w:rsidR="005F162B" w:rsidRDefault="005F162B" w:rsidP="00665645">
      <w:pPr>
        <w:pStyle w:val="NormalWeb"/>
        <w:spacing w:before="0" w:beforeAutospacing="0" w:after="0" w:afterAutospacing="0"/>
      </w:pPr>
      <w:r w:rsidRPr="005F162B">
        <w:t xml:space="preserve">A.4. Efforts to Identify Duplication and Use of Similar Information </w:t>
      </w:r>
    </w:p>
    <w:p w:rsidR="005F162B" w:rsidRDefault="005F162B" w:rsidP="00665645">
      <w:pPr>
        <w:pStyle w:val="NormalWeb"/>
        <w:spacing w:before="0" w:beforeAutospacing="0" w:after="0" w:afterAutospacing="0"/>
      </w:pPr>
      <w:r w:rsidRPr="005F162B">
        <w:t>A.5. Impact on Small Businesses or Other Small Entities</w:t>
      </w:r>
    </w:p>
    <w:p w:rsidR="005F162B" w:rsidRDefault="005F162B" w:rsidP="00665645">
      <w:pPr>
        <w:pStyle w:val="NormalWeb"/>
        <w:spacing w:before="0" w:beforeAutospacing="0" w:after="0" w:afterAutospacing="0"/>
      </w:pPr>
      <w:r w:rsidRPr="005F162B">
        <w:t>A.6. Consequences of Collecting the Information Less Frequently</w:t>
      </w:r>
    </w:p>
    <w:p w:rsidR="005F162B" w:rsidRDefault="005F162B" w:rsidP="00665645">
      <w:pPr>
        <w:pStyle w:val="NormalWeb"/>
        <w:spacing w:before="0" w:beforeAutospacing="0" w:after="0" w:afterAutospacing="0"/>
      </w:pPr>
      <w:r w:rsidRPr="005F162B">
        <w:t xml:space="preserve">A.7. Special Circumstances Relating to the Guidelines of 5 CFR 1320.5 </w:t>
      </w:r>
    </w:p>
    <w:p w:rsidR="005F162B" w:rsidRPr="005F162B" w:rsidRDefault="005F162B" w:rsidP="00BA6D0F">
      <w:pPr>
        <w:pStyle w:val="NormalWeb"/>
        <w:tabs>
          <w:tab w:val="left" w:pos="360"/>
        </w:tabs>
        <w:spacing w:before="0" w:beforeAutospacing="0" w:after="0" w:afterAutospacing="0"/>
        <w:ind w:left="540" w:hanging="540"/>
      </w:pPr>
      <w:r w:rsidRPr="005F162B">
        <w:t>A.8. Comments in Response to the Federal Register Notice and Efforts to Consult Outside the Agency</w:t>
      </w:r>
    </w:p>
    <w:p w:rsidR="005F162B" w:rsidRDefault="005F162B" w:rsidP="00665645">
      <w:pPr>
        <w:pStyle w:val="NormalWeb"/>
        <w:spacing w:before="0" w:beforeAutospacing="0" w:after="0" w:afterAutospacing="0"/>
      </w:pPr>
      <w:r w:rsidRPr="005F162B">
        <w:t>A.9. Explanation of Any Payment or Gift to Respondents</w:t>
      </w:r>
    </w:p>
    <w:p w:rsidR="00E77FE1" w:rsidRDefault="005F162B" w:rsidP="003757F9">
      <w:pPr>
        <w:pStyle w:val="NormalWeb"/>
        <w:spacing w:before="0" w:beforeAutospacing="0" w:after="0" w:afterAutospacing="0"/>
      </w:pPr>
      <w:r w:rsidRPr="005F162B">
        <w:t>A.10. Assurance of Confidentiality Provided to Respondents</w:t>
      </w:r>
    </w:p>
    <w:p w:rsidR="005F162B" w:rsidRDefault="005F162B" w:rsidP="00665645">
      <w:pPr>
        <w:pStyle w:val="NormalWeb"/>
        <w:spacing w:before="0" w:beforeAutospacing="0" w:after="0" w:afterAutospacing="0"/>
      </w:pPr>
      <w:r w:rsidRPr="005F162B">
        <w:t>A.11. Justification for Sensitive Questions</w:t>
      </w:r>
    </w:p>
    <w:p w:rsidR="005F162B" w:rsidRDefault="005F162B" w:rsidP="00665645">
      <w:pPr>
        <w:pStyle w:val="NormalWeb"/>
        <w:spacing w:before="0" w:beforeAutospacing="0" w:after="0" w:afterAutospacing="0"/>
      </w:pPr>
      <w:r w:rsidRPr="005F162B">
        <w:t>A.12. Estimates of Hour Burden Including Annualized Hourly Costs</w:t>
      </w:r>
    </w:p>
    <w:p w:rsidR="005F162B" w:rsidRDefault="005F162B" w:rsidP="00665645">
      <w:pPr>
        <w:pStyle w:val="NormalWeb"/>
        <w:spacing w:before="0" w:beforeAutospacing="0" w:after="0" w:afterAutospacing="0"/>
      </w:pPr>
      <w:r w:rsidRPr="005F162B">
        <w:t xml:space="preserve">A.13. Estimate of Other Total Annual Cost Burden to Respondents or </w:t>
      </w:r>
      <w:proofErr w:type="spellStart"/>
      <w:r w:rsidRPr="005F162B">
        <w:t>Recordkeepers</w:t>
      </w:r>
      <w:proofErr w:type="spellEnd"/>
    </w:p>
    <w:p w:rsidR="005F162B" w:rsidRDefault="005F162B" w:rsidP="00665645">
      <w:pPr>
        <w:pStyle w:val="NormalWeb"/>
        <w:spacing w:before="0" w:beforeAutospacing="0" w:after="0" w:afterAutospacing="0"/>
      </w:pPr>
      <w:r w:rsidRPr="005F162B">
        <w:t>A.14. Annualized Cost to the Federal Government</w:t>
      </w:r>
    </w:p>
    <w:p w:rsidR="005F162B" w:rsidRDefault="005F162B" w:rsidP="00665645">
      <w:pPr>
        <w:pStyle w:val="NormalWeb"/>
        <w:spacing w:before="0" w:beforeAutospacing="0" w:after="0" w:afterAutospacing="0"/>
      </w:pPr>
      <w:r w:rsidRPr="005F162B">
        <w:t>A.15. Explanation for Program Changes or Adjustments</w:t>
      </w:r>
    </w:p>
    <w:p w:rsidR="00E77FE1" w:rsidRPr="00BA6D0F" w:rsidRDefault="005F162B" w:rsidP="003757F9">
      <w:pPr>
        <w:pStyle w:val="NormalWeb"/>
        <w:spacing w:before="0" w:beforeAutospacing="0" w:after="0" w:afterAutospacing="0"/>
      </w:pPr>
      <w:r w:rsidRPr="005F162B">
        <w:t>A.16. Plans for Tabulation and Publication and Project Time Schedule</w:t>
      </w:r>
    </w:p>
    <w:p w:rsidR="005F162B" w:rsidRDefault="005F162B" w:rsidP="00665645">
      <w:pPr>
        <w:pStyle w:val="NormalWeb"/>
        <w:spacing w:before="0" w:beforeAutospacing="0" w:after="0" w:afterAutospacing="0"/>
      </w:pPr>
      <w:r>
        <w:t>A.</w:t>
      </w:r>
      <w:r w:rsidRPr="005F162B">
        <w:t>17. Reason(s) Display of OMB Expiration Date is Inappropria</w:t>
      </w:r>
      <w:r>
        <w:t>te</w:t>
      </w:r>
    </w:p>
    <w:p w:rsidR="005F162B" w:rsidRDefault="005F162B" w:rsidP="00665645">
      <w:pPr>
        <w:pStyle w:val="NormalWeb"/>
        <w:spacing w:before="0" w:beforeAutospacing="0" w:after="0" w:afterAutospacing="0"/>
      </w:pPr>
      <w:r w:rsidRPr="005F162B">
        <w:t>A.18. Exceptions to Certification for Paperwork Reduction Act Submissions</w:t>
      </w:r>
    </w:p>
    <w:p w:rsidR="005F162B" w:rsidRPr="002D6713" w:rsidRDefault="007D5746" w:rsidP="005F162B">
      <w:pPr>
        <w:pStyle w:val="TOC1"/>
        <w:spacing w:before="0" w:after="0"/>
        <w:rPr>
          <w:b w:val="0"/>
          <w:noProof/>
          <w:sz w:val="24"/>
          <w:szCs w:val="24"/>
        </w:rPr>
      </w:pPr>
      <w:r w:rsidRPr="002D6713">
        <w:rPr>
          <w:b w:val="0"/>
          <w:sz w:val="24"/>
          <w:szCs w:val="24"/>
        </w:rPr>
        <w:fldChar w:fldCharType="begin"/>
      </w:r>
      <w:r w:rsidR="005F162B" w:rsidRPr="002D6713">
        <w:rPr>
          <w:b w:val="0"/>
          <w:sz w:val="24"/>
          <w:szCs w:val="24"/>
        </w:rPr>
        <w:instrText xml:space="preserve"> TOC \h \z \t "Head1,1,Head2,2,Head3,3" </w:instrText>
      </w:r>
      <w:r w:rsidRPr="002D6713">
        <w:rPr>
          <w:b w:val="0"/>
          <w:sz w:val="24"/>
          <w:szCs w:val="24"/>
        </w:rPr>
        <w:fldChar w:fldCharType="separate"/>
      </w:r>
    </w:p>
    <w:p w:rsidR="005F162B" w:rsidRDefault="007D5746" w:rsidP="005F162B">
      <w:pPr>
        <w:pStyle w:val="NormalWeb"/>
        <w:spacing w:before="0" w:beforeAutospacing="0" w:after="0" w:afterAutospacing="0"/>
        <w:jc w:val="center"/>
      </w:pPr>
      <w:r w:rsidRPr="002D6713">
        <w:fldChar w:fldCharType="end"/>
      </w:r>
      <w:r w:rsidR="005F162B">
        <w:tab/>
      </w:r>
    </w:p>
    <w:p w:rsidR="003757F9" w:rsidRDefault="003757F9" w:rsidP="005F162B">
      <w:pPr>
        <w:pStyle w:val="NormalWeb"/>
        <w:spacing w:before="0" w:beforeAutospacing="0" w:after="0" w:afterAutospacing="0"/>
        <w:jc w:val="center"/>
        <w:rPr>
          <w:b/>
        </w:rPr>
      </w:pPr>
    </w:p>
    <w:p w:rsidR="005F162B" w:rsidRDefault="005F162B" w:rsidP="005F162B">
      <w:pPr>
        <w:pStyle w:val="NormalWeb"/>
        <w:spacing w:before="0" w:beforeAutospacing="0" w:after="0" w:afterAutospacing="0"/>
        <w:jc w:val="center"/>
        <w:rPr>
          <w:b/>
        </w:rPr>
      </w:pPr>
      <w:r w:rsidRPr="00604328">
        <w:rPr>
          <w:b/>
        </w:rPr>
        <w:t>List of Tables</w:t>
      </w:r>
    </w:p>
    <w:p w:rsidR="005F162B" w:rsidRDefault="005F162B" w:rsidP="005F162B">
      <w:pPr>
        <w:pStyle w:val="NormalWeb"/>
        <w:spacing w:before="0" w:beforeAutospacing="0" w:after="0" w:afterAutospacing="0"/>
      </w:pPr>
    </w:p>
    <w:p w:rsidR="005F162B" w:rsidRDefault="005F162B" w:rsidP="005F162B">
      <w:pPr>
        <w:pStyle w:val="NormalWeb"/>
        <w:spacing w:before="0" w:beforeAutospacing="0" w:after="0" w:afterAutospacing="0"/>
      </w:pPr>
      <w:r w:rsidRPr="005F162B">
        <w:t>A.8-1 Study Consultants</w:t>
      </w:r>
    </w:p>
    <w:p w:rsidR="005F162B" w:rsidRDefault="005F162B" w:rsidP="005F162B">
      <w:pPr>
        <w:pStyle w:val="NormalWeb"/>
        <w:spacing w:before="0" w:beforeAutospacing="0" w:after="0" w:afterAutospacing="0"/>
      </w:pPr>
      <w:r>
        <w:t xml:space="preserve">A.12-1 </w:t>
      </w:r>
      <w:r w:rsidRPr="005F162B">
        <w:t>Estimates of Hour Burden</w:t>
      </w:r>
    </w:p>
    <w:p w:rsidR="005F162B" w:rsidRDefault="005F162B" w:rsidP="005F162B">
      <w:pPr>
        <w:pStyle w:val="NormalWeb"/>
        <w:spacing w:before="0" w:beforeAutospacing="0" w:after="0" w:afterAutospacing="0"/>
      </w:pPr>
      <w:r>
        <w:t xml:space="preserve">A.12-2 </w:t>
      </w:r>
      <w:r w:rsidRPr="005F162B">
        <w:t>Annualized Cost to Respondents</w:t>
      </w:r>
    </w:p>
    <w:p w:rsidR="005F162B" w:rsidRDefault="005F162B" w:rsidP="005F162B">
      <w:pPr>
        <w:pStyle w:val="NormalWeb"/>
        <w:spacing w:before="0" w:beforeAutospacing="0" w:after="0" w:afterAutospacing="0"/>
      </w:pPr>
      <w:r>
        <w:t xml:space="preserve">A.14-1 </w:t>
      </w:r>
      <w:r w:rsidRPr="005F162B">
        <w:t>Annualized Cost to the Federal Government</w:t>
      </w:r>
    </w:p>
    <w:p w:rsidR="005F162B" w:rsidRDefault="00F8066F" w:rsidP="005F162B">
      <w:pPr>
        <w:pStyle w:val="NormalWeb"/>
        <w:spacing w:before="0" w:beforeAutospacing="0" w:after="0" w:afterAutospacing="0"/>
      </w:pPr>
      <w:r>
        <w:t>A.16-1</w:t>
      </w:r>
      <w:r w:rsidR="005F162B" w:rsidRPr="005F162B">
        <w:t xml:space="preserve"> Time Schedule</w:t>
      </w:r>
    </w:p>
    <w:p w:rsidR="00F8066F" w:rsidRDefault="00F8066F" w:rsidP="005F162B">
      <w:pPr>
        <w:pStyle w:val="NormalWeb"/>
        <w:spacing w:before="0" w:beforeAutospacing="0" w:after="0" w:afterAutospacing="0"/>
      </w:pPr>
    </w:p>
    <w:p w:rsidR="003757F9" w:rsidRDefault="003757F9" w:rsidP="00BA4282">
      <w:pPr>
        <w:pStyle w:val="NormalWeb"/>
        <w:spacing w:before="0" w:beforeAutospacing="0" w:after="0" w:afterAutospacing="0"/>
        <w:rPr>
          <w:b/>
        </w:rPr>
      </w:pPr>
      <w:r>
        <w:rPr>
          <w:b/>
        </w:rPr>
        <w:br/>
      </w:r>
    </w:p>
    <w:p w:rsidR="008D4636" w:rsidRDefault="003757F9" w:rsidP="008D4636">
      <w:pPr>
        <w:pStyle w:val="NormalWeb"/>
        <w:spacing w:before="0" w:beforeAutospacing="0" w:after="0" w:afterAutospacing="0"/>
        <w:jc w:val="center"/>
        <w:rPr>
          <w:b/>
        </w:rPr>
      </w:pPr>
      <w:r>
        <w:rPr>
          <w:b/>
        </w:rPr>
        <w:br w:type="page"/>
      </w:r>
      <w:r w:rsidR="008D4636">
        <w:rPr>
          <w:b/>
        </w:rPr>
        <w:lastRenderedPageBreak/>
        <w:t>List of Attachment</w:t>
      </w:r>
      <w:r w:rsidR="008D4636" w:rsidRPr="00604328">
        <w:rPr>
          <w:b/>
        </w:rPr>
        <w:t>s</w:t>
      </w:r>
    </w:p>
    <w:p w:rsidR="008D4636" w:rsidRDefault="008D4636" w:rsidP="008D4636">
      <w:pPr>
        <w:pStyle w:val="NormalWeb"/>
        <w:spacing w:before="0" w:beforeAutospacing="0" w:after="0" w:afterAutospacing="0"/>
        <w:jc w:val="center"/>
        <w:rPr>
          <w:b/>
        </w:rPr>
      </w:pPr>
    </w:p>
    <w:p w:rsidR="008D4636" w:rsidRPr="008D4636" w:rsidRDefault="008D4636" w:rsidP="008D4636">
      <w:pPr>
        <w:rPr>
          <w:rFonts w:ascii="Times New Roman" w:hAnsi="Times New Roman"/>
        </w:rPr>
      </w:pPr>
      <w:r w:rsidRPr="008D4636">
        <w:rPr>
          <w:rFonts w:ascii="Times New Roman" w:hAnsi="Times New Roman"/>
        </w:rPr>
        <w:t xml:space="preserve">A </w:t>
      </w:r>
      <w:r>
        <w:rPr>
          <w:rFonts w:ascii="Times New Roman" w:hAnsi="Times New Roman"/>
        </w:rPr>
        <w:t xml:space="preserve"> </w:t>
      </w:r>
      <w:r w:rsidRPr="008D4636">
        <w:rPr>
          <w:rFonts w:ascii="Times New Roman" w:hAnsi="Times New Roman"/>
        </w:rPr>
        <w:t>Applicable Laws or Regulations</w:t>
      </w:r>
    </w:p>
    <w:p w:rsidR="00F525A1" w:rsidRDefault="008D4636" w:rsidP="000A1EF4">
      <w:pPr>
        <w:rPr>
          <w:rFonts w:ascii="Times New Roman" w:hAnsi="Times New Roman"/>
        </w:rPr>
      </w:pPr>
      <w:r w:rsidRPr="008D4636">
        <w:rPr>
          <w:rFonts w:ascii="Times New Roman" w:hAnsi="Times New Roman"/>
        </w:rPr>
        <w:t xml:space="preserve">B </w:t>
      </w:r>
      <w:r>
        <w:rPr>
          <w:rFonts w:ascii="Times New Roman" w:hAnsi="Times New Roman"/>
        </w:rPr>
        <w:t xml:space="preserve"> </w:t>
      </w:r>
      <w:r w:rsidRPr="008D4636">
        <w:rPr>
          <w:rFonts w:ascii="Times New Roman" w:hAnsi="Times New Roman"/>
        </w:rPr>
        <w:t>Federal Register Notice</w:t>
      </w:r>
    </w:p>
    <w:p w:rsidR="00F525A1" w:rsidRDefault="00F525A1" w:rsidP="000A1EF4">
      <w:pPr>
        <w:rPr>
          <w:rFonts w:ascii="Times New Roman" w:hAnsi="Times New Roman"/>
        </w:rPr>
      </w:pPr>
      <w:r>
        <w:rPr>
          <w:rFonts w:ascii="Times New Roman" w:hAnsi="Times New Roman"/>
        </w:rPr>
        <w:tab/>
        <w:t>B1 Notice</w:t>
      </w:r>
    </w:p>
    <w:p w:rsidR="008D4636" w:rsidRPr="008D4636" w:rsidRDefault="00F525A1" w:rsidP="000A1EF4">
      <w:pPr>
        <w:rPr>
          <w:rFonts w:ascii="Times New Roman" w:hAnsi="Times New Roman"/>
        </w:rPr>
      </w:pPr>
      <w:r>
        <w:rPr>
          <w:rFonts w:ascii="Times New Roman" w:hAnsi="Times New Roman"/>
        </w:rPr>
        <w:tab/>
        <w:t>B2 Summary of Public Comments and CDC Response</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0A1EF4" w:rsidP="000F69CF">
      <w:pPr>
        <w:rPr>
          <w:rFonts w:ascii="Times New Roman" w:hAnsi="Times New Roman"/>
        </w:rPr>
      </w:pPr>
      <w:r>
        <w:rPr>
          <w:rFonts w:ascii="Times New Roman" w:hAnsi="Times New Roman"/>
        </w:rPr>
        <w:t>C</w:t>
      </w:r>
      <w:r w:rsidR="008D4636" w:rsidRPr="008D4636">
        <w:rPr>
          <w:rFonts w:ascii="Times New Roman" w:hAnsi="Times New Roman"/>
        </w:rPr>
        <w:t xml:space="preserve"> </w:t>
      </w:r>
      <w:r w:rsidR="008D4636">
        <w:rPr>
          <w:rFonts w:ascii="Times New Roman" w:hAnsi="Times New Roman"/>
        </w:rPr>
        <w:t xml:space="preserve"> </w:t>
      </w:r>
      <w:r w:rsidR="008D4636" w:rsidRPr="008D4636">
        <w:rPr>
          <w:rFonts w:ascii="Times New Roman" w:hAnsi="Times New Roman"/>
        </w:rPr>
        <w:t>Provider Data</w:t>
      </w:r>
    </w:p>
    <w:p w:rsidR="008D4636" w:rsidRPr="008D4636" w:rsidRDefault="000A1EF4" w:rsidP="008D4636">
      <w:pPr>
        <w:ind w:firstLine="720"/>
        <w:rPr>
          <w:rFonts w:ascii="Times New Roman" w:hAnsi="Times New Roman"/>
        </w:rPr>
      </w:pPr>
      <w:r>
        <w:rPr>
          <w:rFonts w:ascii="Times New Roman" w:hAnsi="Times New Roman"/>
        </w:rPr>
        <w:t>C</w:t>
      </w:r>
      <w:r w:rsidR="000F69CF">
        <w:rPr>
          <w:rFonts w:ascii="Times New Roman" w:hAnsi="Times New Roman"/>
        </w:rPr>
        <w:t>1</w:t>
      </w:r>
      <w:r w:rsidR="008D4636" w:rsidRPr="008D4636">
        <w:rPr>
          <w:rFonts w:ascii="Times New Roman" w:hAnsi="Times New Roman"/>
        </w:rPr>
        <w:t xml:space="preserve"> Follow-up Provider Survey</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0A1EF4" w:rsidP="008D4636">
      <w:pPr>
        <w:ind w:left="720" w:firstLine="720"/>
        <w:rPr>
          <w:rFonts w:ascii="Times New Roman" w:hAnsi="Times New Roman"/>
        </w:rPr>
      </w:pPr>
      <w:r>
        <w:rPr>
          <w:rFonts w:ascii="Times New Roman" w:hAnsi="Times New Roman"/>
        </w:rPr>
        <w:t>C</w:t>
      </w:r>
      <w:r w:rsidR="000F69CF">
        <w:rPr>
          <w:rFonts w:ascii="Times New Roman" w:hAnsi="Times New Roman"/>
        </w:rPr>
        <w:t>1</w:t>
      </w:r>
      <w:r w:rsidR="008D4636" w:rsidRPr="008D4636">
        <w:rPr>
          <w:rFonts w:ascii="Times New Roman" w:hAnsi="Times New Roman"/>
        </w:rPr>
        <w:t>a Cover Letter for Follow-up Provider Survey</w:t>
      </w:r>
      <w:r w:rsidR="008D4636" w:rsidRPr="008D4636">
        <w:rPr>
          <w:rFonts w:ascii="Times New Roman" w:hAnsi="Times New Roman"/>
        </w:rPr>
        <w:tab/>
      </w:r>
      <w:r w:rsidR="008D4636" w:rsidRPr="008D4636">
        <w:rPr>
          <w:rFonts w:ascii="Times New Roman" w:hAnsi="Times New Roman"/>
        </w:rPr>
        <w:tab/>
      </w:r>
    </w:p>
    <w:p w:rsidR="000F69CF" w:rsidRPr="008D4636" w:rsidRDefault="000A1EF4" w:rsidP="000F69CF">
      <w:pPr>
        <w:ind w:firstLine="720"/>
        <w:rPr>
          <w:rFonts w:ascii="Times New Roman" w:hAnsi="Times New Roman"/>
        </w:rPr>
      </w:pPr>
      <w:r>
        <w:rPr>
          <w:rFonts w:ascii="Times New Roman" w:hAnsi="Times New Roman"/>
        </w:rPr>
        <w:t>C</w:t>
      </w:r>
      <w:r w:rsidR="000F69CF">
        <w:rPr>
          <w:rFonts w:ascii="Times New Roman" w:hAnsi="Times New Roman"/>
        </w:rPr>
        <w:t>2</w:t>
      </w:r>
      <w:r w:rsidR="000F69CF" w:rsidRPr="008D4636">
        <w:rPr>
          <w:rFonts w:ascii="Times New Roman" w:hAnsi="Times New Roman"/>
        </w:rPr>
        <w:t xml:space="preserve"> </w:t>
      </w:r>
      <w:r w:rsidR="00AF7891">
        <w:rPr>
          <w:rFonts w:ascii="Times New Roman" w:hAnsi="Times New Roman"/>
        </w:rPr>
        <w:t>Focus Group Moderator’s Guide for</w:t>
      </w:r>
      <w:r w:rsidR="000F69CF">
        <w:rPr>
          <w:rFonts w:ascii="Times New Roman" w:hAnsi="Times New Roman"/>
        </w:rPr>
        <w:t xml:space="preserve"> </w:t>
      </w:r>
      <w:r w:rsidR="000F69CF" w:rsidRPr="008D4636">
        <w:rPr>
          <w:rFonts w:ascii="Times New Roman" w:hAnsi="Times New Roman"/>
        </w:rPr>
        <w:t>Provider</w:t>
      </w:r>
      <w:r w:rsidR="000F69CF">
        <w:rPr>
          <w:rFonts w:ascii="Times New Roman" w:hAnsi="Times New Roman"/>
        </w:rPr>
        <w:t>s and Clinic Staff</w:t>
      </w:r>
      <w:r w:rsidR="00AF7891">
        <w:rPr>
          <w:rFonts w:ascii="Times New Roman" w:hAnsi="Times New Roman"/>
        </w:rPr>
        <w:tab/>
      </w:r>
      <w:r w:rsidR="00AF7891">
        <w:rPr>
          <w:rFonts w:ascii="Times New Roman" w:hAnsi="Times New Roman"/>
        </w:rPr>
        <w:tab/>
      </w:r>
      <w:r w:rsidR="00AF7891">
        <w:rPr>
          <w:rFonts w:ascii="Times New Roman" w:hAnsi="Times New Roman"/>
        </w:rPr>
        <w:tab/>
      </w:r>
      <w:r w:rsidR="00AF7891">
        <w:rPr>
          <w:rFonts w:ascii="Times New Roman" w:hAnsi="Times New Roman"/>
        </w:rPr>
        <w:tab/>
      </w:r>
    </w:p>
    <w:p w:rsidR="008D4636" w:rsidRPr="008D4636" w:rsidRDefault="000A1EF4" w:rsidP="000F69CF">
      <w:pPr>
        <w:ind w:left="720" w:firstLine="720"/>
        <w:rPr>
          <w:rFonts w:ascii="Times New Roman" w:hAnsi="Times New Roman"/>
        </w:rPr>
      </w:pPr>
      <w:r>
        <w:rPr>
          <w:rFonts w:ascii="Times New Roman" w:hAnsi="Times New Roman"/>
        </w:rPr>
        <w:t>C</w:t>
      </w:r>
      <w:r w:rsidR="000F69CF">
        <w:rPr>
          <w:rFonts w:ascii="Times New Roman" w:hAnsi="Times New Roman"/>
        </w:rPr>
        <w:t xml:space="preserve">2a Consent Form for Provider and Clinic Staff </w:t>
      </w:r>
      <w:r w:rsidR="00AF7891">
        <w:rPr>
          <w:rFonts w:ascii="Times New Roman" w:hAnsi="Times New Roman"/>
        </w:rPr>
        <w:t xml:space="preserve">Focus Group </w:t>
      </w:r>
      <w:r w:rsidR="000F69CF">
        <w:rPr>
          <w:rFonts w:ascii="Times New Roman" w:hAnsi="Times New Roman"/>
        </w:rPr>
        <w:t>Interviews</w:t>
      </w:r>
      <w:r w:rsidR="000F69CF" w:rsidRPr="008D4636">
        <w:rPr>
          <w:rFonts w:ascii="Times New Roman" w:hAnsi="Times New Roman"/>
        </w:rPr>
        <w:tab/>
      </w:r>
      <w:r w:rsidR="00AF7891">
        <w:rPr>
          <w:rFonts w:ascii="Times New Roman" w:hAnsi="Times New Roman"/>
        </w:rPr>
        <w:tab/>
      </w:r>
    </w:p>
    <w:p w:rsidR="008D4636" w:rsidRPr="008D4636" w:rsidRDefault="000A1EF4" w:rsidP="008D4636">
      <w:pPr>
        <w:rPr>
          <w:rFonts w:ascii="Times New Roman" w:hAnsi="Times New Roman"/>
        </w:rPr>
      </w:pPr>
      <w:r>
        <w:rPr>
          <w:rFonts w:ascii="Times New Roman" w:hAnsi="Times New Roman"/>
        </w:rPr>
        <w:t>D</w:t>
      </w:r>
      <w:r w:rsidR="008D4636">
        <w:rPr>
          <w:rFonts w:ascii="Times New Roman" w:hAnsi="Times New Roman"/>
        </w:rPr>
        <w:t xml:space="preserve"> </w:t>
      </w:r>
      <w:r w:rsidR="008D4636" w:rsidRPr="008D4636">
        <w:rPr>
          <w:rFonts w:ascii="Times New Roman" w:hAnsi="Times New Roman"/>
        </w:rPr>
        <w:t xml:space="preserve"> Patient Data </w:t>
      </w:r>
    </w:p>
    <w:p w:rsidR="008D4636" w:rsidRPr="008D4636" w:rsidRDefault="000A1EF4" w:rsidP="000F69CF">
      <w:pPr>
        <w:ind w:firstLine="720"/>
        <w:rPr>
          <w:rFonts w:ascii="Times New Roman" w:hAnsi="Times New Roman"/>
        </w:rPr>
      </w:pPr>
      <w:r>
        <w:rPr>
          <w:rFonts w:ascii="Times New Roman" w:hAnsi="Times New Roman"/>
        </w:rPr>
        <w:t>D</w:t>
      </w:r>
      <w:r w:rsidR="000F69CF">
        <w:rPr>
          <w:rFonts w:ascii="Times New Roman" w:hAnsi="Times New Roman"/>
        </w:rPr>
        <w:t xml:space="preserve">1 Patient Follow-up </w:t>
      </w:r>
      <w:r w:rsidR="008D4636" w:rsidRPr="008D4636">
        <w:rPr>
          <w:rFonts w:ascii="Times New Roman" w:hAnsi="Times New Roman"/>
        </w:rPr>
        <w:t>Survey</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0A1EF4" w:rsidP="000F69CF">
      <w:pPr>
        <w:ind w:left="720" w:firstLine="720"/>
        <w:rPr>
          <w:rFonts w:ascii="Times New Roman" w:hAnsi="Times New Roman"/>
        </w:rPr>
      </w:pPr>
      <w:r>
        <w:rPr>
          <w:rFonts w:ascii="Times New Roman" w:hAnsi="Times New Roman"/>
        </w:rPr>
        <w:t>D</w:t>
      </w:r>
      <w:r w:rsidR="000F69CF">
        <w:rPr>
          <w:rFonts w:ascii="Times New Roman" w:hAnsi="Times New Roman"/>
        </w:rPr>
        <w:t>1a</w:t>
      </w:r>
      <w:r w:rsidR="008D4636" w:rsidRPr="008D4636">
        <w:rPr>
          <w:rFonts w:ascii="Times New Roman" w:hAnsi="Times New Roman"/>
        </w:rPr>
        <w:t xml:space="preserve"> Patient Consent Form with patient survey</w:t>
      </w:r>
      <w:r w:rsidR="008D4636" w:rsidRPr="008D4636">
        <w:rPr>
          <w:rFonts w:ascii="Times New Roman" w:hAnsi="Times New Roman"/>
        </w:rPr>
        <w:tab/>
      </w:r>
      <w:r w:rsidR="008D4636" w:rsidRPr="008D4636">
        <w:rPr>
          <w:rFonts w:ascii="Times New Roman" w:hAnsi="Times New Roman"/>
        </w:rPr>
        <w:tab/>
      </w:r>
      <w:r w:rsidR="000F69CF">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0A1EF4" w:rsidP="008D4636">
      <w:pPr>
        <w:ind w:left="720" w:firstLine="720"/>
        <w:rPr>
          <w:rFonts w:ascii="Times New Roman" w:hAnsi="Times New Roman"/>
        </w:rPr>
      </w:pPr>
      <w:r>
        <w:rPr>
          <w:rFonts w:ascii="Times New Roman" w:hAnsi="Times New Roman"/>
        </w:rPr>
        <w:t>D</w:t>
      </w:r>
      <w:r w:rsidR="000F69CF">
        <w:rPr>
          <w:rFonts w:ascii="Times New Roman" w:hAnsi="Times New Roman"/>
        </w:rPr>
        <w:t>1b</w:t>
      </w:r>
      <w:r w:rsidR="008D4636" w:rsidRPr="008D4636">
        <w:rPr>
          <w:rFonts w:ascii="Times New Roman" w:hAnsi="Times New Roman"/>
        </w:rPr>
        <w:t xml:space="preserve"> Initial Postcard</w:t>
      </w:r>
    </w:p>
    <w:p w:rsidR="008D4636" w:rsidRPr="008D4636" w:rsidRDefault="000A1EF4" w:rsidP="008D4636">
      <w:pPr>
        <w:ind w:left="720" w:firstLine="720"/>
        <w:rPr>
          <w:rFonts w:ascii="Times New Roman" w:hAnsi="Times New Roman"/>
        </w:rPr>
      </w:pPr>
      <w:r>
        <w:rPr>
          <w:rFonts w:ascii="Times New Roman" w:hAnsi="Times New Roman"/>
        </w:rPr>
        <w:t>D</w:t>
      </w:r>
      <w:r w:rsidR="000F69CF">
        <w:rPr>
          <w:rFonts w:ascii="Times New Roman" w:hAnsi="Times New Roman"/>
        </w:rPr>
        <w:t>1c</w:t>
      </w:r>
      <w:r w:rsidR="008D4636" w:rsidRPr="008D4636">
        <w:rPr>
          <w:rFonts w:ascii="Times New Roman" w:hAnsi="Times New Roman"/>
        </w:rPr>
        <w:t xml:space="preserve"> Cover Letter for Patient Follow-up </w:t>
      </w:r>
    </w:p>
    <w:p w:rsidR="008D4636" w:rsidRPr="008D4636" w:rsidRDefault="000A1EF4" w:rsidP="008D4636">
      <w:pPr>
        <w:ind w:left="720" w:firstLine="720"/>
        <w:rPr>
          <w:rFonts w:ascii="Times New Roman" w:hAnsi="Times New Roman"/>
        </w:rPr>
      </w:pPr>
      <w:r>
        <w:rPr>
          <w:rFonts w:ascii="Times New Roman" w:hAnsi="Times New Roman"/>
        </w:rPr>
        <w:t>D</w:t>
      </w:r>
      <w:r w:rsidR="000F69CF">
        <w:rPr>
          <w:rFonts w:ascii="Times New Roman" w:hAnsi="Times New Roman"/>
        </w:rPr>
        <w:t>1d</w:t>
      </w:r>
      <w:r w:rsidR="008D4636" w:rsidRPr="008D4636">
        <w:rPr>
          <w:rFonts w:ascii="Times New Roman" w:hAnsi="Times New Roman"/>
        </w:rPr>
        <w:t xml:space="preserve"> Reminder Postcard</w:t>
      </w:r>
    </w:p>
    <w:p w:rsidR="008D4636" w:rsidRPr="008D4636" w:rsidRDefault="000A1EF4" w:rsidP="008D4636">
      <w:pPr>
        <w:ind w:left="720" w:firstLine="720"/>
        <w:rPr>
          <w:rFonts w:ascii="Times New Roman" w:hAnsi="Times New Roman"/>
        </w:rPr>
      </w:pPr>
      <w:r>
        <w:rPr>
          <w:rFonts w:ascii="Times New Roman" w:hAnsi="Times New Roman"/>
        </w:rPr>
        <w:t>D</w:t>
      </w:r>
      <w:r w:rsidR="000F69CF">
        <w:rPr>
          <w:rFonts w:ascii="Times New Roman" w:hAnsi="Times New Roman"/>
        </w:rPr>
        <w:t>1e</w:t>
      </w:r>
      <w:r w:rsidR="008D4636" w:rsidRPr="008D4636">
        <w:rPr>
          <w:rFonts w:ascii="Times New Roman" w:hAnsi="Times New Roman"/>
        </w:rPr>
        <w:t xml:space="preserve"> Script for Reminder Phone call </w:t>
      </w:r>
    </w:p>
    <w:p w:rsidR="008D4636" w:rsidRPr="008D4636" w:rsidRDefault="000A1EF4" w:rsidP="008D4636">
      <w:pPr>
        <w:rPr>
          <w:rFonts w:ascii="Times New Roman" w:hAnsi="Times New Roman"/>
        </w:rPr>
      </w:pPr>
      <w:r>
        <w:rPr>
          <w:rFonts w:ascii="Times New Roman" w:hAnsi="Times New Roman"/>
        </w:rPr>
        <w:t>E</w:t>
      </w:r>
      <w:r w:rsidR="008D4636">
        <w:rPr>
          <w:rFonts w:ascii="Times New Roman" w:hAnsi="Times New Roman"/>
        </w:rPr>
        <w:t xml:space="preserve"> </w:t>
      </w:r>
      <w:r w:rsidR="00272C81">
        <w:rPr>
          <w:rFonts w:ascii="Times New Roman" w:hAnsi="Times New Roman"/>
        </w:rPr>
        <w:t xml:space="preserve"> Chart Review Table</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0A1EF4" w:rsidP="008D4636">
      <w:pPr>
        <w:rPr>
          <w:rFonts w:ascii="Times New Roman" w:hAnsi="Times New Roman"/>
        </w:rPr>
      </w:pPr>
      <w:r>
        <w:rPr>
          <w:rFonts w:ascii="Times New Roman" w:hAnsi="Times New Roman"/>
        </w:rPr>
        <w:t>F</w:t>
      </w:r>
      <w:r w:rsidR="008D4636" w:rsidRPr="008D4636">
        <w:rPr>
          <w:rFonts w:ascii="Times New Roman" w:hAnsi="Times New Roman"/>
        </w:rPr>
        <w:t xml:space="preserve"> </w:t>
      </w:r>
      <w:r w:rsidR="008D4636">
        <w:rPr>
          <w:rFonts w:ascii="Times New Roman" w:hAnsi="Times New Roman"/>
        </w:rPr>
        <w:t xml:space="preserve"> </w:t>
      </w:r>
      <w:r w:rsidR="008D4636" w:rsidRPr="008D4636">
        <w:rPr>
          <w:rFonts w:ascii="Times New Roman" w:hAnsi="Times New Roman"/>
        </w:rPr>
        <w:t>Analysis</w:t>
      </w:r>
    </w:p>
    <w:p w:rsidR="008D4636" w:rsidRPr="008D4636" w:rsidRDefault="00272C81" w:rsidP="008D4636">
      <w:pPr>
        <w:rPr>
          <w:rFonts w:ascii="Times New Roman" w:hAnsi="Times New Roman"/>
        </w:rPr>
      </w:pPr>
      <w:r>
        <w:rPr>
          <w:rFonts w:ascii="Times New Roman" w:hAnsi="Times New Roman"/>
        </w:rPr>
        <w:tab/>
        <w:t>F</w:t>
      </w:r>
      <w:r w:rsidR="008D4636" w:rsidRPr="008D4636">
        <w:rPr>
          <w:rFonts w:ascii="Times New Roman" w:hAnsi="Times New Roman"/>
        </w:rPr>
        <w:t>1 Variabl</w:t>
      </w:r>
      <w:r w:rsidR="003A4FA9">
        <w:rPr>
          <w:rFonts w:ascii="Times New Roman" w:hAnsi="Times New Roman"/>
        </w:rPr>
        <w:t>es C</w:t>
      </w:r>
      <w:r w:rsidR="008D4636" w:rsidRPr="008D4636">
        <w:rPr>
          <w:rFonts w:ascii="Times New Roman" w:hAnsi="Times New Roman"/>
        </w:rPr>
        <w:t>ollected</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p>
    <w:p w:rsidR="008D4636" w:rsidRPr="008D4636" w:rsidRDefault="003A4FA9" w:rsidP="008D4636">
      <w:pPr>
        <w:rPr>
          <w:rFonts w:ascii="Times New Roman" w:hAnsi="Times New Roman"/>
        </w:rPr>
      </w:pPr>
      <w:r>
        <w:rPr>
          <w:rFonts w:ascii="Times New Roman" w:hAnsi="Times New Roman"/>
        </w:rPr>
        <w:tab/>
        <w:t>F2 Analysis T</w:t>
      </w:r>
      <w:r w:rsidR="00272C81">
        <w:rPr>
          <w:rFonts w:ascii="Times New Roman" w:hAnsi="Times New Roman"/>
        </w:rPr>
        <w:t>ables</w:t>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r>
      <w:r w:rsidR="008D4636" w:rsidRPr="008D4636">
        <w:rPr>
          <w:rFonts w:ascii="Times New Roman" w:hAnsi="Times New Roman"/>
        </w:rPr>
        <w:tab/>
        <w:t xml:space="preserve"> </w:t>
      </w:r>
    </w:p>
    <w:p w:rsidR="003A4FA9" w:rsidRDefault="000A1EF4" w:rsidP="008D4636">
      <w:pPr>
        <w:pStyle w:val="NormalWeb"/>
        <w:spacing w:before="0" w:beforeAutospacing="0" w:after="0" w:afterAutospacing="0"/>
      </w:pPr>
      <w:r>
        <w:t>G</w:t>
      </w:r>
      <w:r w:rsidR="008D4636" w:rsidRPr="008D4636">
        <w:t xml:space="preserve"> </w:t>
      </w:r>
      <w:r w:rsidR="008D4636">
        <w:t xml:space="preserve"> </w:t>
      </w:r>
      <w:r w:rsidR="008D4636" w:rsidRPr="008D4636">
        <w:t>IRB Approval</w:t>
      </w:r>
      <w:r w:rsidR="003A4FA9">
        <w:t>s</w:t>
      </w:r>
    </w:p>
    <w:p w:rsidR="003A4FA9" w:rsidRDefault="003A4FA9" w:rsidP="008D4636">
      <w:pPr>
        <w:pStyle w:val="NormalWeb"/>
        <w:spacing w:before="0" w:beforeAutospacing="0" w:after="0" w:afterAutospacing="0"/>
      </w:pPr>
      <w:r>
        <w:tab/>
        <w:t>G1 CDC IRB Approval</w:t>
      </w:r>
    </w:p>
    <w:p w:rsidR="00B20932" w:rsidRDefault="003A4FA9" w:rsidP="003A4FA9">
      <w:pPr>
        <w:pStyle w:val="NormalWeb"/>
        <w:spacing w:before="0" w:beforeAutospacing="0" w:after="0" w:afterAutospacing="0"/>
        <w:ind w:firstLine="720"/>
      </w:pPr>
      <w:r>
        <w:t>G2 Battelle IRB Approval</w:t>
      </w:r>
    </w:p>
    <w:p w:rsidR="008D4636" w:rsidRPr="008D4636" w:rsidRDefault="00B20932" w:rsidP="003A4FA9">
      <w:pPr>
        <w:pStyle w:val="NormalWeb"/>
        <w:spacing w:before="0" w:beforeAutospacing="0" w:after="0" w:afterAutospacing="0"/>
        <w:ind w:firstLine="720"/>
        <w:rPr>
          <w:b/>
        </w:rPr>
      </w:pPr>
      <w:r>
        <w:t>G3 Certificate of Confidentiality</w:t>
      </w:r>
      <w:r w:rsidR="008D4636" w:rsidRPr="008D4636">
        <w:tab/>
      </w:r>
    </w:p>
    <w:p w:rsidR="008D4636" w:rsidRPr="005F162B" w:rsidRDefault="008D4636" w:rsidP="005F162B">
      <w:pPr>
        <w:pStyle w:val="NormalWeb"/>
        <w:spacing w:before="0" w:beforeAutospacing="0" w:after="0" w:afterAutospacing="0"/>
        <w:sectPr w:rsidR="008D4636" w:rsidRPr="005F162B" w:rsidSect="008150C1">
          <w:pgSz w:w="12240" w:h="15840"/>
          <w:pgMar w:top="1440" w:right="1440" w:bottom="1440" w:left="1440" w:header="720" w:footer="720" w:gutter="0"/>
          <w:cols w:space="720"/>
          <w:docGrid w:linePitch="360"/>
        </w:sectPr>
      </w:pPr>
    </w:p>
    <w:p w:rsidR="009B571D" w:rsidRPr="009B571D" w:rsidRDefault="009B571D" w:rsidP="009B571D">
      <w:pPr>
        <w:pStyle w:val="Head1"/>
        <w:spacing w:before="0" w:beforeAutospacing="0" w:after="0" w:afterAutospacing="0" w:line="240" w:lineRule="auto"/>
      </w:pPr>
      <w:bookmarkStart w:id="1" w:name="_Toc179609144"/>
      <w:r w:rsidRPr="009B571D">
        <w:lastRenderedPageBreak/>
        <w:t>Abstract</w:t>
      </w:r>
    </w:p>
    <w:p w:rsidR="009B571D" w:rsidRPr="009B571D" w:rsidRDefault="009B571D" w:rsidP="009B571D">
      <w:pPr>
        <w:pStyle w:val="Head1"/>
        <w:spacing w:before="0" w:beforeAutospacing="0" w:after="0" w:afterAutospacing="0" w:line="240" w:lineRule="auto"/>
      </w:pPr>
    </w:p>
    <w:p w:rsidR="00317973" w:rsidRDefault="009B571D" w:rsidP="00073892">
      <w:pPr>
        <w:rPr>
          <w:rFonts w:ascii="Times New Roman" w:hAnsi="Times New Roman"/>
        </w:rPr>
      </w:pPr>
      <w:r w:rsidRPr="00C762A0">
        <w:rPr>
          <w:rFonts w:ascii="Times New Roman" w:hAnsi="Times New Roman"/>
        </w:rPr>
        <w:t>The Centers for Disease Control and Prevention (CDC) requests OMB approval for a</w:t>
      </w:r>
      <w:r w:rsidR="00317973">
        <w:rPr>
          <w:rFonts w:ascii="Times New Roman" w:hAnsi="Times New Roman"/>
        </w:rPr>
        <w:t xml:space="preserve"> one-year Revision</w:t>
      </w:r>
      <w:r w:rsidRPr="00C762A0">
        <w:rPr>
          <w:rFonts w:ascii="Times New Roman" w:hAnsi="Times New Roman"/>
        </w:rPr>
        <w:t xml:space="preserve"> of a currently approved collection</w:t>
      </w:r>
      <w:r w:rsidR="00317973">
        <w:rPr>
          <w:rFonts w:ascii="Times New Roman" w:hAnsi="Times New Roman"/>
        </w:rPr>
        <w:t>.  Approval is requested in order to complete the project as described in the original Information Collection Request</w:t>
      </w:r>
      <w:r w:rsidR="00C762A0" w:rsidRPr="00C762A0">
        <w:rPr>
          <w:rFonts w:ascii="Times New Roman" w:hAnsi="Times New Roman"/>
        </w:rPr>
        <w:t>.</w:t>
      </w:r>
    </w:p>
    <w:p w:rsidR="00317973" w:rsidRDefault="00317973" w:rsidP="00073892">
      <w:pPr>
        <w:rPr>
          <w:rFonts w:ascii="Times New Roman" w:hAnsi="Times New Roman"/>
        </w:rPr>
      </w:pPr>
    </w:p>
    <w:p w:rsidR="00C762A0" w:rsidRPr="00073892" w:rsidRDefault="00073892" w:rsidP="00073892">
      <w:pPr>
        <w:rPr>
          <w:rFonts w:ascii="Times New Roman" w:hAnsi="Times New Roman"/>
        </w:rPr>
      </w:pPr>
      <w:r>
        <w:rPr>
          <w:rFonts w:ascii="Times New Roman" w:hAnsi="Times New Roman"/>
        </w:rPr>
        <w:t xml:space="preserve">In 2009, OMB approved the first three years of data collection for </w:t>
      </w:r>
      <w:r w:rsidR="00C762A0" w:rsidRPr="00C762A0">
        <w:rPr>
          <w:rFonts w:ascii="Times New Roman" w:hAnsi="Times New Roman"/>
        </w:rPr>
        <w:t>CDC</w:t>
      </w:r>
      <w:r w:rsidR="00C762A0" w:rsidRPr="00C762A0">
        <w:rPr>
          <w:rFonts w:ascii="Times New Roman" w:hAnsi="Times New Roman" w:hint="eastAsia"/>
        </w:rPr>
        <w:t>’</w:t>
      </w:r>
      <w:r w:rsidR="00C762A0" w:rsidRPr="00C762A0">
        <w:rPr>
          <w:rFonts w:ascii="Times New Roman" w:hAnsi="Times New Roman"/>
        </w:rPr>
        <w:t>S Cervical Cancer Study (Cx3)</w:t>
      </w:r>
      <w:r>
        <w:rPr>
          <w:rFonts w:ascii="Times New Roman" w:hAnsi="Times New Roman"/>
        </w:rPr>
        <w:t xml:space="preserve"> </w:t>
      </w:r>
      <w:r w:rsidR="00C762A0" w:rsidRPr="00C762A0">
        <w:rPr>
          <w:rFonts w:ascii="Times New Roman" w:hAnsi="Times New Roman"/>
        </w:rPr>
        <w:t>An Intervention Pilot Study of HPV in Illinois NBCCEDP</w:t>
      </w:r>
      <w:r w:rsidR="00C762A0" w:rsidRPr="00073892">
        <w:rPr>
          <w:rFonts w:ascii="Times New Roman" w:hAnsi="Times New Roman"/>
        </w:rPr>
        <w:t xml:space="preserve"> (OMB No. 0920-0814; </w:t>
      </w:r>
      <w:proofErr w:type="spellStart"/>
      <w:r w:rsidR="00C762A0" w:rsidRPr="00073892">
        <w:rPr>
          <w:rFonts w:ascii="Times New Roman" w:hAnsi="Times New Roman"/>
        </w:rPr>
        <w:t>exp</w:t>
      </w:r>
      <w:proofErr w:type="spellEnd"/>
      <w:r w:rsidR="00C762A0" w:rsidRPr="00073892">
        <w:rPr>
          <w:rFonts w:ascii="Times New Roman" w:hAnsi="Times New Roman"/>
        </w:rPr>
        <w:t xml:space="preserve"> 6/30/2012). </w:t>
      </w:r>
      <w:r w:rsidRPr="00073892">
        <w:rPr>
          <w:rFonts w:ascii="Times New Roman" w:hAnsi="Times New Roman"/>
        </w:rPr>
        <w:t xml:space="preserve">The study is </w:t>
      </w:r>
      <w:r w:rsidR="00C762A0" w:rsidRPr="00073892">
        <w:rPr>
          <w:rFonts w:ascii="Times New Roman" w:hAnsi="Times New Roman"/>
        </w:rPr>
        <w:t>being conducted</w:t>
      </w:r>
      <w:r w:rsidR="000C0932">
        <w:rPr>
          <w:rFonts w:ascii="Times New Roman" w:hAnsi="Times New Roman"/>
        </w:rPr>
        <w:t xml:space="preserve"> in 15</w:t>
      </w:r>
      <w:r w:rsidR="00C762A0" w:rsidRPr="00073892">
        <w:rPr>
          <w:rFonts w:ascii="Times New Roman" w:hAnsi="Times New Roman"/>
        </w:rPr>
        <w:t xml:space="preserve"> clinics in the state of Illinois.  A total of 2,246 women </w:t>
      </w:r>
      <w:r w:rsidR="000C0932">
        <w:rPr>
          <w:rFonts w:ascii="Times New Roman" w:hAnsi="Times New Roman"/>
        </w:rPr>
        <w:t xml:space="preserve">who visited one of the participating clinics for a scheduled Pap test </w:t>
      </w:r>
      <w:r w:rsidR="00C762A0" w:rsidRPr="00073892">
        <w:rPr>
          <w:rFonts w:ascii="Times New Roman" w:hAnsi="Times New Roman"/>
        </w:rPr>
        <w:t>were recruited for the study. Patients who agreed to participate in the study received an HPV DNA test in addition to the Pap test</w:t>
      </w:r>
      <w:r w:rsidR="00EE7B10">
        <w:rPr>
          <w:rFonts w:ascii="Times New Roman" w:hAnsi="Times New Roman"/>
        </w:rPr>
        <w:t xml:space="preserve"> (co-test)</w:t>
      </w:r>
      <w:r w:rsidR="00C762A0" w:rsidRPr="00073892">
        <w:rPr>
          <w:rFonts w:ascii="Times New Roman" w:hAnsi="Times New Roman"/>
        </w:rPr>
        <w:t xml:space="preserve">. </w:t>
      </w:r>
      <w:r w:rsidRPr="00073892">
        <w:rPr>
          <w:rFonts w:ascii="Times New Roman" w:hAnsi="Times New Roman"/>
        </w:rPr>
        <w:t>C</w:t>
      </w:r>
      <w:r w:rsidR="00C762A0" w:rsidRPr="00073892">
        <w:rPr>
          <w:rFonts w:ascii="Times New Roman" w:hAnsi="Times New Roman"/>
        </w:rPr>
        <w:t>linics were assi</w:t>
      </w:r>
      <w:r w:rsidR="00144198">
        <w:rPr>
          <w:rFonts w:ascii="Times New Roman" w:hAnsi="Times New Roman"/>
        </w:rPr>
        <w:t xml:space="preserve">gned to one of two study arms. </w:t>
      </w:r>
      <w:r w:rsidR="00C762A0" w:rsidRPr="00073892">
        <w:rPr>
          <w:rFonts w:ascii="Times New Roman" w:hAnsi="Times New Roman"/>
        </w:rPr>
        <w:t>Clinics in t</w:t>
      </w:r>
      <w:r w:rsidR="00144198">
        <w:rPr>
          <w:rFonts w:ascii="Times New Roman" w:hAnsi="Times New Roman"/>
        </w:rPr>
        <w:t>he intervention arm</w:t>
      </w:r>
      <w:r w:rsidR="00C762A0" w:rsidRPr="00073892">
        <w:rPr>
          <w:rFonts w:ascii="Times New Roman" w:hAnsi="Times New Roman"/>
        </w:rPr>
        <w:t xml:space="preserve"> administered the HPV DNA tests to eligible patients, along with a multi-component educational intervention involving both providers and patients. Clinics in t</w:t>
      </w:r>
      <w:r w:rsidR="00144198">
        <w:rPr>
          <w:rFonts w:ascii="Times New Roman" w:hAnsi="Times New Roman"/>
        </w:rPr>
        <w:t>he comparison arm</w:t>
      </w:r>
      <w:r w:rsidR="00C762A0" w:rsidRPr="00073892">
        <w:rPr>
          <w:rFonts w:ascii="Times New Roman" w:hAnsi="Times New Roman"/>
        </w:rPr>
        <w:t xml:space="preserve"> administered the HPV tests but patients and providers did not receive the educational intervention.</w:t>
      </w:r>
    </w:p>
    <w:p w:rsidR="00C762A0" w:rsidRPr="00C762A0" w:rsidRDefault="00C762A0" w:rsidP="00C762A0">
      <w:pPr>
        <w:pStyle w:val="Head1"/>
        <w:spacing w:line="240" w:lineRule="auto"/>
        <w:rPr>
          <w:b w:val="0"/>
        </w:rPr>
      </w:pPr>
      <w:r w:rsidRPr="00C762A0">
        <w:rPr>
          <w:b w:val="0"/>
        </w:rPr>
        <w:t>The purpose of the study is to examine whether or not there is an increase in the cervical cancer screening interval to 3 years for women in the target age range with a normal Pap test and a negative HPV DNA test. Primary goals of the study are to: (1) assess whether provider and patient education will lead to extended screening intervals for women who have negative screening results; (2) identify facilitators and barriers to acceptance and appropriate use of the HPV test and longer screening intervals; (3) track costs associated with HPV testing and educational interventions; and (4) identify the HPV genotypes among this sample of low income women.  Secondary goals of the study are to: (1) assess follow-up of women with positive test results and (2) determine provider knowledge and acceptability of the HPV vaccine.</w:t>
      </w:r>
    </w:p>
    <w:p w:rsidR="00C762A0" w:rsidRPr="00C762A0" w:rsidRDefault="00C762A0" w:rsidP="00C762A0">
      <w:pPr>
        <w:pStyle w:val="Head1"/>
        <w:spacing w:line="240" w:lineRule="auto"/>
        <w:rPr>
          <w:b w:val="0"/>
        </w:rPr>
      </w:pPr>
      <w:r w:rsidRPr="00C762A0">
        <w:rPr>
          <w:b w:val="0"/>
        </w:rPr>
        <w:t xml:space="preserve">During the first three years (Phase I) of the study, </w:t>
      </w:r>
      <w:r w:rsidR="00144198">
        <w:rPr>
          <w:b w:val="0"/>
        </w:rPr>
        <w:t xml:space="preserve">the following </w:t>
      </w:r>
      <w:r w:rsidRPr="00C762A0">
        <w:rPr>
          <w:b w:val="0"/>
        </w:rPr>
        <w:t>data</w:t>
      </w:r>
      <w:r w:rsidR="00144198">
        <w:rPr>
          <w:b w:val="0"/>
        </w:rPr>
        <w:t xml:space="preserve"> collection efforts</w:t>
      </w:r>
      <w:r w:rsidRPr="00C762A0">
        <w:rPr>
          <w:b w:val="0"/>
        </w:rPr>
        <w:t xml:space="preserve"> were c</w:t>
      </w:r>
      <w:r w:rsidR="00144198">
        <w:rPr>
          <w:b w:val="0"/>
        </w:rPr>
        <w:t>ompleted</w:t>
      </w:r>
      <w:r w:rsidRPr="00C762A0">
        <w:rPr>
          <w:b w:val="0"/>
        </w:rPr>
        <w:t>:  a provider baseline survey was administered to providers at the participating clinics who routinely perform Pap testing</w:t>
      </w:r>
      <w:r w:rsidR="00144198">
        <w:rPr>
          <w:b w:val="0"/>
        </w:rPr>
        <w:t xml:space="preserve"> before beginning patient recruitment</w:t>
      </w:r>
      <w:r w:rsidRPr="00C762A0">
        <w:rPr>
          <w:b w:val="0"/>
        </w:rPr>
        <w:t xml:space="preserve">; a patient baseline survey was administered to a sample of patients during their initial clinic visit prior to the patient’s HPV test; a monthly clinic survey was administered to all participating clinics during the first year of patient recruitment to obtain information regarding resources associated with participating in the study; and a provider follow-up survey was administered to clinic providers 12 months following study initiation.  </w:t>
      </w:r>
      <w:r w:rsidR="00C81ABC">
        <w:rPr>
          <w:b w:val="0"/>
        </w:rPr>
        <w:t>In addition, 18</w:t>
      </w:r>
      <w:r w:rsidRPr="00C762A0">
        <w:rPr>
          <w:b w:val="0"/>
        </w:rPr>
        <w:t xml:space="preserve"> months following the initial clinic visit, a patien</w:t>
      </w:r>
      <w:r w:rsidR="000C0932">
        <w:rPr>
          <w:b w:val="0"/>
        </w:rPr>
        <w:t xml:space="preserve">t follow-up survey is </w:t>
      </w:r>
      <w:r w:rsidRPr="00C762A0">
        <w:rPr>
          <w:b w:val="0"/>
        </w:rPr>
        <w:t xml:space="preserve">being administered to patients who completed a baseline survey.  </w:t>
      </w:r>
    </w:p>
    <w:p w:rsidR="00C762A0" w:rsidRPr="00C762A0" w:rsidRDefault="00C762A0" w:rsidP="00C762A0">
      <w:pPr>
        <w:pStyle w:val="Head1"/>
        <w:spacing w:line="240" w:lineRule="auto"/>
        <w:rPr>
          <w:b w:val="0"/>
        </w:rPr>
      </w:pPr>
      <w:r w:rsidRPr="00C762A0">
        <w:rPr>
          <w:b w:val="0"/>
        </w:rPr>
        <w:t>Approval is currently being requested to continue data collection during Phase II of the study.  These data collection activities include:  continuing administration of</w:t>
      </w:r>
      <w:r>
        <w:rPr>
          <w:b w:val="0"/>
        </w:rPr>
        <w:t xml:space="preserve"> the patient follow-up survey 18</w:t>
      </w:r>
      <w:r w:rsidRPr="00C762A0">
        <w:rPr>
          <w:b w:val="0"/>
        </w:rPr>
        <w:t xml:space="preserve"> months following the patient’s initial clinic visit to assess changes in knowledge, attitudes, beliefs, and behavior regarding cervical cancer screening; administration of a provider follow-up survey 36 months following study initiation to assess changes in knowledge, attitudes, beliefs, and behavior regarding cervical cancer screening practices; and conducting qualitative interviews with </w:t>
      </w:r>
      <w:r w:rsidR="00511CC3">
        <w:rPr>
          <w:b w:val="0"/>
        </w:rPr>
        <w:t>providers</w:t>
      </w:r>
      <w:r w:rsidRPr="00C762A0">
        <w:rPr>
          <w:b w:val="0"/>
        </w:rPr>
        <w:t xml:space="preserve"> to identify facilitators and barriers to acceptance and appropriate use of the HPV test and longer screening intervals. An additional source of data for the analysis includes patient medical and billing records, which will be reviewed </w:t>
      </w:r>
      <w:r w:rsidR="00B20932">
        <w:rPr>
          <w:b w:val="0"/>
        </w:rPr>
        <w:t xml:space="preserve">by contractor staff </w:t>
      </w:r>
      <w:r w:rsidRPr="00C762A0">
        <w:rPr>
          <w:b w:val="0"/>
        </w:rPr>
        <w:t xml:space="preserve">to </w:t>
      </w:r>
      <w:r w:rsidRPr="00C762A0">
        <w:rPr>
          <w:b w:val="0"/>
        </w:rPr>
        <w:lastRenderedPageBreak/>
        <w:t xml:space="preserve">provide information necessary to determine whether or not HPV </w:t>
      </w:r>
      <w:r w:rsidR="00EE7B10">
        <w:rPr>
          <w:b w:val="0"/>
        </w:rPr>
        <w:t>co-</w:t>
      </w:r>
      <w:r w:rsidRPr="00C762A0">
        <w:rPr>
          <w:b w:val="0"/>
        </w:rPr>
        <w:t>testing leads to extended screening intervals for women with negative results (and to determine what type of follow-up care was provided to women with positive HPV test results).</w:t>
      </w:r>
      <w:r w:rsidR="00B20932">
        <w:rPr>
          <w:b w:val="0"/>
        </w:rPr>
        <w:t xml:space="preserve"> This data collection presents no burden to clinic staff.</w:t>
      </w:r>
    </w:p>
    <w:p w:rsidR="00F14F38" w:rsidRPr="003C1CE4" w:rsidRDefault="00C81ABC" w:rsidP="00665645">
      <w:pPr>
        <w:pStyle w:val="Head1"/>
        <w:spacing w:before="0" w:beforeAutospacing="0" w:after="0" w:afterAutospacing="0" w:line="240" w:lineRule="auto"/>
      </w:pPr>
      <w:r>
        <w:br/>
      </w:r>
      <w:r w:rsidR="00F14F38" w:rsidRPr="003C1CE4">
        <w:t>A.1. Circumstances Making the Collection of Information Necessary</w:t>
      </w:r>
      <w:bookmarkEnd w:id="1"/>
    </w:p>
    <w:p w:rsidR="00665645" w:rsidRPr="009B571D" w:rsidRDefault="00665645" w:rsidP="00665645">
      <w:pPr>
        <w:rPr>
          <w:rFonts w:ascii="Times New Roman" w:hAnsi="Times New Roman"/>
        </w:rPr>
      </w:pPr>
    </w:p>
    <w:p w:rsidR="009B571D" w:rsidRPr="009B571D" w:rsidRDefault="00D4071D" w:rsidP="00665645">
      <w:pPr>
        <w:rPr>
          <w:rFonts w:ascii="Times New Roman" w:hAnsi="Times New Roman"/>
          <w:b/>
        </w:rPr>
      </w:pPr>
      <w:r w:rsidRPr="009B571D">
        <w:rPr>
          <w:rFonts w:ascii="Times New Roman" w:hAnsi="Times New Roman"/>
          <w:b/>
        </w:rPr>
        <w:t>Background</w:t>
      </w:r>
    </w:p>
    <w:p w:rsidR="009B571D" w:rsidRDefault="009B571D" w:rsidP="00665645">
      <w:pPr>
        <w:rPr>
          <w:rFonts w:ascii="Times New Roman" w:hAnsi="Times New Roman"/>
        </w:rPr>
      </w:pPr>
    </w:p>
    <w:p w:rsidR="00AD1B36" w:rsidRDefault="00D4071D" w:rsidP="00665645">
      <w:pPr>
        <w:rPr>
          <w:rFonts w:ascii="Times New Roman" w:hAnsi="Times New Roman"/>
        </w:rPr>
      </w:pPr>
      <w:r w:rsidRPr="00CC621C">
        <w:rPr>
          <w:rFonts w:ascii="Times New Roman" w:hAnsi="Times New Roman"/>
        </w:rPr>
        <w:t>This is a</w:t>
      </w:r>
      <w:r w:rsidR="00AD1B36">
        <w:rPr>
          <w:rFonts w:ascii="Times New Roman" w:hAnsi="Times New Roman"/>
        </w:rPr>
        <w:t xml:space="preserve"> request for a</w:t>
      </w:r>
      <w:r w:rsidR="003012F2">
        <w:rPr>
          <w:rFonts w:ascii="Times New Roman" w:hAnsi="Times New Roman"/>
        </w:rPr>
        <w:t xml:space="preserve"> one-year Revision </w:t>
      </w:r>
      <w:r w:rsidR="00AD1B36">
        <w:rPr>
          <w:rFonts w:ascii="Times New Roman" w:hAnsi="Times New Roman"/>
        </w:rPr>
        <w:t xml:space="preserve">of a currently approved collection (OMB No. </w:t>
      </w:r>
      <w:r w:rsidR="00AD1B36" w:rsidRPr="00AD1B36">
        <w:rPr>
          <w:rFonts w:ascii="Times New Roman" w:hAnsi="Times New Roman"/>
        </w:rPr>
        <w:t xml:space="preserve">0920-0814; </w:t>
      </w:r>
      <w:proofErr w:type="spellStart"/>
      <w:r w:rsidR="00AD1B36" w:rsidRPr="00AD1B36">
        <w:rPr>
          <w:rFonts w:ascii="Times New Roman" w:hAnsi="Times New Roman"/>
        </w:rPr>
        <w:t>exp</w:t>
      </w:r>
      <w:proofErr w:type="spellEnd"/>
      <w:r w:rsidR="00AD1B36" w:rsidRPr="00AD1B36">
        <w:rPr>
          <w:rFonts w:ascii="Times New Roman" w:hAnsi="Times New Roman"/>
        </w:rPr>
        <w:t xml:space="preserve"> 6/30/2012). </w:t>
      </w:r>
      <w:r w:rsidR="00CC621C" w:rsidRPr="00CC621C">
        <w:rPr>
          <w:rFonts w:ascii="Times New Roman" w:hAnsi="Times New Roman"/>
        </w:rPr>
        <w:t>The Center for Chronic Disease Prevention and Health Promotion (NCCDPHP), Center for Disease Control and Prevention (CDC)</w:t>
      </w:r>
      <w:r w:rsidR="00CC621C">
        <w:rPr>
          <w:rFonts w:ascii="Times New Roman" w:hAnsi="Times New Roman"/>
        </w:rPr>
        <w:t>,</w:t>
      </w:r>
      <w:r w:rsidR="00CC621C" w:rsidRPr="00CC621C">
        <w:rPr>
          <w:rFonts w:ascii="Times New Roman" w:hAnsi="Times New Roman"/>
        </w:rPr>
        <w:t xml:space="preserve"> requests permission </w:t>
      </w:r>
      <w:r w:rsidR="00232E88">
        <w:rPr>
          <w:rFonts w:ascii="Times New Roman" w:hAnsi="Times New Roman"/>
        </w:rPr>
        <w:t>from</w:t>
      </w:r>
      <w:r w:rsidR="00232E88" w:rsidRPr="00232E88">
        <w:rPr>
          <w:rFonts w:ascii="Times New Roman" w:hAnsi="Times New Roman"/>
        </w:rPr>
        <w:t xml:space="preserve"> the Office of Management and Budget (OMB)</w:t>
      </w:r>
      <w:r w:rsidR="00232E88">
        <w:rPr>
          <w:rFonts w:ascii="Times New Roman" w:hAnsi="Times New Roman"/>
        </w:rPr>
        <w:t xml:space="preserve"> </w:t>
      </w:r>
      <w:r w:rsidR="00CC621C" w:rsidRPr="00232E88">
        <w:rPr>
          <w:rFonts w:ascii="Times New Roman" w:hAnsi="Times New Roman"/>
        </w:rPr>
        <w:t>to</w:t>
      </w:r>
      <w:r w:rsidR="00CC621C" w:rsidRPr="00CC621C">
        <w:rPr>
          <w:rFonts w:ascii="Times New Roman" w:hAnsi="Times New Roman"/>
        </w:rPr>
        <w:t xml:space="preserve"> </w:t>
      </w:r>
      <w:r w:rsidR="00C81ABC">
        <w:rPr>
          <w:rFonts w:ascii="Times New Roman" w:hAnsi="Times New Roman"/>
        </w:rPr>
        <w:t xml:space="preserve">continue </w:t>
      </w:r>
      <w:r w:rsidR="00AD1B36">
        <w:rPr>
          <w:rFonts w:ascii="Times New Roman" w:hAnsi="Times New Roman"/>
        </w:rPr>
        <w:t>the data collection a</w:t>
      </w:r>
      <w:r w:rsidR="00CC621C" w:rsidRPr="00CC621C">
        <w:rPr>
          <w:rFonts w:ascii="Times New Roman" w:hAnsi="Times New Roman"/>
        </w:rPr>
        <w:t xml:space="preserve">ssociated with a pilot study to determine whether Pap test screening intervals increase with the addition of </w:t>
      </w:r>
      <w:r w:rsidR="00CC621C" w:rsidRPr="00D4071D">
        <w:rPr>
          <w:rFonts w:ascii="Times New Roman" w:hAnsi="Times New Roman"/>
        </w:rPr>
        <w:t>HPV testing along w</w:t>
      </w:r>
      <w:r w:rsidR="0093152A">
        <w:rPr>
          <w:rFonts w:ascii="Times New Roman" w:hAnsi="Times New Roman"/>
        </w:rPr>
        <w:t xml:space="preserve">ith Pap testing in women over </w:t>
      </w:r>
      <w:r w:rsidR="00935A73">
        <w:rPr>
          <w:rFonts w:ascii="Times New Roman" w:hAnsi="Times New Roman"/>
        </w:rPr>
        <w:t>30</w:t>
      </w:r>
      <w:r w:rsidR="00CC621C">
        <w:rPr>
          <w:rFonts w:ascii="Times New Roman" w:hAnsi="Times New Roman"/>
        </w:rPr>
        <w:t xml:space="preserve">. </w:t>
      </w:r>
      <w:r w:rsidR="00B20932">
        <w:rPr>
          <w:rFonts w:ascii="Times New Roman" w:hAnsi="Times New Roman"/>
        </w:rPr>
        <w:t>Because this is a pilot study, the results of the study will not be generalizable to entire U.S. population.  However, t</w:t>
      </w:r>
      <w:r w:rsidR="00CC621C">
        <w:rPr>
          <w:rFonts w:ascii="Times New Roman" w:hAnsi="Times New Roman"/>
        </w:rPr>
        <w:t>he outcomes o</w:t>
      </w:r>
      <w:r w:rsidR="00B20932">
        <w:rPr>
          <w:rFonts w:ascii="Times New Roman" w:hAnsi="Times New Roman"/>
        </w:rPr>
        <w:t>f the</w:t>
      </w:r>
      <w:r w:rsidR="00E43C47">
        <w:rPr>
          <w:rFonts w:ascii="Times New Roman" w:hAnsi="Times New Roman"/>
        </w:rPr>
        <w:t xml:space="preserve"> study </w:t>
      </w:r>
      <w:r w:rsidR="00B20932">
        <w:rPr>
          <w:rFonts w:ascii="Times New Roman" w:hAnsi="Times New Roman"/>
        </w:rPr>
        <w:t>can</w:t>
      </w:r>
      <w:r w:rsidR="00E43C47">
        <w:rPr>
          <w:rFonts w:ascii="Times New Roman" w:hAnsi="Times New Roman"/>
        </w:rPr>
        <w:t xml:space="preserve"> be used to inform</w:t>
      </w:r>
      <w:r w:rsidR="00CC621C">
        <w:rPr>
          <w:rFonts w:ascii="Times New Roman" w:hAnsi="Times New Roman"/>
        </w:rPr>
        <w:t xml:space="preserve"> </w:t>
      </w:r>
      <w:r w:rsidR="00CC621C" w:rsidRPr="00D4071D">
        <w:rPr>
          <w:rFonts w:ascii="Times New Roman" w:hAnsi="Times New Roman"/>
        </w:rPr>
        <w:t xml:space="preserve">policies on reimbursement of the HPV DNA </w:t>
      </w:r>
      <w:r w:rsidR="00CC621C">
        <w:rPr>
          <w:rFonts w:ascii="Times New Roman" w:hAnsi="Times New Roman"/>
        </w:rPr>
        <w:t xml:space="preserve">tests for </w:t>
      </w:r>
      <w:r w:rsidR="00500C39">
        <w:rPr>
          <w:rFonts w:ascii="Times New Roman" w:hAnsi="Times New Roman"/>
        </w:rPr>
        <w:t>CDC’s</w:t>
      </w:r>
      <w:r w:rsidR="00063676">
        <w:rPr>
          <w:rFonts w:ascii="Times New Roman" w:hAnsi="Times New Roman"/>
        </w:rPr>
        <w:t xml:space="preserve"> </w:t>
      </w:r>
      <w:r w:rsidR="00CC621C">
        <w:rPr>
          <w:rFonts w:ascii="Times New Roman" w:hAnsi="Times New Roman"/>
        </w:rPr>
        <w:t>national screening program.</w:t>
      </w:r>
      <w:r w:rsidR="00794EB8">
        <w:rPr>
          <w:rFonts w:ascii="Times New Roman" w:hAnsi="Times New Roman"/>
        </w:rPr>
        <w:t xml:space="preserve"> </w:t>
      </w:r>
    </w:p>
    <w:p w:rsidR="00C81ABC" w:rsidRDefault="00C81ABC" w:rsidP="00665645">
      <w:pPr>
        <w:rPr>
          <w:rFonts w:ascii="Times New Roman" w:hAnsi="Times New Roman"/>
        </w:rPr>
      </w:pPr>
    </w:p>
    <w:p w:rsidR="009F709F" w:rsidRPr="009F709F" w:rsidRDefault="009F709F" w:rsidP="009F709F">
      <w:pPr>
        <w:rPr>
          <w:rFonts w:ascii="Times New Roman" w:hAnsi="Times New Roman"/>
        </w:rPr>
      </w:pPr>
      <w:r w:rsidRPr="009F709F">
        <w:rPr>
          <w:rFonts w:ascii="Times New Roman" w:hAnsi="Times New Roman"/>
        </w:rPr>
        <w:t>The National Breast and Cervical Cancer Early Detection Program (NBCCEDP) is the only organized national screening program in the U.S. that offers breast and cervical cancer</w:t>
      </w:r>
      <w:r w:rsidR="000C0932">
        <w:rPr>
          <w:rFonts w:ascii="Times New Roman" w:hAnsi="Times New Roman"/>
        </w:rPr>
        <w:t xml:space="preserve"> screening to underserved women </w:t>
      </w:r>
      <w:r w:rsidRPr="009F709F">
        <w:rPr>
          <w:rFonts w:ascii="Times New Roman" w:hAnsi="Times New Roman"/>
        </w:rPr>
        <w:t xml:space="preserve">( </w:t>
      </w:r>
      <w:hyperlink r:id="rId11" w:history="1">
        <w:r w:rsidRPr="009F709F">
          <w:rPr>
            <w:rStyle w:val="Hyperlink"/>
            <w:rFonts w:ascii="Times New Roman" w:hAnsi="Times New Roman"/>
          </w:rPr>
          <w:t>http://www.cdc.gov/cancer/nbccedp/about.htm</w:t>
        </w:r>
      </w:hyperlink>
      <w:r w:rsidRPr="009F709F">
        <w:rPr>
          <w:rFonts w:ascii="Times New Roman" w:hAnsi="Times New Roman"/>
        </w:rPr>
        <w:t>)</w:t>
      </w:r>
      <w:r w:rsidR="000C0932">
        <w:rPr>
          <w:rFonts w:ascii="Times New Roman" w:hAnsi="Times New Roman"/>
        </w:rPr>
        <w:t>.</w:t>
      </w:r>
      <w:r w:rsidRPr="009F709F">
        <w:rPr>
          <w:rFonts w:ascii="Times New Roman" w:hAnsi="Times New Roman"/>
        </w:rPr>
        <w:t xml:space="preserve">  To improve access to screening, Congress passed the </w:t>
      </w:r>
      <w:hyperlink r:id="rId12" w:history="1">
        <w:r w:rsidRPr="009F709F">
          <w:rPr>
            <w:rStyle w:val="Hyperlink"/>
            <w:rFonts w:ascii="Times New Roman" w:hAnsi="Times New Roman"/>
          </w:rPr>
          <w:t>Breast and Cervical Cancer Mortality Prevention Act of 1990,</w:t>
        </w:r>
      </w:hyperlink>
      <w:r w:rsidRPr="009F709F">
        <w:rPr>
          <w:rFonts w:ascii="Times New Roman" w:hAnsi="Times New Roman"/>
        </w:rPr>
        <w:t xml:space="preserve"> which guided CDC in creating the NBCCEDP. Currently, the NBCCEDP funds all 50 states, the District of Columbia, 5 U.S. territories, and 12 American Indian/Alaska Native tribes or tribal organizations to provide screening services for breast and cervical cancer. Since 1991, NBCCEDP-funded programs have served more than 3.9 million women and diagnosed 2,856 invasive cervical cancers, and 136,837 premalignant cervical lesions, of which 41% are high-grade. However given limited resources, less than 10 percent of the eligible population receives screening.  The current cervical cancer screening </w:t>
      </w:r>
      <w:r w:rsidR="0076700C">
        <w:rPr>
          <w:rFonts w:ascii="Times New Roman" w:hAnsi="Times New Roman"/>
        </w:rPr>
        <w:t>standard</w:t>
      </w:r>
      <w:r w:rsidR="0076700C" w:rsidRPr="009F709F">
        <w:rPr>
          <w:rFonts w:ascii="Times New Roman" w:hAnsi="Times New Roman"/>
        </w:rPr>
        <w:t xml:space="preserve"> </w:t>
      </w:r>
      <w:r w:rsidRPr="009F709F">
        <w:rPr>
          <w:rFonts w:ascii="Times New Roman" w:hAnsi="Times New Roman"/>
        </w:rPr>
        <w:t xml:space="preserve">in the NBCCEDP is an annual Pap test until a woman has had three consecutive normal Pap tests, at which time the Pap test frequency is reduced to every 3 years. </w:t>
      </w:r>
    </w:p>
    <w:p w:rsidR="009F709F" w:rsidRPr="009F709F" w:rsidRDefault="009F709F" w:rsidP="009F709F">
      <w:pPr>
        <w:rPr>
          <w:rFonts w:ascii="Times New Roman" w:hAnsi="Times New Roman"/>
        </w:rPr>
      </w:pPr>
    </w:p>
    <w:p w:rsidR="009F709F" w:rsidRPr="009F709F" w:rsidRDefault="009F709F" w:rsidP="009F709F">
      <w:pPr>
        <w:rPr>
          <w:rFonts w:ascii="Times New Roman" w:hAnsi="Times New Roman"/>
        </w:rPr>
      </w:pPr>
      <w:r w:rsidRPr="009F709F">
        <w:rPr>
          <w:rFonts w:ascii="Times New Roman" w:hAnsi="Times New Roman"/>
        </w:rPr>
        <w:t>Based on the central role of persistent, carcinogenic human papillomavirus (HPV) in cervical cancer, HPV testing has been introduced into cervical cancer screening. HPV testing with the Pap test (called co-testing) for women over 30 years of age is a recommended option for cervical cancer scre</w:t>
      </w:r>
      <w:r w:rsidR="000C0932">
        <w:rPr>
          <w:rFonts w:ascii="Times New Roman" w:hAnsi="Times New Roman"/>
        </w:rPr>
        <w:t xml:space="preserve">ening by national organizations </w:t>
      </w:r>
      <w:r w:rsidRPr="009F709F">
        <w:rPr>
          <w:rFonts w:ascii="Times New Roman" w:hAnsi="Times New Roman"/>
        </w:rPr>
        <w:t>(</w:t>
      </w:r>
      <w:proofErr w:type="spellStart"/>
      <w:r w:rsidRPr="009F709F">
        <w:rPr>
          <w:rFonts w:ascii="Times New Roman" w:hAnsi="Times New Roman"/>
        </w:rPr>
        <w:t>Saslow</w:t>
      </w:r>
      <w:proofErr w:type="spellEnd"/>
      <w:r w:rsidRPr="009F709F">
        <w:rPr>
          <w:rFonts w:ascii="Times New Roman" w:hAnsi="Times New Roman"/>
        </w:rPr>
        <w:t>, 2002; ACOG, 2009)</w:t>
      </w:r>
      <w:r w:rsidR="000C0932">
        <w:rPr>
          <w:rFonts w:ascii="Times New Roman" w:hAnsi="Times New Roman"/>
        </w:rPr>
        <w:t xml:space="preserve">. </w:t>
      </w:r>
      <w:r w:rsidRPr="009F709F">
        <w:rPr>
          <w:rFonts w:ascii="Times New Roman" w:hAnsi="Times New Roman"/>
        </w:rPr>
        <w:t xml:space="preserve"> Because of the high sensitivity to detect cervical cancer, those that test negative are at an extremely low risk of developing cancer and therefore can safely extend the screening interval </w:t>
      </w:r>
      <w:r w:rsidR="000C0932">
        <w:rPr>
          <w:rFonts w:ascii="Times New Roman" w:hAnsi="Times New Roman"/>
        </w:rPr>
        <w:t xml:space="preserve">regardless of screening history </w:t>
      </w:r>
      <w:r w:rsidRPr="009F709F">
        <w:rPr>
          <w:rFonts w:ascii="Times New Roman" w:hAnsi="Times New Roman"/>
        </w:rPr>
        <w:t>(</w:t>
      </w:r>
      <w:proofErr w:type="spellStart"/>
      <w:r w:rsidRPr="009F709F">
        <w:rPr>
          <w:rFonts w:ascii="Times New Roman" w:hAnsi="Times New Roman"/>
        </w:rPr>
        <w:t>Cuzick</w:t>
      </w:r>
      <w:proofErr w:type="spellEnd"/>
      <w:r w:rsidRPr="009F709F">
        <w:rPr>
          <w:rFonts w:ascii="Times New Roman" w:hAnsi="Times New Roman"/>
        </w:rPr>
        <w:t xml:space="preserve"> J, 2006; </w:t>
      </w:r>
      <w:proofErr w:type="spellStart"/>
      <w:r w:rsidRPr="009F709F">
        <w:rPr>
          <w:rFonts w:ascii="Times New Roman" w:hAnsi="Times New Roman"/>
        </w:rPr>
        <w:t>Arbyn</w:t>
      </w:r>
      <w:proofErr w:type="spellEnd"/>
      <w:r w:rsidRPr="009F709F">
        <w:rPr>
          <w:rFonts w:ascii="Times New Roman" w:hAnsi="Times New Roman"/>
        </w:rPr>
        <w:t xml:space="preserve"> M, 2006; </w:t>
      </w:r>
      <w:proofErr w:type="spellStart"/>
      <w:r w:rsidRPr="009F709F">
        <w:rPr>
          <w:rFonts w:ascii="Times New Roman" w:hAnsi="Times New Roman"/>
        </w:rPr>
        <w:t>Mayrand</w:t>
      </w:r>
      <w:proofErr w:type="spellEnd"/>
      <w:r w:rsidRPr="009F709F">
        <w:rPr>
          <w:rFonts w:ascii="Times New Roman" w:hAnsi="Times New Roman"/>
        </w:rPr>
        <w:t xml:space="preserve"> MH, 2007; </w:t>
      </w:r>
      <w:proofErr w:type="spellStart"/>
      <w:r w:rsidRPr="009F709F">
        <w:rPr>
          <w:rFonts w:ascii="Times New Roman" w:hAnsi="Times New Roman"/>
        </w:rPr>
        <w:t>Naucler</w:t>
      </w:r>
      <w:proofErr w:type="spellEnd"/>
      <w:r w:rsidRPr="009F709F">
        <w:rPr>
          <w:rFonts w:ascii="Times New Roman" w:hAnsi="Times New Roman"/>
        </w:rPr>
        <w:t xml:space="preserve"> P, 2007, </w:t>
      </w:r>
      <w:proofErr w:type="spellStart"/>
      <w:r w:rsidRPr="009F709F">
        <w:rPr>
          <w:rFonts w:ascii="Times New Roman" w:hAnsi="Times New Roman"/>
        </w:rPr>
        <w:t>Bulkmans</w:t>
      </w:r>
      <w:proofErr w:type="spellEnd"/>
      <w:r w:rsidRPr="009F709F">
        <w:rPr>
          <w:rFonts w:ascii="Times New Roman" w:hAnsi="Times New Roman"/>
        </w:rPr>
        <w:t xml:space="preserve"> N, 2007)</w:t>
      </w:r>
      <w:r w:rsidR="000C0932">
        <w:rPr>
          <w:rFonts w:ascii="Times New Roman" w:hAnsi="Times New Roman"/>
        </w:rPr>
        <w:t>.</w:t>
      </w:r>
      <w:r w:rsidRPr="009F709F">
        <w:rPr>
          <w:rFonts w:ascii="Times New Roman" w:hAnsi="Times New Roman"/>
        </w:rPr>
        <w:t xml:space="preserve">  The current guidelines recommend that any woman who has negative tests (Normal Pap and Negative HPV) would automatically move to </w:t>
      </w:r>
      <w:r w:rsidR="000C0932">
        <w:rPr>
          <w:rFonts w:ascii="Times New Roman" w:hAnsi="Times New Roman"/>
        </w:rPr>
        <w:t>a 3-year screening interval</w:t>
      </w:r>
      <w:r w:rsidRPr="009F709F">
        <w:rPr>
          <w:rFonts w:ascii="Times New Roman" w:hAnsi="Times New Roman"/>
        </w:rPr>
        <w:t xml:space="preserve"> (</w:t>
      </w:r>
      <w:proofErr w:type="spellStart"/>
      <w:r w:rsidRPr="009F709F">
        <w:rPr>
          <w:rFonts w:ascii="Times New Roman" w:hAnsi="Times New Roman"/>
        </w:rPr>
        <w:t>Saslow</w:t>
      </w:r>
      <w:proofErr w:type="spellEnd"/>
      <w:r w:rsidRPr="009F709F">
        <w:rPr>
          <w:rFonts w:ascii="Times New Roman" w:hAnsi="Times New Roman"/>
        </w:rPr>
        <w:t>, 2002; ACOG, 2009)</w:t>
      </w:r>
      <w:r w:rsidR="000C0932">
        <w:rPr>
          <w:rFonts w:ascii="Times New Roman" w:hAnsi="Times New Roman"/>
        </w:rPr>
        <w:t xml:space="preserve">. </w:t>
      </w:r>
      <w:r w:rsidRPr="009F709F">
        <w:rPr>
          <w:rFonts w:ascii="Times New Roman" w:hAnsi="Times New Roman"/>
        </w:rPr>
        <w:t xml:space="preserve"> Cost-effectiveness studies have shown that additional costs associated with introducing the HPV co-testing are offset by an increase in the screening interval among women with negative co-tests (estimated to be about 90%) because of the low risk o</w:t>
      </w:r>
      <w:r w:rsidR="000C0932">
        <w:rPr>
          <w:rFonts w:ascii="Times New Roman" w:hAnsi="Times New Roman"/>
        </w:rPr>
        <w:t xml:space="preserve">f cervical </w:t>
      </w:r>
      <w:proofErr w:type="spellStart"/>
      <w:r w:rsidR="000C0932">
        <w:rPr>
          <w:rFonts w:ascii="Times New Roman" w:hAnsi="Times New Roman"/>
        </w:rPr>
        <w:t>precancer</w:t>
      </w:r>
      <w:proofErr w:type="spellEnd"/>
      <w:r w:rsidR="000C0932">
        <w:rPr>
          <w:rFonts w:ascii="Times New Roman" w:hAnsi="Times New Roman"/>
        </w:rPr>
        <w:t xml:space="preserve"> </w:t>
      </w:r>
      <w:r w:rsidR="000C0932">
        <w:rPr>
          <w:rFonts w:ascii="Times New Roman" w:hAnsi="Times New Roman"/>
        </w:rPr>
        <w:lastRenderedPageBreak/>
        <w:t>and cancer</w:t>
      </w:r>
      <w:r w:rsidRPr="009F709F">
        <w:rPr>
          <w:rFonts w:ascii="Times New Roman" w:hAnsi="Times New Roman"/>
        </w:rPr>
        <w:t xml:space="preserve"> (</w:t>
      </w:r>
      <w:proofErr w:type="spellStart"/>
      <w:r w:rsidRPr="009F709F">
        <w:rPr>
          <w:rFonts w:ascii="Times New Roman" w:hAnsi="Times New Roman"/>
        </w:rPr>
        <w:t>Mandelblatt</w:t>
      </w:r>
      <w:proofErr w:type="spellEnd"/>
      <w:r w:rsidRPr="009F709F">
        <w:rPr>
          <w:rFonts w:ascii="Times New Roman" w:hAnsi="Times New Roman"/>
        </w:rPr>
        <w:t xml:space="preserve"> JS, 2002; </w:t>
      </w:r>
      <w:hyperlink r:id="rId13" w:history="1">
        <w:proofErr w:type="spellStart"/>
        <w:r w:rsidR="005513D0" w:rsidRPr="005513D0">
          <w:rPr>
            <w:rStyle w:val="Hyperlink"/>
            <w:rFonts w:ascii="Times New Roman" w:hAnsi="Times New Roman"/>
            <w:color w:val="000000" w:themeColor="text1"/>
            <w:u w:val="none"/>
          </w:rPr>
          <w:t>Goldhaber-Fiebert</w:t>
        </w:r>
        <w:proofErr w:type="spellEnd"/>
        <w:r w:rsidR="005513D0" w:rsidRPr="005513D0">
          <w:rPr>
            <w:rStyle w:val="Hyperlink"/>
            <w:rFonts w:ascii="Times New Roman" w:hAnsi="Times New Roman"/>
            <w:color w:val="000000" w:themeColor="text1"/>
            <w:u w:val="none"/>
          </w:rPr>
          <w:t xml:space="preserve"> JD</w:t>
        </w:r>
      </w:hyperlink>
      <w:r w:rsidRPr="00EE7B10">
        <w:rPr>
          <w:rFonts w:ascii="Times New Roman" w:hAnsi="Times New Roman"/>
          <w:color w:val="000000" w:themeColor="text1"/>
        </w:rPr>
        <w:t>,</w:t>
      </w:r>
      <w:r w:rsidRPr="009F709F">
        <w:rPr>
          <w:rFonts w:ascii="Times New Roman" w:hAnsi="Times New Roman"/>
        </w:rPr>
        <w:t xml:space="preserve"> 2008; </w:t>
      </w:r>
      <w:hyperlink r:id="rId14" w:history="1">
        <w:proofErr w:type="spellStart"/>
        <w:r w:rsidR="005513D0" w:rsidRPr="005513D0">
          <w:rPr>
            <w:rStyle w:val="Hyperlink"/>
            <w:rFonts w:ascii="Times New Roman" w:hAnsi="Times New Roman"/>
            <w:color w:val="000000" w:themeColor="text1"/>
          </w:rPr>
          <w:t>Bistoletti</w:t>
        </w:r>
        <w:proofErr w:type="spellEnd"/>
        <w:r w:rsidR="005513D0" w:rsidRPr="005513D0">
          <w:rPr>
            <w:rStyle w:val="Hyperlink"/>
            <w:rFonts w:ascii="Times New Roman" w:hAnsi="Times New Roman"/>
            <w:color w:val="000000" w:themeColor="text1"/>
          </w:rPr>
          <w:t xml:space="preserve"> P</w:t>
        </w:r>
      </w:hyperlink>
      <w:r w:rsidR="005513D0" w:rsidRPr="005513D0">
        <w:rPr>
          <w:rFonts w:ascii="Times New Roman" w:hAnsi="Times New Roman"/>
          <w:color w:val="000000" w:themeColor="text1"/>
          <w:u w:val="single"/>
        </w:rPr>
        <w:t>,</w:t>
      </w:r>
      <w:r w:rsidRPr="009F709F">
        <w:rPr>
          <w:rFonts w:ascii="Times New Roman" w:hAnsi="Times New Roman"/>
        </w:rPr>
        <w:t xml:space="preserve"> 2008)</w:t>
      </w:r>
      <w:r w:rsidR="000C0932">
        <w:rPr>
          <w:rFonts w:ascii="Times New Roman" w:hAnsi="Times New Roman"/>
        </w:rPr>
        <w:t>.</w:t>
      </w:r>
      <w:r w:rsidRPr="009F709F">
        <w:rPr>
          <w:rFonts w:ascii="Times New Roman" w:hAnsi="Times New Roman"/>
        </w:rPr>
        <w:t xml:space="preserve"> However, in the Program (</w:t>
      </w:r>
      <w:proofErr w:type="spellStart"/>
      <w:r w:rsidRPr="009F709F">
        <w:rPr>
          <w:rFonts w:ascii="Times New Roman" w:hAnsi="Times New Roman"/>
        </w:rPr>
        <w:t>Benard</w:t>
      </w:r>
      <w:proofErr w:type="spellEnd"/>
      <w:r w:rsidRPr="009F709F">
        <w:rPr>
          <w:rFonts w:ascii="Times New Roman" w:hAnsi="Times New Roman"/>
        </w:rPr>
        <w:t xml:space="preserve">, 2011) and throughout the United States (Yabroff,2010;  </w:t>
      </w:r>
      <w:proofErr w:type="spellStart"/>
      <w:r w:rsidRPr="009F709F">
        <w:rPr>
          <w:rFonts w:ascii="Times New Roman" w:hAnsi="Times New Roman"/>
        </w:rPr>
        <w:t>Saraiya</w:t>
      </w:r>
      <w:proofErr w:type="spellEnd"/>
      <w:r w:rsidRPr="009F709F">
        <w:rPr>
          <w:rFonts w:ascii="Times New Roman" w:hAnsi="Times New Roman"/>
        </w:rPr>
        <w:t xml:space="preserve">, 2010; Roland, 2011), the common practice across provider specialty regardless of screening strategy is an annual screen. </w:t>
      </w:r>
    </w:p>
    <w:p w:rsidR="009F709F" w:rsidRPr="009F709F" w:rsidRDefault="009F709F" w:rsidP="009F709F">
      <w:pPr>
        <w:rPr>
          <w:rFonts w:ascii="Times New Roman" w:hAnsi="Times New Roman"/>
        </w:rPr>
      </w:pPr>
    </w:p>
    <w:p w:rsidR="009F709F" w:rsidRPr="009F709F" w:rsidRDefault="009F709F" w:rsidP="009F709F">
      <w:pPr>
        <w:rPr>
          <w:rFonts w:ascii="Times New Roman" w:hAnsi="Times New Roman"/>
        </w:rPr>
      </w:pPr>
      <w:r w:rsidRPr="009F709F">
        <w:rPr>
          <w:rFonts w:ascii="Times New Roman" w:hAnsi="Times New Roman"/>
        </w:rPr>
        <w:t xml:space="preserve">Because of the slow uptake of providers to move to a longer interval, the NBCCEDP has been hesitant to reimburse for the HPV co-test on a national level. With already limited resources, if providers are not willing to lengthen the screening interval according to guidelines then adopting HPV co-testing would not be cost effective. Therefore, this pilot study is an educational intervention to determine facilitators and barriers to appropriate use of the HPV co-test including extending the screening interval. Studies in managed care settings with the HPV co-test strategy for screening found that both providers and patients were acceptable to the longer intervals once </w:t>
      </w:r>
      <w:r w:rsidR="000C0932">
        <w:rPr>
          <w:rFonts w:ascii="Times New Roman" w:hAnsi="Times New Roman"/>
        </w:rPr>
        <w:t xml:space="preserve">they understood the role of HPV </w:t>
      </w:r>
      <w:r w:rsidRPr="009F709F">
        <w:rPr>
          <w:rFonts w:ascii="Times New Roman" w:hAnsi="Times New Roman"/>
        </w:rPr>
        <w:t xml:space="preserve">(Castle, 2009; </w:t>
      </w:r>
      <w:proofErr w:type="spellStart"/>
      <w:r w:rsidRPr="009F709F">
        <w:rPr>
          <w:rFonts w:ascii="Times New Roman" w:hAnsi="Times New Roman"/>
        </w:rPr>
        <w:t>Katki</w:t>
      </w:r>
      <w:proofErr w:type="spellEnd"/>
      <w:r w:rsidRPr="009F709F">
        <w:rPr>
          <w:rFonts w:ascii="Times New Roman" w:hAnsi="Times New Roman"/>
        </w:rPr>
        <w:t>, 2011)</w:t>
      </w:r>
      <w:r w:rsidR="000C0932">
        <w:rPr>
          <w:rFonts w:ascii="Times New Roman" w:hAnsi="Times New Roman"/>
        </w:rPr>
        <w:t xml:space="preserve">. </w:t>
      </w:r>
      <w:r w:rsidRPr="009F709F">
        <w:rPr>
          <w:rFonts w:ascii="Times New Roman" w:hAnsi="Times New Roman"/>
        </w:rPr>
        <w:t xml:space="preserve">Currently, there have not been studies that have examined the acceptance of HPV testing with longer screening intervals in a low income, uninsured population. This pilot study is necessary to inform </w:t>
      </w:r>
      <w:r w:rsidR="0076700C">
        <w:rPr>
          <w:rFonts w:ascii="Times New Roman" w:hAnsi="Times New Roman"/>
        </w:rPr>
        <w:t>standards</w:t>
      </w:r>
      <w:r w:rsidR="0076700C" w:rsidRPr="009F709F">
        <w:rPr>
          <w:rFonts w:ascii="Times New Roman" w:hAnsi="Times New Roman"/>
        </w:rPr>
        <w:t xml:space="preserve"> </w:t>
      </w:r>
      <w:r w:rsidRPr="009F709F">
        <w:rPr>
          <w:rFonts w:ascii="Times New Roman" w:hAnsi="Times New Roman"/>
        </w:rPr>
        <w:t>for providing cervical cancer screening to women served by the NBCCEDP and essential with the changes in healthcare reform.</w:t>
      </w:r>
    </w:p>
    <w:p w:rsidR="009F709F" w:rsidRDefault="009F709F" w:rsidP="00665645">
      <w:pPr>
        <w:rPr>
          <w:rFonts w:ascii="Times New Roman" w:hAnsi="Times New Roman"/>
        </w:rPr>
      </w:pPr>
    </w:p>
    <w:p w:rsidR="008306A8" w:rsidRDefault="008306A8" w:rsidP="00665645">
      <w:pPr>
        <w:pStyle w:val="NormalWeb"/>
        <w:spacing w:before="0" w:beforeAutospacing="0" w:after="0" w:afterAutospacing="0"/>
      </w:pPr>
      <w:r w:rsidRPr="00A12EA0">
        <w:t xml:space="preserve">This data collection is authorized under section </w:t>
      </w:r>
      <w:r w:rsidR="002A2C6E" w:rsidRPr="00A12EA0">
        <w:t>30</w:t>
      </w:r>
      <w:r w:rsidRPr="00A12EA0">
        <w:t>1 of the Public Health Service Act (42 U.S.C. 2</w:t>
      </w:r>
      <w:r w:rsidR="002A2C6E" w:rsidRPr="00A12EA0">
        <w:t>4</w:t>
      </w:r>
      <w:r w:rsidRPr="00A12EA0">
        <w:t>1).</w:t>
      </w:r>
      <w:r w:rsidRPr="00F23668">
        <w:t xml:space="preserve"> </w:t>
      </w:r>
      <w:r w:rsidR="002A2C6E">
        <w:t xml:space="preserve">The authorizing legislation is included as Attachment </w:t>
      </w:r>
      <w:r w:rsidR="009B61D7">
        <w:t>A</w:t>
      </w:r>
      <w:r w:rsidR="002A2C6E">
        <w:t>.</w:t>
      </w:r>
    </w:p>
    <w:p w:rsidR="00665645" w:rsidRDefault="00665645" w:rsidP="00665645">
      <w:pPr>
        <w:pStyle w:val="NormalWeb"/>
        <w:spacing w:before="0" w:beforeAutospacing="0" w:after="0" w:afterAutospacing="0"/>
        <w:rPr>
          <w:i/>
          <w:u w:val="single"/>
        </w:rPr>
      </w:pPr>
    </w:p>
    <w:p w:rsidR="00C81ABC" w:rsidRPr="00C81ABC" w:rsidRDefault="00DC52DE" w:rsidP="00665645">
      <w:pPr>
        <w:pStyle w:val="NormalWeb"/>
        <w:spacing w:before="0" w:beforeAutospacing="0" w:after="0" w:afterAutospacing="0"/>
        <w:rPr>
          <w:b/>
        </w:rPr>
      </w:pPr>
      <w:r w:rsidRPr="00C81ABC">
        <w:rPr>
          <w:b/>
        </w:rPr>
        <w:t>Privacy Impact Assessment</w:t>
      </w:r>
      <w:r w:rsidR="002A2C6E" w:rsidRPr="00C81ABC">
        <w:rPr>
          <w:b/>
        </w:rPr>
        <w:t xml:space="preserve"> </w:t>
      </w:r>
    </w:p>
    <w:p w:rsidR="00C81ABC" w:rsidRDefault="00C81ABC" w:rsidP="00665645">
      <w:pPr>
        <w:pStyle w:val="NormalWeb"/>
        <w:spacing w:before="0" w:beforeAutospacing="0" w:after="0" w:afterAutospacing="0"/>
      </w:pPr>
    </w:p>
    <w:p w:rsidR="00DC52DE" w:rsidRPr="00DC52DE" w:rsidRDefault="00FE4FA5" w:rsidP="00665645">
      <w:pPr>
        <w:pStyle w:val="NormalWeb"/>
        <w:spacing w:before="0" w:beforeAutospacing="0" w:after="0" w:afterAutospacing="0"/>
      </w:pPr>
      <w:r>
        <w:t xml:space="preserve">The </w:t>
      </w:r>
      <w:r w:rsidR="00AD1B36">
        <w:t xml:space="preserve">current request </w:t>
      </w:r>
      <w:r>
        <w:t>will involve</w:t>
      </w:r>
      <w:r w:rsidR="00AD1B36">
        <w:t xml:space="preserve"> the continuation of data collection from providers and</w:t>
      </w:r>
      <w:r>
        <w:t xml:space="preserve"> patients in </w:t>
      </w:r>
      <w:r w:rsidR="00AD1B36">
        <w:t xml:space="preserve">the </w:t>
      </w:r>
      <w:r w:rsidR="00AD1B36" w:rsidRPr="00AD1B36">
        <w:t>1</w:t>
      </w:r>
      <w:r w:rsidR="000C0932">
        <w:t>5</w:t>
      </w:r>
      <w:r w:rsidR="00B32BEE">
        <w:t xml:space="preserve"> </w:t>
      </w:r>
      <w:r>
        <w:t xml:space="preserve">clinics </w:t>
      </w:r>
      <w:r w:rsidRPr="00D4071D">
        <w:t xml:space="preserve">in the </w:t>
      </w:r>
      <w:r w:rsidR="00AD1B36">
        <w:t>state of Illinois that were</w:t>
      </w:r>
      <w:r w:rsidRPr="00D4071D">
        <w:t xml:space="preserve"> recruite</w:t>
      </w:r>
      <w:r>
        <w:t>d to participate in th</w:t>
      </w:r>
      <w:r w:rsidR="001C1B5E">
        <w:t xml:space="preserve">e study.  </w:t>
      </w:r>
      <w:r w:rsidR="001C1B5E" w:rsidRPr="00375866">
        <w:t>In Section B (Collection</w:t>
      </w:r>
      <w:r w:rsidR="001C1B5E">
        <w:t>s</w:t>
      </w:r>
      <w:r w:rsidR="001C1B5E" w:rsidRPr="00375866">
        <w:t xml:space="preserve"> of Information Employing Statistical Method</w:t>
      </w:r>
      <w:r w:rsidR="001C1B5E">
        <w:t>s</w:t>
      </w:r>
      <w:r w:rsidR="001C1B5E" w:rsidRPr="00375866">
        <w:t xml:space="preserve">) of the Supporting Statement, details are </w:t>
      </w:r>
      <w:r>
        <w:t xml:space="preserve">provided regarding the types of data that will be collected and the methods that will be used. All patients </w:t>
      </w:r>
      <w:r w:rsidR="00E32431">
        <w:t xml:space="preserve">included in the study </w:t>
      </w:r>
      <w:r>
        <w:t xml:space="preserve">will be at least </w:t>
      </w:r>
      <w:r w:rsidR="00AD1B36" w:rsidRPr="00AD1B36">
        <w:t>3</w:t>
      </w:r>
      <w:r w:rsidR="00AD1B36">
        <w:t>0</w:t>
      </w:r>
      <w:r>
        <w:t xml:space="preserve"> years of age. No children under the age of 13 will be involved in </w:t>
      </w:r>
      <w:r w:rsidR="00E32431">
        <w:t>the study</w:t>
      </w:r>
      <w:r>
        <w:t>.</w:t>
      </w:r>
    </w:p>
    <w:p w:rsidR="00665645" w:rsidRDefault="00665645" w:rsidP="00665645">
      <w:pPr>
        <w:rPr>
          <w:rFonts w:ascii="Times New Roman" w:hAnsi="Times New Roman"/>
          <w:i/>
          <w:u w:val="single"/>
        </w:rPr>
      </w:pPr>
    </w:p>
    <w:p w:rsidR="00C81ABC" w:rsidRPr="00C81ABC" w:rsidRDefault="00D4071D" w:rsidP="00DD3A97">
      <w:pPr>
        <w:pStyle w:val="CommentText"/>
        <w:rPr>
          <w:rFonts w:ascii="Times New Roman" w:hAnsi="Times New Roman"/>
          <w:b/>
          <w:sz w:val="24"/>
          <w:szCs w:val="24"/>
        </w:rPr>
      </w:pPr>
      <w:r w:rsidRPr="00C81ABC">
        <w:rPr>
          <w:rFonts w:ascii="Times New Roman" w:hAnsi="Times New Roman"/>
          <w:b/>
          <w:sz w:val="24"/>
          <w:szCs w:val="24"/>
        </w:rPr>
        <w:t xml:space="preserve">Overview of the Data Collection System </w:t>
      </w:r>
    </w:p>
    <w:p w:rsidR="00C81ABC" w:rsidRDefault="00C81ABC" w:rsidP="00DD3A97">
      <w:pPr>
        <w:pStyle w:val="CommentText"/>
        <w:rPr>
          <w:rFonts w:ascii="Times New Roman" w:hAnsi="Times New Roman"/>
          <w:sz w:val="24"/>
          <w:szCs w:val="24"/>
        </w:rPr>
      </w:pPr>
    </w:p>
    <w:p w:rsidR="003A7636" w:rsidRPr="00D4071D" w:rsidRDefault="00AD1B36" w:rsidP="003A7636">
      <w:pPr>
        <w:rPr>
          <w:rFonts w:ascii="Times New Roman" w:hAnsi="Times New Roman"/>
        </w:rPr>
      </w:pPr>
      <w:r>
        <w:rPr>
          <w:rFonts w:ascii="Times New Roman" w:hAnsi="Times New Roman"/>
        </w:rPr>
        <w:t>D</w:t>
      </w:r>
      <w:r w:rsidR="0086661C">
        <w:rPr>
          <w:rFonts w:ascii="Times New Roman" w:hAnsi="Times New Roman"/>
        </w:rPr>
        <w:t xml:space="preserve">uring Phase II of the study, the data will be collected </w:t>
      </w:r>
      <w:r w:rsidR="00794EB8" w:rsidRPr="0086661C">
        <w:rPr>
          <w:rFonts w:ascii="Times New Roman" w:hAnsi="Times New Roman"/>
        </w:rPr>
        <w:t xml:space="preserve">from </w:t>
      </w:r>
      <w:r w:rsidR="0086661C">
        <w:rPr>
          <w:rFonts w:ascii="Times New Roman" w:hAnsi="Times New Roman"/>
        </w:rPr>
        <w:t>several sources.  These include (1) a</w:t>
      </w:r>
      <w:r w:rsidR="00921BFE">
        <w:rPr>
          <w:rFonts w:ascii="Times New Roman" w:hAnsi="Times New Roman"/>
        </w:rPr>
        <w:t xml:space="preserve">n 18-month </w:t>
      </w:r>
      <w:r w:rsidR="0086661C">
        <w:rPr>
          <w:rFonts w:ascii="Times New Roman" w:hAnsi="Times New Roman"/>
        </w:rPr>
        <w:t>follow-up survey will be administered to</w:t>
      </w:r>
      <w:r w:rsidR="00921BFE">
        <w:rPr>
          <w:rFonts w:ascii="Times New Roman" w:hAnsi="Times New Roman"/>
        </w:rPr>
        <w:t xml:space="preserve"> assess changes in patient’s</w:t>
      </w:r>
      <w:r w:rsidR="0086661C">
        <w:rPr>
          <w:rFonts w:ascii="Times New Roman" w:hAnsi="Times New Roman"/>
        </w:rPr>
        <w:t xml:space="preserve"> </w:t>
      </w:r>
      <w:r w:rsidR="0086661C" w:rsidRPr="0086661C">
        <w:rPr>
          <w:rFonts w:ascii="Times New Roman" w:hAnsi="Times New Roman"/>
        </w:rPr>
        <w:t>knowledge, attitudes, beliefs, and behavior regarding cervical cancer screening</w:t>
      </w:r>
      <w:r w:rsidR="00921BFE">
        <w:rPr>
          <w:rFonts w:ascii="Times New Roman" w:hAnsi="Times New Roman"/>
        </w:rPr>
        <w:t xml:space="preserve">; (2) a 36-month follow-up survey will be administered to assess changes in provider’s </w:t>
      </w:r>
      <w:r w:rsidR="00921BFE" w:rsidRPr="0086661C">
        <w:rPr>
          <w:rFonts w:ascii="Times New Roman" w:hAnsi="Times New Roman"/>
        </w:rPr>
        <w:t>knowledge, attitudes, beliefs, and behavior regarding cervical cancer screening</w:t>
      </w:r>
      <w:r w:rsidR="00921BFE">
        <w:rPr>
          <w:rFonts w:ascii="Times New Roman" w:hAnsi="Times New Roman"/>
        </w:rPr>
        <w:t xml:space="preserve"> practices; and (3) </w:t>
      </w:r>
      <w:r w:rsidR="00921BFE" w:rsidRPr="00921BFE">
        <w:rPr>
          <w:rFonts w:ascii="Times New Roman" w:hAnsi="Times New Roman"/>
        </w:rPr>
        <w:t xml:space="preserve">qualitative interviews </w:t>
      </w:r>
      <w:r w:rsidR="00921BFE">
        <w:rPr>
          <w:rFonts w:ascii="Times New Roman" w:hAnsi="Times New Roman"/>
        </w:rPr>
        <w:t xml:space="preserve">will be conducted </w:t>
      </w:r>
      <w:r w:rsidR="00921BFE" w:rsidRPr="00921BFE">
        <w:rPr>
          <w:rFonts w:ascii="Times New Roman" w:hAnsi="Times New Roman"/>
        </w:rPr>
        <w:t xml:space="preserve">with </w:t>
      </w:r>
      <w:r w:rsidR="000C0932">
        <w:rPr>
          <w:rFonts w:ascii="Times New Roman" w:hAnsi="Times New Roman"/>
        </w:rPr>
        <w:t>providers</w:t>
      </w:r>
      <w:r w:rsidR="00921BFE" w:rsidRPr="00921BFE">
        <w:rPr>
          <w:rFonts w:ascii="Times New Roman" w:hAnsi="Times New Roman"/>
        </w:rPr>
        <w:t xml:space="preserve"> to identify facilitators and barriers to acceptance and appropriate use of the HPV test and longer screening intervals.</w:t>
      </w:r>
      <w:r w:rsidR="00794EB8" w:rsidRPr="0086661C">
        <w:rPr>
          <w:rFonts w:ascii="Times New Roman" w:hAnsi="Times New Roman"/>
        </w:rPr>
        <w:t xml:space="preserve"> </w:t>
      </w:r>
      <w:r w:rsidR="00921BFE">
        <w:rPr>
          <w:rFonts w:ascii="Times New Roman" w:hAnsi="Times New Roman"/>
        </w:rPr>
        <w:t xml:space="preserve">Additional data will be obtained from </w:t>
      </w:r>
      <w:r w:rsidR="007770AA">
        <w:rPr>
          <w:rFonts w:ascii="Times New Roman" w:hAnsi="Times New Roman"/>
        </w:rPr>
        <w:t xml:space="preserve">a review of </w:t>
      </w:r>
      <w:r w:rsidR="00921BFE">
        <w:rPr>
          <w:rFonts w:ascii="Times New Roman" w:hAnsi="Times New Roman"/>
        </w:rPr>
        <w:t>patient medical and billing records</w:t>
      </w:r>
      <w:r w:rsidR="007770AA">
        <w:rPr>
          <w:rFonts w:ascii="Times New Roman" w:hAnsi="Times New Roman"/>
        </w:rPr>
        <w:t>, which will be conducted by contractor staff</w:t>
      </w:r>
      <w:r w:rsidR="00921BFE">
        <w:rPr>
          <w:rFonts w:ascii="Times New Roman" w:hAnsi="Times New Roman"/>
        </w:rPr>
        <w:t xml:space="preserve">. These data sources will </w:t>
      </w:r>
      <w:r w:rsidR="00921BFE" w:rsidRPr="00921BFE">
        <w:rPr>
          <w:rFonts w:ascii="Times New Roman" w:hAnsi="Times New Roman"/>
        </w:rPr>
        <w:t xml:space="preserve">provide the information necessary to determine whether or not HPV </w:t>
      </w:r>
      <w:r w:rsidR="00EE7B10">
        <w:rPr>
          <w:rFonts w:ascii="Times New Roman" w:hAnsi="Times New Roman"/>
        </w:rPr>
        <w:t>co-</w:t>
      </w:r>
      <w:r w:rsidR="00921BFE" w:rsidRPr="00921BFE">
        <w:rPr>
          <w:rFonts w:ascii="Times New Roman" w:hAnsi="Times New Roman"/>
        </w:rPr>
        <w:t>testing leads to extended screening intervals for women with negative results.</w:t>
      </w:r>
      <w:r w:rsidR="003A7636">
        <w:rPr>
          <w:rFonts w:ascii="Times New Roman" w:hAnsi="Times New Roman"/>
        </w:rPr>
        <w:t xml:space="preserve"> T</w:t>
      </w:r>
      <w:r w:rsidR="003A7636" w:rsidRPr="00D4071D">
        <w:rPr>
          <w:rFonts w:ascii="Times New Roman" w:hAnsi="Times New Roman"/>
        </w:rPr>
        <w:t xml:space="preserve">he medical records of </w:t>
      </w:r>
      <w:r w:rsidR="003A7636" w:rsidRPr="003A7636">
        <w:rPr>
          <w:rFonts w:ascii="Times New Roman" w:hAnsi="Times New Roman"/>
        </w:rPr>
        <w:t>all women with a positive test outcome (i.e., abnormal Pap and/or positive HPV)</w:t>
      </w:r>
      <w:r w:rsidR="003A7636">
        <w:rPr>
          <w:rFonts w:ascii="Times New Roman" w:hAnsi="Times New Roman"/>
        </w:rPr>
        <w:t xml:space="preserve"> will also be reviewed</w:t>
      </w:r>
      <w:r w:rsidR="003A7636" w:rsidRPr="003A7636">
        <w:rPr>
          <w:rFonts w:ascii="Times New Roman" w:hAnsi="Times New Roman"/>
        </w:rPr>
        <w:t xml:space="preserve"> to determi</w:t>
      </w:r>
      <w:r w:rsidR="003A7636">
        <w:rPr>
          <w:rFonts w:ascii="Times New Roman" w:hAnsi="Times New Roman"/>
        </w:rPr>
        <w:t>ne what type of follow-up care wa</w:t>
      </w:r>
      <w:r w:rsidR="003A7636" w:rsidRPr="003A7636">
        <w:rPr>
          <w:rFonts w:ascii="Times New Roman" w:hAnsi="Times New Roman"/>
        </w:rPr>
        <w:t>s received.</w:t>
      </w:r>
      <w:r w:rsidR="003A7636" w:rsidRPr="00D4071D">
        <w:rPr>
          <w:rFonts w:ascii="Times New Roman" w:hAnsi="Times New Roman"/>
        </w:rPr>
        <w:t xml:space="preserve"> </w:t>
      </w:r>
    </w:p>
    <w:p w:rsidR="00CA58FD" w:rsidRDefault="00CA58FD" w:rsidP="00665645">
      <w:pPr>
        <w:rPr>
          <w:rFonts w:ascii="Times New Roman" w:hAnsi="Times New Roman"/>
        </w:rPr>
      </w:pPr>
    </w:p>
    <w:p w:rsidR="009E5E50" w:rsidRPr="00936388" w:rsidRDefault="009E5E50" w:rsidP="009E5E50">
      <w:pPr>
        <w:pStyle w:val="CommentText"/>
        <w:rPr>
          <w:rFonts w:ascii="Times New Roman" w:hAnsi="Times New Roman"/>
          <w:sz w:val="24"/>
          <w:szCs w:val="24"/>
        </w:rPr>
      </w:pPr>
      <w:r w:rsidRPr="00936388">
        <w:rPr>
          <w:rFonts w:ascii="Times New Roman" w:hAnsi="Times New Roman"/>
          <w:sz w:val="24"/>
          <w:szCs w:val="24"/>
        </w:rPr>
        <w:t>CDC’s Cerv</w:t>
      </w:r>
      <w:r w:rsidR="003A7636">
        <w:rPr>
          <w:rFonts w:ascii="Times New Roman" w:hAnsi="Times New Roman"/>
          <w:sz w:val="24"/>
          <w:szCs w:val="24"/>
        </w:rPr>
        <w:t>ical Cancer Study (Cx3 Study) Follow-up</w:t>
      </w:r>
      <w:r w:rsidR="00EB44E7">
        <w:rPr>
          <w:rFonts w:ascii="Times New Roman" w:hAnsi="Times New Roman"/>
          <w:sz w:val="24"/>
          <w:szCs w:val="24"/>
        </w:rPr>
        <w:t xml:space="preserve"> Provider Survey (Attachment</w:t>
      </w:r>
      <w:r w:rsidR="003A7636">
        <w:rPr>
          <w:rFonts w:ascii="Times New Roman" w:hAnsi="Times New Roman"/>
          <w:sz w:val="24"/>
          <w:szCs w:val="24"/>
        </w:rPr>
        <w:t xml:space="preserve"> </w:t>
      </w:r>
      <w:r w:rsidR="00A672C5">
        <w:rPr>
          <w:rFonts w:ascii="Times New Roman" w:hAnsi="Times New Roman"/>
          <w:sz w:val="24"/>
          <w:szCs w:val="24"/>
        </w:rPr>
        <w:t>C1</w:t>
      </w:r>
      <w:r w:rsidRPr="00936388">
        <w:rPr>
          <w:rFonts w:ascii="Times New Roman" w:hAnsi="Times New Roman"/>
          <w:sz w:val="24"/>
          <w:szCs w:val="24"/>
        </w:rPr>
        <w:t>)</w:t>
      </w:r>
      <w:r>
        <w:rPr>
          <w:rFonts w:ascii="Times New Roman" w:hAnsi="Times New Roman"/>
          <w:sz w:val="24"/>
          <w:szCs w:val="24"/>
        </w:rPr>
        <w:t xml:space="preserve"> </w:t>
      </w:r>
      <w:r w:rsidRPr="003A7636">
        <w:rPr>
          <w:rFonts w:ascii="Times New Roman" w:hAnsi="Times New Roman"/>
          <w:sz w:val="24"/>
          <w:szCs w:val="24"/>
        </w:rPr>
        <w:t>will be</w:t>
      </w:r>
      <w:r w:rsidRPr="00936388">
        <w:rPr>
          <w:rFonts w:ascii="Times New Roman" w:hAnsi="Times New Roman"/>
          <w:sz w:val="24"/>
          <w:szCs w:val="24"/>
        </w:rPr>
        <w:t xml:space="preserve"> </w:t>
      </w:r>
      <w:r w:rsidR="0040723A">
        <w:rPr>
          <w:rFonts w:ascii="Times New Roman" w:hAnsi="Times New Roman"/>
          <w:sz w:val="24"/>
          <w:szCs w:val="24"/>
        </w:rPr>
        <w:lastRenderedPageBreak/>
        <w:t>administered</w:t>
      </w:r>
      <w:r w:rsidR="003A7636">
        <w:rPr>
          <w:rFonts w:ascii="Times New Roman" w:hAnsi="Times New Roman"/>
          <w:sz w:val="24"/>
          <w:szCs w:val="24"/>
        </w:rPr>
        <w:t xml:space="preserve"> </w:t>
      </w:r>
      <w:r w:rsidR="0040723A">
        <w:rPr>
          <w:rFonts w:ascii="Times New Roman" w:hAnsi="Times New Roman"/>
          <w:sz w:val="24"/>
          <w:szCs w:val="24"/>
        </w:rPr>
        <w:t xml:space="preserve">to clinic providers </w:t>
      </w:r>
      <w:r w:rsidRPr="00936388">
        <w:rPr>
          <w:rFonts w:ascii="Times New Roman" w:hAnsi="Times New Roman"/>
          <w:sz w:val="24"/>
          <w:szCs w:val="24"/>
        </w:rPr>
        <w:t>36 months</w:t>
      </w:r>
      <w:r w:rsidR="00A41D20">
        <w:rPr>
          <w:rFonts w:ascii="Times New Roman" w:hAnsi="Times New Roman"/>
          <w:sz w:val="24"/>
          <w:szCs w:val="24"/>
        </w:rPr>
        <w:t xml:space="preserve"> following study initiation. </w:t>
      </w:r>
      <w:r w:rsidR="0040723A">
        <w:rPr>
          <w:rFonts w:ascii="Times New Roman" w:hAnsi="Times New Roman"/>
          <w:sz w:val="24"/>
          <w:szCs w:val="24"/>
        </w:rPr>
        <w:t xml:space="preserve">In addition, </w:t>
      </w:r>
      <w:r w:rsidR="0040723A" w:rsidRPr="00936388">
        <w:rPr>
          <w:rFonts w:ascii="Times New Roman" w:hAnsi="Times New Roman"/>
          <w:sz w:val="24"/>
          <w:szCs w:val="24"/>
        </w:rPr>
        <w:t>CDC’s Cerv</w:t>
      </w:r>
      <w:r w:rsidR="0040723A">
        <w:rPr>
          <w:rFonts w:ascii="Times New Roman" w:hAnsi="Times New Roman"/>
          <w:sz w:val="24"/>
          <w:szCs w:val="24"/>
        </w:rPr>
        <w:t>ical Cancer Study (Cx3 Study) Follow-</w:t>
      </w:r>
      <w:r w:rsidR="00A672C5">
        <w:rPr>
          <w:rFonts w:ascii="Times New Roman" w:hAnsi="Times New Roman"/>
          <w:sz w:val="24"/>
          <w:szCs w:val="24"/>
        </w:rPr>
        <w:t>up Patient Survey (Attachment D1</w:t>
      </w:r>
      <w:r w:rsidR="0040723A" w:rsidRPr="00936388">
        <w:rPr>
          <w:rFonts w:ascii="Times New Roman" w:hAnsi="Times New Roman"/>
          <w:sz w:val="24"/>
          <w:szCs w:val="24"/>
        </w:rPr>
        <w:t>)</w:t>
      </w:r>
      <w:r w:rsidR="0040723A">
        <w:rPr>
          <w:rFonts w:ascii="Times New Roman" w:hAnsi="Times New Roman"/>
          <w:sz w:val="24"/>
          <w:szCs w:val="24"/>
        </w:rPr>
        <w:t xml:space="preserve"> </w:t>
      </w:r>
      <w:r w:rsidR="0040723A" w:rsidRPr="003A7636">
        <w:rPr>
          <w:rFonts w:ascii="Times New Roman" w:hAnsi="Times New Roman"/>
          <w:sz w:val="24"/>
          <w:szCs w:val="24"/>
        </w:rPr>
        <w:t>will be</w:t>
      </w:r>
      <w:r w:rsidR="0040723A" w:rsidRPr="00936388">
        <w:rPr>
          <w:rFonts w:ascii="Times New Roman" w:hAnsi="Times New Roman"/>
          <w:sz w:val="24"/>
          <w:szCs w:val="24"/>
        </w:rPr>
        <w:t xml:space="preserve"> </w:t>
      </w:r>
      <w:r w:rsidR="0040723A">
        <w:rPr>
          <w:rFonts w:ascii="Times New Roman" w:hAnsi="Times New Roman"/>
          <w:sz w:val="24"/>
          <w:szCs w:val="24"/>
        </w:rPr>
        <w:t>administered 18</w:t>
      </w:r>
      <w:r w:rsidR="0040723A" w:rsidRPr="00936388">
        <w:rPr>
          <w:rFonts w:ascii="Times New Roman" w:hAnsi="Times New Roman"/>
          <w:sz w:val="24"/>
          <w:szCs w:val="24"/>
        </w:rPr>
        <w:t xml:space="preserve"> months</w:t>
      </w:r>
      <w:r w:rsidR="0040723A">
        <w:rPr>
          <w:rFonts w:ascii="Times New Roman" w:hAnsi="Times New Roman"/>
          <w:sz w:val="24"/>
          <w:szCs w:val="24"/>
        </w:rPr>
        <w:t xml:space="preserve"> following patient enrollment. Administration of the 18-month follow-up patient survey was begun during Phase I of the study and will continue during Phase II (</w:t>
      </w:r>
      <w:r w:rsidR="000C0932">
        <w:rPr>
          <w:rFonts w:ascii="Times New Roman" w:hAnsi="Times New Roman"/>
          <w:sz w:val="24"/>
          <w:szCs w:val="24"/>
        </w:rPr>
        <w:t>for patients who were recruited</w:t>
      </w:r>
      <w:r w:rsidR="0040723A">
        <w:rPr>
          <w:rFonts w:ascii="Times New Roman" w:hAnsi="Times New Roman"/>
          <w:sz w:val="24"/>
          <w:szCs w:val="24"/>
        </w:rPr>
        <w:t xml:space="preserve"> during the end of the recruitment period).  </w:t>
      </w:r>
      <w:r w:rsidR="005E5F88">
        <w:rPr>
          <w:rFonts w:ascii="Times New Roman" w:hAnsi="Times New Roman"/>
          <w:sz w:val="24"/>
          <w:szCs w:val="24"/>
        </w:rPr>
        <w:t xml:space="preserve">The patient and provider follow-up surveys will be </w:t>
      </w:r>
      <w:r w:rsidR="0040723A">
        <w:rPr>
          <w:rFonts w:ascii="Times New Roman" w:hAnsi="Times New Roman"/>
          <w:sz w:val="24"/>
          <w:szCs w:val="24"/>
        </w:rPr>
        <w:t xml:space="preserve">administered </w:t>
      </w:r>
      <w:r w:rsidR="005E5F88">
        <w:rPr>
          <w:rFonts w:ascii="Times New Roman" w:hAnsi="Times New Roman"/>
          <w:sz w:val="24"/>
          <w:szCs w:val="24"/>
        </w:rPr>
        <w:t xml:space="preserve">as </w:t>
      </w:r>
      <w:r w:rsidR="0040723A">
        <w:rPr>
          <w:rFonts w:ascii="Times New Roman" w:hAnsi="Times New Roman"/>
          <w:sz w:val="24"/>
          <w:szCs w:val="24"/>
        </w:rPr>
        <w:t>m</w:t>
      </w:r>
      <w:r w:rsidRPr="00936388">
        <w:rPr>
          <w:rFonts w:ascii="Times New Roman" w:hAnsi="Times New Roman"/>
          <w:sz w:val="24"/>
          <w:szCs w:val="24"/>
        </w:rPr>
        <w:t>ail survey</w:t>
      </w:r>
      <w:r w:rsidR="00A41D20">
        <w:rPr>
          <w:rFonts w:ascii="Times New Roman" w:hAnsi="Times New Roman"/>
          <w:sz w:val="24"/>
          <w:szCs w:val="24"/>
        </w:rPr>
        <w:t>s</w:t>
      </w:r>
      <w:r w:rsidRPr="00936388">
        <w:rPr>
          <w:rFonts w:ascii="Times New Roman" w:hAnsi="Times New Roman"/>
          <w:sz w:val="24"/>
          <w:szCs w:val="24"/>
        </w:rPr>
        <w:t xml:space="preserve">. </w:t>
      </w:r>
      <w:r w:rsidR="005E5F88" w:rsidRPr="005E5F88">
        <w:rPr>
          <w:rFonts w:ascii="Times New Roman" w:hAnsi="Times New Roman"/>
          <w:sz w:val="24"/>
          <w:szCs w:val="24"/>
        </w:rPr>
        <w:t>The study contractor, Battelle, will conduct the mailing, track the responses, and enter and analyze the data.</w:t>
      </w:r>
      <w:r w:rsidR="005E5F88">
        <w:rPr>
          <w:rFonts w:ascii="Times New Roman" w:hAnsi="Times New Roman"/>
          <w:sz w:val="24"/>
          <w:szCs w:val="24"/>
        </w:rPr>
        <w:t xml:space="preserve">  Finally, using the </w:t>
      </w:r>
      <w:r w:rsidR="006A2D89">
        <w:rPr>
          <w:rFonts w:ascii="Times New Roman" w:hAnsi="Times New Roman"/>
          <w:sz w:val="24"/>
          <w:szCs w:val="24"/>
        </w:rPr>
        <w:t>Provider Formative Research (Focus Group) Moderator Guide (Attachment C2)</w:t>
      </w:r>
      <w:r w:rsidR="005E5F88">
        <w:rPr>
          <w:rFonts w:ascii="Times New Roman" w:hAnsi="Times New Roman"/>
          <w:sz w:val="24"/>
          <w:szCs w:val="24"/>
        </w:rPr>
        <w:t xml:space="preserve">, </w:t>
      </w:r>
      <w:r w:rsidR="005E5F88" w:rsidRPr="005E5F88">
        <w:rPr>
          <w:rFonts w:ascii="Times New Roman" w:hAnsi="Times New Roman"/>
          <w:sz w:val="24"/>
          <w:szCs w:val="24"/>
        </w:rPr>
        <w:t xml:space="preserve">qualitative interviews </w:t>
      </w:r>
      <w:r w:rsidR="005E5F88">
        <w:rPr>
          <w:rFonts w:ascii="Times New Roman" w:hAnsi="Times New Roman"/>
          <w:sz w:val="24"/>
          <w:szCs w:val="24"/>
        </w:rPr>
        <w:t xml:space="preserve">will be conducted </w:t>
      </w:r>
      <w:r w:rsidR="005E5F88" w:rsidRPr="005E5F88">
        <w:rPr>
          <w:rFonts w:ascii="Times New Roman" w:hAnsi="Times New Roman"/>
          <w:sz w:val="24"/>
          <w:szCs w:val="24"/>
        </w:rPr>
        <w:t xml:space="preserve">with providers </w:t>
      </w:r>
      <w:r w:rsidR="000C0932">
        <w:rPr>
          <w:rFonts w:ascii="Times New Roman" w:hAnsi="Times New Roman"/>
          <w:sz w:val="24"/>
          <w:szCs w:val="24"/>
        </w:rPr>
        <w:t>at the conclusion of the study</w:t>
      </w:r>
      <w:r w:rsidR="005E5F88" w:rsidRPr="005E5F88">
        <w:rPr>
          <w:rFonts w:ascii="Times New Roman" w:hAnsi="Times New Roman"/>
          <w:sz w:val="24"/>
          <w:szCs w:val="24"/>
        </w:rPr>
        <w:t xml:space="preserve"> to identify facilitators and barriers to acceptance and appropriate use of the HPV test and longer screening intervals.</w:t>
      </w:r>
      <w:r w:rsidR="005E5F88">
        <w:rPr>
          <w:rFonts w:ascii="Times New Roman" w:hAnsi="Times New Roman"/>
          <w:sz w:val="24"/>
          <w:szCs w:val="24"/>
        </w:rPr>
        <w:t xml:space="preserve"> These qualitative interviews will be conducted three years following study initiat</w:t>
      </w:r>
      <w:r w:rsidR="000C0932">
        <w:rPr>
          <w:rFonts w:ascii="Times New Roman" w:hAnsi="Times New Roman"/>
          <w:sz w:val="24"/>
          <w:szCs w:val="24"/>
        </w:rPr>
        <w:t xml:space="preserve">ion </w:t>
      </w:r>
      <w:r w:rsidR="00185B9C">
        <w:rPr>
          <w:rFonts w:ascii="Times New Roman" w:hAnsi="Times New Roman"/>
          <w:sz w:val="24"/>
          <w:szCs w:val="24"/>
        </w:rPr>
        <w:t xml:space="preserve">(between </w:t>
      </w:r>
      <w:r w:rsidR="00185B9C" w:rsidRPr="00185B9C">
        <w:rPr>
          <w:rFonts w:ascii="Times New Roman" w:hAnsi="Times New Roman"/>
          <w:sz w:val="24"/>
          <w:szCs w:val="24"/>
        </w:rPr>
        <w:t>October</w:t>
      </w:r>
      <w:r w:rsidR="00185B9C">
        <w:rPr>
          <w:rFonts w:ascii="Times New Roman" w:hAnsi="Times New Roman"/>
          <w:sz w:val="24"/>
          <w:szCs w:val="24"/>
        </w:rPr>
        <w:t xml:space="preserve"> 1, 2012 and</w:t>
      </w:r>
      <w:r w:rsidR="00185B9C" w:rsidRPr="00185B9C">
        <w:rPr>
          <w:rFonts w:ascii="Times New Roman" w:hAnsi="Times New Roman"/>
          <w:sz w:val="24"/>
          <w:szCs w:val="24"/>
        </w:rPr>
        <w:t xml:space="preserve"> March 31, 2013</w:t>
      </w:r>
      <w:r w:rsidR="00185B9C">
        <w:rPr>
          <w:rFonts w:ascii="Times New Roman" w:hAnsi="Times New Roman"/>
          <w:sz w:val="24"/>
          <w:szCs w:val="24"/>
        </w:rPr>
        <w:t>). They will be conducted</w:t>
      </w:r>
      <w:r w:rsidR="00185B9C" w:rsidRPr="00185B9C">
        <w:rPr>
          <w:rFonts w:ascii="Times New Roman" w:hAnsi="Times New Roman"/>
          <w:sz w:val="24"/>
          <w:szCs w:val="24"/>
        </w:rPr>
        <w:t xml:space="preserve"> </w:t>
      </w:r>
      <w:r w:rsidR="00185B9C">
        <w:rPr>
          <w:rFonts w:ascii="Times New Roman" w:hAnsi="Times New Roman"/>
          <w:sz w:val="24"/>
          <w:szCs w:val="24"/>
        </w:rPr>
        <w:t xml:space="preserve">as individual or group interviews </w:t>
      </w:r>
      <w:r w:rsidR="000C0932">
        <w:rPr>
          <w:rFonts w:ascii="Times New Roman" w:hAnsi="Times New Roman"/>
          <w:sz w:val="24"/>
          <w:szCs w:val="24"/>
        </w:rPr>
        <w:t xml:space="preserve">at each clinic (depending </w:t>
      </w:r>
      <w:r w:rsidR="005E5F88">
        <w:rPr>
          <w:rFonts w:ascii="Times New Roman" w:hAnsi="Times New Roman"/>
          <w:sz w:val="24"/>
          <w:szCs w:val="24"/>
        </w:rPr>
        <w:t>on the preference of clinic staff).</w:t>
      </w:r>
      <w:r w:rsidR="004404EE">
        <w:rPr>
          <w:rFonts w:ascii="Times New Roman" w:hAnsi="Times New Roman"/>
          <w:sz w:val="24"/>
          <w:szCs w:val="24"/>
        </w:rPr>
        <w:t xml:space="preserve"> The one-year extension will allow the follow-up activities to be completed.</w:t>
      </w:r>
    </w:p>
    <w:p w:rsidR="009E5E50" w:rsidRDefault="009E5E50" w:rsidP="00665645">
      <w:pPr>
        <w:rPr>
          <w:rFonts w:ascii="Times New Roman" w:hAnsi="Times New Roman"/>
        </w:rPr>
      </w:pPr>
    </w:p>
    <w:p w:rsidR="00C81ABC" w:rsidRPr="00C81ABC" w:rsidRDefault="00794EB8" w:rsidP="00665645">
      <w:pPr>
        <w:rPr>
          <w:rFonts w:ascii="Times New Roman" w:hAnsi="Times New Roman"/>
          <w:b/>
        </w:rPr>
      </w:pPr>
      <w:r w:rsidRPr="00C81ABC">
        <w:rPr>
          <w:rFonts w:ascii="Times New Roman" w:hAnsi="Times New Roman"/>
          <w:b/>
        </w:rPr>
        <w:t xml:space="preserve">Items of Information to be Collected </w:t>
      </w:r>
    </w:p>
    <w:p w:rsidR="00C81ABC" w:rsidRDefault="00C81ABC" w:rsidP="00665645">
      <w:pPr>
        <w:rPr>
          <w:rFonts w:ascii="Times New Roman" w:hAnsi="Times New Roman"/>
        </w:rPr>
      </w:pPr>
    </w:p>
    <w:p w:rsidR="00D009D3" w:rsidRDefault="005011E5" w:rsidP="00D009D3">
      <w:pPr>
        <w:rPr>
          <w:rFonts w:ascii="Times New Roman" w:hAnsi="Times New Roman"/>
        </w:rPr>
      </w:pPr>
      <w:r>
        <w:rPr>
          <w:rFonts w:ascii="Times New Roman" w:hAnsi="Times New Roman"/>
        </w:rPr>
        <w:t xml:space="preserve">The data to be collected in Phase II of the study will provide information regarding patient and provider </w:t>
      </w:r>
      <w:r w:rsidRPr="0086661C">
        <w:rPr>
          <w:rFonts w:ascii="Times New Roman" w:hAnsi="Times New Roman"/>
        </w:rPr>
        <w:t>knowledge, attitudes, beliefs, and behavior regarding cervical cancer screening</w:t>
      </w:r>
      <w:r>
        <w:rPr>
          <w:rFonts w:ascii="Times New Roman" w:hAnsi="Times New Roman"/>
        </w:rPr>
        <w:t xml:space="preserve">.  Responses to the follow-up survey questions will be compared with responses to the baseline surveys that were administered prior to study initiation.  </w:t>
      </w:r>
      <w:r w:rsidR="00907E54">
        <w:rPr>
          <w:rFonts w:ascii="Times New Roman" w:hAnsi="Times New Roman"/>
        </w:rPr>
        <w:t>Names, addresses, and phone numbers of respondents are necessary in order to conduct the follow-up surveys. These data were obtained at the time of study enrollment. Survey data are identified only by a unique respondent identifier and are stored separately from Information in Identifiable Form (IFF).  In the case of the survey data, I</w:t>
      </w:r>
      <w:r w:rsidR="00D009D3">
        <w:rPr>
          <w:rFonts w:ascii="Times New Roman" w:hAnsi="Times New Roman"/>
        </w:rPr>
        <w:t>FF inf</w:t>
      </w:r>
      <w:r w:rsidR="00907E54">
        <w:rPr>
          <w:rFonts w:ascii="Times New Roman" w:hAnsi="Times New Roman"/>
        </w:rPr>
        <w:t>ormation</w:t>
      </w:r>
      <w:r w:rsidR="00D009D3">
        <w:rPr>
          <w:rFonts w:ascii="Times New Roman" w:hAnsi="Times New Roman"/>
        </w:rPr>
        <w:t xml:space="preserve"> is limited to date of birth (month/year).</w:t>
      </w:r>
    </w:p>
    <w:p w:rsidR="00D009D3" w:rsidRPr="00D009D3" w:rsidRDefault="00D009D3" w:rsidP="00D009D3">
      <w:pPr>
        <w:rPr>
          <w:rFonts w:ascii="Times New Roman" w:hAnsi="Times New Roman"/>
        </w:rPr>
      </w:pPr>
    </w:p>
    <w:p w:rsidR="00C81ABC" w:rsidRPr="00C81ABC" w:rsidRDefault="00553201" w:rsidP="00665645">
      <w:pPr>
        <w:rPr>
          <w:rFonts w:ascii="Times New Roman" w:hAnsi="Times New Roman"/>
          <w:b/>
        </w:rPr>
      </w:pPr>
      <w:r w:rsidRPr="00C81ABC">
        <w:rPr>
          <w:rFonts w:ascii="Times New Roman" w:hAnsi="Times New Roman"/>
          <w:b/>
        </w:rPr>
        <w:t>Identification of Website(s) and Website Content Directed at Children Under 13 Years of Age</w:t>
      </w:r>
    </w:p>
    <w:p w:rsidR="00C81ABC" w:rsidRDefault="00C81ABC" w:rsidP="00665645">
      <w:pPr>
        <w:rPr>
          <w:rFonts w:ascii="Times New Roman" w:hAnsi="Times New Roman"/>
        </w:rPr>
      </w:pPr>
    </w:p>
    <w:p w:rsidR="00FE4FA5" w:rsidRPr="00D4071D" w:rsidRDefault="00553201" w:rsidP="00665645">
      <w:pPr>
        <w:rPr>
          <w:rFonts w:ascii="Times New Roman" w:hAnsi="Times New Roman"/>
        </w:rPr>
      </w:pPr>
      <w:r>
        <w:rPr>
          <w:rFonts w:ascii="Times New Roman" w:hAnsi="Times New Roman"/>
        </w:rPr>
        <w:t>There are no websites with content directed at children under 13 years of age</w:t>
      </w:r>
      <w:r w:rsidR="00FE4FA5">
        <w:rPr>
          <w:rFonts w:ascii="Times New Roman" w:hAnsi="Times New Roman"/>
        </w:rPr>
        <w:t xml:space="preserve"> or any other segment of the public. </w:t>
      </w:r>
    </w:p>
    <w:p w:rsidR="0000510F" w:rsidRDefault="0000510F" w:rsidP="00665645">
      <w:pPr>
        <w:pStyle w:val="Head1"/>
        <w:spacing w:before="0" w:beforeAutospacing="0" w:after="0" w:afterAutospacing="0" w:line="240" w:lineRule="auto"/>
      </w:pPr>
      <w:bookmarkStart w:id="2" w:name="_Toc179609145"/>
    </w:p>
    <w:p w:rsidR="00955E84" w:rsidRDefault="00955E84" w:rsidP="00665645">
      <w:pPr>
        <w:pStyle w:val="Head1"/>
        <w:spacing w:before="0" w:beforeAutospacing="0" w:after="0" w:afterAutospacing="0" w:line="240" w:lineRule="auto"/>
      </w:pPr>
      <w:r w:rsidRPr="003C1CE4">
        <w:t xml:space="preserve">A.2. Purpose and Use of </w:t>
      </w:r>
      <w:r w:rsidR="00CF2DAA">
        <w:t>Information</w:t>
      </w:r>
      <w:bookmarkEnd w:id="2"/>
      <w:r w:rsidR="00214A78">
        <w:t xml:space="preserve"> Collection</w:t>
      </w:r>
    </w:p>
    <w:p w:rsidR="00665645" w:rsidRDefault="00665645" w:rsidP="00665645">
      <w:pPr>
        <w:rPr>
          <w:rFonts w:ascii="Times New Roman" w:hAnsi="Times New Roman"/>
        </w:rPr>
      </w:pPr>
    </w:p>
    <w:p w:rsidR="003012F2" w:rsidRPr="00F10E0E" w:rsidRDefault="003012F2" w:rsidP="003012F2">
      <w:pPr>
        <w:rPr>
          <w:rFonts w:ascii="Times New Roman" w:hAnsi="Times New Roman"/>
        </w:rPr>
      </w:pPr>
      <w:r>
        <w:rPr>
          <w:rFonts w:ascii="Times New Roman" w:hAnsi="Times New Roman"/>
        </w:rPr>
        <w:t>The overall goal of the</w:t>
      </w:r>
      <w:r w:rsidRPr="00F10E0E">
        <w:rPr>
          <w:rFonts w:ascii="Times New Roman" w:hAnsi="Times New Roman"/>
        </w:rPr>
        <w:t xml:space="preserve"> intervention is to increase patient and provider awareness of cervical cancer screening guidelines and intervals, thereby directly impacting the regularity of cervical cancer screening among women participating in the project. The educational intervention component of this pilot project provides opportunities to foster a change in the attitudes, beliefs, and practices of patients and providers through behavior change reinforcement and knowledge acquisition.</w:t>
      </w:r>
      <w:r>
        <w:rPr>
          <w:rFonts w:ascii="Times New Roman" w:hAnsi="Times New Roman"/>
        </w:rPr>
        <w:t xml:space="preserve"> </w:t>
      </w:r>
      <w:r w:rsidRPr="00F10E0E">
        <w:rPr>
          <w:rFonts w:ascii="Times New Roman" w:hAnsi="Times New Roman"/>
        </w:rPr>
        <w:t xml:space="preserve">The proposed outcome objective aims to increase cervical cancer screening </w:t>
      </w:r>
      <w:r>
        <w:rPr>
          <w:rFonts w:ascii="Times New Roman" w:hAnsi="Times New Roman"/>
        </w:rPr>
        <w:t>intervals to 3 years for women</w:t>
      </w:r>
      <w:r w:rsidRPr="00F10E0E">
        <w:rPr>
          <w:rFonts w:ascii="Times New Roman" w:hAnsi="Times New Roman"/>
        </w:rPr>
        <w:t xml:space="preserve"> who present a normal Pap test and a negative HPV DNA test. In essence, this objective is designed to decrease patient cervical cancer screening visits to clinic sites, a concept that </w:t>
      </w:r>
      <w:r>
        <w:rPr>
          <w:rFonts w:ascii="Times New Roman" w:hAnsi="Times New Roman"/>
        </w:rPr>
        <w:t xml:space="preserve">is </w:t>
      </w:r>
      <w:r w:rsidRPr="00F10E0E">
        <w:rPr>
          <w:rFonts w:ascii="Times New Roman" w:hAnsi="Times New Roman"/>
        </w:rPr>
        <w:t xml:space="preserve">contrary to what past social marketing campaigns and patient education interventions sought to communicate: to have a Pap test annually. </w:t>
      </w:r>
      <w:r>
        <w:rPr>
          <w:rFonts w:ascii="Times New Roman" w:hAnsi="Times New Roman"/>
        </w:rPr>
        <w:t>A</w:t>
      </w:r>
      <w:r w:rsidRPr="00F10E0E">
        <w:rPr>
          <w:rFonts w:ascii="Times New Roman" w:hAnsi="Times New Roman"/>
        </w:rPr>
        <w:t xml:space="preserve"> majority of primary care and women’s health providers are aware of these changes in guidelines and some are fearful that, among other reasons, they may lose patients to attrition with increased screening intervals, or </w:t>
      </w:r>
      <w:r w:rsidRPr="00F10E0E">
        <w:rPr>
          <w:rFonts w:ascii="Times New Roman" w:hAnsi="Times New Roman"/>
        </w:rPr>
        <w:lastRenderedPageBreak/>
        <w:t xml:space="preserve">miss valuable opportunities to screen rarely or never screened women who rarely make office visits. It is vital that the advantages of the use of the HPV DNA test, such as higher sensitivity to identify cervical </w:t>
      </w:r>
      <w:proofErr w:type="spellStart"/>
      <w:r w:rsidRPr="00F10E0E">
        <w:rPr>
          <w:rFonts w:ascii="Times New Roman" w:hAnsi="Times New Roman"/>
        </w:rPr>
        <w:t>neoplasia</w:t>
      </w:r>
      <w:proofErr w:type="spellEnd"/>
      <w:r w:rsidRPr="00F10E0E">
        <w:rPr>
          <w:rFonts w:ascii="Times New Roman" w:hAnsi="Times New Roman"/>
        </w:rPr>
        <w:t xml:space="preserve">, and the cost-effectiveness of </w:t>
      </w:r>
      <w:r>
        <w:rPr>
          <w:rFonts w:ascii="Times New Roman" w:hAnsi="Times New Roman"/>
        </w:rPr>
        <w:t>co-</w:t>
      </w:r>
      <w:r w:rsidRPr="00F10E0E">
        <w:rPr>
          <w:rFonts w:ascii="Times New Roman" w:hAnsi="Times New Roman"/>
        </w:rPr>
        <w:t xml:space="preserve">testing be communicated to providers and patients alike, using culturally appropriate and evidence-based methods. </w:t>
      </w:r>
      <w:r>
        <w:rPr>
          <w:rFonts w:ascii="Times New Roman" w:hAnsi="Times New Roman"/>
        </w:rPr>
        <w:t>They also need to understand that the aim is to reduce the frequency of the Pap test but not the annual well woman visit.</w:t>
      </w:r>
    </w:p>
    <w:p w:rsidR="003012F2" w:rsidRPr="00F10E0E" w:rsidRDefault="003012F2" w:rsidP="003012F2">
      <w:pPr>
        <w:rPr>
          <w:rFonts w:ascii="Times New Roman" w:hAnsi="Times New Roman"/>
        </w:rPr>
      </w:pPr>
    </w:p>
    <w:p w:rsidR="003012F2" w:rsidRPr="00F10E0E" w:rsidRDefault="003012F2" w:rsidP="003012F2">
      <w:pPr>
        <w:rPr>
          <w:rFonts w:ascii="Times New Roman" w:hAnsi="Times New Roman"/>
        </w:rPr>
      </w:pPr>
      <w:r>
        <w:rPr>
          <w:rFonts w:ascii="Times New Roman" w:hAnsi="Times New Roman"/>
        </w:rPr>
        <w:t xml:space="preserve">Public </w:t>
      </w:r>
      <w:r w:rsidRPr="00F10E0E">
        <w:rPr>
          <w:rFonts w:ascii="Times New Roman" w:hAnsi="Times New Roman"/>
        </w:rPr>
        <w:t>programs and studies that incorporate health communication and education strategies targeting patients and providers are vital if new testing strategies are to be adopted. Knowledge regarding HPV transmission, the relation between HPV and cervical disease, treatment and management, as well as the impact on clinical practice are necessary for both patients and providers, and have been recommended as future research initiatives</w:t>
      </w:r>
      <w:r>
        <w:rPr>
          <w:rFonts w:ascii="Times New Roman" w:hAnsi="Times New Roman"/>
        </w:rPr>
        <w:t xml:space="preserve"> (Wright, et al, 2004)</w:t>
      </w:r>
      <w:r w:rsidRPr="00F10E0E">
        <w:rPr>
          <w:rFonts w:ascii="Times New Roman" w:hAnsi="Times New Roman"/>
        </w:rPr>
        <w:t>. This pilot project in Illinois will not only incorporate the provider as a central component to knowledg</w:t>
      </w:r>
      <w:r>
        <w:rPr>
          <w:rFonts w:ascii="Times New Roman" w:hAnsi="Times New Roman"/>
        </w:rPr>
        <w:t>e acquisition in the community,</w:t>
      </w:r>
      <w:r w:rsidRPr="00F10E0E">
        <w:rPr>
          <w:rFonts w:ascii="Times New Roman" w:hAnsi="Times New Roman"/>
        </w:rPr>
        <w:t xml:space="preserve"> but will also study the adoption and adherence to new screening guidelines by patients and providers among a diverse population, and will observe the effects of behavior change through evidence-based educational interventions.</w:t>
      </w:r>
    </w:p>
    <w:p w:rsidR="003012F2" w:rsidRDefault="003012F2" w:rsidP="00665645">
      <w:pPr>
        <w:rPr>
          <w:rFonts w:ascii="Times New Roman" w:hAnsi="Times New Roman"/>
        </w:rPr>
      </w:pPr>
    </w:p>
    <w:p w:rsidR="00D32E93" w:rsidRDefault="00965DAA" w:rsidP="00665645">
      <w:pPr>
        <w:rPr>
          <w:rFonts w:ascii="Times New Roman" w:hAnsi="Times New Roman"/>
        </w:rPr>
      </w:pPr>
      <w:r w:rsidRPr="00D4071D">
        <w:rPr>
          <w:rFonts w:ascii="Times New Roman" w:hAnsi="Times New Roman"/>
        </w:rPr>
        <w:t>The results of this study will provide information regarding the extent to which providers are willing to extend the cervical cancer screening interval to 3 years for women in the target age range with a normal Pap te</w:t>
      </w:r>
      <w:r w:rsidR="00513ED2">
        <w:rPr>
          <w:rFonts w:ascii="Times New Roman" w:hAnsi="Times New Roman"/>
        </w:rPr>
        <w:t>st and a negative HPV DNA test.</w:t>
      </w:r>
      <w:r w:rsidRPr="00D4071D">
        <w:rPr>
          <w:rFonts w:ascii="Times New Roman" w:hAnsi="Times New Roman"/>
        </w:rPr>
        <w:t xml:space="preserve"> It will also provide information regarding whether provider and patient education will lead to extended screening intervals for women who h</w:t>
      </w:r>
      <w:r w:rsidR="00513ED2">
        <w:rPr>
          <w:rFonts w:ascii="Times New Roman" w:hAnsi="Times New Roman"/>
        </w:rPr>
        <w:t>ave negative screening results.</w:t>
      </w:r>
      <w:r w:rsidRPr="00D4071D">
        <w:rPr>
          <w:rFonts w:ascii="Times New Roman" w:hAnsi="Times New Roman"/>
        </w:rPr>
        <w:t xml:space="preserve"> In addition, the study results will provide information regarding the level of knowledge regarding cervical cancer screening among low-income, underserved women—who represent the demographic most needy of highly sensitive screening methodologies that can increase the likelihood of detecting cervical dysplasia at less frequent screening intervals. The findin</w:t>
      </w:r>
      <w:r w:rsidR="00345C8C">
        <w:rPr>
          <w:rFonts w:ascii="Times New Roman" w:hAnsi="Times New Roman"/>
        </w:rPr>
        <w:t>gs from this study will help inform</w:t>
      </w:r>
      <w:r w:rsidRPr="00D4071D">
        <w:rPr>
          <w:rFonts w:ascii="Times New Roman" w:hAnsi="Times New Roman"/>
        </w:rPr>
        <w:t xml:space="preserve"> </w:t>
      </w:r>
      <w:r w:rsidR="0076700C">
        <w:rPr>
          <w:rFonts w:ascii="Times New Roman" w:hAnsi="Times New Roman"/>
        </w:rPr>
        <w:t>standards</w:t>
      </w:r>
      <w:r w:rsidR="0076700C" w:rsidRPr="00D4071D">
        <w:rPr>
          <w:rFonts w:ascii="Times New Roman" w:hAnsi="Times New Roman"/>
        </w:rPr>
        <w:t xml:space="preserve"> </w:t>
      </w:r>
      <w:r w:rsidRPr="00D4071D">
        <w:rPr>
          <w:rFonts w:ascii="Times New Roman" w:hAnsi="Times New Roman"/>
        </w:rPr>
        <w:t>regarding the HPV DNA test on a national level for cervical cancer screening in the NBCCEDP.</w:t>
      </w:r>
      <w:r w:rsidR="00D00F16">
        <w:rPr>
          <w:rFonts w:ascii="Times New Roman" w:hAnsi="Times New Roman"/>
        </w:rPr>
        <w:t xml:space="preserve"> </w:t>
      </w:r>
    </w:p>
    <w:p w:rsidR="00D32E93" w:rsidRDefault="00D32E93" w:rsidP="00665645">
      <w:pPr>
        <w:rPr>
          <w:rFonts w:ascii="Times New Roman" w:hAnsi="Times New Roman"/>
        </w:rPr>
      </w:pPr>
    </w:p>
    <w:p w:rsidR="0015791B" w:rsidRDefault="008E2B6F" w:rsidP="00665645">
      <w:pPr>
        <w:rPr>
          <w:rFonts w:ascii="Times New Roman" w:hAnsi="Times New Roman"/>
        </w:rPr>
      </w:pPr>
      <w:r w:rsidRPr="00513ED2">
        <w:rPr>
          <w:rFonts w:ascii="Times New Roman" w:hAnsi="Times New Roman"/>
        </w:rPr>
        <w:t>The National Breast and Cervical Cancer E</w:t>
      </w:r>
      <w:r>
        <w:rPr>
          <w:rFonts w:ascii="Times New Roman" w:hAnsi="Times New Roman"/>
        </w:rPr>
        <w:t>arly Detection Program,</w:t>
      </w:r>
      <w:r w:rsidRPr="00513ED2">
        <w:rPr>
          <w:rFonts w:ascii="Times New Roman" w:hAnsi="Times New Roman"/>
        </w:rPr>
        <w:t xml:space="preserve"> </w:t>
      </w:r>
      <w:r w:rsidRPr="00513ED2">
        <w:rPr>
          <w:rFonts w:ascii="Times New Roman" w:hAnsi="Times New Roman"/>
          <w:color w:val="000000"/>
        </w:rPr>
        <w:t>which was created in response to the Breast and Cervical Cancer Mortality Prevention Act passed by Congress in 1990, is both the first and thus far the only national cancer screening program in the United States</w:t>
      </w:r>
      <w:r w:rsidRPr="00513ED2">
        <w:rPr>
          <w:rFonts w:ascii="Times New Roman" w:hAnsi="Times New Roman"/>
        </w:rPr>
        <w:t>.</w:t>
      </w:r>
      <w:r w:rsidRPr="00D4071D">
        <w:rPr>
          <w:rFonts w:ascii="Times New Roman" w:hAnsi="Times New Roman"/>
        </w:rPr>
        <w:t xml:space="preserve"> The </w:t>
      </w:r>
      <w:r>
        <w:rPr>
          <w:rFonts w:ascii="Times New Roman" w:hAnsi="Times New Roman"/>
        </w:rPr>
        <w:t>NBCCEDP</w:t>
      </w:r>
      <w:r w:rsidRPr="00D4071D">
        <w:rPr>
          <w:rFonts w:ascii="Times New Roman" w:hAnsi="Times New Roman"/>
        </w:rPr>
        <w:t xml:space="preserve"> offers breast and cervical cancer screening to underserved women. </w:t>
      </w:r>
      <w:r w:rsidRPr="0015791B">
        <w:rPr>
          <w:rFonts w:ascii="Times New Roman" w:hAnsi="Times New Roman"/>
        </w:rPr>
        <w:t xml:space="preserve">Currently the program operates in all states, the </w:t>
      </w:r>
      <w:smartTag w:uri="urn:schemas-microsoft-com:office:smarttags" w:element="State">
        <w:smartTag w:uri="urn:schemas-microsoft-com:office:smarttags" w:element="place">
          <w:r w:rsidRPr="0015791B">
            <w:rPr>
              <w:rFonts w:ascii="Times New Roman" w:hAnsi="Times New Roman"/>
            </w:rPr>
            <w:t>District of Columbia</w:t>
          </w:r>
        </w:smartTag>
      </w:smartTag>
      <w:r w:rsidRPr="0015791B">
        <w:rPr>
          <w:rFonts w:ascii="Times New Roman" w:hAnsi="Times New Roman"/>
        </w:rPr>
        <w:t>, 4 U</w:t>
      </w:r>
      <w:r>
        <w:rPr>
          <w:rFonts w:ascii="Times New Roman" w:hAnsi="Times New Roman"/>
        </w:rPr>
        <w:t>.</w:t>
      </w:r>
      <w:r w:rsidRPr="0015791B">
        <w:rPr>
          <w:rFonts w:ascii="Times New Roman" w:hAnsi="Times New Roman"/>
        </w:rPr>
        <w:t>S</w:t>
      </w:r>
      <w:r>
        <w:rPr>
          <w:rFonts w:ascii="Times New Roman" w:hAnsi="Times New Roman"/>
        </w:rPr>
        <w:t>.</w:t>
      </w:r>
      <w:r w:rsidRPr="0015791B">
        <w:rPr>
          <w:rFonts w:ascii="Times New Roman" w:hAnsi="Times New Roman"/>
        </w:rPr>
        <w:t xml:space="preserve"> Territories an</w:t>
      </w:r>
      <w:r>
        <w:rPr>
          <w:rFonts w:ascii="Times New Roman" w:hAnsi="Times New Roman"/>
        </w:rPr>
        <w:t>d 13 American Indian and Alaska</w:t>
      </w:r>
      <w:r w:rsidRPr="0015791B">
        <w:rPr>
          <w:rFonts w:ascii="Times New Roman" w:hAnsi="Times New Roman"/>
        </w:rPr>
        <w:t xml:space="preserve"> Native tribal programs</w:t>
      </w:r>
      <w:r w:rsidRPr="00F270D0">
        <w:rPr>
          <w:rFonts w:ascii="Times New Roman" w:hAnsi="Times New Roman"/>
        </w:rPr>
        <w:t xml:space="preserve">. </w:t>
      </w:r>
      <w:r>
        <w:rPr>
          <w:rFonts w:ascii="Times New Roman" w:hAnsi="Times New Roman"/>
        </w:rPr>
        <w:t xml:space="preserve">Since 1991, </w:t>
      </w:r>
      <w:r w:rsidRPr="009F709F">
        <w:rPr>
          <w:rFonts w:ascii="Times New Roman" w:hAnsi="Times New Roman"/>
        </w:rPr>
        <w:t>NBCCEDP-funded programs have served more than 3.9 million women and diagnosed 2,856 invasive cervical cancers, and 136,837 premalignant cervical lesions</w:t>
      </w:r>
      <w:r>
        <w:rPr>
          <w:rFonts w:ascii="Times New Roman" w:hAnsi="Times New Roman"/>
        </w:rPr>
        <w:t xml:space="preserve">. </w:t>
      </w:r>
      <w:r w:rsidR="00D32E93">
        <w:rPr>
          <w:rFonts w:ascii="Times New Roman" w:hAnsi="Times New Roman"/>
        </w:rPr>
        <w:t>The agency is committed to the ongoing support of this national program. Without the</w:t>
      </w:r>
      <w:r w:rsidR="00965DAA" w:rsidRPr="00C8639E">
        <w:rPr>
          <w:rFonts w:ascii="Times New Roman" w:hAnsi="Times New Roman"/>
        </w:rPr>
        <w:t xml:space="preserve"> information</w:t>
      </w:r>
      <w:r w:rsidR="00D32E93">
        <w:rPr>
          <w:rFonts w:ascii="Times New Roman" w:hAnsi="Times New Roman"/>
        </w:rPr>
        <w:t xml:space="preserve"> that will be gained from this study</w:t>
      </w:r>
      <w:r w:rsidR="00965DAA" w:rsidRPr="00C8639E">
        <w:rPr>
          <w:rFonts w:ascii="Times New Roman" w:hAnsi="Times New Roman"/>
        </w:rPr>
        <w:t xml:space="preserve">, the national screening program will have no </w:t>
      </w:r>
      <w:r w:rsidR="00132645">
        <w:rPr>
          <w:rFonts w:ascii="Times New Roman" w:hAnsi="Times New Roman"/>
        </w:rPr>
        <w:t>information for informing</w:t>
      </w:r>
      <w:r w:rsidR="00965DAA" w:rsidRPr="00C8639E">
        <w:rPr>
          <w:rFonts w:ascii="Times New Roman" w:hAnsi="Times New Roman"/>
        </w:rPr>
        <w:t xml:space="preserve"> </w:t>
      </w:r>
      <w:r w:rsidR="0076700C">
        <w:rPr>
          <w:rFonts w:ascii="Times New Roman" w:hAnsi="Times New Roman"/>
        </w:rPr>
        <w:t>standards</w:t>
      </w:r>
      <w:r w:rsidR="0076700C" w:rsidRPr="00C8639E">
        <w:rPr>
          <w:rFonts w:ascii="Times New Roman" w:hAnsi="Times New Roman"/>
        </w:rPr>
        <w:t xml:space="preserve"> </w:t>
      </w:r>
      <w:r w:rsidR="00965DAA" w:rsidRPr="00C8639E">
        <w:rPr>
          <w:rFonts w:ascii="Times New Roman" w:hAnsi="Times New Roman"/>
        </w:rPr>
        <w:t>regarding the HPV DNA test.</w:t>
      </w:r>
      <w:r w:rsidR="00D00F16" w:rsidRPr="00C8639E">
        <w:rPr>
          <w:rFonts w:ascii="Times New Roman" w:hAnsi="Times New Roman"/>
        </w:rPr>
        <w:t xml:space="preserve"> </w:t>
      </w:r>
      <w:r w:rsidR="00513ED2" w:rsidRPr="00C8639E">
        <w:rPr>
          <w:rFonts w:ascii="Times New Roman" w:hAnsi="Times New Roman"/>
        </w:rPr>
        <w:t xml:space="preserve">Failure to set reimbursement policies could have </w:t>
      </w:r>
      <w:r w:rsidR="00EB2F54" w:rsidRPr="00C8639E">
        <w:rPr>
          <w:rFonts w:ascii="Times New Roman" w:hAnsi="Times New Roman"/>
        </w:rPr>
        <w:t>a major impact on the efficient allocation</w:t>
      </w:r>
      <w:r w:rsidR="00513ED2" w:rsidRPr="00C8639E">
        <w:rPr>
          <w:rFonts w:ascii="Times New Roman" w:hAnsi="Times New Roman"/>
        </w:rPr>
        <w:t xml:space="preserve"> of program resourc</w:t>
      </w:r>
      <w:r w:rsidR="00EB2F54" w:rsidRPr="00C8639E">
        <w:rPr>
          <w:rFonts w:ascii="Times New Roman" w:hAnsi="Times New Roman"/>
        </w:rPr>
        <w:t>es to reach</w:t>
      </w:r>
      <w:r w:rsidR="00513ED2" w:rsidRPr="00C8639E">
        <w:rPr>
          <w:rFonts w:ascii="Times New Roman" w:hAnsi="Times New Roman"/>
        </w:rPr>
        <w:t xml:space="preserve"> underserved women</w:t>
      </w:r>
      <w:r w:rsidR="00D32E93">
        <w:rPr>
          <w:rFonts w:ascii="Times New Roman" w:hAnsi="Times New Roman"/>
        </w:rPr>
        <w:t xml:space="preserve"> in the years ahead</w:t>
      </w:r>
      <w:r w:rsidR="00513ED2" w:rsidRPr="00C8639E">
        <w:rPr>
          <w:rFonts w:ascii="Times New Roman" w:hAnsi="Times New Roman"/>
        </w:rPr>
        <w:t>.</w:t>
      </w:r>
      <w:r w:rsidR="00DC52DE">
        <w:rPr>
          <w:rFonts w:ascii="Times New Roman" w:hAnsi="Times New Roman"/>
        </w:rPr>
        <w:t xml:space="preserve">  </w:t>
      </w:r>
    </w:p>
    <w:p w:rsidR="0015791B" w:rsidRDefault="0015791B" w:rsidP="00665645">
      <w:pPr>
        <w:rPr>
          <w:rFonts w:ascii="Times New Roman" w:hAnsi="Times New Roman"/>
        </w:rPr>
      </w:pPr>
    </w:p>
    <w:p w:rsidR="00965DAA" w:rsidRDefault="00965DAA" w:rsidP="00665645">
      <w:pPr>
        <w:pStyle w:val="Head1"/>
        <w:spacing w:before="0" w:beforeAutospacing="0" w:after="0" w:afterAutospacing="0" w:line="240" w:lineRule="auto"/>
        <w:rPr>
          <w:b w:val="0"/>
        </w:rPr>
      </w:pPr>
      <w:r>
        <w:rPr>
          <w:b w:val="0"/>
          <w:i/>
          <w:u w:val="single"/>
        </w:rPr>
        <w:t>Privacy Impact Assessment Information</w:t>
      </w:r>
      <w:r w:rsidR="005011E5">
        <w:rPr>
          <w:b w:val="0"/>
        </w:rPr>
        <w:t>.  This study involves the collection of da</w:t>
      </w:r>
      <w:r w:rsidR="00132645">
        <w:rPr>
          <w:b w:val="0"/>
        </w:rPr>
        <w:t xml:space="preserve">ta </w:t>
      </w:r>
      <w:r w:rsidR="005011E5">
        <w:rPr>
          <w:b w:val="0"/>
        </w:rPr>
        <w:t xml:space="preserve">that are </w:t>
      </w:r>
      <w:r w:rsidR="00132645">
        <w:rPr>
          <w:b w:val="0"/>
        </w:rPr>
        <w:t>needed to inform</w:t>
      </w:r>
      <w:r w:rsidR="00D00F16">
        <w:rPr>
          <w:b w:val="0"/>
        </w:rPr>
        <w:t xml:space="preserve"> reimbursement policies for the NBCCEDP</w:t>
      </w:r>
      <w:r w:rsidR="00DC76D9">
        <w:rPr>
          <w:b w:val="0"/>
        </w:rPr>
        <w:t xml:space="preserve"> related to cervical cancer screening</w:t>
      </w:r>
      <w:r w:rsidR="00D00F16">
        <w:rPr>
          <w:b w:val="0"/>
        </w:rPr>
        <w:t xml:space="preserve">. Specifically, </w:t>
      </w:r>
      <w:r w:rsidR="00DC76D9">
        <w:rPr>
          <w:b w:val="0"/>
        </w:rPr>
        <w:t>t</w:t>
      </w:r>
      <w:r w:rsidR="005011E5">
        <w:rPr>
          <w:b w:val="0"/>
        </w:rPr>
        <w:t>he</w:t>
      </w:r>
      <w:r w:rsidR="00DC76D9" w:rsidRPr="00DC76D9">
        <w:rPr>
          <w:b w:val="0"/>
        </w:rPr>
        <w:t xml:space="preserve"> study enroll</w:t>
      </w:r>
      <w:r w:rsidR="005011E5">
        <w:rPr>
          <w:b w:val="0"/>
        </w:rPr>
        <w:t>ed</w:t>
      </w:r>
      <w:r w:rsidR="00DC76D9" w:rsidRPr="00DC76D9">
        <w:rPr>
          <w:b w:val="0"/>
        </w:rPr>
        <w:t xml:space="preserve"> clinics and their physicians and patients into two study arms to compare outcomes associated with routine Pap testing coupled with HPV testing for women age </w:t>
      </w:r>
      <w:r w:rsidR="005011E5">
        <w:rPr>
          <w:b w:val="0"/>
        </w:rPr>
        <w:t>30-</w:t>
      </w:r>
      <w:r w:rsidR="00DC76D9" w:rsidRPr="00DC76D9">
        <w:rPr>
          <w:b w:val="0"/>
        </w:rPr>
        <w:t xml:space="preserve">60 years coming in to the clinic for a regular screening Pap. Goals of the study are to: (1) </w:t>
      </w:r>
      <w:r w:rsidR="00DC76D9" w:rsidRPr="00DC76D9">
        <w:rPr>
          <w:b w:val="0"/>
        </w:rPr>
        <w:lastRenderedPageBreak/>
        <w:t>assess whether provider and patient education will lead to extended screening intervals for women who have negative screening results; (2) identify facilitators and barriers to acceptance and appropriate use of the HPV test and longer screening intervals; (3) track costs associated with HPV testing and educational interventions; (4) identify the HPV genotypes among this sample of low income women; (5) assess follow-up of women with positive test results; and (6) determine provider knowledge and acceptability of the HPV vaccine.</w:t>
      </w:r>
    </w:p>
    <w:p w:rsidR="00D81CC1" w:rsidRPr="00D81CC1" w:rsidRDefault="00D81CC1" w:rsidP="00665645">
      <w:pPr>
        <w:pStyle w:val="Head1"/>
        <w:spacing w:before="0" w:beforeAutospacing="0" w:after="0" w:afterAutospacing="0" w:line="240" w:lineRule="auto"/>
        <w:rPr>
          <w:b w:val="0"/>
        </w:rPr>
      </w:pPr>
    </w:p>
    <w:p w:rsidR="00D81CC1" w:rsidRPr="00132645" w:rsidRDefault="00DD3A97" w:rsidP="00132645">
      <w:pPr>
        <w:pStyle w:val="Head1"/>
        <w:spacing w:before="0" w:beforeAutospacing="0" w:after="0" w:afterAutospacing="0" w:line="240" w:lineRule="auto"/>
        <w:rPr>
          <w:b w:val="0"/>
        </w:rPr>
      </w:pPr>
      <w:r>
        <w:rPr>
          <w:b w:val="0"/>
        </w:rPr>
        <w:t>In</w:t>
      </w:r>
      <w:r w:rsidR="005011E5">
        <w:rPr>
          <w:b w:val="0"/>
        </w:rPr>
        <w:t xml:space="preserve"> Phase II of the study</w:t>
      </w:r>
      <w:r>
        <w:rPr>
          <w:b w:val="0"/>
        </w:rPr>
        <w:t xml:space="preserve">, </w:t>
      </w:r>
      <w:r w:rsidR="00D81CC1" w:rsidRPr="00132645">
        <w:rPr>
          <w:b w:val="0"/>
        </w:rPr>
        <w:t xml:space="preserve">data </w:t>
      </w:r>
      <w:r w:rsidR="00D81CC1" w:rsidRPr="00B1716C">
        <w:rPr>
          <w:b w:val="0"/>
        </w:rPr>
        <w:t>will be</w:t>
      </w:r>
      <w:r w:rsidR="00D81CC1" w:rsidRPr="00132645">
        <w:rPr>
          <w:b w:val="0"/>
        </w:rPr>
        <w:t xml:space="preserve"> collected from </w:t>
      </w:r>
      <w:r w:rsidR="000C0932">
        <w:rPr>
          <w:b w:val="0"/>
        </w:rPr>
        <w:t>patients and providers</w:t>
      </w:r>
      <w:r w:rsidR="00D81CC1" w:rsidRPr="00132645">
        <w:rPr>
          <w:b w:val="0"/>
        </w:rPr>
        <w:t xml:space="preserve">. </w:t>
      </w:r>
      <w:r w:rsidR="000C0932">
        <w:rPr>
          <w:b w:val="0"/>
        </w:rPr>
        <w:t>At the time of patient e</w:t>
      </w:r>
      <w:r w:rsidR="00242D1B" w:rsidRPr="00132645">
        <w:rPr>
          <w:b w:val="0"/>
        </w:rPr>
        <w:t>nrollment</w:t>
      </w:r>
      <w:r w:rsidR="008B0D32">
        <w:rPr>
          <w:b w:val="0"/>
        </w:rPr>
        <w:t>,</w:t>
      </w:r>
      <w:r w:rsidR="00242D1B" w:rsidRPr="00132645">
        <w:rPr>
          <w:b w:val="0"/>
        </w:rPr>
        <w:t xml:space="preserve"> </w:t>
      </w:r>
      <w:r w:rsidR="008B0D32">
        <w:rPr>
          <w:b w:val="0"/>
        </w:rPr>
        <w:t>a</w:t>
      </w:r>
      <w:r w:rsidR="00D81CC1" w:rsidRPr="00132645">
        <w:rPr>
          <w:b w:val="0"/>
        </w:rPr>
        <w:t xml:space="preserve"> series of unique patient ID numbers </w:t>
      </w:r>
      <w:r w:rsidR="00A11161">
        <w:rPr>
          <w:b w:val="0"/>
        </w:rPr>
        <w:t xml:space="preserve">were </w:t>
      </w:r>
      <w:r w:rsidR="00D81CC1" w:rsidRPr="00132645">
        <w:rPr>
          <w:b w:val="0"/>
        </w:rPr>
        <w:t xml:space="preserve">provided to each clinic participating in the study. </w:t>
      </w:r>
      <w:r w:rsidR="008B0D32">
        <w:rPr>
          <w:b w:val="0"/>
        </w:rPr>
        <w:t xml:space="preserve"> </w:t>
      </w:r>
      <w:r w:rsidR="00D81CC1" w:rsidRPr="00132645">
        <w:rPr>
          <w:b w:val="0"/>
        </w:rPr>
        <w:t>Staff assign</w:t>
      </w:r>
      <w:r w:rsidR="00A11161">
        <w:rPr>
          <w:b w:val="0"/>
        </w:rPr>
        <w:t>ed</w:t>
      </w:r>
      <w:r w:rsidR="00D81CC1" w:rsidRPr="00132645">
        <w:rPr>
          <w:b w:val="0"/>
        </w:rPr>
        <w:t xml:space="preserve"> a patient ID to each patien</w:t>
      </w:r>
      <w:r w:rsidR="00A11161">
        <w:rPr>
          <w:b w:val="0"/>
        </w:rPr>
        <w:t>t at the time of enrollment</w:t>
      </w:r>
      <w:r w:rsidR="00D81CC1" w:rsidRPr="00132645">
        <w:rPr>
          <w:b w:val="0"/>
        </w:rPr>
        <w:t xml:space="preserve">. Follow-up surveys </w:t>
      </w:r>
      <w:r w:rsidR="00A11161">
        <w:rPr>
          <w:b w:val="0"/>
        </w:rPr>
        <w:t xml:space="preserve">are </w:t>
      </w:r>
      <w:r w:rsidR="00D81CC1" w:rsidRPr="00132645">
        <w:rPr>
          <w:b w:val="0"/>
        </w:rPr>
        <w:t>mailed by Battelle to patients using their pre-assigned ID. Responses</w:t>
      </w:r>
      <w:r w:rsidR="00A11161">
        <w:rPr>
          <w:b w:val="0"/>
        </w:rPr>
        <w:t xml:space="preserve"> are </w:t>
      </w:r>
      <w:r w:rsidR="00D81CC1" w:rsidRPr="00132645">
        <w:rPr>
          <w:b w:val="0"/>
        </w:rPr>
        <w:t xml:space="preserve">returned directly to </w:t>
      </w:r>
      <w:r w:rsidR="00242D1B" w:rsidRPr="00132645">
        <w:rPr>
          <w:b w:val="0"/>
        </w:rPr>
        <w:t>Battelle</w:t>
      </w:r>
      <w:r w:rsidR="00D81CC1" w:rsidRPr="00132645">
        <w:rPr>
          <w:b w:val="0"/>
        </w:rPr>
        <w:t xml:space="preserve"> for data entry. Clinic staff</w:t>
      </w:r>
      <w:r w:rsidR="00A11161">
        <w:rPr>
          <w:b w:val="0"/>
        </w:rPr>
        <w:t xml:space="preserve"> do not </w:t>
      </w:r>
      <w:r w:rsidR="00D81CC1" w:rsidRPr="00132645">
        <w:rPr>
          <w:b w:val="0"/>
        </w:rPr>
        <w:t xml:space="preserve">have access to the surveys or to the database containing individual responses. Provider </w:t>
      </w:r>
      <w:r w:rsidR="00A11161">
        <w:rPr>
          <w:b w:val="0"/>
        </w:rPr>
        <w:t xml:space="preserve">follow-up </w:t>
      </w:r>
      <w:r w:rsidR="00D81CC1" w:rsidRPr="00132645">
        <w:rPr>
          <w:b w:val="0"/>
        </w:rPr>
        <w:t>surveys</w:t>
      </w:r>
      <w:r w:rsidR="00A11161">
        <w:rPr>
          <w:b w:val="0"/>
        </w:rPr>
        <w:t xml:space="preserve"> will be mailed directly to providers.  </w:t>
      </w:r>
      <w:r w:rsidR="00D81CC1" w:rsidRPr="00132645">
        <w:rPr>
          <w:b w:val="0"/>
        </w:rPr>
        <w:t>Each p</w:t>
      </w:r>
      <w:r w:rsidR="00132645">
        <w:rPr>
          <w:b w:val="0"/>
        </w:rPr>
        <w:t xml:space="preserve">rovider </w:t>
      </w:r>
      <w:r w:rsidR="00132645" w:rsidRPr="00A11161">
        <w:rPr>
          <w:b w:val="0"/>
        </w:rPr>
        <w:t>will be</w:t>
      </w:r>
      <w:r w:rsidR="00132645">
        <w:rPr>
          <w:b w:val="0"/>
        </w:rPr>
        <w:t xml:space="preserve"> provided with a postage-paid return </w:t>
      </w:r>
      <w:r w:rsidR="00D81CC1" w:rsidRPr="00132645">
        <w:rPr>
          <w:b w:val="0"/>
        </w:rPr>
        <w:t xml:space="preserve">envelope and instructed to </w:t>
      </w:r>
      <w:r w:rsidR="00132645">
        <w:rPr>
          <w:b w:val="0"/>
        </w:rPr>
        <w:t>send</w:t>
      </w:r>
      <w:r w:rsidR="00D81CC1" w:rsidRPr="00132645">
        <w:rPr>
          <w:b w:val="0"/>
        </w:rPr>
        <w:t xml:space="preserve"> their completed survey</w:t>
      </w:r>
      <w:r w:rsidR="00132645">
        <w:rPr>
          <w:b w:val="0"/>
        </w:rPr>
        <w:t xml:space="preserve"> </w:t>
      </w:r>
      <w:r w:rsidR="00D81CC1" w:rsidRPr="00132645">
        <w:rPr>
          <w:b w:val="0"/>
        </w:rPr>
        <w:t>to Battelle for data entry and analysis. Clinic staff</w:t>
      </w:r>
      <w:r w:rsidR="00A11161">
        <w:rPr>
          <w:b w:val="0"/>
        </w:rPr>
        <w:t xml:space="preserve"> will not </w:t>
      </w:r>
      <w:r w:rsidR="00D81CC1" w:rsidRPr="00132645">
        <w:rPr>
          <w:b w:val="0"/>
        </w:rPr>
        <w:t>have access to the surveys or to the database containing individual responses.</w:t>
      </w:r>
      <w:r w:rsidR="008B0D32">
        <w:rPr>
          <w:b w:val="0"/>
        </w:rPr>
        <w:t xml:space="preserve">  Responses to the qualitative interviews will be aggregated and will not be associated with an individual provider.</w:t>
      </w:r>
    </w:p>
    <w:p w:rsidR="00D00F16" w:rsidRDefault="00D00F16" w:rsidP="00665645">
      <w:pPr>
        <w:pStyle w:val="Head1"/>
        <w:spacing w:before="0" w:beforeAutospacing="0" w:after="0" w:afterAutospacing="0" w:line="240" w:lineRule="auto"/>
        <w:rPr>
          <w:b w:val="0"/>
        </w:rPr>
      </w:pPr>
    </w:p>
    <w:p w:rsidR="00CA4621" w:rsidRPr="002D6CF9" w:rsidRDefault="005600ED" w:rsidP="00CA4621">
      <w:pPr>
        <w:pStyle w:val="Head1"/>
        <w:spacing w:before="0" w:beforeAutospacing="0" w:after="0" w:afterAutospacing="0" w:line="240" w:lineRule="auto"/>
        <w:rPr>
          <w:b w:val="0"/>
          <w:highlight w:val="yellow"/>
        </w:rPr>
      </w:pPr>
      <w:r>
        <w:rPr>
          <w:b w:val="0"/>
        </w:rPr>
        <w:t>In conducting the data analysis, d</w:t>
      </w:r>
      <w:r w:rsidRPr="005600ED">
        <w:rPr>
          <w:b w:val="0"/>
        </w:rPr>
        <w:t xml:space="preserve">ata will be pooled across providers and patients. The survey data will be examined with </w:t>
      </w:r>
      <w:proofErr w:type="spellStart"/>
      <w:r w:rsidRPr="005600ED">
        <w:rPr>
          <w:b w:val="0"/>
        </w:rPr>
        <w:t>univariate</w:t>
      </w:r>
      <w:proofErr w:type="spellEnd"/>
      <w:r w:rsidRPr="005600ED">
        <w:rPr>
          <w:b w:val="0"/>
        </w:rPr>
        <w:t xml:space="preserve">, bivariate and multivariate analyses, including analyses at both the provider- and patient-level. </w:t>
      </w:r>
      <w:r>
        <w:rPr>
          <w:b w:val="0"/>
        </w:rPr>
        <w:t xml:space="preserve"> </w:t>
      </w:r>
      <w:r w:rsidR="00127F10">
        <w:rPr>
          <w:b w:val="0"/>
        </w:rPr>
        <w:t xml:space="preserve">The unique ID system and the protocol for data handling </w:t>
      </w:r>
      <w:r w:rsidR="00CA4AC2">
        <w:rPr>
          <w:b w:val="0"/>
        </w:rPr>
        <w:t>we</w:t>
      </w:r>
      <w:r w:rsidR="00127F10">
        <w:rPr>
          <w:b w:val="0"/>
        </w:rPr>
        <w:t xml:space="preserve">re designed to protect the </w:t>
      </w:r>
      <w:r w:rsidR="008551D5">
        <w:rPr>
          <w:b w:val="0"/>
        </w:rPr>
        <w:t>data</w:t>
      </w:r>
      <w:r w:rsidR="00CA4AC2">
        <w:rPr>
          <w:b w:val="0"/>
        </w:rPr>
        <w:t xml:space="preserve"> being</w:t>
      </w:r>
      <w:r w:rsidR="00127F10">
        <w:rPr>
          <w:b w:val="0"/>
        </w:rPr>
        <w:t xml:space="preserve"> collected</w:t>
      </w:r>
      <w:r w:rsidR="00242D1B">
        <w:rPr>
          <w:b w:val="0"/>
        </w:rPr>
        <w:t xml:space="preserve"> from accidental disclosure</w:t>
      </w:r>
      <w:r w:rsidR="00127F10">
        <w:rPr>
          <w:b w:val="0"/>
        </w:rPr>
        <w:t xml:space="preserve">. </w:t>
      </w:r>
      <w:r w:rsidR="00127F10" w:rsidRPr="00815FF2">
        <w:rPr>
          <w:b w:val="0"/>
        </w:rPr>
        <w:t>To further ensure the confidentiality of the</w:t>
      </w:r>
      <w:r w:rsidR="00132645">
        <w:rPr>
          <w:b w:val="0"/>
        </w:rPr>
        <w:t xml:space="preserve"> survey </w:t>
      </w:r>
      <w:r w:rsidR="00094980">
        <w:rPr>
          <w:b w:val="0"/>
        </w:rPr>
        <w:t>data, the project obtain</w:t>
      </w:r>
      <w:r w:rsidR="00A11161">
        <w:rPr>
          <w:b w:val="0"/>
        </w:rPr>
        <w:t>ed</w:t>
      </w:r>
      <w:r w:rsidR="00127F10" w:rsidRPr="00815FF2">
        <w:rPr>
          <w:b w:val="0"/>
        </w:rPr>
        <w:t xml:space="preserve"> a Certificate of Confidentiality </w:t>
      </w:r>
      <w:r>
        <w:rPr>
          <w:b w:val="0"/>
        </w:rPr>
        <w:t xml:space="preserve">(Attachment G3) </w:t>
      </w:r>
      <w:r w:rsidR="00127F10" w:rsidRPr="00815FF2">
        <w:rPr>
          <w:b w:val="0"/>
        </w:rPr>
        <w:t>from CDC. The IRB concluded that with this certificate in place, this project presents minimal risk to study participants.</w:t>
      </w:r>
      <w:r w:rsidR="00CA4621">
        <w:rPr>
          <w:b w:val="0"/>
        </w:rPr>
        <w:t xml:space="preserve">  </w:t>
      </w:r>
      <w:r w:rsidR="00CA4AC2">
        <w:rPr>
          <w:b w:val="0"/>
        </w:rPr>
        <w:t>Do</w:t>
      </w:r>
      <w:r w:rsidR="00CA4621">
        <w:rPr>
          <w:b w:val="0"/>
        </w:rPr>
        <w:t xml:space="preserve">cumentation of </w:t>
      </w:r>
      <w:r w:rsidR="008551D5">
        <w:rPr>
          <w:b w:val="0"/>
        </w:rPr>
        <w:t>CDC and Battelle</w:t>
      </w:r>
      <w:r w:rsidR="003A4FA9">
        <w:rPr>
          <w:b w:val="0"/>
        </w:rPr>
        <w:t xml:space="preserve"> </w:t>
      </w:r>
      <w:r w:rsidR="00CA4621" w:rsidRPr="00216BEC">
        <w:rPr>
          <w:b w:val="0"/>
        </w:rPr>
        <w:t xml:space="preserve">IRB </w:t>
      </w:r>
      <w:r w:rsidR="00CA4621">
        <w:rPr>
          <w:b w:val="0"/>
        </w:rPr>
        <w:t>approval of the s</w:t>
      </w:r>
      <w:r w:rsidR="00A672C5">
        <w:rPr>
          <w:b w:val="0"/>
        </w:rPr>
        <w:t>tudy is provided as Attachment</w:t>
      </w:r>
      <w:r w:rsidR="008551D5">
        <w:rPr>
          <w:b w:val="0"/>
        </w:rPr>
        <w:t>s</w:t>
      </w:r>
      <w:r w:rsidR="00A672C5">
        <w:rPr>
          <w:b w:val="0"/>
        </w:rPr>
        <w:t xml:space="preserve"> G</w:t>
      </w:r>
      <w:r w:rsidR="008551D5">
        <w:rPr>
          <w:b w:val="0"/>
        </w:rPr>
        <w:t>1 and G2</w:t>
      </w:r>
      <w:r w:rsidR="00CA4621" w:rsidRPr="00216BEC">
        <w:rPr>
          <w:b w:val="0"/>
        </w:rPr>
        <w:t xml:space="preserve">. </w:t>
      </w:r>
    </w:p>
    <w:p w:rsidR="00127F10" w:rsidRPr="00B968A3" w:rsidRDefault="00127F10" w:rsidP="00665645">
      <w:pPr>
        <w:pStyle w:val="Head1"/>
        <w:spacing w:before="0" w:beforeAutospacing="0" w:after="0" w:afterAutospacing="0" w:line="240" w:lineRule="auto"/>
        <w:rPr>
          <w:b w:val="0"/>
        </w:rPr>
      </w:pPr>
    </w:p>
    <w:p w:rsidR="00882C23" w:rsidRPr="005C789F" w:rsidRDefault="00882C23" w:rsidP="00665645">
      <w:pPr>
        <w:pStyle w:val="Head1"/>
        <w:spacing w:before="0" w:beforeAutospacing="0" w:after="0" w:afterAutospacing="0" w:line="240" w:lineRule="auto"/>
      </w:pPr>
      <w:bookmarkStart w:id="3" w:name="_Toc179609146"/>
      <w:r w:rsidRPr="003C1CE4">
        <w:t>A.3. Use of Information Technology and Burden Reduction</w:t>
      </w:r>
      <w:bookmarkEnd w:id="3"/>
    </w:p>
    <w:p w:rsidR="00127F10" w:rsidRDefault="00127F10" w:rsidP="00665645">
      <w:pPr>
        <w:pStyle w:val="NormalWeb"/>
        <w:spacing w:before="0" w:beforeAutospacing="0" w:after="0" w:afterAutospacing="0"/>
      </w:pPr>
    </w:p>
    <w:p w:rsidR="00232E88" w:rsidRDefault="00BB3D88" w:rsidP="00665645">
      <w:pPr>
        <w:pStyle w:val="NormalWeb"/>
        <w:spacing w:before="0" w:beforeAutospacing="0" w:after="0" w:afterAutospacing="0"/>
      </w:pPr>
      <w:r>
        <w:t xml:space="preserve">The </w:t>
      </w:r>
      <w:r w:rsidR="001C3636">
        <w:t xml:space="preserve">provider </w:t>
      </w:r>
      <w:r>
        <w:t xml:space="preserve">and patient surveys will </w:t>
      </w:r>
      <w:r w:rsidR="006035C7">
        <w:t>use</w:t>
      </w:r>
      <w:r>
        <w:t xml:space="preserve"> hardcopy data collection </w:t>
      </w:r>
      <w:r w:rsidR="006035C7">
        <w:t>methods</w:t>
      </w:r>
      <w:r w:rsidR="00172E87">
        <w:t>, as was the case in the baseline and follow-up surveys conducted in the first three years of the study</w:t>
      </w:r>
      <w:r>
        <w:t xml:space="preserve">. </w:t>
      </w:r>
      <w:r w:rsidR="001C3636">
        <w:t xml:space="preserve"> In the case of the patient survey, a mail survey was se</w:t>
      </w:r>
      <w:r>
        <w:t xml:space="preserve">lected </w:t>
      </w:r>
      <w:r w:rsidR="001C3636">
        <w:t xml:space="preserve">because the patients recruited into the study consist of low income individuals (70% of the patients surveyed reported that they earned less than $15 per hour) and </w:t>
      </w:r>
      <w:r w:rsidR="00F54949">
        <w:t>a</w:t>
      </w:r>
      <w:r w:rsidR="00DB0578">
        <w:t xml:space="preserve">ccess to computers </w:t>
      </w:r>
      <w:r w:rsidR="001C3636">
        <w:t>could</w:t>
      </w:r>
      <w:r w:rsidR="00DB0578">
        <w:t xml:space="preserve"> be problematic in this population. </w:t>
      </w:r>
      <w:r w:rsidR="00172E87">
        <w:t>In the case of the provider survey, a</w:t>
      </w:r>
      <w:r w:rsidR="00F54949">
        <w:t xml:space="preserve"> mail survey was</w:t>
      </w:r>
      <w:r w:rsidR="00DB0578">
        <w:t xml:space="preserve"> indicated as a preferred mode during early discussions with the clinics about their participation in the study. </w:t>
      </w:r>
      <w:r w:rsidR="00F54949">
        <w:t xml:space="preserve">Mail survey for providers </w:t>
      </w:r>
      <w:r w:rsidR="00172E87">
        <w:t>wa</w:t>
      </w:r>
      <w:r w:rsidR="00F54949">
        <w:t xml:space="preserve">s preferred </w:t>
      </w:r>
      <w:r w:rsidR="00BA7225">
        <w:t>for</w:t>
      </w:r>
      <w:r w:rsidR="00F54949">
        <w:t xml:space="preserve"> ease of administration given the small </w:t>
      </w:r>
      <w:r w:rsidR="00BA7225">
        <w:t xml:space="preserve">number of clinics and providers involved. </w:t>
      </w:r>
    </w:p>
    <w:p w:rsidR="00172E87" w:rsidRDefault="00172E87" w:rsidP="00665645">
      <w:pPr>
        <w:pStyle w:val="NormalWeb"/>
        <w:spacing w:before="0" w:beforeAutospacing="0" w:after="0" w:afterAutospacing="0"/>
      </w:pPr>
    </w:p>
    <w:p w:rsidR="00172E87" w:rsidRPr="00767A7E" w:rsidRDefault="00172E87" w:rsidP="00172E87">
      <w:pPr>
        <w:pStyle w:val="NormalWeb"/>
        <w:spacing w:before="0" w:beforeAutospacing="0" w:after="0" w:afterAutospacing="0"/>
      </w:pPr>
      <w:r w:rsidRPr="00767A7E">
        <w:t>CDC has contracted with Battelle Centers for Public Health Re</w:t>
      </w:r>
      <w:r w:rsidR="008B0D32">
        <w:t>search and Evaluation</w:t>
      </w:r>
      <w:r w:rsidRPr="00767A7E">
        <w:t xml:space="preserve"> to collect, manage, and analyze</w:t>
      </w:r>
      <w:r>
        <w:t xml:space="preserve"> all data for this study. I</w:t>
      </w:r>
      <w:r w:rsidRPr="00767A7E">
        <w:t xml:space="preserve">nformation technology tools </w:t>
      </w:r>
      <w:r>
        <w:t xml:space="preserve">were used </w:t>
      </w:r>
      <w:r w:rsidRPr="00767A7E">
        <w:t xml:space="preserve">in </w:t>
      </w:r>
      <w:r>
        <w:t>two</w:t>
      </w:r>
      <w:r w:rsidRPr="00767A7E">
        <w:t xml:space="preserve"> ways to reduce the burden of participation.</w:t>
      </w:r>
      <w:r w:rsidR="008B0D32">
        <w:t xml:space="preserve">  For example</w:t>
      </w:r>
      <w:r>
        <w:t>, Battelle staff developed a survey tracking database that is being used to monitor the various data collection activities. This tracking database</w:t>
      </w:r>
      <w:r w:rsidR="008B0D32">
        <w:t xml:space="preserve"> will</w:t>
      </w:r>
      <w:r w:rsidR="00860B85">
        <w:t xml:space="preserve"> let </w:t>
      </w:r>
      <w:r>
        <w:t>Battelle study s</w:t>
      </w:r>
      <w:r w:rsidRPr="00767A7E">
        <w:t xml:space="preserve">taff </w:t>
      </w:r>
      <w:r w:rsidR="00860B85">
        <w:t xml:space="preserve">know </w:t>
      </w:r>
      <w:r w:rsidRPr="00767A7E">
        <w:t xml:space="preserve">when to mail </w:t>
      </w:r>
      <w:r>
        <w:t>follow-up surveys and reminders</w:t>
      </w:r>
      <w:r w:rsidRPr="00767A7E">
        <w:t xml:space="preserve">. </w:t>
      </w:r>
    </w:p>
    <w:p w:rsidR="00127F10" w:rsidRDefault="00127F10" w:rsidP="00665645">
      <w:pPr>
        <w:pStyle w:val="Head1"/>
        <w:spacing w:before="0" w:beforeAutospacing="0" w:after="0" w:afterAutospacing="0" w:line="240" w:lineRule="auto"/>
      </w:pPr>
      <w:bookmarkStart w:id="4" w:name="_Toc179609147"/>
    </w:p>
    <w:p w:rsidR="00F228FA" w:rsidRPr="003C1CE4" w:rsidRDefault="00F228FA" w:rsidP="00665645">
      <w:pPr>
        <w:pStyle w:val="Head1"/>
        <w:spacing w:before="0" w:beforeAutospacing="0" w:after="0" w:afterAutospacing="0" w:line="240" w:lineRule="auto"/>
      </w:pPr>
      <w:r w:rsidRPr="003C1CE4">
        <w:t>A.4. Efforts to Identify Duplication and Use of Similar Information</w:t>
      </w:r>
      <w:bookmarkEnd w:id="4"/>
    </w:p>
    <w:p w:rsidR="0000510F" w:rsidRDefault="0000510F" w:rsidP="00665645">
      <w:pPr>
        <w:rPr>
          <w:rFonts w:ascii="Times New Roman" w:hAnsi="Times New Roman"/>
        </w:rPr>
      </w:pPr>
    </w:p>
    <w:p w:rsidR="008704AC" w:rsidRPr="00DE05F4" w:rsidRDefault="00B261B5" w:rsidP="00665645">
      <w:pPr>
        <w:rPr>
          <w:rFonts w:ascii="Times New Roman" w:hAnsi="Times New Roman"/>
        </w:rPr>
      </w:pPr>
      <w:r>
        <w:rPr>
          <w:rFonts w:ascii="Times New Roman" w:hAnsi="Times New Roman"/>
        </w:rPr>
        <w:lastRenderedPageBreak/>
        <w:t xml:space="preserve">In our efforts to find this information through consultation with medical care providers, researchers and a review of the literature, we were not able to address this issue of HPV DNA testing in a low income, uninsured group of women to inform </w:t>
      </w:r>
      <w:r w:rsidR="0076700C">
        <w:rPr>
          <w:rFonts w:ascii="Times New Roman" w:hAnsi="Times New Roman"/>
        </w:rPr>
        <w:t xml:space="preserve">standards </w:t>
      </w:r>
      <w:r>
        <w:rPr>
          <w:rFonts w:ascii="Times New Roman" w:hAnsi="Times New Roman"/>
        </w:rPr>
        <w:t>for the NBCCEDP</w:t>
      </w:r>
      <w:r w:rsidR="00DC52DE" w:rsidRPr="00DE05F4">
        <w:rPr>
          <w:rFonts w:ascii="Times New Roman" w:hAnsi="Times New Roman"/>
        </w:rPr>
        <w:t xml:space="preserve">. </w:t>
      </w:r>
    </w:p>
    <w:p w:rsidR="0000510F" w:rsidRDefault="0000510F" w:rsidP="00665645">
      <w:pPr>
        <w:rPr>
          <w:rFonts w:ascii="Times New Roman" w:hAnsi="Times New Roman"/>
        </w:rPr>
      </w:pPr>
    </w:p>
    <w:p w:rsidR="00F10E0E" w:rsidRPr="00DE05F4" w:rsidRDefault="00F10E0E" w:rsidP="00665645">
      <w:pPr>
        <w:rPr>
          <w:rFonts w:ascii="Times New Roman" w:hAnsi="Times New Roman"/>
        </w:rPr>
      </w:pPr>
      <w:r w:rsidRPr="00DE05F4">
        <w:rPr>
          <w:rFonts w:ascii="Times New Roman" w:hAnsi="Times New Roman"/>
        </w:rPr>
        <w:t xml:space="preserve">In 2002, the FDA approved the HPV DNA test with cervical cytology for cervical cancer screening in women 30 years of age and older. Since the approval, several organizations such as the </w:t>
      </w:r>
      <w:smartTag w:uri="urn:schemas-microsoft-com:office:smarttags" w:element="place">
        <w:smartTag w:uri="urn:schemas-microsoft-com:office:smarttags" w:element="PlaceName">
          <w:r w:rsidRPr="00DE05F4">
            <w:rPr>
              <w:rFonts w:ascii="Times New Roman" w:hAnsi="Times New Roman"/>
            </w:rPr>
            <w:t>American</w:t>
          </w:r>
        </w:smartTag>
        <w:r w:rsidRPr="00DE05F4">
          <w:rPr>
            <w:rFonts w:ascii="Times New Roman" w:hAnsi="Times New Roman"/>
          </w:rPr>
          <w:t xml:space="preserve"> </w:t>
        </w:r>
        <w:smartTag w:uri="urn:schemas-microsoft-com:office:smarttags" w:element="PlaceType">
          <w:r w:rsidRPr="00DE05F4">
            <w:rPr>
              <w:rFonts w:ascii="Times New Roman" w:hAnsi="Times New Roman"/>
            </w:rPr>
            <w:t>College</w:t>
          </w:r>
        </w:smartTag>
      </w:smartTag>
      <w:r w:rsidRPr="00DE05F4">
        <w:rPr>
          <w:rFonts w:ascii="Times New Roman" w:hAnsi="Times New Roman"/>
        </w:rPr>
        <w:t xml:space="preserve"> of Obstetrics and Gynecologists and the American Cancer Society support HPV testing for use in combination with cervical cytology. A cost-effectiveness analysis has shown that additional costs associated with introducing HPV testing in conjunction with cytology could be offset by an increase in the screening interval among HPV-negative, cytology </w:t>
      </w:r>
      <w:r w:rsidR="00C60464">
        <w:rPr>
          <w:rFonts w:ascii="Times New Roman" w:hAnsi="Times New Roman"/>
        </w:rPr>
        <w:t>normal</w:t>
      </w:r>
      <w:r w:rsidR="00C60464" w:rsidRPr="00DE05F4">
        <w:rPr>
          <w:rFonts w:ascii="Times New Roman" w:hAnsi="Times New Roman"/>
        </w:rPr>
        <w:t xml:space="preserve"> </w:t>
      </w:r>
      <w:r w:rsidRPr="00DE05F4">
        <w:rPr>
          <w:rFonts w:ascii="Times New Roman" w:hAnsi="Times New Roman"/>
        </w:rPr>
        <w:t xml:space="preserve">women because of the low risk of </w:t>
      </w:r>
      <w:proofErr w:type="spellStart"/>
      <w:r w:rsidRPr="00DE05F4">
        <w:rPr>
          <w:rFonts w:ascii="Times New Roman" w:hAnsi="Times New Roman"/>
        </w:rPr>
        <w:t>precancer</w:t>
      </w:r>
      <w:proofErr w:type="spellEnd"/>
      <w:r w:rsidRPr="00DE05F4">
        <w:rPr>
          <w:rFonts w:ascii="Times New Roman" w:hAnsi="Times New Roman"/>
        </w:rPr>
        <w:t xml:space="preserve"> and cancer (Goldie, 2004). However, in the </w:t>
      </w:r>
      <w:smartTag w:uri="urn:schemas-microsoft-com:office:smarttags" w:element="country-region">
        <w:smartTag w:uri="urn:schemas-microsoft-com:office:smarttags" w:element="place">
          <w:r w:rsidRPr="00DE05F4">
            <w:rPr>
              <w:rFonts w:ascii="Times New Roman" w:hAnsi="Times New Roman"/>
            </w:rPr>
            <w:t>United States</w:t>
          </w:r>
        </w:smartTag>
      </w:smartTag>
      <w:r w:rsidRPr="00DE05F4">
        <w:rPr>
          <w:rFonts w:ascii="Times New Roman" w:hAnsi="Times New Roman"/>
        </w:rPr>
        <w:t>, the common practice is annual cytology, either a Pap</w:t>
      </w:r>
      <w:r>
        <w:rPr>
          <w:rFonts w:ascii="Times New Roman" w:hAnsi="Times New Roman"/>
        </w:rPr>
        <w:t xml:space="preserve"> smear or liquid-based cytology.</w:t>
      </w:r>
      <w:r w:rsidRPr="00DE05F4">
        <w:rPr>
          <w:rFonts w:ascii="Times New Roman" w:hAnsi="Times New Roman"/>
        </w:rPr>
        <w:t xml:space="preserve"> </w:t>
      </w:r>
      <w:r>
        <w:rPr>
          <w:rFonts w:ascii="Times New Roman" w:hAnsi="Times New Roman"/>
        </w:rPr>
        <w:t>S</w:t>
      </w:r>
      <w:r w:rsidRPr="00DE05F4">
        <w:rPr>
          <w:rFonts w:ascii="Times New Roman" w:hAnsi="Times New Roman"/>
        </w:rPr>
        <w:t>ome questions</w:t>
      </w:r>
      <w:r>
        <w:rPr>
          <w:rFonts w:ascii="Times New Roman" w:hAnsi="Times New Roman"/>
        </w:rPr>
        <w:t xml:space="preserve"> have been raised</w:t>
      </w:r>
      <w:r w:rsidRPr="00DE05F4">
        <w:rPr>
          <w:rFonts w:ascii="Times New Roman" w:hAnsi="Times New Roman"/>
        </w:rPr>
        <w:t xml:space="preserve"> r</w:t>
      </w:r>
      <w:r>
        <w:rPr>
          <w:rFonts w:ascii="Times New Roman" w:hAnsi="Times New Roman"/>
        </w:rPr>
        <w:t xml:space="preserve">egarding the acceptability of </w:t>
      </w:r>
      <w:r w:rsidRPr="00DE05F4">
        <w:rPr>
          <w:rFonts w:ascii="Times New Roman" w:hAnsi="Times New Roman"/>
        </w:rPr>
        <w:t xml:space="preserve">longer screening intervals among those at low risk of disease. Several European prospective studies are examining the acceptability of HPV testing and increasing the screening interval. However, there are no current studies in the </w:t>
      </w:r>
      <w:smartTag w:uri="urn:schemas-microsoft-com:office:smarttags" w:element="place">
        <w:smartTag w:uri="urn:schemas-microsoft-com:office:smarttags" w:element="country-region">
          <w:r w:rsidRPr="00DE05F4">
            <w:rPr>
              <w:rFonts w:ascii="Times New Roman" w:hAnsi="Times New Roman"/>
            </w:rPr>
            <w:t>U.S.</w:t>
          </w:r>
        </w:smartTag>
      </w:smartTag>
      <w:r w:rsidRPr="00DE05F4">
        <w:rPr>
          <w:rFonts w:ascii="Times New Roman" w:hAnsi="Times New Roman"/>
        </w:rPr>
        <w:t xml:space="preserve"> performed in a real-life setting among women who are racially/ethnically diverse. </w:t>
      </w:r>
    </w:p>
    <w:p w:rsidR="00F10E0E" w:rsidRDefault="00F10E0E" w:rsidP="00665645">
      <w:pPr>
        <w:widowControl/>
        <w:rPr>
          <w:rFonts w:ascii="Times New Roman" w:hAnsi="Times New Roman"/>
        </w:rPr>
      </w:pPr>
    </w:p>
    <w:p w:rsidR="00DE05F4" w:rsidRPr="00DE05F4" w:rsidRDefault="00DE05F4" w:rsidP="00665645">
      <w:pPr>
        <w:widowControl/>
        <w:rPr>
          <w:rFonts w:ascii="Times New Roman" w:hAnsi="Times New Roman"/>
        </w:rPr>
      </w:pPr>
      <w:r w:rsidRPr="00DE05F4">
        <w:rPr>
          <w:rFonts w:ascii="Times New Roman" w:hAnsi="Times New Roman"/>
        </w:rPr>
        <w:t xml:space="preserve">The use of the HPV DNA test in conjunction with cervical cytology is </w:t>
      </w:r>
      <w:r>
        <w:rPr>
          <w:rFonts w:ascii="Times New Roman" w:hAnsi="Times New Roman"/>
        </w:rPr>
        <w:t xml:space="preserve">advocated </w:t>
      </w:r>
      <w:r w:rsidRPr="00DE05F4">
        <w:rPr>
          <w:rFonts w:ascii="Times New Roman" w:hAnsi="Times New Roman"/>
        </w:rPr>
        <w:t>based on the very high negative predictor value of the combined HPV DNA plus Pap test, usually 99.9 to 100 percent</w:t>
      </w:r>
      <w:r w:rsidR="00F56961">
        <w:rPr>
          <w:rFonts w:ascii="Times New Roman" w:hAnsi="Times New Roman"/>
        </w:rPr>
        <w:t xml:space="preserve"> (</w:t>
      </w:r>
      <w:proofErr w:type="spellStart"/>
      <w:r w:rsidR="00F56961">
        <w:rPr>
          <w:rFonts w:ascii="Times New Roman" w:hAnsi="Times New Roman"/>
        </w:rPr>
        <w:t>Lorinc</w:t>
      </w:r>
      <w:r w:rsidR="00C1192B">
        <w:rPr>
          <w:rFonts w:ascii="Times New Roman" w:hAnsi="Times New Roman"/>
        </w:rPr>
        <w:t>z</w:t>
      </w:r>
      <w:proofErr w:type="spellEnd"/>
      <w:r w:rsidR="00C1192B">
        <w:rPr>
          <w:rFonts w:ascii="Times New Roman" w:hAnsi="Times New Roman"/>
        </w:rPr>
        <w:t xml:space="preserve"> and </w:t>
      </w:r>
      <w:proofErr w:type="spellStart"/>
      <w:r w:rsidR="00C1192B">
        <w:rPr>
          <w:rFonts w:ascii="Times New Roman" w:hAnsi="Times New Roman"/>
        </w:rPr>
        <w:t>Richart</w:t>
      </w:r>
      <w:proofErr w:type="spellEnd"/>
      <w:r w:rsidR="00C1192B">
        <w:rPr>
          <w:rFonts w:ascii="Times New Roman" w:hAnsi="Times New Roman"/>
        </w:rPr>
        <w:t>, 2003)</w:t>
      </w:r>
      <w:r w:rsidRPr="00DE05F4">
        <w:rPr>
          <w:rFonts w:ascii="Times New Roman" w:hAnsi="Times New Roman"/>
        </w:rPr>
        <w:t>.</w:t>
      </w:r>
      <w:r>
        <w:rPr>
          <w:rFonts w:ascii="Times New Roman" w:hAnsi="Times New Roman"/>
        </w:rPr>
        <w:t xml:space="preserve"> </w:t>
      </w:r>
      <w:r w:rsidRPr="00DE05F4">
        <w:rPr>
          <w:rFonts w:ascii="Times New Roman" w:hAnsi="Times New Roman"/>
        </w:rPr>
        <w:t>The HPV DNA test has been proved to be reproducible, and is simple to perform</w:t>
      </w:r>
      <w:r w:rsidR="000E5875">
        <w:rPr>
          <w:rFonts w:ascii="Times New Roman" w:hAnsi="Times New Roman"/>
        </w:rPr>
        <w:t xml:space="preserve"> (</w:t>
      </w:r>
      <w:proofErr w:type="spellStart"/>
      <w:r w:rsidR="000E5875">
        <w:rPr>
          <w:rFonts w:ascii="Times New Roman" w:hAnsi="Times New Roman"/>
        </w:rPr>
        <w:t>Ratnam</w:t>
      </w:r>
      <w:proofErr w:type="spellEnd"/>
      <w:r w:rsidR="000E5875">
        <w:rPr>
          <w:rFonts w:ascii="Times New Roman" w:hAnsi="Times New Roman"/>
        </w:rPr>
        <w:t>, et al</w:t>
      </w:r>
      <w:r w:rsidR="00C1192B">
        <w:rPr>
          <w:rFonts w:ascii="Times New Roman" w:hAnsi="Times New Roman"/>
        </w:rPr>
        <w:t>, 2000)</w:t>
      </w:r>
      <w:r w:rsidRPr="00DE05F4">
        <w:rPr>
          <w:rFonts w:ascii="Times New Roman" w:hAnsi="Times New Roman"/>
        </w:rPr>
        <w:t xml:space="preserve">. One benefit to using HPV testing </w:t>
      </w:r>
      <w:r w:rsidR="00EE7B10">
        <w:rPr>
          <w:rFonts w:ascii="Times New Roman" w:hAnsi="Times New Roman"/>
        </w:rPr>
        <w:t>with</w:t>
      </w:r>
      <w:r w:rsidRPr="00DE05F4">
        <w:rPr>
          <w:rFonts w:ascii="Times New Roman" w:hAnsi="Times New Roman"/>
        </w:rPr>
        <w:t xml:space="preserve"> cervical cytology for screening women is that it identifies not only women with concurrent cervical disease, but also those at risk of developing disease in the future</w:t>
      </w:r>
      <w:r w:rsidR="00C1192B">
        <w:rPr>
          <w:rFonts w:ascii="Times New Roman" w:hAnsi="Times New Roman"/>
        </w:rPr>
        <w:t xml:space="preserve"> (</w:t>
      </w:r>
      <w:r w:rsidR="000E5875">
        <w:rPr>
          <w:rFonts w:ascii="Times New Roman" w:hAnsi="Times New Roman"/>
        </w:rPr>
        <w:t>Wright, et al</w:t>
      </w:r>
      <w:r w:rsidR="0057299F">
        <w:rPr>
          <w:rFonts w:ascii="Times New Roman" w:hAnsi="Times New Roman"/>
        </w:rPr>
        <w:t xml:space="preserve">, </w:t>
      </w:r>
      <w:r w:rsidR="00C1192B">
        <w:rPr>
          <w:rFonts w:ascii="Times New Roman" w:hAnsi="Times New Roman"/>
        </w:rPr>
        <w:t>2004)</w:t>
      </w:r>
      <w:r w:rsidRPr="00DE05F4">
        <w:rPr>
          <w:rFonts w:ascii="Times New Roman" w:hAnsi="Times New Roman"/>
        </w:rPr>
        <w:t>.</w:t>
      </w:r>
      <w:r>
        <w:rPr>
          <w:rFonts w:ascii="Times New Roman" w:hAnsi="Times New Roman"/>
        </w:rPr>
        <w:t xml:space="preserve"> Because of the</w:t>
      </w:r>
      <w:r w:rsidRPr="00DE05F4">
        <w:rPr>
          <w:rFonts w:ascii="Times New Roman" w:hAnsi="Times New Roman"/>
        </w:rPr>
        <w:t xml:space="preserve"> large number of women with low-grade Pap tests who are HPV negative </w:t>
      </w:r>
      <w:r>
        <w:rPr>
          <w:rFonts w:ascii="Times New Roman" w:hAnsi="Times New Roman"/>
        </w:rPr>
        <w:t xml:space="preserve">and thus </w:t>
      </w:r>
      <w:r w:rsidRPr="00DE05F4">
        <w:rPr>
          <w:rFonts w:ascii="Times New Roman" w:hAnsi="Times New Roman"/>
        </w:rPr>
        <w:t xml:space="preserve">at lower risk of cervical </w:t>
      </w:r>
      <w:proofErr w:type="spellStart"/>
      <w:r w:rsidRPr="00DE05F4">
        <w:rPr>
          <w:rFonts w:ascii="Times New Roman" w:hAnsi="Times New Roman"/>
        </w:rPr>
        <w:t>precancer</w:t>
      </w:r>
      <w:proofErr w:type="spellEnd"/>
      <w:r w:rsidRPr="00DE05F4">
        <w:rPr>
          <w:rFonts w:ascii="Times New Roman" w:hAnsi="Times New Roman"/>
        </w:rPr>
        <w:t xml:space="preserve"> and cancer</w:t>
      </w:r>
      <w:r>
        <w:rPr>
          <w:rFonts w:ascii="Times New Roman" w:hAnsi="Times New Roman"/>
        </w:rPr>
        <w:t>, the opportunity is present to safely mange these women</w:t>
      </w:r>
      <w:r w:rsidRPr="00DE05F4">
        <w:rPr>
          <w:rFonts w:ascii="Times New Roman" w:hAnsi="Times New Roman"/>
        </w:rPr>
        <w:t xml:space="preserve"> with a less intensive follow-up</w:t>
      </w:r>
      <w:r>
        <w:rPr>
          <w:rFonts w:ascii="Times New Roman" w:hAnsi="Times New Roman"/>
        </w:rPr>
        <w:t>.</w:t>
      </w:r>
      <w:r w:rsidRPr="00DE05F4">
        <w:rPr>
          <w:rFonts w:ascii="Times New Roman" w:hAnsi="Times New Roman"/>
        </w:rPr>
        <w:t xml:space="preserve"> </w:t>
      </w:r>
    </w:p>
    <w:p w:rsidR="00F270D0" w:rsidRPr="00DE05F4" w:rsidRDefault="00F270D0" w:rsidP="00665645">
      <w:pPr>
        <w:rPr>
          <w:rFonts w:ascii="Times New Roman" w:hAnsi="Times New Roman"/>
        </w:rPr>
      </w:pPr>
    </w:p>
    <w:p w:rsidR="00DE05F4" w:rsidRPr="00DE05F4" w:rsidRDefault="00353EF4" w:rsidP="00665645">
      <w:pPr>
        <w:rPr>
          <w:rFonts w:ascii="Times New Roman" w:hAnsi="Times New Roman"/>
          <w:b/>
        </w:rPr>
      </w:pPr>
      <w:r>
        <w:rPr>
          <w:rFonts w:ascii="Times New Roman" w:hAnsi="Times New Roman"/>
        </w:rPr>
        <w:t>In recent studies it</w:t>
      </w:r>
      <w:r w:rsidR="00DE05F4" w:rsidRPr="00DE05F4">
        <w:rPr>
          <w:rFonts w:ascii="Times New Roman" w:hAnsi="Times New Roman"/>
        </w:rPr>
        <w:t xml:space="preserve"> has been reported that conventional Pap tests are only about 50-60 percent sensitive in detecting high-grade CIN and cervical cancer, and are less sensitive for lower-grade lesions</w:t>
      </w:r>
      <w:r w:rsidR="0057299F">
        <w:rPr>
          <w:rFonts w:ascii="Times New Roman" w:hAnsi="Times New Roman"/>
        </w:rPr>
        <w:t xml:space="preserve"> (Nanda,</w:t>
      </w:r>
      <w:r w:rsidR="00C1192B">
        <w:rPr>
          <w:rFonts w:ascii="Times New Roman" w:hAnsi="Times New Roman"/>
        </w:rPr>
        <w:t xml:space="preserve"> et al, 2000; Fahey, </w:t>
      </w:r>
      <w:proofErr w:type="spellStart"/>
      <w:r w:rsidR="00C1192B">
        <w:rPr>
          <w:rFonts w:ascii="Times New Roman" w:hAnsi="Times New Roman"/>
        </w:rPr>
        <w:t>Irwig</w:t>
      </w:r>
      <w:proofErr w:type="spellEnd"/>
      <w:r w:rsidR="00C1192B">
        <w:rPr>
          <w:rFonts w:ascii="Times New Roman" w:hAnsi="Times New Roman"/>
        </w:rPr>
        <w:t xml:space="preserve">, and </w:t>
      </w:r>
      <w:proofErr w:type="spellStart"/>
      <w:r w:rsidR="00C1192B">
        <w:rPr>
          <w:rFonts w:ascii="Times New Roman" w:hAnsi="Times New Roman"/>
        </w:rPr>
        <w:t>Macaskill</w:t>
      </w:r>
      <w:proofErr w:type="spellEnd"/>
      <w:r w:rsidR="00C1192B">
        <w:rPr>
          <w:rFonts w:ascii="Times New Roman" w:hAnsi="Times New Roman"/>
        </w:rPr>
        <w:t>, 1995).</w:t>
      </w:r>
      <w:r w:rsidR="00DE05F4" w:rsidRPr="00DE05F4">
        <w:rPr>
          <w:rFonts w:ascii="Times New Roman" w:hAnsi="Times New Roman"/>
        </w:rPr>
        <w:t xml:space="preserve"> Because of this lower sensitivity, the Pap test needs to be repeated with great regularity to necessitate effectiveness. Because of occasional pathology misdiagnoses and consequential possible Pap test litigation, it is vital to have a screening test that can discriminate between patients with and without cervical </w:t>
      </w:r>
      <w:proofErr w:type="spellStart"/>
      <w:r w:rsidR="00DE05F4" w:rsidRPr="00DE05F4">
        <w:rPr>
          <w:rFonts w:ascii="Times New Roman" w:hAnsi="Times New Roman"/>
        </w:rPr>
        <w:t>neoplasia</w:t>
      </w:r>
      <w:proofErr w:type="spellEnd"/>
      <w:r w:rsidR="00DE05F4" w:rsidRPr="00DE05F4">
        <w:rPr>
          <w:rFonts w:ascii="Times New Roman" w:hAnsi="Times New Roman"/>
        </w:rPr>
        <w:t>, and those patients that are at risk for developing disease</w:t>
      </w:r>
      <w:r w:rsidR="00C1192B">
        <w:rPr>
          <w:rFonts w:ascii="Times New Roman" w:hAnsi="Times New Roman"/>
        </w:rPr>
        <w:t xml:space="preserve"> (</w:t>
      </w:r>
      <w:proofErr w:type="spellStart"/>
      <w:r w:rsidR="00C1192B">
        <w:rPr>
          <w:rFonts w:ascii="Times New Roman" w:hAnsi="Times New Roman"/>
        </w:rPr>
        <w:t>Lorinez</w:t>
      </w:r>
      <w:proofErr w:type="spellEnd"/>
      <w:r w:rsidR="00C1192B">
        <w:rPr>
          <w:rFonts w:ascii="Times New Roman" w:hAnsi="Times New Roman"/>
        </w:rPr>
        <w:t xml:space="preserve"> and </w:t>
      </w:r>
      <w:proofErr w:type="spellStart"/>
      <w:r w:rsidR="00C1192B">
        <w:rPr>
          <w:rFonts w:ascii="Times New Roman" w:hAnsi="Times New Roman"/>
        </w:rPr>
        <w:t>Richart</w:t>
      </w:r>
      <w:proofErr w:type="spellEnd"/>
      <w:r w:rsidR="00C1192B">
        <w:rPr>
          <w:rFonts w:ascii="Times New Roman" w:hAnsi="Times New Roman"/>
        </w:rPr>
        <w:t>, 2003)</w:t>
      </w:r>
      <w:r w:rsidR="00DE05F4" w:rsidRPr="00DE05F4">
        <w:rPr>
          <w:rFonts w:ascii="Times New Roman" w:hAnsi="Times New Roman"/>
        </w:rPr>
        <w:t xml:space="preserve">. However, most women who develop cervical cancer do so because of lack of screening rather than errors in </w:t>
      </w:r>
      <w:proofErr w:type="spellStart"/>
      <w:r w:rsidR="00DE05F4" w:rsidRPr="00DE05F4">
        <w:rPr>
          <w:rFonts w:ascii="Times New Roman" w:hAnsi="Times New Roman"/>
        </w:rPr>
        <w:t>cytodiagnosis</w:t>
      </w:r>
      <w:proofErr w:type="spellEnd"/>
      <w:r w:rsidR="0057299F">
        <w:rPr>
          <w:rFonts w:ascii="Times New Roman" w:hAnsi="Times New Roman"/>
        </w:rPr>
        <w:t xml:space="preserve"> (Nanda,</w:t>
      </w:r>
      <w:r w:rsidR="00C1192B">
        <w:rPr>
          <w:rFonts w:ascii="Times New Roman" w:hAnsi="Times New Roman"/>
        </w:rPr>
        <w:t xml:space="preserve"> et al, 2000)</w:t>
      </w:r>
      <w:r w:rsidR="00DE05F4" w:rsidRPr="00DE05F4">
        <w:rPr>
          <w:rFonts w:ascii="Times New Roman" w:hAnsi="Times New Roman"/>
        </w:rPr>
        <w:t xml:space="preserve">. The combination of HPV and Pap tests avoids the greatest number of invasive cervical cancer cases and deaths, measured </w:t>
      </w:r>
      <w:proofErr w:type="spellStart"/>
      <w:r w:rsidR="00DE05F4" w:rsidRPr="00DE05F4">
        <w:rPr>
          <w:rFonts w:ascii="Times New Roman" w:hAnsi="Times New Roman"/>
        </w:rPr>
        <w:t>biennually</w:t>
      </w:r>
      <w:proofErr w:type="spellEnd"/>
      <w:r w:rsidR="000E5875">
        <w:rPr>
          <w:rFonts w:ascii="Times New Roman" w:hAnsi="Times New Roman"/>
        </w:rPr>
        <w:t xml:space="preserve"> (</w:t>
      </w:r>
      <w:proofErr w:type="spellStart"/>
      <w:r w:rsidR="000E5875">
        <w:rPr>
          <w:rFonts w:ascii="Times New Roman" w:hAnsi="Times New Roman"/>
        </w:rPr>
        <w:t>Mandelblatt</w:t>
      </w:r>
      <w:proofErr w:type="spellEnd"/>
      <w:r w:rsidR="000E5875">
        <w:rPr>
          <w:rFonts w:ascii="Times New Roman" w:hAnsi="Times New Roman"/>
        </w:rPr>
        <w:t xml:space="preserve">, </w:t>
      </w:r>
      <w:r w:rsidR="00C1192B">
        <w:rPr>
          <w:rFonts w:ascii="Times New Roman" w:hAnsi="Times New Roman"/>
        </w:rPr>
        <w:t>et al, 2002)</w:t>
      </w:r>
      <w:r w:rsidR="00DE05F4" w:rsidRPr="00DE05F4">
        <w:rPr>
          <w:rFonts w:ascii="Times New Roman" w:hAnsi="Times New Roman"/>
        </w:rPr>
        <w:t xml:space="preserve">.  </w:t>
      </w:r>
    </w:p>
    <w:p w:rsidR="00F10E0E" w:rsidRPr="00F10E0E" w:rsidRDefault="00F10E0E" w:rsidP="00665645">
      <w:pPr>
        <w:rPr>
          <w:rFonts w:ascii="Times New Roman" w:hAnsi="Times New Roman"/>
          <w:u w:val="single"/>
        </w:rPr>
      </w:pPr>
    </w:p>
    <w:p w:rsidR="00F10E0E" w:rsidRPr="00F10E0E" w:rsidRDefault="00F10E0E" w:rsidP="00665645">
      <w:pPr>
        <w:rPr>
          <w:rFonts w:ascii="Times New Roman" w:hAnsi="Times New Roman"/>
        </w:rPr>
      </w:pPr>
      <w:r w:rsidRPr="00F10E0E">
        <w:rPr>
          <w:rFonts w:ascii="Times New Roman" w:hAnsi="Times New Roman"/>
        </w:rPr>
        <w:t xml:space="preserve">Previous studies have indicated that multi-component interventions that target both the patient and provider have been successful in achieving objectives and goals for improved cancer screening coverage and increase in knowledge </w:t>
      </w:r>
      <w:r w:rsidR="00E715A5">
        <w:rPr>
          <w:rFonts w:ascii="Times New Roman" w:hAnsi="Times New Roman"/>
        </w:rPr>
        <w:t>(</w:t>
      </w:r>
      <w:proofErr w:type="spellStart"/>
      <w:r w:rsidR="00E715A5">
        <w:rPr>
          <w:rFonts w:ascii="Times New Roman" w:hAnsi="Times New Roman"/>
        </w:rPr>
        <w:t>Curb</w:t>
      </w:r>
      <w:r w:rsidR="000E5875">
        <w:rPr>
          <w:rFonts w:ascii="Times New Roman" w:hAnsi="Times New Roman"/>
        </w:rPr>
        <w:t>ow</w:t>
      </w:r>
      <w:proofErr w:type="spellEnd"/>
      <w:r w:rsidR="000E5875">
        <w:rPr>
          <w:rFonts w:ascii="Times New Roman" w:hAnsi="Times New Roman"/>
        </w:rPr>
        <w:t>, et al</w:t>
      </w:r>
      <w:r w:rsidR="00E715A5">
        <w:rPr>
          <w:rFonts w:ascii="Times New Roman" w:hAnsi="Times New Roman"/>
        </w:rPr>
        <w:t>, 20</w:t>
      </w:r>
      <w:r w:rsidR="000E5875">
        <w:rPr>
          <w:rFonts w:ascii="Times New Roman" w:hAnsi="Times New Roman"/>
        </w:rPr>
        <w:t xml:space="preserve">04; </w:t>
      </w:r>
      <w:proofErr w:type="spellStart"/>
      <w:r w:rsidR="000E5875">
        <w:rPr>
          <w:rFonts w:ascii="Times New Roman" w:hAnsi="Times New Roman"/>
        </w:rPr>
        <w:t>Dignan</w:t>
      </w:r>
      <w:proofErr w:type="spellEnd"/>
      <w:r w:rsidR="000E5875">
        <w:rPr>
          <w:rFonts w:ascii="Times New Roman" w:hAnsi="Times New Roman"/>
        </w:rPr>
        <w:t>, et al, 1994; Jenkins,</w:t>
      </w:r>
      <w:r w:rsidR="00E715A5">
        <w:rPr>
          <w:rFonts w:ascii="Times New Roman" w:hAnsi="Times New Roman"/>
        </w:rPr>
        <w:t xml:space="preserve"> et al</w:t>
      </w:r>
      <w:r w:rsidR="000E5875">
        <w:rPr>
          <w:rFonts w:ascii="Times New Roman" w:hAnsi="Times New Roman"/>
        </w:rPr>
        <w:t xml:space="preserve">, 1999; Taylor, </w:t>
      </w:r>
      <w:r w:rsidR="00E715A5">
        <w:rPr>
          <w:rFonts w:ascii="Times New Roman" w:hAnsi="Times New Roman"/>
        </w:rPr>
        <w:t>et al, 2002; D</w:t>
      </w:r>
      <w:r w:rsidR="000E5875">
        <w:rPr>
          <w:rFonts w:ascii="Times New Roman" w:hAnsi="Times New Roman"/>
        </w:rPr>
        <w:t xml:space="preserve">ietrich, </w:t>
      </w:r>
      <w:r w:rsidR="00E715A5">
        <w:rPr>
          <w:rFonts w:ascii="Times New Roman" w:hAnsi="Times New Roman"/>
        </w:rPr>
        <w:t>et al,</w:t>
      </w:r>
      <w:r w:rsidR="000E5875">
        <w:rPr>
          <w:rFonts w:ascii="Times New Roman" w:hAnsi="Times New Roman"/>
        </w:rPr>
        <w:t xml:space="preserve"> 1989; Shelley, et al, 1991; Suarez, et al</w:t>
      </w:r>
      <w:r w:rsidR="00E715A5">
        <w:rPr>
          <w:rFonts w:ascii="Times New Roman" w:hAnsi="Times New Roman"/>
        </w:rPr>
        <w:t>, 1993).</w:t>
      </w:r>
      <w:r w:rsidRPr="00F10E0E">
        <w:rPr>
          <w:rFonts w:ascii="Times New Roman" w:hAnsi="Times New Roman"/>
        </w:rPr>
        <w:t xml:space="preserve"> A study published in 2006 implemented in rural Arkansas to influence primary care provider’s cancer screening practices in medically underserved and rural areas cited using </w:t>
      </w:r>
      <w:r w:rsidRPr="00F10E0E">
        <w:rPr>
          <w:rFonts w:ascii="Times New Roman" w:hAnsi="Times New Roman"/>
        </w:rPr>
        <w:lastRenderedPageBreak/>
        <w:t xml:space="preserve">academic detailing, </w:t>
      </w:r>
      <w:r w:rsidR="00C20DFB">
        <w:rPr>
          <w:rFonts w:ascii="Times New Roman" w:hAnsi="Times New Roman"/>
        </w:rPr>
        <w:t xml:space="preserve">which is </w:t>
      </w:r>
      <w:r w:rsidRPr="00F10E0E">
        <w:rPr>
          <w:rFonts w:ascii="Times New Roman" w:hAnsi="Times New Roman"/>
        </w:rPr>
        <w:t>physician education to assure accurate screening guideline knowledge; patient education to increase awareness of risk factors and regular screening; and patient generated screening questionnaires to prompt discussion between patients and providers to improve screening among the underserved. Academic detailing visits between the provider and a retired physician occurred every 6-8 weeks to reinforce expected behavior led to an increase in physician knowledge about cancer screening. For the patient education component, education centers were created in the waiting areas including brochures and a 45 minute video and patient interviews indicated increased knowledge led to increased intent to receive preventive cancer screening. Results from the education intervention for the physician found a 100% correct response rate upon post-testing from the academic detailing sessions with the physician educator. This study illustrates that the inclusion of health care providers is vital to reducing health disparities</w:t>
      </w:r>
      <w:r w:rsidR="000E5875">
        <w:rPr>
          <w:rFonts w:ascii="Times New Roman" w:hAnsi="Times New Roman"/>
        </w:rPr>
        <w:t xml:space="preserve"> (Rutledge, </w:t>
      </w:r>
      <w:r w:rsidR="00E715A5">
        <w:rPr>
          <w:rFonts w:ascii="Times New Roman" w:hAnsi="Times New Roman"/>
        </w:rPr>
        <w:t>et al, 2006)</w:t>
      </w:r>
      <w:r w:rsidRPr="00F10E0E">
        <w:rPr>
          <w:rFonts w:ascii="Times New Roman" w:hAnsi="Times New Roman"/>
        </w:rPr>
        <w:t xml:space="preserve">. </w:t>
      </w:r>
      <w:r w:rsidR="00B8538A">
        <w:rPr>
          <w:rFonts w:ascii="Times New Roman" w:hAnsi="Times New Roman"/>
        </w:rPr>
        <w:t xml:space="preserve"> </w:t>
      </w:r>
      <w:r w:rsidR="003012F2">
        <w:rPr>
          <w:rFonts w:ascii="Times New Roman" w:hAnsi="Times New Roman"/>
        </w:rPr>
        <w:t>However, none of the</w:t>
      </w:r>
      <w:r w:rsidR="00B8538A">
        <w:rPr>
          <w:rFonts w:ascii="Times New Roman" w:hAnsi="Times New Roman"/>
        </w:rPr>
        <w:t xml:space="preserve"> studies </w:t>
      </w:r>
      <w:r w:rsidR="003012F2">
        <w:rPr>
          <w:rFonts w:ascii="Times New Roman" w:hAnsi="Times New Roman"/>
        </w:rPr>
        <w:t xml:space="preserve">cited above </w:t>
      </w:r>
      <w:r w:rsidR="00B8538A">
        <w:rPr>
          <w:rFonts w:ascii="Times New Roman" w:hAnsi="Times New Roman"/>
        </w:rPr>
        <w:t>have examined the extent to which patient and provider education is effective in changing attitudes and behavior regarding HPV DNA testing in a low income, uninsured group of women</w:t>
      </w:r>
      <w:r w:rsidR="003012F2">
        <w:rPr>
          <w:rFonts w:ascii="Times New Roman" w:hAnsi="Times New Roman"/>
        </w:rPr>
        <w:t>.</w:t>
      </w:r>
      <w:r w:rsidR="00B8538A">
        <w:rPr>
          <w:rFonts w:ascii="Times New Roman" w:hAnsi="Times New Roman"/>
        </w:rPr>
        <w:t xml:space="preserve"> </w:t>
      </w:r>
      <w:r w:rsidR="003012F2">
        <w:rPr>
          <w:rFonts w:ascii="Times New Roman" w:hAnsi="Times New Roman"/>
        </w:rPr>
        <w:t xml:space="preserve"> T</w:t>
      </w:r>
      <w:r w:rsidR="00B8538A">
        <w:rPr>
          <w:rFonts w:ascii="Times New Roman" w:hAnsi="Times New Roman"/>
        </w:rPr>
        <w:t xml:space="preserve">his pilot study is necessary to inform </w:t>
      </w:r>
      <w:r w:rsidR="0076700C">
        <w:rPr>
          <w:rFonts w:ascii="Times New Roman" w:hAnsi="Times New Roman"/>
        </w:rPr>
        <w:t xml:space="preserve">standards </w:t>
      </w:r>
      <w:r w:rsidR="00B8538A">
        <w:rPr>
          <w:rFonts w:ascii="Times New Roman" w:hAnsi="Times New Roman"/>
        </w:rPr>
        <w:t xml:space="preserve">for providing cervical cancer screening to </w:t>
      </w:r>
      <w:r w:rsidR="00E5186A">
        <w:rPr>
          <w:rFonts w:ascii="Times New Roman" w:hAnsi="Times New Roman"/>
        </w:rPr>
        <w:t>women served by the</w:t>
      </w:r>
      <w:r w:rsidR="00B8538A">
        <w:rPr>
          <w:rFonts w:ascii="Times New Roman" w:hAnsi="Times New Roman"/>
        </w:rPr>
        <w:t xml:space="preserve"> NBCCEDP</w:t>
      </w:r>
      <w:r w:rsidR="00B8538A" w:rsidRPr="00DE05F4">
        <w:rPr>
          <w:rFonts w:ascii="Times New Roman" w:hAnsi="Times New Roman"/>
        </w:rPr>
        <w:t>.</w:t>
      </w:r>
      <w:r w:rsidR="008F4BB7">
        <w:rPr>
          <w:rFonts w:ascii="Times New Roman" w:hAnsi="Times New Roman"/>
        </w:rPr>
        <w:t xml:space="preserve">  </w:t>
      </w:r>
    </w:p>
    <w:p w:rsidR="00F10E0E" w:rsidRPr="00232E88" w:rsidRDefault="00F10E0E" w:rsidP="00665645">
      <w:pPr>
        <w:rPr>
          <w:rFonts w:ascii="Times New Roman" w:hAnsi="Times New Roman"/>
        </w:rPr>
      </w:pPr>
    </w:p>
    <w:p w:rsidR="005C4A3D" w:rsidRPr="003C1CE4" w:rsidRDefault="00BE1546" w:rsidP="00665645">
      <w:pPr>
        <w:pStyle w:val="Head1"/>
        <w:spacing w:before="0" w:beforeAutospacing="0" w:after="0" w:afterAutospacing="0" w:line="240" w:lineRule="auto"/>
      </w:pPr>
      <w:bookmarkStart w:id="5" w:name="_Toc179609148"/>
      <w:r w:rsidRPr="003C1CE4">
        <w:t>A.5. Impact on Small Businesses or Other Small Entities</w:t>
      </w:r>
      <w:bookmarkEnd w:id="5"/>
    </w:p>
    <w:p w:rsidR="00665645" w:rsidRDefault="00665645" w:rsidP="00665645">
      <w:pPr>
        <w:pStyle w:val="NormalWeb"/>
        <w:spacing w:before="0" w:beforeAutospacing="0" w:after="0" w:afterAutospacing="0"/>
      </w:pPr>
    </w:p>
    <w:p w:rsidR="00BE1546" w:rsidRPr="003C1CE4" w:rsidRDefault="00BE1546" w:rsidP="00665645">
      <w:pPr>
        <w:pStyle w:val="NormalWeb"/>
        <w:spacing w:before="0" w:beforeAutospacing="0" w:after="0" w:afterAutospacing="0"/>
      </w:pPr>
      <w:r w:rsidRPr="003C1CE4">
        <w:t xml:space="preserve">No small businesses will be involved in this </w:t>
      </w:r>
      <w:r w:rsidR="00C26A77">
        <w:t>data collection</w:t>
      </w:r>
      <w:r w:rsidR="0065000A">
        <w:t>.</w:t>
      </w:r>
    </w:p>
    <w:p w:rsidR="0000510F" w:rsidRDefault="0000510F" w:rsidP="00665645">
      <w:pPr>
        <w:widowControl/>
        <w:rPr>
          <w:rFonts w:ascii="Times New Roman" w:hAnsi="Times New Roman"/>
          <w:b/>
        </w:rPr>
      </w:pPr>
      <w:bookmarkStart w:id="6" w:name="_Toc179609149"/>
    </w:p>
    <w:p w:rsidR="005E7A9F" w:rsidRDefault="00BE1546" w:rsidP="00665645">
      <w:pPr>
        <w:widowControl/>
        <w:rPr>
          <w:rFonts w:ascii="Times New Roman" w:hAnsi="Times New Roman"/>
          <w:b/>
        </w:rPr>
      </w:pPr>
      <w:r w:rsidRPr="00214A78">
        <w:rPr>
          <w:rFonts w:ascii="Times New Roman" w:hAnsi="Times New Roman"/>
          <w:b/>
        </w:rPr>
        <w:t>A.6.</w:t>
      </w:r>
      <w:bookmarkEnd w:id="6"/>
      <w:r w:rsidR="001947BF">
        <w:rPr>
          <w:rFonts w:ascii="Times New Roman" w:hAnsi="Times New Roman"/>
          <w:b/>
        </w:rPr>
        <w:t xml:space="preserve"> </w:t>
      </w:r>
      <w:r w:rsidR="00214A78" w:rsidRPr="00214A78">
        <w:rPr>
          <w:rFonts w:ascii="Times New Roman" w:hAnsi="Times New Roman"/>
          <w:b/>
        </w:rPr>
        <w:t>Consequence of Collecting the Information Less Frequently</w:t>
      </w:r>
    </w:p>
    <w:p w:rsidR="00214A78" w:rsidRPr="00214A78" w:rsidRDefault="00214A78" w:rsidP="00665645">
      <w:pPr>
        <w:widowControl/>
        <w:rPr>
          <w:rFonts w:ascii="Times New Roman" w:hAnsi="Times New Roman"/>
        </w:rPr>
      </w:pPr>
    </w:p>
    <w:p w:rsidR="001947BF" w:rsidRPr="001947BF" w:rsidRDefault="001947BF" w:rsidP="001947BF">
      <w:pPr>
        <w:rPr>
          <w:rFonts w:ascii="Times New Roman" w:hAnsi="Times New Roman"/>
        </w:rPr>
      </w:pPr>
      <w:bookmarkStart w:id="7" w:name="_Toc179609150"/>
      <w:r w:rsidRPr="001947BF">
        <w:rPr>
          <w:rFonts w:ascii="Times New Roman" w:hAnsi="Times New Roman"/>
        </w:rPr>
        <w:t xml:space="preserve">This request is for </w:t>
      </w:r>
      <w:r w:rsidR="00163607">
        <w:rPr>
          <w:rFonts w:ascii="Times New Roman" w:hAnsi="Times New Roman"/>
        </w:rPr>
        <w:t xml:space="preserve">continuation of </w:t>
      </w:r>
      <w:r w:rsidRPr="001947BF">
        <w:rPr>
          <w:rFonts w:ascii="Times New Roman" w:hAnsi="Times New Roman"/>
        </w:rPr>
        <w:t>a one</w:t>
      </w:r>
      <w:r w:rsidR="00163607">
        <w:rPr>
          <w:rFonts w:ascii="Times New Roman" w:hAnsi="Times New Roman"/>
        </w:rPr>
        <w:t>-</w:t>
      </w:r>
      <w:r w:rsidRPr="001947BF">
        <w:rPr>
          <w:rFonts w:ascii="Times New Roman" w:hAnsi="Times New Roman"/>
        </w:rPr>
        <w:t>time study</w:t>
      </w:r>
      <w:r>
        <w:rPr>
          <w:rFonts w:ascii="Times New Roman" w:hAnsi="Times New Roman"/>
        </w:rPr>
        <w:t xml:space="preserve"> that follows providers and patients in selected clinics for 3 years after enrollment. </w:t>
      </w:r>
      <w:r w:rsidRPr="001947BF">
        <w:rPr>
          <w:rFonts w:ascii="Times New Roman" w:hAnsi="Times New Roman"/>
        </w:rPr>
        <w:t>This i</w:t>
      </w:r>
      <w:r w:rsidR="0057299F">
        <w:rPr>
          <w:rFonts w:ascii="Times New Roman" w:hAnsi="Times New Roman"/>
        </w:rPr>
        <w:t>nformation is essential to inform</w:t>
      </w:r>
      <w:r w:rsidRPr="001947BF">
        <w:rPr>
          <w:rFonts w:ascii="Times New Roman" w:hAnsi="Times New Roman"/>
        </w:rPr>
        <w:t xml:space="preserve"> future CDC </w:t>
      </w:r>
      <w:r>
        <w:rPr>
          <w:rFonts w:ascii="Times New Roman" w:hAnsi="Times New Roman"/>
        </w:rPr>
        <w:t xml:space="preserve">reimbursement policies for the NBCCEDP. The duration of the study is necessary to </w:t>
      </w:r>
      <w:r w:rsidR="005255B3">
        <w:rPr>
          <w:rFonts w:ascii="Times New Roman" w:hAnsi="Times New Roman"/>
        </w:rPr>
        <w:t xml:space="preserve">answer the study questions related to screening intervals. Specifically, the study will answer </w:t>
      </w:r>
      <w:r w:rsidR="005255B3" w:rsidRPr="00D4071D">
        <w:rPr>
          <w:rFonts w:ascii="Times New Roman" w:hAnsi="Times New Roman"/>
        </w:rPr>
        <w:t>whether or not there is an increase in the cervical cancer screening interval to 3 years for women in the target age range with a normal Pap test and a negative HPV DNA test</w:t>
      </w:r>
      <w:r w:rsidR="005255B3">
        <w:rPr>
          <w:rFonts w:ascii="Times New Roman" w:hAnsi="Times New Roman"/>
        </w:rPr>
        <w:t>.</w:t>
      </w:r>
      <w:r w:rsidR="005255B3" w:rsidRPr="001947BF">
        <w:rPr>
          <w:rFonts w:ascii="Times New Roman" w:hAnsi="Times New Roman"/>
        </w:rPr>
        <w:t xml:space="preserve"> </w:t>
      </w:r>
      <w:r w:rsidR="008B0D32">
        <w:rPr>
          <w:rFonts w:ascii="Times New Roman" w:hAnsi="Times New Roman"/>
        </w:rPr>
        <w:t xml:space="preserve"> Responses to patient and provider follow-up surveys will be compared to responses to the baseline surveys</w:t>
      </w:r>
      <w:r w:rsidR="00A11161">
        <w:rPr>
          <w:rFonts w:ascii="Times New Roman" w:hAnsi="Times New Roman"/>
        </w:rPr>
        <w:t xml:space="preserve"> </w:t>
      </w:r>
      <w:r w:rsidR="005255B3">
        <w:rPr>
          <w:rFonts w:ascii="Times New Roman" w:hAnsi="Times New Roman"/>
        </w:rPr>
        <w:t>to assess changes in attitudes and behaviors related to cancer screening.</w:t>
      </w:r>
      <w:r w:rsidR="005348BA">
        <w:rPr>
          <w:rFonts w:ascii="Times New Roman" w:hAnsi="Times New Roman"/>
        </w:rPr>
        <w:t xml:space="preserve"> This level of follow up is required to answer the study questions and complete the analyses described in Section A</w:t>
      </w:r>
      <w:r w:rsidR="00C20DFB">
        <w:rPr>
          <w:rFonts w:ascii="Times New Roman" w:hAnsi="Times New Roman"/>
        </w:rPr>
        <w:t>.</w:t>
      </w:r>
      <w:r w:rsidR="005348BA">
        <w:rPr>
          <w:rFonts w:ascii="Times New Roman" w:hAnsi="Times New Roman"/>
        </w:rPr>
        <w:t>16</w:t>
      </w:r>
      <w:r w:rsidR="006D29DD">
        <w:rPr>
          <w:rFonts w:ascii="Times New Roman" w:hAnsi="Times New Roman"/>
        </w:rPr>
        <w:t xml:space="preserve"> (Plans for Tabulation and Publication and Project Time Schedule)</w:t>
      </w:r>
      <w:r w:rsidR="005348BA">
        <w:rPr>
          <w:rFonts w:ascii="Times New Roman" w:hAnsi="Times New Roman"/>
        </w:rPr>
        <w:t>.</w:t>
      </w:r>
      <w:r w:rsidR="005255B3">
        <w:rPr>
          <w:rFonts w:ascii="Times New Roman" w:hAnsi="Times New Roman"/>
        </w:rPr>
        <w:t xml:space="preserve"> </w:t>
      </w:r>
      <w:r w:rsidRPr="001947BF">
        <w:rPr>
          <w:rFonts w:ascii="Times New Roman" w:hAnsi="Times New Roman"/>
        </w:rPr>
        <w:t>There are no legal obstacles to reduce the burden.</w:t>
      </w:r>
      <w:r w:rsidR="008F4BB7">
        <w:rPr>
          <w:rFonts w:ascii="Times New Roman" w:hAnsi="Times New Roman"/>
        </w:rPr>
        <w:t xml:space="preserve"> </w:t>
      </w:r>
    </w:p>
    <w:p w:rsidR="00232E88" w:rsidRPr="001947BF" w:rsidRDefault="00232E88" w:rsidP="00665645">
      <w:pPr>
        <w:pStyle w:val="Head1"/>
        <w:spacing w:before="0" w:beforeAutospacing="0" w:after="0" w:afterAutospacing="0" w:line="240" w:lineRule="auto"/>
      </w:pPr>
    </w:p>
    <w:p w:rsidR="005E7A9F" w:rsidRPr="00AF7F72" w:rsidRDefault="003E798F" w:rsidP="00665645">
      <w:pPr>
        <w:pStyle w:val="Head1"/>
        <w:spacing w:before="0" w:beforeAutospacing="0" w:after="0" w:afterAutospacing="0" w:line="240" w:lineRule="auto"/>
      </w:pPr>
      <w:r>
        <w:t xml:space="preserve">A.7. </w:t>
      </w:r>
      <w:r w:rsidR="005E7A9F" w:rsidRPr="003C1CE4">
        <w:t>Special Circumstances Relating to the Guidelines of 5 CFR 1320.5</w:t>
      </w:r>
      <w:bookmarkEnd w:id="7"/>
    </w:p>
    <w:p w:rsidR="00665645" w:rsidRDefault="00665645" w:rsidP="00665645">
      <w:pPr>
        <w:widowControl/>
        <w:tabs>
          <w:tab w:val="left" w:pos="-1440"/>
        </w:tabs>
        <w:rPr>
          <w:rFonts w:ascii="Times New Roman" w:hAnsi="Times New Roman"/>
        </w:rPr>
      </w:pPr>
    </w:p>
    <w:p w:rsidR="00665645" w:rsidRPr="0018082E" w:rsidRDefault="005E7A9F" w:rsidP="0018082E">
      <w:pPr>
        <w:widowControl/>
        <w:tabs>
          <w:tab w:val="left" w:pos="-1440"/>
        </w:tabs>
        <w:rPr>
          <w:rFonts w:ascii="Times New Roman" w:hAnsi="Times New Roman"/>
        </w:rPr>
      </w:pPr>
      <w:r w:rsidRPr="0018082E">
        <w:rPr>
          <w:rFonts w:ascii="Times New Roman" w:hAnsi="Times New Roman"/>
        </w:rPr>
        <w:t xml:space="preserve">This </w:t>
      </w:r>
      <w:r w:rsidR="0018082E" w:rsidRPr="0018082E">
        <w:rPr>
          <w:rFonts w:ascii="Times New Roman" w:hAnsi="Times New Roman"/>
        </w:rPr>
        <w:t>request</w:t>
      </w:r>
      <w:r w:rsidRPr="0018082E">
        <w:rPr>
          <w:rFonts w:ascii="Times New Roman" w:hAnsi="Times New Roman"/>
        </w:rPr>
        <w:t xml:space="preserve"> </w:t>
      </w:r>
      <w:r w:rsidR="0018082E" w:rsidRPr="0018082E">
        <w:rPr>
          <w:rFonts w:ascii="Times New Roman" w:hAnsi="Times New Roman"/>
        </w:rPr>
        <w:t xml:space="preserve">fully </w:t>
      </w:r>
      <w:r w:rsidRPr="0018082E">
        <w:rPr>
          <w:rFonts w:ascii="Times New Roman" w:hAnsi="Times New Roman"/>
        </w:rPr>
        <w:t>complies with t</w:t>
      </w:r>
      <w:r w:rsidR="00B24C5F" w:rsidRPr="0018082E">
        <w:rPr>
          <w:rFonts w:ascii="Times New Roman" w:hAnsi="Times New Roman"/>
        </w:rPr>
        <w:t xml:space="preserve">he </w:t>
      </w:r>
      <w:r w:rsidR="0018082E" w:rsidRPr="0018082E">
        <w:rPr>
          <w:rFonts w:ascii="Times New Roman" w:hAnsi="Times New Roman"/>
        </w:rPr>
        <w:t>regulations</w:t>
      </w:r>
      <w:r w:rsidR="00B24C5F" w:rsidRPr="0018082E">
        <w:rPr>
          <w:rFonts w:ascii="Times New Roman" w:hAnsi="Times New Roman"/>
        </w:rPr>
        <w:t xml:space="preserve"> 5 CFR 1320.5. </w:t>
      </w:r>
      <w:bookmarkStart w:id="8" w:name="_Toc179609151"/>
    </w:p>
    <w:p w:rsidR="0018082E" w:rsidRDefault="0018082E" w:rsidP="0018082E">
      <w:pPr>
        <w:widowControl/>
        <w:tabs>
          <w:tab w:val="left" w:pos="-1440"/>
        </w:tabs>
      </w:pPr>
    </w:p>
    <w:p w:rsidR="005E7A9F" w:rsidRPr="003C1CE4" w:rsidRDefault="003E798F" w:rsidP="00665645">
      <w:pPr>
        <w:pStyle w:val="Head1"/>
        <w:spacing w:before="0" w:beforeAutospacing="0" w:after="0" w:afterAutospacing="0" w:line="240" w:lineRule="auto"/>
      </w:pPr>
      <w:r>
        <w:t xml:space="preserve">A.8. </w:t>
      </w:r>
      <w:r w:rsidR="005E7A9F" w:rsidRPr="003C1CE4">
        <w:t>Comments in Response to the Federal Register Notice and Efforts to Consult Outside the Agency</w:t>
      </w:r>
      <w:bookmarkEnd w:id="8"/>
    </w:p>
    <w:p w:rsidR="00665645" w:rsidRDefault="001F2FBE" w:rsidP="00665645">
      <w:pPr>
        <w:widowControl/>
        <w:tabs>
          <w:tab w:val="left" w:pos="-1440"/>
        </w:tabs>
        <w:rPr>
          <w:rFonts w:ascii="Times New Roman" w:hAnsi="Times New Roman"/>
        </w:rPr>
      </w:pPr>
      <w:r>
        <w:rPr>
          <w:rFonts w:ascii="Times New Roman" w:hAnsi="Times New Roman"/>
        </w:rPr>
        <w:tab/>
      </w:r>
    </w:p>
    <w:p w:rsidR="00AF4196" w:rsidRPr="00AF4196" w:rsidRDefault="001F2FBE" w:rsidP="00AF4196">
      <w:pPr>
        <w:pStyle w:val="head20"/>
        <w:ind w:right="0"/>
        <w:rPr>
          <w:b w:val="0"/>
          <w:szCs w:val="24"/>
        </w:rPr>
      </w:pPr>
      <w:r w:rsidRPr="00AF4196">
        <w:rPr>
          <w:b w:val="0"/>
          <w:szCs w:val="24"/>
        </w:rPr>
        <w:t xml:space="preserve">A. </w:t>
      </w:r>
      <w:r w:rsidR="00AF4196">
        <w:rPr>
          <w:b w:val="0"/>
          <w:szCs w:val="24"/>
        </w:rPr>
        <w:t xml:space="preserve"> </w:t>
      </w:r>
      <w:r w:rsidR="0065000A" w:rsidRPr="00AF4196">
        <w:rPr>
          <w:b w:val="0"/>
          <w:szCs w:val="24"/>
        </w:rPr>
        <w:t xml:space="preserve">The </w:t>
      </w:r>
      <w:r w:rsidR="00CA4621" w:rsidRPr="00AF4196">
        <w:rPr>
          <w:b w:val="0"/>
          <w:szCs w:val="24"/>
        </w:rPr>
        <w:t>Federa</w:t>
      </w:r>
      <w:r w:rsidR="00163607">
        <w:rPr>
          <w:b w:val="0"/>
          <w:szCs w:val="24"/>
        </w:rPr>
        <w:t>l Register Notice (Attachment B</w:t>
      </w:r>
      <w:r w:rsidR="00E93107">
        <w:rPr>
          <w:b w:val="0"/>
          <w:szCs w:val="24"/>
        </w:rPr>
        <w:t>1</w:t>
      </w:r>
      <w:r w:rsidR="00CA4621" w:rsidRPr="00AF4196">
        <w:rPr>
          <w:b w:val="0"/>
          <w:szCs w:val="24"/>
        </w:rPr>
        <w:t xml:space="preserve">) for the </w:t>
      </w:r>
      <w:r w:rsidR="0065000A" w:rsidRPr="00AF4196">
        <w:rPr>
          <w:b w:val="0"/>
          <w:szCs w:val="24"/>
        </w:rPr>
        <w:t xml:space="preserve">proposed data collection was posted in the Federal Register on </w:t>
      </w:r>
      <w:r w:rsidR="008A3F79">
        <w:rPr>
          <w:b w:val="0"/>
          <w:szCs w:val="24"/>
        </w:rPr>
        <w:t>February 17</w:t>
      </w:r>
      <w:r w:rsidR="00AF4196" w:rsidRPr="00AF4196">
        <w:rPr>
          <w:b w:val="0"/>
          <w:szCs w:val="24"/>
        </w:rPr>
        <w:t>,</w:t>
      </w:r>
      <w:r w:rsidR="008A3F79">
        <w:rPr>
          <w:b w:val="0"/>
          <w:szCs w:val="24"/>
        </w:rPr>
        <w:t xml:space="preserve"> 2012,</w:t>
      </w:r>
      <w:r w:rsidR="00AF4196" w:rsidRPr="00AF4196">
        <w:rPr>
          <w:b w:val="0"/>
          <w:szCs w:val="24"/>
        </w:rPr>
        <w:t xml:space="preserve"> V</w:t>
      </w:r>
      <w:r w:rsidR="008F2A0E" w:rsidRPr="00AF4196">
        <w:rPr>
          <w:b w:val="0"/>
          <w:szCs w:val="24"/>
        </w:rPr>
        <w:t xml:space="preserve">olume </w:t>
      </w:r>
      <w:r w:rsidR="008A3F79">
        <w:rPr>
          <w:b w:val="0"/>
          <w:szCs w:val="24"/>
        </w:rPr>
        <w:t>77</w:t>
      </w:r>
      <w:r w:rsidR="00732CB7" w:rsidRPr="00AF4196">
        <w:rPr>
          <w:b w:val="0"/>
          <w:szCs w:val="24"/>
        </w:rPr>
        <w:t xml:space="preserve">, </w:t>
      </w:r>
      <w:r w:rsidR="008F2A0E" w:rsidRPr="00AF4196">
        <w:rPr>
          <w:b w:val="0"/>
          <w:szCs w:val="24"/>
        </w:rPr>
        <w:t>page</w:t>
      </w:r>
      <w:r w:rsidR="00E93107">
        <w:rPr>
          <w:b w:val="0"/>
          <w:szCs w:val="24"/>
        </w:rPr>
        <w:t>s</w:t>
      </w:r>
      <w:r w:rsidR="008F2A0E" w:rsidRPr="00AF4196">
        <w:rPr>
          <w:b w:val="0"/>
          <w:szCs w:val="24"/>
        </w:rPr>
        <w:t xml:space="preserve"> </w:t>
      </w:r>
      <w:r w:rsidR="008A3F79">
        <w:rPr>
          <w:b w:val="0"/>
          <w:szCs w:val="24"/>
        </w:rPr>
        <w:t>9660</w:t>
      </w:r>
      <w:r w:rsidR="00732CB7" w:rsidRPr="00AF4196">
        <w:rPr>
          <w:b w:val="0"/>
          <w:szCs w:val="24"/>
        </w:rPr>
        <w:t>-</w:t>
      </w:r>
      <w:r w:rsidR="008A3F79">
        <w:rPr>
          <w:b w:val="0"/>
          <w:szCs w:val="24"/>
        </w:rPr>
        <w:t>9661</w:t>
      </w:r>
      <w:r w:rsidR="00732CB7" w:rsidRPr="00AF4196">
        <w:rPr>
          <w:b w:val="0"/>
          <w:szCs w:val="24"/>
        </w:rPr>
        <w:t xml:space="preserve">. </w:t>
      </w:r>
      <w:r w:rsidR="00E93107">
        <w:rPr>
          <w:b w:val="0"/>
          <w:szCs w:val="24"/>
        </w:rPr>
        <w:t>One comment was received from the American Cancer Society Cancer Action Network (Attachment B2), which expressed support for the stu</w:t>
      </w:r>
      <w:r w:rsidR="00343E2A">
        <w:rPr>
          <w:b w:val="0"/>
          <w:szCs w:val="24"/>
        </w:rPr>
        <w:t>dy and recommende</w:t>
      </w:r>
      <w:r w:rsidR="00E93107">
        <w:rPr>
          <w:b w:val="0"/>
          <w:szCs w:val="24"/>
        </w:rPr>
        <w:t xml:space="preserve">d that </w:t>
      </w:r>
      <w:r w:rsidR="00343E2A">
        <w:rPr>
          <w:b w:val="0"/>
          <w:szCs w:val="24"/>
        </w:rPr>
        <w:t xml:space="preserve">the research questions should be updated </w:t>
      </w:r>
      <w:r w:rsidR="00343E2A">
        <w:rPr>
          <w:b w:val="0"/>
          <w:szCs w:val="24"/>
        </w:rPr>
        <w:lastRenderedPageBreak/>
        <w:t>to reflect recently revised guidelines from the American Cancer Society and the United States Preventive Services Task Force (USPSTF).</w:t>
      </w:r>
      <w:r w:rsidR="00E93107">
        <w:rPr>
          <w:b w:val="0"/>
          <w:szCs w:val="24"/>
        </w:rPr>
        <w:t xml:space="preserve"> </w:t>
      </w:r>
      <w:r w:rsidR="003C62C8">
        <w:rPr>
          <w:b w:val="0"/>
          <w:szCs w:val="24"/>
        </w:rPr>
        <w:t xml:space="preserve"> In response to this recommendation</w:t>
      </w:r>
      <w:r w:rsidR="00343E2A">
        <w:rPr>
          <w:b w:val="0"/>
          <w:szCs w:val="24"/>
        </w:rPr>
        <w:t xml:space="preserve">, CDC </w:t>
      </w:r>
      <w:r w:rsidR="003C62C8">
        <w:rPr>
          <w:b w:val="0"/>
          <w:szCs w:val="24"/>
        </w:rPr>
        <w:t xml:space="preserve">revised </w:t>
      </w:r>
      <w:r w:rsidR="00B05DD7">
        <w:rPr>
          <w:b w:val="0"/>
          <w:szCs w:val="24"/>
        </w:rPr>
        <w:t xml:space="preserve">question no. II.A.2 of </w:t>
      </w:r>
      <w:r w:rsidR="000C6961">
        <w:rPr>
          <w:b w:val="0"/>
          <w:szCs w:val="24"/>
        </w:rPr>
        <w:t>the</w:t>
      </w:r>
      <w:r w:rsidR="001969D1">
        <w:rPr>
          <w:b w:val="0"/>
          <w:szCs w:val="24"/>
        </w:rPr>
        <w:t xml:space="preserve"> </w:t>
      </w:r>
      <w:r w:rsidR="00115194">
        <w:rPr>
          <w:b w:val="0"/>
          <w:szCs w:val="24"/>
        </w:rPr>
        <w:t xml:space="preserve">moderator’s </w:t>
      </w:r>
      <w:r w:rsidR="003C62C8">
        <w:rPr>
          <w:b w:val="0"/>
          <w:szCs w:val="24"/>
        </w:rPr>
        <w:t>guide for focus groups with providers</w:t>
      </w:r>
      <w:r w:rsidR="00B05DD7">
        <w:rPr>
          <w:b w:val="0"/>
          <w:szCs w:val="24"/>
        </w:rPr>
        <w:t xml:space="preserve"> </w:t>
      </w:r>
      <w:r w:rsidR="003C62C8">
        <w:rPr>
          <w:b w:val="0"/>
          <w:szCs w:val="24"/>
        </w:rPr>
        <w:t>(Attachment C2</w:t>
      </w:r>
      <w:r w:rsidR="00B05DD7">
        <w:rPr>
          <w:b w:val="0"/>
          <w:szCs w:val="24"/>
        </w:rPr>
        <w:t xml:space="preserve">).  </w:t>
      </w:r>
      <w:r w:rsidR="00613AA5">
        <w:rPr>
          <w:b w:val="0"/>
          <w:szCs w:val="24"/>
        </w:rPr>
        <w:t>All information collection based on t</w:t>
      </w:r>
      <w:r w:rsidR="001969D1">
        <w:rPr>
          <w:b w:val="0"/>
          <w:szCs w:val="24"/>
        </w:rPr>
        <w:t>his</w:t>
      </w:r>
      <w:r w:rsidR="003C62C8">
        <w:rPr>
          <w:b w:val="0"/>
          <w:szCs w:val="24"/>
        </w:rPr>
        <w:t xml:space="preserve"> instrument </w:t>
      </w:r>
      <w:r w:rsidR="00613AA5">
        <w:rPr>
          <w:b w:val="0"/>
          <w:szCs w:val="24"/>
        </w:rPr>
        <w:t>will occur during the final year of the study</w:t>
      </w:r>
      <w:r w:rsidR="00567C1C">
        <w:rPr>
          <w:b w:val="0"/>
          <w:szCs w:val="24"/>
        </w:rPr>
        <w:t xml:space="preserve"> (Phase II)</w:t>
      </w:r>
      <w:r w:rsidR="00613AA5">
        <w:rPr>
          <w:b w:val="0"/>
          <w:szCs w:val="24"/>
        </w:rPr>
        <w:t xml:space="preserve">, as it </w:t>
      </w:r>
      <w:r w:rsidR="000C6961">
        <w:rPr>
          <w:b w:val="0"/>
          <w:szCs w:val="24"/>
        </w:rPr>
        <w:t>wa</w:t>
      </w:r>
      <w:r w:rsidR="003C62C8">
        <w:rPr>
          <w:b w:val="0"/>
          <w:szCs w:val="24"/>
        </w:rPr>
        <w:t>s not fielded</w:t>
      </w:r>
      <w:r w:rsidR="000C6961">
        <w:rPr>
          <w:b w:val="0"/>
          <w:szCs w:val="24"/>
        </w:rPr>
        <w:t xml:space="preserve"> during the </w:t>
      </w:r>
      <w:r w:rsidR="00613AA5">
        <w:rPr>
          <w:b w:val="0"/>
          <w:szCs w:val="24"/>
        </w:rPr>
        <w:t>initial</w:t>
      </w:r>
      <w:r w:rsidR="00B102F0">
        <w:rPr>
          <w:b w:val="0"/>
          <w:szCs w:val="24"/>
        </w:rPr>
        <w:t xml:space="preserve"> three years of the project</w:t>
      </w:r>
      <w:r w:rsidR="00567C1C">
        <w:rPr>
          <w:b w:val="0"/>
          <w:szCs w:val="24"/>
        </w:rPr>
        <w:t xml:space="preserve"> (Phase I)</w:t>
      </w:r>
      <w:r w:rsidR="003C62C8">
        <w:rPr>
          <w:b w:val="0"/>
          <w:szCs w:val="24"/>
        </w:rPr>
        <w:t xml:space="preserve">.  CDC also considered incorporating the comment into the </w:t>
      </w:r>
      <w:r w:rsidR="00AF7891" w:rsidRPr="00AF7891">
        <w:rPr>
          <w:b w:val="0"/>
        </w:rPr>
        <w:t>Follow-up Provider Survey</w:t>
      </w:r>
      <w:r w:rsidR="00AF7891">
        <w:rPr>
          <w:b w:val="0"/>
          <w:szCs w:val="24"/>
        </w:rPr>
        <w:t xml:space="preserve"> </w:t>
      </w:r>
      <w:r w:rsidR="003C62C8">
        <w:rPr>
          <w:b w:val="0"/>
          <w:szCs w:val="24"/>
        </w:rPr>
        <w:t>(Attachment C1)</w:t>
      </w:r>
      <w:r w:rsidR="00C528A0">
        <w:rPr>
          <w:b w:val="0"/>
          <w:szCs w:val="24"/>
        </w:rPr>
        <w:t xml:space="preserve">, which was fielded during </w:t>
      </w:r>
      <w:r w:rsidR="00567C1C">
        <w:rPr>
          <w:b w:val="0"/>
          <w:szCs w:val="24"/>
        </w:rPr>
        <w:t>Phase I</w:t>
      </w:r>
      <w:r w:rsidR="004245CF">
        <w:rPr>
          <w:b w:val="0"/>
          <w:szCs w:val="24"/>
        </w:rPr>
        <w:t xml:space="preserve"> and will continue to be used in Phase II</w:t>
      </w:r>
      <w:r w:rsidR="003C62C8">
        <w:rPr>
          <w:b w:val="0"/>
          <w:szCs w:val="24"/>
        </w:rPr>
        <w:t xml:space="preserve">.  However, to avoid inconsistencies between follow-up surveys that were completed in </w:t>
      </w:r>
      <w:r w:rsidR="00567C1C">
        <w:rPr>
          <w:b w:val="0"/>
          <w:szCs w:val="24"/>
        </w:rPr>
        <w:t>Phase I</w:t>
      </w:r>
      <w:r w:rsidR="003C62C8">
        <w:rPr>
          <w:b w:val="0"/>
          <w:szCs w:val="24"/>
        </w:rPr>
        <w:t>, and follow-up surveys th</w:t>
      </w:r>
      <w:r w:rsidR="00613AA5">
        <w:rPr>
          <w:b w:val="0"/>
          <w:szCs w:val="24"/>
        </w:rPr>
        <w:t xml:space="preserve">at will be completed in </w:t>
      </w:r>
      <w:r w:rsidR="00567C1C">
        <w:rPr>
          <w:b w:val="0"/>
          <w:szCs w:val="24"/>
        </w:rPr>
        <w:t>Phase II</w:t>
      </w:r>
      <w:r w:rsidR="00C528A0">
        <w:rPr>
          <w:b w:val="0"/>
          <w:szCs w:val="24"/>
        </w:rPr>
        <w:t>, CDC decided not to revise this</w:t>
      </w:r>
      <w:r w:rsidR="003C62C8">
        <w:rPr>
          <w:b w:val="0"/>
          <w:szCs w:val="24"/>
        </w:rPr>
        <w:t xml:space="preserve"> instrument.</w:t>
      </w:r>
    </w:p>
    <w:p w:rsidR="00A131D6" w:rsidRPr="00A131D6" w:rsidRDefault="001F2FBE" w:rsidP="00A131D6">
      <w:pPr>
        <w:pStyle w:val="NormalWeb"/>
      </w:pPr>
      <w:r>
        <w:t xml:space="preserve">B. </w:t>
      </w:r>
      <w:r w:rsidRPr="00A77AA5">
        <w:t xml:space="preserve">The </w:t>
      </w:r>
      <w:r w:rsidRPr="00A77AA5">
        <w:rPr>
          <w:bCs/>
        </w:rPr>
        <w:t>study</w:t>
      </w:r>
      <w:r w:rsidRPr="00A77AA5">
        <w:t xml:space="preserve"> </w:t>
      </w:r>
      <w:r w:rsidRPr="00A77AA5">
        <w:rPr>
          <w:bCs/>
        </w:rPr>
        <w:t>protocol,</w:t>
      </w:r>
      <w:r w:rsidRPr="00A77AA5">
        <w:t xml:space="preserve"> including the survey instrument</w:t>
      </w:r>
      <w:r w:rsidR="002A2728">
        <w:t>s</w:t>
      </w:r>
      <w:r w:rsidRPr="00A77AA5">
        <w:t>, sampling plan</w:t>
      </w:r>
      <w:r w:rsidR="002A2728">
        <w:t>s</w:t>
      </w:r>
      <w:r w:rsidRPr="00A77AA5">
        <w:t>, and data collection procedures were designed in collaborati</w:t>
      </w:r>
      <w:r>
        <w:t>on with researchers at Battelle</w:t>
      </w:r>
      <w:r w:rsidRPr="00A77AA5">
        <w:t xml:space="preserve"> Centers for Public Health</w:t>
      </w:r>
      <w:r>
        <w:t xml:space="preserve"> </w:t>
      </w:r>
      <w:r w:rsidRPr="00A77AA5">
        <w:t>Research and Evaluation</w:t>
      </w:r>
      <w:r w:rsidR="00A131D6">
        <w:t>.</w:t>
      </w:r>
    </w:p>
    <w:p w:rsidR="00601C15" w:rsidRPr="00D82729" w:rsidRDefault="00601C15" w:rsidP="0057299F">
      <w:pPr>
        <w:pStyle w:val="NormalWeb"/>
        <w:spacing w:before="0" w:beforeAutospacing="0" w:after="0" w:afterAutospacing="0"/>
      </w:pPr>
      <w:bookmarkStart w:id="9" w:name="_Toc179609152"/>
      <w:r w:rsidRPr="00D82729">
        <w:t xml:space="preserve">Four consultants provided input to CDC and Battelle in the development of the study protocol, data collection instruments and patient and provider intervention materials. The names, titles, telephone numbers, and email addresses of the consultants—along with their organizational affiliations—are provided in Table A.8 – 1. </w:t>
      </w:r>
    </w:p>
    <w:p w:rsidR="00601C15" w:rsidRPr="00601C15" w:rsidRDefault="00D82729" w:rsidP="00D82729">
      <w:pPr>
        <w:pStyle w:val="Tablehead"/>
        <w:spacing w:before="0" w:after="0" w:line="240" w:lineRule="auto"/>
      </w:pPr>
      <w:bookmarkStart w:id="10" w:name="_Toc191095941"/>
      <w:r>
        <w:t>A.8-1</w:t>
      </w:r>
      <w:r w:rsidR="00601C15" w:rsidRPr="00601C15">
        <w:t xml:space="preserve"> Study Consultants</w:t>
      </w:r>
      <w:bookmarkEnd w:id="10"/>
    </w:p>
    <w:tbl>
      <w:tblPr>
        <w:tblStyle w:val="TableGrid"/>
        <w:tblW w:w="0" w:type="auto"/>
        <w:tblLook w:val="01E0" w:firstRow="1" w:lastRow="1" w:firstColumn="1" w:lastColumn="1" w:noHBand="0" w:noVBand="0"/>
      </w:tblPr>
      <w:tblGrid>
        <w:gridCol w:w="1188"/>
        <w:gridCol w:w="3420"/>
        <w:gridCol w:w="4140"/>
      </w:tblGrid>
      <w:tr w:rsidR="00601C15" w:rsidRPr="00B1716C" w:rsidTr="005F76CC">
        <w:tc>
          <w:tcPr>
            <w:tcW w:w="1188"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Year</w:t>
            </w:r>
          </w:p>
        </w:tc>
        <w:tc>
          <w:tcPr>
            <w:tcW w:w="3420"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Consultant</w:t>
            </w:r>
          </w:p>
        </w:tc>
        <w:tc>
          <w:tcPr>
            <w:tcW w:w="4140" w:type="dxa"/>
          </w:tcPr>
          <w:p w:rsidR="00601C15" w:rsidRPr="00B1716C" w:rsidRDefault="00601C15" w:rsidP="00601C15">
            <w:pPr>
              <w:pStyle w:val="HTMLPreformatted"/>
              <w:rPr>
                <w:rFonts w:ascii="Times New Roman" w:hAnsi="Times New Roman" w:cs="Times New Roman"/>
                <w:sz w:val="24"/>
                <w:szCs w:val="24"/>
              </w:rPr>
            </w:pPr>
            <w:r w:rsidRPr="00B1716C">
              <w:rPr>
                <w:rFonts w:ascii="Times New Roman" w:hAnsi="Times New Roman" w:cs="Times New Roman"/>
                <w:sz w:val="24"/>
                <w:szCs w:val="24"/>
              </w:rPr>
              <w:t>Agency/Organization</w:t>
            </w:r>
          </w:p>
        </w:tc>
      </w:tr>
      <w:tr w:rsidR="00601C15" w:rsidRPr="00B1716C" w:rsidTr="005F76CC">
        <w:tc>
          <w:tcPr>
            <w:tcW w:w="1188"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2007</w:t>
            </w:r>
          </w:p>
          <w:p w:rsidR="00601C15" w:rsidRPr="00B1716C" w:rsidRDefault="00601C15" w:rsidP="00601C15">
            <w:pPr>
              <w:rPr>
                <w:rFonts w:ascii="Times New Roman" w:hAnsi="Times New Roman"/>
              </w:rPr>
            </w:pPr>
          </w:p>
        </w:tc>
        <w:tc>
          <w:tcPr>
            <w:tcW w:w="3420"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 xml:space="preserve">George F. </w:t>
            </w:r>
            <w:proofErr w:type="spellStart"/>
            <w:r w:rsidRPr="00B1716C">
              <w:rPr>
                <w:rFonts w:ascii="Times New Roman" w:hAnsi="Times New Roman"/>
              </w:rPr>
              <w:t>Sawaya</w:t>
            </w:r>
            <w:proofErr w:type="spellEnd"/>
            <w:r w:rsidRPr="00B1716C">
              <w:rPr>
                <w:rFonts w:ascii="Times New Roman" w:hAnsi="Times New Roman"/>
              </w:rPr>
              <w:t>, MD</w:t>
            </w:r>
            <w:r w:rsidRPr="00B1716C">
              <w:rPr>
                <w:rFonts w:ascii="Times New Roman" w:hAnsi="Times New Roman"/>
              </w:rPr>
              <w:br/>
              <w:t>Associate Professor</w:t>
            </w:r>
          </w:p>
          <w:p w:rsidR="00601C15" w:rsidRPr="00B1716C" w:rsidRDefault="00601C15" w:rsidP="00601C15">
            <w:pPr>
              <w:rPr>
                <w:rFonts w:ascii="Times New Roman" w:hAnsi="Times New Roman"/>
              </w:rPr>
            </w:pPr>
            <w:r w:rsidRPr="00B1716C">
              <w:rPr>
                <w:rFonts w:ascii="Times New Roman" w:hAnsi="Times New Roman"/>
              </w:rPr>
              <w:t>Phone 415-502-4090</w:t>
            </w:r>
            <w:r w:rsidRPr="00B1716C">
              <w:rPr>
                <w:rFonts w:ascii="Times New Roman" w:hAnsi="Times New Roman"/>
              </w:rPr>
              <w:br/>
              <w:t>sawayag@obgyn.ucsf.edu</w:t>
            </w:r>
          </w:p>
        </w:tc>
        <w:tc>
          <w:tcPr>
            <w:tcW w:w="4140" w:type="dxa"/>
          </w:tcPr>
          <w:p w:rsidR="00601C15" w:rsidRPr="00B1716C" w:rsidRDefault="00601C15" w:rsidP="00601C15">
            <w:pPr>
              <w:rPr>
                <w:rFonts w:ascii="Times New Roman" w:hAnsi="Times New Roman"/>
              </w:rPr>
            </w:pPr>
            <w:smartTag w:uri="urn:schemas-microsoft-com:office:smarttags" w:element="PlaceType">
              <w:r w:rsidRPr="00B1716C">
                <w:rPr>
                  <w:rFonts w:ascii="Times New Roman" w:hAnsi="Times New Roman"/>
                </w:rPr>
                <w:t>University</w:t>
              </w:r>
            </w:smartTag>
            <w:r w:rsidRPr="00B1716C">
              <w:rPr>
                <w:rFonts w:ascii="Times New Roman" w:hAnsi="Times New Roman"/>
              </w:rPr>
              <w:t xml:space="preserve"> of </w:t>
            </w:r>
            <w:smartTag w:uri="urn:schemas-microsoft-com:office:smarttags" w:element="PlaceName">
              <w:r w:rsidRPr="00B1716C">
                <w:rPr>
                  <w:rFonts w:ascii="Times New Roman" w:hAnsi="Times New Roman"/>
                </w:rPr>
                <w:t>California</w:t>
              </w:r>
            </w:smartTag>
            <w:r w:rsidRPr="00B1716C">
              <w:rPr>
                <w:rFonts w:ascii="Times New Roman" w:hAnsi="Times New Roman"/>
              </w:rPr>
              <w:t xml:space="preserve">, </w:t>
            </w:r>
            <w:smartTag w:uri="urn:schemas-microsoft-com:office:smarttags" w:element="City">
              <w:smartTag w:uri="urn:schemas-microsoft-com:office:smarttags" w:element="place">
                <w:r w:rsidRPr="00B1716C">
                  <w:rPr>
                    <w:rFonts w:ascii="Times New Roman" w:hAnsi="Times New Roman"/>
                  </w:rPr>
                  <w:t>San Francisco</w:t>
                </w:r>
              </w:smartTag>
            </w:smartTag>
          </w:p>
          <w:p w:rsidR="00601C15" w:rsidRPr="00B1716C" w:rsidRDefault="00601C15" w:rsidP="00601C15">
            <w:pPr>
              <w:rPr>
                <w:rFonts w:ascii="Times New Roman" w:hAnsi="Times New Roman"/>
              </w:rPr>
            </w:pPr>
            <w:r w:rsidRPr="00B1716C">
              <w:rPr>
                <w:rFonts w:ascii="Times New Roman" w:hAnsi="Times New Roman"/>
              </w:rPr>
              <w:t>Departments of Obstetrics, Gynecology and Reproductive Sciences; Epidemiology and Biostatistics</w:t>
            </w:r>
          </w:p>
        </w:tc>
      </w:tr>
      <w:tr w:rsidR="00601C15" w:rsidRPr="00B1716C" w:rsidTr="005F76CC">
        <w:tc>
          <w:tcPr>
            <w:tcW w:w="1188"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2007</w:t>
            </w:r>
          </w:p>
        </w:tc>
        <w:tc>
          <w:tcPr>
            <w:tcW w:w="3420"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Allen J. Dietrich, MD</w:t>
            </w:r>
          </w:p>
          <w:p w:rsidR="00601C15" w:rsidRPr="00B1716C" w:rsidRDefault="00601C15" w:rsidP="00601C15">
            <w:pPr>
              <w:rPr>
                <w:rFonts w:ascii="Times New Roman" w:hAnsi="Times New Roman"/>
              </w:rPr>
            </w:pPr>
            <w:r w:rsidRPr="00B1716C">
              <w:rPr>
                <w:rFonts w:ascii="Times New Roman" w:hAnsi="Times New Roman"/>
              </w:rPr>
              <w:t>Professor</w:t>
            </w:r>
          </w:p>
          <w:p w:rsidR="00601C15" w:rsidRPr="00B1716C" w:rsidRDefault="00601C15" w:rsidP="00601C15">
            <w:pPr>
              <w:rPr>
                <w:rFonts w:ascii="Times New Roman" w:hAnsi="Times New Roman"/>
              </w:rPr>
            </w:pPr>
            <w:r w:rsidRPr="00B1716C">
              <w:rPr>
                <w:rFonts w:ascii="Times New Roman" w:hAnsi="Times New Roman"/>
              </w:rPr>
              <w:t>Phone: 603-653-3648</w:t>
            </w:r>
          </w:p>
          <w:p w:rsidR="00601C15" w:rsidRPr="00B1716C" w:rsidRDefault="0094070E" w:rsidP="00601C15">
            <w:pPr>
              <w:rPr>
                <w:rFonts w:ascii="Times New Roman" w:hAnsi="Times New Roman"/>
              </w:rPr>
            </w:pPr>
            <w:hyperlink r:id="rId15" w:history="1">
              <w:r w:rsidR="00601C15" w:rsidRPr="00B1716C">
                <w:rPr>
                  <w:rFonts w:ascii="Times New Roman" w:hAnsi="Times New Roman"/>
                </w:rPr>
                <w:t>Allen.J.Dietrich@Dartmouth.edu</w:t>
              </w:r>
            </w:hyperlink>
          </w:p>
        </w:tc>
        <w:tc>
          <w:tcPr>
            <w:tcW w:w="4140" w:type="dxa"/>
          </w:tcPr>
          <w:p w:rsidR="00601C15" w:rsidRPr="00B1716C" w:rsidRDefault="00601C15" w:rsidP="00601C15">
            <w:pPr>
              <w:rPr>
                <w:rFonts w:ascii="Times New Roman" w:hAnsi="Times New Roman"/>
              </w:rPr>
            </w:pPr>
            <w:smartTag w:uri="urn:schemas-microsoft-com:office:smarttags" w:element="place">
              <w:smartTag w:uri="urn:schemas-microsoft-com:office:smarttags" w:element="PlaceName">
                <w:r w:rsidRPr="00B1716C">
                  <w:rPr>
                    <w:rFonts w:ascii="Times New Roman" w:hAnsi="Times New Roman"/>
                  </w:rPr>
                  <w:t>Dartmouth</w:t>
                </w:r>
              </w:smartTag>
              <w:r w:rsidRPr="00B1716C">
                <w:rPr>
                  <w:rFonts w:ascii="Times New Roman" w:hAnsi="Times New Roman"/>
                </w:rPr>
                <w:t xml:space="preserve"> </w:t>
              </w:r>
              <w:smartTag w:uri="urn:schemas-microsoft-com:office:smarttags" w:element="PlaceName">
                <w:r w:rsidRPr="00B1716C">
                  <w:rPr>
                    <w:rFonts w:ascii="Times New Roman" w:hAnsi="Times New Roman"/>
                  </w:rPr>
                  <w:t>Medical</w:t>
                </w:r>
              </w:smartTag>
              <w:r w:rsidRPr="00B1716C">
                <w:rPr>
                  <w:rFonts w:ascii="Times New Roman" w:hAnsi="Times New Roman"/>
                </w:rPr>
                <w:t xml:space="preserve"> </w:t>
              </w:r>
              <w:smartTag w:uri="urn:schemas-microsoft-com:office:smarttags" w:element="PlaceType">
                <w:r w:rsidRPr="00B1716C">
                  <w:rPr>
                    <w:rFonts w:ascii="Times New Roman" w:hAnsi="Times New Roman"/>
                  </w:rPr>
                  <w:t>School</w:t>
                </w:r>
              </w:smartTag>
            </w:smartTag>
          </w:p>
          <w:p w:rsidR="00601C15" w:rsidRPr="00B1716C" w:rsidRDefault="00601C15" w:rsidP="00601C15">
            <w:pPr>
              <w:rPr>
                <w:rFonts w:ascii="Times New Roman" w:hAnsi="Times New Roman"/>
              </w:rPr>
            </w:pPr>
            <w:r w:rsidRPr="00B1716C">
              <w:rPr>
                <w:rFonts w:ascii="Times New Roman" w:hAnsi="Times New Roman"/>
              </w:rPr>
              <w:t>Department of Community and Family Medicine</w:t>
            </w:r>
          </w:p>
        </w:tc>
      </w:tr>
      <w:tr w:rsidR="00601C15" w:rsidRPr="00B1716C" w:rsidTr="005F76CC">
        <w:tc>
          <w:tcPr>
            <w:tcW w:w="1188"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2007</w:t>
            </w:r>
          </w:p>
        </w:tc>
        <w:tc>
          <w:tcPr>
            <w:tcW w:w="3420" w:type="dxa"/>
            <w:shd w:val="clear" w:color="auto" w:fill="auto"/>
          </w:tcPr>
          <w:p w:rsidR="00601C15" w:rsidRPr="00B1716C" w:rsidRDefault="00601C15" w:rsidP="00601C15">
            <w:pPr>
              <w:rPr>
                <w:rFonts w:ascii="Times New Roman" w:hAnsi="Times New Roman"/>
              </w:rPr>
            </w:pPr>
            <w:proofErr w:type="spellStart"/>
            <w:r w:rsidRPr="00B1716C">
              <w:rPr>
                <w:rFonts w:ascii="Times New Roman" w:hAnsi="Times New Roman"/>
              </w:rPr>
              <w:t>Shalini</w:t>
            </w:r>
            <w:proofErr w:type="spellEnd"/>
            <w:r w:rsidRPr="00B1716C">
              <w:rPr>
                <w:rFonts w:ascii="Times New Roman" w:hAnsi="Times New Roman"/>
              </w:rPr>
              <w:t xml:space="preserve"> </w:t>
            </w:r>
            <w:proofErr w:type="spellStart"/>
            <w:r w:rsidRPr="00B1716C">
              <w:rPr>
                <w:rFonts w:ascii="Times New Roman" w:hAnsi="Times New Roman"/>
              </w:rPr>
              <w:t>Kulasingam</w:t>
            </w:r>
            <w:proofErr w:type="spellEnd"/>
            <w:r w:rsidRPr="00B1716C">
              <w:rPr>
                <w:rFonts w:ascii="Times New Roman" w:hAnsi="Times New Roman"/>
              </w:rPr>
              <w:t>, PhD</w:t>
            </w:r>
          </w:p>
          <w:p w:rsidR="00601C15" w:rsidRPr="00B1716C" w:rsidRDefault="00601C15" w:rsidP="00601C15">
            <w:pPr>
              <w:rPr>
                <w:rFonts w:ascii="Times New Roman" w:hAnsi="Times New Roman"/>
              </w:rPr>
            </w:pPr>
            <w:r w:rsidRPr="00B1716C">
              <w:rPr>
                <w:rFonts w:ascii="Times New Roman" w:hAnsi="Times New Roman"/>
              </w:rPr>
              <w:t>Assistant Professor</w:t>
            </w:r>
          </w:p>
          <w:p w:rsidR="00601C15" w:rsidRPr="00B1716C" w:rsidRDefault="00601C15" w:rsidP="00601C15">
            <w:pPr>
              <w:rPr>
                <w:rFonts w:ascii="Times New Roman" w:hAnsi="Times New Roman"/>
              </w:rPr>
            </w:pPr>
            <w:r w:rsidRPr="00B1716C">
              <w:rPr>
                <w:rFonts w:ascii="Times New Roman" w:hAnsi="Times New Roman"/>
              </w:rPr>
              <w:t>Phone: 919-286-3399</w:t>
            </w:r>
          </w:p>
          <w:p w:rsidR="00601C15" w:rsidRPr="00B1716C" w:rsidRDefault="00601C15" w:rsidP="00601C15">
            <w:pPr>
              <w:rPr>
                <w:rFonts w:ascii="Times New Roman" w:hAnsi="Times New Roman"/>
              </w:rPr>
            </w:pPr>
            <w:r w:rsidRPr="00B1716C">
              <w:rPr>
                <w:rFonts w:ascii="Times New Roman" w:hAnsi="Times New Roman"/>
              </w:rPr>
              <w:t>kulas002@mc.duke.edu</w:t>
            </w:r>
          </w:p>
        </w:tc>
        <w:tc>
          <w:tcPr>
            <w:tcW w:w="4140" w:type="dxa"/>
          </w:tcPr>
          <w:p w:rsidR="00601C15" w:rsidRPr="00B1716C" w:rsidRDefault="00601C15" w:rsidP="00601C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rPr>
                <w:rFonts w:ascii="Times New Roman" w:hAnsi="Times New Roman"/>
              </w:rPr>
            </w:pPr>
            <w:r w:rsidRPr="00B1716C">
              <w:rPr>
                <w:rFonts w:ascii="Times New Roman" w:hAnsi="Times New Roman"/>
              </w:rPr>
              <w:t>Duke University School of Medicine</w:t>
            </w:r>
          </w:p>
          <w:p w:rsidR="00601C15" w:rsidRPr="00B1716C" w:rsidRDefault="00601C15" w:rsidP="00601C15">
            <w:pPr>
              <w:tabs>
                <w:tab w:val="left" w:pos="-31680"/>
                <w:tab w:val="left" w:pos="-31680"/>
              </w:tabs>
              <w:rPr>
                <w:rFonts w:ascii="Times New Roman" w:hAnsi="Times New Roman"/>
              </w:rPr>
            </w:pPr>
            <w:r w:rsidRPr="00B1716C">
              <w:rPr>
                <w:rFonts w:ascii="Times New Roman" w:hAnsi="Times New Roman"/>
              </w:rPr>
              <w:t>Department of Obstetrics and Gynecology</w:t>
            </w:r>
          </w:p>
        </w:tc>
      </w:tr>
      <w:tr w:rsidR="00601C15" w:rsidRPr="00B1716C" w:rsidTr="005F76CC">
        <w:tc>
          <w:tcPr>
            <w:tcW w:w="1188"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2007</w:t>
            </w:r>
          </w:p>
          <w:p w:rsidR="00601C15" w:rsidRPr="00B1716C" w:rsidRDefault="00601C15" w:rsidP="00601C15">
            <w:pPr>
              <w:rPr>
                <w:rFonts w:ascii="Times New Roman" w:hAnsi="Times New Roman"/>
              </w:rPr>
            </w:pPr>
            <w:r w:rsidRPr="00B1716C">
              <w:rPr>
                <w:rFonts w:ascii="Times New Roman" w:hAnsi="Times New Roman"/>
              </w:rPr>
              <w:t>2008</w:t>
            </w:r>
          </w:p>
        </w:tc>
        <w:tc>
          <w:tcPr>
            <w:tcW w:w="3420" w:type="dxa"/>
            <w:shd w:val="clear" w:color="auto" w:fill="auto"/>
          </w:tcPr>
          <w:p w:rsidR="00601C15" w:rsidRPr="00B1716C" w:rsidRDefault="00601C15" w:rsidP="00601C15">
            <w:pPr>
              <w:rPr>
                <w:rFonts w:ascii="Times New Roman" w:hAnsi="Times New Roman"/>
              </w:rPr>
            </w:pPr>
            <w:r w:rsidRPr="00B1716C">
              <w:rPr>
                <w:rFonts w:ascii="Times New Roman" w:hAnsi="Times New Roman"/>
              </w:rPr>
              <w:t xml:space="preserve">Philip Castle, PhD, MPH </w:t>
            </w:r>
            <w:r w:rsidRPr="00B1716C">
              <w:rPr>
                <w:rFonts w:ascii="Times New Roman" w:hAnsi="Times New Roman"/>
              </w:rPr>
              <w:br/>
              <w:t xml:space="preserve">Investigator </w:t>
            </w:r>
            <w:r w:rsidRPr="00B1716C">
              <w:rPr>
                <w:rFonts w:ascii="Times New Roman" w:hAnsi="Times New Roman"/>
              </w:rPr>
              <w:br/>
              <w:t xml:space="preserve">Phone: 301-435-3976 </w:t>
            </w:r>
            <w:r w:rsidRPr="00B1716C">
              <w:rPr>
                <w:rFonts w:ascii="Times New Roman" w:hAnsi="Times New Roman"/>
              </w:rPr>
              <w:br/>
              <w:t xml:space="preserve">castlep@mail.nih.gov </w:t>
            </w:r>
          </w:p>
        </w:tc>
        <w:tc>
          <w:tcPr>
            <w:tcW w:w="4140" w:type="dxa"/>
          </w:tcPr>
          <w:p w:rsidR="00601C15" w:rsidRPr="00B1716C" w:rsidRDefault="00601C15" w:rsidP="00601C15">
            <w:pPr>
              <w:rPr>
                <w:rFonts w:ascii="Times New Roman" w:hAnsi="Times New Roman"/>
              </w:rPr>
            </w:pPr>
            <w:r w:rsidRPr="00B1716C">
              <w:rPr>
                <w:rFonts w:ascii="Times New Roman" w:hAnsi="Times New Roman"/>
              </w:rPr>
              <w:t xml:space="preserve">National Cancer Institute, NIH, DHHS </w:t>
            </w:r>
            <w:r w:rsidRPr="00B1716C">
              <w:rPr>
                <w:rFonts w:ascii="Times New Roman" w:hAnsi="Times New Roman"/>
              </w:rPr>
              <w:br/>
              <w:t xml:space="preserve">Division of Cancer Epidemiology and Genetics, Hormonal and Reproductive Epidemiology Branch </w:t>
            </w:r>
          </w:p>
        </w:tc>
      </w:tr>
    </w:tbl>
    <w:p w:rsidR="00601C15" w:rsidRPr="00601C15" w:rsidRDefault="00601C15" w:rsidP="00601C15">
      <w:pPr>
        <w:rPr>
          <w:rFonts w:ascii="Times New Roman" w:hAnsi="Times New Roman"/>
        </w:rPr>
      </w:pPr>
    </w:p>
    <w:p w:rsidR="00665645" w:rsidRDefault="00665645" w:rsidP="00665645">
      <w:pPr>
        <w:pStyle w:val="Head1"/>
        <w:keepNext/>
        <w:keepLines/>
        <w:spacing w:before="0" w:beforeAutospacing="0" w:after="0" w:afterAutospacing="0" w:line="240" w:lineRule="auto"/>
      </w:pPr>
    </w:p>
    <w:p w:rsidR="005E7A9F" w:rsidRPr="00AF7F72" w:rsidRDefault="003E798F" w:rsidP="00665645">
      <w:pPr>
        <w:pStyle w:val="Head1"/>
        <w:keepNext/>
        <w:keepLines/>
        <w:spacing w:before="0" w:beforeAutospacing="0" w:after="0" w:afterAutospacing="0" w:line="240" w:lineRule="auto"/>
      </w:pPr>
      <w:r>
        <w:t xml:space="preserve">A.9. </w:t>
      </w:r>
      <w:r w:rsidR="005E7A9F" w:rsidRPr="003C1CE4">
        <w:t>Explanation of Any Payment or Gift to Respondents</w:t>
      </w:r>
      <w:bookmarkEnd w:id="9"/>
    </w:p>
    <w:p w:rsidR="00665645" w:rsidRPr="002A5719" w:rsidRDefault="00665645" w:rsidP="00665645">
      <w:pPr>
        <w:pStyle w:val="Head1"/>
        <w:spacing w:before="0" w:beforeAutospacing="0" w:after="0" w:afterAutospacing="0" w:line="240" w:lineRule="auto"/>
      </w:pPr>
      <w:bookmarkStart w:id="11" w:name="_Toc179609153"/>
    </w:p>
    <w:p w:rsidR="00B61B15" w:rsidRPr="00B61B15" w:rsidRDefault="009D0223" w:rsidP="00B61B15">
      <w:pPr>
        <w:pStyle w:val="BodyText"/>
        <w:rPr>
          <w:i w:val="0"/>
        </w:rPr>
      </w:pPr>
      <w:r w:rsidRPr="002A5719">
        <w:rPr>
          <w:i w:val="0"/>
        </w:rPr>
        <w:t>Patients will</w:t>
      </w:r>
      <w:r w:rsidR="001E4449">
        <w:rPr>
          <w:i w:val="0"/>
        </w:rPr>
        <w:t xml:space="preserve"> be sent a </w:t>
      </w:r>
      <w:r w:rsidRPr="002A5719">
        <w:rPr>
          <w:i w:val="0"/>
        </w:rPr>
        <w:t xml:space="preserve">$5 </w:t>
      </w:r>
      <w:r w:rsidR="001E4449">
        <w:rPr>
          <w:i w:val="0"/>
        </w:rPr>
        <w:t xml:space="preserve">monetary incentive </w:t>
      </w:r>
      <w:r w:rsidR="00C209B6">
        <w:rPr>
          <w:i w:val="0"/>
        </w:rPr>
        <w:t>and p</w:t>
      </w:r>
      <w:r w:rsidRPr="002A5719">
        <w:rPr>
          <w:i w:val="0"/>
        </w:rPr>
        <w:t xml:space="preserve">roviders will </w:t>
      </w:r>
      <w:r w:rsidR="001E4449">
        <w:rPr>
          <w:i w:val="0"/>
        </w:rPr>
        <w:t xml:space="preserve">be sent a </w:t>
      </w:r>
      <w:r w:rsidRPr="002A5719">
        <w:rPr>
          <w:i w:val="0"/>
        </w:rPr>
        <w:t xml:space="preserve">$50 </w:t>
      </w:r>
      <w:r w:rsidR="001E4449">
        <w:rPr>
          <w:i w:val="0"/>
        </w:rPr>
        <w:t xml:space="preserve">monetary incentive to encourage their completion of the patient and provider follow-up surveys.  </w:t>
      </w:r>
      <w:r w:rsidR="00B61B15" w:rsidRPr="00B61B15">
        <w:rPr>
          <w:i w:val="0"/>
        </w:rPr>
        <w:t xml:space="preserve">There is clear and consistent evidence that monetary remuneration significantly increases response rates to mail, telephone and face-to-face surveys, and experts on survey methods recommend their use </w:t>
      </w:r>
      <w:r w:rsidR="00B61B15" w:rsidRPr="00B61B15">
        <w:rPr>
          <w:i w:val="0"/>
        </w:rPr>
        <w:lastRenderedPageBreak/>
        <w:t>(</w:t>
      </w:r>
      <w:proofErr w:type="spellStart"/>
      <w:r w:rsidR="00B61B15" w:rsidRPr="00B61B15">
        <w:rPr>
          <w:i w:val="0"/>
        </w:rPr>
        <w:t>Dillman</w:t>
      </w:r>
      <w:proofErr w:type="spellEnd"/>
      <w:r w:rsidR="00B61B15" w:rsidRPr="00B61B15">
        <w:rPr>
          <w:i w:val="0"/>
        </w:rPr>
        <w:t xml:space="preserve">, 1978; </w:t>
      </w:r>
      <w:proofErr w:type="spellStart"/>
      <w:r w:rsidR="00B61B15" w:rsidRPr="00B61B15">
        <w:rPr>
          <w:i w:val="0"/>
        </w:rPr>
        <w:t>Dillman</w:t>
      </w:r>
      <w:proofErr w:type="spellEnd"/>
      <w:r w:rsidR="00B61B15" w:rsidRPr="00B61B15">
        <w:rPr>
          <w:i w:val="0"/>
        </w:rPr>
        <w:t xml:space="preserve"> 2000; </w:t>
      </w:r>
      <w:proofErr w:type="spellStart"/>
      <w:r w:rsidR="00B61B15" w:rsidRPr="00B61B15">
        <w:rPr>
          <w:i w:val="0"/>
        </w:rPr>
        <w:t>Sudman</w:t>
      </w:r>
      <w:proofErr w:type="spellEnd"/>
      <w:r w:rsidR="00B61B15" w:rsidRPr="00B61B15">
        <w:rPr>
          <w:i w:val="0"/>
        </w:rPr>
        <w:t>, 1985).  Church (1993) and Singer and colleagues (1999) have published meta analyses comparing the response rates of mail and interviewer-mediated surveys with and without monetary incentives.  These studies have clearly shown that even a nominal gratuity increases response rates, and that the amount of the incentive is positively correlated with response rate (</w:t>
      </w:r>
      <w:proofErr w:type="spellStart"/>
      <w:r w:rsidR="00B61B15" w:rsidRPr="00B61B15">
        <w:rPr>
          <w:i w:val="0"/>
        </w:rPr>
        <w:t>Kropf</w:t>
      </w:r>
      <w:proofErr w:type="spellEnd"/>
      <w:r w:rsidR="00B61B15" w:rsidRPr="00B61B15">
        <w:rPr>
          <w:i w:val="0"/>
        </w:rPr>
        <w:t xml:space="preserve">, et al., 1999; Hopkins and </w:t>
      </w:r>
      <w:proofErr w:type="spellStart"/>
      <w:r w:rsidR="00B61B15" w:rsidRPr="00B61B15">
        <w:rPr>
          <w:i w:val="0"/>
        </w:rPr>
        <w:t>Gullickson</w:t>
      </w:r>
      <w:proofErr w:type="spellEnd"/>
      <w:r w:rsidR="00B61B15" w:rsidRPr="00B61B15">
        <w:rPr>
          <w:i w:val="0"/>
        </w:rPr>
        <w:t>, 1992; Fox et al., 1988; Harvey, 1987).  Furthermore, combining other measures to increase response (e.g., sending advance letters, repeated follow-up with non-respondents) with monetary payments has been shown to produce higher response rates than payments alone or other types of incentives without payments (Collins et al., 2000;</w:t>
      </w:r>
      <w:r w:rsidR="001A6807">
        <w:rPr>
          <w:i w:val="0"/>
        </w:rPr>
        <w:t xml:space="preserve"> </w:t>
      </w:r>
      <w:proofErr w:type="spellStart"/>
      <w:r w:rsidR="001A6807">
        <w:rPr>
          <w:i w:val="0"/>
        </w:rPr>
        <w:t>Yamarino</w:t>
      </w:r>
      <w:proofErr w:type="spellEnd"/>
      <w:r w:rsidR="001A6807">
        <w:rPr>
          <w:i w:val="0"/>
        </w:rPr>
        <w:t>, et al</w:t>
      </w:r>
      <w:r w:rsidR="00B61B15" w:rsidRPr="00B61B15">
        <w:rPr>
          <w:i w:val="0"/>
        </w:rPr>
        <w:t>, 1991).</w:t>
      </w:r>
    </w:p>
    <w:p w:rsidR="00B61B15" w:rsidRPr="00B61B15" w:rsidRDefault="00B61B15" w:rsidP="00B61B15">
      <w:pPr>
        <w:pStyle w:val="BodyText"/>
        <w:rPr>
          <w:i w:val="0"/>
        </w:rPr>
      </w:pPr>
    </w:p>
    <w:p w:rsidR="00B61B15" w:rsidRPr="00B61B15" w:rsidRDefault="00B61B15" w:rsidP="00B61B15">
      <w:pPr>
        <w:pStyle w:val="BodyText"/>
        <w:rPr>
          <w:i w:val="0"/>
        </w:rPr>
      </w:pPr>
      <w:r w:rsidRPr="00B61B15">
        <w:rPr>
          <w:i w:val="0"/>
        </w:rPr>
        <w:t xml:space="preserve">Previous research suggests that monetary incentives may be especially effective in recruiting low-income and minority respondents.  For example, analyses by Singer, Van </w:t>
      </w:r>
      <w:proofErr w:type="spellStart"/>
      <w:r w:rsidRPr="00B61B15">
        <w:rPr>
          <w:i w:val="0"/>
        </w:rPr>
        <w:t>Hoewyk</w:t>
      </w:r>
      <w:proofErr w:type="spellEnd"/>
      <w:r w:rsidRPr="00B61B15">
        <w:rPr>
          <w:i w:val="0"/>
        </w:rPr>
        <w:t xml:space="preserve">, and Maher (2000) indicate that a $5 incentive paid to a random half of households in a random digit dialed telephone survey brought a higher percentage of low-education respondents into the sample. </w:t>
      </w:r>
      <w:r w:rsidR="008B0D32">
        <w:rPr>
          <w:i w:val="0"/>
        </w:rPr>
        <w:t xml:space="preserve">Patients recruited into this pilot </w:t>
      </w:r>
      <w:r w:rsidR="00C209B6">
        <w:rPr>
          <w:i w:val="0"/>
        </w:rPr>
        <w:t xml:space="preserve">study </w:t>
      </w:r>
      <w:r w:rsidR="008B0D32">
        <w:rPr>
          <w:i w:val="0"/>
        </w:rPr>
        <w:t xml:space="preserve">in Illinois </w:t>
      </w:r>
      <w:r w:rsidRPr="00B61B15">
        <w:rPr>
          <w:i w:val="0"/>
        </w:rPr>
        <w:t>include a high percentage of African American</w:t>
      </w:r>
      <w:r w:rsidR="00C209B6">
        <w:rPr>
          <w:i w:val="0"/>
        </w:rPr>
        <w:t xml:space="preserve"> (32.6%)</w:t>
      </w:r>
      <w:r w:rsidRPr="00B61B15">
        <w:rPr>
          <w:i w:val="0"/>
        </w:rPr>
        <w:t xml:space="preserve"> and Hispanic </w:t>
      </w:r>
      <w:r w:rsidR="001E4449">
        <w:rPr>
          <w:i w:val="0"/>
        </w:rPr>
        <w:t xml:space="preserve">(32.1%) </w:t>
      </w:r>
      <w:r w:rsidRPr="00B61B15">
        <w:rPr>
          <w:i w:val="0"/>
        </w:rPr>
        <w:t>women.  We feel that it will be particularly important to obtain a high response rate from these minority populations.</w:t>
      </w:r>
    </w:p>
    <w:p w:rsidR="00B61B15" w:rsidRPr="00B61B15" w:rsidRDefault="00B61B15" w:rsidP="00B61B15">
      <w:pPr>
        <w:pStyle w:val="BodyText"/>
        <w:rPr>
          <w:i w:val="0"/>
        </w:rPr>
      </w:pPr>
    </w:p>
    <w:p w:rsidR="00B61B15" w:rsidRPr="00B61B15" w:rsidRDefault="00B61B15" w:rsidP="00B61B15">
      <w:pPr>
        <w:pStyle w:val="BodyText"/>
        <w:rPr>
          <w:i w:val="0"/>
        </w:rPr>
      </w:pPr>
      <w:r w:rsidRPr="00B61B15">
        <w:rPr>
          <w:i w:val="0"/>
        </w:rPr>
        <w:t xml:space="preserve">Finally, in addition to increasing survey response rates, a few studies have examined the impact of incentives on data quality (Shaw et al., 2001; </w:t>
      </w:r>
      <w:proofErr w:type="spellStart"/>
      <w:r w:rsidRPr="00B61B15">
        <w:rPr>
          <w:i w:val="0"/>
        </w:rPr>
        <w:t>Shettle</w:t>
      </w:r>
      <w:proofErr w:type="spellEnd"/>
      <w:r w:rsidRPr="00B61B15">
        <w:rPr>
          <w:i w:val="0"/>
        </w:rPr>
        <w:t xml:space="preserve"> and Mooney, 1999; Singer, </w:t>
      </w:r>
      <w:r w:rsidR="001A6807">
        <w:rPr>
          <w:i w:val="0"/>
        </w:rPr>
        <w:t>et al</w:t>
      </w:r>
      <w:r w:rsidRPr="00B61B15">
        <w:rPr>
          <w:i w:val="0"/>
        </w:rPr>
        <w:t>, 2000).  For example, experiments reported</w:t>
      </w:r>
      <w:r w:rsidR="001A6807">
        <w:rPr>
          <w:i w:val="0"/>
        </w:rPr>
        <w:t xml:space="preserve"> by Singer and associates</w:t>
      </w:r>
      <w:r w:rsidRPr="00B61B15">
        <w:rPr>
          <w:i w:val="0"/>
        </w:rPr>
        <w:t xml:space="preserve"> (2000) indicate that promised and prepaid incentives reduce the tendency of older people and nonwhites to have more item missing data, resulting in a net reduction in item nonresponse. These studies suggest that offering an incentive may improve data quality in the sense that respondents who were provided incentives had less item-missing data and provided longer open-ended responses compared with respondents who were not provided incentives. </w:t>
      </w:r>
    </w:p>
    <w:p w:rsidR="00C3046C" w:rsidRDefault="00C3046C" w:rsidP="002A5719">
      <w:pPr>
        <w:pStyle w:val="BodyText"/>
        <w:rPr>
          <w:i w:val="0"/>
        </w:rPr>
      </w:pPr>
    </w:p>
    <w:p w:rsidR="00C3046C" w:rsidRPr="00282231" w:rsidRDefault="00591AF2" w:rsidP="00C3046C">
      <w:pPr>
        <w:pStyle w:val="BodyText"/>
        <w:rPr>
          <w:i w:val="0"/>
        </w:rPr>
      </w:pPr>
      <w:r>
        <w:rPr>
          <w:i w:val="0"/>
        </w:rPr>
        <w:t xml:space="preserve">Cash payment was selected as the preferred </w:t>
      </w:r>
      <w:r w:rsidRPr="00282231">
        <w:rPr>
          <w:i w:val="0"/>
        </w:rPr>
        <w:t>incentive</w:t>
      </w:r>
      <w:r>
        <w:rPr>
          <w:i w:val="0"/>
        </w:rPr>
        <w:t xml:space="preserve"> for b</w:t>
      </w:r>
      <w:r w:rsidR="00282231">
        <w:rPr>
          <w:i w:val="0"/>
        </w:rPr>
        <w:t>oth the patient and provider survey</w:t>
      </w:r>
      <w:r>
        <w:rPr>
          <w:i w:val="0"/>
        </w:rPr>
        <w:t xml:space="preserve">s. </w:t>
      </w:r>
      <w:r w:rsidR="00282231">
        <w:rPr>
          <w:i w:val="0"/>
        </w:rPr>
        <w:t xml:space="preserve"> </w:t>
      </w:r>
      <w:r>
        <w:rPr>
          <w:i w:val="0"/>
        </w:rPr>
        <w:t>In addition, r</w:t>
      </w:r>
      <w:r w:rsidR="00282231" w:rsidRPr="00282231">
        <w:rPr>
          <w:i w:val="0"/>
        </w:rPr>
        <w:t>esearch indicates that mailing incentives along with the questionnaire raises response rates more effectively than promising an incentive upon receipt of a completed questionnaire (</w:t>
      </w:r>
      <w:proofErr w:type="spellStart"/>
      <w:r w:rsidR="00282231" w:rsidRPr="00282231">
        <w:rPr>
          <w:i w:val="0"/>
        </w:rPr>
        <w:t>Dillman</w:t>
      </w:r>
      <w:proofErr w:type="spellEnd"/>
      <w:r w:rsidR="00282231" w:rsidRPr="00282231">
        <w:rPr>
          <w:i w:val="0"/>
        </w:rPr>
        <w:t>, 2000</w:t>
      </w:r>
      <w:r w:rsidR="00B61B15">
        <w:rPr>
          <w:i w:val="0"/>
        </w:rPr>
        <w:t>)</w:t>
      </w:r>
      <w:r w:rsidR="00282231" w:rsidRPr="00282231">
        <w:rPr>
          <w:i w:val="0"/>
        </w:rPr>
        <w:t xml:space="preserve">. Therefore, for the </w:t>
      </w:r>
      <w:r>
        <w:rPr>
          <w:i w:val="0"/>
        </w:rPr>
        <w:t xml:space="preserve">patient and provider </w:t>
      </w:r>
      <w:r w:rsidR="00282231" w:rsidRPr="00282231">
        <w:rPr>
          <w:i w:val="0"/>
        </w:rPr>
        <w:t>follow-up survey</w:t>
      </w:r>
      <w:r>
        <w:rPr>
          <w:i w:val="0"/>
        </w:rPr>
        <w:t>s</w:t>
      </w:r>
      <w:r w:rsidR="00282231" w:rsidRPr="00282231">
        <w:rPr>
          <w:i w:val="0"/>
        </w:rPr>
        <w:t>, Battelle will mail the incentive as part of the initial questionnaire mailing to further improve response rates.</w:t>
      </w:r>
    </w:p>
    <w:p w:rsidR="00C3046C" w:rsidRDefault="00C3046C" w:rsidP="00C3046C">
      <w:pPr>
        <w:pStyle w:val="BodyText"/>
        <w:rPr>
          <w:i w:val="0"/>
        </w:rPr>
      </w:pPr>
    </w:p>
    <w:p w:rsidR="00B61B15" w:rsidRDefault="00591AF2" w:rsidP="005852B2">
      <w:pPr>
        <w:rPr>
          <w:rFonts w:ascii="Times New Roman" w:hAnsi="Times New Roman"/>
        </w:rPr>
      </w:pPr>
      <w:r>
        <w:rPr>
          <w:rFonts w:ascii="Times New Roman" w:hAnsi="Times New Roman"/>
        </w:rPr>
        <w:t xml:space="preserve">The $5 patient incentive and $50 provider incentives were approved for the baseline and follow-up surveys that have been conducted to date.  </w:t>
      </w:r>
      <w:r w:rsidR="002A5719" w:rsidRPr="005852B2">
        <w:rPr>
          <w:rFonts w:ascii="Times New Roman" w:hAnsi="Times New Roman"/>
        </w:rPr>
        <w:t xml:space="preserve">Several </w:t>
      </w:r>
      <w:r>
        <w:rPr>
          <w:rFonts w:ascii="Times New Roman" w:hAnsi="Times New Roman"/>
        </w:rPr>
        <w:t xml:space="preserve">other </w:t>
      </w:r>
      <w:r w:rsidR="002A5719" w:rsidRPr="005852B2">
        <w:rPr>
          <w:rFonts w:ascii="Times New Roman" w:hAnsi="Times New Roman"/>
        </w:rPr>
        <w:t>CDC studies have provided a monetary incentive to respondents</w:t>
      </w:r>
      <w:r w:rsidR="005852B2" w:rsidRPr="005852B2">
        <w:rPr>
          <w:rFonts w:ascii="Times New Roman" w:hAnsi="Times New Roman"/>
        </w:rPr>
        <w:t xml:space="preserve">. For example, a recent study entitled </w:t>
      </w:r>
      <w:r w:rsidR="005852B2">
        <w:rPr>
          <w:rFonts w:ascii="Times New Roman" w:hAnsi="Times New Roman"/>
        </w:rPr>
        <w:t>“</w:t>
      </w:r>
      <w:r w:rsidR="005852B2" w:rsidRPr="005852B2">
        <w:rPr>
          <w:rFonts w:ascii="Times New Roman" w:hAnsi="Times New Roman"/>
        </w:rPr>
        <w:t xml:space="preserve">Preventive Cardiac Health Care Knowledge, Beliefs, and Behaviors in Female Carriers of </w:t>
      </w:r>
      <w:proofErr w:type="spellStart"/>
      <w:r w:rsidR="005852B2" w:rsidRPr="005852B2">
        <w:rPr>
          <w:rFonts w:ascii="Times New Roman" w:hAnsi="Times New Roman"/>
        </w:rPr>
        <w:t>Duchenne</w:t>
      </w:r>
      <w:proofErr w:type="spellEnd"/>
      <w:r w:rsidR="005852B2" w:rsidRPr="005852B2">
        <w:rPr>
          <w:rFonts w:ascii="Times New Roman" w:hAnsi="Times New Roman"/>
        </w:rPr>
        <w:t>/Becker Muscular Dystrophy</w:t>
      </w:r>
      <w:r w:rsidR="005852B2">
        <w:rPr>
          <w:rFonts w:ascii="Times New Roman" w:hAnsi="Times New Roman"/>
        </w:rPr>
        <w:t>”</w:t>
      </w:r>
      <w:r w:rsidR="005852B2" w:rsidRPr="005852B2">
        <w:rPr>
          <w:rFonts w:ascii="Times New Roman" w:hAnsi="Times New Roman"/>
        </w:rPr>
        <w:t xml:space="preserve"> (OMB No. 0920-0718)</w:t>
      </w:r>
      <w:r w:rsidR="005852B2">
        <w:rPr>
          <w:rFonts w:ascii="Times New Roman" w:hAnsi="Times New Roman"/>
        </w:rPr>
        <w:t xml:space="preserve"> provided $5 to each of 1,477 women who participated in a mail survey. These women were selected from mailing lists of the</w:t>
      </w:r>
      <w:r w:rsidR="005852B2" w:rsidRPr="00455993">
        <w:rPr>
          <w:rFonts w:ascii="Times New Roman" w:hAnsi="Times New Roman"/>
        </w:rPr>
        <w:t xml:space="preserve"> Muscular Dystrophy Association (MDA) or </w:t>
      </w:r>
      <w:r w:rsidR="005852B2">
        <w:rPr>
          <w:rFonts w:ascii="Times New Roman" w:hAnsi="Times New Roman"/>
        </w:rPr>
        <w:t xml:space="preserve">the </w:t>
      </w:r>
      <w:r w:rsidR="005852B2" w:rsidRPr="00455993">
        <w:rPr>
          <w:rFonts w:ascii="Times New Roman" w:hAnsi="Times New Roman"/>
        </w:rPr>
        <w:t>Parent P</w:t>
      </w:r>
      <w:r w:rsidR="005852B2">
        <w:rPr>
          <w:rFonts w:ascii="Times New Roman" w:hAnsi="Times New Roman"/>
        </w:rPr>
        <w:t xml:space="preserve">roject Muscular Dystrophy (PPMD) organization. </w:t>
      </w:r>
      <w:r w:rsidR="00B61B15">
        <w:rPr>
          <w:rFonts w:ascii="Times New Roman" w:hAnsi="Times New Roman"/>
        </w:rPr>
        <w:t xml:space="preserve"> Another </w:t>
      </w:r>
      <w:r w:rsidR="00F50019">
        <w:rPr>
          <w:rFonts w:ascii="Times New Roman" w:hAnsi="Times New Roman"/>
        </w:rPr>
        <w:t xml:space="preserve">CDC </w:t>
      </w:r>
      <w:r w:rsidR="00B61B15">
        <w:rPr>
          <w:rFonts w:ascii="Times New Roman" w:hAnsi="Times New Roman"/>
        </w:rPr>
        <w:t xml:space="preserve">study entitled the “Arthritis Health Condition Effects Survey (ACHES)” (OMB No. 0920-0673) provided a $5 incentive to individual who responded to a </w:t>
      </w:r>
      <w:r w:rsidR="00F50019">
        <w:rPr>
          <w:rFonts w:ascii="Times New Roman" w:hAnsi="Times New Roman"/>
        </w:rPr>
        <w:t xml:space="preserve">random digit dial </w:t>
      </w:r>
      <w:r w:rsidR="00B61B15">
        <w:rPr>
          <w:rFonts w:ascii="Times New Roman" w:hAnsi="Times New Roman"/>
        </w:rPr>
        <w:t>telephone survey.</w:t>
      </w:r>
      <w:r w:rsidR="00104A77">
        <w:rPr>
          <w:rFonts w:ascii="Times New Roman" w:hAnsi="Times New Roman"/>
        </w:rPr>
        <w:t xml:space="preserve">  </w:t>
      </w:r>
      <w:r w:rsidR="00104A77" w:rsidRPr="00F50019">
        <w:rPr>
          <w:rFonts w:ascii="Times New Roman" w:hAnsi="Times New Roman"/>
        </w:rPr>
        <w:t xml:space="preserve">Finally, </w:t>
      </w:r>
      <w:r w:rsidR="00F50019">
        <w:rPr>
          <w:rFonts w:ascii="Times New Roman" w:hAnsi="Times New Roman"/>
        </w:rPr>
        <w:t xml:space="preserve">the CDC study entitled the “Study to Explore Early Development (SEED)” (OMB No. 0920-0741) involved incentives to families with young children, many of which included children with autism or other developmental disabilities.  In this longitudinal </w:t>
      </w:r>
      <w:r w:rsidR="00F50019">
        <w:rPr>
          <w:rFonts w:ascii="Times New Roman" w:hAnsi="Times New Roman"/>
        </w:rPr>
        <w:lastRenderedPageBreak/>
        <w:t>study, incentives ranged from $25 included in the enrollment packet, to $30 included in questionnaire packets</w:t>
      </w:r>
      <w:r w:rsidR="001A6807">
        <w:rPr>
          <w:rFonts w:ascii="Times New Roman" w:hAnsi="Times New Roman"/>
        </w:rPr>
        <w:t>,</w:t>
      </w:r>
      <w:r w:rsidR="00F50019">
        <w:rPr>
          <w:rFonts w:ascii="Times New Roman" w:hAnsi="Times New Roman"/>
        </w:rPr>
        <w:t xml:space="preserve"> to $80 for clinic visits.</w:t>
      </w:r>
    </w:p>
    <w:p w:rsidR="00F50019" w:rsidRDefault="00F50019" w:rsidP="005852B2">
      <w:pPr>
        <w:rPr>
          <w:rFonts w:ascii="Times New Roman" w:hAnsi="Times New Roman"/>
        </w:rPr>
      </w:pPr>
    </w:p>
    <w:p w:rsidR="002A5719" w:rsidRPr="005852B2" w:rsidRDefault="005852B2" w:rsidP="005852B2">
      <w:pPr>
        <w:rPr>
          <w:rFonts w:ascii="Times New Roman" w:hAnsi="Times New Roman"/>
        </w:rPr>
      </w:pPr>
      <w:r>
        <w:rPr>
          <w:rFonts w:ascii="Times New Roman" w:hAnsi="Times New Roman"/>
        </w:rPr>
        <w:t>In other recent studies targeting</w:t>
      </w:r>
      <w:r w:rsidR="002A5719" w:rsidRPr="005852B2">
        <w:rPr>
          <w:rFonts w:ascii="Times New Roman" w:hAnsi="Times New Roman"/>
        </w:rPr>
        <w:t xml:space="preserve"> physician and other medical office and hospital-based respondents</w:t>
      </w:r>
      <w:r>
        <w:rPr>
          <w:rFonts w:ascii="Times New Roman" w:hAnsi="Times New Roman"/>
        </w:rPr>
        <w:t xml:space="preserve">, incentives have been provided </w:t>
      </w:r>
      <w:r w:rsidR="002A5719" w:rsidRPr="005852B2">
        <w:rPr>
          <w:rFonts w:ascii="Times New Roman" w:hAnsi="Times New Roman"/>
        </w:rPr>
        <w:t>as compensation for their time and inconvenience and in recognition of their contri</w:t>
      </w:r>
      <w:r w:rsidR="00C3046C" w:rsidRPr="005852B2">
        <w:rPr>
          <w:rFonts w:ascii="Times New Roman" w:hAnsi="Times New Roman"/>
        </w:rPr>
        <w:t>butions to the studies’ goals</w:t>
      </w:r>
      <w:r w:rsidR="00591AF2">
        <w:rPr>
          <w:rFonts w:ascii="Times New Roman" w:hAnsi="Times New Roman"/>
        </w:rPr>
        <w:t>.</w:t>
      </w:r>
      <w:r w:rsidR="00795E2E">
        <w:rPr>
          <w:rFonts w:ascii="Times New Roman" w:hAnsi="Times New Roman"/>
        </w:rPr>
        <w:t xml:space="preserve">  Other e</w:t>
      </w:r>
      <w:r w:rsidR="002A5719" w:rsidRPr="005852B2">
        <w:rPr>
          <w:rFonts w:ascii="Times New Roman" w:hAnsi="Times New Roman"/>
        </w:rPr>
        <w:t>xamples include:</w:t>
      </w:r>
    </w:p>
    <w:p w:rsidR="002A5719" w:rsidRPr="005852B2" w:rsidRDefault="002A5719" w:rsidP="002A5719">
      <w:p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rPr>
          <w:rFonts w:ascii="Times New Roman" w:hAnsi="Times New Roman"/>
        </w:rPr>
      </w:pPr>
    </w:p>
    <w:p w:rsidR="002A5719" w:rsidRPr="002A5719" w:rsidRDefault="002A5719" w:rsidP="002A5719">
      <w:p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rPr>
          <w:rFonts w:ascii="Times New Roman" w:hAnsi="Times New Roman"/>
        </w:rPr>
      </w:pPr>
      <w:r w:rsidRPr="002A5719">
        <w:rPr>
          <w:rFonts w:ascii="Times New Roman" w:hAnsi="Times New Roman"/>
        </w:rPr>
        <w:t xml:space="preserve">HPV Provider Survey: Knowledge, Attitudes, and Practices About Genital HPV Infection and Related Conditions (OMB No. 0920-0629)   </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 xml:space="preserve">Sponsor: Division of STD Prevention, </w:t>
      </w:r>
      <w:smartTag w:uri="urn:schemas-microsoft-com:office:smarttags" w:element="place">
        <w:smartTag w:uri="urn:schemas-microsoft-com:office:smarttags" w:element="PlaceName">
          <w:r w:rsidRPr="002A5719">
            <w:rPr>
              <w:rFonts w:ascii="Times New Roman" w:hAnsi="Times New Roman"/>
            </w:rPr>
            <w:t>National</w:t>
          </w:r>
        </w:smartTag>
        <w:r w:rsidRPr="002A5719">
          <w:rPr>
            <w:rFonts w:ascii="Times New Roman" w:hAnsi="Times New Roman"/>
          </w:rPr>
          <w:t xml:space="preserve"> </w:t>
        </w:r>
        <w:smartTag w:uri="urn:schemas-microsoft-com:office:smarttags" w:element="PlaceType">
          <w:r w:rsidRPr="002A5719">
            <w:rPr>
              <w:rFonts w:ascii="Times New Roman" w:hAnsi="Times New Roman"/>
            </w:rPr>
            <w:t>Center</w:t>
          </w:r>
        </w:smartTag>
      </w:smartTag>
      <w:r w:rsidRPr="002A5719">
        <w:rPr>
          <w:rFonts w:ascii="Times New Roman" w:hAnsi="Times New Roman"/>
        </w:rPr>
        <w:t xml:space="preserve"> for HIV, STD, and TB Prevention</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Incentive Payment:  $50</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 xml:space="preserve">Population: </w:t>
      </w:r>
      <w:r>
        <w:rPr>
          <w:rFonts w:ascii="Times New Roman" w:hAnsi="Times New Roman"/>
        </w:rPr>
        <w:t>a</w:t>
      </w:r>
      <w:r w:rsidRPr="002A5719">
        <w:rPr>
          <w:rFonts w:ascii="Times New Roman" w:hAnsi="Times New Roman"/>
        </w:rPr>
        <w:t xml:space="preserve"> national sample of 7,000 clinicians from 9 specialties</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Response Rate:  81%</w:t>
      </w:r>
    </w:p>
    <w:p w:rsidR="002A5719" w:rsidRPr="002A5719" w:rsidRDefault="002A5719" w:rsidP="002A5719">
      <w:p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rPr>
          <w:rFonts w:ascii="Times New Roman" w:hAnsi="Times New Roman"/>
        </w:rPr>
      </w:pPr>
    </w:p>
    <w:p w:rsidR="002A5719" w:rsidRPr="002A5719" w:rsidRDefault="002A5719" w:rsidP="002A5719">
      <w:p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rPr>
          <w:rFonts w:ascii="Times New Roman" w:hAnsi="Times New Roman"/>
        </w:rPr>
      </w:pPr>
      <w:r w:rsidRPr="002A5719">
        <w:rPr>
          <w:rFonts w:ascii="Times New Roman" w:hAnsi="Times New Roman"/>
        </w:rPr>
        <w:t>Survey of Endoscopic Capacity at the State Level (OMB No. 0920-0590)</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 xml:space="preserve">Sponsor: Division of Cancer Prevention and Control, </w:t>
      </w:r>
      <w:smartTag w:uri="urn:schemas-microsoft-com:office:smarttags" w:element="place">
        <w:smartTag w:uri="urn:schemas-microsoft-com:office:smarttags" w:element="PlaceName">
          <w:r w:rsidRPr="002A5719">
            <w:rPr>
              <w:rFonts w:ascii="Times New Roman" w:hAnsi="Times New Roman"/>
            </w:rPr>
            <w:t>National</w:t>
          </w:r>
        </w:smartTag>
        <w:r w:rsidRPr="002A5719">
          <w:rPr>
            <w:rFonts w:ascii="Times New Roman" w:hAnsi="Times New Roman"/>
          </w:rPr>
          <w:t xml:space="preserve"> </w:t>
        </w:r>
        <w:smartTag w:uri="urn:schemas-microsoft-com:office:smarttags" w:element="PlaceType">
          <w:r w:rsidRPr="002A5719">
            <w:rPr>
              <w:rFonts w:ascii="Times New Roman" w:hAnsi="Times New Roman"/>
            </w:rPr>
            <w:t>Center</w:t>
          </w:r>
        </w:smartTag>
      </w:smartTag>
      <w:r w:rsidRPr="002A5719">
        <w:rPr>
          <w:rFonts w:ascii="Times New Roman" w:hAnsi="Times New Roman"/>
        </w:rPr>
        <w:t xml:space="preserve"> for Chronic Disease Prevention and Health Promotion</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Incentive Payment:  $40</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 xml:space="preserve">Population:  the universe of physician practices, ambulatory survey centers and hospitals that perform flexible </w:t>
      </w:r>
      <w:proofErr w:type="spellStart"/>
      <w:r w:rsidRPr="002A5719">
        <w:rPr>
          <w:rFonts w:ascii="Times New Roman" w:hAnsi="Times New Roman"/>
        </w:rPr>
        <w:t>sigmoidoscopy</w:t>
      </w:r>
      <w:proofErr w:type="spellEnd"/>
      <w:r w:rsidRPr="002A5719">
        <w:rPr>
          <w:rFonts w:ascii="Times New Roman" w:hAnsi="Times New Roman"/>
        </w:rPr>
        <w:t xml:space="preserve"> and/or colonoscopy to screen for CRC in 15 selected states </w:t>
      </w:r>
    </w:p>
    <w:p w:rsidR="002A5719" w:rsidRPr="002A5719" w:rsidRDefault="002A5719" w:rsidP="002A5719">
      <w:pPr>
        <w:widowControl/>
        <w:numPr>
          <w:ilvl w:val="0"/>
          <w:numId w:val="12"/>
        </w:numPr>
        <w:tabs>
          <w:tab w:val="left" w:pos="-1440"/>
          <w:tab w:val="left" w:pos="-720"/>
          <w:tab w:val="left" w:pos="0"/>
          <w:tab w:val="left" w:pos="360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autoSpaceDN/>
        <w:adjustRightInd/>
        <w:rPr>
          <w:rFonts w:ascii="Times New Roman" w:hAnsi="Times New Roman"/>
        </w:rPr>
      </w:pPr>
      <w:r w:rsidRPr="002A5719">
        <w:rPr>
          <w:rFonts w:ascii="Times New Roman" w:hAnsi="Times New Roman"/>
        </w:rPr>
        <w:t>Response Rate:  80%</w:t>
      </w:r>
    </w:p>
    <w:p w:rsidR="002A5719" w:rsidRDefault="002A5719" w:rsidP="00665645">
      <w:pPr>
        <w:pStyle w:val="Head1"/>
        <w:spacing w:before="0" w:beforeAutospacing="0" w:after="0" w:afterAutospacing="0" w:line="240" w:lineRule="auto"/>
      </w:pPr>
    </w:p>
    <w:p w:rsidR="005E7A9F" w:rsidRPr="008704AC" w:rsidRDefault="003E798F" w:rsidP="00665645">
      <w:pPr>
        <w:pStyle w:val="Head1"/>
        <w:spacing w:before="0" w:beforeAutospacing="0" w:after="0" w:afterAutospacing="0" w:line="240" w:lineRule="auto"/>
      </w:pPr>
      <w:r>
        <w:t xml:space="preserve">A.10. </w:t>
      </w:r>
      <w:r w:rsidR="005E7A9F" w:rsidRPr="003C1CE4">
        <w:t>Assurance of Confidentiality Provided to Respondents</w:t>
      </w:r>
      <w:bookmarkEnd w:id="11"/>
    </w:p>
    <w:p w:rsidR="00C05EB0" w:rsidRDefault="00C05EB0" w:rsidP="00216BEC">
      <w:pPr>
        <w:pStyle w:val="Head1"/>
        <w:spacing w:before="0" w:beforeAutospacing="0" w:after="0" w:afterAutospacing="0" w:line="240" w:lineRule="auto"/>
        <w:rPr>
          <w:b w:val="0"/>
        </w:rPr>
      </w:pPr>
    </w:p>
    <w:p w:rsidR="00A01F39" w:rsidRPr="00A01F39" w:rsidRDefault="00591AF2" w:rsidP="00C05EB0">
      <w:pPr>
        <w:pStyle w:val="Head1"/>
        <w:spacing w:before="0" w:beforeAutospacing="0" w:after="0" w:afterAutospacing="0" w:line="240" w:lineRule="auto"/>
        <w:rPr>
          <w:b w:val="0"/>
          <w:szCs w:val="22"/>
        </w:rPr>
      </w:pPr>
      <w:r>
        <w:rPr>
          <w:b w:val="0"/>
          <w:szCs w:val="22"/>
        </w:rPr>
        <w:t xml:space="preserve">In order to conduct </w:t>
      </w:r>
      <w:r w:rsidR="00353EF4">
        <w:rPr>
          <w:b w:val="0"/>
          <w:szCs w:val="22"/>
        </w:rPr>
        <w:t>both</w:t>
      </w:r>
      <w:r w:rsidR="003D76C7">
        <w:rPr>
          <w:b w:val="0"/>
          <w:szCs w:val="22"/>
        </w:rPr>
        <w:t xml:space="preserve"> the provider </w:t>
      </w:r>
      <w:r w:rsidR="00353EF4">
        <w:rPr>
          <w:b w:val="0"/>
          <w:szCs w:val="22"/>
        </w:rPr>
        <w:t xml:space="preserve">and patient </w:t>
      </w:r>
      <w:r w:rsidR="003D76C7">
        <w:rPr>
          <w:b w:val="0"/>
          <w:szCs w:val="22"/>
        </w:rPr>
        <w:t>survey</w:t>
      </w:r>
      <w:r w:rsidR="00353EF4">
        <w:rPr>
          <w:b w:val="0"/>
          <w:szCs w:val="22"/>
        </w:rPr>
        <w:t>s</w:t>
      </w:r>
      <w:r>
        <w:rPr>
          <w:b w:val="0"/>
          <w:szCs w:val="22"/>
        </w:rPr>
        <w:t>,</w:t>
      </w:r>
      <w:r w:rsidR="003D76C7">
        <w:rPr>
          <w:b w:val="0"/>
          <w:szCs w:val="22"/>
        </w:rPr>
        <w:t xml:space="preserve"> </w:t>
      </w:r>
      <w:r w:rsidR="00A01F39" w:rsidRPr="00A01F39">
        <w:rPr>
          <w:b w:val="0"/>
          <w:szCs w:val="22"/>
        </w:rPr>
        <w:t xml:space="preserve">Battelle must maintain the link between </w:t>
      </w:r>
      <w:r w:rsidR="00353EF4">
        <w:rPr>
          <w:b w:val="0"/>
          <w:szCs w:val="22"/>
        </w:rPr>
        <w:t xml:space="preserve">both </w:t>
      </w:r>
      <w:r w:rsidR="00A01F39">
        <w:rPr>
          <w:b w:val="0"/>
          <w:szCs w:val="22"/>
        </w:rPr>
        <w:t xml:space="preserve">provider </w:t>
      </w:r>
      <w:r w:rsidR="00A01F39" w:rsidRPr="00A01F39">
        <w:rPr>
          <w:b w:val="0"/>
          <w:szCs w:val="22"/>
        </w:rPr>
        <w:t xml:space="preserve">names </w:t>
      </w:r>
      <w:r w:rsidR="00353EF4">
        <w:rPr>
          <w:b w:val="0"/>
          <w:szCs w:val="22"/>
        </w:rPr>
        <w:t xml:space="preserve">and patient identifying information </w:t>
      </w:r>
      <w:r w:rsidR="00A01F39" w:rsidRPr="00A01F39">
        <w:rPr>
          <w:b w:val="0"/>
          <w:szCs w:val="22"/>
        </w:rPr>
        <w:t xml:space="preserve">and </w:t>
      </w:r>
      <w:r w:rsidR="00353EF4">
        <w:rPr>
          <w:b w:val="0"/>
          <w:szCs w:val="22"/>
        </w:rPr>
        <w:t xml:space="preserve">their respective </w:t>
      </w:r>
      <w:r w:rsidR="00A01F39" w:rsidRPr="00A01F39">
        <w:rPr>
          <w:b w:val="0"/>
          <w:szCs w:val="22"/>
        </w:rPr>
        <w:t>participant ID numbers</w:t>
      </w:r>
      <w:r w:rsidR="003D76C7">
        <w:rPr>
          <w:b w:val="0"/>
          <w:szCs w:val="22"/>
        </w:rPr>
        <w:t>. Th</w:t>
      </w:r>
      <w:r w:rsidR="00353EF4">
        <w:rPr>
          <w:b w:val="0"/>
          <w:szCs w:val="22"/>
        </w:rPr>
        <w:t>ese</w:t>
      </w:r>
      <w:r w:rsidR="003D76C7">
        <w:rPr>
          <w:b w:val="0"/>
          <w:szCs w:val="22"/>
        </w:rPr>
        <w:t xml:space="preserve"> link</w:t>
      </w:r>
      <w:r w:rsidR="00353EF4">
        <w:rPr>
          <w:b w:val="0"/>
          <w:szCs w:val="22"/>
        </w:rPr>
        <w:t>s</w:t>
      </w:r>
      <w:r>
        <w:rPr>
          <w:b w:val="0"/>
          <w:szCs w:val="22"/>
        </w:rPr>
        <w:t xml:space="preserve"> ar</w:t>
      </w:r>
      <w:r w:rsidR="003D76C7">
        <w:rPr>
          <w:b w:val="0"/>
          <w:szCs w:val="22"/>
        </w:rPr>
        <w:t>e used</w:t>
      </w:r>
      <w:r w:rsidR="00A01F39" w:rsidRPr="00A01F39">
        <w:rPr>
          <w:b w:val="0"/>
          <w:szCs w:val="22"/>
        </w:rPr>
        <w:t xml:space="preserve"> for tracking survey mailings, and to link respo</w:t>
      </w:r>
      <w:r>
        <w:rPr>
          <w:b w:val="0"/>
          <w:szCs w:val="22"/>
        </w:rPr>
        <w:t xml:space="preserve">nses to the baseline and </w:t>
      </w:r>
      <w:r w:rsidR="00A01F39">
        <w:rPr>
          <w:b w:val="0"/>
          <w:szCs w:val="22"/>
        </w:rPr>
        <w:t xml:space="preserve">follow-up surveys. </w:t>
      </w:r>
      <w:r w:rsidR="00A01F39" w:rsidRPr="00A01F39">
        <w:rPr>
          <w:b w:val="0"/>
          <w:szCs w:val="22"/>
        </w:rPr>
        <w:t>While Battelle will have the capability to link responses to individual participants, this capability will only be present until</w:t>
      </w:r>
      <w:r w:rsidR="00A01F39">
        <w:rPr>
          <w:b w:val="0"/>
          <w:szCs w:val="22"/>
        </w:rPr>
        <w:t xml:space="preserve"> data collection is completed. </w:t>
      </w:r>
      <w:r w:rsidR="00A01F39" w:rsidRPr="00A01F39">
        <w:rPr>
          <w:b w:val="0"/>
          <w:szCs w:val="22"/>
        </w:rPr>
        <w:t>At that point, the tracking file</w:t>
      </w:r>
      <w:r w:rsidR="00353EF4">
        <w:rPr>
          <w:b w:val="0"/>
          <w:szCs w:val="22"/>
        </w:rPr>
        <w:t>s</w:t>
      </w:r>
      <w:r w:rsidR="00A01F39" w:rsidRPr="00A01F39">
        <w:rPr>
          <w:b w:val="0"/>
          <w:szCs w:val="22"/>
        </w:rPr>
        <w:t xml:space="preserve"> will be destroyed and there will be no way to link responses to </w:t>
      </w:r>
      <w:r w:rsidR="00A01F39">
        <w:rPr>
          <w:b w:val="0"/>
          <w:szCs w:val="22"/>
        </w:rPr>
        <w:t xml:space="preserve">individuals. The link between </w:t>
      </w:r>
      <w:r w:rsidR="00353EF4">
        <w:rPr>
          <w:b w:val="0"/>
          <w:szCs w:val="22"/>
        </w:rPr>
        <w:t>identifying information</w:t>
      </w:r>
      <w:r w:rsidR="00A01F39">
        <w:rPr>
          <w:b w:val="0"/>
          <w:szCs w:val="22"/>
        </w:rPr>
        <w:t xml:space="preserve"> and ID numbers will be stored </w:t>
      </w:r>
      <w:r w:rsidR="003D76C7">
        <w:rPr>
          <w:b w:val="0"/>
          <w:szCs w:val="22"/>
        </w:rPr>
        <w:t xml:space="preserve">securely and </w:t>
      </w:r>
      <w:r w:rsidR="00A01F39">
        <w:rPr>
          <w:b w:val="0"/>
          <w:szCs w:val="22"/>
        </w:rPr>
        <w:t>separately.</w:t>
      </w:r>
    </w:p>
    <w:p w:rsidR="00A01F39" w:rsidRPr="00A01F39" w:rsidRDefault="00A01F39" w:rsidP="00C05EB0">
      <w:pPr>
        <w:pStyle w:val="Head1"/>
        <w:spacing w:before="0" w:beforeAutospacing="0" w:after="0" w:afterAutospacing="0" w:line="240" w:lineRule="auto"/>
        <w:rPr>
          <w:b w:val="0"/>
          <w:szCs w:val="22"/>
        </w:rPr>
      </w:pPr>
    </w:p>
    <w:p w:rsidR="00425C3C" w:rsidRPr="002D6CF9" w:rsidRDefault="002D6CF9" w:rsidP="00216BEC">
      <w:pPr>
        <w:pStyle w:val="Head1"/>
        <w:spacing w:before="0" w:beforeAutospacing="0" w:after="0" w:afterAutospacing="0" w:line="240" w:lineRule="auto"/>
        <w:rPr>
          <w:b w:val="0"/>
          <w:highlight w:val="yellow"/>
        </w:rPr>
      </w:pPr>
      <w:r w:rsidRPr="002D6CF9">
        <w:rPr>
          <w:b w:val="0"/>
        </w:rPr>
        <w:t>Data will be treated in a confidential manner and will not be disclosed. Neither the names of respondents nor the institutions they represent will be identified in published reports or publicly available data</w:t>
      </w:r>
      <w:r>
        <w:rPr>
          <w:b w:val="0"/>
        </w:rPr>
        <w:t>.</w:t>
      </w:r>
      <w:r w:rsidRPr="002D6CF9">
        <w:t xml:space="preserve"> </w:t>
      </w:r>
      <w:r w:rsidRPr="002D6CF9">
        <w:rPr>
          <w:b w:val="0"/>
        </w:rPr>
        <w:t xml:space="preserve">Completed </w:t>
      </w:r>
      <w:r>
        <w:rPr>
          <w:b w:val="0"/>
        </w:rPr>
        <w:t xml:space="preserve">paper surveys </w:t>
      </w:r>
      <w:r w:rsidRPr="002D6CF9">
        <w:rPr>
          <w:b w:val="0"/>
        </w:rPr>
        <w:t>will be stored in locked file</w:t>
      </w:r>
      <w:r>
        <w:rPr>
          <w:b w:val="0"/>
        </w:rPr>
        <w:t xml:space="preserve"> cabinets in Battelle offices. </w:t>
      </w:r>
      <w:r w:rsidR="00591AF2">
        <w:rPr>
          <w:b w:val="0"/>
        </w:rPr>
        <w:t>All electronic files ar</w:t>
      </w:r>
      <w:r w:rsidRPr="002D6CF9">
        <w:rPr>
          <w:b w:val="0"/>
        </w:rPr>
        <w:t xml:space="preserve">e password protected and accessible only to authorized </w:t>
      </w:r>
      <w:r>
        <w:rPr>
          <w:b w:val="0"/>
        </w:rPr>
        <w:t xml:space="preserve">project staff. </w:t>
      </w:r>
      <w:r w:rsidRPr="002D6CF9">
        <w:rPr>
          <w:b w:val="0"/>
        </w:rPr>
        <w:t>M</w:t>
      </w:r>
      <w:r w:rsidR="00591AF2">
        <w:rPr>
          <w:b w:val="0"/>
        </w:rPr>
        <w:t>easures to safeguard data ar</w:t>
      </w:r>
      <w:r w:rsidRPr="002D6CF9">
        <w:rPr>
          <w:b w:val="0"/>
        </w:rPr>
        <w:t>e emphasized in written and verbal training procedures for project personnel</w:t>
      </w:r>
      <w:r w:rsidRPr="00815FF2">
        <w:rPr>
          <w:b w:val="0"/>
        </w:rPr>
        <w:t xml:space="preserve">. </w:t>
      </w:r>
      <w:r w:rsidR="00216BEC" w:rsidRPr="00815FF2">
        <w:rPr>
          <w:b w:val="0"/>
        </w:rPr>
        <w:t xml:space="preserve">To protect the confidentiality of the </w:t>
      </w:r>
      <w:r w:rsidR="005C54A1">
        <w:rPr>
          <w:b w:val="0"/>
        </w:rPr>
        <w:t xml:space="preserve">provider survey </w:t>
      </w:r>
      <w:r w:rsidR="00216BEC" w:rsidRPr="00815FF2">
        <w:rPr>
          <w:b w:val="0"/>
        </w:rPr>
        <w:t xml:space="preserve">data, the project </w:t>
      </w:r>
      <w:r w:rsidR="00591AF2">
        <w:rPr>
          <w:b w:val="0"/>
        </w:rPr>
        <w:t>receiv</w:t>
      </w:r>
      <w:r w:rsidR="00216BEC" w:rsidRPr="00815FF2">
        <w:rPr>
          <w:b w:val="0"/>
        </w:rPr>
        <w:t>ed a Certificate of Confidentiality from CDC. The IRB concluded that with this certificate in place, this project presents minimal risk to study participants.</w:t>
      </w:r>
      <w:r w:rsidR="00216BEC" w:rsidRPr="00216BEC">
        <w:rPr>
          <w:b w:val="0"/>
        </w:rPr>
        <w:t xml:space="preserve"> </w:t>
      </w:r>
      <w:r w:rsidR="006D29DD">
        <w:rPr>
          <w:b w:val="0"/>
        </w:rPr>
        <w:t xml:space="preserve">Documentation of </w:t>
      </w:r>
      <w:r w:rsidR="008551D5">
        <w:rPr>
          <w:b w:val="0"/>
        </w:rPr>
        <w:t xml:space="preserve">CDC and </w:t>
      </w:r>
      <w:r w:rsidR="006D29DD">
        <w:rPr>
          <w:b w:val="0"/>
        </w:rPr>
        <w:t xml:space="preserve">Battelle </w:t>
      </w:r>
      <w:r w:rsidR="00216BEC" w:rsidRPr="00216BEC">
        <w:rPr>
          <w:b w:val="0"/>
        </w:rPr>
        <w:t xml:space="preserve">IRB </w:t>
      </w:r>
      <w:r w:rsidR="006D29DD">
        <w:rPr>
          <w:b w:val="0"/>
        </w:rPr>
        <w:t>approval of the study i</w:t>
      </w:r>
      <w:r w:rsidR="00A672C5">
        <w:rPr>
          <w:b w:val="0"/>
        </w:rPr>
        <w:t>s provided as Attachment</w:t>
      </w:r>
      <w:r w:rsidR="008551D5">
        <w:rPr>
          <w:b w:val="0"/>
        </w:rPr>
        <w:t>s</w:t>
      </w:r>
      <w:r w:rsidR="00A672C5">
        <w:rPr>
          <w:b w:val="0"/>
        </w:rPr>
        <w:t xml:space="preserve"> G</w:t>
      </w:r>
      <w:r w:rsidR="008551D5">
        <w:rPr>
          <w:b w:val="0"/>
        </w:rPr>
        <w:t>1 and G2</w:t>
      </w:r>
      <w:r w:rsidR="00216BEC" w:rsidRPr="00216BEC">
        <w:rPr>
          <w:b w:val="0"/>
        </w:rPr>
        <w:t xml:space="preserve">. </w:t>
      </w:r>
    </w:p>
    <w:p w:rsidR="008F5731" w:rsidRDefault="008F5731" w:rsidP="00665645">
      <w:pPr>
        <w:tabs>
          <w:tab w:val="left" w:pos="-1440"/>
        </w:tabs>
        <w:rPr>
          <w:rFonts w:ascii="Times New Roman" w:hAnsi="Times New Roman"/>
        </w:rPr>
      </w:pPr>
    </w:p>
    <w:p w:rsidR="00F84346" w:rsidRPr="00F84346" w:rsidRDefault="00F84346" w:rsidP="00665645">
      <w:pPr>
        <w:tabs>
          <w:tab w:val="left" w:pos="-1440"/>
        </w:tabs>
        <w:rPr>
          <w:rFonts w:ascii="Times New Roman" w:hAnsi="Times New Roman"/>
        </w:rPr>
      </w:pPr>
      <w:r w:rsidRPr="00F84346">
        <w:rPr>
          <w:rFonts w:ascii="Times New Roman" w:hAnsi="Times New Roman"/>
          <w:i/>
          <w:u w:val="single"/>
        </w:rPr>
        <w:t>Privacy Impact Assessment Information</w:t>
      </w:r>
      <w:r w:rsidRPr="00F84346">
        <w:rPr>
          <w:rFonts w:ascii="Times New Roman" w:hAnsi="Times New Roman"/>
        </w:rPr>
        <w:t xml:space="preserve">.  </w:t>
      </w:r>
    </w:p>
    <w:p w:rsidR="00F84346" w:rsidRPr="00F84346" w:rsidRDefault="00F84346" w:rsidP="00665645">
      <w:pPr>
        <w:tabs>
          <w:tab w:val="left" w:pos="-1440"/>
        </w:tabs>
        <w:rPr>
          <w:rFonts w:ascii="Times New Roman" w:hAnsi="Times New Roman"/>
          <w:b/>
        </w:rPr>
      </w:pPr>
    </w:p>
    <w:p w:rsidR="00F84346" w:rsidRPr="002405DA" w:rsidRDefault="002405DA" w:rsidP="00665645">
      <w:pPr>
        <w:tabs>
          <w:tab w:val="left" w:pos="-1440"/>
        </w:tabs>
        <w:rPr>
          <w:rFonts w:ascii="Times New Roman" w:hAnsi="Times New Roman"/>
        </w:rPr>
      </w:pPr>
      <w:r w:rsidRPr="00C445FE">
        <w:rPr>
          <w:rFonts w:ascii="Times New Roman" w:hAnsi="Times New Roman"/>
          <w:b/>
        </w:rPr>
        <w:lastRenderedPageBreak/>
        <w:t>A.</w:t>
      </w:r>
      <w:r w:rsidRPr="00C445FE">
        <w:rPr>
          <w:rFonts w:ascii="Times New Roman" w:hAnsi="Times New Roman"/>
        </w:rPr>
        <w:t xml:space="preserve"> </w:t>
      </w:r>
      <w:r w:rsidR="003D76C7" w:rsidRPr="00C445FE">
        <w:rPr>
          <w:rFonts w:ascii="Times New Roman" w:hAnsi="Times New Roman"/>
        </w:rPr>
        <w:t xml:space="preserve">This submission has been reviewed by staff in the CDC Information Collection </w:t>
      </w:r>
      <w:r w:rsidR="00440ADD">
        <w:rPr>
          <w:rFonts w:ascii="Times New Roman" w:hAnsi="Times New Roman"/>
        </w:rPr>
        <w:t xml:space="preserve">Review </w:t>
      </w:r>
      <w:r w:rsidR="003D76C7" w:rsidRPr="00C445FE">
        <w:rPr>
          <w:rFonts w:ascii="Times New Roman" w:hAnsi="Times New Roman"/>
        </w:rPr>
        <w:t>Office, who determined that the Privacy Act</w:t>
      </w:r>
      <w:r w:rsidR="00440ADD">
        <w:rPr>
          <w:rFonts w:ascii="Times New Roman" w:hAnsi="Times New Roman"/>
        </w:rPr>
        <w:t xml:space="preserve"> does </w:t>
      </w:r>
      <w:r w:rsidR="005C54A1">
        <w:rPr>
          <w:rFonts w:ascii="Times New Roman" w:hAnsi="Times New Roman"/>
        </w:rPr>
        <w:t>appl</w:t>
      </w:r>
      <w:r w:rsidR="00440ADD">
        <w:rPr>
          <w:rFonts w:ascii="Times New Roman" w:hAnsi="Times New Roman"/>
        </w:rPr>
        <w:t>y</w:t>
      </w:r>
      <w:r w:rsidR="003D76C7" w:rsidRPr="00C445FE">
        <w:rPr>
          <w:rFonts w:ascii="Times New Roman" w:hAnsi="Times New Roman"/>
        </w:rPr>
        <w:t xml:space="preserve">. </w:t>
      </w:r>
      <w:r w:rsidR="005C54A1">
        <w:rPr>
          <w:rFonts w:ascii="Times New Roman" w:hAnsi="Times New Roman"/>
        </w:rPr>
        <w:t xml:space="preserve"> </w:t>
      </w:r>
      <w:r w:rsidRPr="00C445FE">
        <w:rPr>
          <w:rFonts w:ascii="Times New Roman" w:hAnsi="Times New Roman"/>
        </w:rPr>
        <w:t xml:space="preserve">The applicable System of Records Notice </w:t>
      </w:r>
      <w:r w:rsidR="005C54A1">
        <w:rPr>
          <w:rFonts w:ascii="Times New Roman" w:hAnsi="Times New Roman"/>
        </w:rPr>
        <w:t xml:space="preserve">(SORN) </w:t>
      </w:r>
      <w:r w:rsidRPr="00C445FE">
        <w:rPr>
          <w:rFonts w:ascii="Times New Roman" w:hAnsi="Times New Roman"/>
        </w:rPr>
        <w:t>is</w:t>
      </w:r>
      <w:r w:rsidR="005C54A1">
        <w:rPr>
          <w:rFonts w:ascii="Times New Roman" w:hAnsi="Times New Roman"/>
        </w:rPr>
        <w:t xml:space="preserve"> 09-20-0136, Epidemiologic Studies and Surveillance of Disease Problems.</w:t>
      </w:r>
    </w:p>
    <w:p w:rsidR="003D76C7" w:rsidRDefault="003D76C7" w:rsidP="00665645">
      <w:pPr>
        <w:tabs>
          <w:tab w:val="left" w:pos="-1440"/>
        </w:tabs>
      </w:pPr>
    </w:p>
    <w:p w:rsidR="00E074E2" w:rsidRDefault="002405DA" w:rsidP="00665645">
      <w:pPr>
        <w:tabs>
          <w:tab w:val="left" w:pos="-1440"/>
        </w:tabs>
        <w:rPr>
          <w:rFonts w:ascii="Times New Roman" w:hAnsi="Times New Roman"/>
        </w:rPr>
      </w:pPr>
      <w:r w:rsidRPr="00830C48">
        <w:rPr>
          <w:rFonts w:ascii="Times New Roman" w:hAnsi="Times New Roman"/>
          <w:b/>
        </w:rPr>
        <w:t>B.</w:t>
      </w:r>
      <w:r w:rsidRPr="002405DA">
        <w:rPr>
          <w:rFonts w:ascii="Times New Roman" w:hAnsi="Times New Roman"/>
        </w:rPr>
        <w:t xml:space="preserve"> </w:t>
      </w:r>
      <w:r w:rsidR="00F2068C">
        <w:rPr>
          <w:rFonts w:ascii="Times New Roman" w:hAnsi="Times New Roman"/>
        </w:rPr>
        <w:t>A</w:t>
      </w:r>
      <w:r>
        <w:rPr>
          <w:rFonts w:ascii="Times New Roman" w:hAnsi="Times New Roman"/>
        </w:rPr>
        <w:t xml:space="preserve"> </w:t>
      </w:r>
      <w:r w:rsidR="00353EF4">
        <w:rPr>
          <w:rFonts w:ascii="Times New Roman" w:hAnsi="Times New Roman"/>
        </w:rPr>
        <w:t>Certificate</w:t>
      </w:r>
      <w:r>
        <w:rPr>
          <w:rFonts w:ascii="Times New Roman" w:hAnsi="Times New Roman"/>
        </w:rPr>
        <w:t xml:space="preserve"> of Confidentiality </w:t>
      </w:r>
      <w:r w:rsidR="00591AF2">
        <w:rPr>
          <w:rFonts w:ascii="Times New Roman" w:hAnsi="Times New Roman"/>
        </w:rPr>
        <w:t xml:space="preserve">was </w:t>
      </w:r>
      <w:r w:rsidR="00F2068C">
        <w:rPr>
          <w:rFonts w:ascii="Times New Roman" w:hAnsi="Times New Roman"/>
        </w:rPr>
        <w:t>re</w:t>
      </w:r>
      <w:r w:rsidR="00591AF2">
        <w:rPr>
          <w:rFonts w:ascii="Times New Roman" w:hAnsi="Times New Roman"/>
        </w:rPr>
        <w:t>ceiv</w:t>
      </w:r>
      <w:r w:rsidR="00F2068C">
        <w:rPr>
          <w:rFonts w:ascii="Times New Roman" w:hAnsi="Times New Roman"/>
        </w:rPr>
        <w:t>ed from</w:t>
      </w:r>
      <w:r>
        <w:rPr>
          <w:rFonts w:ascii="Times New Roman" w:hAnsi="Times New Roman"/>
        </w:rPr>
        <w:t xml:space="preserve"> the Assoc</w:t>
      </w:r>
      <w:r w:rsidR="008024BD">
        <w:rPr>
          <w:rFonts w:ascii="Times New Roman" w:hAnsi="Times New Roman"/>
        </w:rPr>
        <w:t>iate Director for Science, CDC. This is authorized by section 301[d] under the Public Health Service Act.</w:t>
      </w:r>
      <w:r w:rsidR="00A778FF">
        <w:rPr>
          <w:rFonts w:ascii="Times New Roman" w:hAnsi="Times New Roman"/>
        </w:rPr>
        <w:t xml:space="preserve"> </w:t>
      </w:r>
      <w:r w:rsidR="00E074E2">
        <w:rPr>
          <w:rFonts w:ascii="Times New Roman" w:hAnsi="Times New Roman"/>
        </w:rPr>
        <w:t xml:space="preserve">In addition, the contractor Battelle </w:t>
      </w:r>
      <w:r w:rsidR="006E16B7">
        <w:rPr>
          <w:rFonts w:ascii="Times New Roman" w:hAnsi="Times New Roman"/>
        </w:rPr>
        <w:t>is using</w:t>
      </w:r>
      <w:r w:rsidR="00E074E2">
        <w:rPr>
          <w:rFonts w:ascii="Times New Roman" w:hAnsi="Times New Roman"/>
        </w:rPr>
        <w:t xml:space="preserve"> security controls to protect against unauthorized access, modification, destruction or disclosure of data through access control and authentication. Security controls will protect privacy and confidentiality of personal identifying information (PII) and personal health information (PHI) through technical controls, administrative controls and physical controls. </w:t>
      </w:r>
      <w:r w:rsidR="000C0DF1">
        <w:rPr>
          <w:rFonts w:ascii="Times New Roman" w:hAnsi="Times New Roman"/>
        </w:rPr>
        <w:t>Documentation of the Certificate of Confidentiality is included as Attachment G3.</w:t>
      </w:r>
    </w:p>
    <w:p w:rsidR="0017676D" w:rsidRDefault="0017676D" w:rsidP="00665645">
      <w:pPr>
        <w:tabs>
          <w:tab w:val="left" w:pos="-1440"/>
        </w:tabs>
        <w:rPr>
          <w:rFonts w:ascii="Times New Roman" w:hAnsi="Times New Roman"/>
        </w:rPr>
      </w:pPr>
    </w:p>
    <w:p w:rsidR="00E074E2" w:rsidRDefault="005E6652" w:rsidP="00665645">
      <w:pPr>
        <w:tabs>
          <w:tab w:val="left" w:pos="-1440"/>
        </w:tabs>
        <w:rPr>
          <w:rFonts w:ascii="Times New Roman" w:hAnsi="Times New Roman"/>
        </w:rPr>
      </w:pPr>
      <w:r w:rsidRPr="005E6652">
        <w:rPr>
          <w:rFonts w:ascii="Times New Roman" w:hAnsi="Times New Roman"/>
          <w:u w:val="single"/>
        </w:rPr>
        <w:t>Technical Controls</w:t>
      </w:r>
      <w:r>
        <w:rPr>
          <w:rFonts w:ascii="Times New Roman" w:hAnsi="Times New Roman"/>
        </w:rPr>
        <w:t xml:space="preserve">. </w:t>
      </w:r>
      <w:r w:rsidR="006E16B7">
        <w:rPr>
          <w:rFonts w:ascii="Times New Roman" w:hAnsi="Times New Roman"/>
        </w:rPr>
        <w:t xml:space="preserve">All </w:t>
      </w:r>
      <w:r w:rsidR="00E074E2" w:rsidRPr="0000238F">
        <w:rPr>
          <w:rFonts w:ascii="Times New Roman" w:hAnsi="Times New Roman"/>
        </w:rPr>
        <w:t xml:space="preserve">data collected during performance of </w:t>
      </w:r>
      <w:r w:rsidR="00E074E2">
        <w:rPr>
          <w:rFonts w:ascii="Times New Roman" w:hAnsi="Times New Roman"/>
        </w:rPr>
        <w:t>this study</w:t>
      </w:r>
      <w:r w:rsidR="00E074E2" w:rsidRPr="0000238F">
        <w:rPr>
          <w:rFonts w:ascii="Times New Roman" w:hAnsi="Times New Roman"/>
        </w:rPr>
        <w:t xml:space="preserve"> </w:t>
      </w:r>
      <w:r w:rsidR="006E16B7">
        <w:rPr>
          <w:rFonts w:ascii="Times New Roman" w:hAnsi="Times New Roman"/>
        </w:rPr>
        <w:t>ar</w:t>
      </w:r>
      <w:r w:rsidR="00E074E2">
        <w:rPr>
          <w:rFonts w:ascii="Times New Roman" w:hAnsi="Times New Roman"/>
        </w:rPr>
        <w:t>e</w:t>
      </w:r>
      <w:r w:rsidR="00E074E2" w:rsidRPr="0000238F">
        <w:rPr>
          <w:rFonts w:ascii="Times New Roman" w:hAnsi="Times New Roman"/>
        </w:rPr>
        <w:t xml:space="preserve"> stored in Battelle’s SQL Server databases on Local Area Networks (LANs) behind firewalls. </w:t>
      </w:r>
      <w:r w:rsidR="00E074E2">
        <w:rPr>
          <w:rFonts w:ascii="Times New Roman" w:hAnsi="Times New Roman"/>
        </w:rPr>
        <w:t>Each</w:t>
      </w:r>
      <w:r w:rsidR="00E074E2" w:rsidRPr="0000238F">
        <w:rPr>
          <w:rFonts w:ascii="Times New Roman" w:hAnsi="Times New Roman"/>
        </w:rPr>
        <w:t xml:space="preserve"> subject is assigned a unique subject ID that is the unique identifier on all analytic and survey data records, assuring that personal identifying information is not stored with the data and all analysts are blinded to the subject’s identity. The link between personal identifying information and the assigned ID is stored in a separate secured database table with controlled access. Analytical data sets may be stored on analysts’ PCs when they are working with the data. All Battelle PCs are </w:t>
      </w:r>
      <w:r w:rsidR="00E074E2">
        <w:rPr>
          <w:rFonts w:ascii="Times New Roman" w:hAnsi="Times New Roman"/>
        </w:rPr>
        <w:t xml:space="preserve">currently </w:t>
      </w:r>
      <w:r w:rsidR="00E074E2" w:rsidRPr="0000238F">
        <w:rPr>
          <w:rFonts w:ascii="Times New Roman" w:hAnsi="Times New Roman"/>
        </w:rPr>
        <w:t xml:space="preserve">Windows XP Professional, Service Pack 2 and access is controlled. </w:t>
      </w:r>
    </w:p>
    <w:p w:rsidR="00123CF6" w:rsidRDefault="00123CF6" w:rsidP="00665645">
      <w:pPr>
        <w:tabs>
          <w:tab w:val="left" w:pos="-1440"/>
        </w:tabs>
        <w:rPr>
          <w:rFonts w:ascii="Times New Roman" w:hAnsi="Times New Roman"/>
        </w:rPr>
      </w:pPr>
    </w:p>
    <w:p w:rsidR="00123CF6" w:rsidRDefault="00123CF6" w:rsidP="00123CF6">
      <w:pPr>
        <w:suppressAutoHyphens/>
        <w:rPr>
          <w:rFonts w:ascii="Times New Roman" w:hAnsi="Times New Roman"/>
        </w:rPr>
      </w:pPr>
      <w:r w:rsidRPr="005E6652">
        <w:rPr>
          <w:rFonts w:ascii="Times New Roman" w:hAnsi="Times New Roman"/>
          <w:u w:val="single"/>
        </w:rPr>
        <w:t>Physical Controls</w:t>
      </w:r>
      <w:r>
        <w:rPr>
          <w:rFonts w:ascii="Times New Roman" w:hAnsi="Times New Roman"/>
        </w:rPr>
        <w:t xml:space="preserve">. All servers are located in secure controlled access areas. </w:t>
      </w:r>
      <w:r w:rsidRPr="0000238F">
        <w:rPr>
          <w:rFonts w:ascii="Times New Roman" w:hAnsi="Times New Roman"/>
        </w:rPr>
        <w:t xml:space="preserve">Physical access to Battelle offices during non-office hours requires possession of an electronic card. During office hours all visitors can only enter through a staffed reception area </w:t>
      </w:r>
      <w:r>
        <w:rPr>
          <w:rFonts w:ascii="Times New Roman" w:hAnsi="Times New Roman"/>
        </w:rPr>
        <w:t xml:space="preserve">where they are logged in </w:t>
      </w:r>
      <w:r w:rsidRPr="0000238F">
        <w:rPr>
          <w:rFonts w:ascii="Times New Roman" w:hAnsi="Times New Roman"/>
        </w:rPr>
        <w:t xml:space="preserve">and must be escorted at all times while on the premises. Within each Battelle office are additional secure areas that have secured access at all times. All server rooms require 24-hours electronic card access. Each electronic card is programmed for a specific user and provides that user with access to all areas to which they are authorized. Battelle offices also have alarm systems monitored by professional security agencies that are activated when the offices are vacant. Authorized users have individual access codes and all access, including invalid attempts, are logged. In addition to these general security measures, sensitive material is stored in locked file cabinets when not in use. Only office administrators and staff authorized to work with these materials have keys to these file cabinets. Battelle staff are trained in these policies and periodically reminded of their importance. Battelle staff </w:t>
      </w:r>
      <w:r>
        <w:rPr>
          <w:rFonts w:ascii="Times New Roman" w:hAnsi="Times New Roman"/>
        </w:rPr>
        <w:t xml:space="preserve">members </w:t>
      </w:r>
      <w:r w:rsidRPr="0000238F">
        <w:rPr>
          <w:rFonts w:ascii="Times New Roman" w:hAnsi="Times New Roman"/>
        </w:rPr>
        <w:t>are required to lock their computers when away from their desk using Windows XP Task Manager. Password-protected auto-locking is configured to activate after 10 minutes of inactivity.</w:t>
      </w:r>
    </w:p>
    <w:p w:rsidR="007373A6" w:rsidRDefault="007373A6" w:rsidP="00123CF6">
      <w:pPr>
        <w:suppressAutoHyphens/>
        <w:rPr>
          <w:rFonts w:ascii="Times New Roman" w:hAnsi="Times New Roman"/>
        </w:rPr>
      </w:pPr>
    </w:p>
    <w:p w:rsidR="005E6652" w:rsidRDefault="005E6652" w:rsidP="005E6652">
      <w:pPr>
        <w:tabs>
          <w:tab w:val="left" w:pos="-1440"/>
        </w:tabs>
        <w:rPr>
          <w:rFonts w:ascii="Times New Roman" w:hAnsi="Times New Roman"/>
          <w:color w:val="000000"/>
        </w:rPr>
      </w:pPr>
      <w:r w:rsidRPr="005E6652">
        <w:rPr>
          <w:rFonts w:ascii="Times New Roman" w:hAnsi="Times New Roman"/>
          <w:color w:val="000000"/>
          <w:u w:val="single"/>
        </w:rPr>
        <w:t>Administrative Controls</w:t>
      </w:r>
      <w:r>
        <w:rPr>
          <w:rFonts w:ascii="Times New Roman" w:hAnsi="Times New Roman"/>
          <w:color w:val="000000"/>
        </w:rPr>
        <w:t xml:space="preserve">. </w:t>
      </w:r>
      <w:r w:rsidRPr="00D46A99">
        <w:rPr>
          <w:rFonts w:ascii="Times New Roman" w:hAnsi="Times New Roman"/>
          <w:color w:val="000000"/>
        </w:rPr>
        <w:t xml:space="preserve">Battelle’s IT division maintains an intranet site on </w:t>
      </w:r>
      <w:proofErr w:type="spellStart"/>
      <w:r>
        <w:rPr>
          <w:rFonts w:ascii="Times New Roman" w:hAnsi="Times New Roman"/>
          <w:color w:val="000000"/>
        </w:rPr>
        <w:t>Cybers</w:t>
      </w:r>
      <w:r w:rsidRPr="00D46A99">
        <w:rPr>
          <w:rFonts w:ascii="Times New Roman" w:hAnsi="Times New Roman"/>
          <w:color w:val="000000"/>
        </w:rPr>
        <w:t>ecurity</w:t>
      </w:r>
      <w:proofErr w:type="spellEnd"/>
      <w:r w:rsidRPr="00D46A99">
        <w:rPr>
          <w:rFonts w:ascii="Times New Roman" w:hAnsi="Times New Roman"/>
          <w:color w:val="000000"/>
        </w:rPr>
        <w:t xml:space="preserve"> Policies</w:t>
      </w:r>
      <w:r>
        <w:rPr>
          <w:rFonts w:ascii="Times New Roman" w:hAnsi="Times New Roman"/>
          <w:color w:val="000000"/>
        </w:rPr>
        <w:t xml:space="preserve"> and Procedures that is accessible by all employees</w:t>
      </w:r>
      <w:r w:rsidRPr="00D46A99">
        <w:rPr>
          <w:rFonts w:ascii="Times New Roman" w:hAnsi="Times New Roman"/>
          <w:color w:val="000000"/>
        </w:rPr>
        <w:t xml:space="preserve">. This site </w:t>
      </w:r>
      <w:r>
        <w:rPr>
          <w:rFonts w:ascii="Times New Roman" w:hAnsi="Times New Roman"/>
          <w:color w:val="000000"/>
        </w:rPr>
        <w:t>includes staff responsibilities for protecting data and security requirements for protection of the network, PCs, mobile devices and the data residing on them.</w:t>
      </w:r>
      <w:r w:rsidRPr="00D46A99">
        <w:rPr>
          <w:rFonts w:ascii="Times New Roman" w:hAnsi="Times New Roman"/>
          <w:color w:val="000000"/>
        </w:rPr>
        <w:t xml:space="preserve"> In addition, the IT division frequently sends emails to all staff reminding them of specific security issues, such as use of the internet, rem</w:t>
      </w:r>
      <w:r>
        <w:rPr>
          <w:rFonts w:ascii="Times New Roman" w:hAnsi="Times New Roman"/>
          <w:color w:val="000000"/>
        </w:rPr>
        <w:t>ote access, email safety, etc. Battelle is in the process of developing its own IT Security Awareness training</w:t>
      </w:r>
      <w:r w:rsidR="00063676">
        <w:rPr>
          <w:rFonts w:ascii="Times New Roman" w:hAnsi="Times New Roman"/>
          <w:color w:val="000000"/>
        </w:rPr>
        <w:t>.</w:t>
      </w:r>
    </w:p>
    <w:p w:rsidR="005E6652" w:rsidRDefault="005E6652" w:rsidP="005E6652">
      <w:pPr>
        <w:tabs>
          <w:tab w:val="left" w:pos="-1440"/>
        </w:tabs>
        <w:rPr>
          <w:rFonts w:ascii="Times New Roman" w:hAnsi="Times New Roman"/>
          <w:color w:val="000000"/>
        </w:rPr>
      </w:pPr>
    </w:p>
    <w:p w:rsidR="00E074E2" w:rsidRDefault="00E074E2" w:rsidP="00665645">
      <w:pPr>
        <w:tabs>
          <w:tab w:val="left" w:pos="-1440"/>
        </w:tabs>
        <w:rPr>
          <w:rFonts w:ascii="Times New Roman" w:hAnsi="Times New Roman"/>
        </w:rPr>
      </w:pPr>
      <w:r w:rsidRPr="0000238F">
        <w:rPr>
          <w:rFonts w:ascii="Times New Roman" w:hAnsi="Times New Roman"/>
        </w:rPr>
        <w:t xml:space="preserve">SQL Server databases are backed up nightly to a folder on the server’s hard drive and integrity is </w:t>
      </w:r>
      <w:r w:rsidRPr="0000238F">
        <w:rPr>
          <w:rFonts w:ascii="Times New Roman" w:hAnsi="Times New Roman"/>
        </w:rPr>
        <w:lastRenderedPageBreak/>
        <w:t>verified upon completion. The folder containing these full database backups is then backed up to tape as part of our network backup plan. The network backups provide nightly incremental backups and full backups on weekends for all data stored on Battelle LANs and WANs. Tapes are stored offsite at secure contracted facilities.</w:t>
      </w:r>
      <w:r w:rsidR="005E6652" w:rsidRPr="005E6652">
        <w:rPr>
          <w:rFonts w:ascii="Times New Roman" w:hAnsi="Times New Roman"/>
        </w:rPr>
        <w:t xml:space="preserve"> </w:t>
      </w:r>
      <w:r w:rsidR="005E6652" w:rsidRPr="0000238F">
        <w:rPr>
          <w:rFonts w:ascii="Times New Roman" w:hAnsi="Times New Roman"/>
        </w:rPr>
        <w:t xml:space="preserve">Permissions to project databases are limited to staff </w:t>
      </w:r>
      <w:r w:rsidR="005E6652">
        <w:rPr>
          <w:rFonts w:ascii="Times New Roman" w:hAnsi="Times New Roman"/>
        </w:rPr>
        <w:t>members assigned to work on the</w:t>
      </w:r>
      <w:r w:rsidR="005E6652" w:rsidRPr="0000238F">
        <w:rPr>
          <w:rFonts w:ascii="Times New Roman" w:hAnsi="Times New Roman"/>
        </w:rPr>
        <w:t xml:space="preserve"> project. Non-technical project staff can only access the data indirectly through applications and are authenticated by username and password when logging into the application. </w:t>
      </w:r>
      <w:r w:rsidR="00CA030A" w:rsidRPr="0000238F">
        <w:rPr>
          <w:rFonts w:ascii="Times New Roman" w:hAnsi="Times New Roman"/>
        </w:rPr>
        <w:t xml:space="preserve">All PC-based files, folders, and applications are backed up nightly to a secure server in encrypted format using Connected </w:t>
      </w:r>
      <w:proofErr w:type="spellStart"/>
      <w:r w:rsidR="00CA030A" w:rsidRPr="0000238F">
        <w:rPr>
          <w:rFonts w:ascii="Times New Roman" w:hAnsi="Times New Roman"/>
        </w:rPr>
        <w:t>DataProtector</w:t>
      </w:r>
      <w:proofErr w:type="spellEnd"/>
      <w:r w:rsidR="00CA030A" w:rsidRPr="0000238F">
        <w:rPr>
          <w:rFonts w:ascii="Times New Roman" w:hAnsi="Times New Roman"/>
        </w:rPr>
        <w:t xml:space="preserve"> software. Laptops are backed up using this software when staff reconnects to the Battelle network. Files remain encrypted while stored and only the owner of the files and the IT administrator has the encryption key. Staff can elect to backup or restore files at any time in addition to the automatic backup. </w:t>
      </w:r>
      <w:r w:rsidR="007373A6">
        <w:rPr>
          <w:rFonts w:ascii="Times New Roman" w:hAnsi="Times New Roman"/>
        </w:rPr>
        <w:t>A</w:t>
      </w:r>
      <w:r w:rsidR="005E6652" w:rsidRPr="0000238F">
        <w:rPr>
          <w:rFonts w:ascii="Times New Roman" w:hAnsi="Times New Roman"/>
        </w:rPr>
        <w:t xml:space="preserve"> Battelle technical staff member is responsible for transferring data to </w:t>
      </w:r>
      <w:r w:rsidR="005E6652">
        <w:rPr>
          <w:rFonts w:ascii="Times New Roman" w:hAnsi="Times New Roman"/>
        </w:rPr>
        <w:t>CDC and participating clinics</w:t>
      </w:r>
      <w:r w:rsidR="005E6652" w:rsidRPr="0000238F">
        <w:rPr>
          <w:rFonts w:ascii="Times New Roman" w:hAnsi="Times New Roman"/>
        </w:rPr>
        <w:t xml:space="preserve"> in a secure manner and for receiving data from the</w:t>
      </w:r>
      <w:r w:rsidR="005E6652">
        <w:rPr>
          <w:rFonts w:ascii="Times New Roman" w:hAnsi="Times New Roman"/>
        </w:rPr>
        <w:t>se</w:t>
      </w:r>
      <w:r w:rsidR="005E6652" w:rsidRPr="0000238F">
        <w:rPr>
          <w:rFonts w:ascii="Times New Roman" w:hAnsi="Times New Roman"/>
        </w:rPr>
        <w:t xml:space="preserve"> agencies and securing it. Identifying information is always stored and transferred separately from analysis data</w:t>
      </w:r>
      <w:r w:rsidR="005E6652">
        <w:rPr>
          <w:rFonts w:ascii="Times New Roman" w:hAnsi="Times New Roman"/>
        </w:rPr>
        <w:t>. Records will be retained and destroyed in accordance with the applicable CDC Records Control Schedule.</w:t>
      </w:r>
    </w:p>
    <w:p w:rsidR="002E322D" w:rsidRDefault="002E322D" w:rsidP="00665645">
      <w:pPr>
        <w:tabs>
          <w:tab w:val="left" w:pos="-1440"/>
        </w:tabs>
        <w:rPr>
          <w:rFonts w:ascii="Times New Roman" w:hAnsi="Times New Roman"/>
        </w:rPr>
      </w:pPr>
    </w:p>
    <w:p w:rsidR="002405DA" w:rsidRPr="00755A87" w:rsidRDefault="002405DA" w:rsidP="001A6807">
      <w:pPr>
        <w:tabs>
          <w:tab w:val="left" w:pos="-1440"/>
        </w:tabs>
        <w:rPr>
          <w:rFonts w:ascii="Times New Roman" w:hAnsi="Times New Roman"/>
        </w:rPr>
      </w:pPr>
      <w:r w:rsidRPr="00830C48">
        <w:rPr>
          <w:rFonts w:ascii="Times New Roman" w:hAnsi="Times New Roman"/>
          <w:b/>
        </w:rPr>
        <w:t>C.</w:t>
      </w:r>
      <w:r w:rsidR="00F16442">
        <w:rPr>
          <w:rFonts w:ascii="Times New Roman" w:hAnsi="Times New Roman"/>
          <w:b/>
        </w:rPr>
        <w:t xml:space="preserve">  </w:t>
      </w:r>
      <w:r w:rsidR="00284CEA">
        <w:rPr>
          <w:rFonts w:ascii="Times New Roman" w:hAnsi="Times New Roman"/>
        </w:rPr>
        <w:t xml:space="preserve">Patients were recruited into the study by clinic staff when the patients visited the clinic for their scheduled Pap test.  </w:t>
      </w:r>
      <w:r w:rsidR="00163607">
        <w:rPr>
          <w:rFonts w:ascii="Times New Roman" w:hAnsi="Times New Roman"/>
        </w:rPr>
        <w:t xml:space="preserve">Patients who were eligible and who agreed to participate in the study were asked to sign a consent form (in either English or Spanish) providing permission for the HPV DNA testing.  For those patients who were recruited into the survey arm of the study, the consent form </w:t>
      </w:r>
      <w:r w:rsidR="00284CEA">
        <w:rPr>
          <w:rFonts w:ascii="Times New Roman" w:hAnsi="Times New Roman"/>
        </w:rPr>
        <w:t xml:space="preserve">also </w:t>
      </w:r>
      <w:r w:rsidR="00163607">
        <w:rPr>
          <w:rFonts w:ascii="Times New Roman" w:hAnsi="Times New Roman"/>
        </w:rPr>
        <w:t xml:space="preserve">provided permission for </w:t>
      </w:r>
      <w:r w:rsidR="00284CEA">
        <w:rPr>
          <w:rFonts w:ascii="Times New Roman" w:hAnsi="Times New Roman"/>
        </w:rPr>
        <w:t xml:space="preserve">the </w:t>
      </w:r>
      <w:r w:rsidR="00163607">
        <w:rPr>
          <w:rFonts w:ascii="Times New Roman" w:hAnsi="Times New Roman"/>
        </w:rPr>
        <w:t xml:space="preserve">baseline and follow-up patient surveys.  </w:t>
      </w:r>
      <w:r w:rsidR="00284CEA">
        <w:rPr>
          <w:rFonts w:ascii="Times New Roman" w:hAnsi="Times New Roman"/>
        </w:rPr>
        <w:t xml:space="preserve">A copy of the consent form for patients who were surveyed is included as </w:t>
      </w:r>
      <w:r w:rsidR="00E521BC">
        <w:rPr>
          <w:rFonts w:ascii="Times New Roman" w:hAnsi="Times New Roman"/>
        </w:rPr>
        <w:t xml:space="preserve">Attachment </w:t>
      </w:r>
      <w:r w:rsidR="00A672C5">
        <w:rPr>
          <w:rFonts w:ascii="Times New Roman" w:hAnsi="Times New Roman"/>
        </w:rPr>
        <w:t>D1a</w:t>
      </w:r>
      <w:r w:rsidR="0036745E">
        <w:rPr>
          <w:rFonts w:ascii="Times New Roman" w:hAnsi="Times New Roman"/>
        </w:rPr>
        <w:t xml:space="preserve">.  </w:t>
      </w:r>
      <w:r w:rsidR="00993DBF" w:rsidRPr="00755A87">
        <w:rPr>
          <w:rFonts w:ascii="Times New Roman" w:hAnsi="Times New Roman"/>
        </w:rPr>
        <w:t xml:space="preserve">The consent language </w:t>
      </w:r>
      <w:r w:rsidR="0036745E">
        <w:rPr>
          <w:rFonts w:ascii="Times New Roman" w:hAnsi="Times New Roman"/>
        </w:rPr>
        <w:t xml:space="preserve">is repeated </w:t>
      </w:r>
      <w:r w:rsidR="005C428A">
        <w:rPr>
          <w:rFonts w:ascii="Times New Roman" w:hAnsi="Times New Roman"/>
        </w:rPr>
        <w:t>in the cover letter for</w:t>
      </w:r>
      <w:r w:rsidR="0036745E">
        <w:rPr>
          <w:rFonts w:ascii="Times New Roman" w:hAnsi="Times New Roman"/>
        </w:rPr>
        <w:t xml:space="preserve"> th</w:t>
      </w:r>
      <w:r w:rsidR="00993DBF" w:rsidRPr="00755A87">
        <w:rPr>
          <w:rFonts w:ascii="Times New Roman" w:hAnsi="Times New Roman"/>
        </w:rPr>
        <w:t xml:space="preserve">e </w:t>
      </w:r>
      <w:r w:rsidR="00E521BC">
        <w:rPr>
          <w:rFonts w:ascii="Times New Roman" w:hAnsi="Times New Roman"/>
        </w:rPr>
        <w:t xml:space="preserve">patient </w:t>
      </w:r>
      <w:r w:rsidR="0036745E">
        <w:rPr>
          <w:rFonts w:ascii="Times New Roman" w:hAnsi="Times New Roman"/>
        </w:rPr>
        <w:t xml:space="preserve">follow-up </w:t>
      </w:r>
      <w:r w:rsidR="00993DBF" w:rsidRPr="00755A87">
        <w:rPr>
          <w:rFonts w:ascii="Times New Roman" w:hAnsi="Times New Roman"/>
        </w:rPr>
        <w:t>surveys</w:t>
      </w:r>
      <w:r w:rsidR="0036745E">
        <w:rPr>
          <w:rFonts w:ascii="Times New Roman" w:hAnsi="Times New Roman"/>
        </w:rPr>
        <w:t xml:space="preserve"> (</w:t>
      </w:r>
      <w:r w:rsidR="00284CEA">
        <w:rPr>
          <w:rFonts w:ascii="Times New Roman" w:hAnsi="Times New Roman"/>
        </w:rPr>
        <w:t>Attachmen</w:t>
      </w:r>
      <w:r w:rsidR="00A672C5">
        <w:rPr>
          <w:rFonts w:ascii="Times New Roman" w:hAnsi="Times New Roman"/>
        </w:rPr>
        <w:t>t D1c</w:t>
      </w:r>
      <w:r w:rsidR="0036745E">
        <w:rPr>
          <w:rFonts w:ascii="Times New Roman" w:hAnsi="Times New Roman"/>
        </w:rPr>
        <w:t>)</w:t>
      </w:r>
      <w:r w:rsidR="00815FF2">
        <w:rPr>
          <w:rFonts w:ascii="Times New Roman" w:hAnsi="Times New Roman"/>
        </w:rPr>
        <w:t>.</w:t>
      </w:r>
      <w:r w:rsidR="00284CEA">
        <w:rPr>
          <w:rFonts w:ascii="Times New Roman" w:hAnsi="Times New Roman"/>
        </w:rPr>
        <w:t xml:space="preserve">  </w:t>
      </w:r>
      <w:r w:rsidR="00420CFB">
        <w:rPr>
          <w:rFonts w:ascii="Times New Roman" w:hAnsi="Times New Roman"/>
        </w:rPr>
        <w:t>With respect to the provider follow-up survey, t</w:t>
      </w:r>
      <w:r w:rsidR="00420CFB" w:rsidRPr="00755A87">
        <w:rPr>
          <w:rFonts w:ascii="Times New Roman" w:hAnsi="Times New Roman"/>
        </w:rPr>
        <w:t xml:space="preserve">he consent language </w:t>
      </w:r>
      <w:r w:rsidR="00420CFB">
        <w:rPr>
          <w:rFonts w:ascii="Times New Roman" w:hAnsi="Times New Roman"/>
        </w:rPr>
        <w:t>is included in the cover letter for th</w:t>
      </w:r>
      <w:r w:rsidR="00420CFB" w:rsidRPr="00755A87">
        <w:rPr>
          <w:rFonts w:ascii="Times New Roman" w:hAnsi="Times New Roman"/>
        </w:rPr>
        <w:t xml:space="preserve">e </w:t>
      </w:r>
      <w:r w:rsidR="00420CFB">
        <w:rPr>
          <w:rFonts w:ascii="Times New Roman" w:hAnsi="Times New Roman"/>
        </w:rPr>
        <w:t xml:space="preserve">provider follow-up </w:t>
      </w:r>
      <w:r w:rsidR="00420CFB" w:rsidRPr="00755A87">
        <w:rPr>
          <w:rFonts w:ascii="Times New Roman" w:hAnsi="Times New Roman"/>
        </w:rPr>
        <w:t>surveys</w:t>
      </w:r>
      <w:r w:rsidR="00420CFB">
        <w:rPr>
          <w:rFonts w:ascii="Times New Roman" w:hAnsi="Times New Roman"/>
        </w:rPr>
        <w:t xml:space="preserve"> (Attachment C1a). </w:t>
      </w:r>
      <w:r w:rsidR="00284CEA" w:rsidRPr="00755A87">
        <w:rPr>
          <w:rFonts w:ascii="Times New Roman" w:hAnsi="Times New Roman"/>
        </w:rPr>
        <w:t xml:space="preserve">Completing the </w:t>
      </w:r>
      <w:r w:rsidR="00420CFB">
        <w:rPr>
          <w:rFonts w:ascii="Times New Roman" w:hAnsi="Times New Roman"/>
        </w:rPr>
        <w:t xml:space="preserve">patient or provider follow-ups </w:t>
      </w:r>
      <w:r w:rsidR="00284CEA" w:rsidRPr="00755A87">
        <w:rPr>
          <w:rFonts w:ascii="Times New Roman" w:hAnsi="Times New Roman"/>
        </w:rPr>
        <w:t>survey and returning it in the envelope provided will be taken a</w:t>
      </w:r>
      <w:r w:rsidR="00284CEA">
        <w:rPr>
          <w:rFonts w:ascii="Times New Roman" w:hAnsi="Times New Roman"/>
        </w:rPr>
        <w:t xml:space="preserve">s indication of consent. </w:t>
      </w:r>
      <w:r w:rsidR="00F77167">
        <w:rPr>
          <w:rFonts w:ascii="Times New Roman" w:hAnsi="Times New Roman"/>
        </w:rPr>
        <w:t>Consent for provider participation in the qualitative interviews to be conducted at the conclusion of the study will be obtained prior t</w:t>
      </w:r>
      <w:r w:rsidR="00420CFB">
        <w:rPr>
          <w:rFonts w:ascii="Times New Roman" w:hAnsi="Times New Roman"/>
        </w:rPr>
        <w:t>o the interviews (Attachment C2a</w:t>
      </w:r>
      <w:r w:rsidR="00F77167">
        <w:rPr>
          <w:rFonts w:ascii="Times New Roman" w:hAnsi="Times New Roman"/>
        </w:rPr>
        <w:t>). Participants in the interviews will be asked to read the con</w:t>
      </w:r>
      <w:r w:rsidR="008B0D32">
        <w:rPr>
          <w:rFonts w:ascii="Times New Roman" w:hAnsi="Times New Roman"/>
        </w:rPr>
        <w:t xml:space="preserve">sent form and to keep the copy </w:t>
      </w:r>
      <w:r w:rsidR="00F77167">
        <w:rPr>
          <w:rFonts w:ascii="Times New Roman" w:hAnsi="Times New Roman"/>
        </w:rPr>
        <w:t>f</w:t>
      </w:r>
      <w:r w:rsidR="008B0D32">
        <w:rPr>
          <w:rFonts w:ascii="Times New Roman" w:hAnsi="Times New Roman"/>
        </w:rPr>
        <w:t>or</w:t>
      </w:r>
      <w:r w:rsidR="00F77167">
        <w:rPr>
          <w:rFonts w:ascii="Times New Roman" w:hAnsi="Times New Roman"/>
        </w:rPr>
        <w:t xml:space="preserve"> their records. </w:t>
      </w:r>
    </w:p>
    <w:p w:rsidR="002405DA" w:rsidRPr="001A6807" w:rsidRDefault="002405DA" w:rsidP="00665645">
      <w:pPr>
        <w:tabs>
          <w:tab w:val="left" w:pos="-1440"/>
        </w:tabs>
        <w:rPr>
          <w:rFonts w:ascii="Times New Roman" w:hAnsi="Times New Roman"/>
        </w:rPr>
      </w:pPr>
    </w:p>
    <w:p w:rsidR="00436B4F" w:rsidRPr="00436B4F" w:rsidRDefault="00B56339" w:rsidP="00436B4F">
      <w:pPr>
        <w:tabs>
          <w:tab w:val="left" w:pos="-1440"/>
        </w:tabs>
        <w:rPr>
          <w:rFonts w:ascii="Times New Roman" w:hAnsi="Times New Roman"/>
        </w:rPr>
      </w:pPr>
      <w:r w:rsidRPr="00830C48">
        <w:rPr>
          <w:rFonts w:ascii="Times New Roman" w:hAnsi="Times New Roman"/>
          <w:b/>
        </w:rPr>
        <w:t>D.</w:t>
      </w:r>
      <w:r>
        <w:rPr>
          <w:rFonts w:ascii="Times New Roman" w:hAnsi="Times New Roman"/>
        </w:rPr>
        <w:t xml:space="preserve"> </w:t>
      </w:r>
      <w:r w:rsidR="002909A5">
        <w:rPr>
          <w:rFonts w:ascii="Times New Roman" w:hAnsi="Times New Roman"/>
        </w:rPr>
        <w:t xml:space="preserve"> P</w:t>
      </w:r>
      <w:r w:rsidR="003A4FA9">
        <w:rPr>
          <w:rFonts w:ascii="Times New Roman" w:hAnsi="Times New Roman"/>
        </w:rPr>
        <w:t xml:space="preserve">articipation in the </w:t>
      </w:r>
      <w:r w:rsidR="005F7348">
        <w:rPr>
          <w:rFonts w:ascii="Times New Roman" w:hAnsi="Times New Roman"/>
        </w:rPr>
        <w:t>p</w:t>
      </w:r>
      <w:r w:rsidRPr="00755A87">
        <w:rPr>
          <w:rFonts w:ascii="Times New Roman" w:hAnsi="Times New Roman"/>
        </w:rPr>
        <w:t xml:space="preserve">rovider </w:t>
      </w:r>
      <w:r w:rsidR="002909A5">
        <w:rPr>
          <w:rFonts w:ascii="Times New Roman" w:hAnsi="Times New Roman"/>
        </w:rPr>
        <w:t xml:space="preserve">follow-up </w:t>
      </w:r>
      <w:r w:rsidRPr="00755A87">
        <w:rPr>
          <w:rFonts w:ascii="Times New Roman" w:hAnsi="Times New Roman"/>
        </w:rPr>
        <w:t>survey</w:t>
      </w:r>
      <w:r w:rsidR="00F77167">
        <w:rPr>
          <w:rFonts w:ascii="Times New Roman" w:hAnsi="Times New Roman"/>
        </w:rPr>
        <w:t xml:space="preserve"> and qualitative interview</w:t>
      </w:r>
      <w:r w:rsidRPr="00755A87">
        <w:rPr>
          <w:rFonts w:ascii="Times New Roman" w:hAnsi="Times New Roman"/>
        </w:rPr>
        <w:t>s</w:t>
      </w:r>
      <w:r>
        <w:rPr>
          <w:rFonts w:ascii="Times New Roman" w:hAnsi="Times New Roman"/>
        </w:rPr>
        <w:t xml:space="preserve"> </w:t>
      </w:r>
      <w:r w:rsidR="00F77167">
        <w:rPr>
          <w:rFonts w:ascii="Times New Roman" w:hAnsi="Times New Roman"/>
        </w:rPr>
        <w:t>is voluntary</w:t>
      </w:r>
      <w:r w:rsidR="005F7348">
        <w:rPr>
          <w:rFonts w:ascii="Times New Roman" w:hAnsi="Times New Roman"/>
        </w:rPr>
        <w:t>. The providers</w:t>
      </w:r>
      <w:r>
        <w:rPr>
          <w:rFonts w:ascii="Times New Roman" w:hAnsi="Times New Roman"/>
        </w:rPr>
        <w:t xml:space="preserve"> are informed of thi</w:t>
      </w:r>
      <w:r w:rsidR="005F7348">
        <w:rPr>
          <w:rFonts w:ascii="Times New Roman" w:hAnsi="Times New Roman"/>
        </w:rPr>
        <w:t xml:space="preserve">s in writing in the </w:t>
      </w:r>
      <w:r w:rsidR="00F77167">
        <w:rPr>
          <w:rFonts w:ascii="Times New Roman" w:hAnsi="Times New Roman"/>
        </w:rPr>
        <w:t xml:space="preserve">survey </w:t>
      </w:r>
      <w:r w:rsidR="005F7348">
        <w:rPr>
          <w:rFonts w:ascii="Times New Roman" w:hAnsi="Times New Roman"/>
        </w:rPr>
        <w:t xml:space="preserve">cover letter </w:t>
      </w:r>
      <w:r>
        <w:rPr>
          <w:rFonts w:ascii="Times New Roman" w:hAnsi="Times New Roman"/>
        </w:rPr>
        <w:t>(</w:t>
      </w:r>
      <w:r w:rsidR="00420CFB">
        <w:rPr>
          <w:rFonts w:ascii="Times New Roman" w:hAnsi="Times New Roman"/>
        </w:rPr>
        <w:t>Attachment C1a</w:t>
      </w:r>
      <w:r>
        <w:rPr>
          <w:rFonts w:ascii="Times New Roman" w:hAnsi="Times New Roman"/>
        </w:rPr>
        <w:t>)</w:t>
      </w:r>
      <w:r w:rsidR="00F77167">
        <w:rPr>
          <w:rFonts w:ascii="Times New Roman" w:hAnsi="Times New Roman"/>
        </w:rPr>
        <w:t xml:space="preserve"> and in the consent form for the qualit</w:t>
      </w:r>
      <w:r w:rsidR="00441C98">
        <w:rPr>
          <w:rFonts w:ascii="Times New Roman" w:hAnsi="Times New Roman"/>
        </w:rPr>
        <w:t>ative interviews (Attachment C2a</w:t>
      </w:r>
      <w:r w:rsidR="00F77167">
        <w:rPr>
          <w:rFonts w:ascii="Times New Roman" w:hAnsi="Times New Roman"/>
        </w:rPr>
        <w:t>)</w:t>
      </w:r>
      <w:r>
        <w:rPr>
          <w:rFonts w:ascii="Times New Roman" w:hAnsi="Times New Roman"/>
        </w:rPr>
        <w:t xml:space="preserve">. Likewise, patient participation in the study is voluntary. </w:t>
      </w:r>
      <w:r w:rsidR="00C70796">
        <w:rPr>
          <w:rFonts w:ascii="Times New Roman" w:hAnsi="Times New Roman"/>
        </w:rPr>
        <w:t>T</w:t>
      </w:r>
      <w:r w:rsidR="007B7FE8" w:rsidRPr="00755A87">
        <w:rPr>
          <w:rFonts w:ascii="Times New Roman" w:hAnsi="Times New Roman"/>
        </w:rPr>
        <w:t xml:space="preserve">he </w:t>
      </w:r>
      <w:r w:rsidR="005F7348">
        <w:rPr>
          <w:rFonts w:ascii="Times New Roman" w:hAnsi="Times New Roman"/>
        </w:rPr>
        <w:t xml:space="preserve">patient </w:t>
      </w:r>
      <w:r w:rsidR="007B7FE8" w:rsidRPr="00755A87">
        <w:rPr>
          <w:rFonts w:ascii="Times New Roman" w:hAnsi="Times New Roman"/>
        </w:rPr>
        <w:t xml:space="preserve">consent form </w:t>
      </w:r>
      <w:r w:rsidR="00441C98">
        <w:rPr>
          <w:rFonts w:ascii="Times New Roman" w:hAnsi="Times New Roman"/>
        </w:rPr>
        <w:t>(Attachment D1a</w:t>
      </w:r>
      <w:r w:rsidR="005F7348">
        <w:rPr>
          <w:rFonts w:ascii="Times New Roman" w:hAnsi="Times New Roman"/>
        </w:rPr>
        <w:t xml:space="preserve">) </w:t>
      </w:r>
      <w:r w:rsidR="008B0D32">
        <w:rPr>
          <w:rFonts w:ascii="Times New Roman" w:hAnsi="Times New Roman"/>
        </w:rPr>
        <w:t>asked</w:t>
      </w:r>
      <w:r w:rsidR="007B7FE8" w:rsidRPr="00755A87">
        <w:rPr>
          <w:rFonts w:ascii="Times New Roman" w:hAnsi="Times New Roman"/>
        </w:rPr>
        <w:t xml:space="preserve"> for their consent fo</w:t>
      </w:r>
      <w:r w:rsidR="008B0D32">
        <w:rPr>
          <w:rFonts w:ascii="Times New Roman" w:hAnsi="Times New Roman"/>
        </w:rPr>
        <w:t>r the</w:t>
      </w:r>
      <w:r w:rsidR="007B7FE8">
        <w:rPr>
          <w:rFonts w:ascii="Times New Roman" w:hAnsi="Times New Roman"/>
        </w:rPr>
        <w:t xml:space="preserve"> baseline </w:t>
      </w:r>
      <w:r w:rsidR="007B7FE8" w:rsidRPr="001C59C1">
        <w:rPr>
          <w:rFonts w:ascii="Times New Roman" w:hAnsi="Times New Roman"/>
        </w:rPr>
        <w:t xml:space="preserve">and follow-up surveys.  Specific language stating the voluntary nature of their participation is in the consent form. The follow-up surveys </w:t>
      </w:r>
      <w:r w:rsidR="008B0D32">
        <w:rPr>
          <w:rFonts w:ascii="Times New Roman" w:hAnsi="Times New Roman"/>
        </w:rPr>
        <w:t>are</w:t>
      </w:r>
      <w:r w:rsidR="007B7FE8" w:rsidRPr="001C59C1">
        <w:rPr>
          <w:rFonts w:ascii="Times New Roman" w:hAnsi="Times New Roman"/>
        </w:rPr>
        <w:t xml:space="preserve"> be</w:t>
      </w:r>
      <w:r w:rsidR="008B0D32">
        <w:rPr>
          <w:rFonts w:ascii="Times New Roman" w:hAnsi="Times New Roman"/>
        </w:rPr>
        <w:t>ing</w:t>
      </w:r>
      <w:r w:rsidR="007B7FE8" w:rsidRPr="001C59C1">
        <w:rPr>
          <w:rFonts w:ascii="Times New Roman" w:hAnsi="Times New Roman"/>
        </w:rPr>
        <w:t xml:space="preserve"> conducted by mail. The consent language </w:t>
      </w:r>
      <w:r w:rsidR="000300E4">
        <w:rPr>
          <w:rFonts w:ascii="Times New Roman" w:hAnsi="Times New Roman"/>
        </w:rPr>
        <w:t xml:space="preserve">is repeated in the cover letter </w:t>
      </w:r>
      <w:r w:rsidR="005F7348">
        <w:rPr>
          <w:rFonts w:ascii="Times New Roman" w:hAnsi="Times New Roman"/>
        </w:rPr>
        <w:t>for t</w:t>
      </w:r>
      <w:r w:rsidR="000300E4">
        <w:rPr>
          <w:rFonts w:ascii="Times New Roman" w:hAnsi="Times New Roman"/>
        </w:rPr>
        <w:t>h</w:t>
      </w:r>
      <w:r w:rsidR="007B7FE8" w:rsidRPr="001C59C1">
        <w:rPr>
          <w:rFonts w:ascii="Times New Roman" w:hAnsi="Times New Roman"/>
        </w:rPr>
        <w:t xml:space="preserve">e </w:t>
      </w:r>
      <w:r w:rsidR="005F7348">
        <w:rPr>
          <w:rFonts w:ascii="Times New Roman" w:hAnsi="Times New Roman"/>
        </w:rPr>
        <w:t xml:space="preserve">patient </w:t>
      </w:r>
      <w:r w:rsidR="000300E4">
        <w:rPr>
          <w:rFonts w:ascii="Times New Roman" w:hAnsi="Times New Roman"/>
        </w:rPr>
        <w:t xml:space="preserve">follow-up </w:t>
      </w:r>
      <w:r w:rsidR="007B7FE8" w:rsidRPr="001C59C1">
        <w:rPr>
          <w:rFonts w:ascii="Times New Roman" w:hAnsi="Times New Roman"/>
        </w:rPr>
        <w:t>surveys</w:t>
      </w:r>
      <w:r w:rsidR="004A0FF6">
        <w:rPr>
          <w:rFonts w:ascii="Times New Roman" w:hAnsi="Times New Roman"/>
        </w:rPr>
        <w:t xml:space="preserve"> (Attachment D1c</w:t>
      </w:r>
      <w:r w:rsidR="00AB6317">
        <w:rPr>
          <w:rFonts w:ascii="Times New Roman" w:hAnsi="Times New Roman"/>
        </w:rPr>
        <w:t>)</w:t>
      </w:r>
      <w:r w:rsidR="007B7FE8" w:rsidRPr="001C59C1">
        <w:rPr>
          <w:rFonts w:ascii="Times New Roman" w:hAnsi="Times New Roman"/>
        </w:rPr>
        <w:t xml:space="preserve">. </w:t>
      </w:r>
      <w:r w:rsidR="008B0D32">
        <w:rPr>
          <w:rFonts w:ascii="Times New Roman" w:hAnsi="Times New Roman"/>
        </w:rPr>
        <w:t xml:space="preserve"> P</w:t>
      </w:r>
      <w:r w:rsidR="00436B4F">
        <w:rPr>
          <w:rFonts w:ascii="Times New Roman" w:hAnsi="Times New Roman"/>
        </w:rPr>
        <w:t xml:space="preserve">atients and providers are informed that their </w:t>
      </w:r>
      <w:r w:rsidR="00436B4F" w:rsidRPr="00436B4F">
        <w:rPr>
          <w:rFonts w:ascii="Times New Roman" w:hAnsi="Times New Roman"/>
        </w:rPr>
        <w:t>survey</w:t>
      </w:r>
      <w:r w:rsidR="008B0D32">
        <w:rPr>
          <w:rFonts w:ascii="Times New Roman" w:hAnsi="Times New Roman"/>
        </w:rPr>
        <w:t>s</w:t>
      </w:r>
      <w:r w:rsidR="00436B4F" w:rsidRPr="00436B4F">
        <w:rPr>
          <w:rFonts w:ascii="Times New Roman" w:hAnsi="Times New Roman"/>
        </w:rPr>
        <w:t xml:space="preserve"> </w:t>
      </w:r>
      <w:r w:rsidR="00436B4F">
        <w:rPr>
          <w:rFonts w:ascii="Times New Roman" w:hAnsi="Times New Roman"/>
        </w:rPr>
        <w:t>will be</w:t>
      </w:r>
      <w:r w:rsidR="00436B4F" w:rsidRPr="00436B4F">
        <w:rPr>
          <w:rFonts w:ascii="Times New Roman" w:hAnsi="Times New Roman"/>
        </w:rPr>
        <w:t xml:space="preserve"> identified only with </w:t>
      </w:r>
      <w:r w:rsidR="00436B4F">
        <w:rPr>
          <w:rFonts w:ascii="Times New Roman" w:hAnsi="Times New Roman"/>
        </w:rPr>
        <w:t>their</w:t>
      </w:r>
      <w:r w:rsidR="00436B4F" w:rsidRPr="00436B4F">
        <w:rPr>
          <w:rFonts w:ascii="Times New Roman" w:hAnsi="Times New Roman"/>
        </w:rPr>
        <w:t xml:space="preserve"> study ID number</w:t>
      </w:r>
      <w:r w:rsidR="00436B4F">
        <w:rPr>
          <w:rFonts w:ascii="Times New Roman" w:hAnsi="Times New Roman"/>
        </w:rPr>
        <w:t>, that</w:t>
      </w:r>
      <w:r w:rsidR="00436B4F" w:rsidRPr="00436B4F">
        <w:rPr>
          <w:rFonts w:ascii="Times New Roman" w:hAnsi="Times New Roman"/>
        </w:rPr>
        <w:t xml:space="preserve"> </w:t>
      </w:r>
      <w:r w:rsidR="00436B4F">
        <w:rPr>
          <w:rFonts w:ascii="Times New Roman" w:hAnsi="Times New Roman"/>
        </w:rPr>
        <w:t>w</w:t>
      </w:r>
      <w:r w:rsidR="00436B4F" w:rsidRPr="00436B4F">
        <w:rPr>
          <w:rFonts w:ascii="Times New Roman" w:hAnsi="Times New Roman"/>
        </w:rPr>
        <w:t>e will not identify any person who was in the study in any papers or reports</w:t>
      </w:r>
      <w:r w:rsidR="00436B4F">
        <w:rPr>
          <w:rFonts w:ascii="Times New Roman" w:hAnsi="Times New Roman"/>
        </w:rPr>
        <w:t>, and that a</w:t>
      </w:r>
      <w:r w:rsidR="00436B4F" w:rsidRPr="00436B4F">
        <w:rPr>
          <w:rFonts w:ascii="Times New Roman" w:hAnsi="Times New Roman"/>
        </w:rPr>
        <w:t xml:space="preserve">ll </w:t>
      </w:r>
      <w:r w:rsidR="00436B4F">
        <w:rPr>
          <w:rFonts w:ascii="Times New Roman" w:hAnsi="Times New Roman"/>
        </w:rPr>
        <w:t xml:space="preserve">responses </w:t>
      </w:r>
      <w:r w:rsidR="00436B4F" w:rsidRPr="00436B4F">
        <w:rPr>
          <w:rFonts w:ascii="Times New Roman" w:hAnsi="Times New Roman"/>
        </w:rPr>
        <w:t xml:space="preserve">will be kept private to the extent allowed by law.  </w:t>
      </w:r>
    </w:p>
    <w:p w:rsidR="00B56339" w:rsidRPr="00734CB7" w:rsidRDefault="00B56339" w:rsidP="00665645">
      <w:pPr>
        <w:tabs>
          <w:tab w:val="left" w:pos="-1440"/>
        </w:tabs>
        <w:rPr>
          <w:rFonts w:ascii="Times New Roman" w:hAnsi="Times New Roman"/>
        </w:rPr>
      </w:pPr>
    </w:p>
    <w:p w:rsidR="00467025" w:rsidRPr="00AF7F72" w:rsidRDefault="003E798F" w:rsidP="00665645">
      <w:pPr>
        <w:pStyle w:val="Head1"/>
        <w:spacing w:before="0" w:beforeAutospacing="0" w:after="0" w:afterAutospacing="0" w:line="240" w:lineRule="auto"/>
      </w:pPr>
      <w:bookmarkStart w:id="12" w:name="_Toc179609154"/>
      <w:r>
        <w:t xml:space="preserve">A.11. </w:t>
      </w:r>
      <w:r w:rsidR="00467025" w:rsidRPr="003C1CE4">
        <w:t>Justification for Sensitive Questions</w:t>
      </w:r>
      <w:bookmarkEnd w:id="12"/>
      <w:r w:rsidR="00467025" w:rsidRPr="003C1CE4">
        <w:t xml:space="preserve"> </w:t>
      </w:r>
    </w:p>
    <w:p w:rsidR="00665645" w:rsidRDefault="00665645" w:rsidP="00665645">
      <w:pPr>
        <w:widowControl/>
        <w:tabs>
          <w:tab w:val="left" w:pos="-1440"/>
        </w:tabs>
        <w:rPr>
          <w:rFonts w:ascii="Times New Roman" w:hAnsi="Times New Roman"/>
        </w:rPr>
      </w:pPr>
    </w:p>
    <w:p w:rsidR="0065000A" w:rsidRPr="00216BEC" w:rsidRDefault="00467025" w:rsidP="00665645">
      <w:pPr>
        <w:widowControl/>
        <w:tabs>
          <w:tab w:val="left" w:pos="-1440"/>
        </w:tabs>
        <w:rPr>
          <w:rFonts w:ascii="Times New Roman" w:hAnsi="Times New Roman"/>
        </w:rPr>
      </w:pPr>
      <w:r w:rsidRPr="003C1CE4">
        <w:rPr>
          <w:rFonts w:ascii="Times New Roman" w:hAnsi="Times New Roman"/>
        </w:rPr>
        <w:t xml:space="preserve">Topics typically considered to be of a sensitive nature include sexual practices, alcohol or drug use, religious beliefs or affiliations, immigration status, and </w:t>
      </w:r>
      <w:r w:rsidRPr="005934EC">
        <w:rPr>
          <w:rFonts w:ascii="Times New Roman" w:hAnsi="Times New Roman"/>
        </w:rPr>
        <w:t>employment</w:t>
      </w:r>
      <w:r w:rsidR="00CF457F">
        <w:rPr>
          <w:rFonts w:ascii="Times New Roman" w:hAnsi="Times New Roman"/>
        </w:rPr>
        <w:t xml:space="preserve"> history. </w:t>
      </w:r>
      <w:r w:rsidR="003A4FA9">
        <w:rPr>
          <w:rFonts w:ascii="Times New Roman" w:hAnsi="Times New Roman"/>
        </w:rPr>
        <w:t xml:space="preserve">Several </w:t>
      </w:r>
      <w:r w:rsidR="003A4FA9">
        <w:rPr>
          <w:rFonts w:ascii="Times New Roman" w:hAnsi="Times New Roman"/>
        </w:rPr>
        <w:lastRenderedPageBreak/>
        <w:t>questions regarding sexual practices (e.g., number of sexual partners) are included in the patient surveys.  These questions are necessary to determine the respondent’s risk of HPV.  In addition, t</w:t>
      </w:r>
      <w:r w:rsidR="005605F1" w:rsidRPr="005605F1">
        <w:rPr>
          <w:rFonts w:ascii="Times New Roman" w:hAnsi="Times New Roman"/>
        </w:rPr>
        <w:t xml:space="preserve">he </w:t>
      </w:r>
      <w:r w:rsidR="00AD1B36">
        <w:rPr>
          <w:rFonts w:ascii="Times New Roman" w:hAnsi="Times New Roman"/>
        </w:rPr>
        <w:t xml:space="preserve">follow-up </w:t>
      </w:r>
      <w:r w:rsidR="005605F1">
        <w:rPr>
          <w:rFonts w:ascii="Times New Roman" w:hAnsi="Times New Roman"/>
        </w:rPr>
        <w:t>provider s</w:t>
      </w:r>
      <w:r w:rsidR="005605F1" w:rsidRPr="005605F1">
        <w:rPr>
          <w:rFonts w:ascii="Times New Roman" w:hAnsi="Times New Roman"/>
        </w:rPr>
        <w:t>urvey</w:t>
      </w:r>
      <w:r w:rsidR="005605F1">
        <w:rPr>
          <w:rFonts w:ascii="Times New Roman" w:hAnsi="Times New Roman"/>
        </w:rPr>
        <w:t xml:space="preserve"> involve</w:t>
      </w:r>
      <w:r w:rsidR="00AD1B36">
        <w:rPr>
          <w:rFonts w:ascii="Times New Roman" w:hAnsi="Times New Roman"/>
        </w:rPr>
        <w:t>s</w:t>
      </w:r>
      <w:r w:rsidR="005605F1" w:rsidRPr="005605F1">
        <w:rPr>
          <w:rFonts w:ascii="Times New Roman" w:hAnsi="Times New Roman"/>
        </w:rPr>
        <w:t xml:space="preserve"> the collection of information that may be considered sensitive by a portion of respondents</w:t>
      </w:r>
      <w:r w:rsidR="005605F1">
        <w:rPr>
          <w:rFonts w:ascii="Times New Roman" w:hAnsi="Times New Roman"/>
        </w:rPr>
        <w:t xml:space="preserve">, such as data </w:t>
      </w:r>
      <w:r w:rsidR="00216BEC">
        <w:rPr>
          <w:rFonts w:ascii="Times New Roman" w:hAnsi="Times New Roman"/>
        </w:rPr>
        <w:t xml:space="preserve">regarding professional practices </w:t>
      </w:r>
      <w:r w:rsidR="005605F1">
        <w:rPr>
          <w:rFonts w:ascii="Times New Roman" w:hAnsi="Times New Roman"/>
        </w:rPr>
        <w:t>as they relate</w:t>
      </w:r>
      <w:r w:rsidR="00216BEC">
        <w:rPr>
          <w:rFonts w:ascii="Times New Roman" w:hAnsi="Times New Roman"/>
        </w:rPr>
        <w:t xml:space="preserve"> to professional guidelines. </w:t>
      </w:r>
      <w:r w:rsidR="005605F1">
        <w:rPr>
          <w:rFonts w:ascii="Times New Roman" w:hAnsi="Times New Roman"/>
        </w:rPr>
        <w:t>Thus, a</w:t>
      </w:r>
      <w:r w:rsidR="002D6CF9" w:rsidRPr="002D6CF9">
        <w:rPr>
          <w:rFonts w:ascii="Times New Roman" w:hAnsi="Times New Roman"/>
        </w:rPr>
        <w:t xml:space="preserve">lthough some information may be considered sensitive by a portion of respondents, the information is required for the </w:t>
      </w:r>
      <w:r w:rsidR="005605F1">
        <w:rPr>
          <w:rFonts w:ascii="Times New Roman" w:hAnsi="Times New Roman"/>
        </w:rPr>
        <w:t>planned analyse</w:t>
      </w:r>
      <w:r w:rsidR="002D6CF9" w:rsidRPr="002D6CF9">
        <w:rPr>
          <w:rFonts w:ascii="Times New Roman" w:hAnsi="Times New Roman"/>
        </w:rPr>
        <w:t>s and use of survey results</w:t>
      </w:r>
      <w:r w:rsidR="005605F1">
        <w:rPr>
          <w:rFonts w:ascii="Times New Roman" w:hAnsi="Times New Roman"/>
        </w:rPr>
        <w:t xml:space="preserve">. </w:t>
      </w:r>
      <w:r w:rsidR="002D6CF9" w:rsidRPr="002D6CF9">
        <w:rPr>
          <w:rFonts w:ascii="Times New Roman" w:hAnsi="Times New Roman"/>
        </w:rPr>
        <w:t>As described in Section A.10</w:t>
      </w:r>
      <w:r w:rsidR="000361D6">
        <w:rPr>
          <w:rFonts w:ascii="Times New Roman" w:hAnsi="Times New Roman"/>
        </w:rPr>
        <w:t xml:space="preserve"> (Assurance of Confidentiality Provided to Respondents)</w:t>
      </w:r>
      <w:r w:rsidR="002D6CF9" w:rsidRPr="002D6CF9">
        <w:rPr>
          <w:rFonts w:ascii="Times New Roman" w:hAnsi="Times New Roman"/>
        </w:rPr>
        <w:t>, appropriate measures to safeguard respondent privacy have been instituted</w:t>
      </w:r>
      <w:r w:rsidR="002D6CF9">
        <w:rPr>
          <w:rFonts w:ascii="Times New Roman" w:hAnsi="Times New Roman"/>
        </w:rPr>
        <w:t>, including obtaining</w:t>
      </w:r>
      <w:r w:rsidR="00216BEC" w:rsidRPr="00216BEC">
        <w:rPr>
          <w:rFonts w:ascii="Times New Roman" w:hAnsi="Times New Roman"/>
        </w:rPr>
        <w:t xml:space="preserve"> </w:t>
      </w:r>
      <w:r w:rsidR="00216BEC" w:rsidRPr="00815FF2">
        <w:rPr>
          <w:rFonts w:ascii="Times New Roman" w:hAnsi="Times New Roman"/>
        </w:rPr>
        <w:t>a Certificate of Confidentiality from CDC</w:t>
      </w:r>
      <w:r w:rsidR="000361D6">
        <w:rPr>
          <w:rFonts w:ascii="Times New Roman" w:hAnsi="Times New Roman"/>
        </w:rPr>
        <w:t xml:space="preserve"> to protect the</w:t>
      </w:r>
      <w:r w:rsidR="003A4FA9">
        <w:rPr>
          <w:rFonts w:ascii="Times New Roman" w:hAnsi="Times New Roman"/>
        </w:rPr>
        <w:t xml:space="preserve"> confidentiality of the</w:t>
      </w:r>
      <w:r w:rsidR="000361D6">
        <w:rPr>
          <w:rFonts w:ascii="Times New Roman" w:hAnsi="Times New Roman"/>
        </w:rPr>
        <w:t xml:space="preserve"> survey data.</w:t>
      </w:r>
    </w:p>
    <w:p w:rsidR="00665645" w:rsidRDefault="00665645" w:rsidP="00665645">
      <w:pPr>
        <w:pStyle w:val="Head1"/>
        <w:spacing w:before="0" w:beforeAutospacing="0" w:after="0" w:afterAutospacing="0" w:line="240" w:lineRule="auto"/>
      </w:pPr>
      <w:bookmarkStart w:id="13" w:name="_Toc179609155"/>
    </w:p>
    <w:p w:rsidR="008F5731" w:rsidRPr="0065000A" w:rsidRDefault="003E798F" w:rsidP="00665645">
      <w:pPr>
        <w:pStyle w:val="Head1"/>
        <w:spacing w:before="0" w:beforeAutospacing="0" w:after="0" w:afterAutospacing="0" w:line="240" w:lineRule="auto"/>
      </w:pPr>
      <w:r>
        <w:t xml:space="preserve">A.12. </w:t>
      </w:r>
      <w:r w:rsidR="008F5731" w:rsidRPr="0065000A">
        <w:t xml:space="preserve">Estimates of </w:t>
      </w:r>
      <w:r w:rsidR="00214A78">
        <w:t xml:space="preserve">Annualized </w:t>
      </w:r>
      <w:r w:rsidR="008F5731" w:rsidRPr="0065000A">
        <w:t xml:space="preserve">Burden </w:t>
      </w:r>
      <w:r w:rsidR="00214A78">
        <w:t>Hours and</w:t>
      </w:r>
      <w:r w:rsidR="008F5731" w:rsidRPr="0065000A">
        <w:t xml:space="preserve"> Costs</w:t>
      </w:r>
      <w:bookmarkEnd w:id="13"/>
    </w:p>
    <w:p w:rsidR="00232E88" w:rsidRDefault="00232E88" w:rsidP="00232E88">
      <w:pPr>
        <w:rPr>
          <w:rFonts w:ascii="Times New Roman" w:hAnsi="Times New Roman"/>
        </w:rPr>
      </w:pPr>
    </w:p>
    <w:p w:rsidR="008F5731" w:rsidRPr="00232E88" w:rsidRDefault="002909A5" w:rsidP="00B13B88">
      <w:pPr>
        <w:rPr>
          <w:rFonts w:ascii="Times New Roman" w:hAnsi="Times New Roman"/>
        </w:rPr>
      </w:pPr>
      <w:r>
        <w:rPr>
          <w:rFonts w:ascii="Times New Roman" w:hAnsi="Times New Roman"/>
        </w:rPr>
        <w:t>Approximately</w:t>
      </w:r>
      <w:r w:rsidR="00F16442">
        <w:rPr>
          <w:rFonts w:ascii="Times New Roman" w:hAnsi="Times New Roman"/>
        </w:rPr>
        <w:t xml:space="preserve"> </w:t>
      </w:r>
      <w:r w:rsidR="00461C9F">
        <w:rPr>
          <w:rFonts w:ascii="Times New Roman" w:hAnsi="Times New Roman"/>
        </w:rPr>
        <w:t xml:space="preserve">70 </w:t>
      </w:r>
      <w:r w:rsidR="00F16442">
        <w:rPr>
          <w:rFonts w:ascii="Times New Roman" w:hAnsi="Times New Roman"/>
        </w:rPr>
        <w:t>providers at the</w:t>
      </w:r>
      <w:r w:rsidR="009D0979">
        <w:rPr>
          <w:rFonts w:ascii="Times New Roman" w:hAnsi="Times New Roman"/>
        </w:rPr>
        <w:t xml:space="preserve"> participating clinics are expected to</w:t>
      </w:r>
      <w:r w:rsidR="00A11161">
        <w:rPr>
          <w:rFonts w:ascii="Times New Roman" w:hAnsi="Times New Roman"/>
        </w:rPr>
        <w:t xml:space="preserve"> be sent the </w:t>
      </w:r>
      <w:r w:rsidR="009D0979" w:rsidRPr="00F16442">
        <w:rPr>
          <w:rFonts w:ascii="Times New Roman" w:hAnsi="Times New Roman"/>
        </w:rPr>
        <w:t>3</w:t>
      </w:r>
      <w:r w:rsidR="00F16442">
        <w:rPr>
          <w:rFonts w:ascii="Times New Roman" w:hAnsi="Times New Roman"/>
        </w:rPr>
        <w:t>6-month follow-up survey</w:t>
      </w:r>
      <w:r w:rsidR="0076700C">
        <w:rPr>
          <w:rFonts w:ascii="Times New Roman" w:hAnsi="Times New Roman"/>
        </w:rPr>
        <w:t xml:space="preserve"> (Attachment C1)</w:t>
      </w:r>
      <w:r w:rsidR="00F16442">
        <w:rPr>
          <w:rFonts w:ascii="Times New Roman" w:hAnsi="Times New Roman"/>
        </w:rPr>
        <w:t>, which is</w:t>
      </w:r>
      <w:r w:rsidR="009D0979">
        <w:rPr>
          <w:rFonts w:ascii="Times New Roman" w:hAnsi="Times New Roman"/>
        </w:rPr>
        <w:t xml:space="preserve"> estimated to take </w:t>
      </w:r>
      <w:r w:rsidR="009D0979" w:rsidRPr="00F16442">
        <w:rPr>
          <w:rFonts w:ascii="Times New Roman" w:hAnsi="Times New Roman"/>
        </w:rPr>
        <w:t>30</w:t>
      </w:r>
      <w:r w:rsidR="009D0979">
        <w:rPr>
          <w:rFonts w:ascii="Times New Roman" w:hAnsi="Times New Roman"/>
        </w:rPr>
        <w:t xml:space="preserve"> minutes to complete.</w:t>
      </w:r>
      <w:r w:rsidR="00283C5D">
        <w:rPr>
          <w:rFonts w:ascii="Times New Roman" w:hAnsi="Times New Roman"/>
        </w:rPr>
        <w:t xml:space="preserve"> </w:t>
      </w:r>
      <w:r w:rsidR="00511CC3">
        <w:rPr>
          <w:rFonts w:ascii="Times New Roman" w:hAnsi="Times New Roman"/>
        </w:rPr>
        <w:t>A total of 984 patients completed baseline surveys at the time of their initial clinic visi</w:t>
      </w:r>
      <w:r w:rsidR="0076700C">
        <w:rPr>
          <w:rFonts w:ascii="Times New Roman" w:hAnsi="Times New Roman"/>
        </w:rPr>
        <w:t>t, and t</w:t>
      </w:r>
      <w:r w:rsidR="00511CC3">
        <w:rPr>
          <w:rFonts w:ascii="Times New Roman" w:hAnsi="Times New Roman"/>
        </w:rPr>
        <w:t>hese patients are being surveyed 18 months following study enrollment.  Many of these patients will have completed their 18-month follow-up surveys during Phase I of the study (prior to June 30, 2012).  We estimate that approximately 150 patient follow-up surveys will be conducted during Phase II of the study.  We estimate that the patient follow-up surveys will take an average of 10 minutes to complete</w:t>
      </w:r>
      <w:r w:rsidR="0076700C">
        <w:rPr>
          <w:rFonts w:ascii="Times New Roman" w:hAnsi="Times New Roman"/>
        </w:rPr>
        <w:t xml:space="preserve"> (Attachment D1)</w:t>
      </w:r>
      <w:r w:rsidR="00511CC3">
        <w:rPr>
          <w:rFonts w:ascii="Times New Roman" w:hAnsi="Times New Roman"/>
        </w:rPr>
        <w:t xml:space="preserve">.  Finally, approximately 75 clinic providers (an average of 5 per clinic) will be asked to participate in a focus group </w:t>
      </w:r>
      <w:r w:rsidR="008B0D32">
        <w:rPr>
          <w:rFonts w:ascii="Times New Roman" w:hAnsi="Times New Roman"/>
        </w:rPr>
        <w:t xml:space="preserve">interviews </w:t>
      </w:r>
      <w:r w:rsidR="00511CC3">
        <w:rPr>
          <w:rFonts w:ascii="Times New Roman" w:hAnsi="Times New Roman"/>
        </w:rPr>
        <w:t xml:space="preserve">at the conclusion of the study to obtain qualitative information regarding the </w:t>
      </w:r>
      <w:r w:rsidR="00511CC3" w:rsidRPr="00511CC3">
        <w:rPr>
          <w:rFonts w:ascii="Times New Roman" w:hAnsi="Times New Roman"/>
        </w:rPr>
        <w:t>facilitators and barriers to acceptance and appropriate use of the HPV test and longer screening intervals</w:t>
      </w:r>
      <w:r w:rsidR="00511CC3">
        <w:rPr>
          <w:rFonts w:ascii="Times New Roman" w:hAnsi="Times New Roman"/>
        </w:rPr>
        <w:t>.  Each focus group discussion will be scheduled for approximately one hour</w:t>
      </w:r>
      <w:r w:rsidR="0076700C">
        <w:rPr>
          <w:rFonts w:ascii="Times New Roman" w:hAnsi="Times New Roman"/>
        </w:rPr>
        <w:t xml:space="preserve"> (Attachment C2)</w:t>
      </w:r>
      <w:r w:rsidR="00511CC3">
        <w:rPr>
          <w:rFonts w:ascii="Times New Roman" w:hAnsi="Times New Roman"/>
        </w:rPr>
        <w:t xml:space="preserve">.  The estimated </w:t>
      </w:r>
      <w:r w:rsidR="0076700C">
        <w:rPr>
          <w:rFonts w:ascii="Times New Roman" w:hAnsi="Times New Roman"/>
        </w:rPr>
        <w:t xml:space="preserve">annualized </w:t>
      </w:r>
      <w:r w:rsidR="00511CC3">
        <w:rPr>
          <w:rFonts w:ascii="Times New Roman" w:hAnsi="Times New Roman"/>
        </w:rPr>
        <w:t xml:space="preserve">burden for the data collection activities to be conducted during </w:t>
      </w:r>
      <w:r w:rsidR="0076700C">
        <w:rPr>
          <w:rFonts w:ascii="Times New Roman" w:hAnsi="Times New Roman"/>
        </w:rPr>
        <w:t>is the final one-year approval period (Phase II) is</w:t>
      </w:r>
      <w:r w:rsidR="00511CC3">
        <w:rPr>
          <w:rFonts w:ascii="Times New Roman" w:hAnsi="Times New Roman"/>
        </w:rPr>
        <w:t xml:space="preserve"> 135 hours</w:t>
      </w:r>
      <w:r w:rsidR="00DB6004" w:rsidRPr="00511CC3">
        <w:rPr>
          <w:rFonts w:ascii="Times New Roman" w:hAnsi="Times New Roman"/>
        </w:rPr>
        <w:t>.</w:t>
      </w:r>
    </w:p>
    <w:p w:rsidR="008F5731" w:rsidRPr="003C1CE4" w:rsidRDefault="00353EF4" w:rsidP="00D82729">
      <w:pPr>
        <w:pStyle w:val="Tablehead"/>
        <w:spacing w:before="0" w:after="0" w:line="240" w:lineRule="auto"/>
      </w:pPr>
      <w:bookmarkStart w:id="14" w:name="_Toc191095942"/>
      <w:r>
        <w:t>A.12-</w:t>
      </w:r>
      <w:r w:rsidR="00DC1839">
        <w:t>1  Estimated</w:t>
      </w:r>
      <w:r w:rsidR="009D0F81">
        <w:t xml:space="preserve"> </w:t>
      </w:r>
      <w:r w:rsidR="00DC1839">
        <w:t xml:space="preserve">Annualized </w:t>
      </w:r>
      <w:r w:rsidR="009D0F81">
        <w:t>Burden</w:t>
      </w:r>
      <w:bookmarkEnd w:id="14"/>
      <w:r w:rsidR="009D0F81">
        <w:t xml:space="preserve"> </w:t>
      </w:r>
      <w:r w:rsidR="00DC1839">
        <w:t>to Respondents</w:t>
      </w: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78"/>
        <w:gridCol w:w="2160"/>
        <w:gridCol w:w="1422"/>
        <w:gridCol w:w="1548"/>
        <w:gridCol w:w="1800"/>
        <w:gridCol w:w="1260"/>
      </w:tblGrid>
      <w:tr w:rsidR="00914FEA" w:rsidRPr="00202AFE" w:rsidTr="002B5A8F">
        <w:trPr>
          <w:cantSplit/>
          <w:trHeight w:val="576"/>
        </w:trPr>
        <w:tc>
          <w:tcPr>
            <w:tcW w:w="1278" w:type="dxa"/>
            <w:tcBorders>
              <w:top w:val="double" w:sz="4" w:space="0" w:color="auto"/>
              <w:left w:val="double" w:sz="4" w:space="0" w:color="auto"/>
              <w:bottom w:val="single" w:sz="4" w:space="0" w:color="auto"/>
              <w:right w:val="single" w:sz="4" w:space="0" w:color="auto"/>
            </w:tcBorders>
            <w:vAlign w:val="center"/>
          </w:tcPr>
          <w:p w:rsidR="00914FEA" w:rsidRPr="00431F67" w:rsidRDefault="00914FEA" w:rsidP="00914FEA">
            <w:pPr>
              <w:pStyle w:val="NormalWeb"/>
              <w:rPr>
                <w:sz w:val="22"/>
                <w:szCs w:val="22"/>
              </w:rPr>
            </w:pPr>
            <w:r w:rsidRPr="00431F67">
              <w:rPr>
                <w:sz w:val="22"/>
                <w:szCs w:val="22"/>
              </w:rPr>
              <w:t>Type of Respondent</w:t>
            </w:r>
          </w:p>
        </w:tc>
        <w:tc>
          <w:tcPr>
            <w:tcW w:w="2160" w:type="dxa"/>
            <w:tcBorders>
              <w:top w:val="double" w:sz="4" w:space="0" w:color="auto"/>
              <w:left w:val="single" w:sz="4" w:space="0" w:color="auto"/>
              <w:bottom w:val="single" w:sz="4" w:space="0" w:color="auto"/>
              <w:right w:val="single" w:sz="4" w:space="0" w:color="auto"/>
            </w:tcBorders>
            <w:vAlign w:val="center"/>
          </w:tcPr>
          <w:p w:rsidR="00914FEA" w:rsidRPr="00431F67" w:rsidRDefault="00914FEA" w:rsidP="004D49DC">
            <w:pPr>
              <w:pStyle w:val="NormalWeb"/>
              <w:jc w:val="center"/>
              <w:rPr>
                <w:sz w:val="22"/>
                <w:szCs w:val="22"/>
              </w:rPr>
            </w:pPr>
            <w:r w:rsidRPr="00431F67">
              <w:rPr>
                <w:sz w:val="22"/>
                <w:szCs w:val="22"/>
              </w:rPr>
              <w:t>Form Name</w:t>
            </w:r>
          </w:p>
        </w:tc>
        <w:tc>
          <w:tcPr>
            <w:tcW w:w="1422" w:type="dxa"/>
            <w:tcBorders>
              <w:top w:val="double" w:sz="4" w:space="0" w:color="auto"/>
              <w:left w:val="single" w:sz="4" w:space="0" w:color="auto"/>
              <w:bottom w:val="single" w:sz="4" w:space="0" w:color="auto"/>
              <w:right w:val="single" w:sz="4" w:space="0" w:color="auto"/>
            </w:tcBorders>
            <w:vAlign w:val="center"/>
          </w:tcPr>
          <w:p w:rsidR="00914FEA" w:rsidRPr="00431F67" w:rsidRDefault="00914FEA" w:rsidP="004D49DC">
            <w:pPr>
              <w:pStyle w:val="NormalWeb"/>
              <w:ind w:left="72"/>
              <w:jc w:val="center"/>
              <w:rPr>
                <w:sz w:val="22"/>
                <w:szCs w:val="22"/>
              </w:rPr>
            </w:pPr>
            <w:r w:rsidRPr="00431F67">
              <w:rPr>
                <w:sz w:val="22"/>
                <w:szCs w:val="22"/>
              </w:rPr>
              <w:t>No. Respondents</w:t>
            </w:r>
          </w:p>
        </w:tc>
        <w:tc>
          <w:tcPr>
            <w:tcW w:w="1548" w:type="dxa"/>
            <w:tcBorders>
              <w:top w:val="double" w:sz="4" w:space="0" w:color="auto"/>
              <w:left w:val="single" w:sz="4" w:space="0" w:color="auto"/>
              <w:bottom w:val="single" w:sz="4" w:space="0" w:color="auto"/>
              <w:right w:val="single" w:sz="4" w:space="0" w:color="auto"/>
            </w:tcBorders>
            <w:vAlign w:val="center"/>
          </w:tcPr>
          <w:p w:rsidR="00914FEA" w:rsidRPr="00431F67" w:rsidRDefault="00914FEA" w:rsidP="004D49DC">
            <w:pPr>
              <w:pStyle w:val="NormalWeb"/>
              <w:jc w:val="center"/>
              <w:rPr>
                <w:sz w:val="22"/>
                <w:szCs w:val="22"/>
              </w:rPr>
            </w:pPr>
            <w:r w:rsidRPr="00431F67">
              <w:rPr>
                <w:sz w:val="22"/>
                <w:szCs w:val="22"/>
              </w:rPr>
              <w:t>No. Responses per Respondent</w:t>
            </w:r>
          </w:p>
        </w:tc>
        <w:tc>
          <w:tcPr>
            <w:tcW w:w="1800" w:type="dxa"/>
            <w:tcBorders>
              <w:top w:val="double" w:sz="4" w:space="0" w:color="auto"/>
              <w:left w:val="single" w:sz="4" w:space="0" w:color="auto"/>
              <w:bottom w:val="single" w:sz="4" w:space="0" w:color="auto"/>
              <w:right w:val="single" w:sz="4" w:space="0" w:color="auto"/>
            </w:tcBorders>
            <w:vAlign w:val="center"/>
          </w:tcPr>
          <w:p w:rsidR="00914FEA" w:rsidRPr="00431F67" w:rsidRDefault="00914FEA" w:rsidP="004D49DC">
            <w:pPr>
              <w:pStyle w:val="NormalWeb"/>
              <w:jc w:val="center"/>
              <w:rPr>
                <w:sz w:val="22"/>
                <w:szCs w:val="22"/>
              </w:rPr>
            </w:pPr>
            <w:r w:rsidRPr="00431F67">
              <w:rPr>
                <w:sz w:val="22"/>
                <w:szCs w:val="22"/>
              </w:rPr>
              <w:t>Average Burden per Response (in hours)</w:t>
            </w:r>
          </w:p>
        </w:tc>
        <w:tc>
          <w:tcPr>
            <w:tcW w:w="1260" w:type="dxa"/>
            <w:tcBorders>
              <w:top w:val="double" w:sz="4" w:space="0" w:color="auto"/>
              <w:left w:val="single" w:sz="4" w:space="0" w:color="auto"/>
              <w:bottom w:val="single" w:sz="4" w:space="0" w:color="auto"/>
              <w:right w:val="double" w:sz="4" w:space="0" w:color="auto"/>
            </w:tcBorders>
            <w:vAlign w:val="center"/>
          </w:tcPr>
          <w:p w:rsidR="00914FEA" w:rsidRPr="00431F67" w:rsidRDefault="00914FEA" w:rsidP="004D49DC">
            <w:pPr>
              <w:pStyle w:val="NormalWeb"/>
              <w:ind w:left="72"/>
              <w:jc w:val="center"/>
              <w:rPr>
                <w:sz w:val="22"/>
                <w:szCs w:val="22"/>
              </w:rPr>
            </w:pPr>
            <w:r w:rsidRPr="00431F67">
              <w:rPr>
                <w:sz w:val="22"/>
                <w:szCs w:val="22"/>
              </w:rPr>
              <w:t>Total Burden Hours</w:t>
            </w:r>
          </w:p>
        </w:tc>
      </w:tr>
      <w:tr w:rsidR="004D7B05" w:rsidRPr="00202AFE" w:rsidTr="002B5A8F">
        <w:trPr>
          <w:cantSplit/>
          <w:trHeight w:val="576"/>
        </w:trPr>
        <w:tc>
          <w:tcPr>
            <w:tcW w:w="1278" w:type="dxa"/>
            <w:tcBorders>
              <w:left w:val="double" w:sz="4" w:space="0" w:color="auto"/>
              <w:bottom w:val="single" w:sz="4" w:space="0" w:color="auto"/>
              <w:right w:val="single" w:sz="4" w:space="0" w:color="auto"/>
            </w:tcBorders>
          </w:tcPr>
          <w:p w:rsidR="004D7B05" w:rsidRPr="00431F67" w:rsidRDefault="00CE3CEC" w:rsidP="00AB6317">
            <w:pPr>
              <w:pStyle w:val="NormalWeb"/>
              <w:rPr>
                <w:sz w:val="22"/>
                <w:szCs w:val="22"/>
              </w:rPr>
            </w:pPr>
            <w:r>
              <w:rPr>
                <w:sz w:val="22"/>
                <w:szCs w:val="22"/>
              </w:rPr>
              <w:t>Patients</w:t>
            </w:r>
            <w:r w:rsidR="00FA7FD2">
              <w:rPr>
                <w:sz w:val="22"/>
                <w:szCs w:val="22"/>
              </w:rPr>
              <w:t>*</w:t>
            </w:r>
          </w:p>
        </w:tc>
        <w:tc>
          <w:tcPr>
            <w:tcW w:w="2160" w:type="dxa"/>
            <w:tcBorders>
              <w:top w:val="single" w:sz="4" w:space="0" w:color="auto"/>
              <w:left w:val="single" w:sz="4" w:space="0" w:color="auto"/>
              <w:bottom w:val="single" w:sz="4" w:space="0" w:color="auto"/>
              <w:right w:val="single" w:sz="4" w:space="0" w:color="auto"/>
            </w:tcBorders>
            <w:vAlign w:val="center"/>
          </w:tcPr>
          <w:p w:rsidR="004D7B05" w:rsidRPr="00431F67" w:rsidRDefault="00CE3CEC" w:rsidP="0039635E">
            <w:pPr>
              <w:pStyle w:val="NormalWeb"/>
              <w:ind w:left="180"/>
              <w:rPr>
                <w:sz w:val="22"/>
                <w:szCs w:val="22"/>
              </w:rPr>
            </w:pPr>
            <w:r>
              <w:rPr>
                <w:sz w:val="22"/>
                <w:szCs w:val="22"/>
              </w:rPr>
              <w:t>Follow-up Patient</w:t>
            </w:r>
            <w:r w:rsidR="004D7B05" w:rsidRPr="00431F67">
              <w:rPr>
                <w:sz w:val="22"/>
                <w:szCs w:val="22"/>
              </w:rPr>
              <w:t xml:space="preserve"> Survey</w:t>
            </w:r>
          </w:p>
        </w:tc>
        <w:tc>
          <w:tcPr>
            <w:tcW w:w="1422" w:type="dxa"/>
            <w:tcBorders>
              <w:top w:val="single" w:sz="4" w:space="0" w:color="auto"/>
              <w:left w:val="single" w:sz="4" w:space="0" w:color="auto"/>
              <w:bottom w:val="single" w:sz="4" w:space="0" w:color="auto"/>
              <w:right w:val="single" w:sz="4" w:space="0" w:color="auto"/>
            </w:tcBorders>
            <w:vAlign w:val="center"/>
          </w:tcPr>
          <w:p w:rsidR="004D7B05" w:rsidRPr="00431F67" w:rsidRDefault="00FA7FD2" w:rsidP="0039635E">
            <w:pPr>
              <w:pStyle w:val="NormalWeb"/>
              <w:ind w:left="360"/>
              <w:rPr>
                <w:sz w:val="22"/>
                <w:szCs w:val="22"/>
              </w:rPr>
            </w:pPr>
            <w:r>
              <w:rPr>
                <w:sz w:val="22"/>
                <w:szCs w:val="22"/>
              </w:rPr>
              <w:t>150</w:t>
            </w:r>
          </w:p>
        </w:tc>
        <w:tc>
          <w:tcPr>
            <w:tcW w:w="1548" w:type="dxa"/>
            <w:tcBorders>
              <w:top w:val="single" w:sz="4" w:space="0" w:color="auto"/>
              <w:left w:val="single" w:sz="4" w:space="0" w:color="auto"/>
              <w:bottom w:val="single" w:sz="4" w:space="0" w:color="auto"/>
              <w:right w:val="single" w:sz="4" w:space="0" w:color="auto"/>
            </w:tcBorders>
            <w:vAlign w:val="center"/>
          </w:tcPr>
          <w:p w:rsidR="004D7B05" w:rsidRPr="00431F67" w:rsidRDefault="004D7B05" w:rsidP="0039635E">
            <w:pPr>
              <w:pStyle w:val="NormalWeb"/>
              <w:ind w:left="360"/>
              <w:rPr>
                <w:sz w:val="22"/>
                <w:szCs w:val="22"/>
              </w:rPr>
            </w:pPr>
            <w:r w:rsidRPr="00431F67">
              <w:rPr>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4D7B05" w:rsidRPr="00431F67" w:rsidRDefault="00283C5D" w:rsidP="0039635E">
            <w:pPr>
              <w:pStyle w:val="NormalWeb"/>
              <w:ind w:left="360"/>
              <w:rPr>
                <w:sz w:val="22"/>
                <w:szCs w:val="22"/>
              </w:rPr>
            </w:pPr>
            <w:r>
              <w:rPr>
                <w:sz w:val="22"/>
                <w:szCs w:val="22"/>
              </w:rPr>
              <w:t>10/60</w:t>
            </w:r>
          </w:p>
        </w:tc>
        <w:tc>
          <w:tcPr>
            <w:tcW w:w="1260" w:type="dxa"/>
            <w:tcBorders>
              <w:top w:val="single" w:sz="4" w:space="0" w:color="auto"/>
              <w:left w:val="single" w:sz="4" w:space="0" w:color="auto"/>
              <w:bottom w:val="single" w:sz="4" w:space="0" w:color="auto"/>
              <w:right w:val="double" w:sz="4" w:space="0" w:color="auto"/>
            </w:tcBorders>
            <w:vAlign w:val="center"/>
          </w:tcPr>
          <w:p w:rsidR="004D7B05" w:rsidRPr="00431F67" w:rsidRDefault="0076700C" w:rsidP="0039635E">
            <w:pPr>
              <w:pStyle w:val="NormalWeb"/>
              <w:ind w:left="360"/>
              <w:rPr>
                <w:sz w:val="22"/>
                <w:szCs w:val="22"/>
              </w:rPr>
            </w:pPr>
            <w:r>
              <w:rPr>
                <w:sz w:val="22"/>
                <w:szCs w:val="22"/>
              </w:rPr>
              <w:t>25</w:t>
            </w:r>
          </w:p>
        </w:tc>
      </w:tr>
      <w:tr w:rsidR="0076700C" w:rsidRPr="00202AFE" w:rsidTr="002B5A8F">
        <w:trPr>
          <w:cantSplit/>
          <w:trHeight w:val="576"/>
        </w:trPr>
        <w:tc>
          <w:tcPr>
            <w:tcW w:w="1278" w:type="dxa"/>
            <w:vMerge w:val="restart"/>
            <w:tcBorders>
              <w:top w:val="single" w:sz="4" w:space="0" w:color="auto"/>
              <w:left w:val="double" w:sz="4" w:space="0" w:color="auto"/>
              <w:right w:val="single" w:sz="4" w:space="0" w:color="auto"/>
            </w:tcBorders>
          </w:tcPr>
          <w:p w:rsidR="0076700C" w:rsidRPr="00431F67" w:rsidRDefault="0076700C" w:rsidP="00CE3CEC">
            <w:pPr>
              <w:pStyle w:val="NormalWeb"/>
              <w:rPr>
                <w:sz w:val="22"/>
                <w:szCs w:val="22"/>
              </w:rPr>
            </w:pPr>
            <w:r>
              <w:rPr>
                <w:sz w:val="22"/>
                <w:szCs w:val="22"/>
              </w:rPr>
              <w:t>Providers</w:t>
            </w:r>
          </w:p>
        </w:tc>
        <w:tc>
          <w:tcPr>
            <w:tcW w:w="2160" w:type="dxa"/>
            <w:tcBorders>
              <w:top w:val="single" w:sz="4" w:space="0" w:color="auto"/>
              <w:left w:val="single" w:sz="4" w:space="0" w:color="auto"/>
              <w:bottom w:val="single" w:sz="4" w:space="0" w:color="auto"/>
              <w:right w:val="single" w:sz="4" w:space="0" w:color="auto"/>
            </w:tcBorders>
            <w:vAlign w:val="center"/>
          </w:tcPr>
          <w:p w:rsidR="0076700C" w:rsidRPr="00431F67" w:rsidRDefault="0076700C" w:rsidP="00914FEA">
            <w:pPr>
              <w:pStyle w:val="NormalWeb"/>
              <w:ind w:left="180"/>
              <w:rPr>
                <w:sz w:val="22"/>
                <w:szCs w:val="22"/>
              </w:rPr>
            </w:pPr>
            <w:r>
              <w:rPr>
                <w:sz w:val="22"/>
                <w:szCs w:val="22"/>
              </w:rPr>
              <w:t>Follow-up</w:t>
            </w:r>
            <w:r w:rsidRPr="00431F67">
              <w:rPr>
                <w:sz w:val="22"/>
                <w:szCs w:val="22"/>
              </w:rPr>
              <w:t xml:space="preserve"> Provider Survey</w:t>
            </w:r>
          </w:p>
        </w:tc>
        <w:tc>
          <w:tcPr>
            <w:tcW w:w="1422" w:type="dxa"/>
            <w:tcBorders>
              <w:top w:val="single" w:sz="4" w:space="0" w:color="auto"/>
              <w:left w:val="single" w:sz="4" w:space="0" w:color="auto"/>
              <w:bottom w:val="single" w:sz="4" w:space="0" w:color="auto"/>
              <w:right w:val="single" w:sz="4" w:space="0" w:color="auto"/>
            </w:tcBorders>
            <w:vAlign w:val="center"/>
          </w:tcPr>
          <w:p w:rsidR="0076700C" w:rsidRPr="00431F67" w:rsidRDefault="0076700C" w:rsidP="00232E88">
            <w:pPr>
              <w:pStyle w:val="NormalWeb"/>
              <w:ind w:left="360"/>
              <w:rPr>
                <w:sz w:val="22"/>
                <w:szCs w:val="22"/>
              </w:rPr>
            </w:pPr>
            <w:r>
              <w:rPr>
                <w:sz w:val="22"/>
                <w:szCs w:val="22"/>
              </w:rPr>
              <w:t>70</w:t>
            </w:r>
          </w:p>
        </w:tc>
        <w:tc>
          <w:tcPr>
            <w:tcW w:w="1548" w:type="dxa"/>
            <w:tcBorders>
              <w:top w:val="single" w:sz="4" w:space="0" w:color="auto"/>
              <w:left w:val="single" w:sz="4" w:space="0" w:color="auto"/>
              <w:bottom w:val="single" w:sz="4" w:space="0" w:color="auto"/>
              <w:right w:val="single" w:sz="4" w:space="0" w:color="auto"/>
            </w:tcBorders>
            <w:vAlign w:val="center"/>
          </w:tcPr>
          <w:p w:rsidR="0076700C" w:rsidRPr="00431F67" w:rsidRDefault="0076700C" w:rsidP="00232E88">
            <w:pPr>
              <w:pStyle w:val="NormalWeb"/>
              <w:ind w:left="360"/>
              <w:rPr>
                <w:sz w:val="22"/>
                <w:szCs w:val="22"/>
              </w:rPr>
            </w:pPr>
            <w:r w:rsidRPr="00431F67">
              <w:rPr>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76700C" w:rsidRPr="00431F67" w:rsidRDefault="0076700C" w:rsidP="00232E88">
            <w:pPr>
              <w:pStyle w:val="NormalWeb"/>
              <w:ind w:left="360"/>
              <w:rPr>
                <w:sz w:val="22"/>
                <w:szCs w:val="22"/>
              </w:rPr>
            </w:pPr>
            <w:r>
              <w:rPr>
                <w:sz w:val="22"/>
                <w:szCs w:val="22"/>
              </w:rPr>
              <w:t>30/60</w:t>
            </w:r>
          </w:p>
        </w:tc>
        <w:tc>
          <w:tcPr>
            <w:tcW w:w="1260" w:type="dxa"/>
            <w:tcBorders>
              <w:top w:val="single" w:sz="4" w:space="0" w:color="auto"/>
              <w:left w:val="single" w:sz="4" w:space="0" w:color="auto"/>
              <w:bottom w:val="single" w:sz="4" w:space="0" w:color="auto"/>
              <w:right w:val="double" w:sz="4" w:space="0" w:color="auto"/>
            </w:tcBorders>
            <w:vAlign w:val="center"/>
          </w:tcPr>
          <w:p w:rsidR="0076700C" w:rsidRPr="00431F67" w:rsidRDefault="0076700C" w:rsidP="00232E88">
            <w:pPr>
              <w:pStyle w:val="NormalWeb"/>
              <w:ind w:left="360"/>
              <w:rPr>
                <w:sz w:val="22"/>
                <w:szCs w:val="22"/>
              </w:rPr>
            </w:pPr>
            <w:r>
              <w:rPr>
                <w:sz w:val="22"/>
                <w:szCs w:val="22"/>
              </w:rPr>
              <w:t>35</w:t>
            </w:r>
          </w:p>
        </w:tc>
      </w:tr>
      <w:tr w:rsidR="0076700C" w:rsidRPr="00DC3210" w:rsidTr="0076700C">
        <w:trPr>
          <w:cantSplit/>
          <w:trHeight w:val="576"/>
        </w:trPr>
        <w:tc>
          <w:tcPr>
            <w:tcW w:w="1278" w:type="dxa"/>
            <w:vMerge/>
            <w:tcBorders>
              <w:left w:val="double" w:sz="4" w:space="0" w:color="auto"/>
              <w:bottom w:val="double" w:sz="4" w:space="0" w:color="auto"/>
              <w:right w:val="single" w:sz="4" w:space="0" w:color="auto"/>
            </w:tcBorders>
          </w:tcPr>
          <w:p w:rsidR="0076700C" w:rsidRPr="00CE3CEC" w:rsidRDefault="0076700C" w:rsidP="00CE3CEC">
            <w:pPr>
              <w:pStyle w:val="NormalWeb"/>
              <w:rPr>
                <w:sz w:val="22"/>
                <w:szCs w:val="22"/>
              </w:rPr>
            </w:pPr>
          </w:p>
        </w:tc>
        <w:tc>
          <w:tcPr>
            <w:tcW w:w="2160" w:type="dxa"/>
            <w:tcBorders>
              <w:top w:val="single" w:sz="4" w:space="0" w:color="auto"/>
              <w:left w:val="single" w:sz="4" w:space="0" w:color="auto"/>
              <w:bottom w:val="double" w:sz="4" w:space="0" w:color="auto"/>
              <w:right w:val="single" w:sz="4" w:space="0" w:color="auto"/>
            </w:tcBorders>
            <w:vAlign w:val="center"/>
          </w:tcPr>
          <w:p w:rsidR="0076700C" w:rsidRPr="00431F67" w:rsidRDefault="0076700C" w:rsidP="00914FEA">
            <w:pPr>
              <w:pStyle w:val="NormalWeb"/>
              <w:ind w:left="180"/>
            </w:pPr>
            <w:r>
              <w:t>Focus Group Moderator Guide</w:t>
            </w:r>
          </w:p>
        </w:tc>
        <w:tc>
          <w:tcPr>
            <w:tcW w:w="1422" w:type="dxa"/>
            <w:tcBorders>
              <w:top w:val="single" w:sz="4" w:space="0" w:color="auto"/>
              <w:left w:val="single" w:sz="4" w:space="0" w:color="auto"/>
              <w:bottom w:val="double" w:sz="4" w:space="0" w:color="auto"/>
              <w:right w:val="single" w:sz="4" w:space="0" w:color="auto"/>
            </w:tcBorders>
            <w:vAlign w:val="center"/>
          </w:tcPr>
          <w:p w:rsidR="0076700C" w:rsidRPr="00431F67" w:rsidRDefault="0076700C" w:rsidP="00232E88">
            <w:pPr>
              <w:pStyle w:val="NormalWeb"/>
              <w:ind w:left="360"/>
            </w:pPr>
            <w:r>
              <w:t>75</w:t>
            </w:r>
          </w:p>
        </w:tc>
        <w:tc>
          <w:tcPr>
            <w:tcW w:w="1548" w:type="dxa"/>
            <w:tcBorders>
              <w:top w:val="single" w:sz="4" w:space="0" w:color="auto"/>
              <w:left w:val="single" w:sz="4" w:space="0" w:color="auto"/>
              <w:bottom w:val="double" w:sz="4" w:space="0" w:color="auto"/>
              <w:right w:val="single" w:sz="4" w:space="0" w:color="auto"/>
            </w:tcBorders>
            <w:vAlign w:val="center"/>
          </w:tcPr>
          <w:p w:rsidR="0076700C" w:rsidRPr="00431F67" w:rsidRDefault="0076700C" w:rsidP="00232E88">
            <w:pPr>
              <w:pStyle w:val="NormalWeb"/>
              <w:ind w:left="360"/>
            </w:pPr>
            <w:r>
              <w:t>1</w:t>
            </w:r>
          </w:p>
        </w:tc>
        <w:tc>
          <w:tcPr>
            <w:tcW w:w="1800" w:type="dxa"/>
            <w:tcBorders>
              <w:top w:val="single" w:sz="4" w:space="0" w:color="auto"/>
              <w:left w:val="single" w:sz="4" w:space="0" w:color="auto"/>
              <w:bottom w:val="double" w:sz="4" w:space="0" w:color="auto"/>
              <w:right w:val="single" w:sz="4" w:space="0" w:color="auto"/>
            </w:tcBorders>
            <w:vAlign w:val="center"/>
          </w:tcPr>
          <w:p w:rsidR="0076700C" w:rsidRPr="00431F67" w:rsidRDefault="0076700C" w:rsidP="00232E88">
            <w:pPr>
              <w:pStyle w:val="NormalWeb"/>
              <w:ind w:left="360"/>
            </w:pPr>
            <w:r>
              <w:t>1</w:t>
            </w:r>
          </w:p>
        </w:tc>
        <w:tc>
          <w:tcPr>
            <w:tcW w:w="1260" w:type="dxa"/>
            <w:tcBorders>
              <w:top w:val="single" w:sz="4" w:space="0" w:color="auto"/>
              <w:left w:val="single" w:sz="4" w:space="0" w:color="auto"/>
              <w:bottom w:val="double" w:sz="4" w:space="0" w:color="auto"/>
              <w:right w:val="double" w:sz="4" w:space="0" w:color="auto"/>
            </w:tcBorders>
            <w:vAlign w:val="center"/>
          </w:tcPr>
          <w:p w:rsidR="0076700C" w:rsidRPr="00431F67" w:rsidRDefault="0076700C" w:rsidP="00232E88">
            <w:pPr>
              <w:pStyle w:val="NormalWeb"/>
              <w:ind w:left="360"/>
            </w:pPr>
            <w:r>
              <w:t>75</w:t>
            </w:r>
          </w:p>
        </w:tc>
      </w:tr>
      <w:tr w:rsidR="00FB483F" w:rsidRPr="00DC3210" w:rsidTr="002079E3">
        <w:trPr>
          <w:cantSplit/>
          <w:trHeight w:val="576"/>
        </w:trPr>
        <w:tc>
          <w:tcPr>
            <w:tcW w:w="1278" w:type="dxa"/>
            <w:tcBorders>
              <w:top w:val="single" w:sz="4" w:space="0" w:color="auto"/>
              <w:left w:val="double" w:sz="4" w:space="0" w:color="auto"/>
              <w:bottom w:val="double" w:sz="4" w:space="0" w:color="auto"/>
              <w:right w:val="single" w:sz="4" w:space="0" w:color="auto"/>
            </w:tcBorders>
          </w:tcPr>
          <w:p w:rsidR="00FB483F" w:rsidRPr="00431F67" w:rsidRDefault="00FB483F" w:rsidP="00914FEA">
            <w:pPr>
              <w:pStyle w:val="NormalWeb"/>
              <w:ind w:left="180"/>
            </w:pPr>
          </w:p>
        </w:tc>
        <w:tc>
          <w:tcPr>
            <w:tcW w:w="6930" w:type="dxa"/>
            <w:gridSpan w:val="4"/>
            <w:tcBorders>
              <w:top w:val="single" w:sz="4" w:space="0" w:color="auto"/>
              <w:left w:val="single" w:sz="4" w:space="0" w:color="auto"/>
              <w:bottom w:val="double" w:sz="4" w:space="0" w:color="auto"/>
              <w:right w:val="single" w:sz="4" w:space="0" w:color="auto"/>
            </w:tcBorders>
            <w:vAlign w:val="center"/>
          </w:tcPr>
          <w:p w:rsidR="00FB483F" w:rsidRDefault="00FB483F" w:rsidP="00BA5E08">
            <w:pPr>
              <w:pStyle w:val="NormalWeb"/>
              <w:ind w:left="360"/>
              <w:jc w:val="right"/>
            </w:pPr>
            <w:r w:rsidRPr="00431F67">
              <w:t>Total</w:t>
            </w:r>
          </w:p>
        </w:tc>
        <w:tc>
          <w:tcPr>
            <w:tcW w:w="1260" w:type="dxa"/>
            <w:tcBorders>
              <w:top w:val="single" w:sz="4" w:space="0" w:color="auto"/>
              <w:left w:val="single" w:sz="4" w:space="0" w:color="auto"/>
              <w:bottom w:val="double" w:sz="4" w:space="0" w:color="auto"/>
              <w:right w:val="double" w:sz="4" w:space="0" w:color="auto"/>
            </w:tcBorders>
            <w:vAlign w:val="center"/>
          </w:tcPr>
          <w:p w:rsidR="00FB483F" w:rsidRPr="00431F67" w:rsidRDefault="00FB483F" w:rsidP="00232E88">
            <w:pPr>
              <w:pStyle w:val="NormalWeb"/>
              <w:ind w:left="360"/>
            </w:pPr>
            <w:r>
              <w:t>135</w:t>
            </w:r>
          </w:p>
        </w:tc>
      </w:tr>
    </w:tbl>
    <w:p w:rsidR="008F5731" w:rsidRPr="003C1CE4" w:rsidRDefault="00FA7FD2" w:rsidP="00665645">
      <w:pPr>
        <w:widowControl/>
        <w:tabs>
          <w:tab w:val="left" w:pos="-1440"/>
        </w:tabs>
        <w:rPr>
          <w:rFonts w:ascii="Times New Roman" w:hAnsi="Times New Roman"/>
        </w:rPr>
      </w:pPr>
      <w:r>
        <w:rPr>
          <w:rFonts w:ascii="Times New Roman" w:hAnsi="Times New Roman"/>
        </w:rPr>
        <w:t>*For those p</w:t>
      </w:r>
      <w:r w:rsidR="00283C5D">
        <w:rPr>
          <w:rFonts w:ascii="Times New Roman" w:hAnsi="Times New Roman"/>
        </w:rPr>
        <w:t>atients who are scheduled to receive an</w:t>
      </w:r>
      <w:r>
        <w:rPr>
          <w:rFonts w:ascii="Times New Roman" w:hAnsi="Times New Roman"/>
        </w:rPr>
        <w:t xml:space="preserve"> 18-month follow-up survey after June 30, 2012.</w:t>
      </w:r>
    </w:p>
    <w:p w:rsidR="000361D6" w:rsidRDefault="000361D6" w:rsidP="00665645">
      <w:pPr>
        <w:widowControl/>
        <w:tabs>
          <w:tab w:val="left" w:pos="-1440"/>
        </w:tabs>
        <w:rPr>
          <w:rFonts w:ascii="Times New Roman" w:hAnsi="Times New Roman"/>
        </w:rPr>
      </w:pPr>
    </w:p>
    <w:p w:rsidR="00243E45" w:rsidRPr="00243E45" w:rsidRDefault="008B0D32" w:rsidP="00665645">
      <w:pPr>
        <w:widowControl/>
        <w:tabs>
          <w:tab w:val="left" w:pos="-1440"/>
        </w:tabs>
        <w:rPr>
          <w:rFonts w:ascii="Times New Roman" w:hAnsi="Times New Roman"/>
        </w:rPr>
      </w:pPr>
      <w:r>
        <w:rPr>
          <w:rFonts w:ascii="Times New Roman" w:hAnsi="Times New Roman"/>
        </w:rPr>
        <w:t>The cost to respondents</w:t>
      </w:r>
      <w:r w:rsidR="00914FEA" w:rsidRPr="00914FEA">
        <w:rPr>
          <w:rFonts w:ascii="Times New Roman" w:hAnsi="Times New Roman"/>
        </w:rPr>
        <w:t xml:space="preserve"> is shown in Table A.12 – 2</w:t>
      </w:r>
      <w:r w:rsidR="00914FEA">
        <w:rPr>
          <w:rFonts w:ascii="Times New Roman" w:hAnsi="Times New Roman"/>
        </w:rPr>
        <w:t xml:space="preserve">. </w:t>
      </w:r>
      <w:r w:rsidR="00926FE8" w:rsidRPr="00914FEA">
        <w:rPr>
          <w:rFonts w:ascii="Times New Roman" w:hAnsi="Times New Roman"/>
        </w:rPr>
        <w:t xml:space="preserve">There are no costs to respondents </w:t>
      </w:r>
      <w:r w:rsidR="00232E88" w:rsidRPr="00914FEA">
        <w:rPr>
          <w:rFonts w:ascii="Times New Roman" w:hAnsi="Times New Roman"/>
        </w:rPr>
        <w:t>other than</w:t>
      </w:r>
      <w:r w:rsidR="00926FE8" w:rsidRPr="00914FEA">
        <w:rPr>
          <w:rFonts w:ascii="Times New Roman" w:hAnsi="Times New Roman"/>
        </w:rPr>
        <w:t xml:space="preserve"> their time to participate</w:t>
      </w:r>
      <w:r w:rsidR="008F5731" w:rsidRPr="00914FEA">
        <w:rPr>
          <w:rFonts w:ascii="Times New Roman" w:hAnsi="Times New Roman"/>
        </w:rPr>
        <w:t>.</w:t>
      </w:r>
      <w:r w:rsidR="00243E45" w:rsidRPr="00914FEA">
        <w:rPr>
          <w:rFonts w:ascii="Times New Roman" w:hAnsi="Times New Roman"/>
        </w:rPr>
        <w:t xml:space="preserve"> Hourly wage rates</w:t>
      </w:r>
      <w:r w:rsidR="00243E45">
        <w:rPr>
          <w:rFonts w:ascii="Times New Roman" w:hAnsi="Times New Roman"/>
        </w:rPr>
        <w:t xml:space="preserve"> were obtain</w:t>
      </w:r>
      <w:r w:rsidR="002157D1">
        <w:rPr>
          <w:rFonts w:ascii="Times New Roman" w:hAnsi="Times New Roman"/>
        </w:rPr>
        <w:t>ed</w:t>
      </w:r>
      <w:r w:rsidR="00531531">
        <w:rPr>
          <w:rFonts w:ascii="Times New Roman" w:hAnsi="Times New Roman"/>
        </w:rPr>
        <w:t xml:space="preserve"> for</w:t>
      </w:r>
      <w:r w:rsidR="00243E45">
        <w:rPr>
          <w:rFonts w:ascii="Times New Roman" w:hAnsi="Times New Roman"/>
        </w:rPr>
        <w:t xml:space="preserve"> </w:t>
      </w:r>
      <w:r w:rsidR="00DC1839">
        <w:rPr>
          <w:rFonts w:ascii="Times New Roman" w:hAnsi="Times New Roman"/>
        </w:rPr>
        <w:t>providers</w:t>
      </w:r>
      <w:r w:rsidR="000829DC">
        <w:rPr>
          <w:rFonts w:ascii="Times New Roman" w:hAnsi="Times New Roman"/>
        </w:rPr>
        <w:t xml:space="preserve"> in Illinois</w:t>
      </w:r>
      <w:r w:rsidR="00243E45">
        <w:rPr>
          <w:rFonts w:ascii="Times New Roman" w:hAnsi="Times New Roman"/>
        </w:rPr>
        <w:t xml:space="preserve"> using the mean wage for general a</w:t>
      </w:r>
      <w:r>
        <w:rPr>
          <w:rFonts w:ascii="Times New Roman" w:hAnsi="Times New Roman"/>
        </w:rPr>
        <w:t>nd family practitioners</w:t>
      </w:r>
      <w:r w:rsidR="00243E45" w:rsidRPr="002157D1">
        <w:rPr>
          <w:rFonts w:ascii="Times New Roman" w:hAnsi="Times New Roman"/>
        </w:rPr>
        <w:t xml:space="preserve">. </w:t>
      </w:r>
      <w:r w:rsidR="00D90BA9" w:rsidRPr="002157D1">
        <w:rPr>
          <w:rFonts w:ascii="Times New Roman" w:hAnsi="Times New Roman"/>
        </w:rPr>
        <w:t>T</w:t>
      </w:r>
      <w:r w:rsidR="00D90BA9">
        <w:rPr>
          <w:rFonts w:ascii="Times New Roman" w:hAnsi="Times New Roman"/>
        </w:rPr>
        <w:t>hese rates were</w:t>
      </w:r>
      <w:r w:rsidR="00367790">
        <w:rPr>
          <w:rFonts w:ascii="Times New Roman" w:hAnsi="Times New Roman"/>
        </w:rPr>
        <w:t xml:space="preserve"> obtained on November 1, 2011</w:t>
      </w:r>
      <w:r w:rsidR="00D90BA9">
        <w:rPr>
          <w:rFonts w:ascii="Times New Roman" w:hAnsi="Times New Roman"/>
        </w:rPr>
        <w:t xml:space="preserve"> at the </w:t>
      </w:r>
      <w:r w:rsidR="00D90BA9">
        <w:rPr>
          <w:rFonts w:ascii="Times New Roman" w:hAnsi="Times New Roman"/>
        </w:rPr>
        <w:lastRenderedPageBreak/>
        <w:t xml:space="preserve">following website: </w:t>
      </w:r>
      <w:r w:rsidR="00D90BA9" w:rsidRPr="00367790">
        <w:rPr>
          <w:rFonts w:ascii="Times New Roman" w:hAnsi="Times New Roman"/>
        </w:rPr>
        <w:t>http://www.bls.gov</w:t>
      </w:r>
      <w:r w:rsidR="00367790">
        <w:rPr>
          <w:rFonts w:ascii="Times New Roman" w:hAnsi="Times New Roman"/>
        </w:rPr>
        <w:t>/oes/current/oes_nat.htm</w:t>
      </w:r>
      <w:r w:rsidR="00D90BA9">
        <w:rPr>
          <w:rFonts w:ascii="Times New Roman" w:hAnsi="Times New Roman"/>
        </w:rPr>
        <w:t xml:space="preserve">. </w:t>
      </w:r>
      <w:r>
        <w:rPr>
          <w:rFonts w:ascii="Times New Roman" w:hAnsi="Times New Roman"/>
        </w:rPr>
        <w:t>For patients, w</w:t>
      </w:r>
      <w:r w:rsidR="00914FEA">
        <w:rPr>
          <w:rFonts w:ascii="Times New Roman" w:hAnsi="Times New Roman"/>
        </w:rPr>
        <w:t>e assumed a</w:t>
      </w:r>
      <w:r w:rsidR="002157D1">
        <w:rPr>
          <w:rFonts w:ascii="Times New Roman" w:hAnsi="Times New Roman"/>
        </w:rPr>
        <w:t>n</w:t>
      </w:r>
      <w:r w:rsidR="002157D1" w:rsidRPr="002157D1">
        <w:rPr>
          <w:rFonts w:ascii="Times New Roman" w:hAnsi="Times New Roman"/>
        </w:rPr>
        <w:t xml:space="preserve"> hourly wage rate </w:t>
      </w:r>
      <w:r w:rsidR="002157D1">
        <w:rPr>
          <w:rFonts w:ascii="Times New Roman" w:hAnsi="Times New Roman"/>
        </w:rPr>
        <w:t>of $</w:t>
      </w:r>
      <w:r w:rsidR="00D90BA9">
        <w:rPr>
          <w:rFonts w:ascii="Times New Roman" w:hAnsi="Times New Roman"/>
        </w:rPr>
        <w:t>10</w:t>
      </w:r>
      <w:r w:rsidR="00367790">
        <w:rPr>
          <w:rFonts w:ascii="Times New Roman" w:hAnsi="Times New Roman"/>
        </w:rPr>
        <w:t>.25</w:t>
      </w:r>
      <w:r w:rsidR="002157D1">
        <w:rPr>
          <w:rFonts w:ascii="Times New Roman" w:hAnsi="Times New Roman"/>
        </w:rPr>
        <w:t xml:space="preserve"> </w:t>
      </w:r>
      <w:r w:rsidR="00D90BA9">
        <w:rPr>
          <w:rFonts w:ascii="Times New Roman" w:hAnsi="Times New Roman"/>
        </w:rPr>
        <w:t>($2</w:t>
      </w:r>
      <w:r w:rsidR="002157D1" w:rsidRPr="002157D1">
        <w:rPr>
          <w:rFonts w:ascii="Times New Roman" w:hAnsi="Times New Roman"/>
        </w:rPr>
        <w:t xml:space="preserve"> above the </w:t>
      </w:r>
      <w:r w:rsidR="00367790">
        <w:rPr>
          <w:rFonts w:ascii="Times New Roman" w:hAnsi="Times New Roman"/>
        </w:rPr>
        <w:t>2011</w:t>
      </w:r>
      <w:r w:rsidR="000361D6">
        <w:rPr>
          <w:rFonts w:ascii="Times New Roman" w:hAnsi="Times New Roman"/>
        </w:rPr>
        <w:t xml:space="preserve"> </w:t>
      </w:r>
      <w:r w:rsidR="006471E2">
        <w:rPr>
          <w:rFonts w:ascii="Times New Roman" w:hAnsi="Times New Roman"/>
        </w:rPr>
        <w:t xml:space="preserve">Illinois </w:t>
      </w:r>
      <w:r w:rsidR="00D90BA9">
        <w:rPr>
          <w:rFonts w:ascii="Times New Roman" w:hAnsi="Times New Roman"/>
        </w:rPr>
        <w:t>state</w:t>
      </w:r>
      <w:r w:rsidR="002157D1" w:rsidRPr="002157D1">
        <w:rPr>
          <w:rFonts w:ascii="Times New Roman" w:hAnsi="Times New Roman"/>
        </w:rPr>
        <w:t xml:space="preserve"> minimum wage</w:t>
      </w:r>
      <w:r w:rsidR="00D90BA9">
        <w:rPr>
          <w:rFonts w:ascii="Times New Roman" w:hAnsi="Times New Roman"/>
        </w:rPr>
        <w:t>)</w:t>
      </w:r>
      <w:r w:rsidR="00EF0596" w:rsidRPr="002157D1">
        <w:rPr>
          <w:rFonts w:ascii="Times New Roman" w:hAnsi="Times New Roman"/>
        </w:rPr>
        <w:t xml:space="preserve">. </w:t>
      </w:r>
      <w:r w:rsidR="00D90BA9">
        <w:rPr>
          <w:rFonts w:ascii="Times New Roman" w:hAnsi="Times New Roman"/>
        </w:rPr>
        <w:t>Using these estimates, the total annualized cost</w:t>
      </w:r>
      <w:r w:rsidR="00914FEA">
        <w:rPr>
          <w:rFonts w:ascii="Times New Roman" w:hAnsi="Times New Roman"/>
        </w:rPr>
        <w:t xml:space="preserve"> to respondents</w:t>
      </w:r>
      <w:r w:rsidR="00D90BA9">
        <w:rPr>
          <w:rFonts w:ascii="Times New Roman" w:hAnsi="Times New Roman"/>
        </w:rPr>
        <w:t xml:space="preserve"> for the first 3 years of the study is $</w:t>
      </w:r>
      <w:r w:rsidR="00213D5A">
        <w:rPr>
          <w:rFonts w:ascii="Times New Roman" w:hAnsi="Times New Roman"/>
        </w:rPr>
        <w:t>9,134</w:t>
      </w:r>
      <w:r w:rsidR="00367790">
        <w:rPr>
          <w:rFonts w:ascii="Times New Roman" w:hAnsi="Times New Roman"/>
        </w:rPr>
        <w:t>.</w:t>
      </w:r>
    </w:p>
    <w:p w:rsidR="00A254A1" w:rsidRPr="003C1CE4" w:rsidRDefault="00353EF4" w:rsidP="00D82729">
      <w:pPr>
        <w:pStyle w:val="Tablehead"/>
        <w:spacing w:before="0" w:after="0" w:line="240" w:lineRule="auto"/>
      </w:pPr>
      <w:bookmarkStart w:id="15" w:name="_Toc191095943"/>
      <w:r>
        <w:t>A.12-</w:t>
      </w:r>
      <w:r w:rsidR="009D0F81">
        <w:t>2  Annualized Cost to Respondents</w:t>
      </w:r>
      <w:bookmarkEnd w:id="15"/>
      <w:r w:rsidR="009D0F81">
        <w:t xml:space="preserve"> </w:t>
      </w:r>
    </w:p>
    <w:tbl>
      <w:tblPr>
        <w:tblW w:w="3232"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449"/>
        <w:gridCol w:w="1618"/>
        <w:gridCol w:w="1618"/>
        <w:gridCol w:w="1505"/>
      </w:tblGrid>
      <w:tr w:rsidR="005D1690" w:rsidRPr="00202AFE" w:rsidTr="005D1690">
        <w:tc>
          <w:tcPr>
            <w:tcW w:w="1170" w:type="pct"/>
            <w:tcBorders>
              <w:top w:val="double" w:sz="4" w:space="0" w:color="auto"/>
              <w:bottom w:val="single" w:sz="4" w:space="0" w:color="auto"/>
            </w:tcBorders>
            <w:shd w:val="clear" w:color="auto" w:fill="auto"/>
            <w:vAlign w:val="center"/>
          </w:tcPr>
          <w:p w:rsidR="005D1690" w:rsidRPr="00531531" w:rsidRDefault="005D1690" w:rsidP="00662D1C">
            <w:pPr>
              <w:pStyle w:val="NormalWeb"/>
              <w:spacing w:before="0" w:beforeAutospacing="0" w:after="0" w:afterAutospacing="0"/>
              <w:jc w:val="center"/>
              <w:rPr>
                <w:sz w:val="22"/>
                <w:szCs w:val="22"/>
              </w:rPr>
            </w:pPr>
            <w:r w:rsidRPr="00531531">
              <w:rPr>
                <w:sz w:val="22"/>
                <w:szCs w:val="22"/>
              </w:rPr>
              <w:t>Type of Respondent</w:t>
            </w:r>
          </w:p>
        </w:tc>
        <w:tc>
          <w:tcPr>
            <w:tcW w:w="1307" w:type="pct"/>
            <w:tcBorders>
              <w:top w:val="double" w:sz="4" w:space="0" w:color="auto"/>
              <w:bottom w:val="single" w:sz="4" w:space="0" w:color="auto"/>
            </w:tcBorders>
          </w:tcPr>
          <w:p w:rsidR="005D1690" w:rsidRPr="00531531" w:rsidRDefault="005D1690" w:rsidP="00662D1C">
            <w:pPr>
              <w:pStyle w:val="NormalWeb"/>
              <w:spacing w:before="0" w:beforeAutospacing="0" w:after="0" w:afterAutospacing="0"/>
              <w:ind w:left="72"/>
              <w:jc w:val="center"/>
              <w:rPr>
                <w:sz w:val="22"/>
                <w:szCs w:val="22"/>
              </w:rPr>
            </w:pPr>
            <w:r w:rsidRPr="00531531">
              <w:rPr>
                <w:sz w:val="22"/>
                <w:szCs w:val="22"/>
              </w:rPr>
              <w:t>Total Burden Hours</w:t>
            </w:r>
          </w:p>
        </w:tc>
        <w:tc>
          <w:tcPr>
            <w:tcW w:w="1307" w:type="pct"/>
            <w:tcBorders>
              <w:top w:val="double" w:sz="4" w:space="0" w:color="auto"/>
              <w:bottom w:val="single" w:sz="4" w:space="0" w:color="auto"/>
            </w:tcBorders>
            <w:vAlign w:val="center"/>
          </w:tcPr>
          <w:p w:rsidR="005D1690" w:rsidRPr="00531531" w:rsidRDefault="005D1690" w:rsidP="00662D1C">
            <w:pPr>
              <w:pStyle w:val="NormalWeb"/>
              <w:spacing w:before="0" w:beforeAutospacing="0" w:after="0" w:afterAutospacing="0"/>
              <w:ind w:left="72"/>
              <w:jc w:val="center"/>
              <w:rPr>
                <w:sz w:val="22"/>
                <w:szCs w:val="22"/>
              </w:rPr>
            </w:pPr>
            <w:r w:rsidRPr="00531531">
              <w:rPr>
                <w:sz w:val="22"/>
                <w:szCs w:val="22"/>
              </w:rPr>
              <w:t>Hourly Wage Rate</w:t>
            </w:r>
          </w:p>
        </w:tc>
        <w:tc>
          <w:tcPr>
            <w:tcW w:w="1216" w:type="pct"/>
            <w:tcBorders>
              <w:top w:val="double" w:sz="4" w:space="0" w:color="auto"/>
              <w:bottom w:val="single" w:sz="4" w:space="0" w:color="auto"/>
            </w:tcBorders>
            <w:vAlign w:val="center"/>
          </w:tcPr>
          <w:p w:rsidR="005D1690" w:rsidRPr="00531531" w:rsidRDefault="005D1690" w:rsidP="00662D1C">
            <w:pPr>
              <w:pStyle w:val="NormalWeb"/>
              <w:spacing w:before="0" w:beforeAutospacing="0" w:after="0" w:afterAutospacing="0"/>
              <w:ind w:left="72"/>
              <w:jc w:val="center"/>
              <w:rPr>
                <w:sz w:val="22"/>
                <w:szCs w:val="22"/>
              </w:rPr>
            </w:pPr>
            <w:r w:rsidRPr="00531531">
              <w:rPr>
                <w:sz w:val="22"/>
                <w:szCs w:val="22"/>
              </w:rPr>
              <w:t>Respondent Cost</w:t>
            </w:r>
          </w:p>
        </w:tc>
      </w:tr>
      <w:tr w:rsidR="00367790" w:rsidRPr="00202AFE" w:rsidTr="00AF4196">
        <w:trPr>
          <w:cantSplit/>
          <w:trHeight w:val="576"/>
        </w:trPr>
        <w:tc>
          <w:tcPr>
            <w:tcW w:w="1170" w:type="pct"/>
            <w:vAlign w:val="center"/>
          </w:tcPr>
          <w:p w:rsidR="00367790" w:rsidRPr="00531531" w:rsidRDefault="00367790" w:rsidP="00AF4196">
            <w:pPr>
              <w:pStyle w:val="NormalWeb"/>
              <w:spacing w:before="0" w:beforeAutospacing="0" w:after="0" w:afterAutospacing="0"/>
              <w:rPr>
                <w:sz w:val="22"/>
                <w:szCs w:val="22"/>
              </w:rPr>
            </w:pPr>
            <w:r w:rsidRPr="00531531">
              <w:rPr>
                <w:sz w:val="22"/>
                <w:szCs w:val="22"/>
              </w:rPr>
              <w:t>Patients</w:t>
            </w:r>
          </w:p>
        </w:tc>
        <w:tc>
          <w:tcPr>
            <w:tcW w:w="1307" w:type="pct"/>
            <w:vAlign w:val="center"/>
          </w:tcPr>
          <w:p w:rsidR="00367790" w:rsidRPr="00531531" w:rsidRDefault="00213D5A" w:rsidP="002C158A">
            <w:pPr>
              <w:pStyle w:val="NormalWeb"/>
              <w:spacing w:before="0" w:beforeAutospacing="0" w:after="0" w:afterAutospacing="0"/>
              <w:jc w:val="center"/>
              <w:rPr>
                <w:sz w:val="22"/>
                <w:szCs w:val="22"/>
              </w:rPr>
            </w:pPr>
            <w:r>
              <w:rPr>
                <w:sz w:val="22"/>
                <w:szCs w:val="22"/>
              </w:rPr>
              <w:t>25</w:t>
            </w:r>
          </w:p>
        </w:tc>
        <w:tc>
          <w:tcPr>
            <w:tcW w:w="1307" w:type="pct"/>
            <w:vAlign w:val="center"/>
          </w:tcPr>
          <w:p w:rsidR="00367790" w:rsidRPr="00531531" w:rsidRDefault="00213D5A" w:rsidP="002C158A">
            <w:pPr>
              <w:pStyle w:val="NormalWeb"/>
              <w:spacing w:before="0" w:beforeAutospacing="0" w:after="0" w:afterAutospacing="0"/>
              <w:jc w:val="center"/>
              <w:rPr>
                <w:sz w:val="22"/>
                <w:szCs w:val="22"/>
              </w:rPr>
            </w:pPr>
            <w:r>
              <w:rPr>
                <w:sz w:val="22"/>
                <w:szCs w:val="22"/>
              </w:rPr>
              <w:t>$</w:t>
            </w:r>
            <w:r w:rsidR="00531531">
              <w:rPr>
                <w:sz w:val="22"/>
                <w:szCs w:val="22"/>
              </w:rPr>
              <w:t>10.25</w:t>
            </w:r>
          </w:p>
        </w:tc>
        <w:tc>
          <w:tcPr>
            <w:tcW w:w="1216" w:type="pct"/>
            <w:vAlign w:val="center"/>
          </w:tcPr>
          <w:p w:rsidR="00367790" w:rsidRPr="00531531" w:rsidRDefault="00531531" w:rsidP="002C158A">
            <w:pPr>
              <w:pStyle w:val="NormalWeb"/>
              <w:spacing w:before="0" w:beforeAutospacing="0" w:after="0" w:afterAutospacing="0"/>
              <w:ind w:left="72"/>
              <w:jc w:val="center"/>
              <w:rPr>
                <w:sz w:val="22"/>
                <w:szCs w:val="22"/>
              </w:rPr>
            </w:pPr>
            <w:r>
              <w:rPr>
                <w:sz w:val="22"/>
                <w:szCs w:val="22"/>
              </w:rPr>
              <w:t>$</w:t>
            </w:r>
            <w:r w:rsidR="00213D5A">
              <w:rPr>
                <w:sz w:val="22"/>
                <w:szCs w:val="22"/>
              </w:rPr>
              <w:t>256</w:t>
            </w:r>
          </w:p>
        </w:tc>
      </w:tr>
      <w:tr w:rsidR="00367790" w:rsidRPr="00202AFE" w:rsidTr="00EC35E6">
        <w:trPr>
          <w:cantSplit/>
          <w:trHeight w:val="576"/>
        </w:trPr>
        <w:tc>
          <w:tcPr>
            <w:tcW w:w="1170" w:type="pct"/>
            <w:vAlign w:val="center"/>
          </w:tcPr>
          <w:p w:rsidR="00367790" w:rsidRPr="00531531" w:rsidRDefault="00367790" w:rsidP="00665645">
            <w:pPr>
              <w:pStyle w:val="NormalWeb"/>
              <w:spacing w:before="0" w:beforeAutospacing="0" w:after="0" w:afterAutospacing="0"/>
              <w:rPr>
                <w:sz w:val="22"/>
                <w:szCs w:val="22"/>
              </w:rPr>
            </w:pPr>
            <w:r w:rsidRPr="00531531">
              <w:rPr>
                <w:sz w:val="22"/>
                <w:szCs w:val="22"/>
              </w:rPr>
              <w:t>Providers</w:t>
            </w:r>
          </w:p>
        </w:tc>
        <w:tc>
          <w:tcPr>
            <w:tcW w:w="1307" w:type="pct"/>
            <w:vAlign w:val="center"/>
          </w:tcPr>
          <w:p w:rsidR="00367790" w:rsidRPr="00531531" w:rsidRDefault="00213D5A" w:rsidP="00AF4196">
            <w:pPr>
              <w:pStyle w:val="NormalWeb"/>
              <w:spacing w:before="0" w:beforeAutospacing="0" w:after="0" w:afterAutospacing="0"/>
              <w:jc w:val="center"/>
              <w:rPr>
                <w:sz w:val="22"/>
                <w:szCs w:val="22"/>
              </w:rPr>
            </w:pPr>
            <w:r>
              <w:rPr>
                <w:sz w:val="22"/>
                <w:szCs w:val="22"/>
              </w:rPr>
              <w:t>110</w:t>
            </w:r>
          </w:p>
        </w:tc>
        <w:tc>
          <w:tcPr>
            <w:tcW w:w="1307" w:type="pct"/>
            <w:vAlign w:val="center"/>
          </w:tcPr>
          <w:p w:rsidR="00367790" w:rsidRPr="00531531" w:rsidRDefault="00213D5A" w:rsidP="00AF4196">
            <w:pPr>
              <w:pStyle w:val="NormalWeb"/>
              <w:spacing w:before="0" w:beforeAutospacing="0" w:after="0" w:afterAutospacing="0"/>
              <w:jc w:val="center"/>
              <w:rPr>
                <w:sz w:val="22"/>
                <w:szCs w:val="22"/>
              </w:rPr>
            </w:pPr>
            <w:r>
              <w:rPr>
                <w:sz w:val="22"/>
                <w:szCs w:val="22"/>
              </w:rPr>
              <w:t>$</w:t>
            </w:r>
            <w:r w:rsidR="00367790" w:rsidRPr="00531531">
              <w:rPr>
                <w:sz w:val="22"/>
                <w:szCs w:val="22"/>
              </w:rPr>
              <w:t>80.71</w:t>
            </w:r>
          </w:p>
        </w:tc>
        <w:tc>
          <w:tcPr>
            <w:tcW w:w="1216" w:type="pct"/>
            <w:vAlign w:val="center"/>
          </w:tcPr>
          <w:p w:rsidR="00367790" w:rsidRPr="00531531" w:rsidRDefault="00531531" w:rsidP="00AF4196">
            <w:pPr>
              <w:pStyle w:val="NormalWeb"/>
              <w:spacing w:before="0" w:beforeAutospacing="0" w:after="0" w:afterAutospacing="0"/>
              <w:ind w:left="72"/>
              <w:jc w:val="center"/>
              <w:rPr>
                <w:sz w:val="22"/>
                <w:szCs w:val="22"/>
              </w:rPr>
            </w:pPr>
            <w:r>
              <w:rPr>
                <w:sz w:val="22"/>
                <w:szCs w:val="22"/>
              </w:rPr>
              <w:t>$</w:t>
            </w:r>
            <w:r w:rsidR="00213D5A">
              <w:rPr>
                <w:sz w:val="22"/>
                <w:szCs w:val="22"/>
              </w:rPr>
              <w:t>8,878</w:t>
            </w:r>
          </w:p>
        </w:tc>
      </w:tr>
      <w:tr w:rsidR="00FB483F" w:rsidRPr="003C1CE4" w:rsidTr="00FB483F">
        <w:trPr>
          <w:cantSplit/>
          <w:trHeight w:val="576"/>
        </w:trPr>
        <w:tc>
          <w:tcPr>
            <w:tcW w:w="1170" w:type="pct"/>
            <w:vAlign w:val="center"/>
          </w:tcPr>
          <w:p w:rsidR="00FB483F" w:rsidRPr="00531531" w:rsidRDefault="00FB483F" w:rsidP="00665645">
            <w:pPr>
              <w:pStyle w:val="NormalWeb"/>
              <w:spacing w:before="0" w:beforeAutospacing="0" w:after="0" w:afterAutospacing="0"/>
              <w:rPr>
                <w:sz w:val="22"/>
                <w:szCs w:val="22"/>
              </w:rPr>
            </w:pPr>
          </w:p>
        </w:tc>
        <w:tc>
          <w:tcPr>
            <w:tcW w:w="2614" w:type="pct"/>
            <w:gridSpan w:val="2"/>
            <w:vAlign w:val="center"/>
          </w:tcPr>
          <w:p w:rsidR="00FB483F" w:rsidRPr="00531531" w:rsidRDefault="00FB483F" w:rsidP="00FB483F">
            <w:pPr>
              <w:pStyle w:val="NormalWeb"/>
              <w:spacing w:before="0" w:beforeAutospacing="0" w:after="0" w:afterAutospacing="0"/>
              <w:jc w:val="right"/>
              <w:rPr>
                <w:sz w:val="22"/>
                <w:szCs w:val="22"/>
              </w:rPr>
            </w:pPr>
            <w:r w:rsidRPr="00531531">
              <w:rPr>
                <w:sz w:val="22"/>
                <w:szCs w:val="22"/>
              </w:rPr>
              <w:t>Total</w:t>
            </w:r>
          </w:p>
        </w:tc>
        <w:tc>
          <w:tcPr>
            <w:tcW w:w="1216" w:type="pct"/>
            <w:vAlign w:val="center"/>
          </w:tcPr>
          <w:p w:rsidR="00FB483F" w:rsidRPr="00531531" w:rsidRDefault="00FB483F" w:rsidP="00531531">
            <w:pPr>
              <w:pStyle w:val="NormalWeb"/>
              <w:spacing w:before="0" w:beforeAutospacing="0" w:after="0" w:afterAutospacing="0"/>
              <w:ind w:left="72"/>
              <w:jc w:val="center"/>
              <w:rPr>
                <w:sz w:val="22"/>
                <w:szCs w:val="22"/>
              </w:rPr>
            </w:pPr>
            <w:r>
              <w:rPr>
                <w:sz w:val="22"/>
                <w:szCs w:val="22"/>
              </w:rPr>
              <w:t>$9,134</w:t>
            </w:r>
          </w:p>
        </w:tc>
      </w:tr>
    </w:tbl>
    <w:p w:rsidR="008F5731" w:rsidRPr="003C1CE4" w:rsidRDefault="008F5731" w:rsidP="00665645">
      <w:pPr>
        <w:tabs>
          <w:tab w:val="left" w:pos="-1440"/>
        </w:tabs>
        <w:outlineLvl w:val="0"/>
        <w:rPr>
          <w:rFonts w:ascii="Times New Roman" w:hAnsi="Times New Roman"/>
          <w:b/>
        </w:rPr>
      </w:pPr>
    </w:p>
    <w:p w:rsidR="008F5731" w:rsidRPr="003C1CE4" w:rsidRDefault="003E798F" w:rsidP="00665645">
      <w:pPr>
        <w:pStyle w:val="Head1"/>
        <w:keepNext/>
        <w:keepLines/>
        <w:spacing w:before="0" w:beforeAutospacing="0" w:after="0" w:afterAutospacing="0" w:line="240" w:lineRule="auto"/>
      </w:pPr>
      <w:bookmarkStart w:id="16" w:name="_Toc179609156"/>
      <w:r>
        <w:t xml:space="preserve">A.13. </w:t>
      </w:r>
      <w:r w:rsidR="008F5731" w:rsidRPr="003C1CE4">
        <w:t>Estimate of Other Total Annual Cost Burden to Respondents or Record</w:t>
      </w:r>
      <w:r w:rsidR="004404EE">
        <w:t xml:space="preserve"> K</w:t>
      </w:r>
      <w:r w:rsidR="008F5731" w:rsidRPr="003C1CE4">
        <w:t>eepers</w:t>
      </w:r>
      <w:bookmarkEnd w:id="16"/>
    </w:p>
    <w:p w:rsidR="004D7054" w:rsidRDefault="004D7054" w:rsidP="00665645">
      <w:pPr>
        <w:keepNext/>
        <w:keepLines/>
        <w:tabs>
          <w:tab w:val="left" w:pos="-1440"/>
        </w:tabs>
        <w:outlineLvl w:val="0"/>
        <w:rPr>
          <w:rFonts w:ascii="Times New Roman" w:hAnsi="Times New Roman"/>
        </w:rPr>
      </w:pPr>
    </w:p>
    <w:p w:rsidR="008F5731" w:rsidRPr="003C1CE4" w:rsidRDefault="008F5731" w:rsidP="00665645">
      <w:pPr>
        <w:keepNext/>
        <w:keepLines/>
        <w:tabs>
          <w:tab w:val="left" w:pos="-1440"/>
        </w:tabs>
        <w:outlineLvl w:val="0"/>
        <w:rPr>
          <w:rFonts w:ascii="Times New Roman" w:hAnsi="Times New Roman"/>
        </w:rPr>
      </w:pPr>
      <w:r w:rsidRPr="003C1CE4">
        <w:rPr>
          <w:rFonts w:ascii="Times New Roman" w:hAnsi="Times New Roman"/>
        </w:rPr>
        <w:t>The data collection entails no additional costs to respondents or record</w:t>
      </w:r>
      <w:r w:rsidR="00A21507">
        <w:rPr>
          <w:rFonts w:ascii="Times New Roman" w:hAnsi="Times New Roman"/>
        </w:rPr>
        <w:t xml:space="preserve"> </w:t>
      </w:r>
      <w:r w:rsidRPr="003C1CE4">
        <w:rPr>
          <w:rFonts w:ascii="Times New Roman" w:hAnsi="Times New Roman"/>
        </w:rPr>
        <w:t>keepers.</w:t>
      </w:r>
    </w:p>
    <w:p w:rsidR="004D7054" w:rsidRDefault="004D7054" w:rsidP="00665645">
      <w:pPr>
        <w:pStyle w:val="Head1"/>
        <w:spacing w:before="0" w:beforeAutospacing="0" w:after="0" w:afterAutospacing="0" w:line="240" w:lineRule="auto"/>
      </w:pPr>
      <w:bookmarkStart w:id="17" w:name="_Toc179609157"/>
    </w:p>
    <w:p w:rsidR="008F5731" w:rsidRPr="003C1CE4" w:rsidRDefault="003E798F" w:rsidP="00665645">
      <w:pPr>
        <w:pStyle w:val="Head1"/>
        <w:spacing w:before="0" w:beforeAutospacing="0" w:after="0" w:afterAutospacing="0" w:line="240" w:lineRule="auto"/>
      </w:pPr>
      <w:r>
        <w:t xml:space="preserve">A.14. </w:t>
      </w:r>
      <w:r w:rsidR="008F5731" w:rsidRPr="003C1CE4">
        <w:t xml:space="preserve">Annualized Cost to the </w:t>
      </w:r>
      <w:r w:rsidR="00CF2DAA">
        <w:t xml:space="preserve">Federal </w:t>
      </w:r>
      <w:r w:rsidR="008F5731" w:rsidRPr="003C1CE4">
        <w:t>Government</w:t>
      </w:r>
      <w:bookmarkEnd w:id="17"/>
    </w:p>
    <w:p w:rsidR="003A2379" w:rsidRDefault="003A2379" w:rsidP="007C3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C3CB9" w:rsidRPr="00500C39" w:rsidRDefault="007C3CB9" w:rsidP="007C3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00C39">
        <w:rPr>
          <w:rFonts w:ascii="Times New Roman" w:hAnsi="Times New Roman"/>
        </w:rPr>
        <w:t xml:space="preserve">This project has been fully funded by CDC. The project costs </w:t>
      </w:r>
      <w:r w:rsidR="00C91271">
        <w:rPr>
          <w:rFonts w:ascii="Times New Roman" w:hAnsi="Times New Roman"/>
        </w:rPr>
        <w:t xml:space="preserve">for Phase II of the study </w:t>
      </w:r>
      <w:r w:rsidRPr="00500C39">
        <w:rPr>
          <w:rFonts w:ascii="Times New Roman" w:hAnsi="Times New Roman"/>
        </w:rPr>
        <w:t xml:space="preserve">are shown in Table </w:t>
      </w:r>
      <w:r w:rsidR="00F96BB2">
        <w:rPr>
          <w:rFonts w:ascii="Times New Roman" w:hAnsi="Times New Roman"/>
        </w:rPr>
        <w:t>A.14-1</w:t>
      </w:r>
      <w:r w:rsidR="00C91271">
        <w:rPr>
          <w:rFonts w:ascii="Times New Roman" w:hAnsi="Times New Roman"/>
        </w:rPr>
        <w:t>. The</w:t>
      </w:r>
      <w:r w:rsidRPr="00500C39">
        <w:rPr>
          <w:rFonts w:ascii="Times New Roman" w:hAnsi="Times New Roman"/>
        </w:rPr>
        <w:t xml:space="preserve"> costs include (1) contract costs for Battelle </w:t>
      </w:r>
      <w:r w:rsidR="00500C39">
        <w:rPr>
          <w:rFonts w:ascii="Times New Roman" w:hAnsi="Times New Roman"/>
        </w:rPr>
        <w:t>for data collection and</w:t>
      </w:r>
      <w:r w:rsidR="0063120C">
        <w:rPr>
          <w:rFonts w:ascii="Times New Roman" w:hAnsi="Times New Roman"/>
        </w:rPr>
        <w:t xml:space="preserve"> analysis </w:t>
      </w:r>
      <w:r w:rsidR="00574325">
        <w:rPr>
          <w:rFonts w:ascii="Times New Roman" w:hAnsi="Times New Roman"/>
        </w:rPr>
        <w:t xml:space="preserve">(analysis will extend beyond the OMB-approved data collection period), </w:t>
      </w:r>
      <w:r w:rsidR="0063120C">
        <w:rPr>
          <w:rFonts w:ascii="Times New Roman" w:hAnsi="Times New Roman"/>
        </w:rPr>
        <w:t>and</w:t>
      </w:r>
      <w:r w:rsidR="00500C39">
        <w:rPr>
          <w:rFonts w:ascii="Times New Roman" w:hAnsi="Times New Roman"/>
        </w:rPr>
        <w:t xml:space="preserve"> </w:t>
      </w:r>
      <w:r w:rsidRPr="00500C39">
        <w:rPr>
          <w:rFonts w:ascii="Times New Roman" w:hAnsi="Times New Roman"/>
        </w:rPr>
        <w:t xml:space="preserve">(2) the cost of CDC staff </w:t>
      </w:r>
      <w:r w:rsidR="005301BD">
        <w:rPr>
          <w:rFonts w:ascii="Times New Roman" w:hAnsi="Times New Roman"/>
        </w:rPr>
        <w:t xml:space="preserve">involved in </w:t>
      </w:r>
      <w:r w:rsidRPr="00500C39">
        <w:rPr>
          <w:rFonts w:ascii="Times New Roman" w:hAnsi="Times New Roman"/>
        </w:rPr>
        <w:t xml:space="preserve">oversight </w:t>
      </w:r>
      <w:r w:rsidR="005301BD">
        <w:rPr>
          <w:rFonts w:ascii="Times New Roman" w:hAnsi="Times New Roman"/>
        </w:rPr>
        <w:t>and analysis</w:t>
      </w:r>
      <w:r w:rsidRPr="00500C39">
        <w:rPr>
          <w:rFonts w:ascii="Times New Roman" w:hAnsi="Times New Roman"/>
        </w:rPr>
        <w:t>. The total contract cost for carrying out the project is $</w:t>
      </w:r>
      <w:r w:rsidR="00BD5621">
        <w:rPr>
          <w:rFonts w:ascii="Times New Roman" w:hAnsi="Times New Roman"/>
          <w:bCs/>
        </w:rPr>
        <w:t>745</w:t>
      </w:r>
      <w:r w:rsidR="00B979D5">
        <w:rPr>
          <w:rFonts w:ascii="Times New Roman" w:hAnsi="Times New Roman"/>
          <w:bCs/>
        </w:rPr>
        <w:t>,5</w:t>
      </w:r>
      <w:r w:rsidR="00BD5621">
        <w:rPr>
          <w:rFonts w:ascii="Times New Roman" w:hAnsi="Times New Roman"/>
          <w:bCs/>
        </w:rPr>
        <w:t>9</w:t>
      </w:r>
      <w:r w:rsidR="00B979D5">
        <w:rPr>
          <w:rFonts w:ascii="Times New Roman" w:hAnsi="Times New Roman"/>
          <w:bCs/>
        </w:rPr>
        <w:t>7</w:t>
      </w:r>
      <w:r w:rsidR="003A2379">
        <w:rPr>
          <w:rFonts w:ascii="Times New Roman" w:hAnsi="Times New Roman"/>
          <w:bCs/>
        </w:rPr>
        <w:t xml:space="preserve"> </w:t>
      </w:r>
      <w:r w:rsidRPr="00500C39">
        <w:rPr>
          <w:rFonts w:ascii="Times New Roman" w:hAnsi="Times New Roman"/>
        </w:rPr>
        <w:t xml:space="preserve">over </w:t>
      </w:r>
      <w:r w:rsidR="00C91271">
        <w:rPr>
          <w:rFonts w:ascii="Times New Roman" w:hAnsi="Times New Roman"/>
        </w:rPr>
        <w:t>the</w:t>
      </w:r>
      <w:r w:rsidR="00E86368">
        <w:rPr>
          <w:rFonts w:ascii="Times New Roman" w:hAnsi="Times New Roman"/>
        </w:rPr>
        <w:t xml:space="preserve"> remaining project </w:t>
      </w:r>
      <w:r w:rsidR="000C0DF1">
        <w:rPr>
          <w:rFonts w:ascii="Times New Roman" w:hAnsi="Times New Roman"/>
        </w:rPr>
        <w:t>period</w:t>
      </w:r>
      <w:r w:rsidRPr="00500C39">
        <w:rPr>
          <w:rFonts w:ascii="Times New Roman" w:hAnsi="Times New Roman"/>
        </w:rPr>
        <w:t xml:space="preserve">. </w:t>
      </w:r>
      <w:r w:rsidR="00C91271">
        <w:rPr>
          <w:rFonts w:ascii="Times New Roman" w:hAnsi="Times New Roman"/>
          <w:color w:val="000000"/>
        </w:rPr>
        <w:t>The CDC</w:t>
      </w:r>
      <w:r w:rsidRPr="00500C39">
        <w:rPr>
          <w:rFonts w:ascii="Times New Roman" w:hAnsi="Times New Roman"/>
          <w:color w:val="000000"/>
        </w:rPr>
        <w:t xml:space="preserve"> costs include personnel costs of Federal employees involved in oversight</w:t>
      </w:r>
      <w:r w:rsidR="00C91271">
        <w:rPr>
          <w:rFonts w:ascii="Times New Roman" w:hAnsi="Times New Roman"/>
          <w:color w:val="000000"/>
        </w:rPr>
        <w:t xml:space="preserve"> and analysis</w:t>
      </w:r>
      <w:r w:rsidRPr="00500C39">
        <w:rPr>
          <w:rFonts w:ascii="Times New Roman" w:hAnsi="Times New Roman"/>
          <w:color w:val="000000"/>
        </w:rPr>
        <w:t>, estimated at $</w:t>
      </w:r>
      <w:r w:rsidR="00BA5E08">
        <w:rPr>
          <w:rFonts w:ascii="Times New Roman" w:hAnsi="Times New Roman"/>
        </w:rPr>
        <w:t>71,989</w:t>
      </w:r>
      <w:r w:rsidR="00500C39" w:rsidRPr="00500C39">
        <w:rPr>
          <w:rFonts w:ascii="Times New Roman" w:hAnsi="Times New Roman"/>
          <w:color w:val="000000"/>
        </w:rPr>
        <w:t xml:space="preserve"> </w:t>
      </w:r>
      <w:r w:rsidRPr="00500C39">
        <w:rPr>
          <w:rFonts w:ascii="Times New Roman" w:hAnsi="Times New Roman"/>
          <w:color w:val="000000"/>
        </w:rPr>
        <w:t>(25% of an FTE at GS-13, 10% Grade 05 Commissioned</w:t>
      </w:r>
      <w:r w:rsidR="00530784">
        <w:rPr>
          <w:rFonts w:ascii="Times New Roman" w:hAnsi="Times New Roman"/>
          <w:color w:val="000000"/>
        </w:rPr>
        <w:t xml:space="preserve"> Corps Medical Officer, 5% of a</w:t>
      </w:r>
      <w:r w:rsidRPr="00500C39">
        <w:rPr>
          <w:rFonts w:ascii="Times New Roman" w:hAnsi="Times New Roman"/>
          <w:color w:val="000000"/>
        </w:rPr>
        <w:t xml:space="preserve"> </w:t>
      </w:r>
      <w:r w:rsidR="00500C39">
        <w:rPr>
          <w:rFonts w:ascii="Times New Roman" w:hAnsi="Times New Roman"/>
          <w:color w:val="000000"/>
        </w:rPr>
        <w:t xml:space="preserve">3 </w:t>
      </w:r>
      <w:r w:rsidRPr="00500C39">
        <w:rPr>
          <w:rFonts w:ascii="Times New Roman" w:hAnsi="Times New Roman"/>
          <w:color w:val="000000"/>
        </w:rPr>
        <w:t>FTE</w:t>
      </w:r>
      <w:r w:rsidR="00500C39">
        <w:rPr>
          <w:rFonts w:ascii="Times New Roman" w:hAnsi="Times New Roman"/>
          <w:color w:val="000000"/>
        </w:rPr>
        <w:t>s</w:t>
      </w:r>
      <w:r w:rsidRPr="00500C39">
        <w:rPr>
          <w:rFonts w:ascii="Times New Roman" w:hAnsi="Times New Roman"/>
          <w:color w:val="000000"/>
        </w:rPr>
        <w:t xml:space="preserve"> at GS-13) Thus, the total cost to the government</w:t>
      </w:r>
      <w:r w:rsidR="00647EE0">
        <w:rPr>
          <w:rFonts w:ascii="Times New Roman" w:hAnsi="Times New Roman"/>
          <w:color w:val="000000"/>
        </w:rPr>
        <w:t>, including total remaining contractual costs, and annualized costs for CDC oversight, is $817,586</w:t>
      </w:r>
      <w:r w:rsidR="00BD5621">
        <w:rPr>
          <w:rFonts w:ascii="Times New Roman" w:hAnsi="Times New Roman"/>
          <w:b/>
          <w:bCs/>
        </w:rPr>
        <w:t>.</w:t>
      </w:r>
    </w:p>
    <w:p w:rsidR="008D3FE2" w:rsidRDefault="003A2379" w:rsidP="003A2379">
      <w:pPr>
        <w:pStyle w:val="Tablehead"/>
        <w:spacing w:before="0" w:after="0" w:line="240" w:lineRule="auto"/>
      </w:pPr>
      <w:r>
        <w:t>A.14-</w:t>
      </w:r>
      <w:r w:rsidRPr="00254279">
        <w:t>1  Annualized Cost to the Federal Government</w:t>
      </w:r>
    </w:p>
    <w:tbl>
      <w:tblPr>
        <w:tblStyle w:val="TableProfessional"/>
        <w:tblW w:w="6030" w:type="dxa"/>
        <w:tblInd w:w="1458" w:type="dxa"/>
        <w:tblLook w:val="00A0" w:firstRow="1" w:lastRow="0" w:firstColumn="1" w:lastColumn="0" w:noHBand="0" w:noVBand="0"/>
      </w:tblPr>
      <w:tblGrid>
        <w:gridCol w:w="3060"/>
        <w:gridCol w:w="2970"/>
      </w:tblGrid>
      <w:tr w:rsidR="00574325" w:rsidRPr="00202AFE" w:rsidTr="005E59A7">
        <w:trPr>
          <w:cnfStyle w:val="100000000000" w:firstRow="1" w:lastRow="0" w:firstColumn="0" w:lastColumn="0" w:oddVBand="0" w:evenVBand="0" w:oddHBand="0" w:evenHBand="0" w:firstRowFirstColumn="0" w:firstRowLastColumn="0" w:lastRowFirstColumn="0" w:lastRowLastColumn="0"/>
        </w:trPr>
        <w:tc>
          <w:tcPr>
            <w:tcW w:w="3060" w:type="dxa"/>
            <w:shd w:val="clear" w:color="000000" w:fill="FFFFFF"/>
          </w:tcPr>
          <w:p w:rsidR="00574325" w:rsidRPr="005301BD" w:rsidRDefault="00574325" w:rsidP="0039635E">
            <w:pPr>
              <w:spacing w:before="240"/>
              <w:rPr>
                <w:rFonts w:ascii="Times New Roman" w:hAnsi="Times New Roman"/>
                <w:sz w:val="22"/>
                <w:szCs w:val="22"/>
              </w:rPr>
            </w:pPr>
          </w:p>
        </w:tc>
        <w:tc>
          <w:tcPr>
            <w:tcW w:w="2970" w:type="dxa"/>
            <w:shd w:val="clear" w:color="000000" w:fill="FFFFFF"/>
          </w:tcPr>
          <w:p w:rsidR="00574325" w:rsidRPr="00E86368" w:rsidRDefault="00574325" w:rsidP="000C0DF1">
            <w:pPr>
              <w:spacing w:before="240"/>
              <w:jc w:val="center"/>
              <w:rPr>
                <w:rFonts w:ascii="Times New Roman" w:hAnsi="Times New Roman"/>
                <w:b w:val="0"/>
                <w:bCs w:val="0"/>
                <w:sz w:val="22"/>
                <w:szCs w:val="22"/>
              </w:rPr>
            </w:pPr>
            <w:r w:rsidRPr="00E86368">
              <w:rPr>
                <w:rFonts w:ascii="Times New Roman" w:hAnsi="Times New Roman"/>
                <w:b w:val="0"/>
                <w:bCs w:val="0"/>
                <w:sz w:val="22"/>
                <w:szCs w:val="22"/>
              </w:rPr>
              <w:t xml:space="preserve">Remaining </w:t>
            </w:r>
            <w:r w:rsidR="005E59A7">
              <w:rPr>
                <w:rFonts w:ascii="Times New Roman" w:hAnsi="Times New Roman"/>
                <w:b w:val="0"/>
                <w:bCs w:val="0"/>
                <w:sz w:val="22"/>
                <w:szCs w:val="22"/>
              </w:rPr>
              <w:t>project</w:t>
            </w:r>
            <w:r w:rsidR="000C0DF1">
              <w:rPr>
                <w:rFonts w:ascii="Times New Roman" w:hAnsi="Times New Roman"/>
                <w:b w:val="0"/>
                <w:bCs w:val="0"/>
                <w:sz w:val="22"/>
                <w:szCs w:val="22"/>
              </w:rPr>
              <w:t xml:space="preserve"> costs</w:t>
            </w:r>
            <w:r w:rsidR="005E59A7">
              <w:rPr>
                <w:rFonts w:ascii="Times New Roman" w:hAnsi="Times New Roman"/>
                <w:b w:val="0"/>
                <w:bCs w:val="0"/>
                <w:sz w:val="22"/>
                <w:szCs w:val="22"/>
              </w:rPr>
              <w:t>, including data collection</w:t>
            </w:r>
          </w:p>
        </w:tc>
      </w:tr>
      <w:tr w:rsidR="00574325" w:rsidRPr="00202AFE" w:rsidTr="00BA5E08">
        <w:tc>
          <w:tcPr>
            <w:tcW w:w="3060" w:type="dxa"/>
          </w:tcPr>
          <w:p w:rsidR="00574325" w:rsidRPr="00E86368" w:rsidRDefault="00574325" w:rsidP="00E86368">
            <w:pPr>
              <w:rPr>
                <w:rFonts w:ascii="Times New Roman" w:hAnsi="Times New Roman"/>
                <w:b/>
                <w:sz w:val="22"/>
                <w:szCs w:val="22"/>
              </w:rPr>
            </w:pPr>
            <w:r w:rsidRPr="00E86368">
              <w:rPr>
                <w:rFonts w:ascii="Times New Roman" w:hAnsi="Times New Roman"/>
                <w:b/>
                <w:sz w:val="22"/>
                <w:szCs w:val="22"/>
              </w:rPr>
              <w:t>Battelle Contract Costs</w:t>
            </w:r>
          </w:p>
        </w:tc>
        <w:tc>
          <w:tcPr>
            <w:tcW w:w="2970" w:type="dxa"/>
          </w:tcPr>
          <w:p w:rsidR="00574325" w:rsidRPr="00E86368" w:rsidRDefault="00574325" w:rsidP="00973F70">
            <w:pPr>
              <w:jc w:val="center"/>
              <w:rPr>
                <w:rFonts w:ascii="Times New Roman" w:hAnsi="Times New Roman"/>
                <w:sz w:val="22"/>
                <w:szCs w:val="22"/>
              </w:rPr>
            </w:pPr>
          </w:p>
        </w:tc>
      </w:tr>
      <w:tr w:rsidR="00574325" w:rsidRPr="00202AFE" w:rsidTr="00BA5E08">
        <w:tc>
          <w:tcPr>
            <w:tcW w:w="3060" w:type="dxa"/>
          </w:tcPr>
          <w:p w:rsidR="00574325" w:rsidRPr="005301BD" w:rsidRDefault="00574325" w:rsidP="00973F70">
            <w:pPr>
              <w:jc w:val="right"/>
              <w:rPr>
                <w:rFonts w:ascii="Times New Roman" w:hAnsi="Times New Roman"/>
                <w:sz w:val="22"/>
                <w:szCs w:val="22"/>
              </w:rPr>
            </w:pPr>
            <w:r w:rsidRPr="005301BD">
              <w:rPr>
                <w:rFonts w:ascii="Times New Roman" w:hAnsi="Times New Roman"/>
                <w:sz w:val="22"/>
                <w:szCs w:val="22"/>
              </w:rPr>
              <w:t xml:space="preserve">Personnel            </w:t>
            </w:r>
          </w:p>
        </w:tc>
        <w:tc>
          <w:tcPr>
            <w:tcW w:w="2970" w:type="dxa"/>
          </w:tcPr>
          <w:p w:rsidR="00574325" w:rsidRPr="00E86368" w:rsidRDefault="00574325" w:rsidP="00973F70">
            <w:pPr>
              <w:jc w:val="center"/>
              <w:rPr>
                <w:rFonts w:ascii="Times New Roman" w:hAnsi="Times New Roman"/>
                <w:sz w:val="22"/>
                <w:szCs w:val="22"/>
              </w:rPr>
            </w:pPr>
            <w:r w:rsidRPr="00E86368">
              <w:rPr>
                <w:rFonts w:ascii="Times New Roman" w:hAnsi="Times New Roman"/>
                <w:sz w:val="22"/>
                <w:szCs w:val="22"/>
              </w:rPr>
              <w:t>446,809</w:t>
            </w:r>
          </w:p>
        </w:tc>
      </w:tr>
      <w:tr w:rsidR="00574325" w:rsidRPr="00202AFE" w:rsidTr="00BA5E08">
        <w:tc>
          <w:tcPr>
            <w:tcW w:w="3060" w:type="dxa"/>
          </w:tcPr>
          <w:p w:rsidR="00574325" w:rsidRPr="005301BD" w:rsidRDefault="00574325" w:rsidP="00973F70">
            <w:pPr>
              <w:jc w:val="right"/>
              <w:rPr>
                <w:rFonts w:ascii="Times New Roman" w:hAnsi="Times New Roman"/>
                <w:sz w:val="22"/>
                <w:szCs w:val="22"/>
              </w:rPr>
            </w:pPr>
            <w:r w:rsidRPr="005301BD">
              <w:rPr>
                <w:rFonts w:ascii="Times New Roman" w:hAnsi="Times New Roman"/>
                <w:sz w:val="22"/>
                <w:szCs w:val="22"/>
              </w:rPr>
              <w:t>Data Collection materials/services</w:t>
            </w:r>
          </w:p>
        </w:tc>
        <w:tc>
          <w:tcPr>
            <w:tcW w:w="2970" w:type="dxa"/>
          </w:tcPr>
          <w:p w:rsidR="00574325" w:rsidRPr="00E86368" w:rsidRDefault="00574325" w:rsidP="00973F70">
            <w:pPr>
              <w:jc w:val="center"/>
              <w:rPr>
                <w:rFonts w:ascii="Times New Roman" w:hAnsi="Times New Roman"/>
                <w:sz w:val="22"/>
                <w:szCs w:val="22"/>
              </w:rPr>
            </w:pPr>
            <w:r w:rsidRPr="00E86368">
              <w:rPr>
                <w:rFonts w:ascii="Times New Roman" w:hAnsi="Times New Roman"/>
                <w:sz w:val="22"/>
                <w:szCs w:val="22"/>
              </w:rPr>
              <w:t>298,788</w:t>
            </w:r>
          </w:p>
        </w:tc>
      </w:tr>
      <w:tr w:rsidR="00574325" w:rsidRPr="00202AFE" w:rsidTr="00BA5E08">
        <w:tc>
          <w:tcPr>
            <w:tcW w:w="3060" w:type="dxa"/>
          </w:tcPr>
          <w:p w:rsidR="00574325" w:rsidRPr="00E86368" w:rsidRDefault="00574325" w:rsidP="0039635E">
            <w:pPr>
              <w:spacing w:before="240"/>
              <w:rPr>
                <w:rFonts w:ascii="Times New Roman" w:hAnsi="Times New Roman"/>
                <w:b/>
                <w:sz w:val="22"/>
                <w:szCs w:val="22"/>
              </w:rPr>
            </w:pPr>
            <w:r w:rsidRPr="00E86368">
              <w:rPr>
                <w:rFonts w:ascii="Times New Roman" w:hAnsi="Times New Roman"/>
                <w:b/>
                <w:sz w:val="22"/>
                <w:szCs w:val="22"/>
              </w:rPr>
              <w:t>Total Contract Costs</w:t>
            </w:r>
          </w:p>
        </w:tc>
        <w:tc>
          <w:tcPr>
            <w:tcW w:w="2970" w:type="dxa"/>
          </w:tcPr>
          <w:p w:rsidR="00526F95" w:rsidRDefault="00574325" w:rsidP="00BA5E08">
            <w:pPr>
              <w:spacing w:before="240"/>
              <w:jc w:val="right"/>
              <w:rPr>
                <w:rFonts w:ascii="Times New Roman" w:hAnsi="Times New Roman"/>
                <w:bCs/>
                <w:sz w:val="22"/>
                <w:szCs w:val="22"/>
              </w:rPr>
            </w:pPr>
            <w:r>
              <w:rPr>
                <w:rFonts w:ascii="Times New Roman" w:hAnsi="Times New Roman"/>
                <w:bCs/>
                <w:sz w:val="22"/>
                <w:szCs w:val="22"/>
              </w:rPr>
              <w:t>$</w:t>
            </w:r>
            <w:r w:rsidRPr="00E86368">
              <w:rPr>
                <w:rFonts w:ascii="Times New Roman" w:hAnsi="Times New Roman"/>
                <w:bCs/>
                <w:sz w:val="22"/>
                <w:szCs w:val="22"/>
              </w:rPr>
              <w:t>745,597</w:t>
            </w:r>
          </w:p>
        </w:tc>
      </w:tr>
      <w:tr w:rsidR="00574325" w:rsidRPr="00202AFE" w:rsidTr="00BA5E08">
        <w:tc>
          <w:tcPr>
            <w:tcW w:w="3060" w:type="dxa"/>
          </w:tcPr>
          <w:p w:rsidR="00574325" w:rsidRPr="005301BD" w:rsidRDefault="00574325" w:rsidP="0039635E">
            <w:pPr>
              <w:spacing w:before="240"/>
              <w:rPr>
                <w:rFonts w:ascii="Times New Roman" w:hAnsi="Times New Roman"/>
                <w:b/>
                <w:sz w:val="22"/>
                <w:szCs w:val="22"/>
              </w:rPr>
            </w:pPr>
            <w:r w:rsidRPr="005301BD">
              <w:rPr>
                <w:rFonts w:ascii="Times New Roman" w:hAnsi="Times New Roman"/>
                <w:b/>
                <w:sz w:val="22"/>
                <w:szCs w:val="22"/>
              </w:rPr>
              <w:t>CDC Costs</w:t>
            </w:r>
          </w:p>
        </w:tc>
        <w:tc>
          <w:tcPr>
            <w:tcW w:w="2970" w:type="dxa"/>
          </w:tcPr>
          <w:p w:rsidR="00574325" w:rsidRPr="00E86368" w:rsidRDefault="00574325" w:rsidP="0039635E">
            <w:pPr>
              <w:spacing w:before="240"/>
              <w:jc w:val="center"/>
              <w:rPr>
                <w:rFonts w:ascii="Times New Roman" w:hAnsi="Times New Roman"/>
                <w:b/>
                <w:bCs/>
                <w:sz w:val="22"/>
                <w:szCs w:val="22"/>
              </w:rPr>
            </w:pPr>
          </w:p>
        </w:tc>
      </w:tr>
      <w:tr w:rsidR="00574325" w:rsidRPr="00202AFE" w:rsidTr="00BA5E08">
        <w:tc>
          <w:tcPr>
            <w:tcW w:w="3060" w:type="dxa"/>
          </w:tcPr>
          <w:p w:rsidR="00574325" w:rsidRPr="005301BD" w:rsidRDefault="00574325" w:rsidP="008D3FE2">
            <w:pPr>
              <w:jc w:val="right"/>
              <w:rPr>
                <w:rFonts w:ascii="Times New Roman" w:hAnsi="Times New Roman"/>
                <w:sz w:val="22"/>
                <w:szCs w:val="22"/>
              </w:rPr>
            </w:pPr>
            <w:r w:rsidRPr="005301BD">
              <w:rPr>
                <w:rFonts w:ascii="Times New Roman" w:hAnsi="Times New Roman"/>
                <w:sz w:val="22"/>
                <w:szCs w:val="22"/>
              </w:rPr>
              <w:t>CDC Oversight</w:t>
            </w:r>
          </w:p>
        </w:tc>
        <w:tc>
          <w:tcPr>
            <w:tcW w:w="2970" w:type="dxa"/>
          </w:tcPr>
          <w:p w:rsidR="00526F95" w:rsidRDefault="00574325" w:rsidP="00BA5E08">
            <w:pPr>
              <w:jc w:val="right"/>
              <w:rPr>
                <w:rFonts w:ascii="Times New Roman" w:hAnsi="Times New Roman"/>
                <w:sz w:val="22"/>
                <w:szCs w:val="22"/>
              </w:rPr>
            </w:pPr>
            <w:r>
              <w:rPr>
                <w:rFonts w:ascii="Times New Roman" w:hAnsi="Times New Roman"/>
                <w:sz w:val="22"/>
                <w:szCs w:val="22"/>
              </w:rPr>
              <w:t>$71,989</w:t>
            </w:r>
          </w:p>
        </w:tc>
      </w:tr>
      <w:tr w:rsidR="00574325" w:rsidRPr="000361D6" w:rsidTr="00BA5E08">
        <w:tc>
          <w:tcPr>
            <w:tcW w:w="3060" w:type="dxa"/>
          </w:tcPr>
          <w:p w:rsidR="00574325" w:rsidRPr="00E86368" w:rsidRDefault="00574325" w:rsidP="0039635E">
            <w:pPr>
              <w:rPr>
                <w:rFonts w:ascii="Times New Roman" w:hAnsi="Times New Roman"/>
                <w:b/>
                <w:sz w:val="22"/>
                <w:szCs w:val="22"/>
              </w:rPr>
            </w:pPr>
            <w:r w:rsidRPr="00E86368">
              <w:rPr>
                <w:rFonts w:ascii="Times New Roman" w:hAnsi="Times New Roman"/>
                <w:b/>
                <w:sz w:val="22"/>
                <w:szCs w:val="22"/>
              </w:rPr>
              <w:t>Cost to Federal Government</w:t>
            </w:r>
          </w:p>
        </w:tc>
        <w:tc>
          <w:tcPr>
            <w:tcW w:w="2970" w:type="dxa"/>
          </w:tcPr>
          <w:p w:rsidR="00526F95" w:rsidRDefault="00574325" w:rsidP="00BA5E08">
            <w:pPr>
              <w:jc w:val="right"/>
              <w:rPr>
                <w:rFonts w:ascii="Times New Roman" w:hAnsi="Times New Roman"/>
                <w:b/>
                <w:bCs/>
                <w:sz w:val="22"/>
                <w:szCs w:val="22"/>
              </w:rPr>
            </w:pPr>
            <w:r>
              <w:rPr>
                <w:rFonts w:ascii="Times New Roman" w:hAnsi="Times New Roman"/>
                <w:b/>
                <w:bCs/>
                <w:sz w:val="22"/>
                <w:szCs w:val="22"/>
              </w:rPr>
              <w:t>$817,586</w:t>
            </w:r>
          </w:p>
        </w:tc>
      </w:tr>
    </w:tbl>
    <w:p w:rsidR="00254279" w:rsidRPr="000361D6" w:rsidRDefault="00254279" w:rsidP="00665645">
      <w:pPr>
        <w:pStyle w:val="Head1"/>
        <w:spacing w:before="0" w:beforeAutospacing="0" w:after="0" w:afterAutospacing="0" w:line="240" w:lineRule="auto"/>
        <w:rPr>
          <w:sz w:val="22"/>
          <w:szCs w:val="22"/>
        </w:rPr>
      </w:pPr>
    </w:p>
    <w:p w:rsidR="008F5731" w:rsidRPr="00AF7F72" w:rsidRDefault="003E798F" w:rsidP="00665645">
      <w:pPr>
        <w:pStyle w:val="Head1"/>
        <w:spacing w:before="0" w:beforeAutospacing="0" w:after="0" w:afterAutospacing="0" w:line="240" w:lineRule="auto"/>
      </w:pPr>
      <w:r>
        <w:lastRenderedPageBreak/>
        <w:t xml:space="preserve">A.15. </w:t>
      </w:r>
      <w:r w:rsidR="008F5731" w:rsidRPr="008704AC">
        <w:t>Explanation for Program Changes or Adjustments</w:t>
      </w:r>
    </w:p>
    <w:p w:rsidR="00665645" w:rsidRDefault="00665645" w:rsidP="00665645">
      <w:pPr>
        <w:tabs>
          <w:tab w:val="left" w:pos="-1440"/>
        </w:tabs>
        <w:outlineLvl w:val="0"/>
        <w:rPr>
          <w:rFonts w:ascii="Times New Roman" w:hAnsi="Times New Roman"/>
        </w:rPr>
      </w:pPr>
    </w:p>
    <w:p w:rsidR="00B7776B" w:rsidRPr="00B7776B" w:rsidRDefault="00B7776B" w:rsidP="00B7776B">
      <w:pPr>
        <w:rPr>
          <w:rFonts w:ascii="Times New Roman" w:hAnsi="Times New Roman"/>
        </w:rPr>
      </w:pPr>
      <w:bookmarkStart w:id="18" w:name="_Toc179609159"/>
      <w:r w:rsidRPr="00B7776B">
        <w:rPr>
          <w:rFonts w:ascii="Times New Roman" w:hAnsi="Times New Roman"/>
        </w:rPr>
        <w:t>Due to a decrease in the number of instruments to be fielded in Phase II (the period of this Revision ICR), there will be an overall reduction in burden hours.  The following instruments will be discontinued in Phase II:  the Initial Clinic Survey, the Follow-Up Clinic Survey, the Baseline Provider Survey, the Patient Screening Script, the Patient Enrollment Form, and the Baseline Patient Survey.  Information collection for these study components was completed in Phase I.</w:t>
      </w:r>
    </w:p>
    <w:p w:rsidR="00B7776B" w:rsidRPr="00B7776B" w:rsidRDefault="00B7776B" w:rsidP="00B7776B">
      <w:pPr>
        <w:rPr>
          <w:rFonts w:ascii="Times New Roman" w:hAnsi="Times New Roman"/>
        </w:rPr>
      </w:pPr>
    </w:p>
    <w:p w:rsidR="00665645" w:rsidRPr="00B7776B" w:rsidRDefault="00B7776B" w:rsidP="00B7776B">
      <w:pPr>
        <w:rPr>
          <w:rFonts w:ascii="Times New Roman" w:hAnsi="Times New Roman"/>
        </w:rPr>
      </w:pPr>
      <w:r w:rsidRPr="00B7776B">
        <w:rPr>
          <w:rFonts w:ascii="Times New Roman" w:hAnsi="Times New Roman"/>
        </w:rPr>
        <w:t>During Phase I, information collection was initiated for the Follow-up Provider Survey and the Follow-up Patient Survey.  These information collections will be completed in Phase II.  Finally, Phase II includes one new activity that has not been previously conducted:  Focus Groups with Providers.  The overall effect is a decrease in burden from 1,006 annualized hours in Phase I, to 135 annualized burden hours in Phase II.</w:t>
      </w:r>
      <w:r w:rsidR="00D40FC1">
        <w:t xml:space="preserve">  </w:t>
      </w:r>
    </w:p>
    <w:p w:rsidR="00C91271" w:rsidRPr="00C91271" w:rsidRDefault="00C91271" w:rsidP="00665645">
      <w:pPr>
        <w:pStyle w:val="Head1"/>
        <w:spacing w:before="0" w:beforeAutospacing="0" w:after="0" w:afterAutospacing="0" w:line="240" w:lineRule="auto"/>
        <w:rPr>
          <w:b w:val="0"/>
        </w:rPr>
      </w:pPr>
    </w:p>
    <w:p w:rsidR="008F5731" w:rsidRPr="008704AC" w:rsidRDefault="003E798F" w:rsidP="00665645">
      <w:pPr>
        <w:pStyle w:val="Head1"/>
        <w:spacing w:before="0" w:beforeAutospacing="0" w:after="0" w:afterAutospacing="0" w:line="240" w:lineRule="auto"/>
      </w:pPr>
      <w:r>
        <w:t xml:space="preserve">A.16. </w:t>
      </w:r>
      <w:r w:rsidR="00CF2DAA">
        <w:t>Plans for Tabulation and Publication and Project Time Schedule</w:t>
      </w:r>
      <w:bookmarkEnd w:id="18"/>
    </w:p>
    <w:p w:rsidR="00665645" w:rsidRDefault="00665645" w:rsidP="00665645">
      <w:pPr>
        <w:pStyle w:val="Head2"/>
        <w:spacing w:line="240" w:lineRule="auto"/>
      </w:pPr>
      <w:bookmarkStart w:id="19" w:name="_Toc179609160"/>
    </w:p>
    <w:p w:rsidR="008F5731" w:rsidRPr="00AF7F72" w:rsidRDefault="00CF2DAA" w:rsidP="00665645">
      <w:pPr>
        <w:pStyle w:val="Head2"/>
        <w:spacing w:line="240" w:lineRule="auto"/>
      </w:pPr>
      <w:r>
        <w:t>A</w:t>
      </w:r>
      <w:r w:rsidR="008F5731" w:rsidRPr="003C1CE4">
        <w:t xml:space="preserve">.  </w:t>
      </w:r>
      <w:r>
        <w:t>Tabulation</w:t>
      </w:r>
      <w:r w:rsidR="008F5731" w:rsidRPr="003C1CE4">
        <w:t xml:space="preserve"> Plan</w:t>
      </w:r>
      <w:bookmarkEnd w:id="19"/>
    </w:p>
    <w:p w:rsidR="00665645" w:rsidRDefault="008F5731" w:rsidP="00665645">
      <w:pPr>
        <w:pStyle w:val="Head3"/>
        <w:spacing w:before="0" w:beforeAutospacing="0" w:after="0" w:afterAutospacing="0" w:line="240" w:lineRule="auto"/>
      </w:pPr>
      <w:r w:rsidRPr="003C1CE4">
        <w:t xml:space="preserve">    </w:t>
      </w:r>
    </w:p>
    <w:p w:rsidR="00DB3B9F" w:rsidRPr="00480F7D" w:rsidRDefault="008F5731" w:rsidP="00480F7D">
      <w:pPr>
        <w:rPr>
          <w:rFonts w:ascii="Times New Roman" w:hAnsi="Times New Roman"/>
        </w:rPr>
      </w:pPr>
      <w:bookmarkStart w:id="20" w:name="_Toc179609162"/>
      <w:r w:rsidRPr="00480F7D">
        <w:rPr>
          <w:rFonts w:ascii="Times New Roman" w:hAnsi="Times New Roman"/>
          <w:u w:val="single"/>
        </w:rPr>
        <w:t>Data Analysis</w:t>
      </w:r>
      <w:bookmarkEnd w:id="20"/>
      <w:r w:rsidR="00966D02" w:rsidRPr="00480F7D">
        <w:rPr>
          <w:rFonts w:ascii="Times New Roman" w:hAnsi="Times New Roman"/>
        </w:rPr>
        <w:t xml:space="preserve">. </w:t>
      </w:r>
      <w:r w:rsidR="00DB3B9F" w:rsidRPr="00480F7D">
        <w:rPr>
          <w:rFonts w:ascii="Times New Roman" w:hAnsi="Times New Roman"/>
        </w:rPr>
        <w:t>Data</w:t>
      </w:r>
      <w:r w:rsidR="002909A5">
        <w:rPr>
          <w:rFonts w:ascii="Times New Roman" w:hAnsi="Times New Roman"/>
        </w:rPr>
        <w:t xml:space="preserve"> will be pooled across </w:t>
      </w:r>
      <w:r w:rsidR="00DB3B9F" w:rsidRPr="00480F7D">
        <w:rPr>
          <w:rFonts w:ascii="Times New Roman" w:hAnsi="Times New Roman"/>
        </w:rPr>
        <w:t xml:space="preserve">providers and patients. The survey data will be examined with </w:t>
      </w:r>
      <w:proofErr w:type="spellStart"/>
      <w:r w:rsidR="00DB3B9F" w:rsidRPr="00480F7D">
        <w:rPr>
          <w:rFonts w:ascii="Times New Roman" w:hAnsi="Times New Roman"/>
        </w:rPr>
        <w:t>univariate</w:t>
      </w:r>
      <w:proofErr w:type="spellEnd"/>
      <w:r w:rsidR="00DB3B9F" w:rsidRPr="00480F7D">
        <w:rPr>
          <w:rFonts w:ascii="Times New Roman" w:hAnsi="Times New Roman"/>
        </w:rPr>
        <w:t xml:space="preserve">, bivariate and multivariate analyses, including analyses at both the provider- and patient-level. First, </w:t>
      </w:r>
      <w:proofErr w:type="spellStart"/>
      <w:r w:rsidR="00DB3B9F" w:rsidRPr="00480F7D">
        <w:rPr>
          <w:rFonts w:ascii="Times New Roman" w:hAnsi="Times New Roman"/>
        </w:rPr>
        <w:t>univariate</w:t>
      </w:r>
      <w:proofErr w:type="spellEnd"/>
      <w:r w:rsidR="00DB3B9F" w:rsidRPr="00480F7D">
        <w:rPr>
          <w:rFonts w:ascii="Times New Roman" w:hAnsi="Times New Roman"/>
        </w:rPr>
        <w:t xml:space="preserve"> analysis will be conducted on all items in the survey questionnaires. Second, bivariate analyses will be conducted to examine overall associations between key constructs. Third, multivariate analyses will be conducted in selected instances to determine the independent and mediating influence of factors. Tests of significance will be conducted with methods which adjust for clustering of participants within clinic and provider.</w:t>
      </w:r>
    </w:p>
    <w:p w:rsidR="00DB3B9F" w:rsidRPr="00480F7D" w:rsidRDefault="00DB3B9F" w:rsidP="00480F7D">
      <w:pPr>
        <w:rPr>
          <w:rFonts w:ascii="Times New Roman" w:hAnsi="Times New Roman"/>
        </w:rPr>
      </w:pPr>
      <w:r w:rsidRPr="00480F7D">
        <w:rPr>
          <w:rFonts w:ascii="Times New Roman" w:hAnsi="Times New Roman"/>
        </w:rPr>
        <w:t xml:space="preserve">Scale constructs will be computed with data from the patient and provider surveys. Prior to creating these indices, we will make appropriate transformations of the questionnaire scales to ensure that low values are indicative of low support and high values are indicative of high support for HPV and Pap outcome measures. The questionnaire responses will also be standardized (subtracting the mean and dividing by the standard deviation) to ensure that they are all on the same scale. Factor analysis will be conducted to examine factor structure and </w:t>
      </w:r>
      <w:proofErr w:type="spellStart"/>
      <w:r w:rsidRPr="00480F7D">
        <w:rPr>
          <w:rFonts w:ascii="Times New Roman" w:hAnsi="Times New Roman"/>
        </w:rPr>
        <w:t>Cronbach’s</w:t>
      </w:r>
      <w:proofErr w:type="spellEnd"/>
      <w:r w:rsidRPr="00480F7D">
        <w:rPr>
          <w:rFonts w:ascii="Times New Roman" w:hAnsi="Times New Roman"/>
        </w:rPr>
        <w:t xml:space="preserve"> alpha’s will be calculated. Inter-item correlations will be conducted on all items designed to be measuring these constructs, to ensure that convergent validity exists, yet items account for separate variances.</w:t>
      </w:r>
    </w:p>
    <w:p w:rsidR="00DB3B9F" w:rsidRPr="00DB3B9F" w:rsidRDefault="00DB3B9F" w:rsidP="00665645">
      <w:pPr>
        <w:rPr>
          <w:rFonts w:ascii="Times New Roman" w:hAnsi="Times New Roman"/>
          <w:u w:val="single"/>
        </w:rPr>
      </w:pPr>
    </w:p>
    <w:p w:rsidR="00DB3B9F" w:rsidRPr="00480F7D" w:rsidRDefault="00E13C9C" w:rsidP="00480F7D">
      <w:pPr>
        <w:rPr>
          <w:rFonts w:ascii="Times New Roman" w:hAnsi="Times New Roman"/>
        </w:rPr>
      </w:pPr>
      <w:r w:rsidRPr="00480F7D">
        <w:rPr>
          <w:rFonts w:ascii="Times New Roman" w:hAnsi="Times New Roman"/>
          <w:u w:val="single"/>
        </w:rPr>
        <w:t>Table Shells</w:t>
      </w:r>
      <w:r w:rsidR="00966D02" w:rsidRPr="00480F7D">
        <w:rPr>
          <w:rFonts w:ascii="Times New Roman" w:hAnsi="Times New Roman"/>
        </w:rPr>
        <w:t>.</w:t>
      </w:r>
      <w:r w:rsidRPr="00480F7D">
        <w:rPr>
          <w:rFonts w:ascii="Times New Roman" w:hAnsi="Times New Roman"/>
        </w:rPr>
        <w:t xml:space="preserve"> </w:t>
      </w:r>
      <w:r w:rsidR="00DB3B9F" w:rsidRPr="00480F7D">
        <w:rPr>
          <w:rFonts w:ascii="Times New Roman" w:hAnsi="Times New Roman"/>
        </w:rPr>
        <w:t>A</w:t>
      </w:r>
      <w:r w:rsidR="00411927" w:rsidRPr="00480F7D">
        <w:rPr>
          <w:rFonts w:ascii="Times New Roman" w:hAnsi="Times New Roman"/>
        </w:rPr>
        <w:t>ttach</w:t>
      </w:r>
      <w:r w:rsidR="004A0FF6">
        <w:rPr>
          <w:rFonts w:ascii="Times New Roman" w:hAnsi="Times New Roman"/>
        </w:rPr>
        <w:t>ment F</w:t>
      </w:r>
      <w:r w:rsidR="00272C81">
        <w:rPr>
          <w:rFonts w:ascii="Times New Roman" w:hAnsi="Times New Roman"/>
        </w:rPr>
        <w:t>1</w:t>
      </w:r>
      <w:r w:rsidR="00DB3B9F" w:rsidRPr="00480F7D">
        <w:rPr>
          <w:rFonts w:ascii="Times New Roman" w:hAnsi="Times New Roman"/>
        </w:rPr>
        <w:t xml:space="preserve"> provides tables which summarize the measures that will be included in </w:t>
      </w:r>
      <w:r w:rsidR="00531531">
        <w:rPr>
          <w:rFonts w:ascii="Times New Roman" w:hAnsi="Times New Roman"/>
        </w:rPr>
        <w:t>the provider</w:t>
      </w:r>
      <w:r w:rsidR="008920BB">
        <w:rPr>
          <w:rFonts w:ascii="Times New Roman" w:hAnsi="Times New Roman"/>
        </w:rPr>
        <w:t xml:space="preserve"> and patient </w:t>
      </w:r>
      <w:r w:rsidR="00DB3B9F" w:rsidRPr="00480F7D">
        <w:rPr>
          <w:rFonts w:ascii="Times New Roman" w:hAnsi="Times New Roman"/>
        </w:rPr>
        <w:t xml:space="preserve">surveys in order to achieve the goals of the study. In addition to the </w:t>
      </w:r>
      <w:r w:rsidR="00531531">
        <w:rPr>
          <w:rFonts w:ascii="Times New Roman" w:hAnsi="Times New Roman"/>
        </w:rPr>
        <w:t xml:space="preserve">patient and provider follow-up </w:t>
      </w:r>
      <w:r w:rsidR="00DB3B9F" w:rsidRPr="00480F7D">
        <w:rPr>
          <w:rFonts w:ascii="Times New Roman" w:hAnsi="Times New Roman"/>
        </w:rPr>
        <w:t xml:space="preserve">surveys, information will be </w:t>
      </w:r>
      <w:r w:rsidR="00531531">
        <w:rPr>
          <w:rFonts w:ascii="Times New Roman" w:hAnsi="Times New Roman"/>
        </w:rPr>
        <w:t>obtain</w:t>
      </w:r>
      <w:r w:rsidR="00DB3B9F" w:rsidRPr="00480F7D">
        <w:rPr>
          <w:rFonts w:ascii="Times New Roman" w:hAnsi="Times New Roman"/>
        </w:rPr>
        <w:t xml:space="preserve">ed </w:t>
      </w:r>
      <w:r w:rsidR="00531531">
        <w:rPr>
          <w:rFonts w:ascii="Times New Roman" w:hAnsi="Times New Roman"/>
        </w:rPr>
        <w:t xml:space="preserve">patient </w:t>
      </w:r>
      <w:r w:rsidR="00DB3B9F" w:rsidRPr="00480F7D">
        <w:rPr>
          <w:rFonts w:ascii="Times New Roman" w:hAnsi="Times New Roman"/>
        </w:rPr>
        <w:t>medical</w:t>
      </w:r>
      <w:r w:rsidR="00531531">
        <w:rPr>
          <w:rFonts w:ascii="Times New Roman" w:hAnsi="Times New Roman"/>
        </w:rPr>
        <w:t xml:space="preserve"> and</w:t>
      </w:r>
      <w:r w:rsidR="00DB3B9F" w:rsidRPr="00480F7D">
        <w:rPr>
          <w:rFonts w:ascii="Times New Roman" w:hAnsi="Times New Roman"/>
        </w:rPr>
        <w:t xml:space="preserve"> billing records for each woman who received an HPV test to assist in the determin</w:t>
      </w:r>
      <w:r w:rsidR="00531531">
        <w:rPr>
          <w:rFonts w:ascii="Times New Roman" w:hAnsi="Times New Roman"/>
        </w:rPr>
        <w:t xml:space="preserve">ation of the screening interval.  In addition, </w:t>
      </w:r>
      <w:r w:rsidR="00DB3B9F" w:rsidRPr="00480F7D">
        <w:rPr>
          <w:rFonts w:ascii="Times New Roman" w:hAnsi="Times New Roman"/>
        </w:rPr>
        <w:t xml:space="preserve">patient medical records </w:t>
      </w:r>
      <w:r w:rsidR="00531531">
        <w:rPr>
          <w:rFonts w:ascii="Times New Roman" w:hAnsi="Times New Roman"/>
        </w:rPr>
        <w:t xml:space="preserve">will be reviewed </w:t>
      </w:r>
      <w:r w:rsidR="00DB3B9F" w:rsidRPr="00480F7D">
        <w:rPr>
          <w:rFonts w:ascii="Times New Roman" w:hAnsi="Times New Roman"/>
        </w:rPr>
        <w:t xml:space="preserve">to </w:t>
      </w:r>
      <w:r w:rsidR="00272C81">
        <w:rPr>
          <w:rFonts w:ascii="Times New Roman" w:hAnsi="Times New Roman"/>
        </w:rPr>
        <w:t>provide information regar</w:t>
      </w:r>
      <w:r w:rsidR="00531531">
        <w:rPr>
          <w:rFonts w:ascii="Times New Roman" w:hAnsi="Times New Roman"/>
        </w:rPr>
        <w:t>ding the follow-up treatment provided to</w:t>
      </w:r>
      <w:r w:rsidR="00DB3B9F" w:rsidRPr="00480F7D">
        <w:rPr>
          <w:rFonts w:ascii="Times New Roman" w:hAnsi="Times New Roman"/>
        </w:rPr>
        <w:t xml:space="preserve"> women with positive test results.  The discussion below provides an overview of the </w:t>
      </w:r>
      <w:r w:rsidRPr="00480F7D">
        <w:rPr>
          <w:rFonts w:ascii="Times New Roman" w:hAnsi="Times New Roman"/>
        </w:rPr>
        <w:t xml:space="preserve">analyses </w:t>
      </w:r>
      <w:r w:rsidR="008920BB">
        <w:rPr>
          <w:rFonts w:ascii="Times New Roman" w:hAnsi="Times New Roman"/>
        </w:rPr>
        <w:t>to be performed</w:t>
      </w:r>
      <w:r w:rsidR="00DB3B9F" w:rsidRPr="00480F7D">
        <w:rPr>
          <w:rFonts w:ascii="Times New Roman" w:hAnsi="Times New Roman"/>
        </w:rPr>
        <w:t>.</w:t>
      </w:r>
    </w:p>
    <w:p w:rsidR="00C33F2A" w:rsidRDefault="00C33F2A" w:rsidP="00665645">
      <w:pPr>
        <w:rPr>
          <w:rFonts w:ascii="Times New Roman" w:hAnsi="Times New Roman"/>
          <w:b/>
          <w:i/>
        </w:rPr>
      </w:pPr>
    </w:p>
    <w:p w:rsidR="00DB3B9F" w:rsidRPr="00E13C9C" w:rsidRDefault="00CD4AD5" w:rsidP="00CD4AD5">
      <w:pPr>
        <w:rPr>
          <w:rFonts w:ascii="Times New Roman" w:hAnsi="Times New Roman"/>
          <w:color w:val="000000"/>
        </w:rPr>
      </w:pPr>
      <w:r>
        <w:rPr>
          <w:rFonts w:ascii="Times New Roman" w:hAnsi="Times New Roman"/>
          <w:b/>
          <w:i/>
        </w:rPr>
        <w:t xml:space="preserve">Descriptive characteristics. </w:t>
      </w:r>
      <w:r w:rsidR="008920BB">
        <w:rPr>
          <w:rFonts w:ascii="Times New Roman" w:hAnsi="Times New Roman"/>
        </w:rPr>
        <w:t xml:space="preserve">Examples of </w:t>
      </w:r>
      <w:r w:rsidR="004B1EBE">
        <w:rPr>
          <w:rFonts w:ascii="Times New Roman" w:hAnsi="Times New Roman"/>
        </w:rPr>
        <w:t>table</w:t>
      </w:r>
      <w:r w:rsidR="008920BB">
        <w:rPr>
          <w:rFonts w:ascii="Times New Roman" w:hAnsi="Times New Roman"/>
        </w:rPr>
        <w:t xml:space="preserve"> shells </w:t>
      </w:r>
      <w:r w:rsidR="004B1EBE">
        <w:rPr>
          <w:rFonts w:ascii="Times New Roman" w:hAnsi="Times New Roman"/>
        </w:rPr>
        <w:t xml:space="preserve">that </w:t>
      </w:r>
      <w:r w:rsidR="008920BB">
        <w:rPr>
          <w:rFonts w:ascii="Times New Roman" w:hAnsi="Times New Roman"/>
        </w:rPr>
        <w:t xml:space="preserve">have been created </w:t>
      </w:r>
      <w:r w:rsidR="004B1EBE">
        <w:rPr>
          <w:rFonts w:ascii="Times New Roman" w:hAnsi="Times New Roman"/>
        </w:rPr>
        <w:t>to display the results of the analyses</w:t>
      </w:r>
      <w:r w:rsidR="004A0FF6">
        <w:rPr>
          <w:rFonts w:ascii="Times New Roman" w:hAnsi="Times New Roman"/>
        </w:rPr>
        <w:t xml:space="preserve"> are included in Attachment F</w:t>
      </w:r>
      <w:r w:rsidR="00272C81">
        <w:rPr>
          <w:rFonts w:ascii="Times New Roman" w:hAnsi="Times New Roman"/>
        </w:rPr>
        <w:t>2</w:t>
      </w:r>
      <w:r w:rsidR="004B1EBE">
        <w:rPr>
          <w:rFonts w:ascii="Times New Roman" w:hAnsi="Times New Roman"/>
        </w:rPr>
        <w:t xml:space="preserve">. </w:t>
      </w:r>
      <w:r w:rsidR="008920BB">
        <w:rPr>
          <w:rFonts w:ascii="Times New Roman" w:hAnsi="Times New Roman"/>
        </w:rPr>
        <w:t xml:space="preserve"> </w:t>
      </w:r>
      <w:r w:rsidR="00DB3B9F" w:rsidRPr="00DB3B9F">
        <w:rPr>
          <w:rFonts w:ascii="Times New Roman" w:hAnsi="Times New Roman"/>
          <w:color w:val="000000"/>
        </w:rPr>
        <w:t xml:space="preserve">Table </w:t>
      </w:r>
      <w:r w:rsidR="00DB3B9F" w:rsidRPr="00DB3B9F">
        <w:rPr>
          <w:rFonts w:ascii="Times New Roman" w:hAnsi="Times New Roman"/>
        </w:rPr>
        <w:t xml:space="preserve">Shell 1 provides an example of the types of </w:t>
      </w:r>
      <w:r w:rsidR="00DB3B9F" w:rsidRPr="00DB3B9F">
        <w:rPr>
          <w:rFonts w:ascii="Times New Roman" w:hAnsi="Times New Roman"/>
        </w:rPr>
        <w:lastRenderedPageBreak/>
        <w:t>measures that will be used to describe the</w:t>
      </w:r>
      <w:r>
        <w:rPr>
          <w:rFonts w:ascii="Times New Roman" w:hAnsi="Times New Roman"/>
        </w:rPr>
        <w:t xml:space="preserve"> characteristics of the </w:t>
      </w:r>
      <w:r w:rsidR="008A7654">
        <w:rPr>
          <w:rFonts w:ascii="Times New Roman" w:hAnsi="Times New Roman"/>
        </w:rPr>
        <w:t>patients and provider</w:t>
      </w:r>
      <w:r w:rsidR="00DB3B9F" w:rsidRPr="00DB3B9F">
        <w:rPr>
          <w:rFonts w:ascii="Times New Roman" w:hAnsi="Times New Roman"/>
        </w:rPr>
        <w:t>s, and to compare these characteristics across the intervention and control sites. Significance of differences will be tested with Pearson chi-square for categorical measures and ANOVA for continuous measures.</w:t>
      </w:r>
      <w:r w:rsidR="000300E4">
        <w:rPr>
          <w:rFonts w:ascii="Times New Roman" w:hAnsi="Times New Roman"/>
        </w:rPr>
        <w:t xml:space="preserve">  </w:t>
      </w:r>
      <w:r w:rsidR="00DB3B9F" w:rsidRPr="00E13C9C">
        <w:rPr>
          <w:rFonts w:ascii="Times New Roman" w:hAnsi="Times New Roman"/>
        </w:rPr>
        <w:t>Analysis plans for each study goal are outlined below.</w:t>
      </w:r>
    </w:p>
    <w:p w:rsidR="00DB3B9F" w:rsidRPr="00DB3B9F" w:rsidRDefault="00DB3B9F" w:rsidP="00665645">
      <w:pPr>
        <w:rPr>
          <w:rFonts w:ascii="Times New Roman" w:hAnsi="Times New Roman"/>
        </w:rPr>
      </w:pPr>
    </w:p>
    <w:p w:rsidR="00DB3B9F" w:rsidRPr="00DB3B9F" w:rsidRDefault="00DB3B9F" w:rsidP="00665645">
      <w:pPr>
        <w:rPr>
          <w:rFonts w:ascii="Times New Roman" w:hAnsi="Times New Roman"/>
        </w:rPr>
      </w:pPr>
      <w:r w:rsidRPr="00DB3B9F">
        <w:rPr>
          <w:rFonts w:ascii="Times New Roman" w:hAnsi="Times New Roman"/>
          <w:b/>
          <w:i/>
        </w:rPr>
        <w:t xml:space="preserve">Assess whether provider and patient education will lead to extended screening intervals for women who have negative screening results. </w:t>
      </w:r>
      <w:r w:rsidRPr="00DB3B9F">
        <w:rPr>
          <w:rFonts w:ascii="Times New Roman" w:hAnsi="Times New Roman"/>
        </w:rPr>
        <w:t xml:space="preserve">Examination of the intervention on extended screening intervals will apply two methods: logistic regression, and event history analysis. The initial models will run standard logistic regression with the dependent variable indicating whether the next Pap was conducted 30 months or more after the baseline Pap versus all other. This analysis will then be expanded to multinomial logistic regression where multiple outcomes can be examined. Four categories for the dependent variable will be defined in the initial analyses: (1) Pap conducted at 30 months or more; (2) Pap conducted at less </w:t>
      </w:r>
      <w:proofErr w:type="spellStart"/>
      <w:r w:rsidRPr="00DB3B9F">
        <w:rPr>
          <w:rFonts w:ascii="Times New Roman" w:hAnsi="Times New Roman"/>
        </w:rPr>
        <w:t>then</w:t>
      </w:r>
      <w:proofErr w:type="spellEnd"/>
      <w:r w:rsidRPr="00DB3B9F">
        <w:rPr>
          <w:rFonts w:ascii="Times New Roman" w:hAnsi="Times New Roman"/>
        </w:rPr>
        <w:t xml:space="preserve"> 30 months; (3) no follow-up Pap conducted; and, (4) lost to follow-up. Sensitivity analyses will be conducted by comparing the impact of outcome definition on estimates and study conclusions. In addition, event history analysis will be applied to examine the impact of the intervention on a continuous measure of months to next Pap. All of these methods will use patient-level data.</w:t>
      </w:r>
    </w:p>
    <w:p w:rsidR="00DB3B9F" w:rsidRPr="00DB3B9F" w:rsidRDefault="00DB3B9F" w:rsidP="00665645">
      <w:pPr>
        <w:rPr>
          <w:rFonts w:ascii="Times New Roman" w:hAnsi="Times New Roman"/>
        </w:rPr>
      </w:pPr>
    </w:p>
    <w:p w:rsidR="00DB3B9F" w:rsidRPr="00DB3B9F" w:rsidRDefault="00DB3B9F" w:rsidP="00665645">
      <w:pPr>
        <w:rPr>
          <w:rFonts w:ascii="Times New Roman" w:hAnsi="Times New Roman"/>
          <w:i/>
        </w:rPr>
      </w:pPr>
      <w:r w:rsidRPr="00DB3B9F">
        <w:rPr>
          <w:rFonts w:ascii="Times New Roman" w:hAnsi="Times New Roman"/>
          <w:b/>
          <w:i/>
        </w:rPr>
        <w:t xml:space="preserve">Identify facilitators and barriers to acceptance and appropriate use of the HPV test and longer screening intervals. </w:t>
      </w:r>
      <w:r w:rsidRPr="00DB3B9F">
        <w:rPr>
          <w:rFonts w:ascii="Times New Roman" w:hAnsi="Times New Roman"/>
        </w:rPr>
        <w:t xml:space="preserve">These analyses add provider and patient survey data to identify factors which influence the acceptance and appropriate use of the HPV test and longer screening intervals. </w:t>
      </w:r>
      <w:r w:rsidRPr="003C598E">
        <w:rPr>
          <w:rFonts w:ascii="Times New Roman" w:hAnsi="Times New Roman"/>
        </w:rPr>
        <w:t>Table Shell 2</w:t>
      </w:r>
      <w:r w:rsidRPr="00DB3B9F">
        <w:rPr>
          <w:rFonts w:ascii="Times New Roman" w:hAnsi="Times New Roman"/>
        </w:rPr>
        <w:t xml:space="preserve"> provides an example of the types of measures that will be used to examine differences in key constructs which might impact the appropriate use of the HPV test and the extension of the screening interval including knowledge, beliefs and attitudes at the baseline and the initial follow-up survey. Because the baseline patient- and provider-surveys are administered prior to the intervention training and the provision of guidelines to control sites, it is expected that there will be few differences between the control and intervention sites at baseline, and greater differences at follow-up. Significance of differences will be tested with Pearson chi-square for categorical measures and ANOVA for continuous measures. </w:t>
      </w:r>
    </w:p>
    <w:p w:rsidR="00DB3B9F" w:rsidRPr="00DB3B9F" w:rsidRDefault="00DB3B9F" w:rsidP="00665645">
      <w:pPr>
        <w:rPr>
          <w:rFonts w:ascii="Times New Roman" w:hAnsi="Times New Roman"/>
        </w:rPr>
      </w:pPr>
    </w:p>
    <w:p w:rsidR="00DB3B9F" w:rsidRPr="00DB3B9F" w:rsidRDefault="00DB3B9F" w:rsidP="00665645">
      <w:pPr>
        <w:rPr>
          <w:rFonts w:ascii="Times New Roman" w:hAnsi="Times New Roman"/>
        </w:rPr>
      </w:pPr>
      <w:r w:rsidRPr="00DB3B9F">
        <w:rPr>
          <w:rFonts w:ascii="Times New Roman" w:hAnsi="Times New Roman"/>
        </w:rPr>
        <w:t>Multivariate analyses of patient-level outcomes will be completed in two steps. First, bivariate associations will be calculated. Second, independent variables which had a significant bivariate association will be entered following a forward stepwise procedure. The analyses of screening intervals will apply the best models identified in the paragraph above for the first study goal. The method applied to models examining the acceptance and appropriate use of the HPV will depend on the structure of the dependent variable under consideration. Logistic regression will be used for categorical outcomes and linear regression for continuous outcomes. For each analysis where the intervention had a significant bivariate association with the outcome, further analysis will be conducted to see the impact of adding other bivariate significant independent variables into the equation including a measure indicating intervention site. Interactions between key constructs and treatment group will be considered. For instances where the analysis will focus on changes in repeated measures with patient-level data, either a generalized estimating equations approach or a generalized linear mixed models approach will be used.</w:t>
      </w:r>
    </w:p>
    <w:p w:rsidR="00DB3B9F" w:rsidRPr="00DB3B9F" w:rsidRDefault="00DB3B9F" w:rsidP="00665645">
      <w:pPr>
        <w:rPr>
          <w:rFonts w:ascii="Times New Roman" w:hAnsi="Times New Roman"/>
        </w:rPr>
      </w:pPr>
    </w:p>
    <w:p w:rsidR="00DB3B9F" w:rsidRPr="00DB3B9F" w:rsidRDefault="00DB3B9F" w:rsidP="00665645">
      <w:pPr>
        <w:rPr>
          <w:rFonts w:ascii="Times New Roman" w:hAnsi="Times New Roman"/>
        </w:rPr>
      </w:pPr>
      <w:r w:rsidRPr="003C598E">
        <w:rPr>
          <w:rFonts w:ascii="Times New Roman" w:hAnsi="Times New Roman"/>
        </w:rPr>
        <w:t>Table Shell 3</w:t>
      </w:r>
      <w:r w:rsidRPr="00DB3B9F">
        <w:rPr>
          <w:rFonts w:ascii="Times New Roman" w:hAnsi="Times New Roman"/>
        </w:rPr>
        <w:t xml:space="preserve"> provides examples of measures that will be used to examine the independent effect of constructs on lengthening the screening interval. The column under the heading </w:t>
      </w:r>
      <w:proofErr w:type="spellStart"/>
      <w:r w:rsidRPr="00DB3B9F">
        <w:rPr>
          <w:rFonts w:ascii="Times New Roman" w:hAnsi="Times New Roman"/>
          <w:i/>
        </w:rPr>
        <w:t>Biviarate</w:t>
      </w:r>
      <w:proofErr w:type="spellEnd"/>
      <w:r w:rsidRPr="00DB3B9F">
        <w:rPr>
          <w:rFonts w:ascii="Times New Roman" w:hAnsi="Times New Roman"/>
          <w:i/>
        </w:rPr>
        <w:t xml:space="preserve"> </w:t>
      </w:r>
      <w:r w:rsidRPr="00DB3B9F">
        <w:rPr>
          <w:rFonts w:ascii="Times New Roman" w:hAnsi="Times New Roman"/>
          <w:i/>
        </w:rPr>
        <w:lastRenderedPageBreak/>
        <w:t>Models</w:t>
      </w:r>
      <w:r w:rsidRPr="00DB3B9F">
        <w:rPr>
          <w:rFonts w:ascii="Times New Roman" w:hAnsi="Times New Roman"/>
        </w:rPr>
        <w:t xml:space="preserve"> will present the estimate and significance level of models which include only the single construct in the estimation model. Those constructs which are significant at the bivariate level will be considered for inclusion in the multivariate analysis. The estimates which are presented in the </w:t>
      </w:r>
      <w:r w:rsidRPr="00DB3B9F">
        <w:rPr>
          <w:rFonts w:ascii="Times New Roman" w:hAnsi="Times New Roman"/>
          <w:i/>
        </w:rPr>
        <w:t>Multivariate Model</w:t>
      </w:r>
      <w:r w:rsidRPr="00DB3B9F">
        <w:rPr>
          <w:rFonts w:ascii="Times New Roman" w:hAnsi="Times New Roman"/>
        </w:rPr>
        <w:t xml:space="preserve"> column are only for those constructs which were found to have a significant independent effect. </w:t>
      </w:r>
    </w:p>
    <w:p w:rsidR="00DB3B9F" w:rsidRPr="00DB3B9F" w:rsidRDefault="00DB3B9F" w:rsidP="00665645">
      <w:pPr>
        <w:rPr>
          <w:rFonts w:ascii="Times New Roman" w:hAnsi="Times New Roman"/>
          <w:b/>
          <w:i/>
        </w:rPr>
      </w:pPr>
    </w:p>
    <w:p w:rsidR="00DB3B9F" w:rsidRPr="00DB3B9F" w:rsidRDefault="00DB3B9F" w:rsidP="00665645">
      <w:pPr>
        <w:rPr>
          <w:rFonts w:ascii="Times New Roman" w:hAnsi="Times New Roman"/>
        </w:rPr>
      </w:pPr>
      <w:r w:rsidRPr="00DB3B9F">
        <w:rPr>
          <w:rFonts w:ascii="Times New Roman" w:hAnsi="Times New Roman"/>
        </w:rPr>
        <w:t xml:space="preserve">In addition to the patient-level analyses outlined above, provider-level analyses will be conducted to examine changes in provider responses of constructs related to the acceptance and appropriate use of the HPV test and to extending screening intervals. Initial analyses will examine percent and mean distributions at baseline. Changes in provider responses to scales and the impact of the intervention will be examined longitudinally through the use of repeated measures ANOVA. </w:t>
      </w:r>
      <w:r w:rsidRPr="003C598E">
        <w:rPr>
          <w:rFonts w:ascii="Times New Roman" w:hAnsi="Times New Roman"/>
        </w:rPr>
        <w:t>Table Shell 4</w:t>
      </w:r>
      <w:r w:rsidRPr="00DB3B9F">
        <w:rPr>
          <w:rFonts w:ascii="Times New Roman" w:hAnsi="Times New Roman"/>
        </w:rPr>
        <w:t xml:space="preserve"> provides an example of the presentation </w:t>
      </w:r>
      <w:r w:rsidR="008A7654">
        <w:rPr>
          <w:rFonts w:ascii="Times New Roman" w:hAnsi="Times New Roman"/>
        </w:rPr>
        <w:t>of repeated measures across three</w:t>
      </w:r>
      <w:r w:rsidRPr="00DB3B9F">
        <w:rPr>
          <w:rFonts w:ascii="Times New Roman" w:hAnsi="Times New Roman"/>
        </w:rPr>
        <w:t xml:space="preserve"> time points.</w:t>
      </w:r>
    </w:p>
    <w:p w:rsidR="00DB3B9F" w:rsidRPr="00DB3B9F" w:rsidRDefault="00DB3B9F" w:rsidP="00665645">
      <w:pPr>
        <w:rPr>
          <w:rFonts w:ascii="Times New Roman" w:hAnsi="Times New Roman"/>
          <w:sz w:val="22"/>
          <w:szCs w:val="22"/>
          <w:highlight w:val="yellow"/>
        </w:rPr>
      </w:pPr>
    </w:p>
    <w:p w:rsidR="00DB3B9F" w:rsidRPr="00DB3B9F" w:rsidRDefault="00DB3B9F" w:rsidP="00665645">
      <w:pPr>
        <w:rPr>
          <w:rFonts w:ascii="Times New Roman" w:hAnsi="Times New Roman"/>
        </w:rPr>
      </w:pPr>
      <w:r w:rsidRPr="00DB3B9F">
        <w:rPr>
          <w:rFonts w:ascii="Times New Roman" w:hAnsi="Times New Roman"/>
          <w:b/>
          <w:i/>
        </w:rPr>
        <w:t xml:space="preserve">Assess follow-up of women with positive test results. </w:t>
      </w:r>
      <w:r w:rsidRPr="00DB3B9F">
        <w:rPr>
          <w:rFonts w:ascii="Times New Roman" w:hAnsi="Times New Roman"/>
        </w:rPr>
        <w:t xml:space="preserve">Separate descriptive analyses will be performed for women with results in the following three categories: (1) HPV positive and Pap abnormal; (2) HPV positive and Pap normal; and, (3) HPV negative and Pap abnormal. With data from a medical chart review, the type of follow-up procedures along with the respective visit date and result will be examined and compared to the American Society for Colposcopy and Cervical Pathology (ASCCP) guidelines. </w:t>
      </w:r>
      <w:r w:rsidR="00531531">
        <w:rPr>
          <w:rFonts w:ascii="Times New Roman" w:hAnsi="Times New Roman"/>
        </w:rPr>
        <w:t>Table Shell 5</w:t>
      </w:r>
      <w:r w:rsidRPr="00DB3B9F">
        <w:rPr>
          <w:rFonts w:ascii="Times New Roman" w:hAnsi="Times New Roman"/>
        </w:rPr>
        <w:t xml:space="preserve"> provides an example presentation of the distribution of follow-up tests and procedures performed for each of the three groups.</w:t>
      </w:r>
    </w:p>
    <w:p w:rsidR="00DB3B9F" w:rsidRPr="00DB3B9F" w:rsidRDefault="00DB3B9F" w:rsidP="00665645">
      <w:pPr>
        <w:rPr>
          <w:rFonts w:ascii="Times New Roman" w:hAnsi="Times New Roman"/>
          <w:sz w:val="22"/>
          <w:szCs w:val="22"/>
        </w:rPr>
      </w:pPr>
    </w:p>
    <w:p w:rsidR="00CF2DAA" w:rsidRPr="00AF7F72" w:rsidRDefault="00CF2DAA" w:rsidP="00665645">
      <w:pPr>
        <w:pStyle w:val="Head2"/>
        <w:spacing w:line="240" w:lineRule="auto"/>
      </w:pPr>
      <w:bookmarkStart w:id="21" w:name="_Toc179609163"/>
      <w:r w:rsidRPr="003C1CE4">
        <w:t>B.  Publication Plan</w:t>
      </w:r>
      <w:bookmarkEnd w:id="21"/>
    </w:p>
    <w:p w:rsidR="00665645" w:rsidRDefault="00665645" w:rsidP="00665645">
      <w:pPr>
        <w:rPr>
          <w:rFonts w:ascii="Times New Roman" w:hAnsi="Times New Roman"/>
        </w:rPr>
      </w:pPr>
    </w:p>
    <w:p w:rsidR="00DB3B9F" w:rsidRDefault="00DB3B9F" w:rsidP="00665645">
      <w:pPr>
        <w:rPr>
          <w:rFonts w:ascii="Times New Roman" w:hAnsi="Times New Roman"/>
        </w:rPr>
      </w:pPr>
      <w:r w:rsidRPr="00DB3B9F">
        <w:rPr>
          <w:rFonts w:ascii="Times New Roman" w:hAnsi="Times New Roman"/>
        </w:rPr>
        <w:t>Technical reports will be prepared to summarize project activities and the results of the data analysis. The results of the study will also be disseminated to various stakeholders through the publication of manuscripts in peer-reviewed journals and through presentations at professional meetings.</w:t>
      </w:r>
    </w:p>
    <w:p w:rsidR="00DB3B9F" w:rsidRPr="00DB3B9F" w:rsidRDefault="00DB3B9F" w:rsidP="00665645">
      <w:pPr>
        <w:rPr>
          <w:rFonts w:ascii="Times New Roman" w:hAnsi="Times New Roman"/>
        </w:rPr>
      </w:pPr>
    </w:p>
    <w:p w:rsidR="00665645" w:rsidRDefault="007F1A63" w:rsidP="000B7E7A">
      <w:pPr>
        <w:pStyle w:val="Head2"/>
        <w:spacing w:line="240" w:lineRule="auto"/>
      </w:pPr>
      <w:bookmarkStart w:id="22" w:name="_Toc179609164"/>
      <w:r>
        <w:t>C</w:t>
      </w:r>
      <w:r w:rsidR="00CF2DAA" w:rsidRPr="008704AC">
        <w:t xml:space="preserve">.  </w:t>
      </w:r>
      <w:r w:rsidR="00CF2DAA">
        <w:t xml:space="preserve">Project </w:t>
      </w:r>
      <w:r w:rsidR="00CF2DAA" w:rsidRPr="008704AC">
        <w:t>Time Schedule</w:t>
      </w:r>
      <w:bookmarkEnd w:id="22"/>
    </w:p>
    <w:p w:rsidR="001B01C9" w:rsidRPr="00690CCE" w:rsidRDefault="001B01C9" w:rsidP="00690CCE">
      <w:pPr>
        <w:pStyle w:val="NormalWeb"/>
        <w:rPr>
          <w:sz w:val="22"/>
          <w:szCs w:val="22"/>
        </w:rPr>
      </w:pPr>
      <w:bookmarkStart w:id="23" w:name="_Toc191095945"/>
      <w:bookmarkStart w:id="24" w:name="_Toc179609165"/>
      <w:r w:rsidRPr="002F0639">
        <w:t>A.16-1. Time Schedule</w:t>
      </w:r>
      <w:bookmarkEnd w:id="23"/>
      <w:r w:rsidRPr="002F0639">
        <w:t xml:space="preserve"> </w:t>
      </w:r>
    </w:p>
    <w:tbl>
      <w:tblPr>
        <w:tblStyle w:val="TableGrid"/>
        <w:tblW w:w="9360" w:type="dxa"/>
        <w:tblInd w:w="108" w:type="dxa"/>
        <w:tblLook w:val="01E0" w:firstRow="1" w:lastRow="1" w:firstColumn="1" w:lastColumn="1" w:noHBand="0" w:noVBand="0"/>
      </w:tblPr>
      <w:tblGrid>
        <w:gridCol w:w="5670"/>
        <w:gridCol w:w="3690"/>
      </w:tblGrid>
      <w:tr w:rsidR="001B01C9" w:rsidRPr="00690CCE" w:rsidTr="00130E04">
        <w:tc>
          <w:tcPr>
            <w:tcW w:w="5670" w:type="dxa"/>
            <w:tcBorders>
              <w:top w:val="single" w:sz="4" w:space="0" w:color="auto"/>
              <w:left w:val="single" w:sz="4" w:space="0" w:color="auto"/>
              <w:bottom w:val="single" w:sz="4" w:space="0" w:color="auto"/>
              <w:right w:val="single" w:sz="4" w:space="0" w:color="auto"/>
            </w:tcBorders>
          </w:tcPr>
          <w:p w:rsidR="001B01C9" w:rsidRPr="00690CCE" w:rsidRDefault="001B01C9" w:rsidP="00690CCE">
            <w:pPr>
              <w:pStyle w:val="NormalWeb"/>
              <w:jc w:val="center"/>
              <w:rPr>
                <w:b/>
                <w:sz w:val="22"/>
                <w:szCs w:val="22"/>
              </w:rPr>
            </w:pPr>
            <w:r w:rsidRPr="00690CCE">
              <w:rPr>
                <w:b/>
                <w:sz w:val="22"/>
                <w:szCs w:val="22"/>
              </w:rPr>
              <w:t>Activity</w:t>
            </w:r>
          </w:p>
        </w:tc>
        <w:tc>
          <w:tcPr>
            <w:tcW w:w="3690" w:type="dxa"/>
            <w:tcBorders>
              <w:top w:val="single" w:sz="4" w:space="0" w:color="auto"/>
              <w:left w:val="single" w:sz="4" w:space="0" w:color="auto"/>
              <w:bottom w:val="single" w:sz="4" w:space="0" w:color="auto"/>
              <w:right w:val="single" w:sz="4" w:space="0" w:color="auto"/>
            </w:tcBorders>
          </w:tcPr>
          <w:p w:rsidR="001B01C9" w:rsidRPr="00690CCE" w:rsidRDefault="00130E04" w:rsidP="00690CCE">
            <w:pPr>
              <w:pStyle w:val="NormalWeb"/>
              <w:jc w:val="center"/>
              <w:rPr>
                <w:b/>
                <w:sz w:val="22"/>
                <w:szCs w:val="22"/>
              </w:rPr>
            </w:pPr>
            <w:r w:rsidRPr="00690CCE">
              <w:rPr>
                <w:b/>
                <w:sz w:val="22"/>
                <w:szCs w:val="22"/>
              </w:rPr>
              <w:t>Date</w:t>
            </w:r>
          </w:p>
        </w:tc>
      </w:tr>
      <w:tr w:rsidR="00531531" w:rsidRPr="00690CCE" w:rsidTr="00130E04">
        <w:tc>
          <w:tcPr>
            <w:tcW w:w="5670" w:type="dxa"/>
            <w:tcBorders>
              <w:top w:val="single" w:sz="4" w:space="0" w:color="auto"/>
              <w:left w:val="single" w:sz="4" w:space="0" w:color="auto"/>
              <w:bottom w:val="single" w:sz="4" w:space="0" w:color="auto"/>
              <w:right w:val="single" w:sz="4" w:space="0" w:color="auto"/>
            </w:tcBorders>
          </w:tcPr>
          <w:p w:rsidR="00531531" w:rsidRPr="00690CCE" w:rsidRDefault="00531531" w:rsidP="0030550B">
            <w:pPr>
              <w:pStyle w:val="NormalWeb"/>
              <w:rPr>
                <w:sz w:val="22"/>
                <w:szCs w:val="22"/>
              </w:rPr>
            </w:pPr>
            <w:r w:rsidRPr="00690CCE">
              <w:rPr>
                <w:sz w:val="22"/>
                <w:szCs w:val="22"/>
              </w:rPr>
              <w:t>Complete 18-month Follow-up Patient Survey</w:t>
            </w:r>
          </w:p>
        </w:tc>
        <w:tc>
          <w:tcPr>
            <w:tcW w:w="3690" w:type="dxa"/>
            <w:tcBorders>
              <w:top w:val="single" w:sz="4" w:space="0" w:color="auto"/>
              <w:left w:val="single" w:sz="4" w:space="0" w:color="auto"/>
              <w:bottom w:val="single" w:sz="4" w:space="0" w:color="auto"/>
              <w:right w:val="single" w:sz="4" w:space="0" w:color="auto"/>
            </w:tcBorders>
          </w:tcPr>
          <w:p w:rsidR="00531531" w:rsidRPr="00690CCE" w:rsidRDefault="00531531" w:rsidP="0030550B">
            <w:pPr>
              <w:pStyle w:val="NormalWeb"/>
              <w:rPr>
                <w:sz w:val="22"/>
                <w:szCs w:val="22"/>
              </w:rPr>
            </w:pPr>
            <w:r w:rsidRPr="00690CCE">
              <w:rPr>
                <w:sz w:val="22"/>
                <w:szCs w:val="22"/>
              </w:rPr>
              <w:t>July 1, 2012 –</w:t>
            </w:r>
            <w:r>
              <w:rPr>
                <w:sz w:val="22"/>
                <w:szCs w:val="22"/>
              </w:rPr>
              <w:t xml:space="preserve"> January</w:t>
            </w:r>
            <w:r w:rsidRPr="00690CCE">
              <w:rPr>
                <w:sz w:val="22"/>
                <w:szCs w:val="22"/>
              </w:rPr>
              <w:t xml:space="preserve"> 31, 201</w:t>
            </w:r>
            <w:r w:rsidR="00461C9F">
              <w:rPr>
                <w:sz w:val="22"/>
                <w:szCs w:val="22"/>
              </w:rPr>
              <w:t>3</w:t>
            </w:r>
          </w:p>
        </w:tc>
      </w:tr>
      <w:tr w:rsidR="001B01C9" w:rsidRPr="00690CCE" w:rsidTr="00130E04">
        <w:tc>
          <w:tcPr>
            <w:tcW w:w="5670" w:type="dxa"/>
            <w:tcBorders>
              <w:top w:val="single" w:sz="4" w:space="0" w:color="auto"/>
              <w:left w:val="single" w:sz="4" w:space="0" w:color="auto"/>
              <w:bottom w:val="single" w:sz="4" w:space="0" w:color="auto"/>
              <w:right w:val="single" w:sz="4" w:space="0" w:color="auto"/>
            </w:tcBorders>
          </w:tcPr>
          <w:p w:rsidR="001B01C9" w:rsidRPr="00690CCE" w:rsidRDefault="00431F67" w:rsidP="00690CCE">
            <w:pPr>
              <w:pStyle w:val="NormalWeb"/>
              <w:rPr>
                <w:sz w:val="22"/>
                <w:szCs w:val="22"/>
              </w:rPr>
            </w:pPr>
            <w:r w:rsidRPr="00690CCE">
              <w:rPr>
                <w:sz w:val="22"/>
                <w:szCs w:val="22"/>
              </w:rPr>
              <w:t xml:space="preserve">Conduct 36-month Follow-up </w:t>
            </w:r>
            <w:r w:rsidR="001B01C9" w:rsidRPr="00690CCE">
              <w:rPr>
                <w:sz w:val="22"/>
                <w:szCs w:val="22"/>
              </w:rPr>
              <w:t>Provider Survey</w:t>
            </w:r>
          </w:p>
        </w:tc>
        <w:tc>
          <w:tcPr>
            <w:tcW w:w="3690" w:type="dxa"/>
            <w:tcBorders>
              <w:top w:val="single" w:sz="4" w:space="0" w:color="auto"/>
              <w:left w:val="single" w:sz="4" w:space="0" w:color="auto"/>
              <w:bottom w:val="single" w:sz="4" w:space="0" w:color="auto"/>
              <w:right w:val="single" w:sz="4" w:space="0" w:color="auto"/>
            </w:tcBorders>
          </w:tcPr>
          <w:p w:rsidR="001B01C9" w:rsidRPr="00690CCE" w:rsidRDefault="00130E04" w:rsidP="00690CCE">
            <w:pPr>
              <w:pStyle w:val="NormalWeb"/>
              <w:rPr>
                <w:sz w:val="22"/>
                <w:szCs w:val="22"/>
              </w:rPr>
            </w:pPr>
            <w:r w:rsidRPr="00690CCE">
              <w:rPr>
                <w:sz w:val="22"/>
                <w:szCs w:val="22"/>
              </w:rPr>
              <w:t>October 1, 2012 – June 30, 2013</w:t>
            </w:r>
          </w:p>
        </w:tc>
      </w:tr>
      <w:tr w:rsidR="001B01C9" w:rsidRPr="00690CCE" w:rsidTr="00130E04">
        <w:tc>
          <w:tcPr>
            <w:tcW w:w="5670" w:type="dxa"/>
            <w:tcBorders>
              <w:top w:val="single" w:sz="4" w:space="0" w:color="auto"/>
              <w:left w:val="single" w:sz="4" w:space="0" w:color="auto"/>
              <w:bottom w:val="single" w:sz="4" w:space="0" w:color="auto"/>
              <w:right w:val="single" w:sz="4" w:space="0" w:color="auto"/>
            </w:tcBorders>
          </w:tcPr>
          <w:p w:rsidR="001B01C9" w:rsidRPr="00690CCE" w:rsidRDefault="00431F67" w:rsidP="00690CCE">
            <w:pPr>
              <w:pStyle w:val="NormalWeb"/>
              <w:rPr>
                <w:sz w:val="22"/>
                <w:szCs w:val="22"/>
              </w:rPr>
            </w:pPr>
            <w:r w:rsidRPr="00690CCE">
              <w:rPr>
                <w:sz w:val="22"/>
                <w:szCs w:val="22"/>
              </w:rPr>
              <w:t>Conduct 36-month Interviews with Providers and Clinic Staff</w:t>
            </w:r>
          </w:p>
        </w:tc>
        <w:tc>
          <w:tcPr>
            <w:tcW w:w="3690" w:type="dxa"/>
            <w:tcBorders>
              <w:top w:val="single" w:sz="4" w:space="0" w:color="auto"/>
              <w:left w:val="single" w:sz="4" w:space="0" w:color="auto"/>
              <w:bottom w:val="single" w:sz="4" w:space="0" w:color="auto"/>
              <w:right w:val="single" w:sz="4" w:space="0" w:color="auto"/>
            </w:tcBorders>
          </w:tcPr>
          <w:p w:rsidR="001B01C9" w:rsidRPr="00690CCE" w:rsidRDefault="00710055" w:rsidP="00690CCE">
            <w:pPr>
              <w:pStyle w:val="NormalWeb"/>
              <w:rPr>
                <w:sz w:val="22"/>
                <w:szCs w:val="22"/>
              </w:rPr>
            </w:pPr>
            <w:r>
              <w:rPr>
                <w:sz w:val="22"/>
                <w:szCs w:val="22"/>
              </w:rPr>
              <w:t>October</w:t>
            </w:r>
            <w:r w:rsidR="00130E04" w:rsidRPr="00690CCE">
              <w:rPr>
                <w:sz w:val="22"/>
                <w:szCs w:val="22"/>
              </w:rPr>
              <w:t xml:space="preserve"> 1, 2012 –</w:t>
            </w:r>
            <w:r>
              <w:rPr>
                <w:sz w:val="22"/>
                <w:szCs w:val="22"/>
              </w:rPr>
              <w:t xml:space="preserve"> March</w:t>
            </w:r>
            <w:r w:rsidR="00130E04" w:rsidRPr="00690CCE">
              <w:rPr>
                <w:sz w:val="22"/>
                <w:szCs w:val="22"/>
              </w:rPr>
              <w:t xml:space="preserve"> 31, 201</w:t>
            </w:r>
            <w:r>
              <w:rPr>
                <w:sz w:val="22"/>
                <w:szCs w:val="22"/>
              </w:rPr>
              <w:t>3</w:t>
            </w:r>
          </w:p>
        </w:tc>
      </w:tr>
      <w:tr w:rsidR="001B01C9" w:rsidRPr="00690CCE" w:rsidTr="00130E04">
        <w:tc>
          <w:tcPr>
            <w:tcW w:w="5670" w:type="dxa"/>
            <w:tcBorders>
              <w:top w:val="single" w:sz="4" w:space="0" w:color="auto"/>
              <w:left w:val="single" w:sz="4" w:space="0" w:color="auto"/>
              <w:bottom w:val="single" w:sz="4" w:space="0" w:color="auto"/>
              <w:right w:val="single" w:sz="4" w:space="0" w:color="auto"/>
            </w:tcBorders>
          </w:tcPr>
          <w:p w:rsidR="001B01C9" w:rsidRPr="00690CCE" w:rsidRDefault="00431F67" w:rsidP="00690CCE">
            <w:pPr>
              <w:pStyle w:val="NormalWeb"/>
              <w:rPr>
                <w:sz w:val="22"/>
                <w:szCs w:val="22"/>
              </w:rPr>
            </w:pPr>
            <w:r w:rsidRPr="00690CCE">
              <w:rPr>
                <w:sz w:val="22"/>
                <w:szCs w:val="22"/>
              </w:rPr>
              <w:t xml:space="preserve">Data </w:t>
            </w:r>
            <w:r w:rsidR="001B01C9" w:rsidRPr="00690CCE">
              <w:rPr>
                <w:sz w:val="22"/>
                <w:szCs w:val="22"/>
              </w:rPr>
              <w:t>Analysis</w:t>
            </w:r>
          </w:p>
        </w:tc>
        <w:tc>
          <w:tcPr>
            <w:tcW w:w="3690" w:type="dxa"/>
            <w:tcBorders>
              <w:top w:val="single" w:sz="4" w:space="0" w:color="auto"/>
              <w:left w:val="single" w:sz="4" w:space="0" w:color="auto"/>
              <w:bottom w:val="single" w:sz="4" w:space="0" w:color="auto"/>
              <w:right w:val="single" w:sz="4" w:space="0" w:color="auto"/>
            </w:tcBorders>
          </w:tcPr>
          <w:p w:rsidR="001B01C9" w:rsidRPr="00690CCE" w:rsidRDefault="00710055" w:rsidP="00690CCE">
            <w:pPr>
              <w:pStyle w:val="NormalWeb"/>
              <w:rPr>
                <w:sz w:val="22"/>
                <w:szCs w:val="22"/>
              </w:rPr>
            </w:pPr>
            <w:r>
              <w:rPr>
                <w:sz w:val="22"/>
                <w:szCs w:val="22"/>
              </w:rPr>
              <w:t>July 1, 2013</w:t>
            </w:r>
            <w:r w:rsidR="00130E04" w:rsidRPr="00690CCE">
              <w:rPr>
                <w:sz w:val="22"/>
                <w:szCs w:val="22"/>
              </w:rPr>
              <w:t xml:space="preserve"> – April 30, 2014</w:t>
            </w:r>
          </w:p>
        </w:tc>
      </w:tr>
      <w:tr w:rsidR="001B01C9" w:rsidRPr="00690CCE" w:rsidTr="00130E04">
        <w:tc>
          <w:tcPr>
            <w:tcW w:w="5670" w:type="dxa"/>
            <w:tcBorders>
              <w:top w:val="single" w:sz="4" w:space="0" w:color="auto"/>
              <w:left w:val="single" w:sz="4" w:space="0" w:color="auto"/>
              <w:bottom w:val="single" w:sz="4" w:space="0" w:color="auto"/>
              <w:right w:val="single" w:sz="4" w:space="0" w:color="auto"/>
            </w:tcBorders>
          </w:tcPr>
          <w:p w:rsidR="001B01C9" w:rsidRPr="00690CCE" w:rsidRDefault="001B01C9" w:rsidP="00690CCE">
            <w:pPr>
              <w:pStyle w:val="NormalWeb"/>
              <w:rPr>
                <w:sz w:val="22"/>
                <w:szCs w:val="22"/>
              </w:rPr>
            </w:pPr>
            <w:r w:rsidRPr="00690CCE">
              <w:rPr>
                <w:sz w:val="22"/>
                <w:szCs w:val="22"/>
              </w:rPr>
              <w:t xml:space="preserve">Publication of Results </w:t>
            </w:r>
          </w:p>
        </w:tc>
        <w:tc>
          <w:tcPr>
            <w:tcW w:w="3690" w:type="dxa"/>
            <w:tcBorders>
              <w:top w:val="single" w:sz="4" w:space="0" w:color="auto"/>
              <w:left w:val="single" w:sz="4" w:space="0" w:color="auto"/>
              <w:bottom w:val="single" w:sz="4" w:space="0" w:color="auto"/>
              <w:right w:val="single" w:sz="4" w:space="0" w:color="auto"/>
            </w:tcBorders>
          </w:tcPr>
          <w:p w:rsidR="001B01C9" w:rsidRPr="00690CCE" w:rsidRDefault="00690CCE" w:rsidP="00690CCE">
            <w:pPr>
              <w:pStyle w:val="NormalWeb"/>
              <w:rPr>
                <w:sz w:val="22"/>
                <w:szCs w:val="22"/>
              </w:rPr>
            </w:pPr>
            <w:r w:rsidRPr="00690CCE">
              <w:rPr>
                <w:sz w:val="22"/>
                <w:szCs w:val="22"/>
              </w:rPr>
              <w:t>January 1, 2014 – December 1</w:t>
            </w:r>
            <w:r>
              <w:rPr>
                <w:sz w:val="22"/>
                <w:szCs w:val="22"/>
              </w:rPr>
              <w:t>5</w:t>
            </w:r>
            <w:r w:rsidRPr="00690CCE">
              <w:rPr>
                <w:sz w:val="22"/>
                <w:szCs w:val="22"/>
              </w:rPr>
              <w:t>, 2014</w:t>
            </w:r>
          </w:p>
        </w:tc>
      </w:tr>
    </w:tbl>
    <w:p w:rsidR="00597260" w:rsidRPr="00B728B5" w:rsidRDefault="003E798F" w:rsidP="00690CCE">
      <w:pPr>
        <w:pStyle w:val="NormalWeb"/>
        <w:rPr>
          <w:b/>
        </w:rPr>
      </w:pPr>
      <w:r w:rsidRPr="00B728B5">
        <w:rPr>
          <w:b/>
        </w:rPr>
        <w:t xml:space="preserve">A.17. </w:t>
      </w:r>
      <w:r w:rsidR="00597260" w:rsidRPr="00B728B5">
        <w:rPr>
          <w:b/>
        </w:rPr>
        <w:t>Reason(s) Display of OMB Expiration Date is Inappropriate</w:t>
      </w:r>
      <w:bookmarkEnd w:id="24"/>
    </w:p>
    <w:p w:rsidR="00CF457F" w:rsidRDefault="00597260" w:rsidP="00665645">
      <w:pPr>
        <w:keepNext/>
        <w:keepLines/>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1CE4">
        <w:rPr>
          <w:rFonts w:ascii="Times New Roman" w:hAnsi="Times New Roman"/>
        </w:rPr>
        <w:t>No exemption from display o</w:t>
      </w:r>
      <w:r w:rsidR="00CF457F">
        <w:rPr>
          <w:rFonts w:ascii="Times New Roman" w:hAnsi="Times New Roman"/>
        </w:rPr>
        <w:t>f expiration date is requested.</w:t>
      </w:r>
    </w:p>
    <w:p w:rsidR="00665645" w:rsidRDefault="00665645" w:rsidP="00665645">
      <w:pPr>
        <w:pStyle w:val="Head1"/>
        <w:spacing w:before="0" w:beforeAutospacing="0" w:after="0" w:afterAutospacing="0" w:line="240" w:lineRule="auto"/>
      </w:pPr>
      <w:bookmarkStart w:id="25" w:name="_Toc179609166"/>
    </w:p>
    <w:p w:rsidR="00597260" w:rsidRPr="00AF7F72" w:rsidRDefault="003E798F" w:rsidP="00665645">
      <w:pPr>
        <w:pStyle w:val="Head1"/>
        <w:spacing w:before="0" w:beforeAutospacing="0" w:after="0" w:afterAutospacing="0" w:line="240" w:lineRule="auto"/>
      </w:pPr>
      <w:r>
        <w:t xml:space="preserve">A.18. </w:t>
      </w:r>
      <w:r w:rsidR="00597260" w:rsidRPr="003C1CE4">
        <w:t>Exceptions to Certification for Paperwork Reduction Act Submissions</w:t>
      </w:r>
      <w:bookmarkEnd w:id="25"/>
    </w:p>
    <w:p w:rsidR="00665645" w:rsidRDefault="00665645" w:rsidP="0066564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F1DB1" w:rsidRPr="004F116F" w:rsidRDefault="00597260" w:rsidP="00C14F4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3C1CE4">
        <w:rPr>
          <w:rFonts w:ascii="Times New Roman" w:hAnsi="Times New Roman"/>
        </w:rPr>
        <w:t>No exceptions to certification are sought.</w:t>
      </w:r>
    </w:p>
    <w:p w:rsidR="00C1192B" w:rsidRPr="00EB05CE" w:rsidRDefault="008F51C8" w:rsidP="000B7E7A">
      <w:pPr>
        <w:jc w:val="center"/>
        <w:rPr>
          <w:rFonts w:ascii="Times New Roman" w:hAnsi="Times New Roman"/>
          <w:b/>
        </w:rPr>
      </w:pPr>
      <w:r>
        <w:rPr>
          <w:rFonts w:ascii="Times New Roman" w:hAnsi="Times New Roman"/>
          <w:b/>
        </w:rPr>
        <w:br w:type="page"/>
      </w:r>
      <w:r w:rsidR="00C1192B" w:rsidRPr="00EB05CE">
        <w:rPr>
          <w:rFonts w:ascii="Times New Roman" w:hAnsi="Times New Roman"/>
          <w:b/>
        </w:rPr>
        <w:lastRenderedPageBreak/>
        <w:t>Reference List</w:t>
      </w:r>
      <w:r w:rsidR="00135288">
        <w:rPr>
          <w:rFonts w:ascii="Times New Roman" w:hAnsi="Times New Roman"/>
          <w:b/>
        </w:rPr>
        <w:t xml:space="preserve"> (in order cited)</w:t>
      </w:r>
    </w:p>
    <w:p w:rsidR="00C1192B" w:rsidRPr="00C1192B" w:rsidRDefault="00C1192B" w:rsidP="00C1192B">
      <w:pPr>
        <w:jc w:val="center"/>
        <w:rPr>
          <w:rFonts w:ascii="Times New Roman" w:hAnsi="Times New Roman"/>
        </w:rPr>
      </w:pPr>
    </w:p>
    <w:p w:rsidR="00531531" w:rsidRPr="0030550B" w:rsidRDefault="0094070E" w:rsidP="00531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hyperlink r:id="rId16" w:history="1">
        <w:r w:rsidR="0030550B" w:rsidRPr="0030550B">
          <w:rPr>
            <w:rFonts w:ascii="Times New Roman" w:hAnsi="Times New Roman"/>
          </w:rPr>
          <w:t>http://www.cdc.gov/cancer/nbccedp/about.htm.  Referenced on Nov. 23</w:t>
        </w:r>
      </w:hyperlink>
      <w:r w:rsidR="00531531" w:rsidRPr="0030550B">
        <w:rPr>
          <w:rFonts w:ascii="Times New Roman" w:hAnsi="Times New Roman"/>
        </w:rPr>
        <w:t>, 2011</w:t>
      </w:r>
    </w:p>
    <w:p w:rsidR="00531531" w:rsidRPr="009F709F" w:rsidRDefault="00531531" w:rsidP="00531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b/>
          <w:bCs/>
        </w:rPr>
      </w:pPr>
    </w:p>
    <w:p w:rsidR="00C70796" w:rsidRDefault="00531531" w:rsidP="00531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FC3E2A">
        <w:rPr>
          <w:rFonts w:ascii="Times New Roman" w:hAnsi="Times New Roman"/>
          <w:bCs/>
        </w:rPr>
        <w:t>Saslow</w:t>
      </w:r>
      <w:proofErr w:type="spellEnd"/>
      <w:r w:rsidRPr="00FC3E2A">
        <w:rPr>
          <w:rFonts w:ascii="Times New Roman" w:hAnsi="Times New Roman"/>
        </w:rPr>
        <w:t xml:space="preserve"> D,</w:t>
      </w:r>
      <w:r w:rsidRPr="009F709F">
        <w:rPr>
          <w:rFonts w:ascii="Times New Roman" w:hAnsi="Times New Roman"/>
        </w:rPr>
        <w:t xml:space="preserve"> </w:t>
      </w:r>
      <w:proofErr w:type="spellStart"/>
      <w:r w:rsidRPr="009F709F">
        <w:rPr>
          <w:rFonts w:ascii="Times New Roman" w:hAnsi="Times New Roman"/>
        </w:rPr>
        <w:t>Runowicz</w:t>
      </w:r>
      <w:proofErr w:type="spellEnd"/>
      <w:r w:rsidRPr="009F709F">
        <w:rPr>
          <w:rFonts w:ascii="Times New Roman" w:hAnsi="Times New Roman"/>
        </w:rPr>
        <w:t xml:space="preserve"> CD, Solomon D, </w:t>
      </w:r>
      <w:proofErr w:type="spellStart"/>
      <w:r w:rsidRPr="009F709F">
        <w:rPr>
          <w:rFonts w:ascii="Times New Roman" w:hAnsi="Times New Roman"/>
        </w:rPr>
        <w:t>Moscicki</w:t>
      </w:r>
      <w:proofErr w:type="spellEnd"/>
      <w:r w:rsidRPr="009F709F">
        <w:rPr>
          <w:rFonts w:ascii="Times New Roman" w:hAnsi="Times New Roman"/>
        </w:rPr>
        <w:t xml:space="preserve"> AB, Smith RA, Eyre HJ, Cohen C; </w:t>
      </w:r>
      <w:r w:rsidRPr="00FC3E2A">
        <w:rPr>
          <w:rFonts w:ascii="Times New Roman" w:hAnsi="Times New Roman"/>
          <w:bCs/>
        </w:rPr>
        <w:t xml:space="preserve">American Cancer </w:t>
      </w:r>
      <w:r w:rsidRPr="0030550B">
        <w:rPr>
          <w:rFonts w:ascii="Times New Roman" w:hAnsi="Times New Roman"/>
        </w:rPr>
        <w:t>Society</w:t>
      </w:r>
      <w:r w:rsidRPr="00FC3E2A">
        <w:rPr>
          <w:rFonts w:ascii="Times New Roman" w:hAnsi="Times New Roman"/>
        </w:rPr>
        <w:t>.</w:t>
      </w:r>
      <w:r w:rsidRPr="009F709F">
        <w:rPr>
          <w:rFonts w:ascii="Times New Roman" w:hAnsi="Times New Roman"/>
        </w:rPr>
        <w:t xml:space="preserve"> </w:t>
      </w:r>
      <w:hyperlink r:id="rId17" w:history="1">
        <w:r w:rsidRPr="0030550B">
          <w:rPr>
            <w:rFonts w:ascii="Times New Roman" w:hAnsi="Times New Roman"/>
          </w:rPr>
          <w:t xml:space="preserve">American Cancer Society guideline for the early detection of cervical </w:t>
        </w:r>
        <w:proofErr w:type="spellStart"/>
        <w:r w:rsidRPr="0030550B">
          <w:rPr>
            <w:rFonts w:ascii="Times New Roman" w:hAnsi="Times New Roman"/>
          </w:rPr>
          <w:t>neoplasia</w:t>
        </w:r>
        <w:proofErr w:type="spellEnd"/>
        <w:r w:rsidRPr="0030550B">
          <w:rPr>
            <w:rFonts w:ascii="Times New Roman" w:hAnsi="Times New Roman"/>
          </w:rPr>
          <w:t xml:space="preserve"> and cancer.</w:t>
        </w:r>
      </w:hyperlink>
      <w:r w:rsidR="00FC3E2A">
        <w:rPr>
          <w:rFonts w:ascii="Times New Roman" w:hAnsi="Times New Roman"/>
        </w:rPr>
        <w:t xml:space="preserve">  </w:t>
      </w:r>
      <w:r w:rsidRPr="0030550B">
        <w:rPr>
          <w:rFonts w:ascii="Times New Roman" w:hAnsi="Times New Roman"/>
          <w:i/>
        </w:rPr>
        <w:t xml:space="preserve">CA Cancer J </w:t>
      </w:r>
      <w:proofErr w:type="spellStart"/>
      <w:r w:rsidRPr="0030550B">
        <w:rPr>
          <w:rFonts w:ascii="Times New Roman" w:hAnsi="Times New Roman"/>
          <w:i/>
        </w:rPr>
        <w:t>Clin</w:t>
      </w:r>
      <w:proofErr w:type="spellEnd"/>
      <w:r w:rsidRPr="009F709F">
        <w:rPr>
          <w:rFonts w:ascii="Times New Roman" w:hAnsi="Times New Roman"/>
        </w:rPr>
        <w:t>. 2002 Nov-Dec;52(6):342-62</w:t>
      </w:r>
      <w:r w:rsidR="00C70796">
        <w:rPr>
          <w:rFonts w:ascii="Times New Roman" w:hAnsi="Times New Roman"/>
        </w:rPr>
        <w:t>.</w:t>
      </w:r>
    </w:p>
    <w:p w:rsidR="00531531" w:rsidRPr="009F709F" w:rsidRDefault="00531531" w:rsidP="00531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r w:rsidRPr="009F709F">
        <w:rPr>
          <w:rFonts w:ascii="Times New Roman" w:hAnsi="Times New Roman"/>
        </w:rPr>
        <w:t xml:space="preserve"> </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r w:rsidRPr="00531531">
        <w:rPr>
          <w:rFonts w:ascii="Times New Roman" w:hAnsi="Times New Roman"/>
          <w:bCs/>
        </w:rPr>
        <w:t>ACOG</w:t>
      </w:r>
      <w:r w:rsidRPr="00531531">
        <w:rPr>
          <w:rFonts w:ascii="Times New Roman" w:hAnsi="Times New Roman"/>
        </w:rPr>
        <w:t xml:space="preserve"> </w:t>
      </w:r>
      <w:r w:rsidRPr="009F709F">
        <w:rPr>
          <w:rFonts w:ascii="Times New Roman" w:hAnsi="Times New Roman"/>
        </w:rPr>
        <w:t xml:space="preserve">Committee on Practice Bulletins--Gynecology. </w:t>
      </w:r>
      <w:hyperlink r:id="rId18" w:history="1">
        <w:r w:rsidRPr="0030550B">
          <w:rPr>
            <w:rFonts w:ascii="Times New Roman" w:hAnsi="Times New Roman"/>
          </w:rPr>
          <w:t>ACOG Practice Bulletin no. 109: Cervical cytology screening.</w:t>
        </w:r>
      </w:hyperlink>
      <w:r w:rsidRPr="0030550B">
        <w:rPr>
          <w:rFonts w:ascii="Times New Roman" w:hAnsi="Times New Roman"/>
        </w:rPr>
        <w:t xml:space="preserve"> </w:t>
      </w:r>
      <w:proofErr w:type="spellStart"/>
      <w:r w:rsidRPr="0030550B">
        <w:rPr>
          <w:rFonts w:ascii="Times New Roman" w:hAnsi="Times New Roman"/>
          <w:i/>
        </w:rPr>
        <w:t>Obstet</w:t>
      </w:r>
      <w:proofErr w:type="spellEnd"/>
      <w:r w:rsidRPr="0030550B">
        <w:rPr>
          <w:rFonts w:ascii="Times New Roman" w:hAnsi="Times New Roman"/>
          <w:i/>
        </w:rPr>
        <w:t xml:space="preserve"> Gynecol</w:t>
      </w:r>
      <w:r w:rsidRPr="009F709F">
        <w:rPr>
          <w:rFonts w:ascii="Times New Roman" w:hAnsi="Times New Roman"/>
        </w:rPr>
        <w:t xml:space="preserve">. </w:t>
      </w:r>
      <w:r w:rsidRPr="00531531">
        <w:rPr>
          <w:rFonts w:ascii="Times New Roman" w:hAnsi="Times New Roman"/>
          <w:bCs/>
        </w:rPr>
        <w:t>2009</w:t>
      </w:r>
      <w:r w:rsidRPr="00531531">
        <w:rPr>
          <w:rFonts w:ascii="Times New Roman" w:hAnsi="Times New Roman"/>
        </w:rPr>
        <w:t xml:space="preserve"> </w:t>
      </w:r>
      <w:r w:rsidRPr="009F709F">
        <w:rPr>
          <w:rFonts w:ascii="Times New Roman" w:hAnsi="Times New Roman"/>
        </w:rPr>
        <w:t xml:space="preserve">Dec;114(6):1409-20. </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Cuzick</w:t>
      </w:r>
      <w:proofErr w:type="spellEnd"/>
      <w:r w:rsidRPr="009F709F">
        <w:rPr>
          <w:rFonts w:ascii="Times New Roman" w:hAnsi="Times New Roman"/>
        </w:rPr>
        <w:t xml:space="preserve"> J, </w:t>
      </w:r>
      <w:proofErr w:type="spellStart"/>
      <w:r w:rsidRPr="009F709F">
        <w:rPr>
          <w:rFonts w:ascii="Times New Roman" w:hAnsi="Times New Roman"/>
        </w:rPr>
        <w:t>Clavel</w:t>
      </w:r>
      <w:proofErr w:type="spellEnd"/>
      <w:r w:rsidRPr="009F709F">
        <w:rPr>
          <w:rFonts w:ascii="Times New Roman" w:hAnsi="Times New Roman"/>
        </w:rPr>
        <w:t xml:space="preserve"> C, </w:t>
      </w:r>
      <w:proofErr w:type="spellStart"/>
      <w:r w:rsidRPr="009F709F">
        <w:rPr>
          <w:rFonts w:ascii="Times New Roman" w:hAnsi="Times New Roman"/>
        </w:rPr>
        <w:t>Petry</w:t>
      </w:r>
      <w:proofErr w:type="spellEnd"/>
      <w:r w:rsidRPr="009F709F">
        <w:rPr>
          <w:rFonts w:ascii="Times New Roman" w:hAnsi="Times New Roman"/>
        </w:rPr>
        <w:t xml:space="preserve"> KU, Meijer CJ, Hoyer H, </w:t>
      </w:r>
      <w:proofErr w:type="spellStart"/>
      <w:r w:rsidRPr="009F709F">
        <w:rPr>
          <w:rFonts w:ascii="Times New Roman" w:hAnsi="Times New Roman"/>
        </w:rPr>
        <w:t>Ratnam</w:t>
      </w:r>
      <w:proofErr w:type="spellEnd"/>
      <w:r w:rsidRPr="009F709F">
        <w:rPr>
          <w:rFonts w:ascii="Times New Roman" w:hAnsi="Times New Roman"/>
        </w:rPr>
        <w:t xml:space="preserve"> S, et al. Overview of the European and North American studies on HPV testing in primary cervical cancer screening. </w:t>
      </w:r>
      <w:proofErr w:type="spellStart"/>
      <w:r w:rsidRPr="0030550B">
        <w:rPr>
          <w:rFonts w:ascii="Times New Roman" w:hAnsi="Times New Roman"/>
          <w:i/>
        </w:rPr>
        <w:t>Int</w:t>
      </w:r>
      <w:proofErr w:type="spellEnd"/>
      <w:r w:rsidRPr="0030550B">
        <w:rPr>
          <w:rFonts w:ascii="Times New Roman" w:hAnsi="Times New Roman"/>
          <w:i/>
        </w:rPr>
        <w:t xml:space="preserve"> J Cancer</w:t>
      </w:r>
      <w:r w:rsidRPr="009F709F">
        <w:rPr>
          <w:rFonts w:ascii="Times New Roman" w:hAnsi="Times New Roman"/>
        </w:rPr>
        <w:t xml:space="preserve"> 2006;119:1095–101.</w:t>
      </w:r>
    </w:p>
    <w:p w:rsidR="00FC3E2A"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A87B3D">
        <w:rPr>
          <w:rFonts w:ascii="Times New Roman" w:hAnsi="Times New Roman"/>
        </w:rPr>
        <w:t>Arbyn</w:t>
      </w:r>
      <w:proofErr w:type="spellEnd"/>
      <w:r w:rsidRPr="00A87B3D">
        <w:rPr>
          <w:rFonts w:ascii="Times New Roman" w:hAnsi="Times New Roman"/>
        </w:rPr>
        <w:t xml:space="preserve"> M, </w:t>
      </w:r>
      <w:proofErr w:type="spellStart"/>
      <w:r w:rsidRPr="00A87B3D">
        <w:rPr>
          <w:rFonts w:ascii="Times New Roman" w:hAnsi="Times New Roman"/>
        </w:rPr>
        <w:t>Sasieni</w:t>
      </w:r>
      <w:proofErr w:type="spellEnd"/>
      <w:r w:rsidRPr="00A87B3D">
        <w:rPr>
          <w:rFonts w:ascii="Times New Roman" w:hAnsi="Times New Roman"/>
        </w:rPr>
        <w:t xml:space="preserve"> P, Meijer CJ, </w:t>
      </w:r>
      <w:proofErr w:type="spellStart"/>
      <w:r w:rsidRPr="00A87B3D">
        <w:rPr>
          <w:rFonts w:ascii="Times New Roman" w:hAnsi="Times New Roman"/>
        </w:rPr>
        <w:t>Clavel</w:t>
      </w:r>
      <w:proofErr w:type="spellEnd"/>
      <w:r w:rsidRPr="00A87B3D">
        <w:rPr>
          <w:rFonts w:ascii="Times New Roman" w:hAnsi="Times New Roman"/>
        </w:rPr>
        <w:t xml:space="preserve"> C, </w:t>
      </w:r>
      <w:proofErr w:type="spellStart"/>
      <w:r w:rsidRPr="00A87B3D">
        <w:rPr>
          <w:rFonts w:ascii="Times New Roman" w:hAnsi="Times New Roman"/>
        </w:rPr>
        <w:t>Koliopoulos</w:t>
      </w:r>
      <w:proofErr w:type="spellEnd"/>
      <w:r w:rsidRPr="00A87B3D">
        <w:rPr>
          <w:rFonts w:ascii="Times New Roman" w:hAnsi="Times New Roman"/>
        </w:rPr>
        <w:t xml:space="preserve"> G, </w:t>
      </w:r>
      <w:proofErr w:type="spellStart"/>
      <w:r w:rsidRPr="00A87B3D">
        <w:rPr>
          <w:rFonts w:ascii="Times New Roman" w:hAnsi="Times New Roman"/>
        </w:rPr>
        <w:t>Dillner</w:t>
      </w:r>
      <w:proofErr w:type="spellEnd"/>
      <w:r w:rsidRPr="00A87B3D">
        <w:rPr>
          <w:rFonts w:ascii="Times New Roman" w:hAnsi="Times New Roman"/>
        </w:rPr>
        <w:t xml:space="preserve"> J. Chapter 9: Clinical applications of HPV testing: a summary of meta-analyses. </w:t>
      </w:r>
      <w:r w:rsidRPr="0030550B">
        <w:rPr>
          <w:rFonts w:ascii="Times New Roman" w:hAnsi="Times New Roman"/>
          <w:i/>
        </w:rPr>
        <w:t>Vaccine</w:t>
      </w:r>
      <w:r w:rsidRPr="00A87B3D">
        <w:rPr>
          <w:rFonts w:ascii="Times New Roman" w:hAnsi="Times New Roman"/>
        </w:rPr>
        <w:t xml:space="preserve"> 2006;24:S78–89.</w:t>
      </w: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A87B3D">
        <w:rPr>
          <w:rFonts w:ascii="Times New Roman" w:hAnsi="Times New Roman"/>
        </w:rPr>
        <w:t>Mayrand</w:t>
      </w:r>
      <w:proofErr w:type="spellEnd"/>
      <w:r w:rsidRPr="00A87B3D">
        <w:rPr>
          <w:rFonts w:ascii="Times New Roman" w:hAnsi="Times New Roman"/>
        </w:rPr>
        <w:t xml:space="preserve"> MH, Duarte-Franco E, Rodrigues I, Walter SD, Hanley J, </w:t>
      </w:r>
      <w:proofErr w:type="spellStart"/>
      <w:r w:rsidRPr="00A87B3D">
        <w:rPr>
          <w:rFonts w:ascii="Times New Roman" w:hAnsi="Times New Roman"/>
        </w:rPr>
        <w:t>Ferenczy</w:t>
      </w:r>
      <w:proofErr w:type="spellEnd"/>
      <w:r w:rsidRPr="00A87B3D">
        <w:rPr>
          <w:rFonts w:ascii="Times New Roman" w:hAnsi="Times New Roman"/>
        </w:rPr>
        <w:t xml:space="preserve"> A, et al. Human papillomavirus DNA versus </w:t>
      </w:r>
      <w:proofErr w:type="spellStart"/>
      <w:r w:rsidRPr="00A87B3D">
        <w:rPr>
          <w:rFonts w:ascii="Times New Roman" w:hAnsi="Times New Roman"/>
        </w:rPr>
        <w:t>Papanicolaou</w:t>
      </w:r>
      <w:proofErr w:type="spellEnd"/>
      <w:r w:rsidRPr="00A87B3D">
        <w:rPr>
          <w:rFonts w:ascii="Times New Roman" w:hAnsi="Times New Roman"/>
        </w:rPr>
        <w:t xml:space="preserve"> screening tests for cervical cancer. </w:t>
      </w:r>
      <w:r w:rsidRPr="0030550B">
        <w:rPr>
          <w:rFonts w:ascii="Times New Roman" w:hAnsi="Times New Roman"/>
          <w:i/>
        </w:rPr>
        <w:t xml:space="preserve">N </w:t>
      </w:r>
      <w:proofErr w:type="spellStart"/>
      <w:r w:rsidRPr="0030550B">
        <w:rPr>
          <w:rFonts w:ascii="Times New Roman" w:hAnsi="Times New Roman"/>
          <w:i/>
        </w:rPr>
        <w:t>Engl</w:t>
      </w:r>
      <w:proofErr w:type="spellEnd"/>
      <w:r w:rsidRPr="0030550B">
        <w:rPr>
          <w:rFonts w:ascii="Times New Roman" w:hAnsi="Times New Roman"/>
          <w:i/>
        </w:rPr>
        <w:t xml:space="preserve"> J Med</w:t>
      </w:r>
      <w:r w:rsidRPr="00A87B3D">
        <w:rPr>
          <w:rFonts w:ascii="Times New Roman" w:hAnsi="Times New Roman"/>
        </w:rPr>
        <w:t xml:space="preserve"> 2007;357:1579–88.</w:t>
      </w: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A87B3D">
        <w:rPr>
          <w:rFonts w:ascii="Times New Roman" w:hAnsi="Times New Roman"/>
        </w:rPr>
        <w:t>Naucler</w:t>
      </w:r>
      <w:proofErr w:type="spellEnd"/>
      <w:r w:rsidRPr="00A87B3D">
        <w:rPr>
          <w:rFonts w:ascii="Times New Roman" w:hAnsi="Times New Roman"/>
        </w:rPr>
        <w:t xml:space="preserve"> P, </w:t>
      </w:r>
      <w:proofErr w:type="spellStart"/>
      <w:r w:rsidRPr="00A87B3D">
        <w:rPr>
          <w:rFonts w:ascii="Times New Roman" w:hAnsi="Times New Roman"/>
        </w:rPr>
        <w:t>Ryd</w:t>
      </w:r>
      <w:proofErr w:type="spellEnd"/>
      <w:r w:rsidRPr="00A87B3D">
        <w:rPr>
          <w:rFonts w:ascii="Times New Roman" w:hAnsi="Times New Roman"/>
        </w:rPr>
        <w:t xml:space="preserve"> W, </w:t>
      </w:r>
      <w:proofErr w:type="spellStart"/>
      <w:r w:rsidRPr="00A87B3D">
        <w:rPr>
          <w:rFonts w:ascii="Times New Roman" w:hAnsi="Times New Roman"/>
        </w:rPr>
        <w:t>Tornberg</w:t>
      </w:r>
      <w:proofErr w:type="spellEnd"/>
      <w:r w:rsidRPr="00A87B3D">
        <w:rPr>
          <w:rFonts w:ascii="Times New Roman" w:hAnsi="Times New Roman"/>
        </w:rPr>
        <w:t xml:space="preserve"> S, Strand A, </w:t>
      </w:r>
      <w:proofErr w:type="spellStart"/>
      <w:r w:rsidRPr="00A87B3D">
        <w:rPr>
          <w:rFonts w:ascii="Times New Roman" w:hAnsi="Times New Roman"/>
        </w:rPr>
        <w:t>Wadell</w:t>
      </w:r>
      <w:proofErr w:type="spellEnd"/>
      <w:r w:rsidRPr="00A87B3D">
        <w:rPr>
          <w:rFonts w:ascii="Times New Roman" w:hAnsi="Times New Roman"/>
        </w:rPr>
        <w:t xml:space="preserve"> G, </w:t>
      </w:r>
      <w:proofErr w:type="spellStart"/>
      <w:r w:rsidRPr="00A87B3D">
        <w:rPr>
          <w:rFonts w:ascii="Times New Roman" w:hAnsi="Times New Roman"/>
        </w:rPr>
        <w:t>Elfgren</w:t>
      </w:r>
      <w:proofErr w:type="spellEnd"/>
      <w:r w:rsidRPr="00A87B3D">
        <w:rPr>
          <w:rFonts w:ascii="Times New Roman" w:hAnsi="Times New Roman"/>
        </w:rPr>
        <w:t xml:space="preserve"> K, et al. Human papillomavirus and </w:t>
      </w:r>
      <w:proofErr w:type="spellStart"/>
      <w:r w:rsidRPr="00A87B3D">
        <w:rPr>
          <w:rFonts w:ascii="Times New Roman" w:hAnsi="Times New Roman"/>
        </w:rPr>
        <w:t>Papanicolaou</w:t>
      </w:r>
      <w:proofErr w:type="spellEnd"/>
      <w:r w:rsidRPr="00A87B3D">
        <w:rPr>
          <w:rFonts w:ascii="Times New Roman" w:hAnsi="Times New Roman"/>
        </w:rPr>
        <w:t xml:space="preserve"> tests to screen for cervical cancer. </w:t>
      </w:r>
      <w:r w:rsidRPr="0030550B">
        <w:rPr>
          <w:rFonts w:ascii="Times New Roman" w:hAnsi="Times New Roman"/>
          <w:i/>
        </w:rPr>
        <w:t xml:space="preserve">N </w:t>
      </w:r>
      <w:proofErr w:type="spellStart"/>
      <w:r w:rsidRPr="0030550B">
        <w:rPr>
          <w:rFonts w:ascii="Times New Roman" w:hAnsi="Times New Roman"/>
          <w:i/>
        </w:rPr>
        <w:t>Engl</w:t>
      </w:r>
      <w:proofErr w:type="spellEnd"/>
      <w:r w:rsidRPr="0030550B">
        <w:rPr>
          <w:rFonts w:ascii="Times New Roman" w:hAnsi="Times New Roman"/>
          <w:i/>
        </w:rPr>
        <w:t xml:space="preserve"> J Med</w:t>
      </w:r>
      <w:r w:rsidRPr="00A87B3D">
        <w:rPr>
          <w:rFonts w:ascii="Times New Roman" w:hAnsi="Times New Roman"/>
        </w:rPr>
        <w:t xml:space="preserve"> 2007;357:1589–97.</w:t>
      </w: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A87B3D">
        <w:rPr>
          <w:rFonts w:ascii="Times New Roman" w:hAnsi="Times New Roman"/>
        </w:rPr>
        <w:t>Bulkmans</w:t>
      </w:r>
      <w:proofErr w:type="spellEnd"/>
      <w:r w:rsidRPr="00A87B3D">
        <w:rPr>
          <w:rFonts w:ascii="Times New Roman" w:hAnsi="Times New Roman"/>
        </w:rPr>
        <w:t xml:space="preserve"> N, </w:t>
      </w:r>
      <w:proofErr w:type="spellStart"/>
      <w:r w:rsidRPr="00A87B3D">
        <w:rPr>
          <w:rFonts w:ascii="Times New Roman" w:hAnsi="Times New Roman"/>
        </w:rPr>
        <w:t>Berkhof</w:t>
      </w:r>
      <w:proofErr w:type="spellEnd"/>
      <w:r w:rsidRPr="00A87B3D">
        <w:rPr>
          <w:rFonts w:ascii="Times New Roman" w:hAnsi="Times New Roman"/>
        </w:rPr>
        <w:t xml:space="preserve"> J, </w:t>
      </w:r>
      <w:proofErr w:type="spellStart"/>
      <w:r w:rsidRPr="00A87B3D">
        <w:rPr>
          <w:rFonts w:ascii="Times New Roman" w:hAnsi="Times New Roman"/>
        </w:rPr>
        <w:t>Rozendaal</w:t>
      </w:r>
      <w:proofErr w:type="spellEnd"/>
      <w:r w:rsidRPr="00A87B3D">
        <w:rPr>
          <w:rFonts w:ascii="Times New Roman" w:hAnsi="Times New Roman"/>
        </w:rPr>
        <w:t xml:space="preserve"> L, van </w:t>
      </w:r>
      <w:proofErr w:type="spellStart"/>
      <w:r w:rsidRPr="00A87B3D">
        <w:rPr>
          <w:rFonts w:ascii="Times New Roman" w:hAnsi="Times New Roman"/>
        </w:rPr>
        <w:t>Kemenade</w:t>
      </w:r>
      <w:proofErr w:type="spellEnd"/>
      <w:r w:rsidRPr="00A87B3D">
        <w:rPr>
          <w:rFonts w:ascii="Times New Roman" w:hAnsi="Times New Roman"/>
        </w:rPr>
        <w:t xml:space="preserve"> F, </w:t>
      </w:r>
      <w:proofErr w:type="spellStart"/>
      <w:r w:rsidRPr="00A87B3D">
        <w:rPr>
          <w:rFonts w:ascii="Times New Roman" w:hAnsi="Times New Roman"/>
        </w:rPr>
        <w:t>Boeke</w:t>
      </w:r>
      <w:proofErr w:type="spellEnd"/>
      <w:r w:rsidRPr="00A87B3D">
        <w:rPr>
          <w:rFonts w:ascii="Times New Roman" w:hAnsi="Times New Roman"/>
        </w:rPr>
        <w:t xml:space="preserve"> A, Bulk S, et al. Human papillomavirus DNA testing for the detection of cervical intraepithelial </w:t>
      </w:r>
      <w:proofErr w:type="spellStart"/>
      <w:r w:rsidRPr="00A87B3D">
        <w:rPr>
          <w:rFonts w:ascii="Times New Roman" w:hAnsi="Times New Roman"/>
        </w:rPr>
        <w:t>neoplasia</w:t>
      </w:r>
      <w:proofErr w:type="spellEnd"/>
      <w:r w:rsidRPr="00A87B3D">
        <w:rPr>
          <w:rFonts w:ascii="Times New Roman" w:hAnsi="Times New Roman"/>
        </w:rPr>
        <w:t xml:space="preserve"> grade 3 and cancer: 5-year follow-up of a </w:t>
      </w:r>
      <w:proofErr w:type="spellStart"/>
      <w:r w:rsidRPr="00A87B3D">
        <w:rPr>
          <w:rFonts w:ascii="Times New Roman" w:hAnsi="Times New Roman"/>
        </w:rPr>
        <w:t>randomised</w:t>
      </w:r>
      <w:proofErr w:type="spellEnd"/>
      <w:r w:rsidRPr="00A87B3D">
        <w:rPr>
          <w:rFonts w:ascii="Times New Roman" w:hAnsi="Times New Roman"/>
        </w:rPr>
        <w:t xml:space="preserve"> controlled implementation trial. </w:t>
      </w:r>
      <w:r w:rsidRPr="0030550B">
        <w:rPr>
          <w:rFonts w:ascii="Times New Roman" w:hAnsi="Times New Roman"/>
          <w:i/>
        </w:rPr>
        <w:t>Lancet</w:t>
      </w:r>
      <w:r w:rsidRPr="00A87B3D">
        <w:rPr>
          <w:rFonts w:ascii="Times New Roman" w:hAnsi="Times New Roman"/>
        </w:rPr>
        <w:t xml:space="preserve"> 2007;370:1764–72.</w:t>
      </w:r>
    </w:p>
    <w:p w:rsidR="00FC3E2A" w:rsidRPr="00A87B3D"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C1192B" w:rsidRDefault="00FC3E2A" w:rsidP="00FC3E2A">
      <w:pPr>
        <w:tabs>
          <w:tab w:val="right" w:pos="540"/>
          <w:tab w:val="left" w:pos="720"/>
        </w:tabs>
        <w:spacing w:after="240"/>
        <w:ind w:left="720" w:hanging="720"/>
        <w:rPr>
          <w:rFonts w:ascii="Times New Roman" w:hAnsi="Times New Roman"/>
        </w:rPr>
      </w:pPr>
      <w:proofErr w:type="spellStart"/>
      <w:r w:rsidRPr="00C1192B">
        <w:rPr>
          <w:rFonts w:ascii="Times New Roman" w:hAnsi="Times New Roman"/>
        </w:rPr>
        <w:t>Mandelblatt</w:t>
      </w:r>
      <w:proofErr w:type="spellEnd"/>
      <w:r w:rsidRPr="00C1192B">
        <w:rPr>
          <w:rFonts w:ascii="Times New Roman" w:hAnsi="Times New Roman"/>
        </w:rPr>
        <w:t xml:space="preserve"> JS, Lawrence WF, Womack SM et al. Benefits and costs of using HPV testing to screen for cervical cancer. </w:t>
      </w:r>
      <w:r w:rsidRPr="00C1192B">
        <w:rPr>
          <w:rFonts w:ascii="Times New Roman" w:hAnsi="Times New Roman"/>
          <w:i/>
        </w:rPr>
        <w:t>JAMA</w:t>
      </w:r>
      <w:r w:rsidRPr="00C1192B">
        <w:rPr>
          <w:rFonts w:ascii="Times New Roman" w:hAnsi="Times New Roman"/>
        </w:rPr>
        <w:t xml:space="preserve"> 2002 May 8;287(18):2372-81.</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Goldhaber-Fiebert</w:t>
      </w:r>
      <w:proofErr w:type="spellEnd"/>
      <w:r w:rsidRPr="009F709F">
        <w:rPr>
          <w:rFonts w:ascii="Times New Roman" w:hAnsi="Times New Roman"/>
        </w:rPr>
        <w:t xml:space="preserve"> JD, Stout NK, Salomon JA, Kuntz KM, Goldie SJ. </w:t>
      </w:r>
      <w:hyperlink r:id="rId19" w:history="1">
        <w:r w:rsidRPr="0030550B">
          <w:rPr>
            <w:rFonts w:ascii="Times New Roman" w:hAnsi="Times New Roman"/>
          </w:rPr>
          <w:t>Cost-effectiveness of cervical cancer screening with human papillomavirus DNA testing and HPV-16,18 vaccination.</w:t>
        </w:r>
      </w:hyperlink>
      <w:r w:rsidR="0030550B">
        <w:rPr>
          <w:rFonts w:ascii="Times New Roman" w:hAnsi="Times New Roman"/>
        </w:rPr>
        <w:t xml:space="preserve"> </w:t>
      </w:r>
      <w:r w:rsidRPr="0030550B">
        <w:rPr>
          <w:rFonts w:ascii="Times New Roman" w:hAnsi="Times New Roman"/>
          <w:i/>
        </w:rPr>
        <w:t xml:space="preserve">J </w:t>
      </w:r>
      <w:proofErr w:type="spellStart"/>
      <w:r w:rsidRPr="0030550B">
        <w:rPr>
          <w:rFonts w:ascii="Times New Roman" w:hAnsi="Times New Roman"/>
          <w:i/>
        </w:rPr>
        <w:t>Natl</w:t>
      </w:r>
      <w:proofErr w:type="spellEnd"/>
      <w:r w:rsidRPr="0030550B">
        <w:rPr>
          <w:rFonts w:ascii="Times New Roman" w:hAnsi="Times New Roman"/>
          <w:i/>
        </w:rPr>
        <w:t xml:space="preserve"> Cancer Inst</w:t>
      </w:r>
      <w:r w:rsidRPr="009F709F">
        <w:rPr>
          <w:rFonts w:ascii="Times New Roman" w:hAnsi="Times New Roman"/>
        </w:rPr>
        <w:t xml:space="preserve">. 2008 Mar 5;100(5):308-20. </w:t>
      </w:r>
      <w:proofErr w:type="spellStart"/>
      <w:r w:rsidRPr="009F709F">
        <w:rPr>
          <w:rFonts w:ascii="Times New Roman" w:hAnsi="Times New Roman"/>
        </w:rPr>
        <w:t>Epub</w:t>
      </w:r>
      <w:proofErr w:type="spellEnd"/>
      <w:r w:rsidRPr="009F709F">
        <w:rPr>
          <w:rFonts w:ascii="Times New Roman" w:hAnsi="Times New Roman"/>
        </w:rPr>
        <w:t xml:space="preserve"> 2008 Feb 26.</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Bistoletti</w:t>
      </w:r>
      <w:proofErr w:type="spellEnd"/>
      <w:r w:rsidRPr="009F709F">
        <w:rPr>
          <w:rFonts w:ascii="Times New Roman" w:hAnsi="Times New Roman"/>
        </w:rPr>
        <w:t xml:space="preserve"> P, </w:t>
      </w:r>
      <w:proofErr w:type="spellStart"/>
      <w:r w:rsidRPr="009F709F">
        <w:rPr>
          <w:rFonts w:ascii="Times New Roman" w:hAnsi="Times New Roman"/>
        </w:rPr>
        <w:t>Sennfält</w:t>
      </w:r>
      <w:proofErr w:type="spellEnd"/>
      <w:r w:rsidRPr="009F709F">
        <w:rPr>
          <w:rFonts w:ascii="Times New Roman" w:hAnsi="Times New Roman"/>
        </w:rPr>
        <w:t xml:space="preserve"> K, </w:t>
      </w:r>
      <w:proofErr w:type="spellStart"/>
      <w:r w:rsidRPr="009F709F">
        <w:rPr>
          <w:rFonts w:ascii="Times New Roman" w:hAnsi="Times New Roman"/>
        </w:rPr>
        <w:t>Dillner</w:t>
      </w:r>
      <w:proofErr w:type="spellEnd"/>
      <w:r w:rsidRPr="009F709F">
        <w:rPr>
          <w:rFonts w:ascii="Times New Roman" w:hAnsi="Times New Roman"/>
        </w:rPr>
        <w:t xml:space="preserve"> J. </w:t>
      </w:r>
      <w:hyperlink r:id="rId20" w:history="1">
        <w:r w:rsidRPr="0030550B">
          <w:rPr>
            <w:rFonts w:ascii="Times New Roman" w:hAnsi="Times New Roman"/>
          </w:rPr>
          <w:t>Cost-effectiveness of primary cytology and HPV DNA cervical screening.</w:t>
        </w:r>
      </w:hyperlink>
      <w:r w:rsidR="0030550B" w:rsidRPr="0030550B">
        <w:rPr>
          <w:rFonts w:ascii="Times New Roman" w:hAnsi="Times New Roman"/>
        </w:rPr>
        <w:t xml:space="preserve"> </w:t>
      </w:r>
      <w:proofErr w:type="spellStart"/>
      <w:r w:rsidRPr="0030550B">
        <w:rPr>
          <w:rFonts w:ascii="Times New Roman" w:hAnsi="Times New Roman"/>
          <w:i/>
        </w:rPr>
        <w:t>Int</w:t>
      </w:r>
      <w:proofErr w:type="spellEnd"/>
      <w:r w:rsidRPr="0030550B">
        <w:rPr>
          <w:rFonts w:ascii="Times New Roman" w:hAnsi="Times New Roman"/>
          <w:i/>
        </w:rPr>
        <w:t xml:space="preserve"> J Cancer</w:t>
      </w:r>
      <w:r w:rsidRPr="009F709F">
        <w:rPr>
          <w:rFonts w:ascii="Times New Roman" w:hAnsi="Times New Roman"/>
        </w:rPr>
        <w:t>. 2008 Jan 15;122(2):372-6</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Benard</w:t>
      </w:r>
      <w:proofErr w:type="spellEnd"/>
      <w:r w:rsidRPr="009F709F">
        <w:rPr>
          <w:rFonts w:ascii="Times New Roman" w:hAnsi="Times New Roman"/>
        </w:rPr>
        <w:t xml:space="preserve"> VB, </w:t>
      </w:r>
      <w:proofErr w:type="spellStart"/>
      <w:r w:rsidRPr="009F709F">
        <w:rPr>
          <w:rFonts w:ascii="Times New Roman" w:hAnsi="Times New Roman"/>
        </w:rPr>
        <w:t>Saraiya</w:t>
      </w:r>
      <w:proofErr w:type="spellEnd"/>
      <w:r w:rsidRPr="009F709F">
        <w:rPr>
          <w:rFonts w:ascii="Times New Roman" w:hAnsi="Times New Roman"/>
        </w:rPr>
        <w:t xml:space="preserve"> MS, </w:t>
      </w:r>
      <w:proofErr w:type="spellStart"/>
      <w:r w:rsidRPr="009F709F">
        <w:rPr>
          <w:rFonts w:ascii="Times New Roman" w:hAnsi="Times New Roman"/>
        </w:rPr>
        <w:t>Soman</w:t>
      </w:r>
      <w:proofErr w:type="spellEnd"/>
      <w:r w:rsidRPr="009F709F">
        <w:rPr>
          <w:rFonts w:ascii="Times New Roman" w:hAnsi="Times New Roman"/>
        </w:rPr>
        <w:t xml:space="preserve"> A, Roland KB, </w:t>
      </w:r>
      <w:proofErr w:type="spellStart"/>
      <w:r w:rsidRPr="009F709F">
        <w:rPr>
          <w:rFonts w:ascii="Times New Roman" w:hAnsi="Times New Roman"/>
        </w:rPr>
        <w:t>Yabroff</w:t>
      </w:r>
      <w:proofErr w:type="spellEnd"/>
      <w:r w:rsidRPr="009F709F">
        <w:rPr>
          <w:rFonts w:ascii="Times New Roman" w:hAnsi="Times New Roman"/>
        </w:rPr>
        <w:t xml:space="preserve"> KR, Miller J. </w:t>
      </w:r>
      <w:hyperlink r:id="rId21" w:history="1">
        <w:r w:rsidRPr="0030550B">
          <w:rPr>
            <w:rFonts w:ascii="Times New Roman" w:hAnsi="Times New Roman"/>
          </w:rPr>
          <w:t>Cancer screening practices among physicians in the national breast and cervical cancer early detection program.</w:t>
        </w:r>
      </w:hyperlink>
      <w:r w:rsidRPr="0030550B">
        <w:rPr>
          <w:rFonts w:ascii="Times New Roman" w:hAnsi="Times New Roman"/>
        </w:rPr>
        <w:t xml:space="preserve"> </w:t>
      </w:r>
      <w:r w:rsidRPr="0030550B">
        <w:rPr>
          <w:rFonts w:ascii="Times New Roman" w:hAnsi="Times New Roman"/>
          <w:i/>
        </w:rPr>
        <w:t xml:space="preserve">J </w:t>
      </w:r>
      <w:proofErr w:type="spellStart"/>
      <w:r w:rsidRPr="0030550B">
        <w:rPr>
          <w:rFonts w:ascii="Times New Roman" w:hAnsi="Times New Roman"/>
          <w:i/>
        </w:rPr>
        <w:t>Womens</w:t>
      </w:r>
      <w:proofErr w:type="spellEnd"/>
      <w:r w:rsidRPr="0030550B">
        <w:rPr>
          <w:rFonts w:ascii="Times New Roman" w:hAnsi="Times New Roman"/>
          <w:i/>
        </w:rPr>
        <w:t xml:space="preserve"> Health</w:t>
      </w:r>
      <w:r w:rsidRPr="009F709F">
        <w:rPr>
          <w:rFonts w:ascii="Times New Roman" w:hAnsi="Times New Roman"/>
        </w:rPr>
        <w:t xml:space="preserve"> (</w:t>
      </w:r>
      <w:proofErr w:type="spellStart"/>
      <w:r w:rsidRPr="009F709F">
        <w:rPr>
          <w:rFonts w:ascii="Times New Roman" w:hAnsi="Times New Roman"/>
        </w:rPr>
        <w:t>Larchmt</w:t>
      </w:r>
      <w:proofErr w:type="spellEnd"/>
      <w:r w:rsidRPr="009F709F">
        <w:rPr>
          <w:rFonts w:ascii="Times New Roman" w:hAnsi="Times New Roman"/>
        </w:rPr>
        <w:t xml:space="preserve">). 2011 Oct;20(10):1479-84. </w:t>
      </w:r>
      <w:proofErr w:type="spellStart"/>
      <w:r w:rsidRPr="009F709F">
        <w:rPr>
          <w:rFonts w:ascii="Times New Roman" w:hAnsi="Times New Roman"/>
        </w:rPr>
        <w:t>Epub</w:t>
      </w:r>
      <w:proofErr w:type="spellEnd"/>
      <w:r w:rsidRPr="009F709F">
        <w:rPr>
          <w:rFonts w:ascii="Times New Roman" w:hAnsi="Times New Roman"/>
        </w:rPr>
        <w:t xml:space="preserve"> 2011 Jul 20</w:t>
      </w:r>
    </w:p>
    <w:p w:rsidR="00531531" w:rsidRDefault="00531531" w:rsidP="00557E1E">
      <w:pPr>
        <w:tabs>
          <w:tab w:val="right" w:pos="540"/>
          <w:tab w:val="left" w:pos="720"/>
        </w:tabs>
        <w:spacing w:after="240"/>
        <w:rPr>
          <w:rFonts w:ascii="Times New Roman" w:hAnsi="Times New Roman"/>
        </w:rPr>
      </w:pPr>
    </w:p>
    <w:p w:rsidR="00FC3E2A"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Yabroff</w:t>
      </w:r>
      <w:proofErr w:type="spellEnd"/>
      <w:r w:rsidRPr="009F709F">
        <w:rPr>
          <w:rFonts w:ascii="Times New Roman" w:hAnsi="Times New Roman"/>
        </w:rPr>
        <w:t xml:space="preserve"> KR, </w:t>
      </w:r>
      <w:proofErr w:type="spellStart"/>
      <w:r w:rsidRPr="00FC3E2A">
        <w:rPr>
          <w:rFonts w:ascii="Times New Roman" w:hAnsi="Times New Roman"/>
          <w:bCs/>
        </w:rPr>
        <w:t>Saraiya</w:t>
      </w:r>
      <w:proofErr w:type="spellEnd"/>
      <w:r w:rsidRPr="00FC3E2A">
        <w:rPr>
          <w:rFonts w:ascii="Times New Roman" w:hAnsi="Times New Roman"/>
          <w:bCs/>
        </w:rPr>
        <w:t xml:space="preserve"> M</w:t>
      </w:r>
      <w:r w:rsidRPr="00FC3E2A">
        <w:rPr>
          <w:rFonts w:ascii="Times New Roman" w:hAnsi="Times New Roman"/>
        </w:rPr>
        <w:t>,</w:t>
      </w:r>
      <w:r w:rsidRPr="009F709F">
        <w:rPr>
          <w:rFonts w:ascii="Times New Roman" w:hAnsi="Times New Roman"/>
        </w:rPr>
        <w:t xml:space="preserve"> </w:t>
      </w:r>
      <w:proofErr w:type="spellStart"/>
      <w:r w:rsidRPr="009F709F">
        <w:rPr>
          <w:rFonts w:ascii="Times New Roman" w:hAnsi="Times New Roman"/>
        </w:rPr>
        <w:t>Meissner</w:t>
      </w:r>
      <w:proofErr w:type="spellEnd"/>
      <w:r w:rsidRPr="009F709F">
        <w:rPr>
          <w:rFonts w:ascii="Times New Roman" w:hAnsi="Times New Roman"/>
        </w:rPr>
        <w:t xml:space="preserve"> HI, </w:t>
      </w:r>
      <w:proofErr w:type="spellStart"/>
      <w:r w:rsidRPr="009F709F">
        <w:rPr>
          <w:rFonts w:ascii="Times New Roman" w:hAnsi="Times New Roman"/>
        </w:rPr>
        <w:t>Haggstrom</w:t>
      </w:r>
      <w:proofErr w:type="spellEnd"/>
      <w:r w:rsidRPr="009F709F">
        <w:rPr>
          <w:rFonts w:ascii="Times New Roman" w:hAnsi="Times New Roman"/>
        </w:rPr>
        <w:t xml:space="preserve"> DA, </w:t>
      </w:r>
      <w:proofErr w:type="spellStart"/>
      <w:r w:rsidRPr="009F709F">
        <w:rPr>
          <w:rFonts w:ascii="Times New Roman" w:hAnsi="Times New Roman"/>
        </w:rPr>
        <w:t>Wideroff</w:t>
      </w:r>
      <w:proofErr w:type="spellEnd"/>
      <w:r w:rsidRPr="009F709F">
        <w:rPr>
          <w:rFonts w:ascii="Times New Roman" w:hAnsi="Times New Roman"/>
        </w:rPr>
        <w:t xml:space="preserve"> L, </w:t>
      </w:r>
      <w:r w:rsidRPr="0030550B">
        <w:rPr>
          <w:rFonts w:ascii="Times New Roman" w:hAnsi="Times New Roman"/>
          <w:bCs/>
        </w:rPr>
        <w:t xml:space="preserve">Yuan G, Berkowitz Z, Davis WW, </w:t>
      </w:r>
      <w:proofErr w:type="spellStart"/>
      <w:r w:rsidRPr="0030550B">
        <w:rPr>
          <w:rFonts w:ascii="Times New Roman" w:hAnsi="Times New Roman"/>
          <w:bCs/>
        </w:rPr>
        <w:t>Benard</w:t>
      </w:r>
      <w:proofErr w:type="spellEnd"/>
      <w:r w:rsidRPr="0030550B">
        <w:rPr>
          <w:rFonts w:ascii="Times New Roman" w:hAnsi="Times New Roman"/>
          <w:bCs/>
        </w:rPr>
        <w:t xml:space="preserve"> VB, Coughlin SS. </w:t>
      </w:r>
      <w:hyperlink r:id="rId22" w:history="1">
        <w:r w:rsidRPr="0030550B">
          <w:rPr>
            <w:rFonts w:ascii="Times New Roman" w:hAnsi="Times New Roman"/>
            <w:bCs/>
          </w:rPr>
          <w:t xml:space="preserve">Specialty differences in primary care physician reports of </w:t>
        </w:r>
        <w:proofErr w:type="spellStart"/>
        <w:r w:rsidRPr="0030550B">
          <w:rPr>
            <w:rFonts w:ascii="Times New Roman" w:hAnsi="Times New Roman"/>
            <w:bCs/>
          </w:rPr>
          <w:lastRenderedPageBreak/>
          <w:t>papanicolaou</w:t>
        </w:r>
        <w:proofErr w:type="spellEnd"/>
        <w:r w:rsidRPr="0030550B">
          <w:rPr>
            <w:rFonts w:ascii="Times New Roman" w:hAnsi="Times New Roman"/>
            <w:bCs/>
          </w:rPr>
          <w:t xml:space="preserve"> test screening practices: a national survey, 2006 to 2007.</w:t>
        </w:r>
      </w:hyperlink>
      <w:r w:rsidRPr="009F709F">
        <w:rPr>
          <w:rFonts w:ascii="Times New Roman" w:hAnsi="Times New Roman"/>
        </w:rPr>
        <w:t xml:space="preserve"> </w:t>
      </w:r>
      <w:r w:rsidRPr="0030550B">
        <w:rPr>
          <w:rFonts w:ascii="Times New Roman" w:hAnsi="Times New Roman"/>
          <w:i/>
        </w:rPr>
        <w:t>Ann Intern Med</w:t>
      </w:r>
      <w:r w:rsidRPr="009F709F">
        <w:rPr>
          <w:rFonts w:ascii="Times New Roman" w:hAnsi="Times New Roman"/>
        </w:rPr>
        <w:t>. 2009 Nov 3;151(9):602-11.</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FC3E2A">
        <w:rPr>
          <w:rFonts w:ascii="Times New Roman" w:hAnsi="Times New Roman"/>
          <w:bCs/>
        </w:rPr>
        <w:t>Saraiya</w:t>
      </w:r>
      <w:proofErr w:type="spellEnd"/>
      <w:r w:rsidRPr="00FC3E2A">
        <w:rPr>
          <w:rFonts w:ascii="Times New Roman" w:hAnsi="Times New Roman"/>
          <w:bCs/>
        </w:rPr>
        <w:t xml:space="preserve"> M</w:t>
      </w:r>
      <w:r w:rsidRPr="009F709F">
        <w:rPr>
          <w:rFonts w:ascii="Times New Roman" w:hAnsi="Times New Roman"/>
        </w:rPr>
        <w:t xml:space="preserve">, Berkowitz Z, </w:t>
      </w:r>
      <w:proofErr w:type="spellStart"/>
      <w:r w:rsidRPr="009F709F">
        <w:rPr>
          <w:rFonts w:ascii="Times New Roman" w:hAnsi="Times New Roman"/>
        </w:rPr>
        <w:t>Yabroff</w:t>
      </w:r>
      <w:proofErr w:type="spellEnd"/>
      <w:r w:rsidRPr="009F709F">
        <w:rPr>
          <w:rFonts w:ascii="Times New Roman" w:hAnsi="Times New Roman"/>
        </w:rPr>
        <w:t xml:space="preserve"> KR, </w:t>
      </w:r>
      <w:proofErr w:type="spellStart"/>
      <w:r w:rsidRPr="009F709F">
        <w:rPr>
          <w:rFonts w:ascii="Times New Roman" w:hAnsi="Times New Roman"/>
        </w:rPr>
        <w:t>Wideroff</w:t>
      </w:r>
      <w:proofErr w:type="spellEnd"/>
      <w:r w:rsidRPr="009F709F">
        <w:rPr>
          <w:rFonts w:ascii="Times New Roman" w:hAnsi="Times New Roman"/>
        </w:rPr>
        <w:t xml:space="preserve"> L, </w:t>
      </w:r>
      <w:proofErr w:type="spellStart"/>
      <w:r w:rsidRPr="009F709F">
        <w:rPr>
          <w:rFonts w:ascii="Times New Roman" w:hAnsi="Times New Roman"/>
        </w:rPr>
        <w:t>Kobrin</w:t>
      </w:r>
      <w:proofErr w:type="spellEnd"/>
      <w:r w:rsidRPr="009F709F">
        <w:rPr>
          <w:rFonts w:ascii="Times New Roman" w:hAnsi="Times New Roman"/>
        </w:rPr>
        <w:t xml:space="preserve"> S, </w:t>
      </w:r>
      <w:proofErr w:type="spellStart"/>
      <w:r w:rsidRPr="009F709F">
        <w:rPr>
          <w:rFonts w:ascii="Times New Roman" w:hAnsi="Times New Roman"/>
        </w:rPr>
        <w:t>Benard</w:t>
      </w:r>
      <w:proofErr w:type="spellEnd"/>
      <w:r w:rsidRPr="009F709F">
        <w:rPr>
          <w:rFonts w:ascii="Times New Roman" w:hAnsi="Times New Roman"/>
        </w:rPr>
        <w:t xml:space="preserve"> V. </w:t>
      </w:r>
      <w:hyperlink r:id="rId23" w:history="1">
        <w:r w:rsidRPr="0030550B">
          <w:rPr>
            <w:rFonts w:ascii="Times New Roman" w:hAnsi="Times New Roman"/>
          </w:rPr>
          <w:t xml:space="preserve">Cervical cancer screening with both human papillomavirus and </w:t>
        </w:r>
        <w:proofErr w:type="spellStart"/>
        <w:r w:rsidRPr="0030550B">
          <w:rPr>
            <w:rFonts w:ascii="Times New Roman" w:hAnsi="Times New Roman"/>
          </w:rPr>
          <w:t>Papanicolaou</w:t>
        </w:r>
        <w:proofErr w:type="spellEnd"/>
        <w:r w:rsidRPr="0030550B">
          <w:rPr>
            <w:rFonts w:ascii="Times New Roman" w:hAnsi="Times New Roman"/>
          </w:rPr>
          <w:t xml:space="preserve"> testing </w:t>
        </w:r>
        <w:proofErr w:type="spellStart"/>
        <w:r w:rsidRPr="0030550B">
          <w:rPr>
            <w:rFonts w:ascii="Times New Roman" w:hAnsi="Times New Roman"/>
          </w:rPr>
          <w:t>vs</w:t>
        </w:r>
        <w:proofErr w:type="spellEnd"/>
        <w:r w:rsidRPr="0030550B">
          <w:rPr>
            <w:rFonts w:ascii="Times New Roman" w:hAnsi="Times New Roman"/>
          </w:rPr>
          <w:t xml:space="preserve"> </w:t>
        </w:r>
        <w:proofErr w:type="spellStart"/>
        <w:r w:rsidRPr="0030550B">
          <w:rPr>
            <w:rFonts w:ascii="Times New Roman" w:hAnsi="Times New Roman"/>
          </w:rPr>
          <w:t>Papanicolaou</w:t>
        </w:r>
        <w:proofErr w:type="spellEnd"/>
        <w:r w:rsidRPr="0030550B">
          <w:rPr>
            <w:rFonts w:ascii="Times New Roman" w:hAnsi="Times New Roman"/>
          </w:rPr>
          <w:t xml:space="preserve"> testing alone: what screening intervals are physicians recommending?</w:t>
        </w:r>
      </w:hyperlink>
      <w:r w:rsidR="0030550B">
        <w:rPr>
          <w:rFonts w:ascii="Times New Roman" w:hAnsi="Times New Roman"/>
        </w:rPr>
        <w:t xml:space="preserve"> </w:t>
      </w:r>
      <w:r w:rsidRPr="0030550B">
        <w:rPr>
          <w:rFonts w:ascii="Times New Roman" w:hAnsi="Times New Roman"/>
          <w:i/>
        </w:rPr>
        <w:t>Arch Intern Med</w:t>
      </w:r>
      <w:r w:rsidRPr="009F709F">
        <w:rPr>
          <w:rFonts w:ascii="Times New Roman" w:hAnsi="Times New Roman"/>
        </w:rPr>
        <w:t>. 2010 Jun 14;170(11):977-85.</w:t>
      </w:r>
    </w:p>
    <w:p w:rsidR="00FC3E2A"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9F709F" w:rsidRDefault="00FC3E2A" w:rsidP="00FC3E2A">
      <w:pPr>
        <w:tabs>
          <w:tab w:val="right" w:pos="540"/>
          <w:tab w:val="left" w:pos="720"/>
        </w:tabs>
        <w:spacing w:after="240"/>
        <w:ind w:left="720" w:hanging="720"/>
        <w:rPr>
          <w:rFonts w:ascii="Times New Roman" w:hAnsi="Times New Roman"/>
        </w:rPr>
      </w:pPr>
      <w:r w:rsidRPr="009F709F">
        <w:rPr>
          <w:rFonts w:ascii="Times New Roman" w:hAnsi="Times New Roman"/>
        </w:rPr>
        <w:t xml:space="preserve">Roland KB, </w:t>
      </w:r>
      <w:proofErr w:type="spellStart"/>
      <w:r w:rsidRPr="009F709F">
        <w:rPr>
          <w:rFonts w:ascii="Times New Roman" w:hAnsi="Times New Roman"/>
        </w:rPr>
        <w:t>Soman</w:t>
      </w:r>
      <w:proofErr w:type="spellEnd"/>
      <w:r w:rsidRPr="009F709F">
        <w:rPr>
          <w:rFonts w:ascii="Times New Roman" w:hAnsi="Times New Roman"/>
        </w:rPr>
        <w:t xml:space="preserve"> A, </w:t>
      </w:r>
      <w:proofErr w:type="spellStart"/>
      <w:r w:rsidRPr="009F709F">
        <w:rPr>
          <w:rFonts w:ascii="Times New Roman" w:hAnsi="Times New Roman"/>
        </w:rPr>
        <w:t>Benard</w:t>
      </w:r>
      <w:proofErr w:type="spellEnd"/>
      <w:r w:rsidRPr="009F709F">
        <w:rPr>
          <w:rFonts w:ascii="Times New Roman" w:hAnsi="Times New Roman"/>
        </w:rPr>
        <w:t xml:space="preserve"> VB, </w:t>
      </w:r>
      <w:proofErr w:type="spellStart"/>
      <w:r w:rsidRPr="00FC3E2A">
        <w:rPr>
          <w:rFonts w:ascii="Times New Roman" w:hAnsi="Times New Roman"/>
          <w:bCs/>
        </w:rPr>
        <w:t>Saraiya</w:t>
      </w:r>
      <w:proofErr w:type="spellEnd"/>
      <w:r w:rsidRPr="00FC3E2A">
        <w:rPr>
          <w:rFonts w:ascii="Times New Roman" w:hAnsi="Times New Roman"/>
          <w:bCs/>
        </w:rPr>
        <w:t xml:space="preserve"> M</w:t>
      </w:r>
      <w:r w:rsidRPr="00FC3E2A">
        <w:rPr>
          <w:rFonts w:ascii="Times New Roman" w:hAnsi="Times New Roman"/>
        </w:rPr>
        <w:t>.</w:t>
      </w:r>
      <w:r w:rsidRPr="009F709F">
        <w:rPr>
          <w:rFonts w:ascii="Times New Roman" w:hAnsi="Times New Roman"/>
        </w:rPr>
        <w:t xml:space="preserve"> </w:t>
      </w:r>
      <w:hyperlink r:id="rId24" w:history="1">
        <w:r w:rsidRPr="0030550B">
          <w:rPr>
            <w:rFonts w:ascii="Times New Roman" w:hAnsi="Times New Roman"/>
          </w:rPr>
          <w:t xml:space="preserve">Human papillomavirus and </w:t>
        </w:r>
        <w:proofErr w:type="spellStart"/>
        <w:r w:rsidRPr="0030550B">
          <w:rPr>
            <w:rFonts w:ascii="Times New Roman" w:hAnsi="Times New Roman"/>
          </w:rPr>
          <w:t>Papanicolaou</w:t>
        </w:r>
        <w:proofErr w:type="spellEnd"/>
        <w:r w:rsidRPr="0030550B">
          <w:rPr>
            <w:rFonts w:ascii="Times New Roman" w:hAnsi="Times New Roman"/>
          </w:rPr>
          <w:t xml:space="preserve"> tests screening interval recommendations in the United States.</w:t>
        </w:r>
      </w:hyperlink>
      <w:r w:rsidRPr="009F709F">
        <w:rPr>
          <w:rFonts w:ascii="Times New Roman" w:hAnsi="Times New Roman"/>
        </w:rPr>
        <w:t xml:space="preserve"> </w:t>
      </w:r>
      <w:r w:rsidRPr="0030550B">
        <w:rPr>
          <w:rFonts w:ascii="Times New Roman" w:hAnsi="Times New Roman"/>
          <w:i/>
        </w:rPr>
        <w:t xml:space="preserve">Am J </w:t>
      </w:r>
      <w:proofErr w:type="spellStart"/>
      <w:r w:rsidRPr="0030550B">
        <w:rPr>
          <w:rFonts w:ascii="Times New Roman" w:hAnsi="Times New Roman"/>
          <w:i/>
        </w:rPr>
        <w:t>Obstet</w:t>
      </w:r>
      <w:proofErr w:type="spellEnd"/>
      <w:r w:rsidRPr="0030550B">
        <w:rPr>
          <w:rFonts w:ascii="Times New Roman" w:hAnsi="Times New Roman"/>
          <w:i/>
        </w:rPr>
        <w:t xml:space="preserve"> Gynecol</w:t>
      </w:r>
      <w:r w:rsidRPr="009F709F">
        <w:rPr>
          <w:rFonts w:ascii="Times New Roman" w:hAnsi="Times New Roman"/>
        </w:rPr>
        <w:t xml:space="preserve">. 2011 Nov;205(5):447.e1-8. </w:t>
      </w:r>
      <w:proofErr w:type="spellStart"/>
      <w:r w:rsidRPr="009F709F">
        <w:rPr>
          <w:rFonts w:ascii="Times New Roman" w:hAnsi="Times New Roman"/>
        </w:rPr>
        <w:t>Epub</w:t>
      </w:r>
      <w:proofErr w:type="spellEnd"/>
      <w:r w:rsidRPr="009F709F">
        <w:rPr>
          <w:rFonts w:ascii="Times New Roman" w:hAnsi="Times New Roman"/>
        </w:rPr>
        <w:t xml:space="preserve"> 2011 Jun 12.</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r w:rsidRPr="009450C9">
        <w:rPr>
          <w:rFonts w:ascii="Times New Roman" w:hAnsi="Times New Roman"/>
          <w:bCs/>
        </w:rPr>
        <w:t>Castle</w:t>
      </w:r>
      <w:r w:rsidRPr="009450C9">
        <w:rPr>
          <w:rFonts w:ascii="Times New Roman" w:hAnsi="Times New Roman"/>
        </w:rPr>
        <w:t xml:space="preserve"> </w:t>
      </w:r>
      <w:r w:rsidRPr="009F709F">
        <w:rPr>
          <w:rFonts w:ascii="Times New Roman" w:hAnsi="Times New Roman"/>
        </w:rPr>
        <w:t xml:space="preserve">PE, </w:t>
      </w:r>
      <w:proofErr w:type="spellStart"/>
      <w:r w:rsidRPr="009F709F">
        <w:rPr>
          <w:rFonts w:ascii="Times New Roman" w:hAnsi="Times New Roman"/>
        </w:rPr>
        <w:t>Fetterman</w:t>
      </w:r>
      <w:proofErr w:type="spellEnd"/>
      <w:r w:rsidRPr="009F709F">
        <w:rPr>
          <w:rFonts w:ascii="Times New Roman" w:hAnsi="Times New Roman"/>
        </w:rPr>
        <w:t xml:space="preserve"> B, </w:t>
      </w:r>
      <w:proofErr w:type="spellStart"/>
      <w:r w:rsidRPr="009F709F">
        <w:rPr>
          <w:rFonts w:ascii="Times New Roman" w:hAnsi="Times New Roman"/>
        </w:rPr>
        <w:t>Poitras</w:t>
      </w:r>
      <w:proofErr w:type="spellEnd"/>
      <w:r w:rsidRPr="009F709F">
        <w:rPr>
          <w:rFonts w:ascii="Times New Roman" w:hAnsi="Times New Roman"/>
        </w:rPr>
        <w:t xml:space="preserve"> N, </w:t>
      </w:r>
      <w:proofErr w:type="spellStart"/>
      <w:r w:rsidRPr="009F709F">
        <w:rPr>
          <w:rFonts w:ascii="Times New Roman" w:hAnsi="Times New Roman"/>
        </w:rPr>
        <w:t>Lorey</w:t>
      </w:r>
      <w:proofErr w:type="spellEnd"/>
      <w:r w:rsidRPr="009F709F">
        <w:rPr>
          <w:rFonts w:ascii="Times New Roman" w:hAnsi="Times New Roman"/>
        </w:rPr>
        <w:t xml:space="preserve"> T, </w:t>
      </w:r>
      <w:proofErr w:type="spellStart"/>
      <w:r w:rsidRPr="009F709F">
        <w:rPr>
          <w:rFonts w:ascii="Times New Roman" w:hAnsi="Times New Roman"/>
        </w:rPr>
        <w:t>Shaber</w:t>
      </w:r>
      <w:proofErr w:type="spellEnd"/>
      <w:r w:rsidRPr="009F709F">
        <w:rPr>
          <w:rFonts w:ascii="Times New Roman" w:hAnsi="Times New Roman"/>
        </w:rPr>
        <w:t xml:space="preserve"> R, </w:t>
      </w:r>
      <w:r w:rsidRPr="009450C9">
        <w:rPr>
          <w:rFonts w:ascii="Times New Roman" w:hAnsi="Times New Roman"/>
          <w:bCs/>
        </w:rPr>
        <w:t>Kinney</w:t>
      </w:r>
      <w:r w:rsidRPr="009450C9">
        <w:rPr>
          <w:rFonts w:ascii="Times New Roman" w:hAnsi="Times New Roman"/>
        </w:rPr>
        <w:t xml:space="preserve"> </w:t>
      </w:r>
      <w:r w:rsidRPr="009F709F">
        <w:rPr>
          <w:rFonts w:ascii="Times New Roman" w:hAnsi="Times New Roman"/>
        </w:rPr>
        <w:t xml:space="preserve">W. </w:t>
      </w:r>
      <w:hyperlink r:id="rId25" w:history="1">
        <w:r w:rsidRPr="0030550B">
          <w:rPr>
            <w:rFonts w:ascii="Times New Roman" w:hAnsi="Times New Roman"/>
          </w:rPr>
          <w:t xml:space="preserve">Five-year experience of human papillomavirus DNA and </w:t>
        </w:r>
        <w:proofErr w:type="spellStart"/>
        <w:r w:rsidRPr="0030550B">
          <w:rPr>
            <w:rFonts w:ascii="Times New Roman" w:hAnsi="Times New Roman"/>
          </w:rPr>
          <w:t>Papanicolaou</w:t>
        </w:r>
        <w:proofErr w:type="spellEnd"/>
        <w:r w:rsidRPr="0030550B">
          <w:rPr>
            <w:rFonts w:ascii="Times New Roman" w:hAnsi="Times New Roman"/>
          </w:rPr>
          <w:t xml:space="preserve"> test </w:t>
        </w:r>
        <w:proofErr w:type="spellStart"/>
        <w:r w:rsidRPr="0030550B">
          <w:rPr>
            <w:rFonts w:ascii="Times New Roman" w:hAnsi="Times New Roman"/>
          </w:rPr>
          <w:t>cotesting</w:t>
        </w:r>
        <w:proofErr w:type="spellEnd"/>
        <w:r w:rsidRPr="0030550B">
          <w:rPr>
            <w:rFonts w:ascii="Times New Roman" w:hAnsi="Times New Roman"/>
          </w:rPr>
          <w:t>.</w:t>
        </w:r>
      </w:hyperlink>
      <w:r w:rsidR="009450C9" w:rsidRPr="0030550B">
        <w:rPr>
          <w:rFonts w:ascii="Times New Roman" w:hAnsi="Times New Roman"/>
        </w:rPr>
        <w:t xml:space="preserve"> </w:t>
      </w:r>
      <w:proofErr w:type="spellStart"/>
      <w:r w:rsidRPr="0030550B">
        <w:rPr>
          <w:rFonts w:ascii="Times New Roman" w:hAnsi="Times New Roman"/>
          <w:i/>
        </w:rPr>
        <w:t>Obstet</w:t>
      </w:r>
      <w:proofErr w:type="spellEnd"/>
      <w:r w:rsidRPr="0030550B">
        <w:rPr>
          <w:rFonts w:ascii="Times New Roman" w:hAnsi="Times New Roman"/>
          <w:i/>
        </w:rPr>
        <w:t xml:space="preserve"> Gynecol</w:t>
      </w:r>
      <w:r w:rsidRPr="009F709F">
        <w:rPr>
          <w:rFonts w:ascii="Times New Roman" w:hAnsi="Times New Roman"/>
        </w:rPr>
        <w:t>. 2009 Mar;113(3):595-600.</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9F709F">
        <w:rPr>
          <w:rFonts w:ascii="Times New Roman" w:hAnsi="Times New Roman"/>
        </w:rPr>
        <w:t>Katki</w:t>
      </w:r>
      <w:proofErr w:type="spellEnd"/>
      <w:r w:rsidRPr="009F709F">
        <w:rPr>
          <w:rFonts w:ascii="Times New Roman" w:hAnsi="Times New Roman"/>
        </w:rPr>
        <w:t xml:space="preserve"> HA</w:t>
      </w:r>
      <w:r w:rsidRPr="009450C9">
        <w:rPr>
          <w:rFonts w:ascii="Times New Roman" w:hAnsi="Times New Roman"/>
        </w:rPr>
        <w:t xml:space="preserve">, </w:t>
      </w:r>
      <w:r w:rsidRPr="009450C9">
        <w:rPr>
          <w:rFonts w:ascii="Times New Roman" w:hAnsi="Times New Roman"/>
          <w:bCs/>
        </w:rPr>
        <w:t>Kinney</w:t>
      </w:r>
      <w:r w:rsidRPr="009F709F">
        <w:rPr>
          <w:rFonts w:ascii="Times New Roman" w:hAnsi="Times New Roman"/>
        </w:rPr>
        <w:t xml:space="preserve"> WK, </w:t>
      </w:r>
      <w:proofErr w:type="spellStart"/>
      <w:r w:rsidRPr="009F709F">
        <w:rPr>
          <w:rFonts w:ascii="Times New Roman" w:hAnsi="Times New Roman"/>
        </w:rPr>
        <w:t>Fetterman</w:t>
      </w:r>
      <w:proofErr w:type="spellEnd"/>
      <w:r w:rsidRPr="009F709F">
        <w:rPr>
          <w:rFonts w:ascii="Times New Roman" w:hAnsi="Times New Roman"/>
        </w:rPr>
        <w:t xml:space="preserve"> B, </w:t>
      </w:r>
      <w:proofErr w:type="spellStart"/>
      <w:r w:rsidRPr="009F709F">
        <w:rPr>
          <w:rFonts w:ascii="Times New Roman" w:hAnsi="Times New Roman"/>
        </w:rPr>
        <w:t>Lorey</w:t>
      </w:r>
      <w:proofErr w:type="spellEnd"/>
      <w:r w:rsidRPr="009F709F">
        <w:rPr>
          <w:rFonts w:ascii="Times New Roman" w:hAnsi="Times New Roman"/>
        </w:rPr>
        <w:t xml:space="preserve"> T, </w:t>
      </w:r>
      <w:proofErr w:type="spellStart"/>
      <w:r w:rsidRPr="009F709F">
        <w:rPr>
          <w:rFonts w:ascii="Times New Roman" w:hAnsi="Times New Roman"/>
        </w:rPr>
        <w:t>Poitras</w:t>
      </w:r>
      <w:proofErr w:type="spellEnd"/>
      <w:r w:rsidRPr="009F709F">
        <w:rPr>
          <w:rFonts w:ascii="Times New Roman" w:hAnsi="Times New Roman"/>
        </w:rPr>
        <w:t xml:space="preserve"> NE, Cheung L, Demuth F, </w:t>
      </w:r>
      <w:proofErr w:type="spellStart"/>
      <w:r w:rsidRPr="009F709F">
        <w:rPr>
          <w:rFonts w:ascii="Times New Roman" w:hAnsi="Times New Roman"/>
        </w:rPr>
        <w:t>Schiffman</w:t>
      </w:r>
      <w:proofErr w:type="spellEnd"/>
      <w:r w:rsidRPr="009F709F">
        <w:rPr>
          <w:rFonts w:ascii="Times New Roman" w:hAnsi="Times New Roman"/>
        </w:rPr>
        <w:t xml:space="preserve"> M, </w:t>
      </w:r>
      <w:proofErr w:type="spellStart"/>
      <w:r w:rsidRPr="009F709F">
        <w:rPr>
          <w:rFonts w:ascii="Times New Roman" w:hAnsi="Times New Roman"/>
        </w:rPr>
        <w:t>Wacholder</w:t>
      </w:r>
      <w:proofErr w:type="spellEnd"/>
      <w:r w:rsidRPr="009F709F">
        <w:rPr>
          <w:rFonts w:ascii="Times New Roman" w:hAnsi="Times New Roman"/>
        </w:rPr>
        <w:t xml:space="preserve"> S, </w:t>
      </w:r>
      <w:r w:rsidRPr="009450C9">
        <w:rPr>
          <w:rFonts w:ascii="Times New Roman" w:hAnsi="Times New Roman"/>
          <w:bCs/>
        </w:rPr>
        <w:t>Castle</w:t>
      </w:r>
      <w:r w:rsidRPr="009450C9">
        <w:rPr>
          <w:rFonts w:ascii="Times New Roman" w:hAnsi="Times New Roman"/>
        </w:rPr>
        <w:t xml:space="preserve"> </w:t>
      </w:r>
      <w:r w:rsidRPr="009F709F">
        <w:rPr>
          <w:rFonts w:ascii="Times New Roman" w:hAnsi="Times New Roman"/>
        </w:rPr>
        <w:t xml:space="preserve">PE. </w:t>
      </w:r>
      <w:hyperlink r:id="rId26" w:history="1">
        <w:r w:rsidRPr="0030550B">
          <w:rPr>
            <w:rFonts w:ascii="Times New Roman" w:hAnsi="Times New Roman"/>
          </w:rPr>
          <w:t>Cervical cancer risk for women undergoing concurrent testing for human papillomavirus and cervical cytology: a population-based study in routine clinical practice.</w:t>
        </w:r>
      </w:hyperlink>
      <w:r w:rsidR="009450C9" w:rsidRPr="0030550B">
        <w:rPr>
          <w:rFonts w:ascii="Times New Roman" w:hAnsi="Times New Roman"/>
        </w:rPr>
        <w:t xml:space="preserve"> </w:t>
      </w:r>
      <w:r w:rsidRPr="009F709F">
        <w:rPr>
          <w:rFonts w:ascii="Times New Roman" w:hAnsi="Times New Roman"/>
        </w:rPr>
        <w:t xml:space="preserve">Lancet </w:t>
      </w:r>
      <w:proofErr w:type="spellStart"/>
      <w:r w:rsidRPr="009F709F">
        <w:rPr>
          <w:rFonts w:ascii="Times New Roman" w:hAnsi="Times New Roman"/>
        </w:rPr>
        <w:t>Oncol</w:t>
      </w:r>
      <w:proofErr w:type="spellEnd"/>
      <w:r w:rsidRPr="009F709F">
        <w:rPr>
          <w:rFonts w:ascii="Times New Roman" w:hAnsi="Times New Roman"/>
        </w:rPr>
        <w:t xml:space="preserve">. 2011 Jul;12(7):663-72. </w:t>
      </w:r>
      <w:proofErr w:type="spellStart"/>
      <w:r w:rsidRPr="009F709F">
        <w:rPr>
          <w:rFonts w:ascii="Times New Roman" w:hAnsi="Times New Roman"/>
        </w:rPr>
        <w:t>Epub</w:t>
      </w:r>
      <w:proofErr w:type="spellEnd"/>
      <w:r w:rsidRPr="009F709F">
        <w:rPr>
          <w:rFonts w:ascii="Times New Roman" w:hAnsi="Times New Roman"/>
        </w:rPr>
        <w:t xml:space="preserve"> 2011 Jun 16. Erratum in: Lancet </w:t>
      </w:r>
      <w:proofErr w:type="spellStart"/>
      <w:r w:rsidRPr="009F709F">
        <w:rPr>
          <w:rFonts w:ascii="Times New Roman" w:hAnsi="Times New Roman"/>
        </w:rPr>
        <w:t>Oncol</w:t>
      </w:r>
      <w:proofErr w:type="spellEnd"/>
      <w:r w:rsidRPr="009F709F">
        <w:rPr>
          <w:rFonts w:ascii="Times New Roman" w:hAnsi="Times New Roman"/>
        </w:rPr>
        <w:t xml:space="preserve">. 2011 Aug;12(8):722. </w:t>
      </w:r>
    </w:p>
    <w:p w:rsidR="00FC3E2A" w:rsidRPr="009F709F" w:rsidRDefault="00FC3E2A" w:rsidP="00FC3E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3922ED" w:rsidRDefault="003922ED" w:rsidP="003922ED">
      <w:pPr>
        <w:tabs>
          <w:tab w:val="right" w:pos="540"/>
          <w:tab w:val="left" w:pos="720"/>
        </w:tabs>
        <w:spacing w:after="240"/>
        <w:ind w:left="720" w:hanging="720"/>
        <w:rPr>
          <w:rFonts w:ascii="Times New Roman" w:hAnsi="Times New Roman"/>
        </w:rPr>
      </w:pPr>
      <w:r w:rsidRPr="003922ED">
        <w:rPr>
          <w:rFonts w:ascii="Times New Roman" w:hAnsi="Times New Roman"/>
        </w:rPr>
        <w:t xml:space="preserve">Goldie, Sue J. MD, MPH; Kim, Jane J. MS; Wright, Thomas C. MD Cost-Effectiveness of Human Papillomavirus DNA Testing for Cervical Cancer Screening in Women Aged 30 Years or More </w:t>
      </w:r>
      <w:proofErr w:type="spellStart"/>
      <w:r w:rsidR="0030550B" w:rsidRPr="0030550B">
        <w:rPr>
          <w:rFonts w:ascii="Times New Roman" w:hAnsi="Times New Roman"/>
          <w:i/>
        </w:rPr>
        <w:t>Obstet</w:t>
      </w:r>
      <w:proofErr w:type="spellEnd"/>
      <w:r w:rsidR="0030550B" w:rsidRPr="0030550B">
        <w:rPr>
          <w:rFonts w:ascii="Times New Roman" w:hAnsi="Times New Roman"/>
          <w:i/>
        </w:rPr>
        <w:t xml:space="preserve"> Gynecol</w:t>
      </w:r>
      <w:r w:rsidR="0030550B" w:rsidRPr="009F709F">
        <w:rPr>
          <w:rFonts w:ascii="Times New Roman" w:hAnsi="Times New Roman"/>
        </w:rPr>
        <w:t xml:space="preserve">. </w:t>
      </w:r>
      <w:r w:rsidR="0030550B">
        <w:rPr>
          <w:rFonts w:ascii="Times New Roman" w:hAnsi="Times New Roman"/>
        </w:rPr>
        <w:t xml:space="preserve">2004 </w:t>
      </w:r>
      <w:r>
        <w:rPr>
          <w:rFonts w:ascii="Times New Roman" w:hAnsi="Times New Roman"/>
        </w:rPr>
        <w:t>April</w:t>
      </w:r>
      <w:r w:rsidR="0030550B">
        <w:rPr>
          <w:rFonts w:ascii="Times New Roman" w:hAnsi="Times New Roman"/>
        </w:rPr>
        <w:t>;10</w:t>
      </w:r>
      <w:r>
        <w:rPr>
          <w:rFonts w:ascii="Times New Roman" w:hAnsi="Times New Roman"/>
        </w:rPr>
        <w:t>3</w:t>
      </w:r>
      <w:r w:rsidR="0030550B">
        <w:rPr>
          <w:rFonts w:ascii="Times New Roman" w:hAnsi="Times New Roman"/>
        </w:rPr>
        <w:t>(</w:t>
      </w:r>
      <w:r>
        <w:rPr>
          <w:rFonts w:ascii="Times New Roman" w:hAnsi="Times New Roman"/>
        </w:rPr>
        <w:t>4</w:t>
      </w:r>
      <w:r w:rsidR="0030550B">
        <w:rPr>
          <w:rFonts w:ascii="Times New Roman" w:hAnsi="Times New Roman"/>
        </w:rPr>
        <w:t xml:space="preserve">): </w:t>
      </w:r>
      <w:r>
        <w:rPr>
          <w:rFonts w:ascii="Times New Roman" w:hAnsi="Times New Roman"/>
        </w:rPr>
        <w:t>619-631</w:t>
      </w:r>
      <w:r w:rsidR="0030550B">
        <w:rPr>
          <w:rFonts w:ascii="Times New Roman" w:hAnsi="Times New Roman"/>
        </w:rPr>
        <w:t>.</w:t>
      </w:r>
    </w:p>
    <w:p w:rsidR="00C1192B" w:rsidRPr="00C1192B" w:rsidRDefault="00C1192B" w:rsidP="00C1192B">
      <w:pPr>
        <w:tabs>
          <w:tab w:val="right" w:pos="540"/>
          <w:tab w:val="left" w:pos="720"/>
        </w:tabs>
        <w:spacing w:after="240"/>
        <w:ind w:left="720" w:hanging="720"/>
        <w:rPr>
          <w:rFonts w:ascii="Times New Roman" w:hAnsi="Times New Roman"/>
        </w:rPr>
      </w:pPr>
      <w:proofErr w:type="spellStart"/>
      <w:r w:rsidRPr="00C1192B">
        <w:rPr>
          <w:rFonts w:ascii="Times New Roman" w:hAnsi="Times New Roman"/>
        </w:rPr>
        <w:t>Lorincz</w:t>
      </w:r>
      <w:proofErr w:type="spellEnd"/>
      <w:r w:rsidRPr="00C1192B">
        <w:rPr>
          <w:rFonts w:ascii="Times New Roman" w:hAnsi="Times New Roman"/>
        </w:rPr>
        <w:t xml:space="preserve"> AT, </w:t>
      </w:r>
      <w:proofErr w:type="spellStart"/>
      <w:r w:rsidRPr="00C1192B">
        <w:rPr>
          <w:rFonts w:ascii="Times New Roman" w:hAnsi="Times New Roman"/>
        </w:rPr>
        <w:t>Richart</w:t>
      </w:r>
      <w:proofErr w:type="spellEnd"/>
      <w:r w:rsidRPr="00C1192B">
        <w:rPr>
          <w:rFonts w:ascii="Times New Roman" w:hAnsi="Times New Roman"/>
        </w:rPr>
        <w:t xml:space="preserve"> RM. Human papillomavirus DNA testing as an adjunct to cytology in cervical screening programs. </w:t>
      </w:r>
      <w:r w:rsidRPr="00C1192B">
        <w:rPr>
          <w:rFonts w:ascii="Times New Roman" w:hAnsi="Times New Roman"/>
          <w:i/>
        </w:rPr>
        <w:t xml:space="preserve">Arch </w:t>
      </w:r>
      <w:proofErr w:type="spellStart"/>
      <w:r w:rsidRPr="00C1192B">
        <w:rPr>
          <w:rFonts w:ascii="Times New Roman" w:hAnsi="Times New Roman"/>
          <w:i/>
        </w:rPr>
        <w:t>Pathol</w:t>
      </w:r>
      <w:proofErr w:type="spellEnd"/>
      <w:r w:rsidRPr="00C1192B">
        <w:rPr>
          <w:rFonts w:ascii="Times New Roman" w:hAnsi="Times New Roman"/>
          <w:i/>
        </w:rPr>
        <w:t xml:space="preserve"> Lab Med</w:t>
      </w:r>
      <w:r w:rsidRPr="00C1192B">
        <w:rPr>
          <w:rFonts w:ascii="Times New Roman" w:hAnsi="Times New Roman"/>
        </w:rPr>
        <w:t xml:space="preserve"> 2003 August;127(8):959-68.</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proofErr w:type="spellStart"/>
      <w:r w:rsidR="00C1192B" w:rsidRPr="00C1192B">
        <w:rPr>
          <w:rFonts w:ascii="Times New Roman" w:hAnsi="Times New Roman"/>
        </w:rPr>
        <w:t>Ratnam</w:t>
      </w:r>
      <w:proofErr w:type="spellEnd"/>
      <w:r w:rsidR="00C1192B" w:rsidRPr="00C1192B">
        <w:rPr>
          <w:rFonts w:ascii="Times New Roman" w:hAnsi="Times New Roman"/>
        </w:rPr>
        <w:t xml:space="preserve"> S, Franco EL, </w:t>
      </w:r>
      <w:proofErr w:type="spellStart"/>
      <w:r w:rsidR="00C1192B" w:rsidRPr="00C1192B">
        <w:rPr>
          <w:rFonts w:ascii="Times New Roman" w:hAnsi="Times New Roman"/>
        </w:rPr>
        <w:t>Ferenczy</w:t>
      </w:r>
      <w:proofErr w:type="spellEnd"/>
      <w:r w:rsidR="00C1192B" w:rsidRPr="00C1192B">
        <w:rPr>
          <w:rFonts w:ascii="Times New Roman" w:hAnsi="Times New Roman"/>
        </w:rPr>
        <w:t xml:space="preserve"> A. Human papillomavirus testing for primary screening of cervical cancer precursors. </w:t>
      </w:r>
      <w:r w:rsidR="00C1192B" w:rsidRPr="00C1192B">
        <w:rPr>
          <w:rFonts w:ascii="Times New Roman" w:hAnsi="Times New Roman"/>
          <w:i/>
        </w:rPr>
        <w:t xml:space="preserve">Cancer </w:t>
      </w:r>
      <w:proofErr w:type="spellStart"/>
      <w:r w:rsidR="00C1192B" w:rsidRPr="00C1192B">
        <w:rPr>
          <w:rFonts w:ascii="Times New Roman" w:hAnsi="Times New Roman"/>
          <w:i/>
        </w:rPr>
        <w:t>Epidemiol</w:t>
      </w:r>
      <w:proofErr w:type="spellEnd"/>
      <w:r w:rsidR="00C1192B" w:rsidRPr="00C1192B">
        <w:rPr>
          <w:rFonts w:ascii="Times New Roman" w:hAnsi="Times New Roman"/>
          <w:i/>
        </w:rPr>
        <w:t xml:space="preserve"> Biomarkers </w:t>
      </w:r>
      <w:proofErr w:type="spellStart"/>
      <w:r w:rsidR="00C1192B" w:rsidRPr="00C1192B">
        <w:rPr>
          <w:rFonts w:ascii="Times New Roman" w:hAnsi="Times New Roman"/>
          <w:i/>
        </w:rPr>
        <w:t>Prev</w:t>
      </w:r>
      <w:proofErr w:type="spellEnd"/>
      <w:r w:rsidR="00C1192B" w:rsidRPr="00C1192B">
        <w:rPr>
          <w:rFonts w:ascii="Times New Roman" w:hAnsi="Times New Roman"/>
        </w:rPr>
        <w:t xml:space="preserve"> 2000 September;9(9):945-51.</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Wright TC, Jr., </w:t>
      </w:r>
      <w:proofErr w:type="spellStart"/>
      <w:r w:rsidR="00C1192B" w:rsidRPr="00C1192B">
        <w:rPr>
          <w:rFonts w:ascii="Times New Roman" w:hAnsi="Times New Roman"/>
        </w:rPr>
        <w:t>Schiffman</w:t>
      </w:r>
      <w:proofErr w:type="spellEnd"/>
      <w:r w:rsidR="00C1192B" w:rsidRPr="00C1192B">
        <w:rPr>
          <w:rFonts w:ascii="Times New Roman" w:hAnsi="Times New Roman"/>
        </w:rPr>
        <w:t xml:space="preserve"> M, Solomon D et al. Interim guidance for the use of human papillomavirus DNA testing as an adjunct to cervical cytology for screening. </w:t>
      </w:r>
      <w:proofErr w:type="spellStart"/>
      <w:r w:rsidR="00C1192B" w:rsidRPr="00C1192B">
        <w:rPr>
          <w:rFonts w:ascii="Times New Roman" w:hAnsi="Times New Roman"/>
          <w:i/>
        </w:rPr>
        <w:t>Obstet</w:t>
      </w:r>
      <w:proofErr w:type="spellEnd"/>
      <w:r w:rsidR="00C1192B" w:rsidRPr="00C1192B">
        <w:rPr>
          <w:rFonts w:ascii="Times New Roman" w:hAnsi="Times New Roman"/>
          <w:i/>
        </w:rPr>
        <w:t xml:space="preserve"> </w:t>
      </w:r>
      <w:proofErr w:type="spellStart"/>
      <w:r w:rsidR="00C1192B" w:rsidRPr="00C1192B">
        <w:rPr>
          <w:rFonts w:ascii="Times New Roman" w:hAnsi="Times New Roman"/>
          <w:i/>
        </w:rPr>
        <w:t>Gynecol</w:t>
      </w:r>
      <w:proofErr w:type="spellEnd"/>
      <w:r w:rsidR="00C1192B" w:rsidRPr="00C1192B">
        <w:rPr>
          <w:rFonts w:ascii="Times New Roman" w:hAnsi="Times New Roman"/>
        </w:rPr>
        <w:t xml:space="preserve"> 2004 February;103(2):304-9.</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Nanda K, </w:t>
      </w:r>
      <w:proofErr w:type="spellStart"/>
      <w:smartTag w:uri="urn:schemas-microsoft-com:office:smarttags" w:element="place">
        <w:smartTag w:uri="urn:schemas-microsoft-com:office:smarttags" w:element="City">
          <w:r w:rsidR="00C1192B" w:rsidRPr="00C1192B">
            <w:rPr>
              <w:rFonts w:ascii="Times New Roman" w:hAnsi="Times New Roman"/>
            </w:rPr>
            <w:t>McCrory</w:t>
          </w:r>
        </w:smartTag>
        <w:proofErr w:type="spellEnd"/>
        <w:r w:rsidR="00C1192B" w:rsidRPr="00C1192B">
          <w:rPr>
            <w:rFonts w:ascii="Times New Roman" w:hAnsi="Times New Roman"/>
          </w:rPr>
          <w:t xml:space="preserve"> </w:t>
        </w:r>
        <w:smartTag w:uri="urn:schemas-microsoft-com:office:smarttags" w:element="State">
          <w:r w:rsidR="00C1192B" w:rsidRPr="00C1192B">
            <w:rPr>
              <w:rFonts w:ascii="Times New Roman" w:hAnsi="Times New Roman"/>
            </w:rPr>
            <w:t>DC</w:t>
          </w:r>
        </w:smartTag>
      </w:smartTag>
      <w:r w:rsidR="00C1192B" w:rsidRPr="00C1192B">
        <w:rPr>
          <w:rFonts w:ascii="Times New Roman" w:hAnsi="Times New Roman"/>
        </w:rPr>
        <w:t xml:space="preserve">, Myers ER et al. Accuracy of the </w:t>
      </w:r>
      <w:proofErr w:type="spellStart"/>
      <w:r w:rsidR="00C1192B" w:rsidRPr="00C1192B">
        <w:rPr>
          <w:rFonts w:ascii="Times New Roman" w:hAnsi="Times New Roman"/>
        </w:rPr>
        <w:t>Papanicolaou</w:t>
      </w:r>
      <w:proofErr w:type="spellEnd"/>
      <w:r w:rsidR="00C1192B" w:rsidRPr="00C1192B">
        <w:rPr>
          <w:rFonts w:ascii="Times New Roman" w:hAnsi="Times New Roman"/>
        </w:rPr>
        <w:t xml:space="preserve"> test in screening for and follow-up of cervical </w:t>
      </w:r>
      <w:proofErr w:type="spellStart"/>
      <w:r w:rsidR="00C1192B" w:rsidRPr="00C1192B">
        <w:rPr>
          <w:rFonts w:ascii="Times New Roman" w:hAnsi="Times New Roman"/>
        </w:rPr>
        <w:t>cytologic</w:t>
      </w:r>
      <w:proofErr w:type="spellEnd"/>
      <w:r w:rsidR="00C1192B" w:rsidRPr="00C1192B">
        <w:rPr>
          <w:rFonts w:ascii="Times New Roman" w:hAnsi="Times New Roman"/>
        </w:rPr>
        <w:t xml:space="preserve"> abnormalities: a systematic review. </w:t>
      </w:r>
      <w:r w:rsidR="00C1192B" w:rsidRPr="00C1192B">
        <w:rPr>
          <w:rFonts w:ascii="Times New Roman" w:hAnsi="Times New Roman"/>
          <w:i/>
        </w:rPr>
        <w:t>Ann Intern Med</w:t>
      </w:r>
      <w:r w:rsidR="00C1192B" w:rsidRPr="00C1192B">
        <w:rPr>
          <w:rFonts w:ascii="Times New Roman" w:hAnsi="Times New Roman"/>
        </w:rPr>
        <w:t xml:space="preserve"> 2000 May 16;132(10):810-9.</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smartTag w:uri="urn:schemas-microsoft-com:office:smarttags" w:element="place">
        <w:smartTag w:uri="urn:schemas-microsoft-com:office:smarttags" w:element="City">
          <w:r w:rsidR="00C1192B" w:rsidRPr="00C1192B">
            <w:rPr>
              <w:rFonts w:ascii="Times New Roman" w:hAnsi="Times New Roman"/>
            </w:rPr>
            <w:t>Fahey</w:t>
          </w:r>
        </w:smartTag>
        <w:r w:rsidR="00C1192B" w:rsidRPr="00C1192B">
          <w:rPr>
            <w:rFonts w:ascii="Times New Roman" w:hAnsi="Times New Roman"/>
          </w:rPr>
          <w:t xml:space="preserve"> </w:t>
        </w:r>
        <w:smartTag w:uri="urn:schemas-microsoft-com:office:smarttags" w:element="State">
          <w:r w:rsidR="00C1192B" w:rsidRPr="00C1192B">
            <w:rPr>
              <w:rFonts w:ascii="Times New Roman" w:hAnsi="Times New Roman"/>
            </w:rPr>
            <w:t>MT</w:t>
          </w:r>
        </w:smartTag>
      </w:smartTag>
      <w:r w:rsidR="00C1192B" w:rsidRPr="00C1192B">
        <w:rPr>
          <w:rFonts w:ascii="Times New Roman" w:hAnsi="Times New Roman"/>
        </w:rPr>
        <w:t xml:space="preserve">, </w:t>
      </w:r>
      <w:proofErr w:type="spellStart"/>
      <w:r w:rsidR="00C1192B" w:rsidRPr="00C1192B">
        <w:rPr>
          <w:rFonts w:ascii="Times New Roman" w:hAnsi="Times New Roman"/>
        </w:rPr>
        <w:t>Irwig</w:t>
      </w:r>
      <w:proofErr w:type="spellEnd"/>
      <w:r w:rsidR="00C1192B" w:rsidRPr="00C1192B">
        <w:rPr>
          <w:rFonts w:ascii="Times New Roman" w:hAnsi="Times New Roman"/>
        </w:rPr>
        <w:t xml:space="preserve"> L, </w:t>
      </w:r>
      <w:proofErr w:type="spellStart"/>
      <w:r w:rsidR="00C1192B" w:rsidRPr="00C1192B">
        <w:rPr>
          <w:rFonts w:ascii="Times New Roman" w:hAnsi="Times New Roman"/>
        </w:rPr>
        <w:t>Macaskill</w:t>
      </w:r>
      <w:proofErr w:type="spellEnd"/>
      <w:r w:rsidR="00C1192B" w:rsidRPr="00C1192B">
        <w:rPr>
          <w:rFonts w:ascii="Times New Roman" w:hAnsi="Times New Roman"/>
        </w:rPr>
        <w:t xml:space="preserve"> P. Meta-analysis of Pap test accuracy. </w:t>
      </w:r>
      <w:r w:rsidR="00C1192B" w:rsidRPr="00C1192B">
        <w:rPr>
          <w:rFonts w:ascii="Times New Roman" w:hAnsi="Times New Roman"/>
          <w:i/>
        </w:rPr>
        <w:t xml:space="preserve">Am J </w:t>
      </w:r>
      <w:proofErr w:type="spellStart"/>
      <w:r w:rsidR="00C1192B" w:rsidRPr="00C1192B">
        <w:rPr>
          <w:rFonts w:ascii="Times New Roman" w:hAnsi="Times New Roman"/>
          <w:i/>
        </w:rPr>
        <w:t>Epidemiol</w:t>
      </w:r>
      <w:proofErr w:type="spellEnd"/>
      <w:r w:rsidR="00C1192B" w:rsidRPr="00C1192B">
        <w:rPr>
          <w:rFonts w:ascii="Times New Roman" w:hAnsi="Times New Roman"/>
        </w:rPr>
        <w:t xml:space="preserve"> 1995 April 1;141(7):680-9.</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proofErr w:type="spellStart"/>
      <w:r w:rsidR="00C1192B" w:rsidRPr="00C1192B">
        <w:rPr>
          <w:rFonts w:ascii="Times New Roman" w:hAnsi="Times New Roman"/>
        </w:rPr>
        <w:t>Curbow</w:t>
      </w:r>
      <w:proofErr w:type="spellEnd"/>
      <w:r w:rsidR="00C1192B" w:rsidRPr="00C1192B">
        <w:rPr>
          <w:rFonts w:ascii="Times New Roman" w:hAnsi="Times New Roman"/>
        </w:rPr>
        <w:t xml:space="preserve"> B, Bowie J, Garza MA et al. Community-based cancer screening programs in older populations: making progress but can we do better? </w:t>
      </w:r>
      <w:proofErr w:type="spellStart"/>
      <w:r w:rsidR="00C1192B" w:rsidRPr="00C1192B">
        <w:rPr>
          <w:rFonts w:ascii="Times New Roman" w:hAnsi="Times New Roman"/>
          <w:i/>
        </w:rPr>
        <w:t>Prev</w:t>
      </w:r>
      <w:proofErr w:type="spellEnd"/>
      <w:r w:rsidR="00C1192B" w:rsidRPr="00C1192B">
        <w:rPr>
          <w:rFonts w:ascii="Times New Roman" w:hAnsi="Times New Roman"/>
          <w:i/>
        </w:rPr>
        <w:t xml:space="preserve"> Med</w:t>
      </w:r>
      <w:r w:rsidR="00C1192B" w:rsidRPr="00C1192B">
        <w:rPr>
          <w:rFonts w:ascii="Times New Roman" w:hAnsi="Times New Roman"/>
        </w:rPr>
        <w:t xml:space="preserve"> 2004 June;38(6):676-93.</w:t>
      </w:r>
    </w:p>
    <w:p w:rsidR="00C70796"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p>
    <w:p w:rsidR="00C1192B" w:rsidRPr="00C1192B" w:rsidRDefault="00C1192B" w:rsidP="00C1192B">
      <w:pPr>
        <w:tabs>
          <w:tab w:val="right" w:pos="540"/>
          <w:tab w:val="left" w:pos="720"/>
        </w:tabs>
        <w:spacing w:after="240"/>
        <w:ind w:left="720" w:hanging="720"/>
        <w:rPr>
          <w:rFonts w:ascii="Times New Roman" w:hAnsi="Times New Roman"/>
        </w:rPr>
      </w:pPr>
      <w:proofErr w:type="spellStart"/>
      <w:r w:rsidRPr="00C1192B">
        <w:rPr>
          <w:rFonts w:ascii="Times New Roman" w:hAnsi="Times New Roman"/>
        </w:rPr>
        <w:lastRenderedPageBreak/>
        <w:t>Dignan</w:t>
      </w:r>
      <w:proofErr w:type="spellEnd"/>
      <w:r w:rsidRPr="00C1192B">
        <w:rPr>
          <w:rFonts w:ascii="Times New Roman" w:hAnsi="Times New Roman"/>
        </w:rPr>
        <w:t xml:space="preserve"> M, </w:t>
      </w:r>
      <w:proofErr w:type="spellStart"/>
      <w:r w:rsidRPr="00C1192B">
        <w:rPr>
          <w:rFonts w:ascii="Times New Roman" w:hAnsi="Times New Roman"/>
        </w:rPr>
        <w:t>Michielutte</w:t>
      </w:r>
      <w:proofErr w:type="spellEnd"/>
      <w:r w:rsidRPr="00C1192B">
        <w:rPr>
          <w:rFonts w:ascii="Times New Roman" w:hAnsi="Times New Roman"/>
        </w:rPr>
        <w:t xml:space="preserve"> R, Wells HB, </w:t>
      </w:r>
      <w:proofErr w:type="spellStart"/>
      <w:r w:rsidRPr="00C1192B">
        <w:rPr>
          <w:rFonts w:ascii="Times New Roman" w:hAnsi="Times New Roman"/>
        </w:rPr>
        <w:t>Bahnson</w:t>
      </w:r>
      <w:proofErr w:type="spellEnd"/>
      <w:r w:rsidRPr="00C1192B">
        <w:rPr>
          <w:rFonts w:ascii="Times New Roman" w:hAnsi="Times New Roman"/>
        </w:rPr>
        <w:t xml:space="preserve"> J. The Forsyth County Cervical Cancer Prevention Project--I. Cervical cancer screening for black women. </w:t>
      </w:r>
      <w:r w:rsidRPr="00C1192B">
        <w:rPr>
          <w:rFonts w:ascii="Times New Roman" w:hAnsi="Times New Roman"/>
          <w:i/>
        </w:rPr>
        <w:t xml:space="preserve">Health </w:t>
      </w:r>
      <w:proofErr w:type="spellStart"/>
      <w:r w:rsidRPr="00C1192B">
        <w:rPr>
          <w:rFonts w:ascii="Times New Roman" w:hAnsi="Times New Roman"/>
          <w:i/>
        </w:rPr>
        <w:t>Educ</w:t>
      </w:r>
      <w:proofErr w:type="spellEnd"/>
      <w:r w:rsidRPr="00C1192B">
        <w:rPr>
          <w:rFonts w:ascii="Times New Roman" w:hAnsi="Times New Roman"/>
          <w:i/>
        </w:rPr>
        <w:t xml:space="preserve"> Res</w:t>
      </w:r>
      <w:r w:rsidRPr="00C1192B">
        <w:rPr>
          <w:rFonts w:ascii="Times New Roman" w:hAnsi="Times New Roman"/>
        </w:rPr>
        <w:t xml:space="preserve"> 1994 December;9(4):411-20.</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Jenkins CN, McPhee SJ, Bird JA et al. Effect of a media-led education campaign on breast and cervical cancer screening among Vietnamese-American women. </w:t>
      </w:r>
      <w:proofErr w:type="spellStart"/>
      <w:r w:rsidR="00C1192B" w:rsidRPr="00C1192B">
        <w:rPr>
          <w:rFonts w:ascii="Times New Roman" w:hAnsi="Times New Roman"/>
          <w:i/>
        </w:rPr>
        <w:t>Prev</w:t>
      </w:r>
      <w:proofErr w:type="spellEnd"/>
      <w:r w:rsidR="00C1192B" w:rsidRPr="00C1192B">
        <w:rPr>
          <w:rFonts w:ascii="Times New Roman" w:hAnsi="Times New Roman"/>
          <w:i/>
        </w:rPr>
        <w:t xml:space="preserve"> Med</w:t>
      </w:r>
      <w:r w:rsidR="00C1192B" w:rsidRPr="00C1192B">
        <w:rPr>
          <w:rFonts w:ascii="Times New Roman" w:hAnsi="Times New Roman"/>
        </w:rPr>
        <w:t xml:space="preserve"> 1999 April;28(4):395-406.</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Taylor VM, </w:t>
      </w:r>
      <w:proofErr w:type="spellStart"/>
      <w:r w:rsidR="00C1192B" w:rsidRPr="00C1192B">
        <w:rPr>
          <w:rFonts w:ascii="Times New Roman" w:hAnsi="Times New Roman"/>
        </w:rPr>
        <w:t>Hislop</w:t>
      </w:r>
      <w:proofErr w:type="spellEnd"/>
      <w:r w:rsidR="00C1192B" w:rsidRPr="00C1192B">
        <w:rPr>
          <w:rFonts w:ascii="Times New Roman" w:hAnsi="Times New Roman"/>
        </w:rPr>
        <w:t xml:space="preserve"> TG, Jackson JC et al. A randomized controlled trial of interventions to promote cervical cancer screening among Chinese women in North America. </w:t>
      </w:r>
      <w:r w:rsidR="00C1192B" w:rsidRPr="00C1192B">
        <w:rPr>
          <w:rFonts w:ascii="Times New Roman" w:hAnsi="Times New Roman"/>
          <w:i/>
        </w:rPr>
        <w:t xml:space="preserve">J </w:t>
      </w:r>
      <w:proofErr w:type="spellStart"/>
      <w:r w:rsidR="00C1192B" w:rsidRPr="00C1192B">
        <w:rPr>
          <w:rFonts w:ascii="Times New Roman" w:hAnsi="Times New Roman"/>
          <w:i/>
        </w:rPr>
        <w:t>Natl</w:t>
      </w:r>
      <w:proofErr w:type="spellEnd"/>
      <w:r w:rsidR="00C1192B" w:rsidRPr="00C1192B">
        <w:rPr>
          <w:rFonts w:ascii="Times New Roman" w:hAnsi="Times New Roman"/>
          <w:i/>
        </w:rPr>
        <w:t xml:space="preserve"> Cancer </w:t>
      </w:r>
      <w:proofErr w:type="spellStart"/>
      <w:r w:rsidR="00C1192B" w:rsidRPr="00C1192B">
        <w:rPr>
          <w:rFonts w:ascii="Times New Roman" w:hAnsi="Times New Roman"/>
          <w:i/>
        </w:rPr>
        <w:t>Inst</w:t>
      </w:r>
      <w:proofErr w:type="spellEnd"/>
      <w:r w:rsidR="00C1192B" w:rsidRPr="00C1192B">
        <w:rPr>
          <w:rFonts w:ascii="Times New Roman" w:hAnsi="Times New Roman"/>
        </w:rPr>
        <w:t xml:space="preserve"> 2002 May 1;94(9):670-7.</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Dietrich AJ, Carney-</w:t>
      </w:r>
      <w:proofErr w:type="spellStart"/>
      <w:r w:rsidR="00C1192B" w:rsidRPr="00C1192B">
        <w:rPr>
          <w:rFonts w:ascii="Times New Roman" w:hAnsi="Times New Roman"/>
        </w:rPr>
        <w:t>Gersten</w:t>
      </w:r>
      <w:proofErr w:type="spellEnd"/>
      <w:r w:rsidR="00C1192B" w:rsidRPr="00C1192B">
        <w:rPr>
          <w:rFonts w:ascii="Times New Roman" w:hAnsi="Times New Roman"/>
        </w:rPr>
        <w:t xml:space="preserve"> P, Holmes DW et al. Community screening for cervical cancer in New Hampshire. </w:t>
      </w:r>
      <w:r w:rsidR="00C1192B" w:rsidRPr="00C1192B">
        <w:rPr>
          <w:rFonts w:ascii="Times New Roman" w:hAnsi="Times New Roman"/>
          <w:i/>
        </w:rPr>
        <w:t xml:space="preserve">J </w:t>
      </w:r>
      <w:proofErr w:type="spellStart"/>
      <w:r w:rsidR="00C1192B" w:rsidRPr="00C1192B">
        <w:rPr>
          <w:rFonts w:ascii="Times New Roman" w:hAnsi="Times New Roman"/>
          <w:i/>
        </w:rPr>
        <w:t>Fam</w:t>
      </w:r>
      <w:proofErr w:type="spellEnd"/>
      <w:r w:rsidR="00C1192B" w:rsidRPr="00C1192B">
        <w:rPr>
          <w:rFonts w:ascii="Times New Roman" w:hAnsi="Times New Roman"/>
          <w:i/>
        </w:rPr>
        <w:t xml:space="preserve"> </w:t>
      </w:r>
      <w:proofErr w:type="spellStart"/>
      <w:r w:rsidR="00C1192B" w:rsidRPr="00C1192B">
        <w:rPr>
          <w:rFonts w:ascii="Times New Roman" w:hAnsi="Times New Roman"/>
          <w:i/>
        </w:rPr>
        <w:t>Pract</w:t>
      </w:r>
      <w:proofErr w:type="spellEnd"/>
      <w:r w:rsidR="00C1192B" w:rsidRPr="00C1192B">
        <w:rPr>
          <w:rFonts w:ascii="Times New Roman" w:hAnsi="Times New Roman"/>
        </w:rPr>
        <w:t xml:space="preserve"> 1989 September;29(3):319, 321, 323.</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Shelley JM, </w:t>
      </w:r>
      <w:proofErr w:type="spellStart"/>
      <w:r w:rsidR="00C1192B" w:rsidRPr="00C1192B">
        <w:rPr>
          <w:rFonts w:ascii="Times New Roman" w:hAnsi="Times New Roman"/>
        </w:rPr>
        <w:t>Irwig</w:t>
      </w:r>
      <w:proofErr w:type="spellEnd"/>
      <w:r w:rsidR="00C1192B" w:rsidRPr="00C1192B">
        <w:rPr>
          <w:rFonts w:ascii="Times New Roman" w:hAnsi="Times New Roman"/>
        </w:rPr>
        <w:t xml:space="preserve"> LM, Simpson JM, </w:t>
      </w:r>
      <w:proofErr w:type="spellStart"/>
      <w:r w:rsidR="00C1192B" w:rsidRPr="00C1192B">
        <w:rPr>
          <w:rFonts w:ascii="Times New Roman" w:hAnsi="Times New Roman"/>
        </w:rPr>
        <w:t>Macaskill</w:t>
      </w:r>
      <w:proofErr w:type="spellEnd"/>
      <w:r w:rsidR="00C1192B" w:rsidRPr="00C1192B">
        <w:rPr>
          <w:rFonts w:ascii="Times New Roman" w:hAnsi="Times New Roman"/>
        </w:rPr>
        <w:t xml:space="preserve"> P. Evaluation of a mass-media-led campaign to increase Pap smear screening. </w:t>
      </w:r>
      <w:r w:rsidR="00C1192B" w:rsidRPr="00C1192B">
        <w:rPr>
          <w:rFonts w:ascii="Times New Roman" w:hAnsi="Times New Roman"/>
          <w:i/>
        </w:rPr>
        <w:t xml:space="preserve">Health </w:t>
      </w:r>
      <w:proofErr w:type="spellStart"/>
      <w:r w:rsidR="00C1192B" w:rsidRPr="00C1192B">
        <w:rPr>
          <w:rFonts w:ascii="Times New Roman" w:hAnsi="Times New Roman"/>
          <w:i/>
        </w:rPr>
        <w:t>Educ</w:t>
      </w:r>
      <w:proofErr w:type="spellEnd"/>
      <w:r w:rsidR="00C1192B" w:rsidRPr="00C1192B">
        <w:rPr>
          <w:rFonts w:ascii="Times New Roman" w:hAnsi="Times New Roman"/>
          <w:i/>
        </w:rPr>
        <w:t xml:space="preserve"> Res</w:t>
      </w:r>
      <w:r w:rsidR="00C1192B" w:rsidRPr="00C1192B">
        <w:rPr>
          <w:rFonts w:ascii="Times New Roman" w:hAnsi="Times New Roman"/>
        </w:rPr>
        <w:t xml:space="preserve"> 1991 September;6(3):267-77.</w:t>
      </w:r>
    </w:p>
    <w:p w:rsidR="00C1192B" w:rsidRPr="00C1192B" w:rsidRDefault="008E194B" w:rsidP="00C1192B">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Suarez L, Nichols DC, Brady CA. Use of peer role models to increase Pap smear and mammogram screening in Mexican-American and black women. </w:t>
      </w:r>
      <w:r w:rsidR="00C1192B" w:rsidRPr="00C1192B">
        <w:rPr>
          <w:rFonts w:ascii="Times New Roman" w:hAnsi="Times New Roman"/>
          <w:i/>
        </w:rPr>
        <w:t xml:space="preserve">Am J </w:t>
      </w:r>
      <w:proofErr w:type="spellStart"/>
      <w:r w:rsidR="00C1192B" w:rsidRPr="00C1192B">
        <w:rPr>
          <w:rFonts w:ascii="Times New Roman" w:hAnsi="Times New Roman"/>
          <w:i/>
        </w:rPr>
        <w:t>Prev</w:t>
      </w:r>
      <w:proofErr w:type="spellEnd"/>
      <w:r w:rsidR="00C1192B" w:rsidRPr="00C1192B">
        <w:rPr>
          <w:rFonts w:ascii="Times New Roman" w:hAnsi="Times New Roman"/>
          <w:i/>
        </w:rPr>
        <w:t xml:space="preserve"> Med</w:t>
      </w:r>
      <w:r w:rsidR="00C1192B" w:rsidRPr="00C1192B">
        <w:rPr>
          <w:rFonts w:ascii="Times New Roman" w:hAnsi="Times New Roman"/>
        </w:rPr>
        <w:t xml:space="preserve"> 1993 September;9(5):290-6.</w:t>
      </w:r>
    </w:p>
    <w:p w:rsidR="00C1192B" w:rsidRPr="00C1192B" w:rsidRDefault="008E194B" w:rsidP="006476EC">
      <w:pPr>
        <w:tabs>
          <w:tab w:val="right" w:pos="540"/>
          <w:tab w:val="left" w:pos="720"/>
        </w:tabs>
        <w:spacing w:after="240"/>
        <w:ind w:left="720" w:hanging="720"/>
        <w:rPr>
          <w:rFonts w:ascii="Times New Roman" w:hAnsi="Times New Roman"/>
        </w:rPr>
      </w:pPr>
      <w:r>
        <w:rPr>
          <w:rFonts w:ascii="Times New Roman" w:hAnsi="Times New Roman"/>
        </w:rPr>
        <w:tab/>
      </w:r>
      <w:r w:rsidR="00C1192B" w:rsidRPr="00C1192B">
        <w:rPr>
          <w:rFonts w:ascii="Times New Roman" w:hAnsi="Times New Roman"/>
        </w:rPr>
        <w:t xml:space="preserve">Rutledge W, Gibson R, Siegel E et al. </w:t>
      </w:r>
      <w:smartTag w:uri="urn:schemas-microsoft-com:office:smarttags" w:element="place">
        <w:smartTag w:uri="urn:schemas-microsoft-com:office:smarttags" w:element="State">
          <w:r w:rsidR="00C1192B" w:rsidRPr="00C1192B">
            <w:rPr>
              <w:rFonts w:ascii="Times New Roman" w:hAnsi="Times New Roman"/>
            </w:rPr>
            <w:t>Arkansas</w:t>
          </w:r>
        </w:smartTag>
      </w:smartTag>
      <w:r w:rsidR="00C1192B" w:rsidRPr="00C1192B">
        <w:rPr>
          <w:rFonts w:ascii="Times New Roman" w:hAnsi="Times New Roman"/>
        </w:rPr>
        <w:t xml:space="preserve"> special populations access network perception versus reality</w:t>
      </w:r>
      <w:r w:rsidR="005C562C">
        <w:rPr>
          <w:rFonts w:ascii="Times New Roman" w:hAnsi="Times New Roman"/>
        </w:rPr>
        <w:t xml:space="preserve"> </w:t>
      </w:r>
      <w:r w:rsidR="005C562C" w:rsidRPr="00411927">
        <w:rPr>
          <w:rFonts w:ascii="Times New Roman" w:hAnsi="Times New Roman"/>
        </w:rPr>
        <w:t>–</w:t>
      </w:r>
      <w:r w:rsidR="005C562C">
        <w:rPr>
          <w:rFonts w:ascii="Times New Roman" w:hAnsi="Times New Roman"/>
        </w:rPr>
        <w:t xml:space="preserve"> </w:t>
      </w:r>
      <w:r w:rsidR="00C1192B" w:rsidRPr="00C1192B">
        <w:rPr>
          <w:rFonts w:ascii="Times New Roman" w:hAnsi="Times New Roman"/>
        </w:rPr>
        <w:t xml:space="preserve">cancer screening in primary care clinics. </w:t>
      </w:r>
      <w:r w:rsidR="00C1192B" w:rsidRPr="00C1192B">
        <w:rPr>
          <w:rFonts w:ascii="Times New Roman" w:hAnsi="Times New Roman"/>
          <w:i/>
        </w:rPr>
        <w:t>Cancer</w:t>
      </w:r>
      <w:r w:rsidR="00C1192B" w:rsidRPr="00C1192B">
        <w:rPr>
          <w:rFonts w:ascii="Times New Roman" w:hAnsi="Times New Roman"/>
        </w:rPr>
        <w:t xml:space="preserve"> 2006 October 15;107(8 </w:t>
      </w:r>
      <w:proofErr w:type="spellStart"/>
      <w:r w:rsidR="00C1192B" w:rsidRPr="00C1192B">
        <w:rPr>
          <w:rFonts w:ascii="Times New Roman" w:hAnsi="Times New Roman"/>
        </w:rPr>
        <w:t>Suppl</w:t>
      </w:r>
      <w:proofErr w:type="spellEnd"/>
      <w:r w:rsidR="00C1192B" w:rsidRPr="00C1192B">
        <w:rPr>
          <w:rFonts w:ascii="Times New Roman" w:hAnsi="Times New Roman"/>
        </w:rPr>
        <w:t>):2052-60.</w:t>
      </w:r>
    </w:p>
    <w:p w:rsidR="006E66C9" w:rsidRPr="006E66C9" w:rsidRDefault="00B31574" w:rsidP="009450C9">
      <w:pPr>
        <w:tabs>
          <w:tab w:val="right" w:pos="720"/>
        </w:tabs>
        <w:spacing w:after="240"/>
        <w:ind w:left="720" w:hanging="720"/>
        <w:rPr>
          <w:rFonts w:ascii="Times New Roman" w:hAnsi="Times New Roman"/>
        </w:rPr>
      </w:pPr>
      <w:r>
        <w:tab/>
      </w:r>
      <w:proofErr w:type="spellStart"/>
      <w:r w:rsidR="006E66C9" w:rsidRPr="006E66C9">
        <w:rPr>
          <w:rFonts w:ascii="Times New Roman" w:hAnsi="Times New Roman"/>
        </w:rPr>
        <w:t>Dillman</w:t>
      </w:r>
      <w:proofErr w:type="spellEnd"/>
      <w:r w:rsidR="006E66C9" w:rsidRPr="006E66C9">
        <w:rPr>
          <w:rFonts w:ascii="Times New Roman" w:hAnsi="Times New Roman"/>
        </w:rPr>
        <w:t xml:space="preserve">, DA. 1978.  </w:t>
      </w:r>
      <w:r w:rsidR="006E66C9" w:rsidRPr="006E66C9">
        <w:rPr>
          <w:rFonts w:ascii="Times New Roman" w:hAnsi="Times New Roman"/>
          <w:i/>
        </w:rPr>
        <w:t>Mail and Telephone Surveys</w:t>
      </w:r>
      <w:r w:rsidR="006E66C9" w:rsidRPr="006E66C9">
        <w:rPr>
          <w:rFonts w:ascii="Times New Roman" w:hAnsi="Times New Roman"/>
        </w:rPr>
        <w:t xml:space="preserve">.  </w:t>
      </w:r>
      <w:smartTag w:uri="urn:schemas-microsoft-com:office:smarttags" w:element="place">
        <w:smartTag w:uri="urn:schemas-microsoft-com:office:smarttags" w:element="City">
          <w:r w:rsidR="006E66C9" w:rsidRPr="006E66C9">
            <w:rPr>
              <w:rFonts w:ascii="Times New Roman" w:hAnsi="Times New Roman"/>
            </w:rPr>
            <w:t>New York</w:t>
          </w:r>
        </w:smartTag>
        <w:r w:rsidR="006E66C9" w:rsidRPr="006E66C9">
          <w:rPr>
            <w:rFonts w:ascii="Times New Roman" w:hAnsi="Times New Roman"/>
          </w:rPr>
          <w:t xml:space="preserve">, </w:t>
        </w:r>
        <w:smartTag w:uri="urn:schemas-microsoft-com:office:smarttags" w:element="State">
          <w:r w:rsidR="006E66C9" w:rsidRPr="006E66C9">
            <w:rPr>
              <w:rFonts w:ascii="Times New Roman" w:hAnsi="Times New Roman"/>
            </w:rPr>
            <w:t>NY</w:t>
          </w:r>
        </w:smartTag>
      </w:smartTag>
      <w:r w:rsidR="006E66C9" w:rsidRPr="006E66C9">
        <w:rPr>
          <w:rFonts w:ascii="Times New Roman" w:hAnsi="Times New Roman"/>
        </w:rPr>
        <w:t>:  John Wiley &amp; Sons.</w:t>
      </w:r>
    </w:p>
    <w:p w:rsidR="006E66C9" w:rsidRPr="006E66C9" w:rsidRDefault="006E66C9"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24558B" w:rsidRPr="00C3046C" w:rsidRDefault="0024558B"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24558B">
        <w:rPr>
          <w:rFonts w:ascii="Times New Roman" w:hAnsi="Times New Roman"/>
        </w:rPr>
        <w:t>Dillman</w:t>
      </w:r>
      <w:proofErr w:type="spellEnd"/>
      <w:r w:rsidRPr="0024558B">
        <w:rPr>
          <w:rFonts w:ascii="Times New Roman" w:hAnsi="Times New Roman"/>
        </w:rPr>
        <w:t xml:space="preserve">, DA. </w:t>
      </w:r>
      <w:r w:rsidR="00C3046C">
        <w:rPr>
          <w:rFonts w:ascii="Times New Roman" w:hAnsi="Times New Roman"/>
        </w:rPr>
        <w:t>2000.</w:t>
      </w:r>
      <w:r w:rsidR="00C3046C" w:rsidRPr="00C3046C">
        <w:rPr>
          <w:rFonts w:ascii="Times New Roman" w:hAnsi="Times New Roman"/>
        </w:rPr>
        <w:t xml:space="preserve"> </w:t>
      </w:r>
      <w:r w:rsidR="00C3046C" w:rsidRPr="00C3046C">
        <w:rPr>
          <w:rFonts w:ascii="Times New Roman" w:hAnsi="Times New Roman"/>
          <w:i/>
        </w:rPr>
        <w:t>Mail and Internet Surveys</w:t>
      </w:r>
      <w:r w:rsidR="00C3046C" w:rsidRPr="00C3046C">
        <w:rPr>
          <w:rFonts w:ascii="Times New Roman" w:hAnsi="Times New Roman"/>
        </w:rPr>
        <w:t xml:space="preserve">. </w:t>
      </w:r>
      <w:smartTag w:uri="urn:schemas-microsoft-com:office:smarttags" w:element="State">
        <w:smartTag w:uri="urn:schemas-microsoft-com:office:smarttags" w:element="place">
          <w:r w:rsidR="00C3046C" w:rsidRPr="00C3046C">
            <w:rPr>
              <w:rFonts w:ascii="Times New Roman" w:hAnsi="Times New Roman"/>
            </w:rPr>
            <w:t>New York</w:t>
          </w:r>
        </w:smartTag>
      </w:smartTag>
      <w:r w:rsidR="00C3046C" w:rsidRPr="00C3046C">
        <w:rPr>
          <w:rFonts w:ascii="Times New Roman" w:hAnsi="Times New Roman"/>
        </w:rPr>
        <w:t>: John Wiley &amp; Sons, Inc</w:t>
      </w:r>
      <w:r w:rsidRPr="00C3046C">
        <w:rPr>
          <w:rFonts w:ascii="Times New Roman" w:hAnsi="Times New Roman"/>
        </w:rPr>
        <w:t>.</w:t>
      </w:r>
    </w:p>
    <w:p w:rsidR="0024558B" w:rsidRPr="0024558B" w:rsidRDefault="0024558B" w:rsidP="00245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4558B" w:rsidRDefault="0024558B"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roofErr w:type="spellStart"/>
      <w:r w:rsidRPr="0024558B">
        <w:rPr>
          <w:rFonts w:ascii="Times New Roman" w:hAnsi="Times New Roman"/>
        </w:rPr>
        <w:t>Sudman</w:t>
      </w:r>
      <w:proofErr w:type="spellEnd"/>
      <w:r w:rsidRPr="0024558B">
        <w:rPr>
          <w:rFonts w:ascii="Times New Roman" w:hAnsi="Times New Roman"/>
        </w:rPr>
        <w:t xml:space="preserve"> S. Mail surveys of reluctant professionals.  </w:t>
      </w:r>
      <w:r w:rsidRPr="00C3046C">
        <w:rPr>
          <w:rFonts w:ascii="Times New Roman" w:hAnsi="Times New Roman"/>
          <w:i/>
        </w:rPr>
        <w:t>Evaluation Review</w:t>
      </w:r>
      <w:r w:rsidRPr="0024558B">
        <w:rPr>
          <w:rFonts w:ascii="Times New Roman" w:hAnsi="Times New Roman"/>
          <w:i/>
        </w:rPr>
        <w:t xml:space="preserve"> </w:t>
      </w:r>
      <w:r w:rsidRPr="0024558B">
        <w:rPr>
          <w:rFonts w:ascii="Times New Roman" w:hAnsi="Times New Roman"/>
        </w:rPr>
        <w:t>1985; 9(3):349-360.</w:t>
      </w:r>
    </w:p>
    <w:p w:rsidR="00C3046C" w:rsidRPr="006E66C9" w:rsidRDefault="00C3046C"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t xml:space="preserve">Church, AH.  1993.  Estimating the effect of incentives on mail survey response rates:  a meta-analysis.  </w:t>
      </w:r>
      <w:r w:rsidRPr="006E66C9">
        <w:rPr>
          <w:rFonts w:ascii="Times New Roman" w:hAnsi="Times New Roman"/>
          <w:i/>
        </w:rPr>
        <w:t>Public Opinion Quarterly</w:t>
      </w:r>
      <w:r w:rsidRPr="006E66C9">
        <w:rPr>
          <w:rFonts w:ascii="Times New Roman" w:hAnsi="Times New Roman"/>
        </w:rPr>
        <w:t>, 57:62-79.</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t xml:space="preserve">Singer, E, </w:t>
      </w:r>
      <w:proofErr w:type="spellStart"/>
      <w:r w:rsidRPr="006E66C9">
        <w:rPr>
          <w:rFonts w:ascii="Times New Roman" w:hAnsi="Times New Roman"/>
        </w:rPr>
        <w:t>Gebler</w:t>
      </w:r>
      <w:proofErr w:type="spellEnd"/>
      <w:r w:rsidRPr="006E66C9">
        <w:rPr>
          <w:rFonts w:ascii="Times New Roman" w:hAnsi="Times New Roman"/>
        </w:rPr>
        <w:t xml:space="preserve">, N, </w:t>
      </w:r>
      <w:proofErr w:type="spellStart"/>
      <w:r w:rsidRPr="006E66C9">
        <w:rPr>
          <w:rFonts w:ascii="Times New Roman" w:hAnsi="Times New Roman"/>
        </w:rPr>
        <w:t>Raghunathan</w:t>
      </w:r>
      <w:proofErr w:type="spellEnd"/>
      <w:r w:rsidRPr="006E66C9">
        <w:rPr>
          <w:rFonts w:ascii="Times New Roman" w:hAnsi="Times New Roman"/>
        </w:rPr>
        <w:t xml:space="preserve">, T, Van </w:t>
      </w:r>
      <w:proofErr w:type="spellStart"/>
      <w:r w:rsidRPr="006E66C9">
        <w:rPr>
          <w:rFonts w:ascii="Times New Roman" w:hAnsi="Times New Roman"/>
        </w:rPr>
        <w:t>Hoewyk</w:t>
      </w:r>
      <w:proofErr w:type="spellEnd"/>
      <w:r w:rsidRPr="006E66C9">
        <w:rPr>
          <w:rFonts w:ascii="Times New Roman" w:hAnsi="Times New Roman"/>
        </w:rPr>
        <w:t xml:space="preserve">, J, </w:t>
      </w:r>
      <w:proofErr w:type="spellStart"/>
      <w:r w:rsidRPr="006E66C9">
        <w:rPr>
          <w:rFonts w:ascii="Times New Roman" w:hAnsi="Times New Roman"/>
        </w:rPr>
        <w:t>McGonagle</w:t>
      </w:r>
      <w:proofErr w:type="spellEnd"/>
      <w:r w:rsidRPr="006E66C9">
        <w:rPr>
          <w:rFonts w:ascii="Times New Roman" w:hAnsi="Times New Roman"/>
        </w:rPr>
        <w:t xml:space="preserve">, K.  1999.  The effect of incentives on response rates in interviewer-mediated surveys. </w:t>
      </w:r>
      <w:r w:rsidRPr="006E66C9">
        <w:rPr>
          <w:rFonts w:ascii="Times New Roman" w:hAnsi="Times New Roman"/>
          <w:i/>
        </w:rPr>
        <w:t>Journal of Official Statistics</w:t>
      </w:r>
      <w:r w:rsidRPr="006E66C9">
        <w:rPr>
          <w:rFonts w:ascii="Times New Roman" w:hAnsi="Times New Roman"/>
        </w:rPr>
        <w:t xml:space="preserve">, 15: 217-230. </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proofErr w:type="spellStart"/>
      <w:smartTag w:uri="urn:schemas-microsoft-com:office:smarttags" w:element="City">
        <w:r w:rsidRPr="006E66C9">
          <w:rPr>
            <w:rFonts w:ascii="Times New Roman" w:hAnsi="Times New Roman"/>
          </w:rPr>
          <w:t>Kropf</w:t>
        </w:r>
      </w:smartTag>
      <w:r w:rsidRPr="006E66C9">
        <w:rPr>
          <w:rFonts w:ascii="Times New Roman" w:hAnsi="Times New Roman"/>
        </w:rPr>
        <w:t>,ME</w:t>
      </w:r>
      <w:proofErr w:type="spellEnd"/>
      <w:r w:rsidRPr="006E66C9">
        <w:rPr>
          <w:rFonts w:ascii="Times New Roman" w:hAnsi="Times New Roman"/>
        </w:rPr>
        <w:t xml:space="preserve">, </w:t>
      </w:r>
      <w:proofErr w:type="spellStart"/>
      <w:r w:rsidRPr="006E66C9">
        <w:rPr>
          <w:rFonts w:ascii="Times New Roman" w:hAnsi="Times New Roman"/>
        </w:rPr>
        <w:t>Scheib</w:t>
      </w:r>
      <w:proofErr w:type="spellEnd"/>
      <w:r w:rsidRPr="006E66C9">
        <w:rPr>
          <w:rFonts w:ascii="Times New Roman" w:hAnsi="Times New Roman"/>
        </w:rPr>
        <w:t xml:space="preserve">, J, Blair, J.  1999. The effect of alternative incentives on cooperation and refusal conversion in a telephone survey.  Presented at the 54th Annual Meeting of the American Association for Public Opinion Research, </w:t>
      </w:r>
      <w:smartTag w:uri="urn:schemas-microsoft-com:office:smarttags" w:element="place">
        <w:smartTag w:uri="urn:schemas-microsoft-com:office:smarttags" w:element="City">
          <w:r w:rsidRPr="006E66C9">
            <w:rPr>
              <w:rFonts w:ascii="Times New Roman" w:hAnsi="Times New Roman"/>
            </w:rPr>
            <w:t>St. Petersburg</w:t>
          </w:r>
        </w:smartTag>
        <w:r w:rsidRPr="006E66C9">
          <w:rPr>
            <w:rFonts w:ascii="Times New Roman" w:hAnsi="Times New Roman"/>
          </w:rPr>
          <w:t xml:space="preserve">, </w:t>
        </w:r>
        <w:smartTag w:uri="urn:schemas-microsoft-com:office:smarttags" w:element="State">
          <w:r w:rsidRPr="006E66C9">
            <w:rPr>
              <w:rFonts w:ascii="Times New Roman" w:hAnsi="Times New Roman"/>
            </w:rPr>
            <w:t>Florida</w:t>
          </w:r>
        </w:smartTag>
      </w:smartTag>
      <w:r w:rsidRPr="006E66C9">
        <w:rPr>
          <w:rFonts w:ascii="Times New Roman" w:hAnsi="Times New Roman"/>
        </w:rPr>
        <w:t xml:space="preserve">, May 13-16, 1999. </w:t>
      </w:r>
    </w:p>
    <w:p w:rsidR="006E66C9" w:rsidRPr="006E66C9" w:rsidRDefault="006E66C9" w:rsidP="006E66C9">
      <w:pPr>
        <w:ind w:left="360" w:hanging="360"/>
        <w:rPr>
          <w:rFonts w:ascii="Times New Roman" w:hAnsi="Times New Roman"/>
        </w:rPr>
      </w:pPr>
    </w:p>
    <w:p w:rsidR="00C3046C" w:rsidRDefault="00C3046C"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r w:rsidRPr="006E66C9">
        <w:rPr>
          <w:rFonts w:ascii="Times New Roman" w:hAnsi="Times New Roman"/>
        </w:rPr>
        <w:t>Hopkins KD</w:t>
      </w:r>
      <w:r w:rsidRPr="00C3046C">
        <w:rPr>
          <w:rFonts w:ascii="Times New Roman" w:hAnsi="Times New Roman"/>
        </w:rPr>
        <w:t xml:space="preserve">, </w:t>
      </w:r>
      <w:proofErr w:type="spellStart"/>
      <w:r w:rsidRPr="00C3046C">
        <w:rPr>
          <w:rFonts w:ascii="Times New Roman" w:hAnsi="Times New Roman"/>
        </w:rPr>
        <w:t>Gullickson</w:t>
      </w:r>
      <w:proofErr w:type="spellEnd"/>
      <w:r w:rsidRPr="00C3046C">
        <w:rPr>
          <w:rFonts w:ascii="Times New Roman" w:hAnsi="Times New Roman"/>
        </w:rPr>
        <w:t xml:space="preserve"> AR.  Response rates in survey research: a meta-analysis of the effects of monetary gratuities.  </w:t>
      </w:r>
      <w:r w:rsidRPr="00C3046C">
        <w:rPr>
          <w:rFonts w:ascii="Times New Roman" w:hAnsi="Times New Roman"/>
          <w:i/>
        </w:rPr>
        <w:t>J Experimental Education</w:t>
      </w:r>
      <w:r w:rsidRPr="00C3046C">
        <w:rPr>
          <w:rFonts w:ascii="Times New Roman" w:hAnsi="Times New Roman"/>
        </w:rPr>
        <w:t xml:space="preserve"> 1992; 61(1):52-62</w:t>
      </w:r>
      <w:r>
        <w:rPr>
          <w:rFonts w:ascii="Times New Roman" w:hAnsi="Times New Roman"/>
        </w:rPr>
        <w:t>.</w:t>
      </w:r>
    </w:p>
    <w:p w:rsidR="00411927" w:rsidRPr="006E66C9" w:rsidRDefault="00411927" w:rsidP="002455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lastRenderedPageBreak/>
        <w:t xml:space="preserve">Fox, RJ, </w:t>
      </w:r>
      <w:proofErr w:type="spellStart"/>
      <w:r w:rsidRPr="006E66C9">
        <w:rPr>
          <w:rFonts w:ascii="Times New Roman" w:hAnsi="Times New Roman"/>
        </w:rPr>
        <w:t>Crask</w:t>
      </w:r>
      <w:proofErr w:type="spellEnd"/>
      <w:r w:rsidRPr="006E66C9">
        <w:rPr>
          <w:rFonts w:ascii="Times New Roman" w:hAnsi="Times New Roman"/>
        </w:rPr>
        <w:t xml:space="preserve">, MR, Kim, J.  1988.  Mail survey response rate:  A meta-analysis of selected techniques for inducing response.  </w:t>
      </w:r>
      <w:r w:rsidRPr="006E66C9">
        <w:rPr>
          <w:rFonts w:ascii="Times New Roman" w:hAnsi="Times New Roman"/>
          <w:i/>
        </w:rPr>
        <w:t>Public Opinion Quarterly</w:t>
      </w:r>
      <w:r w:rsidRPr="006E66C9">
        <w:rPr>
          <w:rFonts w:ascii="Times New Roman" w:hAnsi="Times New Roman"/>
        </w:rPr>
        <w:t>, 52:467-491.</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t xml:space="preserve">Harvey, L.  Factors affecting response rates to mailed questionnaires:  A comprehensive literature review.  1987.  </w:t>
      </w:r>
      <w:r w:rsidRPr="006E66C9">
        <w:rPr>
          <w:rFonts w:ascii="Times New Roman" w:hAnsi="Times New Roman"/>
          <w:i/>
        </w:rPr>
        <w:t>Journal of Marketing Research</w:t>
      </w:r>
      <w:r w:rsidRPr="006E66C9">
        <w:rPr>
          <w:rFonts w:ascii="Times New Roman" w:hAnsi="Times New Roman"/>
        </w:rPr>
        <w:t>, 29(3):341-353.</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color w:val="000000"/>
        </w:rPr>
      </w:pPr>
      <w:r w:rsidRPr="006E66C9">
        <w:rPr>
          <w:rFonts w:ascii="Times New Roman" w:hAnsi="Times New Roman"/>
        </w:rPr>
        <w:t xml:space="preserve">Collins, RL, </w:t>
      </w:r>
      <w:proofErr w:type="spellStart"/>
      <w:r w:rsidRPr="006E66C9">
        <w:rPr>
          <w:rFonts w:ascii="Times New Roman" w:hAnsi="Times New Roman"/>
        </w:rPr>
        <w:t>Ellickson</w:t>
      </w:r>
      <w:proofErr w:type="spellEnd"/>
      <w:r w:rsidRPr="006E66C9">
        <w:rPr>
          <w:rFonts w:ascii="Times New Roman" w:hAnsi="Times New Roman"/>
        </w:rPr>
        <w:t xml:space="preserve">, PL, Hays, RD, McCaffrey, DF. 2000. Effects of incentive size and timing on response rates to a follow-up wave of a longitudinal mailed survey.  </w:t>
      </w:r>
      <w:r w:rsidRPr="006E66C9">
        <w:rPr>
          <w:rFonts w:ascii="Times New Roman" w:hAnsi="Times New Roman"/>
          <w:i/>
        </w:rPr>
        <w:t>Evaluation Review,</w:t>
      </w:r>
      <w:r w:rsidRPr="006E66C9">
        <w:rPr>
          <w:rFonts w:ascii="Times New Roman" w:hAnsi="Times New Roman"/>
        </w:rPr>
        <w:t xml:space="preserve"> 24(4):347-63.</w:t>
      </w:r>
    </w:p>
    <w:p w:rsidR="006E66C9" w:rsidRPr="006E66C9" w:rsidRDefault="006E66C9" w:rsidP="006E66C9">
      <w:pPr>
        <w:rPr>
          <w:rFonts w:ascii="Times New Roman" w:hAnsi="Times New Roman"/>
        </w:rPr>
      </w:pPr>
    </w:p>
    <w:p w:rsidR="006E66C9" w:rsidRPr="006E66C9" w:rsidRDefault="006E66C9" w:rsidP="006E66C9">
      <w:pPr>
        <w:pStyle w:val="BodyText"/>
        <w:ind w:left="360" w:hanging="360"/>
        <w:rPr>
          <w:i w:val="0"/>
          <w:szCs w:val="24"/>
        </w:rPr>
      </w:pPr>
      <w:proofErr w:type="spellStart"/>
      <w:r w:rsidRPr="006E66C9">
        <w:rPr>
          <w:i w:val="0"/>
          <w:szCs w:val="24"/>
        </w:rPr>
        <w:t>Yammarino</w:t>
      </w:r>
      <w:proofErr w:type="spellEnd"/>
      <w:r w:rsidRPr="006E66C9">
        <w:rPr>
          <w:i w:val="0"/>
          <w:szCs w:val="24"/>
        </w:rPr>
        <w:t>, FJ, Skinner, SJ, Childers, TL.  1991.  Understanding mail survey response behavior:  A meta-analysis.</w:t>
      </w:r>
      <w:r w:rsidRPr="006E66C9">
        <w:rPr>
          <w:szCs w:val="24"/>
        </w:rPr>
        <w:t xml:space="preserve">  Public Opinion Quarterly, </w:t>
      </w:r>
      <w:r w:rsidRPr="006E66C9">
        <w:rPr>
          <w:i w:val="0"/>
          <w:szCs w:val="24"/>
        </w:rPr>
        <w:t>55:613-619.</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t xml:space="preserve">Singer, E, Van </w:t>
      </w:r>
      <w:proofErr w:type="spellStart"/>
      <w:r w:rsidRPr="006E66C9">
        <w:rPr>
          <w:rFonts w:ascii="Times New Roman" w:hAnsi="Times New Roman"/>
        </w:rPr>
        <w:t>Hoewyk</w:t>
      </w:r>
      <w:proofErr w:type="spellEnd"/>
      <w:r w:rsidRPr="006E66C9">
        <w:rPr>
          <w:rFonts w:ascii="Times New Roman" w:hAnsi="Times New Roman"/>
        </w:rPr>
        <w:t xml:space="preserve">, J, Maher, MP.  2000. Experiments with incentives in telephone surveys.  </w:t>
      </w:r>
      <w:r w:rsidRPr="006E66C9">
        <w:rPr>
          <w:rFonts w:ascii="Times New Roman" w:hAnsi="Times New Roman"/>
          <w:i/>
        </w:rPr>
        <w:t>Public Opinion Quarterly</w:t>
      </w:r>
      <w:r w:rsidRPr="006E66C9">
        <w:rPr>
          <w:rFonts w:ascii="Times New Roman" w:hAnsi="Times New Roman"/>
        </w:rPr>
        <w:t xml:space="preserve">, 64(2):171-88.    </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r w:rsidRPr="006E66C9">
        <w:rPr>
          <w:rFonts w:ascii="Times New Roman" w:hAnsi="Times New Roman"/>
        </w:rPr>
        <w:t xml:space="preserve">Shaw, MJ, Beebe, TJ, Jensen, HL, </w:t>
      </w:r>
      <w:proofErr w:type="spellStart"/>
      <w:r w:rsidRPr="006E66C9">
        <w:rPr>
          <w:rFonts w:ascii="Times New Roman" w:hAnsi="Times New Roman"/>
        </w:rPr>
        <w:t>Adlis</w:t>
      </w:r>
      <w:proofErr w:type="spellEnd"/>
      <w:r w:rsidRPr="006E66C9">
        <w:rPr>
          <w:rFonts w:ascii="Times New Roman" w:hAnsi="Times New Roman"/>
        </w:rPr>
        <w:t xml:space="preserve">, SA. 2001. The use of monetary incentives in a community survey: impact on response rates, data quality, and cost. </w:t>
      </w:r>
      <w:r w:rsidRPr="006E66C9">
        <w:rPr>
          <w:rFonts w:ascii="Times New Roman" w:hAnsi="Times New Roman"/>
          <w:i/>
        </w:rPr>
        <w:t>Health Services Research,</w:t>
      </w:r>
      <w:r w:rsidRPr="006E66C9">
        <w:rPr>
          <w:rFonts w:ascii="Times New Roman" w:hAnsi="Times New Roman"/>
        </w:rPr>
        <w:t xml:space="preserve"> 35(6):1339-1346.  </w:t>
      </w:r>
    </w:p>
    <w:p w:rsidR="006E66C9" w:rsidRPr="006E66C9" w:rsidRDefault="006E66C9" w:rsidP="006E66C9">
      <w:pPr>
        <w:ind w:left="360" w:hanging="360"/>
        <w:rPr>
          <w:rFonts w:ascii="Times New Roman" w:hAnsi="Times New Roman"/>
        </w:rPr>
      </w:pPr>
    </w:p>
    <w:p w:rsidR="006E66C9" w:rsidRPr="006E66C9" w:rsidRDefault="006E66C9" w:rsidP="006E66C9">
      <w:pPr>
        <w:ind w:left="360" w:hanging="360"/>
        <w:rPr>
          <w:rFonts w:ascii="Times New Roman" w:hAnsi="Times New Roman"/>
        </w:rPr>
      </w:pPr>
      <w:proofErr w:type="spellStart"/>
      <w:r w:rsidRPr="006E66C9">
        <w:rPr>
          <w:rFonts w:ascii="Times New Roman" w:hAnsi="Times New Roman"/>
        </w:rPr>
        <w:t>Shettle</w:t>
      </w:r>
      <w:proofErr w:type="spellEnd"/>
      <w:r w:rsidRPr="006E66C9">
        <w:rPr>
          <w:rFonts w:ascii="Times New Roman" w:hAnsi="Times New Roman"/>
        </w:rPr>
        <w:t xml:space="preserve">, C, Mooney, G.  1999.  Monetary incentive in government surveys.  </w:t>
      </w:r>
      <w:r w:rsidRPr="006E66C9">
        <w:rPr>
          <w:rFonts w:ascii="Times New Roman" w:hAnsi="Times New Roman"/>
          <w:i/>
        </w:rPr>
        <w:t>Journal of Official Statistics</w:t>
      </w:r>
      <w:r w:rsidRPr="006E66C9">
        <w:rPr>
          <w:rFonts w:ascii="Times New Roman" w:hAnsi="Times New Roman"/>
        </w:rPr>
        <w:t>, 15: 231-250.</w:t>
      </w:r>
    </w:p>
    <w:p w:rsidR="006E66C9" w:rsidRPr="006E66C9" w:rsidRDefault="006E66C9" w:rsidP="006E66C9">
      <w:pPr>
        <w:ind w:left="360" w:hanging="360"/>
        <w:rPr>
          <w:rFonts w:ascii="Times New Roman" w:hAnsi="Times New Roman"/>
        </w:rPr>
      </w:pPr>
    </w:p>
    <w:p w:rsidR="009450C9" w:rsidRDefault="009450C9" w:rsidP="009F70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hanging="720"/>
        <w:rPr>
          <w:rFonts w:ascii="Times New Roman" w:hAnsi="Times New Roman"/>
        </w:rPr>
      </w:pPr>
    </w:p>
    <w:sectPr w:rsidR="009450C9" w:rsidSect="00815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1B" w:rsidRDefault="000D061B">
      <w:r>
        <w:separator/>
      </w:r>
    </w:p>
  </w:endnote>
  <w:endnote w:type="continuationSeparator" w:id="0">
    <w:p w:rsidR="000D061B" w:rsidRDefault="000D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B" w:rsidRDefault="000D061B" w:rsidP="00F909EB">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sidR="0094070E">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1B" w:rsidRDefault="000D061B">
      <w:r>
        <w:separator/>
      </w:r>
    </w:p>
  </w:footnote>
  <w:footnote w:type="continuationSeparator" w:id="0">
    <w:p w:rsidR="000D061B" w:rsidRDefault="000D0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1B" w:rsidRDefault="000D061B" w:rsidP="00BA5E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4C22EC"/>
    <w:multiLevelType w:val="hybridMultilevel"/>
    <w:tmpl w:val="C7F46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448D4"/>
    <w:multiLevelType w:val="singleLevel"/>
    <w:tmpl w:val="0409000F"/>
    <w:lvl w:ilvl="0">
      <w:start w:val="1"/>
      <w:numFmt w:val="decimal"/>
      <w:lvlText w:val="%1."/>
      <w:lvlJc w:val="left"/>
      <w:pPr>
        <w:tabs>
          <w:tab w:val="num" w:pos="360"/>
        </w:tabs>
        <w:ind w:left="360" w:hanging="360"/>
      </w:pPr>
    </w:lvl>
  </w:abstractNum>
  <w:abstractNum w:abstractNumId="3">
    <w:nsid w:val="26885950"/>
    <w:multiLevelType w:val="hybridMultilevel"/>
    <w:tmpl w:val="2504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nsid w:val="2D4D1E0B"/>
    <w:multiLevelType w:val="multilevel"/>
    <w:tmpl w:val="A99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9">
    <w:nsid w:val="56F407AD"/>
    <w:multiLevelType w:val="hybridMultilevel"/>
    <w:tmpl w:val="513CB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5B0B84"/>
    <w:multiLevelType w:val="hybridMultilevel"/>
    <w:tmpl w:val="DBCCC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EB0A36"/>
    <w:multiLevelType w:val="hybridMultilevel"/>
    <w:tmpl w:val="B23AD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6"/>
  </w:num>
  <w:num w:numId="5">
    <w:abstractNumId w:val="4"/>
  </w:num>
  <w:num w:numId="6">
    <w:abstractNumId w:val="8"/>
  </w:num>
  <w:num w:numId="7">
    <w:abstractNumId w:val="11"/>
  </w:num>
  <w:num w:numId="8">
    <w:abstractNumId w:val="1"/>
  </w:num>
  <w:num w:numId="9">
    <w:abstractNumId w:val="10"/>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38"/>
    <w:rsid w:val="0000510F"/>
    <w:rsid w:val="0002142B"/>
    <w:rsid w:val="000300E4"/>
    <w:rsid w:val="000361D6"/>
    <w:rsid w:val="00042ABB"/>
    <w:rsid w:val="00046FDB"/>
    <w:rsid w:val="0005021E"/>
    <w:rsid w:val="00053B0D"/>
    <w:rsid w:val="0006187E"/>
    <w:rsid w:val="0006315E"/>
    <w:rsid w:val="00063676"/>
    <w:rsid w:val="00073892"/>
    <w:rsid w:val="00080FFE"/>
    <w:rsid w:val="000829DC"/>
    <w:rsid w:val="00091E36"/>
    <w:rsid w:val="00094980"/>
    <w:rsid w:val="000A1EF4"/>
    <w:rsid w:val="000A3F85"/>
    <w:rsid w:val="000B7E7A"/>
    <w:rsid w:val="000C0932"/>
    <w:rsid w:val="000C0DF1"/>
    <w:rsid w:val="000C5839"/>
    <w:rsid w:val="000C6961"/>
    <w:rsid w:val="000D061B"/>
    <w:rsid w:val="000E5875"/>
    <w:rsid w:val="000F69CF"/>
    <w:rsid w:val="000F6C31"/>
    <w:rsid w:val="00104A77"/>
    <w:rsid w:val="00113FBB"/>
    <w:rsid w:val="00115194"/>
    <w:rsid w:val="001223AB"/>
    <w:rsid w:val="00123CF6"/>
    <w:rsid w:val="00127F10"/>
    <w:rsid w:val="00130A78"/>
    <w:rsid w:val="00130E04"/>
    <w:rsid w:val="00132645"/>
    <w:rsid w:val="00135288"/>
    <w:rsid w:val="00141265"/>
    <w:rsid w:val="00144198"/>
    <w:rsid w:val="0015072F"/>
    <w:rsid w:val="001518E3"/>
    <w:rsid w:val="00153845"/>
    <w:rsid w:val="0015791B"/>
    <w:rsid w:val="001622DD"/>
    <w:rsid w:val="00163607"/>
    <w:rsid w:val="00172E87"/>
    <w:rsid w:val="0017676D"/>
    <w:rsid w:val="0018082E"/>
    <w:rsid w:val="00180A4F"/>
    <w:rsid w:val="00185B9C"/>
    <w:rsid w:val="00186DF6"/>
    <w:rsid w:val="001947BF"/>
    <w:rsid w:val="001969D1"/>
    <w:rsid w:val="001A2840"/>
    <w:rsid w:val="001A49CA"/>
    <w:rsid w:val="001A6807"/>
    <w:rsid w:val="001A7822"/>
    <w:rsid w:val="001B01C9"/>
    <w:rsid w:val="001C1A83"/>
    <w:rsid w:val="001C1B5E"/>
    <w:rsid w:val="001C3636"/>
    <w:rsid w:val="001C4618"/>
    <w:rsid w:val="001C4A2B"/>
    <w:rsid w:val="001C59C1"/>
    <w:rsid w:val="001E4449"/>
    <w:rsid w:val="001F2FBE"/>
    <w:rsid w:val="001F31F4"/>
    <w:rsid w:val="00202AFE"/>
    <w:rsid w:val="00202B62"/>
    <w:rsid w:val="002045D0"/>
    <w:rsid w:val="00210555"/>
    <w:rsid w:val="00213350"/>
    <w:rsid w:val="00213D5A"/>
    <w:rsid w:val="00214A78"/>
    <w:rsid w:val="002157D1"/>
    <w:rsid w:val="00216BEC"/>
    <w:rsid w:val="00216C49"/>
    <w:rsid w:val="00217C26"/>
    <w:rsid w:val="002270DC"/>
    <w:rsid w:val="00232E88"/>
    <w:rsid w:val="00233674"/>
    <w:rsid w:val="002405DA"/>
    <w:rsid w:val="00242D1B"/>
    <w:rsid w:val="00243E45"/>
    <w:rsid w:val="0024558B"/>
    <w:rsid w:val="00252046"/>
    <w:rsid w:val="00252195"/>
    <w:rsid w:val="002526B6"/>
    <w:rsid w:val="00254279"/>
    <w:rsid w:val="002562B1"/>
    <w:rsid w:val="00256B48"/>
    <w:rsid w:val="0026136A"/>
    <w:rsid w:val="00263682"/>
    <w:rsid w:val="00266080"/>
    <w:rsid w:val="00272C81"/>
    <w:rsid w:val="00274F7D"/>
    <w:rsid w:val="0028177A"/>
    <w:rsid w:val="00282231"/>
    <w:rsid w:val="00283C5D"/>
    <w:rsid w:val="00284CEA"/>
    <w:rsid w:val="002909A5"/>
    <w:rsid w:val="00293405"/>
    <w:rsid w:val="002A2728"/>
    <w:rsid w:val="002A2C6E"/>
    <w:rsid w:val="002A5719"/>
    <w:rsid w:val="002B5A8F"/>
    <w:rsid w:val="002C158A"/>
    <w:rsid w:val="002C24D8"/>
    <w:rsid w:val="002D5B70"/>
    <w:rsid w:val="002D6713"/>
    <w:rsid w:val="002D6CF9"/>
    <w:rsid w:val="002E26A9"/>
    <w:rsid w:val="002E322D"/>
    <w:rsid w:val="002E4FD4"/>
    <w:rsid w:val="002F0639"/>
    <w:rsid w:val="002F1DB1"/>
    <w:rsid w:val="002F3986"/>
    <w:rsid w:val="003012F2"/>
    <w:rsid w:val="00302745"/>
    <w:rsid w:val="0030550B"/>
    <w:rsid w:val="00305CF8"/>
    <w:rsid w:val="00305F7B"/>
    <w:rsid w:val="00307728"/>
    <w:rsid w:val="00307A57"/>
    <w:rsid w:val="003129B5"/>
    <w:rsid w:val="003155AE"/>
    <w:rsid w:val="00316F94"/>
    <w:rsid w:val="00317973"/>
    <w:rsid w:val="0032020E"/>
    <w:rsid w:val="00322E30"/>
    <w:rsid w:val="00323F8E"/>
    <w:rsid w:val="00343E2A"/>
    <w:rsid w:val="00345C8C"/>
    <w:rsid w:val="0034786A"/>
    <w:rsid w:val="00353EF4"/>
    <w:rsid w:val="00357F19"/>
    <w:rsid w:val="00361A3F"/>
    <w:rsid w:val="00362F0D"/>
    <w:rsid w:val="0036745E"/>
    <w:rsid w:val="00367790"/>
    <w:rsid w:val="00374FE7"/>
    <w:rsid w:val="003757F9"/>
    <w:rsid w:val="003916F4"/>
    <w:rsid w:val="003922ED"/>
    <w:rsid w:val="0039635E"/>
    <w:rsid w:val="003A2379"/>
    <w:rsid w:val="003A4187"/>
    <w:rsid w:val="003A4FA9"/>
    <w:rsid w:val="003A7636"/>
    <w:rsid w:val="003B634B"/>
    <w:rsid w:val="003C1CE4"/>
    <w:rsid w:val="003C3370"/>
    <w:rsid w:val="003C598E"/>
    <w:rsid w:val="003C62C8"/>
    <w:rsid w:val="003D76C7"/>
    <w:rsid w:val="003E21D6"/>
    <w:rsid w:val="003E798F"/>
    <w:rsid w:val="003F7DB8"/>
    <w:rsid w:val="00401599"/>
    <w:rsid w:val="0040723A"/>
    <w:rsid w:val="00411927"/>
    <w:rsid w:val="00415577"/>
    <w:rsid w:val="0042042F"/>
    <w:rsid w:val="00420CFB"/>
    <w:rsid w:val="00423F19"/>
    <w:rsid w:val="00424279"/>
    <w:rsid w:val="004245CF"/>
    <w:rsid w:val="00425C3C"/>
    <w:rsid w:val="00431F67"/>
    <w:rsid w:val="00432434"/>
    <w:rsid w:val="004360A6"/>
    <w:rsid w:val="00436B4F"/>
    <w:rsid w:val="004404EE"/>
    <w:rsid w:val="004406D2"/>
    <w:rsid w:val="00440ADD"/>
    <w:rsid w:val="00441C98"/>
    <w:rsid w:val="0044703A"/>
    <w:rsid w:val="00455993"/>
    <w:rsid w:val="00461384"/>
    <w:rsid w:val="00461C9F"/>
    <w:rsid w:val="004669D7"/>
    <w:rsid w:val="00467025"/>
    <w:rsid w:val="00476FBE"/>
    <w:rsid w:val="00480302"/>
    <w:rsid w:val="00480F7D"/>
    <w:rsid w:val="00483019"/>
    <w:rsid w:val="0048656B"/>
    <w:rsid w:val="004A0FF6"/>
    <w:rsid w:val="004A6C86"/>
    <w:rsid w:val="004B1EBE"/>
    <w:rsid w:val="004C501C"/>
    <w:rsid w:val="004D49DC"/>
    <w:rsid w:val="004D7054"/>
    <w:rsid w:val="004D736C"/>
    <w:rsid w:val="004D7B05"/>
    <w:rsid w:val="004E25A4"/>
    <w:rsid w:val="004E40CB"/>
    <w:rsid w:val="004E6A52"/>
    <w:rsid w:val="004F116F"/>
    <w:rsid w:val="004F1DC8"/>
    <w:rsid w:val="004F3B6B"/>
    <w:rsid w:val="004F4FD8"/>
    <w:rsid w:val="00500C39"/>
    <w:rsid w:val="005011E5"/>
    <w:rsid w:val="00511B69"/>
    <w:rsid w:val="00511CC3"/>
    <w:rsid w:val="00513ED2"/>
    <w:rsid w:val="00520324"/>
    <w:rsid w:val="005255B3"/>
    <w:rsid w:val="0052646F"/>
    <w:rsid w:val="00526F95"/>
    <w:rsid w:val="005301BD"/>
    <w:rsid w:val="00530784"/>
    <w:rsid w:val="00531531"/>
    <w:rsid w:val="005348BA"/>
    <w:rsid w:val="005513D0"/>
    <w:rsid w:val="00553201"/>
    <w:rsid w:val="00553839"/>
    <w:rsid w:val="0055534A"/>
    <w:rsid w:val="00557E1E"/>
    <w:rsid w:val="005600ED"/>
    <w:rsid w:val="005605F1"/>
    <w:rsid w:val="0056131E"/>
    <w:rsid w:val="00567C1C"/>
    <w:rsid w:val="0057299F"/>
    <w:rsid w:val="00572E57"/>
    <w:rsid w:val="00574325"/>
    <w:rsid w:val="005820A3"/>
    <w:rsid w:val="005849CF"/>
    <w:rsid w:val="005852B2"/>
    <w:rsid w:val="00586437"/>
    <w:rsid w:val="00591AF2"/>
    <w:rsid w:val="005934EC"/>
    <w:rsid w:val="00597137"/>
    <w:rsid w:val="00597260"/>
    <w:rsid w:val="005A17C0"/>
    <w:rsid w:val="005A3CA7"/>
    <w:rsid w:val="005A6C24"/>
    <w:rsid w:val="005C02B6"/>
    <w:rsid w:val="005C1027"/>
    <w:rsid w:val="005C3C2B"/>
    <w:rsid w:val="005C428A"/>
    <w:rsid w:val="005C4A3D"/>
    <w:rsid w:val="005C54A1"/>
    <w:rsid w:val="005C562C"/>
    <w:rsid w:val="005C6DA8"/>
    <w:rsid w:val="005C789F"/>
    <w:rsid w:val="005D1690"/>
    <w:rsid w:val="005E59A7"/>
    <w:rsid w:val="005E5F88"/>
    <w:rsid w:val="005E6652"/>
    <w:rsid w:val="005E7A9F"/>
    <w:rsid w:val="005F162B"/>
    <w:rsid w:val="005F2FCA"/>
    <w:rsid w:val="005F7348"/>
    <w:rsid w:val="005F76CC"/>
    <w:rsid w:val="00601C15"/>
    <w:rsid w:val="00602C8E"/>
    <w:rsid w:val="006035C7"/>
    <w:rsid w:val="00604328"/>
    <w:rsid w:val="00610E3D"/>
    <w:rsid w:val="00613AA5"/>
    <w:rsid w:val="00622713"/>
    <w:rsid w:val="006241C4"/>
    <w:rsid w:val="0062544B"/>
    <w:rsid w:val="00625B94"/>
    <w:rsid w:val="00630396"/>
    <w:rsid w:val="0063120C"/>
    <w:rsid w:val="00637044"/>
    <w:rsid w:val="00642E2E"/>
    <w:rsid w:val="006471E2"/>
    <w:rsid w:val="006476EC"/>
    <w:rsid w:val="00647EE0"/>
    <w:rsid w:val="0065000A"/>
    <w:rsid w:val="00661165"/>
    <w:rsid w:val="00662D1C"/>
    <w:rsid w:val="00665645"/>
    <w:rsid w:val="00671FAD"/>
    <w:rsid w:val="00673F23"/>
    <w:rsid w:val="006763DE"/>
    <w:rsid w:val="00690CCE"/>
    <w:rsid w:val="00696C1F"/>
    <w:rsid w:val="006A2D89"/>
    <w:rsid w:val="006C42B2"/>
    <w:rsid w:val="006C6199"/>
    <w:rsid w:val="006C754C"/>
    <w:rsid w:val="006D29DD"/>
    <w:rsid w:val="006D5D7C"/>
    <w:rsid w:val="006D6510"/>
    <w:rsid w:val="006E00E0"/>
    <w:rsid w:val="006E16B7"/>
    <w:rsid w:val="006E5C8E"/>
    <w:rsid w:val="006E66C9"/>
    <w:rsid w:val="006F2EF9"/>
    <w:rsid w:val="006F7A6E"/>
    <w:rsid w:val="007061FF"/>
    <w:rsid w:val="00706CCD"/>
    <w:rsid w:val="00710055"/>
    <w:rsid w:val="007240D9"/>
    <w:rsid w:val="00725F14"/>
    <w:rsid w:val="007322A6"/>
    <w:rsid w:val="00732CB7"/>
    <w:rsid w:val="00733606"/>
    <w:rsid w:val="00734CB7"/>
    <w:rsid w:val="007373A6"/>
    <w:rsid w:val="0073755D"/>
    <w:rsid w:val="00742825"/>
    <w:rsid w:val="00745861"/>
    <w:rsid w:val="00755A87"/>
    <w:rsid w:val="00755D54"/>
    <w:rsid w:val="00760692"/>
    <w:rsid w:val="0076700C"/>
    <w:rsid w:val="00767622"/>
    <w:rsid w:val="00767A7E"/>
    <w:rsid w:val="007770AA"/>
    <w:rsid w:val="007821E1"/>
    <w:rsid w:val="007841BC"/>
    <w:rsid w:val="0078563B"/>
    <w:rsid w:val="00794EB8"/>
    <w:rsid w:val="00795E2E"/>
    <w:rsid w:val="007A76A3"/>
    <w:rsid w:val="007B169C"/>
    <w:rsid w:val="007B3ACE"/>
    <w:rsid w:val="007B7FE8"/>
    <w:rsid w:val="007C3CB9"/>
    <w:rsid w:val="007D0A72"/>
    <w:rsid w:val="007D5746"/>
    <w:rsid w:val="007E4CF3"/>
    <w:rsid w:val="007F1A63"/>
    <w:rsid w:val="007F2228"/>
    <w:rsid w:val="007F472A"/>
    <w:rsid w:val="0080067E"/>
    <w:rsid w:val="008024BD"/>
    <w:rsid w:val="0080375F"/>
    <w:rsid w:val="00806867"/>
    <w:rsid w:val="008150C1"/>
    <w:rsid w:val="00815FF2"/>
    <w:rsid w:val="00820269"/>
    <w:rsid w:val="00823A2A"/>
    <w:rsid w:val="00825EC2"/>
    <w:rsid w:val="00830571"/>
    <w:rsid w:val="008306A8"/>
    <w:rsid w:val="00830C48"/>
    <w:rsid w:val="0083202B"/>
    <w:rsid w:val="00833F6A"/>
    <w:rsid w:val="00834606"/>
    <w:rsid w:val="008515E5"/>
    <w:rsid w:val="00852041"/>
    <w:rsid w:val="008551D5"/>
    <w:rsid w:val="00860B85"/>
    <w:rsid w:val="0086661C"/>
    <w:rsid w:val="008672EB"/>
    <w:rsid w:val="008704AC"/>
    <w:rsid w:val="00872317"/>
    <w:rsid w:val="008741B2"/>
    <w:rsid w:val="0087723C"/>
    <w:rsid w:val="00882C23"/>
    <w:rsid w:val="00886826"/>
    <w:rsid w:val="008920BB"/>
    <w:rsid w:val="008922D3"/>
    <w:rsid w:val="008A3732"/>
    <w:rsid w:val="008A3F79"/>
    <w:rsid w:val="008A7654"/>
    <w:rsid w:val="008B0D32"/>
    <w:rsid w:val="008B783B"/>
    <w:rsid w:val="008C13C4"/>
    <w:rsid w:val="008C685C"/>
    <w:rsid w:val="008D0841"/>
    <w:rsid w:val="008D3FE2"/>
    <w:rsid w:val="008D4636"/>
    <w:rsid w:val="008E194B"/>
    <w:rsid w:val="008E2B6F"/>
    <w:rsid w:val="008E53DC"/>
    <w:rsid w:val="008E6505"/>
    <w:rsid w:val="008F2A0E"/>
    <w:rsid w:val="008F4BB7"/>
    <w:rsid w:val="008F51C8"/>
    <w:rsid w:val="008F5731"/>
    <w:rsid w:val="00902B2F"/>
    <w:rsid w:val="009036CE"/>
    <w:rsid w:val="00906390"/>
    <w:rsid w:val="00907E54"/>
    <w:rsid w:val="00914FEA"/>
    <w:rsid w:val="00921BFE"/>
    <w:rsid w:val="00926FE8"/>
    <w:rsid w:val="00931300"/>
    <w:rsid w:val="0093152A"/>
    <w:rsid w:val="00931B88"/>
    <w:rsid w:val="00935A73"/>
    <w:rsid w:val="00936388"/>
    <w:rsid w:val="009365DD"/>
    <w:rsid w:val="0094070E"/>
    <w:rsid w:val="009450C9"/>
    <w:rsid w:val="00945788"/>
    <w:rsid w:val="00946BC6"/>
    <w:rsid w:val="009500CC"/>
    <w:rsid w:val="00950926"/>
    <w:rsid w:val="00950EE3"/>
    <w:rsid w:val="00952051"/>
    <w:rsid w:val="00955E84"/>
    <w:rsid w:val="00965DAA"/>
    <w:rsid w:val="00966B14"/>
    <w:rsid w:val="00966D02"/>
    <w:rsid w:val="00972956"/>
    <w:rsid w:val="00973F70"/>
    <w:rsid w:val="00977754"/>
    <w:rsid w:val="00985C51"/>
    <w:rsid w:val="00993DBF"/>
    <w:rsid w:val="009B13EA"/>
    <w:rsid w:val="009B571D"/>
    <w:rsid w:val="009B61D7"/>
    <w:rsid w:val="009C2004"/>
    <w:rsid w:val="009C6B84"/>
    <w:rsid w:val="009D0223"/>
    <w:rsid w:val="009D0979"/>
    <w:rsid w:val="009D0F81"/>
    <w:rsid w:val="009D4FD9"/>
    <w:rsid w:val="009D5DB4"/>
    <w:rsid w:val="009E2B6E"/>
    <w:rsid w:val="009E5E50"/>
    <w:rsid w:val="009E7532"/>
    <w:rsid w:val="009E7C59"/>
    <w:rsid w:val="009F709F"/>
    <w:rsid w:val="00A01DCE"/>
    <w:rsid w:val="00A01F39"/>
    <w:rsid w:val="00A04786"/>
    <w:rsid w:val="00A11161"/>
    <w:rsid w:val="00A12EA0"/>
    <w:rsid w:val="00A131D6"/>
    <w:rsid w:val="00A21507"/>
    <w:rsid w:val="00A254A1"/>
    <w:rsid w:val="00A317EC"/>
    <w:rsid w:val="00A40EF5"/>
    <w:rsid w:val="00A41D20"/>
    <w:rsid w:val="00A43FD5"/>
    <w:rsid w:val="00A50A67"/>
    <w:rsid w:val="00A56FC9"/>
    <w:rsid w:val="00A67073"/>
    <w:rsid w:val="00A672C5"/>
    <w:rsid w:val="00A778FF"/>
    <w:rsid w:val="00A87B3D"/>
    <w:rsid w:val="00A94C7A"/>
    <w:rsid w:val="00AA5DC4"/>
    <w:rsid w:val="00AB3154"/>
    <w:rsid w:val="00AB6317"/>
    <w:rsid w:val="00AC20CB"/>
    <w:rsid w:val="00AD1B36"/>
    <w:rsid w:val="00AD391C"/>
    <w:rsid w:val="00AD5DC7"/>
    <w:rsid w:val="00AE3692"/>
    <w:rsid w:val="00AF4196"/>
    <w:rsid w:val="00AF7891"/>
    <w:rsid w:val="00AF7F72"/>
    <w:rsid w:val="00B00F2F"/>
    <w:rsid w:val="00B0575C"/>
    <w:rsid w:val="00B05DD7"/>
    <w:rsid w:val="00B07C7C"/>
    <w:rsid w:val="00B102F0"/>
    <w:rsid w:val="00B13A4D"/>
    <w:rsid w:val="00B13B88"/>
    <w:rsid w:val="00B14B31"/>
    <w:rsid w:val="00B1716C"/>
    <w:rsid w:val="00B17EBC"/>
    <w:rsid w:val="00B20932"/>
    <w:rsid w:val="00B24C5F"/>
    <w:rsid w:val="00B261B5"/>
    <w:rsid w:val="00B31574"/>
    <w:rsid w:val="00B32BEE"/>
    <w:rsid w:val="00B37CBC"/>
    <w:rsid w:val="00B46E04"/>
    <w:rsid w:val="00B53B3D"/>
    <w:rsid w:val="00B56339"/>
    <w:rsid w:val="00B61B15"/>
    <w:rsid w:val="00B62E89"/>
    <w:rsid w:val="00B728B5"/>
    <w:rsid w:val="00B7776B"/>
    <w:rsid w:val="00B80F12"/>
    <w:rsid w:val="00B81573"/>
    <w:rsid w:val="00B8538A"/>
    <w:rsid w:val="00B968A3"/>
    <w:rsid w:val="00B9721B"/>
    <w:rsid w:val="00B979D5"/>
    <w:rsid w:val="00BA4282"/>
    <w:rsid w:val="00BA5D6C"/>
    <w:rsid w:val="00BA5E08"/>
    <w:rsid w:val="00BA6D0F"/>
    <w:rsid w:val="00BA7225"/>
    <w:rsid w:val="00BB2F25"/>
    <w:rsid w:val="00BB3D88"/>
    <w:rsid w:val="00BB7FD0"/>
    <w:rsid w:val="00BD5621"/>
    <w:rsid w:val="00BE1546"/>
    <w:rsid w:val="00BE5F26"/>
    <w:rsid w:val="00BF2239"/>
    <w:rsid w:val="00C0221E"/>
    <w:rsid w:val="00C051CF"/>
    <w:rsid w:val="00C0523F"/>
    <w:rsid w:val="00C05EB0"/>
    <w:rsid w:val="00C06189"/>
    <w:rsid w:val="00C1192B"/>
    <w:rsid w:val="00C11C0A"/>
    <w:rsid w:val="00C14F41"/>
    <w:rsid w:val="00C15478"/>
    <w:rsid w:val="00C163FE"/>
    <w:rsid w:val="00C17CBC"/>
    <w:rsid w:val="00C209B6"/>
    <w:rsid w:val="00C20DFB"/>
    <w:rsid w:val="00C23BA7"/>
    <w:rsid w:val="00C24D93"/>
    <w:rsid w:val="00C26A77"/>
    <w:rsid w:val="00C3046C"/>
    <w:rsid w:val="00C33014"/>
    <w:rsid w:val="00C33F2A"/>
    <w:rsid w:val="00C414C5"/>
    <w:rsid w:val="00C416BC"/>
    <w:rsid w:val="00C445FE"/>
    <w:rsid w:val="00C528A0"/>
    <w:rsid w:val="00C54503"/>
    <w:rsid w:val="00C60464"/>
    <w:rsid w:val="00C70796"/>
    <w:rsid w:val="00C72D6B"/>
    <w:rsid w:val="00C762A0"/>
    <w:rsid w:val="00C81ABC"/>
    <w:rsid w:val="00C8639E"/>
    <w:rsid w:val="00C91271"/>
    <w:rsid w:val="00CA030A"/>
    <w:rsid w:val="00CA4621"/>
    <w:rsid w:val="00CA4AA4"/>
    <w:rsid w:val="00CA4AC2"/>
    <w:rsid w:val="00CA58FD"/>
    <w:rsid w:val="00CB172B"/>
    <w:rsid w:val="00CB1C68"/>
    <w:rsid w:val="00CC15AA"/>
    <w:rsid w:val="00CC4E95"/>
    <w:rsid w:val="00CC621C"/>
    <w:rsid w:val="00CD4AD5"/>
    <w:rsid w:val="00CD733D"/>
    <w:rsid w:val="00CE3CEC"/>
    <w:rsid w:val="00CE3D90"/>
    <w:rsid w:val="00CF06D5"/>
    <w:rsid w:val="00CF2DAA"/>
    <w:rsid w:val="00CF457F"/>
    <w:rsid w:val="00D009D3"/>
    <w:rsid w:val="00D00F16"/>
    <w:rsid w:val="00D0330D"/>
    <w:rsid w:val="00D12E5B"/>
    <w:rsid w:val="00D32107"/>
    <w:rsid w:val="00D32E93"/>
    <w:rsid w:val="00D37E07"/>
    <w:rsid w:val="00D40453"/>
    <w:rsid w:val="00D4071D"/>
    <w:rsid w:val="00D40FC1"/>
    <w:rsid w:val="00D42848"/>
    <w:rsid w:val="00D464E3"/>
    <w:rsid w:val="00D527DC"/>
    <w:rsid w:val="00D534F9"/>
    <w:rsid w:val="00D60E86"/>
    <w:rsid w:val="00D66A27"/>
    <w:rsid w:val="00D81CC1"/>
    <w:rsid w:val="00D82479"/>
    <w:rsid w:val="00D82729"/>
    <w:rsid w:val="00D90BA9"/>
    <w:rsid w:val="00D927DC"/>
    <w:rsid w:val="00D92858"/>
    <w:rsid w:val="00D945E2"/>
    <w:rsid w:val="00DA35A6"/>
    <w:rsid w:val="00DA622F"/>
    <w:rsid w:val="00DB0578"/>
    <w:rsid w:val="00DB37FF"/>
    <w:rsid w:val="00DB3B9F"/>
    <w:rsid w:val="00DB6004"/>
    <w:rsid w:val="00DB71FF"/>
    <w:rsid w:val="00DC1839"/>
    <w:rsid w:val="00DC52DE"/>
    <w:rsid w:val="00DC76D9"/>
    <w:rsid w:val="00DD036C"/>
    <w:rsid w:val="00DD3A97"/>
    <w:rsid w:val="00DD5DC2"/>
    <w:rsid w:val="00DE01E1"/>
    <w:rsid w:val="00DE05F4"/>
    <w:rsid w:val="00DE0ABD"/>
    <w:rsid w:val="00DF3F90"/>
    <w:rsid w:val="00DF4030"/>
    <w:rsid w:val="00DF602A"/>
    <w:rsid w:val="00E074E2"/>
    <w:rsid w:val="00E13C9C"/>
    <w:rsid w:val="00E20DFF"/>
    <w:rsid w:val="00E2502E"/>
    <w:rsid w:val="00E32431"/>
    <w:rsid w:val="00E43398"/>
    <w:rsid w:val="00E43C47"/>
    <w:rsid w:val="00E5186A"/>
    <w:rsid w:val="00E521BC"/>
    <w:rsid w:val="00E64C6E"/>
    <w:rsid w:val="00E715A5"/>
    <w:rsid w:val="00E75E4C"/>
    <w:rsid w:val="00E77FE1"/>
    <w:rsid w:val="00E86368"/>
    <w:rsid w:val="00E93107"/>
    <w:rsid w:val="00EA4D74"/>
    <w:rsid w:val="00EB02AF"/>
    <w:rsid w:val="00EB05CE"/>
    <w:rsid w:val="00EB2F54"/>
    <w:rsid w:val="00EB312F"/>
    <w:rsid w:val="00EB32B7"/>
    <w:rsid w:val="00EB3EAF"/>
    <w:rsid w:val="00EB44E7"/>
    <w:rsid w:val="00EB465E"/>
    <w:rsid w:val="00EB79E1"/>
    <w:rsid w:val="00EC35E6"/>
    <w:rsid w:val="00EC7535"/>
    <w:rsid w:val="00ED04B4"/>
    <w:rsid w:val="00ED482C"/>
    <w:rsid w:val="00ED5D36"/>
    <w:rsid w:val="00ED7EA2"/>
    <w:rsid w:val="00EE7B10"/>
    <w:rsid w:val="00EF0596"/>
    <w:rsid w:val="00EF4D8B"/>
    <w:rsid w:val="00F03A66"/>
    <w:rsid w:val="00F10E0E"/>
    <w:rsid w:val="00F14F38"/>
    <w:rsid w:val="00F16442"/>
    <w:rsid w:val="00F16CC6"/>
    <w:rsid w:val="00F2068C"/>
    <w:rsid w:val="00F228FA"/>
    <w:rsid w:val="00F23668"/>
    <w:rsid w:val="00F270D0"/>
    <w:rsid w:val="00F27129"/>
    <w:rsid w:val="00F302C8"/>
    <w:rsid w:val="00F415CF"/>
    <w:rsid w:val="00F45811"/>
    <w:rsid w:val="00F50019"/>
    <w:rsid w:val="00F525A1"/>
    <w:rsid w:val="00F52672"/>
    <w:rsid w:val="00F54949"/>
    <w:rsid w:val="00F56961"/>
    <w:rsid w:val="00F56D52"/>
    <w:rsid w:val="00F62C31"/>
    <w:rsid w:val="00F630C9"/>
    <w:rsid w:val="00F77167"/>
    <w:rsid w:val="00F8066F"/>
    <w:rsid w:val="00F84346"/>
    <w:rsid w:val="00F854F3"/>
    <w:rsid w:val="00F909EB"/>
    <w:rsid w:val="00F90CCC"/>
    <w:rsid w:val="00F90EB9"/>
    <w:rsid w:val="00F9293D"/>
    <w:rsid w:val="00F96BB2"/>
    <w:rsid w:val="00FA7FD2"/>
    <w:rsid w:val="00FB483F"/>
    <w:rsid w:val="00FB4E12"/>
    <w:rsid w:val="00FC2246"/>
    <w:rsid w:val="00FC3DE3"/>
    <w:rsid w:val="00FC3E2A"/>
    <w:rsid w:val="00FC72C9"/>
    <w:rsid w:val="00FE23E8"/>
    <w:rsid w:val="00FE4FA5"/>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D66A2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6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6A27"/>
    <w:pPr>
      <w:keepNext/>
      <w:spacing w:before="240" w:after="60"/>
      <w:outlineLvl w:val="2"/>
    </w:pPr>
    <w:rPr>
      <w:rFonts w:ascii="Arial" w:hAnsi="Arial" w:cs="Arial"/>
      <w:b/>
      <w:bCs/>
      <w:sz w:val="26"/>
      <w:szCs w:val="26"/>
    </w:rPr>
  </w:style>
  <w:style w:type="paragraph" w:styleId="Heading8">
    <w:name w:val="heading 8"/>
    <w:basedOn w:val="Normal"/>
    <w:next w:val="Normal"/>
    <w:qFormat/>
    <w:rsid w:val="007C3CB9"/>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Web"/>
    <w:rsid w:val="00F909EB"/>
    <w:pPr>
      <w:spacing w:line="480" w:lineRule="auto"/>
    </w:pPr>
    <w:rPr>
      <w:b/>
    </w:rPr>
  </w:style>
  <w:style w:type="paragraph" w:customStyle="1" w:styleId="Tablehead">
    <w:name w:val="Tablehead"/>
    <w:basedOn w:val="NormalWeb"/>
    <w:rsid w:val="00F909EB"/>
    <w:pPr>
      <w:spacing w:line="480" w:lineRule="auto"/>
    </w:pPr>
  </w:style>
  <w:style w:type="paragraph" w:customStyle="1" w:styleId="Head2">
    <w:name w:val="Head2"/>
    <w:basedOn w:val="Normal"/>
    <w:rsid w:val="00F909EB"/>
    <w:pPr>
      <w:tabs>
        <w:tab w:val="left" w:pos="11934"/>
      </w:tabs>
      <w:spacing w:line="480" w:lineRule="auto"/>
      <w:outlineLvl w:val="0"/>
    </w:pPr>
    <w:rPr>
      <w:rFonts w:ascii="Times New Roman" w:hAnsi="Times New Roman"/>
      <w:b/>
    </w:rPr>
  </w:style>
  <w:style w:type="paragraph" w:customStyle="1" w:styleId="Head3">
    <w:name w:val="Head3"/>
    <w:basedOn w:val="Normal"/>
    <w:rsid w:val="00F909EB"/>
    <w:pPr>
      <w:tabs>
        <w:tab w:val="left" w:pos="11934"/>
      </w:tabs>
      <w:spacing w:before="100" w:beforeAutospacing="1" w:after="100" w:afterAutospacing="1" w:line="480" w:lineRule="auto"/>
    </w:pPr>
    <w:rPr>
      <w:rFonts w:ascii="Times New Roman" w:hAnsi="Times New Roman"/>
    </w:rPr>
  </w:style>
  <w:style w:type="paragraph" w:styleId="Header">
    <w:name w:val="header"/>
    <w:basedOn w:val="Normal"/>
    <w:rsid w:val="00F909EB"/>
    <w:pPr>
      <w:tabs>
        <w:tab w:val="center" w:pos="4320"/>
        <w:tab w:val="right" w:pos="8640"/>
      </w:tabs>
    </w:pPr>
  </w:style>
  <w:style w:type="paragraph" w:styleId="TOC1">
    <w:name w:val="toc 1"/>
    <w:basedOn w:val="Normal"/>
    <w:next w:val="Normal"/>
    <w:autoRedefine/>
    <w:semiHidden/>
    <w:rsid w:val="00D66A27"/>
    <w:pPr>
      <w:tabs>
        <w:tab w:val="right" w:leader="dot" w:pos="9360"/>
      </w:tabs>
      <w:spacing w:before="120" w:after="120"/>
      <w:ind w:right="360"/>
    </w:pPr>
    <w:rPr>
      <w:rFonts w:ascii="Times New Roman" w:hAnsi="Times New Roman"/>
      <w:b/>
      <w:bCs/>
      <w:caps/>
      <w:sz w:val="20"/>
      <w:szCs w:val="20"/>
    </w:rPr>
  </w:style>
  <w:style w:type="paragraph" w:styleId="TOC2">
    <w:name w:val="toc 2"/>
    <w:basedOn w:val="Normal"/>
    <w:next w:val="Normal"/>
    <w:autoRedefine/>
    <w:semiHidden/>
    <w:rsid w:val="00D66A27"/>
    <w:pPr>
      <w:ind w:left="240"/>
    </w:pPr>
    <w:rPr>
      <w:rFonts w:ascii="Times New Roman" w:hAnsi="Times New Roman"/>
      <w:smallCaps/>
      <w:sz w:val="20"/>
      <w:szCs w:val="20"/>
    </w:rPr>
  </w:style>
  <w:style w:type="paragraph" w:styleId="TOC3">
    <w:name w:val="toc 3"/>
    <w:basedOn w:val="Normal"/>
    <w:next w:val="Normal"/>
    <w:autoRedefine/>
    <w:semiHidden/>
    <w:rsid w:val="00D66A27"/>
    <w:pPr>
      <w:ind w:left="480"/>
    </w:pPr>
    <w:rPr>
      <w:rFonts w:ascii="Times New Roman" w:hAnsi="Times New Roman"/>
      <w:i/>
      <w:iCs/>
      <w:sz w:val="20"/>
      <w:szCs w:val="20"/>
    </w:rPr>
  </w:style>
  <w:style w:type="paragraph" w:styleId="TOC4">
    <w:name w:val="toc 4"/>
    <w:basedOn w:val="Normal"/>
    <w:next w:val="Normal"/>
    <w:autoRedefine/>
    <w:semiHidden/>
    <w:rsid w:val="00D66A27"/>
    <w:pPr>
      <w:ind w:left="720"/>
    </w:pPr>
    <w:rPr>
      <w:rFonts w:ascii="Times New Roman" w:hAnsi="Times New Roman"/>
      <w:sz w:val="18"/>
      <w:szCs w:val="18"/>
    </w:rPr>
  </w:style>
  <w:style w:type="paragraph" w:styleId="TOC5">
    <w:name w:val="toc 5"/>
    <w:basedOn w:val="Normal"/>
    <w:next w:val="Normal"/>
    <w:autoRedefine/>
    <w:semiHidden/>
    <w:rsid w:val="00D66A27"/>
    <w:pPr>
      <w:ind w:left="960"/>
    </w:pPr>
    <w:rPr>
      <w:rFonts w:ascii="Times New Roman" w:hAnsi="Times New Roman"/>
      <w:sz w:val="18"/>
      <w:szCs w:val="18"/>
    </w:rPr>
  </w:style>
  <w:style w:type="paragraph" w:styleId="TOC6">
    <w:name w:val="toc 6"/>
    <w:basedOn w:val="Normal"/>
    <w:next w:val="Normal"/>
    <w:autoRedefine/>
    <w:semiHidden/>
    <w:rsid w:val="00D66A27"/>
    <w:pPr>
      <w:ind w:left="1200"/>
    </w:pPr>
    <w:rPr>
      <w:rFonts w:ascii="Times New Roman" w:hAnsi="Times New Roman"/>
      <w:sz w:val="18"/>
      <w:szCs w:val="18"/>
    </w:rPr>
  </w:style>
  <w:style w:type="paragraph" w:styleId="TOC7">
    <w:name w:val="toc 7"/>
    <w:basedOn w:val="Normal"/>
    <w:next w:val="Normal"/>
    <w:autoRedefine/>
    <w:semiHidden/>
    <w:rsid w:val="00D66A27"/>
    <w:pPr>
      <w:ind w:left="1440"/>
    </w:pPr>
    <w:rPr>
      <w:rFonts w:ascii="Times New Roman" w:hAnsi="Times New Roman"/>
      <w:sz w:val="18"/>
      <w:szCs w:val="18"/>
    </w:rPr>
  </w:style>
  <w:style w:type="paragraph" w:styleId="TOC8">
    <w:name w:val="toc 8"/>
    <w:basedOn w:val="Normal"/>
    <w:next w:val="Normal"/>
    <w:autoRedefine/>
    <w:semiHidden/>
    <w:rsid w:val="00D66A27"/>
    <w:pPr>
      <w:ind w:left="1680"/>
    </w:pPr>
    <w:rPr>
      <w:rFonts w:ascii="Times New Roman" w:hAnsi="Times New Roman"/>
      <w:sz w:val="18"/>
      <w:szCs w:val="18"/>
    </w:rPr>
  </w:style>
  <w:style w:type="paragraph" w:styleId="TOC9">
    <w:name w:val="toc 9"/>
    <w:basedOn w:val="Normal"/>
    <w:next w:val="Normal"/>
    <w:autoRedefine/>
    <w:semiHidden/>
    <w:rsid w:val="00D66A27"/>
    <w:pPr>
      <w:ind w:left="1920"/>
    </w:pPr>
    <w:rPr>
      <w:rFonts w:ascii="Times New Roman" w:hAnsi="Times New Roman"/>
      <w:sz w:val="18"/>
      <w:szCs w:val="18"/>
    </w:rPr>
  </w:style>
  <w:style w:type="paragraph" w:styleId="TableofFigures">
    <w:name w:val="table of figures"/>
    <w:basedOn w:val="Normal"/>
    <w:next w:val="Normal"/>
    <w:semiHidden/>
    <w:rsid w:val="00604328"/>
  </w:style>
  <w:style w:type="paragraph" w:styleId="FootnoteText">
    <w:name w:val="footnote text"/>
    <w:basedOn w:val="Normal"/>
    <w:semiHidden/>
    <w:rsid w:val="00DB3B9F"/>
    <w:pPr>
      <w:widowControl/>
      <w:autoSpaceDE/>
      <w:autoSpaceDN/>
      <w:adjustRightInd/>
    </w:pPr>
    <w:rPr>
      <w:rFonts w:ascii="Times New Roman" w:hAnsi="Times New Roman"/>
      <w:sz w:val="20"/>
      <w:szCs w:val="20"/>
    </w:rPr>
  </w:style>
  <w:style w:type="character" w:styleId="FootnoteReference">
    <w:name w:val="footnote reference"/>
    <w:basedOn w:val="DefaultParagraphFont"/>
    <w:semiHidden/>
    <w:rsid w:val="00DB3B9F"/>
    <w:rPr>
      <w:vertAlign w:val="superscript"/>
    </w:rPr>
  </w:style>
  <w:style w:type="table" w:styleId="TableProfessional">
    <w:name w:val="Table Professional"/>
    <w:basedOn w:val="TableNormal"/>
    <w:rsid w:val="0025427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2">
    <w:name w:val="Body Text 2"/>
    <w:basedOn w:val="Normal"/>
    <w:rsid w:val="00601C15"/>
    <w:pPr>
      <w:spacing w:after="120" w:line="480" w:lineRule="auto"/>
    </w:pPr>
  </w:style>
  <w:style w:type="paragraph" w:styleId="PlainText">
    <w:name w:val="Plain Text"/>
    <w:basedOn w:val="Normal"/>
    <w:rsid w:val="00353EF4"/>
    <w:pPr>
      <w:widowControl/>
      <w:autoSpaceDE/>
      <w:autoSpaceDN/>
      <w:adjustRightInd/>
    </w:pPr>
    <w:rPr>
      <w:rFonts w:cs="Courier New"/>
      <w:sz w:val="20"/>
      <w:szCs w:val="20"/>
    </w:rPr>
  </w:style>
  <w:style w:type="paragraph" w:styleId="DocumentMap">
    <w:name w:val="Document Map"/>
    <w:basedOn w:val="Normal"/>
    <w:semiHidden/>
    <w:rsid w:val="007C3CB9"/>
    <w:pPr>
      <w:shd w:val="clear" w:color="auto" w:fill="000080"/>
    </w:pPr>
    <w:rPr>
      <w:rFonts w:ascii="Tahoma" w:hAnsi="Tahoma" w:cs="Tahoma"/>
      <w:sz w:val="20"/>
      <w:szCs w:val="20"/>
    </w:rPr>
  </w:style>
  <w:style w:type="paragraph" w:customStyle="1" w:styleId="head20">
    <w:name w:val="head2"/>
    <w:basedOn w:val="Heading2"/>
    <w:rsid w:val="00AF4196"/>
    <w:pPr>
      <w:widowControl/>
      <w:autoSpaceDE/>
      <w:autoSpaceDN/>
      <w:adjustRightInd/>
      <w:spacing w:before="0" w:after="0"/>
      <w:ind w:right="-720"/>
    </w:pPr>
    <w:rPr>
      <w:rFonts w:ascii="Times New Roman" w:hAnsi="Times New Roman" w:cs="Times New Roman"/>
      <w:bCs w:val="0"/>
      <w:i w:val="0"/>
      <w:i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D66A2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6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6A27"/>
    <w:pPr>
      <w:keepNext/>
      <w:spacing w:before="240" w:after="60"/>
      <w:outlineLvl w:val="2"/>
    </w:pPr>
    <w:rPr>
      <w:rFonts w:ascii="Arial" w:hAnsi="Arial" w:cs="Arial"/>
      <w:b/>
      <w:bCs/>
      <w:sz w:val="26"/>
      <w:szCs w:val="26"/>
    </w:rPr>
  </w:style>
  <w:style w:type="paragraph" w:styleId="Heading8">
    <w:name w:val="heading 8"/>
    <w:basedOn w:val="Normal"/>
    <w:next w:val="Normal"/>
    <w:qFormat/>
    <w:rsid w:val="007C3CB9"/>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Web"/>
    <w:rsid w:val="00F909EB"/>
    <w:pPr>
      <w:spacing w:line="480" w:lineRule="auto"/>
    </w:pPr>
    <w:rPr>
      <w:b/>
    </w:rPr>
  </w:style>
  <w:style w:type="paragraph" w:customStyle="1" w:styleId="Tablehead">
    <w:name w:val="Tablehead"/>
    <w:basedOn w:val="NormalWeb"/>
    <w:rsid w:val="00F909EB"/>
    <w:pPr>
      <w:spacing w:line="480" w:lineRule="auto"/>
    </w:pPr>
  </w:style>
  <w:style w:type="paragraph" w:customStyle="1" w:styleId="Head2">
    <w:name w:val="Head2"/>
    <w:basedOn w:val="Normal"/>
    <w:rsid w:val="00F909EB"/>
    <w:pPr>
      <w:tabs>
        <w:tab w:val="left" w:pos="11934"/>
      </w:tabs>
      <w:spacing w:line="480" w:lineRule="auto"/>
      <w:outlineLvl w:val="0"/>
    </w:pPr>
    <w:rPr>
      <w:rFonts w:ascii="Times New Roman" w:hAnsi="Times New Roman"/>
      <w:b/>
    </w:rPr>
  </w:style>
  <w:style w:type="paragraph" w:customStyle="1" w:styleId="Head3">
    <w:name w:val="Head3"/>
    <w:basedOn w:val="Normal"/>
    <w:rsid w:val="00F909EB"/>
    <w:pPr>
      <w:tabs>
        <w:tab w:val="left" w:pos="11934"/>
      </w:tabs>
      <w:spacing w:before="100" w:beforeAutospacing="1" w:after="100" w:afterAutospacing="1" w:line="480" w:lineRule="auto"/>
    </w:pPr>
    <w:rPr>
      <w:rFonts w:ascii="Times New Roman" w:hAnsi="Times New Roman"/>
    </w:rPr>
  </w:style>
  <w:style w:type="paragraph" w:styleId="Header">
    <w:name w:val="header"/>
    <w:basedOn w:val="Normal"/>
    <w:rsid w:val="00F909EB"/>
    <w:pPr>
      <w:tabs>
        <w:tab w:val="center" w:pos="4320"/>
        <w:tab w:val="right" w:pos="8640"/>
      </w:tabs>
    </w:pPr>
  </w:style>
  <w:style w:type="paragraph" w:styleId="TOC1">
    <w:name w:val="toc 1"/>
    <w:basedOn w:val="Normal"/>
    <w:next w:val="Normal"/>
    <w:autoRedefine/>
    <w:semiHidden/>
    <w:rsid w:val="00D66A27"/>
    <w:pPr>
      <w:tabs>
        <w:tab w:val="right" w:leader="dot" w:pos="9360"/>
      </w:tabs>
      <w:spacing w:before="120" w:after="120"/>
      <w:ind w:right="360"/>
    </w:pPr>
    <w:rPr>
      <w:rFonts w:ascii="Times New Roman" w:hAnsi="Times New Roman"/>
      <w:b/>
      <w:bCs/>
      <w:caps/>
      <w:sz w:val="20"/>
      <w:szCs w:val="20"/>
    </w:rPr>
  </w:style>
  <w:style w:type="paragraph" w:styleId="TOC2">
    <w:name w:val="toc 2"/>
    <w:basedOn w:val="Normal"/>
    <w:next w:val="Normal"/>
    <w:autoRedefine/>
    <w:semiHidden/>
    <w:rsid w:val="00D66A27"/>
    <w:pPr>
      <w:ind w:left="240"/>
    </w:pPr>
    <w:rPr>
      <w:rFonts w:ascii="Times New Roman" w:hAnsi="Times New Roman"/>
      <w:smallCaps/>
      <w:sz w:val="20"/>
      <w:szCs w:val="20"/>
    </w:rPr>
  </w:style>
  <w:style w:type="paragraph" w:styleId="TOC3">
    <w:name w:val="toc 3"/>
    <w:basedOn w:val="Normal"/>
    <w:next w:val="Normal"/>
    <w:autoRedefine/>
    <w:semiHidden/>
    <w:rsid w:val="00D66A27"/>
    <w:pPr>
      <w:ind w:left="480"/>
    </w:pPr>
    <w:rPr>
      <w:rFonts w:ascii="Times New Roman" w:hAnsi="Times New Roman"/>
      <w:i/>
      <w:iCs/>
      <w:sz w:val="20"/>
      <w:szCs w:val="20"/>
    </w:rPr>
  </w:style>
  <w:style w:type="paragraph" w:styleId="TOC4">
    <w:name w:val="toc 4"/>
    <w:basedOn w:val="Normal"/>
    <w:next w:val="Normal"/>
    <w:autoRedefine/>
    <w:semiHidden/>
    <w:rsid w:val="00D66A27"/>
    <w:pPr>
      <w:ind w:left="720"/>
    </w:pPr>
    <w:rPr>
      <w:rFonts w:ascii="Times New Roman" w:hAnsi="Times New Roman"/>
      <w:sz w:val="18"/>
      <w:szCs w:val="18"/>
    </w:rPr>
  </w:style>
  <w:style w:type="paragraph" w:styleId="TOC5">
    <w:name w:val="toc 5"/>
    <w:basedOn w:val="Normal"/>
    <w:next w:val="Normal"/>
    <w:autoRedefine/>
    <w:semiHidden/>
    <w:rsid w:val="00D66A27"/>
    <w:pPr>
      <w:ind w:left="960"/>
    </w:pPr>
    <w:rPr>
      <w:rFonts w:ascii="Times New Roman" w:hAnsi="Times New Roman"/>
      <w:sz w:val="18"/>
      <w:szCs w:val="18"/>
    </w:rPr>
  </w:style>
  <w:style w:type="paragraph" w:styleId="TOC6">
    <w:name w:val="toc 6"/>
    <w:basedOn w:val="Normal"/>
    <w:next w:val="Normal"/>
    <w:autoRedefine/>
    <w:semiHidden/>
    <w:rsid w:val="00D66A27"/>
    <w:pPr>
      <w:ind w:left="1200"/>
    </w:pPr>
    <w:rPr>
      <w:rFonts w:ascii="Times New Roman" w:hAnsi="Times New Roman"/>
      <w:sz w:val="18"/>
      <w:szCs w:val="18"/>
    </w:rPr>
  </w:style>
  <w:style w:type="paragraph" w:styleId="TOC7">
    <w:name w:val="toc 7"/>
    <w:basedOn w:val="Normal"/>
    <w:next w:val="Normal"/>
    <w:autoRedefine/>
    <w:semiHidden/>
    <w:rsid w:val="00D66A27"/>
    <w:pPr>
      <w:ind w:left="1440"/>
    </w:pPr>
    <w:rPr>
      <w:rFonts w:ascii="Times New Roman" w:hAnsi="Times New Roman"/>
      <w:sz w:val="18"/>
      <w:szCs w:val="18"/>
    </w:rPr>
  </w:style>
  <w:style w:type="paragraph" w:styleId="TOC8">
    <w:name w:val="toc 8"/>
    <w:basedOn w:val="Normal"/>
    <w:next w:val="Normal"/>
    <w:autoRedefine/>
    <w:semiHidden/>
    <w:rsid w:val="00D66A27"/>
    <w:pPr>
      <w:ind w:left="1680"/>
    </w:pPr>
    <w:rPr>
      <w:rFonts w:ascii="Times New Roman" w:hAnsi="Times New Roman"/>
      <w:sz w:val="18"/>
      <w:szCs w:val="18"/>
    </w:rPr>
  </w:style>
  <w:style w:type="paragraph" w:styleId="TOC9">
    <w:name w:val="toc 9"/>
    <w:basedOn w:val="Normal"/>
    <w:next w:val="Normal"/>
    <w:autoRedefine/>
    <w:semiHidden/>
    <w:rsid w:val="00D66A27"/>
    <w:pPr>
      <w:ind w:left="1920"/>
    </w:pPr>
    <w:rPr>
      <w:rFonts w:ascii="Times New Roman" w:hAnsi="Times New Roman"/>
      <w:sz w:val="18"/>
      <w:szCs w:val="18"/>
    </w:rPr>
  </w:style>
  <w:style w:type="paragraph" w:styleId="TableofFigures">
    <w:name w:val="table of figures"/>
    <w:basedOn w:val="Normal"/>
    <w:next w:val="Normal"/>
    <w:semiHidden/>
    <w:rsid w:val="00604328"/>
  </w:style>
  <w:style w:type="paragraph" w:styleId="FootnoteText">
    <w:name w:val="footnote text"/>
    <w:basedOn w:val="Normal"/>
    <w:semiHidden/>
    <w:rsid w:val="00DB3B9F"/>
    <w:pPr>
      <w:widowControl/>
      <w:autoSpaceDE/>
      <w:autoSpaceDN/>
      <w:adjustRightInd/>
    </w:pPr>
    <w:rPr>
      <w:rFonts w:ascii="Times New Roman" w:hAnsi="Times New Roman"/>
      <w:sz w:val="20"/>
      <w:szCs w:val="20"/>
    </w:rPr>
  </w:style>
  <w:style w:type="character" w:styleId="FootnoteReference">
    <w:name w:val="footnote reference"/>
    <w:basedOn w:val="DefaultParagraphFont"/>
    <w:semiHidden/>
    <w:rsid w:val="00DB3B9F"/>
    <w:rPr>
      <w:vertAlign w:val="superscript"/>
    </w:rPr>
  </w:style>
  <w:style w:type="table" w:styleId="TableProfessional">
    <w:name w:val="Table Professional"/>
    <w:basedOn w:val="TableNormal"/>
    <w:rsid w:val="0025427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2">
    <w:name w:val="Body Text 2"/>
    <w:basedOn w:val="Normal"/>
    <w:rsid w:val="00601C15"/>
    <w:pPr>
      <w:spacing w:after="120" w:line="480" w:lineRule="auto"/>
    </w:pPr>
  </w:style>
  <w:style w:type="paragraph" w:styleId="PlainText">
    <w:name w:val="Plain Text"/>
    <w:basedOn w:val="Normal"/>
    <w:rsid w:val="00353EF4"/>
    <w:pPr>
      <w:widowControl/>
      <w:autoSpaceDE/>
      <w:autoSpaceDN/>
      <w:adjustRightInd/>
    </w:pPr>
    <w:rPr>
      <w:rFonts w:cs="Courier New"/>
      <w:sz w:val="20"/>
      <w:szCs w:val="20"/>
    </w:rPr>
  </w:style>
  <w:style w:type="paragraph" w:styleId="DocumentMap">
    <w:name w:val="Document Map"/>
    <w:basedOn w:val="Normal"/>
    <w:semiHidden/>
    <w:rsid w:val="007C3CB9"/>
    <w:pPr>
      <w:shd w:val="clear" w:color="auto" w:fill="000080"/>
    </w:pPr>
    <w:rPr>
      <w:rFonts w:ascii="Tahoma" w:hAnsi="Tahoma" w:cs="Tahoma"/>
      <w:sz w:val="20"/>
      <w:szCs w:val="20"/>
    </w:rPr>
  </w:style>
  <w:style w:type="paragraph" w:customStyle="1" w:styleId="head20">
    <w:name w:val="head2"/>
    <w:basedOn w:val="Heading2"/>
    <w:rsid w:val="00AF4196"/>
    <w:pPr>
      <w:widowControl/>
      <w:autoSpaceDE/>
      <w:autoSpaceDN/>
      <w:adjustRightInd/>
      <w:spacing w:before="0" w:after="0"/>
      <w:ind w:right="-720"/>
    </w:pPr>
    <w:rPr>
      <w:rFonts w:ascii="Times New Roman" w:hAnsi="Times New Roman" w:cs="Times New Roman"/>
      <w:bCs w:val="0"/>
      <w:i w:val="0"/>
      <w:i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0003">
      <w:bodyDiv w:val="1"/>
      <w:marLeft w:val="0"/>
      <w:marRight w:val="0"/>
      <w:marTop w:val="0"/>
      <w:marBottom w:val="0"/>
      <w:divBdr>
        <w:top w:val="none" w:sz="0" w:space="0" w:color="auto"/>
        <w:left w:val="none" w:sz="0" w:space="0" w:color="auto"/>
        <w:bottom w:val="none" w:sz="0" w:space="0" w:color="auto"/>
        <w:right w:val="none" w:sz="0" w:space="0" w:color="auto"/>
      </w:divBdr>
    </w:div>
    <w:div w:id="513999542">
      <w:bodyDiv w:val="1"/>
      <w:marLeft w:val="0"/>
      <w:marRight w:val="0"/>
      <w:marTop w:val="0"/>
      <w:marBottom w:val="0"/>
      <w:divBdr>
        <w:top w:val="none" w:sz="0" w:space="0" w:color="auto"/>
        <w:left w:val="none" w:sz="0" w:space="0" w:color="auto"/>
        <w:bottom w:val="none" w:sz="0" w:space="0" w:color="auto"/>
        <w:right w:val="none" w:sz="0" w:space="0" w:color="auto"/>
      </w:divBdr>
    </w:div>
    <w:div w:id="17227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22Goldhaber-Fiebert%20JD%22%5BAuthor%5D" TargetMode="External"/><Relationship Id="rId18" Type="http://schemas.openxmlformats.org/officeDocument/2006/relationships/hyperlink" Target="http://www.ncbi.nlm.nih.gov/pubmed/20134296" TargetMode="External"/><Relationship Id="rId26" Type="http://schemas.openxmlformats.org/officeDocument/2006/relationships/hyperlink" Target="http://www.ncbi.nlm.nih.gov/pubmed/21684207" TargetMode="External"/><Relationship Id="rId3" Type="http://schemas.openxmlformats.org/officeDocument/2006/relationships/styles" Target="styles.xml"/><Relationship Id="rId21" Type="http://schemas.openxmlformats.org/officeDocument/2006/relationships/hyperlink" Target="http://www.ncbi.nlm.nih.gov/pubmed/21774673" TargetMode="External"/><Relationship Id="rId7" Type="http://schemas.openxmlformats.org/officeDocument/2006/relationships/footnotes" Target="footnotes.xml"/><Relationship Id="rId12" Type="http://schemas.openxmlformats.org/officeDocument/2006/relationships/hyperlink" Target="http://www.cdc.gov/cancer/nbccedp/legislation/law.htm" TargetMode="External"/><Relationship Id="rId17" Type="http://schemas.openxmlformats.org/officeDocument/2006/relationships/hyperlink" Target="http://www.ncbi.nlm.nih.gov/pubmed/12469763" TargetMode="External"/><Relationship Id="rId25" Type="http://schemas.openxmlformats.org/officeDocument/2006/relationships/hyperlink" Target="http://www.ncbi.nlm.nih.gov/pubmed/19300322" TargetMode="External"/><Relationship Id="rId2" Type="http://schemas.openxmlformats.org/officeDocument/2006/relationships/numbering" Target="numbering.xml"/><Relationship Id="rId16" Type="http://schemas.openxmlformats.org/officeDocument/2006/relationships/hyperlink" Target="http://www.cdc.gov/cancer/nbccedp/about.htm.%20%20Referenced%20on%20Nov.%2023" TargetMode="External"/><Relationship Id="rId20" Type="http://schemas.openxmlformats.org/officeDocument/2006/relationships/hyperlink" Target="http://www.ncbi.nlm.nih.gov/pubmed/179351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cancer/nbccedp/about.htm" TargetMode="External"/><Relationship Id="rId24" Type="http://schemas.openxmlformats.org/officeDocument/2006/relationships/hyperlink" Target="http://www.ncbi.nlm.nih.gov/pubmed/21840492" TargetMode="External"/><Relationship Id="rId5" Type="http://schemas.openxmlformats.org/officeDocument/2006/relationships/settings" Target="settings.xml"/><Relationship Id="rId15" Type="http://schemas.openxmlformats.org/officeDocument/2006/relationships/hyperlink" Target="mailto:Allen.J.Dietrich@Dartmouth.edu" TargetMode="External"/><Relationship Id="rId23" Type="http://schemas.openxmlformats.org/officeDocument/2006/relationships/hyperlink" Target="http://www.ncbi.nlm.nih.gov/pubmed/20548011"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ncbi.nlm.nih.gov/pubmed/1831447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term=%22Bistoletti%20P%22%5BAuthor%5D" TargetMode="External"/><Relationship Id="rId22" Type="http://schemas.openxmlformats.org/officeDocument/2006/relationships/hyperlink" Target="http://www.ncbi.nlm.nih.gov/pubmed/198846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BA13-FCEA-4DAE-8564-56512087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10646</Words>
  <Characters>60685</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A</vt:lpstr>
    </vt:vector>
  </TitlesOfParts>
  <Company>Battelle</Company>
  <LinksUpToDate>false</LinksUpToDate>
  <CharactersWithSpaces>71189</CharactersWithSpaces>
  <SharedDoc>false</SharedDoc>
  <HLinks>
    <vt:vector size="12" baseType="variant">
      <vt:variant>
        <vt:i4>458811</vt:i4>
      </vt:variant>
      <vt:variant>
        <vt:i4>9</vt:i4>
      </vt:variant>
      <vt:variant>
        <vt:i4>0</vt:i4>
      </vt:variant>
      <vt:variant>
        <vt:i4>5</vt:i4>
      </vt:variant>
      <vt:variant>
        <vt:lpwstr>http://www.bls.gov/oes/current/oes_il.htm</vt:lpwstr>
      </vt:variant>
      <vt:variant>
        <vt:lpwstr>b29-0000</vt:lpwstr>
      </vt:variant>
      <vt:variant>
        <vt:i4>8323164</vt:i4>
      </vt:variant>
      <vt:variant>
        <vt:i4>6</vt:i4>
      </vt:variant>
      <vt:variant>
        <vt:i4>0</vt:i4>
      </vt:variant>
      <vt:variant>
        <vt:i4>5</vt:i4>
      </vt:variant>
      <vt:variant>
        <vt:lpwstr>mailto:Allen.J.Dietrich@Dartmouth.edu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Battelle</dc:creator>
  <cp:lastModifiedBy>Conner, Catina (CDC/OD/OADS)</cp:lastModifiedBy>
  <cp:revision>2</cp:revision>
  <cp:lastPrinted>2011-12-01T19:17:00Z</cp:lastPrinted>
  <dcterms:created xsi:type="dcterms:W3CDTF">2012-05-04T19:31:00Z</dcterms:created>
  <dcterms:modified xsi:type="dcterms:W3CDTF">2012-05-04T19:31:00Z</dcterms:modified>
</cp:coreProperties>
</file>