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7F2" w:rsidRDefault="00B917F2" w:rsidP="00B917F2">
      <w:pPr>
        <w:tabs>
          <w:tab w:val="left" w:pos="360"/>
          <w:tab w:val="left" w:pos="720"/>
          <w:tab w:val="left" w:pos="1080"/>
        </w:tabs>
        <w:spacing w:line="480" w:lineRule="auto"/>
        <w:jc w:val="center"/>
        <w:rPr>
          <w:rFonts w:ascii="Times New Roman" w:hAnsi="Times New Roman"/>
          <w:b/>
          <w:bCs/>
          <w:i/>
          <w:iCs/>
        </w:rPr>
      </w:pPr>
      <w:bookmarkStart w:id="0" w:name="_GoBack"/>
      <w:bookmarkEnd w:id="0"/>
      <w:r>
        <w:rPr>
          <w:rFonts w:ascii="Times New Roman" w:hAnsi="Times New Roman"/>
          <w:b/>
          <w:bCs/>
          <w:i/>
          <w:iCs/>
        </w:rPr>
        <w:t>Attachment A</w:t>
      </w:r>
    </w:p>
    <w:p w:rsidR="00B917F2" w:rsidRDefault="00B917F2" w:rsidP="00B917F2">
      <w:pPr>
        <w:tabs>
          <w:tab w:val="left" w:pos="360"/>
          <w:tab w:val="left" w:pos="720"/>
          <w:tab w:val="left" w:pos="1080"/>
        </w:tabs>
        <w:spacing w:line="480" w:lineRule="auto"/>
        <w:jc w:val="center"/>
        <w:rPr>
          <w:rFonts w:ascii="Times New Roman" w:hAnsi="Times New Roman"/>
          <w:b/>
          <w:bCs/>
          <w:i/>
          <w:iCs/>
        </w:rPr>
      </w:pPr>
    </w:p>
    <w:p w:rsidR="00B917F2" w:rsidRDefault="00B917F2" w:rsidP="00B917F2">
      <w:pPr>
        <w:tabs>
          <w:tab w:val="left" w:pos="360"/>
          <w:tab w:val="left" w:pos="720"/>
          <w:tab w:val="left" w:pos="1080"/>
        </w:tabs>
        <w:spacing w:line="480" w:lineRule="auto"/>
        <w:jc w:val="center"/>
        <w:rPr>
          <w:rFonts w:ascii="Times New Roman" w:hAnsi="Times New Roman"/>
          <w:b/>
          <w:bCs/>
          <w:i/>
          <w:iCs/>
        </w:rPr>
      </w:pPr>
      <w:r>
        <w:rPr>
          <w:rFonts w:ascii="Times New Roman" w:hAnsi="Times New Roman"/>
          <w:b/>
          <w:bCs/>
          <w:i/>
          <w:iCs/>
        </w:rPr>
        <w:t>Occupational Safety and Health Act</w:t>
      </w:r>
    </w:p>
    <w:p w:rsidR="00B917F2" w:rsidRDefault="00B917F2" w:rsidP="00B917F2">
      <w:pPr>
        <w:tabs>
          <w:tab w:val="left" w:pos="360"/>
          <w:tab w:val="left" w:pos="720"/>
          <w:tab w:val="left" w:pos="1080"/>
        </w:tabs>
        <w:spacing w:line="480" w:lineRule="auto"/>
        <w:jc w:val="center"/>
        <w:rPr>
          <w:rFonts w:ascii="Times New Roman" w:hAnsi="Times New Roman"/>
          <w:b/>
          <w:bCs/>
          <w:i/>
          <w:iCs/>
        </w:rPr>
      </w:pPr>
      <w:r>
        <w:rPr>
          <w:rFonts w:ascii="Times New Roman" w:hAnsi="Times New Roman"/>
          <w:b/>
          <w:bCs/>
          <w:i/>
          <w:iCs/>
        </w:rPr>
        <w:t>(Sections 20 and 22)</w:t>
      </w:r>
    </w:p>
    <w:p w:rsidR="00B917F2" w:rsidRDefault="00B917F2" w:rsidP="00B917F2">
      <w:pPr>
        <w:tabs>
          <w:tab w:val="left" w:pos="360"/>
          <w:tab w:val="left" w:pos="720"/>
          <w:tab w:val="left" w:pos="1080"/>
        </w:tabs>
        <w:spacing w:line="480" w:lineRule="auto"/>
        <w:jc w:val="center"/>
        <w:rPr>
          <w:rFonts w:ascii="Times New Roman" w:hAnsi="Times New Roman"/>
          <w:b/>
          <w:bCs/>
          <w:i/>
          <w:iCs/>
        </w:rPr>
        <w:sectPr w:rsidR="00B917F2" w:rsidSect="00D43E0F">
          <w:pgSz w:w="12240" w:h="15840" w:code="1"/>
          <w:pgMar w:top="1440" w:right="1440" w:bottom="1152" w:left="1440" w:header="1440" w:footer="1152" w:gutter="0"/>
          <w:cols w:space="720"/>
          <w:noEndnote/>
        </w:sectPr>
      </w:pPr>
    </w:p>
    <w:p w:rsidR="00B917F2" w:rsidRDefault="00B917F2" w:rsidP="00B917F2">
      <w:pPr>
        <w:tabs>
          <w:tab w:val="left" w:pos="360"/>
          <w:tab w:val="left" w:pos="720"/>
          <w:tab w:val="left" w:pos="1080"/>
        </w:tabs>
        <w:spacing w:line="480" w:lineRule="auto"/>
        <w:jc w:val="center"/>
        <w:rPr>
          <w:rFonts w:ascii="Times New Roman" w:hAnsi="Times New Roman"/>
          <w:b/>
          <w:bCs/>
        </w:rPr>
      </w:pPr>
      <w:r>
        <w:rPr>
          <w:rFonts w:ascii="Times New Roman" w:hAnsi="Times New Roman"/>
          <w:b/>
          <w:bCs/>
          <w:u w:val="single"/>
        </w:rPr>
        <w:lastRenderedPageBreak/>
        <w:t xml:space="preserve">OSH Act of 1970 - </w:t>
      </w:r>
    </w:p>
    <w:p w:rsidR="00B917F2" w:rsidRDefault="00B917F2" w:rsidP="00B917F2">
      <w:pPr>
        <w:tabs>
          <w:tab w:val="left" w:pos="360"/>
          <w:tab w:val="left" w:pos="720"/>
          <w:tab w:val="left" w:pos="1080"/>
        </w:tabs>
        <w:spacing w:line="480" w:lineRule="auto"/>
        <w:jc w:val="both"/>
        <w:rPr>
          <w:rFonts w:ascii="Times New Roman" w:hAnsi="Times New Roman"/>
          <w:b/>
          <w:bCs/>
        </w:rPr>
      </w:pP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bookmarkStart w:id="1" w:name="a20"/>
      <w:r>
        <w:rPr>
          <w:rFonts w:ascii="Times New Roman" w:hAnsi="Times New Roman"/>
          <w:b/>
          <w:bCs/>
        </w:rPr>
        <w:t>20. Research and Related Activities</w:t>
      </w:r>
      <w:bookmarkEnd w:id="1"/>
    </w:p>
    <w:p w:rsidR="00B917F2" w:rsidRPr="00C90F42" w:rsidRDefault="00B917F2" w:rsidP="00B917F2">
      <w:pPr>
        <w:tabs>
          <w:tab w:val="left" w:pos="360"/>
          <w:tab w:val="left" w:pos="720"/>
          <w:tab w:val="left" w:pos="1080"/>
        </w:tabs>
        <w:spacing w:line="480" w:lineRule="auto"/>
        <w:jc w:val="both"/>
        <w:rPr>
          <w:rFonts w:ascii="Times New Roman" w:hAnsi="Times New Roman"/>
          <w:bCs/>
        </w:rPr>
      </w:pP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r w:rsidRPr="00C90F42">
        <w:rPr>
          <w:rFonts w:ascii="Times New Roman" w:hAnsi="Times New Roman"/>
          <w:bCs/>
        </w:rPr>
        <w:t xml:space="preserve">(a)(1)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00B917F2" w:rsidRDefault="00B917F2" w:rsidP="00B917F2">
      <w:pPr>
        <w:tabs>
          <w:tab w:val="left" w:pos="360"/>
          <w:tab w:val="left" w:pos="720"/>
          <w:tab w:val="left" w:pos="1080"/>
        </w:tabs>
        <w:spacing w:line="480" w:lineRule="auto"/>
        <w:jc w:val="both"/>
        <w:rPr>
          <w:rFonts w:ascii="Times New Roman" w:hAnsi="Times New Roman"/>
          <w:b/>
          <w:bCs/>
        </w:rPr>
      </w:pP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u w:val="single"/>
        </w:rPr>
        <w:t>29 USC 669.</w:t>
      </w:r>
    </w:p>
    <w:p w:rsidR="00B917F2" w:rsidRPr="00C90F42" w:rsidRDefault="00B917F2" w:rsidP="00B917F2">
      <w:pPr>
        <w:tabs>
          <w:tab w:val="left" w:pos="360"/>
          <w:tab w:val="left" w:pos="720"/>
          <w:tab w:val="left" w:pos="1080"/>
        </w:tabs>
        <w:spacing w:line="480" w:lineRule="auto"/>
        <w:jc w:val="both"/>
        <w:rPr>
          <w:rFonts w:ascii="Times New Roman" w:hAnsi="Times New Roman"/>
          <w:bCs/>
        </w:rPr>
      </w:pP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r w:rsidRPr="00C90F42">
        <w:rPr>
          <w:rFonts w:ascii="Times New Roman" w:hAnsi="Times New Roman"/>
          <w:bCs/>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p>
    <w:p w:rsidR="00B917F2" w:rsidRPr="00C90F42" w:rsidRDefault="00B917F2" w:rsidP="00B917F2">
      <w:pPr>
        <w:tabs>
          <w:tab w:val="left" w:pos="360"/>
          <w:tab w:val="left" w:pos="720"/>
          <w:tab w:val="left" w:pos="1080"/>
        </w:tabs>
        <w:spacing w:line="480" w:lineRule="auto"/>
        <w:jc w:val="both"/>
        <w:rPr>
          <w:rFonts w:ascii="Times New Roman" w:hAnsi="Times New Roman"/>
          <w:bCs/>
        </w:rPr>
      </w:pP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r w:rsidRPr="00C90F42">
        <w:rPr>
          <w:rFonts w:ascii="Times New Roman" w:hAnsi="Times New Roman"/>
          <w:bCs/>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B917F2" w:rsidRPr="00C90F42" w:rsidRDefault="00B917F2" w:rsidP="00B917F2">
      <w:pPr>
        <w:tabs>
          <w:tab w:val="left" w:pos="360"/>
          <w:tab w:val="left" w:pos="720"/>
          <w:tab w:val="left" w:pos="1080"/>
        </w:tabs>
        <w:spacing w:line="480" w:lineRule="auto"/>
        <w:jc w:val="both"/>
        <w:rPr>
          <w:rFonts w:ascii="Times New Roman" w:hAnsi="Times New Roman"/>
          <w:bCs/>
        </w:rPr>
      </w:pP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r w:rsidRPr="00C90F42">
        <w:rPr>
          <w:rFonts w:ascii="Times New Roman" w:hAnsi="Times New Roman"/>
          <w:bCs/>
        </w:rPr>
        <w:t xml:space="preserve">(4) The Secretary of Health and Human Services shall also conduct special research, </w:t>
      </w:r>
      <w:r w:rsidRPr="00C90F42">
        <w:rPr>
          <w:rFonts w:ascii="Times New Roman" w:hAnsi="Times New Roman"/>
          <w:bCs/>
        </w:rPr>
        <w:lastRenderedPageBreak/>
        <w:t>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B917F2" w:rsidRDefault="00B917F2" w:rsidP="00B917F2">
      <w:pPr>
        <w:tabs>
          <w:tab w:val="left" w:pos="360"/>
          <w:tab w:val="left" w:pos="720"/>
          <w:tab w:val="left" w:pos="1080"/>
        </w:tabs>
        <w:spacing w:line="480" w:lineRule="auto"/>
        <w:jc w:val="both"/>
        <w:rPr>
          <w:rFonts w:ascii="Times New Roman" w:hAnsi="Times New Roman"/>
          <w:b/>
          <w:bCs/>
        </w:rPr>
      </w:pP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u w:val="single"/>
        </w:rPr>
        <w:t>84 STAT. 1611.</w:t>
      </w:r>
    </w:p>
    <w:p w:rsidR="00B917F2" w:rsidRPr="00C90F42" w:rsidRDefault="00B917F2" w:rsidP="00B917F2">
      <w:pPr>
        <w:tabs>
          <w:tab w:val="left" w:pos="360"/>
          <w:tab w:val="left" w:pos="720"/>
          <w:tab w:val="left" w:pos="1080"/>
        </w:tabs>
        <w:spacing w:line="480" w:lineRule="auto"/>
        <w:jc w:val="both"/>
        <w:rPr>
          <w:rFonts w:ascii="Times New Roman" w:hAnsi="Times New Roman"/>
          <w:bCs/>
        </w:rPr>
      </w:pP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sidRPr="00C90F42">
        <w:rPr>
          <w:rFonts w:ascii="Times New Roman" w:hAnsi="Times New Roman"/>
          <w:bCs/>
        </w:rPr>
        <w:t>Toxic substances, records.  Medical examinations</w:t>
      </w:r>
    </w:p>
    <w:p w:rsidR="00B917F2" w:rsidRPr="00C90F42" w:rsidRDefault="00B917F2" w:rsidP="00B917F2">
      <w:pPr>
        <w:tabs>
          <w:tab w:val="left" w:pos="360"/>
          <w:tab w:val="left" w:pos="720"/>
          <w:tab w:val="left" w:pos="1080"/>
        </w:tabs>
        <w:spacing w:line="480" w:lineRule="auto"/>
        <w:jc w:val="both"/>
        <w:rPr>
          <w:rFonts w:ascii="Times New Roman" w:hAnsi="Times New Roman"/>
          <w:bCs/>
        </w:rPr>
      </w:pP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r w:rsidRPr="00C90F42">
        <w:rPr>
          <w:rFonts w:ascii="Times New Roman" w:hAnsi="Times New Roman"/>
          <w:bCs/>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00B917F2" w:rsidRPr="00C90F42" w:rsidRDefault="00B917F2" w:rsidP="00B917F2">
      <w:pPr>
        <w:tabs>
          <w:tab w:val="left" w:pos="360"/>
          <w:tab w:val="left" w:pos="720"/>
          <w:tab w:val="left" w:pos="1080"/>
        </w:tabs>
        <w:spacing w:line="480" w:lineRule="auto"/>
        <w:jc w:val="both"/>
        <w:rPr>
          <w:rFonts w:ascii="Times New Roman" w:hAnsi="Times New Roman"/>
          <w:bCs/>
        </w:rPr>
      </w:pPr>
      <w:r w:rsidRPr="00C90F42">
        <w:rPr>
          <w:rFonts w:ascii="Times New Roman" w:hAnsi="Times New Roman"/>
          <w:bCs/>
        </w:rPr>
        <w:lastRenderedPageBreak/>
        <w:fldChar w:fldCharType="begin"/>
      </w:r>
      <w:r w:rsidRPr="00C90F42">
        <w:rPr>
          <w:rFonts w:ascii="Times New Roman" w:hAnsi="Times New Roman"/>
          <w:bCs/>
        </w:rPr>
        <w:instrText>ADVANCE \d4</w:instrText>
      </w:r>
      <w:r w:rsidRPr="00C90F42">
        <w:rPr>
          <w:rFonts w:ascii="Times New Roman" w:hAnsi="Times New Roman"/>
          <w:bCs/>
        </w:rPr>
        <w:fldChar w:fldCharType="end"/>
      </w: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r w:rsidRPr="00C90F42">
        <w:rPr>
          <w:rFonts w:ascii="Times New Roman" w:hAnsi="Times New Roman"/>
          <w:bCs/>
        </w:rPr>
        <w:fldChar w:fldCharType="begin"/>
      </w:r>
      <w:r w:rsidRPr="00C90F42">
        <w:rPr>
          <w:rFonts w:ascii="Times New Roman" w:hAnsi="Times New Roman"/>
          <w:bCs/>
        </w:rPr>
        <w:instrText>ADVANCE \d4</w:instrText>
      </w:r>
      <w:r w:rsidRPr="00C90F42">
        <w:rPr>
          <w:rFonts w:ascii="Times New Roman" w:hAnsi="Times New Roman"/>
          <w:bCs/>
        </w:rPr>
        <w:fldChar w:fldCharType="end"/>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b/>
          <w:bCs/>
        </w:rPr>
        <w:t>Toxic Substances Publication, December 29, 1970</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b/>
          <w:bCs/>
        </w:rPr>
        <w:t>(6)</w:t>
      </w:r>
      <w:r>
        <w:rPr>
          <w:rFonts w:ascii="Times New Roman" w:hAnsi="Times New Roman"/>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B917F2" w:rsidRDefault="00B917F2" w:rsidP="00B917F2">
      <w:pPr>
        <w:tabs>
          <w:tab w:val="left" w:pos="360"/>
          <w:tab w:val="left" w:pos="720"/>
          <w:tab w:val="left" w:pos="1080"/>
        </w:tabs>
        <w:spacing w:line="480" w:lineRule="auto"/>
        <w:jc w:val="both"/>
        <w:rPr>
          <w:rFonts w:ascii="Times New Roman" w:hAnsi="Times New Roman"/>
        </w:rPr>
      </w:pPr>
    </w:p>
    <w:p w:rsidR="00B917F2" w:rsidRDefault="00B917F2" w:rsidP="00B917F2">
      <w:pPr>
        <w:tabs>
          <w:tab w:val="left" w:pos="360"/>
          <w:tab w:val="left" w:pos="720"/>
          <w:tab w:val="left" w:pos="1080"/>
        </w:tabs>
        <w:spacing w:line="480" w:lineRule="auto"/>
        <w:jc w:val="both"/>
        <w:rPr>
          <w:rFonts w:ascii="Times New Roman" w:hAnsi="Times New Roman"/>
          <w:b/>
          <w:bCs/>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b/>
        </w:rPr>
        <w:t>Annual Studies</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b/>
          <w:bCs/>
        </w:rPr>
        <w:t>(7)</w:t>
      </w:r>
      <w:r>
        <w:rPr>
          <w:rFonts w:ascii="Times New Roman" w:hAnsi="Times New Roman"/>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b/>
          <w:bCs/>
        </w:rPr>
        <w:t>(b)</w:t>
      </w:r>
      <w:r>
        <w:rPr>
          <w:rFonts w:ascii="Times New Roman" w:hAnsi="Times New Roman"/>
        </w:rPr>
        <w:t xml:space="preserve"> The Secretary of Health and Human Services is authorized to make inspections and question employers and employees as provided in section 8 of this Act in order to carry out his functions </w:t>
      </w:r>
      <w:r>
        <w:rPr>
          <w:rFonts w:ascii="Times New Roman" w:hAnsi="Times New Roman"/>
        </w:rPr>
        <w:lastRenderedPageBreak/>
        <w:t>and responsibilities under this section.</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b/>
        </w:rPr>
        <w:t>Inspections</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b/>
          <w:bCs/>
        </w:rPr>
        <w:t>(c)</w:t>
      </w:r>
      <w:r>
        <w:rPr>
          <w:rFonts w:ascii="Times New Roman" w:hAnsi="Times New Roman"/>
        </w:rPr>
        <w:t xml:space="preserve">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00B917F2" w:rsidRDefault="00B917F2" w:rsidP="00B917F2">
      <w:pPr>
        <w:tabs>
          <w:tab w:val="left" w:pos="360"/>
          <w:tab w:val="left" w:pos="720"/>
          <w:tab w:val="left" w:pos="1080"/>
        </w:tabs>
        <w:spacing w:line="480" w:lineRule="auto"/>
        <w:jc w:val="both"/>
        <w:rPr>
          <w:rFonts w:ascii="Times New Roman" w:hAnsi="Times New Roman"/>
        </w:rPr>
      </w:pP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b/>
        </w:rPr>
        <w:t>Contract Authority</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u w:val="single"/>
        </w:rPr>
        <w:t>84 STAT. 1612</w:t>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t xml:space="preserve">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b/>
          <w:bCs/>
        </w:rPr>
        <w:t>(d)</w:t>
      </w:r>
      <w:r>
        <w:rPr>
          <w:rFonts w:ascii="Times New Roman" w:hAnsi="Times New Roman"/>
        </w:rPr>
        <w:t xml:space="preserve"> Information obtained by the Secretary and the Secretary of Health and Human Services under this section shall be disseminated by the Secretary to employers and employees and organizations thereof.</w:t>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p>
    <w:p w:rsidR="00B917F2" w:rsidRDefault="00B917F2" w:rsidP="00B917F2">
      <w:pPr>
        <w:tabs>
          <w:tab w:val="left" w:pos="360"/>
          <w:tab w:val="left" w:pos="720"/>
          <w:tab w:val="left" w:pos="1080"/>
        </w:tabs>
        <w:spacing w:line="480" w:lineRule="auto"/>
        <w:jc w:val="both"/>
        <w:rPr>
          <w:rFonts w:ascii="Times New Roman" w:hAnsi="Times New Roman"/>
        </w:rPr>
        <w:sectPr w:rsidR="00B917F2" w:rsidSect="00270A58">
          <w:type w:val="nextColumn"/>
          <w:pgSz w:w="12240" w:h="15840"/>
          <w:pgMar w:top="1440" w:right="1440" w:bottom="720" w:left="1440" w:header="1440" w:footer="720" w:gutter="0"/>
          <w:cols w:space="720"/>
          <w:noEndnote/>
        </w:sectPr>
      </w:pP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lastRenderedPageBreak/>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b/>
          <w:bCs/>
        </w:rPr>
        <w:t>(e)</w:t>
      </w:r>
      <w:r>
        <w:rPr>
          <w:rFonts w:ascii="Times New Roman" w:hAnsi="Times New Roman"/>
        </w:rPr>
        <w:t xml:space="preserve"> The functions of the Secretary of Health and Human Services under this Act shall, to the extent feasible, be delegated to the Director of the National Institute for Occupational Safety and Health established by section 22 of this Act.</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b/>
        </w:rPr>
        <w:t>Delegation of functions</w:t>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22. National Institute for Occupational Safety and Health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29 USC 671 Establishment.</w:t>
      </w:r>
    </w:p>
    <w:p w:rsidR="00B917F2" w:rsidRDefault="00B917F2" w:rsidP="00B917F2">
      <w:pPr>
        <w:tabs>
          <w:tab w:val="left" w:pos="360"/>
          <w:tab w:val="left" w:pos="720"/>
          <w:tab w:val="left" w:pos="1080"/>
        </w:tabs>
        <w:spacing w:line="480" w:lineRule="auto"/>
        <w:jc w:val="both"/>
        <w:rPr>
          <w:rFonts w:ascii="Times New Roman" w:hAnsi="Times New Roman"/>
        </w:rPr>
      </w:pP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Director, appointment,</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Term</w:t>
      </w:r>
    </w:p>
    <w:p w:rsidR="00B917F2" w:rsidRDefault="00B917F2" w:rsidP="00B917F2">
      <w:pPr>
        <w:tabs>
          <w:tab w:val="left" w:pos="360"/>
          <w:tab w:val="left" w:pos="720"/>
          <w:tab w:val="left" w:pos="1080"/>
        </w:tabs>
        <w:spacing w:line="480" w:lineRule="auto"/>
        <w:jc w:val="both"/>
        <w:rPr>
          <w:rFonts w:ascii="Times New Roman" w:hAnsi="Times New Roman"/>
        </w:rPr>
      </w:pP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(c) The Institute is authorized to </w:t>
      </w:r>
      <w:r>
        <w:rPr>
          <w:rFonts w:ascii="Times New Roman" w:hAnsi="Times New Roman"/>
        </w:rPr>
        <w:noBreakHyphen/>
      </w:r>
      <w:r>
        <w:rPr>
          <w:rFonts w:ascii="Times New Roman" w:hAnsi="Times New Roman"/>
        </w:rPr>
        <w:noBreakHyphen/>
        <w:t xml:space="preserve">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(1) develop and establish recommended occupational safety and health standards; and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(2) perform all functions of the Secretary of Health and Human Services under sections 20 and 21  of this Act. </w:t>
      </w:r>
    </w:p>
    <w:p w:rsidR="00B917F2" w:rsidRDefault="00B917F2" w:rsidP="00B917F2">
      <w:pPr>
        <w:tabs>
          <w:tab w:val="left" w:pos="360"/>
          <w:tab w:val="left" w:pos="720"/>
          <w:tab w:val="left" w:pos="1080"/>
        </w:tabs>
        <w:spacing w:line="480" w:lineRule="auto"/>
        <w:jc w:val="both"/>
        <w:rPr>
          <w:rFonts w:ascii="Times New Roman" w:hAnsi="Times New Roman"/>
        </w:rPr>
      </w:pPr>
    </w:p>
    <w:p w:rsidR="00B917F2" w:rsidRDefault="00B917F2" w:rsidP="00B917F2">
      <w:pPr>
        <w:tabs>
          <w:tab w:val="left" w:pos="360"/>
          <w:tab w:val="left" w:pos="720"/>
          <w:tab w:val="left" w:pos="1080"/>
        </w:tabs>
        <w:spacing w:line="480" w:lineRule="auto"/>
        <w:jc w:val="both"/>
        <w:rPr>
          <w:rFonts w:ascii="Times New Roman" w:hAnsi="Times New Roman"/>
        </w:rPr>
        <w:sectPr w:rsidR="00B917F2" w:rsidSect="00270A58">
          <w:type w:val="nextColumn"/>
          <w:pgSz w:w="12240" w:h="15840"/>
          <w:pgMar w:top="1440" w:right="1440" w:bottom="720" w:left="1440" w:header="1440" w:footer="720" w:gutter="0"/>
          <w:cols w:space="720"/>
          <w:noEndnote/>
        </w:sectPr>
      </w:pP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lastRenderedPageBreak/>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u w:val="single"/>
        </w:rPr>
        <w:t>84 STAT. 1613.</w:t>
      </w:r>
      <w:r>
        <w:rPr>
          <w:rFonts w:ascii="Times New Roman" w:hAnsi="Times New Roman"/>
        </w:rPr>
        <w:t xml:space="preserve"> </w:t>
      </w:r>
    </w:p>
    <w:p w:rsidR="00B917F2" w:rsidRDefault="00B917F2" w:rsidP="00B917F2">
      <w:pPr>
        <w:tabs>
          <w:tab w:val="left" w:pos="360"/>
          <w:tab w:val="left" w:pos="720"/>
          <w:tab w:val="left" w:pos="1080"/>
        </w:tabs>
        <w:spacing w:line="480" w:lineRule="auto"/>
        <w:jc w:val="both"/>
        <w:rPr>
          <w:rFonts w:ascii="Times New Roman" w:hAnsi="Times New Roman"/>
        </w:rPr>
      </w:pP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(e) In addition to any authority vested in the Institute by other provisions of this section, the Director, in carrying out the functions of the Institute, is authorized to </w:t>
      </w:r>
      <w:r>
        <w:rPr>
          <w:rFonts w:ascii="Times New Roman" w:hAnsi="Times New Roman"/>
        </w:rPr>
        <w:noBreakHyphen/>
      </w:r>
      <w:r>
        <w:rPr>
          <w:rFonts w:ascii="Times New Roman" w:hAnsi="Times New Roman"/>
        </w:rPr>
        <w:noBreakHyphen/>
        <w:t xml:space="preserve">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(1) prescribe such regulations as he deems necessary governing the manner in which its functions shall be carried out;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  (4) in accordance with the civil service laws, appoint and fix the compensation of such personnel as may be necessary to carry out the provisions of this section;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(5) obtain the services of experts and consultants in accordance with the provisions of section 3109 of title 5, United States Code; 80 Stat. 416. </w:t>
      </w:r>
    </w:p>
    <w:p w:rsidR="00B917F2" w:rsidRDefault="00B917F2" w:rsidP="00B917F2">
      <w:pPr>
        <w:tabs>
          <w:tab w:val="left" w:pos="360"/>
          <w:tab w:val="left" w:pos="720"/>
          <w:tab w:val="left" w:pos="1080"/>
        </w:tabs>
        <w:spacing w:line="480" w:lineRule="auto"/>
        <w:jc w:val="both"/>
        <w:rPr>
          <w:rFonts w:ascii="Times New Roman" w:hAnsi="Times New Roman"/>
        </w:rPr>
        <w:sectPr w:rsidR="00B917F2" w:rsidSect="00270A58">
          <w:type w:val="nextColumn"/>
          <w:pgSz w:w="12240" w:h="15840"/>
          <w:pgMar w:top="1440" w:right="1440" w:bottom="720" w:left="1440" w:header="1440" w:footer="720" w:gutter="0"/>
          <w:cols w:space="720"/>
          <w:noEndnote/>
        </w:sectPr>
      </w:pP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lastRenderedPageBreak/>
        <w:t xml:space="preserve">(6) accept and utilize the services of voluntary and noncompensated personnel and reimburse them for travel expenses, including per diem, as authorized by section 5703 of title 5, United States Code; 83 STAT. 190. </w:t>
      </w:r>
    </w:p>
    <w:p w:rsidR="00B917F2" w:rsidRDefault="00B917F2" w:rsidP="00B917F2">
      <w:pPr>
        <w:tabs>
          <w:tab w:val="left" w:pos="360"/>
          <w:tab w:val="left" w:pos="720"/>
          <w:tab w:val="left" w:pos="1080"/>
        </w:tabs>
        <w:spacing w:line="480" w:lineRule="auto"/>
        <w:jc w:val="both"/>
        <w:rPr>
          <w:rFonts w:ascii="Times New Roman" w:hAnsi="Times New Roman"/>
        </w:rPr>
      </w:pP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(8) make advance, progress, and other payments which the Director deems necessary under this title without regard to the provisions of section 3324 (a) and (b) of Title 31; and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(9) make other necessary expenditures.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00B917F2" w:rsidRDefault="00B917F2" w:rsidP="00B917F2">
      <w:pPr>
        <w:tabs>
          <w:tab w:val="left" w:pos="360"/>
          <w:tab w:val="left" w:pos="720"/>
          <w:tab w:val="left" w:pos="1080"/>
        </w:tabs>
        <w:spacing w:line="480" w:lineRule="auto"/>
        <w:jc w:val="both"/>
        <w:rPr>
          <w:rFonts w:ascii="Times New Roman" w:hAnsi="Times New Roman"/>
        </w:rPr>
      </w:pP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Annual report to HHS, President, and Congress. </w:t>
      </w:r>
    </w:p>
    <w:p w:rsidR="00B917F2" w:rsidRDefault="00B917F2" w:rsidP="00B917F2">
      <w:pPr>
        <w:tabs>
          <w:tab w:val="left" w:pos="360"/>
          <w:tab w:val="left" w:pos="720"/>
          <w:tab w:val="left" w:pos="1080"/>
        </w:tabs>
        <w:spacing w:line="480" w:lineRule="auto"/>
        <w:jc w:val="both"/>
        <w:rPr>
          <w:rFonts w:ascii="Times New Roman" w:hAnsi="Times New Roman"/>
        </w:rPr>
      </w:pPr>
    </w:p>
    <w:p w:rsidR="00B917F2" w:rsidRDefault="00B917F2" w:rsidP="00B917F2">
      <w:pPr>
        <w:tabs>
          <w:tab w:val="left" w:pos="360"/>
          <w:tab w:val="left" w:pos="720"/>
          <w:tab w:val="left" w:pos="1080"/>
        </w:tabs>
        <w:spacing w:line="480" w:lineRule="auto"/>
        <w:jc w:val="both"/>
        <w:rPr>
          <w:rFonts w:ascii="Times New Roman" w:hAnsi="Times New Roman"/>
        </w:rPr>
        <w:sectPr w:rsidR="00B917F2" w:rsidSect="00270A58">
          <w:type w:val="nextColumn"/>
          <w:pgSz w:w="12240" w:h="15840"/>
          <w:pgMar w:top="1440" w:right="1440" w:bottom="720" w:left="1440" w:header="1440" w:footer="720" w:gutter="0"/>
          <w:cols w:space="720"/>
          <w:noEndnote/>
        </w:sectPr>
      </w:pPr>
    </w:p>
    <w:p w:rsidR="00B917F2" w:rsidRDefault="00B917F2" w:rsidP="00B917F2">
      <w:pPr>
        <w:pStyle w:val="Level1"/>
        <w:tabs>
          <w:tab w:val="num" w:pos="360"/>
          <w:tab w:val="left" w:pos="720"/>
          <w:tab w:val="left" w:pos="1080"/>
        </w:tabs>
        <w:spacing w:line="480" w:lineRule="auto"/>
        <w:jc w:val="both"/>
        <w:rPr>
          <w:rFonts w:ascii="Times New Roman" w:hAnsi="Times New Roman"/>
        </w:rPr>
      </w:pPr>
      <w:r>
        <w:rPr>
          <w:rFonts w:ascii="Times New Roman" w:hAnsi="Times New Roman"/>
        </w:rPr>
        <w:lastRenderedPageBreak/>
        <w:t>LEAD</w:t>
      </w:r>
      <w:r>
        <w:rPr>
          <w:rFonts w:ascii="Times New Roman" w:hAnsi="Times New Roman"/>
        </w:rPr>
        <w:noBreakHyphen/>
        <w:t xml:space="preserve">BASED PAINT ACTIVITIES.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(1) Training Grant Program. </w:t>
      </w:r>
      <w:r>
        <w:rPr>
          <w:rFonts w:ascii="Times New Roman" w:hAnsi="Times New Roman"/>
        </w:rPr>
        <w:noBreakHyphen/>
      </w:r>
      <w:r>
        <w:rPr>
          <w:rFonts w:ascii="Times New Roman" w:hAnsi="Times New Roman"/>
        </w:rPr>
        <w:noBreakHyphen/>
        <w:t xml:space="preserve">     </w:t>
      </w:r>
    </w:p>
    <w:p w:rsidR="00B917F2" w:rsidRDefault="00B917F2" w:rsidP="00B917F2">
      <w:pPr>
        <w:tabs>
          <w:tab w:val="left" w:pos="360"/>
          <w:tab w:val="left" w:pos="720"/>
          <w:tab w:val="left" w:pos="1080"/>
        </w:tabs>
        <w:spacing w:line="480" w:lineRule="auto"/>
        <w:jc w:val="both"/>
        <w:rPr>
          <w:rFonts w:ascii="Times New Roman" w:hAnsi="Times New Roman"/>
        </w:rPr>
      </w:pP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(A) The Institute, in conjunction with the Administrator of the Environmental Protection Agency, may make grants for the training and education of workers and supervisors who are or may be directly engaged in lead</w:t>
      </w:r>
      <w:r>
        <w:rPr>
          <w:rFonts w:ascii="Times New Roman" w:hAnsi="Times New Roman"/>
        </w:rPr>
        <w:noBreakHyphen/>
        <w:t xml:space="preserve">based paint activities.     </w:t>
      </w:r>
    </w:p>
    <w:p w:rsidR="00B917F2" w:rsidRDefault="00B917F2" w:rsidP="00B917F2">
      <w:pPr>
        <w:tabs>
          <w:tab w:val="left" w:pos="360"/>
          <w:tab w:val="left" w:pos="720"/>
          <w:tab w:val="left" w:pos="1080"/>
        </w:tabs>
        <w:spacing w:line="480" w:lineRule="auto"/>
        <w:jc w:val="both"/>
        <w:rPr>
          <w:rFonts w:ascii="Times New Roman" w:hAnsi="Times New Roman"/>
        </w:rPr>
      </w:pP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(B) Grants referred to in subparagraph (A) shall be awarded to nonprofit organizations (including colleges and universities, joint labor</w:t>
      </w:r>
      <w:r>
        <w:rPr>
          <w:rFonts w:ascii="Times New Roman" w:hAnsi="Times New Roman"/>
        </w:rPr>
        <w:noBreakHyphen/>
        <w:t xml:space="preserve">management trust funds, States, and nonprofit government employee organizations) </w:t>
      </w:r>
      <w:r>
        <w:rPr>
          <w:rFonts w:ascii="Times New Roman" w:hAnsi="Times New Roman"/>
        </w:rPr>
        <w:noBreakHyphen/>
      </w:r>
      <w:r>
        <w:rPr>
          <w:rFonts w:ascii="Times New Roman" w:hAnsi="Times New Roman"/>
        </w:rPr>
        <w:noBreakHyphen/>
        <w:t xml:space="preserve">     </w:t>
      </w:r>
    </w:p>
    <w:p w:rsidR="00B917F2" w:rsidRDefault="00B917F2" w:rsidP="00B917F2">
      <w:pPr>
        <w:tabs>
          <w:tab w:val="left" w:pos="360"/>
          <w:tab w:val="left" w:pos="720"/>
          <w:tab w:val="left" w:pos="1080"/>
        </w:tabs>
        <w:spacing w:line="480" w:lineRule="auto"/>
        <w:jc w:val="both"/>
        <w:rPr>
          <w:rFonts w:ascii="Times New Roman" w:hAnsi="Times New Roman"/>
        </w:rPr>
      </w:pP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(i)which are engaged in the training and education of workers and supervisors who are or who may be directly engaged in lead</w:t>
      </w:r>
      <w:r>
        <w:rPr>
          <w:rFonts w:ascii="Times New Roman" w:hAnsi="Times New Roman"/>
        </w:rPr>
        <w:noBreakHyphen/>
        <w:t xml:space="preserve">based paint activities (as defined in Title IV of the Toxic Substances Control Act),   15 USC 2681 et. seq.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(ii) which have demonstrated experience in implementing and operating health and safety training and education programs, and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(iii) with a demonstrated ability to reach, and involve in lead</w:t>
      </w:r>
      <w:r>
        <w:rPr>
          <w:rFonts w:ascii="Times New Roman" w:hAnsi="Times New Roman"/>
        </w:rPr>
        <w:noBreakHyphen/>
        <w:t>based paint training programs, target populations of individuals who are or will be engaged in lead</w:t>
      </w:r>
      <w:r>
        <w:rPr>
          <w:rFonts w:ascii="Times New Roman" w:hAnsi="Times New Roman"/>
        </w:rPr>
        <w:noBreakHyphen/>
        <w:t xml:space="preserve">based paint activities.     </w:t>
      </w:r>
    </w:p>
    <w:p w:rsidR="00B917F2" w:rsidRDefault="00B917F2" w:rsidP="00B917F2">
      <w:pPr>
        <w:tabs>
          <w:tab w:val="left" w:pos="360"/>
          <w:tab w:val="left" w:pos="720"/>
          <w:tab w:val="left" w:pos="1080"/>
        </w:tabs>
        <w:spacing w:line="480" w:lineRule="auto"/>
        <w:jc w:val="both"/>
        <w:rPr>
          <w:rFonts w:ascii="Times New Roman" w:hAnsi="Times New Roman"/>
        </w:rPr>
        <w:sectPr w:rsidR="00B917F2" w:rsidSect="00270A58">
          <w:type w:val="nextColumn"/>
          <w:pgSz w:w="12240" w:h="15840"/>
          <w:pgMar w:top="1440" w:right="1440" w:bottom="720" w:left="1440" w:header="1440" w:footer="720" w:gutter="0"/>
          <w:cols w:space="720"/>
          <w:noEndnote/>
        </w:sectPr>
      </w:pP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lastRenderedPageBreak/>
        <w:t>Grants under this subsection shall be awarded only to those organizations that fund at least 30 percent of their lead</w:t>
      </w:r>
      <w:r>
        <w:rPr>
          <w:rFonts w:ascii="Times New Roman" w:hAnsi="Times New Roman"/>
        </w:rPr>
        <w:noBreakHyphen/>
        <w:t>based paint activities training programs from non</w:t>
      </w:r>
      <w:r>
        <w:rPr>
          <w:rFonts w:ascii="Times New Roman" w:hAnsi="Times New Roman"/>
        </w:rPr>
        <w:noBreakHyphen/>
        <w:t>Federal sources, excluding in</w:t>
      </w:r>
      <w:r>
        <w:rPr>
          <w:rFonts w:ascii="Times New Roman" w:hAnsi="Times New Roman"/>
        </w:rPr>
        <w:noBreakHyphen/>
        <w:t xml:space="preserve">kind contributions.  Grants may also be made to local governments to carry out such training and education for their employees.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(C) There are authorized to be appropriated, a minimum, $10,000,000 to the Institute for each of the fiscal years 1994 through 1997 to make grants under this paragraph.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 </w:t>
      </w:r>
    </w:p>
    <w:p w:rsidR="00B917F2" w:rsidRDefault="00B917F2" w:rsidP="00B917F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(2) Evaluation of Programs. </w:t>
      </w:r>
      <w:r>
        <w:rPr>
          <w:rFonts w:ascii="Times New Roman" w:hAnsi="Times New Roman"/>
        </w:rPr>
        <w:noBreakHyphen/>
      </w:r>
      <w:r>
        <w:rPr>
          <w:rFonts w:ascii="Times New Roman" w:hAnsi="Times New Roman"/>
        </w:rPr>
        <w:noBreakHyphen/>
        <w:t xml:space="preserve">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5E2E45" w:rsidRDefault="00CC607D"/>
    <w:sectPr w:rsidR="005E2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SAS Monospace">
    <w:altName w:val="Lucida Console"/>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0"/>
    <w:name w:val="AutoList13"/>
    <w:lvl w:ilvl="0">
      <w:start w:val="1"/>
      <w:numFmt w:val="lowerLetter"/>
      <w:pStyle w:val="Level1"/>
      <w:lvlText w:val="(%1)"/>
      <w:lvlJc w:val="left"/>
    </w:lvl>
    <w:lvl w:ilvl="1">
      <w:start w:val="1"/>
      <w:numFmt w:val="decimal"/>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num w:numId="1">
    <w:abstractNumId w:val="0"/>
    <w:lvlOverride w:ilvl="0">
      <w:startOverride w:val="7"/>
      <w:lvl w:ilvl="0">
        <w:start w:val="7"/>
        <w:numFmt w:val="lowerLetter"/>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F2"/>
    <w:rsid w:val="008B187F"/>
    <w:rsid w:val="00B917F2"/>
    <w:rsid w:val="00C53E77"/>
    <w:rsid w:val="00C90F42"/>
    <w:rsid w:val="00CC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7F2"/>
    <w:pPr>
      <w:widowControl w:val="0"/>
      <w:autoSpaceDE w:val="0"/>
      <w:autoSpaceDN w:val="0"/>
      <w:adjustRightInd w:val="0"/>
      <w:spacing w:after="0" w:line="240" w:lineRule="auto"/>
    </w:pPr>
    <w:rPr>
      <w:rFonts w:ascii="SAS Monospace" w:eastAsia="Times New Roman" w:hAnsi="SAS Monosp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917F2"/>
    <w:pPr>
      <w:numPr>
        <w:numId w:val="1"/>
      </w:numPr>
      <w:ind w:left="360" w:hanging="360"/>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7F2"/>
    <w:pPr>
      <w:widowControl w:val="0"/>
      <w:autoSpaceDE w:val="0"/>
      <w:autoSpaceDN w:val="0"/>
      <w:adjustRightInd w:val="0"/>
      <w:spacing w:after="0" w:line="240" w:lineRule="auto"/>
    </w:pPr>
    <w:rPr>
      <w:rFonts w:ascii="SAS Monospace" w:eastAsia="Times New Roman" w:hAnsi="SAS Monosp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917F2"/>
    <w:pPr>
      <w:numPr>
        <w:numId w:val="1"/>
      </w:numPr>
      <w:ind w:left="360" w:hanging="36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Sawyer, Tamela (CDC/NIOSH/OD)</dc:creator>
  <cp:lastModifiedBy>CTAC</cp:lastModifiedBy>
  <cp:revision>2</cp:revision>
  <dcterms:created xsi:type="dcterms:W3CDTF">2012-07-13T14:58:00Z</dcterms:created>
  <dcterms:modified xsi:type="dcterms:W3CDTF">2012-07-13T14:58:00Z</dcterms:modified>
</cp:coreProperties>
</file>