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B0E" w:rsidRPr="00D172C5" w:rsidRDefault="001E3B0E" w:rsidP="001E3B0E">
      <w:pPr>
        <w:jc w:val="center"/>
        <w:rPr>
          <w:rFonts w:ascii="Times New Roman" w:hAnsi="Times New Roman"/>
          <w:b/>
          <w:bCs/>
          <w:szCs w:val="24"/>
        </w:rPr>
      </w:pPr>
      <w:r w:rsidRPr="00D172C5">
        <w:rPr>
          <w:rFonts w:ascii="Times New Roman" w:hAnsi="Times New Roman"/>
          <w:b/>
          <w:bCs/>
          <w:szCs w:val="24"/>
        </w:rPr>
        <w:t>Supporting Statement for</w:t>
      </w:r>
    </w:p>
    <w:p w:rsidR="001E3B0E" w:rsidRPr="00D172C5" w:rsidRDefault="001E3B0E" w:rsidP="001E3B0E">
      <w:pPr>
        <w:widowControl/>
        <w:tabs>
          <w:tab w:val="left" w:pos="360"/>
        </w:tabs>
        <w:jc w:val="center"/>
        <w:rPr>
          <w:rFonts w:ascii="Times New Roman" w:hAnsi="Times New Roman"/>
          <w:b/>
          <w:bCs/>
          <w:szCs w:val="24"/>
        </w:rPr>
      </w:pPr>
      <w:r w:rsidRPr="00D172C5">
        <w:rPr>
          <w:rFonts w:ascii="Times New Roman" w:hAnsi="Times New Roman"/>
          <w:b/>
          <w:bCs/>
          <w:szCs w:val="24"/>
        </w:rPr>
        <w:t>Bank Holding Company Report of</w:t>
      </w:r>
    </w:p>
    <w:p w:rsidR="001E3B0E" w:rsidRPr="00D172C5" w:rsidRDefault="001E3B0E" w:rsidP="001E3B0E">
      <w:pPr>
        <w:widowControl/>
        <w:tabs>
          <w:tab w:val="left" w:pos="360"/>
        </w:tabs>
        <w:jc w:val="center"/>
        <w:rPr>
          <w:rFonts w:ascii="Times New Roman" w:hAnsi="Times New Roman"/>
          <w:b/>
          <w:bCs/>
          <w:szCs w:val="24"/>
        </w:rPr>
      </w:pPr>
      <w:r w:rsidRPr="00D172C5">
        <w:rPr>
          <w:rFonts w:ascii="Times New Roman" w:hAnsi="Times New Roman"/>
          <w:b/>
          <w:bCs/>
          <w:szCs w:val="24"/>
        </w:rPr>
        <w:t xml:space="preserve">Insured Depository Institutions’ Section 23A Transactions with Affiliates </w:t>
      </w:r>
    </w:p>
    <w:p w:rsidR="001E3B0E" w:rsidRPr="00D172C5" w:rsidRDefault="001E3B0E" w:rsidP="001E3B0E">
      <w:pPr>
        <w:widowControl/>
        <w:tabs>
          <w:tab w:val="left" w:pos="360"/>
        </w:tabs>
        <w:jc w:val="center"/>
        <w:rPr>
          <w:rFonts w:ascii="Times New Roman" w:hAnsi="Times New Roman"/>
          <w:b/>
          <w:bCs/>
          <w:szCs w:val="24"/>
        </w:rPr>
      </w:pPr>
      <w:r w:rsidRPr="00D172C5">
        <w:rPr>
          <w:rFonts w:ascii="Times New Roman" w:hAnsi="Times New Roman"/>
          <w:b/>
          <w:bCs/>
          <w:szCs w:val="24"/>
        </w:rPr>
        <w:t>(FR Y-8; OMB No. 7100-0126)</w:t>
      </w:r>
    </w:p>
    <w:p w:rsidR="001E3B0E" w:rsidRDefault="001E3B0E" w:rsidP="001E3B0E">
      <w:pPr>
        <w:widowControl/>
        <w:tabs>
          <w:tab w:val="left" w:pos="360"/>
        </w:tabs>
        <w:jc w:val="center"/>
        <w:outlineLvl w:val="0"/>
        <w:rPr>
          <w:rFonts w:ascii="Times New Roman" w:hAnsi="Times New Roman"/>
          <w:b/>
        </w:rPr>
      </w:pPr>
    </w:p>
    <w:p w:rsidR="001E3B0E" w:rsidRDefault="001E3B0E">
      <w:pPr>
        <w:widowControl/>
        <w:tabs>
          <w:tab w:val="left" w:pos="360"/>
        </w:tabs>
        <w:outlineLvl w:val="0"/>
        <w:rPr>
          <w:rFonts w:ascii="Times New Roman" w:hAnsi="Times New Roman"/>
          <w:b/>
        </w:rPr>
      </w:pPr>
    </w:p>
    <w:p w:rsidR="00DE578D" w:rsidRPr="005558C0" w:rsidRDefault="00DE578D">
      <w:pPr>
        <w:widowControl/>
        <w:tabs>
          <w:tab w:val="left" w:pos="360"/>
        </w:tabs>
        <w:outlineLvl w:val="0"/>
        <w:rPr>
          <w:rFonts w:ascii="Times New Roman" w:hAnsi="Times New Roman"/>
        </w:rPr>
      </w:pPr>
      <w:r w:rsidRPr="005558C0">
        <w:rPr>
          <w:rFonts w:ascii="Times New Roman" w:hAnsi="Times New Roman"/>
          <w:b/>
        </w:rPr>
        <w:t>Summary</w:t>
      </w:r>
    </w:p>
    <w:p w:rsidR="00DE578D" w:rsidRPr="005558C0" w:rsidRDefault="00DE578D">
      <w:pPr>
        <w:pStyle w:val="MemoHeader"/>
        <w:tabs>
          <w:tab w:val="left" w:pos="360"/>
        </w:tabs>
        <w:rPr>
          <w:rFonts w:ascii="Times New Roman" w:hAnsi="Times New Roman"/>
          <w:smallCaps w:val="0"/>
          <w:snapToGrid w:val="0"/>
        </w:rPr>
      </w:pPr>
    </w:p>
    <w:p w:rsidR="00DE578D" w:rsidRPr="005558C0" w:rsidRDefault="00DE578D">
      <w:pPr>
        <w:widowControl/>
        <w:tabs>
          <w:tab w:val="left" w:pos="720"/>
        </w:tabs>
        <w:rPr>
          <w:rFonts w:ascii="Times New Roman" w:hAnsi="Times New Roman"/>
        </w:rPr>
      </w:pPr>
      <w:r w:rsidRPr="005558C0">
        <w:rPr>
          <w:rFonts w:ascii="Times New Roman" w:hAnsi="Times New Roman"/>
        </w:rPr>
        <w:tab/>
      </w:r>
      <w:r w:rsidR="001E3B0E" w:rsidRPr="00F23D78">
        <w:rPr>
          <w:rFonts w:ascii="Times New Roman" w:hAnsi="Times New Roman"/>
        </w:rPr>
        <w:t xml:space="preserve">The Board of Governors of the Federal Reserve System, under delegated authority from the Office of Management and Budget (OMB), proposes to extend for three years, </w:t>
      </w:r>
      <w:r w:rsidR="00C2363D" w:rsidRPr="005558C0">
        <w:rPr>
          <w:rFonts w:ascii="Times New Roman" w:hAnsi="Times New Roman"/>
        </w:rPr>
        <w:t xml:space="preserve">without </w:t>
      </w:r>
      <w:r w:rsidR="00BD5E48" w:rsidRPr="005558C0">
        <w:rPr>
          <w:rFonts w:ascii="Times New Roman" w:hAnsi="Times New Roman"/>
        </w:rPr>
        <w:t>r</w:t>
      </w:r>
      <w:r w:rsidRPr="005558C0">
        <w:rPr>
          <w:rFonts w:ascii="Times New Roman" w:hAnsi="Times New Roman"/>
        </w:rPr>
        <w:t xml:space="preserve">evision, the </w:t>
      </w:r>
      <w:bookmarkStart w:id="0" w:name="OLE_LINK1"/>
      <w:r w:rsidR="00FC5C78" w:rsidRPr="005558C0">
        <w:rPr>
          <w:rFonts w:ascii="Times New Roman" w:hAnsi="Times New Roman"/>
        </w:rPr>
        <w:t xml:space="preserve">quarterly </w:t>
      </w:r>
      <w:r w:rsidRPr="005558C0">
        <w:rPr>
          <w:rFonts w:ascii="Times New Roman" w:hAnsi="Times New Roman"/>
        </w:rPr>
        <w:t xml:space="preserve">Bank Holding Company Report of Insured Depository Institutions’ Section 23A Transactions with Affiliates </w:t>
      </w:r>
      <w:bookmarkEnd w:id="0"/>
      <w:r w:rsidRPr="005558C0">
        <w:rPr>
          <w:rFonts w:ascii="Times New Roman" w:hAnsi="Times New Roman"/>
        </w:rPr>
        <w:t xml:space="preserve">(FR Y-8; OMB No. 7100-0126). </w:t>
      </w:r>
      <w:r w:rsidR="00AA754C" w:rsidRPr="005558C0">
        <w:rPr>
          <w:rFonts w:ascii="Times New Roman" w:hAnsi="Times New Roman"/>
        </w:rPr>
        <w:t xml:space="preserve"> </w:t>
      </w:r>
      <w:r w:rsidRPr="005558C0">
        <w:rPr>
          <w:rFonts w:ascii="Times New Roman" w:hAnsi="Times New Roman"/>
        </w:rPr>
        <w:t xml:space="preserve">This reporting form collects information on transactions between an insured depository institution and its affiliates that are subject to section 23A of the Federal Reserve Act. </w:t>
      </w:r>
      <w:r w:rsidR="00133223" w:rsidRPr="005558C0">
        <w:rPr>
          <w:rFonts w:ascii="Times New Roman" w:hAnsi="Times New Roman"/>
        </w:rPr>
        <w:t xml:space="preserve"> </w:t>
      </w:r>
      <w:r w:rsidR="007108D4" w:rsidRPr="005558C0">
        <w:rPr>
          <w:rFonts w:ascii="Times New Roman" w:hAnsi="Times New Roman"/>
        </w:rPr>
        <w:t xml:space="preserve">The FR Y-8 is filed quarterly by all top-tier </w:t>
      </w:r>
      <w:r w:rsidR="004C01F6" w:rsidRPr="005558C0">
        <w:rPr>
          <w:rFonts w:ascii="Times New Roman" w:hAnsi="Times New Roman"/>
        </w:rPr>
        <w:t>bank holding companies (</w:t>
      </w:r>
      <w:r w:rsidR="007108D4" w:rsidRPr="005558C0">
        <w:rPr>
          <w:rFonts w:ascii="Times New Roman" w:hAnsi="Times New Roman"/>
        </w:rPr>
        <w:t>BHCs</w:t>
      </w:r>
      <w:r w:rsidR="004C01F6" w:rsidRPr="005558C0">
        <w:rPr>
          <w:rFonts w:ascii="Times New Roman" w:hAnsi="Times New Roman"/>
        </w:rPr>
        <w:t>)</w:t>
      </w:r>
      <w:proofErr w:type="gramStart"/>
      <w:r w:rsidR="007108D4" w:rsidRPr="005558C0">
        <w:rPr>
          <w:rFonts w:ascii="Times New Roman" w:hAnsi="Times New Roman"/>
        </w:rPr>
        <w:t>,</w:t>
      </w:r>
      <w:proofErr w:type="gramEnd"/>
      <w:r w:rsidR="007108D4" w:rsidRPr="005558C0">
        <w:rPr>
          <w:rFonts w:ascii="Times New Roman" w:hAnsi="Times New Roman"/>
        </w:rPr>
        <w:t xml:space="preserve"> including </w:t>
      </w:r>
      <w:r w:rsidR="004C01F6" w:rsidRPr="005558C0">
        <w:rPr>
          <w:rFonts w:ascii="Times New Roman" w:hAnsi="Times New Roman"/>
        </w:rPr>
        <w:t>financial holding companies (</w:t>
      </w:r>
      <w:r w:rsidR="007108D4" w:rsidRPr="005558C0">
        <w:rPr>
          <w:rFonts w:ascii="Times New Roman" w:hAnsi="Times New Roman"/>
        </w:rPr>
        <w:t>FHCs</w:t>
      </w:r>
      <w:r w:rsidR="004C01F6" w:rsidRPr="005558C0">
        <w:rPr>
          <w:rFonts w:ascii="Times New Roman" w:hAnsi="Times New Roman"/>
        </w:rPr>
        <w:t>)</w:t>
      </w:r>
      <w:r w:rsidR="007108D4" w:rsidRPr="005558C0">
        <w:rPr>
          <w:rFonts w:ascii="Times New Roman" w:hAnsi="Times New Roman"/>
        </w:rPr>
        <w:t xml:space="preserve">, for all insured depository institutions that are owned by the </w:t>
      </w:r>
      <w:smartTag w:uri="urn:schemas-microsoft-com:office:smarttags" w:element="stockticker">
        <w:r w:rsidR="007108D4" w:rsidRPr="005558C0">
          <w:rPr>
            <w:rFonts w:ascii="Times New Roman" w:hAnsi="Times New Roman"/>
          </w:rPr>
          <w:t>BHC</w:t>
        </w:r>
      </w:smartTag>
      <w:r w:rsidR="007108D4" w:rsidRPr="005558C0">
        <w:rPr>
          <w:rFonts w:ascii="Times New Roman" w:hAnsi="Times New Roman"/>
        </w:rPr>
        <w:t xml:space="preserve"> and by </w:t>
      </w:r>
      <w:r w:rsidR="004C01F6" w:rsidRPr="005558C0">
        <w:rPr>
          <w:rFonts w:ascii="Times New Roman" w:hAnsi="Times New Roman"/>
        </w:rPr>
        <w:t>foreign banking organizations (</w:t>
      </w:r>
      <w:r w:rsidR="007108D4" w:rsidRPr="005558C0">
        <w:rPr>
          <w:rFonts w:ascii="Times New Roman" w:hAnsi="Times New Roman"/>
        </w:rPr>
        <w:t>FBOs</w:t>
      </w:r>
      <w:r w:rsidR="004C01F6" w:rsidRPr="005558C0">
        <w:rPr>
          <w:rFonts w:ascii="Times New Roman" w:hAnsi="Times New Roman"/>
        </w:rPr>
        <w:t>)</w:t>
      </w:r>
      <w:r w:rsidR="007108D4" w:rsidRPr="005558C0">
        <w:rPr>
          <w:rFonts w:ascii="Times New Roman" w:hAnsi="Times New Roman"/>
        </w:rPr>
        <w:t xml:space="preserve"> that directly own a U.S. subsidiary bank.</w:t>
      </w:r>
      <w:r w:rsidRPr="005558C0">
        <w:rPr>
          <w:rFonts w:ascii="Times New Roman" w:hAnsi="Times New Roman"/>
        </w:rPr>
        <w:t xml:space="preserve"> </w:t>
      </w:r>
      <w:r w:rsidR="007108D4" w:rsidRPr="005558C0">
        <w:rPr>
          <w:rFonts w:ascii="Times New Roman" w:hAnsi="Times New Roman"/>
        </w:rPr>
        <w:t xml:space="preserve"> </w:t>
      </w:r>
      <w:r w:rsidRPr="005558C0">
        <w:rPr>
          <w:rFonts w:ascii="Times New Roman" w:hAnsi="Times New Roman"/>
        </w:rPr>
        <w:t xml:space="preserve">The FR Y-8 </w:t>
      </w:r>
      <w:r w:rsidR="006D613D" w:rsidRPr="005558C0">
        <w:rPr>
          <w:rFonts w:ascii="Times New Roman" w:hAnsi="Times New Roman"/>
        </w:rPr>
        <w:t xml:space="preserve">reporting form </w:t>
      </w:r>
      <w:r w:rsidRPr="005558C0">
        <w:rPr>
          <w:rFonts w:ascii="Times New Roman" w:hAnsi="Times New Roman"/>
        </w:rPr>
        <w:t xml:space="preserve">comprises a cover page, declaration page, and </w:t>
      </w:r>
      <w:r w:rsidR="002D7FF0" w:rsidRPr="005558C0">
        <w:rPr>
          <w:rFonts w:ascii="Times New Roman" w:hAnsi="Times New Roman"/>
        </w:rPr>
        <w:t>two</w:t>
      </w:r>
      <w:r w:rsidR="006D613D" w:rsidRPr="005558C0">
        <w:rPr>
          <w:rFonts w:ascii="Times New Roman" w:hAnsi="Times New Roman"/>
        </w:rPr>
        <w:t xml:space="preserve"> </w:t>
      </w:r>
      <w:r w:rsidRPr="005558C0">
        <w:rPr>
          <w:rFonts w:ascii="Times New Roman" w:hAnsi="Times New Roman"/>
        </w:rPr>
        <w:t>page</w:t>
      </w:r>
      <w:r w:rsidR="006D613D" w:rsidRPr="005558C0">
        <w:rPr>
          <w:rFonts w:ascii="Times New Roman" w:hAnsi="Times New Roman"/>
        </w:rPr>
        <w:t>s</w:t>
      </w:r>
      <w:r w:rsidRPr="005558C0">
        <w:rPr>
          <w:rFonts w:ascii="Times New Roman" w:hAnsi="Times New Roman"/>
        </w:rPr>
        <w:t xml:space="preserve"> </w:t>
      </w:r>
      <w:r w:rsidR="006D613D" w:rsidRPr="005558C0">
        <w:rPr>
          <w:rFonts w:ascii="Times New Roman" w:hAnsi="Times New Roman"/>
        </w:rPr>
        <w:t>collecting data on covered transactions and derivatives</w:t>
      </w:r>
      <w:r w:rsidRPr="005558C0">
        <w:rPr>
          <w:rFonts w:ascii="Times New Roman" w:hAnsi="Times New Roman"/>
        </w:rPr>
        <w:t xml:space="preserve">.  </w:t>
      </w:r>
    </w:p>
    <w:p w:rsidR="00DE578D" w:rsidRPr="005558C0" w:rsidRDefault="00DE578D">
      <w:pPr>
        <w:widowControl/>
        <w:tabs>
          <w:tab w:val="left" w:pos="720"/>
        </w:tabs>
        <w:rPr>
          <w:rFonts w:ascii="Times New Roman" w:hAnsi="Times New Roman"/>
        </w:rPr>
      </w:pPr>
    </w:p>
    <w:p w:rsidR="00CB7219" w:rsidRPr="005558C0" w:rsidRDefault="00DE578D">
      <w:pPr>
        <w:widowControl/>
        <w:tabs>
          <w:tab w:val="left" w:pos="720"/>
        </w:tabs>
        <w:rPr>
          <w:rFonts w:ascii="Times New Roman" w:hAnsi="Times New Roman"/>
        </w:rPr>
      </w:pPr>
      <w:r w:rsidRPr="005558C0">
        <w:rPr>
          <w:rFonts w:ascii="Times New Roman" w:hAnsi="Times New Roman"/>
        </w:rPr>
        <w:tab/>
        <w:t xml:space="preserve">The primary purpose of the data is to enhance the Federal Reserve's ability to monitor bank exposures to affiliates and to ensure banks’ compliance with section 23A of the Federal Reserve Act.  Section 23A of the Federal Reserve Act is one of the most important statutes on limiting exposures to individual institutions and protecting against the expansion of the federal safety net.  </w:t>
      </w:r>
      <w:r w:rsidR="00A25988">
        <w:rPr>
          <w:rFonts w:ascii="Times New Roman" w:hAnsi="Times New Roman"/>
        </w:rPr>
        <w:t>The total current annual burden for the FR Y-8 is estimated to be 49,498 hours.</w:t>
      </w:r>
    </w:p>
    <w:p w:rsidR="00CB7219" w:rsidRPr="005558C0" w:rsidRDefault="00CB7219">
      <w:pPr>
        <w:widowControl/>
        <w:tabs>
          <w:tab w:val="left" w:pos="720"/>
        </w:tabs>
        <w:rPr>
          <w:rFonts w:ascii="Times New Roman" w:hAnsi="Times New Roman"/>
        </w:rPr>
      </w:pPr>
    </w:p>
    <w:p w:rsidR="00EE19BF" w:rsidRDefault="009F0AE8" w:rsidP="00BC0BBE">
      <w:pPr>
        <w:pStyle w:val="Heading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rFonts w:ascii="Times New Roman" w:hAnsi="Times New Roman"/>
        </w:rPr>
      </w:pPr>
      <w:r w:rsidRPr="009F0AE8">
        <w:rPr>
          <w:rFonts w:ascii="Times New Roman" w:hAnsi="Times New Roman"/>
        </w:rPr>
        <w:t>Background and Justification</w:t>
      </w:r>
    </w:p>
    <w:p w:rsidR="00DE578D" w:rsidRPr="005558C0" w:rsidRDefault="00DE578D">
      <w:pPr>
        <w:rPr>
          <w:rFonts w:ascii="Times New Roman" w:hAnsi="Times New Roman"/>
        </w:rPr>
      </w:pPr>
      <w:r w:rsidRPr="005558C0">
        <w:rPr>
          <w:rFonts w:ascii="Times New Roman" w:hAnsi="Times New Roman"/>
        </w:rPr>
        <w:tab/>
      </w:r>
    </w:p>
    <w:p w:rsidR="00DE578D" w:rsidRPr="005558C0" w:rsidRDefault="00DE578D">
      <w:pPr>
        <w:widowControl/>
        <w:tabs>
          <w:tab w:val="left" w:pos="720"/>
        </w:tabs>
        <w:ind w:right="-144"/>
        <w:rPr>
          <w:rFonts w:ascii="Times New Roman" w:hAnsi="Times New Roman"/>
        </w:rPr>
      </w:pPr>
      <w:r w:rsidRPr="005558C0">
        <w:rPr>
          <w:rFonts w:ascii="Times New Roman" w:hAnsi="Times New Roman"/>
        </w:rPr>
        <w:tab/>
        <w:t xml:space="preserve">The Federal Reserve implemented the </w:t>
      </w:r>
      <w:r w:rsidR="006F3148" w:rsidRPr="005558C0">
        <w:rPr>
          <w:rFonts w:ascii="Times New Roman" w:hAnsi="Times New Roman"/>
        </w:rPr>
        <w:t xml:space="preserve">FR Y-8 </w:t>
      </w:r>
      <w:r w:rsidRPr="005558C0">
        <w:rPr>
          <w:rFonts w:ascii="Times New Roman" w:hAnsi="Times New Roman"/>
        </w:rPr>
        <w:t xml:space="preserve">in March 1975 to monitor transactions between subsidiary depository institutions, the parent </w:t>
      </w:r>
      <w:r w:rsidR="006F3148" w:rsidRPr="005558C0">
        <w:rPr>
          <w:rFonts w:ascii="Times New Roman" w:hAnsi="Times New Roman"/>
        </w:rPr>
        <w:t>BHC</w:t>
      </w:r>
      <w:r w:rsidRPr="005558C0">
        <w:rPr>
          <w:rFonts w:ascii="Times New Roman" w:hAnsi="Times New Roman"/>
        </w:rPr>
        <w:t xml:space="preserve">, and other affiliates of the </w:t>
      </w:r>
      <w:r w:rsidR="006F3148" w:rsidRPr="005558C0">
        <w:rPr>
          <w:rFonts w:ascii="Times New Roman" w:hAnsi="Times New Roman"/>
        </w:rPr>
        <w:t>BHC</w:t>
      </w:r>
      <w:r w:rsidRPr="005558C0">
        <w:rPr>
          <w:rFonts w:ascii="Times New Roman" w:hAnsi="Times New Roman"/>
        </w:rPr>
        <w:t xml:space="preserve">.  </w:t>
      </w:r>
      <w:r w:rsidRPr="005558C0">
        <w:rPr>
          <w:rFonts w:ascii="Times New Roman" w:hAnsi="Times New Roman"/>
          <w:color w:val="000000"/>
        </w:rPr>
        <w:t>Over the years the reporting panel and</w:t>
      </w:r>
      <w:r w:rsidR="00FC5C78" w:rsidRPr="005558C0">
        <w:rPr>
          <w:rFonts w:ascii="Times New Roman" w:hAnsi="Times New Roman"/>
          <w:color w:val="000000"/>
        </w:rPr>
        <w:t xml:space="preserve"> data</w:t>
      </w:r>
      <w:r w:rsidRPr="005558C0">
        <w:rPr>
          <w:rFonts w:ascii="Times New Roman" w:hAnsi="Times New Roman"/>
          <w:color w:val="000000"/>
        </w:rPr>
        <w:t xml:space="preserve"> items were revised to reflect changing data needs.  </w:t>
      </w:r>
    </w:p>
    <w:p w:rsidR="00DE578D" w:rsidRPr="005558C0" w:rsidRDefault="00DE578D">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44"/>
        <w:rPr>
          <w:rFonts w:ascii="Times New Roman" w:hAnsi="Times New Roman"/>
        </w:rPr>
      </w:pPr>
    </w:p>
    <w:p w:rsidR="00DE578D" w:rsidRPr="005558C0" w:rsidRDefault="00DE578D">
      <w:pPr>
        <w:widowControl/>
        <w:autoSpaceDE w:val="0"/>
        <w:autoSpaceDN w:val="0"/>
        <w:adjustRightInd w:val="0"/>
        <w:rPr>
          <w:rFonts w:ascii="Times New Roman" w:hAnsi="Times New Roman"/>
        </w:rPr>
      </w:pPr>
      <w:r w:rsidRPr="005558C0">
        <w:rPr>
          <w:rFonts w:ascii="Times New Roman" w:hAnsi="Times New Roman"/>
        </w:rPr>
        <w:tab/>
      </w:r>
      <w:r w:rsidR="00836370" w:rsidRPr="005558C0">
        <w:rPr>
          <w:rFonts w:ascii="Times New Roman" w:hAnsi="Times New Roman"/>
        </w:rPr>
        <w:t>In</w:t>
      </w:r>
      <w:r w:rsidRPr="005558C0">
        <w:rPr>
          <w:rFonts w:ascii="Times New Roman" w:hAnsi="Times New Roman"/>
        </w:rPr>
        <w:t xml:space="preserve"> 2000, the reporting form and instructions were completely revised to enhance the Federal Reserve's ability to monitor bank exposures to affiliates and to ensure banks' compliance with section 23A of the Federal Reserve Act. </w:t>
      </w:r>
      <w:r w:rsidR="00133223" w:rsidRPr="005558C0">
        <w:rPr>
          <w:rFonts w:ascii="Times New Roman" w:hAnsi="Times New Roman"/>
        </w:rPr>
        <w:t xml:space="preserve"> </w:t>
      </w:r>
      <w:r w:rsidR="006F3148" w:rsidRPr="005558C0">
        <w:rPr>
          <w:rFonts w:ascii="Times New Roman" w:hAnsi="Times New Roman"/>
        </w:rPr>
        <w:t>BHC</w:t>
      </w:r>
      <w:r w:rsidRPr="005558C0">
        <w:rPr>
          <w:rFonts w:ascii="Times New Roman" w:hAnsi="Times New Roman"/>
        </w:rPr>
        <w:t xml:space="preserve">s were required to file the information </w:t>
      </w:r>
      <w:r w:rsidR="006D613D" w:rsidRPr="005558C0">
        <w:rPr>
          <w:rFonts w:ascii="Times New Roman" w:hAnsi="Times New Roman"/>
        </w:rPr>
        <w:t>separately</w:t>
      </w:r>
      <w:r w:rsidRPr="005558C0">
        <w:rPr>
          <w:rFonts w:ascii="Times New Roman" w:hAnsi="Times New Roman"/>
        </w:rPr>
        <w:t xml:space="preserve"> for each of their insured depository institutions.  In addition, </w:t>
      </w:r>
      <w:r w:rsidR="00836370" w:rsidRPr="005558C0">
        <w:rPr>
          <w:rFonts w:ascii="Times New Roman" w:hAnsi="Times New Roman"/>
        </w:rPr>
        <w:t xml:space="preserve">FBOs </w:t>
      </w:r>
      <w:r w:rsidRPr="005558C0">
        <w:rPr>
          <w:rFonts w:ascii="Times New Roman" w:hAnsi="Times New Roman"/>
        </w:rPr>
        <w:t xml:space="preserve">that directly own </w:t>
      </w:r>
      <w:smartTag w:uri="urn:schemas-microsoft-com:office:smarttags" w:element="country-region">
        <w:smartTag w:uri="urn:schemas-microsoft-com:office:smarttags" w:element="place">
          <w:r w:rsidRPr="005558C0">
            <w:rPr>
              <w:rFonts w:ascii="Times New Roman" w:hAnsi="Times New Roman"/>
            </w:rPr>
            <w:t>U.S.</w:t>
          </w:r>
        </w:smartTag>
      </w:smartTag>
      <w:r w:rsidRPr="005558C0">
        <w:rPr>
          <w:rFonts w:ascii="Times New Roman" w:hAnsi="Times New Roman"/>
        </w:rPr>
        <w:t xml:space="preserve"> subsidiary banks were</w:t>
      </w:r>
      <w:r w:rsidR="006703B1" w:rsidRPr="005558C0">
        <w:rPr>
          <w:rFonts w:ascii="Times New Roman" w:hAnsi="Times New Roman"/>
        </w:rPr>
        <w:t xml:space="preserve"> added to the reporting panel. </w:t>
      </w:r>
      <w:r w:rsidRPr="005558C0">
        <w:rPr>
          <w:rFonts w:ascii="Times New Roman" w:hAnsi="Times New Roman"/>
        </w:rPr>
        <w:t xml:space="preserve">The reporting frequency was changed </w:t>
      </w:r>
      <w:r w:rsidR="00480416" w:rsidRPr="005558C0">
        <w:rPr>
          <w:rFonts w:ascii="Times New Roman" w:hAnsi="Times New Roman"/>
        </w:rPr>
        <w:t xml:space="preserve">from semi-annual </w:t>
      </w:r>
      <w:r w:rsidRPr="005558C0">
        <w:rPr>
          <w:rFonts w:ascii="Times New Roman" w:hAnsi="Times New Roman"/>
        </w:rPr>
        <w:t>to quarterly and interim reporting</w:t>
      </w:r>
      <w:r w:rsidRPr="005558C0">
        <w:rPr>
          <w:rFonts w:ascii="Times New Roman" w:hAnsi="Times New Roman"/>
          <w:snapToGrid/>
          <w:sz w:val="21"/>
        </w:rPr>
        <w:t xml:space="preserve"> </w:t>
      </w:r>
      <w:r w:rsidRPr="005558C0">
        <w:rPr>
          <w:rFonts w:ascii="Times New Roman" w:hAnsi="Times New Roman"/>
          <w:snapToGrid/>
        </w:rPr>
        <w:t xml:space="preserve">of certain large asset transfers </w:t>
      </w:r>
      <w:r w:rsidRPr="005558C0">
        <w:rPr>
          <w:rFonts w:ascii="Times New Roman" w:hAnsi="Times New Roman"/>
        </w:rPr>
        <w:t xml:space="preserve">was </w:t>
      </w:r>
      <w:proofErr w:type="gramStart"/>
      <w:r w:rsidRPr="005558C0">
        <w:rPr>
          <w:rFonts w:ascii="Times New Roman" w:hAnsi="Times New Roman"/>
        </w:rPr>
        <w:t>eliminated</w:t>
      </w:r>
      <w:proofErr w:type="gramEnd"/>
      <w:r w:rsidRPr="005558C0">
        <w:rPr>
          <w:rFonts w:ascii="Times New Roman" w:hAnsi="Times New Roman"/>
        </w:rPr>
        <w:t xml:space="preserve">. </w:t>
      </w:r>
      <w:r w:rsidR="00836370" w:rsidRPr="005558C0">
        <w:rPr>
          <w:rFonts w:ascii="Times New Roman" w:hAnsi="Times New Roman"/>
        </w:rPr>
        <w:t xml:space="preserve"> </w:t>
      </w:r>
    </w:p>
    <w:p w:rsidR="00DE578D" w:rsidRPr="005558C0" w:rsidRDefault="00DE578D">
      <w:pPr>
        <w:widowControl/>
        <w:rPr>
          <w:rFonts w:ascii="Times New Roman" w:hAnsi="Times New Roman"/>
        </w:rPr>
      </w:pPr>
    </w:p>
    <w:p w:rsidR="00DE578D" w:rsidRPr="005558C0" w:rsidRDefault="00DE578D">
      <w:pPr>
        <w:pStyle w:val="BodyTextIndent"/>
        <w:rPr>
          <w:rFonts w:ascii="Times New Roman" w:hAnsi="Times New Roman"/>
        </w:rPr>
      </w:pPr>
      <w:r w:rsidRPr="005558C0">
        <w:rPr>
          <w:rFonts w:ascii="Times New Roman" w:hAnsi="Times New Roman"/>
        </w:rPr>
        <w:t>Section 23A of the Federal Reserve Act is one of the most important statutes protecting against the expansion of the federal safety net (</w:t>
      </w:r>
      <w:r w:rsidR="005B56DF" w:rsidRPr="005558C0">
        <w:rPr>
          <w:rFonts w:ascii="Times New Roman" w:hAnsi="Times New Roman"/>
        </w:rPr>
        <w:t>that is</w:t>
      </w:r>
      <w:r w:rsidRPr="005558C0">
        <w:rPr>
          <w:rFonts w:ascii="Times New Roman" w:hAnsi="Times New Roman"/>
        </w:rPr>
        <w:t>, lower cost insured deposits, the payment system, and the discount window) by limiting exposures of insured depository institutions to affiliates.  The Gramm-Leach-Bliley Act of 1999 elevated the importance of section 23A and the need to collect information to monitor insured depository institution exposures to affiliates.  FR</w:t>
      </w:r>
      <w:r w:rsidR="006425A3" w:rsidRPr="005558C0">
        <w:rPr>
          <w:rFonts w:ascii="Times New Roman" w:hAnsi="Times New Roman"/>
        </w:rPr>
        <w:t> </w:t>
      </w:r>
      <w:r w:rsidRPr="005558C0">
        <w:rPr>
          <w:rFonts w:ascii="Times New Roman" w:hAnsi="Times New Roman"/>
        </w:rPr>
        <w:t>Y-8 data are necessary to monitor compliance with section 23A</w:t>
      </w:r>
      <w:r w:rsidR="00CC7462" w:rsidRPr="005558C0">
        <w:rPr>
          <w:rFonts w:ascii="Times New Roman" w:hAnsi="Times New Roman"/>
        </w:rPr>
        <w:t xml:space="preserve"> of the Federal Reserve Act</w:t>
      </w:r>
      <w:r w:rsidRPr="005558C0">
        <w:rPr>
          <w:rFonts w:ascii="Times New Roman" w:hAnsi="Times New Roman"/>
        </w:rPr>
        <w:t xml:space="preserve">.  </w:t>
      </w:r>
    </w:p>
    <w:p w:rsidR="00DE578D" w:rsidRPr="005558C0" w:rsidRDefault="00DE578D">
      <w:pPr>
        <w:widowControl/>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p>
    <w:p w:rsidR="00836370" w:rsidRPr="005558C0" w:rsidRDefault="00836370" w:rsidP="00836370">
      <w:pPr>
        <w:widowControl/>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5558C0">
        <w:rPr>
          <w:rFonts w:ascii="Times New Roman" w:hAnsi="Times New Roman"/>
        </w:rPr>
        <w:lastRenderedPageBreak/>
        <w:tab/>
      </w:r>
      <w:r w:rsidRPr="005558C0">
        <w:rPr>
          <w:rFonts w:ascii="Times New Roman" w:hAnsi="Times New Roman"/>
        </w:rPr>
        <w:tab/>
        <w:t>The required information on derivative transactions between insured depository institutions and their affiliates enables supervisory staff to better monitor trends in intercompany derivative transactions on an aggregate basis.  This information, coupled with enhanced on-site supervision of derivative transactions between insured depository institutions and their affiliates at large banking organization</w:t>
      </w:r>
      <w:r w:rsidR="00EA65AD" w:rsidRPr="005558C0">
        <w:rPr>
          <w:rFonts w:ascii="Times New Roman" w:hAnsi="Times New Roman"/>
        </w:rPr>
        <w:t>s</w:t>
      </w:r>
      <w:r w:rsidRPr="005558C0">
        <w:rPr>
          <w:rFonts w:ascii="Times New Roman" w:hAnsi="Times New Roman"/>
        </w:rPr>
        <w:t xml:space="preserve">, aid the </w:t>
      </w:r>
      <w:r w:rsidR="00D93C61">
        <w:rPr>
          <w:rFonts w:ascii="Times New Roman" w:hAnsi="Times New Roman"/>
        </w:rPr>
        <w:t>Federal Reserve</w:t>
      </w:r>
      <w:r w:rsidRPr="005558C0">
        <w:rPr>
          <w:rFonts w:ascii="Times New Roman" w:hAnsi="Times New Roman"/>
        </w:rPr>
        <w:t xml:space="preserve"> in evaluating whether it should continue the approach for regulating derivative transactions between insured depository institutions and their affiliates that was initially adopted in Regulation W.</w:t>
      </w:r>
    </w:p>
    <w:p w:rsidR="001E06CD" w:rsidRPr="005558C0" w:rsidRDefault="001E06CD" w:rsidP="00836370">
      <w:pPr>
        <w:widowControl/>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596A5E" w:rsidRPr="005558C0" w:rsidRDefault="00596A5E" w:rsidP="00596A5E">
      <w:pPr>
        <w:ind w:firstLine="721"/>
        <w:rPr>
          <w:rFonts w:ascii="Times New Roman" w:hAnsi="Times New Roman"/>
        </w:rPr>
      </w:pPr>
      <w:r w:rsidRPr="005558C0">
        <w:rPr>
          <w:rFonts w:ascii="Times New Roman" w:hAnsi="Times New Roman"/>
        </w:rPr>
        <w:t>Effective with the June 30, 2009, report date, all respondents were required to file the FR</w:t>
      </w:r>
      <w:r w:rsidR="003418E0">
        <w:rPr>
          <w:rFonts w:ascii="Times New Roman" w:hAnsi="Times New Roman"/>
        </w:rPr>
        <w:t> </w:t>
      </w:r>
      <w:r w:rsidRPr="005558C0">
        <w:rPr>
          <w:rFonts w:ascii="Times New Roman" w:hAnsi="Times New Roman"/>
        </w:rPr>
        <w:t xml:space="preserve">Y-8 electronically.  Electronic submission of the FR Y-8 has increased the quality and timeliness of the data, enhancing the Federal Reserve's ability to monitor bank exposures to affiliates and to ensure banks’ compliance with section 23A of the Federal Reserve Act. </w:t>
      </w:r>
    </w:p>
    <w:p w:rsidR="001E06CD" w:rsidRPr="005558C0" w:rsidRDefault="001E06CD" w:rsidP="00836370">
      <w:pPr>
        <w:widowControl/>
        <w:tabs>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E578D" w:rsidRPr="005558C0" w:rsidRDefault="00DE578D">
      <w:pPr>
        <w:widowControl/>
        <w:tabs>
          <w:tab w:val="left" w:pos="720"/>
        </w:tabs>
        <w:outlineLvl w:val="0"/>
        <w:rPr>
          <w:rFonts w:ascii="Times New Roman" w:hAnsi="Times New Roman"/>
          <w:b/>
        </w:rPr>
      </w:pPr>
      <w:r w:rsidRPr="005558C0">
        <w:rPr>
          <w:rFonts w:ascii="Times New Roman" w:hAnsi="Times New Roman"/>
          <w:b/>
        </w:rPr>
        <w:t>Description of Information Collection</w:t>
      </w:r>
    </w:p>
    <w:p w:rsidR="00DE578D" w:rsidRPr="005558C0" w:rsidRDefault="00DE578D">
      <w:pPr>
        <w:widowControl/>
        <w:tabs>
          <w:tab w:val="left" w:pos="720"/>
        </w:tabs>
        <w:outlineLvl w:val="0"/>
        <w:rPr>
          <w:rFonts w:ascii="Times New Roman" w:hAnsi="Times New Roman"/>
          <w:b/>
        </w:rPr>
      </w:pPr>
    </w:p>
    <w:p w:rsidR="00836370" w:rsidRPr="005558C0" w:rsidRDefault="00DE578D" w:rsidP="00806FAE">
      <w:pPr>
        <w:widowControl/>
        <w:tabs>
          <w:tab w:val="left" w:pos="720"/>
        </w:tabs>
        <w:ind w:firstLine="720"/>
        <w:rPr>
          <w:rFonts w:ascii="Times New Roman" w:hAnsi="Times New Roman"/>
        </w:rPr>
      </w:pPr>
      <w:r w:rsidRPr="005558C0">
        <w:rPr>
          <w:rFonts w:ascii="Times New Roman" w:hAnsi="Times New Roman"/>
        </w:rPr>
        <w:t xml:space="preserve">The FR Y-8 is filed quarterly by all top-tier BHCs, including FHCs, for all insured depository institutions that are owned by the </w:t>
      </w:r>
      <w:smartTag w:uri="urn:schemas-microsoft-com:office:smarttags" w:element="stockticker">
        <w:r w:rsidRPr="005558C0">
          <w:rPr>
            <w:rFonts w:ascii="Times New Roman" w:hAnsi="Times New Roman"/>
          </w:rPr>
          <w:t>BHC</w:t>
        </w:r>
      </w:smartTag>
      <w:r w:rsidRPr="005558C0">
        <w:rPr>
          <w:rFonts w:ascii="Times New Roman" w:hAnsi="Times New Roman"/>
        </w:rPr>
        <w:t xml:space="preserve"> and by </w:t>
      </w:r>
      <w:r w:rsidR="00836370" w:rsidRPr="005558C0">
        <w:rPr>
          <w:rFonts w:ascii="Times New Roman" w:hAnsi="Times New Roman"/>
        </w:rPr>
        <w:t>FBOs</w:t>
      </w:r>
      <w:r w:rsidRPr="005558C0">
        <w:rPr>
          <w:rFonts w:ascii="Times New Roman" w:hAnsi="Times New Roman"/>
        </w:rPr>
        <w:t xml:space="preserve"> that directly own a </w:t>
      </w:r>
      <w:smartTag w:uri="urn:schemas-microsoft-com:office:smarttags" w:element="country-region">
        <w:smartTag w:uri="urn:schemas-microsoft-com:office:smarttags" w:element="place">
          <w:r w:rsidRPr="005558C0">
            <w:rPr>
              <w:rFonts w:ascii="Times New Roman" w:hAnsi="Times New Roman"/>
            </w:rPr>
            <w:t>U.S.</w:t>
          </w:r>
        </w:smartTag>
      </w:smartTag>
      <w:r w:rsidRPr="005558C0">
        <w:rPr>
          <w:rFonts w:ascii="Times New Roman" w:hAnsi="Times New Roman"/>
        </w:rPr>
        <w:t xml:space="preserve"> subsidiary bank</w:t>
      </w:r>
      <w:r w:rsidR="00ED32DD" w:rsidRPr="005558C0">
        <w:rPr>
          <w:rFonts w:ascii="Times New Roman" w:hAnsi="Times New Roman"/>
        </w:rPr>
        <w:t xml:space="preserve"> (respondents)</w:t>
      </w:r>
      <w:r w:rsidRPr="005558C0">
        <w:rPr>
          <w:rFonts w:ascii="Times New Roman" w:hAnsi="Times New Roman"/>
        </w:rPr>
        <w:t xml:space="preserve">.  </w:t>
      </w:r>
      <w:r w:rsidR="00ED32DD" w:rsidRPr="005558C0">
        <w:rPr>
          <w:rFonts w:ascii="Times New Roman" w:hAnsi="Times New Roman"/>
        </w:rPr>
        <w:t xml:space="preserve">Respondents </w:t>
      </w:r>
      <w:r w:rsidR="005B56DF" w:rsidRPr="005558C0">
        <w:rPr>
          <w:rFonts w:ascii="Times New Roman" w:hAnsi="Times New Roman"/>
        </w:rPr>
        <w:t xml:space="preserve">are required to file the information separately for each of their insured depository institutions.  </w:t>
      </w:r>
      <w:r w:rsidRPr="005558C0">
        <w:rPr>
          <w:rFonts w:ascii="Times New Roman" w:hAnsi="Times New Roman"/>
        </w:rPr>
        <w:t xml:space="preserve">  </w:t>
      </w:r>
    </w:p>
    <w:p w:rsidR="00836370" w:rsidRPr="005558C0" w:rsidRDefault="00836370" w:rsidP="00806FAE">
      <w:pPr>
        <w:rPr>
          <w:rFonts w:ascii="Times New Roman" w:hAnsi="Times New Roman"/>
        </w:rPr>
      </w:pPr>
    </w:p>
    <w:p w:rsidR="00836370" w:rsidRPr="005558C0" w:rsidRDefault="00836370" w:rsidP="001E06CD">
      <w:pPr>
        <w:widowControl/>
        <w:rPr>
          <w:rFonts w:ascii="Times New Roman" w:hAnsi="Times New Roman"/>
        </w:rPr>
      </w:pPr>
      <w:r w:rsidRPr="005558C0">
        <w:rPr>
          <w:rFonts w:ascii="Times New Roman" w:hAnsi="Times New Roman"/>
        </w:rPr>
        <w:tab/>
        <w:t xml:space="preserve">Respondents </w:t>
      </w:r>
      <w:r w:rsidR="00DE578D" w:rsidRPr="005558C0">
        <w:rPr>
          <w:rFonts w:ascii="Times New Roman" w:hAnsi="Times New Roman"/>
        </w:rPr>
        <w:t xml:space="preserve">that own insured depository institutions that do not have any covered transactions with affiliates and do not have any financial subsidiaries sign the declaration page attesting to these facts and submit </w:t>
      </w:r>
      <w:r w:rsidR="00266637" w:rsidRPr="005558C0">
        <w:rPr>
          <w:rFonts w:ascii="Times New Roman" w:hAnsi="Times New Roman"/>
        </w:rPr>
        <w:t>it</w:t>
      </w:r>
      <w:r w:rsidR="00DE578D" w:rsidRPr="005558C0">
        <w:rPr>
          <w:rFonts w:ascii="Times New Roman" w:hAnsi="Times New Roman"/>
        </w:rPr>
        <w:t xml:space="preserve"> each quarter with the cover page.</w:t>
      </w:r>
      <w:r w:rsidRPr="005558C0">
        <w:rPr>
          <w:rFonts w:ascii="Times New Roman" w:hAnsi="Times New Roman"/>
        </w:rPr>
        <w:t xml:space="preserve">  All other respondents must report </w:t>
      </w:r>
      <w:r w:rsidR="00497591" w:rsidRPr="005558C0">
        <w:rPr>
          <w:rFonts w:ascii="Times New Roman" w:hAnsi="Times New Roman"/>
        </w:rPr>
        <w:t>data on</w:t>
      </w:r>
      <w:r w:rsidR="00266637" w:rsidRPr="005558C0">
        <w:rPr>
          <w:rFonts w:ascii="Times New Roman" w:hAnsi="Times New Roman"/>
        </w:rPr>
        <w:t xml:space="preserve"> covered transactions and derivatives</w:t>
      </w:r>
      <w:r w:rsidR="00497591" w:rsidRPr="005558C0">
        <w:rPr>
          <w:rFonts w:ascii="Times New Roman" w:hAnsi="Times New Roman"/>
        </w:rPr>
        <w:t xml:space="preserve"> for each of their insured depository institutions</w:t>
      </w:r>
      <w:r w:rsidR="00266637" w:rsidRPr="005558C0">
        <w:rPr>
          <w:rFonts w:ascii="Times New Roman" w:hAnsi="Times New Roman"/>
        </w:rPr>
        <w:t xml:space="preserve">.  </w:t>
      </w:r>
      <w:r w:rsidR="00497591" w:rsidRPr="005558C0">
        <w:rPr>
          <w:rFonts w:ascii="Times New Roman" w:hAnsi="Times New Roman"/>
        </w:rPr>
        <w:t xml:space="preserve">The data to be reported varies based on the activities and subsidiaries of the insured depository institution.  There are </w:t>
      </w:r>
      <w:r w:rsidRPr="005558C0">
        <w:rPr>
          <w:rFonts w:ascii="Times New Roman" w:hAnsi="Times New Roman"/>
        </w:rPr>
        <w:t xml:space="preserve">four </w:t>
      </w:r>
      <w:r w:rsidR="00497591" w:rsidRPr="005558C0">
        <w:rPr>
          <w:rFonts w:ascii="Times New Roman" w:hAnsi="Times New Roman"/>
        </w:rPr>
        <w:t xml:space="preserve">data </w:t>
      </w:r>
      <w:r w:rsidRPr="005558C0">
        <w:rPr>
          <w:rFonts w:ascii="Times New Roman" w:hAnsi="Times New Roman"/>
        </w:rPr>
        <w:t xml:space="preserve">items for insured depository institutions that have covered transactions with affiliates other than financial subsidiaries.  </w:t>
      </w:r>
      <w:r w:rsidR="00497591" w:rsidRPr="005558C0">
        <w:rPr>
          <w:rFonts w:ascii="Times New Roman" w:hAnsi="Times New Roman"/>
        </w:rPr>
        <w:t>There are</w:t>
      </w:r>
      <w:r w:rsidRPr="005558C0">
        <w:rPr>
          <w:rFonts w:ascii="Times New Roman" w:hAnsi="Times New Roman"/>
        </w:rPr>
        <w:t xml:space="preserve"> </w:t>
      </w:r>
      <w:r w:rsidR="003044B6" w:rsidRPr="005558C0">
        <w:rPr>
          <w:rFonts w:ascii="Times New Roman" w:hAnsi="Times New Roman"/>
        </w:rPr>
        <w:t xml:space="preserve">10 </w:t>
      </w:r>
      <w:r w:rsidR="0096485D" w:rsidRPr="005558C0">
        <w:rPr>
          <w:rFonts w:ascii="Times New Roman" w:hAnsi="Times New Roman"/>
        </w:rPr>
        <w:t xml:space="preserve">data </w:t>
      </w:r>
      <w:r w:rsidRPr="005558C0">
        <w:rPr>
          <w:rFonts w:ascii="Times New Roman" w:hAnsi="Times New Roman"/>
        </w:rPr>
        <w:t>items on covered transactions between insured depository institution</w:t>
      </w:r>
      <w:r w:rsidR="009D2681" w:rsidRPr="005558C0">
        <w:rPr>
          <w:rFonts w:ascii="Times New Roman" w:hAnsi="Times New Roman"/>
        </w:rPr>
        <w:t>s</w:t>
      </w:r>
      <w:r w:rsidRPr="005558C0">
        <w:rPr>
          <w:rFonts w:ascii="Times New Roman" w:hAnsi="Times New Roman"/>
        </w:rPr>
        <w:t xml:space="preserve"> </w:t>
      </w:r>
      <w:r w:rsidR="009D2681" w:rsidRPr="005558C0">
        <w:rPr>
          <w:rFonts w:ascii="Times New Roman" w:hAnsi="Times New Roman"/>
        </w:rPr>
        <w:t xml:space="preserve">that control </w:t>
      </w:r>
      <w:r w:rsidRPr="005558C0">
        <w:rPr>
          <w:rFonts w:ascii="Times New Roman" w:hAnsi="Times New Roman"/>
        </w:rPr>
        <w:t>financial subsidiaries</w:t>
      </w:r>
      <w:r w:rsidR="0096485D" w:rsidRPr="005558C0">
        <w:rPr>
          <w:rFonts w:ascii="Times New Roman" w:hAnsi="Times New Roman"/>
        </w:rPr>
        <w:t>.</w:t>
      </w:r>
      <w:r w:rsidRPr="005558C0">
        <w:rPr>
          <w:rFonts w:ascii="Times New Roman" w:hAnsi="Times New Roman"/>
        </w:rPr>
        <w:t xml:space="preserve">  Finally, </w:t>
      </w:r>
      <w:r w:rsidR="0096485D" w:rsidRPr="005558C0">
        <w:rPr>
          <w:rFonts w:ascii="Times New Roman" w:hAnsi="Times New Roman"/>
        </w:rPr>
        <w:t xml:space="preserve">there is a data item on the </w:t>
      </w:r>
      <w:r w:rsidRPr="005558C0">
        <w:rPr>
          <w:rFonts w:ascii="Times New Roman" w:hAnsi="Times New Roman"/>
        </w:rPr>
        <w:t>maximum aggregate amount of all covered transactions for any single day during the calendar quarter and three</w:t>
      </w:r>
      <w:r w:rsidR="0096485D" w:rsidRPr="005558C0">
        <w:rPr>
          <w:rFonts w:ascii="Times New Roman" w:hAnsi="Times New Roman"/>
        </w:rPr>
        <w:t xml:space="preserve"> data</w:t>
      </w:r>
      <w:r w:rsidRPr="005558C0">
        <w:rPr>
          <w:rFonts w:ascii="Times New Roman" w:hAnsi="Times New Roman"/>
        </w:rPr>
        <w:t xml:space="preserve"> items on derivative transactions with affiliates. </w:t>
      </w:r>
    </w:p>
    <w:p w:rsidR="001253C4" w:rsidRPr="005558C0" w:rsidRDefault="001253C4" w:rsidP="00745E60">
      <w:pPr>
        <w:pStyle w:val="Heading1"/>
        <w:rPr>
          <w:rFonts w:ascii="Times New Roman" w:hAnsi="Times New Roman"/>
          <w:b w:val="0"/>
        </w:rPr>
      </w:pPr>
    </w:p>
    <w:p w:rsidR="00B51162" w:rsidRPr="005558C0" w:rsidRDefault="00745E60">
      <w:pPr>
        <w:ind w:firstLine="720"/>
        <w:rPr>
          <w:rFonts w:ascii="Times New Roman" w:hAnsi="Times New Roman"/>
          <w:b/>
        </w:rPr>
      </w:pPr>
      <w:r w:rsidRPr="005558C0">
        <w:rPr>
          <w:rFonts w:ascii="Times New Roman" w:hAnsi="Times New Roman"/>
          <w:b/>
        </w:rPr>
        <w:t>Frequency</w:t>
      </w:r>
    </w:p>
    <w:p w:rsidR="00745E60" w:rsidRPr="005558C0" w:rsidRDefault="00745E60">
      <w:pPr>
        <w:rPr>
          <w:rFonts w:ascii="Times New Roman" w:hAnsi="Times New Roman"/>
          <w:b/>
        </w:rPr>
      </w:pPr>
    </w:p>
    <w:p w:rsidR="00DE578D" w:rsidRPr="005558C0" w:rsidRDefault="00DE578D" w:rsidP="003044B6">
      <w:pPr>
        <w:widowControl/>
        <w:ind w:firstLine="720"/>
        <w:rPr>
          <w:rFonts w:ascii="Times New Roman" w:hAnsi="Times New Roman"/>
          <w:color w:val="000000"/>
        </w:rPr>
      </w:pPr>
      <w:r w:rsidRPr="005558C0">
        <w:rPr>
          <w:rFonts w:ascii="Times New Roman" w:hAnsi="Times New Roman"/>
          <w:color w:val="000000"/>
        </w:rPr>
        <w:t xml:space="preserve">The </w:t>
      </w:r>
      <w:r w:rsidR="00CF2047">
        <w:rPr>
          <w:rFonts w:ascii="Times New Roman" w:hAnsi="Times New Roman"/>
          <w:color w:val="000000"/>
        </w:rPr>
        <w:t xml:space="preserve">Federal Reserve </w:t>
      </w:r>
      <w:r w:rsidRPr="005558C0">
        <w:rPr>
          <w:rFonts w:ascii="Times New Roman" w:hAnsi="Times New Roman"/>
          <w:color w:val="000000"/>
        </w:rPr>
        <w:t xml:space="preserve">recommends that the reporting frequency of the FR Y-8 remain quarterly for all </w:t>
      </w:r>
      <w:r w:rsidR="00167E2F" w:rsidRPr="005558C0">
        <w:rPr>
          <w:rFonts w:ascii="Times New Roman" w:hAnsi="Times New Roman"/>
          <w:color w:val="000000"/>
        </w:rPr>
        <w:t>respondents</w:t>
      </w:r>
      <w:r w:rsidRPr="005558C0">
        <w:rPr>
          <w:rFonts w:ascii="Times New Roman" w:hAnsi="Times New Roman"/>
          <w:color w:val="000000"/>
        </w:rPr>
        <w:t xml:space="preserve">.  Regular and frequent reporting significantly enhances the Federal Reserve’s ability to monitor transactions with affiliates and to detect liquidity and funding problems within an organization. </w:t>
      </w:r>
      <w:r w:rsidR="009470C8" w:rsidRPr="005558C0">
        <w:rPr>
          <w:rFonts w:ascii="Times New Roman" w:hAnsi="Times New Roman"/>
          <w:color w:val="000000"/>
        </w:rPr>
        <w:t xml:space="preserve"> </w:t>
      </w:r>
      <w:proofErr w:type="gramStart"/>
      <w:r w:rsidRPr="005558C0">
        <w:rPr>
          <w:rFonts w:ascii="Times New Roman" w:hAnsi="Times New Roman"/>
          <w:color w:val="000000"/>
        </w:rPr>
        <w:t>Regular reporting permits off-site monitoring, consistent with the goals of the risk-focused examination approach.</w:t>
      </w:r>
      <w:proofErr w:type="gramEnd"/>
      <w:r w:rsidRPr="005558C0">
        <w:rPr>
          <w:rFonts w:ascii="Times New Roman" w:hAnsi="Times New Roman"/>
          <w:color w:val="000000"/>
        </w:rPr>
        <w:t xml:space="preserve">  </w:t>
      </w:r>
      <w:r w:rsidR="00305A16" w:rsidRPr="005558C0">
        <w:rPr>
          <w:rFonts w:ascii="Times New Roman" w:hAnsi="Times New Roman"/>
          <w:color w:val="000000"/>
        </w:rPr>
        <w:t>FR Y-8 d</w:t>
      </w:r>
      <w:r w:rsidR="0096485D" w:rsidRPr="005558C0">
        <w:rPr>
          <w:rFonts w:ascii="Times New Roman" w:hAnsi="Times New Roman"/>
          <w:color w:val="000000"/>
        </w:rPr>
        <w:t xml:space="preserve">ata </w:t>
      </w:r>
      <w:r w:rsidRPr="005558C0">
        <w:rPr>
          <w:rFonts w:ascii="Times New Roman" w:hAnsi="Times New Roman"/>
          <w:color w:val="000000"/>
        </w:rPr>
        <w:t xml:space="preserve">facilitate pre-analysis work and conserve on-site examination resources for verifications of compliance and a review of pertinent issues.  In addition, quarterly data lends itself to analysis with data collected on other </w:t>
      </w:r>
      <w:smartTag w:uri="urn:schemas-microsoft-com:office:smarttags" w:element="stockticker">
        <w:r w:rsidR="006F3148" w:rsidRPr="005558C0">
          <w:rPr>
            <w:rFonts w:ascii="Times New Roman" w:hAnsi="Times New Roman"/>
            <w:color w:val="000000"/>
          </w:rPr>
          <w:t>BHC</w:t>
        </w:r>
      </w:smartTag>
      <w:r w:rsidRPr="005558C0">
        <w:rPr>
          <w:rFonts w:ascii="Times New Roman" w:hAnsi="Times New Roman"/>
          <w:color w:val="000000"/>
        </w:rPr>
        <w:t xml:space="preserve"> reports and the </w:t>
      </w:r>
      <w:r w:rsidR="00F82A90" w:rsidRPr="005558C0">
        <w:rPr>
          <w:rFonts w:ascii="Times New Roman" w:hAnsi="Times New Roman"/>
        </w:rPr>
        <w:t>Call Reports</w:t>
      </w:r>
      <w:r w:rsidRPr="005558C0">
        <w:rPr>
          <w:rFonts w:ascii="Times New Roman" w:hAnsi="Times New Roman"/>
          <w:color w:val="000000"/>
        </w:rPr>
        <w:t>.</w:t>
      </w:r>
    </w:p>
    <w:p w:rsidR="007108D4" w:rsidRPr="005558C0" w:rsidRDefault="007108D4">
      <w:pPr>
        <w:rPr>
          <w:rFonts w:ascii="Times New Roman" w:hAnsi="Times New Roman"/>
          <w:b/>
        </w:rPr>
      </w:pPr>
    </w:p>
    <w:p w:rsidR="00BC0BBE" w:rsidRDefault="00BC0BBE">
      <w:pPr>
        <w:widowControl/>
        <w:rPr>
          <w:rFonts w:ascii="Times New Roman" w:hAnsi="Times New Roman"/>
          <w:b/>
        </w:rPr>
      </w:pPr>
      <w:r>
        <w:rPr>
          <w:rFonts w:ascii="Times New Roman" w:hAnsi="Times New Roman"/>
          <w:b/>
        </w:rPr>
        <w:br w:type="page"/>
      </w:r>
    </w:p>
    <w:p w:rsidR="00DE578D" w:rsidRPr="005558C0" w:rsidRDefault="00DE578D">
      <w:pPr>
        <w:rPr>
          <w:rFonts w:ascii="Times New Roman" w:hAnsi="Times New Roman"/>
        </w:rPr>
      </w:pPr>
      <w:r w:rsidRPr="005558C0">
        <w:rPr>
          <w:rFonts w:ascii="Times New Roman" w:hAnsi="Times New Roman"/>
          <w:b/>
        </w:rPr>
        <w:lastRenderedPageBreak/>
        <w:t xml:space="preserve">Time Schedule for Information Collection </w:t>
      </w:r>
    </w:p>
    <w:p w:rsidR="00DE578D" w:rsidRPr="005558C0" w:rsidRDefault="00DE578D">
      <w:pPr>
        <w:widowControl/>
        <w:rPr>
          <w:rFonts w:ascii="Times New Roman" w:hAnsi="Times New Roman"/>
        </w:rPr>
      </w:pPr>
    </w:p>
    <w:p w:rsidR="00DE578D" w:rsidRPr="005558C0" w:rsidRDefault="00DE578D">
      <w:pPr>
        <w:widowControl/>
        <w:ind w:firstLine="720"/>
        <w:rPr>
          <w:rFonts w:ascii="Times New Roman" w:hAnsi="Times New Roman"/>
        </w:rPr>
      </w:pPr>
      <w:r w:rsidRPr="005558C0">
        <w:rPr>
          <w:rFonts w:ascii="Times New Roman" w:hAnsi="Times New Roman"/>
        </w:rPr>
        <w:t xml:space="preserve">The FR Y-8 is </w:t>
      </w:r>
      <w:r w:rsidR="0096485D" w:rsidRPr="005558C0">
        <w:rPr>
          <w:rFonts w:ascii="Times New Roman" w:hAnsi="Times New Roman"/>
        </w:rPr>
        <w:t xml:space="preserve">submitted </w:t>
      </w:r>
      <w:r w:rsidRPr="005558C0">
        <w:rPr>
          <w:rFonts w:ascii="Times New Roman" w:hAnsi="Times New Roman"/>
        </w:rPr>
        <w:t>quarterly as of the last day of March, June, September, and December</w:t>
      </w:r>
      <w:r w:rsidR="0096485D" w:rsidRPr="005558C0">
        <w:rPr>
          <w:rFonts w:ascii="Times New Roman" w:hAnsi="Times New Roman"/>
        </w:rPr>
        <w:t xml:space="preserve"> </w:t>
      </w:r>
      <w:r w:rsidRPr="005558C0">
        <w:rPr>
          <w:rFonts w:ascii="Times New Roman" w:hAnsi="Times New Roman"/>
        </w:rPr>
        <w:t xml:space="preserve">to the appropriate Reserve Bank within </w:t>
      </w:r>
      <w:r w:rsidR="003418E0">
        <w:rPr>
          <w:rFonts w:ascii="Times New Roman" w:hAnsi="Times New Roman"/>
        </w:rPr>
        <w:t>30</w:t>
      </w:r>
      <w:r w:rsidR="003418E0" w:rsidRPr="005558C0">
        <w:rPr>
          <w:rFonts w:ascii="Times New Roman" w:hAnsi="Times New Roman"/>
        </w:rPr>
        <w:t xml:space="preserve"> </w:t>
      </w:r>
      <w:r w:rsidRPr="005558C0">
        <w:rPr>
          <w:rFonts w:ascii="Times New Roman" w:hAnsi="Times New Roman"/>
        </w:rPr>
        <w:t xml:space="preserve">days after the as-of-date.  A </w:t>
      </w:r>
      <w:r w:rsidR="003044B6" w:rsidRPr="005558C0">
        <w:rPr>
          <w:rFonts w:ascii="Times New Roman" w:hAnsi="Times New Roman"/>
        </w:rPr>
        <w:t>15</w:t>
      </w:r>
      <w:r w:rsidRPr="005558C0">
        <w:rPr>
          <w:rFonts w:ascii="Times New Roman" w:hAnsi="Times New Roman"/>
        </w:rPr>
        <w:t xml:space="preserve">-day extension may be given to </w:t>
      </w:r>
      <w:r w:rsidR="007A625D" w:rsidRPr="005558C0">
        <w:rPr>
          <w:rFonts w:ascii="Times New Roman" w:hAnsi="Times New Roman"/>
        </w:rPr>
        <w:t>respondents</w:t>
      </w:r>
      <w:r w:rsidR="00167E2F" w:rsidRPr="005558C0">
        <w:rPr>
          <w:rFonts w:ascii="Times New Roman" w:hAnsi="Times New Roman"/>
        </w:rPr>
        <w:t xml:space="preserve"> </w:t>
      </w:r>
      <w:r w:rsidRPr="005558C0">
        <w:rPr>
          <w:rFonts w:ascii="Times New Roman" w:hAnsi="Times New Roman"/>
        </w:rPr>
        <w:t xml:space="preserve">that own banks with more than one foreign office.  </w:t>
      </w:r>
      <w:r w:rsidR="00B767BB">
        <w:rPr>
          <w:rFonts w:ascii="Times New Roman" w:hAnsi="Times New Roman"/>
        </w:rPr>
        <w:t xml:space="preserve">      </w:t>
      </w:r>
      <w:r w:rsidR="00AC1356" w:rsidRPr="005558C0">
        <w:rPr>
          <w:rFonts w:ascii="Times New Roman" w:hAnsi="Times New Roman"/>
        </w:rPr>
        <w:t>FR Y-8 d</w:t>
      </w:r>
      <w:r w:rsidRPr="005558C0">
        <w:rPr>
          <w:rFonts w:ascii="Times New Roman" w:hAnsi="Times New Roman"/>
        </w:rPr>
        <w:t xml:space="preserve">ata are not published. </w:t>
      </w:r>
    </w:p>
    <w:p w:rsidR="00DE578D" w:rsidRPr="005558C0" w:rsidRDefault="00DE578D">
      <w:pPr>
        <w:widowControl/>
        <w:ind w:firstLine="720"/>
        <w:rPr>
          <w:rFonts w:ascii="Times New Roman" w:hAnsi="Times New Roman"/>
        </w:rPr>
      </w:pPr>
    </w:p>
    <w:p w:rsidR="00DE578D" w:rsidRPr="005558C0" w:rsidRDefault="00DE578D">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jc w:val="both"/>
        <w:rPr>
          <w:rFonts w:ascii="Times New Roman" w:hAnsi="Times New Roman"/>
          <w:color w:val="000000"/>
        </w:rPr>
      </w:pPr>
      <w:r w:rsidRPr="005558C0">
        <w:rPr>
          <w:rFonts w:ascii="Times New Roman" w:hAnsi="Times New Roman"/>
          <w:b/>
          <w:color w:val="000000"/>
        </w:rPr>
        <w:t>Legal Status</w:t>
      </w:r>
    </w:p>
    <w:p w:rsidR="00DE578D" w:rsidRPr="005558C0" w:rsidRDefault="00DE578D">
      <w:pPr>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jc w:val="both"/>
        <w:rPr>
          <w:rFonts w:ascii="Times New Roman" w:hAnsi="Times New Roman"/>
          <w:color w:val="000000"/>
        </w:rPr>
      </w:pPr>
    </w:p>
    <w:p w:rsidR="00BF10AD" w:rsidRPr="005558C0" w:rsidRDefault="00DE578D" w:rsidP="00BF10AD">
      <w:pPr>
        <w:widowControl/>
        <w:tabs>
          <w:tab w:val="left" w:pos="720"/>
          <w:tab w:val="left" w:pos="1080"/>
        </w:tabs>
        <w:ind w:firstLine="720"/>
        <w:rPr>
          <w:rFonts w:ascii="Times New Roman" w:hAnsi="Times New Roman"/>
          <w:color w:val="000000"/>
        </w:rPr>
      </w:pPr>
      <w:r w:rsidRPr="005558C0">
        <w:rPr>
          <w:rFonts w:ascii="Times New Roman" w:hAnsi="Times New Roman"/>
          <w:color w:val="000000"/>
        </w:rPr>
        <w:t>The Board's Legal Division has</w:t>
      </w:r>
      <w:r w:rsidR="001E06CD" w:rsidRPr="005558C0">
        <w:rPr>
          <w:rFonts w:ascii="Times New Roman" w:hAnsi="Times New Roman"/>
          <w:color w:val="000000"/>
        </w:rPr>
        <w:t xml:space="preserve"> </w:t>
      </w:r>
      <w:r w:rsidRPr="005558C0">
        <w:rPr>
          <w:rFonts w:ascii="Times New Roman" w:hAnsi="Times New Roman"/>
          <w:color w:val="000000"/>
        </w:rPr>
        <w:t xml:space="preserve">determined that section 5(c) of the Bank Holding Company Act (12 U.S.C. 1844(c)) and section 225.5(b) of Regulation Y (12 CFR 225.5(b)) authorize the </w:t>
      </w:r>
      <w:r w:rsidR="003418E0">
        <w:rPr>
          <w:rFonts w:ascii="Times New Roman" w:hAnsi="Times New Roman"/>
          <w:color w:val="000000"/>
        </w:rPr>
        <w:t>Federal Reserve</w:t>
      </w:r>
      <w:r w:rsidR="003418E0" w:rsidRPr="005558C0">
        <w:rPr>
          <w:rFonts w:ascii="Times New Roman" w:hAnsi="Times New Roman"/>
          <w:color w:val="000000"/>
        </w:rPr>
        <w:t xml:space="preserve"> </w:t>
      </w:r>
      <w:r w:rsidRPr="005558C0">
        <w:rPr>
          <w:rFonts w:ascii="Times New Roman" w:hAnsi="Times New Roman"/>
          <w:color w:val="000000"/>
        </w:rPr>
        <w:t xml:space="preserve">to require the </w:t>
      </w:r>
      <w:r w:rsidR="0096485D" w:rsidRPr="005558C0">
        <w:rPr>
          <w:rFonts w:ascii="Times New Roman" w:hAnsi="Times New Roman"/>
          <w:color w:val="000000"/>
        </w:rPr>
        <w:t>FR Y-8</w:t>
      </w:r>
      <w:r w:rsidRPr="005558C0">
        <w:rPr>
          <w:rFonts w:ascii="Times New Roman" w:hAnsi="Times New Roman"/>
          <w:color w:val="000000"/>
        </w:rPr>
        <w:t xml:space="preserve">.  The </w:t>
      </w:r>
      <w:r w:rsidR="0096485D" w:rsidRPr="005558C0">
        <w:rPr>
          <w:rFonts w:ascii="Times New Roman" w:hAnsi="Times New Roman"/>
          <w:color w:val="000000"/>
        </w:rPr>
        <w:t xml:space="preserve">data are </w:t>
      </w:r>
      <w:r w:rsidRPr="005558C0">
        <w:rPr>
          <w:rFonts w:ascii="Times New Roman" w:hAnsi="Times New Roman"/>
          <w:color w:val="000000"/>
        </w:rPr>
        <w:t>confidential pursuant to the Freedom of Information Act (5 U.S.C</w:t>
      </w:r>
      <w:r w:rsidR="006B53F5">
        <w:rPr>
          <w:rFonts w:ascii="Times New Roman" w:hAnsi="Times New Roman"/>
          <w:color w:val="000000"/>
        </w:rPr>
        <w:t>.</w:t>
      </w:r>
      <w:r w:rsidRPr="005558C0">
        <w:rPr>
          <w:rFonts w:ascii="Times New Roman" w:hAnsi="Times New Roman"/>
          <w:color w:val="000000"/>
        </w:rPr>
        <w:t xml:space="preserve"> 552(b</w:t>
      </w:r>
      <w:proofErr w:type="gramStart"/>
      <w:r w:rsidRPr="005558C0">
        <w:rPr>
          <w:rFonts w:ascii="Times New Roman" w:hAnsi="Times New Roman"/>
          <w:color w:val="000000"/>
        </w:rPr>
        <w:t>)(</w:t>
      </w:r>
      <w:proofErr w:type="gramEnd"/>
      <w:r w:rsidRPr="005558C0">
        <w:rPr>
          <w:rFonts w:ascii="Times New Roman" w:hAnsi="Times New Roman"/>
          <w:color w:val="000000"/>
        </w:rPr>
        <w:t>4)</w:t>
      </w:r>
      <w:r w:rsidR="006B53F5">
        <w:rPr>
          <w:rFonts w:ascii="Times New Roman" w:hAnsi="Times New Roman"/>
          <w:color w:val="000000"/>
        </w:rPr>
        <w:t>)</w:t>
      </w:r>
      <w:r w:rsidRPr="005558C0">
        <w:rPr>
          <w:rFonts w:ascii="Times New Roman" w:hAnsi="Times New Roman"/>
          <w:color w:val="000000"/>
        </w:rPr>
        <w:t>.  Section (b</w:t>
      </w:r>
      <w:proofErr w:type="gramStart"/>
      <w:r w:rsidRPr="005558C0">
        <w:rPr>
          <w:rFonts w:ascii="Times New Roman" w:hAnsi="Times New Roman"/>
          <w:color w:val="000000"/>
        </w:rPr>
        <w:t>)(</w:t>
      </w:r>
      <w:proofErr w:type="gramEnd"/>
      <w:r w:rsidRPr="005558C0">
        <w:rPr>
          <w:rFonts w:ascii="Times New Roman" w:hAnsi="Times New Roman"/>
          <w:color w:val="000000"/>
        </w:rPr>
        <w:t>4) exempts information deemed competiti</w:t>
      </w:r>
      <w:r w:rsidR="00BF10AD" w:rsidRPr="005558C0">
        <w:rPr>
          <w:rFonts w:ascii="Times New Roman" w:hAnsi="Times New Roman"/>
          <w:color w:val="000000"/>
        </w:rPr>
        <w:t xml:space="preserve">vely sensitive from disclosure.  </w:t>
      </w:r>
    </w:p>
    <w:p w:rsidR="001979F2" w:rsidRPr="005558C0" w:rsidRDefault="001979F2" w:rsidP="001979F2">
      <w:pPr>
        <w:pStyle w:val="BodyText2"/>
        <w:rPr>
          <w:b w:val="0"/>
        </w:rPr>
      </w:pPr>
    </w:p>
    <w:p w:rsidR="001979F2" w:rsidRPr="005558C0" w:rsidRDefault="001979F2" w:rsidP="001979F2">
      <w:pPr>
        <w:keepNext/>
        <w:keepLines/>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jc w:val="both"/>
        <w:rPr>
          <w:rFonts w:ascii="Times New Roman" w:hAnsi="Times New Roman"/>
          <w:color w:val="000000"/>
        </w:rPr>
      </w:pPr>
      <w:r w:rsidRPr="005558C0">
        <w:rPr>
          <w:rFonts w:ascii="Times New Roman" w:hAnsi="Times New Roman"/>
          <w:b/>
          <w:color w:val="000000"/>
        </w:rPr>
        <w:t xml:space="preserve">Consultation </w:t>
      </w:r>
      <w:proofErr w:type="gramStart"/>
      <w:r w:rsidRPr="005558C0">
        <w:rPr>
          <w:rFonts w:ascii="Times New Roman" w:hAnsi="Times New Roman"/>
          <w:b/>
          <w:color w:val="000000"/>
        </w:rPr>
        <w:t>Outside</w:t>
      </w:r>
      <w:proofErr w:type="gramEnd"/>
      <w:r w:rsidRPr="005558C0">
        <w:rPr>
          <w:rFonts w:ascii="Times New Roman" w:hAnsi="Times New Roman"/>
          <w:b/>
          <w:color w:val="000000"/>
        </w:rPr>
        <w:t xml:space="preserve"> the Agency</w:t>
      </w:r>
    </w:p>
    <w:p w:rsidR="001979F2" w:rsidRPr="005558C0" w:rsidRDefault="001979F2" w:rsidP="001979F2">
      <w:pPr>
        <w:keepNext/>
        <w:keepLines/>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jc w:val="both"/>
        <w:rPr>
          <w:rFonts w:ascii="Times New Roman" w:hAnsi="Times New Roman"/>
          <w:color w:val="000000"/>
        </w:rPr>
      </w:pPr>
    </w:p>
    <w:p w:rsidR="006441DB" w:rsidRDefault="00CF2047" w:rsidP="00CF2047">
      <w:pPr>
        <w:widowControl/>
        <w:tabs>
          <w:tab w:val="left" w:pos="450"/>
        </w:tabs>
        <w:rPr>
          <w:rFonts w:ascii="Times New Roman" w:hAnsi="Times New Roman"/>
          <w:i/>
          <w:szCs w:val="24"/>
        </w:rPr>
      </w:pPr>
      <w:r>
        <w:rPr>
          <w:rFonts w:ascii="Times New Roman" w:hAnsi="Times New Roman"/>
          <w:szCs w:val="24"/>
        </w:rPr>
        <w:tab/>
      </w:r>
      <w:r w:rsidR="00BC0BBE">
        <w:rPr>
          <w:rFonts w:ascii="Times New Roman" w:hAnsi="Times New Roman"/>
          <w:szCs w:val="24"/>
        </w:rPr>
        <w:tab/>
      </w:r>
      <w:r w:rsidRPr="00FD2DEC">
        <w:rPr>
          <w:rFonts w:ascii="Times New Roman" w:hAnsi="Times New Roman"/>
          <w:szCs w:val="24"/>
        </w:rPr>
        <w:t>On November 1</w:t>
      </w:r>
      <w:r>
        <w:rPr>
          <w:rFonts w:ascii="Times New Roman" w:hAnsi="Times New Roman"/>
          <w:szCs w:val="24"/>
        </w:rPr>
        <w:t>0</w:t>
      </w:r>
      <w:r w:rsidRPr="00FD2DEC">
        <w:rPr>
          <w:rFonts w:ascii="Times New Roman" w:hAnsi="Times New Roman"/>
          <w:szCs w:val="24"/>
        </w:rPr>
        <w:t>, 20</w:t>
      </w:r>
      <w:r>
        <w:rPr>
          <w:rFonts w:ascii="Times New Roman" w:hAnsi="Times New Roman"/>
          <w:szCs w:val="24"/>
        </w:rPr>
        <w:t>11</w:t>
      </w:r>
      <w:r w:rsidRPr="00FD2DEC">
        <w:rPr>
          <w:rFonts w:ascii="Times New Roman" w:hAnsi="Times New Roman"/>
          <w:szCs w:val="24"/>
        </w:rPr>
        <w:t xml:space="preserve">, the Federal Reserve published a notice in the </w:t>
      </w:r>
      <w:r w:rsidRPr="00FD2DEC">
        <w:rPr>
          <w:rFonts w:ascii="Times New Roman" w:hAnsi="Times New Roman"/>
          <w:i/>
          <w:szCs w:val="24"/>
        </w:rPr>
        <w:t>Federal Register</w:t>
      </w:r>
    </w:p>
    <w:p w:rsidR="00CF2047" w:rsidRDefault="00CF2047" w:rsidP="00CF2047">
      <w:pPr>
        <w:widowControl/>
        <w:tabs>
          <w:tab w:val="left" w:pos="450"/>
        </w:tabs>
        <w:rPr>
          <w:rFonts w:ascii="Times New Roman" w:hAnsi="Times New Roman"/>
        </w:rPr>
      </w:pPr>
      <w:r w:rsidRPr="00FD2DEC">
        <w:rPr>
          <w:rFonts w:ascii="Times New Roman" w:hAnsi="Times New Roman"/>
          <w:szCs w:val="24"/>
        </w:rPr>
        <w:t>(7</w:t>
      </w:r>
      <w:r w:rsidR="006441DB">
        <w:rPr>
          <w:rFonts w:ascii="Times New Roman" w:hAnsi="Times New Roman"/>
          <w:szCs w:val="24"/>
        </w:rPr>
        <w:t xml:space="preserve">6 </w:t>
      </w:r>
      <w:r w:rsidRPr="00FD2DEC">
        <w:rPr>
          <w:rFonts w:ascii="Times New Roman" w:hAnsi="Times New Roman"/>
          <w:szCs w:val="24"/>
        </w:rPr>
        <w:t>FR</w:t>
      </w:r>
      <w:r w:rsidR="00FE59E3">
        <w:rPr>
          <w:rFonts w:ascii="Times New Roman" w:hAnsi="Times New Roman"/>
          <w:szCs w:val="24"/>
        </w:rPr>
        <w:t xml:space="preserve"> 70146</w:t>
      </w:r>
      <w:r w:rsidRPr="00FD2DEC">
        <w:rPr>
          <w:rFonts w:ascii="Times New Roman" w:hAnsi="Times New Roman"/>
          <w:szCs w:val="24"/>
        </w:rPr>
        <w:t>) requesting public comment for 60 days on the extension</w:t>
      </w:r>
      <w:r w:rsidR="00783B25">
        <w:rPr>
          <w:rFonts w:ascii="Times New Roman" w:hAnsi="Times New Roman"/>
          <w:szCs w:val="24"/>
        </w:rPr>
        <w:t xml:space="preserve">, </w:t>
      </w:r>
      <w:r w:rsidR="00583B6F">
        <w:rPr>
          <w:rFonts w:ascii="Times New Roman" w:hAnsi="Times New Roman"/>
          <w:szCs w:val="24"/>
        </w:rPr>
        <w:t>without revision</w:t>
      </w:r>
      <w:r w:rsidRPr="00FD2DEC">
        <w:rPr>
          <w:rFonts w:ascii="Times New Roman" w:hAnsi="Times New Roman"/>
          <w:szCs w:val="24"/>
        </w:rPr>
        <w:t>, of the FR </w:t>
      </w:r>
      <w:r>
        <w:rPr>
          <w:rFonts w:ascii="Times New Roman" w:hAnsi="Times New Roman"/>
          <w:szCs w:val="24"/>
        </w:rPr>
        <w:t>Y-8</w:t>
      </w:r>
      <w:r w:rsidRPr="00FD2DEC">
        <w:rPr>
          <w:rFonts w:ascii="Times New Roman" w:hAnsi="Times New Roman"/>
          <w:szCs w:val="24"/>
        </w:rPr>
        <w:t>.  The comment period for this notice expire</w:t>
      </w:r>
      <w:r w:rsidR="00222FD0">
        <w:rPr>
          <w:rFonts w:ascii="Times New Roman" w:hAnsi="Times New Roman"/>
          <w:szCs w:val="24"/>
        </w:rPr>
        <w:t>d</w:t>
      </w:r>
      <w:r w:rsidRPr="00FD2DEC">
        <w:rPr>
          <w:rFonts w:ascii="Times New Roman" w:hAnsi="Times New Roman"/>
          <w:szCs w:val="24"/>
        </w:rPr>
        <w:t xml:space="preserve"> on</w:t>
      </w:r>
      <w:r w:rsidR="006441DB">
        <w:rPr>
          <w:rFonts w:ascii="Times New Roman" w:hAnsi="Times New Roman"/>
          <w:szCs w:val="24"/>
        </w:rPr>
        <w:t xml:space="preserve"> January 9, 201</w:t>
      </w:r>
      <w:r w:rsidR="003418E0">
        <w:rPr>
          <w:rFonts w:ascii="Times New Roman" w:hAnsi="Times New Roman"/>
          <w:szCs w:val="24"/>
        </w:rPr>
        <w:t>2</w:t>
      </w:r>
      <w:r w:rsidR="006441DB">
        <w:rPr>
          <w:rFonts w:ascii="Times New Roman" w:hAnsi="Times New Roman"/>
          <w:szCs w:val="24"/>
        </w:rPr>
        <w:t>.</w:t>
      </w:r>
      <w:r w:rsidRPr="00FD2DEC">
        <w:rPr>
          <w:rFonts w:ascii="Times New Roman" w:hAnsi="Times New Roman"/>
          <w:szCs w:val="24"/>
        </w:rPr>
        <w:t xml:space="preserve">  </w:t>
      </w:r>
      <w:r w:rsidR="00222FD0">
        <w:rPr>
          <w:rFonts w:ascii="Times New Roman" w:hAnsi="Times New Roman"/>
          <w:szCs w:val="24"/>
        </w:rPr>
        <w:t>The Federal Reserve did not receive any comments. On February 13, 2012</w:t>
      </w:r>
      <w:r w:rsidR="00BB6AB0">
        <w:rPr>
          <w:rFonts w:ascii="Times New Roman" w:hAnsi="Times New Roman"/>
          <w:szCs w:val="24"/>
        </w:rPr>
        <w:t>,</w:t>
      </w:r>
      <w:r w:rsidR="00222FD0">
        <w:rPr>
          <w:rFonts w:ascii="Times New Roman" w:hAnsi="Times New Roman"/>
          <w:szCs w:val="24"/>
        </w:rPr>
        <w:t xml:space="preserve"> the Federal Reserve published a final notice in the </w:t>
      </w:r>
      <w:r w:rsidR="00F53125" w:rsidRPr="00F53125">
        <w:rPr>
          <w:rFonts w:ascii="Times New Roman" w:hAnsi="Times New Roman"/>
          <w:i/>
          <w:szCs w:val="24"/>
        </w:rPr>
        <w:t>Federal Register</w:t>
      </w:r>
      <w:r w:rsidR="00222FD0">
        <w:rPr>
          <w:rFonts w:ascii="Times New Roman" w:hAnsi="Times New Roman"/>
          <w:szCs w:val="24"/>
        </w:rPr>
        <w:t xml:space="preserve"> (</w:t>
      </w:r>
      <w:r w:rsidR="00B767BB">
        <w:rPr>
          <w:rFonts w:ascii="Times New Roman" w:hAnsi="Times New Roman"/>
          <w:szCs w:val="24"/>
        </w:rPr>
        <w:t>7</w:t>
      </w:r>
      <w:r w:rsidR="003161FF">
        <w:rPr>
          <w:rFonts w:ascii="Times New Roman" w:hAnsi="Times New Roman"/>
          <w:szCs w:val="24"/>
        </w:rPr>
        <w:t>7</w:t>
      </w:r>
      <w:r w:rsidR="00B767BB">
        <w:rPr>
          <w:rFonts w:ascii="Times New Roman" w:hAnsi="Times New Roman"/>
          <w:szCs w:val="24"/>
        </w:rPr>
        <w:t xml:space="preserve"> FR 7578).</w:t>
      </w:r>
      <w:r w:rsidR="00222FD0">
        <w:rPr>
          <w:rFonts w:ascii="Times New Roman" w:hAnsi="Times New Roman"/>
          <w:szCs w:val="24"/>
        </w:rPr>
        <w:t xml:space="preserve"> </w:t>
      </w:r>
    </w:p>
    <w:p w:rsidR="001979F2" w:rsidRPr="005558C0" w:rsidRDefault="001979F2" w:rsidP="001979F2">
      <w:pPr>
        <w:keepLines/>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rFonts w:ascii="Times New Roman" w:hAnsi="Times New Roman"/>
          <w:color w:val="000000"/>
        </w:rPr>
      </w:pPr>
      <w:r w:rsidRPr="005558C0">
        <w:rPr>
          <w:rFonts w:ascii="Times New Roman" w:hAnsi="Times New Roman"/>
          <w:color w:val="000000"/>
        </w:rPr>
        <w:t xml:space="preserve"> </w:t>
      </w:r>
    </w:p>
    <w:p w:rsidR="001979F2" w:rsidRPr="005558C0" w:rsidRDefault="001979F2" w:rsidP="001979F2">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rPr>
      </w:pPr>
      <w:r w:rsidRPr="005558C0">
        <w:rPr>
          <w:rFonts w:ascii="Times New Roman" w:hAnsi="Times New Roman"/>
          <w:b/>
        </w:rPr>
        <w:t>Sensitive Questions</w:t>
      </w:r>
    </w:p>
    <w:p w:rsidR="001979F2" w:rsidRPr="005558C0" w:rsidRDefault="001979F2" w:rsidP="001979F2">
      <w:pPr>
        <w:widowControl/>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1979F2" w:rsidRPr="005558C0" w:rsidRDefault="001979F2" w:rsidP="001979F2">
      <w:pPr>
        <w:widowControl/>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ind w:firstLine="721"/>
        <w:rPr>
          <w:rFonts w:ascii="Times New Roman" w:hAnsi="Times New Roman"/>
        </w:rPr>
      </w:pPr>
      <w:r w:rsidRPr="005558C0">
        <w:rPr>
          <w:rFonts w:ascii="Times New Roman" w:hAnsi="Times New Roman"/>
        </w:rPr>
        <w:t>This collection of information contains no questions of a sensitive nature, as defined by OMB guidelines.</w:t>
      </w:r>
    </w:p>
    <w:p w:rsidR="004E5B58" w:rsidRDefault="004E5B58" w:rsidP="000F4832">
      <w:pPr>
        <w:keepLines/>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jc w:val="both"/>
        <w:rPr>
          <w:rFonts w:ascii="Times New Roman" w:hAnsi="Times New Roman"/>
          <w:b/>
          <w:color w:val="000000"/>
        </w:rPr>
      </w:pPr>
    </w:p>
    <w:p w:rsidR="000F4832" w:rsidRDefault="00DE578D" w:rsidP="000F4832">
      <w:pPr>
        <w:keepLines/>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jc w:val="both"/>
        <w:rPr>
          <w:rFonts w:ascii="Times New Roman" w:hAnsi="Times New Roman"/>
          <w:b/>
          <w:color w:val="000000"/>
        </w:rPr>
      </w:pPr>
      <w:r>
        <w:rPr>
          <w:rFonts w:ascii="Times New Roman" w:hAnsi="Times New Roman"/>
          <w:b/>
          <w:color w:val="000000"/>
        </w:rPr>
        <w:t>Estimates of Respondent Burden</w:t>
      </w:r>
    </w:p>
    <w:p w:rsidR="000F4832" w:rsidRDefault="000F4832" w:rsidP="000F4832">
      <w:pPr>
        <w:keepLines/>
        <w:tabs>
          <w:tab w:val="left" w:pos="0"/>
          <w:tab w:val="left" w:pos="721"/>
          <w:tab w:val="left" w:pos="1440"/>
          <w:tab w:val="left" w:pos="2161"/>
          <w:tab w:val="left" w:pos="2880"/>
          <w:tab w:val="left" w:pos="3601"/>
          <w:tab w:val="left" w:pos="4320"/>
          <w:tab w:val="left" w:pos="5041"/>
          <w:tab w:val="left" w:pos="5760"/>
          <w:tab w:val="left" w:pos="6481"/>
          <w:tab w:val="left" w:pos="7200"/>
          <w:tab w:val="left" w:pos="7921"/>
          <w:tab w:val="left" w:pos="8640"/>
        </w:tabs>
        <w:jc w:val="both"/>
        <w:rPr>
          <w:rFonts w:ascii="Times New Roman" w:hAnsi="Times New Roman"/>
          <w:b/>
          <w:color w:val="000000"/>
        </w:rPr>
      </w:pPr>
    </w:p>
    <w:p w:rsidR="004119B1" w:rsidRDefault="00DE578D" w:rsidP="006924E9">
      <w:pPr>
        <w:autoSpaceDE w:val="0"/>
        <w:autoSpaceDN w:val="0"/>
        <w:adjustRightInd w:val="0"/>
        <w:rPr>
          <w:rFonts w:ascii="Times New Roman" w:hAnsi="Times New Roman"/>
          <w:color w:val="000000"/>
        </w:rPr>
      </w:pPr>
      <w:r>
        <w:rPr>
          <w:rFonts w:ascii="Times New Roman" w:hAnsi="Times New Roman"/>
          <w:color w:val="000000"/>
        </w:rPr>
        <w:tab/>
      </w:r>
      <w:r w:rsidR="004A5511" w:rsidRPr="002F2B69">
        <w:rPr>
          <w:rFonts w:ascii="Times" w:hAnsi="Times"/>
        </w:rPr>
        <w:t xml:space="preserve">The current annual burden is estimated to be </w:t>
      </w:r>
      <w:r w:rsidR="00B97FCE">
        <w:rPr>
          <w:rFonts w:ascii="Times" w:hAnsi="Times"/>
        </w:rPr>
        <w:t>49</w:t>
      </w:r>
      <w:r w:rsidR="001D57DC">
        <w:rPr>
          <w:rFonts w:ascii="Times" w:hAnsi="Times"/>
        </w:rPr>
        <w:t>,</w:t>
      </w:r>
      <w:r w:rsidR="00B97FCE">
        <w:rPr>
          <w:rFonts w:ascii="Times" w:hAnsi="Times"/>
        </w:rPr>
        <w:t>498</w:t>
      </w:r>
      <w:r w:rsidR="004A5511" w:rsidRPr="002F2B69">
        <w:rPr>
          <w:rFonts w:ascii="Times" w:hAnsi="Times"/>
        </w:rPr>
        <w:t xml:space="preserve"> hours </w:t>
      </w:r>
      <w:r w:rsidR="004A5511">
        <w:rPr>
          <w:rFonts w:ascii="Times" w:hAnsi="Times"/>
        </w:rPr>
        <w:t xml:space="preserve">as shown in </w:t>
      </w:r>
      <w:r w:rsidR="004A5511">
        <w:rPr>
          <w:rFonts w:ascii="Times New Roman" w:hAnsi="Times New Roman"/>
          <w:color w:val="000000"/>
        </w:rPr>
        <w:t>t</w:t>
      </w:r>
      <w:r>
        <w:rPr>
          <w:rFonts w:ascii="Times New Roman" w:hAnsi="Times New Roman"/>
          <w:color w:val="000000"/>
        </w:rPr>
        <w:t xml:space="preserve">he following table.  </w:t>
      </w:r>
      <w:r w:rsidR="00167E2F">
        <w:rPr>
          <w:rFonts w:ascii="Times New Roman" w:hAnsi="Times New Roman"/>
        </w:rPr>
        <w:t xml:space="preserve">Respondents </w:t>
      </w:r>
      <w:r>
        <w:rPr>
          <w:rFonts w:ascii="Times New Roman" w:hAnsi="Times New Roman"/>
        </w:rPr>
        <w:t xml:space="preserve">vary greatly in size and number of insured depository institutions; although the largest holding companies have several insured depository institutions, the average is less than two insured depository institutions.  Similarly, although the volume of section 23A transactions may be high for some insured depository institutions, approximately </w:t>
      </w:r>
      <w:r w:rsidR="00B97FCE">
        <w:rPr>
          <w:rFonts w:ascii="Times New Roman" w:hAnsi="Times New Roman"/>
        </w:rPr>
        <w:t>80</w:t>
      </w:r>
      <w:r>
        <w:rPr>
          <w:rFonts w:ascii="Times New Roman" w:hAnsi="Times New Roman"/>
        </w:rPr>
        <w:t xml:space="preserve"> percent of the insured depository institutions have no covered transactions and therefore only complete </w:t>
      </w:r>
      <w:r w:rsidR="00FD3EDC">
        <w:rPr>
          <w:rFonts w:ascii="Times New Roman" w:hAnsi="Times New Roman"/>
        </w:rPr>
        <w:t xml:space="preserve">the </w:t>
      </w:r>
      <w:r w:rsidR="00FD3EDC" w:rsidRPr="006924E9">
        <w:rPr>
          <w:rFonts w:ascii="Times New Roman" w:hAnsi="Times New Roman"/>
        </w:rPr>
        <w:t xml:space="preserve">cover page and </w:t>
      </w:r>
      <w:r w:rsidRPr="006924E9">
        <w:rPr>
          <w:rFonts w:ascii="Times New Roman" w:hAnsi="Times New Roman"/>
        </w:rPr>
        <w:t>declaration page.</w:t>
      </w:r>
      <w:r w:rsidR="001A53BD" w:rsidRPr="006924E9">
        <w:rPr>
          <w:rFonts w:ascii="Times New Roman" w:hAnsi="Times New Roman"/>
          <w:color w:val="000000"/>
        </w:rPr>
        <w:t xml:space="preserve">  </w:t>
      </w:r>
      <w:r w:rsidR="004119B1">
        <w:rPr>
          <w:rFonts w:ascii="Times New Roman" w:hAnsi="Times New Roman"/>
          <w:color w:val="000000"/>
        </w:rPr>
        <w:t>Th</w:t>
      </w:r>
      <w:r w:rsidR="006924E9">
        <w:rPr>
          <w:rFonts w:ascii="Times New Roman" w:hAnsi="Times New Roman"/>
          <w:color w:val="000000"/>
        </w:rPr>
        <w:t>ese</w:t>
      </w:r>
      <w:r w:rsidR="004119B1">
        <w:rPr>
          <w:rFonts w:ascii="Times New Roman" w:hAnsi="Times New Roman"/>
          <w:color w:val="000000"/>
        </w:rPr>
        <w:t xml:space="preserve"> </w:t>
      </w:r>
      <w:r w:rsidR="006924E9">
        <w:rPr>
          <w:rFonts w:ascii="Times New Roman" w:hAnsi="Times New Roman"/>
          <w:color w:val="000000"/>
        </w:rPr>
        <w:t xml:space="preserve">reporting </w:t>
      </w:r>
      <w:r w:rsidR="005558C0">
        <w:rPr>
          <w:rFonts w:ascii="Times New Roman" w:hAnsi="Times New Roman"/>
          <w:color w:val="000000"/>
        </w:rPr>
        <w:t>requirements represent less</w:t>
      </w:r>
      <w:r w:rsidR="006924E9">
        <w:rPr>
          <w:rFonts w:ascii="Times New Roman" w:hAnsi="Times New Roman"/>
          <w:color w:val="000000"/>
        </w:rPr>
        <w:t xml:space="preserve"> than</w:t>
      </w:r>
      <w:r w:rsidR="00E20461">
        <w:rPr>
          <w:rFonts w:ascii="Times New Roman" w:hAnsi="Times New Roman"/>
          <w:color w:val="000000"/>
        </w:rPr>
        <w:t xml:space="preserve"> </w:t>
      </w:r>
      <w:r w:rsidR="00FD3EDC">
        <w:rPr>
          <w:rFonts w:ascii="Times New Roman" w:hAnsi="Times New Roman"/>
          <w:color w:val="000000"/>
        </w:rPr>
        <w:t xml:space="preserve">1 </w:t>
      </w:r>
      <w:r w:rsidR="004119B1">
        <w:rPr>
          <w:rFonts w:ascii="Times New Roman" w:hAnsi="Times New Roman"/>
          <w:color w:val="000000"/>
        </w:rPr>
        <w:t xml:space="preserve">percent of </w:t>
      </w:r>
      <w:r w:rsidR="006924E9">
        <w:rPr>
          <w:rFonts w:ascii="Times New Roman" w:hAnsi="Times New Roman"/>
          <w:color w:val="000000"/>
        </w:rPr>
        <w:t xml:space="preserve">the </w:t>
      </w:r>
      <w:r w:rsidR="004119B1">
        <w:rPr>
          <w:rFonts w:ascii="Times New Roman" w:hAnsi="Times New Roman"/>
          <w:color w:val="000000"/>
        </w:rPr>
        <w:t xml:space="preserve">total Federal Reserve System annual </w:t>
      </w:r>
      <w:r w:rsidR="003418E0">
        <w:rPr>
          <w:rFonts w:ascii="Times New Roman" w:hAnsi="Times New Roman"/>
          <w:color w:val="000000"/>
        </w:rPr>
        <w:t xml:space="preserve">reporting </w:t>
      </w:r>
      <w:r w:rsidR="004119B1">
        <w:rPr>
          <w:rFonts w:ascii="Times New Roman" w:hAnsi="Times New Roman"/>
          <w:color w:val="000000"/>
        </w:rPr>
        <w:t>burden.</w:t>
      </w:r>
      <w:r w:rsidR="00CB1A67">
        <w:rPr>
          <w:rFonts w:ascii="Times New Roman" w:hAnsi="Times New Roman"/>
          <w:color w:val="000000"/>
        </w:rPr>
        <w:t xml:space="preserve"> </w:t>
      </w:r>
    </w:p>
    <w:p w:rsidR="00F71372" w:rsidRDefault="00F71372" w:rsidP="004119B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tbl>
      <w:tblPr>
        <w:tblW w:w="0" w:type="auto"/>
        <w:jc w:val="center"/>
        <w:tblBorders>
          <w:top w:val="single" w:sz="4" w:space="0" w:color="auto"/>
          <w:bottom w:val="single" w:sz="4" w:space="0" w:color="auto"/>
        </w:tblBorders>
        <w:tblLayout w:type="fixed"/>
        <w:tblLook w:val="0000"/>
      </w:tblPr>
      <w:tblGrid>
        <w:gridCol w:w="2664"/>
        <w:gridCol w:w="1771"/>
        <w:gridCol w:w="1440"/>
        <w:gridCol w:w="1771"/>
        <w:gridCol w:w="1771"/>
      </w:tblGrid>
      <w:tr w:rsidR="00F71372">
        <w:trPr>
          <w:jc w:val="center"/>
        </w:trPr>
        <w:tc>
          <w:tcPr>
            <w:tcW w:w="2664" w:type="dxa"/>
            <w:tcBorders>
              <w:bottom w:val="nil"/>
            </w:tcBorders>
            <w:vAlign w:val="center"/>
          </w:tcPr>
          <w:p w:rsidR="00F71372" w:rsidRDefault="00F71372" w:rsidP="00420227">
            <w:pPr>
              <w:pStyle w:val="Heading7"/>
              <w:tabs>
                <w:tab w:val="left" w:pos="-1080"/>
                <w:tab w:val="left" w:pos="-90"/>
                <w:tab w:val="left" w:pos="1440"/>
                <w:tab w:val="left" w:pos="1980"/>
                <w:tab w:val="left" w:pos="3960"/>
                <w:tab w:val="left" w:pos="5760"/>
                <w:tab w:val="left" w:pos="7920"/>
              </w:tabs>
              <w:jc w:val="center"/>
            </w:pPr>
          </w:p>
        </w:tc>
        <w:tc>
          <w:tcPr>
            <w:tcW w:w="1771" w:type="dxa"/>
            <w:tcBorders>
              <w:bottom w:val="nil"/>
            </w:tcBorders>
            <w:vAlign w:val="bottom"/>
          </w:tcPr>
          <w:p w:rsidR="00F71372" w:rsidRDefault="00F71372" w:rsidP="00B826F4">
            <w:pPr>
              <w:tabs>
                <w:tab w:val="left" w:pos="-1080"/>
                <w:tab w:val="left" w:pos="-90"/>
                <w:tab w:val="left" w:pos="1440"/>
                <w:tab w:val="left" w:pos="1980"/>
                <w:tab w:val="left" w:pos="3960"/>
                <w:tab w:val="left" w:pos="5760"/>
                <w:tab w:val="left" w:pos="7920"/>
              </w:tabs>
              <w:jc w:val="center"/>
              <w:rPr>
                <w:rFonts w:ascii="Times New Roman" w:hAnsi="Times New Roman"/>
                <w:i/>
                <w:color w:val="000000"/>
              </w:rPr>
            </w:pPr>
            <w:r>
              <w:rPr>
                <w:rFonts w:ascii="Times New Roman" w:hAnsi="Times New Roman"/>
                <w:i/>
                <w:color w:val="000000"/>
              </w:rPr>
              <w:t>Number of respondent</w:t>
            </w:r>
            <w:r w:rsidR="004506DB">
              <w:rPr>
                <w:rStyle w:val="FootnoteReference"/>
                <w:rFonts w:ascii="Times New Roman" w:hAnsi="Times New Roman"/>
                <w:i/>
                <w:color w:val="000000"/>
              </w:rPr>
              <w:footnoteReference w:id="1"/>
            </w:r>
          </w:p>
        </w:tc>
        <w:tc>
          <w:tcPr>
            <w:tcW w:w="1440" w:type="dxa"/>
            <w:tcBorders>
              <w:bottom w:val="nil"/>
            </w:tcBorders>
            <w:vAlign w:val="bottom"/>
          </w:tcPr>
          <w:p w:rsidR="00F71372" w:rsidRDefault="00F71372" w:rsidP="00420227">
            <w:pPr>
              <w:tabs>
                <w:tab w:val="left" w:pos="-1080"/>
                <w:tab w:val="left" w:pos="-90"/>
                <w:tab w:val="left" w:pos="1440"/>
                <w:tab w:val="left" w:pos="1980"/>
                <w:tab w:val="left" w:pos="3960"/>
                <w:tab w:val="left" w:pos="5760"/>
                <w:tab w:val="left" w:pos="7920"/>
              </w:tabs>
              <w:jc w:val="center"/>
              <w:rPr>
                <w:rFonts w:ascii="Times New Roman" w:hAnsi="Times New Roman"/>
                <w:i/>
                <w:color w:val="000000"/>
              </w:rPr>
            </w:pPr>
            <w:r>
              <w:rPr>
                <w:rFonts w:ascii="Times New Roman" w:hAnsi="Times New Roman"/>
                <w:i/>
                <w:color w:val="000000"/>
              </w:rPr>
              <w:t xml:space="preserve">Annual </w:t>
            </w:r>
          </w:p>
          <w:p w:rsidR="00F71372" w:rsidRDefault="002D339D" w:rsidP="00420227">
            <w:pPr>
              <w:tabs>
                <w:tab w:val="left" w:pos="-1080"/>
                <w:tab w:val="left" w:pos="-90"/>
                <w:tab w:val="left" w:pos="1440"/>
                <w:tab w:val="left" w:pos="1980"/>
                <w:tab w:val="left" w:pos="3960"/>
                <w:tab w:val="left" w:pos="5760"/>
                <w:tab w:val="left" w:pos="7920"/>
              </w:tabs>
              <w:jc w:val="center"/>
              <w:rPr>
                <w:rFonts w:ascii="Times New Roman" w:hAnsi="Times New Roman"/>
                <w:i/>
                <w:color w:val="000000"/>
              </w:rPr>
            </w:pPr>
            <w:r>
              <w:rPr>
                <w:rFonts w:ascii="Times New Roman" w:hAnsi="Times New Roman"/>
                <w:i/>
                <w:color w:val="000000"/>
              </w:rPr>
              <w:t>F</w:t>
            </w:r>
            <w:r w:rsidR="00F71372">
              <w:rPr>
                <w:rFonts w:ascii="Times New Roman" w:hAnsi="Times New Roman"/>
                <w:i/>
                <w:color w:val="000000"/>
              </w:rPr>
              <w:t>requency</w:t>
            </w:r>
          </w:p>
        </w:tc>
        <w:tc>
          <w:tcPr>
            <w:tcW w:w="1771" w:type="dxa"/>
            <w:tcBorders>
              <w:bottom w:val="nil"/>
            </w:tcBorders>
            <w:vAlign w:val="bottom"/>
          </w:tcPr>
          <w:p w:rsidR="00F71372" w:rsidRDefault="00F71372" w:rsidP="00420227">
            <w:pPr>
              <w:tabs>
                <w:tab w:val="left" w:pos="-1080"/>
                <w:tab w:val="left" w:pos="-90"/>
                <w:tab w:val="left" w:pos="1440"/>
                <w:tab w:val="left" w:pos="1980"/>
                <w:tab w:val="left" w:pos="3960"/>
                <w:tab w:val="left" w:pos="5760"/>
                <w:tab w:val="left" w:pos="7920"/>
              </w:tabs>
              <w:jc w:val="center"/>
              <w:rPr>
                <w:rFonts w:ascii="Times New Roman" w:hAnsi="Times New Roman"/>
                <w:i/>
                <w:color w:val="000000"/>
              </w:rPr>
            </w:pPr>
            <w:r>
              <w:rPr>
                <w:rFonts w:ascii="Times New Roman" w:hAnsi="Times New Roman"/>
                <w:i/>
                <w:color w:val="000000"/>
              </w:rPr>
              <w:t>Estimated average hours per response</w:t>
            </w:r>
          </w:p>
        </w:tc>
        <w:tc>
          <w:tcPr>
            <w:tcW w:w="1771" w:type="dxa"/>
            <w:tcBorders>
              <w:bottom w:val="nil"/>
            </w:tcBorders>
            <w:vAlign w:val="bottom"/>
          </w:tcPr>
          <w:p w:rsidR="00F71372" w:rsidRDefault="00F71372" w:rsidP="00420227">
            <w:pPr>
              <w:tabs>
                <w:tab w:val="left" w:pos="-1080"/>
                <w:tab w:val="left" w:pos="-90"/>
                <w:tab w:val="left" w:pos="1440"/>
                <w:tab w:val="left" w:pos="1980"/>
                <w:tab w:val="left" w:pos="3960"/>
                <w:tab w:val="left" w:pos="5760"/>
                <w:tab w:val="left" w:pos="7920"/>
              </w:tabs>
              <w:jc w:val="center"/>
              <w:rPr>
                <w:rFonts w:ascii="Times New Roman" w:hAnsi="Times New Roman"/>
                <w:i/>
                <w:color w:val="000000"/>
              </w:rPr>
            </w:pPr>
            <w:r>
              <w:rPr>
                <w:rFonts w:ascii="Times New Roman" w:hAnsi="Times New Roman"/>
                <w:i/>
                <w:color w:val="000000"/>
              </w:rPr>
              <w:t>Estimated</w:t>
            </w:r>
          </w:p>
          <w:p w:rsidR="00F71372" w:rsidRDefault="00F71372" w:rsidP="00420227">
            <w:pPr>
              <w:tabs>
                <w:tab w:val="left" w:pos="-1080"/>
                <w:tab w:val="left" w:pos="-90"/>
                <w:tab w:val="left" w:pos="1440"/>
                <w:tab w:val="left" w:pos="1980"/>
                <w:tab w:val="left" w:pos="3960"/>
                <w:tab w:val="left" w:pos="5760"/>
                <w:tab w:val="left" w:pos="7920"/>
              </w:tabs>
              <w:jc w:val="center"/>
              <w:rPr>
                <w:rFonts w:ascii="Times New Roman" w:hAnsi="Times New Roman"/>
                <w:i/>
                <w:color w:val="000000"/>
              </w:rPr>
            </w:pPr>
            <w:r>
              <w:rPr>
                <w:rFonts w:ascii="Times New Roman" w:hAnsi="Times New Roman"/>
                <w:i/>
                <w:color w:val="000000"/>
              </w:rPr>
              <w:t>annual</w:t>
            </w:r>
          </w:p>
          <w:p w:rsidR="00F71372" w:rsidRDefault="00F71372" w:rsidP="00420227">
            <w:pPr>
              <w:tabs>
                <w:tab w:val="left" w:pos="-1080"/>
                <w:tab w:val="left" w:pos="-90"/>
                <w:tab w:val="left" w:pos="1440"/>
                <w:tab w:val="left" w:pos="1980"/>
                <w:tab w:val="left" w:pos="3960"/>
                <w:tab w:val="left" w:pos="5760"/>
                <w:tab w:val="left" w:pos="7920"/>
              </w:tabs>
              <w:jc w:val="center"/>
              <w:rPr>
                <w:rFonts w:ascii="Times New Roman" w:hAnsi="Times New Roman"/>
                <w:i/>
                <w:color w:val="000000"/>
              </w:rPr>
            </w:pPr>
            <w:r>
              <w:rPr>
                <w:rFonts w:ascii="Times New Roman" w:hAnsi="Times New Roman"/>
                <w:i/>
                <w:color w:val="000000"/>
              </w:rPr>
              <w:t>burden hours</w:t>
            </w:r>
          </w:p>
        </w:tc>
      </w:tr>
      <w:tr w:rsidR="004A5511">
        <w:trPr>
          <w:trHeight w:val="396"/>
          <w:jc w:val="center"/>
        </w:trPr>
        <w:tc>
          <w:tcPr>
            <w:tcW w:w="2664" w:type="dxa"/>
            <w:tcBorders>
              <w:top w:val="nil"/>
              <w:bottom w:val="nil"/>
            </w:tcBorders>
            <w:vAlign w:val="center"/>
          </w:tcPr>
          <w:p w:rsidR="004A5511" w:rsidRDefault="004A5511" w:rsidP="00420227">
            <w:pPr>
              <w:pStyle w:val="Heading7"/>
              <w:tabs>
                <w:tab w:val="left" w:pos="-1080"/>
                <w:tab w:val="left" w:pos="-90"/>
                <w:tab w:val="left" w:pos="1440"/>
                <w:tab w:val="left" w:pos="1980"/>
                <w:tab w:val="left" w:pos="3960"/>
                <w:tab w:val="left" w:pos="5760"/>
                <w:tab w:val="left" w:pos="7920"/>
              </w:tabs>
              <w:rPr>
                <w:b w:val="0"/>
              </w:rPr>
            </w:pPr>
          </w:p>
        </w:tc>
        <w:tc>
          <w:tcPr>
            <w:tcW w:w="1771" w:type="dxa"/>
            <w:tcBorders>
              <w:top w:val="nil"/>
              <w:bottom w:val="nil"/>
            </w:tcBorders>
            <w:vAlign w:val="bottom"/>
          </w:tcPr>
          <w:p w:rsidR="004A5511" w:rsidDel="003044B6" w:rsidRDefault="004A5511" w:rsidP="00420227">
            <w:pPr>
              <w:tabs>
                <w:tab w:val="left" w:pos="-1080"/>
                <w:tab w:val="left" w:pos="-90"/>
                <w:tab w:val="left" w:pos="1440"/>
                <w:tab w:val="left" w:pos="1980"/>
                <w:tab w:val="left" w:pos="3960"/>
                <w:tab w:val="left" w:pos="5760"/>
                <w:tab w:val="left" w:pos="7920"/>
              </w:tabs>
              <w:jc w:val="center"/>
              <w:rPr>
                <w:rFonts w:ascii="Times New Roman" w:hAnsi="Times New Roman"/>
                <w:color w:val="000000"/>
              </w:rPr>
            </w:pPr>
          </w:p>
        </w:tc>
        <w:tc>
          <w:tcPr>
            <w:tcW w:w="1440" w:type="dxa"/>
            <w:tcBorders>
              <w:top w:val="nil"/>
              <w:bottom w:val="nil"/>
            </w:tcBorders>
            <w:vAlign w:val="bottom"/>
          </w:tcPr>
          <w:p w:rsidR="004A5511" w:rsidRDefault="004A5511" w:rsidP="00420227">
            <w:pPr>
              <w:tabs>
                <w:tab w:val="left" w:pos="-1080"/>
                <w:tab w:val="left" w:pos="-90"/>
                <w:tab w:val="left" w:pos="1440"/>
                <w:tab w:val="left" w:pos="1980"/>
                <w:tab w:val="left" w:pos="3960"/>
                <w:tab w:val="left" w:pos="5760"/>
                <w:tab w:val="left" w:pos="7920"/>
              </w:tabs>
              <w:jc w:val="center"/>
              <w:rPr>
                <w:rFonts w:ascii="Times New Roman" w:hAnsi="Times New Roman"/>
                <w:color w:val="000000"/>
              </w:rPr>
            </w:pPr>
          </w:p>
        </w:tc>
        <w:tc>
          <w:tcPr>
            <w:tcW w:w="1771" w:type="dxa"/>
            <w:tcBorders>
              <w:top w:val="nil"/>
              <w:bottom w:val="nil"/>
            </w:tcBorders>
            <w:vAlign w:val="bottom"/>
          </w:tcPr>
          <w:p w:rsidR="004A5511" w:rsidRDefault="004A5511" w:rsidP="00420227">
            <w:pPr>
              <w:tabs>
                <w:tab w:val="left" w:pos="-1080"/>
                <w:tab w:val="left" w:pos="-90"/>
                <w:tab w:val="left" w:pos="1440"/>
                <w:tab w:val="left" w:pos="1980"/>
                <w:tab w:val="left" w:pos="3960"/>
                <w:tab w:val="left" w:pos="5760"/>
                <w:tab w:val="left" w:pos="7920"/>
              </w:tabs>
              <w:jc w:val="center"/>
              <w:rPr>
                <w:rFonts w:ascii="Times New Roman" w:hAnsi="Times New Roman"/>
                <w:color w:val="000000"/>
              </w:rPr>
            </w:pPr>
          </w:p>
        </w:tc>
        <w:tc>
          <w:tcPr>
            <w:tcW w:w="1771" w:type="dxa"/>
            <w:tcBorders>
              <w:top w:val="nil"/>
              <w:bottom w:val="nil"/>
            </w:tcBorders>
            <w:vAlign w:val="bottom"/>
          </w:tcPr>
          <w:p w:rsidR="004A5511" w:rsidDel="003044B6" w:rsidRDefault="004A5511" w:rsidP="00420227">
            <w:pPr>
              <w:tabs>
                <w:tab w:val="left" w:pos="-1080"/>
                <w:tab w:val="left" w:pos="-90"/>
                <w:tab w:val="left" w:pos="1440"/>
                <w:tab w:val="left" w:pos="1980"/>
                <w:tab w:val="left" w:pos="3960"/>
                <w:tab w:val="left" w:pos="5760"/>
                <w:tab w:val="left" w:pos="7920"/>
              </w:tabs>
              <w:jc w:val="center"/>
              <w:rPr>
                <w:rFonts w:ascii="Times New Roman" w:hAnsi="Times New Roman"/>
                <w:color w:val="000000"/>
              </w:rPr>
            </w:pPr>
          </w:p>
        </w:tc>
      </w:tr>
      <w:tr w:rsidR="00F71372">
        <w:trPr>
          <w:trHeight w:val="564"/>
          <w:jc w:val="center"/>
        </w:trPr>
        <w:tc>
          <w:tcPr>
            <w:tcW w:w="2664" w:type="dxa"/>
            <w:tcBorders>
              <w:top w:val="nil"/>
              <w:bottom w:val="nil"/>
            </w:tcBorders>
            <w:vAlign w:val="center"/>
          </w:tcPr>
          <w:p w:rsidR="00F71372" w:rsidRPr="00F82A90" w:rsidRDefault="00FD3EDC" w:rsidP="00420227">
            <w:pPr>
              <w:pStyle w:val="Heading7"/>
              <w:tabs>
                <w:tab w:val="left" w:pos="-1080"/>
                <w:tab w:val="left" w:pos="-90"/>
                <w:tab w:val="left" w:pos="1440"/>
                <w:tab w:val="left" w:pos="1980"/>
                <w:tab w:val="left" w:pos="3960"/>
                <w:tab w:val="left" w:pos="5760"/>
                <w:tab w:val="left" w:pos="7920"/>
              </w:tabs>
              <w:rPr>
                <w:b w:val="0"/>
              </w:rPr>
            </w:pPr>
            <w:r>
              <w:rPr>
                <w:b w:val="0"/>
              </w:rPr>
              <w:t>Institutions with covered transactions</w:t>
            </w:r>
          </w:p>
        </w:tc>
        <w:tc>
          <w:tcPr>
            <w:tcW w:w="1771" w:type="dxa"/>
            <w:tcBorders>
              <w:top w:val="nil"/>
              <w:bottom w:val="nil"/>
            </w:tcBorders>
            <w:vAlign w:val="bottom"/>
          </w:tcPr>
          <w:p w:rsidR="00F71372" w:rsidRDefault="001A53BD" w:rsidP="001A53BD">
            <w:pPr>
              <w:tabs>
                <w:tab w:val="left" w:pos="-1080"/>
                <w:tab w:val="left" w:pos="-90"/>
                <w:tab w:val="left" w:pos="1440"/>
                <w:tab w:val="left" w:pos="1980"/>
                <w:tab w:val="left" w:pos="3960"/>
                <w:tab w:val="left" w:pos="5760"/>
                <w:tab w:val="left" w:pos="7920"/>
              </w:tabs>
              <w:jc w:val="center"/>
              <w:rPr>
                <w:rFonts w:ascii="Times New Roman" w:hAnsi="Times New Roman"/>
                <w:color w:val="000000"/>
              </w:rPr>
            </w:pPr>
            <w:r>
              <w:rPr>
                <w:rFonts w:ascii="Times New Roman" w:hAnsi="Times New Roman"/>
                <w:color w:val="000000"/>
              </w:rPr>
              <w:t>1</w:t>
            </w:r>
            <w:r w:rsidR="001D57DC">
              <w:rPr>
                <w:rFonts w:ascii="Times New Roman" w:hAnsi="Times New Roman"/>
                <w:color w:val="000000"/>
              </w:rPr>
              <w:t>,</w:t>
            </w:r>
            <w:r>
              <w:rPr>
                <w:rFonts w:ascii="Times New Roman" w:hAnsi="Times New Roman"/>
                <w:color w:val="000000"/>
              </w:rPr>
              <w:t>003</w:t>
            </w:r>
          </w:p>
        </w:tc>
        <w:tc>
          <w:tcPr>
            <w:tcW w:w="1440" w:type="dxa"/>
            <w:tcBorders>
              <w:top w:val="nil"/>
              <w:bottom w:val="nil"/>
            </w:tcBorders>
            <w:vAlign w:val="bottom"/>
          </w:tcPr>
          <w:p w:rsidR="00F71372" w:rsidRDefault="00F71372" w:rsidP="00420227">
            <w:pPr>
              <w:tabs>
                <w:tab w:val="left" w:pos="-1080"/>
                <w:tab w:val="left" w:pos="-90"/>
                <w:tab w:val="left" w:pos="1440"/>
                <w:tab w:val="left" w:pos="1980"/>
                <w:tab w:val="left" w:pos="3960"/>
                <w:tab w:val="left" w:pos="5760"/>
                <w:tab w:val="left" w:pos="7920"/>
              </w:tabs>
              <w:jc w:val="center"/>
              <w:rPr>
                <w:rFonts w:ascii="Times New Roman" w:hAnsi="Times New Roman"/>
                <w:color w:val="000000"/>
              </w:rPr>
            </w:pPr>
            <w:r>
              <w:rPr>
                <w:rFonts w:ascii="Times New Roman" w:hAnsi="Times New Roman"/>
                <w:color w:val="000000"/>
              </w:rPr>
              <w:t>4</w:t>
            </w:r>
          </w:p>
        </w:tc>
        <w:tc>
          <w:tcPr>
            <w:tcW w:w="1771" w:type="dxa"/>
            <w:tcBorders>
              <w:top w:val="nil"/>
              <w:bottom w:val="nil"/>
            </w:tcBorders>
            <w:vAlign w:val="bottom"/>
          </w:tcPr>
          <w:p w:rsidR="00F71372" w:rsidRDefault="00F71372" w:rsidP="00420227">
            <w:pPr>
              <w:tabs>
                <w:tab w:val="left" w:pos="-1080"/>
                <w:tab w:val="left" w:pos="-90"/>
                <w:tab w:val="left" w:pos="1440"/>
                <w:tab w:val="left" w:pos="1980"/>
                <w:tab w:val="left" w:pos="3960"/>
                <w:tab w:val="left" w:pos="5760"/>
                <w:tab w:val="left" w:pos="7920"/>
              </w:tabs>
              <w:jc w:val="center"/>
              <w:rPr>
                <w:rFonts w:ascii="Times New Roman" w:hAnsi="Times New Roman"/>
                <w:color w:val="000000"/>
              </w:rPr>
            </w:pPr>
            <w:r>
              <w:rPr>
                <w:rFonts w:ascii="Times New Roman" w:hAnsi="Times New Roman"/>
                <w:color w:val="000000"/>
              </w:rPr>
              <w:t>7.8</w:t>
            </w:r>
          </w:p>
        </w:tc>
        <w:tc>
          <w:tcPr>
            <w:tcW w:w="1771" w:type="dxa"/>
            <w:tcBorders>
              <w:top w:val="nil"/>
              <w:bottom w:val="nil"/>
            </w:tcBorders>
            <w:vAlign w:val="bottom"/>
          </w:tcPr>
          <w:p w:rsidR="00F71372" w:rsidRDefault="00B97FCE" w:rsidP="00B97FCE">
            <w:pPr>
              <w:tabs>
                <w:tab w:val="left" w:pos="-1080"/>
                <w:tab w:val="left" w:pos="-90"/>
                <w:tab w:val="left" w:pos="1440"/>
                <w:tab w:val="left" w:pos="1980"/>
                <w:tab w:val="left" w:pos="3960"/>
                <w:tab w:val="left" w:pos="5760"/>
                <w:tab w:val="left" w:pos="7920"/>
              </w:tabs>
              <w:jc w:val="center"/>
              <w:rPr>
                <w:rFonts w:ascii="Times New Roman" w:hAnsi="Times New Roman"/>
                <w:color w:val="000000"/>
              </w:rPr>
            </w:pPr>
            <w:r>
              <w:rPr>
                <w:rFonts w:ascii="Times New Roman" w:hAnsi="Times New Roman"/>
                <w:color w:val="000000"/>
              </w:rPr>
              <w:t>31</w:t>
            </w:r>
            <w:r w:rsidR="001D57DC">
              <w:rPr>
                <w:rFonts w:ascii="Times New Roman" w:hAnsi="Times New Roman"/>
                <w:color w:val="000000"/>
              </w:rPr>
              <w:t>,</w:t>
            </w:r>
            <w:r>
              <w:rPr>
                <w:rFonts w:ascii="Times New Roman" w:hAnsi="Times New Roman"/>
                <w:color w:val="000000"/>
              </w:rPr>
              <w:t>294</w:t>
            </w:r>
          </w:p>
        </w:tc>
      </w:tr>
      <w:tr w:rsidR="00F71372">
        <w:trPr>
          <w:trHeight w:val="564"/>
          <w:jc w:val="center"/>
        </w:trPr>
        <w:tc>
          <w:tcPr>
            <w:tcW w:w="2664" w:type="dxa"/>
            <w:tcBorders>
              <w:top w:val="nil"/>
            </w:tcBorders>
            <w:vAlign w:val="center"/>
          </w:tcPr>
          <w:p w:rsidR="00F71372" w:rsidRPr="00F82A90" w:rsidRDefault="00FD3EDC" w:rsidP="00420227">
            <w:pPr>
              <w:pStyle w:val="Heading7"/>
              <w:tabs>
                <w:tab w:val="left" w:pos="-1080"/>
                <w:tab w:val="left" w:pos="-90"/>
                <w:tab w:val="left" w:pos="1440"/>
                <w:tab w:val="left" w:pos="1980"/>
                <w:tab w:val="left" w:pos="3960"/>
                <w:tab w:val="left" w:pos="5760"/>
                <w:tab w:val="left" w:pos="7920"/>
              </w:tabs>
              <w:rPr>
                <w:b w:val="0"/>
              </w:rPr>
            </w:pPr>
            <w:r>
              <w:rPr>
                <w:b w:val="0"/>
              </w:rPr>
              <w:t xml:space="preserve">Institutions </w:t>
            </w:r>
            <w:r w:rsidR="002926D7">
              <w:rPr>
                <w:b w:val="0"/>
              </w:rPr>
              <w:t>w</w:t>
            </w:r>
            <w:r>
              <w:rPr>
                <w:b w:val="0"/>
              </w:rPr>
              <w:t>ithout covered transactions</w:t>
            </w:r>
          </w:p>
        </w:tc>
        <w:tc>
          <w:tcPr>
            <w:tcW w:w="1771" w:type="dxa"/>
            <w:tcBorders>
              <w:top w:val="nil"/>
            </w:tcBorders>
            <w:vAlign w:val="bottom"/>
          </w:tcPr>
          <w:p w:rsidR="00F71372" w:rsidRPr="002926D7" w:rsidRDefault="001A53BD" w:rsidP="001A53BD">
            <w:pPr>
              <w:tabs>
                <w:tab w:val="left" w:pos="-1080"/>
                <w:tab w:val="left" w:pos="-90"/>
                <w:tab w:val="left" w:pos="1440"/>
                <w:tab w:val="left" w:pos="1980"/>
                <w:tab w:val="left" w:pos="3960"/>
                <w:tab w:val="left" w:pos="5760"/>
                <w:tab w:val="left" w:pos="7920"/>
              </w:tabs>
              <w:jc w:val="center"/>
              <w:rPr>
                <w:rFonts w:ascii="Times New Roman" w:hAnsi="Times New Roman"/>
                <w:color w:val="000000"/>
                <w:u w:val="single"/>
              </w:rPr>
            </w:pPr>
            <w:r>
              <w:rPr>
                <w:rFonts w:ascii="Times New Roman" w:hAnsi="Times New Roman"/>
                <w:color w:val="000000"/>
                <w:u w:val="single"/>
              </w:rPr>
              <w:t>4</w:t>
            </w:r>
            <w:r w:rsidR="001D57DC">
              <w:rPr>
                <w:rFonts w:ascii="Times New Roman" w:hAnsi="Times New Roman"/>
                <w:color w:val="000000"/>
                <w:u w:val="single"/>
              </w:rPr>
              <w:t>,</w:t>
            </w:r>
            <w:r>
              <w:rPr>
                <w:rFonts w:ascii="Times New Roman" w:hAnsi="Times New Roman"/>
                <w:color w:val="000000"/>
                <w:u w:val="single"/>
              </w:rPr>
              <w:t>551</w:t>
            </w:r>
          </w:p>
        </w:tc>
        <w:tc>
          <w:tcPr>
            <w:tcW w:w="1440" w:type="dxa"/>
            <w:tcBorders>
              <w:top w:val="nil"/>
            </w:tcBorders>
            <w:vAlign w:val="bottom"/>
          </w:tcPr>
          <w:p w:rsidR="00F71372" w:rsidRDefault="00F71372" w:rsidP="00420227">
            <w:pPr>
              <w:tabs>
                <w:tab w:val="left" w:pos="-1080"/>
                <w:tab w:val="left" w:pos="-90"/>
                <w:tab w:val="left" w:pos="1440"/>
                <w:tab w:val="left" w:pos="1980"/>
                <w:tab w:val="left" w:pos="3960"/>
                <w:tab w:val="left" w:pos="5760"/>
                <w:tab w:val="left" w:pos="7920"/>
              </w:tabs>
              <w:jc w:val="center"/>
              <w:rPr>
                <w:rFonts w:ascii="Times New Roman" w:hAnsi="Times New Roman"/>
                <w:color w:val="000000"/>
              </w:rPr>
            </w:pPr>
            <w:r>
              <w:rPr>
                <w:rFonts w:ascii="Times New Roman" w:hAnsi="Times New Roman"/>
                <w:color w:val="000000"/>
              </w:rPr>
              <w:t>4</w:t>
            </w:r>
          </w:p>
        </w:tc>
        <w:tc>
          <w:tcPr>
            <w:tcW w:w="1771" w:type="dxa"/>
            <w:tcBorders>
              <w:top w:val="nil"/>
            </w:tcBorders>
            <w:vAlign w:val="bottom"/>
          </w:tcPr>
          <w:p w:rsidR="00F71372" w:rsidRDefault="00F71372" w:rsidP="00420227">
            <w:pPr>
              <w:tabs>
                <w:tab w:val="left" w:pos="-1080"/>
                <w:tab w:val="left" w:pos="-90"/>
                <w:tab w:val="left" w:pos="1440"/>
                <w:tab w:val="left" w:pos="1980"/>
                <w:tab w:val="left" w:pos="3960"/>
                <w:tab w:val="left" w:pos="5760"/>
                <w:tab w:val="left" w:pos="7920"/>
              </w:tabs>
              <w:jc w:val="center"/>
              <w:rPr>
                <w:rFonts w:ascii="Times New Roman" w:hAnsi="Times New Roman"/>
                <w:color w:val="000000"/>
              </w:rPr>
            </w:pPr>
            <w:r>
              <w:rPr>
                <w:rFonts w:ascii="Times New Roman" w:hAnsi="Times New Roman"/>
                <w:color w:val="000000"/>
              </w:rPr>
              <w:t>1</w:t>
            </w:r>
            <w:r w:rsidR="00305A16">
              <w:rPr>
                <w:rFonts w:ascii="Times New Roman" w:hAnsi="Times New Roman"/>
                <w:color w:val="000000"/>
              </w:rPr>
              <w:t>.0</w:t>
            </w:r>
          </w:p>
        </w:tc>
        <w:tc>
          <w:tcPr>
            <w:tcW w:w="1771" w:type="dxa"/>
            <w:tcBorders>
              <w:top w:val="nil"/>
            </w:tcBorders>
            <w:vAlign w:val="bottom"/>
          </w:tcPr>
          <w:p w:rsidR="00F71372" w:rsidRPr="00F82A90" w:rsidRDefault="00B97FCE" w:rsidP="00B97FCE">
            <w:pPr>
              <w:tabs>
                <w:tab w:val="left" w:pos="-1080"/>
                <w:tab w:val="left" w:pos="-90"/>
                <w:tab w:val="left" w:pos="1440"/>
                <w:tab w:val="left" w:pos="1980"/>
                <w:tab w:val="left" w:pos="3960"/>
                <w:tab w:val="left" w:pos="5760"/>
                <w:tab w:val="left" w:pos="7920"/>
              </w:tabs>
              <w:jc w:val="center"/>
              <w:rPr>
                <w:rFonts w:ascii="Times New Roman" w:hAnsi="Times New Roman"/>
                <w:color w:val="000000"/>
                <w:u w:val="single"/>
              </w:rPr>
            </w:pPr>
            <w:r>
              <w:rPr>
                <w:rFonts w:ascii="Times New Roman" w:hAnsi="Times New Roman"/>
                <w:color w:val="000000"/>
                <w:u w:val="single"/>
              </w:rPr>
              <w:t>18</w:t>
            </w:r>
            <w:r w:rsidR="001D57DC">
              <w:rPr>
                <w:rFonts w:ascii="Times New Roman" w:hAnsi="Times New Roman"/>
                <w:color w:val="000000"/>
                <w:u w:val="single"/>
              </w:rPr>
              <w:t>,</w:t>
            </w:r>
            <w:r>
              <w:rPr>
                <w:rFonts w:ascii="Times New Roman" w:hAnsi="Times New Roman"/>
                <w:color w:val="000000"/>
                <w:u w:val="single"/>
              </w:rPr>
              <w:t>204</w:t>
            </w:r>
          </w:p>
        </w:tc>
      </w:tr>
      <w:tr w:rsidR="00F71372">
        <w:trPr>
          <w:trHeight w:val="564"/>
          <w:jc w:val="center"/>
        </w:trPr>
        <w:tc>
          <w:tcPr>
            <w:tcW w:w="2664" w:type="dxa"/>
            <w:vAlign w:val="center"/>
          </w:tcPr>
          <w:p w:rsidR="00F71372" w:rsidRPr="00F82A90" w:rsidRDefault="00F71372" w:rsidP="00420227">
            <w:pPr>
              <w:pStyle w:val="Heading7"/>
              <w:tabs>
                <w:tab w:val="left" w:pos="-1080"/>
                <w:tab w:val="left" w:pos="-90"/>
                <w:tab w:val="left" w:pos="1440"/>
                <w:tab w:val="left" w:pos="1980"/>
                <w:tab w:val="left" w:pos="3960"/>
                <w:tab w:val="left" w:pos="5760"/>
                <w:tab w:val="left" w:pos="7920"/>
              </w:tabs>
              <w:jc w:val="right"/>
              <w:rPr>
                <w:b w:val="0"/>
                <w:i/>
              </w:rPr>
            </w:pPr>
            <w:r w:rsidRPr="00F82A90">
              <w:rPr>
                <w:b w:val="0"/>
                <w:i/>
              </w:rPr>
              <w:t>Total</w:t>
            </w:r>
          </w:p>
        </w:tc>
        <w:tc>
          <w:tcPr>
            <w:tcW w:w="1771" w:type="dxa"/>
            <w:vAlign w:val="center"/>
          </w:tcPr>
          <w:p w:rsidR="00F71372" w:rsidRDefault="00B97FCE" w:rsidP="00B97FCE">
            <w:pPr>
              <w:tabs>
                <w:tab w:val="left" w:pos="-1080"/>
                <w:tab w:val="left" w:pos="-90"/>
                <w:tab w:val="left" w:pos="1440"/>
                <w:tab w:val="left" w:pos="1980"/>
                <w:tab w:val="left" w:pos="3960"/>
                <w:tab w:val="left" w:pos="5760"/>
                <w:tab w:val="left" w:pos="7920"/>
              </w:tabs>
              <w:jc w:val="center"/>
              <w:rPr>
                <w:rFonts w:ascii="Times New Roman" w:hAnsi="Times New Roman"/>
                <w:color w:val="000000"/>
              </w:rPr>
            </w:pPr>
            <w:r>
              <w:rPr>
                <w:rFonts w:ascii="Times New Roman" w:hAnsi="Times New Roman"/>
                <w:color w:val="000000"/>
              </w:rPr>
              <w:t>5</w:t>
            </w:r>
            <w:r w:rsidR="001D57DC">
              <w:rPr>
                <w:rFonts w:ascii="Times New Roman" w:hAnsi="Times New Roman"/>
                <w:color w:val="000000"/>
              </w:rPr>
              <w:t>,</w:t>
            </w:r>
            <w:r>
              <w:rPr>
                <w:rFonts w:ascii="Times New Roman" w:hAnsi="Times New Roman"/>
                <w:color w:val="000000"/>
              </w:rPr>
              <w:t>554</w:t>
            </w:r>
          </w:p>
        </w:tc>
        <w:tc>
          <w:tcPr>
            <w:tcW w:w="1440" w:type="dxa"/>
            <w:vAlign w:val="center"/>
          </w:tcPr>
          <w:p w:rsidR="00F71372" w:rsidRDefault="00F71372" w:rsidP="00420227">
            <w:pPr>
              <w:tabs>
                <w:tab w:val="left" w:pos="-1080"/>
                <w:tab w:val="left" w:pos="-90"/>
                <w:tab w:val="left" w:pos="1440"/>
                <w:tab w:val="left" w:pos="1980"/>
                <w:tab w:val="left" w:pos="3960"/>
                <w:tab w:val="left" w:pos="5760"/>
                <w:tab w:val="left" w:pos="7920"/>
              </w:tabs>
              <w:jc w:val="center"/>
              <w:rPr>
                <w:rFonts w:ascii="Times New Roman" w:hAnsi="Times New Roman"/>
                <w:color w:val="000000"/>
              </w:rPr>
            </w:pPr>
          </w:p>
        </w:tc>
        <w:tc>
          <w:tcPr>
            <w:tcW w:w="1771" w:type="dxa"/>
            <w:vAlign w:val="center"/>
          </w:tcPr>
          <w:p w:rsidR="00F71372" w:rsidRDefault="00F71372" w:rsidP="00420227">
            <w:pPr>
              <w:tabs>
                <w:tab w:val="left" w:pos="-1080"/>
                <w:tab w:val="left" w:pos="-90"/>
                <w:tab w:val="left" w:pos="1440"/>
                <w:tab w:val="left" w:pos="1980"/>
                <w:tab w:val="left" w:pos="3960"/>
                <w:tab w:val="left" w:pos="5760"/>
                <w:tab w:val="left" w:pos="7920"/>
              </w:tabs>
              <w:jc w:val="center"/>
              <w:rPr>
                <w:rFonts w:ascii="Times New Roman" w:hAnsi="Times New Roman"/>
                <w:color w:val="000000"/>
              </w:rPr>
            </w:pPr>
          </w:p>
        </w:tc>
        <w:tc>
          <w:tcPr>
            <w:tcW w:w="1771" w:type="dxa"/>
            <w:vAlign w:val="center"/>
          </w:tcPr>
          <w:p w:rsidR="00F71372" w:rsidRDefault="00B97FCE" w:rsidP="00B97FCE">
            <w:pPr>
              <w:tabs>
                <w:tab w:val="left" w:pos="-1080"/>
                <w:tab w:val="left" w:pos="-90"/>
                <w:tab w:val="left" w:pos="1440"/>
                <w:tab w:val="left" w:pos="1980"/>
                <w:tab w:val="left" w:pos="3960"/>
                <w:tab w:val="left" w:pos="5760"/>
                <w:tab w:val="left" w:pos="7920"/>
              </w:tabs>
              <w:jc w:val="center"/>
              <w:rPr>
                <w:rFonts w:ascii="Times New Roman" w:hAnsi="Times New Roman"/>
                <w:color w:val="000000"/>
              </w:rPr>
            </w:pPr>
            <w:r>
              <w:rPr>
                <w:rFonts w:ascii="Times New Roman" w:hAnsi="Times New Roman"/>
                <w:color w:val="000000"/>
              </w:rPr>
              <w:t>49</w:t>
            </w:r>
            <w:r w:rsidR="001D57DC">
              <w:rPr>
                <w:rFonts w:ascii="Times New Roman" w:hAnsi="Times New Roman"/>
                <w:color w:val="000000"/>
              </w:rPr>
              <w:t>,</w:t>
            </w:r>
            <w:r>
              <w:rPr>
                <w:rFonts w:ascii="Times New Roman" w:hAnsi="Times New Roman"/>
                <w:color w:val="000000"/>
              </w:rPr>
              <w:t>498</w:t>
            </w:r>
          </w:p>
        </w:tc>
      </w:tr>
    </w:tbl>
    <w:p w:rsidR="00A50167" w:rsidRDefault="00A50167" w:rsidP="003044B6">
      <w:pPr>
        <w:autoSpaceDE w:val="0"/>
        <w:autoSpaceDN w:val="0"/>
        <w:adjustRightInd w:val="0"/>
        <w:rPr>
          <w:rFonts w:ascii="Times New Roman" w:hAnsi="Times New Roman"/>
        </w:rPr>
      </w:pPr>
    </w:p>
    <w:p w:rsidR="003044B6" w:rsidRDefault="003044B6" w:rsidP="005558C0">
      <w:pPr>
        <w:autoSpaceDE w:val="0"/>
        <w:autoSpaceDN w:val="0"/>
        <w:adjustRightInd w:val="0"/>
        <w:rPr>
          <w:rFonts w:ascii="Times New Roman" w:hAnsi="Times New Roman"/>
        </w:rPr>
      </w:pPr>
      <w:r w:rsidRPr="003044B6">
        <w:rPr>
          <w:rFonts w:ascii="Times New Roman" w:hAnsi="Times New Roman"/>
        </w:rPr>
        <w:t>The total annual cost to the public for</w:t>
      </w:r>
      <w:r w:rsidR="00FF5CE1">
        <w:rPr>
          <w:rFonts w:ascii="Times New Roman" w:hAnsi="Times New Roman"/>
        </w:rPr>
        <w:t xml:space="preserve"> this information collection</w:t>
      </w:r>
      <w:r w:rsidRPr="003044B6">
        <w:rPr>
          <w:rFonts w:ascii="Times New Roman" w:hAnsi="Times New Roman"/>
        </w:rPr>
        <w:t xml:space="preserve"> is </w:t>
      </w:r>
      <w:r w:rsidRPr="003044B6">
        <w:rPr>
          <w:rFonts w:ascii="Times New Roman" w:hAnsi="Times New Roman"/>
          <w:color w:val="000000"/>
          <w:szCs w:val="24"/>
        </w:rPr>
        <w:t xml:space="preserve">estimated to be </w:t>
      </w:r>
      <w:r w:rsidRPr="003044B6">
        <w:rPr>
          <w:rFonts w:ascii="Times New Roman" w:hAnsi="Times New Roman"/>
          <w:szCs w:val="24"/>
        </w:rPr>
        <w:t>$</w:t>
      </w:r>
      <w:r w:rsidR="008F56DA">
        <w:rPr>
          <w:rFonts w:ascii="Times New Roman" w:hAnsi="Times New Roman"/>
          <w:szCs w:val="24"/>
        </w:rPr>
        <w:t>2,148,213</w:t>
      </w:r>
      <w:r w:rsidRPr="003044B6">
        <w:rPr>
          <w:rFonts w:ascii="Times New Roman" w:hAnsi="Times New Roman"/>
          <w:bCs/>
          <w:szCs w:val="24"/>
        </w:rPr>
        <w:t>.</w:t>
      </w:r>
      <w:r w:rsidR="00A50167">
        <w:rPr>
          <w:rStyle w:val="FootnoteReference"/>
          <w:rFonts w:ascii="Times New Roman" w:hAnsi="Times New Roman"/>
          <w:bCs/>
          <w:szCs w:val="24"/>
        </w:rPr>
        <w:footnoteReference w:id="2"/>
      </w:r>
      <w:r w:rsidRPr="003044B6">
        <w:rPr>
          <w:rFonts w:ascii="Times New Roman" w:hAnsi="Times New Roman"/>
        </w:rPr>
        <w:t xml:space="preserve"> </w:t>
      </w:r>
    </w:p>
    <w:p w:rsidR="008672A0" w:rsidRDefault="008672A0" w:rsidP="005558C0">
      <w:pPr>
        <w:autoSpaceDE w:val="0"/>
        <w:autoSpaceDN w:val="0"/>
        <w:adjustRightInd w:val="0"/>
        <w:rPr>
          <w:rFonts w:ascii="Times New Roman" w:hAnsi="Times New Roman"/>
        </w:rPr>
      </w:pPr>
    </w:p>
    <w:p w:rsidR="005558C0" w:rsidRDefault="008672A0" w:rsidP="005558C0">
      <w:pPr>
        <w:tabs>
          <w:tab w:val="left" w:pos="-1080"/>
          <w:tab w:val="left" w:pos="-90"/>
          <w:tab w:val="left" w:pos="1440"/>
          <w:tab w:val="left" w:pos="1980"/>
          <w:tab w:val="left" w:pos="3960"/>
          <w:tab w:val="left" w:pos="5760"/>
          <w:tab w:val="left" w:pos="7920"/>
        </w:tabs>
        <w:rPr>
          <w:rFonts w:ascii="Times New Roman" w:hAnsi="Times New Roman"/>
          <w:b/>
          <w:color w:val="000000"/>
        </w:rPr>
      </w:pPr>
      <w:r w:rsidRPr="007C7623">
        <w:rPr>
          <w:rFonts w:ascii="Times New Roman" w:hAnsi="Times New Roman"/>
          <w:b/>
          <w:color w:val="000000"/>
        </w:rPr>
        <w:t>Estimate of Cost to the Federal Reserve System</w:t>
      </w:r>
      <w:r w:rsidR="00CF2047">
        <w:rPr>
          <w:rFonts w:ascii="Times New Roman" w:hAnsi="Times New Roman"/>
          <w:b/>
          <w:color w:val="000000"/>
        </w:rPr>
        <w:t xml:space="preserve"> </w:t>
      </w:r>
    </w:p>
    <w:p w:rsidR="00DA7225" w:rsidRDefault="00DA7225" w:rsidP="005558C0">
      <w:pPr>
        <w:tabs>
          <w:tab w:val="left" w:pos="-1080"/>
          <w:tab w:val="left" w:pos="-90"/>
          <w:tab w:val="left" w:pos="1440"/>
          <w:tab w:val="left" w:pos="1980"/>
          <w:tab w:val="left" w:pos="3960"/>
          <w:tab w:val="left" w:pos="5760"/>
          <w:tab w:val="left" w:pos="7920"/>
        </w:tabs>
        <w:rPr>
          <w:rFonts w:ascii="Times New Roman" w:hAnsi="Times New Roman"/>
          <w:color w:val="000000"/>
        </w:rPr>
      </w:pPr>
    </w:p>
    <w:p w:rsidR="008672A0" w:rsidRPr="005558C0" w:rsidRDefault="005558C0" w:rsidP="005558C0">
      <w:pPr>
        <w:tabs>
          <w:tab w:val="left" w:pos="-1080"/>
          <w:tab w:val="left" w:pos="-90"/>
          <w:tab w:val="left" w:pos="720"/>
          <w:tab w:val="left" w:pos="1980"/>
          <w:tab w:val="left" w:pos="3960"/>
          <w:tab w:val="left" w:pos="5760"/>
          <w:tab w:val="left" w:pos="7920"/>
        </w:tabs>
        <w:rPr>
          <w:rFonts w:ascii="Times New Roman" w:hAnsi="Times New Roman"/>
        </w:rPr>
      </w:pPr>
      <w:r>
        <w:rPr>
          <w:rFonts w:ascii="Times New Roman" w:hAnsi="Times New Roman"/>
        </w:rPr>
        <w:tab/>
      </w:r>
      <w:r w:rsidR="008672A0" w:rsidRPr="008A0DF5">
        <w:rPr>
          <w:rFonts w:ascii="Times New Roman" w:hAnsi="Times New Roman"/>
        </w:rPr>
        <w:t xml:space="preserve">The cost to the Federal Reserve System for collecting and processing </w:t>
      </w:r>
      <w:r w:rsidR="008672A0" w:rsidRPr="005D3B24">
        <w:rPr>
          <w:rFonts w:ascii="Times New Roman" w:hAnsi="Times New Roman"/>
        </w:rPr>
        <w:t>the FR</w:t>
      </w:r>
      <w:r w:rsidR="008F56DA">
        <w:rPr>
          <w:rFonts w:ascii="Times New Roman" w:hAnsi="Times New Roman"/>
        </w:rPr>
        <w:t xml:space="preserve"> </w:t>
      </w:r>
      <w:r w:rsidR="008672A0" w:rsidRPr="005D3B24">
        <w:rPr>
          <w:rFonts w:ascii="Times New Roman" w:hAnsi="Times New Roman"/>
        </w:rPr>
        <w:t>Y-</w:t>
      </w:r>
      <w:r w:rsidR="008672A0">
        <w:rPr>
          <w:rFonts w:ascii="Times New Roman" w:hAnsi="Times New Roman"/>
        </w:rPr>
        <w:t xml:space="preserve">8 </w:t>
      </w:r>
      <w:r w:rsidR="009602B9" w:rsidRPr="009602B9">
        <w:rPr>
          <w:rFonts w:ascii="Times New Roman" w:hAnsi="Times New Roman"/>
        </w:rPr>
        <w:t>is estimated to be</w:t>
      </w:r>
      <w:r w:rsidR="00DA7225">
        <w:rPr>
          <w:rFonts w:ascii="Times New Roman" w:hAnsi="Times New Roman"/>
        </w:rPr>
        <w:t xml:space="preserve"> $349,183</w:t>
      </w:r>
      <w:r w:rsidR="008672A0" w:rsidRPr="005D3B24">
        <w:rPr>
          <w:rFonts w:ascii="Times New Roman" w:hAnsi="Times New Roman"/>
          <w:szCs w:val="24"/>
        </w:rPr>
        <w:t xml:space="preserve">. </w:t>
      </w:r>
      <w:r w:rsidR="008672A0">
        <w:rPr>
          <w:rFonts w:ascii="Times New Roman" w:hAnsi="Times New Roman"/>
          <w:szCs w:val="24"/>
        </w:rPr>
        <w:t xml:space="preserve"> </w:t>
      </w:r>
    </w:p>
    <w:p w:rsidR="008672A0" w:rsidRPr="003044B6" w:rsidRDefault="008672A0" w:rsidP="005558C0">
      <w:pPr>
        <w:autoSpaceDE w:val="0"/>
        <w:autoSpaceDN w:val="0"/>
        <w:adjustRightInd w:val="0"/>
        <w:rPr>
          <w:rFonts w:ascii="Times New Roman" w:hAnsi="Times New Roman"/>
        </w:rPr>
      </w:pPr>
    </w:p>
    <w:p w:rsidR="00DE578D" w:rsidRDefault="00DE578D" w:rsidP="005558C0">
      <w:pPr>
        <w:tabs>
          <w:tab w:val="left" w:pos="-1080"/>
          <w:tab w:val="left" w:pos="-90"/>
          <w:tab w:val="left" w:pos="1440"/>
          <w:tab w:val="left" w:pos="1980"/>
          <w:tab w:val="left" w:pos="3960"/>
          <w:tab w:val="left" w:pos="5760"/>
          <w:tab w:val="left" w:pos="7920"/>
        </w:tabs>
        <w:rPr>
          <w:rFonts w:ascii="Times New Roman" w:hAnsi="Times New Roman"/>
          <w:b/>
          <w:color w:val="000000"/>
        </w:rPr>
      </w:pPr>
    </w:p>
    <w:p w:rsidR="00DE578D" w:rsidRDefault="00DE578D">
      <w:pPr>
        <w:pStyle w:val="BodyText2"/>
        <w:rPr>
          <w:b w:val="0"/>
        </w:rPr>
      </w:pPr>
    </w:p>
    <w:sectPr w:rsidR="00DE578D" w:rsidSect="004C01F6">
      <w:headerReference w:type="default" r:id="rId7"/>
      <w:footerReference w:type="even" r:id="rId8"/>
      <w:footerReference w:type="default" r:id="rId9"/>
      <w:endnotePr>
        <w:numFmt w:val="decimal"/>
      </w:endnotePr>
      <w:pgSz w:w="12240" w:h="15840"/>
      <w:pgMar w:top="144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ED1" w:rsidRDefault="004C7ED1" w:rsidP="001E06CD">
      <w:r>
        <w:separator/>
      </w:r>
    </w:p>
  </w:endnote>
  <w:endnote w:type="continuationSeparator" w:id="0">
    <w:p w:rsidR="004C7ED1" w:rsidRDefault="004C7ED1" w:rsidP="001E06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62F" w:rsidRDefault="006F64F3" w:rsidP="00402842">
    <w:pPr>
      <w:pStyle w:val="Footer"/>
      <w:framePr w:wrap="around" w:vAnchor="text" w:hAnchor="margin" w:xAlign="center" w:y="1"/>
      <w:rPr>
        <w:rStyle w:val="PageNumber"/>
      </w:rPr>
    </w:pPr>
    <w:r>
      <w:rPr>
        <w:rStyle w:val="PageNumber"/>
      </w:rPr>
      <w:fldChar w:fldCharType="begin"/>
    </w:r>
    <w:r w:rsidR="0030562F">
      <w:rPr>
        <w:rStyle w:val="PageNumber"/>
      </w:rPr>
      <w:instrText xml:space="preserve">PAGE  </w:instrText>
    </w:r>
    <w:r>
      <w:rPr>
        <w:rStyle w:val="PageNumber"/>
      </w:rPr>
      <w:fldChar w:fldCharType="end"/>
    </w:r>
  </w:p>
  <w:p w:rsidR="0030562F" w:rsidRDefault="003056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62F" w:rsidRDefault="0030562F">
    <w:pPr>
      <w:pStyle w:val="MemoHeader"/>
      <w:widowControl w:val="0"/>
      <w:spacing w:line="240" w:lineRule="exact"/>
      <w:rPr>
        <w:rFonts w:ascii="Times New Roman" w:hAnsi="Times New Roman"/>
        <w:i/>
        <w:smallCaps w:val="0"/>
        <w:snapToGrid w:val="0"/>
        <w:sz w:val="22"/>
      </w:rPr>
    </w:pPr>
  </w:p>
  <w:p w:rsidR="0030562F" w:rsidRDefault="0030562F" w:rsidP="00EC7555">
    <w:pPr>
      <w:framePr w:wrap="around" w:vAnchor="text" w:hAnchor="margin" w:xAlign="center" w:y="1"/>
      <w:jc w:val="center"/>
      <w:rPr>
        <w:rFonts w:ascii="Times New Roman" w:hAnsi="Times New Roman"/>
        <w:sz w:val="22"/>
      </w:rPr>
    </w:pPr>
    <w:r>
      <w:rPr>
        <w:rFonts w:ascii="Times New Roman" w:hAnsi="Times New Roman"/>
        <w:sz w:val="22"/>
      </w:rPr>
      <w:t>-</w:t>
    </w:r>
    <w:r w:rsidR="006F64F3">
      <w:rPr>
        <w:rFonts w:ascii="Times New Roman" w:hAnsi="Times New Roman"/>
        <w:sz w:val="22"/>
      </w:rPr>
      <w:fldChar w:fldCharType="begin"/>
    </w:r>
    <w:r>
      <w:rPr>
        <w:rFonts w:ascii="Times New Roman" w:hAnsi="Times New Roman"/>
        <w:sz w:val="22"/>
      </w:rPr>
      <w:instrText xml:space="preserve">PAGE </w:instrText>
    </w:r>
    <w:r w:rsidR="006F64F3">
      <w:rPr>
        <w:rFonts w:ascii="Times New Roman" w:hAnsi="Times New Roman"/>
        <w:sz w:val="22"/>
      </w:rPr>
      <w:fldChar w:fldCharType="separate"/>
    </w:r>
    <w:r w:rsidR="0035105C">
      <w:rPr>
        <w:rFonts w:ascii="Times New Roman" w:hAnsi="Times New Roman"/>
        <w:noProof/>
        <w:sz w:val="22"/>
      </w:rPr>
      <w:t>4</w:t>
    </w:r>
    <w:r w:rsidR="006F64F3">
      <w:rPr>
        <w:rFonts w:ascii="Times New Roman" w:hAnsi="Times New Roman"/>
        <w:sz w:val="22"/>
      </w:rPr>
      <w:fldChar w:fldCharType="end"/>
    </w:r>
    <w:r>
      <w:rPr>
        <w:rFonts w:ascii="Times New Roman" w:hAnsi="Times New Roman"/>
        <w:sz w:val="22"/>
      </w:rPr>
      <w:t>-</w:t>
    </w:r>
  </w:p>
  <w:p w:rsidR="0030562F" w:rsidRDefault="0030562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ED1" w:rsidRDefault="004C7ED1" w:rsidP="001E06CD">
      <w:r>
        <w:separator/>
      </w:r>
    </w:p>
  </w:footnote>
  <w:footnote w:type="continuationSeparator" w:id="0">
    <w:p w:rsidR="004C7ED1" w:rsidRDefault="004C7ED1" w:rsidP="001E06CD">
      <w:r>
        <w:continuationSeparator/>
      </w:r>
    </w:p>
  </w:footnote>
  <w:footnote w:id="1">
    <w:p w:rsidR="0030562F" w:rsidRPr="004506DB" w:rsidRDefault="0030562F">
      <w:pPr>
        <w:pStyle w:val="FootnoteText"/>
        <w:rPr>
          <w:rFonts w:ascii="Times New Roman" w:hAnsi="Times New Roman"/>
        </w:rPr>
      </w:pPr>
      <w:r w:rsidRPr="004506DB">
        <w:rPr>
          <w:rStyle w:val="FootnoteReference"/>
          <w:rFonts w:ascii="Times New Roman" w:hAnsi="Times New Roman"/>
        </w:rPr>
        <w:footnoteRef/>
      </w:r>
      <w:r w:rsidRPr="004506DB">
        <w:rPr>
          <w:rFonts w:ascii="Times New Roman" w:hAnsi="Times New Roman"/>
        </w:rPr>
        <w:t xml:space="preserve"> For purposes of this </w:t>
      </w:r>
      <w:r>
        <w:rPr>
          <w:rFonts w:ascii="Times New Roman" w:hAnsi="Times New Roman"/>
        </w:rPr>
        <w:t>burden table</w:t>
      </w:r>
      <w:r w:rsidRPr="004506DB">
        <w:rPr>
          <w:rFonts w:ascii="Times New Roman" w:hAnsi="Times New Roman"/>
        </w:rPr>
        <w:t xml:space="preserve">, </w:t>
      </w:r>
      <w:r>
        <w:rPr>
          <w:rFonts w:ascii="Times New Roman" w:hAnsi="Times New Roman"/>
        </w:rPr>
        <w:t xml:space="preserve">the number of </w:t>
      </w:r>
      <w:r w:rsidRPr="004506DB">
        <w:rPr>
          <w:rFonts w:ascii="Times New Roman" w:hAnsi="Times New Roman"/>
        </w:rPr>
        <w:t>respondents represent</w:t>
      </w:r>
      <w:r>
        <w:rPr>
          <w:rFonts w:ascii="Times New Roman" w:hAnsi="Times New Roman"/>
        </w:rPr>
        <w:t>s</w:t>
      </w:r>
      <w:r w:rsidRPr="004506DB">
        <w:rPr>
          <w:rFonts w:ascii="Times New Roman" w:hAnsi="Times New Roman"/>
        </w:rPr>
        <w:t xml:space="preserve"> the number of FR Y-8 reporting forms filed.</w:t>
      </w:r>
    </w:p>
  </w:footnote>
  <w:footnote w:id="2">
    <w:p w:rsidR="0030562F" w:rsidRPr="00A50167" w:rsidRDefault="0030562F">
      <w:pPr>
        <w:pStyle w:val="FootnoteText"/>
        <w:rPr>
          <w:rFonts w:ascii="Times New Roman" w:hAnsi="Times New Roman"/>
        </w:rPr>
      </w:pPr>
      <w:r w:rsidRPr="00A50167">
        <w:rPr>
          <w:rStyle w:val="FootnoteReference"/>
          <w:rFonts w:ascii="Times New Roman" w:hAnsi="Times New Roman"/>
        </w:rPr>
        <w:footnoteRef/>
      </w:r>
      <w:r w:rsidRPr="00A50167">
        <w:rPr>
          <w:rFonts w:ascii="Times New Roman" w:hAnsi="Times New Roman"/>
        </w:rPr>
        <w:t xml:space="preserve"> </w:t>
      </w:r>
      <w:r w:rsidRPr="008F56DA">
        <w:rPr>
          <w:rFonts w:ascii="Times New Roman" w:hAnsi="Times New Roman"/>
        </w:rPr>
        <w:t xml:space="preserve">Total cost to the public was estimated using the following formula: percent of staff time, multiplied by annual burden hours, multiplied by hourly rate (30% Office &amp; Administrative Support @ $16, 45% Financial Managers @ $50, 15% Legal Counsel @ $54, and 10% Chief Executives @ $80).  Hourly rate for each occupational group are the median hourly wages (rounded up) from the Bureau of Labor and Statistics (BLS), Occupational Employment and Wages 2010, www.bls.gov/news.release/ocwage.nr0.htm  Occupations are defined using the BLS Occupational Classification System,  www.bls.gov/soc/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62F" w:rsidRPr="00596088" w:rsidRDefault="0030562F" w:rsidP="000A6153">
    <w:pPr>
      <w:pStyle w:val="Header"/>
      <w:rPr>
        <w:rFonts w:ascii="Times New Roman" w:hAnsi="Times New Roman"/>
        <w:b/>
      </w:rPr>
    </w:pPr>
    <w:r>
      <w:rPr>
        <w:rFonts w:ascii="Times New Roman" w:hAnsi="Times New Roman"/>
        <w:b/>
      </w:rPr>
      <w:tab/>
    </w:r>
    <w:r>
      <w:rPr>
        <w:rFonts w:ascii="Times New Roman" w:hAnsi="Times New Roman"/>
        <w:b/>
      </w:rPr>
      <w:tab/>
    </w:r>
  </w:p>
  <w:p w:rsidR="0030562F" w:rsidRDefault="003056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rsids>
    <w:rsidRoot w:val="002A6CE1"/>
    <w:rsid w:val="000243F6"/>
    <w:rsid w:val="00057795"/>
    <w:rsid w:val="00065D52"/>
    <w:rsid w:val="000975EB"/>
    <w:rsid w:val="000A6153"/>
    <w:rsid w:val="000D4B7E"/>
    <w:rsid w:val="000E0EDA"/>
    <w:rsid w:val="000F4832"/>
    <w:rsid w:val="00113FF6"/>
    <w:rsid w:val="001253C4"/>
    <w:rsid w:val="00133223"/>
    <w:rsid w:val="001342FD"/>
    <w:rsid w:val="00141843"/>
    <w:rsid w:val="00143EA5"/>
    <w:rsid w:val="00167E2F"/>
    <w:rsid w:val="001845D6"/>
    <w:rsid w:val="0019001C"/>
    <w:rsid w:val="001979F2"/>
    <w:rsid w:val="001A53BD"/>
    <w:rsid w:val="001B3C10"/>
    <w:rsid w:val="001D57DC"/>
    <w:rsid w:val="001E06CD"/>
    <w:rsid w:val="001E3B0E"/>
    <w:rsid w:val="001E5B97"/>
    <w:rsid w:val="00205546"/>
    <w:rsid w:val="00221570"/>
    <w:rsid w:val="00222FD0"/>
    <w:rsid w:val="0025238A"/>
    <w:rsid w:val="00266637"/>
    <w:rsid w:val="0027546F"/>
    <w:rsid w:val="002926D7"/>
    <w:rsid w:val="0029384F"/>
    <w:rsid w:val="002A5D7A"/>
    <w:rsid w:val="002A6CE1"/>
    <w:rsid w:val="002C0DF4"/>
    <w:rsid w:val="002D339D"/>
    <w:rsid w:val="002D7FF0"/>
    <w:rsid w:val="00302546"/>
    <w:rsid w:val="00303FB6"/>
    <w:rsid w:val="003044B6"/>
    <w:rsid w:val="00304DB4"/>
    <w:rsid w:val="0030562F"/>
    <w:rsid w:val="00305A16"/>
    <w:rsid w:val="003161FF"/>
    <w:rsid w:val="003234B1"/>
    <w:rsid w:val="003271BD"/>
    <w:rsid w:val="0033214F"/>
    <w:rsid w:val="003328C6"/>
    <w:rsid w:val="0033375C"/>
    <w:rsid w:val="00333775"/>
    <w:rsid w:val="003418E0"/>
    <w:rsid w:val="0035105C"/>
    <w:rsid w:val="003656A3"/>
    <w:rsid w:val="003841AA"/>
    <w:rsid w:val="003950C3"/>
    <w:rsid w:val="003B084F"/>
    <w:rsid w:val="003B1EDB"/>
    <w:rsid w:val="003B6F6F"/>
    <w:rsid w:val="003E0686"/>
    <w:rsid w:val="003E1402"/>
    <w:rsid w:val="003F63D2"/>
    <w:rsid w:val="00400395"/>
    <w:rsid w:val="00402842"/>
    <w:rsid w:val="004119B1"/>
    <w:rsid w:val="00420227"/>
    <w:rsid w:val="00420C6F"/>
    <w:rsid w:val="00423BFC"/>
    <w:rsid w:val="00423C91"/>
    <w:rsid w:val="004506DB"/>
    <w:rsid w:val="00464F42"/>
    <w:rsid w:val="00465309"/>
    <w:rsid w:val="00480416"/>
    <w:rsid w:val="00486AD2"/>
    <w:rsid w:val="00497591"/>
    <w:rsid w:val="004A5511"/>
    <w:rsid w:val="004B5589"/>
    <w:rsid w:val="004B7C09"/>
    <w:rsid w:val="004C01F6"/>
    <w:rsid w:val="004C7ED1"/>
    <w:rsid w:val="004C7F53"/>
    <w:rsid w:val="004E0C27"/>
    <w:rsid w:val="004E5B58"/>
    <w:rsid w:val="00542CD5"/>
    <w:rsid w:val="005558C0"/>
    <w:rsid w:val="005634E9"/>
    <w:rsid w:val="0056408C"/>
    <w:rsid w:val="00565086"/>
    <w:rsid w:val="00583B6F"/>
    <w:rsid w:val="00596088"/>
    <w:rsid w:val="00596A5E"/>
    <w:rsid w:val="005A28EA"/>
    <w:rsid w:val="005B56DF"/>
    <w:rsid w:val="005D57A4"/>
    <w:rsid w:val="005F6301"/>
    <w:rsid w:val="00605E06"/>
    <w:rsid w:val="00610099"/>
    <w:rsid w:val="00616969"/>
    <w:rsid w:val="00623494"/>
    <w:rsid w:val="006236CF"/>
    <w:rsid w:val="00625F05"/>
    <w:rsid w:val="006425A3"/>
    <w:rsid w:val="006441DB"/>
    <w:rsid w:val="006615D7"/>
    <w:rsid w:val="006703B1"/>
    <w:rsid w:val="00673395"/>
    <w:rsid w:val="006924E9"/>
    <w:rsid w:val="0069437C"/>
    <w:rsid w:val="006A0759"/>
    <w:rsid w:val="006A3B1F"/>
    <w:rsid w:val="006B53F5"/>
    <w:rsid w:val="006C2801"/>
    <w:rsid w:val="006D613D"/>
    <w:rsid w:val="006E3DA9"/>
    <w:rsid w:val="006F3148"/>
    <w:rsid w:val="006F3E74"/>
    <w:rsid w:val="006F64F3"/>
    <w:rsid w:val="00707145"/>
    <w:rsid w:val="0070736F"/>
    <w:rsid w:val="007108D4"/>
    <w:rsid w:val="00741FB2"/>
    <w:rsid w:val="00745E60"/>
    <w:rsid w:val="00755CEB"/>
    <w:rsid w:val="0077472B"/>
    <w:rsid w:val="00776E76"/>
    <w:rsid w:val="007818BF"/>
    <w:rsid w:val="0078221D"/>
    <w:rsid w:val="00783B25"/>
    <w:rsid w:val="007A284F"/>
    <w:rsid w:val="007A2D05"/>
    <w:rsid w:val="007A31D2"/>
    <w:rsid w:val="007A5CA7"/>
    <w:rsid w:val="007A625D"/>
    <w:rsid w:val="007C0F94"/>
    <w:rsid w:val="007C212B"/>
    <w:rsid w:val="007C7623"/>
    <w:rsid w:val="007C7674"/>
    <w:rsid w:val="007D2A2E"/>
    <w:rsid w:val="007D2D61"/>
    <w:rsid w:val="007E13F2"/>
    <w:rsid w:val="007F266C"/>
    <w:rsid w:val="00806FAE"/>
    <w:rsid w:val="00811276"/>
    <w:rsid w:val="00821C2F"/>
    <w:rsid w:val="00836370"/>
    <w:rsid w:val="00840C56"/>
    <w:rsid w:val="00842E50"/>
    <w:rsid w:val="0085712F"/>
    <w:rsid w:val="008672A0"/>
    <w:rsid w:val="0089003B"/>
    <w:rsid w:val="00893F36"/>
    <w:rsid w:val="00897335"/>
    <w:rsid w:val="008B1165"/>
    <w:rsid w:val="008B72A3"/>
    <w:rsid w:val="008C2314"/>
    <w:rsid w:val="008D0A3C"/>
    <w:rsid w:val="008F3AA6"/>
    <w:rsid w:val="008F56DA"/>
    <w:rsid w:val="00917D36"/>
    <w:rsid w:val="00935A4C"/>
    <w:rsid w:val="009470C8"/>
    <w:rsid w:val="009602B9"/>
    <w:rsid w:val="0096485D"/>
    <w:rsid w:val="00980FAD"/>
    <w:rsid w:val="00981E4B"/>
    <w:rsid w:val="009B3A98"/>
    <w:rsid w:val="009D2681"/>
    <w:rsid w:val="009D3B9A"/>
    <w:rsid w:val="009F0AE8"/>
    <w:rsid w:val="00A01095"/>
    <w:rsid w:val="00A131FB"/>
    <w:rsid w:val="00A25988"/>
    <w:rsid w:val="00A30AF7"/>
    <w:rsid w:val="00A3240B"/>
    <w:rsid w:val="00A4594E"/>
    <w:rsid w:val="00A4620F"/>
    <w:rsid w:val="00A50167"/>
    <w:rsid w:val="00A525DC"/>
    <w:rsid w:val="00A6064F"/>
    <w:rsid w:val="00A81CD6"/>
    <w:rsid w:val="00A9378D"/>
    <w:rsid w:val="00AA754C"/>
    <w:rsid w:val="00AC1356"/>
    <w:rsid w:val="00AC7846"/>
    <w:rsid w:val="00AC7C39"/>
    <w:rsid w:val="00AC7F26"/>
    <w:rsid w:val="00AD0AE1"/>
    <w:rsid w:val="00AD3A9F"/>
    <w:rsid w:val="00AF5812"/>
    <w:rsid w:val="00B1022C"/>
    <w:rsid w:val="00B468E8"/>
    <w:rsid w:val="00B51162"/>
    <w:rsid w:val="00B54CCD"/>
    <w:rsid w:val="00B746C1"/>
    <w:rsid w:val="00B767BB"/>
    <w:rsid w:val="00B826F4"/>
    <w:rsid w:val="00B96043"/>
    <w:rsid w:val="00B97FCE"/>
    <w:rsid w:val="00BA5260"/>
    <w:rsid w:val="00BA7730"/>
    <w:rsid w:val="00BB2879"/>
    <w:rsid w:val="00BB6AB0"/>
    <w:rsid w:val="00BC040B"/>
    <w:rsid w:val="00BC0BBE"/>
    <w:rsid w:val="00BD5E48"/>
    <w:rsid w:val="00BD617C"/>
    <w:rsid w:val="00BF10AD"/>
    <w:rsid w:val="00C05AD7"/>
    <w:rsid w:val="00C17BD1"/>
    <w:rsid w:val="00C22FBA"/>
    <w:rsid w:val="00C2363D"/>
    <w:rsid w:val="00C30352"/>
    <w:rsid w:val="00C4182E"/>
    <w:rsid w:val="00C57CF4"/>
    <w:rsid w:val="00C62B0D"/>
    <w:rsid w:val="00C80469"/>
    <w:rsid w:val="00CA25A7"/>
    <w:rsid w:val="00CA3896"/>
    <w:rsid w:val="00CB1A67"/>
    <w:rsid w:val="00CB7219"/>
    <w:rsid w:val="00CC7462"/>
    <w:rsid w:val="00CE4307"/>
    <w:rsid w:val="00CF2047"/>
    <w:rsid w:val="00CF6F32"/>
    <w:rsid w:val="00D16976"/>
    <w:rsid w:val="00D57317"/>
    <w:rsid w:val="00D749A4"/>
    <w:rsid w:val="00D93C61"/>
    <w:rsid w:val="00D96AF2"/>
    <w:rsid w:val="00DA20E6"/>
    <w:rsid w:val="00DA6705"/>
    <w:rsid w:val="00DA7225"/>
    <w:rsid w:val="00DB5A32"/>
    <w:rsid w:val="00DC63AF"/>
    <w:rsid w:val="00DD0756"/>
    <w:rsid w:val="00DD0D4F"/>
    <w:rsid w:val="00DD4054"/>
    <w:rsid w:val="00DD4BE0"/>
    <w:rsid w:val="00DE16BC"/>
    <w:rsid w:val="00DE578D"/>
    <w:rsid w:val="00DF00B2"/>
    <w:rsid w:val="00E0642B"/>
    <w:rsid w:val="00E20461"/>
    <w:rsid w:val="00E31417"/>
    <w:rsid w:val="00E32C88"/>
    <w:rsid w:val="00E562AE"/>
    <w:rsid w:val="00E800E3"/>
    <w:rsid w:val="00E93B17"/>
    <w:rsid w:val="00E97D96"/>
    <w:rsid w:val="00EA65AD"/>
    <w:rsid w:val="00EB0F7F"/>
    <w:rsid w:val="00EB6EE0"/>
    <w:rsid w:val="00EC7555"/>
    <w:rsid w:val="00ED32DD"/>
    <w:rsid w:val="00ED6A26"/>
    <w:rsid w:val="00EE19BF"/>
    <w:rsid w:val="00EE6135"/>
    <w:rsid w:val="00F26156"/>
    <w:rsid w:val="00F50D23"/>
    <w:rsid w:val="00F53125"/>
    <w:rsid w:val="00F53803"/>
    <w:rsid w:val="00F70E0F"/>
    <w:rsid w:val="00F71372"/>
    <w:rsid w:val="00F72435"/>
    <w:rsid w:val="00F75F73"/>
    <w:rsid w:val="00F82A90"/>
    <w:rsid w:val="00F8368D"/>
    <w:rsid w:val="00F837A6"/>
    <w:rsid w:val="00F87E5C"/>
    <w:rsid w:val="00FA6F4B"/>
    <w:rsid w:val="00FB605D"/>
    <w:rsid w:val="00FC1B71"/>
    <w:rsid w:val="00FC5C78"/>
    <w:rsid w:val="00FD3EDC"/>
    <w:rsid w:val="00FE59E3"/>
    <w:rsid w:val="00FF5C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219"/>
    <w:pPr>
      <w:widowControl w:val="0"/>
    </w:pPr>
    <w:rPr>
      <w:rFonts w:ascii="Courier" w:hAnsi="Courier"/>
      <w:snapToGrid w:val="0"/>
      <w:sz w:val="24"/>
    </w:rPr>
  </w:style>
  <w:style w:type="paragraph" w:styleId="Heading1">
    <w:name w:val="heading 1"/>
    <w:basedOn w:val="Normal"/>
    <w:next w:val="Normal"/>
    <w:qFormat/>
    <w:rsid w:val="00E562AE"/>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Times" w:hAnsi="Times"/>
      <w:b/>
    </w:rPr>
  </w:style>
  <w:style w:type="paragraph" w:styleId="Heading2">
    <w:name w:val="heading 2"/>
    <w:basedOn w:val="Normal"/>
    <w:next w:val="Normal"/>
    <w:qFormat/>
    <w:rsid w:val="00E562AE"/>
    <w:pPr>
      <w:keepNext/>
      <w:widowControl/>
      <w:ind w:left="720"/>
      <w:outlineLvl w:val="1"/>
    </w:pPr>
    <w:rPr>
      <w:rFonts w:ascii="Times" w:hAnsi="Times"/>
      <w:b/>
    </w:rPr>
  </w:style>
  <w:style w:type="paragraph" w:styleId="Heading3">
    <w:name w:val="heading 3"/>
    <w:basedOn w:val="Normal"/>
    <w:next w:val="Normal"/>
    <w:qFormat/>
    <w:rsid w:val="00E562AE"/>
    <w:pPr>
      <w:keepNext/>
      <w:widowControl/>
      <w:jc w:val="center"/>
      <w:outlineLvl w:val="2"/>
    </w:pPr>
    <w:rPr>
      <w:rFonts w:ascii="Arial" w:hAnsi="Arial"/>
      <w:b/>
      <w:smallCaps/>
      <w:snapToGrid/>
      <w:sz w:val="20"/>
    </w:rPr>
  </w:style>
  <w:style w:type="paragraph" w:styleId="Heading4">
    <w:name w:val="heading 4"/>
    <w:basedOn w:val="Normal"/>
    <w:next w:val="Normal"/>
    <w:link w:val="Heading4Char"/>
    <w:uiPriority w:val="9"/>
    <w:qFormat/>
    <w:rsid w:val="00E562AE"/>
    <w:pPr>
      <w:keepNext/>
      <w:jc w:val="center"/>
      <w:outlineLvl w:val="3"/>
    </w:pPr>
    <w:rPr>
      <w:rFonts w:ascii="Times New Roman" w:hAnsi="Times New Roman"/>
      <w:i/>
      <w:color w:val="000000"/>
    </w:rPr>
  </w:style>
  <w:style w:type="paragraph" w:styleId="Heading5">
    <w:name w:val="heading 5"/>
    <w:basedOn w:val="Normal"/>
    <w:next w:val="Normal"/>
    <w:qFormat/>
    <w:rsid w:val="00E562AE"/>
    <w:pPr>
      <w:keepNext/>
      <w:jc w:val="center"/>
      <w:outlineLvl w:val="4"/>
    </w:pPr>
    <w:rPr>
      <w:rFonts w:ascii="Times New Roman" w:hAnsi="Times New Roman"/>
      <w:b/>
      <w:i/>
    </w:rPr>
  </w:style>
  <w:style w:type="paragraph" w:styleId="Heading6">
    <w:name w:val="heading 6"/>
    <w:basedOn w:val="Normal"/>
    <w:next w:val="Normal"/>
    <w:qFormat/>
    <w:rsid w:val="00E562AE"/>
    <w:pPr>
      <w:keepNext/>
      <w:jc w:val="center"/>
      <w:outlineLvl w:val="5"/>
    </w:pPr>
    <w:rPr>
      <w:rFonts w:ascii="Times New Roman" w:hAnsi="Times New Roman"/>
      <w:i/>
    </w:rPr>
  </w:style>
  <w:style w:type="paragraph" w:styleId="Heading7">
    <w:name w:val="heading 7"/>
    <w:basedOn w:val="Normal"/>
    <w:next w:val="Normal"/>
    <w:qFormat/>
    <w:rsid w:val="00E562AE"/>
    <w:pPr>
      <w:keepNext/>
      <w:outlineLvl w:val="6"/>
    </w:pPr>
    <w:rPr>
      <w:rFonts w:ascii="Times New Roman" w:hAnsi="Times New Roman"/>
      <w:b/>
      <w:bCs/>
      <w:color w:val="000000"/>
    </w:rPr>
  </w:style>
  <w:style w:type="paragraph" w:styleId="Heading8">
    <w:name w:val="heading 8"/>
    <w:basedOn w:val="Normal"/>
    <w:next w:val="Normal"/>
    <w:qFormat/>
    <w:rsid w:val="00E562AE"/>
    <w:pPr>
      <w:keepNext/>
      <w:widowControl/>
      <w:tabs>
        <w:tab w:val="left" w:pos="720"/>
      </w:tabs>
      <w:outlineLvl w:val="7"/>
    </w:pPr>
    <w:rPr>
      <w:rFonts w:ascii="Times New Roman" w:hAnsi="Times New Roman"/>
      <w:b/>
      <w:u w:val="single"/>
    </w:rPr>
  </w:style>
  <w:style w:type="paragraph" w:styleId="Heading9">
    <w:name w:val="heading 9"/>
    <w:basedOn w:val="Normal"/>
    <w:next w:val="Normal"/>
    <w:qFormat/>
    <w:rsid w:val="00E562AE"/>
    <w:pPr>
      <w:keepNext/>
      <w:tabs>
        <w:tab w:val="num" w:pos="720"/>
      </w:tabs>
      <w:jc w:val="center"/>
      <w:outlineLvl w:val="8"/>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562AE"/>
    <w:rPr>
      <w:vertAlign w:val="superscript"/>
    </w:rPr>
  </w:style>
  <w:style w:type="paragraph" w:customStyle="1" w:styleId="a">
    <w:name w:val="_"/>
    <w:basedOn w:val="Normal"/>
    <w:rsid w:val="00E562AE"/>
    <w:pPr>
      <w:ind w:left="720" w:hanging="720"/>
    </w:pPr>
  </w:style>
  <w:style w:type="paragraph" w:styleId="BodyTextIndent">
    <w:name w:val="Body Text Indent"/>
    <w:basedOn w:val="Normal"/>
    <w:rsid w:val="00E562AE"/>
    <w:pPr>
      <w:widowControl/>
      <w:ind w:firstLine="720"/>
    </w:pPr>
    <w:rPr>
      <w:rFonts w:ascii="Times" w:hAnsi="Times"/>
    </w:rPr>
  </w:style>
  <w:style w:type="paragraph" w:styleId="BodyTextIndent2">
    <w:name w:val="Body Text Indent 2"/>
    <w:basedOn w:val="Normal"/>
    <w:rsid w:val="00E562AE"/>
    <w:pPr>
      <w:widowControl/>
      <w:tabs>
        <w:tab w:val="left" w:pos="360"/>
      </w:tabs>
      <w:ind w:firstLine="360"/>
    </w:pPr>
    <w:rPr>
      <w:rFonts w:ascii="Times" w:hAnsi="Times"/>
    </w:rPr>
  </w:style>
  <w:style w:type="paragraph" w:styleId="FootnoteText">
    <w:name w:val="footnote text"/>
    <w:basedOn w:val="Normal"/>
    <w:semiHidden/>
    <w:rsid w:val="00E562AE"/>
    <w:rPr>
      <w:sz w:val="20"/>
    </w:rPr>
  </w:style>
  <w:style w:type="paragraph" w:customStyle="1" w:styleId="MemoHeader">
    <w:name w:val="Memo Header"/>
    <w:basedOn w:val="Normal"/>
    <w:next w:val="Normal"/>
    <w:rsid w:val="00E562AE"/>
    <w:pPr>
      <w:widowControl/>
    </w:pPr>
    <w:rPr>
      <w:rFonts w:ascii="Arial" w:hAnsi="Arial"/>
      <w:smallCaps/>
      <w:snapToGrid/>
    </w:rPr>
  </w:style>
  <w:style w:type="paragraph" w:styleId="BodyTextIndent3">
    <w:name w:val="Body Text Indent 3"/>
    <w:basedOn w:val="Normal"/>
    <w:rsid w:val="00E562AE"/>
    <w:pPr>
      <w:ind w:firstLine="720"/>
    </w:pPr>
    <w:rPr>
      <w:rFonts w:ascii="Times New Roman" w:hAnsi="Times New Roman"/>
      <w:b/>
    </w:rPr>
  </w:style>
  <w:style w:type="paragraph" w:styleId="BodyText">
    <w:name w:val="Body Text"/>
    <w:basedOn w:val="Normal"/>
    <w:rsid w:val="00E562AE"/>
    <w:pPr>
      <w:tabs>
        <w:tab w:val="num" w:pos="720"/>
      </w:tabs>
    </w:pPr>
    <w:rPr>
      <w:rFonts w:ascii="Times New Roman" w:hAnsi="Times New Roman"/>
      <w:b/>
    </w:rPr>
  </w:style>
  <w:style w:type="paragraph" w:styleId="Header">
    <w:name w:val="header"/>
    <w:basedOn w:val="Normal"/>
    <w:link w:val="HeaderChar"/>
    <w:uiPriority w:val="99"/>
    <w:rsid w:val="00E562AE"/>
    <w:pPr>
      <w:tabs>
        <w:tab w:val="center" w:pos="4320"/>
        <w:tab w:val="right" w:pos="8640"/>
      </w:tabs>
    </w:pPr>
  </w:style>
  <w:style w:type="paragraph" w:styleId="Footer">
    <w:name w:val="footer"/>
    <w:basedOn w:val="Normal"/>
    <w:rsid w:val="00E562AE"/>
    <w:pPr>
      <w:tabs>
        <w:tab w:val="center" w:pos="4320"/>
        <w:tab w:val="right" w:pos="8640"/>
      </w:tabs>
    </w:pPr>
  </w:style>
  <w:style w:type="paragraph" w:styleId="DocumentMap">
    <w:name w:val="Document Map"/>
    <w:basedOn w:val="Normal"/>
    <w:semiHidden/>
    <w:rsid w:val="00E562AE"/>
    <w:pPr>
      <w:shd w:val="clear" w:color="auto" w:fill="000080"/>
    </w:pPr>
    <w:rPr>
      <w:rFonts w:ascii="Tahoma" w:hAnsi="Tahoma"/>
    </w:rPr>
  </w:style>
  <w:style w:type="paragraph" w:styleId="BodyText3">
    <w:name w:val="Body Text 3"/>
    <w:basedOn w:val="Normal"/>
    <w:rsid w:val="00E562AE"/>
    <w:pPr>
      <w:widowControl/>
      <w:tabs>
        <w:tab w:val="left" w:pos="720"/>
      </w:tabs>
    </w:pPr>
    <w:rPr>
      <w:rFonts w:ascii="Times New Roman" w:hAnsi="Times New Roman"/>
      <w:color w:val="FF0000"/>
    </w:rPr>
  </w:style>
  <w:style w:type="character" w:styleId="Hyperlink">
    <w:name w:val="Hyperlink"/>
    <w:basedOn w:val="DefaultParagraphFont"/>
    <w:rsid w:val="00E562AE"/>
    <w:rPr>
      <w:color w:val="0000FF"/>
      <w:u w:val="single"/>
    </w:rPr>
  </w:style>
  <w:style w:type="paragraph" w:styleId="BodyText2">
    <w:name w:val="Body Text 2"/>
    <w:basedOn w:val="Normal"/>
    <w:rsid w:val="00E562AE"/>
    <w:pPr>
      <w:widowControl/>
      <w:tabs>
        <w:tab w:val="left" w:pos="720"/>
      </w:tabs>
    </w:pPr>
    <w:rPr>
      <w:rFonts w:ascii="Times New Roman" w:hAnsi="Times New Roman"/>
      <w:b/>
      <w:color w:val="000000"/>
    </w:rPr>
  </w:style>
  <w:style w:type="paragraph" w:customStyle="1" w:styleId="Style">
    <w:name w:val="Style"/>
    <w:basedOn w:val="Normal"/>
    <w:rsid w:val="00E562AE"/>
    <w:pPr>
      <w:ind w:left="720" w:hanging="720"/>
    </w:pPr>
    <w:rPr>
      <w:rFonts w:ascii="Courier New" w:hAnsi="Courier New"/>
    </w:rPr>
  </w:style>
  <w:style w:type="paragraph" w:styleId="BalloonText">
    <w:name w:val="Balloon Text"/>
    <w:basedOn w:val="Normal"/>
    <w:semiHidden/>
    <w:rsid w:val="002A6CE1"/>
    <w:rPr>
      <w:rFonts w:ascii="Tahoma" w:hAnsi="Tahoma" w:cs="Tahoma"/>
      <w:sz w:val="16"/>
      <w:szCs w:val="16"/>
    </w:rPr>
  </w:style>
  <w:style w:type="character" w:styleId="CommentReference">
    <w:name w:val="annotation reference"/>
    <w:basedOn w:val="DefaultParagraphFont"/>
    <w:semiHidden/>
    <w:rsid w:val="003B6F6F"/>
    <w:rPr>
      <w:sz w:val="16"/>
      <w:szCs w:val="16"/>
    </w:rPr>
  </w:style>
  <w:style w:type="paragraph" w:styleId="CommentText">
    <w:name w:val="annotation text"/>
    <w:basedOn w:val="Normal"/>
    <w:semiHidden/>
    <w:rsid w:val="003B6F6F"/>
    <w:rPr>
      <w:sz w:val="20"/>
    </w:rPr>
  </w:style>
  <w:style w:type="paragraph" w:styleId="CommentSubject">
    <w:name w:val="annotation subject"/>
    <w:basedOn w:val="CommentText"/>
    <w:next w:val="CommentText"/>
    <w:semiHidden/>
    <w:rsid w:val="003B6F6F"/>
    <w:rPr>
      <w:b/>
      <w:bCs/>
    </w:rPr>
  </w:style>
  <w:style w:type="paragraph" w:customStyle="1" w:styleId="Style0">
    <w:name w:val="Style0"/>
    <w:rsid w:val="004119B1"/>
    <w:rPr>
      <w:rFonts w:ascii="Arial" w:hAnsi="Arial"/>
      <w:snapToGrid w:val="0"/>
      <w:sz w:val="24"/>
    </w:rPr>
  </w:style>
  <w:style w:type="character" w:styleId="PageNumber">
    <w:name w:val="page number"/>
    <w:basedOn w:val="DefaultParagraphFont"/>
    <w:rsid w:val="00EC7555"/>
  </w:style>
  <w:style w:type="paragraph" w:styleId="Title">
    <w:name w:val="Title"/>
    <w:basedOn w:val="Normal"/>
    <w:qFormat/>
    <w:rsid w:val="003B1EDB"/>
    <w:pPr>
      <w:widowControl/>
      <w:jc w:val="center"/>
    </w:pPr>
    <w:rPr>
      <w:rFonts w:ascii="Times New Roman" w:hAnsi="Times New Roman"/>
      <w:b/>
      <w:snapToGrid/>
    </w:rPr>
  </w:style>
  <w:style w:type="character" w:styleId="FollowedHyperlink">
    <w:name w:val="FollowedHyperlink"/>
    <w:basedOn w:val="DefaultParagraphFont"/>
    <w:rsid w:val="00811276"/>
    <w:rPr>
      <w:color w:val="800080"/>
      <w:u w:val="single"/>
    </w:rPr>
  </w:style>
  <w:style w:type="character" w:customStyle="1" w:styleId="Heading4Char">
    <w:name w:val="Heading 4 Char"/>
    <w:basedOn w:val="DefaultParagraphFont"/>
    <w:link w:val="Heading4"/>
    <w:uiPriority w:val="9"/>
    <w:rsid w:val="0030562F"/>
    <w:rPr>
      <w:i/>
      <w:snapToGrid w:val="0"/>
      <w:color w:val="000000"/>
      <w:sz w:val="24"/>
    </w:rPr>
  </w:style>
  <w:style w:type="character" w:customStyle="1" w:styleId="HeaderChar">
    <w:name w:val="Header Char"/>
    <w:basedOn w:val="DefaultParagraphFont"/>
    <w:link w:val="Header"/>
    <w:uiPriority w:val="99"/>
    <w:rsid w:val="00AC7F26"/>
    <w:rPr>
      <w:rFonts w:ascii="Courier" w:hAnsi="Courier"/>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51DF-B083-49E9-93DF-F7658CB90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1268</Words>
  <Characters>7370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INTERNAL FR</vt:lpstr>
    </vt:vector>
  </TitlesOfParts>
  <Company>Federal Reserve Board</Company>
  <LinksUpToDate>false</LinksUpToDate>
  <CharactersWithSpaces>8621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FR</dc:title>
  <dc:subject/>
  <dc:creator>Research &amp; Statistics</dc:creator>
  <cp:keywords/>
  <cp:lastModifiedBy>m1nsp00</cp:lastModifiedBy>
  <cp:revision>2</cp:revision>
  <cp:lastPrinted>2012-02-15T21:57:00Z</cp:lastPrinted>
  <dcterms:created xsi:type="dcterms:W3CDTF">2012-04-23T15:04:00Z</dcterms:created>
  <dcterms:modified xsi:type="dcterms:W3CDTF">2012-04-23T15:04:00Z</dcterms:modified>
</cp:coreProperties>
</file>