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AC" w:rsidRPr="00202188" w:rsidRDefault="00C315AC" w:rsidP="009D4BD9">
      <w:pPr>
        <w:pStyle w:val="CM12"/>
        <w:tabs>
          <w:tab w:val="left" w:pos="8280"/>
        </w:tabs>
        <w:spacing w:line="276" w:lineRule="atLeast"/>
        <w:ind w:right="990"/>
        <w:jc w:val="center"/>
        <w:rPr>
          <w:b/>
          <w:bCs/>
          <w:color w:val="000000"/>
        </w:rPr>
      </w:pPr>
      <w:bookmarkStart w:id="0" w:name="_GoBack"/>
      <w:bookmarkEnd w:id="0"/>
      <w:r w:rsidRPr="00202188">
        <w:rPr>
          <w:b/>
          <w:bCs/>
          <w:color w:val="000000"/>
        </w:rPr>
        <w:t>CONSUMER FINANCIAL PROTECTION BUREAU</w:t>
      </w:r>
    </w:p>
    <w:p w:rsidR="00C315AC" w:rsidRPr="00202188" w:rsidRDefault="00C315AC" w:rsidP="009D4BD9">
      <w:pPr>
        <w:pStyle w:val="CM12"/>
        <w:tabs>
          <w:tab w:val="left" w:pos="8280"/>
          <w:tab w:val="left" w:pos="8460"/>
        </w:tabs>
        <w:spacing w:line="276" w:lineRule="atLeast"/>
        <w:ind w:right="990"/>
        <w:jc w:val="center"/>
        <w:rPr>
          <w:b/>
          <w:bCs/>
          <w:color w:val="000000"/>
        </w:rPr>
      </w:pPr>
      <w:r w:rsidRPr="00202188">
        <w:rPr>
          <w:b/>
          <w:bCs/>
          <w:color w:val="000000"/>
        </w:rPr>
        <w:t>REQUEST FOR EMERGENCY PROCESSING AND APPROVAL</w:t>
      </w:r>
    </w:p>
    <w:p w:rsidR="00C315AC" w:rsidRDefault="00291CC2" w:rsidP="009D4BD9">
      <w:pPr>
        <w:pStyle w:val="Default"/>
        <w:tabs>
          <w:tab w:val="left" w:pos="8280"/>
          <w:tab w:val="left" w:pos="9270"/>
        </w:tabs>
        <w:ind w:right="990"/>
        <w:jc w:val="center"/>
        <w:rPr>
          <w:b/>
          <w:bCs/>
        </w:rPr>
      </w:pPr>
      <w:r>
        <w:rPr>
          <w:b/>
          <w:bCs/>
        </w:rPr>
        <w:t xml:space="preserve">REAL ESTATE SETTLEMENT PROCEDURES ACT </w:t>
      </w:r>
      <w:r w:rsidR="00C315AC">
        <w:rPr>
          <w:b/>
          <w:bCs/>
        </w:rPr>
        <w:t>(REGULATION X</w:t>
      </w:r>
      <w:r>
        <w:rPr>
          <w:b/>
          <w:bCs/>
        </w:rPr>
        <w:t>) 12 CFR 1024</w:t>
      </w:r>
    </w:p>
    <w:p w:rsidR="009B3433" w:rsidRDefault="009B3433"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7C0B61" w:rsidRPr="007C0B61" w:rsidRDefault="007C0B61" w:rsidP="007C0B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sz w:val="24"/>
          <w:szCs w:val="24"/>
        </w:rPr>
      </w:pPr>
    </w:p>
    <w:p w:rsidR="007C0B61" w:rsidRPr="007C0B61" w:rsidRDefault="007C0B61" w:rsidP="007C0B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sz w:val="24"/>
          <w:szCs w:val="24"/>
        </w:rPr>
      </w:pPr>
      <w:r w:rsidRPr="007C0B61">
        <w:rPr>
          <w:sz w:val="24"/>
          <w:szCs w:val="24"/>
        </w:rPr>
        <w:t xml:space="preserve">The CFPB submits this collection </w:t>
      </w:r>
      <w:r>
        <w:rPr>
          <w:sz w:val="24"/>
          <w:szCs w:val="24"/>
        </w:rPr>
        <w:t xml:space="preserve">of information </w:t>
      </w:r>
      <w:r w:rsidRPr="007C0B61">
        <w:rPr>
          <w:sz w:val="24"/>
          <w:szCs w:val="24"/>
        </w:rPr>
        <w:t xml:space="preserve">for an extension without change. </w:t>
      </w:r>
      <w:r>
        <w:rPr>
          <w:sz w:val="24"/>
          <w:szCs w:val="24"/>
        </w:rPr>
        <w:t xml:space="preserve"> </w:t>
      </w:r>
      <w:r w:rsidRPr="007C0B61">
        <w:rPr>
          <w:sz w:val="24"/>
          <w:szCs w:val="24"/>
        </w:rPr>
        <w:t xml:space="preserve">This collection </w:t>
      </w:r>
      <w:r>
        <w:rPr>
          <w:sz w:val="24"/>
          <w:szCs w:val="24"/>
        </w:rPr>
        <w:t xml:space="preserve">is one of a number of collections associated with the CFPB’s restatement of regulations transferred from </w:t>
      </w:r>
      <w:r w:rsidRPr="007C0B61">
        <w:rPr>
          <w:sz w:val="24"/>
          <w:szCs w:val="24"/>
        </w:rPr>
        <w:t xml:space="preserve">other </w:t>
      </w:r>
      <w:r>
        <w:rPr>
          <w:sz w:val="24"/>
          <w:szCs w:val="24"/>
        </w:rPr>
        <w:t>Federal agencies</w:t>
      </w:r>
      <w:r w:rsidRPr="007C0B61">
        <w:rPr>
          <w:sz w:val="24"/>
          <w:szCs w:val="24"/>
        </w:rPr>
        <w:t xml:space="preserve"> under the Dodd-Frank Wall Street Reform and Consumer Protection Act.</w:t>
      </w:r>
    </w:p>
    <w:p w:rsidR="007C0B61" w:rsidRDefault="007C0B61"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Pr="000C23E7" w:rsidRDefault="00291CC2" w:rsidP="00291CC2">
      <w:pPr>
        <w:pStyle w:val="Default"/>
        <w:ind w:right="990"/>
        <w:rPr>
          <w:b/>
          <w:u w:val="single"/>
        </w:rPr>
      </w:pPr>
      <w:r w:rsidRPr="000C23E7">
        <w:rPr>
          <w:b/>
          <w:u w:val="single"/>
        </w:rPr>
        <w:t>A.  JUSTIFICATION</w:t>
      </w:r>
    </w:p>
    <w:p w:rsidR="0099609C" w:rsidRPr="00202188" w:rsidRDefault="0099609C" w:rsidP="00291CC2">
      <w:pPr>
        <w:pStyle w:val="Default"/>
        <w:ind w:right="990"/>
      </w:pPr>
    </w:p>
    <w:p w:rsidR="0099609C" w:rsidRDefault="00291CC2" w:rsidP="0099609C">
      <w:pPr>
        <w:pStyle w:val="Default"/>
        <w:rPr>
          <w:b/>
          <w:bCs/>
          <w:u w:val="single"/>
        </w:rPr>
      </w:pPr>
      <w:r w:rsidRPr="00202188">
        <w:rPr>
          <w:b/>
          <w:bCs/>
        </w:rPr>
        <w:t>1.</w:t>
      </w:r>
      <w:r w:rsidR="00945E87">
        <w:rPr>
          <w:b/>
          <w:bCs/>
        </w:rPr>
        <w:t xml:space="preserve">  </w:t>
      </w:r>
      <w:r w:rsidRPr="00202188">
        <w:rPr>
          <w:b/>
          <w:bCs/>
          <w:u w:val="single"/>
        </w:rPr>
        <w:t>Circumstances Necessitating the Data Collection</w:t>
      </w:r>
    </w:p>
    <w:p w:rsidR="0099609C" w:rsidRDefault="0099609C" w:rsidP="0099609C">
      <w:pPr>
        <w:pStyle w:val="Default"/>
      </w:pPr>
    </w:p>
    <w:p w:rsidR="0027490B" w:rsidRDefault="0099609C" w:rsidP="0099609C">
      <w:pPr>
        <w:pStyle w:val="Default"/>
        <w:rPr>
          <w:noProof/>
        </w:rPr>
      </w:pPr>
      <w:r w:rsidRPr="00C315AC">
        <w:rPr>
          <w:noProof/>
        </w:rPr>
        <w:t>Certain disclosures are required by the Real Estate Settlement Procedures Act (RESPA) of 1974</w:t>
      </w:r>
      <w:r>
        <w:rPr>
          <w:noProof/>
        </w:rPr>
        <w:t>, as</w:t>
      </w:r>
      <w:r w:rsidRPr="00C315AC">
        <w:rPr>
          <w:noProof/>
        </w:rPr>
        <w:t xml:space="preserve"> amended by Section 461 of the Housing and Urban-Rural Recovery Act of 1983 (HURRA), and other various amendments.  The statute is found at 12 U.S.C. 2601 </w:t>
      </w:r>
      <w:r w:rsidRPr="00615F84">
        <w:rPr>
          <w:i/>
          <w:noProof/>
        </w:rPr>
        <w:t>et seq</w:t>
      </w:r>
      <w:r w:rsidRPr="00C315AC">
        <w:rPr>
          <w:noProof/>
        </w:rPr>
        <w:t>.  The implementing regulations have been published by the Department of Housing and Urban Development (HUD) at 24 CFR 3500.  In light of the transfer of HUD’s rulemaking authority for RESPA to the Bureau of Consumer Financial Protection</w:t>
      </w:r>
      <w:r>
        <w:rPr>
          <w:noProof/>
        </w:rPr>
        <w:t xml:space="preserve"> (CFPB)</w:t>
      </w:r>
      <w:r w:rsidRPr="00C315AC">
        <w:rPr>
          <w:noProof/>
        </w:rPr>
        <w:t xml:space="preserve">, the </w:t>
      </w:r>
      <w:r>
        <w:rPr>
          <w:noProof/>
        </w:rPr>
        <w:t>CFPB</w:t>
      </w:r>
      <w:r w:rsidRPr="00C315AC">
        <w:rPr>
          <w:noProof/>
        </w:rPr>
        <w:t xml:space="preserve"> is adopting an interim final rule (Interim Final Rule) recodifying </w:t>
      </w:r>
      <w:r w:rsidRPr="00C315AC">
        <w:t>HUD’s</w:t>
      </w:r>
      <w:r>
        <w:t xml:space="preserve"> </w:t>
      </w:r>
      <w:r w:rsidRPr="00C315AC">
        <w:rPr>
          <w:iCs/>
        </w:rPr>
        <w:t xml:space="preserve">Regulation X at 12 CFR 1024 to reflect the transfer of authority and to help facilitate compliance with RESPA and its implementing regulations to help prevent confusion regarding regulatory and supervisory authority.  </w:t>
      </w:r>
      <w:r w:rsidRPr="00C315AC">
        <w:rPr>
          <w:noProof/>
        </w:rPr>
        <w:t xml:space="preserve">Required disclosures include: the Good Faith Estimate (GFE), the Special Information Booklet, the HUD-1/HUD-1A Settlement Statements, the Servicing Disclosure Statement, and, as applicable, the Servicing Transfer Disclosure. </w:t>
      </w:r>
      <w:r>
        <w:rPr>
          <w:noProof/>
        </w:rPr>
        <w:t xml:space="preserve"> </w:t>
      </w:r>
      <w:r w:rsidRPr="00C315AC">
        <w:rPr>
          <w:noProof/>
        </w:rPr>
        <w:t xml:space="preserve">Other disclosures may be required under certain circumstances and include: the Initial Escrow Account Statement, the Annual Escrow Account Statement, the Affiliated Business Disclosure, and the Consumer Disclosure for Voluntary Escrow Account Payments. </w:t>
      </w:r>
      <w:r>
        <w:rPr>
          <w:noProof/>
        </w:rPr>
        <w:t xml:space="preserve"> This collection helps to protect consumers in several respects.  The Special Information Booklet helps </w:t>
      </w:r>
      <w:r w:rsidRPr="00C315AC">
        <w:rPr>
          <w:noProof/>
        </w:rPr>
        <w:t>to protect consumers from unnecessarily high settlement costs</w:t>
      </w:r>
      <w:r>
        <w:rPr>
          <w:noProof/>
        </w:rPr>
        <w:t xml:space="preserve"> by providing information about the nature and cost of real estate settlement services.  The GFE and HUD-1/HUD-1A Settlement Statements enable consumers to compare estimated settlement costs with actual settlement costs.  The Affiliated Business Disclosure helps to protect borrowers from unncessarily high settlement service charges due to the settlement service provider’s use of an affiliated provider.  Disclosures related to the servicing of the mortgage loan help to protect consumers if the servicing of the loan could be or is transferred.Disclosures related to consumers’ escrow accounts help to protect them from unneccessarily high escrow charges.</w:t>
      </w:r>
    </w:p>
    <w:p w:rsidR="0099609C" w:rsidRDefault="0099609C" w:rsidP="0099609C">
      <w:pPr>
        <w:pStyle w:val="Default"/>
      </w:pPr>
    </w:p>
    <w:p w:rsidR="009D4BD9" w:rsidRPr="00202188" w:rsidRDefault="009D4BD9" w:rsidP="009D4BD9">
      <w:pPr>
        <w:pStyle w:val="CM12"/>
        <w:spacing w:line="276" w:lineRule="atLeast"/>
      </w:pPr>
      <w:r w:rsidRPr="00202188">
        <w:rPr>
          <w:b/>
          <w:bCs/>
        </w:rPr>
        <w:t xml:space="preserve">2. </w:t>
      </w:r>
      <w:r w:rsidR="00945E87">
        <w:rPr>
          <w:b/>
          <w:bCs/>
        </w:rPr>
        <w:t xml:space="preserve"> </w:t>
      </w:r>
      <w:r w:rsidRPr="00202188">
        <w:rPr>
          <w:b/>
          <w:bCs/>
          <w:u w:val="single"/>
        </w:rPr>
        <w:t>Use of the Information</w:t>
      </w:r>
    </w:p>
    <w:p w:rsidR="009D4BD9" w:rsidRPr="00C315AC" w:rsidRDefault="009D4BD9" w:rsidP="00291CC2">
      <w:pPr>
        <w:keepLines/>
        <w:tabs>
          <w:tab w:val="left" w:pos="360"/>
        </w:tabs>
        <w:ind w:left="360" w:right="990"/>
        <w:rPr>
          <w:noProof/>
          <w:sz w:val="24"/>
          <w:szCs w:val="24"/>
        </w:rPr>
      </w:pPr>
    </w:p>
    <w:p w:rsidR="00104DEC" w:rsidRPr="00C315AC" w:rsidRDefault="008A00CE" w:rsidP="00945E87">
      <w:pPr>
        <w:tabs>
          <w:tab w:val="left" w:pos="360"/>
          <w:tab w:val="left" w:pos="720"/>
        </w:tabs>
        <w:ind w:right="990" w:firstLine="720"/>
        <w:rPr>
          <w:sz w:val="24"/>
          <w:szCs w:val="24"/>
        </w:rPr>
      </w:pPr>
      <w:r>
        <w:rPr>
          <w:sz w:val="24"/>
          <w:szCs w:val="24"/>
        </w:rPr>
        <w:t>T</w:t>
      </w:r>
      <w:r w:rsidR="00104DEC" w:rsidRPr="00C315AC">
        <w:rPr>
          <w:bCs/>
          <w:sz w:val="24"/>
          <w:szCs w:val="24"/>
        </w:rPr>
        <w:t>he</w:t>
      </w:r>
      <w:r w:rsidR="00F912A7">
        <w:rPr>
          <w:bCs/>
          <w:sz w:val="24"/>
          <w:szCs w:val="24"/>
        </w:rPr>
        <w:t xml:space="preserve"> third party disclosures in this collection </w:t>
      </w:r>
      <w:r w:rsidR="00104DEC" w:rsidRPr="00C315AC">
        <w:rPr>
          <w:sz w:val="24"/>
          <w:szCs w:val="24"/>
        </w:rPr>
        <w:t xml:space="preserve">are required by statute and regulations.  </w:t>
      </w:r>
      <w:r w:rsidR="00F912A7">
        <w:rPr>
          <w:sz w:val="24"/>
          <w:szCs w:val="24"/>
        </w:rPr>
        <w:t xml:space="preserve">The CFPB expects to make further explanations of RESPA through its website, </w:t>
      </w:r>
      <w:r w:rsidR="004F6A90" w:rsidRPr="004F6A90">
        <w:rPr>
          <w:sz w:val="24"/>
          <w:szCs w:val="24"/>
        </w:rPr>
        <w:t>http://www.consumerfinance.gov</w:t>
      </w:r>
      <w:r w:rsidR="00F912A7">
        <w:rPr>
          <w:sz w:val="24"/>
          <w:szCs w:val="24"/>
        </w:rPr>
        <w:t xml:space="preserve">.  </w:t>
      </w:r>
      <w:r w:rsidR="00104DEC" w:rsidRPr="00C315AC">
        <w:rPr>
          <w:sz w:val="24"/>
          <w:szCs w:val="24"/>
        </w:rPr>
        <w:t xml:space="preserve">Real estate settlement service providers make these disclosures to homebuyers/borrowers, and in some cases, sellers, pursuant to transactions involving </w:t>
      </w:r>
      <w:r w:rsidR="001F3B8F" w:rsidRPr="00C315AC">
        <w:rPr>
          <w:sz w:val="24"/>
          <w:szCs w:val="24"/>
        </w:rPr>
        <w:t xml:space="preserve">federally </w:t>
      </w:r>
      <w:r w:rsidR="00104DEC" w:rsidRPr="00C315AC">
        <w:rPr>
          <w:sz w:val="24"/>
          <w:szCs w:val="24"/>
        </w:rPr>
        <w:t>related mortgage</w:t>
      </w:r>
      <w:r w:rsidR="001F3B8F" w:rsidRPr="00C315AC">
        <w:rPr>
          <w:sz w:val="24"/>
          <w:szCs w:val="24"/>
        </w:rPr>
        <w:t xml:space="preserve"> loan</w:t>
      </w:r>
      <w:r w:rsidR="00104DEC" w:rsidRPr="00C315AC">
        <w:rPr>
          <w:sz w:val="24"/>
          <w:szCs w:val="24"/>
        </w:rPr>
        <w:t xml:space="preserve">s.  Disclosures are not submitted to the </w:t>
      </w:r>
      <w:r w:rsidR="001F3B8F" w:rsidRPr="00C315AC">
        <w:rPr>
          <w:sz w:val="24"/>
          <w:szCs w:val="24"/>
        </w:rPr>
        <w:t>federal government</w:t>
      </w:r>
      <w:r w:rsidR="00104DEC" w:rsidRPr="00C315AC">
        <w:rPr>
          <w:sz w:val="24"/>
          <w:szCs w:val="24"/>
        </w:rPr>
        <w:t>.</w:t>
      </w:r>
    </w:p>
    <w:p w:rsidR="00104DEC" w:rsidRPr="00C315AC" w:rsidRDefault="00104DEC" w:rsidP="00291CC2">
      <w:pPr>
        <w:pStyle w:val="BodyText"/>
        <w:tabs>
          <w:tab w:val="clear" w:pos="360"/>
          <w:tab w:val="left" w:pos="90"/>
        </w:tabs>
        <w:spacing w:after="0"/>
        <w:ind w:right="990"/>
        <w:rPr>
          <w:szCs w:val="24"/>
        </w:rPr>
      </w:pPr>
    </w:p>
    <w:p w:rsidR="00104DEC" w:rsidRPr="00C315AC" w:rsidRDefault="00104DEC" w:rsidP="00291CC2">
      <w:pPr>
        <w:keepLines/>
        <w:numPr>
          <w:ilvl w:val="0"/>
          <w:numId w:val="6"/>
        </w:numPr>
        <w:tabs>
          <w:tab w:val="left" w:pos="360"/>
        </w:tabs>
        <w:ind w:right="990"/>
        <w:rPr>
          <w:noProof/>
          <w:sz w:val="24"/>
          <w:szCs w:val="24"/>
        </w:rPr>
      </w:pPr>
      <w:r w:rsidRPr="00C315AC">
        <w:rPr>
          <w:noProof/>
          <w:sz w:val="24"/>
          <w:szCs w:val="24"/>
        </w:rPr>
        <w:lastRenderedPageBreak/>
        <w:t xml:space="preserve">Good Faith Estimate (GFE).  Lenders must give borrowers an estimate of the settlement costs that the borrower is likely to incur in connection with settlement (see Section 5(c) of RESPA).  </w:t>
      </w:r>
    </w:p>
    <w:p w:rsidR="001F3B8F" w:rsidRPr="00C315AC" w:rsidRDefault="001F3B8F" w:rsidP="00291CC2">
      <w:pPr>
        <w:keepLines/>
        <w:tabs>
          <w:tab w:val="left" w:pos="360"/>
        </w:tabs>
        <w:ind w:left="720" w:right="990"/>
        <w:rPr>
          <w:noProof/>
          <w:sz w:val="24"/>
          <w:szCs w:val="24"/>
        </w:rPr>
      </w:pPr>
    </w:p>
    <w:p w:rsidR="00104DEC" w:rsidRPr="00C315AC" w:rsidRDefault="00104DEC" w:rsidP="00291CC2">
      <w:pPr>
        <w:keepLines/>
        <w:numPr>
          <w:ilvl w:val="0"/>
          <w:numId w:val="6"/>
        </w:numPr>
        <w:tabs>
          <w:tab w:val="left" w:pos="360"/>
        </w:tabs>
        <w:ind w:right="990"/>
        <w:rPr>
          <w:noProof/>
          <w:sz w:val="24"/>
          <w:szCs w:val="24"/>
        </w:rPr>
      </w:pPr>
      <w:r w:rsidRPr="00C315AC">
        <w:rPr>
          <w:noProof/>
          <w:sz w:val="24"/>
          <w:szCs w:val="24"/>
        </w:rPr>
        <w:t>Special Information Booklet.  Homebuyers receive this disclosure regarding the nature and costs of real estate settlement services (see Section 5(d) of RESPA).</w:t>
      </w:r>
    </w:p>
    <w:p w:rsidR="00104DEC" w:rsidRPr="00C315AC" w:rsidRDefault="00104DEC" w:rsidP="00291CC2">
      <w:pPr>
        <w:keepLines/>
        <w:tabs>
          <w:tab w:val="left" w:pos="360"/>
        </w:tabs>
        <w:ind w:right="990"/>
        <w:rPr>
          <w:noProof/>
          <w:sz w:val="24"/>
          <w:szCs w:val="24"/>
        </w:rPr>
      </w:pPr>
    </w:p>
    <w:p w:rsidR="00104DEC" w:rsidRPr="00C315AC" w:rsidRDefault="00104DEC" w:rsidP="00291CC2">
      <w:pPr>
        <w:numPr>
          <w:ilvl w:val="0"/>
          <w:numId w:val="12"/>
        </w:numPr>
        <w:ind w:right="990"/>
        <w:rPr>
          <w:noProof/>
          <w:sz w:val="24"/>
          <w:szCs w:val="24"/>
        </w:rPr>
      </w:pPr>
      <w:r w:rsidRPr="00C315AC">
        <w:rPr>
          <w:noProof/>
          <w:sz w:val="24"/>
          <w:szCs w:val="24"/>
        </w:rPr>
        <w:t>HUD-1/HUD-1A</w:t>
      </w:r>
      <w:r w:rsidR="00945E87">
        <w:rPr>
          <w:noProof/>
          <w:sz w:val="24"/>
          <w:szCs w:val="24"/>
        </w:rPr>
        <w:t xml:space="preserve"> </w:t>
      </w:r>
      <w:r w:rsidRPr="00C315AC">
        <w:rPr>
          <w:noProof/>
          <w:sz w:val="24"/>
          <w:szCs w:val="24"/>
        </w:rPr>
        <w:t>Uniform Settlement Statement</w:t>
      </w:r>
      <w:r w:rsidR="00A64FD8" w:rsidRPr="00C315AC">
        <w:rPr>
          <w:noProof/>
          <w:sz w:val="24"/>
          <w:szCs w:val="24"/>
        </w:rPr>
        <w:t>s</w:t>
      </w:r>
      <w:r w:rsidRPr="00C315AC">
        <w:rPr>
          <w:noProof/>
          <w:sz w:val="24"/>
          <w:szCs w:val="24"/>
        </w:rPr>
        <w:t xml:space="preserve">.  Borrowers and sellers receive a statement of actual charges and disbursements pursuant to the settlement (see Section 4(a) of RESPA). </w:t>
      </w:r>
      <w:r w:rsidR="00945E87">
        <w:rPr>
          <w:noProof/>
          <w:sz w:val="24"/>
          <w:szCs w:val="24"/>
        </w:rPr>
        <w:t xml:space="preserve"> </w:t>
      </w:r>
      <w:r w:rsidRPr="00C315AC">
        <w:rPr>
          <w:noProof/>
          <w:sz w:val="24"/>
          <w:szCs w:val="24"/>
        </w:rPr>
        <w:t xml:space="preserve">The </w:t>
      </w:r>
      <w:r w:rsidR="001F3B8F" w:rsidRPr="00C315AC">
        <w:rPr>
          <w:noProof/>
          <w:sz w:val="24"/>
          <w:szCs w:val="24"/>
        </w:rPr>
        <w:t xml:space="preserve">information required to be set forth in the </w:t>
      </w:r>
      <w:r w:rsidR="00C2052A" w:rsidRPr="00C315AC">
        <w:rPr>
          <w:noProof/>
          <w:sz w:val="24"/>
          <w:szCs w:val="24"/>
        </w:rPr>
        <w:t>HUD-1/1A settlement statement</w:t>
      </w:r>
      <w:r w:rsidR="001F3B8F" w:rsidRPr="00C315AC">
        <w:rPr>
          <w:noProof/>
          <w:sz w:val="24"/>
          <w:szCs w:val="24"/>
        </w:rPr>
        <w:t xml:space="preserve">s include </w:t>
      </w:r>
      <w:r w:rsidR="00C2052A" w:rsidRPr="00C315AC">
        <w:rPr>
          <w:noProof/>
          <w:sz w:val="24"/>
          <w:szCs w:val="24"/>
        </w:rPr>
        <w:t>a comparison between the charges listed on the GFE and the charges listed on the HUD-1/1A</w:t>
      </w:r>
      <w:r w:rsidR="001F3B8F" w:rsidRPr="00C315AC">
        <w:rPr>
          <w:noProof/>
          <w:sz w:val="24"/>
          <w:szCs w:val="24"/>
        </w:rPr>
        <w:t xml:space="preserve"> and a summary of</w:t>
      </w:r>
      <w:r w:rsidR="00C2052A" w:rsidRPr="00C315AC">
        <w:rPr>
          <w:noProof/>
          <w:sz w:val="24"/>
          <w:szCs w:val="24"/>
        </w:rPr>
        <w:t xml:space="preserve"> the final loan terms of the borrower’s loan.</w:t>
      </w:r>
    </w:p>
    <w:p w:rsidR="00104DEC" w:rsidRPr="00C315AC" w:rsidRDefault="00104DEC" w:rsidP="00291CC2">
      <w:pPr>
        <w:keepLines/>
        <w:tabs>
          <w:tab w:val="left" w:pos="360"/>
        </w:tabs>
        <w:ind w:left="360" w:right="990"/>
        <w:rPr>
          <w:noProof/>
          <w:sz w:val="24"/>
          <w:szCs w:val="24"/>
        </w:rPr>
      </w:pPr>
    </w:p>
    <w:p w:rsidR="00104DEC" w:rsidRDefault="00104DEC" w:rsidP="00291CC2">
      <w:pPr>
        <w:keepLines/>
        <w:numPr>
          <w:ilvl w:val="0"/>
          <w:numId w:val="6"/>
        </w:numPr>
        <w:tabs>
          <w:tab w:val="left" w:pos="360"/>
        </w:tabs>
        <w:ind w:right="990"/>
        <w:rPr>
          <w:noProof/>
          <w:sz w:val="24"/>
          <w:szCs w:val="24"/>
        </w:rPr>
      </w:pPr>
      <w:r w:rsidRPr="003975A7">
        <w:rPr>
          <w:noProof/>
          <w:sz w:val="24"/>
          <w:szCs w:val="24"/>
        </w:rPr>
        <w:t>Escrow Disclosures.  An initial escrow account statement is provided to borrowers at or within forty-five calendar days of the loan closing, and an annual statement is provided to borrowers showing the previous year's activities in the escrow account.  The lender may ask the borrower to voluntarily contribute additional funds if the charge will substantially rise in the second year</w:t>
      </w:r>
      <w:r w:rsidR="00DD2C03" w:rsidRPr="003975A7">
        <w:rPr>
          <w:noProof/>
          <w:sz w:val="24"/>
          <w:szCs w:val="24"/>
        </w:rPr>
        <w:t>.</w:t>
      </w:r>
      <w:r w:rsidRPr="003975A7">
        <w:rPr>
          <w:noProof/>
          <w:sz w:val="24"/>
          <w:szCs w:val="24"/>
        </w:rPr>
        <w:t xml:space="preserve">  Section</w:t>
      </w:r>
      <w:r w:rsidR="00F47789" w:rsidRPr="003975A7">
        <w:rPr>
          <w:noProof/>
          <w:sz w:val="24"/>
          <w:szCs w:val="24"/>
        </w:rPr>
        <w:t>s</w:t>
      </w:r>
      <w:r w:rsidRPr="003975A7">
        <w:rPr>
          <w:noProof/>
          <w:sz w:val="24"/>
          <w:szCs w:val="24"/>
        </w:rPr>
        <w:t xml:space="preserve"> 9</w:t>
      </w:r>
      <w:r w:rsidR="00F47789" w:rsidRPr="003975A7">
        <w:rPr>
          <w:noProof/>
          <w:sz w:val="24"/>
          <w:szCs w:val="24"/>
        </w:rPr>
        <w:t>41 and 942</w:t>
      </w:r>
      <w:r w:rsidRPr="003975A7">
        <w:rPr>
          <w:noProof/>
          <w:sz w:val="24"/>
          <w:szCs w:val="24"/>
        </w:rPr>
        <w:t xml:space="preserve"> of the Cranston- Gonzalez Affordable Housing Act of 1990 (P</w:t>
      </w:r>
      <w:r w:rsidR="004C1F0A" w:rsidRPr="003975A7">
        <w:rPr>
          <w:noProof/>
          <w:sz w:val="24"/>
          <w:szCs w:val="24"/>
        </w:rPr>
        <w:t>ub</w:t>
      </w:r>
      <w:r w:rsidRPr="003975A7">
        <w:rPr>
          <w:noProof/>
          <w:sz w:val="24"/>
          <w:szCs w:val="24"/>
        </w:rPr>
        <w:t>. L. 101-625, approved November 28, 1990), amended Section 10 of the Real Estate Settlement Procedures Act of 1974 (RESPA, U.S.C. 2609(c)).</w:t>
      </w:r>
      <w:r w:rsidR="00945E87">
        <w:rPr>
          <w:noProof/>
          <w:sz w:val="24"/>
          <w:szCs w:val="24"/>
        </w:rPr>
        <w:t xml:space="preserve">  </w:t>
      </w:r>
      <w:r w:rsidR="004C1F0A" w:rsidRPr="003975A7">
        <w:rPr>
          <w:noProof/>
          <w:sz w:val="24"/>
          <w:szCs w:val="24"/>
        </w:rPr>
        <w:t xml:space="preserve">HUD published regulations </w:t>
      </w:r>
      <w:r w:rsidRPr="003975A7">
        <w:rPr>
          <w:noProof/>
          <w:sz w:val="24"/>
          <w:szCs w:val="24"/>
        </w:rPr>
        <w:t>allowing voluntary collection of additional fund</w:t>
      </w:r>
      <w:r w:rsidR="003975A7" w:rsidRPr="003975A7">
        <w:rPr>
          <w:noProof/>
          <w:sz w:val="24"/>
          <w:szCs w:val="24"/>
        </w:rPr>
        <w:t xml:space="preserve">s.  </w:t>
      </w:r>
      <w:r w:rsidR="003975A7" w:rsidRPr="003975A7">
        <w:rPr>
          <w:i/>
          <w:noProof/>
          <w:sz w:val="24"/>
          <w:szCs w:val="24"/>
        </w:rPr>
        <w:t xml:space="preserve">See </w:t>
      </w:r>
      <w:r w:rsidR="003975A7" w:rsidRPr="003975A7">
        <w:rPr>
          <w:noProof/>
          <w:sz w:val="24"/>
          <w:szCs w:val="24"/>
        </w:rPr>
        <w:t>63 FR 3214 (</w:t>
      </w:r>
      <w:r w:rsidRPr="003975A7">
        <w:rPr>
          <w:noProof/>
          <w:sz w:val="24"/>
          <w:szCs w:val="24"/>
        </w:rPr>
        <w:t>January 21, 1998</w:t>
      </w:r>
      <w:r w:rsidR="003975A7" w:rsidRPr="003975A7">
        <w:rPr>
          <w:noProof/>
          <w:sz w:val="24"/>
          <w:szCs w:val="24"/>
        </w:rPr>
        <w:t>)</w:t>
      </w:r>
      <w:r w:rsidR="00C67138">
        <w:rPr>
          <w:noProof/>
          <w:sz w:val="24"/>
          <w:szCs w:val="24"/>
        </w:rPr>
        <w:t>.</w:t>
      </w:r>
    </w:p>
    <w:p w:rsidR="003975A7" w:rsidRPr="003975A7" w:rsidRDefault="003975A7" w:rsidP="003975A7">
      <w:pPr>
        <w:keepLines/>
        <w:tabs>
          <w:tab w:val="left" w:pos="360"/>
        </w:tabs>
        <w:ind w:left="720" w:right="990"/>
        <w:rPr>
          <w:noProof/>
          <w:sz w:val="24"/>
          <w:szCs w:val="24"/>
        </w:rPr>
      </w:pPr>
    </w:p>
    <w:p w:rsidR="00104DEC" w:rsidRPr="00C315AC" w:rsidRDefault="00104DEC" w:rsidP="00291CC2">
      <w:pPr>
        <w:keepLines/>
        <w:numPr>
          <w:ilvl w:val="0"/>
          <w:numId w:val="6"/>
        </w:numPr>
        <w:ind w:right="990"/>
        <w:rPr>
          <w:noProof/>
          <w:sz w:val="24"/>
          <w:szCs w:val="24"/>
        </w:rPr>
      </w:pPr>
      <w:r w:rsidRPr="00C315AC">
        <w:rPr>
          <w:noProof/>
          <w:sz w:val="24"/>
          <w:szCs w:val="24"/>
        </w:rPr>
        <w:t xml:space="preserve">Affiliated Business Arrangement Disclosure.  This disclosure is required when a settlement service provider refers a borrower to an affiliated provider.  Section 461 of the Housing and Urban-Rural Recovery Act of 1983 added an exemption under Section 8 of RESPA for affiliated business arrangements (AfBAs) as long as certain requirements were met.  The implementing regulations at </w:t>
      </w:r>
      <w:r w:rsidR="00615F84" w:rsidRPr="00C315AC">
        <w:rPr>
          <w:noProof/>
          <w:sz w:val="24"/>
          <w:szCs w:val="24"/>
        </w:rPr>
        <w:t>12 CFR 1024.15</w:t>
      </w:r>
      <w:r w:rsidR="00945E87">
        <w:rPr>
          <w:noProof/>
          <w:sz w:val="24"/>
          <w:szCs w:val="24"/>
        </w:rPr>
        <w:t xml:space="preserve"> </w:t>
      </w:r>
      <w:r w:rsidRPr="00C315AC">
        <w:rPr>
          <w:noProof/>
          <w:sz w:val="24"/>
          <w:szCs w:val="24"/>
        </w:rPr>
        <w:t xml:space="preserve">require that a disclosure be given when a settlement service provider refers a borrower to another settlement service provider when an AfBA exists. </w:t>
      </w:r>
    </w:p>
    <w:p w:rsidR="00104DEC" w:rsidRPr="00C315AC" w:rsidRDefault="00104DEC" w:rsidP="00291CC2">
      <w:pPr>
        <w:keepLines/>
        <w:ind w:right="990"/>
        <w:rPr>
          <w:noProof/>
          <w:sz w:val="24"/>
          <w:szCs w:val="24"/>
        </w:rPr>
      </w:pPr>
    </w:p>
    <w:p w:rsidR="00104DEC" w:rsidRPr="00C315AC" w:rsidRDefault="001355F3" w:rsidP="00291CC2">
      <w:pPr>
        <w:keepLines/>
        <w:numPr>
          <w:ilvl w:val="0"/>
          <w:numId w:val="6"/>
        </w:numPr>
        <w:tabs>
          <w:tab w:val="left" w:pos="360"/>
        </w:tabs>
        <w:ind w:right="990"/>
        <w:rPr>
          <w:noProof/>
          <w:sz w:val="24"/>
          <w:szCs w:val="24"/>
        </w:rPr>
      </w:pPr>
      <w:r w:rsidRPr="00C315AC">
        <w:rPr>
          <w:noProof/>
          <w:sz w:val="24"/>
          <w:szCs w:val="24"/>
        </w:rPr>
        <w:t>Servicing Transfer Disclosure</w:t>
      </w:r>
      <w:r w:rsidR="00104DEC" w:rsidRPr="00C315AC">
        <w:rPr>
          <w:noProof/>
          <w:sz w:val="24"/>
          <w:szCs w:val="24"/>
        </w:rPr>
        <w:t>.  This disclosure is required of all transferring and transferee loan servicers upon assignment, sale, or transfer of the servicing of the loan.  These servicers must notify the borrower in writing of any assignment, sale, or transfer of the servicing of the loan.  The transferring loan servicer must provide notice to the borrower not less than 15 days before the effective date of transfer of the servicing of the loan and the transferee loan servicer must provide notice to the borrower not more than 15 days after the effective date of the loan transfer.  (Section 941 of the Cranston-Gonzalez National Affordable Housing Act, P.L. 101-625</w:t>
      </w:r>
      <w:r w:rsidR="00945E87">
        <w:rPr>
          <w:noProof/>
          <w:sz w:val="24"/>
          <w:szCs w:val="24"/>
        </w:rPr>
        <w:t>, amended Section 6 of RESPA.)</w:t>
      </w:r>
    </w:p>
    <w:p w:rsidR="00104DEC" w:rsidRPr="00C315AC" w:rsidRDefault="00104DEC" w:rsidP="00291CC2">
      <w:pPr>
        <w:keepLines/>
        <w:tabs>
          <w:tab w:val="left" w:pos="360"/>
        </w:tabs>
        <w:ind w:right="990"/>
        <w:rPr>
          <w:noProof/>
          <w:sz w:val="24"/>
          <w:szCs w:val="24"/>
        </w:rPr>
      </w:pPr>
    </w:p>
    <w:p w:rsidR="00104DEC" w:rsidRPr="00C315AC" w:rsidRDefault="00104DEC" w:rsidP="00291CC2">
      <w:pPr>
        <w:keepLines/>
        <w:numPr>
          <w:ilvl w:val="0"/>
          <w:numId w:val="6"/>
        </w:numPr>
        <w:tabs>
          <w:tab w:val="left" w:pos="360"/>
        </w:tabs>
        <w:ind w:right="990"/>
        <w:rPr>
          <w:noProof/>
          <w:sz w:val="24"/>
          <w:szCs w:val="24"/>
        </w:rPr>
      </w:pPr>
      <w:r w:rsidRPr="00C315AC">
        <w:rPr>
          <w:noProof/>
          <w:sz w:val="24"/>
          <w:szCs w:val="24"/>
        </w:rPr>
        <w:lastRenderedPageBreak/>
        <w:t xml:space="preserve">Servicing Disclosure Statement/Acknowledgement of Probable Transfer of Loan Servicing Disclosure.  </w:t>
      </w:r>
      <w:r w:rsidR="004C1F0A" w:rsidRPr="00C315AC">
        <w:rPr>
          <w:noProof/>
          <w:sz w:val="24"/>
          <w:szCs w:val="24"/>
        </w:rPr>
        <w:t xml:space="preserve">In adopting regulations implementing RESPA, HUD substituted </w:t>
      </w:r>
      <w:r w:rsidRPr="00C315AC">
        <w:rPr>
          <w:noProof/>
          <w:sz w:val="24"/>
          <w:szCs w:val="24"/>
        </w:rPr>
        <w:t xml:space="preserve">the Servicing Disclosure Statement for the Acknowledgement of Probable Transfer of Loan Servicing Disclosure.  All lenders </w:t>
      </w:r>
      <w:r w:rsidR="004C1F0A" w:rsidRPr="00C315AC">
        <w:rPr>
          <w:noProof/>
          <w:sz w:val="24"/>
          <w:szCs w:val="24"/>
        </w:rPr>
        <w:t>are</w:t>
      </w:r>
      <w:r w:rsidRPr="00C315AC">
        <w:rPr>
          <w:noProof/>
          <w:sz w:val="24"/>
          <w:szCs w:val="24"/>
        </w:rPr>
        <w:t xml:space="preserve"> required to provide a Servicing Disclosure Statement at the time a GFE is </w:t>
      </w:r>
      <w:r w:rsidR="00D34716" w:rsidRPr="00C315AC">
        <w:rPr>
          <w:noProof/>
          <w:sz w:val="24"/>
          <w:szCs w:val="24"/>
        </w:rPr>
        <w:t>delivered</w:t>
      </w:r>
      <w:r w:rsidRPr="00C315AC">
        <w:rPr>
          <w:noProof/>
          <w:sz w:val="24"/>
          <w:szCs w:val="24"/>
        </w:rPr>
        <w:t xml:space="preserve">.  The Servicing Disclosure Statement </w:t>
      </w:r>
      <w:r w:rsidR="004C1F0A" w:rsidRPr="00C315AC">
        <w:rPr>
          <w:noProof/>
          <w:sz w:val="24"/>
          <w:szCs w:val="24"/>
        </w:rPr>
        <w:t>provides</w:t>
      </w:r>
      <w:r w:rsidRPr="00C315AC">
        <w:rPr>
          <w:noProof/>
          <w:sz w:val="24"/>
          <w:szCs w:val="24"/>
        </w:rPr>
        <w:t xml:space="preserve"> notice to the borrower </w:t>
      </w:r>
      <w:r w:rsidRPr="00C315AC">
        <w:rPr>
          <w:bCs/>
          <w:noProof/>
          <w:sz w:val="24"/>
          <w:szCs w:val="24"/>
        </w:rPr>
        <w:t xml:space="preserve">that </w:t>
      </w:r>
      <w:r w:rsidRPr="00C315AC">
        <w:rPr>
          <w:noProof/>
          <w:sz w:val="24"/>
          <w:szCs w:val="24"/>
        </w:rPr>
        <w:t xml:space="preserve">the servicing of the loan may be transferred.  </w:t>
      </w:r>
      <w:r w:rsidR="004C1F0A" w:rsidRPr="00C315AC">
        <w:rPr>
          <w:noProof/>
          <w:sz w:val="24"/>
          <w:szCs w:val="24"/>
        </w:rPr>
        <w:t>This</w:t>
      </w:r>
      <w:r w:rsidRPr="00C315AC">
        <w:rPr>
          <w:noProof/>
          <w:sz w:val="24"/>
          <w:szCs w:val="24"/>
        </w:rPr>
        <w:t xml:space="preserve"> disclosure </w:t>
      </w:r>
      <w:r w:rsidR="004C1F0A" w:rsidRPr="00C315AC">
        <w:rPr>
          <w:noProof/>
          <w:sz w:val="24"/>
          <w:szCs w:val="24"/>
        </w:rPr>
        <w:t>conforms</w:t>
      </w:r>
      <w:r w:rsidRPr="00C315AC">
        <w:rPr>
          <w:noProof/>
          <w:sz w:val="24"/>
          <w:szCs w:val="24"/>
        </w:rPr>
        <w:t xml:space="preserve"> with the Economic Growth and Regulatory Paperwork Reduction Act of 1996 (Title II of the Omnibus Consolidated Appropriations Act, 1997) (Pub. L. 104-208) (the Act).  Section 2103(a) of the Act amended </w:t>
      </w:r>
      <w:r w:rsidR="004C1F0A" w:rsidRPr="00C315AC">
        <w:rPr>
          <w:noProof/>
          <w:sz w:val="24"/>
          <w:szCs w:val="24"/>
        </w:rPr>
        <w:t xml:space="preserve">Section </w:t>
      </w:r>
      <w:r w:rsidRPr="00C315AC">
        <w:rPr>
          <w:noProof/>
          <w:sz w:val="24"/>
          <w:szCs w:val="24"/>
        </w:rPr>
        <w:t xml:space="preserve">6(a) of RESPA to eliminate the requirement that applicants for federally related mortgage loans be provided a disclosure describing the lender’s historical practice regarding the sale or transfer of servicing rights, and the requirement that loan applications contain signed statements from applicants acknowledging that they have read and understood the disclosure provided.  </w:t>
      </w:r>
    </w:p>
    <w:p w:rsidR="00104DEC" w:rsidRPr="00C315AC" w:rsidRDefault="00104DEC" w:rsidP="00291CC2">
      <w:pPr>
        <w:keepLines/>
        <w:tabs>
          <w:tab w:val="left" w:pos="360"/>
        </w:tabs>
        <w:ind w:left="360" w:right="990"/>
        <w:rPr>
          <w:noProof/>
          <w:sz w:val="24"/>
          <w:szCs w:val="24"/>
        </w:rPr>
      </w:pPr>
    </w:p>
    <w:p w:rsidR="009D4BD9" w:rsidRPr="00202188" w:rsidRDefault="009D4BD9" w:rsidP="009D4BD9">
      <w:pPr>
        <w:pStyle w:val="Default"/>
        <w:rPr>
          <w:color w:val="auto"/>
        </w:rPr>
      </w:pPr>
      <w:r w:rsidRPr="00202188">
        <w:rPr>
          <w:b/>
          <w:bCs/>
        </w:rPr>
        <w:t xml:space="preserve">3. </w:t>
      </w:r>
      <w:r w:rsidR="00945E87">
        <w:rPr>
          <w:b/>
          <w:bCs/>
        </w:rPr>
        <w:t xml:space="preserve"> </w:t>
      </w:r>
      <w:r w:rsidRPr="00202188">
        <w:rPr>
          <w:b/>
          <w:bCs/>
          <w:u w:val="single"/>
        </w:rPr>
        <w:t>Use of Information Technology</w:t>
      </w:r>
    </w:p>
    <w:p w:rsidR="009D4BD9" w:rsidRDefault="009D4BD9" w:rsidP="009D4BD9">
      <w:pPr>
        <w:keepLines/>
        <w:tabs>
          <w:tab w:val="left" w:pos="360"/>
        </w:tabs>
        <w:ind w:left="360" w:right="990"/>
        <w:rPr>
          <w:noProof/>
          <w:sz w:val="24"/>
          <w:szCs w:val="24"/>
        </w:rPr>
      </w:pPr>
    </w:p>
    <w:p w:rsidR="00104DEC" w:rsidRPr="00C315AC" w:rsidRDefault="00C2052A" w:rsidP="00DB229D">
      <w:pPr>
        <w:keepLines/>
        <w:ind w:right="990" w:firstLine="720"/>
        <w:rPr>
          <w:noProof/>
          <w:sz w:val="24"/>
          <w:szCs w:val="24"/>
        </w:rPr>
      </w:pPr>
      <w:r w:rsidRPr="00C315AC">
        <w:rPr>
          <w:noProof/>
          <w:sz w:val="24"/>
          <w:szCs w:val="24"/>
        </w:rPr>
        <w:t>T</w:t>
      </w:r>
      <w:r w:rsidR="00104DEC" w:rsidRPr="00C315AC">
        <w:rPr>
          <w:noProof/>
          <w:sz w:val="24"/>
          <w:szCs w:val="24"/>
        </w:rPr>
        <w:t xml:space="preserve">hese third party disclosures may be submitted to consumers electronically.  Additionally, most disclosures are computer generated.  </w:t>
      </w:r>
      <w:r w:rsidR="00673F80" w:rsidRPr="00C315AC">
        <w:rPr>
          <w:noProof/>
          <w:sz w:val="24"/>
          <w:szCs w:val="24"/>
        </w:rPr>
        <w:t xml:space="preserve">The </w:t>
      </w:r>
      <w:r w:rsidR="009D4BD9">
        <w:rPr>
          <w:noProof/>
          <w:sz w:val="24"/>
          <w:szCs w:val="24"/>
        </w:rPr>
        <w:t>CFPB</w:t>
      </w:r>
      <w:r w:rsidR="00673F80" w:rsidRPr="00C315AC">
        <w:rPr>
          <w:noProof/>
          <w:sz w:val="24"/>
          <w:szCs w:val="24"/>
        </w:rPr>
        <w:t xml:space="preserve"> expects to make the</w:t>
      </w:r>
      <w:r w:rsidR="00945E87">
        <w:rPr>
          <w:noProof/>
          <w:sz w:val="24"/>
          <w:szCs w:val="24"/>
        </w:rPr>
        <w:t xml:space="preserve"> </w:t>
      </w:r>
      <w:r w:rsidR="00070AB1" w:rsidRPr="00C315AC">
        <w:rPr>
          <w:noProof/>
          <w:sz w:val="24"/>
          <w:szCs w:val="24"/>
        </w:rPr>
        <w:t xml:space="preserve">HUD1/1-A and </w:t>
      </w:r>
      <w:r w:rsidR="00104DEC" w:rsidRPr="00C315AC">
        <w:rPr>
          <w:noProof/>
          <w:sz w:val="24"/>
          <w:szCs w:val="24"/>
        </w:rPr>
        <w:t>GFE form</w:t>
      </w:r>
      <w:r w:rsidR="00070AB1" w:rsidRPr="00C315AC">
        <w:rPr>
          <w:noProof/>
          <w:sz w:val="24"/>
          <w:szCs w:val="24"/>
        </w:rPr>
        <w:t>s</w:t>
      </w:r>
      <w:r w:rsidR="00104DEC" w:rsidRPr="00C315AC">
        <w:rPr>
          <w:noProof/>
          <w:sz w:val="24"/>
          <w:szCs w:val="24"/>
        </w:rPr>
        <w:t xml:space="preserve"> available on the </w:t>
      </w:r>
      <w:r w:rsidR="009D4BD9">
        <w:rPr>
          <w:noProof/>
          <w:sz w:val="24"/>
          <w:szCs w:val="24"/>
        </w:rPr>
        <w:t>CFPB</w:t>
      </w:r>
      <w:r w:rsidR="00070AB1" w:rsidRPr="00C315AC">
        <w:rPr>
          <w:noProof/>
          <w:sz w:val="24"/>
          <w:szCs w:val="24"/>
        </w:rPr>
        <w:t>’s website (</w:t>
      </w:r>
      <w:r w:rsidR="00176544" w:rsidRPr="00945E87">
        <w:rPr>
          <w:b/>
          <w:noProof/>
          <w:sz w:val="24"/>
          <w:szCs w:val="24"/>
        </w:rPr>
        <w:t>www.consumerfinance.gov</w:t>
      </w:r>
      <w:r w:rsidR="00070AB1" w:rsidRPr="00C315AC">
        <w:rPr>
          <w:noProof/>
          <w:sz w:val="24"/>
          <w:szCs w:val="24"/>
        </w:rPr>
        <w:t>).</w:t>
      </w:r>
      <w:r w:rsidR="00176544">
        <w:rPr>
          <w:noProof/>
          <w:sz w:val="24"/>
          <w:szCs w:val="24"/>
        </w:rPr>
        <w:t xml:space="preserve">  </w:t>
      </w:r>
      <w:r w:rsidR="00C67138">
        <w:rPr>
          <w:noProof/>
          <w:sz w:val="24"/>
          <w:szCs w:val="24"/>
        </w:rPr>
        <w:t>HUD has previously noted that l</w:t>
      </w:r>
      <w:r w:rsidR="00104DEC" w:rsidRPr="00C315AC">
        <w:rPr>
          <w:noProof/>
          <w:sz w:val="24"/>
          <w:szCs w:val="24"/>
        </w:rPr>
        <w:t xml:space="preserve">enders/brokers may use a computer generated program to estimate costs reported on the GFE for specific settlement services.  </w:t>
      </w:r>
      <w:r w:rsidR="00C67138">
        <w:rPr>
          <w:noProof/>
          <w:sz w:val="24"/>
          <w:szCs w:val="24"/>
        </w:rPr>
        <w:t>HUD has previously estimated that a</w:t>
      </w:r>
      <w:r w:rsidR="00104DEC" w:rsidRPr="00C315AC">
        <w:rPr>
          <w:noProof/>
          <w:sz w:val="24"/>
          <w:szCs w:val="24"/>
        </w:rPr>
        <w:t xml:space="preserve">pproximately 50,000 </w:t>
      </w:r>
      <w:r w:rsidR="00D34716" w:rsidRPr="00C315AC">
        <w:rPr>
          <w:noProof/>
          <w:sz w:val="24"/>
          <w:szCs w:val="24"/>
        </w:rPr>
        <w:t>loan originators</w:t>
      </w:r>
      <w:r w:rsidR="00104DEC" w:rsidRPr="00C315AC">
        <w:rPr>
          <w:noProof/>
          <w:sz w:val="24"/>
          <w:szCs w:val="24"/>
        </w:rPr>
        <w:t xml:space="preserve"> process an estimated 21,250,000 loan applications which would require a GFE</w:t>
      </w:r>
      <w:r w:rsidR="00C67138">
        <w:rPr>
          <w:noProof/>
          <w:sz w:val="24"/>
          <w:szCs w:val="24"/>
        </w:rPr>
        <w:t xml:space="preserve"> and that </w:t>
      </w:r>
      <w:r w:rsidR="00104DEC" w:rsidRPr="00C315AC">
        <w:rPr>
          <w:noProof/>
          <w:sz w:val="24"/>
          <w:szCs w:val="24"/>
        </w:rPr>
        <w:t xml:space="preserve">at least 90% of the GFEs are now generated by computer.  </w:t>
      </w:r>
      <w:r w:rsidR="00C67138">
        <w:rPr>
          <w:noProof/>
          <w:sz w:val="24"/>
          <w:szCs w:val="24"/>
        </w:rPr>
        <w:t>HUD has also previously noted that m</w:t>
      </w:r>
      <w:r w:rsidR="00104DEC" w:rsidRPr="00C315AC">
        <w:rPr>
          <w:noProof/>
          <w:sz w:val="24"/>
          <w:szCs w:val="24"/>
        </w:rPr>
        <w:t>ost servicers are using integrated computer systems for billing, recordkeeping, and generating escrow statements</w:t>
      </w:r>
      <w:r w:rsidR="00C67138">
        <w:rPr>
          <w:noProof/>
          <w:sz w:val="24"/>
          <w:szCs w:val="24"/>
        </w:rPr>
        <w:t xml:space="preserve"> and that s</w:t>
      </w:r>
      <w:r w:rsidR="00104DEC" w:rsidRPr="00C315AC">
        <w:rPr>
          <w:noProof/>
          <w:sz w:val="24"/>
          <w:szCs w:val="24"/>
        </w:rPr>
        <w:t xml:space="preserve">oftware manufacturers continue to market improved versions of these systems.  </w:t>
      </w:r>
    </w:p>
    <w:p w:rsidR="00104DEC" w:rsidRPr="00C315AC" w:rsidRDefault="00104DEC" w:rsidP="00291CC2">
      <w:pPr>
        <w:pStyle w:val="BodyText"/>
        <w:tabs>
          <w:tab w:val="clear" w:pos="360"/>
          <w:tab w:val="left" w:pos="90"/>
        </w:tabs>
        <w:spacing w:after="0"/>
        <w:ind w:right="990"/>
        <w:rPr>
          <w:noProof/>
          <w:szCs w:val="24"/>
        </w:rPr>
      </w:pPr>
    </w:p>
    <w:p w:rsidR="009D4BD9" w:rsidRPr="00202188" w:rsidRDefault="009D4BD9" w:rsidP="009D4BD9">
      <w:pPr>
        <w:pStyle w:val="CM12"/>
        <w:spacing w:line="276" w:lineRule="atLeast"/>
      </w:pPr>
      <w:r w:rsidRPr="00202188">
        <w:rPr>
          <w:b/>
          <w:bCs/>
        </w:rPr>
        <w:t xml:space="preserve">4. </w:t>
      </w:r>
      <w:r w:rsidR="00945E87">
        <w:rPr>
          <w:b/>
          <w:bCs/>
        </w:rPr>
        <w:t xml:space="preserve"> </w:t>
      </w:r>
      <w:r w:rsidRPr="00202188">
        <w:rPr>
          <w:b/>
          <w:bCs/>
          <w:u w:val="single"/>
        </w:rPr>
        <w:t>Efforts to Identify Duplication</w:t>
      </w:r>
    </w:p>
    <w:p w:rsidR="009D4BD9" w:rsidRDefault="009D4BD9" w:rsidP="009D4BD9">
      <w:pPr>
        <w:keepLines/>
        <w:ind w:left="360" w:right="990"/>
        <w:rPr>
          <w:noProof/>
          <w:sz w:val="24"/>
          <w:szCs w:val="24"/>
        </w:rPr>
      </w:pPr>
    </w:p>
    <w:p w:rsidR="00104DEC" w:rsidRPr="00C315AC" w:rsidRDefault="00104DEC" w:rsidP="00DB229D">
      <w:pPr>
        <w:keepLines/>
        <w:ind w:right="990" w:firstLine="720"/>
        <w:rPr>
          <w:noProof/>
          <w:sz w:val="24"/>
          <w:szCs w:val="24"/>
        </w:rPr>
      </w:pPr>
      <w:r w:rsidRPr="00C315AC">
        <w:rPr>
          <w:noProof/>
          <w:sz w:val="24"/>
          <w:szCs w:val="24"/>
        </w:rPr>
        <w:t xml:space="preserve">The only disclosure containing partial duplication is the annual escrow account statement.  To reduce duplication, servicers may adapt </w:t>
      </w:r>
      <w:r w:rsidR="009D4BD9">
        <w:rPr>
          <w:noProof/>
          <w:sz w:val="24"/>
          <w:szCs w:val="24"/>
        </w:rPr>
        <w:t>CFPB</w:t>
      </w:r>
      <w:r w:rsidRPr="00C315AC">
        <w:rPr>
          <w:noProof/>
          <w:sz w:val="24"/>
          <w:szCs w:val="24"/>
        </w:rPr>
        <w:t>-required information to comply with IRS reporting requirements regarding escrow account items, such as taxes.  Furthermore, the rule allows se</w:t>
      </w:r>
      <w:r w:rsidR="00E05B6B" w:rsidRPr="00C315AC">
        <w:rPr>
          <w:noProof/>
          <w:sz w:val="24"/>
          <w:szCs w:val="24"/>
        </w:rPr>
        <w:t>rvicers to report a “short year”</w:t>
      </w:r>
      <w:r w:rsidRPr="00C315AC">
        <w:rPr>
          <w:noProof/>
          <w:sz w:val="24"/>
          <w:szCs w:val="24"/>
        </w:rPr>
        <w:t xml:space="preserve"> in the first annual statement so that </w:t>
      </w:r>
      <w:r w:rsidR="009D4BD9">
        <w:rPr>
          <w:noProof/>
          <w:sz w:val="24"/>
          <w:szCs w:val="24"/>
        </w:rPr>
        <w:t>CFPB</w:t>
      </w:r>
      <w:r w:rsidRPr="00C315AC">
        <w:rPr>
          <w:noProof/>
          <w:sz w:val="24"/>
          <w:szCs w:val="24"/>
        </w:rPr>
        <w:t xml:space="preserve">-required annual statements can be issued coincident with IRS forms.  </w:t>
      </w:r>
      <w:r w:rsidR="00945E87">
        <w:rPr>
          <w:noProof/>
          <w:sz w:val="24"/>
          <w:szCs w:val="24"/>
        </w:rPr>
        <w:t>For</w:t>
      </w:r>
      <w:r w:rsidRPr="00C315AC">
        <w:rPr>
          <w:noProof/>
          <w:sz w:val="24"/>
          <w:szCs w:val="24"/>
        </w:rPr>
        <w:t xml:space="preserve"> open-end lines of credit, the GFE and HUD-1 are not required when certain truth-in-lending disclosures are given.</w:t>
      </w:r>
    </w:p>
    <w:p w:rsidR="00104DEC" w:rsidRDefault="00104DEC" w:rsidP="00291CC2">
      <w:pPr>
        <w:tabs>
          <w:tab w:val="left" w:pos="360"/>
        </w:tabs>
        <w:ind w:right="990"/>
        <w:rPr>
          <w:noProof/>
          <w:sz w:val="24"/>
          <w:szCs w:val="24"/>
        </w:rPr>
      </w:pPr>
    </w:p>
    <w:p w:rsidR="009D4BD9" w:rsidRPr="003A69C1" w:rsidRDefault="009D4BD9" w:rsidP="009D4BD9">
      <w:pPr>
        <w:pStyle w:val="CM12"/>
        <w:spacing w:line="276" w:lineRule="atLeast"/>
      </w:pPr>
      <w:r w:rsidRPr="00202188">
        <w:rPr>
          <w:b/>
          <w:bCs/>
        </w:rPr>
        <w:t xml:space="preserve">5. </w:t>
      </w:r>
      <w:r w:rsidR="00945E87">
        <w:rPr>
          <w:b/>
          <w:bCs/>
        </w:rPr>
        <w:t xml:space="preserve"> </w:t>
      </w:r>
      <w:r w:rsidRPr="00202188">
        <w:rPr>
          <w:b/>
          <w:bCs/>
          <w:u w:val="single"/>
        </w:rPr>
        <w:t>Efforts to Minimize Burdens on Small Entities</w:t>
      </w:r>
    </w:p>
    <w:p w:rsidR="009D4BD9" w:rsidRPr="00C315AC" w:rsidRDefault="009D4BD9" w:rsidP="00291CC2">
      <w:pPr>
        <w:tabs>
          <w:tab w:val="left" w:pos="360"/>
        </w:tabs>
        <w:ind w:right="990"/>
        <w:rPr>
          <w:noProof/>
          <w:sz w:val="24"/>
          <w:szCs w:val="24"/>
        </w:rPr>
      </w:pPr>
    </w:p>
    <w:p w:rsidR="00176544" w:rsidRPr="00176544" w:rsidRDefault="00176544" w:rsidP="00176544">
      <w:pPr>
        <w:ind w:right="990" w:firstLine="720"/>
        <w:rPr>
          <w:sz w:val="24"/>
          <w:szCs w:val="24"/>
        </w:rPr>
      </w:pPr>
      <w:r w:rsidRPr="00176544">
        <w:rPr>
          <w:sz w:val="24"/>
          <w:szCs w:val="24"/>
        </w:rPr>
        <w:t xml:space="preserve">The Interim Final Rule contains information collection requirements, which have been previously submitted by HUD and approved by OMB under the OMB Control No. 2502-0265. </w:t>
      </w:r>
      <w:r>
        <w:rPr>
          <w:sz w:val="24"/>
          <w:szCs w:val="24"/>
        </w:rPr>
        <w:t xml:space="preserve"> </w:t>
      </w:r>
      <w:r w:rsidRPr="00176544">
        <w:rPr>
          <w:sz w:val="24"/>
          <w:szCs w:val="24"/>
        </w:rPr>
        <w:t>As part of that collection, HUD has previously estimated that 52% of the paperwork costs associated with the GFE are borne by small business and that 38% of the closings are performed by small business.</w:t>
      </w:r>
      <w:r>
        <w:rPr>
          <w:sz w:val="24"/>
          <w:szCs w:val="24"/>
        </w:rPr>
        <w:t xml:space="preserve">  </w:t>
      </w:r>
      <w:r w:rsidRPr="00176544">
        <w:rPr>
          <w:sz w:val="24"/>
          <w:szCs w:val="24"/>
        </w:rPr>
        <w:t>The Interim Final Rule adds no additional information collection req</w:t>
      </w:r>
      <w:r>
        <w:rPr>
          <w:sz w:val="24"/>
          <w:szCs w:val="24"/>
        </w:rPr>
        <w:t>uirements.</w:t>
      </w:r>
    </w:p>
    <w:p w:rsidR="00104DEC" w:rsidRPr="00C315AC" w:rsidRDefault="00104DEC" w:rsidP="00291CC2">
      <w:pPr>
        <w:ind w:left="360" w:right="990"/>
        <w:rPr>
          <w:sz w:val="24"/>
          <w:szCs w:val="24"/>
        </w:rPr>
      </w:pPr>
    </w:p>
    <w:p w:rsidR="00DB229D" w:rsidRPr="004D683B" w:rsidRDefault="00DB229D" w:rsidP="00DB229D">
      <w:pPr>
        <w:pStyle w:val="CM12"/>
        <w:spacing w:line="276" w:lineRule="atLeast"/>
      </w:pPr>
      <w:r w:rsidRPr="004D683B">
        <w:rPr>
          <w:b/>
          <w:bCs/>
        </w:rPr>
        <w:t xml:space="preserve">6.  </w:t>
      </w:r>
      <w:r w:rsidRPr="004D683B">
        <w:rPr>
          <w:b/>
          <w:bCs/>
          <w:u w:val="single"/>
        </w:rPr>
        <w:t>Consequences of Less Frequent Collection and Obstacles to Burden Reduction</w:t>
      </w:r>
    </w:p>
    <w:p w:rsidR="009D4BD9" w:rsidRDefault="009D4BD9" w:rsidP="009D4BD9">
      <w:pPr>
        <w:ind w:right="990"/>
        <w:rPr>
          <w:sz w:val="24"/>
          <w:szCs w:val="24"/>
        </w:rPr>
      </w:pPr>
    </w:p>
    <w:p w:rsidR="00104DEC" w:rsidRPr="00C315AC" w:rsidRDefault="00104DEC" w:rsidP="00DB229D">
      <w:pPr>
        <w:ind w:right="990" w:firstLine="720"/>
        <w:rPr>
          <w:sz w:val="24"/>
          <w:szCs w:val="24"/>
        </w:rPr>
      </w:pPr>
      <w:r w:rsidRPr="00C315AC">
        <w:rPr>
          <w:sz w:val="24"/>
          <w:szCs w:val="24"/>
        </w:rPr>
        <w:t xml:space="preserve">This information is not submitted to the </w:t>
      </w:r>
      <w:r w:rsidR="00F33F0B" w:rsidRPr="00C315AC">
        <w:rPr>
          <w:sz w:val="24"/>
          <w:szCs w:val="24"/>
        </w:rPr>
        <w:t>federal government</w:t>
      </w:r>
      <w:r w:rsidRPr="00C315AC">
        <w:rPr>
          <w:sz w:val="24"/>
          <w:szCs w:val="24"/>
        </w:rPr>
        <w:t xml:space="preserve">.  These third-party disclosures are required by statute, 12 U.S.C. 2601 </w:t>
      </w:r>
      <w:r w:rsidRPr="00615F84">
        <w:rPr>
          <w:i/>
          <w:sz w:val="24"/>
          <w:szCs w:val="24"/>
        </w:rPr>
        <w:t>et seq</w:t>
      </w:r>
      <w:r w:rsidRPr="00615F84">
        <w:rPr>
          <w:sz w:val="24"/>
          <w:szCs w:val="24"/>
        </w:rPr>
        <w:t>.</w:t>
      </w:r>
      <w:r w:rsidR="00F47789" w:rsidRPr="00BD0784">
        <w:rPr>
          <w:sz w:val="24"/>
          <w:szCs w:val="24"/>
        </w:rPr>
        <w:t>,</w:t>
      </w:r>
      <w:r w:rsidR="00176544">
        <w:rPr>
          <w:sz w:val="24"/>
          <w:szCs w:val="24"/>
        </w:rPr>
        <w:t xml:space="preserve"> </w:t>
      </w:r>
      <w:r w:rsidRPr="00C315AC">
        <w:rPr>
          <w:sz w:val="24"/>
          <w:szCs w:val="24"/>
        </w:rPr>
        <w:t xml:space="preserve">and regulations.  </w:t>
      </w:r>
      <w:r w:rsidRPr="00C315AC">
        <w:rPr>
          <w:noProof/>
          <w:sz w:val="24"/>
          <w:szCs w:val="24"/>
        </w:rPr>
        <w:t>The burdens on respondents are the minimum necessary to comply with the statute, and to assist borrowers in comparison shopping for loans and tracking escrow funds.</w:t>
      </w:r>
    </w:p>
    <w:p w:rsidR="00104DEC" w:rsidRPr="00C315AC" w:rsidRDefault="00104DEC" w:rsidP="00291CC2">
      <w:pPr>
        <w:tabs>
          <w:tab w:val="left" w:pos="360"/>
          <w:tab w:val="left" w:pos="720"/>
        </w:tabs>
        <w:ind w:right="990"/>
        <w:rPr>
          <w:sz w:val="24"/>
          <w:szCs w:val="24"/>
        </w:rPr>
      </w:pPr>
    </w:p>
    <w:p w:rsidR="00DB229D" w:rsidRPr="004D683B" w:rsidRDefault="00DB229D" w:rsidP="00DB229D">
      <w:pPr>
        <w:pStyle w:val="Default"/>
        <w:rPr>
          <w:b/>
          <w:bCs/>
          <w:u w:val="single"/>
        </w:rPr>
      </w:pPr>
      <w:r w:rsidRPr="004D683B">
        <w:rPr>
          <w:b/>
          <w:bCs/>
        </w:rPr>
        <w:t xml:space="preserve">7.  </w:t>
      </w:r>
      <w:r w:rsidRPr="004D683B">
        <w:rPr>
          <w:b/>
          <w:bCs/>
          <w:u w:val="single"/>
        </w:rPr>
        <w:t>Circumstances Requiring Special Information Collection</w:t>
      </w:r>
    </w:p>
    <w:p w:rsidR="00DB229D" w:rsidRDefault="00DB229D" w:rsidP="00DB229D">
      <w:pPr>
        <w:ind w:right="990"/>
        <w:rPr>
          <w:noProof/>
          <w:sz w:val="24"/>
          <w:szCs w:val="24"/>
        </w:rPr>
      </w:pPr>
    </w:p>
    <w:p w:rsidR="00104DEC" w:rsidRPr="00C315AC" w:rsidRDefault="00104DEC" w:rsidP="00DB229D">
      <w:pPr>
        <w:ind w:right="990" w:firstLine="720"/>
        <w:rPr>
          <w:noProof/>
          <w:sz w:val="24"/>
          <w:szCs w:val="24"/>
        </w:rPr>
      </w:pPr>
      <w:r w:rsidRPr="00C315AC">
        <w:rPr>
          <w:noProof/>
          <w:sz w:val="24"/>
          <w:szCs w:val="24"/>
        </w:rPr>
        <w:t xml:space="preserve">Information is not reported to </w:t>
      </w:r>
      <w:r w:rsidR="003A7A8E" w:rsidRPr="00C315AC">
        <w:rPr>
          <w:noProof/>
          <w:sz w:val="24"/>
          <w:szCs w:val="24"/>
        </w:rPr>
        <w:t xml:space="preserve">the </w:t>
      </w:r>
      <w:r w:rsidR="009D4BD9">
        <w:rPr>
          <w:noProof/>
          <w:sz w:val="24"/>
          <w:szCs w:val="24"/>
        </w:rPr>
        <w:t>CFPB</w:t>
      </w:r>
      <w:r w:rsidRPr="00C315AC">
        <w:rPr>
          <w:noProof/>
          <w:sz w:val="24"/>
          <w:szCs w:val="24"/>
        </w:rPr>
        <w:t xml:space="preserve">.  </w:t>
      </w:r>
      <w:r w:rsidR="00B93DA7">
        <w:rPr>
          <w:noProof/>
          <w:sz w:val="24"/>
          <w:szCs w:val="24"/>
        </w:rPr>
        <w:t>By law, r</w:t>
      </w:r>
      <w:r w:rsidRPr="00C315AC">
        <w:rPr>
          <w:noProof/>
          <w:sz w:val="24"/>
          <w:szCs w:val="24"/>
        </w:rPr>
        <w:t>espondents are required to keep records (HUD-1</w:t>
      </w:r>
      <w:r w:rsidR="00F33F0B" w:rsidRPr="00C315AC">
        <w:rPr>
          <w:noProof/>
          <w:sz w:val="24"/>
          <w:szCs w:val="24"/>
        </w:rPr>
        <w:t>/1-A</w:t>
      </w:r>
      <w:r w:rsidRPr="00C315AC">
        <w:rPr>
          <w:noProof/>
          <w:sz w:val="24"/>
          <w:szCs w:val="24"/>
        </w:rPr>
        <w:t xml:space="preserve">, </w:t>
      </w:r>
      <w:r w:rsidR="0044631F">
        <w:rPr>
          <w:noProof/>
          <w:sz w:val="24"/>
          <w:szCs w:val="24"/>
        </w:rPr>
        <w:t xml:space="preserve">affiliated business arrangement disclosures, </w:t>
      </w:r>
      <w:r w:rsidRPr="00C315AC">
        <w:rPr>
          <w:noProof/>
          <w:sz w:val="24"/>
          <w:szCs w:val="24"/>
        </w:rPr>
        <w:t xml:space="preserve">escrow account records) for five years.  </w:t>
      </w:r>
      <w:r w:rsidR="00AB7FD0">
        <w:rPr>
          <w:sz w:val="24"/>
          <w:szCs w:val="24"/>
        </w:rPr>
        <w:t xml:space="preserve">The collection of information in Regulation X are consistent with the applicable guidelines contained in </w:t>
      </w:r>
      <w:r w:rsidR="00B93DA7" w:rsidRPr="00B93DA7">
        <w:rPr>
          <w:sz w:val="24"/>
          <w:szCs w:val="24"/>
        </w:rPr>
        <w:t>5 CFR 1320.5(d)(2).</w:t>
      </w:r>
    </w:p>
    <w:p w:rsidR="00F47789" w:rsidRDefault="00F47789" w:rsidP="00291CC2">
      <w:pPr>
        <w:ind w:left="360" w:right="990"/>
        <w:rPr>
          <w:noProof/>
          <w:sz w:val="24"/>
          <w:szCs w:val="24"/>
        </w:rPr>
      </w:pPr>
    </w:p>
    <w:p w:rsidR="00DB229D" w:rsidRPr="004D683B" w:rsidRDefault="00DB229D" w:rsidP="00DB229D">
      <w:pPr>
        <w:pStyle w:val="CM12"/>
        <w:spacing w:line="276" w:lineRule="atLeast"/>
        <w:rPr>
          <w:b/>
          <w:bCs/>
          <w:u w:val="single"/>
        </w:rPr>
      </w:pPr>
      <w:r w:rsidRPr="004D683B">
        <w:rPr>
          <w:b/>
          <w:bCs/>
        </w:rPr>
        <w:t xml:space="preserve">8.  </w:t>
      </w:r>
      <w:r w:rsidRPr="004D683B">
        <w:rPr>
          <w:b/>
          <w:bCs/>
          <w:u w:val="single"/>
        </w:rPr>
        <w:t>Consultation Outside the Agency</w:t>
      </w:r>
    </w:p>
    <w:p w:rsidR="00DB229D" w:rsidRPr="00C315AC" w:rsidRDefault="00DB229D" w:rsidP="00291CC2">
      <w:pPr>
        <w:ind w:left="360" w:right="990"/>
        <w:rPr>
          <w:noProof/>
          <w:sz w:val="24"/>
          <w:szCs w:val="24"/>
        </w:rPr>
      </w:pPr>
    </w:p>
    <w:p w:rsidR="0060731A" w:rsidRPr="0060731A" w:rsidRDefault="0060731A" w:rsidP="0060731A">
      <w:pPr>
        <w:ind w:firstLine="720"/>
        <w:rPr>
          <w:bCs/>
          <w:noProof/>
          <w:sz w:val="24"/>
          <w:szCs w:val="24"/>
        </w:rPr>
      </w:pPr>
      <w:r w:rsidRPr="0060731A">
        <w:rPr>
          <w:bCs/>
          <w:noProof/>
          <w:sz w:val="24"/>
          <w:szCs w:val="24"/>
        </w:rPr>
        <w:t>This notice of interim final rule was published in the Federal Register (76 FR 78</w:t>
      </w:r>
      <w:r>
        <w:rPr>
          <w:bCs/>
          <w:noProof/>
          <w:sz w:val="24"/>
          <w:szCs w:val="24"/>
        </w:rPr>
        <w:t>978</w:t>
      </w:r>
      <w:r w:rsidRPr="0060731A">
        <w:rPr>
          <w:bCs/>
          <w:noProof/>
          <w:sz w:val="24"/>
          <w:szCs w:val="24"/>
        </w:rPr>
        <w:t xml:space="preserve">), on December </w:t>
      </w:r>
      <w:r>
        <w:rPr>
          <w:bCs/>
          <w:noProof/>
          <w:sz w:val="24"/>
          <w:szCs w:val="24"/>
        </w:rPr>
        <w:t xml:space="preserve">20, </w:t>
      </w:r>
      <w:r w:rsidRPr="0060731A">
        <w:rPr>
          <w:bCs/>
          <w:noProof/>
          <w:sz w:val="24"/>
          <w:szCs w:val="24"/>
        </w:rPr>
        <w:t xml:space="preserve">2011, and provided the public a 60-day period in which to review and provide public comments relating to any aspect of the interim final rule.  </w:t>
      </w:r>
    </w:p>
    <w:p w:rsidR="0060731A" w:rsidRPr="0060731A" w:rsidRDefault="0060731A" w:rsidP="0060731A">
      <w:pPr>
        <w:rPr>
          <w:bCs/>
          <w:noProof/>
          <w:sz w:val="24"/>
          <w:szCs w:val="24"/>
        </w:rPr>
      </w:pPr>
      <w:r w:rsidRPr="0060731A">
        <w:rPr>
          <w:bCs/>
          <w:noProof/>
          <w:sz w:val="24"/>
          <w:szCs w:val="24"/>
        </w:rPr>
        <w:t xml:space="preserve"> </w:t>
      </w:r>
    </w:p>
    <w:p w:rsidR="0060731A" w:rsidRPr="0060731A" w:rsidRDefault="0060731A" w:rsidP="0060731A">
      <w:pPr>
        <w:ind w:firstLine="720"/>
        <w:rPr>
          <w:bCs/>
          <w:noProof/>
          <w:sz w:val="24"/>
          <w:szCs w:val="24"/>
        </w:rPr>
      </w:pPr>
      <w:r w:rsidRPr="0060731A">
        <w:rPr>
          <w:bCs/>
          <w:noProof/>
          <w:sz w:val="24"/>
          <w:szCs w:val="24"/>
        </w:rPr>
        <w:t xml:space="preserve">In response to the Federal Register notice (77 FR 2685), dated January 19, 2012, we received no comments during the comment period regarding this interim final rule.  </w:t>
      </w:r>
    </w:p>
    <w:p w:rsidR="00DB229D" w:rsidRPr="004D683B" w:rsidRDefault="00DB229D" w:rsidP="00DB229D">
      <w:pPr>
        <w:rPr>
          <w:sz w:val="24"/>
          <w:szCs w:val="24"/>
        </w:rPr>
      </w:pPr>
    </w:p>
    <w:p w:rsidR="00DB229D" w:rsidRPr="004D683B" w:rsidRDefault="00DB229D" w:rsidP="00DB229D">
      <w:pPr>
        <w:pStyle w:val="Default"/>
        <w:tabs>
          <w:tab w:val="left" w:pos="720"/>
        </w:tabs>
        <w:rPr>
          <w:color w:val="auto"/>
        </w:rPr>
      </w:pPr>
      <w:r w:rsidRPr="004D683B">
        <w:rPr>
          <w:b/>
          <w:bCs/>
          <w:color w:val="auto"/>
        </w:rPr>
        <w:t xml:space="preserve">9. </w:t>
      </w:r>
      <w:r w:rsidR="00945E87">
        <w:rPr>
          <w:b/>
          <w:bCs/>
          <w:color w:val="auto"/>
        </w:rPr>
        <w:t xml:space="preserve"> </w:t>
      </w:r>
      <w:r w:rsidRPr="004D683B">
        <w:rPr>
          <w:b/>
          <w:bCs/>
          <w:color w:val="auto"/>
          <w:u w:val="single"/>
        </w:rPr>
        <w:t>Payments or Gifts to Respondents</w:t>
      </w:r>
    </w:p>
    <w:p w:rsidR="00DB229D" w:rsidRPr="004D683B" w:rsidRDefault="00DB229D" w:rsidP="00DB229D">
      <w:pPr>
        <w:ind w:left="360"/>
        <w:rPr>
          <w:sz w:val="24"/>
          <w:szCs w:val="24"/>
        </w:rPr>
      </w:pPr>
    </w:p>
    <w:p w:rsidR="00DB229D" w:rsidRPr="004D683B" w:rsidRDefault="00DB229D" w:rsidP="00DB229D">
      <w:pPr>
        <w:ind w:left="360" w:firstLine="360"/>
        <w:rPr>
          <w:sz w:val="24"/>
          <w:szCs w:val="24"/>
        </w:rPr>
      </w:pPr>
      <w:r w:rsidRPr="004D683B">
        <w:rPr>
          <w:sz w:val="24"/>
          <w:szCs w:val="24"/>
        </w:rPr>
        <w:t>Not applicable.</w:t>
      </w:r>
    </w:p>
    <w:p w:rsidR="00104DEC" w:rsidRPr="00C315AC" w:rsidRDefault="00104DEC" w:rsidP="00291CC2">
      <w:pPr>
        <w:ind w:right="990"/>
        <w:rPr>
          <w:sz w:val="24"/>
          <w:szCs w:val="24"/>
        </w:rPr>
      </w:pPr>
    </w:p>
    <w:p w:rsidR="00DB229D" w:rsidRDefault="00DB229D" w:rsidP="00DB229D">
      <w:pPr>
        <w:ind w:right="990"/>
        <w:rPr>
          <w:sz w:val="24"/>
          <w:szCs w:val="24"/>
        </w:rPr>
      </w:pPr>
      <w:r w:rsidRPr="00DB229D">
        <w:rPr>
          <w:b/>
          <w:bCs/>
          <w:sz w:val="24"/>
          <w:szCs w:val="24"/>
        </w:rPr>
        <w:t xml:space="preserve">10.  </w:t>
      </w:r>
      <w:r w:rsidRPr="004D683B">
        <w:rPr>
          <w:b/>
          <w:bCs/>
          <w:sz w:val="24"/>
          <w:szCs w:val="24"/>
          <w:u w:val="single"/>
        </w:rPr>
        <w:t>Assurances of Confidentiality</w:t>
      </w:r>
    </w:p>
    <w:p w:rsidR="00DB229D" w:rsidRDefault="00DB229D" w:rsidP="00DB229D">
      <w:pPr>
        <w:ind w:right="990" w:firstLine="720"/>
        <w:rPr>
          <w:sz w:val="24"/>
          <w:szCs w:val="24"/>
        </w:rPr>
      </w:pPr>
    </w:p>
    <w:p w:rsidR="00104DEC" w:rsidRPr="00C315AC" w:rsidRDefault="00104DEC" w:rsidP="00DB229D">
      <w:pPr>
        <w:ind w:right="990" w:firstLine="720"/>
        <w:rPr>
          <w:noProof/>
          <w:sz w:val="24"/>
          <w:szCs w:val="24"/>
        </w:rPr>
      </w:pPr>
      <w:r w:rsidRPr="00C315AC">
        <w:rPr>
          <w:sz w:val="24"/>
          <w:szCs w:val="24"/>
        </w:rPr>
        <w:t>There are no assurances of confidentiality provided to respondents.</w:t>
      </w:r>
    </w:p>
    <w:p w:rsidR="00104DEC" w:rsidRDefault="00104DEC" w:rsidP="00291CC2">
      <w:pPr>
        <w:ind w:right="990"/>
        <w:rPr>
          <w:sz w:val="24"/>
          <w:szCs w:val="24"/>
        </w:rPr>
      </w:pPr>
    </w:p>
    <w:p w:rsidR="00DB229D" w:rsidRPr="004D683B" w:rsidRDefault="00DB229D" w:rsidP="00DB229D">
      <w:pPr>
        <w:pStyle w:val="Default"/>
        <w:rPr>
          <w:color w:val="auto"/>
        </w:rPr>
      </w:pPr>
      <w:r w:rsidRPr="00DB229D">
        <w:rPr>
          <w:b/>
        </w:rPr>
        <w:t>11.</w:t>
      </w:r>
      <w:r w:rsidR="00945E87">
        <w:rPr>
          <w:b/>
        </w:rPr>
        <w:t xml:space="preserve">  </w:t>
      </w:r>
      <w:r w:rsidRPr="004D683B">
        <w:rPr>
          <w:b/>
          <w:bCs/>
          <w:color w:val="auto"/>
          <w:u w:val="single"/>
        </w:rPr>
        <w:t>Justification for Sensitive Questions</w:t>
      </w:r>
    </w:p>
    <w:p w:rsidR="00DB229D" w:rsidRPr="00C315AC" w:rsidRDefault="00DB229D" w:rsidP="00291CC2">
      <w:pPr>
        <w:ind w:right="990"/>
        <w:rPr>
          <w:sz w:val="24"/>
          <w:szCs w:val="24"/>
        </w:rPr>
      </w:pPr>
    </w:p>
    <w:p w:rsidR="00104DEC" w:rsidRPr="00C315AC" w:rsidRDefault="00104DEC" w:rsidP="00DB229D">
      <w:pPr>
        <w:ind w:right="990" w:firstLine="720"/>
        <w:rPr>
          <w:sz w:val="24"/>
          <w:szCs w:val="24"/>
        </w:rPr>
      </w:pPr>
      <w:r w:rsidRPr="00C315AC">
        <w:rPr>
          <w:sz w:val="24"/>
          <w:szCs w:val="24"/>
        </w:rPr>
        <w:t>There is no information of a sensitive nature being requested.</w:t>
      </w:r>
    </w:p>
    <w:p w:rsidR="00104DEC" w:rsidRPr="00DB229D" w:rsidRDefault="00104DEC" w:rsidP="00291CC2">
      <w:pPr>
        <w:keepNext/>
        <w:ind w:left="360" w:right="990"/>
        <w:rPr>
          <w:b/>
          <w:sz w:val="24"/>
          <w:szCs w:val="24"/>
        </w:rPr>
      </w:pPr>
    </w:p>
    <w:p w:rsidR="00846ACF" w:rsidRDefault="00DB229D" w:rsidP="00846ACF">
      <w:pPr>
        <w:pStyle w:val="Default"/>
        <w:rPr>
          <w:b/>
          <w:bCs/>
          <w:u w:val="single"/>
        </w:rPr>
      </w:pPr>
      <w:r w:rsidRPr="004D683B">
        <w:rPr>
          <w:b/>
          <w:bCs/>
        </w:rPr>
        <w:t xml:space="preserve">12.  </w:t>
      </w:r>
      <w:r w:rsidRPr="004D683B">
        <w:rPr>
          <w:b/>
          <w:bCs/>
          <w:u w:val="single"/>
        </w:rPr>
        <w:t>Estimated Burden of Information Collection</w:t>
      </w:r>
    </w:p>
    <w:p w:rsidR="00846ACF" w:rsidRDefault="00846ACF" w:rsidP="00846ACF">
      <w:pPr>
        <w:pStyle w:val="Default"/>
        <w:rPr>
          <w:b/>
          <w:bCs/>
          <w:u w:val="single"/>
        </w:rPr>
      </w:pPr>
    </w:p>
    <w:p w:rsidR="00846ACF" w:rsidRPr="00C37575" w:rsidRDefault="00846ACF" w:rsidP="00846ACF">
      <w:pPr>
        <w:pStyle w:val="Default"/>
      </w:pPr>
      <w:r w:rsidRPr="00C37575">
        <w:rPr>
          <w:u w:val="single"/>
        </w:rPr>
        <w:t>Hours:</w:t>
      </w:r>
      <w:r>
        <w:t xml:space="preserve"> 17,183,000</w:t>
      </w:r>
    </w:p>
    <w:p w:rsidR="00846ACF" w:rsidRPr="00C37575" w:rsidRDefault="00846ACF" w:rsidP="00846ACF">
      <w:pPr>
        <w:pStyle w:val="CM12"/>
        <w:spacing w:line="276" w:lineRule="atLeast"/>
      </w:pPr>
    </w:p>
    <w:p w:rsidR="00846ACF" w:rsidRDefault="00846ACF" w:rsidP="00846ACF">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X</w:t>
      </w:r>
      <w:r w:rsidRPr="00C37575">
        <w:t xml:space="preserve"> is based on the assumption that the </w:t>
      </w:r>
      <w:r>
        <w:t xml:space="preserve">total </w:t>
      </w:r>
      <w:r w:rsidRPr="00C37575">
        <w:t xml:space="preserve">ongoing burden for this regulation remains the same as it was before the regulation was restated by the CFPB.  Prior to the passage of the Dodd-Frank Act, </w:t>
      </w:r>
      <w:r w:rsidR="00A3557B">
        <w:t>HUD’s</w:t>
      </w:r>
      <w:r w:rsidR="00176544">
        <w:t xml:space="preserve"> </w:t>
      </w:r>
      <w:r w:rsidRPr="00C37575">
        <w:t xml:space="preserve">ongoing recordkeeping and disclosure burdens for </w:t>
      </w:r>
      <w:r>
        <w:t>Regulation X</w:t>
      </w:r>
      <w:r w:rsidR="00176544">
        <w:t xml:space="preserve"> </w:t>
      </w:r>
      <w:r w:rsidRPr="00C37575">
        <w:t>w</w:t>
      </w:r>
      <w:r>
        <w:t xml:space="preserve">ere approximately 17,183,000 </w:t>
      </w:r>
      <w:r w:rsidRPr="00C37575">
        <w:t xml:space="preserve">hours.  In light of the changes made by the Dodd-Frank Act, </w:t>
      </w:r>
      <w:r>
        <w:t>all 17,183,000</w:t>
      </w:r>
      <w:r w:rsidRPr="00C37575">
        <w:t xml:space="preserve"> hours of that burden is being </w:t>
      </w:r>
      <w:r w:rsidR="000F29CC">
        <w:t xml:space="preserve">transferred </w:t>
      </w:r>
      <w:r w:rsidR="00176544">
        <w:t>to the CFPB.</w:t>
      </w:r>
    </w:p>
    <w:p w:rsidR="00846ACF" w:rsidRPr="00C37575" w:rsidRDefault="00846ACF" w:rsidP="00846ACF">
      <w:pPr>
        <w:pStyle w:val="Default"/>
        <w:rPr>
          <w:color w:val="auto"/>
        </w:rPr>
      </w:pPr>
    </w:p>
    <w:p w:rsidR="00846ACF" w:rsidRPr="00C37575" w:rsidRDefault="00846ACF" w:rsidP="00846ACF">
      <w:pPr>
        <w:pStyle w:val="Default"/>
        <w:rPr>
          <w:color w:val="auto"/>
        </w:rPr>
      </w:pPr>
      <w:r w:rsidRPr="00C37575">
        <w:rPr>
          <w:color w:val="auto"/>
          <w:u w:val="single"/>
        </w:rPr>
        <w:t>Associated Labor Costs:</w:t>
      </w:r>
      <w:r>
        <w:rPr>
          <w:color w:val="auto"/>
        </w:rPr>
        <w:t xml:space="preserve">  $ 727,</w:t>
      </w:r>
      <w:r w:rsidR="0060731A">
        <w:rPr>
          <w:color w:val="auto"/>
        </w:rPr>
        <w:t>302,490</w:t>
      </w:r>
    </w:p>
    <w:p w:rsidR="00846ACF" w:rsidRPr="00C37575" w:rsidRDefault="00846ACF" w:rsidP="00846ACF">
      <w:pPr>
        <w:pStyle w:val="Default"/>
        <w:rPr>
          <w:color w:val="auto"/>
        </w:rPr>
      </w:pPr>
    </w:p>
    <w:p w:rsidR="00846ACF" w:rsidRPr="00C37575" w:rsidRDefault="00846ACF" w:rsidP="00846ACF">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w:t>
      </w:r>
      <w:r>
        <w:rPr>
          <w:color w:val="auto"/>
        </w:rPr>
        <w:t>HUD.</w:t>
      </w:r>
    </w:p>
    <w:p w:rsidR="00846ACF" w:rsidRPr="00C37575" w:rsidRDefault="00846ACF" w:rsidP="00846ACF">
      <w:pPr>
        <w:pStyle w:val="Default"/>
        <w:rPr>
          <w:color w:val="auto"/>
        </w:rPr>
      </w:pPr>
    </w:p>
    <w:p w:rsidR="00104DEC" w:rsidRPr="00846ACF" w:rsidRDefault="00846ACF" w:rsidP="00846ACF">
      <w:pPr>
        <w:pStyle w:val="Default"/>
        <w:ind w:right="720" w:firstLine="36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 xml:space="preserve">der </w:t>
      </w:r>
      <w:r>
        <w:t xml:space="preserve">Regulation X </w:t>
      </w:r>
      <w:r>
        <w:rPr>
          <w:color w:val="auto"/>
        </w:rPr>
        <w:t>are $727,</w:t>
      </w:r>
      <w:r w:rsidR="0060731A">
        <w:rPr>
          <w:color w:val="auto"/>
        </w:rPr>
        <w:t>302,490</w:t>
      </w:r>
      <w:r w:rsidRPr="00C37575">
        <w:rPr>
          <w:color w:val="auto"/>
        </w:rPr>
        <w:t xml:space="preserve">.  This estimate was calculated following </w:t>
      </w:r>
      <w:r>
        <w:rPr>
          <w:color w:val="auto"/>
        </w:rPr>
        <w:t>HUD’s</w:t>
      </w:r>
      <w:r w:rsidRPr="00C37575">
        <w:rPr>
          <w:color w:val="auto"/>
        </w:rPr>
        <w:t xml:space="preserve"> own cost analysis. </w:t>
      </w:r>
      <w:r w:rsidR="00945E87">
        <w:rPr>
          <w:color w:val="auto"/>
        </w:rPr>
        <w:t xml:space="preserve"> </w:t>
      </w:r>
      <w:r w:rsidRPr="00C37575">
        <w:rPr>
          <w:color w:val="auto"/>
        </w:rPr>
        <w:t xml:space="preserve">For a detailed breakdown of the cost analysis, please reference </w:t>
      </w:r>
      <w:r>
        <w:rPr>
          <w:color w:val="auto"/>
        </w:rPr>
        <w:t>HUD’s</w:t>
      </w:r>
      <w:r w:rsidRPr="00C37575">
        <w:rPr>
          <w:color w:val="auto"/>
        </w:rPr>
        <w:t xml:space="preserve"> supporting</w:t>
      </w:r>
      <w:r w:rsidR="00176544">
        <w:rPr>
          <w:color w:val="auto"/>
        </w:rPr>
        <w:t xml:space="preserve"> </w:t>
      </w:r>
      <w:r w:rsidRPr="00C37575">
        <w:rPr>
          <w:color w:val="auto"/>
        </w:rPr>
        <w:t xml:space="preserve">statement for </w:t>
      </w:r>
      <w:r>
        <w:t>Regulation X</w:t>
      </w:r>
      <w:r w:rsidRPr="00C37575">
        <w:rPr>
          <w:color w:val="auto"/>
        </w:rPr>
        <w:t>.</w:t>
      </w:r>
    </w:p>
    <w:p w:rsidR="00104DEC" w:rsidRPr="00945E87" w:rsidRDefault="00104DEC" w:rsidP="00291CC2">
      <w:pPr>
        <w:tabs>
          <w:tab w:val="left" w:pos="360"/>
        </w:tabs>
        <w:ind w:left="360" w:right="990"/>
        <w:rPr>
          <w:sz w:val="24"/>
          <w:szCs w:val="24"/>
        </w:rPr>
      </w:pPr>
    </w:p>
    <w:p w:rsidR="00DB229D" w:rsidRPr="004D683B" w:rsidRDefault="00DB229D" w:rsidP="00DB229D">
      <w:pPr>
        <w:pStyle w:val="CM12"/>
        <w:spacing w:line="276" w:lineRule="atLeast"/>
      </w:pPr>
      <w:r w:rsidRPr="004D683B">
        <w:rPr>
          <w:b/>
          <w:bCs/>
        </w:rPr>
        <w:t xml:space="preserve">13.  </w:t>
      </w:r>
      <w:r w:rsidRPr="004D683B">
        <w:rPr>
          <w:b/>
          <w:bCs/>
          <w:u w:val="single"/>
        </w:rPr>
        <w:t xml:space="preserve">Estimated Total Annual Cost Burden to Respondents or Recordkeepers </w:t>
      </w:r>
    </w:p>
    <w:p w:rsidR="00DB229D" w:rsidRDefault="00DB229D" w:rsidP="00DB229D">
      <w:pPr>
        <w:ind w:left="360" w:right="990"/>
        <w:rPr>
          <w:noProof/>
          <w:sz w:val="24"/>
          <w:szCs w:val="24"/>
        </w:rPr>
      </w:pPr>
    </w:p>
    <w:p w:rsidR="0060731A" w:rsidRPr="0060731A" w:rsidRDefault="0060731A" w:rsidP="0060731A">
      <w:pPr>
        <w:tabs>
          <w:tab w:val="left" w:pos="360"/>
        </w:tabs>
        <w:ind w:right="990" w:firstLine="720"/>
        <w:rPr>
          <w:noProof/>
          <w:sz w:val="24"/>
          <w:szCs w:val="24"/>
        </w:rPr>
      </w:pPr>
      <w:r w:rsidRPr="0060731A">
        <w:rPr>
          <w:noProof/>
          <w:sz w:val="24"/>
          <w:szCs w:val="24"/>
        </w:rPr>
        <w:t xml:space="preserve">As suggested by OMB, our Federal Register notice dated January 19, 2012,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individuals on this subject.  As a result, estimates of these cost burdens are not available at this time. </w:t>
      </w:r>
    </w:p>
    <w:p w:rsidR="00104DEC" w:rsidRPr="00C315AC" w:rsidRDefault="00104DEC" w:rsidP="00291CC2">
      <w:pPr>
        <w:tabs>
          <w:tab w:val="left" w:pos="360"/>
        </w:tabs>
        <w:ind w:right="990"/>
        <w:rPr>
          <w:noProof/>
          <w:sz w:val="24"/>
          <w:szCs w:val="24"/>
        </w:rPr>
      </w:pPr>
    </w:p>
    <w:p w:rsidR="00DB229D" w:rsidRPr="004D683B" w:rsidRDefault="00DB229D" w:rsidP="00DB229D">
      <w:pPr>
        <w:pStyle w:val="CM12"/>
        <w:spacing w:line="276" w:lineRule="atLeast"/>
      </w:pPr>
      <w:r w:rsidRPr="004D683B">
        <w:rPr>
          <w:b/>
          <w:bCs/>
        </w:rPr>
        <w:t xml:space="preserve">14.  </w:t>
      </w:r>
      <w:r w:rsidRPr="004D683B">
        <w:rPr>
          <w:b/>
          <w:bCs/>
          <w:u w:val="single"/>
        </w:rPr>
        <w:t>Estimated Cost to the Federal Government</w:t>
      </w:r>
    </w:p>
    <w:p w:rsidR="00DB229D" w:rsidRDefault="00DB229D" w:rsidP="00DB229D">
      <w:pPr>
        <w:ind w:left="360" w:right="990"/>
        <w:rPr>
          <w:sz w:val="24"/>
          <w:szCs w:val="24"/>
        </w:rPr>
      </w:pPr>
    </w:p>
    <w:p w:rsidR="00104DEC" w:rsidRPr="00C315AC" w:rsidRDefault="00846ACF" w:rsidP="00DB229D">
      <w:pPr>
        <w:ind w:right="990" w:firstLine="720"/>
        <w:rPr>
          <w:sz w:val="24"/>
          <w:szCs w:val="24"/>
        </w:rPr>
      </w:pPr>
      <w:r>
        <w:rPr>
          <w:sz w:val="24"/>
          <w:szCs w:val="24"/>
        </w:rPr>
        <w:t>None.</w:t>
      </w:r>
    </w:p>
    <w:p w:rsidR="00104DEC" w:rsidRDefault="00104DEC" w:rsidP="00291CC2">
      <w:pPr>
        <w:tabs>
          <w:tab w:val="left" w:pos="360"/>
        </w:tabs>
        <w:ind w:right="990"/>
        <w:rPr>
          <w:sz w:val="24"/>
          <w:szCs w:val="24"/>
        </w:rPr>
      </w:pPr>
    </w:p>
    <w:p w:rsidR="00DB229D" w:rsidRPr="004D683B" w:rsidRDefault="00DB229D" w:rsidP="00DB229D">
      <w:pPr>
        <w:pStyle w:val="Default"/>
        <w:rPr>
          <w:b/>
          <w:bCs/>
          <w:u w:val="single"/>
        </w:rPr>
      </w:pPr>
      <w:r w:rsidRPr="004D683B">
        <w:rPr>
          <w:b/>
          <w:bCs/>
        </w:rPr>
        <w:t xml:space="preserve">15.  </w:t>
      </w:r>
      <w:r w:rsidRPr="004D683B">
        <w:rPr>
          <w:b/>
          <w:bCs/>
          <w:u w:val="single"/>
        </w:rPr>
        <w:t>Program Changes or Adjustments</w:t>
      </w:r>
    </w:p>
    <w:p w:rsidR="00DB229D" w:rsidRPr="00C315AC" w:rsidRDefault="00DB229D" w:rsidP="00291CC2">
      <w:pPr>
        <w:tabs>
          <w:tab w:val="left" w:pos="360"/>
        </w:tabs>
        <w:ind w:right="990"/>
        <w:rPr>
          <w:sz w:val="24"/>
          <w:szCs w:val="24"/>
        </w:rPr>
      </w:pPr>
    </w:p>
    <w:p w:rsidR="00105852" w:rsidRPr="00105852" w:rsidRDefault="00105852" w:rsidP="00105852">
      <w:pPr>
        <w:ind w:right="990" w:firstLine="720"/>
        <w:rPr>
          <w:sz w:val="24"/>
          <w:szCs w:val="24"/>
        </w:rPr>
      </w:pPr>
      <w:r w:rsidRPr="00105852">
        <w:rPr>
          <w:sz w:val="24"/>
          <w:szCs w:val="24"/>
        </w:rPr>
        <w:t xml:space="preserve">There were no changes made to the document that resulted in any change to the burden previously reported to OMB. </w:t>
      </w:r>
    </w:p>
    <w:p w:rsidR="00105852" w:rsidRPr="00105852" w:rsidRDefault="00105852" w:rsidP="00105852">
      <w:pPr>
        <w:tabs>
          <w:tab w:val="left" w:pos="360"/>
        </w:tabs>
        <w:ind w:left="360" w:right="990"/>
        <w:rPr>
          <w:sz w:val="24"/>
          <w:szCs w:val="24"/>
        </w:rPr>
      </w:pPr>
    </w:p>
    <w:p w:rsidR="00105852" w:rsidRPr="00105852" w:rsidRDefault="00105852" w:rsidP="00105852">
      <w:pPr>
        <w:ind w:left="720" w:right="990"/>
        <w:rPr>
          <w:sz w:val="24"/>
          <w:szCs w:val="24"/>
        </w:rPr>
      </w:pPr>
      <w:r w:rsidRPr="00105852">
        <w:rPr>
          <w:sz w:val="24"/>
          <w:szCs w:val="24"/>
        </w:rPr>
        <w:t>We are making this submission to renew the OMB approval.</w:t>
      </w:r>
    </w:p>
    <w:p w:rsidR="00104DEC" w:rsidRPr="00C315AC" w:rsidRDefault="00104DEC" w:rsidP="00291CC2">
      <w:pPr>
        <w:tabs>
          <w:tab w:val="left" w:pos="360"/>
        </w:tabs>
        <w:ind w:left="360" w:right="990"/>
        <w:rPr>
          <w:sz w:val="24"/>
          <w:szCs w:val="24"/>
        </w:rPr>
      </w:pPr>
    </w:p>
    <w:p w:rsidR="00DB229D" w:rsidRPr="004D683B" w:rsidRDefault="00DB229D" w:rsidP="00DB229D">
      <w:pPr>
        <w:pStyle w:val="CM12"/>
        <w:spacing w:line="276" w:lineRule="atLeast"/>
      </w:pPr>
      <w:r w:rsidRPr="004D683B">
        <w:rPr>
          <w:b/>
          <w:bCs/>
        </w:rPr>
        <w:t xml:space="preserve">16.  </w:t>
      </w:r>
      <w:r w:rsidRPr="004D683B">
        <w:rPr>
          <w:b/>
          <w:bCs/>
          <w:u w:val="single"/>
        </w:rPr>
        <w:t>Plans for Tabulation, Statistical Analysis, and Publication</w:t>
      </w:r>
    </w:p>
    <w:p w:rsidR="00DB229D" w:rsidRDefault="00DB229D" w:rsidP="00DB229D">
      <w:pPr>
        <w:tabs>
          <w:tab w:val="left" w:pos="720"/>
        </w:tabs>
        <w:ind w:right="990"/>
        <w:rPr>
          <w:sz w:val="24"/>
          <w:szCs w:val="24"/>
        </w:rPr>
      </w:pPr>
    </w:p>
    <w:p w:rsidR="00104DEC" w:rsidRPr="00C315AC" w:rsidRDefault="00DB229D" w:rsidP="00DB229D">
      <w:pPr>
        <w:tabs>
          <w:tab w:val="left" w:pos="720"/>
        </w:tabs>
        <w:ind w:right="990"/>
        <w:rPr>
          <w:sz w:val="24"/>
          <w:szCs w:val="24"/>
        </w:rPr>
      </w:pPr>
      <w:r>
        <w:rPr>
          <w:sz w:val="24"/>
          <w:szCs w:val="24"/>
        </w:rPr>
        <w:tab/>
      </w:r>
      <w:r w:rsidR="00104DEC" w:rsidRPr="00C315AC">
        <w:rPr>
          <w:sz w:val="24"/>
          <w:szCs w:val="24"/>
        </w:rPr>
        <w:t>The results of the information collection will not be published.</w:t>
      </w:r>
    </w:p>
    <w:p w:rsidR="00104DEC" w:rsidRPr="00C315AC" w:rsidRDefault="00104DEC" w:rsidP="00291CC2">
      <w:pPr>
        <w:tabs>
          <w:tab w:val="left" w:pos="720"/>
        </w:tabs>
        <w:ind w:left="720" w:right="990" w:hanging="360"/>
        <w:rPr>
          <w:sz w:val="24"/>
          <w:szCs w:val="24"/>
        </w:rPr>
      </w:pPr>
    </w:p>
    <w:p w:rsidR="00DB229D" w:rsidRPr="004D683B" w:rsidRDefault="00DB229D" w:rsidP="00DB229D">
      <w:pPr>
        <w:pStyle w:val="Default"/>
        <w:rPr>
          <w:b/>
          <w:bCs/>
          <w:color w:val="auto"/>
          <w:u w:val="single"/>
        </w:rPr>
      </w:pPr>
      <w:r w:rsidRPr="004D683B">
        <w:rPr>
          <w:b/>
          <w:bCs/>
          <w:color w:val="auto"/>
        </w:rPr>
        <w:t>17.</w:t>
      </w:r>
      <w:r w:rsidRPr="004D683B">
        <w:rPr>
          <w:b/>
          <w:bCs/>
          <w:color w:val="auto"/>
          <w:u w:val="single"/>
        </w:rPr>
        <w:t xml:space="preserve">  Display of Expiration Date</w:t>
      </w:r>
    </w:p>
    <w:p w:rsidR="00DB229D" w:rsidRDefault="00DB229D" w:rsidP="00DB229D">
      <w:pPr>
        <w:tabs>
          <w:tab w:val="left" w:pos="720"/>
        </w:tabs>
        <w:ind w:right="990"/>
        <w:rPr>
          <w:sz w:val="24"/>
          <w:szCs w:val="24"/>
        </w:rPr>
      </w:pPr>
    </w:p>
    <w:p w:rsidR="00105852" w:rsidRPr="00105852" w:rsidRDefault="00DB229D" w:rsidP="00105852">
      <w:pPr>
        <w:tabs>
          <w:tab w:val="left" w:pos="720"/>
        </w:tabs>
        <w:ind w:right="990"/>
        <w:rPr>
          <w:sz w:val="24"/>
          <w:szCs w:val="24"/>
        </w:rPr>
      </w:pPr>
      <w:r>
        <w:rPr>
          <w:sz w:val="24"/>
          <w:szCs w:val="24"/>
        </w:rPr>
        <w:tab/>
      </w:r>
      <w:r w:rsidR="00105852" w:rsidRPr="00105852">
        <w:rPr>
          <w:sz w:val="24"/>
          <w:szCs w:val="24"/>
        </w:rPr>
        <w:t>We believe that displaying the OMB expiration date is inappropriate because it could cause confusion by leading consumers to believe that the regulation sunsets as of the expiration date.  Consumers are not likely to be aware that the Bureau intends to request renewal of OMB approval and obtain a new expiration date before the old one expires.</w:t>
      </w:r>
    </w:p>
    <w:p w:rsidR="00B66CBC" w:rsidRDefault="00B66CBC" w:rsidP="00B66CBC">
      <w:pPr>
        <w:tabs>
          <w:tab w:val="left" w:pos="720"/>
        </w:tabs>
        <w:ind w:right="990"/>
        <w:rPr>
          <w:sz w:val="24"/>
          <w:szCs w:val="24"/>
        </w:rPr>
      </w:pPr>
    </w:p>
    <w:p w:rsidR="009D4BD9" w:rsidRPr="004D683B" w:rsidRDefault="009D4BD9" w:rsidP="009D4BD9">
      <w:pPr>
        <w:pStyle w:val="Default"/>
      </w:pPr>
      <w:r w:rsidRPr="004D683B">
        <w:rPr>
          <w:b/>
          <w:bCs/>
          <w:color w:val="auto"/>
        </w:rPr>
        <w:t>18.</w:t>
      </w:r>
      <w:r w:rsidR="00945E87">
        <w:rPr>
          <w:b/>
          <w:bCs/>
          <w:color w:val="auto"/>
        </w:rPr>
        <w:t xml:space="preserve"> </w:t>
      </w:r>
      <w:r w:rsidRPr="004D683B">
        <w:rPr>
          <w:b/>
          <w:bCs/>
          <w:color w:val="auto"/>
        </w:rPr>
        <w:t xml:space="preserve"> </w:t>
      </w:r>
      <w:r w:rsidRPr="004D683B">
        <w:rPr>
          <w:b/>
          <w:bCs/>
          <w:color w:val="auto"/>
          <w:u w:val="single"/>
        </w:rPr>
        <w:t>Exceptions to the Certification Requirement</w:t>
      </w:r>
    </w:p>
    <w:p w:rsidR="009D4BD9" w:rsidRDefault="009D4BD9" w:rsidP="00291CC2">
      <w:pPr>
        <w:tabs>
          <w:tab w:val="left" w:pos="360"/>
        </w:tabs>
        <w:ind w:right="990"/>
        <w:rPr>
          <w:sz w:val="24"/>
          <w:szCs w:val="24"/>
        </w:rPr>
      </w:pPr>
    </w:p>
    <w:p w:rsidR="00105852" w:rsidRPr="00105852" w:rsidRDefault="00105852" w:rsidP="00105852">
      <w:pPr>
        <w:tabs>
          <w:tab w:val="left" w:pos="360"/>
        </w:tabs>
        <w:ind w:right="990" w:firstLine="720"/>
        <w:rPr>
          <w:sz w:val="24"/>
          <w:szCs w:val="24"/>
        </w:rPr>
      </w:pPr>
      <w:r w:rsidRPr="00105852">
        <w:rPr>
          <w:sz w:val="24"/>
          <w:szCs w:val="24"/>
        </w:rPr>
        <w:t>None.</w:t>
      </w:r>
    </w:p>
    <w:p w:rsidR="00105852" w:rsidRPr="00105852" w:rsidRDefault="00105852" w:rsidP="00105852">
      <w:pPr>
        <w:tabs>
          <w:tab w:val="left" w:pos="360"/>
        </w:tabs>
        <w:ind w:right="990" w:firstLine="720"/>
        <w:rPr>
          <w:sz w:val="24"/>
          <w:szCs w:val="24"/>
        </w:rPr>
      </w:pPr>
    </w:p>
    <w:p w:rsidR="00105852" w:rsidRPr="00105852" w:rsidRDefault="00105852" w:rsidP="00105852">
      <w:pPr>
        <w:tabs>
          <w:tab w:val="left" w:pos="360"/>
        </w:tabs>
        <w:ind w:right="990" w:firstLine="720"/>
        <w:rPr>
          <w:sz w:val="24"/>
          <w:szCs w:val="24"/>
        </w:rPr>
      </w:pPr>
      <w:r w:rsidRPr="00105852">
        <w:rPr>
          <w:b/>
          <w:sz w:val="24"/>
          <w:szCs w:val="24"/>
          <w:u w:val="single"/>
        </w:rPr>
        <w:lastRenderedPageBreak/>
        <w:t>Note</w:t>
      </w:r>
      <w:r w:rsidRPr="00105852">
        <w:rPr>
          <w:sz w:val="24"/>
          <w:szCs w:val="24"/>
        </w:rPr>
        <w:t>:</w:t>
      </w:r>
      <w:r w:rsidRPr="00105852">
        <w:rPr>
          <w:sz w:val="24"/>
          <w:szCs w:val="24"/>
        </w:rPr>
        <w:tab/>
        <w:t>The following paragraph applies to all of the collections of information in this submission:</w:t>
      </w:r>
    </w:p>
    <w:p w:rsidR="00105852" w:rsidRPr="00105852" w:rsidRDefault="00105852" w:rsidP="00105852">
      <w:pPr>
        <w:tabs>
          <w:tab w:val="left" w:pos="360"/>
        </w:tabs>
        <w:ind w:right="990" w:firstLine="720"/>
        <w:rPr>
          <w:sz w:val="24"/>
          <w:szCs w:val="24"/>
        </w:rPr>
      </w:pPr>
    </w:p>
    <w:p w:rsidR="00105852" w:rsidRPr="00105852" w:rsidRDefault="00105852" w:rsidP="00105852">
      <w:pPr>
        <w:tabs>
          <w:tab w:val="left" w:pos="360"/>
        </w:tabs>
        <w:ind w:right="990" w:firstLine="720"/>
        <w:rPr>
          <w:sz w:val="24"/>
          <w:szCs w:val="24"/>
        </w:rPr>
      </w:pPr>
      <w:r w:rsidRPr="00105852">
        <w:rPr>
          <w:sz w:val="24"/>
          <w:szCs w:val="24"/>
        </w:rPr>
        <w:t>An agency may not conduct or sponsor, and a person is not required to respond to, a collection of information unless the collection of information displays a valid OMB control number.</w:t>
      </w:r>
    </w:p>
    <w:p w:rsidR="00105852" w:rsidRPr="00105852" w:rsidRDefault="00105852" w:rsidP="00105852">
      <w:pPr>
        <w:tabs>
          <w:tab w:val="left" w:pos="360"/>
        </w:tabs>
        <w:ind w:right="990" w:firstLine="720"/>
        <w:rPr>
          <w:sz w:val="24"/>
          <w:szCs w:val="24"/>
        </w:rPr>
      </w:pPr>
    </w:p>
    <w:p w:rsidR="00105852" w:rsidRPr="00105852" w:rsidRDefault="00105852" w:rsidP="00105852">
      <w:pPr>
        <w:tabs>
          <w:tab w:val="left" w:pos="360"/>
        </w:tabs>
        <w:ind w:right="990" w:firstLine="720"/>
        <w:rPr>
          <w:sz w:val="24"/>
          <w:szCs w:val="24"/>
        </w:rPr>
      </w:pPr>
    </w:p>
    <w:p w:rsidR="00105852" w:rsidRPr="00105852" w:rsidRDefault="00105852" w:rsidP="00105852">
      <w:pPr>
        <w:tabs>
          <w:tab w:val="left" w:pos="360"/>
        </w:tabs>
        <w:ind w:right="990" w:firstLine="720"/>
        <w:rPr>
          <w:sz w:val="24"/>
          <w:szCs w:val="24"/>
        </w:rPr>
      </w:pPr>
    </w:p>
    <w:p w:rsidR="00104DEC" w:rsidRPr="00DB229D" w:rsidRDefault="00104DEC" w:rsidP="00105852">
      <w:pPr>
        <w:tabs>
          <w:tab w:val="left" w:pos="360"/>
        </w:tabs>
        <w:ind w:right="990" w:firstLine="720"/>
        <w:rPr>
          <w:sz w:val="23"/>
          <w:szCs w:val="23"/>
        </w:rPr>
      </w:pPr>
    </w:p>
    <w:sectPr w:rsidR="00104DEC" w:rsidRPr="00DB229D" w:rsidSect="00291CC2">
      <w:headerReference w:type="default" r:id="rId9"/>
      <w:footerReference w:type="even" r:id="rId10"/>
      <w:footerReference w:type="default" r:id="rId11"/>
      <w:pgSz w:w="12240" w:h="15840"/>
      <w:pgMar w:top="1440" w:right="1440" w:bottom="1440" w:left="1440" w:header="475" w:footer="475" w:gutter="0"/>
      <w:cols w:space="480" w:equalWidth="0">
        <w:col w:w="10181"/>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49" w:rsidRDefault="00A31749">
      <w:r>
        <w:separator/>
      </w:r>
    </w:p>
  </w:endnote>
  <w:endnote w:type="continuationSeparator" w:id="0">
    <w:p w:rsidR="00A31749" w:rsidRDefault="00A3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1A" w:rsidRDefault="006073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31A" w:rsidRDefault="00607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1A" w:rsidRDefault="006073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0833">
      <w:rPr>
        <w:rStyle w:val="PageNumber"/>
        <w:noProof/>
      </w:rPr>
      <w:t>6</w:t>
    </w:r>
    <w:r>
      <w:rPr>
        <w:rStyle w:val="PageNumber"/>
      </w:rPr>
      <w:fldChar w:fldCharType="end"/>
    </w:r>
  </w:p>
  <w:p w:rsidR="0060731A" w:rsidRDefault="0060731A">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49" w:rsidRDefault="00A31749">
      <w:r>
        <w:separator/>
      </w:r>
    </w:p>
  </w:footnote>
  <w:footnote w:type="continuationSeparator" w:id="0">
    <w:p w:rsidR="00A31749" w:rsidRDefault="00A31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1A" w:rsidRDefault="0060731A" w:rsidP="00291CC2">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74FA"/>
    <w:multiLevelType w:val="multilevel"/>
    <w:tmpl w:val="687857AE"/>
    <w:lvl w:ilvl="0">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B3741D"/>
    <w:multiLevelType w:val="multilevel"/>
    <w:tmpl w:val="E7FE775C"/>
    <w:lvl w:ilvl="0">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BB0208"/>
    <w:multiLevelType w:val="hybridMultilevel"/>
    <w:tmpl w:val="F3F47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81F16C0"/>
    <w:multiLevelType w:val="hybridMultilevel"/>
    <w:tmpl w:val="F21CD6B0"/>
    <w:lvl w:ilvl="0" w:tplc="AF5A7ABE">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F0759"/>
    <w:multiLevelType w:val="multilevel"/>
    <w:tmpl w:val="E640AC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71A08"/>
    <w:multiLevelType w:val="hybridMultilevel"/>
    <w:tmpl w:val="9CA63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C96B69"/>
    <w:multiLevelType w:val="hybridMultilevel"/>
    <w:tmpl w:val="3BA6AFE4"/>
    <w:lvl w:ilvl="0" w:tplc="AF5A7ABE">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ED6D82"/>
    <w:multiLevelType w:val="hybridMultilevel"/>
    <w:tmpl w:val="DF8C8126"/>
    <w:lvl w:ilvl="0" w:tplc="FA6EFA1E">
      <w:start w:val="1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2810AC"/>
    <w:multiLevelType w:val="multilevel"/>
    <w:tmpl w:val="40206164"/>
    <w:lvl w:ilvl="0">
      <w:start w:val="3"/>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nsid w:val="39BB0233"/>
    <w:multiLevelType w:val="multilevel"/>
    <w:tmpl w:val="345E54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D232158"/>
    <w:multiLevelType w:val="hybridMultilevel"/>
    <w:tmpl w:val="4460A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6C229B"/>
    <w:multiLevelType w:val="multilevel"/>
    <w:tmpl w:val="43F6ADEA"/>
    <w:lvl w:ilvl="0">
      <w:start w:val="13"/>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8D1BE2"/>
    <w:multiLevelType w:val="hybridMultilevel"/>
    <w:tmpl w:val="F1247FB0"/>
    <w:lvl w:ilvl="0" w:tplc="5AFA927A">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tplc="5AFA927A">
      <w:start w:val="4"/>
      <w:numFmt w:val="decimal"/>
      <w:lvlText w:val="%2.   "/>
      <w:lvlJc w:val="left"/>
      <w:pPr>
        <w:tabs>
          <w:tab w:val="num" w:pos="1080"/>
        </w:tabs>
        <w:ind w:left="1080" w:firstLine="0"/>
      </w:pPr>
      <w:rPr>
        <w:rFonts w:ascii="Times New Roman" w:hAnsi="Times New Roman" w:cs="Symbol" w:hint="default"/>
        <w:b w:val="0"/>
        <w:bCs w:val="0"/>
        <w:i w:val="0"/>
        <w:iCs w:val="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475604"/>
    <w:multiLevelType w:val="hybridMultilevel"/>
    <w:tmpl w:val="DD489AEE"/>
    <w:lvl w:ilvl="0" w:tplc="29D2A4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43BD77EA"/>
    <w:multiLevelType w:val="hybridMultilevel"/>
    <w:tmpl w:val="345E5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4AC4041"/>
    <w:multiLevelType w:val="hybridMultilevel"/>
    <w:tmpl w:val="19262D18"/>
    <w:lvl w:ilvl="0" w:tplc="62D2665C">
      <w:start w:val="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47FE2"/>
    <w:multiLevelType w:val="hybridMultilevel"/>
    <w:tmpl w:val="CD2EFC98"/>
    <w:lvl w:ilvl="0" w:tplc="FB349B16">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1">
    <w:nsid w:val="519167A6"/>
    <w:multiLevelType w:val="hybridMultilevel"/>
    <w:tmpl w:val="50041370"/>
    <w:lvl w:ilvl="0" w:tplc="5AFA927A">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A13C78"/>
    <w:multiLevelType w:val="multilevel"/>
    <w:tmpl w:val="F21CD6B0"/>
    <w:lvl w:ilvl="0">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7A2BCA"/>
    <w:multiLevelType w:val="hybridMultilevel"/>
    <w:tmpl w:val="E7FE775C"/>
    <w:lvl w:ilvl="0" w:tplc="FB349B16">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F1B81"/>
    <w:multiLevelType w:val="multilevel"/>
    <w:tmpl w:val="4460A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6ADC4CAE"/>
    <w:multiLevelType w:val="multilevel"/>
    <w:tmpl w:val="B33A5338"/>
    <w:lvl w:ilvl="0">
      <w:start w:val="13"/>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101A24"/>
    <w:multiLevelType w:val="hybridMultilevel"/>
    <w:tmpl w:val="3DC40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9567B8"/>
    <w:multiLevelType w:val="multilevel"/>
    <w:tmpl w:val="F21CD6B0"/>
    <w:lvl w:ilvl="0">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08437A7"/>
    <w:multiLevelType w:val="multilevel"/>
    <w:tmpl w:val="4460A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23520FD"/>
    <w:multiLevelType w:val="multilevel"/>
    <w:tmpl w:val="40206164"/>
    <w:lvl w:ilvl="0">
      <w:start w:val="3"/>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51166DF"/>
    <w:multiLevelType w:val="hybridMultilevel"/>
    <w:tmpl w:val="85B26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8A0485"/>
    <w:multiLevelType w:val="multilevel"/>
    <w:tmpl w:val="1CECD604"/>
    <w:lvl w:ilvl="0">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8C2CB9"/>
    <w:multiLevelType w:val="hybridMultilevel"/>
    <w:tmpl w:val="2912E1E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5">
    <w:nsid w:val="7FE36F44"/>
    <w:multiLevelType w:val="multilevel"/>
    <w:tmpl w:val="F1247FB0"/>
    <w:lvl w:ilvl="0">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4"/>
      <w:numFmt w:val="decimal"/>
      <w:lvlText w:val="%2.   "/>
      <w:lvlJc w:val="left"/>
      <w:pPr>
        <w:tabs>
          <w:tab w:val="num" w:pos="1080"/>
        </w:tabs>
        <w:ind w:left="1080" w:firstLine="0"/>
      </w:pPr>
      <w:rPr>
        <w:rFonts w:ascii="Times New Roman" w:hAnsi="Times New Roman" w:cs="Symbol" w:hint="default"/>
        <w:b w:val="0"/>
        <w:bCs w:val="0"/>
        <w:i w:val="0"/>
        <w:iCs w:val="0"/>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4"/>
  </w:num>
  <w:num w:numId="3">
    <w:abstractNumId w:val="3"/>
  </w:num>
  <w:num w:numId="4">
    <w:abstractNumId w:val="25"/>
  </w:num>
  <w:num w:numId="5">
    <w:abstractNumId w:val="16"/>
  </w:num>
  <w:num w:numId="6">
    <w:abstractNumId w:val="2"/>
  </w:num>
  <w:num w:numId="7">
    <w:abstractNumId w:val="12"/>
  </w:num>
  <w:num w:numId="8">
    <w:abstractNumId w:val="14"/>
  </w:num>
  <w:num w:numId="9">
    <w:abstractNumId w:val="18"/>
  </w:num>
  <w:num w:numId="10">
    <w:abstractNumId w:val="8"/>
  </w:num>
  <w:num w:numId="11">
    <w:abstractNumId w:val="6"/>
  </w:num>
  <w:num w:numId="12">
    <w:abstractNumId w:val="31"/>
  </w:num>
  <w:num w:numId="13">
    <w:abstractNumId w:val="17"/>
  </w:num>
  <w:num w:numId="14">
    <w:abstractNumId w:val="11"/>
  </w:num>
  <w:num w:numId="15">
    <w:abstractNumId w:val="7"/>
  </w:num>
  <w:num w:numId="16">
    <w:abstractNumId w:val="5"/>
  </w:num>
  <w:num w:numId="17">
    <w:abstractNumId w:val="4"/>
  </w:num>
  <w:num w:numId="18">
    <w:abstractNumId w:val="13"/>
  </w:num>
  <w:num w:numId="19">
    <w:abstractNumId w:val="22"/>
  </w:num>
  <w:num w:numId="20">
    <w:abstractNumId w:val="26"/>
  </w:num>
  <w:num w:numId="21">
    <w:abstractNumId w:val="28"/>
  </w:num>
  <w:num w:numId="22">
    <w:abstractNumId w:val="21"/>
  </w:num>
  <w:num w:numId="23">
    <w:abstractNumId w:val="35"/>
  </w:num>
  <w:num w:numId="24">
    <w:abstractNumId w:val="23"/>
  </w:num>
  <w:num w:numId="25">
    <w:abstractNumId w:val="32"/>
  </w:num>
  <w:num w:numId="26">
    <w:abstractNumId w:val="9"/>
  </w:num>
  <w:num w:numId="27">
    <w:abstractNumId w:val="30"/>
  </w:num>
  <w:num w:numId="28">
    <w:abstractNumId w:val="0"/>
  </w:num>
  <w:num w:numId="29">
    <w:abstractNumId w:val="19"/>
  </w:num>
  <w:num w:numId="30">
    <w:abstractNumId w:val="10"/>
  </w:num>
  <w:num w:numId="31">
    <w:abstractNumId w:val="1"/>
  </w:num>
  <w:num w:numId="32">
    <w:abstractNumId w:val="24"/>
  </w:num>
  <w:num w:numId="33">
    <w:abstractNumId w:val="27"/>
  </w:num>
  <w:num w:numId="34">
    <w:abstractNumId w:val="29"/>
  </w:num>
  <w:num w:numId="35">
    <w:abstractNumId w:val="1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C2"/>
    <w:rsid w:val="00020201"/>
    <w:rsid w:val="00036B43"/>
    <w:rsid w:val="00043989"/>
    <w:rsid w:val="000578AF"/>
    <w:rsid w:val="00062776"/>
    <w:rsid w:val="00070AB1"/>
    <w:rsid w:val="00087661"/>
    <w:rsid w:val="000C3259"/>
    <w:rsid w:val="000F1849"/>
    <w:rsid w:val="000F1BA9"/>
    <w:rsid w:val="000F29CC"/>
    <w:rsid w:val="0010370B"/>
    <w:rsid w:val="00104DEC"/>
    <w:rsid w:val="00105852"/>
    <w:rsid w:val="001178AD"/>
    <w:rsid w:val="00127404"/>
    <w:rsid w:val="001355F3"/>
    <w:rsid w:val="001617F6"/>
    <w:rsid w:val="00176544"/>
    <w:rsid w:val="0019000D"/>
    <w:rsid w:val="001E42C8"/>
    <w:rsid w:val="001F3B8F"/>
    <w:rsid w:val="002009B9"/>
    <w:rsid w:val="00213494"/>
    <w:rsid w:val="00243895"/>
    <w:rsid w:val="00256218"/>
    <w:rsid w:val="0027490B"/>
    <w:rsid w:val="00280E88"/>
    <w:rsid w:val="00291CC2"/>
    <w:rsid w:val="002934BD"/>
    <w:rsid w:val="002A534A"/>
    <w:rsid w:val="002D584B"/>
    <w:rsid w:val="002E47EE"/>
    <w:rsid w:val="0030611E"/>
    <w:rsid w:val="00313C80"/>
    <w:rsid w:val="00360C83"/>
    <w:rsid w:val="003724B4"/>
    <w:rsid w:val="00373439"/>
    <w:rsid w:val="00381081"/>
    <w:rsid w:val="003975A7"/>
    <w:rsid w:val="003A3380"/>
    <w:rsid w:val="003A4369"/>
    <w:rsid w:val="003A7A8E"/>
    <w:rsid w:val="003D6F96"/>
    <w:rsid w:val="00422152"/>
    <w:rsid w:val="0044631F"/>
    <w:rsid w:val="00466A92"/>
    <w:rsid w:val="00497DCD"/>
    <w:rsid w:val="004B54AB"/>
    <w:rsid w:val="004C1F0A"/>
    <w:rsid w:val="004C5BBB"/>
    <w:rsid w:val="004F6A90"/>
    <w:rsid w:val="004F7FC5"/>
    <w:rsid w:val="005039E9"/>
    <w:rsid w:val="005140BA"/>
    <w:rsid w:val="0052474B"/>
    <w:rsid w:val="00537E1F"/>
    <w:rsid w:val="0056717D"/>
    <w:rsid w:val="00582FFF"/>
    <w:rsid w:val="00586DF0"/>
    <w:rsid w:val="005905FD"/>
    <w:rsid w:val="005B349C"/>
    <w:rsid w:val="005B4ED3"/>
    <w:rsid w:val="005D0FD4"/>
    <w:rsid w:val="005F27A1"/>
    <w:rsid w:val="005F7DD1"/>
    <w:rsid w:val="0060731A"/>
    <w:rsid w:val="00615F84"/>
    <w:rsid w:val="0062005A"/>
    <w:rsid w:val="00623921"/>
    <w:rsid w:val="006302AF"/>
    <w:rsid w:val="00630F2F"/>
    <w:rsid w:val="00664E46"/>
    <w:rsid w:val="00673F80"/>
    <w:rsid w:val="006D7DD5"/>
    <w:rsid w:val="006F2834"/>
    <w:rsid w:val="00753713"/>
    <w:rsid w:val="00754F31"/>
    <w:rsid w:val="00783451"/>
    <w:rsid w:val="007A146C"/>
    <w:rsid w:val="007C0B61"/>
    <w:rsid w:val="007D3B7A"/>
    <w:rsid w:val="007D63ED"/>
    <w:rsid w:val="008205DC"/>
    <w:rsid w:val="00843DE3"/>
    <w:rsid w:val="00846ACF"/>
    <w:rsid w:val="00854EB8"/>
    <w:rsid w:val="00893E78"/>
    <w:rsid w:val="008971E9"/>
    <w:rsid w:val="008A00CE"/>
    <w:rsid w:val="008B6159"/>
    <w:rsid w:val="008C0079"/>
    <w:rsid w:val="008C482B"/>
    <w:rsid w:val="00901D2C"/>
    <w:rsid w:val="00904379"/>
    <w:rsid w:val="00940D99"/>
    <w:rsid w:val="00945E87"/>
    <w:rsid w:val="00946062"/>
    <w:rsid w:val="00975C22"/>
    <w:rsid w:val="0099609C"/>
    <w:rsid w:val="009B3433"/>
    <w:rsid w:val="009D4BD9"/>
    <w:rsid w:val="00A203C3"/>
    <w:rsid w:val="00A31749"/>
    <w:rsid w:val="00A3557B"/>
    <w:rsid w:val="00A50833"/>
    <w:rsid w:val="00A5793B"/>
    <w:rsid w:val="00A64FD8"/>
    <w:rsid w:val="00A950A5"/>
    <w:rsid w:val="00A959D1"/>
    <w:rsid w:val="00A96A0B"/>
    <w:rsid w:val="00AB7FD0"/>
    <w:rsid w:val="00AC2142"/>
    <w:rsid w:val="00AD2830"/>
    <w:rsid w:val="00AD33D2"/>
    <w:rsid w:val="00AD5D8E"/>
    <w:rsid w:val="00AE104E"/>
    <w:rsid w:val="00B37CED"/>
    <w:rsid w:val="00B66CBC"/>
    <w:rsid w:val="00B93DA7"/>
    <w:rsid w:val="00BA0765"/>
    <w:rsid w:val="00BA6964"/>
    <w:rsid w:val="00BC629C"/>
    <w:rsid w:val="00BD0784"/>
    <w:rsid w:val="00BE0679"/>
    <w:rsid w:val="00C2052A"/>
    <w:rsid w:val="00C315AC"/>
    <w:rsid w:val="00C34DAA"/>
    <w:rsid w:val="00C3577B"/>
    <w:rsid w:val="00C526E8"/>
    <w:rsid w:val="00C67138"/>
    <w:rsid w:val="00C70992"/>
    <w:rsid w:val="00C75BD6"/>
    <w:rsid w:val="00C9169E"/>
    <w:rsid w:val="00C967DB"/>
    <w:rsid w:val="00CA323D"/>
    <w:rsid w:val="00CB638A"/>
    <w:rsid w:val="00CC446D"/>
    <w:rsid w:val="00D23B56"/>
    <w:rsid w:val="00D34716"/>
    <w:rsid w:val="00D453C7"/>
    <w:rsid w:val="00D67558"/>
    <w:rsid w:val="00D82939"/>
    <w:rsid w:val="00D9354C"/>
    <w:rsid w:val="00DB229D"/>
    <w:rsid w:val="00DC26CC"/>
    <w:rsid w:val="00DD17F5"/>
    <w:rsid w:val="00DD2C03"/>
    <w:rsid w:val="00DD3247"/>
    <w:rsid w:val="00DE2616"/>
    <w:rsid w:val="00DE7F62"/>
    <w:rsid w:val="00E05884"/>
    <w:rsid w:val="00E05B6B"/>
    <w:rsid w:val="00E21557"/>
    <w:rsid w:val="00E224CE"/>
    <w:rsid w:val="00E3137A"/>
    <w:rsid w:val="00E646A4"/>
    <w:rsid w:val="00E725A1"/>
    <w:rsid w:val="00E835B9"/>
    <w:rsid w:val="00EB66FB"/>
    <w:rsid w:val="00EC5FC2"/>
    <w:rsid w:val="00F277F7"/>
    <w:rsid w:val="00F33F0B"/>
    <w:rsid w:val="00F47789"/>
    <w:rsid w:val="00F72663"/>
    <w:rsid w:val="00F7669A"/>
    <w:rsid w:val="00F818A1"/>
    <w:rsid w:val="00F912A7"/>
    <w:rsid w:val="00F972E1"/>
    <w:rsid w:val="00FC6C06"/>
    <w:rsid w:val="00FE0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18"/>
    </w:rPr>
  </w:style>
  <w:style w:type="paragraph" w:styleId="Heading2">
    <w:name w:val="heading 2"/>
    <w:basedOn w:val="Normal"/>
    <w:next w:val="Normal"/>
    <w:qFormat/>
    <w:pPr>
      <w:keepNext/>
      <w:keepLines/>
      <w:tabs>
        <w:tab w:val="left" w:pos="0"/>
        <w:tab w:val="left" w:pos="360"/>
      </w:tabs>
      <w:spacing w:after="80"/>
      <w:ind w:left="360" w:hanging="360"/>
      <w:outlineLvl w:val="1"/>
    </w:pPr>
    <w:rPr>
      <w:noProof/>
      <w:sz w:val="24"/>
    </w:rPr>
  </w:style>
  <w:style w:type="paragraph" w:styleId="Heading3">
    <w:name w:val="heading 3"/>
    <w:basedOn w:val="Normal"/>
    <w:next w:val="Normal"/>
    <w:qFormat/>
    <w:pPr>
      <w:keepNext/>
      <w:keepLines/>
      <w:tabs>
        <w:tab w:val="left" w:pos="360"/>
      </w:tabs>
      <w:spacing w:after="80"/>
      <w:ind w:left="360" w:hanging="360"/>
      <w:outlineLvl w:val="2"/>
    </w:pPr>
    <w:rPr>
      <w:noProof/>
      <w:sz w:val="24"/>
      <w:u w:val="single"/>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noProof/>
      <w:sz w:val="18"/>
    </w:rPr>
  </w:style>
  <w:style w:type="paragraph" w:styleId="Heading5">
    <w:name w:val="heading 5"/>
    <w:basedOn w:val="Normal"/>
    <w:next w:val="Normal"/>
    <w:qFormat/>
    <w:pPr>
      <w:keepNext/>
      <w:tabs>
        <w:tab w:val="left" w:pos="360"/>
      </w:tabs>
      <w:jc w:val="center"/>
      <w:outlineLvl w:val="4"/>
    </w:pPr>
    <w:rPr>
      <w:b/>
      <w:bCs/>
      <w:sz w:val="24"/>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360"/>
      </w:tabs>
      <w:ind w:left="720" w:hanging="360"/>
      <w:outlineLvl w:val="6"/>
    </w:pPr>
    <w:rPr>
      <w:noProof/>
      <w:sz w:val="24"/>
      <w:u w:val="single"/>
    </w:rPr>
  </w:style>
  <w:style w:type="paragraph" w:styleId="Heading8">
    <w:name w:val="heading 8"/>
    <w:basedOn w:val="Normal"/>
    <w:next w:val="Normal"/>
    <w:qFormat/>
    <w:pPr>
      <w:keepNext/>
      <w:tabs>
        <w:tab w:val="left" w:pos="360"/>
      </w:tabs>
      <w:outlineLvl w:val="7"/>
    </w:pPr>
    <w:rPr>
      <w:b/>
      <w:bCs/>
      <w:sz w:val="24"/>
    </w:rPr>
  </w:style>
  <w:style w:type="paragraph" w:styleId="Heading9">
    <w:name w:val="heading 9"/>
    <w:basedOn w:val="Normal"/>
    <w:next w:val="Normal"/>
    <w:qFormat/>
    <w:pPr>
      <w:keepNext/>
      <w:keepLines/>
      <w:tabs>
        <w:tab w:val="left" w:pos="360"/>
      </w:tabs>
      <w:ind w:left="720"/>
      <w:outlineLvl w:val="8"/>
    </w:pPr>
    <w:rPr>
      <w:b/>
      <w:bCs/>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tabs>
        <w:tab w:val="left" w:pos="360"/>
      </w:tabs>
      <w:ind w:left="360"/>
    </w:pPr>
    <w:rPr>
      <w:noProof/>
      <w:sz w:val="24"/>
    </w:rPr>
  </w:style>
  <w:style w:type="character" w:styleId="Strong">
    <w:name w:val="Strong"/>
    <w:qFormat/>
    <w:rPr>
      <w:b/>
      <w:bCs/>
    </w:rPr>
  </w:style>
  <w:style w:type="paragraph" w:styleId="BlockText">
    <w:name w:val="Block Text"/>
    <w:basedOn w:val="Normal"/>
    <w:pPr>
      <w:spacing w:after="40"/>
      <w:ind w:left="120" w:right="-120"/>
    </w:pPr>
    <w:rPr>
      <w:rFonts w:ascii="Helvetica" w:hAnsi="Helvetica"/>
      <w:noProof/>
      <w:color w:val="000000"/>
      <w:sz w:val="18"/>
    </w:rPr>
  </w:style>
  <w:style w:type="paragraph" w:styleId="BodyText">
    <w:name w:val="Body Text"/>
    <w:basedOn w:val="Normal"/>
    <w:pPr>
      <w:keepLines/>
      <w:tabs>
        <w:tab w:val="left" w:pos="360"/>
      </w:tabs>
      <w:spacing w:after="80"/>
    </w:pPr>
    <w:rPr>
      <w:sz w:val="24"/>
    </w:rPr>
  </w:style>
  <w:style w:type="paragraph" w:styleId="BodyTextIndent2">
    <w:name w:val="Body Text Indent 2"/>
    <w:basedOn w:val="Normal"/>
    <w:pPr>
      <w:tabs>
        <w:tab w:val="left" w:pos="360"/>
      </w:tabs>
      <w:ind w:left="336"/>
    </w:pPr>
    <w:rPr>
      <w:sz w:val="18"/>
    </w:rPr>
  </w:style>
  <w:style w:type="paragraph" w:styleId="BodyTextIndent3">
    <w:name w:val="Body Text Indent 3"/>
    <w:basedOn w:val="Normal"/>
    <w:pPr>
      <w:ind w:left="270" w:hanging="270"/>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EF4B49"/>
    <w:rPr>
      <w:rFonts w:ascii="Courier New" w:hAnsi="Courier New" w:cs="Courier New"/>
    </w:rPr>
  </w:style>
  <w:style w:type="paragraph" w:styleId="BalloonText">
    <w:name w:val="Balloon Text"/>
    <w:basedOn w:val="Normal"/>
    <w:link w:val="BalloonTextChar"/>
    <w:rsid w:val="00DD17F5"/>
    <w:rPr>
      <w:rFonts w:ascii="Tahoma" w:hAnsi="Tahoma"/>
      <w:sz w:val="16"/>
      <w:szCs w:val="16"/>
    </w:rPr>
  </w:style>
  <w:style w:type="character" w:customStyle="1" w:styleId="BalloonTextChar">
    <w:name w:val="Balloon Text Char"/>
    <w:link w:val="BalloonText"/>
    <w:rsid w:val="00DD17F5"/>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5140BA"/>
    <w:pPr>
      <w:overflowPunct/>
      <w:autoSpaceDE/>
      <w:autoSpaceDN/>
      <w:adjustRightInd/>
      <w:textAlignment w:val="auto"/>
    </w:pPr>
  </w:style>
  <w:style w:type="character" w:customStyle="1" w:styleId="FootnoteTextChar">
    <w:name w:val="Footnote Text Char"/>
    <w:aliases w:val="Footnote Text Char1 Char,Footnote Text Char Char Char"/>
    <w:basedOn w:val="DefaultParagraphFont"/>
    <w:link w:val="FootnoteText"/>
    <w:uiPriority w:val="99"/>
    <w:rsid w:val="005140BA"/>
  </w:style>
  <w:style w:type="character" w:styleId="FootnoteReference">
    <w:name w:val="footnote reference"/>
    <w:uiPriority w:val="99"/>
    <w:rsid w:val="005140BA"/>
    <w:rPr>
      <w:vertAlign w:val="superscript"/>
    </w:rPr>
  </w:style>
  <w:style w:type="character" w:customStyle="1" w:styleId="HeaderChar">
    <w:name w:val="Header Char"/>
    <w:basedOn w:val="DefaultParagraphFont"/>
    <w:link w:val="Header"/>
    <w:uiPriority w:val="99"/>
    <w:rsid w:val="005B349C"/>
  </w:style>
  <w:style w:type="paragraph" w:customStyle="1" w:styleId="Default">
    <w:name w:val="Default"/>
    <w:rsid w:val="00C315A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C315AC"/>
    <w:rPr>
      <w:color w:val="auto"/>
    </w:rPr>
  </w:style>
  <w:style w:type="paragraph" w:styleId="ListParagraph">
    <w:name w:val="List Paragraph"/>
    <w:basedOn w:val="Normal"/>
    <w:uiPriority w:val="34"/>
    <w:qFormat/>
    <w:rsid w:val="00DB229D"/>
    <w:pPr>
      <w:ind w:left="720"/>
    </w:pPr>
  </w:style>
  <w:style w:type="character" w:styleId="CommentReference">
    <w:name w:val="annotation reference"/>
    <w:rsid w:val="002A534A"/>
    <w:rPr>
      <w:sz w:val="16"/>
      <w:szCs w:val="16"/>
    </w:rPr>
  </w:style>
  <w:style w:type="paragraph" w:styleId="CommentText">
    <w:name w:val="annotation text"/>
    <w:basedOn w:val="Normal"/>
    <w:link w:val="CommentTextChar"/>
    <w:rsid w:val="002A534A"/>
  </w:style>
  <w:style w:type="character" w:customStyle="1" w:styleId="CommentTextChar">
    <w:name w:val="Comment Text Char"/>
    <w:basedOn w:val="DefaultParagraphFont"/>
    <w:link w:val="CommentText"/>
    <w:rsid w:val="002A534A"/>
  </w:style>
  <w:style w:type="paragraph" w:styleId="CommentSubject">
    <w:name w:val="annotation subject"/>
    <w:basedOn w:val="CommentText"/>
    <w:next w:val="CommentText"/>
    <w:link w:val="CommentSubjectChar"/>
    <w:rsid w:val="002A534A"/>
    <w:rPr>
      <w:b/>
      <w:bCs/>
    </w:rPr>
  </w:style>
  <w:style w:type="character" w:customStyle="1" w:styleId="CommentSubjectChar">
    <w:name w:val="Comment Subject Char"/>
    <w:link w:val="CommentSubject"/>
    <w:rsid w:val="002A534A"/>
    <w:rPr>
      <w:b/>
      <w:bCs/>
    </w:rPr>
  </w:style>
  <w:style w:type="paragraph" w:customStyle="1" w:styleId="CM13">
    <w:name w:val="CM13"/>
    <w:basedOn w:val="Default"/>
    <w:next w:val="Default"/>
    <w:uiPriority w:val="99"/>
    <w:rsid w:val="00846ACF"/>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18"/>
    </w:rPr>
  </w:style>
  <w:style w:type="paragraph" w:styleId="Heading2">
    <w:name w:val="heading 2"/>
    <w:basedOn w:val="Normal"/>
    <w:next w:val="Normal"/>
    <w:qFormat/>
    <w:pPr>
      <w:keepNext/>
      <w:keepLines/>
      <w:tabs>
        <w:tab w:val="left" w:pos="0"/>
        <w:tab w:val="left" w:pos="360"/>
      </w:tabs>
      <w:spacing w:after="80"/>
      <w:ind w:left="360" w:hanging="360"/>
      <w:outlineLvl w:val="1"/>
    </w:pPr>
    <w:rPr>
      <w:noProof/>
      <w:sz w:val="24"/>
    </w:rPr>
  </w:style>
  <w:style w:type="paragraph" w:styleId="Heading3">
    <w:name w:val="heading 3"/>
    <w:basedOn w:val="Normal"/>
    <w:next w:val="Normal"/>
    <w:qFormat/>
    <w:pPr>
      <w:keepNext/>
      <w:keepLines/>
      <w:tabs>
        <w:tab w:val="left" w:pos="360"/>
      </w:tabs>
      <w:spacing w:after="80"/>
      <w:ind w:left="360" w:hanging="360"/>
      <w:outlineLvl w:val="2"/>
    </w:pPr>
    <w:rPr>
      <w:noProof/>
      <w:sz w:val="24"/>
      <w:u w:val="single"/>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noProof/>
      <w:sz w:val="18"/>
    </w:rPr>
  </w:style>
  <w:style w:type="paragraph" w:styleId="Heading5">
    <w:name w:val="heading 5"/>
    <w:basedOn w:val="Normal"/>
    <w:next w:val="Normal"/>
    <w:qFormat/>
    <w:pPr>
      <w:keepNext/>
      <w:tabs>
        <w:tab w:val="left" w:pos="360"/>
      </w:tabs>
      <w:jc w:val="center"/>
      <w:outlineLvl w:val="4"/>
    </w:pPr>
    <w:rPr>
      <w:b/>
      <w:bCs/>
      <w:sz w:val="24"/>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360"/>
      </w:tabs>
      <w:ind w:left="720" w:hanging="360"/>
      <w:outlineLvl w:val="6"/>
    </w:pPr>
    <w:rPr>
      <w:noProof/>
      <w:sz w:val="24"/>
      <w:u w:val="single"/>
    </w:rPr>
  </w:style>
  <w:style w:type="paragraph" w:styleId="Heading8">
    <w:name w:val="heading 8"/>
    <w:basedOn w:val="Normal"/>
    <w:next w:val="Normal"/>
    <w:qFormat/>
    <w:pPr>
      <w:keepNext/>
      <w:tabs>
        <w:tab w:val="left" w:pos="360"/>
      </w:tabs>
      <w:outlineLvl w:val="7"/>
    </w:pPr>
    <w:rPr>
      <w:b/>
      <w:bCs/>
      <w:sz w:val="24"/>
    </w:rPr>
  </w:style>
  <w:style w:type="paragraph" w:styleId="Heading9">
    <w:name w:val="heading 9"/>
    <w:basedOn w:val="Normal"/>
    <w:next w:val="Normal"/>
    <w:qFormat/>
    <w:pPr>
      <w:keepNext/>
      <w:keepLines/>
      <w:tabs>
        <w:tab w:val="left" w:pos="360"/>
      </w:tabs>
      <w:ind w:left="720"/>
      <w:outlineLvl w:val="8"/>
    </w:pPr>
    <w:rPr>
      <w:b/>
      <w:bCs/>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tabs>
        <w:tab w:val="left" w:pos="360"/>
      </w:tabs>
      <w:ind w:left="360"/>
    </w:pPr>
    <w:rPr>
      <w:noProof/>
      <w:sz w:val="24"/>
    </w:rPr>
  </w:style>
  <w:style w:type="character" w:styleId="Strong">
    <w:name w:val="Strong"/>
    <w:qFormat/>
    <w:rPr>
      <w:b/>
      <w:bCs/>
    </w:rPr>
  </w:style>
  <w:style w:type="paragraph" w:styleId="BlockText">
    <w:name w:val="Block Text"/>
    <w:basedOn w:val="Normal"/>
    <w:pPr>
      <w:spacing w:after="40"/>
      <w:ind w:left="120" w:right="-120"/>
    </w:pPr>
    <w:rPr>
      <w:rFonts w:ascii="Helvetica" w:hAnsi="Helvetica"/>
      <w:noProof/>
      <w:color w:val="000000"/>
      <w:sz w:val="18"/>
    </w:rPr>
  </w:style>
  <w:style w:type="paragraph" w:styleId="BodyText">
    <w:name w:val="Body Text"/>
    <w:basedOn w:val="Normal"/>
    <w:pPr>
      <w:keepLines/>
      <w:tabs>
        <w:tab w:val="left" w:pos="360"/>
      </w:tabs>
      <w:spacing w:after="80"/>
    </w:pPr>
    <w:rPr>
      <w:sz w:val="24"/>
    </w:rPr>
  </w:style>
  <w:style w:type="paragraph" w:styleId="BodyTextIndent2">
    <w:name w:val="Body Text Indent 2"/>
    <w:basedOn w:val="Normal"/>
    <w:pPr>
      <w:tabs>
        <w:tab w:val="left" w:pos="360"/>
      </w:tabs>
      <w:ind w:left="336"/>
    </w:pPr>
    <w:rPr>
      <w:sz w:val="18"/>
    </w:rPr>
  </w:style>
  <w:style w:type="paragraph" w:styleId="BodyTextIndent3">
    <w:name w:val="Body Text Indent 3"/>
    <w:basedOn w:val="Normal"/>
    <w:pPr>
      <w:ind w:left="270" w:hanging="270"/>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EF4B49"/>
    <w:rPr>
      <w:rFonts w:ascii="Courier New" w:hAnsi="Courier New" w:cs="Courier New"/>
    </w:rPr>
  </w:style>
  <w:style w:type="paragraph" w:styleId="BalloonText">
    <w:name w:val="Balloon Text"/>
    <w:basedOn w:val="Normal"/>
    <w:link w:val="BalloonTextChar"/>
    <w:rsid w:val="00DD17F5"/>
    <w:rPr>
      <w:rFonts w:ascii="Tahoma" w:hAnsi="Tahoma"/>
      <w:sz w:val="16"/>
      <w:szCs w:val="16"/>
    </w:rPr>
  </w:style>
  <w:style w:type="character" w:customStyle="1" w:styleId="BalloonTextChar">
    <w:name w:val="Balloon Text Char"/>
    <w:link w:val="BalloonText"/>
    <w:rsid w:val="00DD17F5"/>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5140BA"/>
    <w:pPr>
      <w:overflowPunct/>
      <w:autoSpaceDE/>
      <w:autoSpaceDN/>
      <w:adjustRightInd/>
      <w:textAlignment w:val="auto"/>
    </w:pPr>
  </w:style>
  <w:style w:type="character" w:customStyle="1" w:styleId="FootnoteTextChar">
    <w:name w:val="Footnote Text Char"/>
    <w:aliases w:val="Footnote Text Char1 Char,Footnote Text Char Char Char"/>
    <w:basedOn w:val="DefaultParagraphFont"/>
    <w:link w:val="FootnoteText"/>
    <w:uiPriority w:val="99"/>
    <w:rsid w:val="005140BA"/>
  </w:style>
  <w:style w:type="character" w:styleId="FootnoteReference">
    <w:name w:val="footnote reference"/>
    <w:uiPriority w:val="99"/>
    <w:rsid w:val="005140BA"/>
    <w:rPr>
      <w:vertAlign w:val="superscript"/>
    </w:rPr>
  </w:style>
  <w:style w:type="character" w:customStyle="1" w:styleId="HeaderChar">
    <w:name w:val="Header Char"/>
    <w:basedOn w:val="DefaultParagraphFont"/>
    <w:link w:val="Header"/>
    <w:uiPriority w:val="99"/>
    <w:rsid w:val="005B349C"/>
  </w:style>
  <w:style w:type="paragraph" w:customStyle="1" w:styleId="Default">
    <w:name w:val="Default"/>
    <w:rsid w:val="00C315A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C315AC"/>
    <w:rPr>
      <w:color w:val="auto"/>
    </w:rPr>
  </w:style>
  <w:style w:type="paragraph" w:styleId="ListParagraph">
    <w:name w:val="List Paragraph"/>
    <w:basedOn w:val="Normal"/>
    <w:uiPriority w:val="34"/>
    <w:qFormat/>
    <w:rsid w:val="00DB229D"/>
    <w:pPr>
      <w:ind w:left="720"/>
    </w:pPr>
  </w:style>
  <w:style w:type="character" w:styleId="CommentReference">
    <w:name w:val="annotation reference"/>
    <w:rsid w:val="002A534A"/>
    <w:rPr>
      <w:sz w:val="16"/>
      <w:szCs w:val="16"/>
    </w:rPr>
  </w:style>
  <w:style w:type="paragraph" w:styleId="CommentText">
    <w:name w:val="annotation text"/>
    <w:basedOn w:val="Normal"/>
    <w:link w:val="CommentTextChar"/>
    <w:rsid w:val="002A534A"/>
  </w:style>
  <w:style w:type="character" w:customStyle="1" w:styleId="CommentTextChar">
    <w:name w:val="Comment Text Char"/>
    <w:basedOn w:val="DefaultParagraphFont"/>
    <w:link w:val="CommentText"/>
    <w:rsid w:val="002A534A"/>
  </w:style>
  <w:style w:type="paragraph" w:styleId="CommentSubject">
    <w:name w:val="annotation subject"/>
    <w:basedOn w:val="CommentText"/>
    <w:next w:val="CommentText"/>
    <w:link w:val="CommentSubjectChar"/>
    <w:rsid w:val="002A534A"/>
    <w:rPr>
      <w:b/>
      <w:bCs/>
    </w:rPr>
  </w:style>
  <w:style w:type="character" w:customStyle="1" w:styleId="CommentSubjectChar">
    <w:name w:val="Comment Subject Char"/>
    <w:link w:val="CommentSubject"/>
    <w:rsid w:val="002A534A"/>
    <w:rPr>
      <w:b/>
      <w:bCs/>
    </w:rPr>
  </w:style>
  <w:style w:type="paragraph" w:customStyle="1" w:styleId="CM13">
    <w:name w:val="CM13"/>
    <w:basedOn w:val="Default"/>
    <w:next w:val="Default"/>
    <w:uiPriority w:val="99"/>
    <w:rsid w:val="00846AC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700072">
      <w:bodyDiv w:val="1"/>
      <w:marLeft w:val="0"/>
      <w:marRight w:val="0"/>
      <w:marTop w:val="0"/>
      <w:marBottom w:val="0"/>
      <w:divBdr>
        <w:top w:val="none" w:sz="0" w:space="0" w:color="auto"/>
        <w:left w:val="none" w:sz="0" w:space="0" w:color="auto"/>
        <w:bottom w:val="none" w:sz="0" w:space="0" w:color="auto"/>
        <w:right w:val="none" w:sz="0" w:space="0" w:color="auto"/>
      </w:divBdr>
    </w:div>
    <w:div w:id="1914317974">
      <w:bodyDiv w:val="1"/>
      <w:marLeft w:val="0"/>
      <w:marRight w:val="0"/>
      <w:marTop w:val="0"/>
      <w:marBottom w:val="0"/>
      <w:divBdr>
        <w:top w:val="none" w:sz="0" w:space="0" w:color="auto"/>
        <w:left w:val="none" w:sz="0" w:space="0" w:color="auto"/>
        <w:bottom w:val="none" w:sz="0" w:space="0" w:color="auto"/>
        <w:right w:val="none" w:sz="0" w:space="0" w:color="auto"/>
      </w:divBdr>
    </w:div>
    <w:div w:id="196438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36850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042E-D9E9-4658-81A8-4BD89722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~3685087</Template>
  <TotalTime>0</TotalTime>
  <Pages>6</Pages>
  <Words>1947</Words>
  <Characters>11294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D. McCullough - TSB</dc:creator>
  <cp:lastModifiedBy>Reference</cp:lastModifiedBy>
  <cp:revision>2</cp:revision>
  <cp:lastPrinted>2011-10-17T14:31:00Z</cp:lastPrinted>
  <dcterms:created xsi:type="dcterms:W3CDTF">2012-07-26T20:53:00Z</dcterms:created>
  <dcterms:modified xsi:type="dcterms:W3CDTF">2012-07-26T20:53:00Z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gFAAXJDLFUo5N7sTcZCERV3dRiO3odeAxXSLY2So+d4mKpKXqLyIxqr2mw9z41kw4//uDH2wVDSxFhAc
D7mNfOyLmI29XTPy6vG8iwbf1ws5Yxd2iALJLEK/UWWohgPqL4QvPaTBmdH0y+gazH0Nce1VFNHL
6YsaAgBNd6E8t9DObMuiT3upc4RE2z4VtBKL3q/JLkAV68l4iSVSxFeW1jwrRstUgFtuLTUsnrWf
2Tlph7ZHRlctW5eXZ</vt:lpwstr>
  </property>
  <property fmtid="{D5CDD505-2E9C-101B-9397-08002B2CF9AE}" pid="4" name="MAIL_MSG_ID2">
    <vt:lpwstr>5N39sIG5Lx0vsfvKa+Er7JV1uDy9DLfiGhYNMa6BJm6dF8Y2ymY3+j+w6pe
iYqsa+wlz1JcWQd6XOsgQGWtpwU5HB9FvH9mHw==</vt:lpwstr>
  </property>
  <property fmtid="{D5CDD505-2E9C-101B-9397-08002B2CF9AE}" pid="5" name="RESPONSE_SENDER_NAME">
    <vt:lpwstr>sAAAb0xRtPDW5UtKBEMd58PsEHExJIV9oT6Z3gaglZWvOXU=</vt:lpwstr>
  </property>
  <property fmtid="{D5CDD505-2E9C-101B-9397-08002B2CF9AE}" pid="6" name="EMAIL_OWNER_ADDRESS">
    <vt:lpwstr>4AAA4Lxe55UJ0C+qv/A3Qyj8uOyGUEhQDQ45i+OjI1ZefESoRfRLZbrXxQ==</vt:lpwstr>
  </property>
</Properties>
</file>