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r w:rsidRPr="00B444DD">
        <w:rPr>
          <w:b/>
          <w:sz w:val="32"/>
          <w:szCs w:val="32"/>
        </w:rPr>
        <w:t xml:space="preserve">APPENDIX </w:t>
      </w:r>
      <w:r>
        <w:rPr>
          <w:b/>
          <w:sz w:val="32"/>
          <w:szCs w:val="32"/>
        </w:rPr>
        <w:t>D</w:t>
      </w:r>
      <w:r w:rsidRPr="00B444DD">
        <w:rPr>
          <w:b/>
          <w:sz w:val="32"/>
          <w:szCs w:val="32"/>
        </w:rPr>
        <w:t>:</w:t>
      </w:r>
      <w:r w:rsidRPr="00B444DD">
        <w:rPr>
          <w:b/>
          <w:sz w:val="32"/>
          <w:szCs w:val="32"/>
        </w:rPr>
        <w:tab/>
        <w:t>P</w:t>
      </w:r>
      <w:r>
        <w:rPr>
          <w:b/>
          <w:sz w:val="32"/>
          <w:szCs w:val="32"/>
        </w:rPr>
        <w:t>CW</w:t>
      </w:r>
      <w:r w:rsidRPr="00B444DD">
        <w:rPr>
          <w:b/>
          <w:sz w:val="32"/>
          <w:szCs w:val="32"/>
        </w:rPr>
        <w:t>A WEB SURVEY</w:t>
      </w:r>
    </w:p>
    <w:p w:rsidR="002370C4" w:rsidRPr="00B444DD" w:rsidRDefault="002370C4" w:rsidP="002370C4">
      <w:pPr>
        <w:tabs>
          <w:tab w:val="clear" w:pos="432"/>
        </w:tabs>
        <w:spacing w:line="240" w:lineRule="auto"/>
        <w:ind w:firstLine="0"/>
        <w:jc w:val="center"/>
        <w:rPr>
          <w:b/>
          <w:sz w:val="32"/>
          <w:szCs w:val="32"/>
        </w:rPr>
      </w:pPr>
      <w:r w:rsidRPr="00B444DD">
        <w:rPr>
          <w:b/>
          <w:sz w:val="32"/>
          <w:szCs w:val="32"/>
        </w:rPr>
        <w:t>INSTRUMENT TOPIC OVERVIEW</w:t>
      </w:r>
    </w:p>
    <w:p w:rsidR="002370C4" w:rsidRPr="00B444DD" w:rsidRDefault="002370C4" w:rsidP="002370C4">
      <w:pPr>
        <w:tabs>
          <w:tab w:val="clear" w:pos="432"/>
        </w:tabs>
        <w:spacing w:line="240" w:lineRule="auto"/>
        <w:ind w:firstLine="0"/>
        <w:jc w:val="left"/>
        <w:rPr>
          <w:b/>
          <w:sz w:val="32"/>
          <w:szCs w:val="32"/>
        </w:rPr>
      </w:pPr>
      <w:r w:rsidRPr="00B444DD">
        <w:rPr>
          <w:b/>
          <w:sz w:val="32"/>
          <w:szCs w:val="32"/>
        </w:rPr>
        <w:br w:type="page"/>
      </w:r>
    </w:p>
    <w:p w:rsidR="002370C4" w:rsidRDefault="002370C4">
      <w:pPr>
        <w:tabs>
          <w:tab w:val="clear" w:pos="432"/>
        </w:tabs>
        <w:spacing w:line="240" w:lineRule="auto"/>
        <w:ind w:firstLine="0"/>
        <w:jc w:val="left"/>
        <w:rPr>
          <w:rFonts w:ascii="Lucida Sans" w:hAnsi="Lucida Sans"/>
          <w:b/>
          <w:sz w:val="18"/>
        </w:rPr>
      </w:pPr>
    </w:p>
    <w:p w:rsidR="00F93828" w:rsidRDefault="00653FC1" w:rsidP="00F93828">
      <w:pPr>
        <w:pStyle w:val="MarkforTableHeading"/>
      </w:pPr>
      <w:r>
        <w:t>PCW</w:t>
      </w:r>
      <w:r w:rsidR="00F93828">
        <w:t>A Survey Sections</w:t>
      </w:r>
    </w:p>
    <w:tbl>
      <w:tblPr>
        <w:tblStyle w:val="TableGrid"/>
        <w:tblW w:w="0" w:type="auto"/>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F93828" w:rsidTr="00653FC1">
        <w:trPr>
          <w:cantSplit/>
          <w:tblHeader/>
        </w:trPr>
        <w:tc>
          <w:tcPr>
            <w:tcW w:w="4788" w:type="dxa"/>
            <w:tcBorders>
              <w:top w:val="single" w:sz="12" w:space="0" w:color="auto"/>
              <w:left w:val="nil"/>
              <w:bottom w:val="single" w:sz="4" w:space="0" w:color="auto"/>
              <w:right w:val="nil"/>
            </w:tcBorders>
          </w:tcPr>
          <w:p w:rsidR="00F93828" w:rsidRPr="005C2D4B" w:rsidRDefault="00F93828" w:rsidP="00705826">
            <w:pPr>
              <w:pStyle w:val="TableHeaderLeft"/>
            </w:pPr>
            <w:r>
              <w:t>Heading</w:t>
            </w:r>
          </w:p>
        </w:tc>
        <w:tc>
          <w:tcPr>
            <w:tcW w:w="4788" w:type="dxa"/>
            <w:tcBorders>
              <w:top w:val="single" w:sz="12" w:space="0" w:color="auto"/>
              <w:left w:val="nil"/>
              <w:bottom w:val="single" w:sz="4" w:space="0" w:color="auto"/>
              <w:right w:val="nil"/>
            </w:tcBorders>
          </w:tcPr>
          <w:p w:rsidR="00F93828" w:rsidRDefault="00F93828" w:rsidP="00705826">
            <w:pPr>
              <w:pStyle w:val="TableHeaderCenter"/>
            </w:pPr>
            <w:r>
              <w:t>Justification</w:t>
            </w:r>
          </w:p>
        </w:tc>
      </w:tr>
      <w:tr w:rsidR="00653FC1" w:rsidRPr="00306277"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9576" w:type="dxa"/>
            <w:gridSpan w:val="2"/>
            <w:tcBorders>
              <w:top w:val="nil"/>
              <w:left w:val="nil"/>
              <w:bottom w:val="nil"/>
              <w:right w:val="nil"/>
            </w:tcBorders>
            <w:shd w:val="clear" w:color="auto" w:fill="D9D9D9" w:themeFill="background1" w:themeFillShade="D9"/>
            <w:tcMar>
              <w:top w:w="72" w:type="dxa"/>
              <w:left w:w="115" w:type="dxa"/>
              <w:bottom w:w="72" w:type="dxa"/>
              <w:right w:w="115" w:type="dxa"/>
            </w:tcMar>
          </w:tcPr>
          <w:p w:rsidR="00653FC1" w:rsidRPr="00306277" w:rsidRDefault="00897D36" w:rsidP="00306277">
            <w:pPr>
              <w:pStyle w:val="TableText"/>
              <w:spacing w:before="60"/>
              <w:jc w:val="center"/>
              <w:rPr>
                <w:b/>
              </w:rPr>
            </w:pPr>
            <w:r w:rsidRPr="00306277">
              <w:rPr>
                <w:b/>
              </w:rPr>
              <w:t>A. CONTACT AND SCREENER</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897D36" w:rsidP="00897D36">
            <w:pPr>
              <w:pStyle w:val="TableText"/>
              <w:spacing w:before="60" w:after="60"/>
              <w:ind w:left="353" w:hanging="353"/>
            </w:pPr>
            <w:r>
              <w:t>I</w:t>
            </w:r>
            <w:r w:rsidR="00653FC1">
              <w:t>.</w:t>
            </w:r>
            <w:r>
              <w:tab/>
            </w:r>
            <w:r w:rsidR="00653FC1">
              <w:t>Background Information</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In this section, we collect basic information about the respondent, including contact information and employment duration. </w:t>
            </w:r>
          </w:p>
          <w:p w:rsidR="00653FC1" w:rsidRDefault="00653FC1" w:rsidP="00306277">
            <w:pPr>
              <w:pStyle w:val="TableText"/>
              <w:spacing w:before="60" w:after="60"/>
            </w:pPr>
            <w:r w:rsidRPr="00087FEA">
              <w:t>Because a single PCWA may partner with multiple PHAs to administer the FUP, we ask the respondent to identify a single PHA to be referenced throughout the survey.</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897D36">
            <w:pPr>
              <w:pStyle w:val="TableText"/>
              <w:spacing w:before="60" w:after="60"/>
              <w:ind w:left="353" w:hanging="353"/>
            </w:pPr>
            <w:r>
              <w:t>I</w:t>
            </w:r>
            <w:r w:rsidR="00897D36">
              <w:t>I</w:t>
            </w:r>
            <w:r>
              <w:t>.</w:t>
            </w:r>
            <w:r w:rsidR="00897D36">
              <w:tab/>
            </w:r>
            <w:r>
              <w:t>Child Welfare Context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rsidRPr="00C141E3">
              <w:rPr>
                <w:szCs w:val="20"/>
              </w:rPr>
              <w:t>PCWAs are asked about their state’s child welfare policies, including eligibility and transition planning.</w:t>
            </w:r>
            <w:r>
              <w:rPr>
                <w:szCs w:val="20"/>
              </w:rPr>
              <w:t xml:space="preserve"> </w:t>
            </w:r>
            <w:r>
              <w:t>We ask about the state’s provision of foster care beyond age 18, and the conditions under which the state extends foster care.</w:t>
            </w:r>
          </w:p>
          <w:p w:rsidR="00653FC1" w:rsidRDefault="00653FC1" w:rsidP="00306277">
            <w:pPr>
              <w:pStyle w:val="TableText"/>
              <w:spacing w:before="60" w:after="60"/>
            </w:pPr>
            <w:r w:rsidRPr="009D0BE2">
              <w:rPr>
                <w:bCs/>
              </w:rPr>
              <w:t>We ask several questions to determine the nature and magnitude of</w:t>
            </w:r>
            <w:r w:rsidRPr="00341396">
              <w:rPr>
                <w:b/>
                <w:bCs/>
              </w:rPr>
              <w:t xml:space="preserve"> </w:t>
            </w:r>
            <w:r w:rsidRPr="00341396">
              <w:t>housing need</w:t>
            </w:r>
            <w:r>
              <w:t>s</w:t>
            </w:r>
            <w:r w:rsidRPr="00341396">
              <w:t xml:space="preserve"> for foster y</w:t>
            </w:r>
            <w:r>
              <w:t>outh transitioning to adulthood. We determine the number of children in foster care within the specified jurisdiction and the percentage of children under age 16. W</w:t>
            </w:r>
            <w:r>
              <w:rPr>
                <w:szCs w:val="20"/>
              </w:rPr>
              <w:t xml:space="preserve">e also ask how many </w:t>
            </w:r>
            <w:r>
              <w:t>youth aged out of the foster care system in the last fiscal year.</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897D36">
            <w:pPr>
              <w:pStyle w:val="TableText"/>
              <w:spacing w:before="60" w:after="60"/>
              <w:ind w:left="353" w:hanging="353"/>
            </w:pPr>
            <w:r>
              <w:t>I</w:t>
            </w:r>
            <w:r w:rsidR="00897D36">
              <w:t>I</w:t>
            </w:r>
            <w:r>
              <w:t>I.</w:t>
            </w:r>
            <w:r w:rsidR="00897D36">
              <w:tab/>
            </w:r>
            <w:r>
              <w:t>PHA/PCWA Cross-Training</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To assess t</w:t>
            </w:r>
            <w:r w:rsidRPr="00341396">
              <w:t>he nature of PHA-PCWA partnerships</w:t>
            </w:r>
            <w:r>
              <w:t xml:space="preserve"> and the degree of collaboration between the agencies</w:t>
            </w:r>
            <w:r w:rsidRPr="00341396">
              <w:t xml:space="preserve">, </w:t>
            </w:r>
            <w:r>
              <w:t xml:space="preserve">we ask PCWAs about their familiarity with and training on Section 8 and FUP eligibility and related issues. </w:t>
            </w:r>
          </w:p>
        </w:tc>
      </w:tr>
      <w:tr w:rsidR="00897D36"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897D36" w:rsidRDefault="00897D36" w:rsidP="00306277">
            <w:pPr>
              <w:pStyle w:val="TableText"/>
              <w:spacing w:before="60" w:after="60"/>
              <w:ind w:left="353" w:hanging="353"/>
            </w:pPr>
            <w:r>
              <w:t>IV.</w:t>
            </w:r>
            <w:r>
              <w:tab/>
            </w:r>
            <w:r w:rsidRPr="00897D36">
              <w:t>FUP Vouchers for FUP Eligible Youth</w:t>
            </w:r>
          </w:p>
        </w:tc>
        <w:tc>
          <w:tcPr>
            <w:tcW w:w="4788" w:type="dxa"/>
            <w:tcBorders>
              <w:top w:val="nil"/>
              <w:left w:val="nil"/>
              <w:bottom w:val="nil"/>
              <w:right w:val="nil"/>
            </w:tcBorders>
            <w:tcMar>
              <w:top w:w="72" w:type="dxa"/>
              <w:left w:w="115" w:type="dxa"/>
              <w:bottom w:w="72" w:type="dxa"/>
              <w:right w:w="115" w:type="dxa"/>
            </w:tcMar>
          </w:tcPr>
          <w:p w:rsidR="00897D36" w:rsidRDefault="00897D36" w:rsidP="00306277">
            <w:pPr>
              <w:pStyle w:val="TableText"/>
              <w:spacing w:before="60" w:after="60"/>
            </w:pP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A.</w:t>
            </w:r>
            <w:r w:rsidR="00897D36">
              <w:tab/>
            </w:r>
            <w:r>
              <w:t xml:space="preserve">FUP Identification, Referral, Eligibility, and </w:t>
            </w:r>
            <w:r w:rsidR="00897D36">
              <w:br/>
            </w:r>
            <w:r>
              <w:t>Wait List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This section addresses key research questions regarding how youth are identified as candidates for a FUP voucher and how the referral process works for e</w:t>
            </w:r>
            <w:r w:rsidRPr="00341396">
              <w:t>ligible youth</w:t>
            </w:r>
            <w:r>
              <w:t>.</w:t>
            </w:r>
            <w:r w:rsidRPr="00341396">
              <w:t xml:space="preserve"> </w:t>
            </w:r>
            <w:r>
              <w:t>We ask how PCWAs identify and refer FUP-eligible youth to PHAs, and the number of referrals made in the last year.</w:t>
            </w:r>
          </w:p>
          <w:p w:rsidR="00653FC1" w:rsidRDefault="00653FC1" w:rsidP="00306277">
            <w:pPr>
              <w:pStyle w:val="TableText"/>
              <w:spacing w:before="60" w:after="60"/>
            </w:pPr>
            <w:r>
              <w:t xml:space="preserve">We also ask about what happens after a youth’s eligibility determination, including the process for notifying a youth of their FUP award.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B.</w:t>
            </w:r>
            <w:r w:rsidR="00306277">
              <w:tab/>
            </w:r>
            <w:r>
              <w:t>FUP Housing Search and Selection</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To better understand the </w:t>
            </w:r>
            <w:r w:rsidRPr="00341396">
              <w:t xml:space="preserve">extent of the housing need </w:t>
            </w:r>
            <w:r>
              <w:t xml:space="preserve">and adequacy of housing choice </w:t>
            </w:r>
            <w:r w:rsidRPr="00341396">
              <w:t>for foster youth transitioning to adulthood</w:t>
            </w:r>
            <w:r>
              <w:t>, this section asks about housing search assistance provided by the PCWA and move-related counseling provided by the agency.</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897D36" w:rsidP="00001D49">
            <w:pPr>
              <w:pStyle w:val="TableText"/>
              <w:spacing w:before="60" w:after="60"/>
              <w:ind w:left="713" w:hanging="353"/>
            </w:pPr>
            <w:r>
              <w:t>C</w:t>
            </w:r>
            <w:r w:rsidR="00653FC1">
              <w:t>.</w:t>
            </w:r>
            <w:r w:rsidR="00306277">
              <w:tab/>
            </w:r>
            <w:r w:rsidR="00653FC1">
              <w:t>Adequacy of Housing Choice Using FUP</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To assess </w:t>
            </w:r>
            <w:r w:rsidRPr="00341396">
              <w:t>challenges to providing housing assistance for this population</w:t>
            </w:r>
            <w:r>
              <w:t>,</w:t>
            </w:r>
            <w:r w:rsidRPr="00071783">
              <w:t xml:space="preserve"> </w:t>
            </w:r>
            <w:r>
              <w:t>w</w:t>
            </w:r>
            <w:r w:rsidRPr="00071783">
              <w:t xml:space="preserve">e </w:t>
            </w:r>
            <w:r>
              <w:t xml:space="preserve">ask PCWAs about potential </w:t>
            </w:r>
            <w:r w:rsidRPr="00071783">
              <w:t>barrier</w:t>
            </w:r>
            <w:r>
              <w:t>s</w:t>
            </w:r>
            <w:r w:rsidRPr="00071783">
              <w:t xml:space="preserve"> an</w:t>
            </w:r>
            <w:r>
              <w:t>d</w:t>
            </w:r>
            <w:r w:rsidRPr="00071783">
              <w:t xml:space="preserve"> incentive</w:t>
            </w:r>
            <w:r>
              <w:t>s</w:t>
            </w:r>
            <w:r w:rsidRPr="00071783">
              <w:t xml:space="preserve"> to landlords leasing to FUP-eligible youth.</w:t>
            </w:r>
            <w:r>
              <w:t xml:space="preserve">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lastRenderedPageBreak/>
              <w:t>D.</w:t>
            </w:r>
            <w:r w:rsidR="00306277">
              <w:tab/>
            </w:r>
            <w:r>
              <w:t>Tenancy Approval, Lease-Up and Move-In</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In this section we determine the PCWA’s involvement in providing financial and other assistance to youth after a housing unit has been approved by the PHA.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E.</w:t>
            </w:r>
            <w:r w:rsidR="00306277">
              <w:tab/>
            </w:r>
            <w:r>
              <w:t>Post-Move In Status and Services</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This section addresses outcomes related to housing stability. We ask how many youth voluntarily leave the program and their reasons for doing so.</w:t>
            </w:r>
          </w:p>
          <w:p w:rsidR="00653FC1" w:rsidRDefault="00653FC1" w:rsidP="00306277">
            <w:pPr>
              <w:pStyle w:val="TableText"/>
              <w:spacing w:before="60" w:after="60"/>
            </w:pPr>
            <w:r>
              <w:t>We also determine whether supportive services are provided to the youth by the PCWA during this period and the agency’s source of funding for these services.</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F.</w:t>
            </w:r>
            <w:r w:rsidR="00306277">
              <w:tab/>
            </w:r>
            <w:r>
              <w:t>Exiting FUP After 18-Month Limit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In this section, w</w:t>
            </w:r>
            <w:r w:rsidRPr="00071783">
              <w:t>e</w:t>
            </w:r>
            <w:r>
              <w:t xml:space="preserve"> ask about </w:t>
            </w:r>
            <w:r w:rsidRPr="00341396">
              <w:t>supportive services</w:t>
            </w:r>
            <w:r>
              <w:t xml:space="preserve"> the agency may provide, </w:t>
            </w:r>
            <w:r w:rsidRPr="00341396">
              <w:t xml:space="preserve">and what steps are taken, if any, to help youth plan for transitioning to other housing once the 18-month time limit expires.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ind w:left="353" w:hanging="353"/>
            </w:pPr>
            <w:r>
              <w:t xml:space="preserve">V. </w:t>
            </w:r>
            <w:r w:rsidR="00306277">
              <w:tab/>
            </w:r>
            <w:r>
              <w:t>Other Housing Options for Foster Youth Aging Out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In this section we obtain information about</w:t>
            </w:r>
            <w:r w:rsidRPr="00341396">
              <w:t xml:space="preserve"> </w:t>
            </w:r>
            <w:r>
              <w:t>what other housing options are available and offered to former foster youth within the agency’s jurisdiction.</w:t>
            </w:r>
          </w:p>
          <w:p w:rsidR="00653FC1" w:rsidRDefault="00653FC1" w:rsidP="00897D36">
            <w:pPr>
              <w:pStyle w:val="TableText"/>
              <w:spacing w:before="60" w:after="60"/>
            </w:pPr>
            <w:r>
              <w:t xml:space="preserve">We ask about contact with other homeless providers </w:t>
            </w:r>
            <w:r w:rsidR="00897D36">
              <w:t>for</w:t>
            </w:r>
            <w:r>
              <w:t xml:space="preserve"> youth who have aged out of care and about the type and duration of ongoing assistance that the agency may offer to youth who have aged out of care.</w:t>
            </w:r>
          </w:p>
        </w:tc>
      </w:tr>
      <w:tr w:rsidR="00653FC1" w:rsidTr="003062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ind w:left="353" w:hanging="353"/>
            </w:pPr>
            <w:r>
              <w:t>V</w:t>
            </w:r>
            <w:r w:rsidR="00897D36">
              <w:t>I</w:t>
            </w:r>
            <w:r>
              <w:t xml:space="preserve">. </w:t>
            </w:r>
            <w:r w:rsidR="00306277">
              <w:tab/>
            </w:r>
            <w:r>
              <w:t>Progress and Challenges Using FUP</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In this section we seek to learn what obstacles agencies have encountered in administered FUP vouchers to youth and ask PCWAs to rate the progress they have made using FUP vouchers to address youths’ housing needs. </w:t>
            </w:r>
          </w:p>
        </w:tc>
      </w:tr>
      <w:tr w:rsidR="00653FC1" w:rsidTr="003062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single" w:sz="4" w:space="0" w:color="auto"/>
              <w:right w:val="nil"/>
            </w:tcBorders>
            <w:tcMar>
              <w:top w:w="72" w:type="dxa"/>
              <w:left w:w="115" w:type="dxa"/>
              <w:bottom w:w="72" w:type="dxa"/>
              <w:right w:w="115" w:type="dxa"/>
            </w:tcMar>
          </w:tcPr>
          <w:p w:rsidR="00653FC1" w:rsidRDefault="00653FC1" w:rsidP="00306277">
            <w:pPr>
              <w:pStyle w:val="TableText"/>
              <w:spacing w:before="60" w:after="60"/>
              <w:ind w:left="353" w:hanging="353"/>
            </w:pPr>
            <w:r>
              <w:t>VI</w:t>
            </w:r>
            <w:r w:rsidR="00897D36">
              <w:t>I</w:t>
            </w:r>
            <w:r>
              <w:t xml:space="preserve">. </w:t>
            </w:r>
            <w:r w:rsidR="00306277">
              <w:tab/>
            </w:r>
            <w:r>
              <w:t>Perspectives on Practice and Policy</w:t>
            </w:r>
          </w:p>
        </w:tc>
        <w:tc>
          <w:tcPr>
            <w:tcW w:w="4788" w:type="dxa"/>
            <w:tcBorders>
              <w:top w:val="nil"/>
              <w:left w:val="nil"/>
              <w:bottom w:val="single" w:sz="4" w:space="0" w:color="auto"/>
              <w:right w:val="nil"/>
            </w:tcBorders>
            <w:tcMar>
              <w:top w:w="72" w:type="dxa"/>
              <w:left w:w="115" w:type="dxa"/>
              <w:bottom w:w="72" w:type="dxa"/>
              <w:right w:w="115" w:type="dxa"/>
            </w:tcMar>
          </w:tcPr>
          <w:p w:rsidR="00653FC1" w:rsidRDefault="00653FC1" w:rsidP="00306277">
            <w:pPr>
              <w:pStyle w:val="TableText"/>
              <w:spacing w:before="60" w:after="60"/>
            </w:pPr>
            <w:r>
              <w:t xml:space="preserve">To assess </w:t>
            </w:r>
            <w:r w:rsidRPr="00341396">
              <w:t>policy-related challenges and barriers to providing housing assistance to youth aging out of foster care</w:t>
            </w:r>
            <w:r>
              <w:t>, w</w:t>
            </w:r>
            <w:r w:rsidRPr="001E69AE">
              <w:t>e ask the agency’s opinion on FUP-related statutory requirements and service requirements</w:t>
            </w:r>
            <w:r>
              <w:t>.</w:t>
            </w:r>
          </w:p>
          <w:p w:rsidR="00653FC1" w:rsidRDefault="00653FC1" w:rsidP="00306277">
            <w:pPr>
              <w:pStyle w:val="TableText"/>
              <w:spacing w:before="60" w:after="60"/>
            </w:pPr>
            <w:r>
              <w:t xml:space="preserve">This is the last section of the </w:t>
            </w:r>
            <w:r w:rsidR="00897D36">
              <w:t xml:space="preserve">PCWA </w:t>
            </w:r>
            <w:r>
              <w:t>survey.</w:t>
            </w:r>
          </w:p>
        </w:tc>
      </w:tr>
    </w:tbl>
    <w:p w:rsidR="00F93828" w:rsidRPr="005E233B" w:rsidRDefault="00F93828" w:rsidP="00F93828">
      <w:pPr>
        <w:pStyle w:val="NormalSS"/>
        <w:tabs>
          <w:tab w:val="clear" w:pos="432"/>
        </w:tabs>
        <w:ind w:firstLine="0"/>
        <w:rPr>
          <w:sz w:val="20"/>
        </w:rPr>
      </w:pPr>
    </w:p>
    <w:p w:rsidR="00E33FB4" w:rsidRPr="0001119F" w:rsidRDefault="00F93828" w:rsidP="00F93828">
      <w:pPr>
        <w:pStyle w:val="NormalSS"/>
        <w:tabs>
          <w:tab w:val="clear" w:pos="432"/>
          <w:tab w:val="left" w:pos="29"/>
        </w:tabs>
        <w:ind w:firstLine="0"/>
      </w:pPr>
      <w:r w:rsidRPr="005E233B">
        <w:rPr>
          <w:sz w:val="20"/>
        </w:rPr>
        <w:tab/>
      </w:r>
    </w:p>
    <w:sectPr w:rsidR="00E33FB4" w:rsidRPr="0001119F" w:rsidSect="002370C4">
      <w:headerReference w:type="default" r:id="rId8"/>
      <w:footerReference w:type="even" r:id="rId9"/>
      <w:footerReference w:type="default" r:id="rId10"/>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CC" w:rsidRDefault="00E963CC">
      <w:pPr>
        <w:spacing w:line="240" w:lineRule="auto"/>
        <w:ind w:firstLine="0"/>
      </w:pPr>
    </w:p>
  </w:endnote>
  <w:endnote w:type="continuationSeparator" w:id="0">
    <w:p w:rsidR="00E963CC" w:rsidRDefault="00E963CC">
      <w:pPr>
        <w:spacing w:line="240" w:lineRule="auto"/>
        <w:ind w:firstLine="0"/>
      </w:pPr>
    </w:p>
  </w:endnote>
  <w:endnote w:type="continuationNotice" w:id="1">
    <w:p w:rsidR="00E963CC" w:rsidRDefault="00E963CC">
      <w:pPr>
        <w:spacing w:line="240" w:lineRule="auto"/>
        <w:ind w:firstLine="0"/>
      </w:pPr>
    </w:p>
    <w:p w:rsidR="00E963CC" w:rsidRDefault="00E963CC"/>
    <w:p w:rsidR="00E963CC" w:rsidRDefault="00E963CC">
      <w:r>
        <w:rPr>
          <w:b/>
          <w:snapToGrid w:val="0"/>
        </w:rPr>
        <w:t>DRAFT</w:t>
      </w:r>
      <w:r>
        <w:rPr>
          <w:snapToGrid w:val="0"/>
          <w:sz w:val="16"/>
        </w:rPr>
        <w:t xml:space="preserve"> </w:t>
      </w:r>
      <w:r w:rsidR="00C72F1E">
        <w:rPr>
          <w:snapToGrid w:val="0"/>
          <w:sz w:val="16"/>
        </w:rPr>
        <w:fldChar w:fldCharType="begin"/>
      </w:r>
      <w:r>
        <w:rPr>
          <w:snapToGrid w:val="0"/>
          <w:sz w:val="16"/>
        </w:rPr>
        <w:instrText xml:space="preserve"> FILENAME \p </w:instrText>
      </w:r>
      <w:r w:rsidR="00C72F1E">
        <w:rPr>
          <w:snapToGrid w:val="0"/>
          <w:sz w:val="16"/>
        </w:rPr>
        <w:fldChar w:fldCharType="separate"/>
      </w:r>
      <w:r>
        <w:rPr>
          <w:noProof/>
          <w:snapToGrid w:val="0"/>
          <w:sz w:val="16"/>
        </w:rPr>
        <w:t>N:\Shared-DC1\06956_HUD\Common\Task 500-OMB Clearance\Draft 3-2-12\HUD_PHA_topictable_AMP.docx</w:t>
      </w:r>
      <w:r w:rsidR="00C72F1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C4" w:rsidRDefault="002370C4" w:rsidP="002370C4">
    <w:pPr>
      <w:pStyle w:val="Footer"/>
      <w:jc w:val="center"/>
    </w:pPr>
    <w:r>
      <w:t>D.1.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FC1" w:rsidRDefault="002370C4" w:rsidP="00705826">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t>D.2</w:t>
    </w:r>
  </w:p>
  <w:p w:rsidR="002370C4" w:rsidRDefault="002370C4" w:rsidP="00705826">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CC" w:rsidRDefault="00E963CC">
      <w:pPr>
        <w:spacing w:line="240" w:lineRule="auto"/>
        <w:ind w:firstLine="0"/>
      </w:pPr>
      <w:r>
        <w:separator/>
      </w:r>
    </w:p>
  </w:footnote>
  <w:footnote w:type="continuationSeparator" w:id="0">
    <w:p w:rsidR="00E963CC" w:rsidRDefault="00E963CC">
      <w:pPr>
        <w:spacing w:line="240" w:lineRule="auto"/>
        <w:ind w:firstLine="0"/>
      </w:pPr>
      <w:r>
        <w:separator/>
      </w:r>
    </w:p>
    <w:p w:rsidR="00E963CC" w:rsidRDefault="00E963CC">
      <w:pPr>
        <w:spacing w:line="240" w:lineRule="auto"/>
        <w:ind w:firstLine="0"/>
        <w:rPr>
          <w:i/>
        </w:rPr>
      </w:pPr>
      <w:r>
        <w:rPr>
          <w:i/>
        </w:rPr>
        <w:t>(</w:t>
      </w:r>
      <w:proofErr w:type="gramStart"/>
      <w:r>
        <w:rPr>
          <w:i/>
        </w:rPr>
        <w:t>continued</w:t>
      </w:r>
      <w:proofErr w:type="gramEnd"/>
      <w:r>
        <w:rPr>
          <w:i/>
        </w:rPr>
        <w:t>)</w:t>
      </w:r>
    </w:p>
  </w:footnote>
  <w:footnote w:type="continuationNotice" w:id="1">
    <w:p w:rsidR="00E963CC" w:rsidRDefault="00E963C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FC1" w:rsidRPr="000A4439" w:rsidRDefault="00AD7DA0" w:rsidP="006C5B99">
    <w:pPr>
      <w:pStyle w:val="Header"/>
      <w:rPr>
        <w:szCs w:val="22"/>
      </w:rPr>
    </w:pPr>
    <w:r w:rsidRPr="00E27BDC">
      <w:rPr>
        <w:rFonts w:cs="Arial"/>
        <w:szCs w:val="22"/>
      </w:rPr>
      <w:t>Study on Housing for Youth Aging Out of Foster Care</w:t>
    </w:r>
    <w:r w:rsidR="008B4CF2">
      <w:rPr>
        <w:rFonts w:cs="Arial"/>
        <w:szCs w:val="22"/>
      </w:rPr>
      <w:t xml:space="preserve"> (</w:t>
    </w:r>
    <w:r w:rsidR="002370C4">
      <w:rPr>
        <w:szCs w:val="22"/>
      </w:rPr>
      <w:t>Appendix D</w:t>
    </w:r>
    <w:r w:rsidR="008B4CF2">
      <w:rPr>
        <w:szCs w:val="22"/>
      </w:rPr>
      <w:t>)</w:t>
    </w:r>
    <w:r w:rsidRPr="000A4439">
      <w:rPr>
        <w:szCs w:val="22"/>
      </w:rPr>
      <w:tab/>
    </w:r>
    <w:proofErr w:type="spellStart"/>
    <w:r w:rsidRPr="000A4439">
      <w:rPr>
        <w:szCs w:val="22"/>
      </w:rPr>
      <w:t>Mathematica</w:t>
    </w:r>
    <w:proofErr w:type="spellEnd"/>
    <w:r w:rsidRPr="000A4439">
      <w:rPr>
        <w:szCs w:val="22"/>
      </w:rPr>
      <w:t xml:space="preserve">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544"/>
    <w:multiLevelType w:val="hybridMultilevel"/>
    <w:tmpl w:val="28581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3F50309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85047"/>
    <w:multiLevelType w:val="hybridMultilevel"/>
    <w:tmpl w:val="E1BE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C71E43"/>
    <w:multiLevelType w:val="hybridMultilevel"/>
    <w:tmpl w:val="6512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75F282F"/>
    <w:multiLevelType w:val="hybridMultilevel"/>
    <w:tmpl w:val="A61E6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D360C2"/>
    <w:multiLevelType w:val="hybridMultilevel"/>
    <w:tmpl w:val="6D586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6B0D6A"/>
    <w:multiLevelType w:val="hybridMultilevel"/>
    <w:tmpl w:val="B1FEE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890A31"/>
    <w:multiLevelType w:val="hybridMultilevel"/>
    <w:tmpl w:val="230A7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ACA7431"/>
    <w:multiLevelType w:val="hybridMultilevel"/>
    <w:tmpl w:val="A50A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B6BB2"/>
    <w:multiLevelType w:val="hybridMultilevel"/>
    <w:tmpl w:val="D742B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DB745E2"/>
    <w:multiLevelType w:val="hybridMultilevel"/>
    <w:tmpl w:val="74C8A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3B3706A"/>
    <w:multiLevelType w:val="singleLevel"/>
    <w:tmpl w:val="996AFB74"/>
    <w:lvl w:ilvl="0">
      <w:numFmt w:val="bullet"/>
      <w:lvlText w:val="-"/>
      <w:lvlJc w:val="left"/>
      <w:pPr>
        <w:tabs>
          <w:tab w:val="num" w:pos="1080"/>
        </w:tabs>
        <w:ind w:left="1080" w:hanging="360"/>
      </w:pPr>
      <w:rPr>
        <w:rFont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B1D5669"/>
    <w:multiLevelType w:val="hybridMultilevel"/>
    <w:tmpl w:val="86E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F2D32A1"/>
    <w:multiLevelType w:val="hybridMultilevel"/>
    <w:tmpl w:val="F55A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0"/>
  </w:num>
  <w:num w:numId="4">
    <w:abstractNumId w:val="2"/>
  </w:num>
  <w:num w:numId="5">
    <w:abstractNumId w:val="1"/>
  </w:num>
  <w:num w:numId="6">
    <w:abstractNumId w:val="28"/>
  </w:num>
  <w:num w:numId="7">
    <w:abstractNumId w:val="23"/>
  </w:num>
  <w:num w:numId="8">
    <w:abstractNumId w:val="6"/>
  </w:num>
  <w:num w:numId="9">
    <w:abstractNumId w:val="8"/>
  </w:num>
  <w:num w:numId="10">
    <w:abstractNumId w:val="11"/>
  </w:num>
  <w:num w:numId="11">
    <w:abstractNumId w:val="3"/>
  </w:num>
  <w:num w:numId="12">
    <w:abstractNumId w:val="21"/>
  </w:num>
  <w:num w:numId="13">
    <w:abstractNumId w:val="5"/>
  </w:num>
  <w:num w:numId="14">
    <w:abstractNumId w:val="19"/>
  </w:num>
  <w:num w:numId="15">
    <w:abstractNumId w:val="22"/>
  </w:num>
  <w:num w:numId="16">
    <w:abstractNumId w:val="10"/>
  </w:num>
  <w:num w:numId="17">
    <w:abstractNumId w:val="25"/>
  </w:num>
  <w:num w:numId="18">
    <w:abstractNumId w:val="4"/>
  </w:num>
  <w:num w:numId="19">
    <w:abstractNumId w:val="13"/>
  </w:num>
  <w:num w:numId="20">
    <w:abstractNumId w:val="12"/>
  </w:num>
  <w:num w:numId="21">
    <w:abstractNumId w:val="14"/>
  </w:num>
  <w:num w:numId="22">
    <w:abstractNumId w:val="18"/>
  </w:num>
  <w:num w:numId="23">
    <w:abstractNumId w:val="0"/>
  </w:num>
  <w:num w:numId="24">
    <w:abstractNumId w:val="27"/>
  </w:num>
  <w:num w:numId="25">
    <w:abstractNumId w:val="7"/>
  </w:num>
  <w:num w:numId="26">
    <w:abstractNumId w:val="17"/>
  </w:num>
  <w:num w:numId="27">
    <w:abstractNumId w:val="9"/>
  </w:num>
  <w:num w:numId="28">
    <w:abstractNumId w:val="15"/>
  </w:num>
  <w:num w:numId="29">
    <w:abstractNumId w:val="24"/>
  </w:num>
  <w:num w:numId="30">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620545"/>
  </w:hdrShapeDefaults>
  <w:footnotePr>
    <w:footnote w:id="-1"/>
    <w:footnote w:id="0"/>
    <w:footnote w:id="1"/>
  </w:footnotePr>
  <w:endnotePr>
    <w:numFmt w:val="decimal"/>
    <w:endnote w:id="-1"/>
    <w:endnote w:id="0"/>
    <w:endnote w:id="1"/>
  </w:endnotePr>
  <w:compat>
    <w:doNotUseHTMLParagraphAutoSpacing/>
  </w:compat>
  <w:rsids>
    <w:rsidRoot w:val="00E71DBC"/>
    <w:rsid w:val="000015FB"/>
    <w:rsid w:val="00001D49"/>
    <w:rsid w:val="00005F28"/>
    <w:rsid w:val="00006E1F"/>
    <w:rsid w:val="00007CA0"/>
    <w:rsid w:val="0001119F"/>
    <w:rsid w:val="00012372"/>
    <w:rsid w:val="00012863"/>
    <w:rsid w:val="00017DD1"/>
    <w:rsid w:val="00021A62"/>
    <w:rsid w:val="000300AF"/>
    <w:rsid w:val="00037098"/>
    <w:rsid w:val="000460D6"/>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0C98"/>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0C4"/>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6277"/>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840"/>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3C2C"/>
    <w:rsid w:val="00525772"/>
    <w:rsid w:val="00531424"/>
    <w:rsid w:val="00533EEF"/>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5A3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3FC1"/>
    <w:rsid w:val="00656171"/>
    <w:rsid w:val="006571CE"/>
    <w:rsid w:val="00666769"/>
    <w:rsid w:val="00670448"/>
    <w:rsid w:val="006714AC"/>
    <w:rsid w:val="00671E2B"/>
    <w:rsid w:val="00672F90"/>
    <w:rsid w:val="00673C15"/>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5826"/>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97D36"/>
    <w:rsid w:val="008A3B53"/>
    <w:rsid w:val="008A466C"/>
    <w:rsid w:val="008B032B"/>
    <w:rsid w:val="008B1F5A"/>
    <w:rsid w:val="008B43D6"/>
    <w:rsid w:val="008B4CF2"/>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6EF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D7DA0"/>
    <w:rsid w:val="00AE3A26"/>
    <w:rsid w:val="00AF1B2F"/>
    <w:rsid w:val="00B13000"/>
    <w:rsid w:val="00B20019"/>
    <w:rsid w:val="00B21550"/>
    <w:rsid w:val="00B24137"/>
    <w:rsid w:val="00B278E0"/>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2F1E"/>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1DBC"/>
    <w:rsid w:val="00E72220"/>
    <w:rsid w:val="00E74213"/>
    <w:rsid w:val="00E76CD9"/>
    <w:rsid w:val="00E80549"/>
    <w:rsid w:val="00E85272"/>
    <w:rsid w:val="00E91E19"/>
    <w:rsid w:val="00E95106"/>
    <w:rsid w:val="00E95F26"/>
    <w:rsid w:val="00E963CC"/>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7CF9"/>
    <w:rsid w:val="00F93828"/>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F93828"/>
    <w:pPr>
      <w:tabs>
        <w:tab w:val="left" w:pos="360"/>
      </w:tabs>
      <w:spacing w:after="180"/>
      <w:ind w:left="720" w:right="360" w:hanging="288"/>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D212-B604-44DE-B07D-9D5E5224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4</TotalTime>
  <Pages>3</Pages>
  <Words>641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Pitt</dc:creator>
  <cp:keywords/>
  <dc:description/>
  <cp:lastModifiedBy>Anne Fletcher</cp:lastModifiedBy>
  <cp:revision>3</cp:revision>
  <cp:lastPrinted>2001-03-07T19:36:00Z</cp:lastPrinted>
  <dcterms:created xsi:type="dcterms:W3CDTF">2012-04-02T15:01:00Z</dcterms:created>
  <dcterms:modified xsi:type="dcterms:W3CDTF">2012-04-06T19:14:00Z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1445755372</vt:i4>
  </property>
  <property fmtid="{D5CDD505-2E9C-101B-9397-08002B2CF9AE}" pid="3" name="_NewReviewCycle">
    <vt:lpwstr/>
  </property>
  <property fmtid="{D5CDD505-2E9C-101B-9397-08002B2CF9AE}" pid="4" name="_EmailSubject">
    <vt:lpwstr>New PRA Package for ROCIS and Departmental Clearance</vt:lpwstr>
  </property>
  <property fmtid="{D5CDD505-2E9C-101B-9397-08002B2CF9AE}" pid="5" name="_AuthorEmail">
    <vt:lpwstr>Anne.L.Fletcher@hud.gov</vt:lpwstr>
  </property>
  <property fmtid="{D5CDD505-2E9C-101B-9397-08002B2CF9AE}" pid="6" name="_AuthorEmailDisplayName">
    <vt:lpwstr>Fletcher, Anne L</vt:lpwstr>
  </property>
</Properties>
</file>