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48C8" w:rsidRDefault="00EB48C8" w:rsidP="00EB48C8">
      <w:pPr>
        <w:pStyle w:val="AbtHeadA"/>
        <w:spacing w:after="240"/>
        <w:jc w:val="center"/>
      </w:pPr>
      <w:bookmarkStart w:id="0" w:name="_GoBack"/>
      <w:bookmarkEnd w:id="0"/>
      <w:r>
        <w:t>Supporting Statement for 2012 SNAPS CoC Application</w:t>
      </w:r>
    </w:p>
    <w:p w:rsidR="00EB48C8" w:rsidRPr="000B7D63" w:rsidRDefault="00EB48C8" w:rsidP="00EB48C8">
      <w:pPr>
        <w:pStyle w:val="AbtHeadB"/>
        <w:spacing w:after="240"/>
        <w:rPr>
          <w:rFonts w:cs="Arial"/>
          <w:szCs w:val="24"/>
        </w:rPr>
      </w:pPr>
      <w:bookmarkStart w:id="1" w:name="_Toc311186205"/>
      <w:bookmarkStart w:id="2" w:name="_Toc224972096"/>
      <w:bookmarkStart w:id="3" w:name="_Toc233444276"/>
      <w:r w:rsidRPr="000B7D63">
        <w:rPr>
          <w:rFonts w:cs="Arial"/>
        </w:rPr>
        <w:t>Introduction</w:t>
      </w:r>
      <w:bookmarkEnd w:id="1"/>
    </w:p>
    <w:p w:rsidR="00EB48C8" w:rsidRDefault="00EB48C8" w:rsidP="00EB48C8">
      <w:pPr>
        <w:pStyle w:val="AbtHeadB"/>
        <w:spacing w:after="240"/>
        <w:rPr>
          <w:rFonts w:ascii="Times New Roman" w:hAnsi="Times New Roman"/>
          <w:b w:val="0"/>
          <w:sz w:val="24"/>
          <w:szCs w:val="24"/>
        </w:rPr>
      </w:pPr>
      <w:bookmarkStart w:id="4" w:name="_Toc310931645"/>
      <w:bookmarkStart w:id="5" w:name="_Toc310937506"/>
      <w:bookmarkStart w:id="6" w:name="_Toc311186206"/>
      <w:r w:rsidRPr="00D07ED0">
        <w:rPr>
          <w:rFonts w:ascii="Times New Roman" w:hAnsi="Times New Roman"/>
          <w:b w:val="0"/>
          <w:sz w:val="24"/>
          <w:szCs w:val="24"/>
        </w:rPr>
        <w:t>On May 20, 2009, Congress passed the Homeless Emergency Assistance and Rapid Transition to Housing Act of 2009 (HEARTH Act).</w:t>
      </w:r>
      <w:bookmarkEnd w:id="4"/>
      <w:bookmarkEnd w:id="5"/>
      <w:r>
        <w:rPr>
          <w:rFonts w:ascii="Times New Roman" w:hAnsi="Times New Roman"/>
          <w:b w:val="0"/>
          <w:sz w:val="24"/>
          <w:szCs w:val="24"/>
        </w:rPr>
        <w:t xml:space="preserve"> The legislation created the Continuum of Care program, which combines the existing Supportive Housing Program (SHP), Shelter Plus Care (S+C), and Single Room Occupancy (SRO) grants and codifies the existing Continuum of Care (CoC) framework for grant application, scoring, and reporting.  This PRA justification covers the requirements for registering a local or state CoC submitting the Continuum of Care’s plan and the application requirements for organizations that submit individual projects, including the changes required by the HEARTH Act.</w:t>
      </w:r>
      <w:bookmarkEnd w:id="6"/>
      <w:r>
        <w:rPr>
          <w:rFonts w:ascii="Times New Roman" w:hAnsi="Times New Roman"/>
          <w:b w:val="0"/>
          <w:sz w:val="24"/>
          <w:szCs w:val="24"/>
        </w:rPr>
        <w:t xml:space="preserve"> </w:t>
      </w:r>
    </w:p>
    <w:p w:rsidR="00EB48C8" w:rsidRDefault="00EB48C8" w:rsidP="00EB48C8">
      <w:pPr>
        <w:pStyle w:val="AbtHeadB"/>
        <w:spacing w:after="240"/>
        <w:rPr>
          <w:rFonts w:ascii="Times New Roman" w:hAnsi="Times New Roman"/>
          <w:b w:val="0"/>
          <w:sz w:val="22"/>
        </w:rPr>
      </w:pPr>
      <w:bookmarkStart w:id="7" w:name="_Toc310931646"/>
      <w:bookmarkStart w:id="8" w:name="_Toc310937507"/>
      <w:bookmarkStart w:id="9" w:name="_Toc311186207"/>
      <w:r>
        <w:t>A1</w:t>
      </w:r>
      <w:r>
        <w:tab/>
        <w:t>Need and Legal Basis</w:t>
      </w:r>
      <w:bookmarkEnd w:id="2"/>
      <w:bookmarkEnd w:id="3"/>
      <w:bookmarkEnd w:id="7"/>
      <w:bookmarkEnd w:id="8"/>
      <w:bookmarkEnd w:id="9"/>
    </w:p>
    <w:p w:rsidR="00EB48C8" w:rsidRDefault="00EB48C8" w:rsidP="00EB48C8">
      <w:pPr>
        <w:pStyle w:val="AbtHeadB"/>
        <w:rPr>
          <w:b w:val="0"/>
          <w:i/>
          <w:sz w:val="24"/>
        </w:rPr>
      </w:pPr>
      <w:bookmarkStart w:id="10" w:name="_Toc228162069"/>
      <w:bookmarkStart w:id="11" w:name="_Toc228162169"/>
      <w:bookmarkStart w:id="12" w:name="_Toc228162241"/>
      <w:bookmarkStart w:id="13" w:name="_Toc233444277"/>
      <w:bookmarkStart w:id="14" w:name="_Toc310931647"/>
      <w:bookmarkStart w:id="15" w:name="_Toc310937508"/>
      <w:bookmarkStart w:id="16" w:name="_Toc311186208"/>
      <w:bookmarkStart w:id="17" w:name="_Toc224972097"/>
      <w:bookmarkStart w:id="18" w:name="_Toc224972193"/>
      <w:bookmarkStart w:id="19" w:name="_Toc224972249"/>
      <w:bookmarkStart w:id="20" w:name="_Toc224972307"/>
      <w:bookmarkStart w:id="21" w:name="_Toc224976962"/>
      <w:r>
        <w:rPr>
          <w:b w:val="0"/>
          <w:i/>
          <w:sz w:val="24"/>
        </w:rPr>
        <w:t>Why is this information necessary?  Identify any legal or administrative requirements that necessitate the collection.</w:t>
      </w:r>
      <w:bookmarkEnd w:id="10"/>
      <w:bookmarkEnd w:id="11"/>
      <w:bookmarkEnd w:id="12"/>
      <w:bookmarkEnd w:id="13"/>
      <w:bookmarkEnd w:id="14"/>
      <w:bookmarkEnd w:id="15"/>
      <w:bookmarkEnd w:id="16"/>
      <w:r>
        <w:rPr>
          <w:b w:val="0"/>
          <w:i/>
          <w:sz w:val="24"/>
        </w:rPr>
        <w:t xml:space="preserve">  </w:t>
      </w:r>
      <w:bookmarkEnd w:id="17"/>
      <w:bookmarkEnd w:id="18"/>
      <w:bookmarkEnd w:id="19"/>
      <w:bookmarkEnd w:id="20"/>
      <w:bookmarkEnd w:id="21"/>
    </w:p>
    <w:p w:rsidR="00EB48C8" w:rsidRDefault="00EB48C8" w:rsidP="00EB48C8">
      <w:bookmarkStart w:id="22" w:name="_Toc224972098"/>
      <w:bookmarkStart w:id="23" w:name="_Toc233444278"/>
      <w:bookmarkStart w:id="24" w:name="_Toc311186214"/>
      <w:r>
        <w:t xml:space="preserve">This information collection </w:t>
      </w:r>
      <w:r w:rsidR="00E70269">
        <w:t>request</w:t>
      </w:r>
      <w:r>
        <w:t xml:space="preserve"> </w:t>
      </w:r>
      <w:r w:rsidR="00E70269">
        <w:t xml:space="preserve">is with respect to </w:t>
      </w:r>
      <w:r>
        <w:t xml:space="preserve">HUD’s competitive homeless assistance program authorized by the McKinney-Vento Act, as amended by the HEARTH Act (42 U.S.C. 11371 </w:t>
      </w:r>
      <w:r>
        <w:rPr>
          <w:i/>
        </w:rPr>
        <w:t>et seq.</w:t>
      </w:r>
      <w:r>
        <w:t>).  The Continuum of Care application process is 100% electronic.  The application is needed to assist in the selection of proposals submitted by HUD (by State and local governments, public housing authorities, and nonprofit organization) for the awarded funds under the Continuum of Care Program.</w:t>
      </w:r>
    </w:p>
    <w:p w:rsidR="00EB48C8" w:rsidRDefault="00EB48C8" w:rsidP="00EB48C8"/>
    <w:p w:rsidR="00EB48C8" w:rsidRDefault="00EB48C8" w:rsidP="00EB48C8">
      <w:r>
        <w:t>The number of burden hours for this collection will increase from the previous competition package due to the increased requirements of the statute on CoC planning and system-wide selection criteria.  Applicants will also be required to fully enter all data in the first year of HEARTH Continuum of Care application process due the increased requirements under HEARTH.  In following years</w:t>
      </w:r>
      <w:r w:rsidR="00514D76">
        <w:t>,</w:t>
      </w:r>
      <w:r>
        <w:t xml:space="preserve"> however, applicants will be able to import most of the data from the previous competition and update information as needed.</w:t>
      </w:r>
    </w:p>
    <w:p w:rsidR="00EB48C8" w:rsidRDefault="00EB48C8" w:rsidP="00EB48C8"/>
    <w:p w:rsidR="00EB48C8" w:rsidRDefault="00EB48C8" w:rsidP="00EB48C8">
      <w:r>
        <w:t xml:space="preserve">The purpose </w:t>
      </w:r>
      <w:r w:rsidR="00E25654">
        <w:t xml:space="preserve">of </w:t>
      </w:r>
      <w:r>
        <w:t xml:space="preserve">this information </w:t>
      </w:r>
      <w:r w:rsidR="00514D76">
        <w:t xml:space="preserve">collection </w:t>
      </w:r>
      <w:r>
        <w:t>is to determine the Continuum of Care’s progress toward:  1) promoting community-wide commitment to the goal of ending  homelessness; 2) provide funding for efforts by nonprofit providers and State and local governments to quickly re-house homeless individuals and families while minimizing the trauma and dislocation caused to individuals, families, and communities by homelessness; 3) promote access to, and effective utilization of mainstream programs and programs funded with State or local resources; and 4) optimize self-sufficiency among individuals and families experiencing homelessness.</w:t>
      </w:r>
    </w:p>
    <w:p w:rsidR="00EB48C8" w:rsidRDefault="00EB48C8" w:rsidP="00EB48C8"/>
    <w:p w:rsidR="00EB48C8" w:rsidRDefault="00EB48C8" w:rsidP="00EB48C8">
      <w:r>
        <w:t xml:space="preserve">The regulatory authority to collect this information is contained in The McKinney-Vento Homeless Assistance Act as amended by S.896 The Homeless Emergency Assistance and Rapid Transition to Housing (HEARTH) Act of 2009, SEC. 422 (a) states:  “the Secretary shall award </w:t>
      </w:r>
      <w:r>
        <w:lastRenderedPageBreak/>
        <w:t>grants, on a competitive basis, and using the selection criteria described in section 427, to carry out eligible activities under this subtitle for projects that meet the program requirements under section 426, either by directly awarding funds to project sponsors or by awarding funds to unified funding agencies.”</w:t>
      </w:r>
    </w:p>
    <w:p w:rsidR="00EB48C8" w:rsidRDefault="00EB48C8" w:rsidP="00EB48C8"/>
    <w:p w:rsidR="00EB48C8" w:rsidRDefault="00EB48C8" w:rsidP="00EB48C8">
      <w:r w:rsidRPr="00BE28A5">
        <w:t>.</w:t>
      </w:r>
    </w:p>
    <w:p w:rsidR="00EB48C8" w:rsidRDefault="00EB48C8" w:rsidP="00EB48C8">
      <w:pPr>
        <w:pStyle w:val="AbtHeadB"/>
      </w:pPr>
      <w:r>
        <w:t>A2</w:t>
      </w:r>
      <w:r>
        <w:tab/>
        <w:t>Information Users</w:t>
      </w:r>
      <w:bookmarkEnd w:id="22"/>
      <w:bookmarkEnd w:id="23"/>
      <w:bookmarkEnd w:id="24"/>
    </w:p>
    <w:p w:rsidR="00EB48C8" w:rsidRPr="000B7D63" w:rsidRDefault="00EB48C8" w:rsidP="00EB48C8">
      <w:pPr>
        <w:pStyle w:val="AbtHeadB"/>
        <w:rPr>
          <w:b w:val="0"/>
          <w:i/>
          <w:sz w:val="24"/>
        </w:rPr>
      </w:pPr>
      <w:bookmarkStart w:id="25" w:name="_Toc310931653"/>
      <w:bookmarkStart w:id="26" w:name="_Toc310937514"/>
      <w:bookmarkStart w:id="27" w:name="_Toc311186215"/>
      <w:r w:rsidRPr="000B7D63">
        <w:rPr>
          <w:b w:val="0"/>
          <w:i/>
          <w:sz w:val="24"/>
        </w:rPr>
        <w:t>How is the information collected and how is the information to be used?</w:t>
      </w:r>
      <w:bookmarkEnd w:id="25"/>
      <w:bookmarkEnd w:id="26"/>
      <w:bookmarkEnd w:id="27"/>
      <w:r w:rsidRPr="000B7D63">
        <w:rPr>
          <w:b w:val="0"/>
          <w:i/>
          <w:sz w:val="24"/>
        </w:rPr>
        <w:t xml:space="preserve">  </w:t>
      </w:r>
    </w:p>
    <w:p w:rsidR="00EB48C8" w:rsidRDefault="00EB48C8" w:rsidP="00EB48C8">
      <w:pPr>
        <w:autoSpaceDE w:val="0"/>
        <w:autoSpaceDN w:val="0"/>
        <w:adjustRightInd w:val="0"/>
      </w:pPr>
      <w:r>
        <w:t>The information to be collected will be used to rate applications, determine eligibility for Continuum of Care programs and to establish grant amounts.</w:t>
      </w:r>
    </w:p>
    <w:p w:rsidR="00EB48C8" w:rsidRDefault="00EB48C8" w:rsidP="00EB48C8">
      <w:pPr>
        <w:autoSpaceDE w:val="0"/>
        <w:autoSpaceDN w:val="0"/>
        <w:adjustRightInd w:val="0"/>
      </w:pPr>
    </w:p>
    <w:p w:rsidR="00EB48C8" w:rsidRDefault="00EB48C8" w:rsidP="00EB48C8">
      <w:pPr>
        <w:pStyle w:val="AbtHeadB"/>
      </w:pPr>
      <w:bookmarkStart w:id="28" w:name="_Toc224972102"/>
      <w:bookmarkStart w:id="29" w:name="_Toc233444279"/>
      <w:bookmarkStart w:id="30" w:name="_Toc311186216"/>
      <w:r>
        <w:t>A3</w:t>
      </w:r>
      <w:r>
        <w:tab/>
        <w:t>Improved Information Technologies</w:t>
      </w:r>
      <w:bookmarkEnd w:id="28"/>
      <w:bookmarkEnd w:id="29"/>
      <w:bookmarkEnd w:id="30"/>
    </w:p>
    <w:p w:rsidR="00EB48C8" w:rsidRDefault="00EB48C8" w:rsidP="00EB48C8">
      <w:pPr>
        <w:keepLines/>
        <w:tabs>
          <w:tab w:val="left" w:pos="-110"/>
        </w:tabs>
        <w:spacing w:after="80"/>
        <w:ind w:hanging="30"/>
        <w:rPr>
          <w:rFonts w:ascii="Arial" w:hAnsi="Arial"/>
          <w:i/>
          <w:spacing w:val="-4"/>
        </w:rPr>
      </w:pPr>
      <w:r>
        <w:rPr>
          <w:rFonts w:ascii="Arial" w:hAnsi="Arial"/>
          <w:i/>
          <w:spacing w:val="-4"/>
        </w:rPr>
        <w:t>Describe whether, and to what extent, the collection of information is automated (item 13b1 of OMB form 83-i).  If it is not automated, explain why not.  Also describe any other efforts to reduce burden.</w:t>
      </w:r>
    </w:p>
    <w:p w:rsidR="00EB48C8" w:rsidRDefault="00EB48C8" w:rsidP="00EB48C8">
      <w:pPr>
        <w:pStyle w:val="NormalWeb"/>
      </w:pPr>
      <w:r>
        <w:t>This package is currently electronic and will continue to be so when this revision is approved.  In [2008] HUD ado</w:t>
      </w:r>
      <w:r w:rsidRPr="00D07ED0">
        <w:t xml:space="preserve">pted </w:t>
      </w:r>
      <w:r>
        <w:rPr>
          <w:i/>
        </w:rPr>
        <w:t>e-</w:t>
      </w:r>
      <w:r w:rsidRPr="00CA72EC">
        <w:rPr>
          <w:i/>
        </w:rPr>
        <w:t>snaps</w:t>
      </w:r>
      <w:r>
        <w:t xml:space="preserve">, </w:t>
      </w:r>
      <w:r w:rsidRPr="00CA72EC">
        <w:t>an</w:t>
      </w:r>
      <w:r w:rsidRPr="00D07ED0">
        <w:t xml:space="preserve"> </w:t>
      </w:r>
      <w:r>
        <w:t xml:space="preserve">existing </w:t>
      </w:r>
      <w:r w:rsidRPr="00D07ED0">
        <w:t xml:space="preserve">electronic </w:t>
      </w:r>
      <w:r>
        <w:t>grants management</w:t>
      </w:r>
      <w:r w:rsidRPr="00D07ED0">
        <w:t xml:space="preserve"> </w:t>
      </w:r>
      <w:r>
        <w:t xml:space="preserve">system </w:t>
      </w:r>
      <w:r w:rsidRPr="00D07ED0">
        <w:t>for the</w:t>
      </w:r>
      <w:r>
        <w:t xml:space="preserve"> current</w:t>
      </w:r>
      <w:r w:rsidRPr="00D07ED0">
        <w:t xml:space="preserve"> </w:t>
      </w:r>
      <w:r>
        <w:t xml:space="preserve">HEARTH </w:t>
      </w:r>
      <w:r w:rsidRPr="00E54CCE">
        <w:t>CoC</w:t>
      </w:r>
      <w:r w:rsidRPr="00D07ED0">
        <w:t xml:space="preserve"> </w:t>
      </w:r>
      <w:r>
        <w:t>Program</w:t>
      </w:r>
      <w:r w:rsidRPr="00D07ED0">
        <w:t xml:space="preserve"> Application</w:t>
      </w:r>
      <w:r>
        <w:t xml:space="preserve">, to streamline the </w:t>
      </w:r>
      <w:r w:rsidRPr="00D07ED0">
        <w:t xml:space="preserve">application process and lessen reporting burden on applicants.  Potential applicants are able to log into a database driven website and type the required information.  </w:t>
      </w:r>
    </w:p>
    <w:p w:rsidR="00EB48C8" w:rsidRDefault="00EB48C8" w:rsidP="00EB48C8">
      <w:pPr>
        <w:pStyle w:val="AbtHeadB"/>
      </w:pPr>
      <w:bookmarkStart w:id="31" w:name="_Toc224972104"/>
      <w:bookmarkStart w:id="32" w:name="_Toc233444280"/>
      <w:bookmarkStart w:id="33" w:name="_Toc311186217"/>
      <w:r>
        <w:t>A4</w:t>
      </w:r>
      <w:r>
        <w:tab/>
        <w:t>Duplication of Similar Information</w:t>
      </w:r>
      <w:bookmarkEnd w:id="31"/>
      <w:bookmarkEnd w:id="32"/>
      <w:bookmarkEnd w:id="33"/>
    </w:p>
    <w:p w:rsidR="00EB48C8" w:rsidRDefault="00EB48C8" w:rsidP="00EB48C8">
      <w:pPr>
        <w:keepLines/>
        <w:tabs>
          <w:tab w:val="left" w:pos="0"/>
        </w:tabs>
        <w:rPr>
          <w:rFonts w:ascii="Arial" w:hAnsi="Arial"/>
          <w:i/>
          <w:color w:val="000000"/>
        </w:rPr>
      </w:pPr>
      <w:r>
        <w:rPr>
          <w:rFonts w:ascii="Arial" w:hAnsi="Arial"/>
          <w:i/>
          <w:color w:val="000000"/>
        </w:rPr>
        <w:t>Is this information collected elsewhere?  If so, why cannot any similar information already available be used or modified?</w:t>
      </w:r>
    </w:p>
    <w:p w:rsidR="00EB48C8" w:rsidRDefault="00EB48C8" w:rsidP="00EB48C8">
      <w:pPr>
        <w:keepLines/>
        <w:tabs>
          <w:tab w:val="left" w:pos="0"/>
        </w:tabs>
        <w:rPr>
          <w:rFonts w:ascii="Arial" w:hAnsi="Arial"/>
          <w:i/>
          <w:color w:val="000000"/>
        </w:rPr>
      </w:pPr>
    </w:p>
    <w:p w:rsidR="00EB48C8" w:rsidRDefault="00EB48C8" w:rsidP="00EB48C8">
      <w:r>
        <w:t xml:space="preserve">This information is unique to the Continuum of Care application, and related project applications.  To avoid duplication of information within the application itself, the application has been streamlined, with each data element collected only once, stored in a database, and placed in all appropriate sections of the application.  For </w:t>
      </w:r>
      <w:r w:rsidRPr="00E54CCE">
        <w:t>CoC</w:t>
      </w:r>
      <w:r>
        <w:t>’s that apply in the FY2012</w:t>
      </w:r>
      <w:r w:rsidR="00E25654">
        <w:t xml:space="preserve"> </w:t>
      </w:r>
      <w:r>
        <w:t xml:space="preserve">competition, information that remains the same from competition to competition will be stored in the database and may be utilized by applicants in the next year’s competition.  </w:t>
      </w:r>
    </w:p>
    <w:p w:rsidR="00EB48C8" w:rsidRDefault="00EB48C8" w:rsidP="00EB48C8"/>
    <w:p w:rsidR="00EB48C8" w:rsidRDefault="00EB48C8" w:rsidP="00EB48C8">
      <w:r>
        <w:t xml:space="preserve">The CoC model is only used by the CoC Program and so information from other HUD programs is not relevant to the data collected during CoC Program Application.  </w:t>
      </w:r>
    </w:p>
    <w:p w:rsidR="00EB48C8" w:rsidRDefault="00EB48C8" w:rsidP="00EB48C8">
      <w:r>
        <w:t xml:space="preserve"> </w:t>
      </w:r>
    </w:p>
    <w:p w:rsidR="00EB48C8" w:rsidRDefault="00EB48C8" w:rsidP="00EB48C8">
      <w:pPr>
        <w:pStyle w:val="AbtHeadB"/>
      </w:pPr>
      <w:bookmarkStart w:id="34" w:name="_Toc224972105"/>
      <w:bookmarkStart w:id="35" w:name="_Toc233444281"/>
      <w:bookmarkStart w:id="36" w:name="_Toc311186218"/>
      <w:r>
        <w:t>A5</w:t>
      </w:r>
      <w:r>
        <w:tab/>
        <w:t>Small Businesses</w:t>
      </w:r>
      <w:bookmarkEnd w:id="34"/>
      <w:bookmarkEnd w:id="35"/>
      <w:bookmarkEnd w:id="36"/>
    </w:p>
    <w:p w:rsidR="00EB48C8" w:rsidRDefault="00EB48C8" w:rsidP="00EB48C8">
      <w:pPr>
        <w:keepLines/>
        <w:tabs>
          <w:tab w:val="left" w:pos="0"/>
        </w:tabs>
        <w:spacing w:after="80"/>
        <w:rPr>
          <w:rFonts w:ascii="Arial" w:hAnsi="Arial"/>
          <w:i/>
          <w:color w:val="000000"/>
        </w:rPr>
      </w:pPr>
      <w:r>
        <w:rPr>
          <w:rFonts w:ascii="Arial" w:hAnsi="Arial"/>
          <w:i/>
          <w:color w:val="000000"/>
        </w:rPr>
        <w:t>Does the collection of information impact small businesses or other small entities (item 5 of OMB form 83-i)?  Describe any methods used to minimize burden.</w:t>
      </w:r>
    </w:p>
    <w:p w:rsidR="00EB48C8" w:rsidRPr="00553BCC" w:rsidRDefault="00EB48C8" w:rsidP="00EB48C8">
      <w:pPr>
        <w:spacing w:after="240"/>
      </w:pPr>
      <w:r w:rsidRPr="00D07ED0">
        <w:lastRenderedPageBreak/>
        <w:t xml:space="preserve">The wide-range of applicants for </w:t>
      </w:r>
      <w:r w:rsidRPr="00E54CCE">
        <w:t>CoC</w:t>
      </w:r>
      <w:r w:rsidRPr="00D07ED0">
        <w:t xml:space="preserve"> funding (including states, local governments, private nonprofit organizations, and community mental health associations that are public nonprofit organizations) and the need to consider all applications on an equal basis make</w:t>
      </w:r>
      <w:r>
        <w:t>s</w:t>
      </w:r>
      <w:r w:rsidRPr="00D07ED0">
        <w:t xml:space="preserve"> it difficult to give special consideration to the burden placed on small entities by the collection of information.  Instead, efforts were made to minimize the burden placed on all applicants, while at the same time ensuring that sufficient information will be provided to allow HUD to determine and select the best proposals</w:t>
      </w:r>
      <w:bookmarkStart w:id="37" w:name="_Toc224972106"/>
      <w:bookmarkStart w:id="38" w:name="_Toc233444282"/>
      <w:r>
        <w:t>.</w:t>
      </w:r>
    </w:p>
    <w:p w:rsidR="00EB48C8" w:rsidRDefault="00EB48C8" w:rsidP="00EB48C8">
      <w:pPr>
        <w:pStyle w:val="AbtHeadB"/>
      </w:pPr>
      <w:bookmarkStart w:id="39" w:name="_Toc311186219"/>
      <w:r>
        <w:t>A6</w:t>
      </w:r>
      <w:r>
        <w:tab/>
      </w:r>
      <w:proofErr w:type="gramStart"/>
      <w:r>
        <w:t>Less</w:t>
      </w:r>
      <w:proofErr w:type="gramEnd"/>
      <w:r>
        <w:t xml:space="preserve"> Frequent Data Collection</w:t>
      </w:r>
      <w:bookmarkEnd w:id="37"/>
      <w:bookmarkEnd w:id="38"/>
      <w:bookmarkEnd w:id="39"/>
    </w:p>
    <w:p w:rsidR="00EB48C8" w:rsidRDefault="00EB48C8" w:rsidP="00EB48C8">
      <w:pPr>
        <w:keepLines/>
        <w:tabs>
          <w:tab w:val="left" w:pos="0"/>
        </w:tabs>
        <w:spacing w:after="240"/>
        <w:rPr>
          <w:rFonts w:ascii="Arial" w:hAnsi="Arial"/>
          <w:i/>
          <w:color w:val="000000"/>
        </w:rPr>
      </w:pPr>
      <w:r>
        <w:rPr>
          <w:rFonts w:ascii="Arial" w:hAnsi="Arial"/>
          <w:i/>
          <w:color w:val="000000"/>
        </w:rPr>
        <w:t>Describe the consequence to Federal program or policy activities if the collection is not conducted or is conducted less frequently, as well as any technical or legal obstacles to reducing burden.</w:t>
      </w:r>
    </w:p>
    <w:p w:rsidR="00EB48C8" w:rsidRDefault="00EB48C8" w:rsidP="00EB48C8">
      <w:pPr>
        <w:rPr>
          <w:spacing w:val="-2"/>
        </w:rPr>
      </w:pPr>
      <w:r w:rsidRPr="00B27735">
        <w:rPr>
          <w:spacing w:val="-2"/>
        </w:rPr>
        <w:t>All information collected is used to carefully</w:t>
      </w:r>
      <w:r>
        <w:rPr>
          <w:spacing w:val="-2"/>
        </w:rPr>
        <w:t xml:space="preserve"> to</w:t>
      </w:r>
      <w:r w:rsidRPr="00B27735">
        <w:rPr>
          <w:spacing w:val="-2"/>
        </w:rPr>
        <w:t xml:space="preserve"> consider applications for funding.  If </w:t>
      </w:r>
      <w:r>
        <w:rPr>
          <w:spacing w:val="-2"/>
        </w:rPr>
        <w:t>HUD</w:t>
      </w:r>
      <w:r w:rsidRPr="00B27735">
        <w:rPr>
          <w:spacing w:val="-2"/>
        </w:rPr>
        <w:t xml:space="preserve"> collects less information, or collects less frequently, the Department </w:t>
      </w:r>
      <w:r>
        <w:rPr>
          <w:spacing w:val="-2"/>
        </w:rPr>
        <w:t>will not be able to</w:t>
      </w:r>
      <w:r w:rsidRPr="00B27735">
        <w:rPr>
          <w:spacing w:val="-2"/>
        </w:rPr>
        <w:t xml:space="preserve"> determine the eligibility of applicants for grant funds and applicants will not be eligible to receive funding for the fiscal year</w:t>
      </w:r>
      <w:r>
        <w:rPr>
          <w:spacing w:val="-2"/>
        </w:rPr>
        <w:t>.</w:t>
      </w:r>
    </w:p>
    <w:p w:rsidR="00EB48C8" w:rsidRDefault="00EB48C8" w:rsidP="00EB48C8">
      <w:pPr>
        <w:pStyle w:val="AbtHeadB"/>
        <w:spacing w:after="0"/>
      </w:pPr>
      <w:bookmarkStart w:id="40" w:name="_Toc224972107"/>
      <w:bookmarkStart w:id="41" w:name="_Toc233444283"/>
    </w:p>
    <w:p w:rsidR="00EB48C8" w:rsidRPr="000E1981" w:rsidRDefault="00EB48C8" w:rsidP="00EB48C8">
      <w:pPr>
        <w:pStyle w:val="AbtHeadB"/>
      </w:pPr>
      <w:bookmarkStart w:id="42" w:name="_Toc311186220"/>
      <w:r>
        <w:t>A7</w:t>
      </w:r>
      <w:r>
        <w:tab/>
        <w:t>Special Circumstances</w:t>
      </w:r>
      <w:bookmarkEnd w:id="40"/>
      <w:bookmarkEnd w:id="41"/>
      <w:bookmarkEnd w:id="42"/>
    </w:p>
    <w:p w:rsidR="00EB48C8" w:rsidRPr="000C48CF" w:rsidRDefault="00EB48C8" w:rsidP="00EB48C8">
      <w:pPr>
        <w:rPr>
          <w:rFonts w:ascii="Arial" w:hAnsi="Arial" w:cs="Arial"/>
          <w:i/>
        </w:rPr>
      </w:pPr>
      <w:r w:rsidRPr="000C48CF">
        <w:rPr>
          <w:rFonts w:ascii="Arial" w:hAnsi="Arial" w:cs="Arial"/>
          <w:i/>
        </w:rPr>
        <w:t>Explain any special circumstances that would cause an information collection to be conducted in a manner that would impose additional workload burden on recipients (see eight items listed in OMB guidance).</w:t>
      </w:r>
    </w:p>
    <w:p w:rsidR="00EB48C8" w:rsidRPr="00CD521F" w:rsidRDefault="00EB48C8" w:rsidP="00EB48C8">
      <w:pPr>
        <w:rPr>
          <w:i/>
        </w:rPr>
      </w:pPr>
      <w:r>
        <w:rPr>
          <w:i/>
        </w:rPr>
        <w:t xml:space="preserve"> </w:t>
      </w:r>
    </w:p>
    <w:p w:rsidR="00EB48C8" w:rsidRDefault="00EB48C8" w:rsidP="00EB48C8">
      <w:r w:rsidRPr="00B27735">
        <w:t>This information is being collected in a manner consistent with the guidelines in 5CFR 1320.6.  There are not special circumstances</w:t>
      </w:r>
      <w:r w:rsidRPr="005F6633">
        <w:t>.</w:t>
      </w:r>
    </w:p>
    <w:p w:rsidR="00EB48C8" w:rsidRPr="000C48CF" w:rsidRDefault="00EB48C8" w:rsidP="00EB48C8">
      <w:pPr>
        <w:rPr>
          <w:rFonts w:ascii="Arial" w:hAnsi="Arial" w:cs="Arial"/>
        </w:rPr>
      </w:pPr>
    </w:p>
    <w:p w:rsidR="00EB48C8" w:rsidRDefault="00EB48C8" w:rsidP="00EB48C8">
      <w:pPr>
        <w:pStyle w:val="AbtHeadB"/>
        <w:spacing w:after="240"/>
      </w:pPr>
      <w:bookmarkStart w:id="43" w:name="_Toc224972108"/>
      <w:bookmarkStart w:id="44" w:name="_Toc233444284"/>
      <w:bookmarkStart w:id="45" w:name="_Toc311186221"/>
      <w:r w:rsidRPr="005F6633">
        <w:t>A8</w:t>
      </w:r>
      <w:r w:rsidRPr="005F6633">
        <w:tab/>
        <w:t>Federal Register Notice/Outside Consultation</w:t>
      </w:r>
      <w:bookmarkEnd w:id="43"/>
      <w:bookmarkEnd w:id="44"/>
      <w:bookmarkEnd w:id="45"/>
    </w:p>
    <w:p w:rsidR="00EB48C8" w:rsidRDefault="00EB48C8" w:rsidP="00EB48C8">
      <w:pPr>
        <w:keepLines/>
        <w:tabs>
          <w:tab w:val="left" w:pos="-110"/>
        </w:tabs>
        <w:spacing w:after="240"/>
        <w:rPr>
          <w:rFonts w:ascii="Arial" w:hAnsi="Arial"/>
          <w:i/>
          <w:color w:val="000000"/>
        </w:rPr>
      </w:pPr>
      <w:r>
        <w:rPr>
          <w:rFonts w:ascii="Arial" w:hAnsi="Arial"/>
          <w:i/>
          <w:color w:val="000000"/>
        </w:rPr>
        <w:t>Identify the date and page number of the Federal Register notice (and provide a copy) soliciting comments on the information.  Summarize public comments and describe actions taken by the agency in response to these comments.  Describe all efforts to consult with persons outside the agency.</w:t>
      </w:r>
    </w:p>
    <w:p w:rsidR="00EB48C8" w:rsidRDefault="00EB48C8" w:rsidP="00EB48C8">
      <w:r w:rsidRPr="00D77C7C">
        <w:t xml:space="preserve">In accordance with the Paperwork Reduction Act of 1995, the Department of Housing and Urban Development published a notice in the Federal Register </w:t>
      </w:r>
      <w:r w:rsidRPr="00F342BC">
        <w:t xml:space="preserve">on </w:t>
      </w:r>
      <w:r w:rsidR="00F342BC">
        <w:t>May 9,</w:t>
      </w:r>
      <w:r w:rsidRPr="00F342BC">
        <w:t xml:space="preserve"> 2012, </w:t>
      </w:r>
      <w:r w:rsidR="00F342BC">
        <w:t xml:space="preserve"> page </w:t>
      </w:r>
      <w:r w:rsidR="00F342BC" w:rsidRPr="00F342BC">
        <w:t>27243</w:t>
      </w:r>
      <w:r w:rsidRPr="00B27735">
        <w:t xml:space="preserve"> soliciting public comment on this request for approval of the revised information collection.  H</w:t>
      </w:r>
      <w:r w:rsidR="00F342BC">
        <w:t xml:space="preserve">UD received no </w:t>
      </w:r>
      <w:r>
        <w:t>comments</w:t>
      </w:r>
      <w:r w:rsidRPr="00D77C7C">
        <w:t xml:space="preserve">.  </w:t>
      </w:r>
      <w:r w:rsidR="00B91589">
        <w:t>The IFR connected to the CoC Program interim rule was published for comment on July 31, 2012.  The comment</w:t>
      </w:r>
      <w:r w:rsidR="007A7A61">
        <w:t xml:space="preserve"> period was open for 60 days, closing on October 1, 2012.  No comments were received relating to this collection.</w:t>
      </w:r>
    </w:p>
    <w:p w:rsidR="0084544A" w:rsidRDefault="0084544A" w:rsidP="00EB48C8"/>
    <w:p w:rsidR="00EB48C8" w:rsidRDefault="00EB48C8" w:rsidP="00EB48C8">
      <w:pPr>
        <w:pStyle w:val="AbtHeadB"/>
      </w:pPr>
      <w:bookmarkStart w:id="46" w:name="_Toc224972111"/>
      <w:bookmarkStart w:id="47" w:name="_Toc233444285"/>
      <w:bookmarkStart w:id="48" w:name="_Toc311186222"/>
      <w:r>
        <w:t>A9</w:t>
      </w:r>
      <w:r>
        <w:tab/>
        <w:t>Payment/Gift to Respondents</w:t>
      </w:r>
      <w:bookmarkEnd w:id="46"/>
      <w:bookmarkEnd w:id="47"/>
      <w:bookmarkEnd w:id="48"/>
    </w:p>
    <w:p w:rsidR="00EB48C8" w:rsidRDefault="00EB48C8" w:rsidP="00EB48C8">
      <w:pPr>
        <w:keepLines/>
        <w:tabs>
          <w:tab w:val="left" w:pos="360"/>
        </w:tabs>
        <w:spacing w:after="240"/>
        <w:rPr>
          <w:rFonts w:ascii="Arial" w:hAnsi="Arial"/>
          <w:i/>
          <w:color w:val="000000"/>
        </w:rPr>
      </w:pPr>
      <w:r>
        <w:rPr>
          <w:rFonts w:ascii="Arial" w:hAnsi="Arial"/>
          <w:i/>
          <w:color w:val="000000"/>
        </w:rPr>
        <w:t>Explain any payments or gifts to respondents, other than remuneration of contractors or grantees.</w:t>
      </w:r>
    </w:p>
    <w:p w:rsidR="00EB48C8" w:rsidRDefault="00EB48C8" w:rsidP="00EB48C8">
      <w:r>
        <w:lastRenderedPageBreak/>
        <w:t>No payment or</w:t>
      </w:r>
      <w:r w:rsidRPr="00B27735">
        <w:t xml:space="preserve"> gift to respondent</w:t>
      </w:r>
      <w:r>
        <w:t>s</w:t>
      </w:r>
      <w:r w:rsidRPr="00B27735">
        <w:t xml:space="preserve"> is allowed</w:t>
      </w:r>
      <w:r w:rsidRPr="00ED7E08">
        <w:t>.</w:t>
      </w:r>
    </w:p>
    <w:p w:rsidR="00EB48C8" w:rsidRPr="000C48CF" w:rsidRDefault="00EB48C8" w:rsidP="00EB48C8">
      <w:pPr>
        <w:rPr>
          <w:sz w:val="20"/>
        </w:rPr>
      </w:pPr>
    </w:p>
    <w:p w:rsidR="00EB48C8" w:rsidRDefault="00EB48C8" w:rsidP="00EB48C8">
      <w:pPr>
        <w:pStyle w:val="AbtHeadB"/>
        <w:spacing w:after="240"/>
      </w:pPr>
      <w:bookmarkStart w:id="49" w:name="_Toc224972112"/>
      <w:bookmarkStart w:id="50" w:name="_Toc233444286"/>
      <w:bookmarkStart w:id="51" w:name="_Toc311186223"/>
      <w:r>
        <w:t>A10</w:t>
      </w:r>
      <w:r>
        <w:tab/>
        <w:t>Confidentiality</w:t>
      </w:r>
      <w:bookmarkEnd w:id="49"/>
      <w:bookmarkEnd w:id="50"/>
      <w:bookmarkEnd w:id="51"/>
    </w:p>
    <w:p w:rsidR="00EB48C8" w:rsidRDefault="00EB48C8" w:rsidP="00EB48C8">
      <w:pPr>
        <w:keepLines/>
        <w:tabs>
          <w:tab w:val="left" w:pos="-110"/>
        </w:tabs>
        <w:rPr>
          <w:rFonts w:ascii="Arial" w:hAnsi="Arial"/>
          <w:i/>
          <w:color w:val="000000"/>
        </w:rPr>
      </w:pPr>
      <w:r>
        <w:rPr>
          <w:rFonts w:ascii="Arial" w:hAnsi="Arial"/>
          <w:i/>
          <w:color w:val="000000"/>
        </w:rPr>
        <w:t>Describe any assurance of confidentiality provided to respondents and the basis for assurance in statute, regulation or agency policy.</w:t>
      </w:r>
    </w:p>
    <w:p w:rsidR="00EB48C8" w:rsidRPr="000C48CF" w:rsidRDefault="00EB48C8" w:rsidP="00EB48C8">
      <w:pPr>
        <w:rPr>
          <w:sz w:val="20"/>
        </w:rPr>
      </w:pPr>
    </w:p>
    <w:p w:rsidR="00EB48C8" w:rsidRDefault="00EB48C8" w:rsidP="00EB48C8">
      <w:r w:rsidRPr="00B27735">
        <w:t>No assurances of confidentiality are offered</w:t>
      </w:r>
      <w:r w:rsidRPr="005F6633">
        <w:t>.</w:t>
      </w:r>
      <w:r>
        <w:t xml:space="preserve">  </w:t>
      </w:r>
    </w:p>
    <w:p w:rsidR="00EB48C8" w:rsidRPr="000C48CF" w:rsidRDefault="00EB48C8" w:rsidP="00EB48C8">
      <w:pPr>
        <w:pStyle w:val="AbtHeadB"/>
        <w:spacing w:after="0"/>
        <w:rPr>
          <w:sz w:val="20"/>
        </w:rPr>
      </w:pPr>
      <w:bookmarkStart w:id="52" w:name="_Toc224972113"/>
      <w:bookmarkStart w:id="53" w:name="_Toc233444287"/>
    </w:p>
    <w:p w:rsidR="00EB48C8" w:rsidRDefault="00EB48C8" w:rsidP="00EB48C8">
      <w:pPr>
        <w:pStyle w:val="AbtHeadB"/>
        <w:spacing w:after="240"/>
      </w:pPr>
      <w:bookmarkStart w:id="54" w:name="_Toc311186224"/>
      <w:r>
        <w:t>A11</w:t>
      </w:r>
      <w:r>
        <w:tab/>
        <w:t>Sensitive Questions</w:t>
      </w:r>
      <w:bookmarkEnd w:id="52"/>
      <w:bookmarkEnd w:id="53"/>
      <w:bookmarkEnd w:id="54"/>
    </w:p>
    <w:p w:rsidR="00EB48C8" w:rsidRDefault="00EB48C8" w:rsidP="00EB48C8">
      <w:pPr>
        <w:keepLines/>
        <w:tabs>
          <w:tab w:val="left" w:pos="360"/>
          <w:tab w:val="left" w:pos="720"/>
        </w:tabs>
        <w:rPr>
          <w:rFonts w:ascii="Arial" w:hAnsi="Arial"/>
          <w:i/>
          <w:color w:val="000000"/>
        </w:rPr>
      </w:pPr>
      <w:r>
        <w:rPr>
          <w:rFonts w:ascii="Arial" w:hAnsi="Arial"/>
          <w:i/>
          <w:color w:val="000000"/>
        </w:rPr>
        <w:t>Justify any questions of a sensitive nature, such as sexual, religious beliefs, and other matters that are commonly considered private.</w:t>
      </w:r>
    </w:p>
    <w:p w:rsidR="00EB48C8" w:rsidRPr="00BB6789" w:rsidRDefault="00EB48C8" w:rsidP="00EB48C8">
      <w:pPr>
        <w:keepLines/>
        <w:tabs>
          <w:tab w:val="left" w:pos="360"/>
          <w:tab w:val="left" w:pos="720"/>
        </w:tabs>
        <w:rPr>
          <w:rFonts w:ascii="Arial" w:hAnsi="Arial"/>
          <w:color w:val="000000"/>
        </w:rPr>
      </w:pPr>
    </w:p>
    <w:p w:rsidR="00EB48C8" w:rsidRDefault="00EB48C8" w:rsidP="00EB48C8">
      <w:pPr>
        <w:pStyle w:val="BodyText"/>
      </w:pPr>
      <w:r w:rsidRPr="00B27735">
        <w:t>This information collection does not include any questions of a sensitive nature</w:t>
      </w:r>
      <w:r w:rsidRPr="005F6633">
        <w:t>.</w:t>
      </w:r>
    </w:p>
    <w:p w:rsidR="00EB48C8" w:rsidRDefault="00EB48C8" w:rsidP="00EB48C8"/>
    <w:p w:rsidR="00EB48C8" w:rsidRDefault="00EB48C8" w:rsidP="00EB48C8">
      <w:pPr>
        <w:pStyle w:val="AbtHeadB"/>
      </w:pPr>
      <w:bookmarkStart w:id="55" w:name="_Toc224972114"/>
      <w:bookmarkStart w:id="56" w:name="_Toc233444288"/>
      <w:bookmarkStart w:id="57" w:name="_Toc311186225"/>
      <w:r>
        <w:t>A12</w:t>
      </w:r>
      <w:r>
        <w:tab/>
        <w:t>Burden Estimate (Total Hours and Wages)</w:t>
      </w:r>
      <w:bookmarkEnd w:id="55"/>
      <w:bookmarkEnd w:id="56"/>
      <w:bookmarkEnd w:id="57"/>
    </w:p>
    <w:p w:rsidR="00EB48C8" w:rsidRDefault="00EB48C8" w:rsidP="00EB48C8">
      <w:pPr>
        <w:autoSpaceDE w:val="0"/>
        <w:autoSpaceDN w:val="0"/>
        <w:adjustRightInd w:val="0"/>
        <w:rPr>
          <w:color w:val="000000"/>
        </w:rPr>
      </w:pPr>
      <w:r>
        <w:rPr>
          <w:rFonts w:ascii="Arial" w:hAnsi="Arial"/>
          <w:i/>
          <w:color w:val="000000"/>
        </w:rPr>
        <w:t>Estimate public burden: number of respondents, frequency of response, annual hour burden.  Explain how the burden was estimated.</w:t>
      </w:r>
    </w:p>
    <w:p w:rsidR="00EB48C8" w:rsidRDefault="00EB48C8" w:rsidP="00EB48C8"/>
    <w:p w:rsidR="00EB48C8" w:rsidRDefault="00EB48C8" w:rsidP="00EB48C8">
      <w:pPr>
        <w:autoSpaceDE w:val="0"/>
        <w:autoSpaceDN w:val="0"/>
        <w:adjustRightInd w:val="0"/>
        <w:rPr>
          <w:color w:val="000000"/>
        </w:rPr>
      </w:pPr>
      <w:r w:rsidRPr="004443D8">
        <w:rPr>
          <w:color w:val="000000"/>
        </w:rPr>
        <w:t>Exhibit A-</w:t>
      </w:r>
      <w:r>
        <w:rPr>
          <w:color w:val="000000"/>
        </w:rPr>
        <w:t>1</w:t>
      </w:r>
      <w:r w:rsidRPr="004443D8">
        <w:rPr>
          <w:color w:val="000000"/>
        </w:rPr>
        <w:t xml:space="preserve"> </w:t>
      </w:r>
      <w:r w:rsidRPr="004443D8">
        <w:rPr>
          <w:color w:val="000000"/>
          <w:szCs w:val="22"/>
        </w:rPr>
        <w:t>below demonstrat</w:t>
      </w:r>
      <w:r>
        <w:rPr>
          <w:color w:val="000000"/>
          <w:szCs w:val="22"/>
        </w:rPr>
        <w:t xml:space="preserve">e how the public burden for </w:t>
      </w:r>
      <w:r>
        <w:rPr>
          <w:color w:val="000000"/>
        </w:rPr>
        <w:t>t</w:t>
      </w:r>
      <w:r w:rsidRPr="00B27735">
        <w:rPr>
          <w:color w:val="000000"/>
        </w:rPr>
        <w:t xml:space="preserve">he </w:t>
      </w:r>
      <w:r w:rsidRPr="00E54CCE">
        <w:t>CoC</w:t>
      </w:r>
      <w:r w:rsidRPr="00B27735">
        <w:rPr>
          <w:color w:val="000000"/>
        </w:rPr>
        <w:t xml:space="preserve"> Homeless Assistance Application.  Approximately 450 CoCs, covering every geographic area of almost every state, will submit this form.  Estimates of public burden have been derived through program staff experience and input from previous applicants</w:t>
      </w:r>
    </w:p>
    <w:p w:rsidR="00EB48C8" w:rsidRDefault="00EB48C8" w:rsidP="00EB48C8">
      <w:pPr>
        <w:autoSpaceDE w:val="0"/>
        <w:autoSpaceDN w:val="0"/>
        <w:adjustRightInd w:val="0"/>
        <w:rPr>
          <w:color w:val="000000"/>
        </w:rPr>
      </w:pPr>
    </w:p>
    <w:p w:rsidR="00EB48C8" w:rsidRDefault="00EB48C8" w:rsidP="00EB48C8">
      <w:pPr>
        <w:jc w:val="center"/>
        <w:rPr>
          <w:rFonts w:ascii="Arial" w:hAnsi="Arial"/>
          <w:b/>
          <w:sz w:val="20"/>
        </w:rPr>
      </w:pPr>
      <w:r>
        <w:rPr>
          <w:rFonts w:ascii="Arial" w:hAnsi="Arial"/>
          <w:b/>
          <w:sz w:val="20"/>
        </w:rPr>
        <w:t xml:space="preserve">Exhibit A-1: Estimated </w:t>
      </w:r>
      <w:r w:rsidRPr="00ED7E08">
        <w:rPr>
          <w:rFonts w:ascii="Arial" w:hAnsi="Arial"/>
          <w:b/>
          <w:sz w:val="20"/>
        </w:rPr>
        <w:t>Annual</w:t>
      </w:r>
      <w:r>
        <w:rPr>
          <w:rFonts w:ascii="Arial" w:hAnsi="Arial"/>
          <w:b/>
          <w:sz w:val="20"/>
        </w:rPr>
        <w:t xml:space="preserve"> Burden Hours for CoC Registration</w:t>
      </w:r>
    </w:p>
    <w:p w:rsidR="00EB48C8" w:rsidRDefault="00EB48C8" w:rsidP="00EB48C8">
      <w:pPr>
        <w:autoSpaceDE w:val="0"/>
        <w:autoSpaceDN w:val="0"/>
        <w:adjustRightInd w:val="0"/>
        <w:rPr>
          <w:color w:val="000000"/>
        </w:rPr>
      </w:pPr>
    </w:p>
    <w:tbl>
      <w:tblPr>
        <w:tblStyle w:val="TableGrid"/>
        <w:tblW w:w="0" w:type="auto"/>
        <w:tblInd w:w="-72" w:type="dxa"/>
        <w:tblLayout w:type="fixed"/>
        <w:tblLook w:val="04A0" w:firstRow="1" w:lastRow="0" w:firstColumn="1" w:lastColumn="0" w:noHBand="0" w:noVBand="1"/>
      </w:tblPr>
      <w:tblGrid>
        <w:gridCol w:w="4050"/>
        <w:gridCol w:w="1260"/>
        <w:gridCol w:w="1080"/>
        <w:gridCol w:w="1350"/>
        <w:gridCol w:w="990"/>
        <w:gridCol w:w="918"/>
      </w:tblGrid>
      <w:tr w:rsidR="00EB48C8" w:rsidTr="00163C5C">
        <w:tc>
          <w:tcPr>
            <w:tcW w:w="4050" w:type="dxa"/>
            <w:shd w:val="clear" w:color="auto" w:fill="808080" w:themeFill="background1" w:themeFillShade="80"/>
            <w:vAlign w:val="center"/>
          </w:tcPr>
          <w:p w:rsidR="00EB48C8" w:rsidRPr="009613CA" w:rsidRDefault="00EB48C8" w:rsidP="00163C5C">
            <w:pPr>
              <w:snapToGrid w:val="0"/>
              <w:jc w:val="center"/>
              <w:rPr>
                <w:b/>
                <w:bCs/>
              </w:rPr>
            </w:pPr>
            <w:r>
              <w:rPr>
                <w:rFonts w:ascii="Arial" w:hAnsi="Arial"/>
                <w:b/>
                <w:color w:val="FFFFFF"/>
                <w:sz w:val="20"/>
              </w:rPr>
              <w:t>A</w:t>
            </w:r>
          </w:p>
        </w:tc>
        <w:tc>
          <w:tcPr>
            <w:tcW w:w="1260" w:type="dxa"/>
            <w:shd w:val="clear" w:color="auto" w:fill="808080" w:themeFill="background1" w:themeFillShade="80"/>
            <w:vAlign w:val="center"/>
          </w:tcPr>
          <w:p w:rsidR="00EB48C8" w:rsidRPr="009613CA" w:rsidRDefault="00EB48C8" w:rsidP="00163C5C">
            <w:pPr>
              <w:snapToGrid w:val="0"/>
              <w:jc w:val="center"/>
              <w:rPr>
                <w:b/>
                <w:bCs/>
              </w:rPr>
            </w:pPr>
            <w:r>
              <w:rPr>
                <w:rFonts w:ascii="Arial" w:hAnsi="Arial"/>
                <w:b/>
                <w:color w:val="FFFFFF"/>
                <w:sz w:val="20"/>
              </w:rPr>
              <w:t>B</w:t>
            </w:r>
          </w:p>
        </w:tc>
        <w:tc>
          <w:tcPr>
            <w:tcW w:w="1080" w:type="dxa"/>
            <w:shd w:val="clear" w:color="auto" w:fill="808080" w:themeFill="background1" w:themeFillShade="80"/>
            <w:vAlign w:val="center"/>
          </w:tcPr>
          <w:p w:rsidR="00EB48C8" w:rsidRPr="000B7D63" w:rsidRDefault="00EB48C8" w:rsidP="00163C5C">
            <w:pPr>
              <w:snapToGrid w:val="0"/>
              <w:jc w:val="center"/>
              <w:rPr>
                <w:rFonts w:ascii="Arial" w:hAnsi="Arial" w:cs="Arial"/>
                <w:b/>
                <w:bCs/>
                <w:color w:val="FFFFFF" w:themeColor="background1"/>
                <w:sz w:val="20"/>
              </w:rPr>
            </w:pPr>
            <w:r>
              <w:rPr>
                <w:rFonts w:ascii="Arial" w:hAnsi="Arial" w:cs="Arial"/>
                <w:b/>
                <w:bCs/>
                <w:color w:val="FFFFFF" w:themeColor="background1"/>
                <w:sz w:val="20"/>
              </w:rPr>
              <w:t>C</w:t>
            </w:r>
          </w:p>
        </w:tc>
        <w:tc>
          <w:tcPr>
            <w:tcW w:w="1350" w:type="dxa"/>
            <w:shd w:val="clear" w:color="auto" w:fill="808080" w:themeFill="background1" w:themeFillShade="80"/>
            <w:vAlign w:val="center"/>
          </w:tcPr>
          <w:p w:rsidR="00EB48C8" w:rsidRPr="000B7D63" w:rsidRDefault="00EB48C8" w:rsidP="00163C5C">
            <w:pPr>
              <w:snapToGrid w:val="0"/>
              <w:jc w:val="center"/>
              <w:rPr>
                <w:rFonts w:ascii="Arial" w:hAnsi="Arial" w:cs="Arial"/>
                <w:b/>
                <w:bCs/>
                <w:color w:val="FFFFFF" w:themeColor="background1"/>
                <w:sz w:val="20"/>
              </w:rPr>
            </w:pPr>
            <w:r>
              <w:rPr>
                <w:rFonts w:ascii="Arial" w:hAnsi="Arial" w:cs="Arial"/>
                <w:b/>
                <w:bCs/>
                <w:color w:val="FFFFFF" w:themeColor="background1"/>
                <w:sz w:val="20"/>
              </w:rPr>
              <w:t>D</w:t>
            </w:r>
          </w:p>
        </w:tc>
        <w:tc>
          <w:tcPr>
            <w:tcW w:w="990" w:type="dxa"/>
            <w:shd w:val="clear" w:color="auto" w:fill="808080" w:themeFill="background1" w:themeFillShade="80"/>
            <w:vAlign w:val="center"/>
          </w:tcPr>
          <w:p w:rsidR="00EB48C8" w:rsidRPr="000B7D63" w:rsidRDefault="00EB48C8" w:rsidP="00163C5C">
            <w:pPr>
              <w:snapToGrid w:val="0"/>
              <w:jc w:val="center"/>
              <w:rPr>
                <w:rFonts w:ascii="Arial" w:hAnsi="Arial" w:cs="Arial"/>
                <w:b/>
                <w:bCs/>
                <w:color w:val="FFFFFF" w:themeColor="background1"/>
                <w:sz w:val="20"/>
              </w:rPr>
            </w:pPr>
            <w:r>
              <w:rPr>
                <w:rFonts w:ascii="Arial" w:hAnsi="Arial" w:cs="Arial"/>
                <w:b/>
                <w:bCs/>
                <w:color w:val="FFFFFF" w:themeColor="background1"/>
                <w:sz w:val="20"/>
              </w:rPr>
              <w:t>E</w:t>
            </w:r>
          </w:p>
        </w:tc>
        <w:tc>
          <w:tcPr>
            <w:tcW w:w="918" w:type="dxa"/>
            <w:shd w:val="clear" w:color="auto" w:fill="808080" w:themeFill="background1" w:themeFillShade="80"/>
            <w:vAlign w:val="center"/>
          </w:tcPr>
          <w:p w:rsidR="00EB48C8" w:rsidRPr="000B7D63" w:rsidRDefault="00EB48C8" w:rsidP="00163C5C">
            <w:pPr>
              <w:snapToGrid w:val="0"/>
              <w:jc w:val="center"/>
              <w:rPr>
                <w:rFonts w:ascii="Arial" w:hAnsi="Arial" w:cs="Arial"/>
                <w:b/>
                <w:bCs/>
                <w:color w:val="FFFFFF" w:themeColor="background1"/>
                <w:sz w:val="20"/>
              </w:rPr>
            </w:pPr>
            <w:r>
              <w:rPr>
                <w:rFonts w:ascii="Arial" w:hAnsi="Arial" w:cs="Arial"/>
                <w:b/>
                <w:bCs/>
                <w:color w:val="FFFFFF" w:themeColor="background1"/>
                <w:sz w:val="20"/>
              </w:rPr>
              <w:t>F</w:t>
            </w:r>
          </w:p>
        </w:tc>
      </w:tr>
      <w:tr w:rsidR="00EB48C8" w:rsidTr="00163C5C">
        <w:trPr>
          <w:trHeight w:val="458"/>
        </w:trPr>
        <w:tc>
          <w:tcPr>
            <w:tcW w:w="4050" w:type="dxa"/>
          </w:tcPr>
          <w:p w:rsidR="00EB48C8" w:rsidRDefault="00EB48C8" w:rsidP="00163C5C">
            <w:pPr>
              <w:jc w:val="center"/>
              <w:rPr>
                <w:sz w:val="20"/>
                <w:szCs w:val="20"/>
              </w:rPr>
            </w:pPr>
          </w:p>
          <w:p w:rsidR="00EB48C8" w:rsidRDefault="00EB48C8" w:rsidP="00163C5C">
            <w:pPr>
              <w:jc w:val="center"/>
              <w:rPr>
                <w:sz w:val="20"/>
                <w:szCs w:val="20"/>
              </w:rPr>
            </w:pPr>
            <w:r>
              <w:rPr>
                <w:sz w:val="20"/>
                <w:szCs w:val="20"/>
              </w:rPr>
              <w:t>Submission Documents</w:t>
            </w:r>
          </w:p>
        </w:tc>
        <w:tc>
          <w:tcPr>
            <w:tcW w:w="1260" w:type="dxa"/>
          </w:tcPr>
          <w:p w:rsidR="00EB48C8" w:rsidRDefault="00EB48C8" w:rsidP="00163C5C">
            <w:pPr>
              <w:jc w:val="center"/>
              <w:rPr>
                <w:sz w:val="20"/>
                <w:szCs w:val="20"/>
              </w:rPr>
            </w:pPr>
            <w:r>
              <w:rPr>
                <w:sz w:val="20"/>
                <w:szCs w:val="20"/>
              </w:rPr>
              <w:t>Number of Respondents</w:t>
            </w:r>
          </w:p>
        </w:tc>
        <w:tc>
          <w:tcPr>
            <w:tcW w:w="1080" w:type="dxa"/>
          </w:tcPr>
          <w:p w:rsidR="00EB48C8" w:rsidRDefault="00EB48C8" w:rsidP="00163C5C">
            <w:pPr>
              <w:jc w:val="center"/>
              <w:rPr>
                <w:sz w:val="20"/>
                <w:szCs w:val="20"/>
              </w:rPr>
            </w:pPr>
            <w:r>
              <w:rPr>
                <w:sz w:val="20"/>
                <w:szCs w:val="20"/>
              </w:rPr>
              <w:t>Responses per Year</w:t>
            </w:r>
          </w:p>
        </w:tc>
        <w:tc>
          <w:tcPr>
            <w:tcW w:w="1350" w:type="dxa"/>
          </w:tcPr>
          <w:p w:rsidR="00EB48C8" w:rsidRDefault="00EB48C8" w:rsidP="00163C5C">
            <w:pPr>
              <w:jc w:val="center"/>
              <w:rPr>
                <w:sz w:val="20"/>
                <w:szCs w:val="20"/>
              </w:rPr>
            </w:pPr>
            <w:r>
              <w:rPr>
                <w:sz w:val="20"/>
                <w:szCs w:val="20"/>
              </w:rPr>
              <w:t>Total Annual Responses</w:t>
            </w:r>
          </w:p>
        </w:tc>
        <w:tc>
          <w:tcPr>
            <w:tcW w:w="990" w:type="dxa"/>
          </w:tcPr>
          <w:p w:rsidR="00EB48C8" w:rsidRDefault="00EB48C8" w:rsidP="00163C5C">
            <w:pPr>
              <w:jc w:val="center"/>
              <w:rPr>
                <w:sz w:val="20"/>
                <w:szCs w:val="20"/>
              </w:rPr>
            </w:pPr>
            <w:r>
              <w:rPr>
                <w:sz w:val="20"/>
                <w:szCs w:val="20"/>
              </w:rPr>
              <w:t>Hours per Response</w:t>
            </w:r>
          </w:p>
        </w:tc>
        <w:tc>
          <w:tcPr>
            <w:tcW w:w="918" w:type="dxa"/>
          </w:tcPr>
          <w:p w:rsidR="00EB48C8" w:rsidRDefault="00EB48C8" w:rsidP="00163C5C">
            <w:pPr>
              <w:jc w:val="center"/>
              <w:rPr>
                <w:sz w:val="20"/>
                <w:szCs w:val="20"/>
              </w:rPr>
            </w:pPr>
            <w:r>
              <w:rPr>
                <w:sz w:val="20"/>
                <w:szCs w:val="20"/>
              </w:rPr>
              <w:t>Total Hours</w:t>
            </w:r>
          </w:p>
        </w:tc>
      </w:tr>
      <w:tr w:rsidR="00EB48C8" w:rsidTr="00163C5C">
        <w:tc>
          <w:tcPr>
            <w:tcW w:w="4050" w:type="dxa"/>
          </w:tcPr>
          <w:p w:rsidR="00EB48C8" w:rsidRPr="00C404CF" w:rsidRDefault="00CA4820" w:rsidP="00163C5C">
            <w:pPr>
              <w:rPr>
                <w:sz w:val="20"/>
                <w:szCs w:val="20"/>
              </w:rPr>
            </w:pPr>
            <w:r w:rsidRPr="00C404CF">
              <w:rPr>
                <w:sz w:val="20"/>
                <w:szCs w:val="20"/>
              </w:rPr>
              <w:t>CoC Applications</w:t>
            </w:r>
          </w:p>
        </w:tc>
        <w:tc>
          <w:tcPr>
            <w:tcW w:w="1260" w:type="dxa"/>
          </w:tcPr>
          <w:p w:rsidR="00EB48C8" w:rsidRPr="00C404CF" w:rsidRDefault="00EB48C8" w:rsidP="00163C5C">
            <w:pPr>
              <w:jc w:val="right"/>
              <w:rPr>
                <w:sz w:val="20"/>
                <w:szCs w:val="20"/>
              </w:rPr>
            </w:pPr>
          </w:p>
        </w:tc>
        <w:tc>
          <w:tcPr>
            <w:tcW w:w="1080" w:type="dxa"/>
          </w:tcPr>
          <w:p w:rsidR="00EB48C8" w:rsidRPr="00C404CF" w:rsidRDefault="00EB48C8" w:rsidP="00163C5C">
            <w:pPr>
              <w:jc w:val="right"/>
              <w:rPr>
                <w:sz w:val="20"/>
                <w:szCs w:val="20"/>
              </w:rPr>
            </w:pPr>
          </w:p>
        </w:tc>
        <w:tc>
          <w:tcPr>
            <w:tcW w:w="1350" w:type="dxa"/>
          </w:tcPr>
          <w:p w:rsidR="00EB48C8" w:rsidRPr="00C404CF" w:rsidRDefault="00EB48C8" w:rsidP="00163C5C">
            <w:pPr>
              <w:jc w:val="right"/>
              <w:rPr>
                <w:sz w:val="20"/>
                <w:szCs w:val="20"/>
              </w:rPr>
            </w:pPr>
          </w:p>
        </w:tc>
        <w:tc>
          <w:tcPr>
            <w:tcW w:w="990" w:type="dxa"/>
          </w:tcPr>
          <w:p w:rsidR="00EB48C8" w:rsidRPr="00C404CF" w:rsidRDefault="00EB48C8" w:rsidP="00163C5C">
            <w:pPr>
              <w:jc w:val="right"/>
              <w:rPr>
                <w:sz w:val="20"/>
                <w:szCs w:val="20"/>
              </w:rPr>
            </w:pPr>
          </w:p>
        </w:tc>
        <w:tc>
          <w:tcPr>
            <w:tcW w:w="918" w:type="dxa"/>
          </w:tcPr>
          <w:p w:rsidR="00EB48C8" w:rsidRPr="00C404CF" w:rsidRDefault="00EB48C8" w:rsidP="00163C5C">
            <w:pPr>
              <w:jc w:val="right"/>
              <w:rPr>
                <w:sz w:val="20"/>
                <w:szCs w:val="20"/>
              </w:rPr>
            </w:pPr>
          </w:p>
        </w:tc>
      </w:tr>
      <w:tr w:rsidR="00EB48C8" w:rsidTr="00163C5C">
        <w:tc>
          <w:tcPr>
            <w:tcW w:w="4050" w:type="dxa"/>
          </w:tcPr>
          <w:p w:rsidR="00EB48C8" w:rsidRPr="00C404CF" w:rsidRDefault="00CA4820" w:rsidP="00B91589">
            <w:pPr>
              <w:rPr>
                <w:sz w:val="20"/>
                <w:szCs w:val="20"/>
              </w:rPr>
            </w:pPr>
            <w:r w:rsidRPr="00C404CF">
              <w:rPr>
                <w:sz w:val="20"/>
                <w:szCs w:val="20"/>
              </w:rPr>
              <w:t>CoC HIC Process</w:t>
            </w:r>
            <w:r w:rsidR="00AF1765" w:rsidRPr="00AF1765">
              <w:rPr>
                <w:sz w:val="20"/>
                <w:szCs w:val="20"/>
              </w:rPr>
              <w:t xml:space="preserve"> (this row includes the </w:t>
            </w:r>
            <w:r w:rsidR="00B91589" w:rsidRPr="00C404CF">
              <w:rPr>
                <w:sz w:val="20"/>
                <w:szCs w:val="20"/>
              </w:rPr>
              <w:t>Subpopulation Extrapolation Tool, Stratified Extrapolation Tool, Housing Inventory Chart, and a General Extrapolation Tool)</w:t>
            </w:r>
            <w:r w:rsidR="00AF1765" w:rsidRPr="00AF1765">
              <w:rPr>
                <w:sz w:val="20"/>
                <w:szCs w:val="20"/>
              </w:rPr>
              <w:t xml:space="preserve"> </w:t>
            </w:r>
          </w:p>
        </w:tc>
        <w:tc>
          <w:tcPr>
            <w:tcW w:w="1260" w:type="dxa"/>
          </w:tcPr>
          <w:p w:rsidR="00EB48C8" w:rsidRPr="00C404CF" w:rsidRDefault="00EB48C8" w:rsidP="00C404CF">
            <w:pPr>
              <w:jc w:val="right"/>
              <w:rPr>
                <w:sz w:val="20"/>
                <w:szCs w:val="20"/>
              </w:rPr>
            </w:pPr>
            <w:r w:rsidRPr="00C404CF">
              <w:rPr>
                <w:sz w:val="20"/>
                <w:szCs w:val="20"/>
              </w:rPr>
              <w:t>450</w:t>
            </w:r>
          </w:p>
        </w:tc>
        <w:tc>
          <w:tcPr>
            <w:tcW w:w="1080" w:type="dxa"/>
          </w:tcPr>
          <w:p w:rsidR="00EB48C8" w:rsidRPr="00C404CF" w:rsidRDefault="00EB48C8" w:rsidP="00C404CF">
            <w:pPr>
              <w:jc w:val="right"/>
              <w:rPr>
                <w:sz w:val="20"/>
                <w:szCs w:val="20"/>
              </w:rPr>
            </w:pPr>
            <w:r w:rsidRPr="00C404CF">
              <w:rPr>
                <w:sz w:val="20"/>
                <w:szCs w:val="20"/>
              </w:rPr>
              <w:t>1</w:t>
            </w:r>
          </w:p>
        </w:tc>
        <w:tc>
          <w:tcPr>
            <w:tcW w:w="1350" w:type="dxa"/>
          </w:tcPr>
          <w:p w:rsidR="002A2089" w:rsidRDefault="00AF1765">
            <w:pPr>
              <w:jc w:val="right"/>
              <w:rPr>
                <w:sz w:val="20"/>
                <w:szCs w:val="20"/>
              </w:rPr>
            </w:pPr>
            <w:r>
              <w:rPr>
                <w:sz w:val="20"/>
                <w:szCs w:val="20"/>
              </w:rPr>
              <w:t>450</w:t>
            </w:r>
          </w:p>
        </w:tc>
        <w:tc>
          <w:tcPr>
            <w:tcW w:w="990" w:type="dxa"/>
          </w:tcPr>
          <w:p w:rsidR="002A2089" w:rsidRDefault="00AF1765">
            <w:pPr>
              <w:jc w:val="right"/>
              <w:rPr>
                <w:sz w:val="20"/>
                <w:szCs w:val="20"/>
              </w:rPr>
            </w:pPr>
            <w:r>
              <w:rPr>
                <w:sz w:val="20"/>
                <w:szCs w:val="20"/>
              </w:rPr>
              <w:t>8</w:t>
            </w:r>
            <w:r w:rsidR="00C404CF">
              <w:rPr>
                <w:sz w:val="20"/>
                <w:szCs w:val="20"/>
              </w:rPr>
              <w:t>.00</w:t>
            </w:r>
          </w:p>
        </w:tc>
        <w:tc>
          <w:tcPr>
            <w:tcW w:w="918" w:type="dxa"/>
          </w:tcPr>
          <w:p w:rsidR="002A2089" w:rsidRDefault="00EB48C8">
            <w:pPr>
              <w:jc w:val="right"/>
              <w:rPr>
                <w:sz w:val="20"/>
                <w:szCs w:val="20"/>
              </w:rPr>
            </w:pPr>
            <w:r w:rsidRPr="00C404CF">
              <w:rPr>
                <w:sz w:val="20"/>
                <w:szCs w:val="20"/>
              </w:rPr>
              <w:t>3</w:t>
            </w:r>
            <w:r w:rsidR="00C404CF">
              <w:rPr>
                <w:sz w:val="20"/>
                <w:szCs w:val="20"/>
              </w:rPr>
              <w:t>,</w:t>
            </w:r>
            <w:r w:rsidRPr="00C404CF">
              <w:rPr>
                <w:sz w:val="20"/>
                <w:szCs w:val="20"/>
              </w:rPr>
              <w:t>600</w:t>
            </w:r>
          </w:p>
        </w:tc>
      </w:tr>
      <w:tr w:rsidR="00EB48C8" w:rsidTr="00163C5C">
        <w:tc>
          <w:tcPr>
            <w:tcW w:w="4050" w:type="dxa"/>
          </w:tcPr>
          <w:p w:rsidR="00EB48C8" w:rsidRPr="00C404CF" w:rsidRDefault="00CA4820" w:rsidP="00163C5C">
            <w:pPr>
              <w:rPr>
                <w:sz w:val="20"/>
                <w:szCs w:val="20"/>
              </w:rPr>
            </w:pPr>
            <w:r w:rsidRPr="00C404CF">
              <w:rPr>
                <w:sz w:val="20"/>
                <w:szCs w:val="20"/>
              </w:rPr>
              <w:t>CoC PIT Process</w:t>
            </w:r>
          </w:p>
        </w:tc>
        <w:tc>
          <w:tcPr>
            <w:tcW w:w="1260" w:type="dxa"/>
          </w:tcPr>
          <w:p w:rsidR="00EB48C8" w:rsidRPr="00C404CF" w:rsidRDefault="00EB48C8" w:rsidP="00C404CF">
            <w:pPr>
              <w:jc w:val="right"/>
              <w:rPr>
                <w:sz w:val="20"/>
                <w:szCs w:val="20"/>
              </w:rPr>
            </w:pPr>
            <w:r w:rsidRPr="00C404CF">
              <w:rPr>
                <w:sz w:val="20"/>
                <w:szCs w:val="20"/>
              </w:rPr>
              <w:t>450</w:t>
            </w:r>
          </w:p>
        </w:tc>
        <w:tc>
          <w:tcPr>
            <w:tcW w:w="1080" w:type="dxa"/>
          </w:tcPr>
          <w:p w:rsidR="00EB48C8" w:rsidRPr="00C404CF" w:rsidRDefault="00EB48C8" w:rsidP="00C404CF">
            <w:pPr>
              <w:jc w:val="right"/>
              <w:rPr>
                <w:sz w:val="20"/>
                <w:szCs w:val="20"/>
              </w:rPr>
            </w:pPr>
            <w:r w:rsidRPr="00C404CF">
              <w:rPr>
                <w:sz w:val="20"/>
                <w:szCs w:val="20"/>
              </w:rPr>
              <w:t>1</w:t>
            </w:r>
          </w:p>
        </w:tc>
        <w:tc>
          <w:tcPr>
            <w:tcW w:w="1350" w:type="dxa"/>
          </w:tcPr>
          <w:p w:rsidR="002A2089" w:rsidRDefault="00AF1765">
            <w:pPr>
              <w:jc w:val="right"/>
              <w:rPr>
                <w:sz w:val="20"/>
                <w:szCs w:val="20"/>
              </w:rPr>
            </w:pPr>
            <w:r>
              <w:rPr>
                <w:sz w:val="20"/>
                <w:szCs w:val="20"/>
              </w:rPr>
              <w:t>450</w:t>
            </w:r>
          </w:p>
        </w:tc>
        <w:tc>
          <w:tcPr>
            <w:tcW w:w="990" w:type="dxa"/>
          </w:tcPr>
          <w:p w:rsidR="002A2089" w:rsidRDefault="00AF1765">
            <w:pPr>
              <w:jc w:val="right"/>
              <w:rPr>
                <w:sz w:val="20"/>
                <w:szCs w:val="20"/>
              </w:rPr>
            </w:pPr>
            <w:r>
              <w:rPr>
                <w:sz w:val="20"/>
                <w:szCs w:val="20"/>
              </w:rPr>
              <w:t>8</w:t>
            </w:r>
            <w:r w:rsidR="00C404CF">
              <w:rPr>
                <w:sz w:val="20"/>
                <w:szCs w:val="20"/>
              </w:rPr>
              <w:t>.00</w:t>
            </w:r>
          </w:p>
        </w:tc>
        <w:tc>
          <w:tcPr>
            <w:tcW w:w="918" w:type="dxa"/>
          </w:tcPr>
          <w:p w:rsidR="002A2089" w:rsidRDefault="00EB48C8">
            <w:pPr>
              <w:jc w:val="right"/>
              <w:rPr>
                <w:sz w:val="20"/>
                <w:szCs w:val="20"/>
              </w:rPr>
            </w:pPr>
            <w:r w:rsidRPr="00C404CF">
              <w:rPr>
                <w:sz w:val="20"/>
                <w:szCs w:val="20"/>
              </w:rPr>
              <w:t>3</w:t>
            </w:r>
            <w:r w:rsidR="00C404CF">
              <w:rPr>
                <w:sz w:val="20"/>
                <w:szCs w:val="20"/>
              </w:rPr>
              <w:t>,</w:t>
            </w:r>
            <w:r w:rsidRPr="00C404CF">
              <w:rPr>
                <w:sz w:val="20"/>
                <w:szCs w:val="20"/>
              </w:rPr>
              <w:t>600</w:t>
            </w:r>
          </w:p>
        </w:tc>
      </w:tr>
      <w:tr w:rsidR="00EB48C8" w:rsidTr="00163C5C">
        <w:tc>
          <w:tcPr>
            <w:tcW w:w="4050" w:type="dxa"/>
          </w:tcPr>
          <w:p w:rsidR="00EB48C8" w:rsidRPr="00C404CF" w:rsidRDefault="00CA4820" w:rsidP="00163C5C">
            <w:pPr>
              <w:rPr>
                <w:sz w:val="20"/>
                <w:szCs w:val="20"/>
              </w:rPr>
            </w:pPr>
            <w:r w:rsidRPr="00C404CF">
              <w:rPr>
                <w:sz w:val="20"/>
                <w:szCs w:val="20"/>
              </w:rPr>
              <w:t>CoC Application Process</w:t>
            </w:r>
          </w:p>
        </w:tc>
        <w:tc>
          <w:tcPr>
            <w:tcW w:w="1260" w:type="dxa"/>
          </w:tcPr>
          <w:p w:rsidR="00EB48C8" w:rsidRPr="00C404CF" w:rsidRDefault="00EB48C8" w:rsidP="00C404CF">
            <w:pPr>
              <w:jc w:val="right"/>
              <w:rPr>
                <w:sz w:val="20"/>
                <w:szCs w:val="20"/>
              </w:rPr>
            </w:pPr>
            <w:r w:rsidRPr="00C404CF">
              <w:rPr>
                <w:sz w:val="20"/>
                <w:szCs w:val="20"/>
              </w:rPr>
              <w:t>450</w:t>
            </w:r>
          </w:p>
        </w:tc>
        <w:tc>
          <w:tcPr>
            <w:tcW w:w="1080" w:type="dxa"/>
          </w:tcPr>
          <w:p w:rsidR="00EB48C8" w:rsidRPr="00C404CF" w:rsidRDefault="00EB48C8" w:rsidP="00C404CF">
            <w:pPr>
              <w:jc w:val="right"/>
              <w:rPr>
                <w:sz w:val="20"/>
                <w:szCs w:val="20"/>
              </w:rPr>
            </w:pPr>
            <w:r w:rsidRPr="00C404CF">
              <w:rPr>
                <w:sz w:val="20"/>
                <w:szCs w:val="20"/>
              </w:rPr>
              <w:t>1</w:t>
            </w:r>
          </w:p>
        </w:tc>
        <w:tc>
          <w:tcPr>
            <w:tcW w:w="1350" w:type="dxa"/>
          </w:tcPr>
          <w:p w:rsidR="002A2089" w:rsidRDefault="00AF1765">
            <w:pPr>
              <w:jc w:val="right"/>
              <w:rPr>
                <w:sz w:val="20"/>
                <w:szCs w:val="20"/>
              </w:rPr>
            </w:pPr>
            <w:r>
              <w:rPr>
                <w:sz w:val="20"/>
                <w:szCs w:val="20"/>
              </w:rPr>
              <w:t>450</w:t>
            </w:r>
          </w:p>
        </w:tc>
        <w:tc>
          <w:tcPr>
            <w:tcW w:w="990" w:type="dxa"/>
          </w:tcPr>
          <w:p w:rsidR="002A2089" w:rsidRDefault="00AF1765">
            <w:pPr>
              <w:jc w:val="right"/>
              <w:rPr>
                <w:sz w:val="20"/>
                <w:szCs w:val="20"/>
              </w:rPr>
            </w:pPr>
            <w:r>
              <w:rPr>
                <w:sz w:val="20"/>
                <w:szCs w:val="20"/>
              </w:rPr>
              <w:t>200</w:t>
            </w:r>
            <w:r w:rsidR="00C404CF">
              <w:rPr>
                <w:sz w:val="20"/>
                <w:szCs w:val="20"/>
              </w:rPr>
              <w:t>.00</w:t>
            </w:r>
          </w:p>
        </w:tc>
        <w:tc>
          <w:tcPr>
            <w:tcW w:w="918" w:type="dxa"/>
          </w:tcPr>
          <w:p w:rsidR="002A2089" w:rsidRDefault="00EB48C8">
            <w:pPr>
              <w:jc w:val="right"/>
              <w:rPr>
                <w:sz w:val="20"/>
                <w:szCs w:val="20"/>
              </w:rPr>
            </w:pPr>
            <w:r w:rsidRPr="00C404CF">
              <w:rPr>
                <w:sz w:val="20"/>
                <w:szCs w:val="20"/>
              </w:rPr>
              <w:t>90</w:t>
            </w:r>
            <w:r w:rsidR="00C404CF">
              <w:rPr>
                <w:sz w:val="20"/>
                <w:szCs w:val="20"/>
              </w:rPr>
              <w:t>,</w:t>
            </w:r>
            <w:r w:rsidRPr="00C404CF">
              <w:rPr>
                <w:sz w:val="20"/>
                <w:szCs w:val="20"/>
              </w:rPr>
              <w:t>000</w:t>
            </w:r>
          </w:p>
        </w:tc>
      </w:tr>
      <w:tr w:rsidR="00EB48C8" w:rsidTr="00163C5C">
        <w:tc>
          <w:tcPr>
            <w:tcW w:w="4050" w:type="dxa"/>
          </w:tcPr>
          <w:p w:rsidR="00EB48C8" w:rsidRPr="00C404CF" w:rsidRDefault="00EB48C8" w:rsidP="00163C5C">
            <w:pPr>
              <w:ind w:left="720"/>
              <w:rPr>
                <w:sz w:val="20"/>
                <w:szCs w:val="20"/>
              </w:rPr>
            </w:pPr>
          </w:p>
        </w:tc>
        <w:tc>
          <w:tcPr>
            <w:tcW w:w="1260" w:type="dxa"/>
          </w:tcPr>
          <w:p w:rsidR="00EB48C8" w:rsidRPr="00C404CF" w:rsidRDefault="00EB48C8" w:rsidP="00C404CF">
            <w:pPr>
              <w:jc w:val="right"/>
              <w:rPr>
                <w:sz w:val="20"/>
                <w:szCs w:val="20"/>
              </w:rPr>
            </w:pPr>
          </w:p>
        </w:tc>
        <w:tc>
          <w:tcPr>
            <w:tcW w:w="1080" w:type="dxa"/>
          </w:tcPr>
          <w:p w:rsidR="00EB48C8" w:rsidRPr="00C404CF" w:rsidRDefault="00EB48C8" w:rsidP="00C404CF">
            <w:pPr>
              <w:jc w:val="right"/>
              <w:rPr>
                <w:sz w:val="20"/>
                <w:szCs w:val="20"/>
              </w:rPr>
            </w:pPr>
          </w:p>
        </w:tc>
        <w:tc>
          <w:tcPr>
            <w:tcW w:w="1350" w:type="dxa"/>
          </w:tcPr>
          <w:p w:rsidR="002A2089" w:rsidRDefault="002A2089">
            <w:pPr>
              <w:jc w:val="right"/>
              <w:rPr>
                <w:sz w:val="20"/>
                <w:szCs w:val="20"/>
              </w:rPr>
            </w:pPr>
          </w:p>
        </w:tc>
        <w:tc>
          <w:tcPr>
            <w:tcW w:w="990" w:type="dxa"/>
          </w:tcPr>
          <w:p w:rsidR="002A2089" w:rsidRDefault="002A2089">
            <w:pPr>
              <w:jc w:val="right"/>
              <w:rPr>
                <w:sz w:val="20"/>
                <w:szCs w:val="20"/>
              </w:rPr>
            </w:pPr>
          </w:p>
        </w:tc>
        <w:tc>
          <w:tcPr>
            <w:tcW w:w="918" w:type="dxa"/>
          </w:tcPr>
          <w:p w:rsidR="002A2089" w:rsidRDefault="002A2089">
            <w:pPr>
              <w:jc w:val="right"/>
              <w:rPr>
                <w:sz w:val="20"/>
                <w:szCs w:val="20"/>
              </w:rPr>
            </w:pPr>
          </w:p>
        </w:tc>
      </w:tr>
      <w:tr w:rsidR="00EB48C8" w:rsidTr="00163C5C">
        <w:tc>
          <w:tcPr>
            <w:tcW w:w="4050" w:type="dxa"/>
          </w:tcPr>
          <w:p w:rsidR="00EB48C8" w:rsidRPr="00C404CF" w:rsidRDefault="00EB48C8" w:rsidP="00163C5C">
            <w:pPr>
              <w:ind w:left="720"/>
              <w:rPr>
                <w:sz w:val="20"/>
                <w:szCs w:val="20"/>
              </w:rPr>
            </w:pPr>
            <w:r w:rsidRPr="00C404CF">
              <w:rPr>
                <w:sz w:val="20"/>
                <w:szCs w:val="20"/>
              </w:rPr>
              <w:t>Subtotal</w:t>
            </w:r>
          </w:p>
        </w:tc>
        <w:tc>
          <w:tcPr>
            <w:tcW w:w="1260" w:type="dxa"/>
          </w:tcPr>
          <w:p w:rsidR="00EB48C8" w:rsidRPr="00C404CF" w:rsidRDefault="00EB48C8" w:rsidP="00C404CF">
            <w:pPr>
              <w:jc w:val="right"/>
              <w:rPr>
                <w:sz w:val="20"/>
                <w:szCs w:val="20"/>
              </w:rPr>
            </w:pPr>
            <w:r w:rsidRPr="00C404CF">
              <w:rPr>
                <w:sz w:val="20"/>
                <w:szCs w:val="20"/>
              </w:rPr>
              <w:t>450</w:t>
            </w:r>
          </w:p>
        </w:tc>
        <w:tc>
          <w:tcPr>
            <w:tcW w:w="1080" w:type="dxa"/>
          </w:tcPr>
          <w:p w:rsidR="00EB48C8" w:rsidRPr="00C404CF" w:rsidRDefault="00EB48C8" w:rsidP="00C404CF">
            <w:pPr>
              <w:jc w:val="right"/>
              <w:rPr>
                <w:sz w:val="20"/>
                <w:szCs w:val="20"/>
              </w:rPr>
            </w:pPr>
          </w:p>
        </w:tc>
        <w:tc>
          <w:tcPr>
            <w:tcW w:w="1350" w:type="dxa"/>
          </w:tcPr>
          <w:p w:rsidR="002A2089" w:rsidRDefault="00AF1765">
            <w:pPr>
              <w:jc w:val="right"/>
              <w:rPr>
                <w:sz w:val="20"/>
                <w:szCs w:val="20"/>
              </w:rPr>
            </w:pPr>
            <w:r>
              <w:rPr>
                <w:sz w:val="20"/>
                <w:szCs w:val="20"/>
              </w:rPr>
              <w:t>1</w:t>
            </w:r>
            <w:r w:rsidR="00C404CF">
              <w:rPr>
                <w:sz w:val="20"/>
                <w:szCs w:val="20"/>
              </w:rPr>
              <w:t>,</w:t>
            </w:r>
            <w:r w:rsidR="00514D76" w:rsidRPr="00C404CF">
              <w:rPr>
                <w:sz w:val="20"/>
                <w:szCs w:val="20"/>
              </w:rPr>
              <w:t>350</w:t>
            </w:r>
          </w:p>
        </w:tc>
        <w:tc>
          <w:tcPr>
            <w:tcW w:w="990" w:type="dxa"/>
          </w:tcPr>
          <w:p w:rsidR="002A2089" w:rsidRDefault="002A2089">
            <w:pPr>
              <w:jc w:val="right"/>
              <w:rPr>
                <w:sz w:val="20"/>
                <w:szCs w:val="20"/>
              </w:rPr>
            </w:pPr>
          </w:p>
        </w:tc>
        <w:tc>
          <w:tcPr>
            <w:tcW w:w="918" w:type="dxa"/>
          </w:tcPr>
          <w:p w:rsidR="002A2089" w:rsidRDefault="00EB48C8">
            <w:pPr>
              <w:tabs>
                <w:tab w:val="left" w:pos="262"/>
              </w:tabs>
              <w:jc w:val="right"/>
              <w:rPr>
                <w:sz w:val="20"/>
                <w:szCs w:val="20"/>
              </w:rPr>
            </w:pPr>
            <w:r w:rsidRPr="00C404CF">
              <w:rPr>
                <w:sz w:val="20"/>
                <w:szCs w:val="20"/>
              </w:rPr>
              <w:t>97</w:t>
            </w:r>
            <w:r w:rsidR="00C404CF">
              <w:rPr>
                <w:sz w:val="20"/>
                <w:szCs w:val="20"/>
              </w:rPr>
              <w:t>,</w:t>
            </w:r>
            <w:r w:rsidRPr="00C404CF">
              <w:rPr>
                <w:sz w:val="20"/>
                <w:szCs w:val="20"/>
              </w:rPr>
              <w:t>200</w:t>
            </w:r>
          </w:p>
        </w:tc>
      </w:tr>
      <w:tr w:rsidR="00EB48C8" w:rsidRPr="005C4B58" w:rsidTr="00163C5C">
        <w:tc>
          <w:tcPr>
            <w:tcW w:w="4050" w:type="dxa"/>
          </w:tcPr>
          <w:p w:rsidR="00EB48C8" w:rsidRPr="00C404CF" w:rsidRDefault="00EB48C8" w:rsidP="00163C5C">
            <w:pPr>
              <w:rPr>
                <w:b/>
                <w:sz w:val="20"/>
                <w:szCs w:val="20"/>
              </w:rPr>
            </w:pPr>
            <w:r w:rsidRPr="00C404CF">
              <w:rPr>
                <w:b/>
                <w:sz w:val="20"/>
                <w:szCs w:val="20"/>
              </w:rPr>
              <w:t>Total Grant Program Application Collection</w:t>
            </w:r>
          </w:p>
        </w:tc>
        <w:tc>
          <w:tcPr>
            <w:tcW w:w="1260" w:type="dxa"/>
          </w:tcPr>
          <w:p w:rsidR="00EB48C8" w:rsidRPr="00C404CF" w:rsidRDefault="00EB48C8" w:rsidP="00C404CF">
            <w:pPr>
              <w:jc w:val="right"/>
              <w:rPr>
                <w:b/>
                <w:sz w:val="20"/>
                <w:szCs w:val="20"/>
              </w:rPr>
            </w:pPr>
            <w:r w:rsidRPr="00C404CF">
              <w:rPr>
                <w:b/>
                <w:sz w:val="20"/>
                <w:szCs w:val="20"/>
              </w:rPr>
              <w:t>450</w:t>
            </w:r>
          </w:p>
        </w:tc>
        <w:tc>
          <w:tcPr>
            <w:tcW w:w="1080" w:type="dxa"/>
          </w:tcPr>
          <w:p w:rsidR="00EB48C8" w:rsidRPr="00C404CF" w:rsidRDefault="00EB48C8" w:rsidP="00C404CF">
            <w:pPr>
              <w:jc w:val="right"/>
              <w:rPr>
                <w:b/>
                <w:sz w:val="20"/>
                <w:szCs w:val="20"/>
              </w:rPr>
            </w:pPr>
            <w:r w:rsidRPr="00C404CF">
              <w:rPr>
                <w:b/>
                <w:sz w:val="20"/>
                <w:szCs w:val="20"/>
              </w:rPr>
              <w:t>1</w:t>
            </w:r>
          </w:p>
        </w:tc>
        <w:tc>
          <w:tcPr>
            <w:tcW w:w="1350" w:type="dxa"/>
          </w:tcPr>
          <w:p w:rsidR="002A2089" w:rsidRDefault="00AF1765">
            <w:pPr>
              <w:jc w:val="right"/>
              <w:rPr>
                <w:b/>
                <w:sz w:val="20"/>
                <w:szCs w:val="20"/>
              </w:rPr>
            </w:pPr>
            <w:r>
              <w:rPr>
                <w:b/>
                <w:sz w:val="20"/>
                <w:szCs w:val="20"/>
              </w:rPr>
              <w:t>1</w:t>
            </w:r>
            <w:r w:rsidR="00C404CF">
              <w:rPr>
                <w:b/>
                <w:sz w:val="20"/>
                <w:szCs w:val="20"/>
              </w:rPr>
              <w:t>,</w:t>
            </w:r>
            <w:r w:rsidR="00514D76" w:rsidRPr="00C404CF">
              <w:rPr>
                <w:b/>
                <w:sz w:val="20"/>
                <w:szCs w:val="20"/>
              </w:rPr>
              <w:t>350</w:t>
            </w:r>
          </w:p>
        </w:tc>
        <w:tc>
          <w:tcPr>
            <w:tcW w:w="990" w:type="dxa"/>
          </w:tcPr>
          <w:p w:rsidR="002A2089" w:rsidRDefault="00EB48C8">
            <w:pPr>
              <w:jc w:val="right"/>
              <w:rPr>
                <w:b/>
                <w:sz w:val="20"/>
                <w:szCs w:val="20"/>
              </w:rPr>
            </w:pPr>
            <w:r w:rsidRPr="00C404CF">
              <w:rPr>
                <w:b/>
                <w:sz w:val="20"/>
                <w:szCs w:val="20"/>
              </w:rPr>
              <w:t>216</w:t>
            </w:r>
            <w:r w:rsidR="00C404CF">
              <w:rPr>
                <w:b/>
                <w:sz w:val="20"/>
                <w:szCs w:val="20"/>
              </w:rPr>
              <w:t>.00</w:t>
            </w:r>
          </w:p>
        </w:tc>
        <w:tc>
          <w:tcPr>
            <w:tcW w:w="918" w:type="dxa"/>
          </w:tcPr>
          <w:p w:rsidR="002A2089" w:rsidRDefault="00EB48C8">
            <w:pPr>
              <w:jc w:val="right"/>
              <w:rPr>
                <w:b/>
                <w:sz w:val="20"/>
                <w:szCs w:val="20"/>
              </w:rPr>
            </w:pPr>
            <w:r w:rsidRPr="00C404CF">
              <w:rPr>
                <w:b/>
                <w:sz w:val="20"/>
                <w:szCs w:val="20"/>
              </w:rPr>
              <w:t>97</w:t>
            </w:r>
            <w:r w:rsidR="00C404CF">
              <w:rPr>
                <w:b/>
                <w:sz w:val="20"/>
                <w:szCs w:val="20"/>
              </w:rPr>
              <w:t>,</w:t>
            </w:r>
            <w:r w:rsidRPr="00C404CF">
              <w:rPr>
                <w:b/>
                <w:sz w:val="20"/>
                <w:szCs w:val="20"/>
              </w:rPr>
              <w:t>200</w:t>
            </w:r>
          </w:p>
        </w:tc>
      </w:tr>
      <w:tr w:rsidR="00EB48C8" w:rsidRPr="00BE28A5" w:rsidTr="00163C5C">
        <w:tc>
          <w:tcPr>
            <w:tcW w:w="4050" w:type="dxa"/>
          </w:tcPr>
          <w:p w:rsidR="00EB48C8" w:rsidRPr="00C404CF" w:rsidRDefault="00EB48C8" w:rsidP="00163C5C">
            <w:pPr>
              <w:jc w:val="center"/>
              <w:rPr>
                <w:b/>
                <w:sz w:val="20"/>
                <w:szCs w:val="20"/>
              </w:rPr>
            </w:pPr>
          </w:p>
        </w:tc>
        <w:tc>
          <w:tcPr>
            <w:tcW w:w="1260" w:type="dxa"/>
          </w:tcPr>
          <w:p w:rsidR="00EB48C8" w:rsidRPr="00C404CF" w:rsidRDefault="00EB48C8" w:rsidP="00C404CF">
            <w:pPr>
              <w:jc w:val="right"/>
              <w:rPr>
                <w:b/>
                <w:sz w:val="20"/>
                <w:szCs w:val="20"/>
              </w:rPr>
            </w:pPr>
          </w:p>
        </w:tc>
        <w:tc>
          <w:tcPr>
            <w:tcW w:w="1080" w:type="dxa"/>
          </w:tcPr>
          <w:p w:rsidR="002A2089" w:rsidRDefault="002A2089">
            <w:pPr>
              <w:jc w:val="right"/>
              <w:rPr>
                <w:sz w:val="20"/>
                <w:szCs w:val="20"/>
              </w:rPr>
            </w:pPr>
          </w:p>
        </w:tc>
        <w:tc>
          <w:tcPr>
            <w:tcW w:w="1350" w:type="dxa"/>
          </w:tcPr>
          <w:p w:rsidR="00EB48C8" w:rsidRPr="00C404CF" w:rsidRDefault="00EB48C8" w:rsidP="00C404CF">
            <w:pPr>
              <w:jc w:val="right"/>
              <w:rPr>
                <w:b/>
                <w:sz w:val="20"/>
                <w:szCs w:val="20"/>
              </w:rPr>
            </w:pPr>
          </w:p>
        </w:tc>
        <w:tc>
          <w:tcPr>
            <w:tcW w:w="990" w:type="dxa"/>
          </w:tcPr>
          <w:p w:rsidR="002A2089" w:rsidRDefault="002A2089">
            <w:pPr>
              <w:jc w:val="right"/>
              <w:rPr>
                <w:sz w:val="20"/>
                <w:szCs w:val="20"/>
              </w:rPr>
            </w:pPr>
          </w:p>
        </w:tc>
        <w:tc>
          <w:tcPr>
            <w:tcW w:w="918" w:type="dxa"/>
          </w:tcPr>
          <w:p w:rsidR="00EB48C8" w:rsidRPr="00C404CF" w:rsidRDefault="00EB48C8" w:rsidP="00C404CF">
            <w:pPr>
              <w:jc w:val="right"/>
              <w:rPr>
                <w:b/>
                <w:sz w:val="20"/>
                <w:szCs w:val="20"/>
              </w:rPr>
            </w:pPr>
          </w:p>
        </w:tc>
      </w:tr>
      <w:tr w:rsidR="00EB48C8" w:rsidRPr="00BE28A5" w:rsidTr="00163C5C">
        <w:tc>
          <w:tcPr>
            <w:tcW w:w="4050" w:type="dxa"/>
          </w:tcPr>
          <w:p w:rsidR="00EB48C8" w:rsidRPr="00C404CF" w:rsidRDefault="00EB48C8" w:rsidP="00163C5C">
            <w:pPr>
              <w:rPr>
                <w:sz w:val="20"/>
                <w:szCs w:val="20"/>
              </w:rPr>
            </w:pPr>
            <w:r w:rsidRPr="00C404CF">
              <w:rPr>
                <w:sz w:val="20"/>
                <w:szCs w:val="20"/>
              </w:rPr>
              <w:t>Project Applications</w:t>
            </w:r>
          </w:p>
        </w:tc>
        <w:tc>
          <w:tcPr>
            <w:tcW w:w="1260" w:type="dxa"/>
          </w:tcPr>
          <w:p w:rsidR="00EB48C8" w:rsidRPr="00C404CF" w:rsidRDefault="00EB48C8" w:rsidP="00C404CF">
            <w:pPr>
              <w:jc w:val="right"/>
              <w:rPr>
                <w:sz w:val="20"/>
                <w:szCs w:val="20"/>
              </w:rPr>
            </w:pPr>
          </w:p>
        </w:tc>
        <w:tc>
          <w:tcPr>
            <w:tcW w:w="1080" w:type="dxa"/>
          </w:tcPr>
          <w:p w:rsidR="002A2089" w:rsidRDefault="002A2089">
            <w:pPr>
              <w:jc w:val="right"/>
              <w:rPr>
                <w:sz w:val="20"/>
                <w:szCs w:val="20"/>
              </w:rPr>
            </w:pPr>
          </w:p>
        </w:tc>
        <w:tc>
          <w:tcPr>
            <w:tcW w:w="1350" w:type="dxa"/>
          </w:tcPr>
          <w:p w:rsidR="00EB48C8" w:rsidRPr="00C404CF" w:rsidRDefault="00EB48C8" w:rsidP="00C404CF">
            <w:pPr>
              <w:jc w:val="right"/>
              <w:rPr>
                <w:sz w:val="20"/>
                <w:szCs w:val="20"/>
              </w:rPr>
            </w:pPr>
          </w:p>
        </w:tc>
        <w:tc>
          <w:tcPr>
            <w:tcW w:w="990" w:type="dxa"/>
          </w:tcPr>
          <w:p w:rsidR="002A2089" w:rsidRDefault="002A2089">
            <w:pPr>
              <w:jc w:val="right"/>
              <w:rPr>
                <w:sz w:val="20"/>
                <w:szCs w:val="20"/>
              </w:rPr>
            </w:pPr>
          </w:p>
        </w:tc>
        <w:tc>
          <w:tcPr>
            <w:tcW w:w="918" w:type="dxa"/>
          </w:tcPr>
          <w:p w:rsidR="00EB48C8" w:rsidRPr="00C404CF" w:rsidRDefault="00EB48C8" w:rsidP="00C404CF">
            <w:pPr>
              <w:jc w:val="right"/>
              <w:rPr>
                <w:b/>
                <w:sz w:val="20"/>
                <w:szCs w:val="20"/>
              </w:rPr>
            </w:pPr>
          </w:p>
        </w:tc>
      </w:tr>
      <w:tr w:rsidR="00EB48C8" w:rsidRPr="00BE28A5" w:rsidTr="00163C5C">
        <w:tc>
          <w:tcPr>
            <w:tcW w:w="4050" w:type="dxa"/>
          </w:tcPr>
          <w:p w:rsidR="00EB48C8" w:rsidRPr="00C404CF" w:rsidRDefault="00CA4820" w:rsidP="00163C5C">
            <w:pPr>
              <w:ind w:left="374"/>
              <w:rPr>
                <w:sz w:val="20"/>
                <w:szCs w:val="20"/>
              </w:rPr>
            </w:pPr>
            <w:r w:rsidRPr="00C404CF">
              <w:rPr>
                <w:sz w:val="20"/>
                <w:szCs w:val="20"/>
              </w:rPr>
              <w:t>Renewal Project Applications</w:t>
            </w:r>
          </w:p>
        </w:tc>
        <w:tc>
          <w:tcPr>
            <w:tcW w:w="1260" w:type="dxa"/>
          </w:tcPr>
          <w:p w:rsidR="00EB48C8" w:rsidRPr="00C404CF" w:rsidRDefault="00EB48C8" w:rsidP="00C404CF">
            <w:pPr>
              <w:jc w:val="right"/>
              <w:rPr>
                <w:sz w:val="20"/>
                <w:szCs w:val="20"/>
              </w:rPr>
            </w:pPr>
            <w:r w:rsidRPr="00C404CF">
              <w:rPr>
                <w:sz w:val="20"/>
                <w:szCs w:val="20"/>
              </w:rPr>
              <w:t>7</w:t>
            </w:r>
            <w:r w:rsidR="00C404CF">
              <w:rPr>
                <w:sz w:val="20"/>
                <w:szCs w:val="20"/>
              </w:rPr>
              <w:t>,</w:t>
            </w:r>
            <w:r w:rsidRPr="00C404CF">
              <w:rPr>
                <w:sz w:val="20"/>
                <w:szCs w:val="20"/>
              </w:rPr>
              <w:t>153</w:t>
            </w:r>
          </w:p>
        </w:tc>
        <w:tc>
          <w:tcPr>
            <w:tcW w:w="1080" w:type="dxa"/>
          </w:tcPr>
          <w:p w:rsidR="002A2089" w:rsidRDefault="00EB48C8">
            <w:pPr>
              <w:jc w:val="right"/>
              <w:rPr>
                <w:sz w:val="20"/>
                <w:szCs w:val="20"/>
              </w:rPr>
            </w:pPr>
            <w:r w:rsidRPr="00C404CF">
              <w:rPr>
                <w:sz w:val="20"/>
                <w:szCs w:val="20"/>
              </w:rPr>
              <w:t>1</w:t>
            </w:r>
          </w:p>
        </w:tc>
        <w:tc>
          <w:tcPr>
            <w:tcW w:w="1350" w:type="dxa"/>
          </w:tcPr>
          <w:p w:rsidR="00EB48C8" w:rsidRPr="00C404CF" w:rsidRDefault="00EB48C8" w:rsidP="00C404CF">
            <w:pPr>
              <w:jc w:val="right"/>
              <w:rPr>
                <w:sz w:val="20"/>
                <w:szCs w:val="20"/>
              </w:rPr>
            </w:pPr>
            <w:r w:rsidRPr="00C404CF">
              <w:rPr>
                <w:sz w:val="20"/>
                <w:szCs w:val="20"/>
              </w:rPr>
              <w:t>7</w:t>
            </w:r>
            <w:r w:rsidR="00C404CF">
              <w:rPr>
                <w:sz w:val="20"/>
                <w:szCs w:val="20"/>
              </w:rPr>
              <w:t>,</w:t>
            </w:r>
            <w:r w:rsidRPr="00C404CF">
              <w:rPr>
                <w:sz w:val="20"/>
                <w:szCs w:val="20"/>
              </w:rPr>
              <w:t>153</w:t>
            </w:r>
          </w:p>
        </w:tc>
        <w:tc>
          <w:tcPr>
            <w:tcW w:w="990" w:type="dxa"/>
          </w:tcPr>
          <w:p w:rsidR="002A2089" w:rsidRDefault="00EB48C8">
            <w:pPr>
              <w:jc w:val="right"/>
              <w:rPr>
                <w:sz w:val="20"/>
                <w:szCs w:val="20"/>
              </w:rPr>
            </w:pPr>
            <w:r w:rsidRPr="00C404CF">
              <w:rPr>
                <w:sz w:val="20"/>
                <w:szCs w:val="20"/>
              </w:rPr>
              <w:t>29.00</w:t>
            </w:r>
          </w:p>
        </w:tc>
        <w:tc>
          <w:tcPr>
            <w:tcW w:w="918" w:type="dxa"/>
          </w:tcPr>
          <w:p w:rsidR="00EB48C8" w:rsidRPr="00C404CF" w:rsidRDefault="00EB48C8" w:rsidP="00C404CF">
            <w:pPr>
              <w:jc w:val="right"/>
              <w:rPr>
                <w:sz w:val="20"/>
                <w:szCs w:val="20"/>
              </w:rPr>
            </w:pPr>
            <w:r w:rsidRPr="00C404CF">
              <w:rPr>
                <w:sz w:val="20"/>
                <w:szCs w:val="20"/>
              </w:rPr>
              <w:t>207,437</w:t>
            </w:r>
          </w:p>
        </w:tc>
      </w:tr>
      <w:tr w:rsidR="00EB48C8" w:rsidRPr="00BE28A5" w:rsidTr="00163C5C">
        <w:tc>
          <w:tcPr>
            <w:tcW w:w="4050" w:type="dxa"/>
          </w:tcPr>
          <w:p w:rsidR="00EB48C8" w:rsidRPr="00C404CF" w:rsidRDefault="00CA4820" w:rsidP="00163C5C">
            <w:pPr>
              <w:ind w:left="374"/>
              <w:rPr>
                <w:sz w:val="20"/>
                <w:szCs w:val="20"/>
              </w:rPr>
            </w:pPr>
            <w:r w:rsidRPr="00C404CF">
              <w:rPr>
                <w:sz w:val="20"/>
                <w:szCs w:val="20"/>
              </w:rPr>
              <w:t>New Project Applications</w:t>
            </w:r>
          </w:p>
        </w:tc>
        <w:tc>
          <w:tcPr>
            <w:tcW w:w="1260" w:type="dxa"/>
          </w:tcPr>
          <w:p w:rsidR="00EB48C8" w:rsidRPr="00C404CF" w:rsidRDefault="00EB48C8" w:rsidP="00C404CF">
            <w:pPr>
              <w:jc w:val="right"/>
              <w:rPr>
                <w:sz w:val="20"/>
                <w:szCs w:val="20"/>
              </w:rPr>
            </w:pPr>
            <w:r w:rsidRPr="00C404CF">
              <w:rPr>
                <w:sz w:val="20"/>
                <w:szCs w:val="20"/>
              </w:rPr>
              <w:t>731</w:t>
            </w:r>
          </w:p>
        </w:tc>
        <w:tc>
          <w:tcPr>
            <w:tcW w:w="1080" w:type="dxa"/>
          </w:tcPr>
          <w:p w:rsidR="002A2089" w:rsidRDefault="00EB48C8">
            <w:pPr>
              <w:jc w:val="right"/>
              <w:rPr>
                <w:sz w:val="20"/>
                <w:szCs w:val="20"/>
              </w:rPr>
            </w:pPr>
            <w:r w:rsidRPr="00C404CF">
              <w:rPr>
                <w:sz w:val="20"/>
                <w:szCs w:val="20"/>
              </w:rPr>
              <w:t>1</w:t>
            </w:r>
          </w:p>
        </w:tc>
        <w:tc>
          <w:tcPr>
            <w:tcW w:w="1350" w:type="dxa"/>
          </w:tcPr>
          <w:p w:rsidR="00EB48C8" w:rsidRPr="00C404CF" w:rsidRDefault="00EB48C8" w:rsidP="00C404CF">
            <w:pPr>
              <w:jc w:val="right"/>
              <w:rPr>
                <w:sz w:val="20"/>
                <w:szCs w:val="20"/>
              </w:rPr>
            </w:pPr>
            <w:r w:rsidRPr="00C404CF">
              <w:rPr>
                <w:sz w:val="20"/>
                <w:szCs w:val="20"/>
              </w:rPr>
              <w:t>731</w:t>
            </w:r>
          </w:p>
        </w:tc>
        <w:tc>
          <w:tcPr>
            <w:tcW w:w="990" w:type="dxa"/>
          </w:tcPr>
          <w:p w:rsidR="002A2089" w:rsidRDefault="00EB48C8">
            <w:pPr>
              <w:jc w:val="right"/>
              <w:rPr>
                <w:sz w:val="20"/>
                <w:szCs w:val="20"/>
              </w:rPr>
            </w:pPr>
            <w:r w:rsidRPr="00C404CF">
              <w:rPr>
                <w:sz w:val="20"/>
                <w:szCs w:val="20"/>
              </w:rPr>
              <w:t>7.00</w:t>
            </w:r>
          </w:p>
        </w:tc>
        <w:tc>
          <w:tcPr>
            <w:tcW w:w="918" w:type="dxa"/>
          </w:tcPr>
          <w:p w:rsidR="00EB48C8" w:rsidRPr="00C404CF" w:rsidRDefault="00EB48C8" w:rsidP="00C404CF">
            <w:pPr>
              <w:jc w:val="right"/>
              <w:rPr>
                <w:sz w:val="20"/>
                <w:szCs w:val="20"/>
              </w:rPr>
            </w:pPr>
            <w:r w:rsidRPr="00C404CF">
              <w:rPr>
                <w:sz w:val="20"/>
                <w:szCs w:val="20"/>
              </w:rPr>
              <w:t>5</w:t>
            </w:r>
            <w:r w:rsidR="00C404CF">
              <w:rPr>
                <w:sz w:val="20"/>
                <w:szCs w:val="20"/>
              </w:rPr>
              <w:t>,</w:t>
            </w:r>
            <w:r w:rsidRPr="00C404CF">
              <w:rPr>
                <w:sz w:val="20"/>
                <w:szCs w:val="20"/>
              </w:rPr>
              <w:t>117</w:t>
            </w:r>
          </w:p>
        </w:tc>
      </w:tr>
      <w:tr w:rsidR="00EB48C8" w:rsidRPr="00BE28A5" w:rsidTr="00163C5C">
        <w:tc>
          <w:tcPr>
            <w:tcW w:w="4050" w:type="dxa"/>
          </w:tcPr>
          <w:p w:rsidR="00EB48C8" w:rsidRPr="00C404CF" w:rsidRDefault="00CA4820" w:rsidP="00163C5C">
            <w:pPr>
              <w:ind w:left="374"/>
              <w:rPr>
                <w:sz w:val="20"/>
                <w:szCs w:val="20"/>
              </w:rPr>
            </w:pPr>
            <w:r w:rsidRPr="00C404CF">
              <w:rPr>
                <w:sz w:val="20"/>
                <w:szCs w:val="20"/>
              </w:rPr>
              <w:t>CoC Planning Applications</w:t>
            </w:r>
          </w:p>
        </w:tc>
        <w:tc>
          <w:tcPr>
            <w:tcW w:w="1260" w:type="dxa"/>
          </w:tcPr>
          <w:p w:rsidR="00EB48C8" w:rsidRPr="00C404CF" w:rsidRDefault="00EB48C8" w:rsidP="00C404CF">
            <w:pPr>
              <w:jc w:val="right"/>
              <w:rPr>
                <w:sz w:val="20"/>
                <w:szCs w:val="20"/>
              </w:rPr>
            </w:pPr>
            <w:r w:rsidRPr="00C404CF">
              <w:rPr>
                <w:sz w:val="20"/>
                <w:szCs w:val="20"/>
              </w:rPr>
              <w:t>450</w:t>
            </w:r>
          </w:p>
        </w:tc>
        <w:tc>
          <w:tcPr>
            <w:tcW w:w="1080" w:type="dxa"/>
          </w:tcPr>
          <w:p w:rsidR="002A2089" w:rsidRDefault="00EB48C8">
            <w:pPr>
              <w:jc w:val="right"/>
              <w:rPr>
                <w:sz w:val="20"/>
                <w:szCs w:val="20"/>
              </w:rPr>
            </w:pPr>
            <w:r w:rsidRPr="00C404CF">
              <w:rPr>
                <w:sz w:val="20"/>
                <w:szCs w:val="20"/>
              </w:rPr>
              <w:t>1</w:t>
            </w:r>
          </w:p>
        </w:tc>
        <w:tc>
          <w:tcPr>
            <w:tcW w:w="1350" w:type="dxa"/>
          </w:tcPr>
          <w:p w:rsidR="00EB48C8" w:rsidRPr="00C404CF" w:rsidRDefault="00EB48C8" w:rsidP="00C404CF">
            <w:pPr>
              <w:jc w:val="right"/>
              <w:rPr>
                <w:sz w:val="20"/>
                <w:szCs w:val="20"/>
              </w:rPr>
            </w:pPr>
            <w:r w:rsidRPr="00C404CF">
              <w:rPr>
                <w:sz w:val="20"/>
                <w:szCs w:val="20"/>
              </w:rPr>
              <w:t>450</w:t>
            </w:r>
          </w:p>
        </w:tc>
        <w:tc>
          <w:tcPr>
            <w:tcW w:w="990" w:type="dxa"/>
          </w:tcPr>
          <w:p w:rsidR="002A2089" w:rsidRDefault="00EB48C8">
            <w:pPr>
              <w:jc w:val="right"/>
              <w:rPr>
                <w:sz w:val="20"/>
                <w:szCs w:val="20"/>
              </w:rPr>
            </w:pPr>
            <w:r w:rsidRPr="00C404CF">
              <w:rPr>
                <w:sz w:val="20"/>
                <w:szCs w:val="20"/>
              </w:rPr>
              <w:t>2.00</w:t>
            </w:r>
          </w:p>
        </w:tc>
        <w:tc>
          <w:tcPr>
            <w:tcW w:w="918" w:type="dxa"/>
          </w:tcPr>
          <w:p w:rsidR="00EB48C8" w:rsidRPr="00C404CF" w:rsidRDefault="00EB48C8" w:rsidP="00C404CF">
            <w:pPr>
              <w:jc w:val="right"/>
              <w:rPr>
                <w:sz w:val="20"/>
                <w:szCs w:val="20"/>
              </w:rPr>
            </w:pPr>
            <w:r w:rsidRPr="00C404CF">
              <w:rPr>
                <w:sz w:val="20"/>
                <w:szCs w:val="20"/>
              </w:rPr>
              <w:t>900</w:t>
            </w:r>
          </w:p>
        </w:tc>
      </w:tr>
      <w:tr w:rsidR="00EB48C8" w:rsidRPr="00BE28A5" w:rsidTr="00163C5C">
        <w:tc>
          <w:tcPr>
            <w:tcW w:w="4050" w:type="dxa"/>
          </w:tcPr>
          <w:p w:rsidR="00EB48C8" w:rsidRPr="00C404CF" w:rsidRDefault="00CA4820" w:rsidP="00163C5C">
            <w:pPr>
              <w:ind w:left="374"/>
              <w:rPr>
                <w:sz w:val="20"/>
                <w:szCs w:val="20"/>
              </w:rPr>
            </w:pPr>
            <w:r w:rsidRPr="00C404CF">
              <w:rPr>
                <w:sz w:val="20"/>
                <w:szCs w:val="20"/>
              </w:rPr>
              <w:t>UFA Planning Applications</w:t>
            </w:r>
          </w:p>
        </w:tc>
        <w:tc>
          <w:tcPr>
            <w:tcW w:w="1260" w:type="dxa"/>
          </w:tcPr>
          <w:p w:rsidR="00EB48C8" w:rsidRPr="00C404CF" w:rsidRDefault="00EB48C8" w:rsidP="00C404CF">
            <w:pPr>
              <w:jc w:val="right"/>
              <w:rPr>
                <w:sz w:val="20"/>
                <w:szCs w:val="20"/>
              </w:rPr>
            </w:pPr>
            <w:r w:rsidRPr="00C404CF">
              <w:rPr>
                <w:sz w:val="20"/>
                <w:szCs w:val="20"/>
              </w:rPr>
              <w:t>225</w:t>
            </w:r>
          </w:p>
        </w:tc>
        <w:tc>
          <w:tcPr>
            <w:tcW w:w="1080" w:type="dxa"/>
          </w:tcPr>
          <w:p w:rsidR="002A2089" w:rsidRDefault="00EB48C8">
            <w:pPr>
              <w:jc w:val="right"/>
              <w:rPr>
                <w:sz w:val="20"/>
                <w:szCs w:val="20"/>
              </w:rPr>
            </w:pPr>
            <w:r w:rsidRPr="00C404CF">
              <w:rPr>
                <w:sz w:val="20"/>
                <w:szCs w:val="20"/>
              </w:rPr>
              <w:t>1</w:t>
            </w:r>
          </w:p>
        </w:tc>
        <w:tc>
          <w:tcPr>
            <w:tcW w:w="1350" w:type="dxa"/>
          </w:tcPr>
          <w:p w:rsidR="00EB48C8" w:rsidRPr="00C404CF" w:rsidRDefault="00EB48C8" w:rsidP="00C404CF">
            <w:pPr>
              <w:jc w:val="right"/>
              <w:rPr>
                <w:sz w:val="20"/>
                <w:szCs w:val="20"/>
              </w:rPr>
            </w:pPr>
            <w:r w:rsidRPr="00C404CF">
              <w:rPr>
                <w:sz w:val="20"/>
                <w:szCs w:val="20"/>
              </w:rPr>
              <w:t>225</w:t>
            </w:r>
          </w:p>
        </w:tc>
        <w:tc>
          <w:tcPr>
            <w:tcW w:w="990" w:type="dxa"/>
          </w:tcPr>
          <w:p w:rsidR="002A2089" w:rsidRDefault="00EB48C8">
            <w:pPr>
              <w:jc w:val="right"/>
              <w:rPr>
                <w:sz w:val="20"/>
                <w:szCs w:val="20"/>
              </w:rPr>
            </w:pPr>
            <w:r w:rsidRPr="00C404CF">
              <w:rPr>
                <w:sz w:val="20"/>
                <w:szCs w:val="20"/>
              </w:rPr>
              <w:t>2.00</w:t>
            </w:r>
          </w:p>
        </w:tc>
        <w:tc>
          <w:tcPr>
            <w:tcW w:w="918" w:type="dxa"/>
          </w:tcPr>
          <w:p w:rsidR="00EB48C8" w:rsidRPr="00C404CF" w:rsidRDefault="00EB48C8" w:rsidP="00C404CF">
            <w:pPr>
              <w:jc w:val="right"/>
              <w:rPr>
                <w:sz w:val="20"/>
                <w:szCs w:val="20"/>
              </w:rPr>
            </w:pPr>
            <w:r w:rsidRPr="00C404CF">
              <w:rPr>
                <w:sz w:val="20"/>
                <w:szCs w:val="20"/>
              </w:rPr>
              <w:t>900</w:t>
            </w:r>
          </w:p>
        </w:tc>
      </w:tr>
      <w:tr w:rsidR="00EB48C8" w:rsidRPr="00BE28A5" w:rsidTr="00163C5C">
        <w:trPr>
          <w:trHeight w:val="530"/>
        </w:trPr>
        <w:tc>
          <w:tcPr>
            <w:tcW w:w="4050" w:type="dxa"/>
          </w:tcPr>
          <w:p w:rsidR="00EB48C8" w:rsidRPr="00C404CF" w:rsidRDefault="00EB48C8" w:rsidP="00163C5C">
            <w:pPr>
              <w:rPr>
                <w:sz w:val="20"/>
                <w:szCs w:val="20"/>
              </w:rPr>
            </w:pPr>
            <w:r w:rsidRPr="00C404CF">
              <w:rPr>
                <w:sz w:val="20"/>
                <w:szCs w:val="20"/>
              </w:rPr>
              <w:lastRenderedPageBreak/>
              <w:t>HUD-2991- Cert of Consistency with Consolidated Plan</w:t>
            </w:r>
          </w:p>
        </w:tc>
        <w:tc>
          <w:tcPr>
            <w:tcW w:w="1260" w:type="dxa"/>
          </w:tcPr>
          <w:p w:rsidR="00EB48C8" w:rsidRPr="00C404CF" w:rsidRDefault="00AF1765" w:rsidP="00C404CF">
            <w:pPr>
              <w:jc w:val="right"/>
              <w:rPr>
                <w:sz w:val="20"/>
                <w:szCs w:val="20"/>
              </w:rPr>
            </w:pPr>
            <w:r>
              <w:rPr>
                <w:sz w:val="20"/>
                <w:szCs w:val="20"/>
              </w:rPr>
              <w:t>8</w:t>
            </w:r>
            <w:r w:rsidR="00C404CF">
              <w:rPr>
                <w:sz w:val="20"/>
                <w:szCs w:val="20"/>
              </w:rPr>
              <w:t>,</w:t>
            </w:r>
            <w:r w:rsidR="00EB48C8" w:rsidRPr="00C404CF">
              <w:rPr>
                <w:sz w:val="20"/>
                <w:szCs w:val="20"/>
              </w:rPr>
              <w:t>559</w:t>
            </w:r>
          </w:p>
        </w:tc>
        <w:tc>
          <w:tcPr>
            <w:tcW w:w="1080" w:type="dxa"/>
          </w:tcPr>
          <w:p w:rsidR="002A2089" w:rsidRDefault="00EB48C8">
            <w:pPr>
              <w:jc w:val="right"/>
              <w:rPr>
                <w:sz w:val="20"/>
                <w:szCs w:val="20"/>
              </w:rPr>
            </w:pPr>
            <w:r w:rsidRPr="00C404CF">
              <w:rPr>
                <w:sz w:val="20"/>
                <w:szCs w:val="20"/>
              </w:rPr>
              <w:t>1</w:t>
            </w:r>
          </w:p>
        </w:tc>
        <w:tc>
          <w:tcPr>
            <w:tcW w:w="1350" w:type="dxa"/>
          </w:tcPr>
          <w:p w:rsidR="00EB48C8" w:rsidRPr="00C404CF" w:rsidRDefault="00EB48C8" w:rsidP="00C404CF">
            <w:pPr>
              <w:jc w:val="right"/>
              <w:rPr>
                <w:sz w:val="20"/>
                <w:szCs w:val="20"/>
              </w:rPr>
            </w:pPr>
            <w:r w:rsidRPr="00C404CF">
              <w:rPr>
                <w:sz w:val="20"/>
                <w:szCs w:val="20"/>
              </w:rPr>
              <w:t>8</w:t>
            </w:r>
            <w:r w:rsidR="00C404CF">
              <w:rPr>
                <w:sz w:val="20"/>
                <w:szCs w:val="20"/>
              </w:rPr>
              <w:t>,</w:t>
            </w:r>
            <w:r w:rsidRPr="00C404CF">
              <w:rPr>
                <w:sz w:val="20"/>
                <w:szCs w:val="20"/>
              </w:rPr>
              <w:t>559</w:t>
            </w:r>
          </w:p>
        </w:tc>
        <w:tc>
          <w:tcPr>
            <w:tcW w:w="990" w:type="dxa"/>
          </w:tcPr>
          <w:p w:rsidR="002A2089" w:rsidRDefault="00CA4820">
            <w:pPr>
              <w:jc w:val="right"/>
              <w:rPr>
                <w:sz w:val="20"/>
                <w:szCs w:val="20"/>
              </w:rPr>
            </w:pPr>
            <w:r w:rsidRPr="00C404CF">
              <w:rPr>
                <w:sz w:val="20"/>
                <w:szCs w:val="20"/>
              </w:rPr>
              <w:t>0.</w:t>
            </w:r>
            <w:r w:rsidR="004C4246" w:rsidRPr="00C404CF">
              <w:rPr>
                <w:sz w:val="20"/>
                <w:szCs w:val="20"/>
              </w:rPr>
              <w:t>1</w:t>
            </w:r>
            <w:r w:rsidR="00C404CF">
              <w:rPr>
                <w:sz w:val="20"/>
                <w:szCs w:val="20"/>
              </w:rPr>
              <w:t>7</w:t>
            </w:r>
          </w:p>
        </w:tc>
        <w:tc>
          <w:tcPr>
            <w:tcW w:w="918" w:type="dxa"/>
          </w:tcPr>
          <w:p w:rsidR="00EB48C8" w:rsidRPr="00C404CF" w:rsidRDefault="00C404CF" w:rsidP="00C404CF">
            <w:pPr>
              <w:jc w:val="right"/>
              <w:rPr>
                <w:sz w:val="20"/>
                <w:szCs w:val="20"/>
              </w:rPr>
            </w:pPr>
            <w:r>
              <w:rPr>
                <w:sz w:val="20"/>
                <w:szCs w:val="20"/>
              </w:rPr>
              <w:t>1,455</w:t>
            </w:r>
          </w:p>
        </w:tc>
      </w:tr>
      <w:tr w:rsidR="00EB48C8" w:rsidRPr="00BE28A5" w:rsidTr="00163C5C">
        <w:tc>
          <w:tcPr>
            <w:tcW w:w="4050" w:type="dxa"/>
          </w:tcPr>
          <w:p w:rsidR="00EB48C8" w:rsidRPr="00C404CF" w:rsidRDefault="00EB48C8" w:rsidP="00163C5C">
            <w:pPr>
              <w:rPr>
                <w:sz w:val="20"/>
                <w:szCs w:val="20"/>
              </w:rPr>
            </w:pPr>
            <w:r w:rsidRPr="00C404CF">
              <w:rPr>
                <w:sz w:val="20"/>
                <w:szCs w:val="20"/>
              </w:rPr>
              <w:t>HUD-2880- Applicant/Recipient Disclosure/Update Report (2510-0011)</w:t>
            </w:r>
          </w:p>
        </w:tc>
        <w:tc>
          <w:tcPr>
            <w:tcW w:w="1260" w:type="dxa"/>
          </w:tcPr>
          <w:p w:rsidR="00EB48C8" w:rsidRPr="00C404CF" w:rsidRDefault="00AF1765" w:rsidP="00C404CF">
            <w:pPr>
              <w:jc w:val="right"/>
              <w:rPr>
                <w:sz w:val="20"/>
                <w:szCs w:val="20"/>
              </w:rPr>
            </w:pPr>
            <w:r>
              <w:rPr>
                <w:sz w:val="20"/>
                <w:szCs w:val="20"/>
              </w:rPr>
              <w:t>8</w:t>
            </w:r>
            <w:r w:rsidR="00C404CF">
              <w:rPr>
                <w:sz w:val="20"/>
                <w:szCs w:val="20"/>
              </w:rPr>
              <w:t>,</w:t>
            </w:r>
            <w:r w:rsidR="00EB48C8" w:rsidRPr="00C404CF">
              <w:rPr>
                <w:sz w:val="20"/>
                <w:szCs w:val="20"/>
              </w:rPr>
              <w:t>559</w:t>
            </w:r>
          </w:p>
        </w:tc>
        <w:tc>
          <w:tcPr>
            <w:tcW w:w="1080" w:type="dxa"/>
          </w:tcPr>
          <w:p w:rsidR="002A2089" w:rsidRDefault="00EB48C8">
            <w:pPr>
              <w:jc w:val="right"/>
              <w:rPr>
                <w:sz w:val="20"/>
                <w:szCs w:val="20"/>
              </w:rPr>
            </w:pPr>
            <w:r w:rsidRPr="00C404CF">
              <w:rPr>
                <w:sz w:val="20"/>
                <w:szCs w:val="20"/>
              </w:rPr>
              <w:t>1</w:t>
            </w:r>
          </w:p>
        </w:tc>
        <w:tc>
          <w:tcPr>
            <w:tcW w:w="1350" w:type="dxa"/>
          </w:tcPr>
          <w:p w:rsidR="00EB48C8" w:rsidRPr="00C404CF" w:rsidRDefault="00EB48C8" w:rsidP="00C404CF">
            <w:pPr>
              <w:jc w:val="right"/>
              <w:rPr>
                <w:sz w:val="20"/>
                <w:szCs w:val="20"/>
              </w:rPr>
            </w:pPr>
            <w:r w:rsidRPr="00C404CF">
              <w:rPr>
                <w:sz w:val="20"/>
                <w:szCs w:val="20"/>
              </w:rPr>
              <w:t>8</w:t>
            </w:r>
            <w:r w:rsidR="00C404CF">
              <w:rPr>
                <w:sz w:val="20"/>
                <w:szCs w:val="20"/>
              </w:rPr>
              <w:t>,</w:t>
            </w:r>
            <w:r w:rsidRPr="00C404CF">
              <w:rPr>
                <w:sz w:val="20"/>
                <w:szCs w:val="20"/>
              </w:rPr>
              <w:t>559</w:t>
            </w:r>
          </w:p>
        </w:tc>
        <w:tc>
          <w:tcPr>
            <w:tcW w:w="990" w:type="dxa"/>
          </w:tcPr>
          <w:p w:rsidR="002A2089" w:rsidRDefault="00CA4820">
            <w:pPr>
              <w:jc w:val="right"/>
              <w:rPr>
                <w:sz w:val="20"/>
                <w:szCs w:val="20"/>
              </w:rPr>
            </w:pPr>
            <w:r w:rsidRPr="00C404CF">
              <w:rPr>
                <w:sz w:val="20"/>
                <w:szCs w:val="20"/>
              </w:rPr>
              <w:t>0.0</w:t>
            </w:r>
            <w:r w:rsidR="00AF1765" w:rsidRPr="00AF1765">
              <w:rPr>
                <w:sz w:val="20"/>
                <w:szCs w:val="20"/>
              </w:rPr>
              <w:t>2</w:t>
            </w:r>
          </w:p>
        </w:tc>
        <w:tc>
          <w:tcPr>
            <w:tcW w:w="918" w:type="dxa"/>
          </w:tcPr>
          <w:p w:rsidR="00EB48C8" w:rsidRPr="00C404CF" w:rsidRDefault="00C404CF" w:rsidP="00C404CF">
            <w:pPr>
              <w:jc w:val="right"/>
              <w:rPr>
                <w:sz w:val="20"/>
                <w:szCs w:val="20"/>
              </w:rPr>
            </w:pPr>
            <w:r>
              <w:rPr>
                <w:sz w:val="20"/>
                <w:szCs w:val="20"/>
              </w:rPr>
              <w:t>171</w:t>
            </w:r>
          </w:p>
        </w:tc>
      </w:tr>
      <w:tr w:rsidR="00EB48C8" w:rsidRPr="00BE28A5" w:rsidTr="00163C5C">
        <w:tc>
          <w:tcPr>
            <w:tcW w:w="4050" w:type="dxa"/>
          </w:tcPr>
          <w:p w:rsidR="00EB48C8" w:rsidRPr="00C404CF" w:rsidRDefault="00EB48C8" w:rsidP="00163C5C">
            <w:pPr>
              <w:jc w:val="center"/>
              <w:rPr>
                <w:b/>
                <w:sz w:val="20"/>
                <w:szCs w:val="20"/>
              </w:rPr>
            </w:pPr>
            <w:r w:rsidRPr="00C404CF">
              <w:rPr>
                <w:b/>
                <w:sz w:val="20"/>
                <w:szCs w:val="20"/>
              </w:rPr>
              <w:t>Subtotal</w:t>
            </w:r>
          </w:p>
        </w:tc>
        <w:tc>
          <w:tcPr>
            <w:tcW w:w="1260" w:type="dxa"/>
          </w:tcPr>
          <w:p w:rsidR="00EB48C8" w:rsidRPr="00C404CF" w:rsidRDefault="00EB48C8" w:rsidP="00C404CF">
            <w:pPr>
              <w:jc w:val="right"/>
              <w:rPr>
                <w:b/>
                <w:sz w:val="20"/>
                <w:szCs w:val="20"/>
              </w:rPr>
            </w:pPr>
            <w:r w:rsidRPr="00C404CF">
              <w:rPr>
                <w:b/>
                <w:sz w:val="20"/>
                <w:szCs w:val="20"/>
              </w:rPr>
              <w:t>8</w:t>
            </w:r>
            <w:r w:rsidR="00C404CF">
              <w:rPr>
                <w:b/>
                <w:sz w:val="20"/>
                <w:szCs w:val="20"/>
              </w:rPr>
              <w:t>,</w:t>
            </w:r>
            <w:r w:rsidRPr="00C404CF">
              <w:rPr>
                <w:b/>
                <w:sz w:val="20"/>
                <w:szCs w:val="20"/>
              </w:rPr>
              <w:t>559</w:t>
            </w:r>
          </w:p>
        </w:tc>
        <w:tc>
          <w:tcPr>
            <w:tcW w:w="1080" w:type="dxa"/>
          </w:tcPr>
          <w:p w:rsidR="002A2089" w:rsidRDefault="002A2089">
            <w:pPr>
              <w:jc w:val="right"/>
              <w:rPr>
                <w:sz w:val="20"/>
                <w:szCs w:val="20"/>
              </w:rPr>
            </w:pPr>
          </w:p>
        </w:tc>
        <w:tc>
          <w:tcPr>
            <w:tcW w:w="1350" w:type="dxa"/>
          </w:tcPr>
          <w:p w:rsidR="00EB48C8" w:rsidRPr="00C404CF" w:rsidRDefault="00C404CF" w:rsidP="00C404CF">
            <w:pPr>
              <w:jc w:val="right"/>
              <w:rPr>
                <w:b/>
                <w:sz w:val="20"/>
                <w:szCs w:val="20"/>
              </w:rPr>
            </w:pPr>
            <w:r>
              <w:rPr>
                <w:b/>
                <w:sz w:val="20"/>
                <w:szCs w:val="20"/>
              </w:rPr>
              <w:t>25,677</w:t>
            </w:r>
          </w:p>
        </w:tc>
        <w:tc>
          <w:tcPr>
            <w:tcW w:w="990" w:type="dxa"/>
          </w:tcPr>
          <w:p w:rsidR="002A2089" w:rsidRDefault="002A2089">
            <w:pPr>
              <w:jc w:val="right"/>
              <w:rPr>
                <w:sz w:val="20"/>
                <w:szCs w:val="20"/>
              </w:rPr>
            </w:pPr>
          </w:p>
        </w:tc>
        <w:tc>
          <w:tcPr>
            <w:tcW w:w="918" w:type="dxa"/>
          </w:tcPr>
          <w:p w:rsidR="00EB48C8" w:rsidRPr="00C404CF" w:rsidRDefault="00C404CF" w:rsidP="00C404CF">
            <w:pPr>
              <w:jc w:val="right"/>
              <w:rPr>
                <w:b/>
                <w:sz w:val="20"/>
                <w:szCs w:val="20"/>
              </w:rPr>
            </w:pPr>
            <w:r>
              <w:rPr>
                <w:b/>
                <w:sz w:val="20"/>
                <w:szCs w:val="20"/>
              </w:rPr>
              <w:t>215,980</w:t>
            </w:r>
          </w:p>
        </w:tc>
      </w:tr>
      <w:tr w:rsidR="00EB48C8" w:rsidRPr="00BE28A5" w:rsidTr="00163C5C">
        <w:tc>
          <w:tcPr>
            <w:tcW w:w="4050" w:type="dxa"/>
          </w:tcPr>
          <w:p w:rsidR="00EB48C8" w:rsidRPr="00C404CF" w:rsidRDefault="00CA4820" w:rsidP="00163C5C">
            <w:pPr>
              <w:rPr>
                <w:sz w:val="20"/>
                <w:szCs w:val="20"/>
              </w:rPr>
            </w:pPr>
            <w:r w:rsidRPr="00C404CF">
              <w:rPr>
                <w:sz w:val="20"/>
                <w:szCs w:val="20"/>
              </w:rPr>
              <w:t>SF-424- Application for Federal Assistance</w:t>
            </w:r>
          </w:p>
        </w:tc>
        <w:tc>
          <w:tcPr>
            <w:tcW w:w="1260" w:type="dxa"/>
          </w:tcPr>
          <w:p w:rsidR="00EB48C8" w:rsidRPr="00C404CF" w:rsidRDefault="00EB48C8" w:rsidP="00C404CF">
            <w:pPr>
              <w:jc w:val="right"/>
              <w:rPr>
                <w:sz w:val="20"/>
                <w:szCs w:val="20"/>
              </w:rPr>
            </w:pPr>
            <w:r w:rsidRPr="00C404CF">
              <w:rPr>
                <w:sz w:val="20"/>
                <w:szCs w:val="20"/>
              </w:rPr>
              <w:t>4</w:t>
            </w:r>
            <w:r w:rsidR="00C404CF">
              <w:rPr>
                <w:sz w:val="20"/>
                <w:szCs w:val="20"/>
              </w:rPr>
              <w:t>,</w:t>
            </w:r>
            <w:r w:rsidRPr="00C404CF">
              <w:rPr>
                <w:sz w:val="20"/>
                <w:szCs w:val="20"/>
              </w:rPr>
              <w:t>167</w:t>
            </w:r>
          </w:p>
        </w:tc>
        <w:tc>
          <w:tcPr>
            <w:tcW w:w="1080" w:type="dxa"/>
          </w:tcPr>
          <w:p w:rsidR="002A2089" w:rsidRDefault="00EB48C8">
            <w:pPr>
              <w:jc w:val="right"/>
              <w:rPr>
                <w:sz w:val="20"/>
                <w:szCs w:val="20"/>
              </w:rPr>
            </w:pPr>
            <w:r w:rsidRPr="00C404CF">
              <w:rPr>
                <w:sz w:val="20"/>
                <w:szCs w:val="20"/>
              </w:rPr>
              <w:t>1</w:t>
            </w:r>
          </w:p>
        </w:tc>
        <w:tc>
          <w:tcPr>
            <w:tcW w:w="1350" w:type="dxa"/>
          </w:tcPr>
          <w:p w:rsidR="00EB48C8" w:rsidRPr="00C404CF" w:rsidRDefault="00EB48C8" w:rsidP="00C404CF">
            <w:pPr>
              <w:jc w:val="right"/>
              <w:rPr>
                <w:sz w:val="20"/>
                <w:szCs w:val="20"/>
              </w:rPr>
            </w:pPr>
            <w:r w:rsidRPr="00C404CF">
              <w:rPr>
                <w:sz w:val="20"/>
                <w:szCs w:val="20"/>
              </w:rPr>
              <w:t>4</w:t>
            </w:r>
            <w:r w:rsidR="00C404CF">
              <w:rPr>
                <w:sz w:val="20"/>
                <w:szCs w:val="20"/>
              </w:rPr>
              <w:t>,</w:t>
            </w:r>
            <w:r w:rsidRPr="00C404CF">
              <w:rPr>
                <w:sz w:val="20"/>
                <w:szCs w:val="20"/>
              </w:rPr>
              <w:t>167</w:t>
            </w:r>
          </w:p>
        </w:tc>
        <w:tc>
          <w:tcPr>
            <w:tcW w:w="990" w:type="dxa"/>
          </w:tcPr>
          <w:p w:rsidR="002A2089" w:rsidRDefault="00C404CF">
            <w:pPr>
              <w:jc w:val="right"/>
              <w:rPr>
                <w:sz w:val="20"/>
                <w:szCs w:val="20"/>
              </w:rPr>
            </w:pPr>
            <w:r>
              <w:rPr>
                <w:sz w:val="20"/>
                <w:szCs w:val="20"/>
              </w:rPr>
              <w:t>0</w:t>
            </w:r>
            <w:r w:rsidR="00EB48C8" w:rsidRPr="00C404CF">
              <w:rPr>
                <w:sz w:val="20"/>
                <w:szCs w:val="20"/>
              </w:rPr>
              <w:t>.5</w:t>
            </w:r>
            <w:r>
              <w:rPr>
                <w:sz w:val="20"/>
                <w:szCs w:val="20"/>
              </w:rPr>
              <w:t>0</w:t>
            </w:r>
          </w:p>
        </w:tc>
        <w:tc>
          <w:tcPr>
            <w:tcW w:w="918" w:type="dxa"/>
          </w:tcPr>
          <w:p w:rsidR="00EB48C8" w:rsidRPr="00C404CF" w:rsidRDefault="00EB48C8" w:rsidP="00C404CF">
            <w:pPr>
              <w:jc w:val="right"/>
              <w:rPr>
                <w:sz w:val="20"/>
                <w:szCs w:val="20"/>
              </w:rPr>
            </w:pPr>
            <w:r w:rsidRPr="00C404CF">
              <w:rPr>
                <w:sz w:val="20"/>
                <w:szCs w:val="20"/>
              </w:rPr>
              <w:t>2,084</w:t>
            </w:r>
          </w:p>
        </w:tc>
      </w:tr>
      <w:tr w:rsidR="00EB48C8" w:rsidRPr="00BE28A5" w:rsidTr="00163C5C">
        <w:tc>
          <w:tcPr>
            <w:tcW w:w="4050" w:type="dxa"/>
          </w:tcPr>
          <w:p w:rsidR="00EB48C8" w:rsidRPr="00C404CF" w:rsidRDefault="00CA4820" w:rsidP="00163C5C">
            <w:pPr>
              <w:keepNext/>
              <w:keepLines/>
              <w:tabs>
                <w:tab w:val="left" w:pos="720"/>
                <w:tab w:val="left" w:pos="1080"/>
                <w:tab w:val="left" w:pos="1440"/>
                <w:tab w:val="left" w:pos="1800"/>
              </w:tabs>
              <w:spacing w:line="264" w:lineRule="auto"/>
              <w:outlineLvl w:val="1"/>
              <w:rPr>
                <w:sz w:val="20"/>
                <w:szCs w:val="20"/>
              </w:rPr>
            </w:pPr>
            <w:r w:rsidRPr="00C404CF">
              <w:rPr>
                <w:sz w:val="20"/>
                <w:szCs w:val="20"/>
              </w:rPr>
              <w:t>SF424SUPP-Voluntary Survey on Ensuring Equal Opportunity</w:t>
            </w:r>
          </w:p>
        </w:tc>
        <w:tc>
          <w:tcPr>
            <w:tcW w:w="1260" w:type="dxa"/>
          </w:tcPr>
          <w:p w:rsidR="00EB48C8" w:rsidRPr="00C404CF" w:rsidRDefault="00EB48C8" w:rsidP="00C404CF">
            <w:pPr>
              <w:jc w:val="right"/>
              <w:rPr>
                <w:sz w:val="20"/>
                <w:szCs w:val="20"/>
              </w:rPr>
            </w:pPr>
            <w:r w:rsidRPr="00C404CF">
              <w:rPr>
                <w:sz w:val="20"/>
                <w:szCs w:val="20"/>
              </w:rPr>
              <w:t>4</w:t>
            </w:r>
            <w:r w:rsidR="00C404CF">
              <w:rPr>
                <w:sz w:val="20"/>
                <w:szCs w:val="20"/>
              </w:rPr>
              <w:t>,</w:t>
            </w:r>
            <w:r w:rsidRPr="00C404CF">
              <w:rPr>
                <w:sz w:val="20"/>
                <w:szCs w:val="20"/>
              </w:rPr>
              <w:t>167</w:t>
            </w:r>
          </w:p>
        </w:tc>
        <w:tc>
          <w:tcPr>
            <w:tcW w:w="1080" w:type="dxa"/>
          </w:tcPr>
          <w:p w:rsidR="002A2089" w:rsidRDefault="00EB48C8">
            <w:pPr>
              <w:jc w:val="right"/>
              <w:rPr>
                <w:sz w:val="20"/>
                <w:szCs w:val="20"/>
              </w:rPr>
            </w:pPr>
            <w:r w:rsidRPr="00C404CF">
              <w:rPr>
                <w:sz w:val="20"/>
                <w:szCs w:val="20"/>
              </w:rPr>
              <w:t>1</w:t>
            </w:r>
          </w:p>
        </w:tc>
        <w:tc>
          <w:tcPr>
            <w:tcW w:w="1350" w:type="dxa"/>
          </w:tcPr>
          <w:p w:rsidR="00EB48C8" w:rsidRPr="00C404CF" w:rsidRDefault="00EB48C8" w:rsidP="00C404CF">
            <w:pPr>
              <w:jc w:val="right"/>
              <w:rPr>
                <w:sz w:val="20"/>
                <w:szCs w:val="20"/>
              </w:rPr>
            </w:pPr>
            <w:r w:rsidRPr="00C404CF">
              <w:rPr>
                <w:sz w:val="20"/>
                <w:szCs w:val="20"/>
              </w:rPr>
              <w:t>4</w:t>
            </w:r>
            <w:r w:rsidR="00C404CF">
              <w:rPr>
                <w:sz w:val="20"/>
                <w:szCs w:val="20"/>
              </w:rPr>
              <w:t>,</w:t>
            </w:r>
            <w:r w:rsidRPr="00C404CF">
              <w:rPr>
                <w:sz w:val="20"/>
                <w:szCs w:val="20"/>
              </w:rPr>
              <w:t>167</w:t>
            </w:r>
          </w:p>
        </w:tc>
        <w:tc>
          <w:tcPr>
            <w:tcW w:w="990" w:type="dxa"/>
          </w:tcPr>
          <w:p w:rsidR="002A2089" w:rsidRDefault="00C404CF">
            <w:pPr>
              <w:jc w:val="right"/>
              <w:rPr>
                <w:sz w:val="20"/>
                <w:szCs w:val="20"/>
              </w:rPr>
            </w:pPr>
            <w:r>
              <w:rPr>
                <w:sz w:val="20"/>
                <w:szCs w:val="20"/>
              </w:rPr>
              <w:t>0</w:t>
            </w:r>
            <w:r w:rsidR="00EB48C8" w:rsidRPr="00C404CF">
              <w:rPr>
                <w:sz w:val="20"/>
                <w:szCs w:val="20"/>
              </w:rPr>
              <w:t>.03</w:t>
            </w:r>
          </w:p>
        </w:tc>
        <w:tc>
          <w:tcPr>
            <w:tcW w:w="918" w:type="dxa"/>
          </w:tcPr>
          <w:p w:rsidR="00EB48C8" w:rsidRPr="00C404CF" w:rsidRDefault="00EB48C8" w:rsidP="00C404CF">
            <w:pPr>
              <w:jc w:val="right"/>
              <w:rPr>
                <w:sz w:val="20"/>
                <w:szCs w:val="20"/>
              </w:rPr>
            </w:pPr>
            <w:r w:rsidRPr="00C404CF">
              <w:rPr>
                <w:sz w:val="20"/>
                <w:szCs w:val="20"/>
              </w:rPr>
              <w:t>125</w:t>
            </w:r>
          </w:p>
        </w:tc>
      </w:tr>
      <w:tr w:rsidR="00EB48C8" w:rsidRPr="00BE28A5" w:rsidTr="00163C5C">
        <w:tc>
          <w:tcPr>
            <w:tcW w:w="4050" w:type="dxa"/>
          </w:tcPr>
          <w:p w:rsidR="00EB48C8" w:rsidRPr="00C404CF" w:rsidRDefault="00EB48C8" w:rsidP="00163C5C">
            <w:pPr>
              <w:rPr>
                <w:sz w:val="20"/>
                <w:szCs w:val="20"/>
              </w:rPr>
            </w:pPr>
            <w:r w:rsidRPr="00C404CF">
              <w:rPr>
                <w:sz w:val="20"/>
                <w:szCs w:val="20"/>
              </w:rPr>
              <w:t>HUD-92041- Sponsor’s Conflict of Interest Resolution</w:t>
            </w:r>
          </w:p>
        </w:tc>
        <w:tc>
          <w:tcPr>
            <w:tcW w:w="1260" w:type="dxa"/>
          </w:tcPr>
          <w:p w:rsidR="00EB48C8" w:rsidRPr="00C404CF" w:rsidRDefault="00AF1765" w:rsidP="00C404CF">
            <w:pPr>
              <w:jc w:val="right"/>
              <w:rPr>
                <w:sz w:val="20"/>
                <w:szCs w:val="20"/>
              </w:rPr>
            </w:pPr>
            <w:r>
              <w:rPr>
                <w:sz w:val="20"/>
                <w:szCs w:val="20"/>
              </w:rPr>
              <w:t>10</w:t>
            </w:r>
          </w:p>
        </w:tc>
        <w:tc>
          <w:tcPr>
            <w:tcW w:w="1080" w:type="dxa"/>
          </w:tcPr>
          <w:p w:rsidR="002A2089" w:rsidRDefault="00AF1765">
            <w:pPr>
              <w:jc w:val="right"/>
              <w:rPr>
                <w:sz w:val="20"/>
                <w:szCs w:val="20"/>
              </w:rPr>
            </w:pPr>
            <w:r>
              <w:rPr>
                <w:sz w:val="20"/>
                <w:szCs w:val="20"/>
              </w:rPr>
              <w:t>1</w:t>
            </w:r>
          </w:p>
        </w:tc>
        <w:tc>
          <w:tcPr>
            <w:tcW w:w="1350" w:type="dxa"/>
          </w:tcPr>
          <w:p w:rsidR="00EB48C8" w:rsidRPr="00C404CF" w:rsidRDefault="00AF1765" w:rsidP="00C404CF">
            <w:pPr>
              <w:jc w:val="right"/>
              <w:rPr>
                <w:sz w:val="20"/>
                <w:szCs w:val="20"/>
              </w:rPr>
            </w:pPr>
            <w:r>
              <w:rPr>
                <w:sz w:val="20"/>
                <w:szCs w:val="20"/>
              </w:rPr>
              <w:t>10</w:t>
            </w:r>
          </w:p>
        </w:tc>
        <w:tc>
          <w:tcPr>
            <w:tcW w:w="990" w:type="dxa"/>
          </w:tcPr>
          <w:p w:rsidR="002A2089" w:rsidRDefault="00AF1765">
            <w:pPr>
              <w:jc w:val="right"/>
              <w:rPr>
                <w:sz w:val="20"/>
                <w:szCs w:val="20"/>
              </w:rPr>
            </w:pPr>
            <w:r>
              <w:rPr>
                <w:sz w:val="20"/>
                <w:szCs w:val="20"/>
              </w:rPr>
              <w:t>0.0</w:t>
            </w:r>
            <w:r w:rsidRPr="00AF1765">
              <w:rPr>
                <w:sz w:val="20"/>
                <w:szCs w:val="20"/>
              </w:rPr>
              <w:t>2</w:t>
            </w:r>
          </w:p>
        </w:tc>
        <w:tc>
          <w:tcPr>
            <w:tcW w:w="918" w:type="dxa"/>
          </w:tcPr>
          <w:p w:rsidR="00EB48C8" w:rsidRPr="00C404CF" w:rsidRDefault="00C404CF" w:rsidP="00C404CF">
            <w:pPr>
              <w:jc w:val="right"/>
              <w:rPr>
                <w:sz w:val="20"/>
                <w:szCs w:val="20"/>
              </w:rPr>
            </w:pPr>
            <w:r>
              <w:rPr>
                <w:sz w:val="20"/>
                <w:szCs w:val="20"/>
              </w:rPr>
              <w:t>0</w:t>
            </w:r>
          </w:p>
        </w:tc>
      </w:tr>
      <w:tr w:rsidR="00EB48C8" w:rsidRPr="00BE28A5" w:rsidTr="00163C5C">
        <w:tc>
          <w:tcPr>
            <w:tcW w:w="4050" w:type="dxa"/>
          </w:tcPr>
          <w:p w:rsidR="00EB48C8" w:rsidRPr="00C404CF" w:rsidRDefault="00EB48C8" w:rsidP="00163C5C">
            <w:pPr>
              <w:rPr>
                <w:sz w:val="20"/>
                <w:szCs w:val="20"/>
              </w:rPr>
            </w:pPr>
            <w:r w:rsidRPr="00C404CF">
              <w:rPr>
                <w:sz w:val="20"/>
                <w:szCs w:val="20"/>
              </w:rPr>
              <w:t>HUD-27300- Regulatory Barriers (2510-0013)</w:t>
            </w:r>
          </w:p>
        </w:tc>
        <w:tc>
          <w:tcPr>
            <w:tcW w:w="1260" w:type="dxa"/>
          </w:tcPr>
          <w:p w:rsidR="00EB48C8" w:rsidRPr="00C404CF" w:rsidRDefault="00EB48C8" w:rsidP="00C404CF">
            <w:pPr>
              <w:jc w:val="right"/>
              <w:rPr>
                <w:sz w:val="20"/>
                <w:szCs w:val="20"/>
              </w:rPr>
            </w:pPr>
            <w:r w:rsidRPr="00C404CF">
              <w:rPr>
                <w:sz w:val="20"/>
                <w:szCs w:val="20"/>
              </w:rPr>
              <w:t>4</w:t>
            </w:r>
            <w:r w:rsidR="00C404CF">
              <w:rPr>
                <w:sz w:val="20"/>
                <w:szCs w:val="20"/>
              </w:rPr>
              <w:t>,</w:t>
            </w:r>
            <w:r w:rsidRPr="00C404CF">
              <w:rPr>
                <w:sz w:val="20"/>
                <w:szCs w:val="20"/>
              </w:rPr>
              <w:t>167</w:t>
            </w:r>
          </w:p>
        </w:tc>
        <w:tc>
          <w:tcPr>
            <w:tcW w:w="1080" w:type="dxa"/>
          </w:tcPr>
          <w:p w:rsidR="002A2089" w:rsidRDefault="00EB48C8">
            <w:pPr>
              <w:jc w:val="right"/>
              <w:rPr>
                <w:sz w:val="20"/>
                <w:szCs w:val="20"/>
              </w:rPr>
            </w:pPr>
            <w:r w:rsidRPr="00C404CF">
              <w:rPr>
                <w:sz w:val="20"/>
                <w:szCs w:val="20"/>
              </w:rPr>
              <w:t>1</w:t>
            </w:r>
          </w:p>
        </w:tc>
        <w:tc>
          <w:tcPr>
            <w:tcW w:w="1350" w:type="dxa"/>
          </w:tcPr>
          <w:p w:rsidR="00EB48C8" w:rsidRPr="00C404CF" w:rsidRDefault="00EB48C8" w:rsidP="00C404CF">
            <w:pPr>
              <w:jc w:val="right"/>
              <w:rPr>
                <w:sz w:val="20"/>
                <w:szCs w:val="20"/>
              </w:rPr>
            </w:pPr>
            <w:r w:rsidRPr="00C404CF">
              <w:rPr>
                <w:sz w:val="20"/>
                <w:szCs w:val="20"/>
              </w:rPr>
              <w:t>4</w:t>
            </w:r>
            <w:r w:rsidR="00C404CF">
              <w:rPr>
                <w:sz w:val="20"/>
                <w:szCs w:val="20"/>
              </w:rPr>
              <w:t>,</w:t>
            </w:r>
            <w:r w:rsidRPr="00C404CF">
              <w:rPr>
                <w:sz w:val="20"/>
                <w:szCs w:val="20"/>
              </w:rPr>
              <w:t>167</w:t>
            </w:r>
          </w:p>
        </w:tc>
        <w:tc>
          <w:tcPr>
            <w:tcW w:w="990" w:type="dxa"/>
          </w:tcPr>
          <w:p w:rsidR="002A2089" w:rsidRDefault="00CA4820">
            <w:pPr>
              <w:jc w:val="right"/>
              <w:rPr>
                <w:sz w:val="20"/>
                <w:szCs w:val="20"/>
              </w:rPr>
            </w:pPr>
            <w:r w:rsidRPr="00C404CF">
              <w:rPr>
                <w:sz w:val="20"/>
                <w:szCs w:val="20"/>
              </w:rPr>
              <w:t>0.0</w:t>
            </w:r>
            <w:r w:rsidR="00AF1765" w:rsidRPr="00AF1765">
              <w:rPr>
                <w:sz w:val="20"/>
                <w:szCs w:val="20"/>
              </w:rPr>
              <w:t>2</w:t>
            </w:r>
          </w:p>
        </w:tc>
        <w:tc>
          <w:tcPr>
            <w:tcW w:w="918" w:type="dxa"/>
          </w:tcPr>
          <w:p w:rsidR="00EB48C8" w:rsidRPr="00C404CF" w:rsidRDefault="00C404CF" w:rsidP="00C404CF">
            <w:pPr>
              <w:jc w:val="right"/>
              <w:rPr>
                <w:sz w:val="20"/>
                <w:szCs w:val="20"/>
              </w:rPr>
            </w:pPr>
            <w:r>
              <w:rPr>
                <w:sz w:val="20"/>
                <w:szCs w:val="20"/>
              </w:rPr>
              <w:t>83</w:t>
            </w:r>
          </w:p>
        </w:tc>
      </w:tr>
      <w:tr w:rsidR="00EB48C8" w:rsidRPr="00BE28A5" w:rsidTr="00163C5C">
        <w:tc>
          <w:tcPr>
            <w:tcW w:w="4050" w:type="dxa"/>
          </w:tcPr>
          <w:p w:rsidR="00EB48C8" w:rsidRPr="00C404CF" w:rsidRDefault="00CA4820" w:rsidP="00163C5C">
            <w:pPr>
              <w:rPr>
                <w:sz w:val="20"/>
                <w:szCs w:val="20"/>
              </w:rPr>
            </w:pPr>
            <w:r w:rsidRPr="00C404CF">
              <w:rPr>
                <w:sz w:val="20"/>
                <w:szCs w:val="20"/>
              </w:rPr>
              <w:t>OMB-SF-LLL-Disclosure of Lobbying Activities (where applicable)</w:t>
            </w:r>
          </w:p>
        </w:tc>
        <w:tc>
          <w:tcPr>
            <w:tcW w:w="1260" w:type="dxa"/>
          </w:tcPr>
          <w:p w:rsidR="00EB48C8" w:rsidRPr="00C404CF" w:rsidRDefault="00AF1765" w:rsidP="00C404CF">
            <w:pPr>
              <w:jc w:val="right"/>
              <w:rPr>
                <w:sz w:val="20"/>
                <w:szCs w:val="20"/>
              </w:rPr>
            </w:pPr>
            <w:r>
              <w:rPr>
                <w:sz w:val="20"/>
                <w:szCs w:val="20"/>
              </w:rPr>
              <w:t>4</w:t>
            </w:r>
            <w:r w:rsidR="00C404CF">
              <w:rPr>
                <w:sz w:val="20"/>
                <w:szCs w:val="20"/>
              </w:rPr>
              <w:t>,</w:t>
            </w:r>
            <w:r w:rsidR="00EB48C8" w:rsidRPr="00C404CF">
              <w:rPr>
                <w:sz w:val="20"/>
                <w:szCs w:val="20"/>
              </w:rPr>
              <w:t>167</w:t>
            </w:r>
          </w:p>
        </w:tc>
        <w:tc>
          <w:tcPr>
            <w:tcW w:w="1080" w:type="dxa"/>
          </w:tcPr>
          <w:p w:rsidR="002A2089" w:rsidRDefault="00EB48C8">
            <w:pPr>
              <w:jc w:val="right"/>
              <w:rPr>
                <w:sz w:val="20"/>
                <w:szCs w:val="20"/>
              </w:rPr>
            </w:pPr>
            <w:r w:rsidRPr="00C404CF">
              <w:rPr>
                <w:sz w:val="20"/>
                <w:szCs w:val="20"/>
              </w:rPr>
              <w:t>1</w:t>
            </w:r>
          </w:p>
        </w:tc>
        <w:tc>
          <w:tcPr>
            <w:tcW w:w="1350" w:type="dxa"/>
          </w:tcPr>
          <w:p w:rsidR="00EB48C8" w:rsidRPr="00C404CF" w:rsidRDefault="00EB48C8" w:rsidP="00C404CF">
            <w:pPr>
              <w:jc w:val="right"/>
              <w:rPr>
                <w:sz w:val="20"/>
                <w:szCs w:val="20"/>
              </w:rPr>
            </w:pPr>
            <w:r w:rsidRPr="00C404CF">
              <w:rPr>
                <w:sz w:val="20"/>
                <w:szCs w:val="20"/>
              </w:rPr>
              <w:t>4</w:t>
            </w:r>
            <w:r w:rsidR="00C404CF">
              <w:rPr>
                <w:sz w:val="20"/>
                <w:szCs w:val="20"/>
              </w:rPr>
              <w:t>,</w:t>
            </w:r>
            <w:r w:rsidRPr="00C404CF">
              <w:rPr>
                <w:sz w:val="20"/>
                <w:szCs w:val="20"/>
              </w:rPr>
              <w:t>167</w:t>
            </w:r>
          </w:p>
        </w:tc>
        <w:tc>
          <w:tcPr>
            <w:tcW w:w="990" w:type="dxa"/>
          </w:tcPr>
          <w:p w:rsidR="002A2089" w:rsidRDefault="00C404CF">
            <w:pPr>
              <w:jc w:val="right"/>
              <w:rPr>
                <w:sz w:val="20"/>
                <w:szCs w:val="20"/>
              </w:rPr>
            </w:pPr>
            <w:r>
              <w:rPr>
                <w:sz w:val="20"/>
                <w:szCs w:val="20"/>
              </w:rPr>
              <w:t>0</w:t>
            </w:r>
            <w:r w:rsidR="00EB48C8" w:rsidRPr="00C404CF">
              <w:rPr>
                <w:sz w:val="20"/>
                <w:szCs w:val="20"/>
              </w:rPr>
              <w:t>.17</w:t>
            </w:r>
          </w:p>
        </w:tc>
        <w:tc>
          <w:tcPr>
            <w:tcW w:w="918" w:type="dxa"/>
          </w:tcPr>
          <w:p w:rsidR="00EB48C8" w:rsidRPr="00C404CF" w:rsidRDefault="00EB48C8" w:rsidP="00C404CF">
            <w:pPr>
              <w:jc w:val="right"/>
              <w:rPr>
                <w:sz w:val="20"/>
                <w:szCs w:val="20"/>
              </w:rPr>
            </w:pPr>
            <w:r w:rsidRPr="00C404CF">
              <w:rPr>
                <w:sz w:val="20"/>
                <w:szCs w:val="20"/>
              </w:rPr>
              <w:t>708</w:t>
            </w:r>
          </w:p>
        </w:tc>
      </w:tr>
      <w:tr w:rsidR="00EB48C8" w:rsidRPr="00BE28A5" w:rsidTr="00163C5C">
        <w:tc>
          <w:tcPr>
            <w:tcW w:w="4050" w:type="dxa"/>
          </w:tcPr>
          <w:p w:rsidR="00EB48C8" w:rsidRPr="00C404CF" w:rsidRDefault="00CA4820" w:rsidP="00163C5C">
            <w:pPr>
              <w:rPr>
                <w:sz w:val="20"/>
                <w:szCs w:val="20"/>
              </w:rPr>
            </w:pPr>
            <w:r w:rsidRPr="00C404CF">
              <w:rPr>
                <w:sz w:val="20"/>
                <w:szCs w:val="20"/>
              </w:rPr>
              <w:t>HUD-40090-4 Applicant Certification</w:t>
            </w:r>
          </w:p>
        </w:tc>
        <w:tc>
          <w:tcPr>
            <w:tcW w:w="1260" w:type="dxa"/>
          </w:tcPr>
          <w:p w:rsidR="00EB48C8" w:rsidRPr="00C404CF" w:rsidRDefault="00EB48C8" w:rsidP="00C404CF">
            <w:pPr>
              <w:jc w:val="right"/>
              <w:rPr>
                <w:sz w:val="20"/>
                <w:szCs w:val="20"/>
              </w:rPr>
            </w:pPr>
            <w:r w:rsidRPr="00C404CF">
              <w:rPr>
                <w:sz w:val="20"/>
                <w:szCs w:val="20"/>
              </w:rPr>
              <w:t>4</w:t>
            </w:r>
            <w:r w:rsidR="00C404CF">
              <w:rPr>
                <w:sz w:val="20"/>
                <w:szCs w:val="20"/>
              </w:rPr>
              <w:t>,</w:t>
            </w:r>
            <w:r w:rsidRPr="00C404CF">
              <w:rPr>
                <w:sz w:val="20"/>
                <w:szCs w:val="20"/>
              </w:rPr>
              <w:t>167</w:t>
            </w:r>
          </w:p>
        </w:tc>
        <w:tc>
          <w:tcPr>
            <w:tcW w:w="1080" w:type="dxa"/>
          </w:tcPr>
          <w:p w:rsidR="002A2089" w:rsidRDefault="00EB48C8">
            <w:pPr>
              <w:jc w:val="right"/>
              <w:rPr>
                <w:sz w:val="20"/>
                <w:szCs w:val="20"/>
              </w:rPr>
            </w:pPr>
            <w:r w:rsidRPr="00C404CF">
              <w:rPr>
                <w:sz w:val="20"/>
                <w:szCs w:val="20"/>
              </w:rPr>
              <w:t>1</w:t>
            </w:r>
          </w:p>
        </w:tc>
        <w:tc>
          <w:tcPr>
            <w:tcW w:w="1350" w:type="dxa"/>
          </w:tcPr>
          <w:p w:rsidR="00EB48C8" w:rsidRPr="00C404CF" w:rsidRDefault="00EB48C8" w:rsidP="00C404CF">
            <w:pPr>
              <w:jc w:val="right"/>
              <w:rPr>
                <w:sz w:val="20"/>
                <w:szCs w:val="20"/>
              </w:rPr>
            </w:pPr>
            <w:r w:rsidRPr="00C404CF">
              <w:rPr>
                <w:sz w:val="20"/>
                <w:szCs w:val="20"/>
              </w:rPr>
              <w:t>4</w:t>
            </w:r>
            <w:r w:rsidR="00C404CF">
              <w:rPr>
                <w:sz w:val="20"/>
                <w:szCs w:val="20"/>
              </w:rPr>
              <w:t>,</w:t>
            </w:r>
            <w:r w:rsidRPr="00C404CF">
              <w:rPr>
                <w:sz w:val="20"/>
                <w:szCs w:val="20"/>
              </w:rPr>
              <w:t>167</w:t>
            </w:r>
          </w:p>
        </w:tc>
        <w:tc>
          <w:tcPr>
            <w:tcW w:w="990" w:type="dxa"/>
          </w:tcPr>
          <w:p w:rsidR="002A2089" w:rsidRDefault="00CA4820">
            <w:pPr>
              <w:jc w:val="right"/>
              <w:rPr>
                <w:sz w:val="20"/>
                <w:szCs w:val="20"/>
              </w:rPr>
            </w:pPr>
            <w:r w:rsidRPr="00C404CF">
              <w:rPr>
                <w:sz w:val="20"/>
                <w:szCs w:val="20"/>
              </w:rPr>
              <w:t>0.0</w:t>
            </w:r>
            <w:r w:rsidR="00AF1765" w:rsidRPr="00AF1765">
              <w:rPr>
                <w:sz w:val="20"/>
                <w:szCs w:val="20"/>
              </w:rPr>
              <w:t>2</w:t>
            </w:r>
          </w:p>
        </w:tc>
        <w:tc>
          <w:tcPr>
            <w:tcW w:w="918" w:type="dxa"/>
          </w:tcPr>
          <w:p w:rsidR="00EB48C8" w:rsidRPr="00C404CF" w:rsidRDefault="00C404CF" w:rsidP="00C404CF">
            <w:pPr>
              <w:jc w:val="right"/>
              <w:rPr>
                <w:sz w:val="20"/>
                <w:szCs w:val="20"/>
              </w:rPr>
            </w:pPr>
            <w:r>
              <w:rPr>
                <w:sz w:val="20"/>
                <w:szCs w:val="20"/>
              </w:rPr>
              <w:t>83</w:t>
            </w:r>
          </w:p>
        </w:tc>
      </w:tr>
      <w:tr w:rsidR="00EB48C8" w:rsidRPr="00BE28A5" w:rsidTr="00163C5C">
        <w:tc>
          <w:tcPr>
            <w:tcW w:w="4050" w:type="dxa"/>
          </w:tcPr>
          <w:p w:rsidR="00EB48C8" w:rsidRPr="00C404CF" w:rsidRDefault="00CA4820" w:rsidP="00163C5C">
            <w:pPr>
              <w:rPr>
                <w:sz w:val="20"/>
                <w:szCs w:val="20"/>
              </w:rPr>
            </w:pPr>
            <w:r w:rsidRPr="00C404CF">
              <w:rPr>
                <w:sz w:val="20"/>
                <w:szCs w:val="20"/>
              </w:rPr>
              <w:t xml:space="preserve">HUD-50070 – Certification for a Drug-Free Workplace </w:t>
            </w:r>
          </w:p>
        </w:tc>
        <w:tc>
          <w:tcPr>
            <w:tcW w:w="1260" w:type="dxa"/>
          </w:tcPr>
          <w:p w:rsidR="00EB48C8" w:rsidRPr="00C404CF" w:rsidRDefault="00AF1765" w:rsidP="00C404CF">
            <w:pPr>
              <w:jc w:val="right"/>
              <w:rPr>
                <w:sz w:val="20"/>
                <w:szCs w:val="20"/>
              </w:rPr>
            </w:pPr>
            <w:r>
              <w:rPr>
                <w:sz w:val="20"/>
                <w:szCs w:val="20"/>
              </w:rPr>
              <w:t>4</w:t>
            </w:r>
            <w:r w:rsidR="00C404CF">
              <w:rPr>
                <w:sz w:val="20"/>
                <w:szCs w:val="20"/>
              </w:rPr>
              <w:t>,</w:t>
            </w:r>
            <w:r w:rsidR="00EB48C8" w:rsidRPr="00C404CF">
              <w:rPr>
                <w:sz w:val="20"/>
                <w:szCs w:val="20"/>
              </w:rPr>
              <w:t>167</w:t>
            </w:r>
          </w:p>
        </w:tc>
        <w:tc>
          <w:tcPr>
            <w:tcW w:w="1080" w:type="dxa"/>
          </w:tcPr>
          <w:p w:rsidR="002A2089" w:rsidRDefault="00EB48C8">
            <w:pPr>
              <w:jc w:val="right"/>
              <w:rPr>
                <w:sz w:val="20"/>
                <w:szCs w:val="20"/>
              </w:rPr>
            </w:pPr>
            <w:r w:rsidRPr="00C404CF">
              <w:rPr>
                <w:sz w:val="20"/>
                <w:szCs w:val="20"/>
              </w:rPr>
              <w:t>1</w:t>
            </w:r>
          </w:p>
        </w:tc>
        <w:tc>
          <w:tcPr>
            <w:tcW w:w="1350" w:type="dxa"/>
          </w:tcPr>
          <w:p w:rsidR="00EB48C8" w:rsidRPr="00C404CF" w:rsidRDefault="00EB48C8" w:rsidP="00C404CF">
            <w:pPr>
              <w:jc w:val="right"/>
              <w:rPr>
                <w:sz w:val="20"/>
                <w:szCs w:val="20"/>
              </w:rPr>
            </w:pPr>
            <w:r w:rsidRPr="00C404CF">
              <w:rPr>
                <w:sz w:val="20"/>
                <w:szCs w:val="20"/>
              </w:rPr>
              <w:t>4</w:t>
            </w:r>
            <w:r w:rsidR="00C404CF">
              <w:rPr>
                <w:sz w:val="20"/>
                <w:szCs w:val="20"/>
              </w:rPr>
              <w:t>,</w:t>
            </w:r>
            <w:r w:rsidRPr="00C404CF">
              <w:rPr>
                <w:sz w:val="20"/>
                <w:szCs w:val="20"/>
              </w:rPr>
              <w:t>167</w:t>
            </w:r>
          </w:p>
        </w:tc>
        <w:tc>
          <w:tcPr>
            <w:tcW w:w="990" w:type="dxa"/>
          </w:tcPr>
          <w:p w:rsidR="002A2089" w:rsidRDefault="00CA4820">
            <w:pPr>
              <w:jc w:val="right"/>
              <w:rPr>
                <w:sz w:val="20"/>
                <w:szCs w:val="20"/>
              </w:rPr>
            </w:pPr>
            <w:r w:rsidRPr="00C404CF">
              <w:rPr>
                <w:sz w:val="20"/>
                <w:szCs w:val="20"/>
              </w:rPr>
              <w:t>0.0</w:t>
            </w:r>
            <w:r w:rsidR="00AF1765" w:rsidRPr="00AF1765">
              <w:rPr>
                <w:sz w:val="20"/>
                <w:szCs w:val="20"/>
              </w:rPr>
              <w:t>2</w:t>
            </w:r>
          </w:p>
        </w:tc>
        <w:tc>
          <w:tcPr>
            <w:tcW w:w="918" w:type="dxa"/>
          </w:tcPr>
          <w:p w:rsidR="00EB48C8" w:rsidRPr="00C404CF" w:rsidRDefault="00C404CF" w:rsidP="00C404CF">
            <w:pPr>
              <w:jc w:val="right"/>
              <w:rPr>
                <w:sz w:val="20"/>
                <w:szCs w:val="20"/>
              </w:rPr>
            </w:pPr>
            <w:r>
              <w:rPr>
                <w:sz w:val="20"/>
                <w:szCs w:val="20"/>
              </w:rPr>
              <w:t>83</w:t>
            </w:r>
          </w:p>
        </w:tc>
      </w:tr>
      <w:tr w:rsidR="00EB48C8" w:rsidRPr="00BE28A5" w:rsidTr="00163C5C">
        <w:tc>
          <w:tcPr>
            <w:tcW w:w="4050" w:type="dxa"/>
          </w:tcPr>
          <w:p w:rsidR="00EB48C8" w:rsidRPr="00C404CF" w:rsidRDefault="00EB48C8" w:rsidP="00163C5C">
            <w:pPr>
              <w:jc w:val="center"/>
              <w:rPr>
                <w:b/>
                <w:sz w:val="20"/>
                <w:szCs w:val="20"/>
              </w:rPr>
            </w:pPr>
            <w:r w:rsidRPr="00C404CF">
              <w:rPr>
                <w:b/>
                <w:sz w:val="20"/>
                <w:szCs w:val="20"/>
              </w:rPr>
              <w:t>Subtotal</w:t>
            </w:r>
          </w:p>
        </w:tc>
        <w:tc>
          <w:tcPr>
            <w:tcW w:w="1260" w:type="dxa"/>
          </w:tcPr>
          <w:p w:rsidR="00EB48C8" w:rsidRPr="00C404CF" w:rsidRDefault="00EB48C8" w:rsidP="00C404CF">
            <w:pPr>
              <w:jc w:val="right"/>
              <w:rPr>
                <w:b/>
                <w:sz w:val="20"/>
                <w:szCs w:val="20"/>
              </w:rPr>
            </w:pPr>
            <w:r w:rsidRPr="00C404CF">
              <w:rPr>
                <w:b/>
                <w:sz w:val="20"/>
                <w:szCs w:val="20"/>
              </w:rPr>
              <w:t>3,350</w:t>
            </w:r>
          </w:p>
        </w:tc>
        <w:tc>
          <w:tcPr>
            <w:tcW w:w="1080" w:type="dxa"/>
          </w:tcPr>
          <w:p w:rsidR="002A2089" w:rsidRDefault="002A2089">
            <w:pPr>
              <w:jc w:val="right"/>
              <w:rPr>
                <w:sz w:val="20"/>
                <w:szCs w:val="20"/>
              </w:rPr>
            </w:pPr>
          </w:p>
        </w:tc>
        <w:tc>
          <w:tcPr>
            <w:tcW w:w="1350" w:type="dxa"/>
          </w:tcPr>
          <w:p w:rsidR="00EB48C8" w:rsidRPr="00C404CF" w:rsidRDefault="00C404CF" w:rsidP="00C404CF">
            <w:pPr>
              <w:jc w:val="right"/>
              <w:rPr>
                <w:b/>
                <w:sz w:val="20"/>
                <w:szCs w:val="20"/>
              </w:rPr>
            </w:pPr>
            <w:r>
              <w:rPr>
                <w:b/>
                <w:sz w:val="20"/>
                <w:szCs w:val="20"/>
              </w:rPr>
              <w:t>25,012</w:t>
            </w:r>
          </w:p>
        </w:tc>
        <w:tc>
          <w:tcPr>
            <w:tcW w:w="990" w:type="dxa"/>
          </w:tcPr>
          <w:p w:rsidR="002A2089" w:rsidRDefault="002A2089">
            <w:pPr>
              <w:jc w:val="right"/>
              <w:rPr>
                <w:sz w:val="20"/>
                <w:szCs w:val="20"/>
              </w:rPr>
            </w:pPr>
          </w:p>
        </w:tc>
        <w:tc>
          <w:tcPr>
            <w:tcW w:w="918" w:type="dxa"/>
          </w:tcPr>
          <w:p w:rsidR="00EB48C8" w:rsidRPr="00C404CF" w:rsidRDefault="00C404CF" w:rsidP="00C404CF">
            <w:pPr>
              <w:jc w:val="right"/>
              <w:rPr>
                <w:b/>
                <w:sz w:val="20"/>
                <w:szCs w:val="20"/>
              </w:rPr>
            </w:pPr>
            <w:r>
              <w:rPr>
                <w:b/>
                <w:sz w:val="20"/>
                <w:szCs w:val="20"/>
              </w:rPr>
              <w:t>3,167</w:t>
            </w:r>
          </w:p>
        </w:tc>
      </w:tr>
      <w:tr w:rsidR="00EB48C8" w:rsidRPr="00BE28A5" w:rsidTr="00163C5C">
        <w:tc>
          <w:tcPr>
            <w:tcW w:w="4050" w:type="dxa"/>
          </w:tcPr>
          <w:p w:rsidR="00EB48C8" w:rsidRPr="00C404CF" w:rsidRDefault="00EB48C8" w:rsidP="00163C5C">
            <w:pPr>
              <w:jc w:val="center"/>
              <w:rPr>
                <w:b/>
                <w:sz w:val="20"/>
                <w:szCs w:val="20"/>
              </w:rPr>
            </w:pPr>
          </w:p>
        </w:tc>
        <w:tc>
          <w:tcPr>
            <w:tcW w:w="1260" w:type="dxa"/>
          </w:tcPr>
          <w:p w:rsidR="00EB48C8" w:rsidRPr="00C404CF" w:rsidRDefault="00EB48C8" w:rsidP="00C404CF">
            <w:pPr>
              <w:jc w:val="right"/>
              <w:rPr>
                <w:sz w:val="20"/>
                <w:szCs w:val="20"/>
              </w:rPr>
            </w:pPr>
          </w:p>
        </w:tc>
        <w:tc>
          <w:tcPr>
            <w:tcW w:w="1080" w:type="dxa"/>
          </w:tcPr>
          <w:p w:rsidR="002A2089" w:rsidRDefault="002A2089">
            <w:pPr>
              <w:jc w:val="right"/>
              <w:rPr>
                <w:sz w:val="20"/>
                <w:szCs w:val="20"/>
              </w:rPr>
            </w:pPr>
          </w:p>
        </w:tc>
        <w:tc>
          <w:tcPr>
            <w:tcW w:w="1350" w:type="dxa"/>
          </w:tcPr>
          <w:p w:rsidR="00EB48C8" w:rsidRPr="00C404CF" w:rsidRDefault="00EB48C8" w:rsidP="00C404CF">
            <w:pPr>
              <w:jc w:val="right"/>
              <w:rPr>
                <w:sz w:val="20"/>
                <w:szCs w:val="20"/>
              </w:rPr>
            </w:pPr>
          </w:p>
        </w:tc>
        <w:tc>
          <w:tcPr>
            <w:tcW w:w="990" w:type="dxa"/>
          </w:tcPr>
          <w:p w:rsidR="002A2089" w:rsidRDefault="002A2089">
            <w:pPr>
              <w:jc w:val="right"/>
              <w:rPr>
                <w:sz w:val="20"/>
                <w:szCs w:val="20"/>
              </w:rPr>
            </w:pPr>
          </w:p>
        </w:tc>
        <w:tc>
          <w:tcPr>
            <w:tcW w:w="918" w:type="dxa"/>
          </w:tcPr>
          <w:p w:rsidR="00EB48C8" w:rsidRPr="00C404CF" w:rsidRDefault="00EB48C8" w:rsidP="00C404CF">
            <w:pPr>
              <w:jc w:val="right"/>
              <w:rPr>
                <w:b/>
                <w:sz w:val="20"/>
                <w:szCs w:val="20"/>
              </w:rPr>
            </w:pPr>
          </w:p>
        </w:tc>
      </w:tr>
      <w:tr w:rsidR="00EB48C8" w:rsidRPr="00BE28A5" w:rsidTr="00163C5C">
        <w:tc>
          <w:tcPr>
            <w:tcW w:w="4050" w:type="dxa"/>
          </w:tcPr>
          <w:p w:rsidR="00EB48C8" w:rsidRPr="00C404CF" w:rsidRDefault="00EB48C8" w:rsidP="00163C5C">
            <w:pPr>
              <w:jc w:val="center"/>
              <w:rPr>
                <w:b/>
                <w:sz w:val="20"/>
                <w:szCs w:val="20"/>
              </w:rPr>
            </w:pPr>
            <w:r w:rsidRPr="00C404CF">
              <w:rPr>
                <w:b/>
                <w:sz w:val="20"/>
                <w:szCs w:val="20"/>
              </w:rPr>
              <w:t>Total Grant Program Application Collection</w:t>
            </w:r>
          </w:p>
        </w:tc>
        <w:tc>
          <w:tcPr>
            <w:tcW w:w="1260" w:type="dxa"/>
          </w:tcPr>
          <w:p w:rsidR="00EB48C8" w:rsidRPr="00C404CF" w:rsidRDefault="00EB48C8" w:rsidP="00C404CF">
            <w:pPr>
              <w:jc w:val="right"/>
              <w:rPr>
                <w:sz w:val="20"/>
                <w:szCs w:val="20"/>
              </w:rPr>
            </w:pPr>
          </w:p>
        </w:tc>
        <w:tc>
          <w:tcPr>
            <w:tcW w:w="1080" w:type="dxa"/>
          </w:tcPr>
          <w:p w:rsidR="002A2089" w:rsidRDefault="002A2089">
            <w:pPr>
              <w:jc w:val="right"/>
              <w:rPr>
                <w:sz w:val="20"/>
                <w:szCs w:val="20"/>
              </w:rPr>
            </w:pPr>
          </w:p>
        </w:tc>
        <w:tc>
          <w:tcPr>
            <w:tcW w:w="1350" w:type="dxa"/>
          </w:tcPr>
          <w:p w:rsidR="00EB48C8" w:rsidRPr="00C404CF" w:rsidRDefault="00EB48C8" w:rsidP="00C404CF">
            <w:pPr>
              <w:jc w:val="right"/>
              <w:rPr>
                <w:sz w:val="20"/>
                <w:szCs w:val="20"/>
              </w:rPr>
            </w:pPr>
          </w:p>
        </w:tc>
        <w:tc>
          <w:tcPr>
            <w:tcW w:w="990" w:type="dxa"/>
          </w:tcPr>
          <w:p w:rsidR="002A2089" w:rsidRDefault="002A2089">
            <w:pPr>
              <w:jc w:val="right"/>
              <w:rPr>
                <w:sz w:val="20"/>
                <w:szCs w:val="20"/>
              </w:rPr>
            </w:pPr>
          </w:p>
        </w:tc>
        <w:tc>
          <w:tcPr>
            <w:tcW w:w="918" w:type="dxa"/>
          </w:tcPr>
          <w:p w:rsidR="00EB48C8" w:rsidRPr="00C404CF" w:rsidRDefault="00EB48C8" w:rsidP="00C404CF">
            <w:pPr>
              <w:jc w:val="right"/>
              <w:rPr>
                <w:b/>
                <w:sz w:val="20"/>
                <w:szCs w:val="20"/>
              </w:rPr>
            </w:pPr>
          </w:p>
        </w:tc>
      </w:tr>
      <w:tr w:rsidR="00EB48C8" w:rsidRPr="00BE28A5" w:rsidTr="00163C5C">
        <w:tc>
          <w:tcPr>
            <w:tcW w:w="4050" w:type="dxa"/>
          </w:tcPr>
          <w:p w:rsidR="00EB48C8" w:rsidRPr="00C404CF" w:rsidRDefault="00EB48C8" w:rsidP="00163C5C">
            <w:pPr>
              <w:jc w:val="center"/>
              <w:rPr>
                <w:b/>
                <w:sz w:val="20"/>
                <w:szCs w:val="20"/>
              </w:rPr>
            </w:pPr>
            <w:r w:rsidRPr="00C404CF">
              <w:rPr>
                <w:b/>
                <w:sz w:val="20"/>
                <w:szCs w:val="20"/>
              </w:rPr>
              <w:t>Total</w:t>
            </w:r>
          </w:p>
        </w:tc>
        <w:tc>
          <w:tcPr>
            <w:tcW w:w="1260" w:type="dxa"/>
          </w:tcPr>
          <w:p w:rsidR="00EB48C8" w:rsidRPr="00C404CF" w:rsidRDefault="00EB48C8" w:rsidP="00C404CF">
            <w:pPr>
              <w:jc w:val="right"/>
              <w:rPr>
                <w:b/>
                <w:sz w:val="20"/>
                <w:szCs w:val="20"/>
              </w:rPr>
            </w:pPr>
            <w:r w:rsidRPr="00C404CF">
              <w:rPr>
                <w:b/>
                <w:sz w:val="20"/>
                <w:szCs w:val="20"/>
              </w:rPr>
              <w:t>10,510</w:t>
            </w:r>
          </w:p>
        </w:tc>
        <w:tc>
          <w:tcPr>
            <w:tcW w:w="1080" w:type="dxa"/>
          </w:tcPr>
          <w:p w:rsidR="002A2089" w:rsidRDefault="00EB48C8">
            <w:pPr>
              <w:jc w:val="right"/>
              <w:rPr>
                <w:sz w:val="20"/>
                <w:szCs w:val="20"/>
              </w:rPr>
            </w:pPr>
            <w:r w:rsidRPr="00C404CF">
              <w:rPr>
                <w:sz w:val="20"/>
                <w:szCs w:val="20"/>
              </w:rPr>
              <w:t>1</w:t>
            </w:r>
          </w:p>
        </w:tc>
        <w:tc>
          <w:tcPr>
            <w:tcW w:w="1350" w:type="dxa"/>
          </w:tcPr>
          <w:p w:rsidR="00EB48C8" w:rsidRPr="00C404CF" w:rsidRDefault="00C404CF" w:rsidP="00C404CF">
            <w:pPr>
              <w:jc w:val="right"/>
              <w:rPr>
                <w:b/>
                <w:sz w:val="20"/>
                <w:szCs w:val="20"/>
              </w:rPr>
            </w:pPr>
            <w:r>
              <w:rPr>
                <w:b/>
                <w:sz w:val="20"/>
                <w:szCs w:val="20"/>
              </w:rPr>
              <w:t>52</w:t>
            </w:r>
            <w:r w:rsidR="00EB48C8" w:rsidRPr="00C404CF">
              <w:rPr>
                <w:b/>
                <w:sz w:val="20"/>
                <w:szCs w:val="20"/>
              </w:rPr>
              <w:t>,</w:t>
            </w:r>
            <w:r>
              <w:rPr>
                <w:b/>
                <w:sz w:val="20"/>
                <w:szCs w:val="20"/>
              </w:rPr>
              <w:t>039</w:t>
            </w:r>
          </w:p>
        </w:tc>
        <w:tc>
          <w:tcPr>
            <w:tcW w:w="990" w:type="dxa"/>
          </w:tcPr>
          <w:p w:rsidR="002A2089" w:rsidRDefault="002A2089">
            <w:pPr>
              <w:jc w:val="right"/>
              <w:rPr>
                <w:sz w:val="20"/>
                <w:szCs w:val="20"/>
              </w:rPr>
            </w:pPr>
          </w:p>
        </w:tc>
        <w:tc>
          <w:tcPr>
            <w:tcW w:w="918" w:type="dxa"/>
          </w:tcPr>
          <w:p w:rsidR="00EB48C8" w:rsidRPr="00C404CF" w:rsidRDefault="00EB48C8" w:rsidP="00C404CF">
            <w:pPr>
              <w:jc w:val="right"/>
              <w:rPr>
                <w:b/>
                <w:sz w:val="20"/>
                <w:szCs w:val="20"/>
              </w:rPr>
            </w:pPr>
            <w:r w:rsidRPr="00C404CF">
              <w:rPr>
                <w:b/>
                <w:sz w:val="20"/>
                <w:szCs w:val="20"/>
              </w:rPr>
              <w:t>31</w:t>
            </w:r>
            <w:r w:rsidR="00C404CF">
              <w:rPr>
                <w:b/>
                <w:sz w:val="20"/>
                <w:szCs w:val="20"/>
              </w:rPr>
              <w:t>6</w:t>
            </w:r>
            <w:r w:rsidRPr="00C404CF">
              <w:rPr>
                <w:b/>
                <w:sz w:val="20"/>
                <w:szCs w:val="20"/>
              </w:rPr>
              <w:t>,</w:t>
            </w:r>
            <w:r w:rsidR="00C404CF">
              <w:rPr>
                <w:b/>
                <w:sz w:val="20"/>
                <w:szCs w:val="20"/>
              </w:rPr>
              <w:t>3</w:t>
            </w:r>
            <w:r w:rsidRPr="00C404CF">
              <w:rPr>
                <w:b/>
                <w:sz w:val="20"/>
                <w:szCs w:val="20"/>
              </w:rPr>
              <w:t>47</w:t>
            </w:r>
          </w:p>
        </w:tc>
      </w:tr>
    </w:tbl>
    <w:p w:rsidR="00EB48C8" w:rsidRDefault="00EB48C8" w:rsidP="00EB48C8">
      <w:pPr>
        <w:autoSpaceDE w:val="0"/>
        <w:autoSpaceDN w:val="0"/>
        <w:adjustRightInd w:val="0"/>
        <w:rPr>
          <w:color w:val="000000"/>
        </w:rPr>
      </w:pPr>
    </w:p>
    <w:p w:rsidR="00EB48C8" w:rsidRDefault="00EB48C8" w:rsidP="00EB48C8">
      <w:pPr>
        <w:autoSpaceDE w:val="0"/>
        <w:autoSpaceDN w:val="0"/>
        <w:adjustRightInd w:val="0"/>
        <w:rPr>
          <w:color w:val="000000"/>
        </w:rPr>
      </w:pPr>
      <w:r w:rsidRPr="00B27735">
        <w:rPr>
          <w:color w:val="000000"/>
        </w:rPr>
        <w:t>This is a</w:t>
      </w:r>
      <w:r>
        <w:rPr>
          <w:color w:val="000000"/>
        </w:rPr>
        <w:t xml:space="preserve">n </w:t>
      </w:r>
      <w:r w:rsidRPr="00B27735">
        <w:rPr>
          <w:color w:val="000000"/>
        </w:rPr>
        <w:t>increase from previous year’s processes</w:t>
      </w:r>
      <w:r>
        <w:rPr>
          <w:color w:val="000000"/>
        </w:rPr>
        <w:t xml:space="preserve"> as the HEARTH statute requires additional reporting requirements.  </w:t>
      </w:r>
      <w:r w:rsidRPr="00B27735">
        <w:rPr>
          <w:color w:val="000000"/>
        </w:rPr>
        <w:t xml:space="preserve"> HUD must collect and assess current CoC Board and Capacity information that has not previously been collected or assessed.</w:t>
      </w:r>
      <w:r w:rsidR="004C4246">
        <w:rPr>
          <w:color w:val="000000"/>
        </w:rPr>
        <w:t xml:space="preserve">  Please note that all fields with 0.02 hours, roughly one minute, simply require a signature.</w:t>
      </w:r>
      <w:r w:rsidR="00C404CF">
        <w:rPr>
          <w:color w:val="000000"/>
        </w:rPr>
        <w:t xml:space="preserve">  Total Hours for HUD-92041 above is 10 minutes – and rounding down is recorded as zero hours in this column.</w:t>
      </w:r>
    </w:p>
    <w:p w:rsidR="00EB48C8" w:rsidRDefault="00EB48C8" w:rsidP="00EB48C8">
      <w:pPr>
        <w:autoSpaceDE w:val="0"/>
        <w:autoSpaceDN w:val="0"/>
        <w:adjustRightInd w:val="0"/>
        <w:rPr>
          <w:color w:val="000000"/>
        </w:rPr>
      </w:pPr>
    </w:p>
    <w:p w:rsidR="00EB48C8" w:rsidRDefault="00EB48C8" w:rsidP="00EB48C8">
      <w:pPr>
        <w:autoSpaceDE w:val="0"/>
        <w:autoSpaceDN w:val="0"/>
        <w:adjustRightInd w:val="0"/>
        <w:rPr>
          <w:color w:val="000000"/>
        </w:rPr>
      </w:pPr>
      <w:r w:rsidRPr="00A31EC2">
        <w:t>Respondents’ average annualized cost: $21 x 314,471= $6,603,891</w:t>
      </w:r>
    </w:p>
    <w:p w:rsidR="00EB48C8" w:rsidRDefault="00EB48C8" w:rsidP="00EB48C8">
      <w:pPr>
        <w:rPr>
          <w:sz w:val="18"/>
        </w:rPr>
      </w:pPr>
    </w:p>
    <w:p w:rsidR="00EB48C8" w:rsidRDefault="00EB48C8" w:rsidP="00EB48C8">
      <w:pPr>
        <w:pStyle w:val="BodyText"/>
      </w:pPr>
      <w:r>
        <w:t>We expect that the number of respondents will remain or decrease slightly from the FY2011 process.  The cost to applicants may increase if the respondent applies as a Unified Funding Agency as this type of proposed applicant will be required to answer additional questions that will verify the capacity ability of the CoC.</w:t>
      </w:r>
    </w:p>
    <w:p w:rsidR="00EB48C8" w:rsidRDefault="00EB48C8" w:rsidP="00EB48C8">
      <w:pPr>
        <w:rPr>
          <w:sz w:val="18"/>
        </w:rPr>
      </w:pPr>
    </w:p>
    <w:p w:rsidR="00EB48C8" w:rsidRPr="000E1981" w:rsidRDefault="00EB48C8" w:rsidP="00EB48C8">
      <w:pPr>
        <w:rPr>
          <w:sz w:val="18"/>
        </w:rPr>
      </w:pPr>
    </w:p>
    <w:p w:rsidR="00EB48C8" w:rsidRDefault="00EB48C8" w:rsidP="00EB48C8">
      <w:pPr>
        <w:pStyle w:val="AbtHeadB"/>
        <w:ind w:left="720" w:hanging="720"/>
      </w:pPr>
      <w:bookmarkStart w:id="58" w:name="_Toc233444289"/>
      <w:bookmarkStart w:id="59" w:name="_Toc311186226"/>
      <w:r>
        <w:t>A13</w:t>
      </w:r>
      <w:r>
        <w:tab/>
        <w:t>Capital Costs</w:t>
      </w:r>
      <w:bookmarkEnd w:id="58"/>
      <w:bookmarkEnd w:id="59"/>
    </w:p>
    <w:p w:rsidR="00EB48C8" w:rsidRDefault="00EB48C8" w:rsidP="00EB48C8">
      <w:pPr>
        <w:tabs>
          <w:tab w:val="left" w:pos="0"/>
        </w:tabs>
        <w:rPr>
          <w:rFonts w:ascii="Arial" w:hAnsi="Arial"/>
          <w:i/>
          <w:color w:val="000000"/>
        </w:rPr>
      </w:pPr>
      <w:r>
        <w:rPr>
          <w:rFonts w:ascii="Arial" w:hAnsi="Arial"/>
          <w:i/>
          <w:color w:val="000000"/>
        </w:rPr>
        <w:t>Estimate the annual capital cost to respondents or record keepers.</w:t>
      </w:r>
    </w:p>
    <w:p w:rsidR="00EB48C8" w:rsidRDefault="00EB48C8" w:rsidP="00EB48C8"/>
    <w:p w:rsidR="00EB48C8" w:rsidRDefault="00EB48C8" w:rsidP="00EB48C8">
      <w:r w:rsidRPr="007172EE">
        <w:t>There are no additional costs to respondents</w:t>
      </w:r>
      <w:r w:rsidRPr="0010088C">
        <w:t>.</w:t>
      </w:r>
    </w:p>
    <w:p w:rsidR="00EB48C8" w:rsidRDefault="00EB48C8" w:rsidP="00EB48C8">
      <w:pPr>
        <w:pStyle w:val="Header"/>
        <w:tabs>
          <w:tab w:val="clear" w:pos="4320"/>
          <w:tab w:val="clear" w:pos="8640"/>
          <w:tab w:val="left" w:pos="720"/>
          <w:tab w:val="left" w:pos="1080"/>
          <w:tab w:val="left" w:pos="1440"/>
        </w:tabs>
      </w:pPr>
    </w:p>
    <w:p w:rsidR="00EB48C8" w:rsidRDefault="00EB48C8" w:rsidP="00EB48C8">
      <w:pPr>
        <w:pStyle w:val="AbtHeadB"/>
        <w:spacing w:after="240"/>
      </w:pPr>
      <w:bookmarkStart w:id="60" w:name="_Toc224972117"/>
      <w:bookmarkStart w:id="61" w:name="_Toc233444290"/>
      <w:bookmarkStart w:id="62" w:name="_Toc311186227"/>
      <w:r>
        <w:t>A14</w:t>
      </w:r>
      <w:r>
        <w:tab/>
        <w:t>Cost to the Federal Government</w:t>
      </w:r>
      <w:bookmarkEnd w:id="60"/>
      <w:bookmarkEnd w:id="61"/>
      <w:bookmarkEnd w:id="62"/>
    </w:p>
    <w:p w:rsidR="00EB48C8" w:rsidRDefault="00EB48C8" w:rsidP="00EB48C8">
      <w:pPr>
        <w:pStyle w:val="BodyText"/>
        <w:spacing w:after="240"/>
        <w:rPr>
          <w:rFonts w:ascii="Arial" w:hAnsi="Arial"/>
          <w:i/>
        </w:rPr>
      </w:pPr>
      <w:r>
        <w:rPr>
          <w:rFonts w:ascii="Arial" w:hAnsi="Arial"/>
          <w:i/>
          <w:color w:val="000000"/>
        </w:rPr>
        <w:t>Estimate annualized costs to the Federal government.</w:t>
      </w:r>
    </w:p>
    <w:p w:rsidR="00EB48C8" w:rsidRDefault="00EB48C8" w:rsidP="00EB48C8">
      <w:pPr>
        <w:pStyle w:val="BodyText"/>
      </w:pPr>
      <w:r>
        <w:t>Estimates of annualized cost to the Federal Government (clerical and professional staff time):</w:t>
      </w:r>
    </w:p>
    <w:tbl>
      <w:tblPr>
        <w:tblStyle w:val="TableGrid"/>
        <w:tblW w:w="8415" w:type="dxa"/>
        <w:tblInd w:w="6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firstRow="1" w:lastRow="0" w:firstColumn="1" w:lastColumn="0" w:noHBand="0" w:noVBand="0"/>
      </w:tblPr>
      <w:tblGrid>
        <w:gridCol w:w="7106"/>
        <w:gridCol w:w="1309"/>
      </w:tblGrid>
      <w:tr w:rsidR="00EB48C8" w:rsidRPr="00BE28A5" w:rsidTr="00163C5C">
        <w:tc>
          <w:tcPr>
            <w:tcW w:w="7106" w:type="dxa"/>
          </w:tcPr>
          <w:p w:rsidR="00EB48C8" w:rsidRPr="00C65985" w:rsidRDefault="00EB48C8" w:rsidP="00163C5C">
            <w:r w:rsidRPr="00C65985">
              <w:t xml:space="preserve">Review each Application ($29 per hr. x </w:t>
            </w:r>
            <w:r>
              <w:t>8</w:t>
            </w:r>
            <w:r w:rsidRPr="00C65985">
              <w:t xml:space="preserve"> hrs. x 10,510)</w:t>
            </w:r>
          </w:p>
        </w:tc>
        <w:tc>
          <w:tcPr>
            <w:tcW w:w="1309" w:type="dxa"/>
          </w:tcPr>
          <w:p w:rsidR="00EB48C8" w:rsidRPr="00C65985" w:rsidRDefault="00EB48C8" w:rsidP="00163C5C">
            <w:pPr>
              <w:jc w:val="right"/>
            </w:pPr>
            <w:r w:rsidRPr="00C65985">
              <w:t>$</w:t>
            </w:r>
            <w:r>
              <w:t>2,438,320</w:t>
            </w:r>
          </w:p>
        </w:tc>
      </w:tr>
      <w:tr w:rsidR="00EB48C8" w:rsidRPr="00BE28A5" w:rsidTr="00163C5C">
        <w:tc>
          <w:tcPr>
            <w:tcW w:w="7106" w:type="dxa"/>
          </w:tcPr>
          <w:p w:rsidR="00EB48C8" w:rsidRPr="00C65985" w:rsidRDefault="00EB48C8" w:rsidP="00163C5C">
            <w:r w:rsidRPr="00C65985">
              <w:t>Notification of applicants ($29 per hr. x .5 hrs. x 3,350)</w:t>
            </w:r>
          </w:p>
        </w:tc>
        <w:tc>
          <w:tcPr>
            <w:tcW w:w="1309" w:type="dxa"/>
            <w:tcBorders>
              <w:bottom w:val="single" w:sz="4" w:space="0" w:color="auto"/>
            </w:tcBorders>
          </w:tcPr>
          <w:p w:rsidR="00EB48C8" w:rsidRPr="00C65985" w:rsidRDefault="00EB48C8" w:rsidP="007A7A61">
            <w:pPr>
              <w:jc w:val="right"/>
            </w:pPr>
            <w:r w:rsidRPr="00C65985">
              <w:t>$4</w:t>
            </w:r>
            <w:r w:rsidR="007A7A61">
              <w:t>8</w:t>
            </w:r>
            <w:r w:rsidRPr="00C65985">
              <w:t>,575</w:t>
            </w:r>
          </w:p>
        </w:tc>
      </w:tr>
      <w:tr w:rsidR="00EB48C8" w:rsidRPr="00BE28A5" w:rsidTr="00163C5C">
        <w:tc>
          <w:tcPr>
            <w:tcW w:w="7106" w:type="dxa"/>
          </w:tcPr>
          <w:p w:rsidR="00EB48C8" w:rsidRPr="00C65985" w:rsidRDefault="00EB48C8" w:rsidP="00163C5C">
            <w:pPr>
              <w:ind w:firstLine="748"/>
            </w:pPr>
            <w:r w:rsidRPr="00C65985">
              <w:lastRenderedPageBreak/>
              <w:t>Total</w:t>
            </w:r>
          </w:p>
        </w:tc>
        <w:tc>
          <w:tcPr>
            <w:tcW w:w="1309" w:type="dxa"/>
            <w:tcBorders>
              <w:top w:val="single" w:sz="4" w:space="0" w:color="auto"/>
              <w:bottom w:val="single" w:sz="4" w:space="0" w:color="auto"/>
            </w:tcBorders>
          </w:tcPr>
          <w:p w:rsidR="00EB48C8" w:rsidRPr="00C65985" w:rsidRDefault="00EB48C8" w:rsidP="00163C5C">
            <w:pPr>
              <w:jc w:val="right"/>
            </w:pPr>
            <w:r w:rsidRPr="00C65985">
              <w:t>$</w:t>
            </w:r>
            <w:r w:rsidR="007A7A61" w:rsidRPr="007A7A61">
              <w:t>2486895</w:t>
            </w:r>
          </w:p>
        </w:tc>
      </w:tr>
    </w:tbl>
    <w:p w:rsidR="00EB48C8" w:rsidRDefault="00EB48C8" w:rsidP="00EB48C8">
      <w:pPr>
        <w:pStyle w:val="BodyText"/>
        <w:jc w:val="center"/>
      </w:pPr>
      <w:r>
        <w:t xml:space="preserve">*this figure is based on a GS-12 salary </w:t>
      </w:r>
    </w:p>
    <w:p w:rsidR="00EB48C8" w:rsidRDefault="00EB48C8" w:rsidP="00EB48C8"/>
    <w:p w:rsidR="00EB48C8" w:rsidRDefault="00EB48C8" w:rsidP="00EB48C8">
      <w:pPr>
        <w:pStyle w:val="AbtHeadB"/>
      </w:pPr>
      <w:bookmarkStart w:id="63" w:name="_Toc224972118"/>
      <w:bookmarkStart w:id="64" w:name="_Toc233444291"/>
      <w:bookmarkStart w:id="65" w:name="_Toc311186228"/>
      <w:r>
        <w:t>A15</w:t>
      </w:r>
      <w:r>
        <w:tab/>
        <w:t>Program or Burden Changes</w:t>
      </w:r>
      <w:bookmarkEnd w:id="63"/>
      <w:bookmarkEnd w:id="64"/>
      <w:bookmarkEnd w:id="65"/>
    </w:p>
    <w:p w:rsidR="00EB48C8" w:rsidRDefault="00EB48C8" w:rsidP="00EB48C8">
      <w:pPr>
        <w:keepLines/>
        <w:tabs>
          <w:tab w:val="left" w:pos="0"/>
        </w:tabs>
        <w:spacing w:after="80"/>
        <w:rPr>
          <w:rFonts w:ascii="Arial" w:hAnsi="Arial"/>
          <w:i/>
          <w:color w:val="000000"/>
        </w:rPr>
      </w:pPr>
      <w:r>
        <w:rPr>
          <w:rFonts w:ascii="Arial" w:hAnsi="Arial"/>
          <w:i/>
          <w:color w:val="000000"/>
        </w:rPr>
        <w:t xml:space="preserve">Explain any program changes or adjustments in burden. </w:t>
      </w:r>
    </w:p>
    <w:p w:rsidR="00EB48C8" w:rsidRDefault="00EB48C8" w:rsidP="00EB48C8">
      <w:pPr>
        <w:rPr>
          <w:spacing w:val="-2"/>
        </w:rPr>
      </w:pPr>
    </w:p>
    <w:p w:rsidR="00EB48C8" w:rsidRDefault="00EB48C8" w:rsidP="00EB48C8">
      <w:r w:rsidRPr="007172EE">
        <w:t>The collection of information will incorporate new data elements</w:t>
      </w:r>
      <w:r>
        <w:t xml:space="preserve"> reflective of the changes brought by the HEARTH Act</w:t>
      </w:r>
      <w:r w:rsidRPr="007172EE">
        <w:t xml:space="preserve">.  The burden hours per respondent were </w:t>
      </w:r>
      <w:r>
        <w:t>increased because of statutorily requirements as found in Section 427 of the statute such as:  1) the recipients previous performance regarding homelessness related to funds provided and measured by criteria that is announced by the Secretary that take into account barriers faced by homeless persons; 2) the recipients plan to reduce homelessness in the community and reducing the length of time in homelessness; 3) the methodology the recipient used to determine priority of funding local projects; 4) the extent to which the amount of assistance to be provided will be supplemented with resources from other public and provide sources; and 5) demonstrated coordination by the recipient with other Federal, State, local, private, and entities serving individuals and families experiencing homelessness</w:t>
      </w:r>
    </w:p>
    <w:p w:rsidR="00EB48C8" w:rsidRDefault="00EB48C8" w:rsidP="00EB48C8"/>
    <w:p w:rsidR="00EB48C8" w:rsidRDefault="00EB48C8" w:rsidP="00EB48C8">
      <w:pPr>
        <w:pStyle w:val="AbtHeadB"/>
      </w:pPr>
      <w:bookmarkStart w:id="66" w:name="_Toc224972119"/>
      <w:bookmarkStart w:id="67" w:name="_Toc233444292"/>
      <w:bookmarkStart w:id="68" w:name="_Toc311186229"/>
      <w:r>
        <w:t>A16</w:t>
      </w:r>
      <w:r>
        <w:tab/>
        <w:t>Publication and Tabulation Dates</w:t>
      </w:r>
      <w:bookmarkEnd w:id="66"/>
      <w:bookmarkEnd w:id="67"/>
      <w:bookmarkEnd w:id="68"/>
    </w:p>
    <w:p w:rsidR="00EB48C8" w:rsidRPr="00E9087D" w:rsidRDefault="00EB48C8" w:rsidP="00EB48C8">
      <w:pPr>
        <w:pStyle w:val="AbtHeadC"/>
        <w:rPr>
          <w:b w:val="0"/>
          <w:i/>
          <w:sz w:val="22"/>
        </w:rPr>
      </w:pPr>
      <w:bookmarkStart w:id="69" w:name="_Toc224972120"/>
      <w:bookmarkStart w:id="70" w:name="_Toc310931668"/>
      <w:bookmarkStart w:id="71" w:name="_Toc310937529"/>
      <w:bookmarkStart w:id="72" w:name="_Toc311186230"/>
      <w:r w:rsidRPr="00E9087D">
        <w:rPr>
          <w:b w:val="0"/>
          <w:i/>
          <w:color w:val="000000"/>
          <w:sz w:val="22"/>
        </w:rPr>
        <w:t>If the information will be published, outline plans for tabulation and publication</w:t>
      </w:r>
      <w:bookmarkEnd w:id="69"/>
      <w:r w:rsidRPr="00E9087D">
        <w:rPr>
          <w:b w:val="0"/>
          <w:i/>
          <w:color w:val="000000"/>
          <w:sz w:val="22"/>
        </w:rPr>
        <w:t>.</w:t>
      </w:r>
      <w:bookmarkEnd w:id="70"/>
      <w:bookmarkEnd w:id="71"/>
      <w:bookmarkEnd w:id="72"/>
    </w:p>
    <w:p w:rsidR="00EB48C8" w:rsidRPr="00E9087D" w:rsidRDefault="00EB48C8" w:rsidP="00EB48C8">
      <w:r w:rsidRPr="007172EE">
        <w:t>The results of this collection of information will not be published for statistical use</w:t>
      </w:r>
      <w:r>
        <w:t>.</w:t>
      </w:r>
    </w:p>
    <w:p w:rsidR="00EB48C8" w:rsidRDefault="00EB48C8" w:rsidP="00EB48C8">
      <w:pPr>
        <w:rPr>
          <w:highlight w:val="yellow"/>
        </w:rPr>
      </w:pPr>
    </w:p>
    <w:p w:rsidR="00EB48C8" w:rsidRDefault="00EB48C8" w:rsidP="00EB48C8">
      <w:pPr>
        <w:rPr>
          <w:rFonts w:ascii="Arial" w:hAnsi="Arial"/>
          <w:b/>
        </w:rPr>
      </w:pPr>
    </w:p>
    <w:p w:rsidR="00EB48C8" w:rsidRDefault="00EB48C8" w:rsidP="00EB48C8">
      <w:pPr>
        <w:pStyle w:val="AbtHeadBOutlined"/>
        <w:tabs>
          <w:tab w:val="clear" w:pos="720"/>
        </w:tabs>
        <w:ind w:left="0" w:firstLine="0"/>
      </w:pPr>
      <w:bookmarkStart w:id="73" w:name="_Toc224972122"/>
      <w:bookmarkStart w:id="74" w:name="_Toc233444293"/>
      <w:bookmarkStart w:id="75" w:name="_Toc311186231"/>
      <w:r>
        <w:t>A17</w:t>
      </w:r>
      <w:r>
        <w:tab/>
        <w:t>Expiration Date</w:t>
      </w:r>
      <w:bookmarkEnd w:id="73"/>
      <w:bookmarkEnd w:id="74"/>
      <w:bookmarkEnd w:id="75"/>
    </w:p>
    <w:p w:rsidR="00EB48C8" w:rsidRDefault="00EB48C8" w:rsidP="00EB48C8">
      <w:pPr>
        <w:keepLines/>
        <w:tabs>
          <w:tab w:val="left" w:pos="0"/>
        </w:tabs>
        <w:rPr>
          <w:rFonts w:ascii="Arial" w:hAnsi="Arial"/>
          <w:i/>
          <w:color w:val="000000"/>
        </w:rPr>
      </w:pPr>
      <w:r>
        <w:rPr>
          <w:rFonts w:ascii="Arial" w:hAnsi="Arial"/>
          <w:i/>
          <w:color w:val="000000"/>
        </w:rPr>
        <w:t xml:space="preserve">Explain any request to not display the expiration date. </w:t>
      </w:r>
    </w:p>
    <w:p w:rsidR="00EB48C8" w:rsidRDefault="00EB48C8" w:rsidP="00EB48C8">
      <w:pPr>
        <w:pStyle w:val="BodyTextIndent"/>
        <w:ind w:left="0"/>
      </w:pPr>
    </w:p>
    <w:p w:rsidR="00EB48C8" w:rsidRDefault="00EB48C8" w:rsidP="00EB48C8">
      <w:pPr>
        <w:pStyle w:val="BodyTextIndent"/>
        <w:ind w:left="0"/>
      </w:pPr>
      <w:r w:rsidRPr="007172EE">
        <w:t>No approval is sought to not display the expiration date for OMB approval of information collection</w:t>
      </w:r>
      <w:r w:rsidRPr="00E9087D">
        <w:t>.</w:t>
      </w:r>
    </w:p>
    <w:p w:rsidR="00EB48C8" w:rsidRDefault="00EB48C8" w:rsidP="00EB48C8">
      <w:pPr>
        <w:ind w:left="360"/>
      </w:pPr>
    </w:p>
    <w:p w:rsidR="00EB48C8" w:rsidRDefault="00EB48C8" w:rsidP="00EB48C8">
      <w:pPr>
        <w:pStyle w:val="AbtHeadBOutlined"/>
        <w:tabs>
          <w:tab w:val="clear" w:pos="720"/>
        </w:tabs>
        <w:ind w:left="0" w:firstLine="0"/>
      </w:pPr>
      <w:bookmarkStart w:id="76" w:name="_Toc224972123"/>
      <w:bookmarkStart w:id="77" w:name="_Toc233444294"/>
      <w:bookmarkStart w:id="78" w:name="_Toc311186232"/>
      <w:r>
        <w:t>A18</w:t>
      </w:r>
      <w:r>
        <w:tab/>
        <w:t>Certification Statement</w:t>
      </w:r>
      <w:bookmarkEnd w:id="76"/>
      <w:bookmarkEnd w:id="77"/>
      <w:bookmarkEnd w:id="78"/>
    </w:p>
    <w:p w:rsidR="00EB48C8" w:rsidRDefault="00EB48C8" w:rsidP="00EB48C8">
      <w:pPr>
        <w:keepLines/>
        <w:tabs>
          <w:tab w:val="left" w:pos="360"/>
        </w:tabs>
        <w:spacing w:after="80"/>
        <w:ind w:left="360" w:hanging="360"/>
        <w:rPr>
          <w:rFonts w:ascii="Arial" w:hAnsi="Arial"/>
          <w:i/>
          <w:color w:val="000000"/>
        </w:rPr>
      </w:pPr>
      <w:r>
        <w:rPr>
          <w:rFonts w:ascii="Arial" w:hAnsi="Arial"/>
          <w:i/>
          <w:color w:val="000000"/>
        </w:rPr>
        <w:t>Explain each exception to the certification statement identified in item 19.</w:t>
      </w:r>
    </w:p>
    <w:p w:rsidR="00EB48C8" w:rsidRDefault="00EB48C8" w:rsidP="00EB48C8">
      <w:pPr>
        <w:pStyle w:val="BodyText"/>
      </w:pPr>
    </w:p>
    <w:p w:rsidR="00EB48C8" w:rsidRDefault="00EB48C8" w:rsidP="00EB48C8">
      <w:pPr>
        <w:pStyle w:val="BodyTextIndent"/>
        <w:ind w:left="0"/>
      </w:pPr>
      <w:r w:rsidRPr="007172EE">
        <w:t>No exceptions</w:t>
      </w:r>
      <w:r w:rsidRPr="00E9087D">
        <w:t>.</w:t>
      </w:r>
    </w:p>
    <w:p w:rsidR="00E455A0" w:rsidRDefault="00E455A0"/>
    <w:sectPr w:rsidR="00E455A0" w:rsidSect="00E455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48C8"/>
    <w:rsid w:val="00042E91"/>
    <w:rsid w:val="00123B02"/>
    <w:rsid w:val="00163C5C"/>
    <w:rsid w:val="0020419D"/>
    <w:rsid w:val="002A2089"/>
    <w:rsid w:val="0030382F"/>
    <w:rsid w:val="003B296C"/>
    <w:rsid w:val="004631C7"/>
    <w:rsid w:val="004C4246"/>
    <w:rsid w:val="00514D76"/>
    <w:rsid w:val="005F060F"/>
    <w:rsid w:val="007A7A61"/>
    <w:rsid w:val="007D786C"/>
    <w:rsid w:val="007F2C8B"/>
    <w:rsid w:val="0081331F"/>
    <w:rsid w:val="0084544A"/>
    <w:rsid w:val="00855847"/>
    <w:rsid w:val="009D6767"/>
    <w:rsid w:val="00A703FA"/>
    <w:rsid w:val="00A7580D"/>
    <w:rsid w:val="00AF1765"/>
    <w:rsid w:val="00B91589"/>
    <w:rsid w:val="00BD56CD"/>
    <w:rsid w:val="00C404CF"/>
    <w:rsid w:val="00C90AFB"/>
    <w:rsid w:val="00CA4820"/>
    <w:rsid w:val="00E25654"/>
    <w:rsid w:val="00E455A0"/>
    <w:rsid w:val="00E70269"/>
    <w:rsid w:val="00EB48C8"/>
    <w:rsid w:val="00F342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8C8"/>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EB48C8"/>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EB48C8"/>
    <w:pPr>
      <w:spacing w:after="120"/>
    </w:pPr>
  </w:style>
  <w:style w:type="character" w:customStyle="1" w:styleId="BodyTextChar">
    <w:name w:val="Body Text Char"/>
    <w:basedOn w:val="DefaultParagraphFont"/>
    <w:link w:val="BodyText"/>
    <w:rsid w:val="00EB48C8"/>
    <w:rPr>
      <w:rFonts w:ascii="Times New Roman" w:eastAsia="Times New Roman" w:hAnsi="Times New Roman" w:cs="Times New Roman"/>
      <w:sz w:val="24"/>
      <w:szCs w:val="24"/>
    </w:rPr>
  </w:style>
  <w:style w:type="paragraph" w:customStyle="1" w:styleId="AbtHeadB">
    <w:name w:val="AbtHead B"/>
    <w:basedOn w:val="Normal"/>
    <w:next w:val="BodyText"/>
    <w:rsid w:val="00EB48C8"/>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customStyle="1" w:styleId="AbtHeadC">
    <w:name w:val="AbtHead C"/>
    <w:basedOn w:val="Normal"/>
    <w:next w:val="BodyText"/>
    <w:rsid w:val="00EB48C8"/>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styleId="Header">
    <w:name w:val="header"/>
    <w:basedOn w:val="Normal"/>
    <w:link w:val="HeaderChar"/>
    <w:uiPriority w:val="99"/>
    <w:rsid w:val="00EB48C8"/>
    <w:pPr>
      <w:tabs>
        <w:tab w:val="left" w:pos="1800"/>
        <w:tab w:val="center" w:pos="4320"/>
        <w:tab w:val="right" w:pos="8640"/>
      </w:tabs>
      <w:spacing w:line="264" w:lineRule="auto"/>
    </w:pPr>
    <w:rPr>
      <w:szCs w:val="20"/>
    </w:rPr>
  </w:style>
  <w:style w:type="character" w:customStyle="1" w:styleId="HeaderChar">
    <w:name w:val="Header Char"/>
    <w:basedOn w:val="DefaultParagraphFont"/>
    <w:link w:val="Header"/>
    <w:uiPriority w:val="99"/>
    <w:rsid w:val="00EB48C8"/>
    <w:rPr>
      <w:rFonts w:ascii="Times New Roman" w:eastAsia="Times New Roman" w:hAnsi="Times New Roman" w:cs="Times New Roman"/>
      <w:sz w:val="24"/>
      <w:szCs w:val="20"/>
    </w:rPr>
  </w:style>
  <w:style w:type="paragraph" w:styleId="BodyTextIndent">
    <w:name w:val="Body Text Indent"/>
    <w:basedOn w:val="Normal"/>
    <w:link w:val="BodyTextIndentChar"/>
    <w:rsid w:val="00EB48C8"/>
    <w:pPr>
      <w:spacing w:after="120"/>
      <w:ind w:left="360"/>
    </w:pPr>
  </w:style>
  <w:style w:type="character" w:customStyle="1" w:styleId="BodyTextIndentChar">
    <w:name w:val="Body Text Indent Char"/>
    <w:basedOn w:val="DefaultParagraphFont"/>
    <w:link w:val="BodyTextIndent"/>
    <w:rsid w:val="00EB48C8"/>
    <w:rPr>
      <w:rFonts w:ascii="Times New Roman" w:eastAsia="Times New Roman" w:hAnsi="Times New Roman" w:cs="Times New Roman"/>
      <w:sz w:val="24"/>
      <w:szCs w:val="24"/>
    </w:rPr>
  </w:style>
  <w:style w:type="paragraph" w:customStyle="1" w:styleId="AbtHeadBOutlined">
    <w:name w:val="AbtHead B Outlined"/>
    <w:basedOn w:val="AbtHeadB"/>
    <w:next w:val="BodyText"/>
    <w:rsid w:val="00EB48C8"/>
    <w:pPr>
      <w:tabs>
        <w:tab w:val="num" w:pos="720"/>
      </w:tabs>
      <w:ind w:left="720" w:hanging="720"/>
    </w:pPr>
  </w:style>
  <w:style w:type="paragraph" w:styleId="NormalWeb">
    <w:name w:val="Normal (Web)"/>
    <w:basedOn w:val="Normal"/>
    <w:rsid w:val="00EB48C8"/>
    <w:pPr>
      <w:spacing w:before="100" w:beforeAutospacing="1" w:after="100" w:afterAutospacing="1"/>
    </w:pPr>
  </w:style>
  <w:style w:type="table" w:styleId="TableGrid">
    <w:name w:val="Table Grid"/>
    <w:basedOn w:val="TableNormal"/>
    <w:rsid w:val="00EB48C8"/>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14D76"/>
    <w:rPr>
      <w:sz w:val="16"/>
      <w:szCs w:val="16"/>
    </w:rPr>
  </w:style>
  <w:style w:type="paragraph" w:styleId="CommentText">
    <w:name w:val="annotation text"/>
    <w:basedOn w:val="Normal"/>
    <w:link w:val="CommentTextChar"/>
    <w:uiPriority w:val="99"/>
    <w:semiHidden/>
    <w:unhideWhenUsed/>
    <w:rsid w:val="00514D76"/>
    <w:rPr>
      <w:sz w:val="20"/>
      <w:szCs w:val="20"/>
    </w:rPr>
  </w:style>
  <w:style w:type="character" w:customStyle="1" w:styleId="CommentTextChar">
    <w:name w:val="Comment Text Char"/>
    <w:basedOn w:val="DefaultParagraphFont"/>
    <w:link w:val="CommentText"/>
    <w:uiPriority w:val="99"/>
    <w:semiHidden/>
    <w:rsid w:val="00514D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D76"/>
    <w:rPr>
      <w:b/>
      <w:bCs/>
    </w:rPr>
  </w:style>
  <w:style w:type="character" w:customStyle="1" w:styleId="CommentSubjectChar">
    <w:name w:val="Comment Subject Char"/>
    <w:basedOn w:val="CommentTextChar"/>
    <w:link w:val="CommentSubject"/>
    <w:uiPriority w:val="99"/>
    <w:semiHidden/>
    <w:rsid w:val="00514D7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4D76"/>
    <w:rPr>
      <w:rFonts w:ascii="Tahoma" w:hAnsi="Tahoma" w:cs="Tahoma"/>
      <w:sz w:val="16"/>
      <w:szCs w:val="16"/>
    </w:rPr>
  </w:style>
  <w:style w:type="character" w:customStyle="1" w:styleId="BalloonTextChar">
    <w:name w:val="Balloon Text Char"/>
    <w:basedOn w:val="DefaultParagraphFont"/>
    <w:link w:val="BalloonText"/>
    <w:uiPriority w:val="99"/>
    <w:semiHidden/>
    <w:rsid w:val="00514D76"/>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8C8"/>
    <w:pPr>
      <w:spacing w:after="0"/>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btHeadA">
    <w:name w:val="AbtHead A"/>
    <w:basedOn w:val="Normal"/>
    <w:next w:val="BodyText"/>
    <w:rsid w:val="00EB48C8"/>
    <w:pPr>
      <w:keepNext/>
      <w:keepLines/>
      <w:tabs>
        <w:tab w:val="left" w:pos="720"/>
        <w:tab w:val="left" w:pos="1080"/>
        <w:tab w:val="left" w:pos="1440"/>
        <w:tab w:val="left" w:pos="1800"/>
      </w:tabs>
      <w:spacing w:after="360" w:line="264" w:lineRule="auto"/>
      <w:outlineLvl w:val="0"/>
    </w:pPr>
    <w:rPr>
      <w:rFonts w:ascii="Arial" w:hAnsi="Arial"/>
      <w:b/>
      <w:sz w:val="36"/>
      <w:szCs w:val="20"/>
    </w:rPr>
  </w:style>
  <w:style w:type="paragraph" w:styleId="BodyText">
    <w:name w:val="Body Text"/>
    <w:basedOn w:val="Normal"/>
    <w:link w:val="BodyTextChar"/>
    <w:rsid w:val="00EB48C8"/>
    <w:pPr>
      <w:spacing w:after="120"/>
    </w:pPr>
  </w:style>
  <w:style w:type="character" w:customStyle="1" w:styleId="BodyTextChar">
    <w:name w:val="Body Text Char"/>
    <w:basedOn w:val="DefaultParagraphFont"/>
    <w:link w:val="BodyText"/>
    <w:rsid w:val="00EB48C8"/>
    <w:rPr>
      <w:rFonts w:ascii="Times New Roman" w:eastAsia="Times New Roman" w:hAnsi="Times New Roman" w:cs="Times New Roman"/>
      <w:sz w:val="24"/>
      <w:szCs w:val="24"/>
    </w:rPr>
  </w:style>
  <w:style w:type="paragraph" w:customStyle="1" w:styleId="AbtHeadB">
    <w:name w:val="AbtHead B"/>
    <w:basedOn w:val="Normal"/>
    <w:next w:val="BodyText"/>
    <w:rsid w:val="00EB48C8"/>
    <w:pPr>
      <w:keepNext/>
      <w:keepLines/>
      <w:tabs>
        <w:tab w:val="left" w:pos="720"/>
        <w:tab w:val="left" w:pos="1080"/>
        <w:tab w:val="left" w:pos="1440"/>
        <w:tab w:val="left" w:pos="1800"/>
      </w:tabs>
      <w:spacing w:after="280" w:line="264" w:lineRule="auto"/>
      <w:outlineLvl w:val="1"/>
    </w:pPr>
    <w:rPr>
      <w:rFonts w:ascii="Arial" w:hAnsi="Arial"/>
      <w:b/>
      <w:sz w:val="28"/>
      <w:szCs w:val="20"/>
    </w:rPr>
  </w:style>
  <w:style w:type="paragraph" w:customStyle="1" w:styleId="AbtHeadC">
    <w:name w:val="AbtHead C"/>
    <w:basedOn w:val="Normal"/>
    <w:next w:val="BodyText"/>
    <w:rsid w:val="00EB48C8"/>
    <w:pPr>
      <w:keepNext/>
      <w:keepLines/>
      <w:tabs>
        <w:tab w:val="left" w:pos="720"/>
        <w:tab w:val="left" w:pos="1080"/>
        <w:tab w:val="left" w:pos="1440"/>
        <w:tab w:val="left" w:pos="1800"/>
      </w:tabs>
      <w:spacing w:after="240" w:line="264" w:lineRule="auto"/>
      <w:outlineLvl w:val="2"/>
    </w:pPr>
    <w:rPr>
      <w:rFonts w:ascii="Arial" w:hAnsi="Arial"/>
      <w:b/>
      <w:sz w:val="20"/>
      <w:szCs w:val="20"/>
    </w:rPr>
  </w:style>
  <w:style w:type="paragraph" w:styleId="Header">
    <w:name w:val="header"/>
    <w:basedOn w:val="Normal"/>
    <w:link w:val="HeaderChar"/>
    <w:uiPriority w:val="99"/>
    <w:rsid w:val="00EB48C8"/>
    <w:pPr>
      <w:tabs>
        <w:tab w:val="left" w:pos="1800"/>
        <w:tab w:val="center" w:pos="4320"/>
        <w:tab w:val="right" w:pos="8640"/>
      </w:tabs>
      <w:spacing w:line="264" w:lineRule="auto"/>
    </w:pPr>
    <w:rPr>
      <w:szCs w:val="20"/>
    </w:rPr>
  </w:style>
  <w:style w:type="character" w:customStyle="1" w:styleId="HeaderChar">
    <w:name w:val="Header Char"/>
    <w:basedOn w:val="DefaultParagraphFont"/>
    <w:link w:val="Header"/>
    <w:uiPriority w:val="99"/>
    <w:rsid w:val="00EB48C8"/>
    <w:rPr>
      <w:rFonts w:ascii="Times New Roman" w:eastAsia="Times New Roman" w:hAnsi="Times New Roman" w:cs="Times New Roman"/>
      <w:sz w:val="24"/>
      <w:szCs w:val="20"/>
    </w:rPr>
  </w:style>
  <w:style w:type="paragraph" w:styleId="BodyTextIndent">
    <w:name w:val="Body Text Indent"/>
    <w:basedOn w:val="Normal"/>
    <w:link w:val="BodyTextIndentChar"/>
    <w:rsid w:val="00EB48C8"/>
    <w:pPr>
      <w:spacing w:after="120"/>
      <w:ind w:left="360"/>
    </w:pPr>
  </w:style>
  <w:style w:type="character" w:customStyle="1" w:styleId="BodyTextIndentChar">
    <w:name w:val="Body Text Indent Char"/>
    <w:basedOn w:val="DefaultParagraphFont"/>
    <w:link w:val="BodyTextIndent"/>
    <w:rsid w:val="00EB48C8"/>
    <w:rPr>
      <w:rFonts w:ascii="Times New Roman" w:eastAsia="Times New Roman" w:hAnsi="Times New Roman" w:cs="Times New Roman"/>
      <w:sz w:val="24"/>
      <w:szCs w:val="24"/>
    </w:rPr>
  </w:style>
  <w:style w:type="paragraph" w:customStyle="1" w:styleId="AbtHeadBOutlined">
    <w:name w:val="AbtHead B Outlined"/>
    <w:basedOn w:val="AbtHeadB"/>
    <w:next w:val="BodyText"/>
    <w:rsid w:val="00EB48C8"/>
    <w:pPr>
      <w:tabs>
        <w:tab w:val="num" w:pos="720"/>
      </w:tabs>
      <w:ind w:left="720" w:hanging="720"/>
    </w:pPr>
  </w:style>
  <w:style w:type="paragraph" w:styleId="NormalWeb">
    <w:name w:val="Normal (Web)"/>
    <w:basedOn w:val="Normal"/>
    <w:rsid w:val="00EB48C8"/>
    <w:pPr>
      <w:spacing w:before="100" w:beforeAutospacing="1" w:after="100" w:afterAutospacing="1"/>
    </w:pPr>
  </w:style>
  <w:style w:type="table" w:styleId="TableGrid">
    <w:name w:val="Table Grid"/>
    <w:basedOn w:val="TableNormal"/>
    <w:rsid w:val="00EB48C8"/>
    <w:pPr>
      <w:spacing w:after="0"/>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514D76"/>
    <w:rPr>
      <w:sz w:val="16"/>
      <w:szCs w:val="16"/>
    </w:rPr>
  </w:style>
  <w:style w:type="paragraph" w:styleId="CommentText">
    <w:name w:val="annotation text"/>
    <w:basedOn w:val="Normal"/>
    <w:link w:val="CommentTextChar"/>
    <w:uiPriority w:val="99"/>
    <w:semiHidden/>
    <w:unhideWhenUsed/>
    <w:rsid w:val="00514D76"/>
    <w:rPr>
      <w:sz w:val="20"/>
      <w:szCs w:val="20"/>
    </w:rPr>
  </w:style>
  <w:style w:type="character" w:customStyle="1" w:styleId="CommentTextChar">
    <w:name w:val="Comment Text Char"/>
    <w:basedOn w:val="DefaultParagraphFont"/>
    <w:link w:val="CommentText"/>
    <w:uiPriority w:val="99"/>
    <w:semiHidden/>
    <w:rsid w:val="00514D76"/>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14D76"/>
    <w:rPr>
      <w:b/>
      <w:bCs/>
    </w:rPr>
  </w:style>
  <w:style w:type="character" w:customStyle="1" w:styleId="CommentSubjectChar">
    <w:name w:val="Comment Subject Char"/>
    <w:basedOn w:val="CommentTextChar"/>
    <w:link w:val="CommentSubject"/>
    <w:uiPriority w:val="99"/>
    <w:semiHidden/>
    <w:rsid w:val="00514D76"/>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514D76"/>
    <w:rPr>
      <w:rFonts w:ascii="Tahoma" w:hAnsi="Tahoma" w:cs="Tahoma"/>
      <w:sz w:val="16"/>
      <w:szCs w:val="16"/>
    </w:rPr>
  </w:style>
  <w:style w:type="character" w:customStyle="1" w:styleId="BalloonTextChar">
    <w:name w:val="Balloon Text Char"/>
    <w:basedOn w:val="DefaultParagraphFont"/>
    <w:link w:val="BalloonText"/>
    <w:uiPriority w:val="99"/>
    <w:semiHidden/>
    <w:rsid w:val="00514D76"/>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1956</Words>
  <Characters>11151</Characters>
  <Application>Microsoft Office Word</Application>
  <DocSecurity>4</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13081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2012-11-08T22:00:00Z</dcterms:created>
  <dcterms:modified xsi:type="dcterms:W3CDTF">2012-11-08T22:00:00Z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1524002773</vt:i4>
  </property>
  <property fmtid="{D5CDD505-2E9C-101B-9397-08002B2CF9AE}" pid="3" name="_NewReviewCycle">
    <vt:lpwstr/>
  </property>
  <property fmtid="{D5CDD505-2E9C-101B-9397-08002B2CF9AE}" pid="4" name="_PreviousAdHocReviewCycleID">
    <vt:i4>47799385</vt:i4>
  </property>
  <property fmtid="{D5CDD505-2E9C-101B-9397-08002B2CF9AE}" pid="5" name="_ReviewingToolsShownOnce">
    <vt:lpwstr/>
  </property>
</Properties>
</file>