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13" w:rsidRDefault="00B867DD" w:rsidP="00693613">
      <w:pPr>
        <w:pStyle w:val="AbtHeadA"/>
        <w:spacing w:after="240"/>
      </w:pPr>
      <w:bookmarkStart w:id="0" w:name="_Toc311186204"/>
      <w:bookmarkStart w:id="1" w:name="_GoBack"/>
      <w:bookmarkEnd w:id="1"/>
      <w:r>
        <w:tab/>
      </w:r>
      <w:r w:rsidR="00693613">
        <w:t xml:space="preserve">Part </w:t>
      </w:r>
      <w:proofErr w:type="gramStart"/>
      <w:r w:rsidR="00693613">
        <w:t>A</w:t>
      </w:r>
      <w:proofErr w:type="gramEnd"/>
      <w:r w:rsidR="00693613">
        <w:t xml:space="preserve"> Justification</w:t>
      </w:r>
      <w:bookmarkEnd w:id="0"/>
    </w:p>
    <w:p w:rsidR="00693613" w:rsidRPr="000B7D63" w:rsidRDefault="00693613" w:rsidP="00693613">
      <w:pPr>
        <w:pStyle w:val="AbtHeadB"/>
        <w:spacing w:after="240"/>
        <w:rPr>
          <w:rFonts w:cs="Arial"/>
          <w:szCs w:val="24"/>
        </w:rPr>
      </w:pPr>
      <w:bookmarkStart w:id="2" w:name="_Toc311186205"/>
      <w:bookmarkStart w:id="3" w:name="_Toc224972096"/>
      <w:bookmarkStart w:id="4" w:name="_Toc233444276"/>
      <w:r w:rsidRPr="000B7D63">
        <w:rPr>
          <w:rFonts w:cs="Arial"/>
        </w:rPr>
        <w:t>Introduction</w:t>
      </w:r>
      <w:bookmarkEnd w:id="2"/>
    </w:p>
    <w:p w:rsidR="00693613" w:rsidRDefault="00693613" w:rsidP="00693613">
      <w:pPr>
        <w:pStyle w:val="AbtHeadB"/>
        <w:spacing w:after="240"/>
        <w:rPr>
          <w:rFonts w:ascii="Times New Roman" w:hAnsi="Times New Roman"/>
          <w:b w:val="0"/>
          <w:sz w:val="24"/>
          <w:szCs w:val="24"/>
        </w:rPr>
      </w:pPr>
      <w:bookmarkStart w:id="5" w:name="_Toc310931645"/>
      <w:bookmarkStart w:id="6" w:name="_Toc310937506"/>
      <w:bookmarkStart w:id="7" w:name="_Toc311186206"/>
      <w:r w:rsidRPr="00D07ED0">
        <w:rPr>
          <w:rFonts w:ascii="Times New Roman" w:hAnsi="Times New Roman"/>
          <w:b w:val="0"/>
          <w:sz w:val="24"/>
          <w:szCs w:val="24"/>
        </w:rPr>
        <w:t>On May 20, 2009, Congress passed the Homeless Emergency Assistance and Rapid Transition to Housing Act of 2009 (HEARTH Act).</w:t>
      </w:r>
      <w:bookmarkEnd w:id="5"/>
      <w:bookmarkEnd w:id="6"/>
      <w:r>
        <w:rPr>
          <w:rFonts w:ascii="Times New Roman" w:hAnsi="Times New Roman"/>
          <w:b w:val="0"/>
          <w:sz w:val="24"/>
          <w:szCs w:val="24"/>
        </w:rPr>
        <w:t xml:space="preserve"> The legislation included a new Continuum of Care (CoC) Program that combines the existing Supportive Housing Program (SHP), Shelter Plus Care (S+C), and Single Room Occupancy (SRO) grants and formalized the existing CoC framework for grant application, scoring, and reporting.  This PRA justification covers the requirements for registering a local or state CoC for the new combined CoC program, according the CoC Program interim rule </w:t>
      </w:r>
      <w:r w:rsidRPr="00081099">
        <w:rPr>
          <w:rFonts w:ascii="Times New Roman" w:hAnsi="Times New Roman"/>
          <w:b w:val="0"/>
          <w:sz w:val="24"/>
          <w:szCs w:val="24"/>
        </w:rPr>
        <w:t xml:space="preserve">regulations, </w:t>
      </w:r>
      <w:r w:rsidR="00736093" w:rsidRPr="00081099">
        <w:rPr>
          <w:rFonts w:ascii="Times New Roman" w:hAnsi="Times New Roman"/>
          <w:b w:val="0"/>
          <w:sz w:val="24"/>
        </w:rPr>
        <w:t>24 CFR Part 578 [Docket No. FR-5476-I-01] RIN 2506-AC29</w:t>
      </w:r>
      <w:r w:rsidRPr="00081099">
        <w:rPr>
          <w:rFonts w:ascii="Times New Roman" w:hAnsi="Times New Roman"/>
          <w:b w:val="0"/>
          <w:sz w:val="24"/>
          <w:szCs w:val="24"/>
        </w:rPr>
        <w:t>,</w:t>
      </w:r>
      <w:r>
        <w:rPr>
          <w:rFonts w:ascii="Times New Roman" w:hAnsi="Times New Roman"/>
          <w:b w:val="0"/>
          <w:sz w:val="24"/>
          <w:szCs w:val="24"/>
        </w:rPr>
        <w:t xml:space="preserve"> and authorized by the HEARTH Act.</w:t>
      </w:r>
      <w:bookmarkEnd w:id="7"/>
    </w:p>
    <w:p w:rsidR="00693613" w:rsidRDefault="00693613" w:rsidP="00693613">
      <w:pPr>
        <w:pStyle w:val="AbtHeadB"/>
        <w:spacing w:after="240"/>
        <w:rPr>
          <w:rFonts w:ascii="Times New Roman" w:hAnsi="Times New Roman"/>
          <w:b w:val="0"/>
          <w:sz w:val="22"/>
        </w:rPr>
      </w:pPr>
      <w:bookmarkStart w:id="8" w:name="_Toc310931646"/>
      <w:bookmarkStart w:id="9" w:name="_Toc310937507"/>
      <w:bookmarkStart w:id="10" w:name="_Toc311186207"/>
      <w:r>
        <w:t>A1</w:t>
      </w:r>
      <w:r>
        <w:tab/>
        <w:t>Need and Legal Basis</w:t>
      </w:r>
      <w:bookmarkEnd w:id="3"/>
      <w:bookmarkEnd w:id="4"/>
      <w:bookmarkEnd w:id="8"/>
      <w:bookmarkEnd w:id="9"/>
      <w:bookmarkEnd w:id="10"/>
    </w:p>
    <w:p w:rsidR="00693613" w:rsidRDefault="00693613" w:rsidP="00693613">
      <w:pPr>
        <w:pStyle w:val="AbtHeadB"/>
        <w:rPr>
          <w:b w:val="0"/>
          <w:i/>
          <w:sz w:val="24"/>
        </w:rPr>
      </w:pPr>
      <w:bookmarkStart w:id="11" w:name="_Toc228162069"/>
      <w:bookmarkStart w:id="12" w:name="_Toc228162169"/>
      <w:bookmarkStart w:id="13" w:name="_Toc228162241"/>
      <w:bookmarkStart w:id="14" w:name="_Toc233444277"/>
      <w:bookmarkStart w:id="15" w:name="_Toc310931647"/>
      <w:bookmarkStart w:id="16" w:name="_Toc310937508"/>
      <w:bookmarkStart w:id="17" w:name="_Toc311186208"/>
      <w:bookmarkStart w:id="18" w:name="_Toc224972097"/>
      <w:bookmarkStart w:id="19" w:name="_Toc224972193"/>
      <w:bookmarkStart w:id="20" w:name="_Toc224972249"/>
      <w:bookmarkStart w:id="21" w:name="_Toc224972307"/>
      <w:bookmarkStart w:id="22" w:name="_Toc224976962"/>
      <w:r>
        <w:rPr>
          <w:b w:val="0"/>
          <w:i/>
          <w:sz w:val="24"/>
        </w:rPr>
        <w:t>Why is this information necessary?  Identify any legal or administrative requirements that necessitate the collection.</w:t>
      </w:r>
      <w:bookmarkEnd w:id="11"/>
      <w:bookmarkEnd w:id="12"/>
      <w:bookmarkEnd w:id="13"/>
      <w:bookmarkEnd w:id="14"/>
      <w:bookmarkEnd w:id="15"/>
      <w:bookmarkEnd w:id="16"/>
      <w:bookmarkEnd w:id="17"/>
      <w:r>
        <w:rPr>
          <w:b w:val="0"/>
          <w:i/>
          <w:sz w:val="24"/>
        </w:rPr>
        <w:t xml:space="preserve">  </w:t>
      </w:r>
      <w:bookmarkEnd w:id="18"/>
      <w:bookmarkEnd w:id="19"/>
      <w:bookmarkEnd w:id="20"/>
      <w:bookmarkEnd w:id="21"/>
      <w:bookmarkEnd w:id="22"/>
    </w:p>
    <w:p w:rsidR="00693613" w:rsidRPr="005351FE" w:rsidRDefault="00693613" w:rsidP="00693613">
      <w:pPr>
        <w:pStyle w:val="AbtHeadB"/>
        <w:rPr>
          <w:rFonts w:ascii="Times New Roman" w:hAnsi="Times New Roman"/>
          <w:b w:val="0"/>
          <w:sz w:val="24"/>
        </w:rPr>
      </w:pPr>
      <w:bookmarkStart w:id="23" w:name="_Toc311186209"/>
      <w:bookmarkStart w:id="24" w:name="_Toc311186210"/>
      <w:bookmarkStart w:id="25" w:name="_Toc224972098"/>
      <w:bookmarkStart w:id="26" w:name="_Toc233444278"/>
      <w:r w:rsidRPr="00D07ED0">
        <w:rPr>
          <w:rFonts w:ascii="Times New Roman" w:hAnsi="Times New Roman"/>
          <w:b w:val="0"/>
          <w:sz w:val="24"/>
        </w:rPr>
        <w:t xml:space="preserve">The </w:t>
      </w:r>
      <w:r>
        <w:rPr>
          <w:rFonts w:ascii="Times New Roman" w:hAnsi="Times New Roman"/>
          <w:b w:val="0"/>
          <w:sz w:val="24"/>
        </w:rPr>
        <w:t>CoC</w:t>
      </w:r>
      <w:r w:rsidRPr="00D07ED0">
        <w:rPr>
          <w:rFonts w:ascii="Times New Roman" w:hAnsi="Times New Roman"/>
          <w:b w:val="0"/>
          <w:sz w:val="24"/>
        </w:rPr>
        <w:t xml:space="preserve"> Homeless Assistance Application Registration is </w:t>
      </w:r>
      <w:r>
        <w:rPr>
          <w:rFonts w:ascii="Times New Roman" w:hAnsi="Times New Roman"/>
          <w:b w:val="0"/>
          <w:sz w:val="24"/>
        </w:rPr>
        <w:t xml:space="preserve">the first </w:t>
      </w:r>
      <w:r w:rsidRPr="00D07ED0">
        <w:rPr>
          <w:rFonts w:ascii="Times New Roman" w:hAnsi="Times New Roman"/>
          <w:b w:val="0"/>
          <w:sz w:val="24"/>
        </w:rPr>
        <w:t>part of the</w:t>
      </w:r>
      <w:r>
        <w:rPr>
          <w:rFonts w:ascii="Times New Roman" w:hAnsi="Times New Roman"/>
          <w:b w:val="0"/>
          <w:sz w:val="24"/>
        </w:rPr>
        <w:t xml:space="preserve"> information collection process</w:t>
      </w:r>
      <w:r w:rsidRPr="00D07ED0">
        <w:rPr>
          <w:rFonts w:ascii="Times New Roman" w:hAnsi="Times New Roman"/>
          <w:b w:val="0"/>
          <w:sz w:val="24"/>
        </w:rPr>
        <w:t xml:space="preserve"> </w:t>
      </w:r>
      <w:r>
        <w:rPr>
          <w:rFonts w:ascii="Times New Roman" w:hAnsi="Times New Roman"/>
          <w:b w:val="0"/>
          <w:sz w:val="24"/>
        </w:rPr>
        <w:t xml:space="preserve">to be used </w:t>
      </w:r>
      <w:r w:rsidRPr="00D07ED0">
        <w:rPr>
          <w:rFonts w:ascii="Times New Roman" w:hAnsi="Times New Roman"/>
          <w:b w:val="0"/>
          <w:sz w:val="24"/>
        </w:rPr>
        <w:t>in HUD’s competit</w:t>
      </w:r>
      <w:r>
        <w:rPr>
          <w:rFonts w:ascii="Times New Roman" w:hAnsi="Times New Roman"/>
          <w:b w:val="0"/>
          <w:sz w:val="24"/>
        </w:rPr>
        <w:t>ive homeless assistance program, the CoC program,</w:t>
      </w:r>
      <w:r w:rsidRPr="00D07ED0">
        <w:rPr>
          <w:rFonts w:ascii="Times New Roman" w:hAnsi="Times New Roman"/>
          <w:b w:val="0"/>
          <w:sz w:val="24"/>
        </w:rPr>
        <w:t xml:space="preserve"> authorized by the HEARTH Act.  This request</w:t>
      </w:r>
      <w:r>
        <w:rPr>
          <w:rFonts w:ascii="Times New Roman" w:hAnsi="Times New Roman"/>
          <w:b w:val="0"/>
          <w:sz w:val="24"/>
        </w:rPr>
        <w:t>, however,</w:t>
      </w:r>
      <w:r w:rsidRPr="00D07ED0">
        <w:rPr>
          <w:rFonts w:ascii="Times New Roman" w:hAnsi="Times New Roman"/>
          <w:b w:val="0"/>
          <w:sz w:val="24"/>
        </w:rPr>
        <w:t xml:space="preserve"> is separate from the C</w:t>
      </w:r>
      <w:r>
        <w:rPr>
          <w:rFonts w:ascii="Times New Roman" w:hAnsi="Times New Roman"/>
          <w:b w:val="0"/>
          <w:sz w:val="24"/>
        </w:rPr>
        <w:t>o</w:t>
      </w:r>
      <w:r w:rsidRPr="00D07ED0">
        <w:rPr>
          <w:rFonts w:ascii="Times New Roman" w:hAnsi="Times New Roman"/>
          <w:b w:val="0"/>
          <w:sz w:val="24"/>
        </w:rPr>
        <w:t xml:space="preserve">C Homeless Assistance Application.  </w:t>
      </w:r>
      <w:r>
        <w:rPr>
          <w:rFonts w:ascii="Times New Roman" w:hAnsi="Times New Roman"/>
          <w:b w:val="0"/>
          <w:sz w:val="24"/>
        </w:rPr>
        <w:t xml:space="preserve">This separation </w:t>
      </w:r>
      <w:r w:rsidRPr="00D07ED0">
        <w:rPr>
          <w:rFonts w:ascii="Times New Roman" w:hAnsi="Times New Roman"/>
          <w:b w:val="0"/>
          <w:sz w:val="24"/>
        </w:rPr>
        <w:t xml:space="preserve">is necessary due in part to the electronic </w:t>
      </w:r>
      <w:r>
        <w:rPr>
          <w:rFonts w:ascii="Times New Roman" w:hAnsi="Times New Roman"/>
          <w:b w:val="0"/>
          <w:sz w:val="24"/>
        </w:rPr>
        <w:t xml:space="preserve">management </w:t>
      </w:r>
      <w:r w:rsidRPr="00D07ED0">
        <w:rPr>
          <w:rFonts w:ascii="Times New Roman" w:hAnsi="Times New Roman"/>
          <w:b w:val="0"/>
          <w:sz w:val="24"/>
        </w:rPr>
        <w:t xml:space="preserve">system </w:t>
      </w:r>
      <w:r>
        <w:rPr>
          <w:rFonts w:ascii="Times New Roman" w:hAnsi="Times New Roman"/>
          <w:b w:val="0"/>
          <w:sz w:val="24"/>
        </w:rPr>
        <w:t xml:space="preserve">and the fact that </w:t>
      </w:r>
      <w:r w:rsidRPr="00D07ED0">
        <w:rPr>
          <w:rFonts w:ascii="Times New Roman" w:hAnsi="Times New Roman"/>
          <w:b w:val="0"/>
          <w:sz w:val="24"/>
        </w:rPr>
        <w:t>the CoC Registration occurs several months before</w:t>
      </w:r>
      <w:r>
        <w:rPr>
          <w:rFonts w:ascii="Times New Roman" w:hAnsi="Times New Roman"/>
          <w:b w:val="0"/>
          <w:sz w:val="24"/>
        </w:rPr>
        <w:t xml:space="preserve"> collection of the Co</w:t>
      </w:r>
      <w:r w:rsidRPr="00D07ED0">
        <w:rPr>
          <w:rFonts w:ascii="Times New Roman" w:hAnsi="Times New Roman"/>
          <w:b w:val="0"/>
          <w:sz w:val="24"/>
        </w:rPr>
        <w:t>C Homeless Assistance Application.  Additionally, the informatio</w:t>
      </w:r>
      <w:r>
        <w:rPr>
          <w:rFonts w:ascii="Times New Roman" w:hAnsi="Times New Roman"/>
          <w:b w:val="0"/>
          <w:sz w:val="24"/>
        </w:rPr>
        <w:t>n collected during Co</w:t>
      </w:r>
      <w:r w:rsidRPr="00D07ED0">
        <w:rPr>
          <w:rFonts w:ascii="Times New Roman" w:hAnsi="Times New Roman"/>
          <w:b w:val="0"/>
          <w:sz w:val="24"/>
        </w:rPr>
        <w:t>C Registration does not frequently change; therefore, HUD will only need to seek OMB approval every three years, as required by the Paperwork Reduction Act</w:t>
      </w:r>
      <w:bookmarkEnd w:id="23"/>
      <w:r>
        <w:rPr>
          <w:rFonts w:ascii="Times New Roman" w:hAnsi="Times New Roman"/>
          <w:b w:val="0"/>
          <w:sz w:val="24"/>
        </w:rPr>
        <w:t>.</w:t>
      </w:r>
    </w:p>
    <w:p w:rsidR="00693613" w:rsidRPr="00D07ED0" w:rsidRDefault="00693613" w:rsidP="00693613">
      <w:pPr>
        <w:pStyle w:val="AbtHeadB"/>
        <w:rPr>
          <w:rFonts w:ascii="Times New Roman" w:hAnsi="Times New Roman"/>
          <w:b w:val="0"/>
          <w:sz w:val="24"/>
        </w:rPr>
      </w:pPr>
      <w:r>
        <w:rPr>
          <w:rFonts w:ascii="Times New Roman" w:hAnsi="Times New Roman"/>
          <w:b w:val="0"/>
          <w:sz w:val="24"/>
        </w:rPr>
        <w:t xml:space="preserve">CoC Registration comprises the first phase of the combined CoC Homeless Assistance information collection form.  </w:t>
      </w:r>
      <w:r w:rsidRPr="00D07ED0">
        <w:rPr>
          <w:rFonts w:ascii="Times New Roman" w:hAnsi="Times New Roman"/>
          <w:b w:val="0"/>
          <w:sz w:val="24"/>
        </w:rPr>
        <w:t xml:space="preserve">During </w:t>
      </w:r>
      <w:r>
        <w:rPr>
          <w:rFonts w:ascii="Times New Roman" w:hAnsi="Times New Roman"/>
          <w:b w:val="0"/>
          <w:sz w:val="24"/>
        </w:rPr>
        <w:t>this phase,</w:t>
      </w:r>
      <w:r w:rsidRPr="00D07ED0">
        <w:rPr>
          <w:rFonts w:ascii="Times New Roman" w:hAnsi="Times New Roman"/>
          <w:b w:val="0"/>
          <w:sz w:val="24"/>
        </w:rPr>
        <w:t xml:space="preserve"> HUD collects </w:t>
      </w:r>
      <w:r>
        <w:rPr>
          <w:rFonts w:ascii="Times New Roman" w:hAnsi="Times New Roman"/>
          <w:b w:val="0"/>
          <w:sz w:val="24"/>
        </w:rPr>
        <w:t xml:space="preserve">the </w:t>
      </w:r>
      <w:r w:rsidRPr="00D07ED0">
        <w:rPr>
          <w:rFonts w:ascii="Times New Roman" w:hAnsi="Times New Roman"/>
          <w:b w:val="0"/>
          <w:sz w:val="24"/>
        </w:rPr>
        <w:t xml:space="preserve">contact information of the </w:t>
      </w:r>
      <w:r>
        <w:rPr>
          <w:rFonts w:ascii="Times New Roman" w:hAnsi="Times New Roman"/>
          <w:b w:val="0"/>
          <w:sz w:val="24"/>
        </w:rPr>
        <w:t xml:space="preserve">CoC </w:t>
      </w:r>
      <w:r w:rsidRPr="00D07ED0">
        <w:rPr>
          <w:rFonts w:ascii="Times New Roman" w:hAnsi="Times New Roman"/>
          <w:b w:val="0"/>
          <w:sz w:val="24"/>
        </w:rPr>
        <w:t>Lead Agency, HMIS Lead Agency, and Homeless Resource Contact Person, as well as the geographic areas served by the Co</w:t>
      </w:r>
      <w:r>
        <w:rPr>
          <w:rFonts w:ascii="Times New Roman" w:hAnsi="Times New Roman"/>
          <w:b w:val="0"/>
          <w:sz w:val="24"/>
        </w:rPr>
        <w:t>C</w:t>
      </w:r>
      <w:r w:rsidRPr="00D07ED0">
        <w:rPr>
          <w:rFonts w:ascii="Times New Roman" w:hAnsi="Times New Roman"/>
          <w:b w:val="0"/>
          <w:sz w:val="24"/>
        </w:rPr>
        <w:t xml:space="preserve"> applicant.  Additional</w:t>
      </w:r>
      <w:r>
        <w:rPr>
          <w:rFonts w:ascii="Times New Roman" w:hAnsi="Times New Roman"/>
          <w:b w:val="0"/>
          <w:sz w:val="24"/>
        </w:rPr>
        <w:t xml:space="preserve">ly CoCs approve their preliminary pro-rata need and affirm their annual renewal burden, and HUD collects </w:t>
      </w:r>
      <w:r w:rsidRPr="00D07ED0">
        <w:rPr>
          <w:rFonts w:ascii="Times New Roman" w:hAnsi="Times New Roman"/>
          <w:b w:val="0"/>
          <w:sz w:val="24"/>
        </w:rPr>
        <w:t>information regarding the CoC</w:t>
      </w:r>
      <w:r>
        <w:rPr>
          <w:rFonts w:ascii="Times New Roman" w:hAnsi="Times New Roman"/>
          <w:b w:val="0"/>
          <w:sz w:val="24"/>
        </w:rPr>
        <w:t>’s board structure and the c</w:t>
      </w:r>
      <w:r w:rsidRPr="00D07ED0">
        <w:rPr>
          <w:rFonts w:ascii="Times New Roman" w:hAnsi="Times New Roman"/>
          <w:b w:val="0"/>
          <w:sz w:val="24"/>
        </w:rPr>
        <w:t xml:space="preserve">apacity of the CoC to carry out the various activities outlined in the </w:t>
      </w:r>
      <w:r>
        <w:rPr>
          <w:rFonts w:ascii="Times New Roman" w:hAnsi="Times New Roman"/>
          <w:b w:val="0"/>
          <w:sz w:val="24"/>
        </w:rPr>
        <w:t>program regulations</w:t>
      </w:r>
      <w:r w:rsidRPr="00D07ED0">
        <w:rPr>
          <w:rFonts w:ascii="Times New Roman" w:hAnsi="Times New Roman"/>
          <w:b w:val="0"/>
          <w:sz w:val="24"/>
        </w:rPr>
        <w:t>.  The registration information is necessary to assist in the selection of proposals submitted to HUD (by State and local governments, public housing authorities, and nonprofit organizations) for</w:t>
      </w:r>
      <w:r>
        <w:rPr>
          <w:rFonts w:ascii="Times New Roman" w:hAnsi="Times New Roman"/>
          <w:b w:val="0"/>
          <w:sz w:val="24"/>
        </w:rPr>
        <w:t xml:space="preserve"> the awarded funds under the Co</w:t>
      </w:r>
      <w:r w:rsidRPr="00D07ED0">
        <w:rPr>
          <w:rFonts w:ascii="Times New Roman" w:hAnsi="Times New Roman"/>
          <w:b w:val="0"/>
          <w:sz w:val="24"/>
        </w:rPr>
        <w:t>C Application.</w:t>
      </w:r>
      <w:bookmarkEnd w:id="24"/>
      <w:r w:rsidRPr="00D07ED0">
        <w:rPr>
          <w:rFonts w:ascii="Times New Roman" w:hAnsi="Times New Roman"/>
          <w:b w:val="0"/>
          <w:sz w:val="24"/>
        </w:rPr>
        <w:t xml:space="preserve">  </w:t>
      </w:r>
    </w:p>
    <w:p w:rsidR="00693613" w:rsidRPr="00D07ED0" w:rsidRDefault="00693613" w:rsidP="00693613">
      <w:pPr>
        <w:pStyle w:val="AbtHeadB"/>
        <w:rPr>
          <w:rFonts w:ascii="Times New Roman" w:hAnsi="Times New Roman"/>
          <w:b w:val="0"/>
          <w:sz w:val="24"/>
        </w:rPr>
      </w:pPr>
      <w:bookmarkStart w:id="27" w:name="_Toc311186212"/>
      <w:r w:rsidRPr="00D07ED0">
        <w:rPr>
          <w:rFonts w:ascii="Times New Roman" w:hAnsi="Times New Roman"/>
          <w:b w:val="0"/>
          <w:sz w:val="24"/>
        </w:rPr>
        <w:t xml:space="preserve">The regulatory authority to collect this information is contained in </w:t>
      </w:r>
      <w:r w:rsidRPr="00081099">
        <w:rPr>
          <w:rFonts w:ascii="Times New Roman" w:hAnsi="Times New Roman"/>
          <w:b w:val="0"/>
          <w:sz w:val="24"/>
        </w:rPr>
        <w:t xml:space="preserve">the </w:t>
      </w:r>
      <w:r w:rsidR="00736093" w:rsidRPr="00081099">
        <w:rPr>
          <w:rFonts w:ascii="Times New Roman" w:hAnsi="Times New Roman"/>
          <w:b w:val="0"/>
          <w:sz w:val="24"/>
        </w:rPr>
        <w:t>CoC Program interim rule</w:t>
      </w:r>
      <w:r>
        <w:rPr>
          <w:rFonts w:ascii="Times New Roman" w:hAnsi="Times New Roman"/>
          <w:b w:val="0"/>
          <w:sz w:val="24"/>
        </w:rPr>
        <w:t xml:space="preserve"> and the </w:t>
      </w:r>
      <w:r w:rsidRPr="00D07ED0">
        <w:rPr>
          <w:rFonts w:ascii="Times New Roman" w:hAnsi="Times New Roman"/>
          <w:b w:val="0"/>
          <w:sz w:val="24"/>
        </w:rPr>
        <w:t>HEARTH Act.</w:t>
      </w:r>
      <w:bookmarkEnd w:id="27"/>
    </w:p>
    <w:p w:rsidR="00693613" w:rsidRDefault="00693613" w:rsidP="00693613">
      <w:pPr>
        <w:pStyle w:val="AbtHeadB"/>
        <w:rPr>
          <w:b w:val="0"/>
        </w:rPr>
      </w:pPr>
      <w:bookmarkStart w:id="28" w:name="_Toc311186213"/>
      <w:r w:rsidRPr="00D07ED0">
        <w:rPr>
          <w:rFonts w:ascii="Times New Roman" w:hAnsi="Times New Roman"/>
          <w:b w:val="0"/>
          <w:sz w:val="24"/>
        </w:rPr>
        <w:t xml:space="preserve">Selection of applications for funding under </w:t>
      </w:r>
      <w:r>
        <w:rPr>
          <w:rFonts w:ascii="Times New Roman" w:hAnsi="Times New Roman"/>
          <w:b w:val="0"/>
          <w:sz w:val="24"/>
        </w:rPr>
        <w:t>Co</w:t>
      </w:r>
      <w:r w:rsidRPr="00D07ED0">
        <w:rPr>
          <w:rFonts w:ascii="Times New Roman" w:hAnsi="Times New Roman"/>
          <w:b w:val="0"/>
          <w:sz w:val="24"/>
        </w:rPr>
        <w:t xml:space="preserve">C Homeless Assistance </w:t>
      </w:r>
      <w:r>
        <w:rPr>
          <w:rFonts w:ascii="Times New Roman" w:hAnsi="Times New Roman"/>
          <w:b w:val="0"/>
          <w:sz w:val="24"/>
        </w:rPr>
        <w:t>is</w:t>
      </w:r>
      <w:r w:rsidRPr="00D07ED0">
        <w:rPr>
          <w:rFonts w:ascii="Times New Roman" w:hAnsi="Times New Roman"/>
          <w:b w:val="0"/>
          <w:sz w:val="24"/>
        </w:rPr>
        <w:t xml:space="preserve"> based on rating factors listed in the Notice of Funding Availability (NOFA), which is published each year to announce the </w:t>
      </w:r>
      <w:r>
        <w:rPr>
          <w:rFonts w:ascii="Times New Roman" w:hAnsi="Times New Roman"/>
          <w:b w:val="0"/>
          <w:sz w:val="24"/>
        </w:rPr>
        <w:t>Co</w:t>
      </w:r>
      <w:r w:rsidRPr="00D07ED0">
        <w:rPr>
          <w:rFonts w:ascii="Times New Roman" w:hAnsi="Times New Roman"/>
          <w:b w:val="0"/>
          <w:sz w:val="24"/>
        </w:rPr>
        <w:t>C Homeless Assistance funding round.</w:t>
      </w:r>
      <w:bookmarkEnd w:id="28"/>
    </w:p>
    <w:p w:rsidR="00693613" w:rsidRDefault="00693613" w:rsidP="00693613">
      <w:pPr>
        <w:pStyle w:val="AbtHeadB"/>
      </w:pPr>
      <w:bookmarkStart w:id="29" w:name="_Toc311186214"/>
    </w:p>
    <w:p w:rsidR="00693613" w:rsidRDefault="00693613" w:rsidP="00693613">
      <w:pPr>
        <w:pStyle w:val="AbtHeadB"/>
      </w:pPr>
      <w:r>
        <w:t>A2</w:t>
      </w:r>
      <w:r>
        <w:tab/>
        <w:t>Information Users</w:t>
      </w:r>
      <w:bookmarkEnd w:id="25"/>
      <w:bookmarkEnd w:id="26"/>
      <w:bookmarkEnd w:id="29"/>
    </w:p>
    <w:p w:rsidR="00693613" w:rsidRPr="000B7D63" w:rsidRDefault="00693613" w:rsidP="00693613">
      <w:pPr>
        <w:pStyle w:val="AbtHeadB"/>
        <w:rPr>
          <w:b w:val="0"/>
          <w:i/>
          <w:sz w:val="24"/>
        </w:rPr>
      </w:pPr>
      <w:bookmarkStart w:id="30" w:name="_Toc310931653"/>
      <w:bookmarkStart w:id="31" w:name="_Toc310937514"/>
      <w:bookmarkStart w:id="32" w:name="_Toc311186215"/>
      <w:r w:rsidRPr="000B7D63">
        <w:rPr>
          <w:b w:val="0"/>
          <w:i/>
          <w:sz w:val="24"/>
        </w:rPr>
        <w:t>How is the information collected and how is the information to be used?</w:t>
      </w:r>
      <w:bookmarkEnd w:id="30"/>
      <w:bookmarkEnd w:id="31"/>
      <w:bookmarkEnd w:id="32"/>
      <w:r w:rsidRPr="000B7D63">
        <w:rPr>
          <w:b w:val="0"/>
          <w:i/>
          <w:sz w:val="24"/>
        </w:rPr>
        <w:t xml:space="preserve">  </w:t>
      </w:r>
    </w:p>
    <w:p w:rsidR="00693613" w:rsidRDefault="00693613" w:rsidP="00693613">
      <w:pPr>
        <w:autoSpaceDE w:val="0"/>
        <w:autoSpaceDN w:val="0"/>
        <w:adjustRightInd w:val="0"/>
      </w:pPr>
      <w:r w:rsidRPr="00D07ED0">
        <w:t xml:space="preserve">All </w:t>
      </w:r>
      <w:r w:rsidRPr="00E54CCE">
        <w:t xml:space="preserve">CoC </w:t>
      </w:r>
      <w:r w:rsidRPr="00D07ED0">
        <w:t xml:space="preserve">Lead Agencies will be required to register their </w:t>
      </w:r>
      <w:r w:rsidRPr="00E54CCE">
        <w:t>CoC</w:t>
      </w:r>
      <w:r>
        <w:t>s</w:t>
      </w:r>
      <w:r w:rsidRPr="00D07ED0">
        <w:t xml:space="preserve"> in the </w:t>
      </w:r>
      <w:r>
        <w:rPr>
          <w:i/>
        </w:rPr>
        <w:t xml:space="preserve">e-snaps </w:t>
      </w:r>
      <w:r w:rsidRPr="00D07ED0">
        <w:t xml:space="preserve">electronic </w:t>
      </w:r>
      <w:r>
        <w:t xml:space="preserve">grants management </w:t>
      </w:r>
      <w:r w:rsidRPr="00D07ED0">
        <w:t xml:space="preserve">system prior to the opening of the </w:t>
      </w:r>
      <w:r w:rsidRPr="00E54CCE">
        <w:t>CoC</w:t>
      </w:r>
      <w:r w:rsidRPr="00D07ED0">
        <w:t xml:space="preserve"> Homeless Assistance competition.  The registration requirements </w:t>
      </w:r>
      <w:r>
        <w:t>include</w:t>
      </w:r>
      <w:r w:rsidRPr="00D07ED0">
        <w:t xml:space="preserve"> a basic description of </w:t>
      </w:r>
      <w:r w:rsidRPr="00E54CCE">
        <w:t>the CoC</w:t>
      </w:r>
      <w:r>
        <w:t>’s</w:t>
      </w:r>
      <w:r w:rsidRPr="00D07ED0">
        <w:t xml:space="preserve"> lead organization, contact information, and geographic area.</w:t>
      </w:r>
      <w:r>
        <w:t xml:space="preserve">  </w:t>
      </w:r>
      <w:r w:rsidRPr="00D07ED0">
        <w:t xml:space="preserve">The information to be collected by HUD will be used to rate applications, determine eligibility for </w:t>
      </w:r>
      <w:r w:rsidRPr="00E54CCE">
        <w:t>CoC</w:t>
      </w:r>
      <w:r>
        <w:t xml:space="preserve"> Homeless Assistance, and </w:t>
      </w:r>
      <w:r w:rsidRPr="00D07ED0">
        <w:t xml:space="preserve">establish grant amounts. </w:t>
      </w:r>
      <w:r>
        <w:t>In tandem, lead agencies will also list their continuum’s programs</w:t>
      </w:r>
      <w:r w:rsidRPr="00D07ED0">
        <w:t xml:space="preserve"> </w:t>
      </w:r>
      <w:r>
        <w:t xml:space="preserve">on a </w:t>
      </w:r>
      <w:r w:rsidR="00885DB9">
        <w:t xml:space="preserve">Grant Inventory Worksheet (GIW) </w:t>
      </w:r>
      <w:r>
        <w:t>(see attachment) that will allow HUD to accurately assess individual project applications during the CoC Application process.</w:t>
      </w:r>
    </w:p>
    <w:p w:rsidR="00693613" w:rsidRDefault="00693613" w:rsidP="00693613">
      <w:pPr>
        <w:autoSpaceDE w:val="0"/>
        <w:autoSpaceDN w:val="0"/>
        <w:adjustRightInd w:val="0"/>
      </w:pPr>
    </w:p>
    <w:p w:rsidR="002B60E2" w:rsidRDefault="007148A5" w:rsidP="00693613">
      <w:pPr>
        <w:autoSpaceDE w:val="0"/>
        <w:autoSpaceDN w:val="0"/>
        <w:adjustRightInd w:val="0"/>
      </w:pPr>
      <w:r>
        <w:t>The GIW is pre-populated with the basic project</w:t>
      </w:r>
      <w:r w:rsidR="00594127">
        <w:t xml:space="preserve"> </w:t>
      </w:r>
      <w:r>
        <w:t xml:space="preserve">information for all projects </w:t>
      </w:r>
      <w:r w:rsidR="00081099">
        <w:t xml:space="preserve">that are eligible </w:t>
      </w:r>
      <w:r w:rsidR="00F32116">
        <w:t>for renewal funding</w:t>
      </w:r>
      <w:r w:rsidR="00081099">
        <w:t xml:space="preserve"> in the coming competition</w:t>
      </w:r>
      <w:r>
        <w:t xml:space="preserve">, including the current grants’ budget details.  Respondents must verify that the information on the GIW is accurate, estimate the funds that will be requested </w:t>
      </w:r>
      <w:r w:rsidR="00081099">
        <w:t xml:space="preserve">for each grant </w:t>
      </w:r>
      <w:r>
        <w:t>in the CoC Homeless Assistance competition</w:t>
      </w:r>
      <w:r w:rsidR="00081099">
        <w:t>,</w:t>
      </w:r>
      <w:r>
        <w:t xml:space="preserve"> and list any additional program changes.  For the majority of grants, the information entered on this form will be a copy of the information pre-populated on the form that represents the current grant’s project information.  The information from the GIW is essential for o</w:t>
      </w:r>
      <w:r w:rsidR="002953EF">
        <w:t xml:space="preserve">peration of the CoC competition.  Most importantly, the budget details </w:t>
      </w:r>
      <w:r>
        <w:t xml:space="preserve">will be used to estimate the </w:t>
      </w:r>
      <w:r w:rsidR="00885DB9">
        <w:t xml:space="preserve">program’s </w:t>
      </w:r>
      <w:r>
        <w:t>annual renewal demand for funds</w:t>
      </w:r>
      <w:r w:rsidR="002953EF">
        <w:t xml:space="preserve">, which will in turn determine resource allocation.  The program details, verified by the CoC Lead Agencies, will </w:t>
      </w:r>
      <w:r w:rsidR="00081099">
        <w:t xml:space="preserve">also </w:t>
      </w:r>
      <w:r w:rsidR="002953EF">
        <w:t>allow HUD to conduct an accurate assessment of renewal project applications</w:t>
      </w:r>
      <w:r w:rsidR="00081099">
        <w:t xml:space="preserve"> at the completion of the application phase of the competition</w:t>
      </w:r>
      <w:r w:rsidR="002953EF">
        <w:t>.</w:t>
      </w:r>
    </w:p>
    <w:p w:rsidR="002953EF" w:rsidRDefault="002953EF" w:rsidP="00693613">
      <w:pPr>
        <w:autoSpaceDE w:val="0"/>
        <w:autoSpaceDN w:val="0"/>
        <w:adjustRightInd w:val="0"/>
      </w:pPr>
    </w:p>
    <w:p w:rsidR="002953EF" w:rsidRDefault="002953EF" w:rsidP="00693613">
      <w:pPr>
        <w:autoSpaceDE w:val="0"/>
        <w:autoSpaceDN w:val="0"/>
        <w:adjustRightInd w:val="0"/>
      </w:pPr>
      <w:r>
        <w:t xml:space="preserve">CoC Lead Agencies that have recently been part of </w:t>
      </w:r>
      <w:r w:rsidR="00081099">
        <w:t>a</w:t>
      </w:r>
      <w:r>
        <w:t xml:space="preserve"> merger between two or more CoCs have the option of filling out a CoC Merger Worksheet.  The </w:t>
      </w:r>
      <w:r w:rsidR="00081099">
        <w:t>W</w:t>
      </w:r>
      <w:r>
        <w:t>orksheet</w:t>
      </w:r>
      <w:r w:rsidRPr="002953EF">
        <w:t xml:space="preserve"> </w:t>
      </w:r>
      <w:r>
        <w:t>i</w:t>
      </w:r>
      <w:r w:rsidRPr="002953EF">
        <w:t xml:space="preserve">s designed to help communities understand the Final Pro-Rata Need that will be available to a merged CoC </w:t>
      </w:r>
      <w:r>
        <w:t>during the coming fiscal year.</w:t>
      </w:r>
      <w:r w:rsidRPr="002953EF">
        <w:t xml:space="preserve"> </w:t>
      </w:r>
      <w:r>
        <w:t xml:space="preserve"> Merging CoCs may complete these calculations independently from the worksheet, however the tool is a useful aid th</w:t>
      </w:r>
      <w:r w:rsidR="00081099">
        <w:t>at</w:t>
      </w:r>
      <w:r>
        <w:t xml:space="preserve"> HUD believes dramatically simplifies the process for grantees and reduces reporting burden.  This tool is not required by HUD and, when used, does not have to be returned to HUD.</w:t>
      </w:r>
      <w:r w:rsidR="00081099">
        <w:t xml:space="preserve">  HUD estimates that a very small percentage of CoCs will merge in a given year.</w:t>
      </w:r>
    </w:p>
    <w:p w:rsidR="002B60E2" w:rsidRDefault="002B60E2" w:rsidP="00693613">
      <w:pPr>
        <w:autoSpaceDE w:val="0"/>
        <w:autoSpaceDN w:val="0"/>
        <w:adjustRightInd w:val="0"/>
      </w:pPr>
    </w:p>
    <w:p w:rsidR="002B60E2" w:rsidRPr="00885DB9" w:rsidRDefault="00081099" w:rsidP="00693613">
      <w:pPr>
        <w:autoSpaceDE w:val="0"/>
        <w:autoSpaceDN w:val="0"/>
        <w:adjustRightInd w:val="0"/>
        <w:rPr>
          <w:color w:val="000000" w:themeColor="text1"/>
        </w:rPr>
      </w:pPr>
      <w:r w:rsidRPr="00885DB9">
        <w:rPr>
          <w:color w:val="000000" w:themeColor="text1"/>
        </w:rPr>
        <w:t>The optional board requirement questions</w:t>
      </w:r>
      <w:r w:rsidR="002B60E2" w:rsidRPr="00885DB9">
        <w:rPr>
          <w:color w:val="000000" w:themeColor="text1"/>
        </w:rPr>
        <w:t xml:space="preserve"> </w:t>
      </w:r>
      <w:r w:rsidRPr="00885DB9">
        <w:rPr>
          <w:color w:val="000000" w:themeColor="text1"/>
        </w:rPr>
        <w:t xml:space="preserve">in the registration forms </w:t>
      </w:r>
      <w:r w:rsidR="002B60E2" w:rsidRPr="00885DB9">
        <w:rPr>
          <w:color w:val="000000" w:themeColor="text1"/>
        </w:rPr>
        <w:t xml:space="preserve">are an important part of the </w:t>
      </w:r>
      <w:r w:rsidRPr="00885DB9">
        <w:rPr>
          <w:color w:val="000000" w:themeColor="text1"/>
        </w:rPr>
        <w:t xml:space="preserve">registration </w:t>
      </w:r>
      <w:r w:rsidR="002B60E2" w:rsidRPr="00885DB9">
        <w:rPr>
          <w:color w:val="000000" w:themeColor="text1"/>
        </w:rPr>
        <w:t xml:space="preserve">process that will lead </w:t>
      </w:r>
      <w:r w:rsidRPr="00885DB9">
        <w:rPr>
          <w:color w:val="000000" w:themeColor="text1"/>
        </w:rPr>
        <w:t>HUD</w:t>
      </w:r>
      <w:r w:rsidR="002B60E2" w:rsidRPr="00885DB9">
        <w:rPr>
          <w:color w:val="000000" w:themeColor="text1"/>
        </w:rPr>
        <w:t xml:space="preserve"> to the full implementation of HEARTH.  To meet the performance goals established by statute, CoCs will need to significantly increase their capacity for strategy, planning, monitoring, and evaluation.  In addition, the HEARTH Act and the Rule allow for the development of United Funding Agencies (UFAs), a significant change to the structure of the CoC and the relationship between HUD and grantees.  For CoCs, this means a significant increase in the CoCs operational capacity, and high functioning CoC board.  With the new goals and the UFA established by statu</w:t>
      </w:r>
      <w:r w:rsidR="00885DB9">
        <w:rPr>
          <w:color w:val="000000" w:themeColor="text1"/>
        </w:rPr>
        <w:t>t</w:t>
      </w:r>
      <w:r w:rsidR="002B60E2" w:rsidRPr="00885DB9">
        <w:rPr>
          <w:color w:val="000000" w:themeColor="text1"/>
        </w:rPr>
        <w:t xml:space="preserve">e and regulation, </w:t>
      </w:r>
      <w:r w:rsidRPr="00885DB9">
        <w:rPr>
          <w:color w:val="000000" w:themeColor="text1"/>
        </w:rPr>
        <w:t>HUD</w:t>
      </w:r>
      <w:r w:rsidR="002B60E2" w:rsidRPr="00885DB9">
        <w:rPr>
          <w:color w:val="000000" w:themeColor="text1"/>
        </w:rPr>
        <w:t xml:space="preserve"> needs as much information as possible regarding the baseline operational readiness of CoCs.  Providing CoCs with the option of reporting th</w:t>
      </w:r>
      <w:r w:rsidRPr="00885DB9">
        <w:rPr>
          <w:color w:val="000000" w:themeColor="text1"/>
        </w:rPr>
        <w:t xml:space="preserve">eir board status will </w:t>
      </w:r>
      <w:r w:rsidR="00885DB9">
        <w:rPr>
          <w:color w:val="000000" w:themeColor="text1"/>
        </w:rPr>
        <w:t>allow</w:t>
      </w:r>
      <w:r w:rsidR="002B60E2" w:rsidRPr="00885DB9">
        <w:rPr>
          <w:color w:val="000000" w:themeColor="text1"/>
        </w:rPr>
        <w:t xml:space="preserve"> </w:t>
      </w:r>
      <w:r w:rsidRPr="00885DB9">
        <w:rPr>
          <w:color w:val="000000" w:themeColor="text1"/>
        </w:rPr>
        <w:t>HUD to</w:t>
      </w:r>
      <w:r w:rsidR="002B60E2" w:rsidRPr="00885DB9">
        <w:rPr>
          <w:color w:val="000000" w:themeColor="text1"/>
        </w:rPr>
        <w:t xml:space="preserve"> prepare for UFA applications and </w:t>
      </w:r>
      <w:r w:rsidR="002B60E2" w:rsidRPr="00885DB9">
        <w:rPr>
          <w:color w:val="000000" w:themeColor="text1"/>
        </w:rPr>
        <w:lastRenderedPageBreak/>
        <w:t>estimate how our program resources will need to be allocated over the next few years of program implementation.</w:t>
      </w:r>
    </w:p>
    <w:p w:rsidR="002B60E2" w:rsidRDefault="002B60E2" w:rsidP="00693613">
      <w:pPr>
        <w:autoSpaceDE w:val="0"/>
        <w:autoSpaceDN w:val="0"/>
        <w:adjustRightInd w:val="0"/>
      </w:pPr>
    </w:p>
    <w:p w:rsidR="00693613" w:rsidRDefault="00693613" w:rsidP="00693613">
      <w:pPr>
        <w:pStyle w:val="AbtHeadB"/>
      </w:pPr>
      <w:bookmarkStart w:id="33" w:name="_Toc224972102"/>
      <w:bookmarkStart w:id="34" w:name="_Toc233444279"/>
      <w:bookmarkStart w:id="35" w:name="_Toc311186216"/>
      <w:r>
        <w:t>A3</w:t>
      </w:r>
      <w:r>
        <w:tab/>
        <w:t>Improved Information Technologies</w:t>
      </w:r>
      <w:bookmarkEnd w:id="33"/>
      <w:bookmarkEnd w:id="34"/>
      <w:bookmarkEnd w:id="35"/>
    </w:p>
    <w:p w:rsidR="00693613" w:rsidRDefault="00693613" w:rsidP="00693613">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rsidR="00693613" w:rsidRDefault="00693613" w:rsidP="00693613">
      <w:pPr>
        <w:pStyle w:val="NormalWeb"/>
      </w:pPr>
      <w:r w:rsidRPr="00D07ED0">
        <w:t>This collection of information will be electronic as soon as th</w:t>
      </w:r>
      <w:r>
        <w:t>is package is approved.  HUD ada</w:t>
      </w:r>
      <w:r w:rsidRPr="00D07ED0">
        <w:t xml:space="preserve">pted </w:t>
      </w:r>
      <w:r>
        <w:rPr>
          <w:i/>
        </w:rPr>
        <w:t>e-</w:t>
      </w:r>
      <w:r w:rsidRPr="00CA72EC">
        <w:rPr>
          <w:i/>
        </w:rPr>
        <w:t>snaps</w:t>
      </w:r>
      <w:r>
        <w:t xml:space="preserve">, </w:t>
      </w:r>
      <w:r w:rsidRPr="00CA72EC">
        <w:t>an</w:t>
      </w:r>
      <w:r w:rsidRPr="00D07ED0">
        <w:t xml:space="preserve"> </w:t>
      </w:r>
      <w:r>
        <w:t xml:space="preserve">existing </w:t>
      </w:r>
      <w:r w:rsidRPr="00D07ED0">
        <w:t xml:space="preserve">electronic </w:t>
      </w:r>
      <w:r>
        <w:t>grants management</w:t>
      </w:r>
      <w:r w:rsidRPr="00D07ED0">
        <w:t xml:space="preserve"> </w:t>
      </w:r>
      <w:r>
        <w:t xml:space="preserve">system </w:t>
      </w:r>
      <w:r w:rsidRPr="00D07ED0">
        <w:t>for the</w:t>
      </w:r>
      <w:r>
        <w:t xml:space="preserve"> current</w:t>
      </w:r>
      <w:r w:rsidRPr="00D07ED0">
        <w:t xml:space="preserve"> </w:t>
      </w:r>
      <w:r w:rsidRPr="00E54CCE">
        <w:t>CoC</w:t>
      </w:r>
      <w:r w:rsidRPr="00D07ED0">
        <w:t xml:space="preserve"> Homeless Assistance Application</w:t>
      </w:r>
      <w:r>
        <w:t xml:space="preserve">, to streamline the </w:t>
      </w:r>
      <w:r w:rsidRPr="00D07ED0">
        <w:t>application process and lessen reporting burden on applicants.  Potential applicants are able to log into a database driven website and type the required information.  If the potential applicant is a returning entity from the previous year’s application process, the applicant will be able to retrieve the information collected from the previous year’s competition and update information as needed</w:t>
      </w:r>
      <w:r>
        <w:t xml:space="preserve">. </w:t>
      </w:r>
    </w:p>
    <w:p w:rsidR="00693613" w:rsidRDefault="00693613" w:rsidP="00693613">
      <w:pPr>
        <w:pStyle w:val="AbtHeadB"/>
      </w:pPr>
      <w:bookmarkStart w:id="36" w:name="_Toc224972104"/>
      <w:bookmarkStart w:id="37" w:name="_Toc233444280"/>
      <w:bookmarkStart w:id="38" w:name="_Toc311186217"/>
      <w:r>
        <w:t>A4</w:t>
      </w:r>
      <w:r>
        <w:tab/>
        <w:t>Duplication of Similar Information</w:t>
      </w:r>
      <w:bookmarkEnd w:id="36"/>
      <w:bookmarkEnd w:id="37"/>
      <w:bookmarkEnd w:id="38"/>
    </w:p>
    <w:p w:rsidR="00693613" w:rsidRDefault="00693613" w:rsidP="00693613">
      <w:pPr>
        <w:keepLines/>
        <w:tabs>
          <w:tab w:val="left" w:pos="0"/>
        </w:tabs>
        <w:rPr>
          <w:rFonts w:ascii="Arial" w:hAnsi="Arial"/>
          <w:i/>
          <w:color w:val="000000"/>
        </w:rPr>
      </w:pPr>
      <w:r>
        <w:rPr>
          <w:rFonts w:ascii="Arial" w:hAnsi="Arial"/>
          <w:i/>
          <w:color w:val="000000"/>
        </w:rPr>
        <w:t>Is this information collected elsewhere?  If so, why cannot any similar information already available be used or modified?</w:t>
      </w:r>
    </w:p>
    <w:p w:rsidR="00693613" w:rsidRDefault="00693613" w:rsidP="00693613">
      <w:pPr>
        <w:keepLines/>
        <w:tabs>
          <w:tab w:val="left" w:pos="0"/>
        </w:tabs>
        <w:rPr>
          <w:rFonts w:ascii="Arial" w:hAnsi="Arial"/>
          <w:i/>
          <w:color w:val="000000"/>
        </w:rPr>
      </w:pPr>
    </w:p>
    <w:p w:rsidR="00693613" w:rsidRDefault="00693613" w:rsidP="00693613">
      <w:r>
        <w:t xml:space="preserve">To avoid duplication of information, the application has been streamlined, with each data element collected only once, stored in a database, and placed in all appropriate sections of the application.  Applicable information entered during </w:t>
      </w:r>
      <w:r w:rsidRPr="00E54CCE">
        <w:t>CoC</w:t>
      </w:r>
      <w:r>
        <w:t xml:space="preserve"> Registration will be imported to the currently approved </w:t>
      </w:r>
      <w:r w:rsidRPr="00E54CCE">
        <w:t>CoC</w:t>
      </w:r>
      <w:r>
        <w:t xml:space="preserve"> Homeless Assistance application.  For </w:t>
      </w:r>
      <w:r w:rsidRPr="00E54CCE">
        <w:t>CoC</w:t>
      </w:r>
      <w:r>
        <w:t xml:space="preserve">’s that applied in the previous year’s competition, information that remains the same from competition to competition will be stored in the database and may be utilized by applicants in the next year’s competition.  </w:t>
      </w:r>
    </w:p>
    <w:p w:rsidR="00693613" w:rsidRDefault="00693613" w:rsidP="00693613"/>
    <w:p w:rsidR="00693613" w:rsidRDefault="00693613" w:rsidP="00693613">
      <w:r>
        <w:t>The CoC model is only used by the CoC Homeless Assistance Programs and so information from other HUD programs is not relevant to the data collected during CoC Registration.  However, the electronic registration process is designed to lessen reporting burden on applicants by preventing duplication within Homeless Assistance application and reporting tools.</w:t>
      </w:r>
    </w:p>
    <w:p w:rsidR="00693613" w:rsidRDefault="00693613" w:rsidP="00693613"/>
    <w:p w:rsidR="00693613" w:rsidRDefault="00693613" w:rsidP="00693613">
      <w:r>
        <w:t xml:space="preserve"> </w:t>
      </w:r>
    </w:p>
    <w:p w:rsidR="00693613" w:rsidRDefault="00693613" w:rsidP="00693613">
      <w:pPr>
        <w:pStyle w:val="AbtHeadB"/>
      </w:pPr>
      <w:bookmarkStart w:id="39" w:name="_Toc224972105"/>
      <w:bookmarkStart w:id="40" w:name="_Toc233444281"/>
      <w:bookmarkStart w:id="41" w:name="_Toc311186218"/>
      <w:r>
        <w:t>A5</w:t>
      </w:r>
      <w:r>
        <w:tab/>
        <w:t>Small Businesses</w:t>
      </w:r>
      <w:bookmarkEnd w:id="39"/>
      <w:bookmarkEnd w:id="40"/>
      <w:bookmarkEnd w:id="41"/>
    </w:p>
    <w:p w:rsidR="00693613" w:rsidRDefault="00693613" w:rsidP="00693613">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rsidR="00693613" w:rsidRPr="00553BCC" w:rsidRDefault="00693613" w:rsidP="00693613">
      <w:pPr>
        <w:spacing w:after="240"/>
      </w:pPr>
      <w:r w:rsidRPr="00D07ED0">
        <w:t xml:space="preserve">The wide-range of applicants for </w:t>
      </w:r>
      <w:r w:rsidRPr="00E54CCE">
        <w:t>CoC</w:t>
      </w:r>
      <w:r w:rsidRPr="00D07ED0">
        <w:t xml:space="preserve"> funding (including states, local governments, private nonprofit organizations, and community mental health associations that are public nonprofit organizations) and the need to consider all applications on an equal basis make</w:t>
      </w:r>
      <w:r>
        <w:t>s</w:t>
      </w:r>
      <w:r w:rsidRPr="00D07ED0">
        <w:t xml:space="preserve"> it difficult to give special consideration to the burden placed on small entities by the collection of information.  Instead, efforts were made to minimize the burden placed on all applicants, while at the same </w:t>
      </w:r>
      <w:r w:rsidRPr="00D07ED0">
        <w:lastRenderedPageBreak/>
        <w:t>time ensuring that sufficient information will be provided to allow HUD to determine and select the best proposals</w:t>
      </w:r>
      <w:bookmarkStart w:id="42" w:name="_Toc224972106"/>
      <w:bookmarkStart w:id="43" w:name="_Toc233444282"/>
      <w:r>
        <w:t>.</w:t>
      </w:r>
    </w:p>
    <w:p w:rsidR="00693613" w:rsidRDefault="00693613" w:rsidP="00693613">
      <w:pPr>
        <w:pStyle w:val="AbtHeadB"/>
      </w:pPr>
      <w:bookmarkStart w:id="44" w:name="_Toc311186219"/>
      <w:r>
        <w:t>A6</w:t>
      </w:r>
      <w:r>
        <w:tab/>
      </w:r>
      <w:proofErr w:type="gramStart"/>
      <w:r>
        <w:t>Less</w:t>
      </w:r>
      <w:proofErr w:type="gramEnd"/>
      <w:r>
        <w:t xml:space="preserve"> Frequent Data Collection</w:t>
      </w:r>
      <w:bookmarkEnd w:id="42"/>
      <w:bookmarkEnd w:id="43"/>
      <w:bookmarkEnd w:id="44"/>
    </w:p>
    <w:p w:rsidR="00693613" w:rsidRDefault="00693613" w:rsidP="00693613">
      <w:pPr>
        <w:keepLines/>
        <w:tabs>
          <w:tab w:val="left" w:pos="0"/>
        </w:tabs>
        <w:spacing w:after="24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00693613" w:rsidRDefault="00693613" w:rsidP="00693613">
      <w:pPr>
        <w:rPr>
          <w:spacing w:val="-2"/>
        </w:rPr>
      </w:pPr>
      <w:r w:rsidRPr="00B27735">
        <w:rPr>
          <w:spacing w:val="-2"/>
        </w:rPr>
        <w:t>All information collected is used to carefully</w:t>
      </w:r>
      <w:r>
        <w:rPr>
          <w:spacing w:val="-2"/>
        </w:rPr>
        <w:t xml:space="preserve"> to</w:t>
      </w:r>
      <w:r w:rsidRPr="00B27735">
        <w:rPr>
          <w:spacing w:val="-2"/>
        </w:rPr>
        <w:t xml:space="preserve"> consider applications for funding.  If HUD collects less information, or collects less frequently, the Department </w:t>
      </w:r>
      <w:r>
        <w:rPr>
          <w:spacing w:val="-2"/>
        </w:rPr>
        <w:t>will not be able to</w:t>
      </w:r>
      <w:r w:rsidRPr="00B27735">
        <w:rPr>
          <w:spacing w:val="-2"/>
        </w:rPr>
        <w:t xml:space="preserve"> determine the eligibility of applicants for grant funds and applicants will not be eligible to receive funding for the fiscal year</w:t>
      </w:r>
      <w:r>
        <w:rPr>
          <w:spacing w:val="-2"/>
        </w:rPr>
        <w:t>.</w:t>
      </w:r>
    </w:p>
    <w:p w:rsidR="00693613" w:rsidRDefault="00693613" w:rsidP="00693613">
      <w:pPr>
        <w:pStyle w:val="AbtHeadB"/>
        <w:spacing w:after="0"/>
      </w:pPr>
      <w:bookmarkStart w:id="45" w:name="_Toc224972107"/>
      <w:bookmarkStart w:id="46" w:name="_Toc233444283"/>
    </w:p>
    <w:p w:rsidR="00693613" w:rsidRPr="000E1981" w:rsidRDefault="00693613" w:rsidP="00693613">
      <w:pPr>
        <w:pStyle w:val="AbtHeadB"/>
      </w:pPr>
      <w:bookmarkStart w:id="47" w:name="_Toc311186220"/>
      <w:r>
        <w:t>A7</w:t>
      </w:r>
      <w:r>
        <w:tab/>
        <w:t>Special Circumstances</w:t>
      </w:r>
      <w:bookmarkEnd w:id="45"/>
      <w:bookmarkEnd w:id="46"/>
      <w:bookmarkEnd w:id="47"/>
    </w:p>
    <w:p w:rsidR="00693613" w:rsidRPr="000C48CF" w:rsidRDefault="00693613" w:rsidP="00693613">
      <w:pPr>
        <w:rPr>
          <w:rFonts w:ascii="Arial" w:hAnsi="Arial" w:cs="Arial"/>
          <w:i/>
        </w:rPr>
      </w:pPr>
      <w:r w:rsidRPr="000C48CF">
        <w:rPr>
          <w:rFonts w:ascii="Arial" w:hAnsi="Arial" w:cs="Arial"/>
          <w:i/>
        </w:rPr>
        <w:t>Explain any special circumstances that would cause an information collection to be conducted in a manner that would impose additional workload burden on recipients (see eight items listed in OMB guidance).</w:t>
      </w:r>
    </w:p>
    <w:p w:rsidR="00693613" w:rsidRPr="00CD521F" w:rsidRDefault="00693613" w:rsidP="00693613">
      <w:pPr>
        <w:rPr>
          <w:i/>
        </w:rPr>
      </w:pPr>
      <w:r>
        <w:rPr>
          <w:i/>
        </w:rPr>
        <w:t xml:space="preserve"> </w:t>
      </w:r>
    </w:p>
    <w:p w:rsidR="00693613" w:rsidRDefault="00693613" w:rsidP="00693613">
      <w:r w:rsidRPr="00B27735">
        <w:t>This information is being collected in a manner consistent with the guidelines in 5CFR 1320.6.  There are not special circumstances</w:t>
      </w:r>
      <w:r w:rsidRPr="005F6633">
        <w:t>.</w:t>
      </w:r>
    </w:p>
    <w:p w:rsidR="00693613" w:rsidRPr="000C48CF" w:rsidRDefault="00693613" w:rsidP="00693613">
      <w:pPr>
        <w:rPr>
          <w:rFonts w:ascii="Arial" w:hAnsi="Arial" w:cs="Arial"/>
        </w:rPr>
      </w:pPr>
    </w:p>
    <w:p w:rsidR="00693613" w:rsidRDefault="00693613" w:rsidP="00693613">
      <w:pPr>
        <w:pStyle w:val="AbtHeadB"/>
        <w:spacing w:after="240"/>
      </w:pPr>
      <w:bookmarkStart w:id="48" w:name="_Toc224972108"/>
      <w:bookmarkStart w:id="49" w:name="_Toc233444284"/>
      <w:bookmarkStart w:id="50" w:name="_Toc311186221"/>
      <w:r w:rsidRPr="005F6633">
        <w:t>A8</w:t>
      </w:r>
      <w:r w:rsidRPr="005F6633">
        <w:tab/>
        <w:t>Federal Register Notice/Outside Consultation</w:t>
      </w:r>
      <w:bookmarkEnd w:id="48"/>
      <w:bookmarkEnd w:id="49"/>
      <w:bookmarkEnd w:id="50"/>
    </w:p>
    <w:p w:rsidR="00693613" w:rsidRDefault="00693613" w:rsidP="00693613">
      <w:pPr>
        <w:keepLines/>
        <w:tabs>
          <w:tab w:val="left" w:pos="-110"/>
        </w:tabs>
        <w:spacing w:after="240"/>
        <w:rPr>
          <w:rFonts w:ascii="Arial" w:hAnsi="Arial"/>
          <w:i/>
          <w:color w:val="000000"/>
        </w:rPr>
      </w:pPr>
      <w:r>
        <w:rPr>
          <w:rFonts w:ascii="Arial" w:hAnsi="Arial"/>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693613" w:rsidRDefault="00693613" w:rsidP="00693613">
      <w:r w:rsidRPr="00D77C7C">
        <w:t>In accordance with the Paperwork Reduction Act of 1995, the Department of Housing and Urban Development published a notice in the Federal Register</w:t>
      </w:r>
      <w:r>
        <w:t xml:space="preserve"> on December 28, 2011, pages </w:t>
      </w:r>
      <w:r w:rsidRPr="00521532">
        <w:t>23491 -23492</w:t>
      </w:r>
      <w:r>
        <w:t>, and again on April 19, 2012, pages</w:t>
      </w:r>
      <w:r w:rsidRPr="00521532">
        <w:t xml:space="preserve"> 23491 -23492</w:t>
      </w:r>
      <w:r>
        <w:t xml:space="preserve">, </w:t>
      </w:r>
      <w:r w:rsidRPr="00B27735">
        <w:t>soliciting public comment on this request for approval of the revised information collection.  H</w:t>
      </w:r>
      <w:r>
        <w:t>UD received no comments</w:t>
      </w:r>
      <w:r w:rsidRPr="00D77C7C">
        <w:t xml:space="preserve">.  </w:t>
      </w:r>
      <w:r w:rsidRPr="00521532">
        <w:t>A copy of the Notice is in Attachment A.</w:t>
      </w:r>
    </w:p>
    <w:p w:rsidR="00693613" w:rsidRDefault="00693613" w:rsidP="00693613"/>
    <w:p w:rsidR="00693613" w:rsidRDefault="00693613" w:rsidP="00693613">
      <w:pPr>
        <w:pStyle w:val="AbtHeadB"/>
      </w:pPr>
      <w:bookmarkStart w:id="51" w:name="_Toc224972111"/>
      <w:bookmarkStart w:id="52" w:name="_Toc233444285"/>
      <w:bookmarkStart w:id="53" w:name="_Toc311186222"/>
      <w:r>
        <w:t>A9</w:t>
      </w:r>
      <w:r>
        <w:tab/>
        <w:t>Payment/Gift to Respondents</w:t>
      </w:r>
      <w:bookmarkEnd w:id="51"/>
      <w:bookmarkEnd w:id="52"/>
      <w:bookmarkEnd w:id="53"/>
    </w:p>
    <w:p w:rsidR="00693613" w:rsidRDefault="00693613" w:rsidP="00693613">
      <w:pPr>
        <w:keepLines/>
        <w:tabs>
          <w:tab w:val="left" w:pos="360"/>
        </w:tabs>
        <w:spacing w:after="240"/>
        <w:rPr>
          <w:rFonts w:ascii="Arial" w:hAnsi="Arial"/>
          <w:i/>
          <w:color w:val="000000"/>
        </w:rPr>
      </w:pPr>
      <w:r>
        <w:rPr>
          <w:rFonts w:ascii="Arial" w:hAnsi="Arial"/>
          <w:i/>
          <w:color w:val="000000"/>
        </w:rPr>
        <w:t>Explain any payments or gifts to respondents, other than remuneration of contractors or grantees.</w:t>
      </w:r>
    </w:p>
    <w:p w:rsidR="00693613" w:rsidRDefault="00693613" w:rsidP="00693613">
      <w:r>
        <w:t>No payment or</w:t>
      </w:r>
      <w:r w:rsidRPr="00B27735">
        <w:t xml:space="preserve"> gift to respondent</w:t>
      </w:r>
      <w:r>
        <w:t>s</w:t>
      </w:r>
      <w:r w:rsidRPr="00B27735">
        <w:t xml:space="preserve"> is allowed</w:t>
      </w:r>
      <w:r w:rsidRPr="00ED7E08">
        <w:t>.</w:t>
      </w:r>
    </w:p>
    <w:p w:rsidR="00693613" w:rsidRPr="000C48CF" w:rsidRDefault="00693613" w:rsidP="00693613">
      <w:pPr>
        <w:rPr>
          <w:sz w:val="20"/>
        </w:rPr>
      </w:pPr>
    </w:p>
    <w:p w:rsidR="00693613" w:rsidRDefault="00693613" w:rsidP="00693613">
      <w:pPr>
        <w:pStyle w:val="AbtHeadB"/>
        <w:spacing w:after="240"/>
      </w:pPr>
      <w:bookmarkStart w:id="54" w:name="_Toc224972112"/>
      <w:bookmarkStart w:id="55" w:name="_Toc233444286"/>
      <w:bookmarkStart w:id="56" w:name="_Toc311186223"/>
      <w:r>
        <w:lastRenderedPageBreak/>
        <w:t>A10</w:t>
      </w:r>
      <w:r>
        <w:tab/>
        <w:t>Confidentiality</w:t>
      </w:r>
      <w:bookmarkEnd w:id="54"/>
      <w:bookmarkEnd w:id="55"/>
      <w:bookmarkEnd w:id="56"/>
    </w:p>
    <w:p w:rsidR="00693613" w:rsidRDefault="00693613" w:rsidP="00693613">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rsidR="00693613" w:rsidRPr="000C48CF" w:rsidRDefault="00693613" w:rsidP="00693613">
      <w:pPr>
        <w:rPr>
          <w:sz w:val="20"/>
        </w:rPr>
      </w:pPr>
    </w:p>
    <w:p w:rsidR="00693613" w:rsidRDefault="00693613" w:rsidP="00693613">
      <w:r w:rsidRPr="00B27735">
        <w:t>No assurances of confidentiality are offered</w:t>
      </w:r>
      <w:r w:rsidRPr="005F6633">
        <w:t>.</w:t>
      </w:r>
      <w:r>
        <w:t xml:space="preserve">  </w:t>
      </w:r>
    </w:p>
    <w:p w:rsidR="00693613" w:rsidRPr="000C48CF" w:rsidRDefault="00693613" w:rsidP="00693613">
      <w:pPr>
        <w:pStyle w:val="AbtHeadB"/>
        <w:spacing w:after="0"/>
        <w:rPr>
          <w:sz w:val="20"/>
        </w:rPr>
      </w:pPr>
      <w:bookmarkStart w:id="57" w:name="_Toc224972113"/>
      <w:bookmarkStart w:id="58" w:name="_Toc233444287"/>
    </w:p>
    <w:p w:rsidR="00693613" w:rsidRDefault="00693613" w:rsidP="00693613">
      <w:pPr>
        <w:pStyle w:val="AbtHeadB"/>
        <w:spacing w:after="240"/>
      </w:pPr>
      <w:bookmarkStart w:id="59" w:name="_Toc311186224"/>
      <w:r>
        <w:t>A11</w:t>
      </w:r>
      <w:r>
        <w:tab/>
        <w:t>Sensitive Questions</w:t>
      </w:r>
      <w:bookmarkEnd w:id="57"/>
      <w:bookmarkEnd w:id="58"/>
      <w:bookmarkEnd w:id="59"/>
    </w:p>
    <w:p w:rsidR="00693613" w:rsidRDefault="00693613" w:rsidP="00693613">
      <w:pPr>
        <w:keepLines/>
        <w:tabs>
          <w:tab w:val="left" w:pos="360"/>
          <w:tab w:val="left" w:pos="720"/>
        </w:tabs>
        <w:rPr>
          <w:rFonts w:ascii="Arial" w:hAnsi="Arial"/>
          <w:i/>
          <w:color w:val="000000"/>
        </w:rPr>
      </w:pPr>
      <w:r>
        <w:rPr>
          <w:rFonts w:ascii="Arial" w:hAnsi="Arial"/>
          <w:i/>
          <w:color w:val="000000"/>
        </w:rPr>
        <w:t>Justify any questions of a sensitive nature, such as sexual, religious beliefs, and other matters that are commonly considered private.</w:t>
      </w:r>
    </w:p>
    <w:p w:rsidR="00693613" w:rsidRPr="00BB6789" w:rsidRDefault="00693613" w:rsidP="00693613">
      <w:pPr>
        <w:keepLines/>
        <w:tabs>
          <w:tab w:val="left" w:pos="360"/>
          <w:tab w:val="left" w:pos="720"/>
        </w:tabs>
        <w:rPr>
          <w:rFonts w:ascii="Arial" w:hAnsi="Arial"/>
          <w:color w:val="000000"/>
        </w:rPr>
      </w:pPr>
    </w:p>
    <w:p w:rsidR="00693613" w:rsidRDefault="00693613" w:rsidP="00693613">
      <w:pPr>
        <w:pStyle w:val="BodyText"/>
      </w:pPr>
      <w:r w:rsidRPr="00B27735">
        <w:t>This information collection does not include any questions of a sensitive nature</w:t>
      </w:r>
      <w:r w:rsidRPr="005F6633">
        <w:t>.</w:t>
      </w:r>
    </w:p>
    <w:p w:rsidR="00693613" w:rsidRDefault="00693613" w:rsidP="00693613"/>
    <w:p w:rsidR="00693613" w:rsidRDefault="00693613" w:rsidP="00693613">
      <w:pPr>
        <w:pStyle w:val="AbtHeadB"/>
      </w:pPr>
      <w:bookmarkStart w:id="60" w:name="_Toc224972114"/>
      <w:bookmarkStart w:id="61" w:name="_Toc233444288"/>
      <w:bookmarkStart w:id="62" w:name="_Toc311186225"/>
      <w:r>
        <w:t>A12</w:t>
      </w:r>
      <w:r>
        <w:tab/>
        <w:t>Burden Estimate (Total Hours and Wages)</w:t>
      </w:r>
      <w:bookmarkEnd w:id="60"/>
      <w:bookmarkEnd w:id="61"/>
      <w:bookmarkEnd w:id="62"/>
    </w:p>
    <w:p w:rsidR="00693613" w:rsidRDefault="00693613" w:rsidP="00693613">
      <w:pPr>
        <w:autoSpaceDE w:val="0"/>
        <w:autoSpaceDN w:val="0"/>
        <w:adjustRightInd w:val="0"/>
        <w:rPr>
          <w:color w:val="000000"/>
        </w:rPr>
      </w:pPr>
      <w:r>
        <w:rPr>
          <w:rFonts w:ascii="Arial" w:hAnsi="Arial"/>
          <w:i/>
          <w:color w:val="000000"/>
        </w:rPr>
        <w:t>Estimate public burden: number of respondents, frequency of response, annual hour burden.  Explain how the burden was estimated.</w:t>
      </w:r>
    </w:p>
    <w:p w:rsidR="00693613" w:rsidRDefault="00693613" w:rsidP="00693613"/>
    <w:p w:rsidR="00693613" w:rsidRDefault="00693613" w:rsidP="00693613">
      <w:pPr>
        <w:autoSpaceDE w:val="0"/>
        <w:autoSpaceDN w:val="0"/>
        <w:adjustRightInd w:val="0"/>
        <w:rPr>
          <w:color w:val="000000"/>
        </w:rPr>
      </w:pPr>
      <w:r w:rsidRPr="004443D8">
        <w:rPr>
          <w:color w:val="000000"/>
        </w:rPr>
        <w:t>Exhibit A-</w:t>
      </w:r>
      <w:r>
        <w:rPr>
          <w:color w:val="000000"/>
        </w:rPr>
        <w:t>1</w:t>
      </w:r>
      <w:r w:rsidRPr="004443D8">
        <w:rPr>
          <w:color w:val="000000"/>
        </w:rPr>
        <w:t xml:space="preserve"> </w:t>
      </w:r>
      <w:r w:rsidRPr="004443D8">
        <w:rPr>
          <w:color w:val="000000"/>
          <w:szCs w:val="22"/>
        </w:rPr>
        <w:t>below demonstrat</w:t>
      </w:r>
      <w:r>
        <w:rPr>
          <w:color w:val="000000"/>
          <w:szCs w:val="22"/>
        </w:rPr>
        <w:t xml:space="preserve">es how the public burden for </w:t>
      </w:r>
      <w:r>
        <w:rPr>
          <w:color w:val="000000"/>
        </w:rPr>
        <w:t>t</w:t>
      </w:r>
      <w:r w:rsidRPr="00B27735">
        <w:rPr>
          <w:color w:val="000000"/>
        </w:rPr>
        <w:t xml:space="preserve">he </w:t>
      </w:r>
      <w:r w:rsidRPr="00E54CCE">
        <w:t>CoC</w:t>
      </w:r>
      <w:r w:rsidRPr="00B27735">
        <w:rPr>
          <w:color w:val="000000"/>
        </w:rPr>
        <w:t xml:space="preserve"> Homeless Assistance Application</w:t>
      </w:r>
      <w:r>
        <w:rPr>
          <w:color w:val="000000"/>
        </w:rPr>
        <w:t xml:space="preserve"> </w:t>
      </w:r>
      <w:r w:rsidRPr="00B27735">
        <w:rPr>
          <w:color w:val="000000"/>
        </w:rPr>
        <w:t>Registration, the beginning of HUD-40090-</w:t>
      </w:r>
      <w:r w:rsidRPr="00081099">
        <w:t>1 (CoC Application)</w:t>
      </w:r>
      <w:r w:rsidR="00B867DD" w:rsidRPr="00081099">
        <w:t xml:space="preserve"> and</w:t>
      </w:r>
      <w:r>
        <w:rPr>
          <w:color w:val="000000"/>
        </w:rPr>
        <w:t xml:space="preserve"> </w:t>
      </w:r>
      <w:r w:rsidR="00B867DD">
        <w:rPr>
          <w:color w:val="000000"/>
        </w:rPr>
        <w:t>included in the CoC Program interim rule</w:t>
      </w:r>
      <w:r w:rsidR="00B867DD" w:rsidRPr="00B867DD">
        <w:rPr>
          <w:color w:val="000000"/>
        </w:rPr>
        <w:t xml:space="preserve"> § 578.9</w:t>
      </w:r>
      <w:r w:rsidR="00B867DD">
        <w:rPr>
          <w:color w:val="000000"/>
        </w:rPr>
        <w:t xml:space="preserve"> CoC application for funds, </w:t>
      </w:r>
      <w:r>
        <w:rPr>
          <w:color w:val="000000"/>
        </w:rPr>
        <w:t>was calculated</w:t>
      </w:r>
      <w:r w:rsidRPr="00B27735">
        <w:rPr>
          <w:color w:val="000000"/>
        </w:rPr>
        <w:t>.  Approximately 450 CoCs, covering every geographic area of almost every state, will submit this form</w:t>
      </w:r>
      <w:r w:rsidR="00D9339E">
        <w:rPr>
          <w:color w:val="000000"/>
        </w:rPr>
        <w:t>, including the GIW</w:t>
      </w:r>
      <w:r w:rsidRPr="00B27735">
        <w:rPr>
          <w:color w:val="000000"/>
        </w:rPr>
        <w:t>.  Estimates of public burden have been derived through program staff experience and input from previous applicants</w:t>
      </w:r>
      <w:r w:rsidR="00D9339E">
        <w:rPr>
          <w:color w:val="000000"/>
        </w:rPr>
        <w:t xml:space="preserve"> regarding the time it takes to verify the GIW and update all relevant </w:t>
      </w:r>
      <w:r w:rsidR="00365C78">
        <w:rPr>
          <w:color w:val="000000"/>
        </w:rPr>
        <w:t xml:space="preserve">Registration </w:t>
      </w:r>
      <w:r w:rsidR="00D9339E">
        <w:rPr>
          <w:color w:val="000000"/>
        </w:rPr>
        <w:t>forms.</w:t>
      </w:r>
      <w:r w:rsidR="00365C78">
        <w:rPr>
          <w:color w:val="000000"/>
        </w:rPr>
        <w:t xml:space="preserve"> The CoC Merger Worksheet</w:t>
      </w:r>
      <w:r w:rsidR="00365C78" w:rsidRPr="00365C78">
        <w:rPr>
          <w:color w:val="000000"/>
        </w:rPr>
        <w:t xml:space="preserve"> referenced in q</w:t>
      </w:r>
      <w:r w:rsidR="00365C78">
        <w:rPr>
          <w:color w:val="000000"/>
        </w:rPr>
        <w:t xml:space="preserve">uestion </w:t>
      </w:r>
      <w:r w:rsidR="00365C78" w:rsidRPr="00365C78">
        <w:rPr>
          <w:color w:val="000000"/>
        </w:rPr>
        <w:t>2</w:t>
      </w:r>
      <w:r w:rsidR="00365C78">
        <w:rPr>
          <w:color w:val="000000"/>
        </w:rPr>
        <w:t xml:space="preserve"> above</w:t>
      </w:r>
      <w:r w:rsidR="00365C78" w:rsidRPr="00365C78">
        <w:rPr>
          <w:color w:val="000000"/>
        </w:rPr>
        <w:t>, is optional, and fil</w:t>
      </w:r>
      <w:r w:rsidR="00365C78">
        <w:rPr>
          <w:color w:val="000000"/>
        </w:rPr>
        <w:t>led out by very few respondents, and so has a negligible overall impact on the average burden per applicant</w:t>
      </w:r>
      <w:r w:rsidR="00365C78" w:rsidRPr="00365C78">
        <w:rPr>
          <w:color w:val="000000"/>
        </w:rPr>
        <w:t xml:space="preserve">. </w:t>
      </w:r>
    </w:p>
    <w:p w:rsidR="00365C78" w:rsidRDefault="00365C78" w:rsidP="00693613">
      <w:pPr>
        <w:autoSpaceDE w:val="0"/>
        <w:autoSpaceDN w:val="0"/>
        <w:adjustRightInd w:val="0"/>
        <w:rPr>
          <w:color w:val="000000"/>
        </w:rPr>
      </w:pPr>
    </w:p>
    <w:p w:rsidR="00693613" w:rsidRDefault="00693613" w:rsidP="00693613">
      <w:pPr>
        <w:jc w:val="center"/>
        <w:rPr>
          <w:rFonts w:ascii="Arial" w:hAnsi="Arial"/>
          <w:b/>
          <w:sz w:val="20"/>
        </w:rPr>
      </w:pPr>
      <w:r>
        <w:rPr>
          <w:rFonts w:ascii="Arial" w:hAnsi="Arial"/>
          <w:b/>
          <w:sz w:val="20"/>
        </w:rPr>
        <w:t xml:space="preserve">Exhibit A-1: Estimated </w:t>
      </w:r>
      <w:r w:rsidRPr="00ED7E08">
        <w:rPr>
          <w:rFonts w:ascii="Arial" w:hAnsi="Arial"/>
          <w:b/>
          <w:sz w:val="20"/>
        </w:rPr>
        <w:t>Annual</w:t>
      </w:r>
      <w:r>
        <w:rPr>
          <w:rFonts w:ascii="Arial" w:hAnsi="Arial"/>
          <w:b/>
          <w:sz w:val="20"/>
        </w:rPr>
        <w:t xml:space="preserve"> Burden Hours for CoC Registration</w:t>
      </w:r>
    </w:p>
    <w:p w:rsidR="00693613" w:rsidRDefault="00693613" w:rsidP="00693613">
      <w:pPr>
        <w:autoSpaceDE w:val="0"/>
        <w:autoSpaceDN w:val="0"/>
        <w:adjustRightInd w:val="0"/>
        <w:rPr>
          <w:color w:val="000000"/>
        </w:rPr>
      </w:pPr>
    </w:p>
    <w:tbl>
      <w:tblPr>
        <w:tblStyle w:val="TableGrid"/>
        <w:tblW w:w="0" w:type="auto"/>
        <w:tblInd w:w="-72" w:type="dxa"/>
        <w:tblLayout w:type="fixed"/>
        <w:tblLook w:val="04A0" w:firstRow="1" w:lastRow="0" w:firstColumn="1" w:lastColumn="0" w:noHBand="0" w:noVBand="1"/>
      </w:tblPr>
      <w:tblGrid>
        <w:gridCol w:w="4050"/>
        <w:gridCol w:w="1260"/>
        <w:gridCol w:w="1080"/>
        <w:gridCol w:w="1350"/>
        <w:gridCol w:w="1080"/>
        <w:gridCol w:w="828"/>
      </w:tblGrid>
      <w:tr w:rsidR="00693613" w:rsidTr="00F07400">
        <w:tc>
          <w:tcPr>
            <w:tcW w:w="4050" w:type="dxa"/>
            <w:shd w:val="clear" w:color="auto" w:fill="808080" w:themeFill="background1" w:themeFillShade="80"/>
            <w:vAlign w:val="center"/>
          </w:tcPr>
          <w:p w:rsidR="00693613" w:rsidRPr="009613CA" w:rsidRDefault="00693613" w:rsidP="00F07400">
            <w:pPr>
              <w:snapToGrid w:val="0"/>
              <w:jc w:val="center"/>
              <w:rPr>
                <w:b/>
                <w:bCs/>
              </w:rPr>
            </w:pPr>
            <w:r>
              <w:rPr>
                <w:rFonts w:ascii="Arial" w:hAnsi="Arial"/>
                <w:b/>
                <w:color w:val="FFFFFF"/>
                <w:sz w:val="20"/>
              </w:rPr>
              <w:t>A</w:t>
            </w:r>
          </w:p>
        </w:tc>
        <w:tc>
          <w:tcPr>
            <w:tcW w:w="1260" w:type="dxa"/>
            <w:shd w:val="clear" w:color="auto" w:fill="808080" w:themeFill="background1" w:themeFillShade="80"/>
            <w:vAlign w:val="center"/>
          </w:tcPr>
          <w:p w:rsidR="00693613" w:rsidRPr="009613CA" w:rsidRDefault="00693613" w:rsidP="00F07400">
            <w:pPr>
              <w:snapToGrid w:val="0"/>
              <w:jc w:val="center"/>
              <w:rPr>
                <w:b/>
                <w:bCs/>
              </w:rPr>
            </w:pPr>
            <w:r>
              <w:rPr>
                <w:rFonts w:ascii="Arial" w:hAnsi="Arial"/>
                <w:b/>
                <w:color w:val="FFFFFF"/>
                <w:sz w:val="20"/>
              </w:rPr>
              <w:t>B</w:t>
            </w:r>
          </w:p>
        </w:tc>
        <w:tc>
          <w:tcPr>
            <w:tcW w:w="1080" w:type="dxa"/>
            <w:shd w:val="clear" w:color="auto" w:fill="808080" w:themeFill="background1" w:themeFillShade="80"/>
            <w:vAlign w:val="center"/>
          </w:tcPr>
          <w:p w:rsidR="00693613" w:rsidRPr="000B7D63" w:rsidRDefault="00693613" w:rsidP="00F07400">
            <w:pPr>
              <w:snapToGrid w:val="0"/>
              <w:jc w:val="center"/>
              <w:rPr>
                <w:rFonts w:ascii="Arial" w:hAnsi="Arial" w:cs="Arial"/>
                <w:b/>
                <w:bCs/>
                <w:color w:val="FFFFFF" w:themeColor="background1"/>
                <w:sz w:val="20"/>
              </w:rPr>
            </w:pPr>
            <w:r>
              <w:rPr>
                <w:rFonts w:ascii="Arial" w:hAnsi="Arial" w:cs="Arial"/>
                <w:b/>
                <w:bCs/>
                <w:color w:val="FFFFFF" w:themeColor="background1"/>
                <w:sz w:val="20"/>
              </w:rPr>
              <w:t>C</w:t>
            </w:r>
          </w:p>
        </w:tc>
        <w:tc>
          <w:tcPr>
            <w:tcW w:w="1350" w:type="dxa"/>
            <w:shd w:val="clear" w:color="auto" w:fill="808080" w:themeFill="background1" w:themeFillShade="80"/>
            <w:vAlign w:val="center"/>
          </w:tcPr>
          <w:p w:rsidR="00693613" w:rsidRPr="000B7D63" w:rsidRDefault="00693613" w:rsidP="00F07400">
            <w:pPr>
              <w:snapToGrid w:val="0"/>
              <w:jc w:val="center"/>
              <w:rPr>
                <w:rFonts w:ascii="Arial" w:hAnsi="Arial" w:cs="Arial"/>
                <w:b/>
                <w:bCs/>
                <w:color w:val="FFFFFF" w:themeColor="background1"/>
                <w:sz w:val="20"/>
              </w:rPr>
            </w:pPr>
            <w:r>
              <w:rPr>
                <w:rFonts w:ascii="Arial" w:hAnsi="Arial" w:cs="Arial"/>
                <w:b/>
                <w:bCs/>
                <w:color w:val="FFFFFF" w:themeColor="background1"/>
                <w:sz w:val="20"/>
              </w:rPr>
              <w:t>D</w:t>
            </w:r>
          </w:p>
        </w:tc>
        <w:tc>
          <w:tcPr>
            <w:tcW w:w="1080" w:type="dxa"/>
            <w:shd w:val="clear" w:color="auto" w:fill="808080" w:themeFill="background1" w:themeFillShade="80"/>
            <w:vAlign w:val="center"/>
          </w:tcPr>
          <w:p w:rsidR="00693613" w:rsidRPr="000B7D63" w:rsidRDefault="00693613" w:rsidP="00F07400">
            <w:pPr>
              <w:snapToGrid w:val="0"/>
              <w:jc w:val="center"/>
              <w:rPr>
                <w:rFonts w:ascii="Arial" w:hAnsi="Arial" w:cs="Arial"/>
                <w:b/>
                <w:bCs/>
                <w:color w:val="FFFFFF" w:themeColor="background1"/>
                <w:sz w:val="20"/>
              </w:rPr>
            </w:pPr>
            <w:r>
              <w:rPr>
                <w:rFonts w:ascii="Arial" w:hAnsi="Arial" w:cs="Arial"/>
                <w:b/>
                <w:bCs/>
                <w:color w:val="FFFFFF" w:themeColor="background1"/>
                <w:sz w:val="20"/>
              </w:rPr>
              <w:t>E</w:t>
            </w:r>
          </w:p>
        </w:tc>
        <w:tc>
          <w:tcPr>
            <w:tcW w:w="828" w:type="dxa"/>
            <w:shd w:val="clear" w:color="auto" w:fill="808080" w:themeFill="background1" w:themeFillShade="80"/>
            <w:vAlign w:val="center"/>
          </w:tcPr>
          <w:p w:rsidR="00693613" w:rsidRPr="000B7D63" w:rsidRDefault="00693613" w:rsidP="00F07400">
            <w:pPr>
              <w:snapToGrid w:val="0"/>
              <w:jc w:val="center"/>
              <w:rPr>
                <w:rFonts w:ascii="Arial" w:hAnsi="Arial" w:cs="Arial"/>
                <w:b/>
                <w:bCs/>
                <w:color w:val="FFFFFF" w:themeColor="background1"/>
                <w:sz w:val="20"/>
              </w:rPr>
            </w:pPr>
            <w:r>
              <w:rPr>
                <w:rFonts w:ascii="Arial" w:hAnsi="Arial" w:cs="Arial"/>
                <w:b/>
                <w:bCs/>
                <w:color w:val="FFFFFF" w:themeColor="background1"/>
                <w:sz w:val="20"/>
              </w:rPr>
              <w:t>F</w:t>
            </w:r>
          </w:p>
        </w:tc>
      </w:tr>
      <w:tr w:rsidR="00693613" w:rsidTr="00F07400">
        <w:trPr>
          <w:trHeight w:val="458"/>
        </w:trPr>
        <w:tc>
          <w:tcPr>
            <w:tcW w:w="4050" w:type="dxa"/>
          </w:tcPr>
          <w:p w:rsidR="00693613" w:rsidRDefault="00693613" w:rsidP="00F07400">
            <w:pPr>
              <w:jc w:val="center"/>
              <w:rPr>
                <w:sz w:val="20"/>
                <w:szCs w:val="20"/>
              </w:rPr>
            </w:pPr>
          </w:p>
          <w:p w:rsidR="00693613" w:rsidRDefault="00693613" w:rsidP="00F07400">
            <w:pPr>
              <w:jc w:val="center"/>
              <w:rPr>
                <w:sz w:val="20"/>
                <w:szCs w:val="20"/>
              </w:rPr>
            </w:pPr>
            <w:r>
              <w:rPr>
                <w:sz w:val="20"/>
                <w:szCs w:val="20"/>
              </w:rPr>
              <w:t>Submission Documents</w:t>
            </w:r>
          </w:p>
        </w:tc>
        <w:tc>
          <w:tcPr>
            <w:tcW w:w="1260" w:type="dxa"/>
          </w:tcPr>
          <w:p w:rsidR="00693613" w:rsidRDefault="00693613" w:rsidP="00F07400">
            <w:pPr>
              <w:jc w:val="center"/>
              <w:rPr>
                <w:sz w:val="20"/>
                <w:szCs w:val="20"/>
              </w:rPr>
            </w:pPr>
            <w:r>
              <w:rPr>
                <w:sz w:val="20"/>
                <w:szCs w:val="20"/>
              </w:rPr>
              <w:t>Number of Respondents</w:t>
            </w:r>
          </w:p>
        </w:tc>
        <w:tc>
          <w:tcPr>
            <w:tcW w:w="1080" w:type="dxa"/>
          </w:tcPr>
          <w:p w:rsidR="00693613" w:rsidRDefault="00693613" w:rsidP="00F07400">
            <w:pPr>
              <w:jc w:val="center"/>
              <w:rPr>
                <w:sz w:val="20"/>
                <w:szCs w:val="20"/>
              </w:rPr>
            </w:pPr>
            <w:r>
              <w:rPr>
                <w:sz w:val="20"/>
                <w:szCs w:val="20"/>
              </w:rPr>
              <w:t>Responses per Year</w:t>
            </w:r>
          </w:p>
        </w:tc>
        <w:tc>
          <w:tcPr>
            <w:tcW w:w="1350" w:type="dxa"/>
          </w:tcPr>
          <w:p w:rsidR="00693613" w:rsidRDefault="00693613" w:rsidP="00F07400">
            <w:pPr>
              <w:jc w:val="center"/>
              <w:rPr>
                <w:sz w:val="20"/>
                <w:szCs w:val="20"/>
              </w:rPr>
            </w:pPr>
            <w:r>
              <w:rPr>
                <w:sz w:val="20"/>
                <w:szCs w:val="20"/>
              </w:rPr>
              <w:t>Total Annual Responses</w:t>
            </w:r>
          </w:p>
        </w:tc>
        <w:tc>
          <w:tcPr>
            <w:tcW w:w="1080" w:type="dxa"/>
          </w:tcPr>
          <w:p w:rsidR="00693613" w:rsidRDefault="00693613" w:rsidP="00F07400">
            <w:pPr>
              <w:jc w:val="center"/>
              <w:rPr>
                <w:sz w:val="20"/>
                <w:szCs w:val="20"/>
              </w:rPr>
            </w:pPr>
            <w:r>
              <w:rPr>
                <w:sz w:val="20"/>
                <w:szCs w:val="20"/>
              </w:rPr>
              <w:t>Hours per Response</w:t>
            </w:r>
          </w:p>
        </w:tc>
        <w:tc>
          <w:tcPr>
            <w:tcW w:w="828" w:type="dxa"/>
          </w:tcPr>
          <w:p w:rsidR="00693613" w:rsidRDefault="00693613" w:rsidP="00F07400">
            <w:pPr>
              <w:jc w:val="center"/>
              <w:rPr>
                <w:sz w:val="20"/>
                <w:szCs w:val="20"/>
              </w:rPr>
            </w:pPr>
            <w:r>
              <w:rPr>
                <w:sz w:val="20"/>
                <w:szCs w:val="20"/>
              </w:rPr>
              <w:t>Total Hours</w:t>
            </w:r>
          </w:p>
        </w:tc>
      </w:tr>
      <w:tr w:rsidR="00693613" w:rsidTr="00F07400">
        <w:tc>
          <w:tcPr>
            <w:tcW w:w="4050" w:type="dxa"/>
          </w:tcPr>
          <w:p w:rsidR="00693613" w:rsidRDefault="00693613" w:rsidP="00F07400">
            <w:pPr>
              <w:rPr>
                <w:sz w:val="20"/>
                <w:szCs w:val="20"/>
              </w:rPr>
            </w:pPr>
            <w:r>
              <w:rPr>
                <w:sz w:val="20"/>
                <w:szCs w:val="20"/>
              </w:rPr>
              <w:t>CoC Registration Process</w:t>
            </w:r>
          </w:p>
        </w:tc>
        <w:tc>
          <w:tcPr>
            <w:tcW w:w="1260" w:type="dxa"/>
          </w:tcPr>
          <w:p w:rsidR="00693613" w:rsidRDefault="00693613" w:rsidP="00F07400">
            <w:pPr>
              <w:jc w:val="right"/>
              <w:rPr>
                <w:sz w:val="20"/>
                <w:szCs w:val="20"/>
              </w:rPr>
            </w:pPr>
            <w:r>
              <w:rPr>
                <w:sz w:val="20"/>
                <w:szCs w:val="20"/>
              </w:rPr>
              <w:t>450</w:t>
            </w:r>
          </w:p>
        </w:tc>
        <w:tc>
          <w:tcPr>
            <w:tcW w:w="1080" w:type="dxa"/>
          </w:tcPr>
          <w:p w:rsidR="00693613" w:rsidRDefault="00BF698C" w:rsidP="00F07400">
            <w:pPr>
              <w:jc w:val="right"/>
              <w:rPr>
                <w:sz w:val="20"/>
                <w:szCs w:val="20"/>
              </w:rPr>
            </w:pPr>
            <w:r>
              <w:rPr>
                <w:sz w:val="20"/>
                <w:szCs w:val="20"/>
              </w:rPr>
              <w:t>2</w:t>
            </w:r>
          </w:p>
        </w:tc>
        <w:tc>
          <w:tcPr>
            <w:tcW w:w="1350" w:type="dxa"/>
          </w:tcPr>
          <w:p w:rsidR="00693613" w:rsidRDefault="00693613" w:rsidP="00F07400">
            <w:pPr>
              <w:jc w:val="right"/>
              <w:rPr>
                <w:sz w:val="20"/>
                <w:szCs w:val="20"/>
              </w:rPr>
            </w:pPr>
            <w:r>
              <w:rPr>
                <w:sz w:val="20"/>
                <w:szCs w:val="20"/>
              </w:rPr>
              <w:t>450</w:t>
            </w:r>
          </w:p>
        </w:tc>
        <w:tc>
          <w:tcPr>
            <w:tcW w:w="1080" w:type="dxa"/>
          </w:tcPr>
          <w:p w:rsidR="00693613" w:rsidRDefault="001372FE" w:rsidP="00F07400">
            <w:pPr>
              <w:jc w:val="right"/>
              <w:rPr>
                <w:sz w:val="20"/>
                <w:szCs w:val="20"/>
              </w:rPr>
            </w:pPr>
            <w:r>
              <w:rPr>
                <w:sz w:val="20"/>
                <w:szCs w:val="20"/>
              </w:rPr>
              <w:t>2</w:t>
            </w:r>
            <w:r w:rsidR="00693613">
              <w:rPr>
                <w:sz w:val="20"/>
                <w:szCs w:val="20"/>
              </w:rPr>
              <w:t>.00</w:t>
            </w:r>
          </w:p>
        </w:tc>
        <w:tc>
          <w:tcPr>
            <w:tcW w:w="828" w:type="dxa"/>
          </w:tcPr>
          <w:p w:rsidR="00693613" w:rsidRDefault="00BF698C" w:rsidP="00F07400">
            <w:pPr>
              <w:jc w:val="right"/>
              <w:rPr>
                <w:sz w:val="20"/>
                <w:szCs w:val="20"/>
              </w:rPr>
            </w:pPr>
            <w:r>
              <w:rPr>
                <w:sz w:val="20"/>
                <w:szCs w:val="20"/>
              </w:rPr>
              <w:t>900</w:t>
            </w:r>
            <w:r w:rsidR="00693613">
              <w:rPr>
                <w:sz w:val="20"/>
                <w:szCs w:val="20"/>
              </w:rPr>
              <w:t>.00</w:t>
            </w:r>
          </w:p>
        </w:tc>
      </w:tr>
      <w:tr w:rsidR="00693613" w:rsidTr="00F07400">
        <w:tc>
          <w:tcPr>
            <w:tcW w:w="4050" w:type="dxa"/>
          </w:tcPr>
          <w:p w:rsidR="00693613" w:rsidRDefault="00693613" w:rsidP="00F07400">
            <w:pPr>
              <w:ind w:left="720"/>
              <w:rPr>
                <w:sz w:val="20"/>
                <w:szCs w:val="20"/>
              </w:rPr>
            </w:pPr>
            <w:r>
              <w:rPr>
                <w:sz w:val="20"/>
                <w:szCs w:val="20"/>
              </w:rPr>
              <w:t>Subtotal</w:t>
            </w:r>
          </w:p>
        </w:tc>
        <w:tc>
          <w:tcPr>
            <w:tcW w:w="1260" w:type="dxa"/>
          </w:tcPr>
          <w:p w:rsidR="00693613" w:rsidRDefault="00693613" w:rsidP="00F07400">
            <w:pPr>
              <w:jc w:val="right"/>
              <w:rPr>
                <w:sz w:val="20"/>
                <w:szCs w:val="20"/>
              </w:rPr>
            </w:pPr>
            <w:r>
              <w:rPr>
                <w:sz w:val="20"/>
                <w:szCs w:val="20"/>
              </w:rPr>
              <w:t>450</w:t>
            </w:r>
          </w:p>
        </w:tc>
        <w:tc>
          <w:tcPr>
            <w:tcW w:w="1080" w:type="dxa"/>
          </w:tcPr>
          <w:p w:rsidR="00693613" w:rsidRDefault="00693613" w:rsidP="00F07400">
            <w:pPr>
              <w:jc w:val="right"/>
              <w:rPr>
                <w:sz w:val="20"/>
                <w:szCs w:val="20"/>
              </w:rPr>
            </w:pPr>
          </w:p>
        </w:tc>
        <w:tc>
          <w:tcPr>
            <w:tcW w:w="1350" w:type="dxa"/>
          </w:tcPr>
          <w:p w:rsidR="00693613" w:rsidRDefault="00693613" w:rsidP="00F07400">
            <w:pPr>
              <w:jc w:val="right"/>
              <w:rPr>
                <w:sz w:val="20"/>
                <w:szCs w:val="20"/>
              </w:rPr>
            </w:pPr>
            <w:r>
              <w:rPr>
                <w:sz w:val="20"/>
                <w:szCs w:val="20"/>
              </w:rPr>
              <w:t>450</w:t>
            </w:r>
          </w:p>
        </w:tc>
        <w:tc>
          <w:tcPr>
            <w:tcW w:w="1080" w:type="dxa"/>
          </w:tcPr>
          <w:p w:rsidR="00693613" w:rsidRDefault="00693613" w:rsidP="00F07400">
            <w:pPr>
              <w:jc w:val="right"/>
              <w:rPr>
                <w:sz w:val="20"/>
                <w:szCs w:val="20"/>
              </w:rPr>
            </w:pPr>
          </w:p>
        </w:tc>
        <w:tc>
          <w:tcPr>
            <w:tcW w:w="828" w:type="dxa"/>
          </w:tcPr>
          <w:p w:rsidR="00693613" w:rsidRDefault="001372FE" w:rsidP="00F07400">
            <w:pPr>
              <w:jc w:val="right"/>
              <w:rPr>
                <w:sz w:val="20"/>
                <w:szCs w:val="20"/>
              </w:rPr>
            </w:pPr>
            <w:r>
              <w:rPr>
                <w:sz w:val="20"/>
                <w:szCs w:val="20"/>
              </w:rPr>
              <w:t>90</w:t>
            </w:r>
            <w:r w:rsidR="00693613">
              <w:rPr>
                <w:sz w:val="20"/>
                <w:szCs w:val="20"/>
              </w:rPr>
              <w:t>0.00</w:t>
            </w:r>
          </w:p>
        </w:tc>
      </w:tr>
      <w:tr w:rsidR="00693613" w:rsidRPr="005C4B58" w:rsidTr="00F07400">
        <w:tc>
          <w:tcPr>
            <w:tcW w:w="4050" w:type="dxa"/>
          </w:tcPr>
          <w:p w:rsidR="00693613" w:rsidRPr="005C4B58" w:rsidRDefault="00693613" w:rsidP="00F07400">
            <w:pPr>
              <w:rPr>
                <w:b/>
                <w:sz w:val="20"/>
                <w:szCs w:val="20"/>
              </w:rPr>
            </w:pPr>
            <w:r w:rsidRPr="005C4B58">
              <w:rPr>
                <w:b/>
                <w:sz w:val="20"/>
                <w:szCs w:val="20"/>
              </w:rPr>
              <w:t>Total Grant Program Application Collection</w:t>
            </w:r>
          </w:p>
        </w:tc>
        <w:tc>
          <w:tcPr>
            <w:tcW w:w="1260" w:type="dxa"/>
          </w:tcPr>
          <w:p w:rsidR="00693613" w:rsidRPr="005C4B58" w:rsidRDefault="00693613" w:rsidP="00F07400">
            <w:pPr>
              <w:jc w:val="right"/>
              <w:rPr>
                <w:b/>
                <w:sz w:val="20"/>
                <w:szCs w:val="20"/>
              </w:rPr>
            </w:pPr>
            <w:r>
              <w:rPr>
                <w:b/>
                <w:sz w:val="20"/>
                <w:szCs w:val="20"/>
              </w:rPr>
              <w:t>450</w:t>
            </w:r>
          </w:p>
        </w:tc>
        <w:tc>
          <w:tcPr>
            <w:tcW w:w="1080" w:type="dxa"/>
          </w:tcPr>
          <w:p w:rsidR="00693613" w:rsidRPr="005C4B58" w:rsidRDefault="00BF698C" w:rsidP="00F07400">
            <w:pPr>
              <w:jc w:val="right"/>
              <w:rPr>
                <w:b/>
                <w:sz w:val="20"/>
                <w:szCs w:val="20"/>
              </w:rPr>
            </w:pPr>
            <w:r>
              <w:rPr>
                <w:b/>
                <w:sz w:val="20"/>
                <w:szCs w:val="20"/>
              </w:rPr>
              <w:t>2</w:t>
            </w:r>
          </w:p>
        </w:tc>
        <w:tc>
          <w:tcPr>
            <w:tcW w:w="1350" w:type="dxa"/>
          </w:tcPr>
          <w:p w:rsidR="00693613" w:rsidRPr="005C4B58" w:rsidRDefault="00693613" w:rsidP="00F07400">
            <w:pPr>
              <w:jc w:val="right"/>
              <w:rPr>
                <w:b/>
                <w:sz w:val="20"/>
                <w:szCs w:val="20"/>
              </w:rPr>
            </w:pPr>
            <w:r>
              <w:rPr>
                <w:b/>
                <w:sz w:val="20"/>
                <w:szCs w:val="20"/>
              </w:rPr>
              <w:t>450</w:t>
            </w:r>
          </w:p>
        </w:tc>
        <w:tc>
          <w:tcPr>
            <w:tcW w:w="1080" w:type="dxa"/>
          </w:tcPr>
          <w:p w:rsidR="00693613" w:rsidRPr="005C4B58" w:rsidRDefault="001372FE" w:rsidP="00F07400">
            <w:pPr>
              <w:jc w:val="right"/>
              <w:rPr>
                <w:b/>
                <w:sz w:val="20"/>
                <w:szCs w:val="20"/>
              </w:rPr>
            </w:pPr>
            <w:r>
              <w:rPr>
                <w:b/>
                <w:sz w:val="20"/>
                <w:szCs w:val="20"/>
              </w:rPr>
              <w:t>2</w:t>
            </w:r>
            <w:r w:rsidR="00693613">
              <w:rPr>
                <w:b/>
                <w:sz w:val="20"/>
                <w:szCs w:val="20"/>
              </w:rPr>
              <w:t>.00</w:t>
            </w:r>
          </w:p>
        </w:tc>
        <w:tc>
          <w:tcPr>
            <w:tcW w:w="828" w:type="dxa"/>
          </w:tcPr>
          <w:p w:rsidR="00693613" w:rsidRPr="005C4B58" w:rsidRDefault="00BF698C" w:rsidP="00F07400">
            <w:pPr>
              <w:jc w:val="right"/>
              <w:rPr>
                <w:b/>
                <w:sz w:val="20"/>
                <w:szCs w:val="20"/>
              </w:rPr>
            </w:pPr>
            <w:r>
              <w:rPr>
                <w:b/>
                <w:sz w:val="20"/>
                <w:szCs w:val="20"/>
              </w:rPr>
              <w:t>90</w:t>
            </w:r>
            <w:r w:rsidR="00693613">
              <w:rPr>
                <w:b/>
                <w:sz w:val="20"/>
                <w:szCs w:val="20"/>
              </w:rPr>
              <w:t>0.00</w:t>
            </w:r>
          </w:p>
        </w:tc>
      </w:tr>
    </w:tbl>
    <w:p w:rsidR="00693613" w:rsidRDefault="00693613" w:rsidP="00693613">
      <w:pPr>
        <w:autoSpaceDE w:val="0"/>
        <w:autoSpaceDN w:val="0"/>
        <w:adjustRightInd w:val="0"/>
        <w:rPr>
          <w:color w:val="000000"/>
        </w:rPr>
      </w:pPr>
    </w:p>
    <w:p w:rsidR="00365C78" w:rsidRDefault="00693613" w:rsidP="00365C78">
      <w:pPr>
        <w:autoSpaceDE w:val="0"/>
        <w:autoSpaceDN w:val="0"/>
        <w:adjustRightInd w:val="0"/>
        <w:rPr>
          <w:color w:val="000000"/>
        </w:rPr>
      </w:pPr>
      <w:r w:rsidRPr="00B27735">
        <w:rPr>
          <w:color w:val="000000"/>
        </w:rPr>
        <w:t>This is a slight increase from previous years</w:t>
      </w:r>
      <w:r w:rsidR="006F1093">
        <w:rPr>
          <w:color w:val="000000"/>
        </w:rPr>
        <w:t>’</w:t>
      </w:r>
      <w:r w:rsidRPr="00B27735">
        <w:rPr>
          <w:color w:val="000000"/>
        </w:rPr>
        <w:t xml:space="preserve"> processes</w:t>
      </w:r>
      <w:r w:rsidR="006F1093">
        <w:rPr>
          <w:color w:val="000000"/>
        </w:rPr>
        <w:t xml:space="preserve"> and is due primarily to the </w:t>
      </w:r>
      <w:r w:rsidRPr="00B27735">
        <w:rPr>
          <w:color w:val="000000"/>
        </w:rPr>
        <w:t xml:space="preserve">implementation of HEARTH for the </w:t>
      </w:r>
      <w:r w:rsidRPr="00E54CCE">
        <w:t>CoC</w:t>
      </w:r>
      <w:r w:rsidRPr="00B27735">
        <w:rPr>
          <w:color w:val="000000"/>
        </w:rPr>
        <w:t xml:space="preserve"> process, </w:t>
      </w:r>
      <w:r w:rsidR="006F1093">
        <w:rPr>
          <w:color w:val="000000"/>
        </w:rPr>
        <w:t xml:space="preserve">including the </w:t>
      </w:r>
      <w:r w:rsidRPr="00B27735">
        <w:rPr>
          <w:color w:val="000000"/>
        </w:rPr>
        <w:t>collect</w:t>
      </w:r>
      <w:r w:rsidR="006F1093">
        <w:rPr>
          <w:color w:val="000000"/>
        </w:rPr>
        <w:t>ion</w:t>
      </w:r>
      <w:r w:rsidRPr="00B27735">
        <w:rPr>
          <w:color w:val="000000"/>
        </w:rPr>
        <w:t xml:space="preserve"> and assess</w:t>
      </w:r>
      <w:r w:rsidR="006F1093">
        <w:rPr>
          <w:color w:val="000000"/>
        </w:rPr>
        <w:t>ment of</w:t>
      </w:r>
      <w:r w:rsidRPr="00B27735">
        <w:rPr>
          <w:color w:val="000000"/>
        </w:rPr>
        <w:t xml:space="preserve"> current CoC Capacity information that has not previously been collected or assessed.</w:t>
      </w:r>
      <w:r>
        <w:rPr>
          <w:color w:val="000000"/>
        </w:rPr>
        <w:t xml:space="preserve">  </w:t>
      </w:r>
      <w:r w:rsidR="00365C78">
        <w:rPr>
          <w:color w:val="000000"/>
        </w:rPr>
        <w:t xml:space="preserve">The increase to 2 hours anticipates the possibility that new persons at respondent organizations may need more time to complete the process.  However, our office is </w:t>
      </w:r>
      <w:r w:rsidR="00365C78" w:rsidRPr="00365C78">
        <w:rPr>
          <w:color w:val="000000"/>
        </w:rPr>
        <w:t xml:space="preserve">still confident in our estimation that for </w:t>
      </w:r>
      <w:r w:rsidR="00365C78">
        <w:rPr>
          <w:color w:val="000000"/>
        </w:rPr>
        <w:t xml:space="preserve">the vast majority of </w:t>
      </w:r>
      <w:r w:rsidR="00365C78" w:rsidRPr="00365C78">
        <w:rPr>
          <w:color w:val="000000"/>
        </w:rPr>
        <w:t>applicants, the completion of the relevant forms for registration will ta</w:t>
      </w:r>
      <w:r w:rsidR="00365C78">
        <w:rPr>
          <w:color w:val="000000"/>
        </w:rPr>
        <w:t>ke about 1</w:t>
      </w:r>
      <w:r w:rsidR="00365C78" w:rsidRPr="00365C78">
        <w:rPr>
          <w:color w:val="000000"/>
        </w:rPr>
        <w:t xml:space="preserve"> hour.  For </w:t>
      </w:r>
      <w:r w:rsidR="00365C78">
        <w:rPr>
          <w:color w:val="000000"/>
        </w:rPr>
        <w:t>these</w:t>
      </w:r>
      <w:r w:rsidR="00365C78" w:rsidRPr="00365C78">
        <w:rPr>
          <w:color w:val="000000"/>
        </w:rPr>
        <w:t xml:space="preserve"> applicants, the process is a familiar verification of information that is </w:t>
      </w:r>
      <w:r w:rsidR="00365C78">
        <w:rPr>
          <w:color w:val="000000"/>
        </w:rPr>
        <w:t xml:space="preserve">largely </w:t>
      </w:r>
      <w:r w:rsidR="00365C78" w:rsidRPr="00365C78">
        <w:rPr>
          <w:color w:val="000000"/>
        </w:rPr>
        <w:t>pre-populated by our staff for their convenience.</w:t>
      </w:r>
    </w:p>
    <w:p w:rsidR="00693613" w:rsidRDefault="00693613" w:rsidP="00693613">
      <w:pPr>
        <w:autoSpaceDE w:val="0"/>
        <w:autoSpaceDN w:val="0"/>
        <w:adjustRightInd w:val="0"/>
        <w:rPr>
          <w:color w:val="000000"/>
        </w:rPr>
      </w:pPr>
    </w:p>
    <w:p w:rsidR="00693613" w:rsidRPr="000E1981" w:rsidRDefault="00693613" w:rsidP="00693613">
      <w:pPr>
        <w:rPr>
          <w:sz w:val="18"/>
        </w:rPr>
      </w:pPr>
    </w:p>
    <w:p w:rsidR="00693613" w:rsidRDefault="00693613" w:rsidP="00693613">
      <w:pPr>
        <w:pStyle w:val="AbtHeadB"/>
        <w:ind w:left="720" w:hanging="720"/>
      </w:pPr>
      <w:bookmarkStart w:id="63" w:name="_Toc233444289"/>
      <w:bookmarkStart w:id="64" w:name="_Toc311186226"/>
      <w:r>
        <w:t>A13</w:t>
      </w:r>
      <w:r>
        <w:tab/>
        <w:t>Capital Costs</w:t>
      </w:r>
      <w:bookmarkEnd w:id="63"/>
      <w:bookmarkEnd w:id="64"/>
    </w:p>
    <w:p w:rsidR="00693613" w:rsidRDefault="00693613" w:rsidP="00693613">
      <w:pPr>
        <w:tabs>
          <w:tab w:val="left" w:pos="0"/>
        </w:tabs>
        <w:rPr>
          <w:rFonts w:ascii="Arial" w:hAnsi="Arial"/>
          <w:i/>
          <w:color w:val="000000"/>
        </w:rPr>
      </w:pPr>
      <w:r>
        <w:rPr>
          <w:rFonts w:ascii="Arial" w:hAnsi="Arial"/>
          <w:i/>
          <w:color w:val="000000"/>
        </w:rPr>
        <w:t>Estimate the annual capital cost to respondents or record keepers.</w:t>
      </w:r>
    </w:p>
    <w:p w:rsidR="00693613" w:rsidRDefault="00693613" w:rsidP="00693613"/>
    <w:p w:rsidR="00693613" w:rsidRDefault="00693613" w:rsidP="00693613">
      <w:r w:rsidRPr="007172EE">
        <w:t>There are no additional costs to respondents</w:t>
      </w:r>
      <w:r w:rsidRPr="0010088C">
        <w:t>.</w:t>
      </w:r>
    </w:p>
    <w:p w:rsidR="00693613" w:rsidRDefault="00693613" w:rsidP="00693613">
      <w:pPr>
        <w:pStyle w:val="Header"/>
        <w:tabs>
          <w:tab w:val="clear" w:pos="4320"/>
          <w:tab w:val="clear" w:pos="8640"/>
          <w:tab w:val="left" w:pos="720"/>
          <w:tab w:val="left" w:pos="1080"/>
          <w:tab w:val="left" w:pos="1440"/>
        </w:tabs>
      </w:pPr>
    </w:p>
    <w:p w:rsidR="00693613" w:rsidRDefault="00693613" w:rsidP="00693613">
      <w:pPr>
        <w:pStyle w:val="AbtHeadB"/>
        <w:spacing w:after="240"/>
      </w:pPr>
      <w:bookmarkStart w:id="65" w:name="_Toc224972117"/>
      <w:bookmarkStart w:id="66" w:name="_Toc233444290"/>
      <w:bookmarkStart w:id="67" w:name="_Toc311186227"/>
      <w:r>
        <w:t>A14</w:t>
      </w:r>
      <w:r>
        <w:tab/>
        <w:t>Cost to the Federal Government</w:t>
      </w:r>
      <w:bookmarkEnd w:id="65"/>
      <w:bookmarkEnd w:id="66"/>
      <w:bookmarkEnd w:id="67"/>
    </w:p>
    <w:p w:rsidR="00693613" w:rsidRDefault="00693613" w:rsidP="00693613">
      <w:pPr>
        <w:pStyle w:val="BodyText"/>
        <w:spacing w:after="240"/>
        <w:rPr>
          <w:rFonts w:ascii="Arial" w:hAnsi="Arial"/>
          <w:i/>
        </w:rPr>
      </w:pPr>
      <w:r>
        <w:rPr>
          <w:rFonts w:ascii="Arial" w:hAnsi="Arial"/>
          <w:i/>
          <w:color w:val="000000"/>
        </w:rPr>
        <w:t>Estimate annualized costs to the Federal government.</w:t>
      </w:r>
    </w:p>
    <w:p w:rsidR="00693613" w:rsidRDefault="00693613" w:rsidP="00693613">
      <w:pPr>
        <w:pStyle w:val="BodyText"/>
      </w:pPr>
      <w:r>
        <w:t>Estimates of annualized cost to the Federal Government (clerical and professional staff time):</w:t>
      </w:r>
    </w:p>
    <w:p w:rsidR="00693613" w:rsidRDefault="00693613" w:rsidP="00693613">
      <w:pPr>
        <w:pStyle w:val="BodyText"/>
        <w:ind w:firstLine="720"/>
      </w:pPr>
      <w:r w:rsidRPr="007172EE">
        <w:rPr>
          <w:u w:val="single"/>
        </w:rPr>
        <w:t>Registration Review</w:t>
      </w:r>
      <w:r w:rsidRPr="007172EE">
        <w:t>:</w:t>
      </w:r>
      <w:r>
        <w:t xml:space="preserve"> 450 CoCs x 1 hour per year x $29* </w:t>
      </w:r>
    </w:p>
    <w:p w:rsidR="00693613" w:rsidRDefault="00693613" w:rsidP="00693613">
      <w:pPr>
        <w:pStyle w:val="BodyText"/>
        <w:ind w:firstLine="720"/>
      </w:pPr>
      <w:r>
        <w:rPr>
          <w:u w:val="single"/>
        </w:rPr>
        <w:t>Total cost to the Federal Government</w:t>
      </w:r>
      <w:r>
        <w:t>:  $13,050</w:t>
      </w:r>
    </w:p>
    <w:p w:rsidR="00693613" w:rsidRPr="004A55FD" w:rsidRDefault="00693613" w:rsidP="00693613">
      <w:pPr>
        <w:pStyle w:val="BodyText"/>
        <w:jc w:val="center"/>
        <w:rPr>
          <w:sz w:val="22"/>
        </w:rPr>
      </w:pPr>
      <w:r w:rsidRPr="004A55FD">
        <w:rPr>
          <w:sz w:val="22"/>
        </w:rPr>
        <w:t>*this figure is based on a GS-12 salary</w:t>
      </w:r>
    </w:p>
    <w:p w:rsidR="00693613" w:rsidRDefault="00693613" w:rsidP="00693613">
      <w:pPr>
        <w:pStyle w:val="BodyText"/>
      </w:pPr>
      <w:r>
        <w:t xml:space="preserve">We expect that the number of respondents will remain or decrease slightly from the FY2011 process.  The cost to specific government employees may increase if respondents under their review apply as Unified Funding Agents, as this type of proposed applicant will be required to answer additional questions. </w:t>
      </w:r>
      <w:r w:rsidR="00870C79">
        <w:t xml:space="preserve">However it is HUDs determination, through staff experience and expertise that fewer than 10 (potentially 1 or 2) applicants come close </w:t>
      </w:r>
      <w:r w:rsidR="006F1093">
        <w:t xml:space="preserve">enough </w:t>
      </w:r>
      <w:r w:rsidR="00870C79">
        <w:t>to the requirements</w:t>
      </w:r>
      <w:r w:rsidR="006F1093">
        <w:t xml:space="preserve"> to be able to apply as a UFA.</w:t>
      </w:r>
    </w:p>
    <w:p w:rsidR="00693613" w:rsidRDefault="00693613" w:rsidP="00693613"/>
    <w:p w:rsidR="00693613" w:rsidRDefault="00693613" w:rsidP="00693613">
      <w:pPr>
        <w:pStyle w:val="AbtHeadB"/>
      </w:pPr>
      <w:bookmarkStart w:id="68" w:name="_Toc224972118"/>
      <w:bookmarkStart w:id="69" w:name="_Toc233444291"/>
      <w:bookmarkStart w:id="70" w:name="_Toc311186228"/>
      <w:r>
        <w:t>A15</w:t>
      </w:r>
      <w:r>
        <w:tab/>
        <w:t>Program or Burden Changes</w:t>
      </w:r>
      <w:bookmarkEnd w:id="68"/>
      <w:bookmarkEnd w:id="69"/>
      <w:bookmarkEnd w:id="70"/>
    </w:p>
    <w:p w:rsidR="00693613" w:rsidRDefault="00693613" w:rsidP="00693613">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rsidR="00693613" w:rsidRDefault="00693613" w:rsidP="00693613">
      <w:pPr>
        <w:rPr>
          <w:spacing w:val="-2"/>
        </w:rPr>
      </w:pPr>
    </w:p>
    <w:p w:rsidR="00693613" w:rsidRDefault="00693613" w:rsidP="00693613">
      <w:r w:rsidRPr="007172EE">
        <w:t>The collection of information will incorporate new data elements</w:t>
      </w:r>
      <w:r>
        <w:t xml:space="preserve"> reflective of the changes brought by the HEARTH Act</w:t>
      </w:r>
      <w:r w:rsidR="00F10B3C">
        <w:t xml:space="preserve"> and </w:t>
      </w:r>
      <w:r w:rsidR="006F1093" w:rsidRPr="00081099">
        <w:t xml:space="preserve">the </w:t>
      </w:r>
      <w:r w:rsidR="00F10B3C" w:rsidRPr="00081099">
        <w:t>CoC Program interim rule</w:t>
      </w:r>
      <w:r w:rsidRPr="00081099">
        <w:t>.</w:t>
      </w:r>
      <w:r w:rsidRPr="007172EE">
        <w:t xml:space="preserve">  The burden hours per respondent were slightly increased with the addition of Board and Capacity information to the registration process </w:t>
      </w:r>
      <w:r w:rsidR="00870C79">
        <w:t>and to</w:t>
      </w:r>
      <w:r w:rsidRPr="007172EE">
        <w:t xml:space="preserve"> allow HUD to determine if applying respondent</w:t>
      </w:r>
      <w:r>
        <w:t>s are</w:t>
      </w:r>
      <w:r w:rsidRPr="007172EE">
        <w:t xml:space="preserve"> eligible for Unified Funding Agent status</w:t>
      </w:r>
      <w:r>
        <w:t xml:space="preserve">.  As stated above, </w:t>
      </w:r>
      <w:r>
        <w:rPr>
          <w:color w:val="000000"/>
        </w:rPr>
        <w:t xml:space="preserve">HUD believes that very few CoCs will apply, and so nationally, the impact on burden will be </w:t>
      </w:r>
      <w:r w:rsidR="006F1093">
        <w:rPr>
          <w:color w:val="000000"/>
        </w:rPr>
        <w:t>insignificant</w:t>
      </w:r>
      <w:r>
        <w:rPr>
          <w:color w:val="000000"/>
        </w:rPr>
        <w:t>.</w:t>
      </w:r>
    </w:p>
    <w:p w:rsidR="00693613" w:rsidRDefault="00693613" w:rsidP="00693613"/>
    <w:p w:rsidR="00693613" w:rsidRDefault="00693613" w:rsidP="00693613">
      <w:pPr>
        <w:pStyle w:val="AbtHeadB"/>
      </w:pPr>
      <w:bookmarkStart w:id="71" w:name="_Toc224972119"/>
      <w:bookmarkStart w:id="72" w:name="_Toc233444292"/>
      <w:bookmarkStart w:id="73" w:name="_Toc311186229"/>
      <w:r>
        <w:t>A16</w:t>
      </w:r>
      <w:r>
        <w:tab/>
        <w:t>Publication and Tabulation Dates</w:t>
      </w:r>
      <w:bookmarkEnd w:id="71"/>
      <w:bookmarkEnd w:id="72"/>
      <w:bookmarkEnd w:id="73"/>
    </w:p>
    <w:p w:rsidR="00693613" w:rsidRPr="00E9087D" w:rsidRDefault="00693613" w:rsidP="00693613">
      <w:pPr>
        <w:pStyle w:val="AbtHeadC"/>
        <w:rPr>
          <w:b w:val="0"/>
          <w:i/>
          <w:sz w:val="22"/>
        </w:rPr>
      </w:pPr>
      <w:bookmarkStart w:id="74" w:name="_Toc224972120"/>
      <w:bookmarkStart w:id="75" w:name="_Toc310931668"/>
      <w:bookmarkStart w:id="76" w:name="_Toc310937529"/>
      <w:bookmarkStart w:id="77" w:name="_Toc311186230"/>
      <w:r w:rsidRPr="00E9087D">
        <w:rPr>
          <w:b w:val="0"/>
          <w:i/>
          <w:color w:val="000000"/>
          <w:sz w:val="22"/>
        </w:rPr>
        <w:t>If the information will be published, outline plans for tabulation and publication</w:t>
      </w:r>
      <w:bookmarkEnd w:id="74"/>
      <w:r w:rsidRPr="00E9087D">
        <w:rPr>
          <w:b w:val="0"/>
          <w:i/>
          <w:color w:val="000000"/>
          <w:sz w:val="22"/>
        </w:rPr>
        <w:t>.</w:t>
      </w:r>
      <w:bookmarkEnd w:id="75"/>
      <w:bookmarkEnd w:id="76"/>
      <w:bookmarkEnd w:id="77"/>
    </w:p>
    <w:p w:rsidR="00693613" w:rsidRPr="00E9087D" w:rsidRDefault="00693613" w:rsidP="00693613">
      <w:r w:rsidRPr="007172EE">
        <w:t>The results of this collection of information will not be published for statistical use</w:t>
      </w:r>
      <w:r>
        <w:t>.</w:t>
      </w:r>
    </w:p>
    <w:p w:rsidR="00693613" w:rsidRDefault="00693613" w:rsidP="00693613">
      <w:pPr>
        <w:rPr>
          <w:highlight w:val="yellow"/>
        </w:rPr>
      </w:pPr>
    </w:p>
    <w:p w:rsidR="00693613" w:rsidRDefault="00693613" w:rsidP="00693613">
      <w:pPr>
        <w:rPr>
          <w:rFonts w:ascii="Arial" w:hAnsi="Arial"/>
          <w:b/>
        </w:rPr>
      </w:pPr>
    </w:p>
    <w:p w:rsidR="00693613" w:rsidRDefault="00693613" w:rsidP="00693613">
      <w:pPr>
        <w:pStyle w:val="AbtHeadBOutlined"/>
        <w:tabs>
          <w:tab w:val="clear" w:pos="720"/>
        </w:tabs>
        <w:ind w:left="0" w:firstLine="0"/>
      </w:pPr>
      <w:bookmarkStart w:id="78" w:name="_Toc224972122"/>
      <w:bookmarkStart w:id="79" w:name="_Toc233444293"/>
      <w:bookmarkStart w:id="80" w:name="_Toc311186231"/>
      <w:r>
        <w:t>A17</w:t>
      </w:r>
      <w:r>
        <w:tab/>
        <w:t>Expiration Date</w:t>
      </w:r>
      <w:bookmarkEnd w:id="78"/>
      <w:bookmarkEnd w:id="79"/>
      <w:bookmarkEnd w:id="80"/>
    </w:p>
    <w:p w:rsidR="00693613" w:rsidRDefault="00693613" w:rsidP="00693613">
      <w:pPr>
        <w:keepLines/>
        <w:tabs>
          <w:tab w:val="left" w:pos="0"/>
        </w:tabs>
        <w:rPr>
          <w:rFonts w:ascii="Arial" w:hAnsi="Arial"/>
          <w:i/>
          <w:color w:val="000000"/>
        </w:rPr>
      </w:pPr>
      <w:r>
        <w:rPr>
          <w:rFonts w:ascii="Arial" w:hAnsi="Arial"/>
          <w:i/>
          <w:color w:val="000000"/>
        </w:rPr>
        <w:t xml:space="preserve">Explain any request to not display the expiration date. </w:t>
      </w:r>
    </w:p>
    <w:p w:rsidR="00693613" w:rsidRDefault="00693613" w:rsidP="00693613">
      <w:pPr>
        <w:pStyle w:val="BodyTextIndent"/>
        <w:ind w:left="0"/>
      </w:pPr>
    </w:p>
    <w:p w:rsidR="00693613" w:rsidRDefault="00693613" w:rsidP="00693613">
      <w:pPr>
        <w:pStyle w:val="BodyTextIndent"/>
        <w:ind w:left="0"/>
      </w:pPr>
      <w:r w:rsidRPr="007172EE">
        <w:t>No approval is sought to not display the expiration date for OMB approval of information collection</w:t>
      </w:r>
      <w:r w:rsidRPr="00E9087D">
        <w:t>.</w:t>
      </w:r>
    </w:p>
    <w:p w:rsidR="00693613" w:rsidRDefault="00693613" w:rsidP="00693613">
      <w:pPr>
        <w:ind w:left="360"/>
      </w:pPr>
    </w:p>
    <w:p w:rsidR="00693613" w:rsidRDefault="00693613" w:rsidP="00693613">
      <w:pPr>
        <w:pStyle w:val="AbtHeadBOutlined"/>
        <w:tabs>
          <w:tab w:val="clear" w:pos="720"/>
        </w:tabs>
        <w:ind w:left="0" w:firstLine="0"/>
      </w:pPr>
      <w:bookmarkStart w:id="81" w:name="_Toc224972123"/>
      <w:bookmarkStart w:id="82" w:name="_Toc233444294"/>
      <w:bookmarkStart w:id="83" w:name="_Toc311186232"/>
      <w:r>
        <w:t>A18</w:t>
      </w:r>
      <w:r>
        <w:tab/>
        <w:t>Certification Statement</w:t>
      </w:r>
      <w:bookmarkEnd w:id="81"/>
      <w:bookmarkEnd w:id="82"/>
      <w:bookmarkEnd w:id="83"/>
    </w:p>
    <w:p w:rsidR="00693613" w:rsidRDefault="00693613" w:rsidP="00693613">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19.</w:t>
      </w:r>
    </w:p>
    <w:p w:rsidR="00693613" w:rsidRDefault="00693613" w:rsidP="00693613">
      <w:pPr>
        <w:pStyle w:val="BodyText"/>
      </w:pPr>
    </w:p>
    <w:p w:rsidR="00693613" w:rsidRDefault="00693613" w:rsidP="00693613">
      <w:pPr>
        <w:pStyle w:val="BodyTextIndent"/>
        <w:ind w:left="0"/>
      </w:pPr>
      <w:r w:rsidRPr="007172EE">
        <w:t>No exceptions</w:t>
      </w:r>
      <w:r w:rsidRPr="00E9087D">
        <w:t>.</w:t>
      </w:r>
    </w:p>
    <w:p w:rsidR="00BD36E0" w:rsidRDefault="00BD36E0"/>
    <w:sectPr w:rsidR="00BD36E0" w:rsidSect="008D0DCB">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452" w:rsidRDefault="00462452" w:rsidP="00693613">
      <w:r>
        <w:separator/>
      </w:r>
    </w:p>
  </w:endnote>
  <w:endnote w:type="continuationSeparator" w:id="0">
    <w:p w:rsidR="00462452" w:rsidRDefault="00462452" w:rsidP="0069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C79" w:rsidRDefault="00870C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C79" w:rsidRPr="00EF68D7" w:rsidRDefault="00870C79" w:rsidP="00693613">
    <w:pPr>
      <w:pStyle w:val="Footer"/>
      <w:pBdr>
        <w:top w:val="single" w:sz="8" w:space="1" w:color="auto"/>
      </w:pBdr>
      <w:tabs>
        <w:tab w:val="right" w:pos="8470"/>
      </w:tabs>
      <w:rPr>
        <w:spacing w:val="-4"/>
      </w:rPr>
    </w:pPr>
    <w:r w:rsidRPr="00102086">
      <w:rPr>
        <w:spacing w:val="-4"/>
        <w:sz w:val="17"/>
        <w:szCs w:val="17"/>
      </w:rPr>
      <w:t xml:space="preserve">OMB Paperwork Reduction Act Submission: </w:t>
    </w:r>
    <w:r w:rsidRPr="00A87584">
      <w:rPr>
        <w:spacing w:val="-4"/>
        <w:sz w:val="17"/>
        <w:szCs w:val="17"/>
      </w:rPr>
      <w:t xml:space="preserve">Data Collection and Reporting for HUD’s </w:t>
    </w:r>
    <w:r>
      <w:rPr>
        <w:spacing w:val="-4"/>
        <w:sz w:val="17"/>
        <w:szCs w:val="17"/>
      </w:rPr>
      <w:t xml:space="preserve">Emergency Solutions Grant  </w:t>
    </w:r>
    <w:r w:rsidRPr="00EF68D7">
      <w:rPr>
        <w:spacing w:val="-4"/>
      </w:rPr>
      <w:tab/>
    </w:r>
    <w:r w:rsidR="00B64838" w:rsidRPr="00EF68D7">
      <w:rPr>
        <w:rStyle w:val="PageNumber"/>
        <w:spacing w:val="-4"/>
      </w:rPr>
      <w:fldChar w:fldCharType="begin"/>
    </w:r>
    <w:r w:rsidRPr="00EF68D7">
      <w:rPr>
        <w:rStyle w:val="PageNumber"/>
        <w:spacing w:val="-4"/>
      </w:rPr>
      <w:instrText xml:space="preserve"> PAGE </w:instrText>
    </w:r>
    <w:r w:rsidR="00B64838" w:rsidRPr="00EF68D7">
      <w:rPr>
        <w:rStyle w:val="PageNumber"/>
        <w:spacing w:val="-4"/>
      </w:rPr>
      <w:fldChar w:fldCharType="separate"/>
    </w:r>
    <w:r w:rsidR="00852671">
      <w:rPr>
        <w:rStyle w:val="PageNumber"/>
        <w:noProof/>
        <w:spacing w:val="-4"/>
      </w:rPr>
      <w:t>1</w:t>
    </w:r>
    <w:r w:rsidR="00B64838" w:rsidRPr="00EF68D7">
      <w:rPr>
        <w:rStyle w:val="PageNumber"/>
        <w:spacing w:val="-4"/>
      </w:rPr>
      <w:fldChar w:fldCharType="end"/>
    </w:r>
  </w:p>
  <w:p w:rsidR="00870C79" w:rsidRDefault="00870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452" w:rsidRDefault="00462452" w:rsidP="00693613">
      <w:r>
        <w:separator/>
      </w:r>
    </w:p>
  </w:footnote>
  <w:footnote w:type="continuationSeparator" w:id="0">
    <w:p w:rsidR="00462452" w:rsidRDefault="00462452" w:rsidP="00693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C79" w:rsidRDefault="00870C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13"/>
    <w:rsid w:val="00070D0E"/>
    <w:rsid w:val="00081099"/>
    <w:rsid w:val="001372FE"/>
    <w:rsid w:val="00175B3F"/>
    <w:rsid w:val="0020548D"/>
    <w:rsid w:val="00247D33"/>
    <w:rsid w:val="002953EF"/>
    <w:rsid w:val="002B60E2"/>
    <w:rsid w:val="00365C78"/>
    <w:rsid w:val="00457E62"/>
    <w:rsid w:val="00462452"/>
    <w:rsid w:val="004B1BE6"/>
    <w:rsid w:val="00594127"/>
    <w:rsid w:val="00635AF4"/>
    <w:rsid w:val="00693613"/>
    <w:rsid w:val="006F1093"/>
    <w:rsid w:val="007148A5"/>
    <w:rsid w:val="00736093"/>
    <w:rsid w:val="00852671"/>
    <w:rsid w:val="00870C79"/>
    <w:rsid w:val="00885DB9"/>
    <w:rsid w:val="0089504F"/>
    <w:rsid w:val="008D0DCB"/>
    <w:rsid w:val="00990A43"/>
    <w:rsid w:val="00A14492"/>
    <w:rsid w:val="00A975F2"/>
    <w:rsid w:val="00B32783"/>
    <w:rsid w:val="00B461B7"/>
    <w:rsid w:val="00B64838"/>
    <w:rsid w:val="00B76B16"/>
    <w:rsid w:val="00B867DD"/>
    <w:rsid w:val="00BD36E0"/>
    <w:rsid w:val="00BF698C"/>
    <w:rsid w:val="00C12CB6"/>
    <w:rsid w:val="00D9339E"/>
    <w:rsid w:val="00E95589"/>
    <w:rsid w:val="00EF5BEC"/>
    <w:rsid w:val="00F07400"/>
    <w:rsid w:val="00F10B3C"/>
    <w:rsid w:val="00F32116"/>
    <w:rsid w:val="00FF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693613"/>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693613"/>
    <w:pPr>
      <w:spacing w:after="120"/>
    </w:pPr>
  </w:style>
  <w:style w:type="character" w:customStyle="1" w:styleId="BodyTextChar">
    <w:name w:val="Body Text Char"/>
    <w:basedOn w:val="DefaultParagraphFont"/>
    <w:link w:val="BodyText"/>
    <w:rsid w:val="00693613"/>
    <w:rPr>
      <w:rFonts w:ascii="Times New Roman" w:eastAsia="Times New Roman" w:hAnsi="Times New Roman" w:cs="Times New Roman"/>
      <w:sz w:val="24"/>
      <w:szCs w:val="24"/>
    </w:rPr>
  </w:style>
  <w:style w:type="paragraph" w:customStyle="1" w:styleId="AbtHeadB">
    <w:name w:val="AbtHead B"/>
    <w:basedOn w:val="Normal"/>
    <w:next w:val="BodyText"/>
    <w:rsid w:val="00693613"/>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693613"/>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693613"/>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93613"/>
    <w:rPr>
      <w:rFonts w:ascii="Times New Roman" w:eastAsia="Times New Roman" w:hAnsi="Times New Roman" w:cs="Times New Roman"/>
      <w:sz w:val="24"/>
      <w:szCs w:val="20"/>
    </w:rPr>
  </w:style>
  <w:style w:type="paragraph" w:styleId="BodyTextIndent">
    <w:name w:val="Body Text Indent"/>
    <w:basedOn w:val="Normal"/>
    <w:link w:val="BodyTextIndentChar"/>
    <w:rsid w:val="00693613"/>
    <w:pPr>
      <w:spacing w:after="120"/>
      <w:ind w:left="360"/>
    </w:pPr>
  </w:style>
  <w:style w:type="character" w:customStyle="1" w:styleId="BodyTextIndentChar">
    <w:name w:val="Body Text Indent Char"/>
    <w:basedOn w:val="DefaultParagraphFont"/>
    <w:link w:val="BodyTextIndent"/>
    <w:rsid w:val="00693613"/>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93613"/>
    <w:pPr>
      <w:tabs>
        <w:tab w:val="num" w:pos="720"/>
      </w:tabs>
      <w:ind w:left="720" w:hanging="720"/>
    </w:pPr>
  </w:style>
  <w:style w:type="paragraph" w:styleId="NormalWeb">
    <w:name w:val="Normal (Web)"/>
    <w:basedOn w:val="Normal"/>
    <w:rsid w:val="00693613"/>
    <w:pPr>
      <w:spacing w:before="100" w:beforeAutospacing="1" w:after="100" w:afterAutospacing="1"/>
    </w:pPr>
  </w:style>
  <w:style w:type="table" w:styleId="TableGrid">
    <w:name w:val="Table Grid"/>
    <w:basedOn w:val="TableNormal"/>
    <w:uiPriority w:val="59"/>
    <w:rsid w:val="006936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693613"/>
    <w:pPr>
      <w:tabs>
        <w:tab w:val="center" w:pos="4680"/>
        <w:tab w:val="right" w:pos="9360"/>
      </w:tabs>
    </w:pPr>
  </w:style>
  <w:style w:type="character" w:customStyle="1" w:styleId="FooterChar">
    <w:name w:val="Footer Char"/>
    <w:basedOn w:val="DefaultParagraphFont"/>
    <w:link w:val="Footer"/>
    <w:rsid w:val="00693613"/>
    <w:rPr>
      <w:rFonts w:ascii="Times New Roman" w:eastAsia="Times New Roman" w:hAnsi="Times New Roman" w:cs="Times New Roman"/>
      <w:sz w:val="24"/>
      <w:szCs w:val="24"/>
    </w:rPr>
  </w:style>
  <w:style w:type="character" w:styleId="PageNumber">
    <w:name w:val="page number"/>
    <w:basedOn w:val="DefaultParagraphFont"/>
    <w:rsid w:val="00693613"/>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F07400"/>
    <w:rPr>
      <w:rFonts w:ascii="Tahoma" w:hAnsi="Tahoma" w:cs="Tahoma"/>
      <w:sz w:val="16"/>
      <w:szCs w:val="16"/>
    </w:rPr>
  </w:style>
  <w:style w:type="character" w:customStyle="1" w:styleId="BalloonTextChar">
    <w:name w:val="Balloon Text Char"/>
    <w:basedOn w:val="DefaultParagraphFont"/>
    <w:link w:val="BalloonText"/>
    <w:uiPriority w:val="99"/>
    <w:semiHidden/>
    <w:rsid w:val="00F074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693613"/>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693613"/>
    <w:pPr>
      <w:spacing w:after="120"/>
    </w:pPr>
  </w:style>
  <w:style w:type="character" w:customStyle="1" w:styleId="BodyTextChar">
    <w:name w:val="Body Text Char"/>
    <w:basedOn w:val="DefaultParagraphFont"/>
    <w:link w:val="BodyText"/>
    <w:rsid w:val="00693613"/>
    <w:rPr>
      <w:rFonts w:ascii="Times New Roman" w:eastAsia="Times New Roman" w:hAnsi="Times New Roman" w:cs="Times New Roman"/>
      <w:sz w:val="24"/>
      <w:szCs w:val="24"/>
    </w:rPr>
  </w:style>
  <w:style w:type="paragraph" w:customStyle="1" w:styleId="AbtHeadB">
    <w:name w:val="AbtHead B"/>
    <w:basedOn w:val="Normal"/>
    <w:next w:val="BodyText"/>
    <w:rsid w:val="00693613"/>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693613"/>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693613"/>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93613"/>
    <w:rPr>
      <w:rFonts w:ascii="Times New Roman" w:eastAsia="Times New Roman" w:hAnsi="Times New Roman" w:cs="Times New Roman"/>
      <w:sz w:val="24"/>
      <w:szCs w:val="20"/>
    </w:rPr>
  </w:style>
  <w:style w:type="paragraph" w:styleId="BodyTextIndent">
    <w:name w:val="Body Text Indent"/>
    <w:basedOn w:val="Normal"/>
    <w:link w:val="BodyTextIndentChar"/>
    <w:rsid w:val="00693613"/>
    <w:pPr>
      <w:spacing w:after="120"/>
      <w:ind w:left="360"/>
    </w:pPr>
  </w:style>
  <w:style w:type="character" w:customStyle="1" w:styleId="BodyTextIndentChar">
    <w:name w:val="Body Text Indent Char"/>
    <w:basedOn w:val="DefaultParagraphFont"/>
    <w:link w:val="BodyTextIndent"/>
    <w:rsid w:val="00693613"/>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93613"/>
    <w:pPr>
      <w:tabs>
        <w:tab w:val="num" w:pos="720"/>
      </w:tabs>
      <w:ind w:left="720" w:hanging="720"/>
    </w:pPr>
  </w:style>
  <w:style w:type="paragraph" w:styleId="NormalWeb">
    <w:name w:val="Normal (Web)"/>
    <w:basedOn w:val="Normal"/>
    <w:rsid w:val="00693613"/>
    <w:pPr>
      <w:spacing w:before="100" w:beforeAutospacing="1" w:after="100" w:afterAutospacing="1"/>
    </w:pPr>
  </w:style>
  <w:style w:type="table" w:styleId="TableGrid">
    <w:name w:val="Table Grid"/>
    <w:basedOn w:val="TableNormal"/>
    <w:uiPriority w:val="59"/>
    <w:rsid w:val="006936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693613"/>
    <w:pPr>
      <w:tabs>
        <w:tab w:val="center" w:pos="4680"/>
        <w:tab w:val="right" w:pos="9360"/>
      </w:tabs>
    </w:pPr>
  </w:style>
  <w:style w:type="character" w:customStyle="1" w:styleId="FooterChar">
    <w:name w:val="Footer Char"/>
    <w:basedOn w:val="DefaultParagraphFont"/>
    <w:link w:val="Footer"/>
    <w:rsid w:val="00693613"/>
    <w:rPr>
      <w:rFonts w:ascii="Times New Roman" w:eastAsia="Times New Roman" w:hAnsi="Times New Roman" w:cs="Times New Roman"/>
      <w:sz w:val="24"/>
      <w:szCs w:val="24"/>
    </w:rPr>
  </w:style>
  <w:style w:type="character" w:styleId="PageNumber">
    <w:name w:val="page number"/>
    <w:basedOn w:val="DefaultParagraphFont"/>
    <w:rsid w:val="00693613"/>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F07400"/>
    <w:rPr>
      <w:rFonts w:ascii="Tahoma" w:hAnsi="Tahoma" w:cs="Tahoma"/>
      <w:sz w:val="16"/>
      <w:szCs w:val="16"/>
    </w:rPr>
  </w:style>
  <w:style w:type="character" w:customStyle="1" w:styleId="BalloonTextChar">
    <w:name w:val="Balloon Text Char"/>
    <w:basedOn w:val="DefaultParagraphFont"/>
    <w:link w:val="BalloonText"/>
    <w:uiPriority w:val="99"/>
    <w:semiHidden/>
    <w:rsid w:val="00F074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Kyle Aronson</dc:creator>
  <cp:lastModifiedBy>lallemand_c</cp:lastModifiedBy>
  <cp:revision>2</cp:revision>
  <dcterms:created xsi:type="dcterms:W3CDTF">2012-11-29T19:09:00Z</dcterms:created>
  <dcterms:modified xsi:type="dcterms:W3CDTF">2012-11-29T19:09:00Z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249176605</vt:i4>
  </property>
  <property fmtid="{D5CDD505-2E9C-101B-9397-08002B2CF9AE}" pid="4" name="_EmailSubject">
    <vt:lpwstr>PRA Submission for Continuum of Care Registration</vt:lpwstr>
  </property>
  <property fmtid="{D5CDD505-2E9C-101B-9397-08002B2CF9AE}" pid="5" name="_AuthorEmail">
    <vt:lpwstr>Matthew.K.Aronson@hud.gov</vt:lpwstr>
  </property>
  <property fmtid="{D5CDD505-2E9C-101B-9397-08002B2CF9AE}" pid="6" name="_AuthorEmailDisplayName">
    <vt:lpwstr>Aronson, Matthew K</vt:lpwstr>
  </property>
  <property fmtid="{D5CDD505-2E9C-101B-9397-08002B2CF9AE}" pid="7" name="_PreviousAdHocReviewCycleID">
    <vt:i4>685469204</vt:i4>
  </property>
  <property fmtid="{D5CDD505-2E9C-101B-9397-08002B2CF9AE}" pid="8" name="_ReviewingToolsShownOnce">
    <vt:lpwstr/>
  </property>
</Properties>
</file>