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772E1E" w:rsidRDefault="00772E1E" w:rsidP="000072C9">
      <w:pPr>
        <w:jc w:val="center"/>
        <w:rPr>
          <w:b/>
        </w:rPr>
      </w:pPr>
      <w:r>
        <w:rPr>
          <w:b/>
        </w:rPr>
        <w:t>SUPPORTING STATEMENT</w:t>
      </w:r>
    </w:p>
    <w:p w:rsidR="00772E1E" w:rsidRDefault="00772E1E" w:rsidP="000072C9">
      <w:pPr>
        <w:jc w:val="center"/>
        <w:rPr>
          <w:b/>
        </w:rPr>
      </w:pPr>
      <w:r>
        <w:rPr>
          <w:b/>
        </w:rPr>
        <w:t>FOR THE</w:t>
      </w:r>
    </w:p>
    <w:p w:rsidR="00772E1E" w:rsidRDefault="00772E1E" w:rsidP="000072C9">
      <w:pPr>
        <w:jc w:val="center"/>
        <w:rPr>
          <w:b/>
        </w:rPr>
      </w:pPr>
      <w:r>
        <w:rPr>
          <w:b/>
        </w:rPr>
        <w:t>PART 71 FEDERAL OPERATING</w:t>
      </w:r>
    </w:p>
    <w:p w:rsidR="00772E1E" w:rsidRDefault="00772E1E" w:rsidP="000072C9">
      <w:pPr>
        <w:jc w:val="center"/>
        <w:rPr>
          <w:b/>
        </w:rPr>
      </w:pPr>
      <w:r>
        <w:rPr>
          <w:b/>
        </w:rPr>
        <w:t>PERMIT PROGRAM</w:t>
      </w:r>
    </w:p>
    <w:p w:rsidR="00226D04" w:rsidRPr="00BB2522" w:rsidRDefault="00226D04" w:rsidP="00226D04"/>
    <w:p w:rsidR="00226D04" w:rsidRDefault="00226D04" w:rsidP="00226D04"/>
    <w:p w:rsidR="00657288" w:rsidRDefault="00657288" w:rsidP="00226D04"/>
    <w:p w:rsidR="00657288" w:rsidRPr="00BB2522" w:rsidRDefault="00657288" w:rsidP="00226D04"/>
    <w:p w:rsidR="00226D04" w:rsidRDefault="00226D04" w:rsidP="00226D04">
      <w:pPr>
        <w:jc w:val="center"/>
      </w:pPr>
    </w:p>
    <w:p w:rsidR="00657288" w:rsidRDefault="00657288" w:rsidP="00226D04">
      <w:pPr>
        <w:jc w:val="center"/>
      </w:pPr>
    </w:p>
    <w:p w:rsidR="00657288" w:rsidRDefault="00657288" w:rsidP="00226D04">
      <w:pPr>
        <w:jc w:val="center"/>
      </w:pPr>
    </w:p>
    <w:p w:rsidR="00657288" w:rsidRDefault="00657288" w:rsidP="00226D04">
      <w:pPr>
        <w:jc w:val="center"/>
      </w:pPr>
    </w:p>
    <w:p w:rsidR="00657288" w:rsidRDefault="00657288" w:rsidP="00226D04">
      <w:pPr>
        <w:jc w:val="center"/>
      </w:pPr>
      <w:r>
        <w:t>Jeff Herring</w:t>
      </w:r>
      <w:r w:rsidRPr="00FF3A52">
        <w:t xml:space="preserve"> </w:t>
      </w:r>
    </w:p>
    <w:p w:rsidR="00657288" w:rsidRDefault="00657288" w:rsidP="00657288">
      <w:pPr>
        <w:jc w:val="center"/>
      </w:pPr>
      <w:r>
        <w:t>Operating Permits Group</w:t>
      </w:r>
    </w:p>
    <w:p w:rsidR="00226D04" w:rsidRPr="00BB2522" w:rsidRDefault="00226D04" w:rsidP="00226D04">
      <w:pPr>
        <w:jc w:val="center"/>
      </w:pPr>
      <w:r w:rsidRPr="00FF3A52">
        <w:t>Air Quality Policy Division</w:t>
      </w:r>
    </w:p>
    <w:p w:rsidR="00226D04" w:rsidRPr="00BB2522" w:rsidRDefault="00226D04" w:rsidP="00226D04">
      <w:pPr>
        <w:jc w:val="center"/>
      </w:pPr>
      <w:r w:rsidRPr="00BB2522">
        <w:t>Office of Air Quality Planning and Standards</w:t>
      </w:r>
    </w:p>
    <w:p w:rsidR="00226D04" w:rsidRPr="00BB2522" w:rsidRDefault="00226D04" w:rsidP="00226D04">
      <w:pPr>
        <w:jc w:val="center"/>
      </w:pPr>
      <w:r w:rsidRPr="00BB2522">
        <w:t>Office of Air and Radiation</w:t>
      </w:r>
    </w:p>
    <w:p w:rsidR="00226D04" w:rsidRPr="00BB2522" w:rsidRDefault="00226D04" w:rsidP="00226D04">
      <w:pPr>
        <w:jc w:val="center"/>
      </w:pPr>
      <w:r w:rsidRPr="00BB2522">
        <w:t>United States Environmental Protection Agency</w:t>
      </w:r>
    </w:p>
    <w:p w:rsidR="00226D04" w:rsidRDefault="00226D04" w:rsidP="00226D04">
      <w:pPr>
        <w:jc w:val="center"/>
      </w:pPr>
      <w:r w:rsidRPr="00BB2522">
        <w:t>R</w:t>
      </w:r>
      <w:r w:rsidR="00F45B14">
        <w:t xml:space="preserve">esearch </w:t>
      </w:r>
      <w:r w:rsidRPr="00BB2522">
        <w:t>T</w:t>
      </w:r>
      <w:r w:rsidR="00F45B14">
        <w:t xml:space="preserve">riangle </w:t>
      </w:r>
      <w:r w:rsidRPr="00BB2522">
        <w:t>P</w:t>
      </w:r>
      <w:r w:rsidR="00F45B14">
        <w:t>ark</w:t>
      </w:r>
      <w:r w:rsidRPr="00BB2522">
        <w:t>, North Carolina 27711</w:t>
      </w:r>
    </w:p>
    <w:p w:rsidR="00F45B14" w:rsidRDefault="00F45B14" w:rsidP="00226D04">
      <w:pPr>
        <w:jc w:val="center"/>
      </w:pPr>
    </w:p>
    <w:p w:rsidR="00F45B14" w:rsidRDefault="00F45B14" w:rsidP="00226D04">
      <w:pPr>
        <w:jc w:val="center"/>
      </w:pPr>
    </w:p>
    <w:p w:rsidR="00032BE1" w:rsidRDefault="00032BE1" w:rsidP="00226D04">
      <w:pPr>
        <w:jc w:val="center"/>
      </w:pPr>
    </w:p>
    <w:p w:rsidR="00657288" w:rsidRDefault="00657288" w:rsidP="00226D04">
      <w:pPr>
        <w:jc w:val="center"/>
      </w:pPr>
    </w:p>
    <w:p w:rsidR="00657288" w:rsidRDefault="00657288" w:rsidP="00226D04">
      <w:pPr>
        <w:jc w:val="center"/>
      </w:pPr>
    </w:p>
    <w:p w:rsidR="00657288" w:rsidRDefault="00657288" w:rsidP="00226D04">
      <w:pPr>
        <w:jc w:val="center"/>
      </w:pPr>
    </w:p>
    <w:p w:rsidR="00657288" w:rsidRDefault="00657288" w:rsidP="00226D04">
      <w:pPr>
        <w:jc w:val="center"/>
      </w:pPr>
    </w:p>
    <w:p w:rsidR="00657288" w:rsidRDefault="00657288" w:rsidP="00226D04">
      <w:pPr>
        <w:jc w:val="center"/>
      </w:pPr>
    </w:p>
    <w:p w:rsidR="00657288" w:rsidRDefault="00657288" w:rsidP="00226D04">
      <w:pPr>
        <w:jc w:val="center"/>
      </w:pPr>
    </w:p>
    <w:p w:rsidR="00032BE1" w:rsidRDefault="00032BE1" w:rsidP="00226D04">
      <w:pPr>
        <w:jc w:val="center"/>
      </w:pPr>
    </w:p>
    <w:p w:rsidR="00032BE1" w:rsidRDefault="00032BE1" w:rsidP="00226D04">
      <w:pPr>
        <w:jc w:val="center"/>
      </w:pPr>
    </w:p>
    <w:p w:rsidR="00226D04" w:rsidRPr="00BB2522" w:rsidRDefault="00226D04" w:rsidP="00226D04"/>
    <w:p w:rsidR="00226D04" w:rsidRPr="00BB2522" w:rsidRDefault="00226D04" w:rsidP="00226D04"/>
    <w:p w:rsidR="00226D04" w:rsidRPr="00BB2522" w:rsidRDefault="00226D04" w:rsidP="00226D04"/>
    <w:p w:rsidR="00226D04" w:rsidRPr="00BB2522" w:rsidRDefault="00226D04" w:rsidP="00226D04"/>
    <w:p w:rsidR="00226D04" w:rsidRPr="00BB2522" w:rsidRDefault="00226D04" w:rsidP="00226D04"/>
    <w:p w:rsidR="00226D04" w:rsidRDefault="00226D04" w:rsidP="00226D04"/>
    <w:p w:rsidR="00EA15E5" w:rsidRDefault="00EA15E5" w:rsidP="00226D04"/>
    <w:p w:rsidR="00EA15E5" w:rsidRPr="00BB2522" w:rsidRDefault="00EA15E5" w:rsidP="00226D04"/>
    <w:p w:rsidR="00226D04" w:rsidRPr="00BB2522" w:rsidRDefault="00226D04" w:rsidP="00226D04"/>
    <w:p w:rsidR="00226D04" w:rsidRPr="00BB2522" w:rsidRDefault="00226D04" w:rsidP="00226D04"/>
    <w:p w:rsidR="00226D04" w:rsidRPr="00BB2522" w:rsidRDefault="00226D04" w:rsidP="00226D04"/>
    <w:p w:rsidR="00226D04" w:rsidRPr="00BB2522" w:rsidRDefault="00226D04" w:rsidP="00226D04"/>
    <w:p w:rsidR="00226D04" w:rsidRPr="00BB2522" w:rsidRDefault="00226D04" w:rsidP="00226D04"/>
    <w:p w:rsidR="00772E1E" w:rsidRDefault="00772E1E" w:rsidP="000072C9">
      <w:pPr>
        <w:jc w:val="center"/>
        <w:rPr>
          <w:b/>
        </w:rPr>
      </w:pPr>
      <w:r>
        <w:rPr>
          <w:b/>
        </w:rPr>
        <w:t>SUPPORTING STATEMENT</w:t>
      </w:r>
    </w:p>
    <w:p w:rsidR="00772E1E" w:rsidRDefault="00772E1E" w:rsidP="000072C9">
      <w:pPr>
        <w:jc w:val="center"/>
        <w:rPr>
          <w:b/>
        </w:rPr>
      </w:pPr>
      <w:r>
        <w:rPr>
          <w:b/>
        </w:rPr>
        <w:t>FOR THE</w:t>
      </w:r>
    </w:p>
    <w:p w:rsidR="00772E1E" w:rsidRDefault="00772E1E" w:rsidP="000072C9">
      <w:pPr>
        <w:jc w:val="center"/>
        <w:rPr>
          <w:b/>
        </w:rPr>
      </w:pPr>
      <w:r>
        <w:rPr>
          <w:b/>
        </w:rPr>
        <w:t>PART 71 FEDERAL OPERATING</w:t>
      </w:r>
    </w:p>
    <w:p w:rsidR="00772E1E" w:rsidRDefault="00772E1E" w:rsidP="000072C9">
      <w:pPr>
        <w:jc w:val="center"/>
        <w:rPr>
          <w:b/>
        </w:rPr>
      </w:pPr>
      <w:r>
        <w:rPr>
          <w:b/>
        </w:rPr>
        <w:t>PERMIT PROGRAM</w:t>
      </w:r>
    </w:p>
    <w:p w:rsidR="00226D04" w:rsidRPr="00BB2522" w:rsidRDefault="00226D04" w:rsidP="00226D04">
      <w:pPr>
        <w:jc w:val="center"/>
        <w:rPr>
          <w:b/>
        </w:rPr>
      </w:pPr>
    </w:p>
    <w:p w:rsidR="00226D04" w:rsidRPr="00BB2522" w:rsidRDefault="00226D04" w:rsidP="000072C9">
      <w:pPr>
        <w:jc w:val="center"/>
        <w:rPr>
          <w:b/>
        </w:rPr>
      </w:pPr>
      <w:r w:rsidRPr="00BB2522">
        <w:rPr>
          <w:b/>
        </w:rPr>
        <w:t>TABLE OF CONTENTS</w:t>
      </w:r>
    </w:p>
    <w:p w:rsidR="00BF03D9" w:rsidRDefault="00BF03D9" w:rsidP="00BF03D9">
      <w:pPr>
        <w:tabs>
          <w:tab w:val="right" w:pos="10080"/>
        </w:tabs>
        <w:jc w:val="center"/>
        <w:outlineLvl w:val="0"/>
        <w:rPr>
          <w:b/>
        </w:rPr>
      </w:pPr>
    </w:p>
    <w:p w:rsidR="00226D04" w:rsidRPr="00BB2522" w:rsidRDefault="00BF03D9" w:rsidP="003E3A9D">
      <w:pPr>
        <w:jc w:val="right"/>
        <w:rPr>
          <w:b/>
        </w:rPr>
      </w:pPr>
      <w:r>
        <w:rPr>
          <w:b/>
        </w:rPr>
        <w:tab/>
      </w:r>
      <w:r w:rsidR="00226D04" w:rsidRPr="00BB2522">
        <w:rPr>
          <w:b/>
        </w:rPr>
        <w:t>Page</w:t>
      </w:r>
    </w:p>
    <w:p w:rsidR="00226D04" w:rsidRPr="00BB2522" w:rsidRDefault="00226D04" w:rsidP="00226D04">
      <w:pPr>
        <w:jc w:val="both"/>
      </w:pPr>
    </w:p>
    <w:p w:rsidR="00617330" w:rsidRDefault="00327742">
      <w:pPr>
        <w:pStyle w:val="TOC1"/>
        <w:rPr>
          <w:rFonts w:asciiTheme="minorHAnsi" w:eastAsiaTheme="minorEastAsia" w:hAnsiTheme="minorHAnsi" w:cstheme="minorBidi"/>
          <w:noProof/>
          <w:sz w:val="22"/>
          <w:szCs w:val="22"/>
        </w:rPr>
      </w:pPr>
      <w:r>
        <w:fldChar w:fldCharType="begin"/>
      </w:r>
      <w:r w:rsidR="003E3A9D">
        <w:instrText xml:space="preserve"> TOC \o "1-3" \h \z \u </w:instrText>
      </w:r>
      <w:r>
        <w:fldChar w:fldCharType="separate"/>
      </w:r>
      <w:hyperlink w:anchor="_Toc320021927" w:history="1">
        <w:r w:rsidR="00617330" w:rsidRPr="00DF7C3A">
          <w:rPr>
            <w:rStyle w:val="Hyperlink"/>
            <w:noProof/>
          </w:rPr>
          <w:t>1.</w:t>
        </w:r>
        <w:r w:rsidR="00617330">
          <w:rPr>
            <w:rFonts w:asciiTheme="minorHAnsi" w:eastAsiaTheme="minorEastAsia" w:hAnsiTheme="minorHAnsi" w:cstheme="minorBidi"/>
            <w:noProof/>
            <w:sz w:val="22"/>
            <w:szCs w:val="22"/>
          </w:rPr>
          <w:tab/>
        </w:r>
        <w:r w:rsidR="00617330" w:rsidRPr="00DF7C3A">
          <w:rPr>
            <w:rStyle w:val="Hyperlink"/>
            <w:noProof/>
          </w:rPr>
          <w:t>IDENTIFICATION OF THE INFORMATION COLLECTION</w:t>
        </w:r>
        <w:r w:rsidR="00617330">
          <w:rPr>
            <w:noProof/>
            <w:webHidden/>
          </w:rPr>
          <w:tab/>
        </w:r>
        <w:r>
          <w:rPr>
            <w:noProof/>
            <w:webHidden/>
          </w:rPr>
          <w:fldChar w:fldCharType="begin"/>
        </w:r>
        <w:r w:rsidR="00617330">
          <w:rPr>
            <w:noProof/>
            <w:webHidden/>
          </w:rPr>
          <w:instrText xml:space="preserve"> PAGEREF _Toc320021927 \h </w:instrText>
        </w:r>
        <w:r>
          <w:rPr>
            <w:noProof/>
            <w:webHidden/>
          </w:rPr>
        </w:r>
        <w:r>
          <w:rPr>
            <w:noProof/>
            <w:webHidden/>
          </w:rPr>
          <w:fldChar w:fldCharType="separate"/>
        </w:r>
        <w:r w:rsidR="00617330">
          <w:rPr>
            <w:noProof/>
            <w:webHidden/>
          </w:rPr>
          <w:t>1</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28" w:history="1">
        <w:r w:rsidR="00617330" w:rsidRPr="00DF7C3A">
          <w:rPr>
            <w:rStyle w:val="Hyperlink"/>
            <w:noProof/>
          </w:rPr>
          <w:t>1(a)</w:t>
        </w:r>
        <w:r w:rsidR="00617330">
          <w:rPr>
            <w:rFonts w:asciiTheme="minorHAnsi" w:eastAsiaTheme="minorEastAsia" w:hAnsiTheme="minorHAnsi" w:cstheme="minorBidi"/>
            <w:noProof/>
            <w:sz w:val="22"/>
            <w:szCs w:val="22"/>
          </w:rPr>
          <w:tab/>
        </w:r>
        <w:r w:rsidR="00617330" w:rsidRPr="00DF7C3A">
          <w:rPr>
            <w:rStyle w:val="Hyperlink"/>
            <w:noProof/>
          </w:rPr>
          <w:t>Title of the Information Collection Request (ICR)</w:t>
        </w:r>
        <w:r w:rsidR="00617330">
          <w:rPr>
            <w:noProof/>
            <w:webHidden/>
          </w:rPr>
          <w:tab/>
        </w:r>
        <w:r>
          <w:rPr>
            <w:noProof/>
            <w:webHidden/>
          </w:rPr>
          <w:fldChar w:fldCharType="begin"/>
        </w:r>
        <w:r w:rsidR="00617330">
          <w:rPr>
            <w:noProof/>
            <w:webHidden/>
          </w:rPr>
          <w:instrText xml:space="preserve"> PAGEREF _Toc320021928 \h </w:instrText>
        </w:r>
        <w:r>
          <w:rPr>
            <w:noProof/>
            <w:webHidden/>
          </w:rPr>
        </w:r>
        <w:r>
          <w:rPr>
            <w:noProof/>
            <w:webHidden/>
          </w:rPr>
          <w:fldChar w:fldCharType="separate"/>
        </w:r>
        <w:r w:rsidR="00617330">
          <w:rPr>
            <w:noProof/>
            <w:webHidden/>
          </w:rPr>
          <w:t>1</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29" w:history="1">
        <w:r w:rsidR="00617330" w:rsidRPr="00DF7C3A">
          <w:rPr>
            <w:rStyle w:val="Hyperlink"/>
            <w:noProof/>
          </w:rPr>
          <w:t>1(b)</w:t>
        </w:r>
        <w:r w:rsidR="00617330">
          <w:rPr>
            <w:rFonts w:asciiTheme="minorHAnsi" w:eastAsiaTheme="minorEastAsia" w:hAnsiTheme="minorHAnsi" w:cstheme="minorBidi"/>
            <w:noProof/>
            <w:sz w:val="22"/>
            <w:szCs w:val="22"/>
          </w:rPr>
          <w:tab/>
        </w:r>
        <w:r w:rsidR="00617330" w:rsidRPr="00DF7C3A">
          <w:rPr>
            <w:rStyle w:val="Hyperlink"/>
            <w:noProof/>
          </w:rPr>
          <w:t>Short Characterization/Abstract</w:t>
        </w:r>
        <w:r w:rsidR="00617330">
          <w:rPr>
            <w:noProof/>
            <w:webHidden/>
          </w:rPr>
          <w:tab/>
        </w:r>
        <w:r>
          <w:rPr>
            <w:noProof/>
            <w:webHidden/>
          </w:rPr>
          <w:fldChar w:fldCharType="begin"/>
        </w:r>
        <w:r w:rsidR="00617330">
          <w:rPr>
            <w:noProof/>
            <w:webHidden/>
          </w:rPr>
          <w:instrText xml:space="preserve"> PAGEREF _Toc320021929 \h </w:instrText>
        </w:r>
        <w:r>
          <w:rPr>
            <w:noProof/>
            <w:webHidden/>
          </w:rPr>
        </w:r>
        <w:r>
          <w:rPr>
            <w:noProof/>
            <w:webHidden/>
          </w:rPr>
          <w:fldChar w:fldCharType="separate"/>
        </w:r>
        <w:r w:rsidR="00617330">
          <w:rPr>
            <w:noProof/>
            <w:webHidden/>
          </w:rPr>
          <w:t>1</w:t>
        </w:r>
        <w:r>
          <w:rPr>
            <w:noProof/>
            <w:webHidden/>
          </w:rPr>
          <w:fldChar w:fldCharType="end"/>
        </w:r>
      </w:hyperlink>
    </w:p>
    <w:p w:rsidR="00617330" w:rsidRDefault="00327742">
      <w:pPr>
        <w:pStyle w:val="TOC3"/>
        <w:rPr>
          <w:rFonts w:asciiTheme="minorHAnsi" w:eastAsiaTheme="minorEastAsia" w:hAnsiTheme="minorHAnsi" w:cstheme="minorBidi"/>
          <w:noProof/>
          <w:sz w:val="22"/>
          <w:szCs w:val="22"/>
        </w:rPr>
      </w:pPr>
      <w:hyperlink w:anchor="_Toc320021930" w:history="1">
        <w:r w:rsidR="00617330" w:rsidRPr="00DF7C3A">
          <w:rPr>
            <w:rStyle w:val="Hyperlink"/>
            <w:noProof/>
          </w:rPr>
          <w:t>1(b)(i)</w:t>
        </w:r>
        <w:r w:rsidR="00617330">
          <w:rPr>
            <w:rFonts w:asciiTheme="minorHAnsi" w:eastAsiaTheme="minorEastAsia" w:hAnsiTheme="minorHAnsi" w:cstheme="minorBidi"/>
            <w:noProof/>
            <w:sz w:val="22"/>
            <w:szCs w:val="22"/>
          </w:rPr>
          <w:tab/>
        </w:r>
        <w:r w:rsidR="00617330" w:rsidRPr="00DF7C3A">
          <w:rPr>
            <w:rStyle w:val="Hyperlink"/>
            <w:noProof/>
          </w:rPr>
          <w:t>Federal program where there is no state, local or tribal program</w:t>
        </w:r>
        <w:r w:rsidR="00617330">
          <w:rPr>
            <w:noProof/>
            <w:webHidden/>
          </w:rPr>
          <w:tab/>
        </w:r>
        <w:r>
          <w:rPr>
            <w:noProof/>
            <w:webHidden/>
          </w:rPr>
          <w:fldChar w:fldCharType="begin"/>
        </w:r>
        <w:r w:rsidR="00617330">
          <w:rPr>
            <w:noProof/>
            <w:webHidden/>
          </w:rPr>
          <w:instrText xml:space="preserve"> PAGEREF _Toc320021930 \h </w:instrText>
        </w:r>
        <w:r>
          <w:rPr>
            <w:noProof/>
            <w:webHidden/>
          </w:rPr>
        </w:r>
        <w:r>
          <w:rPr>
            <w:noProof/>
            <w:webHidden/>
          </w:rPr>
          <w:fldChar w:fldCharType="separate"/>
        </w:r>
        <w:r w:rsidR="00617330">
          <w:rPr>
            <w:noProof/>
            <w:webHidden/>
          </w:rPr>
          <w:t>1</w:t>
        </w:r>
        <w:r>
          <w:rPr>
            <w:noProof/>
            <w:webHidden/>
          </w:rPr>
          <w:fldChar w:fldCharType="end"/>
        </w:r>
      </w:hyperlink>
    </w:p>
    <w:p w:rsidR="00617330" w:rsidRDefault="00327742">
      <w:pPr>
        <w:pStyle w:val="TOC3"/>
        <w:rPr>
          <w:rFonts w:asciiTheme="minorHAnsi" w:eastAsiaTheme="minorEastAsia" w:hAnsiTheme="minorHAnsi" w:cstheme="minorBidi"/>
          <w:noProof/>
          <w:sz w:val="22"/>
          <w:szCs w:val="22"/>
        </w:rPr>
      </w:pPr>
      <w:hyperlink w:anchor="_Toc320021931" w:history="1">
        <w:r w:rsidR="00617330" w:rsidRPr="00DF7C3A">
          <w:rPr>
            <w:rStyle w:val="Hyperlink"/>
            <w:noProof/>
          </w:rPr>
          <w:t>1(b)(ii)</w:t>
        </w:r>
        <w:r w:rsidR="00617330">
          <w:rPr>
            <w:rFonts w:asciiTheme="minorHAnsi" w:eastAsiaTheme="minorEastAsia" w:hAnsiTheme="minorHAnsi" w:cstheme="minorBidi"/>
            <w:noProof/>
            <w:sz w:val="22"/>
            <w:szCs w:val="22"/>
          </w:rPr>
          <w:tab/>
        </w:r>
        <w:r w:rsidR="00617330" w:rsidRPr="00DF7C3A">
          <w:rPr>
            <w:rStyle w:val="Hyperlink"/>
            <w:noProof/>
          </w:rPr>
          <w:t>Federal program as a backstop for deficient state programs</w:t>
        </w:r>
        <w:r w:rsidR="00617330">
          <w:rPr>
            <w:noProof/>
            <w:webHidden/>
          </w:rPr>
          <w:tab/>
        </w:r>
        <w:r>
          <w:rPr>
            <w:noProof/>
            <w:webHidden/>
          </w:rPr>
          <w:fldChar w:fldCharType="begin"/>
        </w:r>
        <w:r w:rsidR="00617330">
          <w:rPr>
            <w:noProof/>
            <w:webHidden/>
          </w:rPr>
          <w:instrText xml:space="preserve"> PAGEREF _Toc320021931 \h </w:instrText>
        </w:r>
        <w:r>
          <w:rPr>
            <w:noProof/>
            <w:webHidden/>
          </w:rPr>
        </w:r>
        <w:r>
          <w:rPr>
            <w:noProof/>
            <w:webHidden/>
          </w:rPr>
          <w:fldChar w:fldCharType="separate"/>
        </w:r>
        <w:r w:rsidR="00617330">
          <w:rPr>
            <w:noProof/>
            <w:webHidden/>
          </w:rPr>
          <w:t>2</w:t>
        </w:r>
        <w:r>
          <w:rPr>
            <w:noProof/>
            <w:webHidden/>
          </w:rPr>
          <w:fldChar w:fldCharType="end"/>
        </w:r>
      </w:hyperlink>
    </w:p>
    <w:p w:rsidR="00617330" w:rsidRDefault="00327742">
      <w:pPr>
        <w:pStyle w:val="TOC3"/>
        <w:rPr>
          <w:rFonts w:asciiTheme="minorHAnsi" w:eastAsiaTheme="minorEastAsia" w:hAnsiTheme="minorHAnsi" w:cstheme="minorBidi"/>
          <w:noProof/>
          <w:sz w:val="22"/>
          <w:szCs w:val="22"/>
        </w:rPr>
      </w:pPr>
      <w:hyperlink w:anchor="_Toc320021932" w:history="1">
        <w:r w:rsidR="00617330" w:rsidRPr="00DF7C3A">
          <w:rPr>
            <w:rStyle w:val="Hyperlink"/>
            <w:noProof/>
          </w:rPr>
          <w:t>1(b)(iii) Federal program for deficient state programs</w:t>
        </w:r>
        <w:r w:rsidR="00617330">
          <w:rPr>
            <w:noProof/>
            <w:webHidden/>
          </w:rPr>
          <w:tab/>
        </w:r>
        <w:r>
          <w:rPr>
            <w:noProof/>
            <w:webHidden/>
          </w:rPr>
          <w:fldChar w:fldCharType="begin"/>
        </w:r>
        <w:r w:rsidR="00617330">
          <w:rPr>
            <w:noProof/>
            <w:webHidden/>
          </w:rPr>
          <w:instrText xml:space="preserve"> PAGEREF _Toc320021932 \h </w:instrText>
        </w:r>
        <w:r>
          <w:rPr>
            <w:noProof/>
            <w:webHidden/>
          </w:rPr>
        </w:r>
        <w:r>
          <w:rPr>
            <w:noProof/>
            <w:webHidden/>
          </w:rPr>
          <w:fldChar w:fldCharType="separate"/>
        </w:r>
        <w:r w:rsidR="00617330">
          <w:rPr>
            <w:noProof/>
            <w:webHidden/>
          </w:rPr>
          <w:t>2</w:t>
        </w:r>
        <w:r>
          <w:rPr>
            <w:noProof/>
            <w:webHidden/>
          </w:rPr>
          <w:fldChar w:fldCharType="end"/>
        </w:r>
      </w:hyperlink>
    </w:p>
    <w:p w:rsidR="00617330" w:rsidRDefault="00327742">
      <w:pPr>
        <w:pStyle w:val="TOC1"/>
        <w:rPr>
          <w:rFonts w:asciiTheme="minorHAnsi" w:eastAsiaTheme="minorEastAsia" w:hAnsiTheme="minorHAnsi" w:cstheme="minorBidi"/>
          <w:noProof/>
          <w:sz w:val="22"/>
          <w:szCs w:val="22"/>
        </w:rPr>
      </w:pPr>
      <w:hyperlink w:anchor="_Toc320021933" w:history="1">
        <w:r w:rsidR="00617330" w:rsidRPr="00DF7C3A">
          <w:rPr>
            <w:rStyle w:val="Hyperlink"/>
            <w:noProof/>
          </w:rPr>
          <w:t>2.</w:t>
        </w:r>
        <w:r w:rsidR="00617330">
          <w:rPr>
            <w:rFonts w:asciiTheme="minorHAnsi" w:eastAsiaTheme="minorEastAsia" w:hAnsiTheme="minorHAnsi" w:cstheme="minorBidi"/>
            <w:noProof/>
            <w:sz w:val="22"/>
            <w:szCs w:val="22"/>
          </w:rPr>
          <w:tab/>
        </w:r>
        <w:r w:rsidR="00617330" w:rsidRPr="00DF7C3A">
          <w:rPr>
            <w:rStyle w:val="Hyperlink"/>
            <w:noProof/>
          </w:rPr>
          <w:t>NEED FOR AND USE OF THE COLLECTION</w:t>
        </w:r>
        <w:r w:rsidR="00617330">
          <w:rPr>
            <w:noProof/>
            <w:webHidden/>
          </w:rPr>
          <w:tab/>
        </w:r>
        <w:r>
          <w:rPr>
            <w:noProof/>
            <w:webHidden/>
          </w:rPr>
          <w:fldChar w:fldCharType="begin"/>
        </w:r>
        <w:r w:rsidR="00617330">
          <w:rPr>
            <w:noProof/>
            <w:webHidden/>
          </w:rPr>
          <w:instrText xml:space="preserve"> PAGEREF _Toc320021933 \h </w:instrText>
        </w:r>
        <w:r>
          <w:rPr>
            <w:noProof/>
            <w:webHidden/>
          </w:rPr>
        </w:r>
        <w:r>
          <w:rPr>
            <w:noProof/>
            <w:webHidden/>
          </w:rPr>
          <w:fldChar w:fldCharType="separate"/>
        </w:r>
        <w:r w:rsidR="00617330">
          <w:rPr>
            <w:noProof/>
            <w:webHidden/>
          </w:rPr>
          <w:t>2</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34" w:history="1">
        <w:r w:rsidR="00617330" w:rsidRPr="00DF7C3A">
          <w:rPr>
            <w:rStyle w:val="Hyperlink"/>
            <w:noProof/>
          </w:rPr>
          <w:t>2(a)</w:t>
        </w:r>
        <w:r w:rsidR="00617330">
          <w:rPr>
            <w:rFonts w:asciiTheme="minorHAnsi" w:eastAsiaTheme="minorEastAsia" w:hAnsiTheme="minorHAnsi" w:cstheme="minorBidi"/>
            <w:noProof/>
            <w:sz w:val="22"/>
            <w:szCs w:val="22"/>
          </w:rPr>
          <w:tab/>
        </w:r>
        <w:r w:rsidR="00617330" w:rsidRPr="00DF7C3A">
          <w:rPr>
            <w:rStyle w:val="Hyperlink"/>
            <w:noProof/>
          </w:rPr>
          <w:t>Need/Authority for the Collection</w:t>
        </w:r>
        <w:r w:rsidR="00617330">
          <w:rPr>
            <w:noProof/>
            <w:webHidden/>
          </w:rPr>
          <w:tab/>
        </w:r>
        <w:r>
          <w:rPr>
            <w:noProof/>
            <w:webHidden/>
          </w:rPr>
          <w:fldChar w:fldCharType="begin"/>
        </w:r>
        <w:r w:rsidR="00617330">
          <w:rPr>
            <w:noProof/>
            <w:webHidden/>
          </w:rPr>
          <w:instrText xml:space="preserve"> PAGEREF _Toc320021934 \h </w:instrText>
        </w:r>
        <w:r>
          <w:rPr>
            <w:noProof/>
            <w:webHidden/>
          </w:rPr>
        </w:r>
        <w:r>
          <w:rPr>
            <w:noProof/>
            <w:webHidden/>
          </w:rPr>
          <w:fldChar w:fldCharType="separate"/>
        </w:r>
        <w:r w:rsidR="00617330">
          <w:rPr>
            <w:noProof/>
            <w:webHidden/>
          </w:rPr>
          <w:t>2</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35" w:history="1">
        <w:r w:rsidR="00617330" w:rsidRPr="00DF7C3A">
          <w:rPr>
            <w:rStyle w:val="Hyperlink"/>
            <w:noProof/>
          </w:rPr>
          <w:t>2(b)</w:t>
        </w:r>
        <w:r w:rsidR="00617330">
          <w:rPr>
            <w:rFonts w:asciiTheme="minorHAnsi" w:eastAsiaTheme="minorEastAsia" w:hAnsiTheme="minorHAnsi" w:cstheme="minorBidi"/>
            <w:noProof/>
            <w:sz w:val="22"/>
            <w:szCs w:val="22"/>
          </w:rPr>
          <w:tab/>
        </w:r>
        <w:r w:rsidR="00617330" w:rsidRPr="00DF7C3A">
          <w:rPr>
            <w:rStyle w:val="Hyperlink"/>
            <w:noProof/>
          </w:rPr>
          <w:t>Practical Utility/Users of the Data</w:t>
        </w:r>
        <w:r w:rsidR="00617330">
          <w:rPr>
            <w:noProof/>
            <w:webHidden/>
          </w:rPr>
          <w:tab/>
        </w:r>
        <w:r>
          <w:rPr>
            <w:noProof/>
            <w:webHidden/>
          </w:rPr>
          <w:fldChar w:fldCharType="begin"/>
        </w:r>
        <w:r w:rsidR="00617330">
          <w:rPr>
            <w:noProof/>
            <w:webHidden/>
          </w:rPr>
          <w:instrText xml:space="preserve"> PAGEREF _Toc320021935 \h </w:instrText>
        </w:r>
        <w:r>
          <w:rPr>
            <w:noProof/>
            <w:webHidden/>
          </w:rPr>
        </w:r>
        <w:r>
          <w:rPr>
            <w:noProof/>
            <w:webHidden/>
          </w:rPr>
          <w:fldChar w:fldCharType="separate"/>
        </w:r>
        <w:r w:rsidR="00617330">
          <w:rPr>
            <w:noProof/>
            <w:webHidden/>
          </w:rPr>
          <w:t>3</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36" w:history="1">
        <w:r w:rsidR="00617330" w:rsidRPr="00DF7C3A">
          <w:rPr>
            <w:rStyle w:val="Hyperlink"/>
            <w:noProof/>
          </w:rPr>
          <w:t>2(c)</w:t>
        </w:r>
        <w:r w:rsidR="00617330">
          <w:rPr>
            <w:rFonts w:asciiTheme="minorHAnsi" w:eastAsiaTheme="minorEastAsia" w:hAnsiTheme="minorHAnsi" w:cstheme="minorBidi"/>
            <w:noProof/>
            <w:sz w:val="22"/>
            <w:szCs w:val="22"/>
          </w:rPr>
          <w:tab/>
        </w:r>
        <w:r w:rsidR="00617330" w:rsidRPr="00DF7C3A">
          <w:rPr>
            <w:rStyle w:val="Hyperlink"/>
            <w:noProof/>
          </w:rPr>
          <w:t>Caveats and Considerations</w:t>
        </w:r>
        <w:r w:rsidR="00617330">
          <w:rPr>
            <w:noProof/>
            <w:webHidden/>
          </w:rPr>
          <w:tab/>
        </w:r>
        <w:r>
          <w:rPr>
            <w:noProof/>
            <w:webHidden/>
          </w:rPr>
          <w:fldChar w:fldCharType="begin"/>
        </w:r>
        <w:r w:rsidR="00617330">
          <w:rPr>
            <w:noProof/>
            <w:webHidden/>
          </w:rPr>
          <w:instrText xml:space="preserve"> PAGEREF _Toc320021936 \h </w:instrText>
        </w:r>
        <w:r>
          <w:rPr>
            <w:noProof/>
            <w:webHidden/>
          </w:rPr>
        </w:r>
        <w:r>
          <w:rPr>
            <w:noProof/>
            <w:webHidden/>
          </w:rPr>
          <w:fldChar w:fldCharType="separate"/>
        </w:r>
        <w:r w:rsidR="00617330">
          <w:rPr>
            <w:noProof/>
            <w:webHidden/>
          </w:rPr>
          <w:t>3</w:t>
        </w:r>
        <w:r>
          <w:rPr>
            <w:noProof/>
            <w:webHidden/>
          </w:rPr>
          <w:fldChar w:fldCharType="end"/>
        </w:r>
      </w:hyperlink>
    </w:p>
    <w:p w:rsidR="00617330" w:rsidRDefault="00327742">
      <w:pPr>
        <w:pStyle w:val="TOC1"/>
        <w:rPr>
          <w:rFonts w:asciiTheme="minorHAnsi" w:eastAsiaTheme="minorEastAsia" w:hAnsiTheme="minorHAnsi" w:cstheme="minorBidi"/>
          <w:noProof/>
          <w:sz w:val="22"/>
          <w:szCs w:val="22"/>
        </w:rPr>
      </w:pPr>
      <w:hyperlink w:anchor="_Toc320021937" w:history="1">
        <w:r w:rsidR="00617330" w:rsidRPr="00DF7C3A">
          <w:rPr>
            <w:rStyle w:val="Hyperlink"/>
            <w:noProof/>
          </w:rPr>
          <w:t>3.</w:t>
        </w:r>
        <w:r w:rsidR="00617330">
          <w:rPr>
            <w:rFonts w:asciiTheme="minorHAnsi" w:eastAsiaTheme="minorEastAsia" w:hAnsiTheme="minorHAnsi" w:cstheme="minorBidi"/>
            <w:noProof/>
            <w:sz w:val="22"/>
            <w:szCs w:val="22"/>
          </w:rPr>
          <w:tab/>
        </w:r>
        <w:r w:rsidR="00617330" w:rsidRPr="00DF7C3A">
          <w:rPr>
            <w:rStyle w:val="Hyperlink"/>
            <w:noProof/>
          </w:rPr>
          <w:t>NON-DUPLICATION, CONSULTATIONS AND OTHER COLLECTION CRITERIA</w:t>
        </w:r>
        <w:r w:rsidR="00617330">
          <w:rPr>
            <w:noProof/>
            <w:webHidden/>
          </w:rPr>
          <w:tab/>
        </w:r>
        <w:r>
          <w:rPr>
            <w:noProof/>
            <w:webHidden/>
          </w:rPr>
          <w:fldChar w:fldCharType="begin"/>
        </w:r>
        <w:r w:rsidR="00617330">
          <w:rPr>
            <w:noProof/>
            <w:webHidden/>
          </w:rPr>
          <w:instrText xml:space="preserve"> PAGEREF _Toc320021937 \h </w:instrText>
        </w:r>
        <w:r>
          <w:rPr>
            <w:noProof/>
            <w:webHidden/>
          </w:rPr>
        </w:r>
        <w:r>
          <w:rPr>
            <w:noProof/>
            <w:webHidden/>
          </w:rPr>
          <w:fldChar w:fldCharType="separate"/>
        </w:r>
        <w:r w:rsidR="00617330">
          <w:rPr>
            <w:noProof/>
            <w:webHidden/>
          </w:rPr>
          <w:t>4</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38" w:history="1">
        <w:r w:rsidR="00617330" w:rsidRPr="00DF7C3A">
          <w:rPr>
            <w:rStyle w:val="Hyperlink"/>
            <w:noProof/>
          </w:rPr>
          <w:t>3(a)</w:t>
        </w:r>
        <w:r w:rsidR="00617330">
          <w:rPr>
            <w:rFonts w:asciiTheme="minorHAnsi" w:eastAsiaTheme="minorEastAsia" w:hAnsiTheme="minorHAnsi" w:cstheme="minorBidi"/>
            <w:noProof/>
            <w:sz w:val="22"/>
            <w:szCs w:val="22"/>
          </w:rPr>
          <w:tab/>
        </w:r>
        <w:r w:rsidR="00617330" w:rsidRPr="00DF7C3A">
          <w:rPr>
            <w:rStyle w:val="Hyperlink"/>
            <w:noProof/>
          </w:rPr>
          <w:t>Non-Duplication</w:t>
        </w:r>
        <w:r w:rsidR="00617330">
          <w:rPr>
            <w:noProof/>
            <w:webHidden/>
          </w:rPr>
          <w:tab/>
        </w:r>
        <w:r>
          <w:rPr>
            <w:noProof/>
            <w:webHidden/>
          </w:rPr>
          <w:fldChar w:fldCharType="begin"/>
        </w:r>
        <w:r w:rsidR="00617330">
          <w:rPr>
            <w:noProof/>
            <w:webHidden/>
          </w:rPr>
          <w:instrText xml:space="preserve"> PAGEREF _Toc320021938 \h </w:instrText>
        </w:r>
        <w:r>
          <w:rPr>
            <w:noProof/>
            <w:webHidden/>
          </w:rPr>
        </w:r>
        <w:r>
          <w:rPr>
            <w:noProof/>
            <w:webHidden/>
          </w:rPr>
          <w:fldChar w:fldCharType="separate"/>
        </w:r>
        <w:r w:rsidR="00617330">
          <w:rPr>
            <w:noProof/>
            <w:webHidden/>
          </w:rPr>
          <w:t>4</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39" w:history="1">
        <w:r w:rsidR="00617330" w:rsidRPr="00DF7C3A">
          <w:rPr>
            <w:rStyle w:val="Hyperlink"/>
            <w:noProof/>
          </w:rPr>
          <w:t>3(b)</w:t>
        </w:r>
        <w:r w:rsidR="00617330">
          <w:rPr>
            <w:rFonts w:asciiTheme="minorHAnsi" w:eastAsiaTheme="minorEastAsia" w:hAnsiTheme="minorHAnsi" w:cstheme="minorBidi"/>
            <w:noProof/>
            <w:sz w:val="22"/>
            <w:szCs w:val="22"/>
          </w:rPr>
          <w:tab/>
        </w:r>
        <w:r w:rsidR="00617330" w:rsidRPr="00DF7C3A">
          <w:rPr>
            <w:rStyle w:val="Hyperlink"/>
            <w:noProof/>
          </w:rPr>
          <w:t>Public Notice Required Prior to ICR Submission to OMB</w:t>
        </w:r>
        <w:r w:rsidR="00617330">
          <w:rPr>
            <w:noProof/>
            <w:webHidden/>
          </w:rPr>
          <w:tab/>
        </w:r>
        <w:r>
          <w:rPr>
            <w:noProof/>
            <w:webHidden/>
          </w:rPr>
          <w:fldChar w:fldCharType="begin"/>
        </w:r>
        <w:r w:rsidR="00617330">
          <w:rPr>
            <w:noProof/>
            <w:webHidden/>
          </w:rPr>
          <w:instrText xml:space="preserve"> PAGEREF _Toc320021939 \h </w:instrText>
        </w:r>
        <w:r>
          <w:rPr>
            <w:noProof/>
            <w:webHidden/>
          </w:rPr>
        </w:r>
        <w:r>
          <w:rPr>
            <w:noProof/>
            <w:webHidden/>
          </w:rPr>
          <w:fldChar w:fldCharType="separate"/>
        </w:r>
        <w:r w:rsidR="00617330">
          <w:rPr>
            <w:noProof/>
            <w:webHidden/>
          </w:rPr>
          <w:t>4</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40" w:history="1">
        <w:r w:rsidR="00617330" w:rsidRPr="00DF7C3A">
          <w:rPr>
            <w:rStyle w:val="Hyperlink"/>
            <w:noProof/>
          </w:rPr>
          <w:t>3(c)</w:t>
        </w:r>
        <w:r w:rsidR="00617330">
          <w:rPr>
            <w:rFonts w:asciiTheme="minorHAnsi" w:eastAsiaTheme="minorEastAsia" w:hAnsiTheme="minorHAnsi" w:cstheme="minorBidi"/>
            <w:noProof/>
            <w:sz w:val="22"/>
            <w:szCs w:val="22"/>
          </w:rPr>
          <w:tab/>
        </w:r>
        <w:r w:rsidR="00617330" w:rsidRPr="00DF7C3A">
          <w:rPr>
            <w:rStyle w:val="Hyperlink"/>
            <w:noProof/>
          </w:rPr>
          <w:t>Consultations</w:t>
        </w:r>
        <w:r w:rsidR="00617330">
          <w:rPr>
            <w:noProof/>
            <w:webHidden/>
          </w:rPr>
          <w:tab/>
        </w:r>
        <w:r>
          <w:rPr>
            <w:noProof/>
            <w:webHidden/>
          </w:rPr>
          <w:fldChar w:fldCharType="begin"/>
        </w:r>
        <w:r w:rsidR="00617330">
          <w:rPr>
            <w:noProof/>
            <w:webHidden/>
          </w:rPr>
          <w:instrText xml:space="preserve"> PAGEREF _Toc320021940 \h </w:instrText>
        </w:r>
        <w:r>
          <w:rPr>
            <w:noProof/>
            <w:webHidden/>
          </w:rPr>
        </w:r>
        <w:r>
          <w:rPr>
            <w:noProof/>
            <w:webHidden/>
          </w:rPr>
          <w:fldChar w:fldCharType="separate"/>
        </w:r>
        <w:r w:rsidR="00617330">
          <w:rPr>
            <w:noProof/>
            <w:webHidden/>
          </w:rPr>
          <w:t>4</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41" w:history="1">
        <w:r w:rsidR="00617330" w:rsidRPr="00DF7C3A">
          <w:rPr>
            <w:rStyle w:val="Hyperlink"/>
            <w:noProof/>
          </w:rPr>
          <w:t>3(d)</w:t>
        </w:r>
        <w:r w:rsidR="00617330">
          <w:rPr>
            <w:rFonts w:asciiTheme="minorHAnsi" w:eastAsiaTheme="minorEastAsia" w:hAnsiTheme="minorHAnsi" w:cstheme="minorBidi"/>
            <w:noProof/>
            <w:sz w:val="22"/>
            <w:szCs w:val="22"/>
          </w:rPr>
          <w:tab/>
        </w:r>
        <w:r w:rsidR="00617330" w:rsidRPr="00DF7C3A">
          <w:rPr>
            <w:rStyle w:val="Hyperlink"/>
            <w:noProof/>
          </w:rPr>
          <w:t>Effects of Less Frequent Collection</w:t>
        </w:r>
        <w:r w:rsidR="00617330">
          <w:rPr>
            <w:noProof/>
            <w:webHidden/>
          </w:rPr>
          <w:tab/>
        </w:r>
        <w:r>
          <w:rPr>
            <w:noProof/>
            <w:webHidden/>
          </w:rPr>
          <w:fldChar w:fldCharType="begin"/>
        </w:r>
        <w:r w:rsidR="00617330">
          <w:rPr>
            <w:noProof/>
            <w:webHidden/>
          </w:rPr>
          <w:instrText xml:space="preserve"> PAGEREF _Toc320021941 \h </w:instrText>
        </w:r>
        <w:r>
          <w:rPr>
            <w:noProof/>
            <w:webHidden/>
          </w:rPr>
        </w:r>
        <w:r>
          <w:rPr>
            <w:noProof/>
            <w:webHidden/>
          </w:rPr>
          <w:fldChar w:fldCharType="separate"/>
        </w:r>
        <w:r w:rsidR="00617330">
          <w:rPr>
            <w:noProof/>
            <w:webHidden/>
          </w:rPr>
          <w:t>5</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42" w:history="1">
        <w:r w:rsidR="00617330" w:rsidRPr="00DF7C3A">
          <w:rPr>
            <w:rStyle w:val="Hyperlink"/>
            <w:noProof/>
          </w:rPr>
          <w:t>3(e)</w:t>
        </w:r>
        <w:r w:rsidR="00617330">
          <w:rPr>
            <w:rFonts w:asciiTheme="minorHAnsi" w:eastAsiaTheme="minorEastAsia" w:hAnsiTheme="minorHAnsi" w:cstheme="minorBidi"/>
            <w:noProof/>
            <w:sz w:val="22"/>
            <w:szCs w:val="22"/>
          </w:rPr>
          <w:tab/>
        </w:r>
        <w:r w:rsidR="00617330" w:rsidRPr="00DF7C3A">
          <w:rPr>
            <w:rStyle w:val="Hyperlink"/>
            <w:noProof/>
          </w:rPr>
          <w:t>General Guidelines</w:t>
        </w:r>
        <w:r w:rsidR="00617330">
          <w:rPr>
            <w:noProof/>
            <w:webHidden/>
          </w:rPr>
          <w:tab/>
        </w:r>
        <w:r>
          <w:rPr>
            <w:noProof/>
            <w:webHidden/>
          </w:rPr>
          <w:fldChar w:fldCharType="begin"/>
        </w:r>
        <w:r w:rsidR="00617330">
          <w:rPr>
            <w:noProof/>
            <w:webHidden/>
          </w:rPr>
          <w:instrText xml:space="preserve"> PAGEREF _Toc320021942 \h </w:instrText>
        </w:r>
        <w:r>
          <w:rPr>
            <w:noProof/>
            <w:webHidden/>
          </w:rPr>
        </w:r>
        <w:r>
          <w:rPr>
            <w:noProof/>
            <w:webHidden/>
          </w:rPr>
          <w:fldChar w:fldCharType="separate"/>
        </w:r>
        <w:r w:rsidR="00617330">
          <w:rPr>
            <w:noProof/>
            <w:webHidden/>
          </w:rPr>
          <w:t>5</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43" w:history="1">
        <w:r w:rsidR="00617330" w:rsidRPr="00DF7C3A">
          <w:rPr>
            <w:rStyle w:val="Hyperlink"/>
            <w:noProof/>
          </w:rPr>
          <w:t>3(f)</w:t>
        </w:r>
        <w:r w:rsidR="00617330">
          <w:rPr>
            <w:rFonts w:asciiTheme="minorHAnsi" w:eastAsiaTheme="minorEastAsia" w:hAnsiTheme="minorHAnsi" w:cstheme="minorBidi"/>
            <w:noProof/>
            <w:sz w:val="22"/>
            <w:szCs w:val="22"/>
          </w:rPr>
          <w:tab/>
        </w:r>
        <w:r w:rsidR="00617330" w:rsidRPr="00DF7C3A">
          <w:rPr>
            <w:rStyle w:val="Hyperlink"/>
            <w:noProof/>
          </w:rPr>
          <w:t>Confidentiality</w:t>
        </w:r>
        <w:r w:rsidR="00617330">
          <w:rPr>
            <w:noProof/>
            <w:webHidden/>
          </w:rPr>
          <w:tab/>
        </w:r>
        <w:r>
          <w:rPr>
            <w:noProof/>
            <w:webHidden/>
          </w:rPr>
          <w:fldChar w:fldCharType="begin"/>
        </w:r>
        <w:r w:rsidR="00617330">
          <w:rPr>
            <w:noProof/>
            <w:webHidden/>
          </w:rPr>
          <w:instrText xml:space="preserve"> PAGEREF _Toc320021943 \h </w:instrText>
        </w:r>
        <w:r>
          <w:rPr>
            <w:noProof/>
            <w:webHidden/>
          </w:rPr>
        </w:r>
        <w:r>
          <w:rPr>
            <w:noProof/>
            <w:webHidden/>
          </w:rPr>
          <w:fldChar w:fldCharType="separate"/>
        </w:r>
        <w:r w:rsidR="00617330">
          <w:rPr>
            <w:noProof/>
            <w:webHidden/>
          </w:rPr>
          <w:t>6</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44" w:history="1">
        <w:r w:rsidR="00617330" w:rsidRPr="00DF7C3A">
          <w:rPr>
            <w:rStyle w:val="Hyperlink"/>
            <w:noProof/>
          </w:rPr>
          <w:t>3(g)</w:t>
        </w:r>
        <w:r w:rsidR="00617330">
          <w:rPr>
            <w:rFonts w:asciiTheme="minorHAnsi" w:eastAsiaTheme="minorEastAsia" w:hAnsiTheme="minorHAnsi" w:cstheme="minorBidi"/>
            <w:noProof/>
            <w:sz w:val="22"/>
            <w:szCs w:val="22"/>
          </w:rPr>
          <w:tab/>
        </w:r>
        <w:r w:rsidR="00617330" w:rsidRPr="00DF7C3A">
          <w:rPr>
            <w:rStyle w:val="Hyperlink"/>
            <w:noProof/>
          </w:rPr>
          <w:t>Sensitive Questions</w:t>
        </w:r>
        <w:r w:rsidR="00617330">
          <w:rPr>
            <w:noProof/>
            <w:webHidden/>
          </w:rPr>
          <w:tab/>
        </w:r>
        <w:r>
          <w:rPr>
            <w:noProof/>
            <w:webHidden/>
          </w:rPr>
          <w:fldChar w:fldCharType="begin"/>
        </w:r>
        <w:r w:rsidR="00617330">
          <w:rPr>
            <w:noProof/>
            <w:webHidden/>
          </w:rPr>
          <w:instrText xml:space="preserve"> PAGEREF _Toc320021944 \h </w:instrText>
        </w:r>
        <w:r>
          <w:rPr>
            <w:noProof/>
            <w:webHidden/>
          </w:rPr>
        </w:r>
        <w:r>
          <w:rPr>
            <w:noProof/>
            <w:webHidden/>
          </w:rPr>
          <w:fldChar w:fldCharType="separate"/>
        </w:r>
        <w:r w:rsidR="00617330">
          <w:rPr>
            <w:noProof/>
            <w:webHidden/>
          </w:rPr>
          <w:t>6</w:t>
        </w:r>
        <w:r>
          <w:rPr>
            <w:noProof/>
            <w:webHidden/>
          </w:rPr>
          <w:fldChar w:fldCharType="end"/>
        </w:r>
      </w:hyperlink>
    </w:p>
    <w:p w:rsidR="00617330" w:rsidRDefault="00327742">
      <w:pPr>
        <w:pStyle w:val="TOC1"/>
        <w:rPr>
          <w:rFonts w:asciiTheme="minorHAnsi" w:eastAsiaTheme="minorEastAsia" w:hAnsiTheme="minorHAnsi" w:cstheme="minorBidi"/>
          <w:noProof/>
          <w:sz w:val="22"/>
          <w:szCs w:val="22"/>
        </w:rPr>
      </w:pPr>
      <w:hyperlink w:anchor="_Toc320021945" w:history="1">
        <w:r w:rsidR="00617330" w:rsidRPr="00DF7C3A">
          <w:rPr>
            <w:rStyle w:val="Hyperlink"/>
            <w:noProof/>
          </w:rPr>
          <w:t>4.</w:t>
        </w:r>
        <w:r w:rsidR="00617330">
          <w:rPr>
            <w:rFonts w:asciiTheme="minorHAnsi" w:eastAsiaTheme="minorEastAsia" w:hAnsiTheme="minorHAnsi" w:cstheme="minorBidi"/>
            <w:noProof/>
            <w:sz w:val="22"/>
            <w:szCs w:val="22"/>
          </w:rPr>
          <w:tab/>
        </w:r>
        <w:r w:rsidR="00617330" w:rsidRPr="00DF7C3A">
          <w:rPr>
            <w:rStyle w:val="Hyperlink"/>
            <w:noProof/>
          </w:rPr>
          <w:t>THE RESPONDENTS AND THE INFORMATION REQUESTED</w:t>
        </w:r>
        <w:r w:rsidR="00617330">
          <w:rPr>
            <w:noProof/>
            <w:webHidden/>
          </w:rPr>
          <w:tab/>
        </w:r>
        <w:r>
          <w:rPr>
            <w:noProof/>
            <w:webHidden/>
          </w:rPr>
          <w:fldChar w:fldCharType="begin"/>
        </w:r>
        <w:r w:rsidR="00617330">
          <w:rPr>
            <w:noProof/>
            <w:webHidden/>
          </w:rPr>
          <w:instrText xml:space="preserve"> PAGEREF _Toc320021945 \h </w:instrText>
        </w:r>
        <w:r>
          <w:rPr>
            <w:noProof/>
            <w:webHidden/>
          </w:rPr>
        </w:r>
        <w:r>
          <w:rPr>
            <w:noProof/>
            <w:webHidden/>
          </w:rPr>
          <w:fldChar w:fldCharType="separate"/>
        </w:r>
        <w:r w:rsidR="00617330">
          <w:rPr>
            <w:noProof/>
            <w:webHidden/>
          </w:rPr>
          <w:t>6</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46" w:history="1">
        <w:r w:rsidR="00617330" w:rsidRPr="00DF7C3A">
          <w:rPr>
            <w:rStyle w:val="Hyperlink"/>
            <w:noProof/>
          </w:rPr>
          <w:t>4(a)</w:t>
        </w:r>
        <w:r w:rsidR="00617330">
          <w:rPr>
            <w:rFonts w:asciiTheme="minorHAnsi" w:eastAsiaTheme="minorEastAsia" w:hAnsiTheme="minorHAnsi" w:cstheme="minorBidi"/>
            <w:noProof/>
            <w:sz w:val="22"/>
            <w:szCs w:val="22"/>
          </w:rPr>
          <w:tab/>
        </w:r>
        <w:r w:rsidR="00617330" w:rsidRPr="00DF7C3A">
          <w:rPr>
            <w:rStyle w:val="Hyperlink"/>
            <w:noProof/>
          </w:rPr>
          <w:t>Respondents/ Standard Industrial Classification (SIC) Codes</w:t>
        </w:r>
        <w:r w:rsidR="00617330">
          <w:rPr>
            <w:noProof/>
            <w:webHidden/>
          </w:rPr>
          <w:tab/>
        </w:r>
        <w:r>
          <w:rPr>
            <w:noProof/>
            <w:webHidden/>
          </w:rPr>
          <w:fldChar w:fldCharType="begin"/>
        </w:r>
        <w:r w:rsidR="00617330">
          <w:rPr>
            <w:noProof/>
            <w:webHidden/>
          </w:rPr>
          <w:instrText xml:space="preserve"> PAGEREF _Toc320021946 \h </w:instrText>
        </w:r>
        <w:r>
          <w:rPr>
            <w:noProof/>
            <w:webHidden/>
          </w:rPr>
        </w:r>
        <w:r>
          <w:rPr>
            <w:noProof/>
            <w:webHidden/>
          </w:rPr>
          <w:fldChar w:fldCharType="separate"/>
        </w:r>
        <w:r w:rsidR="00617330">
          <w:rPr>
            <w:noProof/>
            <w:webHidden/>
          </w:rPr>
          <w:t>6</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47" w:history="1">
        <w:r w:rsidR="00617330" w:rsidRPr="00DF7C3A">
          <w:rPr>
            <w:rStyle w:val="Hyperlink"/>
            <w:noProof/>
          </w:rPr>
          <w:t>4(b)</w:t>
        </w:r>
        <w:r w:rsidR="00617330">
          <w:rPr>
            <w:rFonts w:asciiTheme="minorHAnsi" w:eastAsiaTheme="minorEastAsia" w:hAnsiTheme="minorHAnsi" w:cstheme="minorBidi"/>
            <w:noProof/>
            <w:sz w:val="22"/>
            <w:szCs w:val="22"/>
          </w:rPr>
          <w:tab/>
        </w:r>
        <w:r w:rsidR="00617330" w:rsidRPr="00DF7C3A">
          <w:rPr>
            <w:rStyle w:val="Hyperlink"/>
            <w:noProof/>
          </w:rPr>
          <w:t>Information Requested</w:t>
        </w:r>
        <w:r w:rsidR="00617330">
          <w:rPr>
            <w:noProof/>
            <w:webHidden/>
          </w:rPr>
          <w:tab/>
        </w:r>
        <w:r>
          <w:rPr>
            <w:noProof/>
            <w:webHidden/>
          </w:rPr>
          <w:fldChar w:fldCharType="begin"/>
        </w:r>
        <w:r w:rsidR="00617330">
          <w:rPr>
            <w:noProof/>
            <w:webHidden/>
          </w:rPr>
          <w:instrText xml:space="preserve"> PAGEREF _Toc320021947 \h </w:instrText>
        </w:r>
        <w:r>
          <w:rPr>
            <w:noProof/>
            <w:webHidden/>
          </w:rPr>
        </w:r>
        <w:r>
          <w:rPr>
            <w:noProof/>
            <w:webHidden/>
          </w:rPr>
          <w:fldChar w:fldCharType="separate"/>
        </w:r>
        <w:r w:rsidR="00617330">
          <w:rPr>
            <w:noProof/>
            <w:webHidden/>
          </w:rPr>
          <w:t>7</w:t>
        </w:r>
        <w:r>
          <w:rPr>
            <w:noProof/>
            <w:webHidden/>
          </w:rPr>
          <w:fldChar w:fldCharType="end"/>
        </w:r>
      </w:hyperlink>
    </w:p>
    <w:p w:rsidR="00617330" w:rsidRDefault="00327742">
      <w:pPr>
        <w:pStyle w:val="TOC3"/>
        <w:rPr>
          <w:rFonts w:asciiTheme="minorHAnsi" w:eastAsiaTheme="minorEastAsia" w:hAnsiTheme="minorHAnsi" w:cstheme="minorBidi"/>
          <w:noProof/>
          <w:sz w:val="22"/>
          <w:szCs w:val="22"/>
        </w:rPr>
      </w:pPr>
      <w:hyperlink w:anchor="_Toc320021948" w:history="1">
        <w:r w:rsidR="00617330" w:rsidRPr="00DF7C3A">
          <w:rPr>
            <w:rStyle w:val="Hyperlink"/>
            <w:noProof/>
          </w:rPr>
          <w:t>4(b)(i) Data items, including recordkeeping requirements</w:t>
        </w:r>
        <w:r w:rsidR="00617330">
          <w:rPr>
            <w:noProof/>
            <w:webHidden/>
          </w:rPr>
          <w:tab/>
        </w:r>
        <w:r>
          <w:rPr>
            <w:noProof/>
            <w:webHidden/>
          </w:rPr>
          <w:fldChar w:fldCharType="begin"/>
        </w:r>
        <w:r w:rsidR="00617330">
          <w:rPr>
            <w:noProof/>
            <w:webHidden/>
          </w:rPr>
          <w:instrText xml:space="preserve"> PAGEREF _Toc320021948 \h </w:instrText>
        </w:r>
        <w:r>
          <w:rPr>
            <w:noProof/>
            <w:webHidden/>
          </w:rPr>
        </w:r>
        <w:r>
          <w:rPr>
            <w:noProof/>
            <w:webHidden/>
          </w:rPr>
          <w:fldChar w:fldCharType="separate"/>
        </w:r>
        <w:r w:rsidR="00617330">
          <w:rPr>
            <w:noProof/>
            <w:webHidden/>
          </w:rPr>
          <w:t>8</w:t>
        </w:r>
        <w:r>
          <w:rPr>
            <w:noProof/>
            <w:webHidden/>
          </w:rPr>
          <w:fldChar w:fldCharType="end"/>
        </w:r>
      </w:hyperlink>
    </w:p>
    <w:p w:rsidR="00617330" w:rsidRDefault="00327742">
      <w:pPr>
        <w:pStyle w:val="TOC3"/>
        <w:rPr>
          <w:rFonts w:asciiTheme="minorHAnsi" w:eastAsiaTheme="minorEastAsia" w:hAnsiTheme="minorHAnsi" w:cstheme="minorBidi"/>
          <w:noProof/>
          <w:sz w:val="22"/>
          <w:szCs w:val="22"/>
        </w:rPr>
      </w:pPr>
      <w:hyperlink w:anchor="_Toc320021949" w:history="1">
        <w:r w:rsidR="00617330" w:rsidRPr="00DF7C3A">
          <w:rPr>
            <w:rStyle w:val="Hyperlink"/>
            <w:noProof/>
          </w:rPr>
          <w:t>4(b)(ii) Respondent activities</w:t>
        </w:r>
        <w:r w:rsidR="00617330">
          <w:rPr>
            <w:noProof/>
            <w:webHidden/>
          </w:rPr>
          <w:tab/>
        </w:r>
        <w:r>
          <w:rPr>
            <w:noProof/>
            <w:webHidden/>
          </w:rPr>
          <w:fldChar w:fldCharType="begin"/>
        </w:r>
        <w:r w:rsidR="00617330">
          <w:rPr>
            <w:noProof/>
            <w:webHidden/>
          </w:rPr>
          <w:instrText xml:space="preserve"> PAGEREF _Toc320021949 \h </w:instrText>
        </w:r>
        <w:r>
          <w:rPr>
            <w:noProof/>
            <w:webHidden/>
          </w:rPr>
        </w:r>
        <w:r>
          <w:rPr>
            <w:noProof/>
            <w:webHidden/>
          </w:rPr>
          <w:fldChar w:fldCharType="separate"/>
        </w:r>
        <w:r w:rsidR="00617330">
          <w:rPr>
            <w:noProof/>
            <w:webHidden/>
          </w:rPr>
          <w:t>8</w:t>
        </w:r>
        <w:r>
          <w:rPr>
            <w:noProof/>
            <w:webHidden/>
          </w:rPr>
          <w:fldChar w:fldCharType="end"/>
        </w:r>
      </w:hyperlink>
    </w:p>
    <w:p w:rsidR="00617330" w:rsidRDefault="00327742">
      <w:pPr>
        <w:pStyle w:val="TOC1"/>
        <w:rPr>
          <w:rFonts w:asciiTheme="minorHAnsi" w:eastAsiaTheme="minorEastAsia" w:hAnsiTheme="minorHAnsi" w:cstheme="minorBidi"/>
          <w:noProof/>
          <w:sz w:val="22"/>
          <w:szCs w:val="22"/>
        </w:rPr>
      </w:pPr>
      <w:hyperlink w:anchor="_Toc320021950" w:history="1">
        <w:r w:rsidR="00617330" w:rsidRPr="00DF7C3A">
          <w:rPr>
            <w:rStyle w:val="Hyperlink"/>
            <w:noProof/>
          </w:rPr>
          <w:t>5.</w:t>
        </w:r>
        <w:r w:rsidR="00617330">
          <w:rPr>
            <w:rFonts w:asciiTheme="minorHAnsi" w:eastAsiaTheme="minorEastAsia" w:hAnsiTheme="minorHAnsi" w:cstheme="minorBidi"/>
            <w:noProof/>
            <w:sz w:val="22"/>
            <w:szCs w:val="22"/>
          </w:rPr>
          <w:tab/>
        </w:r>
        <w:r w:rsidR="00617330" w:rsidRPr="00DF7C3A">
          <w:rPr>
            <w:rStyle w:val="Hyperlink"/>
            <w:noProof/>
          </w:rPr>
          <w:t>THE INFORMATION COLLECTED – AGENCY ACTIVITIES, COLLECTION METHODOLOGY AND INFORMATION MANAGEMENT</w:t>
        </w:r>
        <w:r w:rsidR="00617330">
          <w:rPr>
            <w:noProof/>
            <w:webHidden/>
          </w:rPr>
          <w:tab/>
        </w:r>
        <w:r>
          <w:rPr>
            <w:noProof/>
            <w:webHidden/>
          </w:rPr>
          <w:fldChar w:fldCharType="begin"/>
        </w:r>
        <w:r w:rsidR="00617330">
          <w:rPr>
            <w:noProof/>
            <w:webHidden/>
          </w:rPr>
          <w:instrText xml:space="preserve"> PAGEREF _Toc320021950 \h </w:instrText>
        </w:r>
        <w:r>
          <w:rPr>
            <w:noProof/>
            <w:webHidden/>
          </w:rPr>
        </w:r>
        <w:r>
          <w:rPr>
            <w:noProof/>
            <w:webHidden/>
          </w:rPr>
          <w:fldChar w:fldCharType="separate"/>
        </w:r>
        <w:r w:rsidR="00617330">
          <w:rPr>
            <w:noProof/>
            <w:webHidden/>
          </w:rPr>
          <w:t>10</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51" w:history="1">
        <w:r w:rsidR="00617330" w:rsidRPr="00DF7C3A">
          <w:rPr>
            <w:rStyle w:val="Hyperlink"/>
            <w:noProof/>
          </w:rPr>
          <w:t>5(a)</w:t>
        </w:r>
        <w:r w:rsidR="00617330">
          <w:rPr>
            <w:rFonts w:asciiTheme="minorHAnsi" w:eastAsiaTheme="minorEastAsia" w:hAnsiTheme="minorHAnsi" w:cstheme="minorBidi"/>
            <w:noProof/>
            <w:sz w:val="22"/>
            <w:szCs w:val="22"/>
          </w:rPr>
          <w:tab/>
        </w:r>
        <w:r w:rsidR="00617330" w:rsidRPr="00DF7C3A">
          <w:rPr>
            <w:rStyle w:val="Hyperlink"/>
            <w:noProof/>
          </w:rPr>
          <w:t>Agency Activities</w:t>
        </w:r>
        <w:r w:rsidR="00617330">
          <w:rPr>
            <w:noProof/>
            <w:webHidden/>
          </w:rPr>
          <w:tab/>
        </w:r>
        <w:r>
          <w:rPr>
            <w:noProof/>
            <w:webHidden/>
          </w:rPr>
          <w:fldChar w:fldCharType="begin"/>
        </w:r>
        <w:r w:rsidR="00617330">
          <w:rPr>
            <w:noProof/>
            <w:webHidden/>
          </w:rPr>
          <w:instrText xml:space="preserve"> PAGEREF _Toc320021951 \h </w:instrText>
        </w:r>
        <w:r>
          <w:rPr>
            <w:noProof/>
            <w:webHidden/>
          </w:rPr>
        </w:r>
        <w:r>
          <w:rPr>
            <w:noProof/>
            <w:webHidden/>
          </w:rPr>
          <w:fldChar w:fldCharType="separate"/>
        </w:r>
        <w:r w:rsidR="00617330">
          <w:rPr>
            <w:noProof/>
            <w:webHidden/>
          </w:rPr>
          <w:t>10</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52" w:history="1">
        <w:r w:rsidR="00617330" w:rsidRPr="00DF7C3A">
          <w:rPr>
            <w:rStyle w:val="Hyperlink"/>
            <w:noProof/>
          </w:rPr>
          <w:t>5(b)</w:t>
        </w:r>
        <w:r w:rsidR="00617330">
          <w:rPr>
            <w:rFonts w:asciiTheme="minorHAnsi" w:eastAsiaTheme="minorEastAsia" w:hAnsiTheme="minorHAnsi" w:cstheme="minorBidi"/>
            <w:noProof/>
            <w:sz w:val="22"/>
            <w:szCs w:val="22"/>
          </w:rPr>
          <w:tab/>
        </w:r>
        <w:r w:rsidR="00617330" w:rsidRPr="00DF7C3A">
          <w:rPr>
            <w:rStyle w:val="Hyperlink"/>
            <w:noProof/>
          </w:rPr>
          <w:t>Collection Methodology and Management</w:t>
        </w:r>
        <w:r w:rsidR="00617330">
          <w:rPr>
            <w:noProof/>
            <w:webHidden/>
          </w:rPr>
          <w:tab/>
        </w:r>
        <w:r>
          <w:rPr>
            <w:noProof/>
            <w:webHidden/>
          </w:rPr>
          <w:fldChar w:fldCharType="begin"/>
        </w:r>
        <w:r w:rsidR="00617330">
          <w:rPr>
            <w:noProof/>
            <w:webHidden/>
          </w:rPr>
          <w:instrText xml:space="preserve"> PAGEREF _Toc320021952 \h </w:instrText>
        </w:r>
        <w:r>
          <w:rPr>
            <w:noProof/>
            <w:webHidden/>
          </w:rPr>
        </w:r>
        <w:r>
          <w:rPr>
            <w:noProof/>
            <w:webHidden/>
          </w:rPr>
          <w:fldChar w:fldCharType="separate"/>
        </w:r>
        <w:r w:rsidR="00617330">
          <w:rPr>
            <w:noProof/>
            <w:webHidden/>
          </w:rPr>
          <w:t>10</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53" w:history="1">
        <w:r w:rsidR="00617330" w:rsidRPr="00DF7C3A">
          <w:rPr>
            <w:rStyle w:val="Hyperlink"/>
            <w:noProof/>
          </w:rPr>
          <w:t>5(c)</w:t>
        </w:r>
        <w:r w:rsidR="00617330">
          <w:rPr>
            <w:rFonts w:asciiTheme="minorHAnsi" w:eastAsiaTheme="minorEastAsia" w:hAnsiTheme="minorHAnsi" w:cstheme="minorBidi"/>
            <w:noProof/>
            <w:sz w:val="22"/>
            <w:szCs w:val="22"/>
          </w:rPr>
          <w:tab/>
        </w:r>
        <w:r w:rsidR="00617330" w:rsidRPr="00DF7C3A">
          <w:rPr>
            <w:rStyle w:val="Hyperlink"/>
            <w:noProof/>
          </w:rPr>
          <w:t>Small Entity Flexibility</w:t>
        </w:r>
        <w:r w:rsidR="00617330">
          <w:rPr>
            <w:noProof/>
            <w:webHidden/>
          </w:rPr>
          <w:tab/>
        </w:r>
        <w:r>
          <w:rPr>
            <w:noProof/>
            <w:webHidden/>
          </w:rPr>
          <w:fldChar w:fldCharType="begin"/>
        </w:r>
        <w:r w:rsidR="00617330">
          <w:rPr>
            <w:noProof/>
            <w:webHidden/>
          </w:rPr>
          <w:instrText xml:space="preserve"> PAGEREF _Toc320021953 \h </w:instrText>
        </w:r>
        <w:r>
          <w:rPr>
            <w:noProof/>
            <w:webHidden/>
          </w:rPr>
        </w:r>
        <w:r>
          <w:rPr>
            <w:noProof/>
            <w:webHidden/>
          </w:rPr>
          <w:fldChar w:fldCharType="separate"/>
        </w:r>
        <w:r w:rsidR="00617330">
          <w:rPr>
            <w:noProof/>
            <w:webHidden/>
          </w:rPr>
          <w:t>10</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54" w:history="1">
        <w:r w:rsidR="00617330" w:rsidRPr="00DF7C3A">
          <w:rPr>
            <w:rStyle w:val="Hyperlink"/>
            <w:noProof/>
          </w:rPr>
          <w:t>5(d)</w:t>
        </w:r>
        <w:r w:rsidR="00617330">
          <w:rPr>
            <w:rFonts w:asciiTheme="minorHAnsi" w:eastAsiaTheme="minorEastAsia" w:hAnsiTheme="minorHAnsi" w:cstheme="minorBidi"/>
            <w:noProof/>
            <w:sz w:val="22"/>
            <w:szCs w:val="22"/>
          </w:rPr>
          <w:tab/>
        </w:r>
        <w:r w:rsidR="00617330" w:rsidRPr="00DF7C3A">
          <w:rPr>
            <w:rStyle w:val="Hyperlink"/>
            <w:noProof/>
          </w:rPr>
          <w:t>Collection Schedule</w:t>
        </w:r>
        <w:r w:rsidR="00617330">
          <w:rPr>
            <w:noProof/>
            <w:webHidden/>
          </w:rPr>
          <w:tab/>
        </w:r>
        <w:r>
          <w:rPr>
            <w:noProof/>
            <w:webHidden/>
          </w:rPr>
          <w:fldChar w:fldCharType="begin"/>
        </w:r>
        <w:r w:rsidR="00617330">
          <w:rPr>
            <w:noProof/>
            <w:webHidden/>
          </w:rPr>
          <w:instrText xml:space="preserve"> PAGEREF _Toc320021954 \h </w:instrText>
        </w:r>
        <w:r>
          <w:rPr>
            <w:noProof/>
            <w:webHidden/>
          </w:rPr>
        </w:r>
        <w:r>
          <w:rPr>
            <w:noProof/>
            <w:webHidden/>
          </w:rPr>
          <w:fldChar w:fldCharType="separate"/>
        </w:r>
        <w:r w:rsidR="00617330">
          <w:rPr>
            <w:noProof/>
            <w:webHidden/>
          </w:rPr>
          <w:t>11</w:t>
        </w:r>
        <w:r>
          <w:rPr>
            <w:noProof/>
            <w:webHidden/>
          </w:rPr>
          <w:fldChar w:fldCharType="end"/>
        </w:r>
      </w:hyperlink>
    </w:p>
    <w:p w:rsidR="00617330" w:rsidRDefault="00327742">
      <w:pPr>
        <w:pStyle w:val="TOC1"/>
        <w:rPr>
          <w:rFonts w:asciiTheme="minorHAnsi" w:eastAsiaTheme="minorEastAsia" w:hAnsiTheme="minorHAnsi" w:cstheme="minorBidi"/>
          <w:noProof/>
          <w:sz w:val="22"/>
          <w:szCs w:val="22"/>
        </w:rPr>
      </w:pPr>
      <w:hyperlink w:anchor="_Toc320021955" w:history="1">
        <w:r w:rsidR="00617330" w:rsidRPr="00DF7C3A">
          <w:rPr>
            <w:rStyle w:val="Hyperlink"/>
            <w:noProof/>
          </w:rPr>
          <w:t>6.</w:t>
        </w:r>
        <w:r w:rsidR="00617330">
          <w:rPr>
            <w:rFonts w:asciiTheme="minorHAnsi" w:eastAsiaTheme="minorEastAsia" w:hAnsiTheme="minorHAnsi" w:cstheme="minorBidi"/>
            <w:noProof/>
            <w:sz w:val="22"/>
            <w:szCs w:val="22"/>
          </w:rPr>
          <w:tab/>
        </w:r>
        <w:r w:rsidR="00617330" w:rsidRPr="00DF7C3A">
          <w:rPr>
            <w:rStyle w:val="Hyperlink"/>
            <w:noProof/>
          </w:rPr>
          <w:t>ESTIMATING THE BURDEN AND COST OF THE COLLECTION</w:t>
        </w:r>
        <w:r w:rsidR="00617330">
          <w:rPr>
            <w:noProof/>
            <w:webHidden/>
          </w:rPr>
          <w:tab/>
        </w:r>
        <w:r>
          <w:rPr>
            <w:noProof/>
            <w:webHidden/>
          </w:rPr>
          <w:fldChar w:fldCharType="begin"/>
        </w:r>
        <w:r w:rsidR="00617330">
          <w:rPr>
            <w:noProof/>
            <w:webHidden/>
          </w:rPr>
          <w:instrText xml:space="preserve"> PAGEREF _Toc320021955 \h </w:instrText>
        </w:r>
        <w:r>
          <w:rPr>
            <w:noProof/>
            <w:webHidden/>
          </w:rPr>
        </w:r>
        <w:r>
          <w:rPr>
            <w:noProof/>
            <w:webHidden/>
          </w:rPr>
          <w:fldChar w:fldCharType="separate"/>
        </w:r>
        <w:r w:rsidR="00617330">
          <w:rPr>
            <w:noProof/>
            <w:webHidden/>
          </w:rPr>
          <w:t>11</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56" w:history="1">
        <w:r w:rsidR="00617330" w:rsidRPr="00DF7C3A">
          <w:rPr>
            <w:rStyle w:val="Hyperlink"/>
            <w:noProof/>
          </w:rPr>
          <w:t>6(a)</w:t>
        </w:r>
        <w:r w:rsidR="00617330">
          <w:rPr>
            <w:rFonts w:asciiTheme="minorHAnsi" w:eastAsiaTheme="minorEastAsia" w:hAnsiTheme="minorHAnsi" w:cstheme="minorBidi"/>
            <w:noProof/>
            <w:sz w:val="22"/>
            <w:szCs w:val="22"/>
          </w:rPr>
          <w:tab/>
        </w:r>
        <w:r w:rsidR="00617330" w:rsidRPr="00DF7C3A">
          <w:rPr>
            <w:rStyle w:val="Hyperlink"/>
            <w:noProof/>
          </w:rPr>
          <w:t>Estimating Respondent Burden</w:t>
        </w:r>
        <w:r w:rsidR="00617330">
          <w:rPr>
            <w:noProof/>
            <w:webHidden/>
          </w:rPr>
          <w:tab/>
        </w:r>
        <w:r>
          <w:rPr>
            <w:noProof/>
            <w:webHidden/>
          </w:rPr>
          <w:fldChar w:fldCharType="begin"/>
        </w:r>
        <w:r w:rsidR="00617330">
          <w:rPr>
            <w:noProof/>
            <w:webHidden/>
          </w:rPr>
          <w:instrText xml:space="preserve"> PAGEREF _Toc320021956 \h </w:instrText>
        </w:r>
        <w:r>
          <w:rPr>
            <w:noProof/>
            <w:webHidden/>
          </w:rPr>
        </w:r>
        <w:r>
          <w:rPr>
            <w:noProof/>
            <w:webHidden/>
          </w:rPr>
          <w:fldChar w:fldCharType="separate"/>
        </w:r>
        <w:r w:rsidR="00617330">
          <w:rPr>
            <w:noProof/>
            <w:webHidden/>
          </w:rPr>
          <w:t>11</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57" w:history="1">
        <w:r w:rsidR="00617330" w:rsidRPr="00DF7C3A">
          <w:rPr>
            <w:rStyle w:val="Hyperlink"/>
            <w:noProof/>
          </w:rPr>
          <w:t>6(b)</w:t>
        </w:r>
        <w:r w:rsidR="00617330">
          <w:rPr>
            <w:rFonts w:asciiTheme="minorHAnsi" w:eastAsiaTheme="minorEastAsia" w:hAnsiTheme="minorHAnsi" w:cstheme="minorBidi"/>
            <w:noProof/>
            <w:sz w:val="22"/>
            <w:szCs w:val="22"/>
          </w:rPr>
          <w:tab/>
        </w:r>
        <w:r w:rsidR="00617330" w:rsidRPr="00DF7C3A">
          <w:rPr>
            <w:rStyle w:val="Hyperlink"/>
            <w:noProof/>
          </w:rPr>
          <w:t>Estimating Respondent Costs</w:t>
        </w:r>
        <w:r w:rsidR="00617330">
          <w:rPr>
            <w:noProof/>
            <w:webHidden/>
          </w:rPr>
          <w:tab/>
        </w:r>
        <w:r>
          <w:rPr>
            <w:noProof/>
            <w:webHidden/>
          </w:rPr>
          <w:fldChar w:fldCharType="begin"/>
        </w:r>
        <w:r w:rsidR="00617330">
          <w:rPr>
            <w:noProof/>
            <w:webHidden/>
          </w:rPr>
          <w:instrText xml:space="preserve"> PAGEREF _Toc320021957 \h </w:instrText>
        </w:r>
        <w:r>
          <w:rPr>
            <w:noProof/>
            <w:webHidden/>
          </w:rPr>
        </w:r>
        <w:r>
          <w:rPr>
            <w:noProof/>
            <w:webHidden/>
          </w:rPr>
          <w:fldChar w:fldCharType="separate"/>
        </w:r>
        <w:r w:rsidR="00617330">
          <w:rPr>
            <w:noProof/>
            <w:webHidden/>
          </w:rPr>
          <w:t>13</w:t>
        </w:r>
        <w:r>
          <w:rPr>
            <w:noProof/>
            <w:webHidden/>
          </w:rPr>
          <w:fldChar w:fldCharType="end"/>
        </w:r>
      </w:hyperlink>
    </w:p>
    <w:p w:rsidR="00617330" w:rsidRDefault="00327742">
      <w:pPr>
        <w:pStyle w:val="TOC3"/>
        <w:rPr>
          <w:rFonts w:asciiTheme="minorHAnsi" w:eastAsiaTheme="minorEastAsia" w:hAnsiTheme="minorHAnsi" w:cstheme="minorBidi"/>
          <w:noProof/>
          <w:sz w:val="22"/>
          <w:szCs w:val="22"/>
        </w:rPr>
      </w:pPr>
      <w:hyperlink w:anchor="_Toc320021958" w:history="1">
        <w:r w:rsidR="00617330" w:rsidRPr="00DF7C3A">
          <w:rPr>
            <w:rStyle w:val="Hyperlink"/>
            <w:noProof/>
          </w:rPr>
          <w:t>6(b)(i)</w:t>
        </w:r>
        <w:r w:rsidR="00617330">
          <w:rPr>
            <w:rFonts w:asciiTheme="minorHAnsi" w:eastAsiaTheme="minorEastAsia" w:hAnsiTheme="minorHAnsi" w:cstheme="minorBidi"/>
            <w:noProof/>
            <w:sz w:val="22"/>
            <w:szCs w:val="22"/>
          </w:rPr>
          <w:tab/>
        </w:r>
        <w:r w:rsidR="00617330" w:rsidRPr="00DF7C3A">
          <w:rPr>
            <w:rStyle w:val="Hyperlink"/>
            <w:noProof/>
          </w:rPr>
          <w:t>Estimating Labor Costs</w:t>
        </w:r>
        <w:r w:rsidR="00617330">
          <w:rPr>
            <w:noProof/>
            <w:webHidden/>
          </w:rPr>
          <w:tab/>
        </w:r>
        <w:r>
          <w:rPr>
            <w:noProof/>
            <w:webHidden/>
          </w:rPr>
          <w:fldChar w:fldCharType="begin"/>
        </w:r>
        <w:r w:rsidR="00617330">
          <w:rPr>
            <w:noProof/>
            <w:webHidden/>
          </w:rPr>
          <w:instrText xml:space="preserve"> PAGEREF _Toc320021958 \h </w:instrText>
        </w:r>
        <w:r>
          <w:rPr>
            <w:noProof/>
            <w:webHidden/>
          </w:rPr>
        </w:r>
        <w:r>
          <w:rPr>
            <w:noProof/>
            <w:webHidden/>
          </w:rPr>
          <w:fldChar w:fldCharType="separate"/>
        </w:r>
        <w:r w:rsidR="00617330">
          <w:rPr>
            <w:noProof/>
            <w:webHidden/>
          </w:rPr>
          <w:t>13</w:t>
        </w:r>
        <w:r>
          <w:rPr>
            <w:noProof/>
            <w:webHidden/>
          </w:rPr>
          <w:fldChar w:fldCharType="end"/>
        </w:r>
      </w:hyperlink>
    </w:p>
    <w:p w:rsidR="00617330" w:rsidRDefault="00327742">
      <w:pPr>
        <w:pStyle w:val="TOC3"/>
        <w:rPr>
          <w:rFonts w:asciiTheme="minorHAnsi" w:eastAsiaTheme="minorEastAsia" w:hAnsiTheme="minorHAnsi" w:cstheme="minorBidi"/>
          <w:noProof/>
          <w:sz w:val="22"/>
          <w:szCs w:val="22"/>
        </w:rPr>
      </w:pPr>
      <w:hyperlink w:anchor="_Toc320021959" w:history="1">
        <w:r w:rsidR="00617330" w:rsidRPr="00DF7C3A">
          <w:rPr>
            <w:rStyle w:val="Hyperlink"/>
            <w:noProof/>
          </w:rPr>
          <w:t>6(b)(ii)</w:t>
        </w:r>
        <w:r w:rsidR="00617330">
          <w:rPr>
            <w:rFonts w:asciiTheme="minorHAnsi" w:eastAsiaTheme="minorEastAsia" w:hAnsiTheme="minorHAnsi" w:cstheme="minorBidi"/>
            <w:noProof/>
            <w:sz w:val="22"/>
            <w:szCs w:val="22"/>
          </w:rPr>
          <w:tab/>
        </w:r>
        <w:r w:rsidR="00617330" w:rsidRPr="00DF7C3A">
          <w:rPr>
            <w:rStyle w:val="Hyperlink"/>
            <w:noProof/>
          </w:rPr>
          <w:t>Estimating Capital and Operating and Maintenance (O&amp;M) Costs</w:t>
        </w:r>
        <w:r w:rsidR="00617330">
          <w:rPr>
            <w:noProof/>
            <w:webHidden/>
          </w:rPr>
          <w:tab/>
        </w:r>
        <w:r>
          <w:rPr>
            <w:noProof/>
            <w:webHidden/>
          </w:rPr>
          <w:fldChar w:fldCharType="begin"/>
        </w:r>
        <w:r w:rsidR="00617330">
          <w:rPr>
            <w:noProof/>
            <w:webHidden/>
          </w:rPr>
          <w:instrText xml:space="preserve"> PAGEREF _Toc320021959 \h </w:instrText>
        </w:r>
        <w:r>
          <w:rPr>
            <w:noProof/>
            <w:webHidden/>
          </w:rPr>
        </w:r>
        <w:r>
          <w:rPr>
            <w:noProof/>
            <w:webHidden/>
          </w:rPr>
          <w:fldChar w:fldCharType="separate"/>
        </w:r>
        <w:r w:rsidR="00617330">
          <w:rPr>
            <w:noProof/>
            <w:webHidden/>
          </w:rPr>
          <w:t>14</w:t>
        </w:r>
        <w:r>
          <w:rPr>
            <w:noProof/>
            <w:webHidden/>
          </w:rPr>
          <w:fldChar w:fldCharType="end"/>
        </w:r>
      </w:hyperlink>
    </w:p>
    <w:p w:rsidR="00617330" w:rsidRDefault="00327742">
      <w:pPr>
        <w:pStyle w:val="TOC3"/>
        <w:rPr>
          <w:rFonts w:asciiTheme="minorHAnsi" w:eastAsiaTheme="minorEastAsia" w:hAnsiTheme="minorHAnsi" w:cstheme="minorBidi"/>
          <w:noProof/>
          <w:sz w:val="22"/>
          <w:szCs w:val="22"/>
        </w:rPr>
      </w:pPr>
      <w:hyperlink w:anchor="_Toc320021960" w:history="1">
        <w:r w:rsidR="00617330" w:rsidRPr="00DF7C3A">
          <w:rPr>
            <w:rStyle w:val="Hyperlink"/>
            <w:noProof/>
          </w:rPr>
          <w:t>6(b)(iii)</w:t>
        </w:r>
        <w:r w:rsidR="00617330">
          <w:rPr>
            <w:rFonts w:asciiTheme="minorHAnsi" w:eastAsiaTheme="minorEastAsia" w:hAnsiTheme="minorHAnsi" w:cstheme="minorBidi"/>
            <w:noProof/>
            <w:sz w:val="22"/>
            <w:szCs w:val="22"/>
          </w:rPr>
          <w:tab/>
        </w:r>
        <w:r w:rsidR="00617330" w:rsidRPr="00DF7C3A">
          <w:rPr>
            <w:rStyle w:val="Hyperlink"/>
            <w:noProof/>
          </w:rPr>
          <w:t>Capital/Start-up vs. O&amp;M Costs</w:t>
        </w:r>
        <w:r w:rsidR="00617330">
          <w:rPr>
            <w:noProof/>
            <w:webHidden/>
          </w:rPr>
          <w:tab/>
        </w:r>
        <w:r>
          <w:rPr>
            <w:noProof/>
            <w:webHidden/>
          </w:rPr>
          <w:fldChar w:fldCharType="begin"/>
        </w:r>
        <w:r w:rsidR="00617330">
          <w:rPr>
            <w:noProof/>
            <w:webHidden/>
          </w:rPr>
          <w:instrText xml:space="preserve"> PAGEREF _Toc320021960 \h </w:instrText>
        </w:r>
        <w:r>
          <w:rPr>
            <w:noProof/>
            <w:webHidden/>
          </w:rPr>
        </w:r>
        <w:r>
          <w:rPr>
            <w:noProof/>
            <w:webHidden/>
          </w:rPr>
          <w:fldChar w:fldCharType="separate"/>
        </w:r>
        <w:r w:rsidR="00617330">
          <w:rPr>
            <w:noProof/>
            <w:webHidden/>
          </w:rPr>
          <w:t>14</w:t>
        </w:r>
        <w:r>
          <w:rPr>
            <w:noProof/>
            <w:webHidden/>
          </w:rPr>
          <w:fldChar w:fldCharType="end"/>
        </w:r>
      </w:hyperlink>
    </w:p>
    <w:p w:rsidR="00617330" w:rsidRDefault="00327742">
      <w:pPr>
        <w:pStyle w:val="TOC3"/>
        <w:rPr>
          <w:rFonts w:asciiTheme="minorHAnsi" w:eastAsiaTheme="minorEastAsia" w:hAnsiTheme="minorHAnsi" w:cstheme="minorBidi"/>
          <w:noProof/>
          <w:sz w:val="22"/>
          <w:szCs w:val="22"/>
        </w:rPr>
      </w:pPr>
      <w:hyperlink w:anchor="_Toc320021961" w:history="1">
        <w:r w:rsidR="00617330" w:rsidRPr="00DF7C3A">
          <w:rPr>
            <w:rStyle w:val="Hyperlink"/>
            <w:noProof/>
          </w:rPr>
          <w:t>6(b)(iv)</w:t>
        </w:r>
        <w:r w:rsidR="00617330">
          <w:rPr>
            <w:rFonts w:asciiTheme="minorHAnsi" w:eastAsiaTheme="minorEastAsia" w:hAnsiTheme="minorHAnsi" w:cstheme="minorBidi"/>
            <w:noProof/>
            <w:sz w:val="22"/>
            <w:szCs w:val="22"/>
          </w:rPr>
          <w:tab/>
        </w:r>
        <w:r w:rsidR="00617330" w:rsidRPr="00DF7C3A">
          <w:rPr>
            <w:rStyle w:val="Hyperlink"/>
            <w:noProof/>
          </w:rPr>
          <w:t>Annualizing Capital Costs</w:t>
        </w:r>
        <w:r w:rsidR="00617330">
          <w:rPr>
            <w:noProof/>
            <w:webHidden/>
          </w:rPr>
          <w:tab/>
        </w:r>
        <w:r>
          <w:rPr>
            <w:noProof/>
            <w:webHidden/>
          </w:rPr>
          <w:fldChar w:fldCharType="begin"/>
        </w:r>
        <w:r w:rsidR="00617330">
          <w:rPr>
            <w:noProof/>
            <w:webHidden/>
          </w:rPr>
          <w:instrText xml:space="preserve"> PAGEREF _Toc320021961 \h </w:instrText>
        </w:r>
        <w:r>
          <w:rPr>
            <w:noProof/>
            <w:webHidden/>
          </w:rPr>
        </w:r>
        <w:r>
          <w:rPr>
            <w:noProof/>
            <w:webHidden/>
          </w:rPr>
          <w:fldChar w:fldCharType="separate"/>
        </w:r>
        <w:r w:rsidR="00617330">
          <w:rPr>
            <w:noProof/>
            <w:webHidden/>
          </w:rPr>
          <w:t>15</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62" w:history="1">
        <w:r w:rsidR="00617330" w:rsidRPr="00DF7C3A">
          <w:rPr>
            <w:rStyle w:val="Hyperlink"/>
            <w:noProof/>
          </w:rPr>
          <w:t>6(c)</w:t>
        </w:r>
        <w:r w:rsidR="00617330">
          <w:rPr>
            <w:rFonts w:asciiTheme="minorHAnsi" w:eastAsiaTheme="minorEastAsia" w:hAnsiTheme="minorHAnsi" w:cstheme="minorBidi"/>
            <w:noProof/>
            <w:sz w:val="22"/>
            <w:szCs w:val="22"/>
          </w:rPr>
          <w:tab/>
        </w:r>
        <w:r w:rsidR="00617330" w:rsidRPr="00DF7C3A">
          <w:rPr>
            <w:rStyle w:val="Hyperlink"/>
            <w:noProof/>
          </w:rPr>
          <w:t>Estimating Agency Burden and Cost</w:t>
        </w:r>
        <w:r w:rsidR="00617330">
          <w:rPr>
            <w:noProof/>
            <w:webHidden/>
          </w:rPr>
          <w:tab/>
        </w:r>
        <w:r>
          <w:rPr>
            <w:noProof/>
            <w:webHidden/>
          </w:rPr>
          <w:fldChar w:fldCharType="begin"/>
        </w:r>
        <w:r w:rsidR="00617330">
          <w:rPr>
            <w:noProof/>
            <w:webHidden/>
          </w:rPr>
          <w:instrText xml:space="preserve"> PAGEREF _Toc320021962 \h </w:instrText>
        </w:r>
        <w:r>
          <w:rPr>
            <w:noProof/>
            <w:webHidden/>
          </w:rPr>
        </w:r>
        <w:r>
          <w:rPr>
            <w:noProof/>
            <w:webHidden/>
          </w:rPr>
          <w:fldChar w:fldCharType="separate"/>
        </w:r>
        <w:r w:rsidR="00617330">
          <w:rPr>
            <w:noProof/>
            <w:webHidden/>
          </w:rPr>
          <w:t>15</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63" w:history="1">
        <w:r w:rsidR="00617330" w:rsidRPr="00DF7C3A">
          <w:rPr>
            <w:rStyle w:val="Hyperlink"/>
            <w:noProof/>
          </w:rPr>
          <w:t>6(d)</w:t>
        </w:r>
        <w:r w:rsidR="00617330">
          <w:rPr>
            <w:rFonts w:asciiTheme="minorHAnsi" w:eastAsiaTheme="minorEastAsia" w:hAnsiTheme="minorHAnsi" w:cstheme="minorBidi"/>
            <w:noProof/>
            <w:sz w:val="22"/>
            <w:szCs w:val="22"/>
          </w:rPr>
          <w:tab/>
        </w:r>
        <w:r w:rsidR="00617330" w:rsidRPr="00DF7C3A">
          <w:rPr>
            <w:rStyle w:val="Hyperlink"/>
            <w:noProof/>
          </w:rPr>
          <w:t>Estimating the Respondent Universe and Total Burden and Costs</w:t>
        </w:r>
        <w:r w:rsidR="00617330">
          <w:rPr>
            <w:noProof/>
            <w:webHidden/>
          </w:rPr>
          <w:tab/>
        </w:r>
        <w:r>
          <w:rPr>
            <w:noProof/>
            <w:webHidden/>
          </w:rPr>
          <w:fldChar w:fldCharType="begin"/>
        </w:r>
        <w:r w:rsidR="00617330">
          <w:rPr>
            <w:noProof/>
            <w:webHidden/>
          </w:rPr>
          <w:instrText xml:space="preserve"> PAGEREF _Toc320021963 \h </w:instrText>
        </w:r>
        <w:r>
          <w:rPr>
            <w:noProof/>
            <w:webHidden/>
          </w:rPr>
        </w:r>
        <w:r>
          <w:rPr>
            <w:noProof/>
            <w:webHidden/>
          </w:rPr>
          <w:fldChar w:fldCharType="separate"/>
        </w:r>
        <w:r w:rsidR="00617330">
          <w:rPr>
            <w:noProof/>
            <w:webHidden/>
          </w:rPr>
          <w:t>16</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64" w:history="1">
        <w:r w:rsidR="00617330" w:rsidRPr="00DF7C3A">
          <w:rPr>
            <w:rStyle w:val="Hyperlink"/>
            <w:noProof/>
          </w:rPr>
          <w:t xml:space="preserve">6(e) </w:t>
        </w:r>
        <w:r w:rsidR="00617330">
          <w:rPr>
            <w:rFonts w:asciiTheme="minorHAnsi" w:eastAsiaTheme="minorEastAsia" w:hAnsiTheme="minorHAnsi" w:cstheme="minorBidi"/>
            <w:noProof/>
            <w:sz w:val="22"/>
            <w:szCs w:val="22"/>
          </w:rPr>
          <w:tab/>
        </w:r>
        <w:r w:rsidR="00617330" w:rsidRPr="00DF7C3A">
          <w:rPr>
            <w:rStyle w:val="Hyperlink"/>
            <w:noProof/>
          </w:rPr>
          <w:t>Bottom Line Burden Hours and Cost Tables</w:t>
        </w:r>
        <w:r w:rsidR="00617330">
          <w:rPr>
            <w:noProof/>
            <w:webHidden/>
          </w:rPr>
          <w:tab/>
        </w:r>
        <w:r>
          <w:rPr>
            <w:noProof/>
            <w:webHidden/>
          </w:rPr>
          <w:fldChar w:fldCharType="begin"/>
        </w:r>
        <w:r w:rsidR="00617330">
          <w:rPr>
            <w:noProof/>
            <w:webHidden/>
          </w:rPr>
          <w:instrText xml:space="preserve"> PAGEREF _Toc320021964 \h </w:instrText>
        </w:r>
        <w:r>
          <w:rPr>
            <w:noProof/>
            <w:webHidden/>
          </w:rPr>
        </w:r>
        <w:r>
          <w:rPr>
            <w:noProof/>
            <w:webHidden/>
          </w:rPr>
          <w:fldChar w:fldCharType="separate"/>
        </w:r>
        <w:r w:rsidR="00617330">
          <w:rPr>
            <w:noProof/>
            <w:webHidden/>
          </w:rPr>
          <w:t>19</w:t>
        </w:r>
        <w:r>
          <w:rPr>
            <w:noProof/>
            <w:webHidden/>
          </w:rPr>
          <w:fldChar w:fldCharType="end"/>
        </w:r>
      </w:hyperlink>
    </w:p>
    <w:p w:rsidR="00617330" w:rsidRDefault="00327742">
      <w:pPr>
        <w:pStyle w:val="TOC3"/>
        <w:rPr>
          <w:rFonts w:asciiTheme="minorHAnsi" w:eastAsiaTheme="minorEastAsia" w:hAnsiTheme="minorHAnsi" w:cstheme="minorBidi"/>
          <w:noProof/>
          <w:sz w:val="22"/>
          <w:szCs w:val="22"/>
        </w:rPr>
      </w:pPr>
      <w:hyperlink w:anchor="_Toc320021965" w:history="1">
        <w:r w:rsidR="00617330" w:rsidRPr="00DF7C3A">
          <w:rPr>
            <w:rStyle w:val="Hyperlink"/>
            <w:noProof/>
          </w:rPr>
          <w:t>6(e)(i) Respondent Tally</w:t>
        </w:r>
        <w:r w:rsidR="00617330">
          <w:rPr>
            <w:noProof/>
            <w:webHidden/>
          </w:rPr>
          <w:tab/>
        </w:r>
        <w:r>
          <w:rPr>
            <w:noProof/>
            <w:webHidden/>
          </w:rPr>
          <w:fldChar w:fldCharType="begin"/>
        </w:r>
        <w:r w:rsidR="00617330">
          <w:rPr>
            <w:noProof/>
            <w:webHidden/>
          </w:rPr>
          <w:instrText xml:space="preserve"> PAGEREF _Toc320021965 \h </w:instrText>
        </w:r>
        <w:r>
          <w:rPr>
            <w:noProof/>
            <w:webHidden/>
          </w:rPr>
        </w:r>
        <w:r>
          <w:rPr>
            <w:noProof/>
            <w:webHidden/>
          </w:rPr>
          <w:fldChar w:fldCharType="separate"/>
        </w:r>
        <w:r w:rsidR="00617330">
          <w:rPr>
            <w:noProof/>
            <w:webHidden/>
          </w:rPr>
          <w:t>24</w:t>
        </w:r>
        <w:r>
          <w:rPr>
            <w:noProof/>
            <w:webHidden/>
          </w:rPr>
          <w:fldChar w:fldCharType="end"/>
        </w:r>
      </w:hyperlink>
    </w:p>
    <w:p w:rsidR="00617330" w:rsidRDefault="00327742">
      <w:pPr>
        <w:pStyle w:val="TOC3"/>
        <w:rPr>
          <w:rFonts w:asciiTheme="minorHAnsi" w:eastAsiaTheme="minorEastAsia" w:hAnsiTheme="minorHAnsi" w:cstheme="minorBidi"/>
          <w:noProof/>
          <w:sz w:val="22"/>
          <w:szCs w:val="22"/>
        </w:rPr>
      </w:pPr>
      <w:hyperlink w:anchor="_Toc320021966" w:history="1">
        <w:r w:rsidR="00617330" w:rsidRPr="00DF7C3A">
          <w:rPr>
            <w:rStyle w:val="Hyperlink"/>
            <w:noProof/>
          </w:rPr>
          <w:t>6(e)(ii) The Agency Tally</w:t>
        </w:r>
        <w:r w:rsidR="00617330">
          <w:rPr>
            <w:noProof/>
            <w:webHidden/>
          </w:rPr>
          <w:tab/>
        </w:r>
        <w:r>
          <w:rPr>
            <w:noProof/>
            <w:webHidden/>
          </w:rPr>
          <w:fldChar w:fldCharType="begin"/>
        </w:r>
        <w:r w:rsidR="00617330">
          <w:rPr>
            <w:noProof/>
            <w:webHidden/>
          </w:rPr>
          <w:instrText xml:space="preserve"> PAGEREF _Toc320021966 \h </w:instrText>
        </w:r>
        <w:r>
          <w:rPr>
            <w:noProof/>
            <w:webHidden/>
          </w:rPr>
        </w:r>
        <w:r>
          <w:rPr>
            <w:noProof/>
            <w:webHidden/>
          </w:rPr>
          <w:fldChar w:fldCharType="separate"/>
        </w:r>
        <w:r w:rsidR="00617330">
          <w:rPr>
            <w:noProof/>
            <w:webHidden/>
          </w:rPr>
          <w:t>25</w:t>
        </w:r>
        <w:r>
          <w:rPr>
            <w:noProof/>
            <w:webHidden/>
          </w:rPr>
          <w:fldChar w:fldCharType="end"/>
        </w:r>
      </w:hyperlink>
    </w:p>
    <w:p w:rsidR="00617330" w:rsidRDefault="00327742">
      <w:pPr>
        <w:pStyle w:val="TOC3"/>
        <w:rPr>
          <w:rFonts w:asciiTheme="minorHAnsi" w:eastAsiaTheme="minorEastAsia" w:hAnsiTheme="minorHAnsi" w:cstheme="minorBidi"/>
          <w:noProof/>
          <w:sz w:val="22"/>
          <w:szCs w:val="22"/>
        </w:rPr>
      </w:pPr>
      <w:hyperlink w:anchor="_Toc320021967" w:history="1">
        <w:r w:rsidR="00617330" w:rsidRPr="00DF7C3A">
          <w:rPr>
            <w:rStyle w:val="Hyperlink"/>
            <w:noProof/>
          </w:rPr>
          <w:t>6(e)(iii) Variations in the Annual Bottom Line</w:t>
        </w:r>
        <w:r w:rsidR="00617330">
          <w:rPr>
            <w:noProof/>
            <w:webHidden/>
          </w:rPr>
          <w:tab/>
        </w:r>
        <w:r>
          <w:rPr>
            <w:noProof/>
            <w:webHidden/>
          </w:rPr>
          <w:fldChar w:fldCharType="begin"/>
        </w:r>
        <w:r w:rsidR="00617330">
          <w:rPr>
            <w:noProof/>
            <w:webHidden/>
          </w:rPr>
          <w:instrText xml:space="preserve"> PAGEREF _Toc320021967 \h </w:instrText>
        </w:r>
        <w:r>
          <w:rPr>
            <w:noProof/>
            <w:webHidden/>
          </w:rPr>
        </w:r>
        <w:r>
          <w:rPr>
            <w:noProof/>
            <w:webHidden/>
          </w:rPr>
          <w:fldChar w:fldCharType="separate"/>
        </w:r>
        <w:r w:rsidR="00617330">
          <w:rPr>
            <w:noProof/>
            <w:webHidden/>
          </w:rPr>
          <w:t>26</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68" w:history="1">
        <w:r w:rsidR="00617330" w:rsidRPr="00DF7C3A">
          <w:rPr>
            <w:rStyle w:val="Hyperlink"/>
            <w:noProof/>
          </w:rPr>
          <w:t>6(f) Reasons for Change in Burden</w:t>
        </w:r>
        <w:r w:rsidR="00617330">
          <w:rPr>
            <w:noProof/>
            <w:webHidden/>
          </w:rPr>
          <w:tab/>
        </w:r>
        <w:r>
          <w:rPr>
            <w:noProof/>
            <w:webHidden/>
          </w:rPr>
          <w:fldChar w:fldCharType="begin"/>
        </w:r>
        <w:r w:rsidR="00617330">
          <w:rPr>
            <w:noProof/>
            <w:webHidden/>
          </w:rPr>
          <w:instrText xml:space="preserve"> PAGEREF _Toc320021968 \h </w:instrText>
        </w:r>
        <w:r>
          <w:rPr>
            <w:noProof/>
            <w:webHidden/>
          </w:rPr>
        </w:r>
        <w:r>
          <w:rPr>
            <w:noProof/>
            <w:webHidden/>
          </w:rPr>
          <w:fldChar w:fldCharType="separate"/>
        </w:r>
        <w:r w:rsidR="00617330">
          <w:rPr>
            <w:noProof/>
            <w:webHidden/>
          </w:rPr>
          <w:t>26</w:t>
        </w:r>
        <w:r>
          <w:rPr>
            <w:noProof/>
            <w:webHidden/>
          </w:rPr>
          <w:fldChar w:fldCharType="end"/>
        </w:r>
      </w:hyperlink>
    </w:p>
    <w:p w:rsidR="00617330" w:rsidRDefault="00327742" w:rsidP="00617330">
      <w:pPr>
        <w:pStyle w:val="TOC2"/>
        <w:rPr>
          <w:rFonts w:asciiTheme="minorHAnsi" w:eastAsiaTheme="minorEastAsia" w:hAnsiTheme="minorHAnsi" w:cstheme="minorBidi"/>
          <w:noProof/>
          <w:sz w:val="22"/>
          <w:szCs w:val="22"/>
        </w:rPr>
      </w:pPr>
      <w:hyperlink w:anchor="_Toc320021969" w:history="1">
        <w:r w:rsidR="00617330" w:rsidRPr="00DF7C3A">
          <w:rPr>
            <w:rStyle w:val="Hyperlink"/>
            <w:noProof/>
          </w:rPr>
          <w:t>6(g) Burden Statement</w:t>
        </w:r>
        <w:r w:rsidR="00617330">
          <w:rPr>
            <w:noProof/>
            <w:webHidden/>
          </w:rPr>
          <w:tab/>
        </w:r>
        <w:r>
          <w:rPr>
            <w:noProof/>
            <w:webHidden/>
          </w:rPr>
          <w:fldChar w:fldCharType="begin"/>
        </w:r>
        <w:r w:rsidR="00617330">
          <w:rPr>
            <w:noProof/>
            <w:webHidden/>
          </w:rPr>
          <w:instrText xml:space="preserve"> PAGEREF _Toc320021969 \h </w:instrText>
        </w:r>
        <w:r>
          <w:rPr>
            <w:noProof/>
            <w:webHidden/>
          </w:rPr>
        </w:r>
        <w:r>
          <w:rPr>
            <w:noProof/>
            <w:webHidden/>
          </w:rPr>
          <w:fldChar w:fldCharType="separate"/>
        </w:r>
        <w:r w:rsidR="00617330">
          <w:rPr>
            <w:noProof/>
            <w:webHidden/>
          </w:rPr>
          <w:t>27</w:t>
        </w:r>
        <w:r>
          <w:rPr>
            <w:noProof/>
            <w:webHidden/>
          </w:rPr>
          <w:fldChar w:fldCharType="end"/>
        </w:r>
      </w:hyperlink>
    </w:p>
    <w:p w:rsidR="00FF3A52" w:rsidRDefault="00327742" w:rsidP="00617330">
      <w:pPr>
        <w:tabs>
          <w:tab w:val="right" w:leader="dot" w:pos="10066"/>
        </w:tabs>
      </w:pPr>
      <w:r>
        <w:fldChar w:fldCharType="end"/>
      </w:r>
      <w:r w:rsidR="00FF3A52">
        <w:t>Attachment 1</w:t>
      </w:r>
      <w:r w:rsidR="00FF3A52" w:rsidRPr="00BB2522">
        <w:t xml:space="preserve">:  </w:t>
      </w:r>
      <w:r w:rsidR="00FF3A52">
        <w:t>THE STATUTORY REQUIREMEN</w:t>
      </w:r>
      <w:r w:rsidR="00A329C2">
        <w:t>TS FOR RESPONDENT INFORMATION</w:t>
      </w:r>
      <w:r w:rsidR="00A329C2">
        <w:tab/>
        <w:t>2</w:t>
      </w:r>
      <w:r w:rsidR="003E3A9D">
        <w:t>9</w:t>
      </w:r>
    </w:p>
    <w:p w:rsidR="00FF3A52" w:rsidRDefault="00FF3A52" w:rsidP="00FF3A52">
      <w:pPr>
        <w:tabs>
          <w:tab w:val="right" w:leader="dot" w:pos="10080"/>
        </w:tabs>
      </w:pPr>
    </w:p>
    <w:p w:rsidR="00FF3A52" w:rsidRDefault="007E5E72" w:rsidP="00FF3A52">
      <w:pPr>
        <w:tabs>
          <w:tab w:val="right" w:leader="dot" w:pos="10080"/>
        </w:tabs>
      </w:pPr>
      <w:r>
        <w:t>Attachment 2</w:t>
      </w:r>
      <w:r w:rsidR="00FF3A52" w:rsidRPr="00BB2522">
        <w:t xml:space="preserve">:  </w:t>
      </w:r>
      <w:r w:rsidR="003E3A9D">
        <w:t>DECEMBER</w:t>
      </w:r>
      <w:r w:rsidR="00FF3A52">
        <w:t xml:space="preserve"> </w:t>
      </w:r>
      <w:r w:rsidR="003E3A9D">
        <w:t>14</w:t>
      </w:r>
      <w:r w:rsidR="00FF3A52">
        <w:t>,</w:t>
      </w:r>
      <w:r w:rsidR="00A329C2">
        <w:t xml:space="preserve"> 20</w:t>
      </w:r>
      <w:r w:rsidR="003E3A9D">
        <w:t>11</w:t>
      </w:r>
      <w:r w:rsidR="00A329C2">
        <w:t xml:space="preserve"> FEDERAL REGISTER NOTICE</w:t>
      </w:r>
      <w:r w:rsidR="00A329C2">
        <w:tab/>
      </w:r>
      <w:r w:rsidR="003E3A9D">
        <w:t>40</w:t>
      </w:r>
    </w:p>
    <w:p w:rsidR="003232FC" w:rsidRDefault="003232FC" w:rsidP="003232FC">
      <w:pPr>
        <w:tabs>
          <w:tab w:val="right" w:leader="dot" w:pos="10080"/>
        </w:tabs>
        <w:jc w:val="center"/>
        <w:outlineLvl w:val="0"/>
      </w:pPr>
    </w:p>
    <w:p w:rsidR="003E3A9D" w:rsidRDefault="003E3A9D" w:rsidP="003E3A9D">
      <w:pPr>
        <w:jc w:val="center"/>
        <w:rPr>
          <w:b/>
        </w:rPr>
      </w:pPr>
    </w:p>
    <w:p w:rsidR="003E3A9D" w:rsidRDefault="003E3A9D" w:rsidP="003E3A9D">
      <w:pPr>
        <w:jc w:val="center"/>
        <w:rPr>
          <w:b/>
        </w:rPr>
      </w:pPr>
    </w:p>
    <w:p w:rsidR="003E3A9D" w:rsidRDefault="003E3A9D">
      <w:pPr>
        <w:rPr>
          <w:b/>
        </w:rPr>
      </w:pPr>
      <w:r>
        <w:rPr>
          <w:b/>
        </w:rPr>
        <w:br w:type="page"/>
      </w:r>
    </w:p>
    <w:p w:rsidR="00226D04" w:rsidRPr="003232FC" w:rsidRDefault="00226D04" w:rsidP="003E3A9D">
      <w:pPr>
        <w:jc w:val="center"/>
      </w:pPr>
      <w:r w:rsidRPr="007E5E72">
        <w:rPr>
          <w:b/>
        </w:rPr>
        <w:lastRenderedPageBreak/>
        <w:t>LIST OF TABLES</w:t>
      </w:r>
    </w:p>
    <w:p w:rsidR="003232FC" w:rsidRDefault="003232FC" w:rsidP="003E3A9D"/>
    <w:p w:rsidR="003058D1" w:rsidRDefault="003232FC" w:rsidP="003E3A9D">
      <w:pPr>
        <w:jc w:val="right"/>
        <w:rPr>
          <w:b/>
        </w:rPr>
      </w:pPr>
      <w:r>
        <w:rPr>
          <w:b/>
        </w:rPr>
        <w:tab/>
      </w:r>
      <w:r w:rsidR="00226D04" w:rsidRPr="00BB2522">
        <w:rPr>
          <w:b/>
        </w:rPr>
        <w:t>Page</w:t>
      </w:r>
    </w:p>
    <w:p w:rsidR="007639DF" w:rsidRDefault="007639DF" w:rsidP="003058D1">
      <w:pPr>
        <w:tabs>
          <w:tab w:val="right" w:pos="10080"/>
        </w:tabs>
        <w:outlineLvl w:val="0"/>
        <w:rPr>
          <w:b/>
        </w:rPr>
      </w:pPr>
    </w:p>
    <w:p w:rsidR="00B125CF" w:rsidRPr="00B125CF" w:rsidRDefault="00B125CF" w:rsidP="00B125CF">
      <w:pPr>
        <w:tabs>
          <w:tab w:val="left" w:pos="990"/>
          <w:tab w:val="right" w:leader="dot" w:pos="10080"/>
        </w:tabs>
        <w:ind w:left="990" w:hanging="990"/>
        <w:rPr>
          <w:b/>
        </w:rPr>
      </w:pPr>
      <w:r>
        <w:t>Table 1.</w:t>
      </w:r>
      <w:r>
        <w:tab/>
      </w:r>
      <w:r w:rsidRPr="00B125CF">
        <w:t>SIC and NAICS Codes for Part 71 Sources in Indian Country (as of October 30, 2006)</w:t>
      </w:r>
      <w:r>
        <w:tab/>
        <w:t>7</w:t>
      </w:r>
    </w:p>
    <w:p w:rsidR="00B125CF" w:rsidRDefault="00B125CF" w:rsidP="00B125CF">
      <w:pPr>
        <w:tabs>
          <w:tab w:val="left" w:pos="990"/>
          <w:tab w:val="right" w:leader="dot" w:pos="10080"/>
        </w:tabs>
        <w:ind w:left="990" w:hanging="990"/>
      </w:pPr>
    </w:p>
    <w:p w:rsidR="00B125CF" w:rsidRDefault="00B125CF" w:rsidP="00B125CF">
      <w:pPr>
        <w:tabs>
          <w:tab w:val="left" w:pos="990"/>
          <w:tab w:val="right" w:leader="dot" w:pos="10080"/>
        </w:tabs>
        <w:ind w:left="990" w:hanging="990"/>
      </w:pPr>
      <w:r>
        <w:t>Table 2.</w:t>
      </w:r>
      <w:r>
        <w:tab/>
        <w:t>Average Source Burden by Activity</w:t>
      </w:r>
      <w:r>
        <w:tab/>
        <w:t>12</w:t>
      </w:r>
    </w:p>
    <w:p w:rsidR="00B125CF" w:rsidRDefault="00B125CF" w:rsidP="00B125CF">
      <w:pPr>
        <w:tabs>
          <w:tab w:val="left" w:pos="990"/>
          <w:tab w:val="right" w:leader="dot" w:pos="10080"/>
        </w:tabs>
        <w:ind w:left="990" w:hanging="990"/>
      </w:pPr>
    </w:p>
    <w:p w:rsidR="00B125CF" w:rsidRDefault="00B125CF" w:rsidP="00B125CF">
      <w:pPr>
        <w:tabs>
          <w:tab w:val="left" w:pos="990"/>
          <w:tab w:val="right" w:leader="dot" w:pos="10080"/>
        </w:tabs>
        <w:ind w:left="990" w:hanging="990"/>
      </w:pPr>
      <w:r>
        <w:t>Table 3.</w:t>
      </w:r>
      <w:r>
        <w:tab/>
        <w:t>Average Permitting Authority Burden by Activity</w:t>
      </w:r>
      <w:r>
        <w:tab/>
        <w:t>1</w:t>
      </w:r>
      <w:r w:rsidR="00447D00">
        <w:t>2</w:t>
      </w:r>
    </w:p>
    <w:p w:rsidR="00B125CF" w:rsidRDefault="00B125CF" w:rsidP="00B125CF">
      <w:pPr>
        <w:tabs>
          <w:tab w:val="left" w:pos="990"/>
          <w:tab w:val="right" w:leader="dot" w:pos="10080"/>
        </w:tabs>
        <w:ind w:left="990" w:hanging="990"/>
      </w:pPr>
    </w:p>
    <w:p w:rsidR="00B125CF" w:rsidRDefault="00B125CF" w:rsidP="00B125CF">
      <w:pPr>
        <w:tabs>
          <w:tab w:val="left" w:pos="990"/>
          <w:tab w:val="right" w:leader="dot" w:pos="10080"/>
        </w:tabs>
        <w:ind w:left="990" w:hanging="990"/>
      </w:pPr>
      <w:r>
        <w:t>Table 4.</w:t>
      </w:r>
      <w:r>
        <w:tab/>
        <w:t>Average EPA Burden by Activity for Oversight of Delegate Agencies</w:t>
      </w:r>
      <w:r>
        <w:tab/>
        <w:t>16</w:t>
      </w:r>
    </w:p>
    <w:p w:rsidR="00B125CF" w:rsidRDefault="00B125CF" w:rsidP="00B125CF">
      <w:pPr>
        <w:tabs>
          <w:tab w:val="left" w:pos="990"/>
          <w:tab w:val="right" w:leader="dot" w:pos="10080"/>
        </w:tabs>
        <w:ind w:left="990" w:hanging="990"/>
      </w:pPr>
    </w:p>
    <w:p w:rsidR="00B125CF" w:rsidRDefault="00B125CF" w:rsidP="00B125CF">
      <w:pPr>
        <w:tabs>
          <w:tab w:val="left" w:pos="990"/>
          <w:tab w:val="right" w:leader="dot" w:pos="10080"/>
        </w:tabs>
        <w:ind w:left="990" w:hanging="990"/>
      </w:pPr>
      <w:r>
        <w:t>Table 5.</w:t>
      </w:r>
      <w:r>
        <w:tab/>
        <w:t>Existing and Projected Part 71 Sources</w:t>
      </w:r>
      <w:r>
        <w:tab/>
        <w:t>17</w:t>
      </w:r>
    </w:p>
    <w:p w:rsidR="00B125CF" w:rsidRDefault="00B125CF" w:rsidP="00B125CF">
      <w:pPr>
        <w:tabs>
          <w:tab w:val="left" w:pos="990"/>
          <w:tab w:val="right" w:leader="dot" w:pos="10080"/>
        </w:tabs>
        <w:ind w:left="990" w:hanging="990"/>
      </w:pPr>
    </w:p>
    <w:p w:rsidR="00B125CF" w:rsidRDefault="00B125CF" w:rsidP="00B125CF">
      <w:pPr>
        <w:tabs>
          <w:tab w:val="left" w:pos="990"/>
          <w:tab w:val="right" w:leader="dot" w:pos="10080"/>
        </w:tabs>
        <w:ind w:left="990" w:hanging="990"/>
      </w:pPr>
      <w:r>
        <w:t>Table 6.</w:t>
      </w:r>
      <w:r>
        <w:tab/>
        <w:t>Baseline Burden and Cost of Source Activities</w:t>
      </w:r>
      <w:r>
        <w:tab/>
        <w:t>18</w:t>
      </w:r>
    </w:p>
    <w:p w:rsidR="00B125CF" w:rsidRDefault="00B125CF" w:rsidP="00B125CF">
      <w:pPr>
        <w:tabs>
          <w:tab w:val="left" w:pos="990"/>
          <w:tab w:val="right" w:leader="dot" w:pos="10080"/>
        </w:tabs>
        <w:ind w:left="990" w:hanging="990"/>
      </w:pPr>
    </w:p>
    <w:p w:rsidR="00B125CF" w:rsidRDefault="00B125CF" w:rsidP="00B125CF">
      <w:pPr>
        <w:tabs>
          <w:tab w:val="left" w:pos="990"/>
          <w:tab w:val="right" w:leader="dot" w:pos="10080"/>
        </w:tabs>
        <w:ind w:left="990" w:hanging="990"/>
      </w:pPr>
      <w:r>
        <w:t>Table 7.</w:t>
      </w:r>
      <w:r>
        <w:tab/>
        <w:t>Baseline Burden and Cost of Permitting Authority Activities</w:t>
      </w:r>
      <w:r>
        <w:tab/>
        <w:t>19</w:t>
      </w:r>
    </w:p>
    <w:p w:rsidR="00B125CF" w:rsidRDefault="00B125CF" w:rsidP="00B125CF">
      <w:pPr>
        <w:tabs>
          <w:tab w:val="left" w:pos="990"/>
          <w:tab w:val="right" w:leader="dot" w:pos="10080"/>
        </w:tabs>
        <w:ind w:left="990" w:hanging="990"/>
      </w:pPr>
    </w:p>
    <w:p w:rsidR="00B125CF" w:rsidRDefault="00B125CF" w:rsidP="00B125CF">
      <w:pPr>
        <w:tabs>
          <w:tab w:val="left" w:pos="990"/>
          <w:tab w:val="right" w:leader="dot" w:pos="10080"/>
        </w:tabs>
        <w:ind w:left="990" w:hanging="990"/>
      </w:pPr>
      <w:r>
        <w:t>Table 8.</w:t>
      </w:r>
      <w:r>
        <w:tab/>
        <w:t>Three-Year and Annual Incremental Burden of the FAP Rule for Sources</w:t>
      </w:r>
      <w:r>
        <w:tab/>
        <w:t>2</w:t>
      </w:r>
      <w:r w:rsidR="00447D00">
        <w:t>0</w:t>
      </w:r>
    </w:p>
    <w:p w:rsidR="00B125CF" w:rsidRDefault="00B125CF" w:rsidP="00B125CF">
      <w:pPr>
        <w:tabs>
          <w:tab w:val="left" w:pos="990"/>
        </w:tabs>
        <w:ind w:left="990" w:hanging="990"/>
      </w:pPr>
    </w:p>
    <w:p w:rsidR="00B125CF" w:rsidRDefault="00B125CF" w:rsidP="00B125CF">
      <w:pPr>
        <w:tabs>
          <w:tab w:val="left" w:pos="990"/>
          <w:tab w:val="right" w:leader="dot" w:pos="10080"/>
        </w:tabs>
        <w:ind w:left="990" w:hanging="990"/>
      </w:pPr>
      <w:r>
        <w:t>Table 9.</w:t>
      </w:r>
      <w:r>
        <w:tab/>
        <w:t>Three-Year and Annual Incremental Burden of the FAP Rule for Permitting Authorities (EPA and Delegate Agencies)</w:t>
      </w:r>
      <w:r>
        <w:tab/>
        <w:t>21</w:t>
      </w:r>
    </w:p>
    <w:p w:rsidR="00B125CF" w:rsidRDefault="00B125CF" w:rsidP="00B125CF">
      <w:pPr>
        <w:tabs>
          <w:tab w:val="left" w:pos="990"/>
        </w:tabs>
        <w:ind w:left="990" w:hanging="990"/>
      </w:pPr>
    </w:p>
    <w:p w:rsidR="00B125CF" w:rsidRDefault="00B125CF" w:rsidP="00B125CF">
      <w:pPr>
        <w:tabs>
          <w:tab w:val="left" w:pos="990"/>
          <w:tab w:val="right" w:leader="dot" w:pos="10080"/>
        </w:tabs>
        <w:ind w:left="990" w:hanging="990"/>
      </w:pPr>
      <w:r>
        <w:t>Table 10.</w:t>
      </w:r>
      <w:r>
        <w:tab/>
        <w:t>Three-Year and Annual Incremental Burden of the FAP Rule for EPA Oversight of Delegate Agencies</w:t>
      </w:r>
      <w:r>
        <w:tab/>
        <w:t>21</w:t>
      </w:r>
    </w:p>
    <w:p w:rsidR="00B125CF" w:rsidRDefault="00B125CF" w:rsidP="00B125CF">
      <w:pPr>
        <w:tabs>
          <w:tab w:val="left" w:pos="990"/>
          <w:tab w:val="right" w:leader="dot" w:pos="10080"/>
        </w:tabs>
        <w:ind w:left="990" w:hanging="990"/>
      </w:pPr>
    </w:p>
    <w:p w:rsidR="00B125CF" w:rsidRDefault="00B125CF" w:rsidP="00B125CF">
      <w:pPr>
        <w:tabs>
          <w:tab w:val="left" w:pos="990"/>
          <w:tab w:val="right" w:leader="dot" w:pos="10080"/>
        </w:tabs>
        <w:ind w:left="990" w:hanging="990"/>
      </w:pPr>
      <w:r>
        <w:t>Table 11.</w:t>
      </w:r>
      <w:r>
        <w:tab/>
        <w:t>Three-Year and Annual Incremental Burden of the GHG Tailoring Rule for Sources</w:t>
      </w:r>
      <w:r>
        <w:tab/>
        <w:t>2</w:t>
      </w:r>
      <w:r w:rsidR="00E21AE0">
        <w:t>3</w:t>
      </w:r>
    </w:p>
    <w:p w:rsidR="00B125CF" w:rsidRDefault="00B125CF" w:rsidP="00B125CF">
      <w:pPr>
        <w:tabs>
          <w:tab w:val="left" w:pos="990"/>
          <w:tab w:val="right" w:leader="dot" w:pos="10080"/>
        </w:tabs>
        <w:ind w:left="990" w:hanging="990"/>
      </w:pPr>
    </w:p>
    <w:p w:rsidR="00B125CF" w:rsidRDefault="00B125CF" w:rsidP="00B125CF">
      <w:pPr>
        <w:tabs>
          <w:tab w:val="left" w:pos="990"/>
          <w:tab w:val="right" w:leader="dot" w:pos="10080"/>
        </w:tabs>
        <w:ind w:left="990" w:hanging="990"/>
      </w:pPr>
      <w:r>
        <w:t>Table 12.</w:t>
      </w:r>
      <w:r>
        <w:tab/>
        <w:t>Three-Year and Annual Incremental Burden of the GHG Tailoring Rule for Permitting Authorities</w:t>
      </w:r>
      <w:r w:rsidR="00E21AE0">
        <w:t xml:space="preserve"> (EPA and Delegate Agencies)</w:t>
      </w:r>
      <w:r>
        <w:tab/>
        <w:t>2</w:t>
      </w:r>
      <w:r w:rsidR="00E21AE0">
        <w:t>3</w:t>
      </w:r>
    </w:p>
    <w:p w:rsidR="00B125CF" w:rsidRDefault="00B125CF" w:rsidP="00B125CF">
      <w:pPr>
        <w:tabs>
          <w:tab w:val="left" w:pos="990"/>
          <w:tab w:val="right" w:leader="dot" w:pos="10080"/>
        </w:tabs>
        <w:ind w:left="990" w:hanging="990"/>
      </w:pPr>
    </w:p>
    <w:p w:rsidR="00B125CF" w:rsidRDefault="00B125CF" w:rsidP="00B125CF">
      <w:pPr>
        <w:tabs>
          <w:tab w:val="left" w:pos="990"/>
          <w:tab w:val="right" w:leader="dot" w:pos="10080"/>
        </w:tabs>
        <w:ind w:left="990" w:hanging="990"/>
      </w:pPr>
      <w:r>
        <w:t>Table 13.</w:t>
      </w:r>
      <w:r>
        <w:tab/>
        <w:t>Three-Year and Annual Incremental Burden of the GHG Tailoring Rule for EPA</w:t>
      </w:r>
      <w:r w:rsidR="00E21AE0">
        <w:t xml:space="preserve"> Oversight of Delegate Agencies</w:t>
      </w:r>
      <w:r>
        <w:tab/>
        <w:t>2</w:t>
      </w:r>
      <w:r w:rsidR="00E21AE0">
        <w:t>3</w:t>
      </w:r>
    </w:p>
    <w:p w:rsidR="00B125CF" w:rsidRDefault="00B125CF" w:rsidP="00B125CF">
      <w:pPr>
        <w:tabs>
          <w:tab w:val="left" w:pos="990"/>
          <w:tab w:val="right" w:leader="dot" w:pos="10080"/>
        </w:tabs>
        <w:ind w:left="990" w:hanging="990"/>
      </w:pPr>
    </w:p>
    <w:p w:rsidR="00B125CF" w:rsidRDefault="00B125CF" w:rsidP="00B125CF">
      <w:pPr>
        <w:tabs>
          <w:tab w:val="left" w:pos="990"/>
          <w:tab w:val="right" w:leader="dot" w:pos="10080"/>
        </w:tabs>
        <w:ind w:left="990" w:hanging="990"/>
      </w:pPr>
      <w:r>
        <w:t>Table 14.</w:t>
      </w:r>
      <w:r>
        <w:tab/>
        <w:t>Calculation of Bottom Line Average Annual Respondent Burden Hours</w:t>
      </w:r>
      <w:r>
        <w:tab/>
        <w:t>2</w:t>
      </w:r>
      <w:r w:rsidR="00E21AE0">
        <w:t>4</w:t>
      </w:r>
    </w:p>
    <w:p w:rsidR="00B125CF" w:rsidRDefault="00B125CF" w:rsidP="00B125CF">
      <w:pPr>
        <w:tabs>
          <w:tab w:val="left" w:pos="990"/>
          <w:tab w:val="right" w:leader="dot" w:pos="10080"/>
        </w:tabs>
        <w:ind w:left="990" w:hanging="990"/>
      </w:pPr>
    </w:p>
    <w:p w:rsidR="00B125CF" w:rsidRDefault="00B125CF" w:rsidP="00B125CF">
      <w:pPr>
        <w:tabs>
          <w:tab w:val="left" w:pos="990"/>
          <w:tab w:val="right" w:leader="dot" w:pos="10080"/>
        </w:tabs>
        <w:ind w:left="990" w:hanging="990"/>
      </w:pPr>
      <w:r>
        <w:t>Table 15.</w:t>
      </w:r>
      <w:r>
        <w:tab/>
        <w:t xml:space="preserve">Calculation of Bottom Line Average Annual Respondent Cost (2011$) </w:t>
      </w:r>
      <w:r>
        <w:tab/>
        <w:t>2</w:t>
      </w:r>
      <w:r w:rsidR="00E21AE0">
        <w:t>4</w:t>
      </w:r>
    </w:p>
    <w:p w:rsidR="00B125CF" w:rsidRDefault="00B125CF" w:rsidP="00B125CF">
      <w:pPr>
        <w:tabs>
          <w:tab w:val="left" w:pos="990"/>
          <w:tab w:val="right" w:leader="dot" w:pos="10080"/>
        </w:tabs>
        <w:ind w:left="990" w:hanging="990"/>
      </w:pPr>
    </w:p>
    <w:p w:rsidR="00B125CF" w:rsidRDefault="00B125CF" w:rsidP="00B125CF">
      <w:pPr>
        <w:tabs>
          <w:tab w:val="left" w:pos="990"/>
          <w:tab w:val="right" w:leader="dot" w:pos="10080"/>
        </w:tabs>
        <w:ind w:left="990" w:hanging="990"/>
      </w:pPr>
      <w:r>
        <w:t>Table 16. Bottom Line Average Annual Respondent Burden and Cost (2012-2015)</w:t>
      </w:r>
      <w:r>
        <w:tab/>
        <w:t>2</w:t>
      </w:r>
      <w:r w:rsidR="00E21AE0">
        <w:t>5</w:t>
      </w:r>
    </w:p>
    <w:p w:rsidR="00B125CF" w:rsidRDefault="00B125CF" w:rsidP="00B125CF">
      <w:pPr>
        <w:tabs>
          <w:tab w:val="left" w:pos="990"/>
          <w:tab w:val="right" w:leader="dot" w:pos="10080"/>
        </w:tabs>
        <w:ind w:left="990" w:hanging="990"/>
      </w:pPr>
    </w:p>
    <w:p w:rsidR="00B125CF" w:rsidRDefault="00B125CF" w:rsidP="00B125CF">
      <w:pPr>
        <w:tabs>
          <w:tab w:val="left" w:pos="990"/>
          <w:tab w:val="right" w:leader="dot" w:pos="10080"/>
        </w:tabs>
        <w:ind w:left="990" w:hanging="990"/>
      </w:pPr>
      <w:r>
        <w:t>Table 17.</w:t>
      </w:r>
      <w:r>
        <w:tab/>
        <w:t xml:space="preserve">Calculation of Bottom Line Average Annual </w:t>
      </w:r>
      <w:r w:rsidR="00E21AE0">
        <w:t xml:space="preserve">EPA </w:t>
      </w:r>
      <w:r>
        <w:t>Burden Hours</w:t>
      </w:r>
      <w:r>
        <w:tab/>
        <w:t>2</w:t>
      </w:r>
      <w:r w:rsidR="00E21AE0">
        <w:t>5</w:t>
      </w:r>
    </w:p>
    <w:p w:rsidR="00B125CF" w:rsidRDefault="00B125CF" w:rsidP="00B125CF">
      <w:pPr>
        <w:tabs>
          <w:tab w:val="left" w:pos="990"/>
        </w:tabs>
        <w:ind w:left="990" w:hanging="990"/>
      </w:pPr>
    </w:p>
    <w:p w:rsidR="00E21AE0" w:rsidRDefault="00B125CF" w:rsidP="00B125CF">
      <w:pPr>
        <w:tabs>
          <w:tab w:val="left" w:pos="990"/>
          <w:tab w:val="right" w:leader="dot" w:pos="10080"/>
        </w:tabs>
        <w:ind w:left="994" w:hanging="994"/>
      </w:pPr>
      <w:r>
        <w:t>Table 18.</w:t>
      </w:r>
      <w:r>
        <w:tab/>
      </w:r>
      <w:r w:rsidR="00E21AE0">
        <w:t>Calculation of Bottom Line Average Annual EPA Cost (2011$)</w:t>
      </w:r>
      <w:r w:rsidR="00E21AE0">
        <w:tab/>
        <w:t>26</w:t>
      </w:r>
    </w:p>
    <w:p w:rsidR="00E21AE0" w:rsidRDefault="00E21AE0" w:rsidP="00B125CF">
      <w:pPr>
        <w:tabs>
          <w:tab w:val="left" w:pos="990"/>
          <w:tab w:val="right" w:leader="dot" w:pos="10080"/>
        </w:tabs>
        <w:ind w:left="994" w:hanging="994"/>
      </w:pPr>
    </w:p>
    <w:p w:rsidR="00B125CF" w:rsidRDefault="00E21AE0" w:rsidP="00B125CF">
      <w:pPr>
        <w:tabs>
          <w:tab w:val="left" w:pos="990"/>
          <w:tab w:val="right" w:leader="dot" w:pos="10080"/>
        </w:tabs>
        <w:ind w:left="994" w:hanging="994"/>
      </w:pPr>
      <w:r>
        <w:t>Table 19.</w:t>
      </w:r>
      <w:r>
        <w:tab/>
      </w:r>
      <w:r w:rsidR="00B125CF">
        <w:t>Burden Change from 2007 ICR to Current ICR (Hours)</w:t>
      </w:r>
      <w:r w:rsidR="00B125CF">
        <w:tab/>
        <w:t>2</w:t>
      </w:r>
      <w:r>
        <w:t>7</w:t>
      </w:r>
    </w:p>
    <w:p w:rsidR="00B125CF" w:rsidRDefault="00B125CF" w:rsidP="00B125CF">
      <w:pPr>
        <w:tabs>
          <w:tab w:val="left" w:pos="990"/>
          <w:tab w:val="right" w:leader="dot" w:pos="10080"/>
        </w:tabs>
        <w:ind w:left="994" w:hanging="994"/>
      </w:pPr>
    </w:p>
    <w:p w:rsidR="00B125CF" w:rsidRDefault="00B125CF" w:rsidP="00B125CF">
      <w:pPr>
        <w:tabs>
          <w:tab w:val="left" w:pos="990"/>
          <w:tab w:val="right" w:leader="dot" w:pos="10080"/>
        </w:tabs>
        <w:ind w:left="994" w:hanging="994"/>
      </w:pPr>
      <w:r>
        <w:t xml:space="preserve">Table </w:t>
      </w:r>
      <w:r w:rsidR="00E21AE0">
        <w:t>20</w:t>
      </w:r>
      <w:r>
        <w:t>.</w:t>
      </w:r>
      <w:r>
        <w:tab/>
        <w:t>Burden Statement (Hours)</w:t>
      </w:r>
      <w:r>
        <w:tab/>
        <w:t>2</w:t>
      </w:r>
      <w:r w:rsidR="00E21AE0">
        <w:t>7</w:t>
      </w:r>
    </w:p>
    <w:p w:rsidR="00244633" w:rsidRDefault="00244633" w:rsidP="00244633">
      <w:pPr>
        <w:ind w:left="360" w:hanging="360"/>
      </w:pPr>
      <w:r>
        <w:t xml:space="preserve"> </w:t>
      </w:r>
    </w:p>
    <w:p w:rsidR="00244633" w:rsidRPr="00244633" w:rsidRDefault="00244633" w:rsidP="00226D04">
      <w:pPr>
        <w:rPr>
          <w:b/>
        </w:rPr>
        <w:sectPr w:rsidR="00244633" w:rsidRPr="00244633" w:rsidSect="00F45B14">
          <w:headerReference w:type="default" r:id="rId8"/>
          <w:footerReference w:type="even" r:id="rId9"/>
          <w:footerReference w:type="default" r:id="rId10"/>
          <w:pgSz w:w="12240" w:h="15840" w:code="1"/>
          <w:pgMar w:top="1080" w:right="1080" w:bottom="1080" w:left="1080" w:header="432" w:footer="720" w:gutter="0"/>
          <w:pgNumType w:fmt="lowerRoman"/>
          <w:cols w:space="720"/>
        </w:sectPr>
      </w:pPr>
    </w:p>
    <w:p w:rsidR="00AB22D8" w:rsidRPr="00BB2522" w:rsidRDefault="0085396E" w:rsidP="00494844">
      <w:pPr>
        <w:outlineLvl w:val="0"/>
      </w:pPr>
      <w:bookmarkStart w:id="0" w:name="_Toc320021927"/>
      <w:r w:rsidRPr="00BB2522">
        <w:lastRenderedPageBreak/>
        <w:t>1.</w:t>
      </w:r>
      <w:r w:rsidRPr="00BB2522">
        <w:tab/>
      </w:r>
      <w:r w:rsidR="00AB22D8" w:rsidRPr="00BB2522">
        <w:t>IDENTIFICATION OF THE INFORMATION COLLECTION</w:t>
      </w:r>
      <w:bookmarkEnd w:id="0"/>
    </w:p>
    <w:p w:rsidR="00AB22D8" w:rsidRPr="00BB2522" w:rsidRDefault="00AB22D8"/>
    <w:p w:rsidR="004F309F" w:rsidRPr="004F309F" w:rsidRDefault="0085396E" w:rsidP="004F309F">
      <w:pPr>
        <w:pStyle w:val="Heading2"/>
        <w:rPr>
          <w:i w:val="0"/>
        </w:rPr>
      </w:pPr>
      <w:bookmarkStart w:id="1" w:name="_Toc320021928"/>
      <w:r w:rsidRPr="004F309F">
        <w:rPr>
          <w:i w:val="0"/>
        </w:rPr>
        <w:t>1(a)</w:t>
      </w:r>
      <w:r w:rsidRPr="004F309F">
        <w:rPr>
          <w:i w:val="0"/>
        </w:rPr>
        <w:tab/>
      </w:r>
      <w:r w:rsidR="004F309F" w:rsidRPr="004F309F">
        <w:rPr>
          <w:i w:val="0"/>
        </w:rPr>
        <w:t>Title of the Information Collection Request (ICR)</w:t>
      </w:r>
      <w:bookmarkEnd w:id="1"/>
    </w:p>
    <w:p w:rsidR="00AB22D8" w:rsidRPr="00BB2522" w:rsidRDefault="00AB22D8"/>
    <w:p w:rsidR="00EC0759" w:rsidRDefault="00D6184C">
      <w:r>
        <w:t xml:space="preserve">This analysis is titled: “Supporting Statement for the Part 71 Federal Operating Permit Program” It fulfills the </w:t>
      </w:r>
      <w:r w:rsidR="000072C9" w:rsidRPr="000072C9">
        <w:t xml:space="preserve">U.S. Environmental Protection Agency’s (EPA’s) </w:t>
      </w:r>
      <w:r>
        <w:t xml:space="preserve">requirements under the Paperwork Reduction Act (PRA) to determine, report and periodically update the regulatory burden associated with the Federal Operating Permit Program, codified in title 40 of the Code of Federal Regulations (40 CFR) part 71. It has been assigned EPA tracking number 1713.10 and </w:t>
      </w:r>
      <w:r w:rsidR="00891F8C">
        <w:t>Office of Management and Budget (</w:t>
      </w:r>
      <w:r>
        <w:t>OMB</w:t>
      </w:r>
      <w:r w:rsidR="00891F8C">
        <w:t>)</w:t>
      </w:r>
      <w:r>
        <w:t xml:space="preserve"> </w:t>
      </w:r>
      <w:r w:rsidR="00891F8C">
        <w:t>control</w:t>
      </w:r>
      <w:r>
        <w:t xml:space="preserve"> number 2060-0336.</w:t>
      </w:r>
    </w:p>
    <w:p w:rsidR="00D6184C" w:rsidRPr="00BB2522" w:rsidRDefault="00D6184C"/>
    <w:p w:rsidR="004F309F" w:rsidRPr="004F309F" w:rsidRDefault="004F309F" w:rsidP="004F309F">
      <w:pPr>
        <w:pStyle w:val="Heading2"/>
        <w:rPr>
          <w:i w:val="0"/>
        </w:rPr>
      </w:pPr>
      <w:bookmarkStart w:id="2" w:name="_Toc319326576"/>
      <w:bookmarkStart w:id="3" w:name="_Toc320021929"/>
      <w:r w:rsidRPr="004F309F">
        <w:rPr>
          <w:i w:val="0"/>
        </w:rPr>
        <w:t>1(b)</w:t>
      </w:r>
      <w:r w:rsidRPr="004F309F">
        <w:rPr>
          <w:i w:val="0"/>
        </w:rPr>
        <w:tab/>
        <w:t>Short Characterization/Abstract</w:t>
      </w:r>
      <w:bookmarkEnd w:id="2"/>
      <w:bookmarkEnd w:id="3"/>
    </w:p>
    <w:p w:rsidR="00D6184C" w:rsidRDefault="00D6184C"/>
    <w:p w:rsidR="007009E5" w:rsidRDefault="00D6184C" w:rsidP="00D6184C">
      <w:r>
        <w:t xml:space="preserve">The part 71 program is a </w:t>
      </w:r>
      <w:r w:rsidR="004F309F">
        <w:t>f</w:t>
      </w:r>
      <w:r>
        <w:t xml:space="preserve">ederal operating permit program implemented by </w:t>
      </w:r>
      <w:r w:rsidR="004F309F">
        <w:t>the EPA</w:t>
      </w:r>
      <w:r>
        <w:t xml:space="preserve"> (or a delegate agency) for sources located in areas where there is no </w:t>
      </w:r>
      <w:r w:rsidR="00891F8C">
        <w:t>s</w:t>
      </w:r>
      <w:r>
        <w:t xml:space="preserve">tate, local or </w:t>
      </w:r>
      <w:r w:rsidR="00891F8C">
        <w:t>t</w:t>
      </w:r>
      <w:r>
        <w:t>ribal program, such as in Indian country</w:t>
      </w:r>
      <w:r w:rsidR="00891F8C">
        <w:t>;</w:t>
      </w:r>
      <w:r>
        <w:t xml:space="preserve"> offshore areas where the </w:t>
      </w:r>
      <w:r w:rsidR="00891F8C">
        <w:t>Outer Continental Shelf (</w:t>
      </w:r>
      <w:r>
        <w:t>OCS</w:t>
      </w:r>
      <w:r w:rsidR="00891F8C">
        <w:t>)</w:t>
      </w:r>
      <w:r>
        <w:t xml:space="preserve"> and </w:t>
      </w:r>
      <w:r w:rsidR="00891F8C">
        <w:t>Deep Water Ports Act (</w:t>
      </w:r>
      <w:r>
        <w:t>DWPA</w:t>
      </w:r>
      <w:r w:rsidR="00891F8C">
        <w:t>)</w:t>
      </w:r>
      <w:r>
        <w:t xml:space="preserve"> regulations apply</w:t>
      </w:r>
      <w:r w:rsidR="00891F8C">
        <w:t>;</w:t>
      </w:r>
      <w:r>
        <w:t xml:space="preserve"> where there is a deficient </w:t>
      </w:r>
      <w:r w:rsidR="00891F8C">
        <w:t>s</w:t>
      </w:r>
      <w:r>
        <w:t>tate or local (part 70) permit program</w:t>
      </w:r>
      <w:r w:rsidR="00891F8C">
        <w:t>;</w:t>
      </w:r>
      <w:r>
        <w:t xml:space="preserve"> and where </w:t>
      </w:r>
      <w:r w:rsidR="004F309F">
        <w:t>the EPA</w:t>
      </w:r>
      <w:r>
        <w:t xml:space="preserve"> has objected to a particular part 70 permit and taken over permitting because the state failed to adequately resolve the objection. Title V of the Clean Air Act </w:t>
      </w:r>
      <w:r w:rsidR="00891F8C">
        <w:t xml:space="preserve">(CAA or “the Act”) </w:t>
      </w:r>
      <w:r>
        <w:t xml:space="preserve">imposes on </w:t>
      </w:r>
      <w:r w:rsidR="00891F8C">
        <w:t>state</w:t>
      </w:r>
      <w:r>
        <w:t xml:space="preserve"> or local permitting authorities (agencies), the duty to develop, administer and enforce operating permit programs which comply with title V and requires </w:t>
      </w:r>
      <w:r w:rsidR="004F309F">
        <w:t>the EPA</w:t>
      </w:r>
      <w:r>
        <w:t xml:space="preserve"> to administer and enforce a permit program when </w:t>
      </w:r>
      <w:r w:rsidR="00891F8C">
        <w:t>state</w:t>
      </w:r>
      <w:r>
        <w:t xml:space="preserve">, local or </w:t>
      </w:r>
      <w:r w:rsidR="00891F8C">
        <w:t>t</w:t>
      </w:r>
      <w:r>
        <w:t xml:space="preserve">ribal agencies do not establish such a program, or where they establish such a program but they fail to perform their duties consistent with title V. Section 502(b) of the Act requires </w:t>
      </w:r>
      <w:r w:rsidR="004F309F">
        <w:t>the EPA</w:t>
      </w:r>
      <w:r>
        <w:t xml:space="preserve"> to promulgate regulations setting forth provisions under which </w:t>
      </w:r>
      <w:r w:rsidR="00891F8C">
        <w:t>state</w:t>
      </w:r>
      <w:r>
        <w:t xml:space="preserve">, local or tribal agencies will develop operating permit programs and submit them to </w:t>
      </w:r>
      <w:r w:rsidR="004F309F">
        <w:t>the EPA</w:t>
      </w:r>
      <w:r>
        <w:t xml:space="preserve"> for approval. Pursuant to this section, </w:t>
      </w:r>
      <w:r w:rsidR="004F309F">
        <w:t>the EPA</w:t>
      </w:r>
      <w:r>
        <w:t xml:space="preserve"> promulgated 40 CFR part 70 on July 21, 1992 (57 FR 32250) which specifies the minimum elements of </w:t>
      </w:r>
      <w:r w:rsidR="00891F8C">
        <w:t>state</w:t>
      </w:r>
      <w:r>
        <w:t xml:space="preserve"> operating permit programs.</w:t>
      </w:r>
    </w:p>
    <w:p w:rsidR="00D6184C" w:rsidRPr="00BB2522" w:rsidRDefault="00D6184C" w:rsidP="00D6184C"/>
    <w:p w:rsidR="000C2722" w:rsidRDefault="00D6184C" w:rsidP="00B962C3">
      <w:pPr>
        <w:pStyle w:val="Heading3"/>
        <w:spacing w:before="0"/>
        <w:ind w:firstLine="0"/>
      </w:pPr>
      <w:bookmarkStart w:id="4" w:name="_Toc320021930"/>
      <w:r w:rsidRPr="00BB2522">
        <w:t>1(b)</w:t>
      </w:r>
      <w:r w:rsidR="003F5781">
        <w:t>(i</w:t>
      </w:r>
      <w:r>
        <w:t>)</w:t>
      </w:r>
      <w:r w:rsidRPr="00BB2522">
        <w:tab/>
      </w:r>
      <w:r w:rsidR="00331A68">
        <w:t>Federal program where there is no state, local or tribal program</w:t>
      </w:r>
      <w:bookmarkEnd w:id="4"/>
    </w:p>
    <w:p w:rsidR="000C2722" w:rsidRDefault="00D6184C" w:rsidP="00D6184C">
      <w:r>
        <w:t xml:space="preserve"> </w:t>
      </w:r>
    </w:p>
    <w:p w:rsidR="000C2722" w:rsidRDefault="000C2722" w:rsidP="000C2722">
      <w:r>
        <w:t xml:space="preserve">Pursuant to regulations promulgated by </w:t>
      </w:r>
      <w:r w:rsidR="004F309F">
        <w:t>the EPA</w:t>
      </w:r>
      <w:r>
        <w:t xml:space="preserve"> on February 19, 1999 (64 FR 8247)</w:t>
      </w:r>
      <w:r w:rsidR="004F309F">
        <w:t>,</w:t>
      </w:r>
      <w:r>
        <w:t xml:space="preserve"> </w:t>
      </w:r>
      <w:r w:rsidR="004F309F">
        <w:t>the EPA</w:t>
      </w:r>
      <w:r>
        <w:t xml:space="preserve"> has authority to establish part 71 programs within Indian country, and </w:t>
      </w:r>
      <w:r w:rsidR="004F309F">
        <w:t>the EPA</w:t>
      </w:r>
      <w:r>
        <w:t xml:space="preserve"> began administering the program in Indian country on March 22, 1999. Since many Indian tribes lack the resources and capacity to develop operating permit programs under part 70, </w:t>
      </w:r>
      <w:r w:rsidR="004F309F">
        <w:t>the EPA</w:t>
      </w:r>
      <w:r>
        <w:t xml:space="preserve"> will administer and enforce part 71 programs in the areas that comprise Indian country in order to protect the air quality of areas under tribal jurisdiction.</w:t>
      </w:r>
    </w:p>
    <w:p w:rsidR="000C2722" w:rsidRDefault="000C2722" w:rsidP="000C2722"/>
    <w:p w:rsidR="000C2722" w:rsidRDefault="000C2722" w:rsidP="000C2722">
      <w:r>
        <w:t xml:space="preserve">The EPA intends to protect tribal air quality through the development of implementation plans, permit programs and direct assistance to tribes in developing comprehensive and effective air quality management programs. The EPA will consult with tribes to identify their particular needs for air program development assistance and will provide ongoing assistance as necessary. There are approximately 130 sources in Indian country with permits at the beginning of the ICR period and we expect to permit an additional 6 such sources by the end of this ICR period (April 2015). This is an increase from the last ICR renewal, due to an increase in the estimate of the number of major sources expected in Indian country. </w:t>
      </w:r>
    </w:p>
    <w:p w:rsidR="000C2722" w:rsidRDefault="000C2722" w:rsidP="000C2722"/>
    <w:p w:rsidR="000C2722" w:rsidRDefault="004F309F" w:rsidP="000C2722">
      <w:r>
        <w:t>The EPA</w:t>
      </w:r>
      <w:r w:rsidR="000C2722">
        <w:t xml:space="preserve"> is the permitting authority for sources located beyond 25 miles (40 km) of the </w:t>
      </w:r>
      <w:r w:rsidR="00891F8C">
        <w:t>state</w:t>
      </w:r>
      <w:r w:rsidR="000C2722">
        <w:t xml:space="preserve">s’ seaward boundaries under the Outer Continental Shelf Lands Act (OCS sources), and the provisions of part 71 apply to the permitting of those sources, as well. Using data from the Department of the Interior, Bureau </w:t>
      </w:r>
      <w:r w:rsidR="000C2722">
        <w:lastRenderedPageBreak/>
        <w:t xml:space="preserve">of Ocean Energy Management, </w:t>
      </w:r>
      <w:r>
        <w:t>the EPA</w:t>
      </w:r>
      <w:r w:rsidR="000C2722">
        <w:t xml:space="preserve"> estimates that there are currently </w:t>
      </w:r>
      <w:r w:rsidR="00845547">
        <w:t>six</w:t>
      </w:r>
      <w:r w:rsidR="000C2722">
        <w:t xml:space="preserve"> OCS sources with part 71 permits and as many as </w:t>
      </w:r>
      <w:r w:rsidR="00845547">
        <w:t>nine</w:t>
      </w:r>
      <w:r w:rsidR="000C2722">
        <w:t xml:space="preserve"> additional OCS sources that may seek part 71 permits during the period of this ICR renewal. Our estimates of the number of OCS sources has changed through the years</w:t>
      </w:r>
      <w:r w:rsidR="00845547">
        <w:t>,</w:t>
      </w:r>
      <w:r w:rsidR="000C2722">
        <w:t xml:space="preserve"> but there has been increasing interest in developing offshore oil and gas and alternative energy resources and because of this better information has recently become available. Thus, this is a change from the last ICR update, where </w:t>
      </w:r>
      <w:r>
        <w:t>the EPA</w:t>
      </w:r>
      <w:r w:rsidR="000C2722">
        <w:t xml:space="preserve"> assumed there might be up to </w:t>
      </w:r>
      <w:r w:rsidR="00845547">
        <w:t>three</w:t>
      </w:r>
      <w:r w:rsidR="000C2722">
        <w:t xml:space="preserve"> OCS sources.</w:t>
      </w:r>
    </w:p>
    <w:p w:rsidR="000C2722" w:rsidRDefault="000C2722" w:rsidP="000C2722"/>
    <w:p w:rsidR="000C2722" w:rsidRDefault="000C2722" w:rsidP="000C2722">
      <w:r>
        <w:t xml:space="preserve">Deepwater Port sources (DWPA sources) are fixed or floating structures that are located beyond </w:t>
      </w:r>
      <w:r w:rsidR="00891F8C">
        <w:t>state</w:t>
      </w:r>
      <w:r>
        <w:t xml:space="preserve"> seaward boundaries, intended for the transportation, storage and handling of oil or natural gas (offshore LNG terminals) and alternative energy projects. An offshore source may be either an OCS or a DWPA source – it may not be both. Because DWPA sources are required to be treated as if they are located in an “area of exclusive federal jurisdiction within a State,” </w:t>
      </w:r>
      <w:r w:rsidR="004F309F">
        <w:t>the EPA</w:t>
      </w:r>
      <w:r>
        <w:t xml:space="preserve"> must issue the title V permit for them [see </w:t>
      </w:r>
      <w:r w:rsidR="00845547">
        <w:t xml:space="preserve">section </w:t>
      </w:r>
      <w:r>
        <w:t xml:space="preserve">1518(a)(1) of the DWPA]. Note that the previous ICR estimated </w:t>
      </w:r>
      <w:r w:rsidR="00845547">
        <w:t>one</w:t>
      </w:r>
      <w:r>
        <w:t xml:space="preserve"> D</w:t>
      </w:r>
      <w:r w:rsidR="00845547">
        <w:t>W</w:t>
      </w:r>
      <w:r>
        <w:t xml:space="preserve">PA source and </w:t>
      </w:r>
      <w:r w:rsidR="00845547">
        <w:t>three</w:t>
      </w:r>
      <w:r>
        <w:t xml:space="preserve"> seeking permits for a total of </w:t>
      </w:r>
      <w:r w:rsidR="00845547">
        <w:t>four</w:t>
      </w:r>
      <w:r>
        <w:t xml:space="preserve"> such sources. Using updated data from the U.S. Coast Guard, Deepwater Ports Standards Division, </w:t>
      </w:r>
      <w:r w:rsidR="004F309F">
        <w:t>the EPA</w:t>
      </w:r>
      <w:r>
        <w:t xml:space="preserve"> estimates we have issued </w:t>
      </w:r>
      <w:r w:rsidR="00845547">
        <w:t>6</w:t>
      </w:r>
      <w:r>
        <w:t xml:space="preserve"> permits to such sources by the beginning of the ICR period and that we will issue as many as 10 additional part 71 permits to such sources by the end of this ICR renewal, bringing the total included in this analysis up to 16.</w:t>
      </w:r>
    </w:p>
    <w:p w:rsidR="00D6184C" w:rsidRDefault="00D6184C" w:rsidP="00D6184C">
      <w:pPr>
        <w:rPr>
          <w:sz w:val="22"/>
          <w:szCs w:val="22"/>
        </w:rPr>
      </w:pPr>
      <w:r w:rsidRPr="00D6184C">
        <w:rPr>
          <w:sz w:val="22"/>
          <w:szCs w:val="22"/>
        </w:rPr>
        <w:t xml:space="preserve"> </w:t>
      </w:r>
    </w:p>
    <w:p w:rsidR="00D6184C" w:rsidRPr="000C2722" w:rsidRDefault="000C2722" w:rsidP="00B962C3">
      <w:pPr>
        <w:pStyle w:val="Heading3"/>
        <w:spacing w:before="0"/>
        <w:ind w:firstLine="0"/>
        <w:rPr>
          <w:sz w:val="22"/>
          <w:szCs w:val="22"/>
        </w:rPr>
      </w:pPr>
      <w:bookmarkStart w:id="5" w:name="_Toc320021931"/>
      <w:r w:rsidRPr="00BB2522">
        <w:t>1(b)</w:t>
      </w:r>
      <w:r w:rsidR="003F5781">
        <w:t>(ii</w:t>
      </w:r>
      <w:r>
        <w:t>)</w:t>
      </w:r>
      <w:r w:rsidRPr="00BB2522">
        <w:tab/>
      </w:r>
      <w:r w:rsidR="00B962C3">
        <w:t>Federal program as a backstop for deficient state programs</w:t>
      </w:r>
      <w:bookmarkEnd w:id="5"/>
      <w:r w:rsidR="00B962C3">
        <w:t xml:space="preserve"> </w:t>
      </w:r>
      <w:r w:rsidRPr="00D6184C">
        <w:rPr>
          <w:sz w:val="22"/>
          <w:szCs w:val="22"/>
        </w:rPr>
        <w:t xml:space="preserve"> </w:t>
      </w:r>
    </w:p>
    <w:p w:rsidR="00D6184C" w:rsidRDefault="00D6184C" w:rsidP="007009E5">
      <w:pPr>
        <w:ind w:firstLine="720"/>
      </w:pPr>
    </w:p>
    <w:p w:rsidR="000C2722" w:rsidRDefault="000C2722" w:rsidP="000C2722">
      <w:r>
        <w:t xml:space="preserve">Section 502(i)(4) of the Act requires </w:t>
      </w:r>
      <w:r w:rsidR="004F309F">
        <w:t>the EPA</w:t>
      </w:r>
      <w:r>
        <w:t xml:space="preserve"> to promulgate, administer and enforce a title V program if </w:t>
      </w:r>
      <w:r w:rsidR="004F309F">
        <w:t>the EPA</w:t>
      </w:r>
      <w:r>
        <w:t xml:space="preserve"> makes a determination that a </w:t>
      </w:r>
      <w:r w:rsidR="00891F8C">
        <w:t>state</w:t>
      </w:r>
      <w:r>
        <w:t xml:space="preserve"> or local permitting authority is not adequately administering or enforcing </w:t>
      </w:r>
      <w:r w:rsidR="00B962C3">
        <w:t>its</w:t>
      </w:r>
      <w:r>
        <w:t xml:space="preserve"> EPA-approved title V permitting program. This requirement is implemented through regulations promulgated by </w:t>
      </w:r>
      <w:r w:rsidR="004F309F">
        <w:t>the EPA</w:t>
      </w:r>
      <w:r>
        <w:t xml:space="preserve"> on July 1, 1996 (61 FR 34202), specifically </w:t>
      </w:r>
      <w:r w:rsidR="00B962C3">
        <w:t>40 CFR</w:t>
      </w:r>
      <w:r>
        <w:t xml:space="preserve"> 71.4(c) and 71.10(b)(1). The process described in these regulations can take up to 2 years after a formal finding by </w:t>
      </w:r>
      <w:r w:rsidR="004F309F">
        <w:t>the EPA</w:t>
      </w:r>
      <w:r>
        <w:t xml:space="preserve"> </w:t>
      </w:r>
      <w:r w:rsidR="00686ECD">
        <w:t xml:space="preserve">is </w:t>
      </w:r>
      <w:r>
        <w:t xml:space="preserve">published in the </w:t>
      </w:r>
      <w:r w:rsidRPr="00B962C3">
        <w:rPr>
          <w:i/>
        </w:rPr>
        <w:t>Federal Register</w:t>
      </w:r>
      <w:r>
        <w:t xml:space="preserve"> that the </w:t>
      </w:r>
      <w:r w:rsidR="00891F8C">
        <w:t>state</w:t>
      </w:r>
      <w:r>
        <w:t xml:space="preserve"> part 70 program is deficient in its implementation or enforcement (this notice is called a “notice of deficiency” or “NOD”).</w:t>
      </w:r>
    </w:p>
    <w:p w:rsidR="000C2722" w:rsidRDefault="000C2722" w:rsidP="000C2722">
      <w:r>
        <w:tab/>
      </w:r>
    </w:p>
    <w:p w:rsidR="000C2722" w:rsidRDefault="000C2722" w:rsidP="000C2722">
      <w:r>
        <w:t xml:space="preserve">For the 3-year period covered by this ICR, it is unlikely that any </w:t>
      </w:r>
      <w:r w:rsidR="00891F8C">
        <w:t>state</w:t>
      </w:r>
      <w:r>
        <w:t xml:space="preserve"> or local permitting program under part 70 will be replaced by a part 71 program administered by </w:t>
      </w:r>
      <w:r w:rsidR="004F309F">
        <w:t>the EPA</w:t>
      </w:r>
      <w:r>
        <w:t>, and thus this ICR renewal does not include such scenarios. There are currently no NODs in place at this time</w:t>
      </w:r>
      <w:r w:rsidR="00B962C3">
        <w:t>,</w:t>
      </w:r>
      <w:r>
        <w:t xml:space="preserve"> and due to the maturity of the part 70 programs we believe it is unlikely </w:t>
      </w:r>
      <w:r w:rsidR="004F309F">
        <w:t>the EPA</w:t>
      </w:r>
      <w:r>
        <w:t xml:space="preserve"> will take over additional part 70 permits in this manner during the period of this ICR.</w:t>
      </w:r>
    </w:p>
    <w:p w:rsidR="000C2722" w:rsidRPr="00BB2522" w:rsidRDefault="000C2722" w:rsidP="007009E5">
      <w:pPr>
        <w:ind w:firstLine="720"/>
      </w:pPr>
    </w:p>
    <w:p w:rsidR="000C2722" w:rsidRPr="000C2722" w:rsidRDefault="000C2722" w:rsidP="00B962C3">
      <w:pPr>
        <w:pStyle w:val="Heading3"/>
        <w:spacing w:before="0"/>
        <w:ind w:firstLine="0"/>
        <w:rPr>
          <w:sz w:val="22"/>
          <w:szCs w:val="22"/>
        </w:rPr>
      </w:pPr>
      <w:bookmarkStart w:id="6" w:name="_Toc320021932"/>
      <w:r w:rsidRPr="00BB2522">
        <w:t>1(b)</w:t>
      </w:r>
      <w:r w:rsidR="003F5781">
        <w:t>(iii</w:t>
      </w:r>
      <w:r>
        <w:t>)</w:t>
      </w:r>
      <w:r w:rsidR="003F5781">
        <w:t xml:space="preserve"> </w:t>
      </w:r>
      <w:r w:rsidR="00B962C3">
        <w:t>Federal program for deficient state programs</w:t>
      </w:r>
      <w:bookmarkEnd w:id="6"/>
      <w:r w:rsidR="00B962C3">
        <w:t xml:space="preserve"> </w:t>
      </w:r>
      <w:r w:rsidRPr="00D6184C">
        <w:rPr>
          <w:sz w:val="22"/>
          <w:szCs w:val="22"/>
        </w:rPr>
        <w:t xml:space="preserve"> </w:t>
      </w:r>
    </w:p>
    <w:p w:rsidR="000C2722" w:rsidRDefault="000C2722"/>
    <w:p w:rsidR="000C2722" w:rsidRDefault="000C2722" w:rsidP="000C2722">
      <w:r>
        <w:t xml:space="preserve">Section 505(c) of the Act provides that if a permitting authority fails to submit a permit to </w:t>
      </w:r>
      <w:r w:rsidR="004F309F">
        <w:t>the EPA</w:t>
      </w:r>
      <w:r>
        <w:t xml:space="preserve"> that satisfies an EPA objection, then the EPA shall issue a permit that meets the requirements of the Act. The part 71 rules implement this provision by providing that if the </w:t>
      </w:r>
      <w:r w:rsidR="00891F8C">
        <w:t>state</w:t>
      </w:r>
      <w:r>
        <w:t xml:space="preserve"> or local permitting authority fails to satisfy an EPA objection to a part 70 permit then </w:t>
      </w:r>
      <w:r w:rsidR="004F309F">
        <w:t>the EPA</w:t>
      </w:r>
      <w:r>
        <w:t xml:space="preserve"> shall issue a part 71 permit instead. There is currently </w:t>
      </w:r>
      <w:r w:rsidR="00B962C3">
        <w:t>one</w:t>
      </w:r>
      <w:r>
        <w:t xml:space="preserve"> part 70 source that has been issued a part 71 permit for this reason</w:t>
      </w:r>
      <w:r w:rsidR="00B962C3">
        <w:t>,</w:t>
      </w:r>
      <w:r>
        <w:t xml:space="preserve"> and we do not expect any additional part 71 sources for this reason during the period of this ICR</w:t>
      </w:r>
    </w:p>
    <w:p w:rsidR="000C2722" w:rsidRDefault="000C2722"/>
    <w:p w:rsidR="00EC0759" w:rsidRPr="00BB2522" w:rsidRDefault="0085396E" w:rsidP="00494844">
      <w:pPr>
        <w:outlineLvl w:val="0"/>
      </w:pPr>
      <w:bookmarkStart w:id="7" w:name="_Toc320021933"/>
      <w:r w:rsidRPr="00BB2522">
        <w:t>2.</w:t>
      </w:r>
      <w:r w:rsidRPr="00BB2522">
        <w:tab/>
      </w:r>
      <w:r w:rsidR="00EC0759" w:rsidRPr="00BB2522">
        <w:t>NEED FOR AND USE OF THE COLLECTION</w:t>
      </w:r>
      <w:bookmarkEnd w:id="7"/>
    </w:p>
    <w:p w:rsidR="00EC0759" w:rsidRPr="00BB2522" w:rsidRDefault="00EC0759" w:rsidP="00EC0759"/>
    <w:p w:rsidR="00EC0759" w:rsidRPr="00B962C3" w:rsidRDefault="0085396E" w:rsidP="00B962C3">
      <w:pPr>
        <w:pStyle w:val="Heading2"/>
        <w:rPr>
          <w:i w:val="0"/>
        </w:rPr>
      </w:pPr>
      <w:bookmarkStart w:id="8" w:name="_Toc320021934"/>
      <w:r w:rsidRPr="00B962C3">
        <w:rPr>
          <w:i w:val="0"/>
        </w:rPr>
        <w:t>2(a)</w:t>
      </w:r>
      <w:r w:rsidRPr="00B962C3">
        <w:rPr>
          <w:i w:val="0"/>
        </w:rPr>
        <w:tab/>
      </w:r>
      <w:r w:rsidR="00B962C3" w:rsidRPr="00B962C3">
        <w:rPr>
          <w:i w:val="0"/>
        </w:rPr>
        <w:t xml:space="preserve">Need/Authority </w:t>
      </w:r>
      <w:r w:rsidR="00B962C3">
        <w:rPr>
          <w:i w:val="0"/>
        </w:rPr>
        <w:t>f</w:t>
      </w:r>
      <w:r w:rsidR="00B962C3" w:rsidRPr="00B962C3">
        <w:rPr>
          <w:i w:val="0"/>
        </w:rPr>
        <w:t xml:space="preserve">or </w:t>
      </w:r>
      <w:r w:rsidR="00B962C3">
        <w:rPr>
          <w:i w:val="0"/>
        </w:rPr>
        <w:t>t</w:t>
      </w:r>
      <w:r w:rsidR="00B962C3" w:rsidRPr="00B962C3">
        <w:rPr>
          <w:i w:val="0"/>
        </w:rPr>
        <w:t>he Collection</w:t>
      </w:r>
      <w:bookmarkEnd w:id="8"/>
    </w:p>
    <w:p w:rsidR="00EC0759" w:rsidRPr="00BB2522" w:rsidRDefault="00EC0759" w:rsidP="00EC0759"/>
    <w:p w:rsidR="00DE5E1C" w:rsidRDefault="000C2722" w:rsidP="00A3434C">
      <w:r>
        <w:t xml:space="preserve">When </w:t>
      </w:r>
      <w:r w:rsidR="004F309F">
        <w:t>the EPA</w:t>
      </w:r>
      <w:r>
        <w:t xml:space="preserve"> is the permitting authority under title V, a source subject to the program must prepare an application and submit it within 1 year of becoming subject (</w:t>
      </w:r>
      <w:r w:rsidR="00B962C3">
        <w:t xml:space="preserve">CAA </w:t>
      </w:r>
      <w:r>
        <w:t xml:space="preserve">section 503). </w:t>
      </w:r>
      <w:r w:rsidR="004F309F">
        <w:t xml:space="preserve">The </w:t>
      </w:r>
      <w:r>
        <w:t xml:space="preserve">EPA must then </w:t>
      </w:r>
      <w:r>
        <w:lastRenderedPageBreak/>
        <w:t>issue the permit within 18 months of receiving a complete application (</w:t>
      </w:r>
      <w:r w:rsidR="00B962C3">
        <w:t xml:space="preserve">CAA </w:t>
      </w:r>
      <w:r>
        <w:t>section 503(c)) and thereafter administer</w:t>
      </w:r>
      <w:r w:rsidR="00B962C3">
        <w:t xml:space="preserve"> (including revising, reopening</w:t>
      </w:r>
      <w:r>
        <w:t xml:space="preserve"> and enforcing the permit terms, as needed) and renew such permits at no more than 5-year intervals (</w:t>
      </w:r>
      <w:r w:rsidR="00B962C3">
        <w:t xml:space="preserve">CAA </w:t>
      </w:r>
      <w:r>
        <w:t>section 502(b)(5)). Sources must periodically (no less often than annually) certify that they are in compliance with applicable requirements and promptly report deviations from permit requirements to the permitting authority (</w:t>
      </w:r>
      <w:r w:rsidR="006B0EE3">
        <w:t>CAA section </w:t>
      </w:r>
      <w:r>
        <w:t>503(b)(2)), and permits are required to set forth requirements for sources to conduct monitoring and reporting to assure compliance with permit terms and conditions (</w:t>
      </w:r>
      <w:r w:rsidR="006B0EE3">
        <w:t xml:space="preserve">CAA </w:t>
      </w:r>
      <w:r>
        <w:t>section 504(b)). The permit and all information submitted by a source shall be available for public review except for confidential information which will be protected from disclosure (</w:t>
      </w:r>
      <w:r w:rsidR="006B0EE3">
        <w:t xml:space="preserve">CAA </w:t>
      </w:r>
      <w:r>
        <w:t>section 503(e)), and the public shall be given public notice of, and an opportunity for comment on, permit actions (</w:t>
      </w:r>
      <w:r w:rsidR="006B0EE3">
        <w:t xml:space="preserve">CAA </w:t>
      </w:r>
      <w:r>
        <w:t>section 502(b)(6)). A copy of sections 502 through 504 of title V of the Act are in Attachment 1.</w:t>
      </w:r>
    </w:p>
    <w:p w:rsidR="000C2722" w:rsidRDefault="000C2722" w:rsidP="00A3434C"/>
    <w:p w:rsidR="00EC0759" w:rsidRPr="006B0EE3" w:rsidRDefault="0085396E" w:rsidP="006B0EE3">
      <w:pPr>
        <w:pStyle w:val="Heading2"/>
        <w:rPr>
          <w:i w:val="0"/>
        </w:rPr>
      </w:pPr>
      <w:bookmarkStart w:id="9" w:name="_Toc320021935"/>
      <w:r w:rsidRPr="006B0EE3">
        <w:rPr>
          <w:i w:val="0"/>
        </w:rPr>
        <w:t>2(b)</w:t>
      </w:r>
      <w:r w:rsidRPr="006B0EE3">
        <w:rPr>
          <w:i w:val="0"/>
        </w:rPr>
        <w:tab/>
      </w:r>
      <w:r w:rsidR="006B0EE3" w:rsidRPr="006B0EE3">
        <w:rPr>
          <w:i w:val="0"/>
        </w:rPr>
        <w:t>Practical Utility/Users of the Data</w:t>
      </w:r>
      <w:bookmarkEnd w:id="9"/>
    </w:p>
    <w:p w:rsidR="00EC0759" w:rsidRPr="00BB2522" w:rsidRDefault="00EC0759" w:rsidP="00EC0759"/>
    <w:p w:rsidR="009F530E" w:rsidRDefault="009F530E" w:rsidP="00573C8A">
      <w:r w:rsidRPr="009F530E">
        <w:t xml:space="preserve">For the EPA to carry out its requirement </w:t>
      </w:r>
      <w:r>
        <w:t xml:space="preserve">under the Act </w:t>
      </w:r>
      <w:r w:rsidRPr="009F530E">
        <w:t>to issue part 71 permit</w:t>
      </w:r>
      <w:r>
        <w:t>s</w:t>
      </w:r>
      <w:r w:rsidRPr="009F530E">
        <w:t xml:space="preserve"> in areas </w:t>
      </w:r>
      <w:r>
        <w:t>where there is no approved part </w:t>
      </w:r>
      <w:r w:rsidRPr="009F530E">
        <w:t xml:space="preserve">70 program or where a state will not resolve an EPA objection to a part 70 </w:t>
      </w:r>
      <w:r>
        <w:t>permit</w:t>
      </w:r>
      <w:r w:rsidRPr="009F530E">
        <w:t xml:space="preserve">, </w:t>
      </w:r>
      <w:r>
        <w:t xml:space="preserve">the </w:t>
      </w:r>
      <w:r w:rsidRPr="009F530E">
        <w:t xml:space="preserve">EPA must </w:t>
      </w:r>
      <w:r>
        <w:t xml:space="preserve">receive and </w:t>
      </w:r>
      <w:r w:rsidRPr="009F530E">
        <w:t xml:space="preserve">review permit applications, issue initial and renewal permits, issue permit revisions and </w:t>
      </w:r>
      <w:r>
        <w:t xml:space="preserve">receive and </w:t>
      </w:r>
      <w:r w:rsidRPr="009F530E">
        <w:t xml:space="preserve">review compliance and monitoring reports submitted by sources. For </w:t>
      </w:r>
      <w:r>
        <w:t xml:space="preserve">the </w:t>
      </w:r>
      <w:r w:rsidRPr="009F530E">
        <w:t xml:space="preserve">EPA to carry out its </w:t>
      </w:r>
      <w:r>
        <w:t xml:space="preserve">required </w:t>
      </w:r>
      <w:r w:rsidRPr="009F530E">
        <w:t xml:space="preserve">oversight functions, where </w:t>
      </w:r>
      <w:r>
        <w:t xml:space="preserve">the </w:t>
      </w:r>
      <w:r w:rsidRPr="009F530E">
        <w:t xml:space="preserve">EPA has delegated its authority to issue part 71 permits to a state or tribe (delegate agency), </w:t>
      </w:r>
      <w:r>
        <w:t xml:space="preserve">the </w:t>
      </w:r>
      <w:r w:rsidRPr="009F530E">
        <w:t>EPA must review proposed permits of all types developed by the delegate agency, review certain information submitted by the source to the delegate agency, and require the submittal of certain information concerning program implementation from the delegate agency.</w:t>
      </w:r>
    </w:p>
    <w:p w:rsidR="00A3434C" w:rsidRPr="00BB2522" w:rsidRDefault="00A3434C" w:rsidP="00A3434C"/>
    <w:p w:rsidR="00573C8A" w:rsidRPr="006B0EE3" w:rsidRDefault="006B0EE3" w:rsidP="006B0EE3">
      <w:pPr>
        <w:pStyle w:val="Heading2"/>
        <w:rPr>
          <w:i w:val="0"/>
        </w:rPr>
      </w:pPr>
      <w:bookmarkStart w:id="10" w:name="_Toc320021936"/>
      <w:r w:rsidRPr="006B0EE3">
        <w:rPr>
          <w:i w:val="0"/>
        </w:rPr>
        <w:t>2(c)</w:t>
      </w:r>
      <w:r w:rsidRPr="006B0EE3">
        <w:rPr>
          <w:i w:val="0"/>
        </w:rPr>
        <w:tab/>
        <w:t>Caveats and Considerations</w:t>
      </w:r>
      <w:bookmarkEnd w:id="10"/>
    </w:p>
    <w:p w:rsidR="00573C8A" w:rsidRPr="006B0EE3" w:rsidRDefault="00573C8A" w:rsidP="00573C8A"/>
    <w:p w:rsidR="00573C8A" w:rsidRDefault="00573C8A" w:rsidP="00573C8A">
      <w:r>
        <w:t>The information included in this ICR is based upon the best data available to the Agency at this time. However, inconsistencies in permitting authority reporting techniques, incomplete data sets, and sampling limitations imposed upon the Agency by the P</w:t>
      </w:r>
      <w:r w:rsidR="006B0EE3">
        <w:t>RA</w:t>
      </w:r>
      <w:r>
        <w:t xml:space="preserve"> necessitated a certain amount of extrapolation and “best-guess” estimations by permitting authority and Agency experts. Consequently, the reader should not consider the conclusions to be an exact representation of the level of burden or cost that will occur during the </w:t>
      </w:r>
      <w:r w:rsidR="006B0EE3">
        <w:t>3</w:t>
      </w:r>
      <w:r>
        <w:t xml:space="preserve"> years of this ICR. Instead, this ICR should be considered a directionally correct assessment of the impact the Federal Operating Permit Program will have over the next </w:t>
      </w:r>
      <w:r w:rsidR="006B0EE3">
        <w:t>3</w:t>
      </w:r>
      <w:r>
        <w:t xml:space="preserve"> years.</w:t>
      </w:r>
    </w:p>
    <w:p w:rsidR="00573C8A" w:rsidRDefault="00573C8A" w:rsidP="00573C8A"/>
    <w:p w:rsidR="00573C8A" w:rsidRDefault="00573C8A" w:rsidP="00573C8A">
      <w:r>
        <w:t xml:space="preserve">Throughout this ICR, the reader will observe estimated values that show accuracy to the single hour or dollar. However, reporting values at the single unit level can be misleading. In most situations, the proper way to present estimated data would be to determine an appropriate level of precision and truncate values accordingly, usually in terms of thousands or millions of units. For instance, a spreadsheet generated estimation of $5,456,295 could be presented in the text as $5.5 (millions) or $5,456 (thousands). One problem with such an approach is the loss of data richness when the report contains a mixture of very large and very small numbers. Such was the case with this ICR, where source values are consistently in the millions and </w:t>
      </w:r>
      <w:r w:rsidR="006B0EE3">
        <w:t>f</w:t>
      </w:r>
      <w:r>
        <w:t>ederal values in the tens of thousands.  Consequently, to avoid the loss of information through rounding, this ICR reports all values at the single unit level and reminds the reader that there is no implied precision inherent in this style of reporting.</w:t>
      </w:r>
    </w:p>
    <w:p w:rsidR="00573C8A" w:rsidRDefault="00573C8A" w:rsidP="00494844">
      <w:pPr>
        <w:outlineLvl w:val="0"/>
      </w:pPr>
    </w:p>
    <w:p w:rsidR="00EC0759" w:rsidRPr="00BB2522" w:rsidRDefault="0085396E" w:rsidP="00553466">
      <w:pPr>
        <w:keepNext/>
        <w:outlineLvl w:val="0"/>
      </w:pPr>
      <w:bookmarkStart w:id="11" w:name="_Toc320021937"/>
      <w:r w:rsidRPr="00BB2522">
        <w:lastRenderedPageBreak/>
        <w:t>3.</w:t>
      </w:r>
      <w:r w:rsidRPr="00BB2522">
        <w:tab/>
      </w:r>
      <w:r w:rsidR="00EC0759" w:rsidRPr="00BB2522">
        <w:t>NON</w:t>
      </w:r>
      <w:r w:rsidR="007F383E">
        <w:t>-</w:t>
      </w:r>
      <w:r w:rsidR="00EC0759" w:rsidRPr="00BB2522">
        <w:t>DUPLICATION, CONSULTATIONS AND OTHER COLLECTION CRITERIA</w:t>
      </w:r>
      <w:bookmarkEnd w:id="11"/>
    </w:p>
    <w:p w:rsidR="00EC0759" w:rsidRPr="00BB2522" w:rsidRDefault="00EC0759" w:rsidP="00553466">
      <w:pPr>
        <w:keepNext/>
      </w:pPr>
    </w:p>
    <w:p w:rsidR="00EC0759" w:rsidRPr="006B0EE3" w:rsidRDefault="0085396E" w:rsidP="00553466">
      <w:pPr>
        <w:pStyle w:val="Heading2"/>
        <w:widowControl/>
        <w:rPr>
          <w:i w:val="0"/>
        </w:rPr>
      </w:pPr>
      <w:bookmarkStart w:id="12" w:name="_Toc320021938"/>
      <w:r w:rsidRPr="006B0EE3">
        <w:rPr>
          <w:i w:val="0"/>
        </w:rPr>
        <w:t>3(a)</w:t>
      </w:r>
      <w:r w:rsidRPr="006B0EE3">
        <w:rPr>
          <w:i w:val="0"/>
        </w:rPr>
        <w:tab/>
      </w:r>
      <w:r w:rsidR="006B0EE3" w:rsidRPr="006B0EE3">
        <w:rPr>
          <w:i w:val="0"/>
        </w:rPr>
        <w:t>Non-Duplication</w:t>
      </w:r>
      <w:bookmarkEnd w:id="12"/>
    </w:p>
    <w:p w:rsidR="00EC0759" w:rsidRPr="00BB2522" w:rsidRDefault="00EC0759" w:rsidP="00553466">
      <w:pPr>
        <w:keepNext/>
      </w:pPr>
    </w:p>
    <w:p w:rsidR="00BF4A57" w:rsidRDefault="000B1EAF" w:rsidP="00553466">
      <w:pPr>
        <w:keepNext/>
      </w:pPr>
      <w:r>
        <w:t xml:space="preserve">The need for the data required by the part 70 and part 71 operating permits programs has been well documented </w:t>
      </w:r>
      <w:bookmarkStart w:id="13" w:name="_GoBack"/>
      <w:bookmarkEnd w:id="13"/>
      <w:r>
        <w:t>in</w:t>
      </w:r>
      <w:r w:rsidR="006B0EE3">
        <w:t xml:space="preserve"> prior ICRs for both programs. </w:t>
      </w:r>
      <w:r>
        <w:t xml:space="preserve">While much of the information requested under this ICR existed prior to the creation of the operating permit program, an operating permit is a compilation of existing requirements; the purpose being to bring all requirements applicable to a source into one document. The intent of this compilation is to (1) resolve any questions of applicability at the time of permit issuance, (2) provide certainty to sources as to their obligations and (3) provide the public access to a source’s obligations and compliance status. The Agency </w:t>
      </w:r>
      <w:r w:rsidR="006B0EE3" w:rsidRPr="006B0EE3">
        <w:t>has no leeway to not require</w:t>
      </w:r>
      <w:r>
        <w:t xml:space="preserve"> such previously existing information under this ICR since consolidation of the information into the operating permit and providing public access is the whole purpose of the statute. To the extent that similar information was previously collected (e.g., </w:t>
      </w:r>
      <w:r w:rsidR="00891F8C">
        <w:t>state</w:t>
      </w:r>
      <w:r>
        <w:t xml:space="preserve"> permits under </w:t>
      </w:r>
      <w:r w:rsidR="00891F8C">
        <w:t>state</w:t>
      </w:r>
      <w:r>
        <w:t xml:space="preserve"> </w:t>
      </w:r>
      <w:r w:rsidR="006B0EE3">
        <w:t xml:space="preserve">implementation </w:t>
      </w:r>
      <w:r>
        <w:t xml:space="preserve">plans), the </w:t>
      </w:r>
      <w:r w:rsidR="006B0EE3">
        <w:t xml:space="preserve">part 71 </w:t>
      </w:r>
      <w:r>
        <w:t>program may replace those activities and avoid duplication of efforts</w:t>
      </w:r>
    </w:p>
    <w:p w:rsidR="000B1EAF" w:rsidRPr="00BB2522" w:rsidRDefault="000B1EAF" w:rsidP="00EC0759"/>
    <w:p w:rsidR="00EC0759" w:rsidRPr="006B0EE3" w:rsidRDefault="0085396E" w:rsidP="006B0EE3">
      <w:pPr>
        <w:pStyle w:val="Heading2"/>
        <w:rPr>
          <w:i w:val="0"/>
        </w:rPr>
      </w:pPr>
      <w:bookmarkStart w:id="14" w:name="_Toc320021939"/>
      <w:r w:rsidRPr="006B0EE3">
        <w:rPr>
          <w:i w:val="0"/>
        </w:rPr>
        <w:t>3(b)</w:t>
      </w:r>
      <w:r w:rsidRPr="006B0EE3">
        <w:rPr>
          <w:i w:val="0"/>
        </w:rPr>
        <w:tab/>
      </w:r>
      <w:r w:rsidR="006B0EE3" w:rsidRPr="006B0EE3">
        <w:rPr>
          <w:i w:val="0"/>
        </w:rPr>
        <w:t>Public Notice Required Prior to</w:t>
      </w:r>
      <w:r w:rsidR="00EC0759" w:rsidRPr="006B0EE3">
        <w:rPr>
          <w:i w:val="0"/>
        </w:rPr>
        <w:t xml:space="preserve"> ICR </w:t>
      </w:r>
      <w:r w:rsidR="006B0EE3" w:rsidRPr="006B0EE3">
        <w:rPr>
          <w:i w:val="0"/>
        </w:rPr>
        <w:t xml:space="preserve">Submission to </w:t>
      </w:r>
      <w:r w:rsidR="00EC0759" w:rsidRPr="006B0EE3">
        <w:rPr>
          <w:i w:val="0"/>
        </w:rPr>
        <w:t>OMB</w:t>
      </w:r>
      <w:bookmarkEnd w:id="14"/>
    </w:p>
    <w:p w:rsidR="00EC0759" w:rsidRPr="00BB2522" w:rsidRDefault="00EC0759" w:rsidP="00EC0759"/>
    <w:p w:rsidR="000B1EAF" w:rsidRDefault="000B1EAF" w:rsidP="000B1EAF">
      <w:r>
        <w:t xml:space="preserve">For any existing rule, </w:t>
      </w:r>
      <w:r w:rsidR="006B0EE3">
        <w:t>section</w:t>
      </w:r>
      <w:r>
        <w:t xml:space="preserve"> 3507(g) of the PRA limits the length of time for which the Director may approve a collect</w:t>
      </w:r>
      <w:r w:rsidR="006B0EE3">
        <w:t xml:space="preserve">ion of information to 3 years. </w:t>
      </w:r>
      <w:r>
        <w:t>On September 12, 2007, OMB approved the ICR renewal for part 71 (</w:t>
      </w:r>
      <w:r w:rsidR="004F309F">
        <w:t>EPA</w:t>
      </w:r>
      <w:r>
        <w:t xml:space="preserve"> tracking </w:t>
      </w:r>
      <w:r w:rsidR="006B0EE3">
        <w:t>number</w:t>
      </w:r>
      <w:r>
        <w:t xml:space="preserve"> 1713.06) for 36 months</w:t>
      </w:r>
      <w:r w:rsidR="006B6479">
        <w:t>,</w:t>
      </w:r>
      <w:r>
        <w:t xml:space="preserve"> </w:t>
      </w:r>
      <w:r w:rsidR="006B6479">
        <w:t>through</w:t>
      </w:r>
      <w:r>
        <w:t xml:space="preserve"> September 30, 2010. On April 22, 2009, OMB approved a revision to the previously approved collection related to the final rule for Flexible Air Permits (EPA tracking </w:t>
      </w:r>
      <w:r w:rsidR="006B6479">
        <w:t>number</w:t>
      </w:r>
      <w:r>
        <w:t xml:space="preserve"> 1713.09)</w:t>
      </w:r>
      <w:r w:rsidR="006B6479">
        <w:t>,</w:t>
      </w:r>
      <w:r>
        <w:t xml:space="preserve"> and as part of that approval OMB extended the expiration date of the ICR to April 30, 2012. This ICR is a renewal of the September 2007 ICR.  </w:t>
      </w:r>
    </w:p>
    <w:p w:rsidR="000B1EAF" w:rsidRDefault="000B1EAF" w:rsidP="000B1EAF"/>
    <w:p w:rsidR="000B1EAF" w:rsidRDefault="000B1EAF" w:rsidP="000B1EAF">
      <w:r>
        <w:t xml:space="preserve">Except for information collection in notices of proposed rules or those exempted under the emergency processing provisions of 44 U.S.C. § 3507(j), the PRA requires </w:t>
      </w:r>
      <w:r w:rsidR="004F309F">
        <w:t>the EPA</w:t>
      </w:r>
      <w:r>
        <w:t xml:space="preserve"> to solicit comment on each proposed information collection, including the renewal or modification of </w:t>
      </w:r>
      <w:r w:rsidRPr="006B6479">
        <w:t>any</w:t>
      </w:r>
      <w:r>
        <w:t xml:space="preserve"> existing ICR. </w:t>
      </w:r>
      <w:r>
        <w:rPr>
          <w:bCs/>
        </w:rPr>
        <w:t xml:space="preserve">On </w:t>
      </w:r>
      <w:r w:rsidR="006B6479" w:rsidRPr="006B6479">
        <w:rPr>
          <w:bCs/>
        </w:rPr>
        <w:t>December 14, 2011 (76 FR 77822)</w:t>
      </w:r>
      <w:r w:rsidR="006B6479">
        <w:rPr>
          <w:bCs/>
        </w:rPr>
        <w:t>,</w:t>
      </w:r>
      <w:r>
        <w:rPr>
          <w:bCs/>
        </w:rPr>
        <w:t xml:space="preserve"> </w:t>
      </w:r>
      <w:r w:rsidR="004F309F">
        <w:rPr>
          <w:bCs/>
        </w:rPr>
        <w:t>the EPA</w:t>
      </w:r>
      <w:r>
        <w:rPr>
          <w:bCs/>
        </w:rPr>
        <w:t xml:space="preserve"> published</w:t>
      </w:r>
      <w:r w:rsidRPr="00954F8E">
        <w:rPr>
          <w:bCs/>
        </w:rPr>
        <w:t xml:space="preserve"> a notice soliciting comment on an analysis of burden for the part 71 program for the 3-yea</w:t>
      </w:r>
      <w:r w:rsidR="006B6479">
        <w:rPr>
          <w:bCs/>
        </w:rPr>
        <w:t xml:space="preserve">r period of this ICR </w:t>
      </w:r>
      <w:r w:rsidR="00A15DE9">
        <w:rPr>
          <w:bCs/>
        </w:rPr>
        <w:t xml:space="preserve">renewal </w:t>
      </w:r>
      <w:r w:rsidR="006B6479">
        <w:rPr>
          <w:bCs/>
        </w:rPr>
        <w:t>(i.e., May</w:t>
      </w:r>
      <w:r w:rsidRPr="00954F8E">
        <w:rPr>
          <w:bCs/>
        </w:rPr>
        <w:t xml:space="preserve"> 1, 20</w:t>
      </w:r>
      <w:r w:rsidR="006B6479">
        <w:rPr>
          <w:bCs/>
        </w:rPr>
        <w:t>12</w:t>
      </w:r>
      <w:r w:rsidRPr="00954F8E">
        <w:rPr>
          <w:bCs/>
        </w:rPr>
        <w:t xml:space="preserve"> to </w:t>
      </w:r>
      <w:r w:rsidR="006B6479">
        <w:rPr>
          <w:bCs/>
        </w:rPr>
        <w:t>April</w:t>
      </w:r>
      <w:r w:rsidRPr="00954F8E">
        <w:rPr>
          <w:bCs/>
        </w:rPr>
        <w:t xml:space="preserve"> 3</w:t>
      </w:r>
      <w:r>
        <w:rPr>
          <w:bCs/>
        </w:rPr>
        <w:t>0</w:t>
      </w:r>
      <w:r w:rsidRPr="00954F8E">
        <w:rPr>
          <w:bCs/>
        </w:rPr>
        <w:t>, 201</w:t>
      </w:r>
      <w:r w:rsidR="006B6479">
        <w:rPr>
          <w:bCs/>
        </w:rPr>
        <w:t>5</w:t>
      </w:r>
      <w:r w:rsidRPr="00954F8E">
        <w:rPr>
          <w:bCs/>
        </w:rPr>
        <w:t xml:space="preserve">). A copy of the </w:t>
      </w:r>
      <w:r w:rsidR="006B6479">
        <w:rPr>
          <w:bCs/>
        </w:rPr>
        <w:t>December 201</w:t>
      </w:r>
      <w:r w:rsidR="00A15DE9">
        <w:rPr>
          <w:bCs/>
        </w:rPr>
        <w:t>1</w:t>
      </w:r>
      <w:r w:rsidRPr="00954F8E">
        <w:rPr>
          <w:bCs/>
        </w:rPr>
        <w:t xml:space="preserve"> notice is included in this ICR as Attachment 2</w:t>
      </w:r>
      <w:r w:rsidRPr="00954F8E">
        <w:t>.</w:t>
      </w:r>
      <w:r>
        <w:t xml:space="preserve"> No public comments were received.</w:t>
      </w:r>
    </w:p>
    <w:p w:rsidR="00542407" w:rsidRPr="00BB2522" w:rsidRDefault="00542407" w:rsidP="000B1EAF"/>
    <w:p w:rsidR="00EC0759" w:rsidRPr="006B6479" w:rsidRDefault="0085396E" w:rsidP="006B6479">
      <w:pPr>
        <w:pStyle w:val="Heading2"/>
        <w:rPr>
          <w:i w:val="0"/>
        </w:rPr>
      </w:pPr>
      <w:bookmarkStart w:id="15" w:name="_Toc320021940"/>
      <w:r w:rsidRPr="006B6479">
        <w:rPr>
          <w:i w:val="0"/>
        </w:rPr>
        <w:t>3(c)</w:t>
      </w:r>
      <w:r w:rsidRPr="006B6479">
        <w:rPr>
          <w:i w:val="0"/>
        </w:rPr>
        <w:tab/>
      </w:r>
      <w:r w:rsidR="006B6479" w:rsidRPr="006B6479">
        <w:rPr>
          <w:i w:val="0"/>
        </w:rPr>
        <w:t>Consultations</w:t>
      </w:r>
      <w:bookmarkEnd w:id="15"/>
    </w:p>
    <w:p w:rsidR="00B7174A" w:rsidRPr="00BB2522" w:rsidRDefault="00B7174A" w:rsidP="00EC0759"/>
    <w:p w:rsidR="000B1EAF" w:rsidRDefault="000B1EAF" w:rsidP="000B1EAF">
      <w:r>
        <w:t>The current ICR was prepared using data on the numbers of sources and permits that are updated on a semi</w:t>
      </w:r>
      <w:r w:rsidR="00515122">
        <w:t>-</w:t>
      </w:r>
      <w:r>
        <w:t xml:space="preserve">annual by basis by each of </w:t>
      </w:r>
      <w:r w:rsidR="004F309F">
        <w:t>the EPA</w:t>
      </w:r>
      <w:r>
        <w:t xml:space="preserve">’s </w:t>
      </w:r>
      <w:r w:rsidR="006B6479">
        <w:t>10</w:t>
      </w:r>
      <w:r>
        <w:t xml:space="preserve"> Regional Offices. It is these EPA Regional Offices where the part 71 permitting activities are carried out by </w:t>
      </w:r>
      <w:r w:rsidR="004F309F">
        <w:t>the EPA</w:t>
      </w:r>
      <w:r>
        <w:t xml:space="preserve">. The actual rates of permit issuance and permit renewal are reported by the Regional Offices into an EPA database every </w:t>
      </w:r>
      <w:r w:rsidR="004F309F">
        <w:t>6 months. The 3 or 4 </w:t>
      </w:r>
      <w:r>
        <w:t>years of data in this database was reviewed for purposes of estimating existing sources and permits and the backlog of initial and renewal permits.</w:t>
      </w:r>
      <w:r w:rsidR="000927A7" w:rsidRPr="000927A7">
        <w:t xml:space="preserve"> Also, we solicited input from the National Association of Clean Air Agencies (NACAA)</w:t>
      </w:r>
      <w:r w:rsidR="00A15DE9">
        <w:t xml:space="preserve"> on the draft ICR in late 2011</w:t>
      </w:r>
      <w:r w:rsidR="000927A7" w:rsidRPr="000927A7">
        <w:t>, but the organization and its members declined to provide input at this time.</w:t>
      </w:r>
    </w:p>
    <w:p w:rsidR="00A15DE9" w:rsidRDefault="00A15DE9" w:rsidP="000B1EAF"/>
    <w:p w:rsidR="00A15DE9" w:rsidRPr="00A15DE9" w:rsidRDefault="00A15DE9" w:rsidP="00A15DE9">
      <w:r w:rsidRPr="00A15DE9">
        <w:t xml:space="preserve">Concerning prior consultations, prior to renewal of the title V ICRs in 2007, the EPA contacted NACAA (then known as the State and Territorial Air Pollution Program Administrators and the Association of Local Air Pollution Control Officers [STAPPA/ALAPCO]), and during a conference call the EPA received input on the draft ICRs that were released for public comment on February 2, 2007. Consistent with NACAA’s input during that consultation, changes were made to burden estimates for certain </w:t>
      </w:r>
      <w:r w:rsidRPr="00A15DE9">
        <w:lastRenderedPageBreak/>
        <w:t>activities performed by permitting authorities and the EPA for the part 70 and part 71 ICRs. Also note that the supporting statement for the part 70 ICR renewal</w:t>
      </w:r>
      <w:r>
        <w:t xml:space="preserve"> </w:t>
      </w:r>
      <w:r w:rsidRPr="00A15DE9">
        <w:t>provides more detail on previous consultations with state and local permitting authorities that provided information we have used to develop burden estimates for part 71 that we continue to rely on for purposes of this ICR renewal.</w:t>
      </w:r>
    </w:p>
    <w:p w:rsidR="00A15DE9" w:rsidRDefault="00A15DE9" w:rsidP="000B1EAF"/>
    <w:p w:rsidR="00BC1C1A" w:rsidRDefault="000B1EAF" w:rsidP="000B1EAF">
      <w:r>
        <w:t xml:space="preserve">The </w:t>
      </w:r>
      <w:r w:rsidR="000927A7">
        <w:t>2007</w:t>
      </w:r>
      <w:r>
        <w:t xml:space="preserve"> ICR</w:t>
      </w:r>
      <w:r w:rsidR="00BC1C1A">
        <w:t xml:space="preserve"> renewal, the EPA</w:t>
      </w:r>
      <w:r>
        <w:t xml:space="preserve"> discussed </w:t>
      </w:r>
      <w:r w:rsidR="00BC1C1A">
        <w:t>two other EPA activities that it thought</w:t>
      </w:r>
      <w:r>
        <w:t xml:space="preserve"> would </w:t>
      </w:r>
      <w:r w:rsidR="00BC1C1A">
        <w:t>yield</w:t>
      </w:r>
      <w:r>
        <w:t xml:space="preserve"> additional </w:t>
      </w:r>
      <w:r w:rsidR="00BC1C1A">
        <w:t>title V</w:t>
      </w:r>
      <w:r>
        <w:t xml:space="preserve"> burden</w:t>
      </w:r>
      <w:r w:rsidR="00BC1C1A">
        <w:t xml:space="preserve"> information</w:t>
      </w:r>
      <w:r>
        <w:t xml:space="preserve">. </w:t>
      </w:r>
      <w:r w:rsidR="00BC1C1A" w:rsidRPr="00BC1C1A">
        <w:t>One of these activities was a nationwide, comprehensive evaluation of the majority of title V operating permits programs, the first round of which was completed September 2006, and which are on-going. The second activity was a stakeholder effort to assess all aspects of the title V program, led by the Clean Air Act Advisory Committee. (This effort is known as the Title V Task Force.) The first activity, the state program evaluations, was not specifically designed to provide information for purposes of estimating burdens and cost of title V programs</w:t>
      </w:r>
      <w:r w:rsidR="00BC1C1A">
        <w:t>,</w:t>
      </w:r>
      <w:r w:rsidR="00BC1C1A" w:rsidRPr="00BC1C1A">
        <w:t xml:space="preserve"> but it did result in information that generally supports the assumptions of the prior ICRs, including those based on input from state and local permitting authorities. This resulted in only one </w:t>
      </w:r>
      <w:r w:rsidR="00BC1C1A">
        <w:t xml:space="preserve">change to the </w:t>
      </w:r>
      <w:r w:rsidR="00BC1C1A" w:rsidRPr="00BC1C1A">
        <w:t>assumption</w:t>
      </w:r>
      <w:r w:rsidR="00BC1C1A">
        <w:t>s</w:t>
      </w:r>
      <w:r w:rsidR="00BC1C1A" w:rsidRPr="00BC1C1A">
        <w:t xml:space="preserve"> for permitting authorities, which did not lead to significant changes in overall burden for permitting authorities. The second activity, the Title V Task Force, resulted in recommendations on ways that the EPA could improve the effectiveness of the title V programs, such as through rulemaking or the issuance of guidance, but it did not result in any information useful for estimating burdens for this ICR, and no guidance or rulemaking resulting from this effort are effective at th</w:t>
      </w:r>
      <w:r w:rsidR="00BC1C1A">
        <w:t>is time. (For more on the Title </w:t>
      </w:r>
      <w:r w:rsidR="00BC1C1A" w:rsidRPr="00BC1C1A">
        <w:t xml:space="preserve">V Taskforce, see </w:t>
      </w:r>
      <w:hyperlink r:id="rId11" w:history="1">
        <w:r w:rsidR="00BC1C1A" w:rsidRPr="00BC1C1A">
          <w:rPr>
            <w:rStyle w:val="Hyperlink"/>
          </w:rPr>
          <w:t>http://www.epa.gov/oar/oaqps/permits/taskforce.html</w:t>
        </w:r>
      </w:hyperlink>
      <w:r w:rsidR="00BC1C1A" w:rsidRPr="00BC1C1A">
        <w:t>.)</w:t>
      </w:r>
    </w:p>
    <w:p w:rsidR="00BC1C1A" w:rsidRDefault="00BC1C1A" w:rsidP="000B1EAF"/>
    <w:p w:rsidR="00BA5BBA" w:rsidRPr="000927A7" w:rsidRDefault="000927A7" w:rsidP="000927A7">
      <w:r w:rsidRPr="000927A7">
        <w:rPr>
          <w:rStyle w:val="SYSHYPERTEXT"/>
          <w:color w:val="auto"/>
          <w:u w:val="none"/>
        </w:rPr>
        <w:t>Also, Executive Order 13563, “Improving Regulation and Regulator</w:t>
      </w:r>
      <w:r>
        <w:rPr>
          <w:rStyle w:val="SYSHYPERTEXT"/>
          <w:color w:val="auto"/>
          <w:u w:val="none"/>
        </w:rPr>
        <w:t>y Review,” (76 FR 3821, January </w:t>
      </w:r>
      <w:r w:rsidRPr="000927A7">
        <w:rPr>
          <w:rStyle w:val="SYSHYPERTEXT"/>
          <w:color w:val="auto"/>
          <w:u w:val="none"/>
        </w:rPr>
        <w:t>18, 2011) requires each federal agency to develop a plan to periodically review its existing significant regulations to determine whether they should be modified, streamlined, expanded or repealed so as to make the agency’s regulatory program more effective or less burdensome in achieving the regulatory objectives. The EPA published a plan for meeting this order in August 2011. Under the EPA’s plan, the title V permit program requirements are identified for early action to potentially simplify and clarify implementation requirements for industry, the public and government agencies. Such regulatory review for title V is likely to include consideration of the recomm</w:t>
      </w:r>
      <w:r>
        <w:rPr>
          <w:rStyle w:val="SYSHYPERTEXT"/>
          <w:color w:val="auto"/>
          <w:u w:val="none"/>
        </w:rPr>
        <w:t>endations of the Title </w:t>
      </w:r>
      <w:r w:rsidRPr="000927A7">
        <w:rPr>
          <w:rStyle w:val="SYSHYPERTEXT"/>
          <w:color w:val="auto"/>
          <w:u w:val="none"/>
        </w:rPr>
        <w:t>V Task Force; however, at this time it is too early to speculate on the results of the EPA’s review, and thus, too early to take such changes into account for the purpose of this ICR renewal.</w:t>
      </w:r>
    </w:p>
    <w:p w:rsidR="00BA5BBA" w:rsidRPr="00BB2522" w:rsidRDefault="00BA5BBA" w:rsidP="00BA5BBA">
      <w:pPr>
        <w:ind w:firstLine="720"/>
      </w:pPr>
    </w:p>
    <w:p w:rsidR="00EC0759" w:rsidRPr="008E7E16" w:rsidRDefault="005A3444" w:rsidP="008E7E16">
      <w:pPr>
        <w:pStyle w:val="Heading2"/>
        <w:rPr>
          <w:i w:val="0"/>
        </w:rPr>
      </w:pPr>
      <w:bookmarkStart w:id="16" w:name="_Toc320021941"/>
      <w:r w:rsidRPr="008E7E16">
        <w:rPr>
          <w:i w:val="0"/>
        </w:rPr>
        <w:t>3(d)</w:t>
      </w:r>
      <w:r w:rsidRPr="008E7E16">
        <w:rPr>
          <w:i w:val="0"/>
        </w:rPr>
        <w:tab/>
      </w:r>
      <w:r w:rsidR="008E7E16" w:rsidRPr="008E7E16">
        <w:rPr>
          <w:i w:val="0"/>
        </w:rPr>
        <w:t xml:space="preserve">Effects </w:t>
      </w:r>
      <w:r w:rsidR="008E7E16">
        <w:rPr>
          <w:i w:val="0"/>
        </w:rPr>
        <w:t>o</w:t>
      </w:r>
      <w:r w:rsidR="008E7E16" w:rsidRPr="008E7E16">
        <w:rPr>
          <w:i w:val="0"/>
        </w:rPr>
        <w:t>f Less Frequent Collection</w:t>
      </w:r>
      <w:bookmarkEnd w:id="16"/>
    </w:p>
    <w:p w:rsidR="00EC0759" w:rsidRPr="00BB2522" w:rsidRDefault="00EC0759" w:rsidP="00EC0759"/>
    <w:p w:rsidR="00BF4A57" w:rsidRDefault="008C337B" w:rsidP="00EC0759">
      <w:r>
        <w:t xml:space="preserve">In general, collection of the information included in this ICR occurs once per activity (e.g., permit application or permit issuance). Periodic activities include a semi-annual compliance monitoring data report and an annual compliance certification from each source required by </w:t>
      </w:r>
      <w:r w:rsidR="008E7E16">
        <w:t xml:space="preserve">CAA </w:t>
      </w:r>
      <w:r>
        <w:t>section</w:t>
      </w:r>
      <w:r w:rsidR="008E7E16">
        <w:t>s</w:t>
      </w:r>
      <w:r>
        <w:t xml:space="preserve"> 503(b)(1) and (2), respectively. </w:t>
      </w:r>
      <w:r w:rsidR="004F309F">
        <w:t xml:space="preserve">The </w:t>
      </w:r>
      <w:r>
        <w:t>EPA has no leeway to require less frequent reporting.</w:t>
      </w:r>
    </w:p>
    <w:p w:rsidR="008C337B" w:rsidRPr="00BB2522" w:rsidRDefault="008C337B" w:rsidP="00EC0759"/>
    <w:p w:rsidR="00EC0759" w:rsidRPr="008E7E16" w:rsidRDefault="005A3444" w:rsidP="008E7E16">
      <w:pPr>
        <w:pStyle w:val="Heading2"/>
        <w:rPr>
          <w:i w:val="0"/>
        </w:rPr>
      </w:pPr>
      <w:bookmarkStart w:id="17" w:name="_Toc320021942"/>
      <w:r w:rsidRPr="008E7E16">
        <w:rPr>
          <w:i w:val="0"/>
        </w:rPr>
        <w:t>3(e)</w:t>
      </w:r>
      <w:r w:rsidRPr="008E7E16">
        <w:rPr>
          <w:i w:val="0"/>
        </w:rPr>
        <w:tab/>
      </w:r>
      <w:r w:rsidR="008E7E16" w:rsidRPr="008E7E16">
        <w:rPr>
          <w:i w:val="0"/>
        </w:rPr>
        <w:t>General Guidelines</w:t>
      </w:r>
      <w:bookmarkEnd w:id="17"/>
    </w:p>
    <w:p w:rsidR="00EC0759" w:rsidRPr="00BB2522" w:rsidRDefault="00EC0759" w:rsidP="00EC0759"/>
    <w:p w:rsidR="008E7E16" w:rsidRPr="008E7E16" w:rsidRDefault="008E7E16" w:rsidP="008E7E16">
      <w:r w:rsidRPr="008E7E16">
        <w:t>The OMB’s general guidelines for information collections must be adhered to by all federal agencies for approval of any rulemaking's collection methodology. The recordkeeping and reporting requirements contained in the part 7</w:t>
      </w:r>
      <w:r>
        <w:t>1</w:t>
      </w:r>
      <w:r w:rsidRPr="008E7E16">
        <w:t xml:space="preserve"> operating permits regulations do not exceed any of the OMB guide</w:t>
      </w:r>
      <w:r w:rsidRPr="008E7E16">
        <w:softHyphen/>
        <w:t>lines con</w:t>
      </w:r>
      <w:r w:rsidRPr="008E7E16">
        <w:softHyphen/>
        <w:t>tained in 5 CFR 1320.5, except for the guideline which limits reten</w:t>
      </w:r>
      <w:r w:rsidRPr="008E7E16">
        <w:softHyphen/>
        <w:t>tion of records by respondents to 3 years. Part 7</w:t>
      </w:r>
      <w:r>
        <w:t>1</w:t>
      </w:r>
      <w:r w:rsidRPr="008E7E16">
        <w:t xml:space="preserve"> requires retention of all monitoring data and support information and all permit applications, proposed permits and final permit records for a period of 5 years. These records are necessary to fulfill the intent of title V to assure compliance with applicable requirements. Questions regarding the obligations of a source and its status of compliance can be resolved through such records. </w:t>
      </w:r>
      <w:r w:rsidRPr="008E7E16">
        <w:lastRenderedPageBreak/>
        <w:t>In addition, 28 U.S.C. 2462 specifies 5 years as the general statute of limitations for federal claims in response to violations by regu</w:t>
      </w:r>
      <w:r w:rsidRPr="008E7E16">
        <w:softHyphen/>
        <w:t xml:space="preserve">lated entities. The decision in </w:t>
      </w:r>
      <w:r w:rsidRPr="008E7E16">
        <w:rPr>
          <w:i/>
        </w:rPr>
        <w:t>U.S. v. Conoco, Inc.,</w:t>
      </w:r>
      <w:r w:rsidRPr="008E7E16">
        <w:t xml:space="preserve"> No. 83-1916-E (W.D. Okla., January 23, 1984) found that the 5-year general statute of limitations applies to the Act.</w:t>
      </w:r>
    </w:p>
    <w:p w:rsidR="008E7E16" w:rsidRDefault="008E7E16" w:rsidP="00BF4A57"/>
    <w:p w:rsidR="00EC0759" w:rsidRPr="008E7E16" w:rsidRDefault="005A3444" w:rsidP="008E7E16">
      <w:pPr>
        <w:pStyle w:val="Heading2"/>
        <w:rPr>
          <w:i w:val="0"/>
        </w:rPr>
      </w:pPr>
      <w:bookmarkStart w:id="18" w:name="_Toc320021943"/>
      <w:r w:rsidRPr="008E7E16">
        <w:rPr>
          <w:i w:val="0"/>
        </w:rPr>
        <w:t>3(f)</w:t>
      </w:r>
      <w:r w:rsidRPr="008E7E16">
        <w:rPr>
          <w:i w:val="0"/>
        </w:rPr>
        <w:tab/>
      </w:r>
      <w:r w:rsidR="008E7E16" w:rsidRPr="008E7E16">
        <w:rPr>
          <w:i w:val="0"/>
        </w:rPr>
        <w:t>Confidentiality</w:t>
      </w:r>
      <w:bookmarkEnd w:id="18"/>
    </w:p>
    <w:p w:rsidR="00EC0759" w:rsidRPr="00BB2522" w:rsidRDefault="00EC0759" w:rsidP="008E7E16">
      <w:pPr>
        <w:keepNext/>
      </w:pPr>
    </w:p>
    <w:p w:rsidR="00FC64F6" w:rsidRDefault="008C337B" w:rsidP="008E7E16">
      <w:pPr>
        <w:keepNext/>
      </w:pPr>
      <w:r>
        <w:t xml:space="preserve">All information related to the permitting of sources under this program and related to compliance monitoring is required by section 503(e) of the Act to be subject to public review at all times. Information entitled to protection under 114(c) of the Act may be required to be submitted directly to </w:t>
      </w:r>
      <w:r w:rsidR="004F309F">
        <w:t>the EPA</w:t>
      </w:r>
      <w:r>
        <w:t xml:space="preserve">. Such information will be stored in </w:t>
      </w:r>
      <w:r w:rsidR="004F309F">
        <w:t>the EPA</w:t>
      </w:r>
      <w:r>
        <w:t>’s Confidential Business Information office</w:t>
      </w:r>
      <w:r w:rsidR="008E7E16">
        <w:t>.</w:t>
      </w:r>
    </w:p>
    <w:p w:rsidR="008C337B" w:rsidRPr="00BB2522" w:rsidRDefault="008C337B" w:rsidP="00EC0759"/>
    <w:p w:rsidR="008E7E16" w:rsidRPr="008E7E16" w:rsidRDefault="005A3444" w:rsidP="008E7E16">
      <w:pPr>
        <w:pStyle w:val="Heading2"/>
        <w:rPr>
          <w:i w:val="0"/>
        </w:rPr>
      </w:pPr>
      <w:bookmarkStart w:id="19" w:name="_Toc320021944"/>
      <w:r w:rsidRPr="008E7E16">
        <w:rPr>
          <w:i w:val="0"/>
        </w:rPr>
        <w:t>3(g)</w:t>
      </w:r>
      <w:r w:rsidRPr="008E7E16">
        <w:rPr>
          <w:i w:val="0"/>
        </w:rPr>
        <w:tab/>
      </w:r>
      <w:r w:rsidR="008E7E16" w:rsidRPr="008E7E16">
        <w:rPr>
          <w:i w:val="0"/>
        </w:rPr>
        <w:t>Sensitive Questions</w:t>
      </w:r>
      <w:bookmarkEnd w:id="19"/>
    </w:p>
    <w:p w:rsidR="008E7E16" w:rsidRPr="008E7E16" w:rsidRDefault="008E7E16" w:rsidP="008E7E16">
      <w:pPr>
        <w:pStyle w:val="Heading2"/>
      </w:pPr>
    </w:p>
    <w:p w:rsidR="00EC0759" w:rsidRPr="008E7E16" w:rsidRDefault="00327742" w:rsidP="008E7E16">
      <w:pPr>
        <w:rPr>
          <w:i/>
        </w:rPr>
      </w:pPr>
      <w:r w:rsidRPr="00327742">
        <w:rPr>
          <w:iCs/>
          <w:lang w:val="en-CA"/>
        </w:rPr>
        <w:fldChar w:fldCharType="begin"/>
      </w:r>
      <w:r w:rsidR="008E7E16" w:rsidRPr="008E7E16">
        <w:rPr>
          <w:iCs/>
          <w:lang w:val="en-CA"/>
        </w:rPr>
        <w:instrText xml:space="preserve"> SEQ CHAPTER \h \r 1</w:instrText>
      </w:r>
      <w:r w:rsidRPr="008E7E16">
        <w:rPr>
          <w:iCs/>
        </w:rPr>
        <w:fldChar w:fldCharType="end"/>
      </w:r>
      <w:r w:rsidR="008E7E16" w:rsidRPr="008E7E16">
        <w:rPr>
          <w:iCs/>
        </w:rPr>
        <w:t xml:space="preserve">The consideration of sensitive questions (i.e., sexual, religious, personal or other private matters) is not applicable to the part </w:t>
      </w:r>
      <w:r w:rsidR="008E7E16">
        <w:rPr>
          <w:iCs/>
        </w:rPr>
        <w:t>Federal Operating Permit</w:t>
      </w:r>
      <w:r w:rsidR="008E7E16" w:rsidRPr="008E7E16">
        <w:rPr>
          <w:iCs/>
        </w:rPr>
        <w:t xml:space="preserve"> Program. The information gathered for purposes of establishing a part 7</w:t>
      </w:r>
      <w:r w:rsidR="008E7E16">
        <w:rPr>
          <w:iCs/>
        </w:rPr>
        <w:t>1</w:t>
      </w:r>
      <w:r w:rsidR="008E7E16" w:rsidRPr="008E7E16">
        <w:rPr>
          <w:iCs/>
        </w:rPr>
        <w:t xml:space="preserve"> permit for a source do not include personal data on any owner or operator.</w:t>
      </w:r>
    </w:p>
    <w:p w:rsidR="008E3254" w:rsidRPr="00BB2522" w:rsidRDefault="008E3254" w:rsidP="00EC0759"/>
    <w:p w:rsidR="00EC0759" w:rsidRPr="00BB2522" w:rsidRDefault="002B5708" w:rsidP="00494844">
      <w:pPr>
        <w:outlineLvl w:val="0"/>
      </w:pPr>
      <w:bookmarkStart w:id="20" w:name="_Toc320021945"/>
      <w:r w:rsidRPr="00BB2522">
        <w:t>4.</w:t>
      </w:r>
      <w:r w:rsidRPr="00BB2522">
        <w:tab/>
      </w:r>
      <w:r w:rsidR="00EC0759" w:rsidRPr="00BB2522">
        <w:t>THE RESPONDENTS AND THE INFORMATION REQUESTED</w:t>
      </w:r>
      <w:bookmarkEnd w:id="20"/>
    </w:p>
    <w:p w:rsidR="00EC0759" w:rsidRPr="00BB2522" w:rsidRDefault="00EC0759" w:rsidP="00EC0759"/>
    <w:p w:rsidR="00EC0759" w:rsidRPr="008E7E16" w:rsidRDefault="002B5708" w:rsidP="008E7E16">
      <w:pPr>
        <w:pStyle w:val="Heading2"/>
        <w:rPr>
          <w:i w:val="0"/>
        </w:rPr>
      </w:pPr>
      <w:bookmarkStart w:id="21" w:name="_Toc320021946"/>
      <w:r w:rsidRPr="008E7E16">
        <w:rPr>
          <w:i w:val="0"/>
        </w:rPr>
        <w:t>4(a)</w:t>
      </w:r>
      <w:r w:rsidRPr="008E7E16">
        <w:rPr>
          <w:i w:val="0"/>
        </w:rPr>
        <w:tab/>
      </w:r>
      <w:r w:rsidR="008E7E16" w:rsidRPr="008E7E16">
        <w:rPr>
          <w:i w:val="0"/>
        </w:rPr>
        <w:t>Respondents</w:t>
      </w:r>
      <w:r w:rsidR="00EC0759" w:rsidRPr="008E7E16">
        <w:rPr>
          <w:i w:val="0"/>
        </w:rPr>
        <w:t>/</w:t>
      </w:r>
      <w:r w:rsidR="000E2E92" w:rsidRPr="008E7E16">
        <w:rPr>
          <w:i w:val="0"/>
        </w:rPr>
        <w:t xml:space="preserve"> </w:t>
      </w:r>
      <w:r w:rsidR="008E7E16" w:rsidRPr="008E7E16">
        <w:rPr>
          <w:i w:val="0"/>
        </w:rPr>
        <w:t>Standard Industrial Classification (</w:t>
      </w:r>
      <w:r w:rsidR="00EC0759" w:rsidRPr="008E7E16">
        <w:rPr>
          <w:i w:val="0"/>
        </w:rPr>
        <w:t>S</w:t>
      </w:r>
      <w:r w:rsidR="000E2E92" w:rsidRPr="008E7E16">
        <w:rPr>
          <w:i w:val="0"/>
        </w:rPr>
        <w:t>IC</w:t>
      </w:r>
      <w:r w:rsidR="008E7E16" w:rsidRPr="008E7E16">
        <w:rPr>
          <w:i w:val="0"/>
        </w:rPr>
        <w:t>)</w:t>
      </w:r>
      <w:r w:rsidR="00EC0759" w:rsidRPr="008E7E16">
        <w:rPr>
          <w:i w:val="0"/>
        </w:rPr>
        <w:t xml:space="preserve"> C</w:t>
      </w:r>
      <w:r w:rsidR="008E7E16" w:rsidRPr="008E7E16">
        <w:rPr>
          <w:i w:val="0"/>
        </w:rPr>
        <w:t>odes</w:t>
      </w:r>
      <w:bookmarkEnd w:id="21"/>
    </w:p>
    <w:p w:rsidR="00EC0759" w:rsidRDefault="00EC0759" w:rsidP="00EC0759"/>
    <w:p w:rsidR="0086461E" w:rsidRDefault="0086461E" w:rsidP="00EC0759">
      <w:r w:rsidRPr="0086461E">
        <w:t>Respondents to this information collection come from two groups: permitting authorities</w:t>
      </w:r>
      <w:r>
        <w:t xml:space="preserve"> that have been delegated authority to implement the part 71 program by the EPA (i.e., delegate permitting authorities) and</w:t>
      </w:r>
      <w:r w:rsidRPr="0086461E">
        <w:t xml:space="preserve"> sources required to obtain </w:t>
      </w:r>
      <w:r>
        <w:t xml:space="preserve">part 71 </w:t>
      </w:r>
      <w:r w:rsidRPr="0086461E">
        <w:t>operating permits.</w:t>
      </w:r>
    </w:p>
    <w:p w:rsidR="0086461E" w:rsidRDefault="0086461E" w:rsidP="00EC0759"/>
    <w:p w:rsidR="0086461E" w:rsidRDefault="0086461E" w:rsidP="00EC0759">
      <w:r>
        <w:t>There is currently one delegate permitting authority, which is the Navajo Nation Environmental Protection Agency</w:t>
      </w:r>
      <w:r w:rsidR="00030A46">
        <w:t xml:space="preserve"> (NNEPA)</w:t>
      </w:r>
      <w:r>
        <w:t xml:space="preserve">. We do not anticipate any additional agencies </w:t>
      </w:r>
      <w:r w:rsidR="00C8119B">
        <w:t>becoming delegate permitting authorities during the period covered by this ICR renewal.</w:t>
      </w:r>
    </w:p>
    <w:p w:rsidR="0086461E" w:rsidRPr="00BB2522" w:rsidRDefault="0086461E" w:rsidP="00EC0759"/>
    <w:p w:rsidR="00A34DA5" w:rsidRDefault="00C8119B" w:rsidP="000E2E92">
      <w:r w:rsidRPr="00C8119B">
        <w:t>Under title V, all major stationary sources must obtain an operating permit.</w:t>
      </w:r>
      <w:r w:rsidRPr="00C8119B">
        <w:rPr>
          <w:vertAlign w:val="superscript"/>
        </w:rPr>
        <w:footnoteReference w:id="1"/>
      </w:r>
      <w:r w:rsidRPr="00C8119B">
        <w:t xml:space="preserve"> Some non-major sources may also be subject to the program if they are subject to a federal standard such as a New Source Performance Standard (NSPS) pursuant to section 111 of the Act or a National Emissions Standard for Hazardous Air Pollutants (NESHAP) pursuant to section 112 of the Act. Some of these sources have been exempted from the program.</w:t>
      </w:r>
    </w:p>
    <w:p w:rsidR="00A34DA5" w:rsidRDefault="00A34DA5" w:rsidP="000E2E92"/>
    <w:p w:rsidR="000E2E92" w:rsidRDefault="00C8119B" w:rsidP="000E2E92">
      <w:r>
        <w:t>Source r</w:t>
      </w:r>
      <w:r w:rsidR="000E2E92">
        <w:t xml:space="preserve">espondents to this information collection </w:t>
      </w:r>
      <w:r>
        <w:t>are those</w:t>
      </w:r>
      <w:r w:rsidR="000E2E92">
        <w:t xml:space="preserve"> sources</w:t>
      </w:r>
      <w:r w:rsidR="00A34DA5">
        <w:t xml:space="preserve"> subject to title V permitting that are</w:t>
      </w:r>
      <w:r w:rsidR="000E2E92">
        <w:t xml:space="preserve"> located where </w:t>
      </w:r>
      <w:r w:rsidR="004F309F">
        <w:t>the EPA</w:t>
      </w:r>
      <w:r>
        <w:t xml:space="preserve"> or a delegate agency</w:t>
      </w:r>
      <w:r w:rsidR="000E2E92">
        <w:t xml:space="preserve"> is the permitting authority </w:t>
      </w:r>
      <w:r w:rsidR="00CB79C1">
        <w:t>(</w:t>
      </w:r>
      <w:r w:rsidR="00015739">
        <w:t>e.g.</w:t>
      </w:r>
      <w:r w:rsidR="00CB79C1">
        <w:t>, in Indian country, offshore [</w:t>
      </w:r>
      <w:r w:rsidR="000E2E92">
        <w:t>OCS and D</w:t>
      </w:r>
      <w:r w:rsidR="00015739">
        <w:t>WPA</w:t>
      </w:r>
      <w:r w:rsidR="000E2E92">
        <w:t xml:space="preserve"> sources</w:t>
      </w:r>
      <w:r w:rsidR="00CB79C1">
        <w:t>]</w:t>
      </w:r>
      <w:r w:rsidR="000E2E92">
        <w:t>, and where there are unresolved EPA objections to part 70 permits</w:t>
      </w:r>
      <w:r w:rsidR="00CB79C1">
        <w:t>)</w:t>
      </w:r>
      <w:r w:rsidR="000E2E92">
        <w:t xml:space="preserve">. For the purposes of this ICR, the Agency identified the following existing part 71 sources: 130 in Indian country, 6 OCS sources, 6 DWPA sources, and 1 source due to unresolved objection of a part 70 permit. </w:t>
      </w:r>
      <w:r w:rsidR="00CB79C1">
        <w:t>By the end of the period covered by this ICR, t</w:t>
      </w:r>
      <w:r w:rsidR="000E2E92">
        <w:t xml:space="preserve">here may also be up to an additional 6 permits issued due to economic growth in Indian Country, up to 9 additional OCS sources and up to 10 additional DWPA sources subject to permitting under part 71. </w:t>
      </w:r>
      <w:r w:rsidR="004F309F">
        <w:t xml:space="preserve">The </w:t>
      </w:r>
      <w:r w:rsidR="000E2E92">
        <w:t xml:space="preserve">EPA assumes there is one source subject to part 71 because of an EPA objection to part 70 permits (assuming the </w:t>
      </w:r>
      <w:r w:rsidR="00891F8C">
        <w:t>state</w:t>
      </w:r>
      <w:r w:rsidR="000E2E92">
        <w:t xml:space="preserve"> will not adequately resolve the objection). The Regulatory Impact Assessment (RIA) for the GHG Tailoring rule estimated there would be up to 552 new sources nationally due solely to emissions of GHG, and for purposes of this ICR </w:t>
      </w:r>
      <w:r w:rsidR="000E2E92">
        <w:lastRenderedPageBreak/>
        <w:t>renewal, we estimate there will be up to 6 new GHG sources subject to part 71. Thus, this analysis includes a total of 143 sources currently with part 71 permits and an increase of 31 new sources over the ICR period</w:t>
      </w:r>
      <w:r w:rsidR="00CB79C1">
        <w:t>,</w:t>
      </w:r>
      <w:r w:rsidR="000E2E92">
        <w:t xml:space="preserve"> for a permitted total of 174 sources by the end of the ICR period (April 2015).</w:t>
      </w:r>
    </w:p>
    <w:p w:rsidR="000E2E92" w:rsidRDefault="000E2E92" w:rsidP="000E2E92"/>
    <w:p w:rsidR="000E2E92" w:rsidRDefault="000E2E92" w:rsidP="000E2E92">
      <w:r>
        <w:t xml:space="preserve">For this update, </w:t>
      </w:r>
      <w:r w:rsidR="004F309F">
        <w:t>the EPA</w:t>
      </w:r>
      <w:r>
        <w:t xml:space="preserve"> is not assuming that we will take over any entire </w:t>
      </w:r>
      <w:r w:rsidR="00891F8C">
        <w:t>state</w:t>
      </w:r>
      <w:r>
        <w:t xml:space="preserve"> permitting programs due to findings of program deficiencies. All NODs for </w:t>
      </w:r>
      <w:r w:rsidR="00891F8C">
        <w:t>state</w:t>
      </w:r>
      <w:r>
        <w:t xml:space="preserve"> programs have been resolved to </w:t>
      </w:r>
      <w:r w:rsidR="004F309F">
        <w:t>the EPA</w:t>
      </w:r>
      <w:r>
        <w:t xml:space="preserve">’s satisfaction and no part 71 permits were issued in response to such programs deficiencies in the interim. Also, at this time </w:t>
      </w:r>
      <w:r w:rsidR="004F309F">
        <w:t>the EPA</w:t>
      </w:r>
      <w:r>
        <w:t xml:space="preserve"> has no active NODs and we believe it unlikely that we will be issuing any permits for this reason during the period covered by this ICR renewal.</w:t>
      </w:r>
    </w:p>
    <w:p w:rsidR="00AD283B" w:rsidRDefault="00AD283B" w:rsidP="00AD283B"/>
    <w:p w:rsidR="00CB79C1" w:rsidRDefault="00CB79C1" w:rsidP="00AD283B">
      <w:r>
        <w:t>The SIC codes and North American Industrial Classification System (NAICS) codes for the part 71 sources located in Indian country are listed below</w:t>
      </w:r>
      <w:r w:rsidR="00311B39">
        <w:t xml:space="preserve"> in Table 1</w:t>
      </w:r>
      <w:r>
        <w:t>. This list was compiled for the 2007 ICR renewal, but we believe that it remains representative of the types of sources with part 71 permits.</w:t>
      </w:r>
    </w:p>
    <w:p w:rsidR="00B125CF" w:rsidRDefault="00B125CF" w:rsidP="00AD283B"/>
    <w:p w:rsidR="00AD283B" w:rsidRPr="0007719B" w:rsidRDefault="00311B39" w:rsidP="00CB79C1">
      <w:pPr>
        <w:keepNext/>
        <w:jc w:val="center"/>
        <w:rPr>
          <w:b/>
        </w:rPr>
      </w:pPr>
      <w:r>
        <w:rPr>
          <w:b/>
        </w:rPr>
        <w:t xml:space="preserve">Table 1. </w:t>
      </w:r>
      <w:r w:rsidR="00AD283B" w:rsidRPr="0007719B">
        <w:rPr>
          <w:b/>
        </w:rPr>
        <w:t>SIC and NAICS Codes for Part 71 Sources in Indian Country</w:t>
      </w:r>
    </w:p>
    <w:p w:rsidR="00AD283B" w:rsidRPr="0007719B" w:rsidRDefault="00AD283B" w:rsidP="00CB79C1">
      <w:pPr>
        <w:keepNext/>
        <w:jc w:val="center"/>
        <w:rPr>
          <w:b/>
        </w:rPr>
      </w:pPr>
      <w:r w:rsidRPr="0007719B">
        <w:rPr>
          <w:b/>
        </w:rPr>
        <w:t xml:space="preserve">(as of </w:t>
      </w:r>
      <w:r w:rsidR="009C6741">
        <w:rPr>
          <w:b/>
        </w:rPr>
        <w:t>October 30, 2006</w:t>
      </w:r>
      <w:r w:rsidRPr="0007719B">
        <w:rPr>
          <w:b/>
        </w:rPr>
        <w:t>)</w:t>
      </w:r>
    </w:p>
    <w:tbl>
      <w:tblPr>
        <w:tblW w:w="0" w:type="auto"/>
        <w:tblInd w:w="1560" w:type="dxa"/>
        <w:tblLayout w:type="fixed"/>
        <w:tblCellMar>
          <w:left w:w="100" w:type="dxa"/>
          <w:right w:w="100" w:type="dxa"/>
        </w:tblCellMar>
        <w:tblLook w:val="0000"/>
      </w:tblPr>
      <w:tblGrid>
        <w:gridCol w:w="3600"/>
        <w:gridCol w:w="3600"/>
      </w:tblGrid>
      <w:tr w:rsidR="00AD283B" w:rsidRPr="0007719B" w:rsidTr="00CB79C1">
        <w:trPr>
          <w:cantSplit/>
          <w:tblHeader/>
        </w:trPr>
        <w:tc>
          <w:tcPr>
            <w:tcW w:w="3600" w:type="dxa"/>
            <w:tcBorders>
              <w:top w:val="single" w:sz="6" w:space="0" w:color="000000"/>
              <w:left w:val="single" w:sz="6" w:space="0" w:color="000000"/>
              <w:bottom w:val="nil"/>
              <w:right w:val="nil"/>
            </w:tcBorders>
          </w:tcPr>
          <w:p w:rsidR="00AD283B" w:rsidRPr="0007719B" w:rsidRDefault="00AD283B" w:rsidP="00CB79C1">
            <w:pPr>
              <w:keepNext/>
              <w:tabs>
                <w:tab w:val="left" w:pos="1065"/>
                <w:tab w:val="center" w:pos="1700"/>
              </w:tabs>
              <w:jc w:val="center"/>
              <w:rPr>
                <w:b/>
              </w:rPr>
            </w:pPr>
            <w:r w:rsidRPr="0007719B">
              <w:rPr>
                <w:b/>
              </w:rPr>
              <w:t>SIC Code</w:t>
            </w:r>
          </w:p>
        </w:tc>
        <w:tc>
          <w:tcPr>
            <w:tcW w:w="3600" w:type="dxa"/>
            <w:tcBorders>
              <w:top w:val="single" w:sz="6" w:space="0" w:color="000000"/>
              <w:left w:val="single" w:sz="6" w:space="0" w:color="000000"/>
              <w:bottom w:val="nil"/>
              <w:right w:val="single" w:sz="6" w:space="0" w:color="000000"/>
            </w:tcBorders>
          </w:tcPr>
          <w:p w:rsidR="00AD283B" w:rsidRPr="0007719B" w:rsidRDefault="00AD283B" w:rsidP="00CB79C1">
            <w:pPr>
              <w:keepNext/>
              <w:jc w:val="center"/>
              <w:rPr>
                <w:b/>
              </w:rPr>
            </w:pPr>
            <w:r w:rsidRPr="0007719B">
              <w:rPr>
                <w:b/>
              </w:rPr>
              <w:t>NAICS Code</w:t>
            </w:r>
          </w:p>
        </w:tc>
      </w:tr>
      <w:tr w:rsidR="00AD283B" w:rsidRPr="0007719B" w:rsidTr="00CB79C1">
        <w:trPr>
          <w:cantSplit/>
        </w:trPr>
        <w:tc>
          <w:tcPr>
            <w:tcW w:w="3600" w:type="dxa"/>
            <w:tcBorders>
              <w:top w:val="single" w:sz="6" w:space="0" w:color="000000"/>
              <w:left w:val="single" w:sz="6" w:space="0" w:color="000000"/>
              <w:bottom w:val="nil"/>
              <w:right w:val="nil"/>
            </w:tcBorders>
          </w:tcPr>
          <w:p w:rsidR="00AD283B" w:rsidRPr="0007719B" w:rsidRDefault="00AD283B" w:rsidP="00CB79C1">
            <w:pPr>
              <w:keepNext/>
              <w:jc w:val="center"/>
            </w:pPr>
            <w:r w:rsidRPr="0007719B">
              <w:t>1021</w:t>
            </w:r>
          </w:p>
        </w:tc>
        <w:tc>
          <w:tcPr>
            <w:tcW w:w="3600" w:type="dxa"/>
            <w:tcBorders>
              <w:top w:val="single" w:sz="6" w:space="0" w:color="000000"/>
              <w:left w:val="single" w:sz="6" w:space="0" w:color="000000"/>
              <w:bottom w:val="nil"/>
              <w:right w:val="single" w:sz="6" w:space="0" w:color="000000"/>
            </w:tcBorders>
          </w:tcPr>
          <w:p w:rsidR="00AD283B" w:rsidRPr="0007719B" w:rsidRDefault="00AD283B" w:rsidP="00CB79C1">
            <w:pPr>
              <w:keepNext/>
              <w:jc w:val="center"/>
            </w:pPr>
            <w:r w:rsidRPr="0007719B">
              <w:t>212234</w:t>
            </w:r>
          </w:p>
        </w:tc>
      </w:tr>
      <w:tr w:rsidR="00AD283B" w:rsidRPr="0007719B" w:rsidTr="00CB79C1">
        <w:trPr>
          <w:cantSplit/>
        </w:trPr>
        <w:tc>
          <w:tcPr>
            <w:tcW w:w="3600" w:type="dxa"/>
            <w:tcBorders>
              <w:top w:val="single" w:sz="6" w:space="0" w:color="000000"/>
              <w:left w:val="single" w:sz="6" w:space="0" w:color="000000"/>
              <w:bottom w:val="nil"/>
              <w:right w:val="nil"/>
            </w:tcBorders>
          </w:tcPr>
          <w:p w:rsidR="00AD283B" w:rsidRPr="0007719B" w:rsidRDefault="00AD283B" w:rsidP="00CB79C1">
            <w:pPr>
              <w:keepNext/>
              <w:jc w:val="center"/>
            </w:pPr>
            <w:r w:rsidRPr="0007719B">
              <w:t>1221</w:t>
            </w:r>
          </w:p>
        </w:tc>
        <w:tc>
          <w:tcPr>
            <w:tcW w:w="3600" w:type="dxa"/>
            <w:tcBorders>
              <w:top w:val="single" w:sz="6" w:space="0" w:color="000000"/>
              <w:left w:val="single" w:sz="6" w:space="0" w:color="000000"/>
              <w:bottom w:val="nil"/>
              <w:right w:val="single" w:sz="6" w:space="0" w:color="000000"/>
            </w:tcBorders>
          </w:tcPr>
          <w:p w:rsidR="00AD283B" w:rsidRPr="0007719B" w:rsidRDefault="00AD283B" w:rsidP="00CB79C1">
            <w:pPr>
              <w:keepNext/>
              <w:jc w:val="center"/>
            </w:pPr>
            <w:r w:rsidRPr="0007719B">
              <w:t>212111</w:t>
            </w:r>
          </w:p>
        </w:tc>
      </w:tr>
      <w:tr w:rsidR="00AD283B" w:rsidRPr="0007719B" w:rsidTr="00CB79C1">
        <w:trPr>
          <w:cantSplit/>
        </w:trPr>
        <w:tc>
          <w:tcPr>
            <w:tcW w:w="3600" w:type="dxa"/>
            <w:tcBorders>
              <w:top w:val="single" w:sz="6" w:space="0" w:color="000000"/>
              <w:left w:val="single" w:sz="6" w:space="0" w:color="000000"/>
              <w:bottom w:val="nil"/>
              <w:right w:val="nil"/>
            </w:tcBorders>
          </w:tcPr>
          <w:p w:rsidR="00AD283B" w:rsidRPr="0007719B" w:rsidRDefault="00AD283B" w:rsidP="00CB79C1">
            <w:pPr>
              <w:keepNext/>
              <w:jc w:val="center"/>
            </w:pPr>
            <w:r w:rsidRPr="0007719B">
              <w:t>1311</w:t>
            </w:r>
          </w:p>
        </w:tc>
        <w:tc>
          <w:tcPr>
            <w:tcW w:w="3600" w:type="dxa"/>
            <w:tcBorders>
              <w:top w:val="single" w:sz="6" w:space="0" w:color="000000"/>
              <w:left w:val="single" w:sz="6" w:space="0" w:color="000000"/>
              <w:bottom w:val="nil"/>
              <w:right w:val="single" w:sz="6" w:space="0" w:color="000000"/>
            </w:tcBorders>
          </w:tcPr>
          <w:p w:rsidR="00AD283B" w:rsidRPr="0007719B" w:rsidRDefault="00AD283B" w:rsidP="00CB79C1">
            <w:pPr>
              <w:keepNext/>
              <w:jc w:val="center"/>
            </w:pPr>
            <w:r w:rsidRPr="0007719B">
              <w:t>211111</w:t>
            </w:r>
          </w:p>
        </w:tc>
      </w:tr>
      <w:tr w:rsidR="00AD283B" w:rsidRPr="0007719B" w:rsidTr="00CB79C1">
        <w:trPr>
          <w:cantSplit/>
        </w:trPr>
        <w:tc>
          <w:tcPr>
            <w:tcW w:w="3600" w:type="dxa"/>
            <w:tcBorders>
              <w:top w:val="single" w:sz="6" w:space="0" w:color="000000"/>
              <w:left w:val="single" w:sz="6" w:space="0" w:color="000000"/>
              <w:bottom w:val="nil"/>
              <w:right w:val="nil"/>
            </w:tcBorders>
          </w:tcPr>
          <w:p w:rsidR="00AD283B" w:rsidRPr="0007719B" w:rsidRDefault="00AD283B" w:rsidP="00CB79C1">
            <w:pPr>
              <w:keepNext/>
              <w:jc w:val="center"/>
            </w:pPr>
            <w:r w:rsidRPr="0007719B">
              <w:t>1321</w:t>
            </w:r>
          </w:p>
        </w:tc>
        <w:tc>
          <w:tcPr>
            <w:tcW w:w="3600" w:type="dxa"/>
            <w:tcBorders>
              <w:top w:val="single" w:sz="6" w:space="0" w:color="000000"/>
              <w:left w:val="single" w:sz="6" w:space="0" w:color="000000"/>
              <w:bottom w:val="nil"/>
              <w:right w:val="single" w:sz="6" w:space="0" w:color="000000"/>
            </w:tcBorders>
          </w:tcPr>
          <w:p w:rsidR="00AD283B" w:rsidRPr="0007719B" w:rsidRDefault="00AD283B" w:rsidP="00CB79C1">
            <w:pPr>
              <w:keepNext/>
              <w:jc w:val="center"/>
            </w:pPr>
            <w:r w:rsidRPr="0007719B">
              <w:t>211112</w:t>
            </w:r>
          </w:p>
        </w:tc>
      </w:tr>
      <w:tr w:rsidR="00AD283B" w:rsidRPr="0007719B" w:rsidTr="00CB79C1">
        <w:trPr>
          <w:cantSplit/>
        </w:trPr>
        <w:tc>
          <w:tcPr>
            <w:tcW w:w="3600" w:type="dxa"/>
            <w:tcBorders>
              <w:top w:val="single" w:sz="6" w:space="0" w:color="000000"/>
              <w:left w:val="single" w:sz="6" w:space="0" w:color="000000"/>
              <w:bottom w:val="single" w:sz="6" w:space="0" w:color="000000"/>
              <w:right w:val="nil"/>
            </w:tcBorders>
          </w:tcPr>
          <w:p w:rsidR="00AD283B" w:rsidRPr="0007719B" w:rsidRDefault="00AD283B" w:rsidP="00CB79C1">
            <w:pPr>
              <w:keepNext/>
              <w:jc w:val="center"/>
            </w:pPr>
            <w:r w:rsidRPr="0007719B">
              <w:t>1389</w:t>
            </w:r>
          </w:p>
        </w:tc>
        <w:tc>
          <w:tcPr>
            <w:tcW w:w="3600" w:type="dxa"/>
            <w:tcBorders>
              <w:top w:val="single" w:sz="6" w:space="0" w:color="000000"/>
              <w:left w:val="single" w:sz="6" w:space="0" w:color="000000"/>
              <w:bottom w:val="single" w:sz="6" w:space="0" w:color="000000"/>
              <w:right w:val="single" w:sz="6" w:space="0" w:color="000000"/>
            </w:tcBorders>
          </w:tcPr>
          <w:p w:rsidR="00AD283B" w:rsidRPr="0007719B" w:rsidRDefault="00AD283B" w:rsidP="00CB79C1">
            <w:pPr>
              <w:keepNext/>
              <w:jc w:val="center"/>
            </w:pPr>
            <w:r w:rsidRPr="0007719B">
              <w:t>213112</w:t>
            </w:r>
          </w:p>
        </w:tc>
      </w:tr>
      <w:tr w:rsidR="00AD283B" w:rsidRPr="0007719B" w:rsidTr="00CB79C1">
        <w:trPr>
          <w:cantSplit/>
        </w:trPr>
        <w:tc>
          <w:tcPr>
            <w:tcW w:w="3600" w:type="dxa"/>
            <w:tcBorders>
              <w:top w:val="single" w:sz="6" w:space="0" w:color="000000"/>
              <w:left w:val="single" w:sz="6" w:space="0" w:color="000000"/>
              <w:bottom w:val="single" w:sz="6" w:space="0" w:color="000000"/>
              <w:right w:val="nil"/>
            </w:tcBorders>
          </w:tcPr>
          <w:p w:rsidR="00AD283B" w:rsidRPr="0007719B" w:rsidRDefault="00AD283B" w:rsidP="00CB79C1">
            <w:pPr>
              <w:keepNext/>
              <w:jc w:val="center"/>
            </w:pPr>
            <w:r w:rsidRPr="0007719B">
              <w:t>2421</w:t>
            </w:r>
          </w:p>
        </w:tc>
        <w:tc>
          <w:tcPr>
            <w:tcW w:w="3600" w:type="dxa"/>
            <w:tcBorders>
              <w:top w:val="single" w:sz="6" w:space="0" w:color="000000"/>
              <w:left w:val="single" w:sz="6" w:space="0" w:color="000000"/>
              <w:bottom w:val="single" w:sz="6" w:space="0" w:color="000000"/>
              <w:right w:val="single" w:sz="6" w:space="0" w:color="000000"/>
            </w:tcBorders>
          </w:tcPr>
          <w:p w:rsidR="00AD283B" w:rsidRPr="0007719B" w:rsidRDefault="00AD283B" w:rsidP="00CB79C1">
            <w:pPr>
              <w:keepNext/>
              <w:jc w:val="center"/>
            </w:pPr>
            <w:r w:rsidRPr="0007719B">
              <w:t>321</w:t>
            </w:r>
          </w:p>
        </w:tc>
      </w:tr>
      <w:tr w:rsidR="00AD283B" w:rsidRPr="0007719B" w:rsidTr="00CB79C1">
        <w:trPr>
          <w:cantSplit/>
        </w:trPr>
        <w:tc>
          <w:tcPr>
            <w:tcW w:w="3600" w:type="dxa"/>
            <w:tcBorders>
              <w:top w:val="single" w:sz="6" w:space="0" w:color="000000"/>
              <w:left w:val="single" w:sz="6" w:space="0" w:color="000000"/>
              <w:bottom w:val="single" w:sz="6" w:space="0" w:color="000000"/>
              <w:right w:val="nil"/>
            </w:tcBorders>
          </w:tcPr>
          <w:p w:rsidR="00AD283B" w:rsidRPr="0007719B" w:rsidRDefault="00AD283B" w:rsidP="00CB79C1">
            <w:pPr>
              <w:keepNext/>
              <w:jc w:val="center"/>
            </w:pPr>
            <w:r w:rsidRPr="0007719B">
              <w:t>2431</w:t>
            </w:r>
          </w:p>
        </w:tc>
        <w:tc>
          <w:tcPr>
            <w:tcW w:w="3600" w:type="dxa"/>
            <w:tcBorders>
              <w:top w:val="single" w:sz="6" w:space="0" w:color="000000"/>
              <w:left w:val="single" w:sz="6" w:space="0" w:color="000000"/>
              <w:bottom w:val="single" w:sz="6" w:space="0" w:color="000000"/>
              <w:right w:val="single" w:sz="6" w:space="0" w:color="000000"/>
            </w:tcBorders>
          </w:tcPr>
          <w:p w:rsidR="00AD283B" w:rsidRPr="0007719B" w:rsidRDefault="00AD283B" w:rsidP="00CB79C1">
            <w:pPr>
              <w:keepNext/>
              <w:jc w:val="center"/>
            </w:pPr>
            <w:r w:rsidRPr="0007719B">
              <w:t>32191</w:t>
            </w:r>
          </w:p>
        </w:tc>
      </w:tr>
      <w:tr w:rsidR="00AD283B" w:rsidRPr="0007719B" w:rsidTr="00CB79C1">
        <w:trPr>
          <w:cantSplit/>
        </w:trPr>
        <w:tc>
          <w:tcPr>
            <w:tcW w:w="3600" w:type="dxa"/>
            <w:tcBorders>
              <w:top w:val="single" w:sz="6" w:space="0" w:color="000000"/>
              <w:left w:val="single" w:sz="6" w:space="0" w:color="000000"/>
              <w:bottom w:val="nil"/>
              <w:right w:val="nil"/>
            </w:tcBorders>
          </w:tcPr>
          <w:p w:rsidR="00AD283B" w:rsidRPr="0007719B" w:rsidRDefault="00AD283B" w:rsidP="00CB79C1">
            <w:pPr>
              <w:keepNext/>
              <w:jc w:val="center"/>
            </w:pPr>
            <w:r w:rsidRPr="0007719B">
              <w:t>2436</w:t>
            </w:r>
          </w:p>
        </w:tc>
        <w:tc>
          <w:tcPr>
            <w:tcW w:w="3600" w:type="dxa"/>
            <w:tcBorders>
              <w:top w:val="single" w:sz="6" w:space="0" w:color="000000"/>
              <w:left w:val="single" w:sz="6" w:space="0" w:color="000000"/>
              <w:bottom w:val="nil"/>
              <w:right w:val="single" w:sz="6" w:space="0" w:color="000000"/>
            </w:tcBorders>
          </w:tcPr>
          <w:p w:rsidR="00AD283B" w:rsidRPr="0007719B" w:rsidRDefault="00AD283B" w:rsidP="00CB79C1">
            <w:pPr>
              <w:keepNext/>
              <w:jc w:val="center"/>
            </w:pPr>
            <w:r w:rsidRPr="0007719B">
              <w:t>321212</w:t>
            </w:r>
          </w:p>
        </w:tc>
      </w:tr>
      <w:tr w:rsidR="00AD283B" w:rsidRPr="0007719B" w:rsidTr="00CB79C1">
        <w:trPr>
          <w:cantSplit/>
        </w:trPr>
        <w:tc>
          <w:tcPr>
            <w:tcW w:w="3600" w:type="dxa"/>
            <w:tcBorders>
              <w:top w:val="single" w:sz="6" w:space="0" w:color="000000"/>
              <w:left w:val="single" w:sz="6" w:space="0" w:color="000000"/>
              <w:bottom w:val="nil"/>
              <w:right w:val="nil"/>
            </w:tcBorders>
          </w:tcPr>
          <w:p w:rsidR="00AD283B" w:rsidRPr="0007719B" w:rsidRDefault="00AD283B" w:rsidP="00CB79C1">
            <w:pPr>
              <w:keepNext/>
              <w:jc w:val="center"/>
            </w:pPr>
            <w:r w:rsidRPr="0007719B">
              <w:t>2493</w:t>
            </w:r>
          </w:p>
        </w:tc>
        <w:tc>
          <w:tcPr>
            <w:tcW w:w="3600" w:type="dxa"/>
            <w:tcBorders>
              <w:top w:val="single" w:sz="6" w:space="0" w:color="000000"/>
              <w:left w:val="single" w:sz="6" w:space="0" w:color="000000"/>
              <w:bottom w:val="nil"/>
              <w:right w:val="single" w:sz="6" w:space="0" w:color="000000"/>
            </w:tcBorders>
          </w:tcPr>
          <w:p w:rsidR="00AD283B" w:rsidRPr="0007719B" w:rsidRDefault="00AD283B" w:rsidP="00CB79C1">
            <w:pPr>
              <w:keepNext/>
              <w:jc w:val="center"/>
            </w:pPr>
            <w:r w:rsidRPr="0007719B">
              <w:t>321219</w:t>
            </w:r>
          </w:p>
        </w:tc>
      </w:tr>
      <w:tr w:rsidR="00AD283B" w:rsidRPr="0007719B" w:rsidTr="00CB79C1">
        <w:trPr>
          <w:cantSplit/>
        </w:trPr>
        <w:tc>
          <w:tcPr>
            <w:tcW w:w="3600" w:type="dxa"/>
            <w:tcBorders>
              <w:top w:val="single" w:sz="6" w:space="0" w:color="000000"/>
              <w:left w:val="single" w:sz="6" w:space="0" w:color="000000"/>
              <w:bottom w:val="nil"/>
              <w:right w:val="nil"/>
            </w:tcBorders>
          </w:tcPr>
          <w:p w:rsidR="00AD283B" w:rsidRPr="0007719B" w:rsidRDefault="00AD283B" w:rsidP="00CB79C1">
            <w:pPr>
              <w:keepNext/>
              <w:jc w:val="center"/>
            </w:pPr>
            <w:r w:rsidRPr="0007719B">
              <w:t>2819</w:t>
            </w:r>
          </w:p>
        </w:tc>
        <w:tc>
          <w:tcPr>
            <w:tcW w:w="3600" w:type="dxa"/>
            <w:tcBorders>
              <w:top w:val="single" w:sz="6" w:space="0" w:color="000000"/>
              <w:left w:val="single" w:sz="6" w:space="0" w:color="000000"/>
              <w:bottom w:val="nil"/>
              <w:right w:val="single" w:sz="6" w:space="0" w:color="000000"/>
            </w:tcBorders>
          </w:tcPr>
          <w:p w:rsidR="00AD283B" w:rsidRPr="0007719B" w:rsidRDefault="00AD283B" w:rsidP="00CB79C1">
            <w:pPr>
              <w:keepNext/>
              <w:jc w:val="center"/>
            </w:pPr>
            <w:r w:rsidRPr="0007719B">
              <w:t>325</w:t>
            </w:r>
          </w:p>
        </w:tc>
      </w:tr>
      <w:tr w:rsidR="00AD283B" w:rsidRPr="0007719B" w:rsidTr="00CB79C1">
        <w:trPr>
          <w:cantSplit/>
        </w:trPr>
        <w:tc>
          <w:tcPr>
            <w:tcW w:w="3600" w:type="dxa"/>
            <w:tcBorders>
              <w:top w:val="single" w:sz="6" w:space="0" w:color="000000"/>
              <w:left w:val="single" w:sz="6" w:space="0" w:color="000000"/>
              <w:bottom w:val="nil"/>
              <w:right w:val="nil"/>
            </w:tcBorders>
          </w:tcPr>
          <w:p w:rsidR="00AD283B" w:rsidRPr="0007719B" w:rsidRDefault="00AD283B" w:rsidP="00CB79C1">
            <w:pPr>
              <w:keepNext/>
              <w:jc w:val="center"/>
            </w:pPr>
            <w:r w:rsidRPr="0007719B">
              <w:t>2842</w:t>
            </w:r>
          </w:p>
        </w:tc>
        <w:tc>
          <w:tcPr>
            <w:tcW w:w="3600" w:type="dxa"/>
            <w:tcBorders>
              <w:top w:val="single" w:sz="6" w:space="0" w:color="000000"/>
              <w:left w:val="single" w:sz="6" w:space="0" w:color="000000"/>
              <w:bottom w:val="nil"/>
              <w:right w:val="single" w:sz="6" w:space="0" w:color="000000"/>
            </w:tcBorders>
          </w:tcPr>
          <w:p w:rsidR="00AD283B" w:rsidRPr="0007719B" w:rsidRDefault="00AD283B" w:rsidP="00CB79C1">
            <w:pPr>
              <w:keepNext/>
              <w:jc w:val="center"/>
            </w:pPr>
            <w:r w:rsidRPr="0007719B">
              <w:t>325612</w:t>
            </w:r>
          </w:p>
        </w:tc>
      </w:tr>
      <w:tr w:rsidR="00AD283B" w:rsidRPr="0007719B" w:rsidTr="00CB79C1">
        <w:trPr>
          <w:cantSplit/>
        </w:trPr>
        <w:tc>
          <w:tcPr>
            <w:tcW w:w="3600" w:type="dxa"/>
            <w:tcBorders>
              <w:top w:val="single" w:sz="6" w:space="0" w:color="000000"/>
              <w:left w:val="single" w:sz="6" w:space="0" w:color="000000"/>
              <w:bottom w:val="nil"/>
              <w:right w:val="nil"/>
            </w:tcBorders>
          </w:tcPr>
          <w:p w:rsidR="00AD283B" w:rsidRPr="0007719B" w:rsidRDefault="00AD283B" w:rsidP="00CB79C1">
            <w:pPr>
              <w:keepNext/>
              <w:jc w:val="center"/>
            </w:pPr>
            <w:r w:rsidRPr="0007719B">
              <w:t>2875</w:t>
            </w:r>
          </w:p>
        </w:tc>
        <w:tc>
          <w:tcPr>
            <w:tcW w:w="3600" w:type="dxa"/>
            <w:tcBorders>
              <w:top w:val="single" w:sz="6" w:space="0" w:color="000000"/>
              <w:left w:val="single" w:sz="6" w:space="0" w:color="000000"/>
              <w:bottom w:val="nil"/>
              <w:right w:val="single" w:sz="6" w:space="0" w:color="000000"/>
            </w:tcBorders>
          </w:tcPr>
          <w:p w:rsidR="00AD283B" w:rsidRPr="0007719B" w:rsidRDefault="00AD283B" w:rsidP="00CB79C1">
            <w:pPr>
              <w:keepNext/>
              <w:jc w:val="center"/>
            </w:pPr>
            <w:r w:rsidRPr="0007719B">
              <w:t>325314</w:t>
            </w:r>
          </w:p>
        </w:tc>
      </w:tr>
      <w:tr w:rsidR="00AD283B" w:rsidRPr="0007719B" w:rsidTr="00CB79C1">
        <w:trPr>
          <w:cantSplit/>
        </w:trPr>
        <w:tc>
          <w:tcPr>
            <w:tcW w:w="3600" w:type="dxa"/>
            <w:tcBorders>
              <w:top w:val="single" w:sz="6" w:space="0" w:color="000000"/>
              <w:left w:val="single" w:sz="6" w:space="0" w:color="000000"/>
              <w:bottom w:val="nil"/>
              <w:right w:val="nil"/>
            </w:tcBorders>
          </w:tcPr>
          <w:p w:rsidR="00AD283B" w:rsidRPr="0007719B" w:rsidRDefault="00AD283B" w:rsidP="00CB79C1">
            <w:pPr>
              <w:keepNext/>
              <w:jc w:val="center"/>
            </w:pPr>
            <w:r w:rsidRPr="0007719B">
              <w:t>2879</w:t>
            </w:r>
          </w:p>
        </w:tc>
        <w:tc>
          <w:tcPr>
            <w:tcW w:w="3600" w:type="dxa"/>
            <w:tcBorders>
              <w:top w:val="single" w:sz="6" w:space="0" w:color="000000"/>
              <w:left w:val="single" w:sz="6" w:space="0" w:color="000000"/>
              <w:bottom w:val="nil"/>
              <w:right w:val="single" w:sz="6" w:space="0" w:color="000000"/>
            </w:tcBorders>
          </w:tcPr>
          <w:p w:rsidR="00AD283B" w:rsidRPr="0007719B" w:rsidRDefault="00AD283B" w:rsidP="00CB79C1">
            <w:pPr>
              <w:keepNext/>
              <w:jc w:val="center"/>
            </w:pPr>
            <w:r w:rsidRPr="0007719B">
              <w:t>32532</w:t>
            </w:r>
          </w:p>
        </w:tc>
      </w:tr>
      <w:tr w:rsidR="00AD283B" w:rsidRPr="0007719B" w:rsidTr="00CB79C1">
        <w:trPr>
          <w:cantSplit/>
        </w:trPr>
        <w:tc>
          <w:tcPr>
            <w:tcW w:w="3600" w:type="dxa"/>
            <w:tcBorders>
              <w:top w:val="single" w:sz="6" w:space="0" w:color="000000"/>
              <w:left w:val="single" w:sz="6" w:space="0" w:color="000000"/>
              <w:bottom w:val="nil"/>
              <w:right w:val="nil"/>
            </w:tcBorders>
          </w:tcPr>
          <w:p w:rsidR="00AD283B" w:rsidRPr="0007719B" w:rsidRDefault="00AD283B" w:rsidP="00CB79C1">
            <w:pPr>
              <w:keepNext/>
              <w:jc w:val="center"/>
            </w:pPr>
            <w:r w:rsidRPr="0007719B">
              <w:t>2899</w:t>
            </w:r>
          </w:p>
        </w:tc>
        <w:tc>
          <w:tcPr>
            <w:tcW w:w="3600" w:type="dxa"/>
            <w:tcBorders>
              <w:top w:val="single" w:sz="6" w:space="0" w:color="000000"/>
              <w:left w:val="single" w:sz="6" w:space="0" w:color="000000"/>
              <w:bottom w:val="nil"/>
              <w:right w:val="single" w:sz="6" w:space="0" w:color="000000"/>
            </w:tcBorders>
          </w:tcPr>
          <w:p w:rsidR="00AD283B" w:rsidRPr="0007719B" w:rsidRDefault="00AD283B" w:rsidP="00CB79C1">
            <w:pPr>
              <w:keepNext/>
              <w:jc w:val="center"/>
            </w:pPr>
            <w:r w:rsidRPr="0007719B">
              <w:t>325</w:t>
            </w:r>
          </w:p>
        </w:tc>
      </w:tr>
      <w:tr w:rsidR="00AD283B" w:rsidRPr="0007719B" w:rsidTr="00CB79C1">
        <w:trPr>
          <w:cantSplit/>
        </w:trPr>
        <w:tc>
          <w:tcPr>
            <w:tcW w:w="3600" w:type="dxa"/>
            <w:tcBorders>
              <w:top w:val="single" w:sz="6" w:space="0" w:color="000000"/>
              <w:left w:val="single" w:sz="6" w:space="0" w:color="000000"/>
              <w:bottom w:val="nil"/>
              <w:right w:val="nil"/>
            </w:tcBorders>
          </w:tcPr>
          <w:p w:rsidR="00AD283B" w:rsidRPr="0007719B" w:rsidRDefault="00AD283B" w:rsidP="00CB79C1">
            <w:pPr>
              <w:keepNext/>
              <w:jc w:val="center"/>
            </w:pPr>
            <w:r w:rsidRPr="0007719B">
              <w:t>3341</w:t>
            </w:r>
          </w:p>
        </w:tc>
        <w:tc>
          <w:tcPr>
            <w:tcW w:w="3600" w:type="dxa"/>
            <w:tcBorders>
              <w:top w:val="single" w:sz="6" w:space="0" w:color="000000"/>
              <w:left w:val="single" w:sz="6" w:space="0" w:color="000000"/>
              <w:bottom w:val="nil"/>
              <w:right w:val="single" w:sz="6" w:space="0" w:color="000000"/>
            </w:tcBorders>
          </w:tcPr>
          <w:p w:rsidR="00AD283B" w:rsidRPr="0007719B" w:rsidRDefault="00AD283B" w:rsidP="00CB79C1">
            <w:pPr>
              <w:keepNext/>
              <w:jc w:val="center"/>
            </w:pPr>
            <w:r w:rsidRPr="0007719B">
              <w:t>331</w:t>
            </w:r>
          </w:p>
        </w:tc>
      </w:tr>
      <w:tr w:rsidR="00AD283B" w:rsidRPr="0007719B" w:rsidTr="00CB79C1">
        <w:trPr>
          <w:cantSplit/>
        </w:trPr>
        <w:tc>
          <w:tcPr>
            <w:tcW w:w="3600" w:type="dxa"/>
            <w:tcBorders>
              <w:top w:val="single" w:sz="6" w:space="0" w:color="000000"/>
              <w:left w:val="single" w:sz="6" w:space="0" w:color="000000"/>
              <w:bottom w:val="nil"/>
              <w:right w:val="nil"/>
            </w:tcBorders>
          </w:tcPr>
          <w:p w:rsidR="00AD283B" w:rsidRPr="0007719B" w:rsidRDefault="00AD283B" w:rsidP="00CB79C1">
            <w:pPr>
              <w:keepNext/>
              <w:jc w:val="center"/>
            </w:pPr>
            <w:r w:rsidRPr="0007719B">
              <w:t>3354</w:t>
            </w:r>
          </w:p>
        </w:tc>
        <w:tc>
          <w:tcPr>
            <w:tcW w:w="3600" w:type="dxa"/>
            <w:tcBorders>
              <w:top w:val="single" w:sz="6" w:space="0" w:color="000000"/>
              <w:left w:val="single" w:sz="6" w:space="0" w:color="000000"/>
              <w:bottom w:val="nil"/>
              <w:right w:val="single" w:sz="6" w:space="0" w:color="000000"/>
            </w:tcBorders>
          </w:tcPr>
          <w:p w:rsidR="00AD283B" w:rsidRPr="0007719B" w:rsidRDefault="00AD283B" w:rsidP="00CB79C1">
            <w:pPr>
              <w:keepNext/>
              <w:jc w:val="center"/>
            </w:pPr>
            <w:r w:rsidRPr="0007719B">
              <w:t>331316</w:t>
            </w:r>
          </w:p>
        </w:tc>
      </w:tr>
      <w:tr w:rsidR="00AD283B" w:rsidRPr="0007719B" w:rsidTr="00CB79C1">
        <w:trPr>
          <w:cantSplit/>
        </w:trPr>
        <w:tc>
          <w:tcPr>
            <w:tcW w:w="3600" w:type="dxa"/>
            <w:tcBorders>
              <w:top w:val="single" w:sz="6" w:space="0" w:color="000000"/>
              <w:left w:val="single" w:sz="6" w:space="0" w:color="000000"/>
              <w:bottom w:val="nil"/>
              <w:right w:val="nil"/>
            </w:tcBorders>
          </w:tcPr>
          <w:p w:rsidR="00AD283B" w:rsidRPr="0007719B" w:rsidRDefault="00AD283B" w:rsidP="00CB79C1">
            <w:pPr>
              <w:keepNext/>
              <w:jc w:val="center"/>
            </w:pPr>
            <w:r w:rsidRPr="0007719B">
              <w:t>4911</w:t>
            </w:r>
          </w:p>
        </w:tc>
        <w:tc>
          <w:tcPr>
            <w:tcW w:w="3600" w:type="dxa"/>
            <w:tcBorders>
              <w:top w:val="single" w:sz="6" w:space="0" w:color="000000"/>
              <w:left w:val="single" w:sz="6" w:space="0" w:color="000000"/>
              <w:bottom w:val="nil"/>
              <w:right w:val="single" w:sz="6" w:space="0" w:color="000000"/>
            </w:tcBorders>
          </w:tcPr>
          <w:p w:rsidR="00AD283B" w:rsidRPr="0007719B" w:rsidRDefault="00AD283B" w:rsidP="00CB79C1">
            <w:pPr>
              <w:keepNext/>
              <w:jc w:val="center"/>
            </w:pPr>
            <w:r w:rsidRPr="0007719B">
              <w:t>2211</w:t>
            </w:r>
          </w:p>
        </w:tc>
      </w:tr>
      <w:tr w:rsidR="00AD283B" w:rsidRPr="0007719B" w:rsidTr="00CB79C1">
        <w:trPr>
          <w:cantSplit/>
        </w:trPr>
        <w:tc>
          <w:tcPr>
            <w:tcW w:w="3600" w:type="dxa"/>
            <w:tcBorders>
              <w:top w:val="single" w:sz="6" w:space="0" w:color="000000"/>
              <w:left w:val="single" w:sz="6" w:space="0" w:color="000000"/>
              <w:bottom w:val="nil"/>
              <w:right w:val="nil"/>
            </w:tcBorders>
          </w:tcPr>
          <w:p w:rsidR="00AD283B" w:rsidRPr="0007719B" w:rsidRDefault="00AD283B" w:rsidP="00CB79C1">
            <w:pPr>
              <w:keepNext/>
              <w:jc w:val="center"/>
            </w:pPr>
            <w:r w:rsidRPr="0007719B">
              <w:t>4922</w:t>
            </w:r>
          </w:p>
        </w:tc>
        <w:tc>
          <w:tcPr>
            <w:tcW w:w="3600" w:type="dxa"/>
            <w:tcBorders>
              <w:top w:val="single" w:sz="6" w:space="0" w:color="000000"/>
              <w:left w:val="single" w:sz="6" w:space="0" w:color="000000"/>
              <w:bottom w:val="nil"/>
              <w:right w:val="single" w:sz="6" w:space="0" w:color="000000"/>
            </w:tcBorders>
          </w:tcPr>
          <w:p w:rsidR="00AD283B" w:rsidRPr="0007719B" w:rsidRDefault="00AD283B" w:rsidP="00CB79C1">
            <w:pPr>
              <w:keepNext/>
              <w:jc w:val="center"/>
            </w:pPr>
            <w:r w:rsidRPr="0007719B">
              <w:t>48621</w:t>
            </w:r>
          </w:p>
        </w:tc>
      </w:tr>
      <w:tr w:rsidR="00AD283B" w:rsidRPr="0007719B" w:rsidTr="00CB79C1">
        <w:trPr>
          <w:cantSplit/>
        </w:trPr>
        <w:tc>
          <w:tcPr>
            <w:tcW w:w="3600" w:type="dxa"/>
            <w:tcBorders>
              <w:top w:val="single" w:sz="6" w:space="0" w:color="000000"/>
              <w:left w:val="single" w:sz="6" w:space="0" w:color="000000"/>
              <w:bottom w:val="nil"/>
              <w:right w:val="nil"/>
            </w:tcBorders>
          </w:tcPr>
          <w:p w:rsidR="00AD283B" w:rsidRPr="0007719B" w:rsidRDefault="00AD283B" w:rsidP="00CB79C1">
            <w:pPr>
              <w:keepNext/>
              <w:jc w:val="center"/>
            </w:pPr>
            <w:r w:rsidRPr="0007719B">
              <w:t>4925</w:t>
            </w:r>
          </w:p>
        </w:tc>
        <w:tc>
          <w:tcPr>
            <w:tcW w:w="3600" w:type="dxa"/>
            <w:tcBorders>
              <w:top w:val="single" w:sz="6" w:space="0" w:color="000000"/>
              <w:left w:val="single" w:sz="6" w:space="0" w:color="000000"/>
              <w:bottom w:val="nil"/>
              <w:right w:val="single" w:sz="6" w:space="0" w:color="000000"/>
            </w:tcBorders>
          </w:tcPr>
          <w:p w:rsidR="00AD283B" w:rsidRPr="0007719B" w:rsidRDefault="00AD283B" w:rsidP="00CB79C1">
            <w:pPr>
              <w:keepNext/>
              <w:jc w:val="center"/>
            </w:pPr>
            <w:r w:rsidRPr="0007719B">
              <w:t>22121</w:t>
            </w:r>
          </w:p>
        </w:tc>
      </w:tr>
      <w:tr w:rsidR="00AD283B" w:rsidRPr="0007719B" w:rsidTr="00CB79C1">
        <w:trPr>
          <w:cantSplit/>
        </w:trPr>
        <w:tc>
          <w:tcPr>
            <w:tcW w:w="3600" w:type="dxa"/>
            <w:tcBorders>
              <w:top w:val="single" w:sz="6" w:space="0" w:color="000000"/>
              <w:left w:val="single" w:sz="6" w:space="0" w:color="000000"/>
              <w:bottom w:val="nil"/>
              <w:right w:val="nil"/>
            </w:tcBorders>
          </w:tcPr>
          <w:p w:rsidR="00AD283B" w:rsidRPr="0007719B" w:rsidRDefault="00AD283B" w:rsidP="00CB79C1">
            <w:pPr>
              <w:keepNext/>
              <w:jc w:val="center"/>
            </w:pPr>
            <w:r w:rsidRPr="0007719B">
              <w:t>4953</w:t>
            </w:r>
          </w:p>
        </w:tc>
        <w:tc>
          <w:tcPr>
            <w:tcW w:w="3600" w:type="dxa"/>
            <w:tcBorders>
              <w:top w:val="single" w:sz="6" w:space="0" w:color="000000"/>
              <w:left w:val="single" w:sz="6" w:space="0" w:color="000000"/>
              <w:bottom w:val="nil"/>
              <w:right w:val="single" w:sz="6" w:space="0" w:color="000000"/>
            </w:tcBorders>
          </w:tcPr>
          <w:p w:rsidR="00AD283B" w:rsidRPr="0007719B" w:rsidRDefault="00AD283B" w:rsidP="00CB79C1">
            <w:pPr>
              <w:keepNext/>
              <w:jc w:val="center"/>
            </w:pPr>
            <w:r w:rsidRPr="0007719B">
              <w:t>562</w:t>
            </w:r>
          </w:p>
        </w:tc>
      </w:tr>
      <w:tr w:rsidR="00AD283B" w:rsidRPr="0007719B" w:rsidTr="00CB79C1">
        <w:trPr>
          <w:cantSplit/>
        </w:trPr>
        <w:tc>
          <w:tcPr>
            <w:tcW w:w="3600" w:type="dxa"/>
            <w:tcBorders>
              <w:top w:val="single" w:sz="6" w:space="0" w:color="000000"/>
              <w:left w:val="single" w:sz="6" w:space="0" w:color="000000"/>
              <w:bottom w:val="single" w:sz="6" w:space="0" w:color="000000"/>
              <w:right w:val="nil"/>
            </w:tcBorders>
          </w:tcPr>
          <w:p w:rsidR="00AD283B" w:rsidRPr="0007719B" w:rsidRDefault="00AD283B" w:rsidP="00CB79C1">
            <w:pPr>
              <w:keepNext/>
              <w:jc w:val="center"/>
            </w:pPr>
            <w:r w:rsidRPr="0007719B">
              <w:t>4961</w:t>
            </w:r>
          </w:p>
        </w:tc>
        <w:tc>
          <w:tcPr>
            <w:tcW w:w="3600" w:type="dxa"/>
            <w:tcBorders>
              <w:top w:val="single" w:sz="6" w:space="0" w:color="000000"/>
              <w:left w:val="single" w:sz="6" w:space="0" w:color="000000"/>
              <w:bottom w:val="single" w:sz="6" w:space="0" w:color="000000"/>
              <w:right w:val="single" w:sz="6" w:space="0" w:color="000000"/>
            </w:tcBorders>
          </w:tcPr>
          <w:p w:rsidR="00AD283B" w:rsidRPr="0007719B" w:rsidRDefault="00AD283B" w:rsidP="00CB79C1">
            <w:pPr>
              <w:keepNext/>
              <w:jc w:val="center"/>
            </w:pPr>
            <w:r w:rsidRPr="0007719B">
              <w:t>22133</w:t>
            </w:r>
          </w:p>
        </w:tc>
      </w:tr>
      <w:tr w:rsidR="00AD283B" w:rsidRPr="0007719B" w:rsidTr="00CB79C1">
        <w:trPr>
          <w:cantSplit/>
        </w:trPr>
        <w:tc>
          <w:tcPr>
            <w:tcW w:w="3600" w:type="dxa"/>
            <w:tcBorders>
              <w:top w:val="single" w:sz="6" w:space="0" w:color="000000"/>
              <w:left w:val="single" w:sz="6" w:space="0" w:color="000000"/>
              <w:bottom w:val="single" w:sz="6" w:space="0" w:color="000000"/>
              <w:right w:val="nil"/>
            </w:tcBorders>
          </w:tcPr>
          <w:p w:rsidR="00AD283B" w:rsidRPr="0007719B" w:rsidRDefault="00AD283B" w:rsidP="00CB79C1">
            <w:pPr>
              <w:keepNext/>
              <w:jc w:val="center"/>
            </w:pPr>
            <w:r w:rsidRPr="0007719B">
              <w:t>5171</w:t>
            </w:r>
          </w:p>
        </w:tc>
        <w:tc>
          <w:tcPr>
            <w:tcW w:w="3600" w:type="dxa"/>
            <w:tcBorders>
              <w:top w:val="single" w:sz="6" w:space="0" w:color="000000"/>
              <w:left w:val="single" w:sz="6" w:space="0" w:color="000000"/>
              <w:bottom w:val="single" w:sz="6" w:space="0" w:color="000000"/>
              <w:right w:val="single" w:sz="6" w:space="0" w:color="000000"/>
            </w:tcBorders>
          </w:tcPr>
          <w:p w:rsidR="00AD283B" w:rsidRPr="0007719B" w:rsidRDefault="00AD283B" w:rsidP="00CB79C1">
            <w:pPr>
              <w:keepNext/>
              <w:jc w:val="center"/>
            </w:pPr>
            <w:r w:rsidRPr="0007719B">
              <w:t>42271</w:t>
            </w:r>
          </w:p>
        </w:tc>
      </w:tr>
      <w:tr w:rsidR="00AD283B" w:rsidRPr="0007719B" w:rsidTr="00CB79C1">
        <w:trPr>
          <w:cantSplit/>
        </w:trPr>
        <w:tc>
          <w:tcPr>
            <w:tcW w:w="3600" w:type="dxa"/>
            <w:tcBorders>
              <w:top w:val="single" w:sz="6" w:space="0" w:color="000000"/>
              <w:left w:val="single" w:sz="6" w:space="0" w:color="000000"/>
              <w:bottom w:val="single" w:sz="4" w:space="0" w:color="auto"/>
              <w:right w:val="nil"/>
            </w:tcBorders>
          </w:tcPr>
          <w:p w:rsidR="00AD283B" w:rsidRPr="0007719B" w:rsidRDefault="00AD283B" w:rsidP="00CB79C1">
            <w:pPr>
              <w:keepNext/>
              <w:jc w:val="center"/>
            </w:pPr>
            <w:r w:rsidRPr="0007719B">
              <w:t>7011</w:t>
            </w:r>
          </w:p>
        </w:tc>
        <w:tc>
          <w:tcPr>
            <w:tcW w:w="3600" w:type="dxa"/>
            <w:tcBorders>
              <w:top w:val="single" w:sz="6" w:space="0" w:color="000000"/>
              <w:left w:val="single" w:sz="6" w:space="0" w:color="000000"/>
              <w:bottom w:val="single" w:sz="4" w:space="0" w:color="auto"/>
              <w:right w:val="single" w:sz="6" w:space="0" w:color="000000"/>
            </w:tcBorders>
          </w:tcPr>
          <w:p w:rsidR="00AD283B" w:rsidRPr="0007719B" w:rsidRDefault="00AD283B" w:rsidP="00CB79C1">
            <w:pPr>
              <w:keepNext/>
              <w:jc w:val="center"/>
            </w:pPr>
            <w:r w:rsidRPr="0007719B">
              <w:t>7211</w:t>
            </w:r>
          </w:p>
        </w:tc>
      </w:tr>
      <w:tr w:rsidR="00AD283B" w:rsidRPr="0007719B" w:rsidTr="00CB79C1">
        <w:trPr>
          <w:cantSplit/>
          <w:trHeight w:val="381"/>
        </w:trPr>
        <w:tc>
          <w:tcPr>
            <w:tcW w:w="3600" w:type="dxa"/>
            <w:tcBorders>
              <w:top w:val="single" w:sz="4" w:space="0" w:color="auto"/>
              <w:left w:val="single" w:sz="6" w:space="0" w:color="000000"/>
              <w:bottom w:val="single" w:sz="6" w:space="0" w:color="000000"/>
              <w:right w:val="nil"/>
            </w:tcBorders>
          </w:tcPr>
          <w:p w:rsidR="00AD283B" w:rsidRPr="0007719B" w:rsidRDefault="00AD283B" w:rsidP="00CB79C1">
            <w:pPr>
              <w:keepNext/>
              <w:jc w:val="center"/>
            </w:pPr>
            <w:r w:rsidRPr="0007719B">
              <w:t>9711</w:t>
            </w:r>
          </w:p>
        </w:tc>
        <w:tc>
          <w:tcPr>
            <w:tcW w:w="3600" w:type="dxa"/>
            <w:tcBorders>
              <w:top w:val="single" w:sz="4" w:space="0" w:color="auto"/>
              <w:left w:val="single" w:sz="6" w:space="0" w:color="000000"/>
              <w:bottom w:val="single" w:sz="6" w:space="0" w:color="000000"/>
              <w:right w:val="single" w:sz="6" w:space="0" w:color="000000"/>
            </w:tcBorders>
          </w:tcPr>
          <w:p w:rsidR="00AD283B" w:rsidRPr="0007719B" w:rsidRDefault="00AD283B" w:rsidP="00CB79C1">
            <w:pPr>
              <w:keepNext/>
              <w:jc w:val="center"/>
            </w:pPr>
            <w:r w:rsidRPr="0007719B">
              <w:t>92811</w:t>
            </w:r>
          </w:p>
        </w:tc>
      </w:tr>
    </w:tbl>
    <w:p w:rsidR="00417036" w:rsidRPr="00BB2522" w:rsidRDefault="00417036" w:rsidP="00417036">
      <w:pPr>
        <w:keepNext/>
        <w:sectPr w:rsidR="00417036" w:rsidRPr="00BB2522" w:rsidSect="000072C9">
          <w:pgSz w:w="12240" w:h="15840" w:code="1"/>
          <w:pgMar w:top="1080" w:right="1080" w:bottom="1080" w:left="1080" w:header="432" w:footer="720" w:gutter="0"/>
          <w:pgNumType w:start="1"/>
          <w:cols w:space="720"/>
        </w:sectPr>
      </w:pPr>
      <w:bookmarkStart w:id="22" w:name="Table_32_4_45_1"/>
      <w:bookmarkEnd w:id="22"/>
    </w:p>
    <w:p w:rsidR="00417036" w:rsidRPr="00BB2522" w:rsidRDefault="00417036" w:rsidP="00417036">
      <w:pPr>
        <w:sectPr w:rsidR="00417036" w:rsidRPr="00BB2522" w:rsidSect="00F45B14">
          <w:type w:val="continuous"/>
          <w:pgSz w:w="12240" w:h="15840" w:code="1"/>
          <w:pgMar w:top="1080" w:right="1080" w:bottom="1080" w:left="1080" w:header="432" w:footer="720" w:gutter="0"/>
          <w:cols w:space="720"/>
        </w:sectPr>
      </w:pPr>
    </w:p>
    <w:p w:rsidR="00EC0759" w:rsidRPr="009C6741" w:rsidRDefault="002B5708" w:rsidP="009C6741">
      <w:pPr>
        <w:pStyle w:val="Heading2"/>
        <w:rPr>
          <w:i w:val="0"/>
        </w:rPr>
      </w:pPr>
      <w:bookmarkStart w:id="23" w:name="_Toc320021947"/>
      <w:r w:rsidRPr="009C6741">
        <w:rPr>
          <w:i w:val="0"/>
        </w:rPr>
        <w:lastRenderedPageBreak/>
        <w:t>4(b)</w:t>
      </w:r>
      <w:r w:rsidRPr="009C6741">
        <w:rPr>
          <w:i w:val="0"/>
        </w:rPr>
        <w:tab/>
      </w:r>
      <w:r w:rsidR="009C6741" w:rsidRPr="009C6741">
        <w:rPr>
          <w:i w:val="0"/>
        </w:rPr>
        <w:t>Information Requested</w:t>
      </w:r>
      <w:bookmarkEnd w:id="23"/>
    </w:p>
    <w:p w:rsidR="00AD283B" w:rsidRDefault="00AD283B" w:rsidP="006303EC">
      <w:pPr>
        <w:keepNext/>
      </w:pPr>
    </w:p>
    <w:p w:rsidR="00AD283B" w:rsidRPr="00BB2522" w:rsidRDefault="00AD283B" w:rsidP="00AD283B">
      <w:r>
        <w:t xml:space="preserve">All activities associated with EPA issuance of operating permits are information collection activities and are reflected in this ICR. The following are lists of the data items submitted by sources and permitting </w:t>
      </w:r>
      <w:r>
        <w:lastRenderedPageBreak/>
        <w:t>authorities for ICR purposes under part 70. These activities represent the Agency’s best representation of the burdens experienced by sources and permitting authorities for part 70 and 71 requirements.</w:t>
      </w:r>
    </w:p>
    <w:p w:rsidR="00EC0759" w:rsidRPr="00BB2522" w:rsidRDefault="00EC0759" w:rsidP="006303EC">
      <w:pPr>
        <w:keepNext/>
      </w:pPr>
    </w:p>
    <w:p w:rsidR="00EC0759" w:rsidRPr="00BB2522" w:rsidRDefault="002B5708" w:rsidP="009C6741">
      <w:pPr>
        <w:pStyle w:val="Heading3"/>
        <w:spacing w:before="0"/>
        <w:ind w:firstLine="0"/>
      </w:pPr>
      <w:bookmarkStart w:id="24" w:name="_Toc320021948"/>
      <w:r w:rsidRPr="00BB2522">
        <w:t>4</w:t>
      </w:r>
      <w:r w:rsidR="003F5781">
        <w:t>(b)(i</w:t>
      </w:r>
      <w:r w:rsidRPr="00BB2522">
        <w:t xml:space="preserve">) </w:t>
      </w:r>
      <w:r w:rsidR="009C6741">
        <w:t>D</w:t>
      </w:r>
      <w:r w:rsidR="009C6741" w:rsidRPr="00BB2522">
        <w:t>ata items, including recordkeeping requirements</w:t>
      </w:r>
      <w:bookmarkEnd w:id="24"/>
    </w:p>
    <w:p w:rsidR="00D07736" w:rsidRPr="00BB2522" w:rsidRDefault="00D07736" w:rsidP="006303EC">
      <w:pPr>
        <w:keepNext/>
      </w:pPr>
    </w:p>
    <w:p w:rsidR="00AD283B" w:rsidRPr="00AD283B" w:rsidRDefault="00AD283B" w:rsidP="00AD283B">
      <w:pPr>
        <w:rPr>
          <w:b/>
        </w:rPr>
      </w:pPr>
      <w:r w:rsidRPr="00AD283B">
        <w:rPr>
          <w:b/>
        </w:rPr>
        <w:t xml:space="preserve">Under Operating Permits rules, the following data items must be submitted by </w:t>
      </w:r>
      <w:r w:rsidR="008741D0">
        <w:rPr>
          <w:b/>
        </w:rPr>
        <w:t xml:space="preserve">delegate </w:t>
      </w:r>
      <w:r w:rsidRPr="00AD283B">
        <w:rPr>
          <w:b/>
        </w:rPr>
        <w:t>permitting authorities to the EPA:</w:t>
      </w:r>
    </w:p>
    <w:p w:rsidR="00AD283B" w:rsidRDefault="00AD283B" w:rsidP="00AD283B"/>
    <w:p w:rsidR="00AD283B" w:rsidRDefault="00AD283B" w:rsidP="00E63C4D">
      <w:pPr>
        <w:pStyle w:val="ListParagraph"/>
        <w:numPr>
          <w:ilvl w:val="0"/>
          <w:numId w:val="10"/>
        </w:numPr>
      </w:pPr>
      <w:r>
        <w:t>Applications for permits, permit revisions, and permit renewals</w:t>
      </w:r>
    </w:p>
    <w:p w:rsidR="00AD283B" w:rsidRDefault="00AD283B" w:rsidP="00E63C4D">
      <w:pPr>
        <w:pStyle w:val="ListParagraph"/>
        <w:numPr>
          <w:ilvl w:val="0"/>
          <w:numId w:val="10"/>
        </w:numPr>
      </w:pPr>
      <w:r>
        <w:t>Draft / proposed permits, permit revisions, or permit renewals</w:t>
      </w:r>
    </w:p>
    <w:p w:rsidR="00AD283B" w:rsidRDefault="00AD283B" w:rsidP="00E63C4D">
      <w:pPr>
        <w:pStyle w:val="ListParagraph"/>
        <w:numPr>
          <w:ilvl w:val="0"/>
          <w:numId w:val="10"/>
        </w:numPr>
      </w:pPr>
      <w:r>
        <w:t>Final permits</w:t>
      </w:r>
    </w:p>
    <w:p w:rsidR="00AD283B" w:rsidRDefault="00AD283B" w:rsidP="009F530E">
      <w:pPr>
        <w:pStyle w:val="ListParagraph"/>
        <w:numPr>
          <w:ilvl w:val="0"/>
          <w:numId w:val="10"/>
        </w:numPr>
      </w:pPr>
      <w:r>
        <w:t>Annual reports of enforcement activities</w:t>
      </w:r>
    </w:p>
    <w:p w:rsidR="0077240F" w:rsidRDefault="0077240F" w:rsidP="00AD283B"/>
    <w:p w:rsidR="00AD283B" w:rsidRDefault="00AD283B" w:rsidP="00AD283B">
      <w:r>
        <w:t>For this analysis, the submittals above are only necessary for the small fraction of permit handled by the one delegate agency (14 permits).  The majority of permits will be issued, implemented, and enforced by the EPA as permitting authority (160 permits).</w:t>
      </w:r>
    </w:p>
    <w:p w:rsidR="00AD283B" w:rsidRDefault="00AD283B" w:rsidP="00AD283B"/>
    <w:p w:rsidR="00AD283B" w:rsidRPr="00AD283B" w:rsidRDefault="00AD283B" w:rsidP="00AD283B">
      <w:pPr>
        <w:rPr>
          <w:b/>
        </w:rPr>
      </w:pPr>
      <w:r w:rsidRPr="00AD283B">
        <w:rPr>
          <w:b/>
        </w:rPr>
        <w:t>Under Operating Permit rules, the following data items must be submitted by sources to permitting authorities:</w:t>
      </w:r>
    </w:p>
    <w:p w:rsidR="00AD283B" w:rsidRDefault="00AD283B" w:rsidP="00AD283B"/>
    <w:p w:rsidR="00AD283B" w:rsidRDefault="00AD283B" w:rsidP="00E63C4D">
      <w:pPr>
        <w:pStyle w:val="ListParagraph"/>
        <w:numPr>
          <w:ilvl w:val="0"/>
          <w:numId w:val="11"/>
        </w:numPr>
      </w:pPr>
      <w:r>
        <w:t>Applications for permits, permit revisions, and permit renewals</w:t>
      </w:r>
    </w:p>
    <w:p w:rsidR="00AD283B" w:rsidRDefault="00AD283B" w:rsidP="00E63C4D">
      <w:pPr>
        <w:pStyle w:val="ListParagraph"/>
        <w:numPr>
          <w:ilvl w:val="0"/>
          <w:numId w:val="11"/>
        </w:numPr>
      </w:pPr>
      <w:r>
        <w:t>Semi-annual periodic monitoring reports</w:t>
      </w:r>
    </w:p>
    <w:p w:rsidR="00AD283B" w:rsidRDefault="00AD283B" w:rsidP="00E63C4D">
      <w:pPr>
        <w:pStyle w:val="ListParagraph"/>
        <w:numPr>
          <w:ilvl w:val="0"/>
          <w:numId w:val="11"/>
        </w:numPr>
      </w:pPr>
      <w:r>
        <w:t>Annual compliance certification reports</w:t>
      </w:r>
    </w:p>
    <w:p w:rsidR="00AD283B" w:rsidRDefault="00AD283B" w:rsidP="00AD283B"/>
    <w:p w:rsidR="00AD283B" w:rsidRDefault="00AD283B" w:rsidP="00AD283B">
      <w:r>
        <w:t xml:space="preserve">When the </w:t>
      </w:r>
      <w:r w:rsidR="00515122">
        <w:t>EPA</w:t>
      </w:r>
      <w:r>
        <w:t xml:space="preserve"> is the permitting authority, sources submit these data directly to the EPA</w:t>
      </w:r>
      <w:r w:rsidR="00515122">
        <w:t>.</w:t>
      </w:r>
      <w:r w:rsidR="009E50D0">
        <w:t xml:space="preserve"> </w:t>
      </w:r>
      <w:r w:rsidR="00515122">
        <w:t>W</w:t>
      </w:r>
      <w:r>
        <w:t xml:space="preserve">hen there is a delegate agency, these data will be submitted directly to the delegate agency. Attachment 1 includes the statutory requirements for reference purposes. </w:t>
      </w:r>
    </w:p>
    <w:p w:rsidR="009E50D0" w:rsidRDefault="009E50D0" w:rsidP="00AD283B"/>
    <w:p w:rsidR="009E50D0" w:rsidRPr="009E50D0" w:rsidRDefault="009E50D0" w:rsidP="009E50D0">
      <w:pPr>
        <w:pStyle w:val="Heading3"/>
        <w:spacing w:before="0"/>
        <w:ind w:firstLine="0"/>
      </w:pPr>
      <w:bookmarkStart w:id="25" w:name="_Toc319326593"/>
      <w:bookmarkStart w:id="26" w:name="_Toc320021949"/>
      <w:r w:rsidRPr="009E50D0">
        <w:t>4(b)(ii) Respondent activities</w:t>
      </w:r>
      <w:bookmarkEnd w:id="25"/>
      <w:bookmarkEnd w:id="26"/>
    </w:p>
    <w:p w:rsidR="009E50D0" w:rsidRDefault="009E50D0" w:rsidP="00AD283B"/>
    <w:p w:rsidR="009E50D0" w:rsidRDefault="009E50D0" w:rsidP="009E50D0">
      <w:r>
        <w:t xml:space="preserve">The following describes the information collection activities required of </w:t>
      </w:r>
      <w:r w:rsidR="002A69B3">
        <w:t xml:space="preserve">delegate permitting authorities and </w:t>
      </w:r>
      <w:r>
        <w:t>sources</w:t>
      </w:r>
      <w:r w:rsidRPr="004C2C83">
        <w:t xml:space="preserve">. In all cases, </w:t>
      </w:r>
      <w:r w:rsidR="006B7D8C" w:rsidRPr="004C2C83">
        <w:t xml:space="preserve">the activities for the </w:t>
      </w:r>
      <w:r w:rsidR="006B7D8C">
        <w:t xml:space="preserve">delegate </w:t>
      </w:r>
      <w:r w:rsidR="006B7D8C" w:rsidRPr="004C2C83">
        <w:t xml:space="preserve">permitting authority  match those for </w:t>
      </w:r>
      <w:r w:rsidR="006B7D8C">
        <w:t>state</w:t>
      </w:r>
      <w:r w:rsidR="006B7D8C" w:rsidRPr="004C2C83">
        <w:t xml:space="preserve"> and local permitting author</w:t>
      </w:r>
      <w:r w:rsidR="006B7D8C">
        <w:t xml:space="preserve">ities under the part 70 </w:t>
      </w:r>
      <w:r w:rsidR="006B7D8C" w:rsidRPr="004C2C83">
        <w:t>operating permits</w:t>
      </w:r>
      <w:r w:rsidR="006B7D8C">
        <w:t xml:space="preserve"> program and </w:t>
      </w:r>
      <w:r w:rsidRPr="004C2C83">
        <w:t>the activities listed for source-level activit</w:t>
      </w:r>
      <w:r>
        <w:t>i</w:t>
      </w:r>
      <w:r w:rsidRPr="004C2C83">
        <w:t>es match those for sources under the part 70 programs</w:t>
      </w:r>
      <w:r w:rsidR="006B7D8C">
        <w:t>.</w:t>
      </w:r>
      <w:r w:rsidRPr="004C2C83">
        <w:t xml:space="preserve"> </w:t>
      </w:r>
    </w:p>
    <w:p w:rsidR="009E50D0" w:rsidRDefault="009E50D0" w:rsidP="009E50D0">
      <w:pPr>
        <w:jc w:val="center"/>
      </w:pPr>
    </w:p>
    <w:p w:rsidR="009E50D0" w:rsidRPr="004C2C83" w:rsidRDefault="009E50D0" w:rsidP="009E50D0">
      <w:pPr>
        <w:jc w:val="center"/>
      </w:pPr>
      <w:r>
        <w:rPr>
          <w:b/>
          <w:bCs/>
          <w:u w:val="single"/>
        </w:rPr>
        <w:t xml:space="preserve">DELEGATE </w:t>
      </w:r>
      <w:r w:rsidRPr="004C2C83">
        <w:rPr>
          <w:b/>
          <w:bCs/>
          <w:u w:val="single"/>
        </w:rPr>
        <w:t>PERMITTING AUTHORITY ACTIVITIES</w:t>
      </w:r>
    </w:p>
    <w:p w:rsidR="009E50D0" w:rsidRPr="004C2C83" w:rsidRDefault="009E50D0" w:rsidP="009E50D0">
      <w:pPr>
        <w:jc w:val="center"/>
      </w:pPr>
    </w:p>
    <w:p w:rsidR="009E50D0" w:rsidRPr="004C2C83" w:rsidRDefault="009E50D0" w:rsidP="009E50D0">
      <w:pPr>
        <w:spacing w:line="2" w:lineRule="exact"/>
      </w:pPr>
    </w:p>
    <w:p w:rsidR="009E50D0" w:rsidRDefault="009E50D0" w:rsidP="00E63C4D">
      <w:pPr>
        <w:pStyle w:val="ListParagraph"/>
        <w:numPr>
          <w:ilvl w:val="0"/>
          <w:numId w:val="12"/>
        </w:numPr>
      </w:pPr>
      <w:r w:rsidRPr="009D1A53">
        <w:rPr>
          <w:b/>
          <w:bCs/>
        </w:rPr>
        <w:t>Program administration:</w:t>
      </w:r>
      <w:r>
        <w:t xml:space="preserve"> Responding to inquiries about the program, developing internal and external program guidance, developing rules, forms, and other mechanisms to implement the program, planning, attending program training, permit fee collection, providing source training, attending meetings and conferences, providing public education, and other program related activities. </w:t>
      </w:r>
    </w:p>
    <w:p w:rsidR="00975413" w:rsidRDefault="009E50D0" w:rsidP="00975413">
      <w:pPr>
        <w:pStyle w:val="ListParagraph"/>
        <w:numPr>
          <w:ilvl w:val="0"/>
          <w:numId w:val="12"/>
        </w:numPr>
      </w:pPr>
      <w:r w:rsidRPr="00975413">
        <w:rPr>
          <w:b/>
          <w:bCs/>
        </w:rPr>
        <w:t xml:space="preserve">Permit application review, </w:t>
      </w:r>
      <w:r>
        <w:t xml:space="preserve">including discussions with a source concerning the completeness of the permit application, review of applications for completeness and technical approach, and requests for additional information, when necessary.  </w:t>
      </w:r>
    </w:p>
    <w:p w:rsidR="009E50D0" w:rsidRDefault="009E50D0" w:rsidP="00975413">
      <w:pPr>
        <w:pStyle w:val="ListParagraph"/>
        <w:numPr>
          <w:ilvl w:val="0"/>
          <w:numId w:val="12"/>
        </w:numPr>
      </w:pPr>
      <w:r w:rsidRPr="00975413">
        <w:rPr>
          <w:b/>
          <w:bCs/>
        </w:rPr>
        <w:lastRenderedPageBreak/>
        <w:t>Draft permit preparation,</w:t>
      </w:r>
      <w:r>
        <w:t xml:space="preserve"> including contact with the source to clarify the specific requirements that apply, drafting the “statement of basis,” drafting gap-filing monitoring, when necessary, and drafting permit terms and conditions to reflect existing requirements.</w:t>
      </w:r>
      <w:r w:rsidRPr="009E50D0">
        <w:rPr>
          <w:vertAlign w:val="superscript"/>
        </w:rPr>
        <w:footnoteReference w:id="2"/>
      </w:r>
      <w:r>
        <w:t xml:space="preserve"> </w:t>
      </w:r>
    </w:p>
    <w:p w:rsidR="009E50D0" w:rsidRDefault="009E50D0" w:rsidP="00E63C4D">
      <w:pPr>
        <w:pStyle w:val="ListParagraph"/>
        <w:numPr>
          <w:ilvl w:val="0"/>
          <w:numId w:val="12"/>
        </w:numPr>
      </w:pPr>
      <w:r w:rsidRPr="009D1A53">
        <w:rPr>
          <w:b/>
          <w:bCs/>
        </w:rPr>
        <w:t>Comment period notification:</w:t>
      </w:r>
      <w:r>
        <w:t xml:space="preserve">  Providing notice to the public, and affected states of the comment period on a draft permit (for initial permit issuance, permit renewal and significant permit modification). Affected state notification is also required for minor permit modification.</w:t>
      </w:r>
    </w:p>
    <w:p w:rsidR="006B7D8C" w:rsidRDefault="006B7D8C" w:rsidP="00E63C4D">
      <w:pPr>
        <w:pStyle w:val="Level1"/>
        <w:numPr>
          <w:ilvl w:val="0"/>
          <w:numId w:val="12"/>
        </w:numPr>
        <w:tabs>
          <w:tab w:val="left" w:pos="720"/>
        </w:tabs>
        <w:spacing w:line="264" w:lineRule="auto"/>
      </w:pPr>
      <w:r>
        <w:rPr>
          <w:b/>
          <w:bCs/>
        </w:rPr>
        <w:t xml:space="preserve">Public hearing administration: </w:t>
      </w:r>
      <w:r>
        <w:t xml:space="preserve">Administering a public hearing, when appropriate, for initial permit issuance, permit renewal and significant permit modification. </w:t>
      </w:r>
    </w:p>
    <w:p w:rsidR="006B7D8C" w:rsidRDefault="006B7D8C" w:rsidP="00E63C4D">
      <w:pPr>
        <w:pStyle w:val="Level1"/>
        <w:numPr>
          <w:ilvl w:val="0"/>
          <w:numId w:val="12"/>
        </w:numPr>
        <w:tabs>
          <w:tab w:val="left" w:pos="720"/>
        </w:tabs>
        <w:spacing w:line="264" w:lineRule="auto"/>
      </w:pPr>
      <w:r>
        <w:rPr>
          <w:b/>
          <w:bCs/>
        </w:rPr>
        <w:t>Interaction with the EPA</w:t>
      </w:r>
      <w:r>
        <w:t xml:space="preserve"> on a proposed permit, including negotiations, re-drafting and formal EPA objections (including those attributable to public petitions). </w:t>
      </w:r>
    </w:p>
    <w:p w:rsidR="006B7D8C" w:rsidRDefault="006B7D8C" w:rsidP="00E63C4D">
      <w:pPr>
        <w:pStyle w:val="Level1"/>
        <w:numPr>
          <w:ilvl w:val="0"/>
          <w:numId w:val="12"/>
        </w:numPr>
        <w:tabs>
          <w:tab w:val="left" w:pos="720"/>
        </w:tabs>
        <w:spacing w:line="264" w:lineRule="auto"/>
      </w:pPr>
      <w:r>
        <w:rPr>
          <w:b/>
          <w:bCs/>
        </w:rPr>
        <w:t>Response to public comments:</w:t>
      </w:r>
      <w:r>
        <w:t xml:space="preserve"> Analyzing public comments and revising the draft permit accordingly, when appropriate. </w:t>
      </w:r>
    </w:p>
    <w:p w:rsidR="006B7D8C" w:rsidRDefault="006B7D8C" w:rsidP="00E63C4D">
      <w:pPr>
        <w:pStyle w:val="Level1"/>
        <w:numPr>
          <w:ilvl w:val="0"/>
          <w:numId w:val="12"/>
        </w:numPr>
        <w:tabs>
          <w:tab w:val="left" w:pos="720"/>
        </w:tabs>
        <w:spacing w:line="264" w:lineRule="auto"/>
      </w:pPr>
      <w:r>
        <w:rPr>
          <w:b/>
          <w:bCs/>
        </w:rPr>
        <w:t>Permit issuance:</w:t>
      </w:r>
      <w:r>
        <w:t xml:space="preserve"> Formalizing permits, placing copies of final permits on public websites, entering information into the EPA’s permit website (Air Facility System) and providing copies to sources.</w:t>
      </w:r>
    </w:p>
    <w:p w:rsidR="006B7D8C" w:rsidRDefault="006B7D8C" w:rsidP="00E63C4D">
      <w:pPr>
        <w:pStyle w:val="Level1"/>
        <w:numPr>
          <w:ilvl w:val="0"/>
          <w:numId w:val="12"/>
        </w:numPr>
        <w:tabs>
          <w:tab w:val="left" w:pos="720"/>
        </w:tabs>
        <w:spacing w:line="264" w:lineRule="auto"/>
      </w:pPr>
      <w:r>
        <w:rPr>
          <w:b/>
          <w:bCs/>
        </w:rPr>
        <w:t>General permits</w:t>
      </w:r>
      <w:r>
        <w:t xml:space="preserve"> </w:t>
      </w:r>
      <w:r>
        <w:rPr>
          <w:b/>
        </w:rPr>
        <w:t>a</w:t>
      </w:r>
      <w:r w:rsidRPr="002E623E">
        <w:rPr>
          <w:b/>
        </w:rPr>
        <w:t>dministration</w:t>
      </w:r>
      <w:r>
        <w:t xml:space="preserve"> (Burden for issuing general permits included with other permit issuance burden). </w:t>
      </w:r>
    </w:p>
    <w:p w:rsidR="006B7D8C" w:rsidRDefault="006B7D8C" w:rsidP="00E63C4D">
      <w:pPr>
        <w:pStyle w:val="Level1"/>
        <w:numPr>
          <w:ilvl w:val="0"/>
          <w:numId w:val="12"/>
        </w:numPr>
        <w:tabs>
          <w:tab w:val="left" w:pos="720"/>
        </w:tabs>
        <w:spacing w:line="264" w:lineRule="auto"/>
      </w:pPr>
      <w:r>
        <w:rPr>
          <w:b/>
          <w:bCs/>
        </w:rPr>
        <w:t>Permit revision</w:t>
      </w:r>
      <w:r>
        <w:t xml:space="preserve">: Modifying permits to reflect changes at the source otherwise prohibited by the permit, including public participation and affected state review, when needed.  </w:t>
      </w:r>
    </w:p>
    <w:p w:rsidR="006B7D8C" w:rsidRDefault="006B7D8C" w:rsidP="00E63C4D">
      <w:pPr>
        <w:pStyle w:val="Level1"/>
        <w:numPr>
          <w:ilvl w:val="0"/>
          <w:numId w:val="12"/>
        </w:numPr>
        <w:tabs>
          <w:tab w:val="left" w:pos="720"/>
        </w:tabs>
        <w:spacing w:line="264" w:lineRule="auto"/>
      </w:pPr>
      <w:r>
        <w:rPr>
          <w:b/>
          <w:bCs/>
        </w:rPr>
        <w:t>Permit renewal:</w:t>
      </w:r>
      <w:r>
        <w:t xml:space="preserve"> Updating the permit to reflect changes at the source not captured through permit revision (includes reviewing application, drafting changes, public notice, public hearings (when needed), responding to public comments (when needed) and permit issuance). </w:t>
      </w:r>
    </w:p>
    <w:p w:rsidR="006B7D8C" w:rsidRDefault="006B7D8C" w:rsidP="00E63C4D">
      <w:pPr>
        <w:pStyle w:val="Level1"/>
        <w:numPr>
          <w:ilvl w:val="0"/>
          <w:numId w:val="12"/>
        </w:numPr>
        <w:tabs>
          <w:tab w:val="left" w:pos="720"/>
        </w:tabs>
        <w:spacing w:line="264" w:lineRule="auto"/>
      </w:pPr>
      <w:r>
        <w:rPr>
          <w:b/>
          <w:bCs/>
        </w:rPr>
        <w:t>Monitoring and compliance certification:</w:t>
      </w:r>
      <w:r>
        <w:t xml:space="preserve"> Reviewing deviation and semiannual monitoring reports and annual compliance certification reports required by part 70, and any enforcement activities related to such reviews.</w:t>
      </w:r>
    </w:p>
    <w:p w:rsidR="006B7D8C" w:rsidRDefault="006B7D8C" w:rsidP="00E63C4D">
      <w:pPr>
        <w:pStyle w:val="Level1"/>
        <w:numPr>
          <w:ilvl w:val="0"/>
          <w:numId w:val="12"/>
        </w:numPr>
        <w:tabs>
          <w:tab w:val="left" w:pos="720"/>
        </w:tabs>
        <w:spacing w:line="264" w:lineRule="auto"/>
      </w:pPr>
      <w:r>
        <w:rPr>
          <w:b/>
          <w:bCs/>
        </w:rPr>
        <w:t>Annual reporting:</w:t>
      </w:r>
      <w:r>
        <w:t xml:space="preserve"> Preparing and submitting to the EPA annually a report of the state's enforcement activities.</w:t>
      </w:r>
    </w:p>
    <w:p w:rsidR="009E50D0" w:rsidRDefault="009E50D0" w:rsidP="009E50D0"/>
    <w:p w:rsidR="009E50D0" w:rsidRDefault="009E50D0" w:rsidP="009E50D0">
      <w:pPr>
        <w:numPr>
          <w:ilvl w:val="12"/>
          <w:numId w:val="0"/>
        </w:numPr>
        <w:spacing w:line="336" w:lineRule="atLeast"/>
        <w:jc w:val="center"/>
        <w:rPr>
          <w:b/>
          <w:bCs/>
          <w:u w:val="single"/>
        </w:rPr>
      </w:pPr>
      <w:r>
        <w:rPr>
          <w:b/>
          <w:bCs/>
          <w:u w:val="single"/>
        </w:rPr>
        <w:t>SOURCE-SPECIFIC ACTIVITIES</w:t>
      </w:r>
    </w:p>
    <w:p w:rsidR="009E50D0" w:rsidRDefault="009E50D0" w:rsidP="009E50D0"/>
    <w:p w:rsidR="009E50D0" w:rsidRDefault="009E50D0" w:rsidP="00E63C4D">
      <w:pPr>
        <w:pStyle w:val="ListParagraph"/>
        <w:numPr>
          <w:ilvl w:val="0"/>
          <w:numId w:val="13"/>
        </w:numPr>
      </w:pPr>
      <w:r w:rsidRPr="009D1A53">
        <w:rPr>
          <w:b/>
          <w:bCs/>
        </w:rPr>
        <w:t>Permit application preparation</w:t>
      </w:r>
      <w:r>
        <w:t>, including internal meetings, permitting authority discussions, management and legal department   involvement, responsible official certification, contractor services.</w:t>
      </w:r>
    </w:p>
    <w:p w:rsidR="009E50D0" w:rsidRDefault="009E50D0" w:rsidP="00E63C4D">
      <w:pPr>
        <w:pStyle w:val="ListParagraph"/>
        <w:numPr>
          <w:ilvl w:val="0"/>
          <w:numId w:val="13"/>
        </w:numPr>
      </w:pPr>
      <w:r w:rsidRPr="009D1A53">
        <w:rPr>
          <w:b/>
          <w:bCs/>
        </w:rPr>
        <w:t>Draft permit development</w:t>
      </w:r>
      <w:r>
        <w:t>: Interaction with the permitting authority on draft permit development.</w:t>
      </w:r>
    </w:p>
    <w:p w:rsidR="009E50D0" w:rsidRDefault="009E50D0" w:rsidP="00E63C4D">
      <w:pPr>
        <w:pStyle w:val="ListParagraph"/>
        <w:numPr>
          <w:ilvl w:val="0"/>
          <w:numId w:val="13"/>
        </w:numPr>
      </w:pPr>
      <w:r w:rsidRPr="009D1A53">
        <w:rPr>
          <w:b/>
          <w:bCs/>
        </w:rPr>
        <w:t>Gap-filling development</w:t>
      </w:r>
      <w:r>
        <w:t>: Development of periodic monitoring gap-filling, if applicable.</w:t>
      </w:r>
    </w:p>
    <w:p w:rsidR="009E50D0" w:rsidRDefault="009E50D0" w:rsidP="00E63C4D">
      <w:pPr>
        <w:pStyle w:val="ListParagraph"/>
        <w:numPr>
          <w:ilvl w:val="0"/>
          <w:numId w:val="13"/>
        </w:numPr>
      </w:pPr>
      <w:r w:rsidRPr="009D1A53">
        <w:rPr>
          <w:b/>
          <w:bCs/>
        </w:rPr>
        <w:t>Public hearing participation</w:t>
      </w:r>
      <w:r>
        <w:rPr>
          <w:b/>
          <w:bCs/>
        </w:rPr>
        <w:t>.</w:t>
      </w:r>
    </w:p>
    <w:p w:rsidR="009E50D0" w:rsidRDefault="009E50D0" w:rsidP="00E63C4D">
      <w:pPr>
        <w:pStyle w:val="ListParagraph"/>
        <w:numPr>
          <w:ilvl w:val="0"/>
          <w:numId w:val="13"/>
        </w:numPr>
      </w:pPr>
      <w:r w:rsidRPr="009D1A53">
        <w:rPr>
          <w:b/>
          <w:bCs/>
        </w:rPr>
        <w:t>Operate gap-filling periodic monitoring:</w:t>
      </w:r>
      <w:r>
        <w:t xml:space="preserve"> Operation of monitoring equipment and the taking and keeping of records, where necessary.</w:t>
      </w:r>
    </w:p>
    <w:p w:rsidR="009E50D0" w:rsidRDefault="009E50D0" w:rsidP="00E63C4D">
      <w:pPr>
        <w:pStyle w:val="ListParagraph"/>
        <w:numPr>
          <w:ilvl w:val="0"/>
          <w:numId w:val="13"/>
        </w:numPr>
      </w:pPr>
      <w:r w:rsidRPr="009D1A53">
        <w:rPr>
          <w:b/>
          <w:bCs/>
        </w:rPr>
        <w:lastRenderedPageBreak/>
        <w:t>Monitoring reports</w:t>
      </w:r>
      <w:r>
        <w:t>: Preparing semi-annual monitoring data reports, including data analysis, responsible official certification, and report submission (annual burden for both reports). Includes preparing and submitting annual compliance certification.</w:t>
      </w:r>
    </w:p>
    <w:p w:rsidR="009E50D0" w:rsidRDefault="009E50D0" w:rsidP="00E63C4D">
      <w:pPr>
        <w:pStyle w:val="ListParagraph"/>
        <w:numPr>
          <w:ilvl w:val="0"/>
          <w:numId w:val="13"/>
        </w:numPr>
      </w:pPr>
      <w:r w:rsidRPr="009D1A53">
        <w:rPr>
          <w:b/>
          <w:bCs/>
        </w:rPr>
        <w:t>Permit revisions</w:t>
      </w:r>
      <w:r>
        <w:t>: Preparing applications for permit revisions.</w:t>
      </w:r>
    </w:p>
    <w:p w:rsidR="009E50D0" w:rsidRDefault="009E50D0" w:rsidP="00E63C4D">
      <w:pPr>
        <w:pStyle w:val="ListParagraph"/>
        <w:numPr>
          <w:ilvl w:val="0"/>
          <w:numId w:val="13"/>
        </w:numPr>
      </w:pPr>
      <w:r w:rsidRPr="009D1A53">
        <w:rPr>
          <w:b/>
          <w:bCs/>
        </w:rPr>
        <w:t>Permit renewal</w:t>
      </w:r>
      <w:r>
        <w:t>: Preparing permit renewal applications.</w:t>
      </w:r>
    </w:p>
    <w:p w:rsidR="009E50D0" w:rsidRDefault="009E50D0" w:rsidP="00E63C4D">
      <w:pPr>
        <w:pStyle w:val="ListParagraph"/>
        <w:numPr>
          <w:ilvl w:val="0"/>
          <w:numId w:val="13"/>
        </w:numPr>
      </w:pPr>
      <w:r w:rsidRPr="009D1A53">
        <w:rPr>
          <w:b/>
          <w:bCs/>
        </w:rPr>
        <w:t>Other activities associated with permit renewal</w:t>
      </w:r>
      <w:r>
        <w:t>, including discussions with permitting authority and public hearing participation.</w:t>
      </w:r>
    </w:p>
    <w:p w:rsidR="00AD283B" w:rsidRDefault="00AD283B" w:rsidP="009E50D0">
      <w:pPr>
        <w:pStyle w:val="ListParagraph"/>
        <w:spacing w:line="336" w:lineRule="atLeast"/>
        <w:ind w:left="0"/>
      </w:pPr>
    </w:p>
    <w:p w:rsidR="00D07736" w:rsidRPr="00BB2522" w:rsidRDefault="002B5708" w:rsidP="00571A77">
      <w:pPr>
        <w:keepNext/>
        <w:ind w:left="720" w:hanging="720"/>
        <w:outlineLvl w:val="0"/>
      </w:pPr>
      <w:bookmarkStart w:id="27" w:name="_Toc320021950"/>
      <w:r w:rsidRPr="00BB2522">
        <w:t>5.</w:t>
      </w:r>
      <w:r w:rsidRPr="00BB2522">
        <w:tab/>
      </w:r>
      <w:r w:rsidR="00D07736" w:rsidRPr="00BB2522">
        <w:t>THE INFORMATION COLLECTED – AGENCY ACTIVITIES, COLLECTION METHODOLOGY AND INFORMATION MANAGEMENT</w:t>
      </w:r>
      <w:bookmarkEnd w:id="27"/>
    </w:p>
    <w:p w:rsidR="00D07736" w:rsidRPr="00BB2522" w:rsidRDefault="00FD2D58" w:rsidP="0093344A">
      <w:pPr>
        <w:keepNext/>
        <w:tabs>
          <w:tab w:val="left" w:pos="1170"/>
        </w:tabs>
      </w:pPr>
      <w:r>
        <w:tab/>
      </w:r>
    </w:p>
    <w:p w:rsidR="00D07736" w:rsidRDefault="002B5708" w:rsidP="006B7D8C">
      <w:pPr>
        <w:pStyle w:val="Heading2"/>
        <w:rPr>
          <w:i w:val="0"/>
        </w:rPr>
      </w:pPr>
      <w:bookmarkStart w:id="28" w:name="_Toc320021951"/>
      <w:r w:rsidRPr="006B7D8C">
        <w:rPr>
          <w:i w:val="0"/>
        </w:rPr>
        <w:t>5(a)</w:t>
      </w:r>
      <w:r w:rsidRPr="006B7D8C">
        <w:rPr>
          <w:i w:val="0"/>
        </w:rPr>
        <w:tab/>
      </w:r>
      <w:r w:rsidR="006B7D8C" w:rsidRPr="006B7D8C">
        <w:rPr>
          <w:i w:val="0"/>
        </w:rPr>
        <w:t>Agency Activities</w:t>
      </w:r>
      <w:bookmarkEnd w:id="28"/>
    </w:p>
    <w:p w:rsidR="006B7D8C" w:rsidRPr="002A69B3" w:rsidRDefault="006B7D8C" w:rsidP="006B7D8C"/>
    <w:p w:rsidR="006B7D8C" w:rsidRDefault="002A69B3" w:rsidP="006B7D8C">
      <w:r>
        <w:t>In its role as the permitting authority for most of the sources subject to the part 71 program, the EPA carries out the same activities listed above for delegate permitting authorities</w:t>
      </w:r>
      <w:r w:rsidR="00E63C4D">
        <w:t>,</w:t>
      </w:r>
      <w:r>
        <w:t xml:space="preserve"> with the exception of those activities that involve interaction </w:t>
      </w:r>
      <w:r w:rsidR="00222ABC">
        <w:t>between</w:t>
      </w:r>
      <w:r>
        <w:t xml:space="preserve"> the delegate permitting authorities </w:t>
      </w:r>
      <w:r w:rsidR="00222ABC">
        <w:t>and</w:t>
      </w:r>
      <w:r>
        <w:t xml:space="preserve"> the EPA.</w:t>
      </w:r>
      <w:r w:rsidR="00E63C4D">
        <w:t xml:space="preserve"> When overseeing a delegate agency,</w:t>
      </w:r>
      <w:r w:rsidR="00E63C4D" w:rsidRPr="00E63C4D">
        <w:t xml:space="preserve"> </w:t>
      </w:r>
      <w:r w:rsidR="00E63C4D">
        <w:t>the EPA carries out the activities listed below.</w:t>
      </w:r>
    </w:p>
    <w:p w:rsidR="00E63C4D" w:rsidRDefault="00E63C4D" w:rsidP="006B7D8C"/>
    <w:p w:rsidR="00E63C4D" w:rsidRPr="009D1A53" w:rsidRDefault="00E63C4D" w:rsidP="00E63C4D">
      <w:pPr>
        <w:spacing w:line="264" w:lineRule="auto"/>
        <w:jc w:val="center"/>
      </w:pPr>
      <w:r w:rsidRPr="00E63C4D">
        <w:rPr>
          <w:b/>
          <w:bCs/>
          <w:u w:val="single"/>
        </w:rPr>
        <w:t>EPA OVERSIGHT ACTIVITIES</w:t>
      </w:r>
    </w:p>
    <w:p w:rsidR="00E63C4D" w:rsidRDefault="00E63C4D" w:rsidP="00E63C4D"/>
    <w:p w:rsidR="00E63C4D" w:rsidRDefault="00E63C4D" w:rsidP="00E63C4D">
      <w:pPr>
        <w:pStyle w:val="ListParagraph"/>
        <w:numPr>
          <w:ilvl w:val="0"/>
          <w:numId w:val="8"/>
        </w:numPr>
      </w:pPr>
      <w:r w:rsidRPr="009D1A53">
        <w:rPr>
          <w:b/>
          <w:bCs/>
        </w:rPr>
        <w:t>Review proposed permits</w:t>
      </w:r>
      <w:r>
        <w:t xml:space="preserve"> and permit revisions to determine if they provide for compliance with all applicable requirements. </w:t>
      </w:r>
    </w:p>
    <w:p w:rsidR="00E63C4D" w:rsidRDefault="00E63C4D" w:rsidP="00E63C4D">
      <w:pPr>
        <w:pStyle w:val="ListParagraph"/>
        <w:numPr>
          <w:ilvl w:val="0"/>
          <w:numId w:val="8"/>
        </w:numPr>
      </w:pPr>
      <w:r w:rsidRPr="009D1A53">
        <w:rPr>
          <w:b/>
          <w:bCs/>
        </w:rPr>
        <w:t>Review monitoring</w:t>
      </w:r>
      <w:r>
        <w:t xml:space="preserve"> provisions of proposed permits or permit revisions to see if they contain applicable requirements or to add periodic monitoring if needed.</w:t>
      </w:r>
    </w:p>
    <w:p w:rsidR="00E63C4D" w:rsidRDefault="00E63C4D" w:rsidP="00E63C4D">
      <w:pPr>
        <w:pStyle w:val="ListParagraph"/>
        <w:numPr>
          <w:ilvl w:val="0"/>
          <w:numId w:val="8"/>
        </w:numPr>
      </w:pPr>
      <w:r w:rsidRPr="009D1A53">
        <w:rPr>
          <w:b/>
          <w:bCs/>
        </w:rPr>
        <w:t>Consult</w:t>
      </w:r>
      <w:r>
        <w:t xml:space="preserve"> with the delegate agency on any problems detected in the proposed permit or permit revision including interaction related to fact finding on permit petitions.</w:t>
      </w:r>
    </w:p>
    <w:p w:rsidR="00E63C4D" w:rsidRPr="009D1A53" w:rsidRDefault="00E63C4D" w:rsidP="00E63C4D">
      <w:pPr>
        <w:pStyle w:val="ListParagraph"/>
        <w:numPr>
          <w:ilvl w:val="0"/>
          <w:numId w:val="8"/>
        </w:numPr>
        <w:rPr>
          <w:b/>
          <w:bCs/>
        </w:rPr>
      </w:pPr>
      <w:r w:rsidRPr="009D1A53">
        <w:rPr>
          <w:b/>
          <w:bCs/>
        </w:rPr>
        <w:t>Other Program Oversight:</w:t>
      </w:r>
      <w:r>
        <w:t xml:space="preserve"> review annual reports of enforcement activities, develop formal EPA responses to public petitions</w:t>
      </w:r>
      <w:r w:rsidR="00327742" w:rsidRPr="00327742">
        <w:rPr>
          <w:noProof/>
        </w:rPr>
        <w:pict>
          <v:line id="_x0000_s1031" style="position:absolute;left:0;text-align:left;z-index:251663360;visibility:visible;mso-position-horizontal-relative:margin;mso-position-vertical-relative:text"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" o:allowincell="f" strokecolor="#020000" strokeweight=".96pt">
            <w10:wrap anchorx="margin"/>
          </v:line>
        </w:pict>
      </w:r>
      <w:r>
        <w:t>, and review changes to delegated programs.</w:t>
      </w:r>
    </w:p>
    <w:p w:rsidR="00E63C4D" w:rsidRDefault="00E63C4D" w:rsidP="006B7D8C"/>
    <w:p w:rsidR="00D07736" w:rsidRPr="00E63C4D" w:rsidRDefault="006A066C" w:rsidP="00E63C4D">
      <w:pPr>
        <w:pStyle w:val="Heading2"/>
        <w:rPr>
          <w:i w:val="0"/>
        </w:rPr>
      </w:pPr>
      <w:bookmarkStart w:id="29" w:name="_Toc320021952"/>
      <w:r w:rsidRPr="00E63C4D">
        <w:rPr>
          <w:i w:val="0"/>
        </w:rPr>
        <w:t>5(</w:t>
      </w:r>
      <w:r w:rsidR="00E63C4D" w:rsidRPr="00E63C4D">
        <w:rPr>
          <w:i w:val="0"/>
        </w:rPr>
        <w:t>b</w:t>
      </w:r>
      <w:r w:rsidR="002B5708" w:rsidRPr="00E63C4D">
        <w:rPr>
          <w:i w:val="0"/>
        </w:rPr>
        <w:t>)</w:t>
      </w:r>
      <w:r w:rsidR="002B5708" w:rsidRPr="00E63C4D">
        <w:rPr>
          <w:i w:val="0"/>
        </w:rPr>
        <w:tab/>
      </w:r>
      <w:r w:rsidR="00E63C4D" w:rsidRPr="00E63C4D">
        <w:rPr>
          <w:i w:val="0"/>
        </w:rPr>
        <w:t xml:space="preserve">Collection Methodology </w:t>
      </w:r>
      <w:r w:rsidR="00553466">
        <w:rPr>
          <w:i w:val="0"/>
        </w:rPr>
        <w:t>a</w:t>
      </w:r>
      <w:r w:rsidR="00E63C4D" w:rsidRPr="00E63C4D">
        <w:rPr>
          <w:i w:val="0"/>
        </w:rPr>
        <w:t>nd Management</w:t>
      </w:r>
      <w:bookmarkEnd w:id="29"/>
    </w:p>
    <w:p w:rsidR="00D07736" w:rsidRPr="00BB2522" w:rsidRDefault="00D07736" w:rsidP="00EC0759"/>
    <w:p w:rsidR="008E0BBA" w:rsidRDefault="00FD2D58" w:rsidP="00FD2D58">
      <w:r>
        <w:t xml:space="preserve">For the part 71 program, when </w:t>
      </w:r>
      <w:r w:rsidR="004F309F">
        <w:t>the EPA</w:t>
      </w:r>
      <w:r>
        <w:t xml:space="preserve"> is the permitting authority, </w:t>
      </w:r>
      <w:r w:rsidR="004F309F">
        <w:t>the EPA</w:t>
      </w:r>
      <w:r>
        <w:t xml:space="preserve"> will receive data from sources in much the same manner as that established for sources reporting to </w:t>
      </w:r>
      <w:r w:rsidR="00891F8C">
        <w:t>state</w:t>
      </w:r>
      <w:r>
        <w:t xml:space="preserve"> and local agencies under part 70. Thus, when </w:t>
      </w:r>
      <w:r w:rsidR="004F309F">
        <w:t>the EPA</w:t>
      </w:r>
      <w:r>
        <w:t xml:space="preserve"> is the permitting authority, we will retain copies of each permit application (including any application for permit modification), each draft permit, and each final permit. When a delegate agency is the permitting authority, the delegate agency will receive copies of these documents.</w:t>
      </w:r>
    </w:p>
    <w:p w:rsidR="00D02BE1" w:rsidRPr="00BB2522" w:rsidRDefault="00D02BE1" w:rsidP="00FD2D58"/>
    <w:p w:rsidR="00D07736" w:rsidRPr="007247D6" w:rsidRDefault="006A066C" w:rsidP="007247D6">
      <w:pPr>
        <w:pStyle w:val="Heading2"/>
        <w:tabs>
          <w:tab w:val="left" w:pos="720"/>
          <w:tab w:val="left" w:pos="1440"/>
          <w:tab w:val="left" w:pos="2160"/>
          <w:tab w:val="left" w:pos="2880"/>
          <w:tab w:val="left" w:pos="3600"/>
          <w:tab w:val="left" w:pos="4455"/>
        </w:tabs>
        <w:rPr>
          <w:i w:val="0"/>
        </w:rPr>
      </w:pPr>
      <w:bookmarkStart w:id="30" w:name="_Toc320021953"/>
      <w:r w:rsidRPr="007247D6">
        <w:rPr>
          <w:i w:val="0"/>
        </w:rPr>
        <w:t>5(</w:t>
      </w:r>
      <w:r w:rsidR="00162758">
        <w:rPr>
          <w:i w:val="0"/>
        </w:rPr>
        <w:t>c</w:t>
      </w:r>
      <w:r w:rsidR="00D02BE1" w:rsidRPr="007247D6">
        <w:rPr>
          <w:i w:val="0"/>
        </w:rPr>
        <w:t>)</w:t>
      </w:r>
      <w:r w:rsidR="00D02BE1" w:rsidRPr="007247D6">
        <w:rPr>
          <w:i w:val="0"/>
        </w:rPr>
        <w:tab/>
      </w:r>
      <w:r w:rsidR="007247D6" w:rsidRPr="007247D6">
        <w:rPr>
          <w:i w:val="0"/>
        </w:rPr>
        <w:t>Small Entity Flexibility</w:t>
      </w:r>
      <w:bookmarkEnd w:id="30"/>
      <w:r w:rsidR="007247D6">
        <w:rPr>
          <w:i w:val="0"/>
        </w:rPr>
        <w:tab/>
      </w:r>
    </w:p>
    <w:p w:rsidR="00D07736" w:rsidRPr="00BB2522" w:rsidRDefault="00D07736" w:rsidP="00EC0759"/>
    <w:p w:rsidR="007247D6" w:rsidRPr="007247D6" w:rsidRDefault="007247D6" w:rsidP="007247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47D6">
        <w:t xml:space="preserve">Title V provides few ways to mitigate the effects of operating permit regulations on small entities. Under section 502(a) of the Act, the Agency has exempted or deferred applicability of title V for those non-major source categories for which compliance with title V will be impractical, infeasible or unnecessarily burdensome. For example, we exempted a large number of small sources in a December 19, 2005 final rule (70 FR 75320). The Agency has not analyzed how many of these non-major sources will be small businesses, but believes that a large percentage may fall under that definition. </w:t>
      </w:r>
    </w:p>
    <w:p w:rsidR="00FD2D58" w:rsidRPr="00BB2522" w:rsidRDefault="00FD2D58" w:rsidP="00127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D2D58" w:rsidRDefault="00FD2D58" w:rsidP="00FD2D58">
      <w:r>
        <w:lastRenderedPageBreak/>
        <w:t>In accordance with the analytical requirements established under the Regulatory Flexibility Act (RFA) and the Small Business Regulatory Enforcement Fairness Act (SBREFA), the Agency has determined that</w:t>
      </w:r>
      <w:r w:rsidR="007247D6" w:rsidRPr="007247D6">
        <w:t xml:space="preserve"> </w:t>
      </w:r>
      <w:r w:rsidR="007247D6">
        <w:t xml:space="preserve">there are no adverse effects to be identified </w:t>
      </w:r>
      <w:r w:rsidR="00162758" w:rsidRPr="00162758">
        <w:rPr>
          <w:i/>
          <w:iCs/>
        </w:rPr>
        <w:t>vis-à-vis</w:t>
      </w:r>
      <w:r w:rsidR="007247D6">
        <w:t xml:space="preserve"> small entities and small businesses. While </w:t>
      </w:r>
      <w:r>
        <w:t xml:space="preserve">this ICR </w:t>
      </w:r>
      <w:r w:rsidR="007247D6">
        <w:t xml:space="preserve">renewal </w:t>
      </w:r>
      <w:r>
        <w:t>represents a</w:t>
      </w:r>
      <w:r w:rsidR="007247D6">
        <w:t>n</w:t>
      </w:r>
      <w:r>
        <w:t xml:space="preserve"> increase </w:t>
      </w:r>
      <w:r w:rsidR="007247D6">
        <w:t>in</w:t>
      </w:r>
      <w:r>
        <w:t xml:space="preserve"> burden</w:t>
      </w:r>
      <w:r w:rsidR="007247D6">
        <w:t xml:space="preserve"> compared to the 2007</w:t>
      </w:r>
      <w:r>
        <w:t xml:space="preserve"> </w:t>
      </w:r>
      <w:r w:rsidR="007247D6">
        <w:t xml:space="preserve">ICR renewal, the increase is </w:t>
      </w:r>
      <w:r>
        <w:t xml:space="preserve">due to a change in </w:t>
      </w:r>
      <w:r w:rsidR="004F309F">
        <w:t xml:space="preserve">the </w:t>
      </w:r>
      <w:r>
        <w:t>EPA</w:t>
      </w:r>
      <w:r w:rsidR="004F309F">
        <w:t>’s</w:t>
      </w:r>
      <w:r>
        <w:t xml:space="preserve"> estimate concerning the number of permits expected to be issued, which better reflects actual implementation experience rather than any new information collection requirements</w:t>
      </w:r>
      <w:r w:rsidR="007247D6">
        <w:t>.</w:t>
      </w:r>
      <w:r>
        <w:t xml:space="preserve"> </w:t>
      </w:r>
    </w:p>
    <w:p w:rsidR="007247D6" w:rsidRDefault="007247D6" w:rsidP="007247D6"/>
    <w:p w:rsidR="00D07736" w:rsidRPr="00162758" w:rsidRDefault="006A066C" w:rsidP="00162758">
      <w:pPr>
        <w:pStyle w:val="Heading2"/>
        <w:rPr>
          <w:i w:val="0"/>
        </w:rPr>
      </w:pPr>
      <w:bookmarkStart w:id="31" w:name="_Toc320021954"/>
      <w:r w:rsidRPr="00162758">
        <w:rPr>
          <w:i w:val="0"/>
        </w:rPr>
        <w:t>5(</w:t>
      </w:r>
      <w:r w:rsidR="00162758" w:rsidRPr="00162758">
        <w:rPr>
          <w:i w:val="0"/>
        </w:rPr>
        <w:t>d</w:t>
      </w:r>
      <w:r w:rsidR="003F1A46" w:rsidRPr="00162758">
        <w:rPr>
          <w:i w:val="0"/>
        </w:rPr>
        <w:t>)</w:t>
      </w:r>
      <w:r w:rsidR="003F1A46" w:rsidRPr="00162758">
        <w:rPr>
          <w:i w:val="0"/>
        </w:rPr>
        <w:tab/>
      </w:r>
      <w:r w:rsidR="00162758" w:rsidRPr="00162758">
        <w:rPr>
          <w:i w:val="0"/>
        </w:rPr>
        <w:t>Collection Schedule</w:t>
      </w:r>
      <w:bookmarkEnd w:id="31"/>
    </w:p>
    <w:p w:rsidR="00FD2D58" w:rsidRDefault="00FD2D58" w:rsidP="00EC0759"/>
    <w:p w:rsidR="00D07736" w:rsidRPr="00BB2522" w:rsidRDefault="00FD2D58" w:rsidP="00EC0759">
      <w:r>
        <w:t xml:space="preserve">Items identified in </w:t>
      </w:r>
      <w:r w:rsidRPr="00C116CE">
        <w:t>section 4</w:t>
      </w:r>
      <w:r w:rsidR="00311B39">
        <w:t>(b)(i)</w:t>
      </w:r>
      <w:r>
        <w:t xml:space="preserve"> are listed below with their schedule for submission.</w:t>
      </w:r>
    </w:p>
    <w:p w:rsidR="00FD2D58" w:rsidRDefault="00FD2D58" w:rsidP="00FD2D58"/>
    <w:p w:rsidR="00311B39" w:rsidRPr="00311B39" w:rsidRDefault="00311B39" w:rsidP="00311B39">
      <w:r w:rsidRPr="00311B39">
        <w:rPr>
          <w:b/>
          <w:bCs/>
        </w:rPr>
        <w:t>Permitting Authorities (submitted to the EPA):</w:t>
      </w:r>
      <w:r w:rsidRPr="00311B39">
        <w:t xml:space="preserve"> </w:t>
      </w:r>
    </w:p>
    <w:p w:rsidR="00311B39" w:rsidRPr="00311B39" w:rsidRDefault="00311B39" w:rsidP="00311B39">
      <w:pPr>
        <w:numPr>
          <w:ilvl w:val="0"/>
          <w:numId w:val="14"/>
        </w:numPr>
      </w:pPr>
      <w:r w:rsidRPr="00311B39">
        <w:t xml:space="preserve">Application for permits, permit revision and permit renewal should be submitted to the EPA with the proposed permit or permit revision. </w:t>
      </w:r>
    </w:p>
    <w:p w:rsidR="00311B39" w:rsidRPr="00311B39" w:rsidRDefault="00311B39" w:rsidP="00311B39">
      <w:pPr>
        <w:numPr>
          <w:ilvl w:val="0"/>
          <w:numId w:val="14"/>
        </w:numPr>
      </w:pPr>
      <w:r w:rsidRPr="00311B39">
        <w:t>Draft/proposed permits, permit revisions or permit renewals should be submitted when the state wants to commence the EPA review period of the proposed permit or permit revision.</w:t>
      </w:r>
    </w:p>
    <w:p w:rsidR="00311B39" w:rsidRPr="00311B39" w:rsidRDefault="00311B39" w:rsidP="00311B39">
      <w:pPr>
        <w:numPr>
          <w:ilvl w:val="0"/>
          <w:numId w:val="14"/>
        </w:numPr>
      </w:pPr>
      <w:r w:rsidRPr="00311B39">
        <w:t>The final permit should be submitted to the EPA soon after it is issued, but there is no deadline in part 7</w:t>
      </w:r>
      <w:r w:rsidR="008741D0">
        <w:t>1</w:t>
      </w:r>
      <w:r w:rsidRPr="00311B39">
        <w:t xml:space="preserve"> for this submission.</w:t>
      </w:r>
    </w:p>
    <w:p w:rsidR="00311B39" w:rsidRDefault="00311B39" w:rsidP="0077240F">
      <w:pPr>
        <w:numPr>
          <w:ilvl w:val="0"/>
          <w:numId w:val="14"/>
        </w:numPr>
      </w:pPr>
      <w:r w:rsidRPr="00311B39">
        <w:t>The annual report of enforcement activities is submitted to the EPA annually, but part 7</w:t>
      </w:r>
      <w:r w:rsidR="008741D0">
        <w:t>1</w:t>
      </w:r>
      <w:r w:rsidRPr="00311B39">
        <w:t xml:space="preserve"> does not specify a date.</w:t>
      </w:r>
      <w:r w:rsidR="0077240F">
        <w:t xml:space="preserve"> </w:t>
      </w:r>
    </w:p>
    <w:p w:rsidR="00311B39" w:rsidRDefault="00311B39" w:rsidP="00FD2D58">
      <w:pPr>
        <w:numPr>
          <w:ilvl w:val="12"/>
          <w:numId w:val="0"/>
        </w:numPr>
        <w:spacing w:line="336" w:lineRule="atLeast"/>
        <w:rPr>
          <w:b/>
          <w:bCs/>
        </w:rPr>
      </w:pPr>
    </w:p>
    <w:p w:rsidR="00FD2D58" w:rsidRPr="00311B39" w:rsidRDefault="00FD2D58" w:rsidP="00FD2D58">
      <w:pPr>
        <w:numPr>
          <w:ilvl w:val="12"/>
          <w:numId w:val="0"/>
        </w:numPr>
        <w:spacing w:line="336" w:lineRule="atLeast"/>
        <w:rPr>
          <w:b/>
        </w:rPr>
      </w:pPr>
      <w:r>
        <w:rPr>
          <w:b/>
          <w:bCs/>
        </w:rPr>
        <w:t>Sources</w:t>
      </w:r>
      <w:r w:rsidRPr="00311B39">
        <w:rPr>
          <w:b/>
        </w:rPr>
        <w:t xml:space="preserve"> (submitted to permitting authority):</w:t>
      </w:r>
    </w:p>
    <w:p w:rsidR="00FD2D58" w:rsidRDefault="00FD2D58" w:rsidP="00311B39">
      <w:pPr>
        <w:pStyle w:val="Level1"/>
        <w:numPr>
          <w:ilvl w:val="0"/>
          <w:numId w:val="15"/>
        </w:numPr>
      </w:pPr>
      <w:r>
        <w:t>New permit applications are due within 1 year after a source becomes subject to the program</w:t>
      </w:r>
      <w:r w:rsidR="00311B39">
        <w:t>.</w:t>
      </w:r>
    </w:p>
    <w:p w:rsidR="00FD2D58" w:rsidRDefault="00FD2D58" w:rsidP="00311B39">
      <w:pPr>
        <w:pStyle w:val="Level1"/>
        <w:numPr>
          <w:ilvl w:val="0"/>
          <w:numId w:val="15"/>
        </w:numPr>
      </w:pPr>
      <w:r>
        <w:t>Permit revision applications are submitted by a source when it wishes to make a change to its permit. There is no schedule for these submissions in that they are triggered by modifications by the source.</w:t>
      </w:r>
    </w:p>
    <w:p w:rsidR="00FD2D58" w:rsidRDefault="00FD2D58" w:rsidP="00311B39">
      <w:pPr>
        <w:pStyle w:val="Level1"/>
        <w:numPr>
          <w:ilvl w:val="0"/>
          <w:numId w:val="15"/>
        </w:numPr>
      </w:pPr>
      <w:r>
        <w:t>Permit renewal applications are due at least 6 months prior to expiration of the permit.</w:t>
      </w:r>
    </w:p>
    <w:p w:rsidR="00FD2D58" w:rsidRDefault="00FD2D58" w:rsidP="00311B39">
      <w:pPr>
        <w:pStyle w:val="Level1"/>
        <w:numPr>
          <w:ilvl w:val="0"/>
          <w:numId w:val="15"/>
        </w:numPr>
      </w:pPr>
      <w:r>
        <w:t>Semi-annual monitoring reports are due to be submitted to the permitting authority twice a year on dates specified by the permitting authority.</w:t>
      </w:r>
    </w:p>
    <w:p w:rsidR="00FD2D58" w:rsidRDefault="00FD2D58" w:rsidP="00311B39">
      <w:pPr>
        <w:pStyle w:val="Level1"/>
        <w:numPr>
          <w:ilvl w:val="0"/>
          <w:numId w:val="15"/>
        </w:numPr>
      </w:pPr>
      <w:r>
        <w:t>Annual compliance certification reports are due annually on a date specified by the permitting authority.</w:t>
      </w:r>
    </w:p>
    <w:p w:rsidR="00127027" w:rsidRPr="00BB2522" w:rsidRDefault="00127027" w:rsidP="00127027">
      <w:pPr>
        <w:ind w:firstLine="720"/>
      </w:pPr>
    </w:p>
    <w:p w:rsidR="00D07736" w:rsidRPr="00BB2522" w:rsidRDefault="003F1A46" w:rsidP="00AE76F7">
      <w:pPr>
        <w:keepNext/>
        <w:outlineLvl w:val="0"/>
      </w:pPr>
      <w:bookmarkStart w:id="32" w:name="_Toc320021955"/>
      <w:r w:rsidRPr="00BB2522">
        <w:t>6.</w:t>
      </w:r>
      <w:r w:rsidRPr="00BB2522">
        <w:tab/>
      </w:r>
      <w:r w:rsidR="00D07736" w:rsidRPr="00BB2522">
        <w:t>ESTIMATING THE BURDEN AND COST OF THE COLLECTION</w:t>
      </w:r>
      <w:bookmarkEnd w:id="32"/>
    </w:p>
    <w:p w:rsidR="00D07736" w:rsidRPr="00BB2522" w:rsidRDefault="00D07736" w:rsidP="00AE76F7">
      <w:pPr>
        <w:keepNext/>
      </w:pPr>
    </w:p>
    <w:p w:rsidR="00311B39" w:rsidRPr="00311B39" w:rsidRDefault="00311B39" w:rsidP="00311B39">
      <w:pPr>
        <w:pStyle w:val="Heading2"/>
        <w:rPr>
          <w:i w:val="0"/>
        </w:rPr>
      </w:pPr>
      <w:bookmarkStart w:id="33" w:name="_Toc319326600"/>
      <w:bookmarkStart w:id="34" w:name="_Toc320021956"/>
      <w:r w:rsidRPr="00311B39">
        <w:rPr>
          <w:i w:val="0"/>
        </w:rPr>
        <w:t>6(a)</w:t>
      </w:r>
      <w:r w:rsidRPr="00311B39">
        <w:rPr>
          <w:i w:val="0"/>
        </w:rPr>
        <w:tab/>
        <w:t>Estimating Respondent Burden</w:t>
      </w:r>
      <w:bookmarkEnd w:id="33"/>
      <w:bookmarkEnd w:id="34"/>
    </w:p>
    <w:p w:rsidR="00311B39" w:rsidRDefault="00311B39"/>
    <w:p w:rsidR="00311B39" w:rsidRDefault="00311B39" w:rsidP="00311B39">
      <w:r>
        <w:t>The following tables show the burden estimates for each activity described above</w:t>
      </w:r>
      <w:r w:rsidR="00093A14" w:rsidRPr="00093A14">
        <w:t xml:space="preserve"> in section 4(b)(ii) for sources and permitting authorities</w:t>
      </w:r>
      <w:r>
        <w:t xml:space="preserve">. These burden estimates are all taken from the approved ICR for the part 70 program. Table 2 displays the expected source burden for when either the EPA or a delegate agency is the permitting authority. </w:t>
      </w:r>
      <w:r w:rsidR="00093A14" w:rsidRPr="00640D38">
        <w:t xml:space="preserve">Table 3 displays the expected burden for all of the specific tasks necessary for </w:t>
      </w:r>
      <w:r w:rsidR="00093A14">
        <w:t>any permitting authority (i.e., a delegate agency or the EPA)</w:t>
      </w:r>
      <w:r w:rsidR="00093A14" w:rsidRPr="00640D38">
        <w:t>.</w:t>
      </w:r>
    </w:p>
    <w:p w:rsidR="00311B39" w:rsidRDefault="00311B39" w:rsidP="00311B39"/>
    <w:p w:rsidR="00311B39" w:rsidRDefault="00311B39" w:rsidP="00311B39">
      <w:r>
        <w:t>The Agency derived its estimates in Tables 2 and 3 from previous consultations with fewer than nine respondents from the regulated community on the burdens and costs of the permit programs</w:t>
      </w:r>
      <w:r w:rsidR="00093A14">
        <w:t>;</w:t>
      </w:r>
      <w:r>
        <w:t xml:space="preserve"> data collected by the EPA from permitting authorities on the numbers of permits issued, renewed and modified in the course of program administration</w:t>
      </w:r>
      <w:r w:rsidR="00093A14">
        <w:t>;</w:t>
      </w:r>
      <w:r>
        <w:t xml:space="preserve"> and based on our analysis of data submitted within the context of state and local permitting program evaluations. In the initial ICR for part 71, the Agency assumed sources are indifferent (from an effort perspective) between reporting to the </w:t>
      </w:r>
      <w:r w:rsidR="00093A14">
        <w:t>f</w:t>
      </w:r>
      <w:r>
        <w:t xml:space="preserve">ederal </w:t>
      </w:r>
      <w:r>
        <w:lastRenderedPageBreak/>
        <w:t>government and reporting to a state permitting authority.</w:t>
      </w:r>
      <w:r>
        <w:rPr>
          <w:rStyle w:val="FootnoteReference"/>
        </w:rPr>
        <w:footnoteReference w:id="3"/>
      </w:r>
      <w:r>
        <w:t xml:space="preserve"> Consequently, Table 2 is the same for both part 70 and this ICR. </w:t>
      </w:r>
    </w:p>
    <w:p w:rsidR="00311B39" w:rsidRDefault="00311B39" w:rsidP="00311B39"/>
    <w:p w:rsidR="00311B39" w:rsidRPr="0007719B" w:rsidRDefault="00311B39" w:rsidP="00311B39">
      <w:pPr>
        <w:jc w:val="center"/>
        <w:rPr>
          <w:b/>
        </w:rPr>
      </w:pPr>
      <w:r w:rsidRPr="0007719B">
        <w:rPr>
          <w:b/>
        </w:rPr>
        <w:t xml:space="preserve">Table 2. </w:t>
      </w:r>
      <w:r w:rsidR="00093A14">
        <w:rPr>
          <w:b/>
        </w:rPr>
        <w:t xml:space="preserve">Average </w:t>
      </w:r>
      <w:r w:rsidRPr="0007719B">
        <w:rPr>
          <w:b/>
        </w:rPr>
        <w:t>Source Burden by Activity</w:t>
      </w:r>
    </w:p>
    <w:p w:rsidR="00311B39" w:rsidRDefault="00311B39" w:rsidP="00311B39">
      <w:pPr>
        <w:jc w:val="center"/>
      </w:pPr>
    </w:p>
    <w:tbl>
      <w:tblPr>
        <w:tblW w:w="0" w:type="auto"/>
        <w:jc w:val="center"/>
        <w:tblLayout w:type="fixed"/>
        <w:tblCellMar>
          <w:left w:w="100" w:type="dxa"/>
          <w:right w:w="100" w:type="dxa"/>
        </w:tblCellMar>
        <w:tblLook w:val="0000"/>
      </w:tblPr>
      <w:tblGrid>
        <w:gridCol w:w="6135"/>
        <w:gridCol w:w="2275"/>
      </w:tblGrid>
      <w:tr w:rsidR="00311B39" w:rsidRPr="0007719B" w:rsidTr="008741D0">
        <w:trPr>
          <w:cantSplit/>
          <w:jc w:val="center"/>
        </w:trPr>
        <w:tc>
          <w:tcPr>
            <w:tcW w:w="6135" w:type="dxa"/>
            <w:tcBorders>
              <w:top w:val="single" w:sz="6" w:space="0" w:color="000000"/>
              <w:left w:val="single" w:sz="6" w:space="0" w:color="000000"/>
              <w:bottom w:val="nil"/>
              <w:right w:val="nil"/>
            </w:tcBorders>
            <w:vAlign w:val="bottom"/>
          </w:tcPr>
          <w:p w:rsidR="00311B39" w:rsidRPr="0007719B" w:rsidRDefault="00311B39" w:rsidP="00093A14">
            <w:pPr>
              <w:jc w:val="center"/>
              <w:rPr>
                <w:b/>
              </w:rPr>
            </w:pPr>
            <w:r w:rsidRPr="0007719B">
              <w:rPr>
                <w:b/>
              </w:rPr>
              <w:t>A</w:t>
            </w:r>
            <w:r>
              <w:rPr>
                <w:b/>
              </w:rPr>
              <w:t>ctivity</w:t>
            </w:r>
          </w:p>
        </w:tc>
        <w:tc>
          <w:tcPr>
            <w:tcW w:w="2275" w:type="dxa"/>
            <w:tcBorders>
              <w:top w:val="single" w:sz="6" w:space="0" w:color="000000"/>
              <w:left w:val="single" w:sz="6" w:space="0" w:color="000000"/>
              <w:bottom w:val="nil"/>
              <w:right w:val="single" w:sz="6" w:space="0" w:color="000000"/>
            </w:tcBorders>
            <w:vAlign w:val="bottom"/>
          </w:tcPr>
          <w:p w:rsidR="00311B39" w:rsidRPr="0007719B" w:rsidRDefault="00311B39" w:rsidP="00093A14">
            <w:pPr>
              <w:jc w:val="center"/>
              <w:rPr>
                <w:b/>
              </w:rPr>
            </w:pPr>
            <w:r w:rsidRPr="0007719B">
              <w:rPr>
                <w:b/>
              </w:rPr>
              <w:t>B</w:t>
            </w:r>
            <w:r>
              <w:rPr>
                <w:b/>
              </w:rPr>
              <w:t>urden per Source or Permit</w:t>
            </w:r>
          </w:p>
        </w:tc>
      </w:tr>
      <w:tr w:rsidR="00311B39" w:rsidRPr="0007719B" w:rsidTr="008741D0">
        <w:trPr>
          <w:cantSplit/>
          <w:jc w:val="center"/>
        </w:trPr>
        <w:tc>
          <w:tcPr>
            <w:tcW w:w="6135" w:type="dxa"/>
            <w:tcBorders>
              <w:top w:val="single" w:sz="6" w:space="0" w:color="000000"/>
              <w:left w:val="single" w:sz="6" w:space="0" w:color="000000"/>
              <w:bottom w:val="nil"/>
              <w:right w:val="nil"/>
            </w:tcBorders>
          </w:tcPr>
          <w:p w:rsidR="00311B39" w:rsidRPr="0007719B" w:rsidRDefault="00311B39" w:rsidP="00085C42">
            <w:r w:rsidRPr="0007719B">
              <w:t>Prepare Initial Permit Application</w:t>
            </w:r>
          </w:p>
        </w:tc>
        <w:tc>
          <w:tcPr>
            <w:tcW w:w="2275" w:type="dxa"/>
            <w:tcBorders>
              <w:top w:val="single" w:sz="6" w:space="0" w:color="000000"/>
              <w:left w:val="single" w:sz="6" w:space="0" w:color="000000"/>
              <w:bottom w:val="nil"/>
              <w:right w:val="single" w:sz="6" w:space="0" w:color="000000"/>
            </w:tcBorders>
          </w:tcPr>
          <w:p w:rsidR="00311B39" w:rsidRPr="0007719B" w:rsidRDefault="00311B39" w:rsidP="00093A14">
            <w:pPr>
              <w:ind w:left="170" w:hanging="170"/>
              <w:jc w:val="center"/>
            </w:pPr>
            <w:r w:rsidRPr="0007719B">
              <w:t>300 hrs</w:t>
            </w:r>
          </w:p>
        </w:tc>
      </w:tr>
      <w:tr w:rsidR="00311B39" w:rsidRPr="0007719B" w:rsidTr="008741D0">
        <w:trPr>
          <w:cantSplit/>
          <w:jc w:val="center"/>
        </w:trPr>
        <w:tc>
          <w:tcPr>
            <w:tcW w:w="6135" w:type="dxa"/>
            <w:tcBorders>
              <w:top w:val="single" w:sz="6" w:space="0" w:color="000000"/>
              <w:left w:val="single" w:sz="6" w:space="0" w:color="000000"/>
              <w:bottom w:val="nil"/>
              <w:right w:val="nil"/>
            </w:tcBorders>
          </w:tcPr>
          <w:p w:rsidR="00311B39" w:rsidRPr="0007719B" w:rsidRDefault="00311B39" w:rsidP="00085C42">
            <w:r w:rsidRPr="0007719B">
              <w:t>Draft Permit Interaction</w:t>
            </w:r>
          </w:p>
        </w:tc>
        <w:tc>
          <w:tcPr>
            <w:tcW w:w="2275" w:type="dxa"/>
            <w:tcBorders>
              <w:top w:val="single" w:sz="6" w:space="0" w:color="000000"/>
              <w:left w:val="single" w:sz="6" w:space="0" w:color="000000"/>
              <w:bottom w:val="nil"/>
              <w:right w:val="single" w:sz="6" w:space="0" w:color="000000"/>
            </w:tcBorders>
          </w:tcPr>
          <w:p w:rsidR="00311B39" w:rsidRPr="0007719B" w:rsidRDefault="00311B39" w:rsidP="00093A14">
            <w:pPr>
              <w:jc w:val="center"/>
            </w:pPr>
            <w:r w:rsidRPr="0007719B">
              <w:t>40 hrs</w:t>
            </w:r>
          </w:p>
        </w:tc>
      </w:tr>
      <w:tr w:rsidR="00311B39" w:rsidRPr="0007719B" w:rsidTr="008741D0">
        <w:trPr>
          <w:cantSplit/>
          <w:jc w:val="center"/>
        </w:trPr>
        <w:tc>
          <w:tcPr>
            <w:tcW w:w="6135" w:type="dxa"/>
            <w:tcBorders>
              <w:top w:val="single" w:sz="6" w:space="0" w:color="000000"/>
              <w:left w:val="single" w:sz="6" w:space="0" w:color="000000"/>
              <w:bottom w:val="nil"/>
              <w:right w:val="nil"/>
            </w:tcBorders>
          </w:tcPr>
          <w:p w:rsidR="00311B39" w:rsidRPr="0007719B" w:rsidRDefault="00311B39" w:rsidP="00085C42">
            <w:r w:rsidRPr="0007719B">
              <w:t>Gap-filling Monitoring Development (50% of permits)</w:t>
            </w:r>
          </w:p>
        </w:tc>
        <w:tc>
          <w:tcPr>
            <w:tcW w:w="2275" w:type="dxa"/>
            <w:tcBorders>
              <w:top w:val="single" w:sz="6" w:space="0" w:color="000000"/>
              <w:left w:val="single" w:sz="6" w:space="0" w:color="000000"/>
              <w:bottom w:val="nil"/>
              <w:right w:val="single" w:sz="6" w:space="0" w:color="000000"/>
            </w:tcBorders>
          </w:tcPr>
          <w:p w:rsidR="00311B39" w:rsidRPr="0007719B" w:rsidRDefault="00311B39" w:rsidP="00093A14">
            <w:pPr>
              <w:jc w:val="center"/>
            </w:pPr>
            <w:r w:rsidRPr="0007719B">
              <w:t>40 hrs</w:t>
            </w:r>
          </w:p>
        </w:tc>
      </w:tr>
      <w:tr w:rsidR="00311B39" w:rsidRPr="0007719B" w:rsidTr="008741D0">
        <w:trPr>
          <w:cantSplit/>
          <w:jc w:val="center"/>
        </w:trPr>
        <w:tc>
          <w:tcPr>
            <w:tcW w:w="6135" w:type="dxa"/>
            <w:tcBorders>
              <w:top w:val="single" w:sz="6" w:space="0" w:color="000000"/>
              <w:left w:val="single" w:sz="6" w:space="0" w:color="000000"/>
              <w:bottom w:val="nil"/>
              <w:right w:val="nil"/>
            </w:tcBorders>
          </w:tcPr>
          <w:p w:rsidR="00311B39" w:rsidRPr="0007719B" w:rsidRDefault="00311B39" w:rsidP="00085C42">
            <w:r w:rsidRPr="0007719B">
              <w:t>Public Hearing Participation (2% of permits)</w:t>
            </w:r>
          </w:p>
        </w:tc>
        <w:tc>
          <w:tcPr>
            <w:tcW w:w="2275" w:type="dxa"/>
            <w:tcBorders>
              <w:top w:val="single" w:sz="6" w:space="0" w:color="000000"/>
              <w:left w:val="single" w:sz="6" w:space="0" w:color="000000"/>
              <w:bottom w:val="nil"/>
              <w:right w:val="single" w:sz="6" w:space="0" w:color="000000"/>
            </w:tcBorders>
          </w:tcPr>
          <w:p w:rsidR="00311B39" w:rsidRPr="0007719B" w:rsidRDefault="00311B39" w:rsidP="00093A14">
            <w:pPr>
              <w:jc w:val="center"/>
            </w:pPr>
            <w:r w:rsidRPr="0007719B">
              <w:t>10 hrs</w:t>
            </w:r>
          </w:p>
        </w:tc>
      </w:tr>
      <w:tr w:rsidR="00311B39" w:rsidRPr="0007719B" w:rsidTr="008741D0">
        <w:trPr>
          <w:cantSplit/>
          <w:jc w:val="center"/>
        </w:trPr>
        <w:tc>
          <w:tcPr>
            <w:tcW w:w="6135" w:type="dxa"/>
            <w:tcBorders>
              <w:top w:val="single" w:sz="6" w:space="0" w:color="000000"/>
              <w:left w:val="single" w:sz="6" w:space="0" w:color="000000"/>
              <w:bottom w:val="nil"/>
              <w:right w:val="nil"/>
            </w:tcBorders>
          </w:tcPr>
          <w:p w:rsidR="00311B39" w:rsidRPr="0007719B" w:rsidRDefault="00311B39" w:rsidP="00085C42">
            <w:r w:rsidRPr="0007719B">
              <w:t>Operate Gap-filling Periodic Monitoring (50% of permits)</w:t>
            </w:r>
          </w:p>
        </w:tc>
        <w:tc>
          <w:tcPr>
            <w:tcW w:w="2275" w:type="dxa"/>
            <w:tcBorders>
              <w:top w:val="single" w:sz="6" w:space="0" w:color="000000"/>
              <w:left w:val="single" w:sz="6" w:space="0" w:color="000000"/>
              <w:bottom w:val="nil"/>
              <w:right w:val="single" w:sz="6" w:space="0" w:color="000000"/>
            </w:tcBorders>
          </w:tcPr>
          <w:p w:rsidR="00311B39" w:rsidRPr="0007719B" w:rsidRDefault="00311B39" w:rsidP="00093A14">
            <w:pPr>
              <w:jc w:val="center"/>
            </w:pPr>
            <w:r w:rsidRPr="0007719B">
              <w:t>200 hrs / yr</w:t>
            </w:r>
          </w:p>
        </w:tc>
      </w:tr>
      <w:tr w:rsidR="00311B39" w:rsidRPr="0007719B" w:rsidTr="008741D0">
        <w:trPr>
          <w:cantSplit/>
          <w:jc w:val="center"/>
        </w:trPr>
        <w:tc>
          <w:tcPr>
            <w:tcW w:w="6135" w:type="dxa"/>
            <w:tcBorders>
              <w:top w:val="single" w:sz="6" w:space="0" w:color="000000"/>
              <w:left w:val="single" w:sz="6" w:space="0" w:color="000000"/>
              <w:bottom w:val="nil"/>
              <w:right w:val="nil"/>
            </w:tcBorders>
          </w:tcPr>
          <w:p w:rsidR="00311B39" w:rsidRPr="0007719B" w:rsidRDefault="00311B39" w:rsidP="00085C42">
            <w:r w:rsidRPr="0007719B">
              <w:t>Prepare Monitoring Reports and Compliance Certification</w:t>
            </w:r>
          </w:p>
        </w:tc>
        <w:tc>
          <w:tcPr>
            <w:tcW w:w="2275" w:type="dxa"/>
            <w:tcBorders>
              <w:top w:val="single" w:sz="6" w:space="0" w:color="000000"/>
              <w:left w:val="single" w:sz="6" w:space="0" w:color="000000"/>
              <w:bottom w:val="nil"/>
              <w:right w:val="single" w:sz="6" w:space="0" w:color="000000"/>
            </w:tcBorders>
          </w:tcPr>
          <w:p w:rsidR="00311B39" w:rsidRPr="0007719B" w:rsidRDefault="00311B39" w:rsidP="00093A14">
            <w:pPr>
              <w:jc w:val="center"/>
            </w:pPr>
            <w:r w:rsidRPr="0007719B">
              <w:t>80 hrs / yr</w:t>
            </w:r>
          </w:p>
        </w:tc>
      </w:tr>
      <w:tr w:rsidR="00311B39" w:rsidRPr="0007719B" w:rsidTr="008741D0">
        <w:trPr>
          <w:cantSplit/>
          <w:jc w:val="center"/>
        </w:trPr>
        <w:tc>
          <w:tcPr>
            <w:tcW w:w="6135" w:type="dxa"/>
            <w:tcBorders>
              <w:top w:val="single" w:sz="6" w:space="0" w:color="000000"/>
              <w:left w:val="single" w:sz="6" w:space="0" w:color="000000"/>
              <w:bottom w:val="nil"/>
              <w:right w:val="nil"/>
            </w:tcBorders>
          </w:tcPr>
          <w:p w:rsidR="00311B39" w:rsidRPr="0007719B" w:rsidRDefault="00311B39" w:rsidP="00085C42">
            <w:r w:rsidRPr="0007719B">
              <w:t>Permit Revisions</w:t>
            </w:r>
          </w:p>
          <w:p w:rsidR="00311B39" w:rsidRPr="0007719B" w:rsidRDefault="00311B39" w:rsidP="00085C42">
            <w:r w:rsidRPr="0007719B">
              <w:t xml:space="preserve">   Significant Permit Modifications (10% of Permits)</w:t>
            </w:r>
          </w:p>
          <w:p w:rsidR="00311B39" w:rsidRPr="0007719B" w:rsidRDefault="00311B39" w:rsidP="00085C42">
            <w:r w:rsidRPr="0007719B">
              <w:t xml:space="preserve">   Minor Permit Modifications (50% of Permits)</w:t>
            </w:r>
          </w:p>
          <w:p w:rsidR="00311B39" w:rsidRPr="0007719B" w:rsidRDefault="00311B39" w:rsidP="00085C42">
            <w:r w:rsidRPr="0007719B">
              <w:t xml:space="preserve">   Administrative Amendments (50 % of Permits)</w:t>
            </w:r>
          </w:p>
        </w:tc>
        <w:tc>
          <w:tcPr>
            <w:tcW w:w="2275" w:type="dxa"/>
            <w:tcBorders>
              <w:top w:val="single" w:sz="6" w:space="0" w:color="000000"/>
              <w:left w:val="single" w:sz="6" w:space="0" w:color="000000"/>
              <w:bottom w:val="nil"/>
              <w:right w:val="single" w:sz="6" w:space="0" w:color="000000"/>
            </w:tcBorders>
          </w:tcPr>
          <w:p w:rsidR="00311B39" w:rsidRPr="0007719B" w:rsidRDefault="00311B39" w:rsidP="00093A14">
            <w:pPr>
              <w:jc w:val="center"/>
            </w:pPr>
          </w:p>
          <w:p w:rsidR="00311B39" w:rsidRPr="0007719B" w:rsidRDefault="00311B39" w:rsidP="00093A14">
            <w:pPr>
              <w:jc w:val="center"/>
            </w:pPr>
            <w:r w:rsidRPr="0007719B">
              <w:t>80 hrs</w:t>
            </w:r>
          </w:p>
          <w:p w:rsidR="00311B39" w:rsidRPr="0007719B" w:rsidRDefault="00311B39" w:rsidP="00093A14">
            <w:pPr>
              <w:jc w:val="center"/>
            </w:pPr>
            <w:r w:rsidRPr="0007719B">
              <w:t>40 hrs</w:t>
            </w:r>
          </w:p>
          <w:p w:rsidR="00311B39" w:rsidRPr="0007719B" w:rsidRDefault="00311B39" w:rsidP="00093A14">
            <w:pPr>
              <w:jc w:val="center"/>
            </w:pPr>
            <w:r w:rsidRPr="0007719B">
              <w:t>8 hrs</w:t>
            </w:r>
          </w:p>
        </w:tc>
      </w:tr>
      <w:tr w:rsidR="00311B39" w:rsidRPr="0007719B" w:rsidTr="008741D0">
        <w:trPr>
          <w:cantSplit/>
          <w:jc w:val="center"/>
        </w:trPr>
        <w:tc>
          <w:tcPr>
            <w:tcW w:w="6135" w:type="dxa"/>
            <w:tcBorders>
              <w:top w:val="single" w:sz="6" w:space="0" w:color="000000"/>
              <w:left w:val="single" w:sz="6" w:space="0" w:color="000000"/>
              <w:bottom w:val="nil"/>
              <w:right w:val="nil"/>
            </w:tcBorders>
          </w:tcPr>
          <w:p w:rsidR="00311B39" w:rsidRPr="0007719B" w:rsidRDefault="00311B39" w:rsidP="00085C42">
            <w:r w:rsidRPr="0007719B">
              <w:t>Prepare Permit Renewal Application</w:t>
            </w:r>
          </w:p>
        </w:tc>
        <w:tc>
          <w:tcPr>
            <w:tcW w:w="2275" w:type="dxa"/>
            <w:tcBorders>
              <w:top w:val="single" w:sz="6" w:space="0" w:color="000000"/>
              <w:left w:val="single" w:sz="6" w:space="0" w:color="000000"/>
              <w:bottom w:val="nil"/>
              <w:right w:val="single" w:sz="6" w:space="0" w:color="000000"/>
            </w:tcBorders>
          </w:tcPr>
          <w:p w:rsidR="00311B39" w:rsidRPr="0007719B" w:rsidRDefault="00311B39" w:rsidP="00093A14">
            <w:pPr>
              <w:jc w:val="center"/>
            </w:pPr>
            <w:r w:rsidRPr="0007719B">
              <w:t>200 hrs</w:t>
            </w:r>
          </w:p>
        </w:tc>
      </w:tr>
      <w:tr w:rsidR="00311B39" w:rsidRPr="0007719B" w:rsidTr="008741D0">
        <w:trPr>
          <w:cantSplit/>
          <w:jc w:val="center"/>
        </w:trPr>
        <w:tc>
          <w:tcPr>
            <w:tcW w:w="6135" w:type="dxa"/>
            <w:tcBorders>
              <w:top w:val="single" w:sz="6" w:space="0" w:color="000000"/>
              <w:left w:val="single" w:sz="6" w:space="0" w:color="000000"/>
              <w:bottom w:val="single" w:sz="6" w:space="0" w:color="000000"/>
              <w:right w:val="nil"/>
            </w:tcBorders>
          </w:tcPr>
          <w:p w:rsidR="00311B39" w:rsidRPr="0007719B" w:rsidRDefault="00311B39" w:rsidP="00085C42">
            <w:r w:rsidRPr="0007719B">
              <w:t>Other Permit Renewal Activities</w:t>
            </w:r>
          </w:p>
        </w:tc>
        <w:tc>
          <w:tcPr>
            <w:tcW w:w="2275" w:type="dxa"/>
            <w:tcBorders>
              <w:top w:val="single" w:sz="6" w:space="0" w:color="000000"/>
              <w:left w:val="single" w:sz="6" w:space="0" w:color="000000"/>
              <w:bottom w:val="single" w:sz="6" w:space="0" w:color="000000"/>
              <w:right w:val="single" w:sz="6" w:space="0" w:color="000000"/>
            </w:tcBorders>
          </w:tcPr>
          <w:p w:rsidR="00311B39" w:rsidRPr="0007719B" w:rsidRDefault="00311B39" w:rsidP="00093A14">
            <w:pPr>
              <w:jc w:val="center"/>
            </w:pPr>
            <w:r w:rsidRPr="0007719B">
              <w:t>20 hrs</w:t>
            </w:r>
          </w:p>
        </w:tc>
      </w:tr>
    </w:tbl>
    <w:p w:rsidR="00311B39" w:rsidRDefault="00311B39" w:rsidP="00311B39">
      <w:pPr>
        <w:numPr>
          <w:ilvl w:val="12"/>
          <w:numId w:val="0"/>
        </w:numPr>
        <w:spacing w:line="336" w:lineRule="atLeast"/>
      </w:pPr>
    </w:p>
    <w:p w:rsidR="0077240F" w:rsidRDefault="0077240F" w:rsidP="00311B39">
      <w:pPr>
        <w:numPr>
          <w:ilvl w:val="12"/>
          <w:numId w:val="0"/>
        </w:numPr>
        <w:spacing w:line="336" w:lineRule="atLeast"/>
      </w:pPr>
    </w:p>
    <w:p w:rsidR="00311B39" w:rsidRPr="00585BD6" w:rsidRDefault="00311B39" w:rsidP="00311B39">
      <w:pPr>
        <w:jc w:val="center"/>
        <w:rPr>
          <w:b/>
        </w:rPr>
      </w:pPr>
      <w:r w:rsidRPr="00585BD6">
        <w:rPr>
          <w:b/>
        </w:rPr>
        <w:t xml:space="preserve">Table 3. </w:t>
      </w:r>
      <w:r w:rsidR="00093A14">
        <w:rPr>
          <w:b/>
        </w:rPr>
        <w:t xml:space="preserve">Average </w:t>
      </w:r>
      <w:r w:rsidRPr="00585BD6">
        <w:rPr>
          <w:b/>
        </w:rPr>
        <w:t>Permitting Authority Burden by Activity</w:t>
      </w:r>
    </w:p>
    <w:p w:rsidR="00311B39" w:rsidRPr="00585BD6" w:rsidRDefault="00311B39" w:rsidP="00311B39">
      <w:pPr>
        <w:jc w:val="center"/>
        <w:rPr>
          <w:b/>
        </w:rPr>
      </w:pPr>
    </w:p>
    <w:tbl>
      <w:tblPr>
        <w:tblW w:w="0" w:type="auto"/>
        <w:jc w:val="center"/>
        <w:tblLayout w:type="fixed"/>
        <w:tblCellMar>
          <w:left w:w="100" w:type="dxa"/>
          <w:right w:w="100" w:type="dxa"/>
        </w:tblCellMar>
        <w:tblLook w:val="0000"/>
      </w:tblPr>
      <w:tblGrid>
        <w:gridCol w:w="5310"/>
        <w:gridCol w:w="3240"/>
      </w:tblGrid>
      <w:tr w:rsidR="00311B39" w:rsidRPr="00585BD6" w:rsidTr="008741D0">
        <w:trPr>
          <w:cantSplit/>
          <w:jc w:val="center"/>
        </w:trPr>
        <w:tc>
          <w:tcPr>
            <w:tcW w:w="5310" w:type="dxa"/>
            <w:tcBorders>
              <w:top w:val="single" w:sz="6" w:space="0" w:color="000000"/>
              <w:left w:val="single" w:sz="6" w:space="0" w:color="000000"/>
              <w:bottom w:val="single" w:sz="6" w:space="0" w:color="000000"/>
              <w:right w:val="nil"/>
            </w:tcBorders>
            <w:vAlign w:val="bottom"/>
          </w:tcPr>
          <w:p w:rsidR="00311B39" w:rsidRPr="00585BD6" w:rsidRDefault="00311B39" w:rsidP="00093A14">
            <w:pPr>
              <w:jc w:val="center"/>
              <w:rPr>
                <w:b/>
              </w:rPr>
            </w:pPr>
            <w:r w:rsidRPr="00585BD6">
              <w:rPr>
                <w:b/>
              </w:rPr>
              <w:t>Activity</w:t>
            </w:r>
          </w:p>
        </w:tc>
        <w:tc>
          <w:tcPr>
            <w:tcW w:w="3240" w:type="dxa"/>
            <w:tcBorders>
              <w:top w:val="single" w:sz="6" w:space="0" w:color="000000"/>
              <w:left w:val="single" w:sz="6" w:space="0" w:color="000000"/>
              <w:bottom w:val="single" w:sz="6" w:space="0" w:color="000000"/>
              <w:right w:val="single" w:sz="6" w:space="0" w:color="000000"/>
            </w:tcBorders>
            <w:vAlign w:val="bottom"/>
          </w:tcPr>
          <w:p w:rsidR="00311B39" w:rsidRPr="00585BD6" w:rsidRDefault="00311B39" w:rsidP="00093A14">
            <w:pPr>
              <w:jc w:val="center"/>
              <w:rPr>
                <w:b/>
              </w:rPr>
            </w:pPr>
            <w:r w:rsidRPr="00585BD6">
              <w:rPr>
                <w:b/>
              </w:rPr>
              <w:t>Part 71 Burden Per Permit or Program</w:t>
            </w:r>
          </w:p>
        </w:tc>
      </w:tr>
      <w:tr w:rsidR="00311B39" w:rsidRPr="00585BD6" w:rsidTr="008741D0">
        <w:trPr>
          <w:cantSplit/>
          <w:jc w:val="center"/>
        </w:trPr>
        <w:tc>
          <w:tcPr>
            <w:tcW w:w="5310" w:type="dxa"/>
            <w:tcBorders>
              <w:top w:val="single" w:sz="6" w:space="0" w:color="000000"/>
              <w:left w:val="single" w:sz="6" w:space="0" w:color="000000"/>
              <w:bottom w:val="single" w:sz="6" w:space="0" w:color="000000"/>
              <w:right w:val="nil"/>
            </w:tcBorders>
            <w:vAlign w:val="center"/>
          </w:tcPr>
          <w:p w:rsidR="00311B39" w:rsidRPr="00585BD6" w:rsidRDefault="00311B39" w:rsidP="00085C42">
            <w:r w:rsidRPr="00585BD6">
              <w:t>Program Administration</w:t>
            </w:r>
          </w:p>
        </w:tc>
        <w:tc>
          <w:tcPr>
            <w:tcW w:w="3240" w:type="dxa"/>
            <w:tcBorders>
              <w:top w:val="single" w:sz="6" w:space="0" w:color="000000"/>
              <w:left w:val="single" w:sz="6" w:space="0" w:color="000000"/>
              <w:bottom w:val="single" w:sz="6" w:space="0" w:color="000000"/>
              <w:right w:val="single" w:sz="6" w:space="0" w:color="000000"/>
            </w:tcBorders>
            <w:vAlign w:val="bottom"/>
          </w:tcPr>
          <w:p w:rsidR="00311B39" w:rsidRPr="00585BD6" w:rsidRDefault="00311B39" w:rsidP="008741D0">
            <w:pPr>
              <w:jc w:val="center"/>
            </w:pPr>
            <w:r w:rsidRPr="00585BD6">
              <w:t>3,500 hrs / PA / yr</w:t>
            </w:r>
          </w:p>
        </w:tc>
      </w:tr>
      <w:tr w:rsidR="00311B39" w:rsidRPr="00585BD6" w:rsidTr="008741D0">
        <w:trPr>
          <w:cantSplit/>
          <w:jc w:val="center"/>
        </w:trPr>
        <w:tc>
          <w:tcPr>
            <w:tcW w:w="5310" w:type="dxa"/>
            <w:tcBorders>
              <w:top w:val="single" w:sz="6" w:space="0" w:color="000000"/>
              <w:left w:val="single" w:sz="6" w:space="0" w:color="000000"/>
              <w:bottom w:val="single" w:sz="6" w:space="0" w:color="000000"/>
              <w:right w:val="nil"/>
            </w:tcBorders>
            <w:vAlign w:val="center"/>
          </w:tcPr>
          <w:p w:rsidR="00311B39" w:rsidRPr="00585BD6" w:rsidRDefault="00311B39" w:rsidP="00085C42">
            <w:r w:rsidRPr="00585BD6">
              <w:t xml:space="preserve">Initial Permit Application Review </w:t>
            </w:r>
          </w:p>
        </w:tc>
        <w:tc>
          <w:tcPr>
            <w:tcW w:w="3240" w:type="dxa"/>
            <w:tcBorders>
              <w:top w:val="single" w:sz="6" w:space="0" w:color="000000"/>
              <w:left w:val="single" w:sz="6" w:space="0" w:color="000000"/>
              <w:bottom w:val="single" w:sz="6" w:space="0" w:color="000000"/>
              <w:right w:val="single" w:sz="6" w:space="0" w:color="000000"/>
            </w:tcBorders>
            <w:vAlign w:val="bottom"/>
          </w:tcPr>
          <w:p w:rsidR="00311B39" w:rsidRPr="00585BD6" w:rsidRDefault="00311B39" w:rsidP="008741D0">
            <w:pPr>
              <w:jc w:val="center"/>
            </w:pPr>
            <w:r w:rsidRPr="00585BD6">
              <w:t>100 hrs / permit</w:t>
            </w:r>
          </w:p>
        </w:tc>
      </w:tr>
      <w:tr w:rsidR="00311B39" w:rsidRPr="00585BD6" w:rsidTr="008741D0">
        <w:trPr>
          <w:cantSplit/>
          <w:jc w:val="center"/>
        </w:trPr>
        <w:tc>
          <w:tcPr>
            <w:tcW w:w="5310" w:type="dxa"/>
            <w:tcBorders>
              <w:top w:val="single" w:sz="6" w:space="0" w:color="000000"/>
              <w:left w:val="single" w:sz="6" w:space="0" w:color="000000"/>
              <w:bottom w:val="single" w:sz="6" w:space="0" w:color="000000"/>
              <w:right w:val="nil"/>
            </w:tcBorders>
            <w:vAlign w:val="center"/>
          </w:tcPr>
          <w:p w:rsidR="00311B39" w:rsidRPr="00585BD6" w:rsidRDefault="00311B39" w:rsidP="00085C42">
            <w:r w:rsidRPr="00585BD6">
              <w:t>Draft Permits Preparation</w:t>
            </w:r>
          </w:p>
        </w:tc>
        <w:tc>
          <w:tcPr>
            <w:tcW w:w="3240" w:type="dxa"/>
            <w:tcBorders>
              <w:top w:val="single" w:sz="6" w:space="0" w:color="000000"/>
              <w:left w:val="single" w:sz="6" w:space="0" w:color="000000"/>
              <w:bottom w:val="single" w:sz="6" w:space="0" w:color="000000"/>
              <w:right w:val="single" w:sz="6" w:space="0" w:color="000000"/>
            </w:tcBorders>
            <w:vAlign w:val="bottom"/>
          </w:tcPr>
          <w:p w:rsidR="00311B39" w:rsidRPr="00585BD6" w:rsidRDefault="00311B39" w:rsidP="008741D0">
            <w:pPr>
              <w:jc w:val="center"/>
            </w:pPr>
            <w:r w:rsidRPr="00585BD6">
              <w:t>150 hrs / permit</w:t>
            </w:r>
          </w:p>
        </w:tc>
      </w:tr>
      <w:tr w:rsidR="00311B39" w:rsidRPr="00585BD6" w:rsidTr="008741D0">
        <w:trPr>
          <w:cantSplit/>
          <w:jc w:val="center"/>
        </w:trPr>
        <w:tc>
          <w:tcPr>
            <w:tcW w:w="5310" w:type="dxa"/>
            <w:tcBorders>
              <w:top w:val="single" w:sz="6" w:space="0" w:color="000000"/>
              <w:left w:val="single" w:sz="6" w:space="0" w:color="000000"/>
              <w:bottom w:val="single" w:sz="6" w:space="0" w:color="000000"/>
              <w:right w:val="nil"/>
            </w:tcBorders>
            <w:vAlign w:val="center"/>
          </w:tcPr>
          <w:p w:rsidR="00311B39" w:rsidRPr="00585BD6" w:rsidRDefault="00311B39" w:rsidP="00085C42">
            <w:r w:rsidRPr="00585BD6">
              <w:t>Comment Period Notification</w:t>
            </w:r>
          </w:p>
        </w:tc>
        <w:tc>
          <w:tcPr>
            <w:tcW w:w="3240" w:type="dxa"/>
            <w:tcBorders>
              <w:top w:val="single" w:sz="6" w:space="0" w:color="000000"/>
              <w:left w:val="single" w:sz="6" w:space="0" w:color="000000"/>
              <w:bottom w:val="single" w:sz="6" w:space="0" w:color="000000"/>
              <w:right w:val="single" w:sz="6" w:space="0" w:color="000000"/>
            </w:tcBorders>
            <w:vAlign w:val="bottom"/>
          </w:tcPr>
          <w:p w:rsidR="00311B39" w:rsidRPr="00585BD6" w:rsidRDefault="00311B39" w:rsidP="008741D0">
            <w:pPr>
              <w:jc w:val="center"/>
            </w:pPr>
            <w:r w:rsidRPr="00585BD6">
              <w:t>10 hrs / permit</w:t>
            </w:r>
          </w:p>
        </w:tc>
      </w:tr>
      <w:tr w:rsidR="00311B39" w:rsidRPr="00585BD6" w:rsidTr="008741D0">
        <w:trPr>
          <w:cantSplit/>
          <w:jc w:val="center"/>
        </w:trPr>
        <w:tc>
          <w:tcPr>
            <w:tcW w:w="5310" w:type="dxa"/>
            <w:tcBorders>
              <w:top w:val="single" w:sz="6" w:space="0" w:color="000000"/>
              <w:left w:val="single" w:sz="6" w:space="0" w:color="000000"/>
              <w:bottom w:val="single" w:sz="6" w:space="0" w:color="000000"/>
              <w:right w:val="nil"/>
            </w:tcBorders>
            <w:vAlign w:val="center"/>
          </w:tcPr>
          <w:p w:rsidR="00311B39" w:rsidRPr="00585BD6" w:rsidRDefault="00311B39" w:rsidP="00085C42">
            <w:r w:rsidRPr="00585BD6">
              <w:t>Hold Public Hearings (2% of permits)</w:t>
            </w:r>
          </w:p>
        </w:tc>
        <w:tc>
          <w:tcPr>
            <w:tcW w:w="3240" w:type="dxa"/>
            <w:tcBorders>
              <w:top w:val="single" w:sz="6" w:space="0" w:color="000000"/>
              <w:left w:val="single" w:sz="6" w:space="0" w:color="000000"/>
              <w:bottom w:val="single" w:sz="6" w:space="0" w:color="000000"/>
              <w:right w:val="single" w:sz="6" w:space="0" w:color="000000"/>
            </w:tcBorders>
            <w:vAlign w:val="bottom"/>
          </w:tcPr>
          <w:p w:rsidR="00311B39" w:rsidRPr="00585BD6" w:rsidRDefault="00311B39" w:rsidP="008741D0">
            <w:pPr>
              <w:jc w:val="center"/>
            </w:pPr>
            <w:r w:rsidRPr="00585BD6">
              <w:t>100 hrs / hearing</w:t>
            </w:r>
          </w:p>
        </w:tc>
      </w:tr>
      <w:tr w:rsidR="00311B39" w:rsidRPr="00585BD6" w:rsidTr="008741D0">
        <w:trPr>
          <w:cantSplit/>
          <w:jc w:val="center"/>
        </w:trPr>
        <w:tc>
          <w:tcPr>
            <w:tcW w:w="5310" w:type="dxa"/>
            <w:tcBorders>
              <w:top w:val="single" w:sz="6" w:space="0" w:color="000000"/>
              <w:left w:val="single" w:sz="6" w:space="0" w:color="000000"/>
              <w:bottom w:val="single" w:sz="6" w:space="0" w:color="000000"/>
              <w:right w:val="nil"/>
            </w:tcBorders>
            <w:vAlign w:val="center"/>
          </w:tcPr>
          <w:p w:rsidR="00311B39" w:rsidRPr="00585BD6" w:rsidRDefault="00311B39" w:rsidP="00085C42">
            <w:r w:rsidRPr="00585BD6">
              <w:t>Analyze Public Comments (2% of permits)</w:t>
            </w:r>
          </w:p>
        </w:tc>
        <w:tc>
          <w:tcPr>
            <w:tcW w:w="3240" w:type="dxa"/>
            <w:tcBorders>
              <w:top w:val="single" w:sz="6" w:space="0" w:color="000000"/>
              <w:left w:val="single" w:sz="6" w:space="0" w:color="000000"/>
              <w:bottom w:val="single" w:sz="6" w:space="0" w:color="000000"/>
              <w:right w:val="single" w:sz="6" w:space="0" w:color="000000"/>
            </w:tcBorders>
            <w:vAlign w:val="bottom"/>
          </w:tcPr>
          <w:p w:rsidR="00311B39" w:rsidRPr="00585BD6" w:rsidRDefault="00311B39" w:rsidP="008741D0">
            <w:pPr>
              <w:jc w:val="center"/>
            </w:pPr>
            <w:r w:rsidRPr="00585BD6">
              <w:t>40 hrs / permit</w:t>
            </w:r>
          </w:p>
        </w:tc>
      </w:tr>
      <w:tr w:rsidR="00311B39" w:rsidRPr="00585BD6" w:rsidTr="008741D0">
        <w:trPr>
          <w:cantSplit/>
          <w:jc w:val="center"/>
        </w:trPr>
        <w:tc>
          <w:tcPr>
            <w:tcW w:w="5310" w:type="dxa"/>
            <w:tcBorders>
              <w:top w:val="single" w:sz="6" w:space="0" w:color="000000"/>
              <w:left w:val="single" w:sz="6" w:space="0" w:color="000000"/>
              <w:bottom w:val="single" w:sz="6" w:space="0" w:color="000000"/>
              <w:right w:val="nil"/>
            </w:tcBorders>
            <w:vAlign w:val="center"/>
          </w:tcPr>
          <w:p w:rsidR="00311B39" w:rsidRPr="00585BD6" w:rsidRDefault="00311B39" w:rsidP="00085C42">
            <w:r w:rsidRPr="00585BD6">
              <w:t xml:space="preserve">Permit Issuance </w:t>
            </w:r>
          </w:p>
        </w:tc>
        <w:tc>
          <w:tcPr>
            <w:tcW w:w="3240" w:type="dxa"/>
            <w:tcBorders>
              <w:top w:val="single" w:sz="6" w:space="0" w:color="000000"/>
              <w:left w:val="single" w:sz="6" w:space="0" w:color="000000"/>
              <w:bottom w:val="single" w:sz="6" w:space="0" w:color="000000"/>
              <w:right w:val="single" w:sz="6" w:space="0" w:color="000000"/>
            </w:tcBorders>
            <w:vAlign w:val="bottom"/>
          </w:tcPr>
          <w:p w:rsidR="00311B39" w:rsidRPr="00585BD6" w:rsidRDefault="00311B39" w:rsidP="008741D0">
            <w:pPr>
              <w:jc w:val="center"/>
            </w:pPr>
            <w:r w:rsidRPr="00585BD6">
              <w:t>8 hrs / permit</w:t>
            </w:r>
          </w:p>
        </w:tc>
      </w:tr>
      <w:tr w:rsidR="00311B39" w:rsidRPr="00585BD6" w:rsidTr="008741D0">
        <w:trPr>
          <w:cantSplit/>
          <w:jc w:val="center"/>
        </w:trPr>
        <w:tc>
          <w:tcPr>
            <w:tcW w:w="5310" w:type="dxa"/>
            <w:tcBorders>
              <w:top w:val="single" w:sz="6" w:space="0" w:color="000000"/>
              <w:left w:val="single" w:sz="6" w:space="0" w:color="000000"/>
              <w:bottom w:val="nil"/>
              <w:right w:val="nil"/>
            </w:tcBorders>
            <w:vAlign w:val="bottom"/>
          </w:tcPr>
          <w:p w:rsidR="00311B39" w:rsidRPr="00585BD6" w:rsidRDefault="00311B39" w:rsidP="00085C42">
            <w:r w:rsidRPr="00585BD6">
              <w:t xml:space="preserve">Permit Revision </w:t>
            </w:r>
          </w:p>
          <w:p w:rsidR="00311B39" w:rsidRPr="00585BD6" w:rsidRDefault="00311B39" w:rsidP="00085C42">
            <w:r w:rsidRPr="00585BD6">
              <w:t xml:space="preserve">   Significant Permit Modification</w:t>
            </w:r>
            <w:r w:rsidR="008741D0">
              <w:t>s (10% of permits)</w:t>
            </w:r>
          </w:p>
          <w:p w:rsidR="00311B39" w:rsidRPr="00585BD6" w:rsidRDefault="00311B39" w:rsidP="00085C42">
            <w:r w:rsidRPr="00585BD6">
              <w:t xml:space="preserve">   Minor Permit Modification</w:t>
            </w:r>
            <w:r w:rsidR="008741D0">
              <w:t>s</w:t>
            </w:r>
            <w:r w:rsidR="008741D0" w:rsidRPr="0007719B">
              <w:t xml:space="preserve"> (50% of Permits)</w:t>
            </w:r>
          </w:p>
          <w:p w:rsidR="00311B39" w:rsidRPr="00585BD6" w:rsidRDefault="00311B39" w:rsidP="00085C42">
            <w:r w:rsidRPr="00585BD6">
              <w:t xml:space="preserve">   Administrative Amendment</w:t>
            </w:r>
            <w:r w:rsidR="008741D0">
              <w:t>s</w:t>
            </w:r>
            <w:r w:rsidR="008741D0" w:rsidRPr="0007719B">
              <w:t xml:space="preserve"> (50% of Permits)</w:t>
            </w:r>
          </w:p>
        </w:tc>
        <w:tc>
          <w:tcPr>
            <w:tcW w:w="3240" w:type="dxa"/>
            <w:tcBorders>
              <w:top w:val="single" w:sz="6" w:space="0" w:color="000000"/>
              <w:left w:val="single" w:sz="6" w:space="0" w:color="000000"/>
              <w:bottom w:val="single" w:sz="6" w:space="0" w:color="000000"/>
              <w:right w:val="single" w:sz="6" w:space="0" w:color="000000"/>
            </w:tcBorders>
            <w:vAlign w:val="bottom"/>
          </w:tcPr>
          <w:p w:rsidR="00311B39" w:rsidRPr="00585BD6" w:rsidRDefault="00311B39" w:rsidP="008741D0">
            <w:pPr>
              <w:jc w:val="center"/>
            </w:pPr>
          </w:p>
          <w:p w:rsidR="00311B39" w:rsidRPr="00585BD6" w:rsidRDefault="00311B39" w:rsidP="008741D0">
            <w:pPr>
              <w:jc w:val="center"/>
            </w:pPr>
            <w:r w:rsidRPr="00585BD6">
              <w:t>90 hrs / permit</w:t>
            </w:r>
          </w:p>
          <w:p w:rsidR="00311B39" w:rsidRPr="00585BD6" w:rsidRDefault="00311B39" w:rsidP="008741D0">
            <w:pPr>
              <w:jc w:val="center"/>
            </w:pPr>
            <w:r w:rsidRPr="00585BD6">
              <w:t>30 hrs / permit</w:t>
            </w:r>
          </w:p>
          <w:p w:rsidR="00311B39" w:rsidRPr="00585BD6" w:rsidRDefault="00311B39" w:rsidP="008741D0">
            <w:pPr>
              <w:jc w:val="center"/>
            </w:pPr>
            <w:r w:rsidRPr="00585BD6">
              <w:t>5 hrs / permit</w:t>
            </w:r>
          </w:p>
        </w:tc>
      </w:tr>
      <w:tr w:rsidR="00311B39" w:rsidRPr="00585BD6" w:rsidTr="008741D0">
        <w:trPr>
          <w:cantSplit/>
          <w:jc w:val="center"/>
        </w:trPr>
        <w:tc>
          <w:tcPr>
            <w:tcW w:w="5310" w:type="dxa"/>
            <w:tcBorders>
              <w:top w:val="single" w:sz="6" w:space="0" w:color="000000"/>
              <w:left w:val="single" w:sz="6" w:space="0" w:color="000000"/>
              <w:bottom w:val="nil"/>
              <w:right w:val="nil"/>
            </w:tcBorders>
            <w:vAlign w:val="center"/>
          </w:tcPr>
          <w:p w:rsidR="00311B39" w:rsidRPr="00585BD6" w:rsidRDefault="00311B39" w:rsidP="00085C42">
            <w:r w:rsidRPr="00585BD6">
              <w:t>Permit Renewal</w:t>
            </w:r>
          </w:p>
        </w:tc>
        <w:tc>
          <w:tcPr>
            <w:tcW w:w="3240" w:type="dxa"/>
            <w:tcBorders>
              <w:top w:val="single" w:sz="6" w:space="0" w:color="000000"/>
              <w:left w:val="single" w:sz="6" w:space="0" w:color="000000"/>
              <w:bottom w:val="single" w:sz="6" w:space="0" w:color="000000"/>
              <w:right w:val="single" w:sz="6" w:space="0" w:color="000000"/>
            </w:tcBorders>
            <w:vAlign w:val="bottom"/>
          </w:tcPr>
          <w:p w:rsidR="00311B39" w:rsidRPr="00585BD6" w:rsidRDefault="00311B39" w:rsidP="008741D0">
            <w:pPr>
              <w:jc w:val="center"/>
            </w:pPr>
            <w:r w:rsidRPr="00585BD6">
              <w:t>90 hrs / permit</w:t>
            </w:r>
          </w:p>
        </w:tc>
      </w:tr>
      <w:tr w:rsidR="00311B39" w:rsidRPr="00585BD6" w:rsidTr="008741D0">
        <w:trPr>
          <w:cantSplit/>
          <w:jc w:val="center"/>
        </w:trPr>
        <w:tc>
          <w:tcPr>
            <w:tcW w:w="5310" w:type="dxa"/>
            <w:tcBorders>
              <w:top w:val="single" w:sz="6" w:space="0" w:color="000000"/>
              <w:left w:val="single" w:sz="6" w:space="0" w:color="000000"/>
              <w:bottom w:val="single" w:sz="6" w:space="0" w:color="000000"/>
              <w:right w:val="nil"/>
            </w:tcBorders>
            <w:vAlign w:val="bottom"/>
          </w:tcPr>
          <w:p w:rsidR="00311B39" w:rsidRPr="00585BD6" w:rsidRDefault="00311B39" w:rsidP="00085C42">
            <w:r w:rsidRPr="00585BD6">
              <w:t>Review Reports:</w:t>
            </w:r>
          </w:p>
          <w:p w:rsidR="00311B39" w:rsidRPr="00585BD6" w:rsidRDefault="00311B39" w:rsidP="00085C42">
            <w:r w:rsidRPr="00585BD6">
              <w:t xml:space="preserve">   Monitoring (2 reports / yr)</w:t>
            </w:r>
          </w:p>
          <w:p w:rsidR="00311B39" w:rsidRPr="00585BD6" w:rsidRDefault="00311B39" w:rsidP="0077240F">
            <w:r w:rsidRPr="00585BD6">
              <w:t xml:space="preserve">   Compliance Certification </w:t>
            </w:r>
          </w:p>
        </w:tc>
        <w:tc>
          <w:tcPr>
            <w:tcW w:w="3240" w:type="dxa"/>
            <w:tcBorders>
              <w:top w:val="single" w:sz="6" w:space="0" w:color="000000"/>
              <w:left w:val="single" w:sz="6" w:space="0" w:color="000000"/>
              <w:bottom w:val="single" w:sz="6" w:space="0" w:color="000000"/>
              <w:right w:val="single" w:sz="6" w:space="0" w:color="000000"/>
            </w:tcBorders>
            <w:vAlign w:val="bottom"/>
          </w:tcPr>
          <w:p w:rsidR="00311B39" w:rsidRPr="00585BD6" w:rsidRDefault="00311B39" w:rsidP="008741D0">
            <w:pPr>
              <w:jc w:val="center"/>
            </w:pPr>
            <w:r w:rsidRPr="00585BD6">
              <w:t>10 hrs / permit</w:t>
            </w:r>
          </w:p>
          <w:p w:rsidR="00311B39" w:rsidRPr="00585BD6" w:rsidRDefault="00311B39" w:rsidP="008741D0">
            <w:pPr>
              <w:jc w:val="center"/>
            </w:pPr>
            <w:r w:rsidRPr="00585BD6">
              <w:t>5 hrs / permit</w:t>
            </w:r>
          </w:p>
        </w:tc>
      </w:tr>
    </w:tbl>
    <w:p w:rsidR="008741D0" w:rsidRDefault="008741D0"/>
    <w:p w:rsidR="008741D0" w:rsidRDefault="008741D0"/>
    <w:p w:rsidR="008741D0" w:rsidRPr="008741D0" w:rsidRDefault="008741D0" w:rsidP="0077240F">
      <w:pPr>
        <w:pStyle w:val="Heading2"/>
        <w:widowControl/>
        <w:rPr>
          <w:i w:val="0"/>
        </w:rPr>
      </w:pPr>
      <w:bookmarkStart w:id="35" w:name="_Toc319326601"/>
      <w:bookmarkStart w:id="36" w:name="_Toc320021957"/>
      <w:r w:rsidRPr="008741D0">
        <w:rPr>
          <w:i w:val="0"/>
        </w:rPr>
        <w:lastRenderedPageBreak/>
        <w:t>6(b)</w:t>
      </w:r>
      <w:r w:rsidRPr="008741D0">
        <w:rPr>
          <w:i w:val="0"/>
        </w:rPr>
        <w:tab/>
        <w:t>Estimating Respondent Costs</w:t>
      </w:r>
      <w:bookmarkEnd w:id="35"/>
      <w:bookmarkEnd w:id="36"/>
    </w:p>
    <w:p w:rsidR="008741D0" w:rsidRPr="008741D0" w:rsidRDefault="008741D0" w:rsidP="0077240F">
      <w:pPr>
        <w:keepNext/>
      </w:pPr>
    </w:p>
    <w:p w:rsidR="008741D0" w:rsidRPr="008741D0" w:rsidRDefault="008741D0" w:rsidP="0077240F">
      <w:pPr>
        <w:pStyle w:val="Heading3"/>
        <w:widowControl/>
        <w:spacing w:before="0"/>
        <w:ind w:firstLine="0"/>
      </w:pPr>
      <w:bookmarkStart w:id="37" w:name="_Toc319326602"/>
      <w:bookmarkStart w:id="38" w:name="_Toc320021958"/>
      <w:r w:rsidRPr="008741D0">
        <w:t>6(b)(i)</w:t>
      </w:r>
      <w:r w:rsidRPr="008741D0">
        <w:tab/>
        <w:t>Estimating Labor Costs</w:t>
      </w:r>
      <w:bookmarkEnd w:id="37"/>
      <w:bookmarkEnd w:id="38"/>
    </w:p>
    <w:p w:rsidR="008741D0" w:rsidRPr="008741D0" w:rsidRDefault="008741D0" w:rsidP="0077240F">
      <w:pPr>
        <w:keepNext/>
      </w:pPr>
    </w:p>
    <w:p w:rsidR="001D07DD" w:rsidRDefault="008741D0" w:rsidP="0077240F">
      <w:pPr>
        <w:keepNext/>
      </w:pPr>
      <w:r w:rsidRPr="008741D0">
        <w:t xml:space="preserve">In order to improve the accuracy of burden estimates, this ICR renewal updates the </w:t>
      </w:r>
      <w:r w:rsidR="00011B08">
        <w:t>source</w:t>
      </w:r>
      <w:r w:rsidRPr="008741D0">
        <w:t xml:space="preserve"> labor rates to values in 2011 dollars based on recent publications by the Bureau of Labor Statistics (BLS). In recent ICR renewals, we updated the labor rate for sources using the BLS Employment Cost Index (ECI) applied to the rate used in the previous renewal. However, we could no longer reproduce the methodology used to derive the source labor rate in the original ICR for the program, and the value used in the most recent renewal appeared to be unrealistically low. </w:t>
      </w:r>
    </w:p>
    <w:p w:rsidR="001D07DD" w:rsidRDefault="001D07DD" w:rsidP="008741D0"/>
    <w:p w:rsidR="008741D0" w:rsidRPr="008741D0" w:rsidRDefault="008741D0" w:rsidP="008741D0">
      <w:r w:rsidRPr="008741D0">
        <w:t>The labor rate used to calculate sources’ labor cost for this ICR renewal is $6</w:t>
      </w:r>
      <w:r w:rsidR="00086F08">
        <w:t>4</w:t>
      </w:r>
      <w:r w:rsidRPr="008741D0">
        <w:t>/hr. This source labor rate was calculated on the assumption that, while most of the labor for sources will be performed by Environmental Engineers, approximately 50 percent of the labor hours expended for two of the activities listed above in Table 1 will be carried out by Environmental Engineering Technicians. Specifically, we assumed that Environmental Engineering Technicians will expend half of the labor hours to “Operate Gap-filling Monitoring” and “Prepare Monitoring Reports</w:t>
      </w:r>
      <w:r w:rsidR="0086461E" w:rsidRPr="0086461E">
        <w:t xml:space="preserve"> </w:t>
      </w:r>
      <w:r w:rsidR="0086461E" w:rsidRPr="0007719B">
        <w:t>and Compliance Certification</w:t>
      </w:r>
      <w:r w:rsidRPr="008741D0">
        <w:t xml:space="preserve">.” </w:t>
      </w:r>
    </w:p>
    <w:p w:rsidR="008741D0" w:rsidRPr="008741D0" w:rsidRDefault="008741D0" w:rsidP="008741D0"/>
    <w:p w:rsidR="008741D0" w:rsidRPr="008741D0" w:rsidRDefault="008741D0" w:rsidP="008741D0">
      <w:r w:rsidRPr="008741D0">
        <w:t>To derive this composite labor rate, we obtained the mean hourly wage for Environmental Engineers of $39.98 from the most recent BLS Occupational Employment Statistics, which gives wages as of May 2010.</w:t>
      </w:r>
      <w:r w:rsidRPr="008741D0">
        <w:rPr>
          <w:vertAlign w:val="superscript"/>
        </w:rPr>
        <w:footnoteReference w:id="4"/>
      </w:r>
      <w:r w:rsidRPr="008741D0">
        <w:t xml:space="preserve"> Similarly, we obtained the May 2010 mean hourly wage for Environmental Engineering Technicians of $22.51.</w:t>
      </w:r>
      <w:r w:rsidRPr="008741D0">
        <w:rPr>
          <w:vertAlign w:val="superscript"/>
        </w:rPr>
        <w:footnoteReference w:id="5"/>
      </w:r>
      <w:r w:rsidRPr="008741D0">
        <w:t xml:space="preserve"> In each case, we escalated the hourly wages to December 2011 using the BLS ECI for private industry workers, resulting in hourly wages of $40.98 for Environmental Engineers and hourly wages of $23.07 for Environmental Engineering Technicians.</w:t>
      </w:r>
      <w:r w:rsidRPr="008741D0">
        <w:rPr>
          <w:vertAlign w:val="superscript"/>
        </w:rPr>
        <w:footnoteReference w:id="6"/>
      </w:r>
      <w:r w:rsidRPr="008741D0">
        <w:t xml:space="preserve"> An example escalation calculation for Environmental Engineers is as follows:</w:t>
      </w:r>
    </w:p>
    <w:p w:rsidR="008741D0" w:rsidRPr="008741D0" w:rsidRDefault="008741D0" w:rsidP="008741D0"/>
    <w:p w:rsidR="008741D0" w:rsidRPr="008741D0" w:rsidRDefault="00327742" w:rsidP="008741D0">
      <m:oMathPara>
        <m:oMath>
          <m:sSub>
            <m:sSubPr>
              <m:ctrlPr>
                <w:rPr>
                  <w:rFonts w:ascii="Cambria Math" w:hAnsi="Cambria Math"/>
                  <w:i/>
                </w:rPr>
              </m:ctrlPr>
            </m:sSubPr>
            <m:e>
              <m:r>
                <w:rPr>
                  <w:rFonts w:ascii="Cambria Math" w:hAnsi="Cambria Math"/>
                </w:rPr>
                <m:t>Wage</m:t>
              </m:r>
            </m:e>
            <m:sub>
              <m:r>
                <w:rPr>
                  <w:rFonts w:ascii="Cambria Math" w:hAnsi="Cambria Math"/>
                </w:rPr>
                <m:t>Dec2011</m:t>
              </m:r>
            </m:sub>
          </m:sSub>
          <m:r>
            <w:rPr>
              <w:rFonts w:ascii="Cambria Math" w:hAnsi="Cambria Math"/>
            </w:rPr>
            <m:t>=</m:t>
          </m:r>
          <m:sSub>
            <m:sSubPr>
              <m:ctrlPr>
                <w:rPr>
                  <w:rFonts w:ascii="Cambria Math" w:hAnsi="Cambria Math"/>
                  <w:i/>
                </w:rPr>
              </m:ctrlPr>
            </m:sSubPr>
            <m:e>
              <m:r>
                <w:rPr>
                  <w:rFonts w:ascii="Cambria Math" w:hAnsi="Cambria Math"/>
                </w:rPr>
                <m:t>Wage</m:t>
              </m:r>
            </m:e>
            <m:sub>
              <m:r>
                <w:rPr>
                  <w:rFonts w:ascii="Cambria Math" w:hAnsi="Cambria Math"/>
                </w:rPr>
                <m:t>May2010</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ECI</m:t>
                  </m:r>
                </m:e>
                <m:sub>
                  <m:r>
                    <w:rPr>
                      <w:rFonts w:ascii="Cambria Math" w:hAnsi="Cambria Math"/>
                    </w:rPr>
                    <m:t>Dec2011</m:t>
                  </m:r>
                </m:sub>
              </m:sSub>
            </m:num>
            <m:den>
              <m:sSub>
                <m:sSubPr>
                  <m:ctrlPr>
                    <w:rPr>
                      <w:rFonts w:ascii="Cambria Math" w:hAnsi="Cambria Math"/>
                      <w:i/>
                    </w:rPr>
                  </m:ctrlPr>
                </m:sSubPr>
                <m:e>
                  <m:r>
                    <w:rPr>
                      <w:rFonts w:ascii="Cambria Math" w:hAnsi="Cambria Math"/>
                    </w:rPr>
                    <m:t>ECI</m:t>
                  </m:r>
                </m:e>
                <m:sub>
                  <m:r>
                    <w:rPr>
                      <w:rFonts w:ascii="Cambria Math" w:hAnsi="Cambria Math"/>
                    </w:rPr>
                    <m:t>June2010</m:t>
                  </m:r>
                </m:sub>
              </m:sSub>
            </m:den>
          </m:f>
        </m:oMath>
      </m:oMathPara>
    </w:p>
    <w:p w:rsidR="008741D0" w:rsidRPr="008741D0" w:rsidRDefault="008741D0" w:rsidP="008741D0"/>
    <w:p w:rsidR="008741D0" w:rsidRPr="008741D0" w:rsidRDefault="008741D0" w:rsidP="008741D0">
      <m:oMathPara>
        <m:oMath>
          <m:r>
            <w:rPr>
              <w:rFonts w:ascii="Cambria Math" w:hAnsi="Cambria Math"/>
            </w:rPr>
            <m:t>$39.98×</m:t>
          </m:r>
          <m:f>
            <m:fPr>
              <m:ctrlPr>
                <w:rPr>
                  <w:rFonts w:ascii="Cambria Math" w:hAnsi="Cambria Math"/>
                  <w:i/>
                </w:rPr>
              </m:ctrlPr>
            </m:fPr>
            <m:num>
              <m:r>
                <w:rPr>
                  <w:rFonts w:ascii="Cambria Math" w:hAnsi="Cambria Math"/>
                </w:rPr>
                <m:t>114.7</m:t>
              </m:r>
            </m:num>
            <m:den>
              <m:r>
                <w:rPr>
                  <w:rFonts w:ascii="Cambria Math" w:hAnsi="Cambria Math"/>
                </w:rPr>
                <m:t>111.9</m:t>
              </m:r>
            </m:den>
          </m:f>
          <m:r>
            <w:rPr>
              <w:rFonts w:ascii="Cambria Math" w:hAnsi="Cambria Math"/>
            </w:rPr>
            <m:t>=$40.98</m:t>
          </m:r>
        </m:oMath>
      </m:oMathPara>
    </w:p>
    <w:p w:rsidR="008741D0" w:rsidRPr="008741D0" w:rsidRDefault="008741D0" w:rsidP="008741D0"/>
    <w:p w:rsidR="008741D0" w:rsidRPr="008741D0" w:rsidRDefault="008741D0" w:rsidP="008741D0">
      <w:r w:rsidRPr="008741D0">
        <w:t xml:space="preserve">We then calculated a weighted average hourly wage for sources using the total hours projected for sources over the 3 years of this ICR, as shown later in this document in </w:t>
      </w:r>
      <w:r w:rsidRPr="0077240F">
        <w:t>Table 6</w:t>
      </w:r>
      <w:r w:rsidRPr="008741D0">
        <w:t xml:space="preserve">, apportioned between Environmental Engineers and Environmental Engineering Technicians as discussed above. This </w:t>
      </w:r>
      <w:r w:rsidRPr="008741D0">
        <w:lastRenderedPageBreak/>
        <w:t>calculation results in a weighted average hourly wage of $3</w:t>
      </w:r>
      <w:r w:rsidR="0086461E">
        <w:t>5.46</w:t>
      </w:r>
      <w:r w:rsidRPr="008741D0">
        <w:t>. Finally, to determine the total labor rate, we assumed an 80 percent factor to account for benefits and overhead, which we believe to be representative. The resultant rate was rounded to the nearest dollar, yielding $6</w:t>
      </w:r>
      <w:r w:rsidR="0086461E">
        <w:t>4</w:t>
      </w:r>
      <w:r w:rsidRPr="008741D0">
        <w:t>/hr in 2011 dollars. This labor rate was applied to all source burden hours to calculate the sources’ labor costs.</w:t>
      </w:r>
    </w:p>
    <w:p w:rsidR="008741D0" w:rsidRPr="008741D0" w:rsidRDefault="008741D0" w:rsidP="008741D0"/>
    <w:p w:rsidR="001D07DD" w:rsidRPr="008741D0" w:rsidRDefault="001D07DD" w:rsidP="001D07DD">
      <w:r w:rsidRPr="008741D0">
        <w:t xml:space="preserve">For </w:t>
      </w:r>
      <w:r>
        <w:t xml:space="preserve">delegate </w:t>
      </w:r>
      <w:r w:rsidRPr="008741D0">
        <w:t>permitting authorities</w:t>
      </w:r>
      <w:r>
        <w:t xml:space="preserve">, we have maintained the practice </w:t>
      </w:r>
      <w:r w:rsidRPr="008741D0">
        <w:t xml:space="preserve">in recent ICR renewals </w:t>
      </w:r>
      <w:r>
        <w:t>of using the</w:t>
      </w:r>
      <w:r w:rsidRPr="008741D0">
        <w:t xml:space="preserve"> same labor rate calculated for the EPA based on federal wage tables. </w:t>
      </w:r>
      <w:r>
        <w:t>The resulting labor rate for delegate permitting authorities is $52</w:t>
      </w:r>
      <w:r w:rsidR="0086461E">
        <w:t>/</w:t>
      </w:r>
      <w:r>
        <w:t>hr. This calculation is</w:t>
      </w:r>
      <w:r w:rsidRPr="008741D0">
        <w:t xml:space="preserve"> discussed further below</w:t>
      </w:r>
      <w:r>
        <w:t xml:space="preserve"> in section</w:t>
      </w:r>
      <w:r w:rsidR="00086F08">
        <w:t xml:space="preserve"> 6(c)</w:t>
      </w:r>
      <w:r w:rsidRPr="008741D0">
        <w:t>.</w:t>
      </w:r>
    </w:p>
    <w:p w:rsidR="001D07DD" w:rsidRPr="008741D0" w:rsidRDefault="001D07DD" w:rsidP="001D07DD"/>
    <w:p w:rsidR="008741D0" w:rsidRPr="008741D0" w:rsidRDefault="008741D0" w:rsidP="00A34DA5">
      <w:pPr>
        <w:pStyle w:val="Heading3"/>
        <w:spacing w:before="0"/>
        <w:ind w:firstLine="0"/>
      </w:pPr>
      <w:bookmarkStart w:id="39" w:name="_Toc319326603"/>
      <w:bookmarkStart w:id="40" w:name="_Toc320021959"/>
      <w:r w:rsidRPr="008741D0">
        <w:t>6(b)(ii)</w:t>
      </w:r>
      <w:r w:rsidRPr="008741D0">
        <w:tab/>
        <w:t>Estimating Capital and Operating and Maintenance (O&amp;M) Costs</w:t>
      </w:r>
      <w:bookmarkEnd w:id="39"/>
      <w:bookmarkEnd w:id="40"/>
    </w:p>
    <w:p w:rsidR="008741D0" w:rsidRPr="008741D0" w:rsidRDefault="008741D0" w:rsidP="008741D0"/>
    <w:p w:rsidR="008741D0" w:rsidRPr="008741D0" w:rsidRDefault="008741D0" w:rsidP="008741D0">
      <w:r w:rsidRPr="008741D0">
        <w:t>The EPA believes that sources will incur little or no capital cost to comply with part 7</w:t>
      </w:r>
      <w:r w:rsidR="00C8119B">
        <w:t>1</w:t>
      </w:r>
      <w:r w:rsidRPr="008741D0">
        <w:t xml:space="preserve"> requirements. Even if a part 7</w:t>
      </w:r>
      <w:r w:rsidR="00C8119B">
        <w:t>1</w:t>
      </w:r>
      <w:r w:rsidRPr="008741D0">
        <w:t xml:space="preserve"> permit applicant is a brand new company and the prospective source is a “greenfield” source (the EPA estimates less than 1 percent of sources fit that description) most, and perhaps all, of the equipment needed to prepare permit applications (for example, the computers and basic software) will be part of the source’s business operation inventory. Monitoring can require capital expenditures for new sources or new operations at existing sources, but these expenditures generally are accounted for in the ICRs for the applicable requirements under which they are required (e.g., NSPS or NESHAP). The one exception to this is the part 7</w:t>
      </w:r>
      <w:r w:rsidR="00A34DA5">
        <w:t>1</w:t>
      </w:r>
      <w:r w:rsidRPr="008741D0">
        <w:t xml:space="preserve"> requirement to develop and operated gap-filling monitoring in certain, limited situations where the applicable requirements do not require monitoring. However, such gap-filling monitoring typically consists of periodically monitoring and recording operating conditions or other parameters that the source already monitors for operational purposes. Thus, we believe that capital costs are negligible for sources.</w:t>
      </w:r>
    </w:p>
    <w:p w:rsidR="008741D0" w:rsidRPr="008741D0" w:rsidRDefault="008741D0" w:rsidP="008741D0"/>
    <w:p w:rsidR="008741D0" w:rsidRPr="008741D0" w:rsidRDefault="00A34DA5" w:rsidP="008741D0">
      <w:r>
        <w:t>Delegate p</w:t>
      </w:r>
      <w:r w:rsidR="008741D0" w:rsidRPr="008741D0">
        <w:t>ermitting authorities similarly incur negligible capital costs. As with sources, we believe that most, and perhaps all, of the computers and other office equipment needed to administer the part 7</w:t>
      </w:r>
      <w:r>
        <w:t>1</w:t>
      </w:r>
      <w:r w:rsidR="008741D0" w:rsidRPr="008741D0">
        <w:t xml:space="preserve"> program will be part of the permitting authority’s office inventory. In any case, the </w:t>
      </w:r>
      <w:r>
        <w:t xml:space="preserve">one existing delegate </w:t>
      </w:r>
      <w:r w:rsidR="008741D0" w:rsidRPr="008741D0">
        <w:t>permitting authorit</w:t>
      </w:r>
      <w:r>
        <w:t>y</w:t>
      </w:r>
      <w:r w:rsidR="008741D0" w:rsidRPr="008741D0">
        <w:t xml:space="preserve"> operate</w:t>
      </w:r>
      <w:r>
        <w:t>s</w:t>
      </w:r>
      <w:r w:rsidR="008741D0" w:rsidRPr="008741D0">
        <w:t xml:space="preserve"> </w:t>
      </w:r>
      <w:r>
        <w:t xml:space="preserve">a </w:t>
      </w:r>
      <w:r w:rsidR="008741D0" w:rsidRPr="008741D0">
        <w:t xml:space="preserve">mature part 70 programs, so there is no need for initial equipment purchases to outfit a new program office. </w:t>
      </w:r>
    </w:p>
    <w:p w:rsidR="008741D0" w:rsidRPr="008741D0" w:rsidRDefault="008741D0" w:rsidP="008741D0"/>
    <w:p w:rsidR="008741D0" w:rsidRPr="008741D0" w:rsidRDefault="008741D0" w:rsidP="008741D0">
      <w:r w:rsidRPr="008741D0">
        <w:t>Since the purchase of capital equipment is believed to be an insignificant factor under part 7</w:t>
      </w:r>
      <w:r w:rsidR="00A34DA5">
        <w:t>1</w:t>
      </w:r>
      <w:r w:rsidRPr="008741D0">
        <w:t>, the EPA assumes the operation, maintenance or services for same are negligible. Further, once a permit is issued, there is minimal O&amp;M cost associated with it. It remains unaltered unless it must be revised, and such revisions are accounted for as burden hours in section 6(a) above. As noted previously, part 7</w:t>
      </w:r>
      <w:r w:rsidR="00A34DA5">
        <w:t>1</w:t>
      </w:r>
      <w:r w:rsidRPr="008741D0">
        <w:t xml:space="preserve"> requires sources to submit deviation reports, semi</w:t>
      </w:r>
      <w:r w:rsidR="00A34DA5">
        <w:t>-</w:t>
      </w:r>
      <w:r w:rsidRPr="008741D0">
        <w:t xml:space="preserve">annual reports of monitoring and annual compliance certification reports, but these reports generally are coordinated with similar reports that are required under the source’s applicable requirements. The O&amp;M costs (e.g., photocopying and postage) for the reports required under the applicable requirements are included in the ICRs for those rules, and we believe that it would constitute double counting to include such costs here as well. In addition, electronic reporting by sources is increasingly prevalent, with no associated O&amp;M costs. Accordingly, we include no O&amp;M costs in this ICR for sources. For parallel reasons, we believe that O&amp;M costs for </w:t>
      </w:r>
      <w:r w:rsidR="00A34DA5">
        <w:t xml:space="preserve">delegate </w:t>
      </w:r>
      <w:r w:rsidRPr="008741D0">
        <w:t>permitting authorities will be minimal, and none are included in this ICR.</w:t>
      </w:r>
    </w:p>
    <w:p w:rsidR="008741D0" w:rsidRPr="008741D0" w:rsidRDefault="008741D0" w:rsidP="008741D0"/>
    <w:p w:rsidR="008741D0" w:rsidRPr="008741D0" w:rsidRDefault="008741D0" w:rsidP="00A34DA5">
      <w:pPr>
        <w:pStyle w:val="Heading3"/>
        <w:tabs>
          <w:tab w:val="left" w:pos="900"/>
        </w:tabs>
        <w:spacing w:before="0"/>
        <w:ind w:firstLine="0"/>
      </w:pPr>
      <w:bookmarkStart w:id="41" w:name="_Toc319326604"/>
      <w:bookmarkStart w:id="42" w:name="_Toc320021960"/>
      <w:r w:rsidRPr="008741D0">
        <w:t>6(b)(iii)</w:t>
      </w:r>
      <w:r w:rsidRPr="008741D0">
        <w:tab/>
        <w:t>Capital/Start-up vs. O&amp;M Costs</w:t>
      </w:r>
      <w:bookmarkEnd w:id="41"/>
      <w:bookmarkEnd w:id="42"/>
    </w:p>
    <w:p w:rsidR="008741D0" w:rsidRPr="008741D0" w:rsidRDefault="008741D0" w:rsidP="008741D0"/>
    <w:p w:rsidR="008741D0" w:rsidRPr="008741D0" w:rsidRDefault="008741D0" w:rsidP="008741D0">
      <w:r w:rsidRPr="008741D0">
        <w:t xml:space="preserve">Capital/start-up and O&amp;M costs are non-labor related costs. One-time capital/start-up costs are incurred with the purchase of durable goods needed to provide information. According to the PRA, capital/start-up cost should include, among other items, preparations for collecting information such as purchasing computers and software, monitoring, sampling, drilling and testing equipment. As a practical matter, </w:t>
      </w:r>
      <w:r w:rsidRPr="008741D0">
        <w:lastRenderedPageBreak/>
        <w:t>most these costs are not typical of the costs associated with preparing a part 7</w:t>
      </w:r>
      <w:r w:rsidR="00A34DA5">
        <w:t>1</w:t>
      </w:r>
      <w:r w:rsidRPr="008741D0">
        <w:t xml:space="preserve"> permit application. As discussed in the previous section, we believe that the gap-filling monitoring requir</w:t>
      </w:r>
      <w:r w:rsidR="00A34DA5">
        <w:t>ed of some sources under part 71</w:t>
      </w:r>
      <w:r w:rsidRPr="008741D0">
        <w:t xml:space="preserve"> will not involve capital spending. For the same reason, the O&amp;M costs associated with start-up capital equipment are zero for this ICR. In addition, we believe that overlapping reporting accounted for in other ICRs and electronic reporting result in zero O&amp;M costs for this ICR.</w:t>
      </w:r>
    </w:p>
    <w:p w:rsidR="008741D0" w:rsidRPr="008741D0" w:rsidRDefault="008741D0" w:rsidP="008741D0"/>
    <w:p w:rsidR="008741D0" w:rsidRPr="008741D0" w:rsidRDefault="008741D0" w:rsidP="00A34DA5">
      <w:pPr>
        <w:pStyle w:val="Heading3"/>
        <w:tabs>
          <w:tab w:val="left" w:pos="900"/>
        </w:tabs>
        <w:spacing w:before="0"/>
        <w:ind w:firstLine="0"/>
      </w:pPr>
      <w:bookmarkStart w:id="43" w:name="_Toc319326605"/>
      <w:bookmarkStart w:id="44" w:name="_Toc320021961"/>
      <w:r w:rsidRPr="008741D0">
        <w:t>6(b)(iv)</w:t>
      </w:r>
      <w:r w:rsidRPr="008741D0">
        <w:tab/>
        <w:t>Annualizing Capital Costs</w:t>
      </w:r>
      <w:bookmarkEnd w:id="43"/>
      <w:bookmarkEnd w:id="44"/>
    </w:p>
    <w:p w:rsidR="008741D0" w:rsidRPr="008741D0" w:rsidRDefault="008741D0" w:rsidP="008741D0"/>
    <w:p w:rsidR="008741D0" w:rsidRPr="008741D0" w:rsidRDefault="008741D0" w:rsidP="008741D0">
      <w:r w:rsidRPr="008741D0">
        <w:t>Typically, annualized capital cost would be derived from a discounted net present value of the stream of capital costs that would occur over the life of the permit, or the ICR, whichever is shorter. However, in the case of the part 7</w:t>
      </w:r>
      <w:r w:rsidR="00A34DA5">
        <w:t>1</w:t>
      </w:r>
      <w:r w:rsidRPr="008741D0">
        <w:t xml:space="preserve"> Operating Permit Program, there are only labor costs for preparing and processing permit applications, conducting gap-filling monitoring, and preparing and reviewing reports. Labor costs are expensed when incurred and not amortized. Therefore, the annualized capital costs for this program are zero.</w:t>
      </w:r>
    </w:p>
    <w:p w:rsidR="008741D0" w:rsidRPr="008741D0" w:rsidRDefault="008741D0" w:rsidP="008741D0"/>
    <w:p w:rsidR="00D54C98" w:rsidRPr="00D54C98" w:rsidRDefault="00D54C98" w:rsidP="00D54C98">
      <w:pPr>
        <w:pStyle w:val="Heading2"/>
        <w:rPr>
          <w:i w:val="0"/>
        </w:rPr>
      </w:pPr>
      <w:bookmarkStart w:id="45" w:name="_Toc319326606"/>
      <w:bookmarkStart w:id="46" w:name="_Toc320021962"/>
      <w:r w:rsidRPr="00D54C98">
        <w:rPr>
          <w:i w:val="0"/>
        </w:rPr>
        <w:t>6(c)</w:t>
      </w:r>
      <w:r w:rsidRPr="00D54C98">
        <w:rPr>
          <w:i w:val="0"/>
        </w:rPr>
        <w:tab/>
        <w:t>Estimating Agency Burden and Cost</w:t>
      </w:r>
      <w:bookmarkEnd w:id="45"/>
      <w:bookmarkEnd w:id="46"/>
    </w:p>
    <w:p w:rsidR="00D54C98" w:rsidRPr="00D54C98" w:rsidRDefault="00D54C98" w:rsidP="00D54C98"/>
    <w:p w:rsidR="00D54C98" w:rsidRDefault="00D54C98" w:rsidP="00D54C98">
      <w:r>
        <w:t xml:space="preserve">The bulk of the EPA’s burden and cost under the part 71 program comes from our role as the primary permitting authority. We estimate that the EPA will be the permitting authority for approximately 160 of the 174 sources projected to be subject to the part 71 program by the end of this ICR renewal period. Because </w:t>
      </w:r>
      <w:r w:rsidR="005C63B5">
        <w:t>we cannot predict the precise division of activities between the EPA and the delegate permitting authorities (e.</w:t>
      </w:r>
      <w:r w:rsidR="00085A30">
        <w:t>g.</w:t>
      </w:r>
      <w:r w:rsidR="005C63B5">
        <w:t>, the</w:t>
      </w:r>
      <w:r>
        <w:t xml:space="preserve"> exact mix of </w:t>
      </w:r>
      <w:r w:rsidR="00316261">
        <w:t>sources needing permit revisions [i.e., significant and minor permit modifications and administrative amendments]</w:t>
      </w:r>
      <w:r>
        <w:t xml:space="preserve">, </w:t>
      </w:r>
      <w:r w:rsidR="00085A30">
        <w:t xml:space="preserve">sources needing permit renewals or </w:t>
      </w:r>
      <w:r w:rsidR="005C63B5">
        <w:t>permits requiring public hearings), we continue the practice from previous ICRs of calculating the total burden for permitting authorities (based on addressing all part 71 sources) and then apportioning that burden between the EPA and the delegate permitting authorities based on the projected number of sources covered by each. This calculation is detailed below in section</w:t>
      </w:r>
      <w:r w:rsidR="00D250F0">
        <w:t xml:space="preserve"> 6(d) where we address</w:t>
      </w:r>
      <w:r w:rsidR="005C63B5">
        <w:t xml:space="preserve"> respondent burden and cost.</w:t>
      </w:r>
    </w:p>
    <w:p w:rsidR="00D54C98" w:rsidRDefault="00D54C98" w:rsidP="00D54C98"/>
    <w:p w:rsidR="00D54C98" w:rsidRPr="00D54C98" w:rsidRDefault="00D54C98" w:rsidP="00D54C98">
      <w:r w:rsidRPr="00D54C98">
        <w:t xml:space="preserve">The </w:t>
      </w:r>
      <w:r w:rsidR="00085C42">
        <w:t xml:space="preserve">EPA also incurs burden and cost for oversight of delegate permitting authorities. The </w:t>
      </w:r>
      <w:r w:rsidRPr="00D54C98">
        <w:t xml:space="preserve">estimated burden associated with the each of the activities listed above in section 5(a) for the EPA is presented below in Table </w:t>
      </w:r>
      <w:r w:rsidR="00085C42">
        <w:t>4</w:t>
      </w:r>
      <w:r w:rsidRPr="00D54C98">
        <w:t>. These activities remain unchanged from the 2007 ICR renewal. While there are several new activities or changes in activity levels compared to the 2007 ICR renewal that are related to the Flexible Air Permits and GHG Tailoring rules, for the sake of clarity we discuss those later in this document.</w:t>
      </w:r>
    </w:p>
    <w:p w:rsidR="00D54C98" w:rsidRDefault="00D54C98" w:rsidP="00D54C98"/>
    <w:p w:rsidR="00975413" w:rsidRPr="00BC1C1A" w:rsidRDefault="00975413" w:rsidP="00975413">
      <w:r w:rsidRPr="00D54C98">
        <w:t>The estimated EPA labor rate for this ICR is $52/hr. The rate reflects the assumption that the EPA personnel overseeing the part 7</w:t>
      </w:r>
      <w:r>
        <w:t>1 Operating Permit</w:t>
      </w:r>
      <w:r w:rsidRPr="00D54C98">
        <w:t xml:space="preserve"> Program are classified as Grade 12, Step 5. The corresponding salary is loaded with benefits at the standard rate of 60 percent</w:t>
      </w:r>
      <w:r w:rsidRPr="00D54C98">
        <w:rPr>
          <w:i/>
        </w:rPr>
        <w:t>.</w:t>
      </w:r>
      <w:r w:rsidRPr="00BC1C1A">
        <w:rPr>
          <w:vertAlign w:val="superscript"/>
        </w:rPr>
        <w:footnoteReference w:id="7"/>
      </w:r>
      <w:r w:rsidRPr="00BC1C1A">
        <w:t xml:space="preserve"> This is an increase in loaded</w:t>
      </w:r>
      <w:r>
        <w:t xml:space="preserve"> </w:t>
      </w:r>
      <w:r w:rsidRPr="00BC1C1A">
        <w:t>EPA labor rates from that used in the 2007 ICR renewal for part 71 of $46/hr (which was based on a combination of assumptions concerning various staff, management and support staff time).</w:t>
      </w:r>
    </w:p>
    <w:p w:rsidR="00975413" w:rsidRDefault="00975413" w:rsidP="00975413"/>
    <w:p w:rsidR="00975413" w:rsidRPr="00D54C98" w:rsidRDefault="00975413" w:rsidP="00D54C98"/>
    <w:p w:rsidR="00D54C98" w:rsidRPr="00D54C98" w:rsidRDefault="00D54C98" w:rsidP="00BC1C1A">
      <w:pPr>
        <w:keepNext/>
        <w:jc w:val="center"/>
        <w:rPr>
          <w:b/>
          <w:bCs/>
        </w:rPr>
      </w:pPr>
      <w:r w:rsidRPr="00D54C98">
        <w:rPr>
          <w:b/>
          <w:bCs/>
        </w:rPr>
        <w:lastRenderedPageBreak/>
        <w:t xml:space="preserve">Table </w:t>
      </w:r>
      <w:r w:rsidR="00085C42">
        <w:rPr>
          <w:b/>
          <w:bCs/>
        </w:rPr>
        <w:t>4</w:t>
      </w:r>
      <w:r w:rsidRPr="00D54C98">
        <w:rPr>
          <w:b/>
          <w:bCs/>
        </w:rPr>
        <w:t>. Average EPA Burden by Activity</w:t>
      </w:r>
      <w:r w:rsidR="00085C42">
        <w:rPr>
          <w:b/>
          <w:bCs/>
        </w:rPr>
        <w:t xml:space="preserve"> for Oversight</w:t>
      </w:r>
      <w:r w:rsidR="00316261">
        <w:rPr>
          <w:b/>
          <w:bCs/>
        </w:rPr>
        <w:t xml:space="preserve"> of Delegate Agencies</w:t>
      </w:r>
    </w:p>
    <w:p w:rsidR="00D54C98" w:rsidRPr="00D54C98" w:rsidRDefault="00D54C98" w:rsidP="00BC1C1A">
      <w:pPr>
        <w:keepNext/>
      </w:pPr>
      <w:r w:rsidRPr="00D54C98">
        <w:rPr>
          <w:b/>
          <w:bCs/>
        </w:rPr>
        <w:t xml:space="preserve"> </w:t>
      </w:r>
    </w:p>
    <w:tbl>
      <w:tblPr>
        <w:tblW w:w="0" w:type="auto"/>
        <w:jc w:val="center"/>
        <w:tblLayout w:type="fixed"/>
        <w:tblCellMar>
          <w:left w:w="100" w:type="dxa"/>
          <w:right w:w="100" w:type="dxa"/>
        </w:tblCellMar>
        <w:tblLook w:val="0000"/>
      </w:tblPr>
      <w:tblGrid>
        <w:gridCol w:w="5760"/>
        <w:gridCol w:w="2445"/>
      </w:tblGrid>
      <w:tr w:rsidR="00D54C98" w:rsidRPr="00D54C98" w:rsidTr="00085C42">
        <w:trPr>
          <w:cantSplit/>
          <w:jc w:val="center"/>
        </w:trPr>
        <w:tc>
          <w:tcPr>
            <w:tcW w:w="5760" w:type="dxa"/>
            <w:tcBorders>
              <w:top w:val="single" w:sz="6" w:space="0" w:color="000000"/>
              <w:left w:val="single" w:sz="6" w:space="0" w:color="000000"/>
              <w:bottom w:val="nil"/>
              <w:right w:val="nil"/>
            </w:tcBorders>
            <w:vAlign w:val="bottom"/>
          </w:tcPr>
          <w:p w:rsidR="00D54C98" w:rsidRPr="00D54C98" w:rsidRDefault="00D54C98" w:rsidP="00BC1C1A">
            <w:pPr>
              <w:keepNext/>
              <w:jc w:val="center"/>
              <w:rPr>
                <w:b/>
              </w:rPr>
            </w:pPr>
            <w:r w:rsidRPr="00D54C98">
              <w:rPr>
                <w:b/>
              </w:rPr>
              <w:t>Activity</w:t>
            </w:r>
          </w:p>
        </w:tc>
        <w:tc>
          <w:tcPr>
            <w:tcW w:w="2445" w:type="dxa"/>
            <w:tcBorders>
              <w:top w:val="single" w:sz="6" w:space="0" w:color="000000"/>
              <w:left w:val="single" w:sz="6" w:space="0" w:color="000000"/>
              <w:bottom w:val="nil"/>
              <w:right w:val="single" w:sz="6" w:space="0" w:color="000000"/>
            </w:tcBorders>
            <w:vAlign w:val="bottom"/>
          </w:tcPr>
          <w:p w:rsidR="00D54C98" w:rsidRPr="00D54C98" w:rsidRDefault="00D54C98" w:rsidP="00BC1C1A">
            <w:pPr>
              <w:keepNext/>
              <w:jc w:val="center"/>
              <w:rPr>
                <w:b/>
              </w:rPr>
            </w:pPr>
            <w:r w:rsidRPr="00D54C98">
              <w:rPr>
                <w:b/>
              </w:rPr>
              <w:t>Burden Per Permit or Program (Hours)</w:t>
            </w:r>
          </w:p>
        </w:tc>
      </w:tr>
      <w:tr w:rsidR="00D54C98" w:rsidRPr="00D54C98" w:rsidTr="00085C42">
        <w:trPr>
          <w:cantSplit/>
          <w:jc w:val="center"/>
        </w:trPr>
        <w:tc>
          <w:tcPr>
            <w:tcW w:w="5760" w:type="dxa"/>
            <w:tcBorders>
              <w:top w:val="single" w:sz="6" w:space="0" w:color="000000"/>
              <w:left w:val="single" w:sz="6" w:space="0" w:color="000000"/>
              <w:bottom w:val="nil"/>
              <w:right w:val="nil"/>
            </w:tcBorders>
          </w:tcPr>
          <w:p w:rsidR="00D54C98" w:rsidRPr="00D54C98" w:rsidRDefault="00D54C98" w:rsidP="00BC1C1A">
            <w:pPr>
              <w:keepNext/>
            </w:pPr>
            <w:r w:rsidRPr="00D54C98">
              <w:t>Review Proposed Permits*</w:t>
            </w:r>
          </w:p>
          <w:p w:rsidR="00D54C98" w:rsidRPr="00D54C98" w:rsidRDefault="00D54C98" w:rsidP="00BC1C1A">
            <w:pPr>
              <w:keepNext/>
            </w:pPr>
            <w:r w:rsidRPr="00D54C98">
              <w:t xml:space="preserve">   New Permits</w:t>
            </w:r>
          </w:p>
          <w:p w:rsidR="00D54C98" w:rsidRPr="00D54C98" w:rsidRDefault="00D54C98" w:rsidP="00BC1C1A">
            <w:pPr>
              <w:keepNext/>
            </w:pPr>
            <w:r w:rsidRPr="00D54C98">
              <w:t xml:space="preserve">   Significant Permit Modifications</w:t>
            </w:r>
          </w:p>
          <w:p w:rsidR="00D54C98" w:rsidRPr="00D54C98" w:rsidRDefault="00D54C98" w:rsidP="00BC1C1A">
            <w:pPr>
              <w:keepNext/>
            </w:pPr>
            <w:r w:rsidRPr="00D54C98">
              <w:t xml:space="preserve">   Minor Permit Modifications</w:t>
            </w:r>
          </w:p>
        </w:tc>
        <w:tc>
          <w:tcPr>
            <w:tcW w:w="2445" w:type="dxa"/>
            <w:tcBorders>
              <w:top w:val="single" w:sz="6" w:space="0" w:color="000000"/>
              <w:left w:val="single" w:sz="6" w:space="0" w:color="000000"/>
              <w:bottom w:val="nil"/>
              <w:right w:val="single" w:sz="6" w:space="0" w:color="000000"/>
            </w:tcBorders>
          </w:tcPr>
          <w:p w:rsidR="00D54C98" w:rsidRPr="00D54C98" w:rsidRDefault="00D54C98" w:rsidP="00BC1C1A">
            <w:pPr>
              <w:keepNext/>
              <w:jc w:val="center"/>
            </w:pPr>
          </w:p>
          <w:p w:rsidR="00D54C98" w:rsidRPr="00D54C98" w:rsidRDefault="00D54C98" w:rsidP="00BC1C1A">
            <w:pPr>
              <w:keepNext/>
              <w:jc w:val="center"/>
            </w:pPr>
            <w:r w:rsidRPr="00D54C98">
              <w:t>20 / permit</w:t>
            </w:r>
          </w:p>
          <w:p w:rsidR="00D54C98" w:rsidRPr="00D54C98" w:rsidRDefault="00D54C98" w:rsidP="00BC1C1A">
            <w:pPr>
              <w:keepNext/>
              <w:jc w:val="center"/>
            </w:pPr>
            <w:r w:rsidRPr="00D54C98">
              <w:t>8 / revision</w:t>
            </w:r>
          </w:p>
          <w:p w:rsidR="00D54C98" w:rsidRPr="00D54C98" w:rsidRDefault="00D54C98" w:rsidP="00BC1C1A">
            <w:pPr>
              <w:keepNext/>
              <w:jc w:val="center"/>
            </w:pPr>
            <w:r w:rsidRPr="00D54C98">
              <w:t>1 / revision</w:t>
            </w:r>
          </w:p>
        </w:tc>
      </w:tr>
      <w:tr w:rsidR="00D54C98" w:rsidRPr="00D54C98" w:rsidTr="00085C42">
        <w:trPr>
          <w:cantSplit/>
          <w:jc w:val="center"/>
        </w:trPr>
        <w:tc>
          <w:tcPr>
            <w:tcW w:w="5760" w:type="dxa"/>
            <w:tcBorders>
              <w:top w:val="single" w:sz="6" w:space="0" w:color="000000"/>
              <w:left w:val="single" w:sz="6" w:space="0" w:color="000000"/>
              <w:bottom w:val="nil"/>
              <w:right w:val="nil"/>
            </w:tcBorders>
          </w:tcPr>
          <w:p w:rsidR="00D54C98" w:rsidRPr="00D54C98" w:rsidRDefault="00D54C98" w:rsidP="00BC1C1A">
            <w:pPr>
              <w:keepNext/>
            </w:pPr>
            <w:r w:rsidRPr="00D54C98">
              <w:t>Consultation</w:t>
            </w:r>
          </w:p>
          <w:p w:rsidR="00D54C98" w:rsidRPr="00D54C98" w:rsidRDefault="00D54C98" w:rsidP="00BC1C1A">
            <w:pPr>
              <w:keepNext/>
            </w:pPr>
            <w:r w:rsidRPr="00D54C98">
              <w:t xml:space="preserve">   New Permits (25%)</w:t>
            </w:r>
          </w:p>
          <w:p w:rsidR="00D54C98" w:rsidRPr="00D54C98" w:rsidRDefault="00D54C98" w:rsidP="00BC1C1A">
            <w:pPr>
              <w:keepNext/>
            </w:pPr>
            <w:r w:rsidRPr="00D54C98">
              <w:t xml:space="preserve">   Significant Permit Modifications (25%)</w:t>
            </w:r>
          </w:p>
          <w:p w:rsidR="00D54C98" w:rsidRPr="00D54C98" w:rsidRDefault="00D54C98" w:rsidP="00BC1C1A">
            <w:pPr>
              <w:keepNext/>
            </w:pPr>
            <w:r w:rsidRPr="00D54C98">
              <w:t xml:space="preserve">   Minor Permit Modifications (25%)</w:t>
            </w:r>
          </w:p>
        </w:tc>
        <w:tc>
          <w:tcPr>
            <w:tcW w:w="2445" w:type="dxa"/>
            <w:tcBorders>
              <w:top w:val="single" w:sz="6" w:space="0" w:color="000000"/>
              <w:left w:val="single" w:sz="6" w:space="0" w:color="000000"/>
              <w:bottom w:val="nil"/>
              <w:right w:val="single" w:sz="6" w:space="0" w:color="000000"/>
            </w:tcBorders>
          </w:tcPr>
          <w:p w:rsidR="00D54C98" w:rsidRPr="00D54C98" w:rsidRDefault="00D54C98" w:rsidP="00BC1C1A">
            <w:pPr>
              <w:keepNext/>
              <w:jc w:val="center"/>
            </w:pPr>
          </w:p>
          <w:p w:rsidR="00D54C98" w:rsidRPr="00D54C98" w:rsidRDefault="00D54C98" w:rsidP="00BC1C1A">
            <w:pPr>
              <w:keepNext/>
              <w:jc w:val="center"/>
            </w:pPr>
            <w:r w:rsidRPr="00D54C98">
              <w:t>8 / permit</w:t>
            </w:r>
          </w:p>
          <w:p w:rsidR="00D54C98" w:rsidRPr="00D54C98" w:rsidRDefault="00D54C98" w:rsidP="00BC1C1A">
            <w:pPr>
              <w:keepNext/>
              <w:jc w:val="center"/>
            </w:pPr>
            <w:r w:rsidRPr="00D54C98">
              <w:t>8 / permit</w:t>
            </w:r>
          </w:p>
          <w:p w:rsidR="00D54C98" w:rsidRPr="00D54C98" w:rsidRDefault="00D54C98" w:rsidP="00BC1C1A">
            <w:pPr>
              <w:keepNext/>
              <w:jc w:val="center"/>
            </w:pPr>
            <w:r w:rsidRPr="00D54C98">
              <w:t>1 / permit</w:t>
            </w:r>
          </w:p>
        </w:tc>
      </w:tr>
      <w:tr w:rsidR="00D54C98" w:rsidRPr="00D54C98" w:rsidTr="00085C42">
        <w:trPr>
          <w:cantSplit/>
          <w:jc w:val="center"/>
        </w:trPr>
        <w:tc>
          <w:tcPr>
            <w:tcW w:w="5760" w:type="dxa"/>
            <w:tcBorders>
              <w:top w:val="single" w:sz="6" w:space="0" w:color="000000"/>
              <w:left w:val="single" w:sz="6" w:space="0" w:color="000000"/>
              <w:bottom w:val="single" w:sz="6" w:space="0" w:color="000000"/>
              <w:right w:val="nil"/>
            </w:tcBorders>
          </w:tcPr>
          <w:p w:rsidR="00D54C98" w:rsidRPr="00D54C98" w:rsidRDefault="00D54C98" w:rsidP="00BC1C1A">
            <w:pPr>
              <w:keepNext/>
            </w:pPr>
            <w:r w:rsidRPr="00D54C98">
              <w:t>Program Oversight</w:t>
            </w:r>
          </w:p>
        </w:tc>
        <w:tc>
          <w:tcPr>
            <w:tcW w:w="2445" w:type="dxa"/>
            <w:tcBorders>
              <w:top w:val="single" w:sz="6" w:space="0" w:color="000000"/>
              <w:left w:val="single" w:sz="6" w:space="0" w:color="000000"/>
              <w:bottom w:val="single" w:sz="6" w:space="0" w:color="000000"/>
              <w:right w:val="single" w:sz="6" w:space="0" w:color="000000"/>
            </w:tcBorders>
          </w:tcPr>
          <w:p w:rsidR="00D54C98" w:rsidRPr="00D54C98" w:rsidRDefault="00D54C98" w:rsidP="00BC1C1A">
            <w:pPr>
              <w:keepNext/>
              <w:jc w:val="center"/>
            </w:pPr>
            <w:r w:rsidRPr="00D54C98">
              <w:t>50 / program / year</w:t>
            </w:r>
          </w:p>
        </w:tc>
      </w:tr>
      <w:tr w:rsidR="00D54C98" w:rsidRPr="00D54C98" w:rsidTr="00085C42">
        <w:trPr>
          <w:cantSplit/>
          <w:jc w:val="center"/>
        </w:trPr>
        <w:tc>
          <w:tcPr>
            <w:tcW w:w="5760" w:type="dxa"/>
            <w:tcBorders>
              <w:top w:val="single" w:sz="6" w:space="0" w:color="000000"/>
              <w:left w:val="single" w:sz="6" w:space="0" w:color="000000"/>
              <w:bottom w:val="single" w:sz="6" w:space="0" w:color="000000"/>
              <w:right w:val="nil"/>
            </w:tcBorders>
          </w:tcPr>
          <w:p w:rsidR="00D54C98" w:rsidRPr="00D54C98" w:rsidRDefault="00D54C98" w:rsidP="00BC1C1A">
            <w:pPr>
              <w:keepNext/>
            </w:pPr>
            <w:r w:rsidRPr="00D54C98">
              <w:t>Review the Annual Enforcement Activity Reports</w:t>
            </w:r>
          </w:p>
        </w:tc>
        <w:tc>
          <w:tcPr>
            <w:tcW w:w="2445" w:type="dxa"/>
            <w:tcBorders>
              <w:top w:val="single" w:sz="6" w:space="0" w:color="000000"/>
              <w:left w:val="single" w:sz="6" w:space="0" w:color="000000"/>
              <w:bottom w:val="single" w:sz="6" w:space="0" w:color="000000"/>
              <w:right w:val="single" w:sz="6" w:space="0" w:color="000000"/>
            </w:tcBorders>
          </w:tcPr>
          <w:p w:rsidR="00D54C98" w:rsidRPr="00D54C98" w:rsidRDefault="00D54C98" w:rsidP="00BC1C1A">
            <w:pPr>
              <w:keepNext/>
              <w:jc w:val="center"/>
            </w:pPr>
            <w:r w:rsidRPr="00D54C98">
              <w:t>10 / report</w:t>
            </w:r>
          </w:p>
        </w:tc>
      </w:tr>
    </w:tbl>
    <w:p w:rsidR="00D54C98" w:rsidRPr="00D54C98" w:rsidRDefault="00D54C98" w:rsidP="00BC1C1A">
      <w:pPr>
        <w:keepNext/>
      </w:pPr>
      <w:r w:rsidRPr="00D54C98">
        <w:tab/>
        <w:t xml:space="preserve">      * Includes the burden for review of periodic monitoring, when required</w:t>
      </w:r>
    </w:p>
    <w:p w:rsidR="00D54C98" w:rsidRPr="00D54C98" w:rsidRDefault="00D54C98" w:rsidP="00D54C98"/>
    <w:p w:rsidR="00316261" w:rsidRDefault="00316261">
      <w:r>
        <w:t>Past experience with part 70 suggests that oversight of the delegate agency averages about 2 hours per source per year on an aggregate basis. In the case of this delegate agency</w:t>
      </w:r>
      <w:r w:rsidR="00085A30">
        <w:t xml:space="preserve"> (the N</w:t>
      </w:r>
      <w:r w:rsidR="00030A46">
        <w:t>NEPA</w:t>
      </w:r>
      <w:r w:rsidR="00085A30">
        <w:t>)</w:t>
      </w:r>
      <w:r>
        <w:t>, all of the</w:t>
      </w:r>
      <w:r w:rsidR="0096404B">
        <w:t xml:space="preserve"> 14 part </w:t>
      </w:r>
      <w:r w:rsidR="00085A30">
        <w:t xml:space="preserve">71 </w:t>
      </w:r>
      <w:r>
        <w:t>permits were previously issued by the EPA prior to the approval of the delegation agreement and the delegation agreement does not provide for any new permits to be issued by the N</w:t>
      </w:r>
      <w:r w:rsidR="00030A46">
        <w:t>NEPA</w:t>
      </w:r>
      <w:r>
        <w:t>. Thus, the EPA believes the assumption of 2 hours per source will be appropriate due to the reduced scope of the programs and the small number of permits involved. As a result, the estimate</w:t>
      </w:r>
      <w:r w:rsidR="00DF2AE8">
        <w:t>d</w:t>
      </w:r>
      <w:r>
        <w:t xml:space="preserve"> </w:t>
      </w:r>
      <w:r w:rsidR="00DF2AE8">
        <w:t xml:space="preserve">EPA baseline </w:t>
      </w:r>
      <w:r>
        <w:t xml:space="preserve">burden to oversee the delegate agency will be approximately 28 hours per year </w:t>
      </w:r>
      <w:r w:rsidR="00085A30">
        <w:t>at a</w:t>
      </w:r>
      <w:r>
        <w:t xml:space="preserve"> cost</w:t>
      </w:r>
      <w:r w:rsidR="00085A30">
        <w:t xml:space="preserve"> of $1,456 per year</w:t>
      </w:r>
      <w:r>
        <w:t>.</w:t>
      </w:r>
    </w:p>
    <w:p w:rsidR="00316261" w:rsidRDefault="00316261"/>
    <w:p w:rsidR="00DF2AE8" w:rsidRPr="00DF2AE8" w:rsidRDefault="00DF2AE8" w:rsidP="00DF2AE8">
      <w:pPr>
        <w:pStyle w:val="Heading2"/>
        <w:rPr>
          <w:i w:val="0"/>
        </w:rPr>
      </w:pPr>
      <w:bookmarkStart w:id="47" w:name="_Toc319326607"/>
      <w:bookmarkStart w:id="48" w:name="_Toc320021963"/>
      <w:r w:rsidRPr="00DF2AE8">
        <w:rPr>
          <w:i w:val="0"/>
        </w:rPr>
        <w:t>6(d)</w:t>
      </w:r>
      <w:r w:rsidRPr="00DF2AE8">
        <w:rPr>
          <w:i w:val="0"/>
        </w:rPr>
        <w:tab/>
        <w:t>Estimating the Respondent Universe and Total Burden and Costs</w:t>
      </w:r>
      <w:bookmarkEnd w:id="47"/>
      <w:bookmarkEnd w:id="48"/>
    </w:p>
    <w:p w:rsidR="00DF2AE8" w:rsidRPr="00DF2AE8" w:rsidRDefault="00DF2AE8" w:rsidP="00DF2AE8"/>
    <w:p w:rsidR="00030A46" w:rsidRDefault="00157739">
      <w:r>
        <w:t>As mentioned earlier, there is currently one delegate permitting authority</w:t>
      </w:r>
      <w:r w:rsidR="00030A46">
        <w:t>, the NNEPA</w:t>
      </w:r>
      <w:r>
        <w:t>. We do not expect any additional delegations during the period of this ICR renewal.</w:t>
      </w:r>
    </w:p>
    <w:p w:rsidR="00030A46" w:rsidRDefault="00030A46"/>
    <w:p w:rsidR="00030A46" w:rsidRDefault="00030A46" w:rsidP="00030A46">
      <w:r>
        <w:t xml:space="preserve">Table 5 shows the </w:t>
      </w:r>
      <w:r w:rsidR="00A374E7">
        <w:t>number of existing and projected source respondents d</w:t>
      </w:r>
      <w:r>
        <w:t>uring the 3 years of this ICR renewal</w:t>
      </w:r>
      <w:r w:rsidR="00A374E7">
        <w:t>. We project that by the end of the period</w:t>
      </w:r>
      <w:r>
        <w:t>, the</w:t>
      </w:r>
      <w:r w:rsidR="00A374E7">
        <w:t xml:space="preserve">re will be </w:t>
      </w:r>
      <w:r>
        <w:t>136 sour</w:t>
      </w:r>
      <w:r w:rsidR="00A374E7">
        <w:t>ces in Indian country (14 of which are administered by the NNEPA), up to 15 </w:t>
      </w:r>
      <w:r>
        <w:t xml:space="preserve">OCS sources, up to 16 </w:t>
      </w:r>
      <w:r w:rsidR="00A374E7">
        <w:t>DPWA</w:t>
      </w:r>
      <w:r>
        <w:t xml:space="preserve"> sources, up to 1 permit issued bec</w:t>
      </w:r>
      <w:r w:rsidR="00A374E7">
        <w:t>ause of EPA objection to a part </w:t>
      </w:r>
      <w:r>
        <w:t>70 permit and up to 6 GHG Tailoring sources.</w:t>
      </w:r>
    </w:p>
    <w:p w:rsidR="00030A46" w:rsidRDefault="00030A46" w:rsidP="00030A46"/>
    <w:p w:rsidR="00030A46" w:rsidRDefault="00030A46" w:rsidP="00030A46">
      <w:r>
        <w:t xml:space="preserve">The EPA has issued 105 part 71 permits to the 143 sources that will be subject to </w:t>
      </w:r>
      <w:r w:rsidR="00A374E7">
        <w:t>part 71</w:t>
      </w:r>
      <w:r>
        <w:t xml:space="preserve"> by May 1, 2012. Thus, at the beginning of this ICR, there will be a backlog of 38 existing sources that have not yet received their initial permits. (These sources have submitted their initial permit applications, so this ICR includes no burden for preparation of these applications.) The Agency projects that the backlogged permits will all be issued during the 3 years of this ICR, 12 in the first year and 13 each in years 2 and 3.</w:t>
      </w:r>
    </w:p>
    <w:p w:rsidR="00030A46" w:rsidRDefault="00030A46" w:rsidP="00030A46"/>
    <w:p w:rsidR="00030A46" w:rsidRDefault="00030A46" w:rsidP="00030A46">
      <w:r>
        <w:t xml:space="preserve">As shown in Table </w:t>
      </w:r>
      <w:r w:rsidR="00A374E7">
        <w:t>5</w:t>
      </w:r>
      <w:r>
        <w:t xml:space="preserve">, the EPA projects that 31 new sources will become subject to EPA permitting during the course of this ICR (6 new Indian country sources, 9 OCS </w:t>
      </w:r>
      <w:r w:rsidR="00A374E7">
        <w:t>sources, 10 DWPA sources, and 6 </w:t>
      </w:r>
      <w:r>
        <w:t>due to the GHG Tailoring rule). We calculate the burden for these sources to include all the activities associated with obtaining an initial permit.</w:t>
      </w:r>
    </w:p>
    <w:p w:rsidR="00030A46" w:rsidRDefault="00030A46" w:rsidP="00030A46"/>
    <w:p w:rsidR="00030A46" w:rsidRDefault="00030A46" w:rsidP="00030A46">
      <w:pPr>
        <w:keepNext/>
        <w:jc w:val="center"/>
        <w:rPr>
          <w:b/>
        </w:rPr>
      </w:pPr>
      <w:r>
        <w:rPr>
          <w:b/>
        </w:rPr>
        <w:lastRenderedPageBreak/>
        <w:t xml:space="preserve">Table 5. </w:t>
      </w:r>
      <w:r w:rsidR="00A374E7">
        <w:rPr>
          <w:b/>
        </w:rPr>
        <w:t>Existing and Projected</w:t>
      </w:r>
      <w:r>
        <w:rPr>
          <w:b/>
        </w:rPr>
        <w:t xml:space="preserve"> Part 71 Sources</w:t>
      </w:r>
    </w:p>
    <w:p w:rsidR="00030A46" w:rsidRDefault="00030A46" w:rsidP="00030A46">
      <w:pPr>
        <w:keepNext/>
      </w:pPr>
    </w:p>
    <w:tbl>
      <w:tblPr>
        <w:tblW w:w="4318" w:type="pct"/>
        <w:jc w:val="center"/>
        <w:tblCellMar>
          <w:left w:w="100" w:type="dxa"/>
          <w:right w:w="100" w:type="dxa"/>
        </w:tblCellMar>
        <w:tblLook w:val="0000"/>
      </w:tblPr>
      <w:tblGrid>
        <w:gridCol w:w="1934"/>
        <w:gridCol w:w="1499"/>
        <w:gridCol w:w="1357"/>
        <w:gridCol w:w="1403"/>
        <w:gridCol w:w="1376"/>
        <w:gridCol w:w="1309"/>
      </w:tblGrid>
      <w:tr w:rsidR="00030A46" w:rsidRPr="007639DF" w:rsidTr="004B0829">
        <w:trPr>
          <w:cantSplit/>
          <w:trHeight w:val="867"/>
          <w:jc w:val="center"/>
        </w:trPr>
        <w:tc>
          <w:tcPr>
            <w:tcW w:w="1089" w:type="pct"/>
            <w:tcBorders>
              <w:top w:val="single" w:sz="6" w:space="0" w:color="000000"/>
              <w:left w:val="single" w:sz="6" w:space="0" w:color="000000"/>
              <w:bottom w:val="single" w:sz="4" w:space="0" w:color="auto"/>
              <w:right w:val="nil"/>
            </w:tcBorders>
          </w:tcPr>
          <w:p w:rsidR="00030A46" w:rsidRPr="007639DF" w:rsidRDefault="00030A46" w:rsidP="004B0829"/>
        </w:tc>
        <w:tc>
          <w:tcPr>
            <w:tcW w:w="844" w:type="pct"/>
            <w:tcBorders>
              <w:top w:val="single" w:sz="6" w:space="0" w:color="000000"/>
              <w:left w:val="single" w:sz="6" w:space="0" w:color="000000"/>
              <w:bottom w:val="single" w:sz="4" w:space="0" w:color="auto"/>
              <w:right w:val="nil"/>
            </w:tcBorders>
            <w:vAlign w:val="bottom"/>
          </w:tcPr>
          <w:p w:rsidR="00030A46" w:rsidRPr="0007719B" w:rsidRDefault="00030A46" w:rsidP="004B0829">
            <w:pPr>
              <w:jc w:val="center"/>
              <w:rPr>
                <w:b/>
              </w:rPr>
            </w:pPr>
            <w:r w:rsidRPr="0007719B">
              <w:rPr>
                <w:b/>
              </w:rPr>
              <w:t>Indian  Country Sources</w:t>
            </w:r>
          </w:p>
        </w:tc>
        <w:tc>
          <w:tcPr>
            <w:tcW w:w="764" w:type="pct"/>
            <w:tcBorders>
              <w:top w:val="single" w:sz="6" w:space="0" w:color="000000"/>
              <w:left w:val="single" w:sz="6" w:space="0" w:color="000000"/>
              <w:bottom w:val="single" w:sz="4" w:space="0" w:color="auto"/>
              <w:right w:val="single" w:sz="6" w:space="0" w:color="000000"/>
            </w:tcBorders>
            <w:vAlign w:val="bottom"/>
          </w:tcPr>
          <w:p w:rsidR="00030A46" w:rsidRPr="0007719B" w:rsidRDefault="00030A46" w:rsidP="004B0829">
            <w:pPr>
              <w:jc w:val="center"/>
              <w:rPr>
                <w:b/>
              </w:rPr>
            </w:pPr>
            <w:r w:rsidRPr="0007719B">
              <w:rPr>
                <w:b/>
              </w:rPr>
              <w:t>OCS Sources</w:t>
            </w:r>
          </w:p>
        </w:tc>
        <w:tc>
          <w:tcPr>
            <w:tcW w:w="790" w:type="pct"/>
            <w:tcBorders>
              <w:top w:val="single" w:sz="6" w:space="0" w:color="000000"/>
              <w:left w:val="single" w:sz="6" w:space="0" w:color="000000"/>
              <w:bottom w:val="single" w:sz="4" w:space="0" w:color="auto"/>
              <w:right w:val="single" w:sz="6" w:space="0" w:color="000000"/>
            </w:tcBorders>
            <w:vAlign w:val="bottom"/>
          </w:tcPr>
          <w:p w:rsidR="00030A46" w:rsidRPr="0007719B" w:rsidRDefault="00030A46" w:rsidP="004B0829">
            <w:pPr>
              <w:jc w:val="center"/>
              <w:rPr>
                <w:b/>
              </w:rPr>
            </w:pPr>
            <w:r w:rsidRPr="0007719B">
              <w:rPr>
                <w:b/>
              </w:rPr>
              <w:t>DWPA Sources</w:t>
            </w:r>
          </w:p>
        </w:tc>
        <w:tc>
          <w:tcPr>
            <w:tcW w:w="775" w:type="pct"/>
            <w:tcBorders>
              <w:top w:val="single" w:sz="6" w:space="0" w:color="000000"/>
              <w:left w:val="single" w:sz="6" w:space="0" w:color="000000"/>
              <w:bottom w:val="single" w:sz="4" w:space="0" w:color="auto"/>
              <w:right w:val="single" w:sz="6" w:space="0" w:color="000000"/>
            </w:tcBorders>
            <w:vAlign w:val="bottom"/>
          </w:tcPr>
          <w:p w:rsidR="00030A46" w:rsidRPr="0007719B" w:rsidRDefault="00030A46" w:rsidP="004B0829">
            <w:pPr>
              <w:jc w:val="center"/>
              <w:rPr>
                <w:b/>
              </w:rPr>
            </w:pPr>
            <w:r w:rsidRPr="0007719B">
              <w:rPr>
                <w:b/>
              </w:rPr>
              <w:t>Due to EPA Objection</w:t>
            </w:r>
          </w:p>
        </w:tc>
        <w:tc>
          <w:tcPr>
            <w:tcW w:w="737" w:type="pct"/>
            <w:tcBorders>
              <w:top w:val="single" w:sz="6" w:space="0" w:color="000000"/>
              <w:left w:val="single" w:sz="6" w:space="0" w:color="000000"/>
              <w:bottom w:val="single" w:sz="4" w:space="0" w:color="auto"/>
              <w:right w:val="single" w:sz="6" w:space="0" w:color="000000"/>
            </w:tcBorders>
            <w:vAlign w:val="bottom"/>
          </w:tcPr>
          <w:p w:rsidR="00030A46" w:rsidRPr="0007719B" w:rsidRDefault="00030A46" w:rsidP="004B0829">
            <w:pPr>
              <w:jc w:val="center"/>
              <w:rPr>
                <w:b/>
              </w:rPr>
            </w:pPr>
            <w:r w:rsidRPr="0007719B">
              <w:rPr>
                <w:b/>
              </w:rPr>
              <w:t>GHG Tailoring Sources</w:t>
            </w:r>
          </w:p>
        </w:tc>
      </w:tr>
      <w:tr w:rsidR="00030A46" w:rsidRPr="007639DF" w:rsidTr="004B0829">
        <w:trPr>
          <w:cantSplit/>
          <w:jc w:val="center"/>
        </w:trPr>
        <w:tc>
          <w:tcPr>
            <w:tcW w:w="1089" w:type="pct"/>
            <w:tcBorders>
              <w:top w:val="single" w:sz="4" w:space="0" w:color="auto"/>
              <w:left w:val="single" w:sz="4" w:space="0" w:color="auto"/>
              <w:bottom w:val="single" w:sz="4" w:space="0" w:color="auto"/>
              <w:right w:val="single" w:sz="4" w:space="0" w:color="auto"/>
            </w:tcBorders>
          </w:tcPr>
          <w:p w:rsidR="00030A46" w:rsidRPr="007639DF" w:rsidRDefault="00030A46" w:rsidP="004B0829">
            <w:r w:rsidRPr="007639DF">
              <w:t xml:space="preserve">May 1, 2012 </w:t>
            </w:r>
          </w:p>
        </w:tc>
        <w:tc>
          <w:tcPr>
            <w:tcW w:w="844"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130</w:t>
            </w:r>
          </w:p>
        </w:tc>
        <w:tc>
          <w:tcPr>
            <w:tcW w:w="764"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6</w:t>
            </w:r>
          </w:p>
        </w:tc>
        <w:tc>
          <w:tcPr>
            <w:tcW w:w="790"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6</w:t>
            </w:r>
          </w:p>
        </w:tc>
        <w:tc>
          <w:tcPr>
            <w:tcW w:w="775"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1</w:t>
            </w:r>
          </w:p>
        </w:tc>
        <w:tc>
          <w:tcPr>
            <w:tcW w:w="737"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0</w:t>
            </w:r>
          </w:p>
        </w:tc>
      </w:tr>
      <w:tr w:rsidR="00030A46" w:rsidRPr="007639DF" w:rsidTr="004B0829">
        <w:trPr>
          <w:cantSplit/>
          <w:jc w:val="center"/>
        </w:trPr>
        <w:tc>
          <w:tcPr>
            <w:tcW w:w="1089" w:type="pct"/>
            <w:tcBorders>
              <w:top w:val="single" w:sz="4" w:space="0" w:color="auto"/>
              <w:left w:val="single" w:sz="4" w:space="0" w:color="auto"/>
              <w:bottom w:val="single" w:sz="4" w:space="0" w:color="auto"/>
              <w:right w:val="single" w:sz="4" w:space="0" w:color="auto"/>
            </w:tcBorders>
          </w:tcPr>
          <w:p w:rsidR="00030A46" w:rsidRPr="007639DF" w:rsidRDefault="00030A46" w:rsidP="004B0829">
            <w:r w:rsidRPr="007639DF">
              <w:t>April 30, 2013</w:t>
            </w:r>
          </w:p>
        </w:tc>
        <w:tc>
          <w:tcPr>
            <w:tcW w:w="844"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2</w:t>
            </w:r>
          </w:p>
        </w:tc>
        <w:tc>
          <w:tcPr>
            <w:tcW w:w="764"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3</w:t>
            </w:r>
          </w:p>
        </w:tc>
        <w:tc>
          <w:tcPr>
            <w:tcW w:w="790"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3</w:t>
            </w:r>
          </w:p>
        </w:tc>
        <w:tc>
          <w:tcPr>
            <w:tcW w:w="775"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0</w:t>
            </w:r>
          </w:p>
        </w:tc>
        <w:tc>
          <w:tcPr>
            <w:tcW w:w="737"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2</w:t>
            </w:r>
          </w:p>
        </w:tc>
      </w:tr>
      <w:tr w:rsidR="00030A46" w:rsidRPr="007639DF" w:rsidTr="004B0829">
        <w:trPr>
          <w:cantSplit/>
          <w:jc w:val="center"/>
        </w:trPr>
        <w:tc>
          <w:tcPr>
            <w:tcW w:w="1089" w:type="pct"/>
            <w:tcBorders>
              <w:top w:val="single" w:sz="4" w:space="0" w:color="auto"/>
              <w:left w:val="single" w:sz="4" w:space="0" w:color="auto"/>
              <w:bottom w:val="single" w:sz="4" w:space="0" w:color="auto"/>
              <w:right w:val="single" w:sz="4" w:space="0" w:color="auto"/>
            </w:tcBorders>
          </w:tcPr>
          <w:p w:rsidR="00030A46" w:rsidRPr="007639DF" w:rsidRDefault="00030A46" w:rsidP="004B0829">
            <w:r w:rsidRPr="007639DF">
              <w:t>April 30, 2014</w:t>
            </w:r>
          </w:p>
        </w:tc>
        <w:tc>
          <w:tcPr>
            <w:tcW w:w="844"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2</w:t>
            </w:r>
          </w:p>
        </w:tc>
        <w:tc>
          <w:tcPr>
            <w:tcW w:w="764"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3</w:t>
            </w:r>
          </w:p>
        </w:tc>
        <w:tc>
          <w:tcPr>
            <w:tcW w:w="790"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3</w:t>
            </w:r>
          </w:p>
        </w:tc>
        <w:tc>
          <w:tcPr>
            <w:tcW w:w="775"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0</w:t>
            </w:r>
          </w:p>
        </w:tc>
        <w:tc>
          <w:tcPr>
            <w:tcW w:w="737"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2</w:t>
            </w:r>
          </w:p>
        </w:tc>
      </w:tr>
      <w:tr w:rsidR="00030A46" w:rsidRPr="007639DF" w:rsidTr="004B0829">
        <w:trPr>
          <w:cantSplit/>
          <w:jc w:val="center"/>
        </w:trPr>
        <w:tc>
          <w:tcPr>
            <w:tcW w:w="1089" w:type="pct"/>
            <w:tcBorders>
              <w:top w:val="single" w:sz="4" w:space="0" w:color="auto"/>
              <w:left w:val="single" w:sz="4" w:space="0" w:color="auto"/>
              <w:bottom w:val="single" w:sz="4" w:space="0" w:color="auto"/>
              <w:right w:val="single" w:sz="4" w:space="0" w:color="auto"/>
            </w:tcBorders>
          </w:tcPr>
          <w:p w:rsidR="00030A46" w:rsidRPr="007639DF" w:rsidRDefault="00030A46" w:rsidP="004B0829">
            <w:r w:rsidRPr="007639DF">
              <w:t>April 30, 2015</w:t>
            </w:r>
          </w:p>
        </w:tc>
        <w:tc>
          <w:tcPr>
            <w:tcW w:w="844"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2</w:t>
            </w:r>
          </w:p>
        </w:tc>
        <w:tc>
          <w:tcPr>
            <w:tcW w:w="764"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3</w:t>
            </w:r>
          </w:p>
        </w:tc>
        <w:tc>
          <w:tcPr>
            <w:tcW w:w="790"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4</w:t>
            </w:r>
          </w:p>
        </w:tc>
        <w:tc>
          <w:tcPr>
            <w:tcW w:w="775"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0</w:t>
            </w:r>
          </w:p>
        </w:tc>
        <w:tc>
          <w:tcPr>
            <w:tcW w:w="737" w:type="pct"/>
            <w:tcBorders>
              <w:top w:val="single" w:sz="4" w:space="0" w:color="auto"/>
              <w:left w:val="single" w:sz="4" w:space="0" w:color="auto"/>
              <w:bottom w:val="single" w:sz="4" w:space="0" w:color="auto"/>
              <w:right w:val="single" w:sz="4" w:space="0" w:color="auto"/>
            </w:tcBorders>
          </w:tcPr>
          <w:p w:rsidR="00030A46" w:rsidRPr="007639DF" w:rsidRDefault="00030A46" w:rsidP="004B0829">
            <w:pPr>
              <w:jc w:val="right"/>
            </w:pPr>
            <w:r w:rsidRPr="007639DF">
              <w:t>2</w:t>
            </w:r>
          </w:p>
        </w:tc>
      </w:tr>
      <w:tr w:rsidR="00030A46" w:rsidRPr="007639DF" w:rsidTr="004B0829">
        <w:trPr>
          <w:cantSplit/>
          <w:jc w:val="center"/>
        </w:trPr>
        <w:tc>
          <w:tcPr>
            <w:tcW w:w="1089" w:type="pct"/>
            <w:tcBorders>
              <w:top w:val="single" w:sz="4" w:space="0" w:color="auto"/>
              <w:left w:val="single" w:sz="4" w:space="0" w:color="auto"/>
              <w:bottom w:val="single" w:sz="4" w:space="0" w:color="auto"/>
              <w:right w:val="single" w:sz="4" w:space="0" w:color="auto"/>
            </w:tcBorders>
          </w:tcPr>
          <w:p w:rsidR="00030A46" w:rsidRPr="0007719B" w:rsidRDefault="00030A46" w:rsidP="004B0829">
            <w:pPr>
              <w:rPr>
                <w:b/>
              </w:rPr>
            </w:pPr>
            <w:r w:rsidRPr="0007719B">
              <w:rPr>
                <w:b/>
              </w:rPr>
              <w:t>Total</w:t>
            </w:r>
          </w:p>
        </w:tc>
        <w:tc>
          <w:tcPr>
            <w:tcW w:w="844" w:type="pct"/>
            <w:tcBorders>
              <w:top w:val="single" w:sz="4" w:space="0" w:color="auto"/>
              <w:left w:val="single" w:sz="4" w:space="0" w:color="auto"/>
              <w:bottom w:val="single" w:sz="4" w:space="0" w:color="auto"/>
              <w:right w:val="single" w:sz="4" w:space="0" w:color="auto"/>
            </w:tcBorders>
          </w:tcPr>
          <w:p w:rsidR="00030A46" w:rsidRPr="0007719B" w:rsidRDefault="00030A46" w:rsidP="004B0829">
            <w:pPr>
              <w:jc w:val="right"/>
              <w:rPr>
                <w:b/>
              </w:rPr>
            </w:pPr>
            <w:r w:rsidRPr="0007719B">
              <w:rPr>
                <w:b/>
              </w:rPr>
              <w:t>136</w:t>
            </w:r>
          </w:p>
        </w:tc>
        <w:tc>
          <w:tcPr>
            <w:tcW w:w="764" w:type="pct"/>
            <w:tcBorders>
              <w:top w:val="single" w:sz="4" w:space="0" w:color="auto"/>
              <w:left w:val="single" w:sz="4" w:space="0" w:color="auto"/>
              <w:bottom w:val="single" w:sz="4" w:space="0" w:color="auto"/>
              <w:right w:val="single" w:sz="4" w:space="0" w:color="auto"/>
            </w:tcBorders>
          </w:tcPr>
          <w:p w:rsidR="00030A46" w:rsidRPr="0007719B" w:rsidRDefault="00030A46" w:rsidP="004B0829">
            <w:pPr>
              <w:jc w:val="right"/>
              <w:rPr>
                <w:b/>
              </w:rPr>
            </w:pPr>
            <w:r w:rsidRPr="0007719B">
              <w:rPr>
                <w:b/>
              </w:rPr>
              <w:t>15</w:t>
            </w:r>
          </w:p>
        </w:tc>
        <w:tc>
          <w:tcPr>
            <w:tcW w:w="790" w:type="pct"/>
            <w:tcBorders>
              <w:top w:val="single" w:sz="4" w:space="0" w:color="auto"/>
              <w:left w:val="single" w:sz="4" w:space="0" w:color="auto"/>
              <w:bottom w:val="single" w:sz="4" w:space="0" w:color="auto"/>
              <w:right w:val="single" w:sz="4" w:space="0" w:color="auto"/>
            </w:tcBorders>
          </w:tcPr>
          <w:p w:rsidR="00030A46" w:rsidRPr="0007719B" w:rsidRDefault="00030A46" w:rsidP="004B0829">
            <w:pPr>
              <w:jc w:val="right"/>
              <w:rPr>
                <w:b/>
              </w:rPr>
            </w:pPr>
            <w:r w:rsidRPr="0007719B">
              <w:rPr>
                <w:b/>
              </w:rPr>
              <w:t>16</w:t>
            </w:r>
          </w:p>
        </w:tc>
        <w:tc>
          <w:tcPr>
            <w:tcW w:w="775" w:type="pct"/>
            <w:tcBorders>
              <w:top w:val="single" w:sz="4" w:space="0" w:color="auto"/>
              <w:left w:val="single" w:sz="4" w:space="0" w:color="auto"/>
              <w:bottom w:val="single" w:sz="4" w:space="0" w:color="auto"/>
              <w:right w:val="single" w:sz="4" w:space="0" w:color="auto"/>
            </w:tcBorders>
          </w:tcPr>
          <w:p w:rsidR="00030A46" w:rsidRPr="0007719B" w:rsidRDefault="00030A46" w:rsidP="004B0829">
            <w:pPr>
              <w:jc w:val="right"/>
              <w:rPr>
                <w:b/>
              </w:rPr>
            </w:pPr>
            <w:r w:rsidRPr="0007719B">
              <w:rPr>
                <w:b/>
              </w:rPr>
              <w:t>1</w:t>
            </w:r>
          </w:p>
        </w:tc>
        <w:tc>
          <w:tcPr>
            <w:tcW w:w="737" w:type="pct"/>
            <w:tcBorders>
              <w:top w:val="single" w:sz="4" w:space="0" w:color="auto"/>
              <w:left w:val="single" w:sz="4" w:space="0" w:color="auto"/>
              <w:bottom w:val="single" w:sz="4" w:space="0" w:color="auto"/>
              <w:right w:val="single" w:sz="4" w:space="0" w:color="auto"/>
            </w:tcBorders>
          </w:tcPr>
          <w:p w:rsidR="00030A46" w:rsidRPr="0007719B" w:rsidRDefault="00030A46" w:rsidP="004B0829">
            <w:pPr>
              <w:jc w:val="right"/>
              <w:rPr>
                <w:b/>
              </w:rPr>
            </w:pPr>
            <w:r w:rsidRPr="0007719B">
              <w:rPr>
                <w:b/>
              </w:rPr>
              <w:t>6</w:t>
            </w:r>
          </w:p>
        </w:tc>
      </w:tr>
    </w:tbl>
    <w:p w:rsidR="00030A46" w:rsidRDefault="00030A46" w:rsidP="00030A46"/>
    <w:p w:rsidR="00030A46" w:rsidRDefault="00030A46" w:rsidP="00030A46"/>
    <w:p w:rsidR="00030A46" w:rsidRDefault="00030A46" w:rsidP="00030A46">
      <w:pPr>
        <w:rPr>
          <w:strike/>
        </w:rPr>
      </w:pPr>
      <w:r>
        <w:t>Also during the period of this ICR, a number of part 71 permits will have to be renewed. (The term of a part 71 permit is 5 years.) The EPA estimates that there will be 15 ba</w:t>
      </w:r>
      <w:r w:rsidR="00A374E7">
        <w:t>cklogged permit renewals by May </w:t>
      </w:r>
      <w:r>
        <w:t>1, 2012 when this ICR begins. In addition, we estimate that another 63 part 71 permits will be nearing expiration and have to be renewed during the period of this ICR. The Agency projects that these 78 permit renewals will be issued in equal numbers each year (i.e., 26 renewals per year).</w:t>
      </w:r>
    </w:p>
    <w:p w:rsidR="00ED2F21" w:rsidRDefault="00ED2F21"/>
    <w:p w:rsidR="00ED2F21" w:rsidRDefault="00ED2F21" w:rsidP="00ED2F21">
      <w:r>
        <w:t>Table 6 lists the burden categories, expected number of occurrences for each, and the associated burden and costs for all part 71 sources when the EPA or a delegate agency is the permitting authority. The quantities in the “affected permits” column are from direct assessments of the 174 permits expected  to be administered during the period covered by this ICR (143 Indian country sources, 15 OCS sources, 16 DWPA sources, 1 due to EPA objection, and 6 due to the GHG Tailoring rule). Each activity in Table 6 is based on the burden estimates from Table 2. Table 6 contains the baseline analysis (i.e., does not account for OMB-approved changes due to the Flexible Air Permits and GHG Tailoring rules). The assumptions in these tables are based on the assumptions detailed in the attachments to the ICR renewal for the part 70 state operating permit programs.</w:t>
      </w:r>
    </w:p>
    <w:p w:rsidR="00975413" w:rsidRDefault="00975413" w:rsidP="00ED2F21"/>
    <w:p w:rsidR="00975413" w:rsidRDefault="00975413" w:rsidP="00975413">
      <w:r>
        <w:t>Table 7 lists the burden categories for permitting authorities (the EPA and delegate agencies), the expected number of permits involved and the expected cost for each category, based on the burden estimations from Table 3. Since the burden per activity assumptions and wage rates are the same for the EPA and delegate agencies</w:t>
      </w:r>
      <w:r w:rsidRPr="00D250F0">
        <w:t xml:space="preserve"> </w:t>
      </w:r>
      <w:r>
        <w:t>and we cannot predict the precise division of activities between the EPA and the delegate permitting authorities, we calculate the total for all permitting authority activities across all the permits. We then prorate the total based on the number of permits that we project the EPA and the one delegate permitting authority (the NNEPA) will administer during the period of this ICR renewal. Specifically, we apportion the burden at a rate of just under 92 percent for the EPA (160 of the 174 total sources) and just over 8 percent for the delegate permitting authority (14 sources).</w:t>
      </w:r>
    </w:p>
    <w:p w:rsidR="00975413" w:rsidRDefault="00975413" w:rsidP="00ED2F21"/>
    <w:p w:rsidR="00ED2F21" w:rsidRDefault="00ED2F21" w:rsidP="00ED2F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p>
    <w:p w:rsidR="00ED2F21" w:rsidRPr="00240FB1" w:rsidRDefault="00ED2F21" w:rsidP="00975413">
      <w:pPr>
        <w:keepNext/>
        <w:jc w:val="center"/>
        <w:rPr>
          <w:b/>
          <w:bCs/>
        </w:rPr>
      </w:pPr>
      <w:r w:rsidRPr="00240FB1">
        <w:rPr>
          <w:b/>
          <w:bCs/>
        </w:rPr>
        <w:lastRenderedPageBreak/>
        <w:t xml:space="preserve">Table 6. </w:t>
      </w:r>
      <w:r>
        <w:rPr>
          <w:b/>
          <w:bCs/>
        </w:rPr>
        <w:t xml:space="preserve">Baseline </w:t>
      </w:r>
      <w:r w:rsidRPr="00240FB1">
        <w:rPr>
          <w:b/>
          <w:bCs/>
        </w:rPr>
        <w:t xml:space="preserve">Burden and Cost of Sources </w:t>
      </w:r>
      <w:r>
        <w:rPr>
          <w:b/>
          <w:bCs/>
        </w:rPr>
        <w:t>Activi</w:t>
      </w:r>
      <w:r w:rsidR="007F011E">
        <w:rPr>
          <w:b/>
          <w:bCs/>
        </w:rPr>
        <w:t>ti</w:t>
      </w:r>
      <w:r>
        <w:rPr>
          <w:b/>
          <w:bCs/>
        </w:rPr>
        <w:t>es</w:t>
      </w:r>
    </w:p>
    <w:p w:rsidR="00ED2F21" w:rsidRDefault="00ED2F21" w:rsidP="00975413">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rPr>
      </w:pPr>
    </w:p>
    <w:tbl>
      <w:tblPr>
        <w:tblW w:w="5000" w:type="pct"/>
        <w:jc w:val="center"/>
        <w:tblLayout w:type="fixed"/>
        <w:tblCellMar>
          <w:left w:w="100" w:type="dxa"/>
          <w:right w:w="100" w:type="dxa"/>
        </w:tblCellMar>
        <w:tblLook w:val="0000"/>
      </w:tblPr>
      <w:tblGrid>
        <w:gridCol w:w="3700"/>
        <w:gridCol w:w="1620"/>
        <w:gridCol w:w="1620"/>
        <w:gridCol w:w="1782"/>
        <w:gridCol w:w="1558"/>
      </w:tblGrid>
      <w:tr w:rsidR="00ED2F21" w:rsidRPr="00365F23" w:rsidTr="00ED2F21">
        <w:trPr>
          <w:cantSplit/>
          <w:jc w:val="center"/>
        </w:trPr>
        <w:tc>
          <w:tcPr>
            <w:tcW w:w="3700" w:type="dxa"/>
            <w:tcBorders>
              <w:top w:val="single" w:sz="6" w:space="0" w:color="000000"/>
              <w:left w:val="single" w:sz="6" w:space="0" w:color="000000"/>
              <w:bottom w:val="nil"/>
              <w:right w:val="nil"/>
            </w:tcBorders>
            <w:vAlign w:val="bottom"/>
          </w:tcPr>
          <w:p w:rsidR="00ED2F21" w:rsidRPr="00365F23" w:rsidRDefault="00ED2F21" w:rsidP="00975413">
            <w:pPr>
              <w:keepNext/>
              <w:keepLines/>
              <w:numPr>
                <w:ilvl w:val="12"/>
                <w:numId w:val="0"/>
              </w:numPr>
              <w:jc w:val="center"/>
            </w:pPr>
            <w:r>
              <w:rPr>
                <w:b/>
                <w:bCs/>
              </w:rPr>
              <w:t>Activity</w:t>
            </w:r>
          </w:p>
        </w:tc>
        <w:tc>
          <w:tcPr>
            <w:tcW w:w="1620" w:type="dxa"/>
            <w:tcBorders>
              <w:top w:val="single" w:sz="6" w:space="0" w:color="000000"/>
              <w:left w:val="single" w:sz="6" w:space="0" w:color="000000"/>
              <w:bottom w:val="nil"/>
              <w:right w:val="nil"/>
            </w:tcBorders>
            <w:vAlign w:val="bottom"/>
          </w:tcPr>
          <w:p w:rsidR="00ED2F21" w:rsidRPr="00365F23" w:rsidRDefault="00ED2F21" w:rsidP="00975413">
            <w:pPr>
              <w:keepNext/>
              <w:keepLines/>
              <w:numPr>
                <w:ilvl w:val="12"/>
                <w:numId w:val="0"/>
              </w:numPr>
              <w:jc w:val="center"/>
            </w:pPr>
            <w:r>
              <w:rPr>
                <w:b/>
                <w:bCs/>
              </w:rPr>
              <w:t>Burden per Permit Hours</w:t>
            </w:r>
          </w:p>
        </w:tc>
        <w:tc>
          <w:tcPr>
            <w:tcW w:w="1620" w:type="dxa"/>
            <w:tcBorders>
              <w:top w:val="single" w:sz="6" w:space="0" w:color="000000"/>
              <w:left w:val="single" w:sz="6" w:space="0" w:color="000000"/>
              <w:bottom w:val="nil"/>
              <w:right w:val="single" w:sz="4" w:space="0" w:color="auto"/>
            </w:tcBorders>
            <w:vAlign w:val="bottom"/>
          </w:tcPr>
          <w:p w:rsidR="00ED2F21" w:rsidRPr="00365F23" w:rsidRDefault="00ED2F21" w:rsidP="00975413">
            <w:pPr>
              <w:keepNext/>
              <w:keepLines/>
              <w:numPr>
                <w:ilvl w:val="12"/>
                <w:numId w:val="0"/>
              </w:numPr>
              <w:jc w:val="center"/>
            </w:pPr>
            <w:r>
              <w:rPr>
                <w:b/>
                <w:bCs/>
              </w:rPr>
              <w:t>Affected Permits</w:t>
            </w:r>
          </w:p>
        </w:tc>
        <w:tc>
          <w:tcPr>
            <w:tcW w:w="1782" w:type="dxa"/>
            <w:tcBorders>
              <w:top w:val="single" w:sz="4" w:space="0" w:color="auto"/>
              <w:left w:val="single" w:sz="4" w:space="0" w:color="auto"/>
              <w:bottom w:val="single" w:sz="4" w:space="0" w:color="auto"/>
              <w:right w:val="single" w:sz="4" w:space="0" w:color="auto"/>
            </w:tcBorders>
            <w:vAlign w:val="bottom"/>
          </w:tcPr>
          <w:p w:rsidR="00ED2F21" w:rsidRPr="00365F23" w:rsidRDefault="00ED2F21" w:rsidP="00975413">
            <w:pPr>
              <w:keepNext/>
              <w:keepLines/>
              <w:numPr>
                <w:ilvl w:val="12"/>
                <w:numId w:val="0"/>
              </w:numPr>
              <w:jc w:val="center"/>
            </w:pPr>
            <w:r>
              <w:rPr>
                <w:b/>
                <w:bCs/>
              </w:rPr>
              <w:t>Total Burden (Hours)</w:t>
            </w:r>
          </w:p>
        </w:tc>
        <w:tc>
          <w:tcPr>
            <w:tcW w:w="1558" w:type="dxa"/>
            <w:tcBorders>
              <w:top w:val="single" w:sz="4" w:space="0" w:color="auto"/>
              <w:left w:val="single" w:sz="4" w:space="0" w:color="auto"/>
              <w:bottom w:val="single" w:sz="4" w:space="0" w:color="auto"/>
              <w:right w:val="single" w:sz="4" w:space="0" w:color="auto"/>
            </w:tcBorders>
            <w:vAlign w:val="bottom"/>
          </w:tcPr>
          <w:p w:rsidR="00ED2F21" w:rsidRPr="00365F23" w:rsidRDefault="00ED2F21" w:rsidP="00975413">
            <w:pPr>
              <w:keepNext/>
              <w:keepLines/>
              <w:numPr>
                <w:ilvl w:val="12"/>
                <w:numId w:val="0"/>
              </w:numPr>
              <w:jc w:val="center"/>
            </w:pPr>
            <w:r>
              <w:rPr>
                <w:b/>
                <w:bCs/>
              </w:rPr>
              <w:t xml:space="preserve">Total Cost </w:t>
            </w:r>
            <w:r w:rsidRPr="00365F23">
              <w:rPr>
                <w:b/>
                <w:bCs/>
              </w:rPr>
              <w:t>(20</w:t>
            </w:r>
            <w:r w:rsidR="00201316">
              <w:rPr>
                <w:b/>
                <w:bCs/>
              </w:rPr>
              <w:t>11$</w:t>
            </w:r>
            <w:r w:rsidRPr="00365F23">
              <w:rPr>
                <w:b/>
                <w:bCs/>
              </w:rPr>
              <w:t>)</w:t>
            </w:r>
          </w:p>
        </w:tc>
      </w:tr>
      <w:tr w:rsidR="00ED2F21" w:rsidRPr="00365F23" w:rsidTr="00201316">
        <w:trPr>
          <w:cantSplit/>
          <w:trHeight w:val="273"/>
          <w:jc w:val="center"/>
        </w:trPr>
        <w:tc>
          <w:tcPr>
            <w:tcW w:w="3700" w:type="dxa"/>
            <w:tcBorders>
              <w:top w:val="single" w:sz="6" w:space="0" w:color="000000"/>
              <w:left w:val="single" w:sz="6" w:space="0" w:color="000000"/>
              <w:bottom w:val="nil"/>
              <w:right w:val="nil"/>
            </w:tcBorders>
            <w:vAlign w:val="center"/>
          </w:tcPr>
          <w:p w:rsidR="00ED2F21" w:rsidRPr="00365F23" w:rsidRDefault="00ED2F21" w:rsidP="00975413">
            <w:pPr>
              <w:keepNext/>
              <w:keepLines/>
              <w:numPr>
                <w:ilvl w:val="12"/>
                <w:numId w:val="0"/>
              </w:numPr>
              <w:ind w:left="270" w:hanging="270"/>
            </w:pPr>
            <w:r w:rsidRPr="00365F23">
              <w:t>Initial Permit Application</w:t>
            </w:r>
          </w:p>
        </w:tc>
        <w:tc>
          <w:tcPr>
            <w:tcW w:w="1620" w:type="dxa"/>
            <w:tcBorders>
              <w:top w:val="single" w:sz="6" w:space="0" w:color="000000"/>
              <w:left w:val="single" w:sz="6" w:space="0" w:color="000000"/>
              <w:bottom w:val="nil"/>
              <w:right w:val="nil"/>
            </w:tcBorders>
            <w:vAlign w:val="center"/>
          </w:tcPr>
          <w:p w:rsidR="00ED2F21" w:rsidRPr="00365F23" w:rsidRDefault="00ED2F21" w:rsidP="00975413">
            <w:pPr>
              <w:keepNext/>
              <w:keepLines/>
              <w:numPr>
                <w:ilvl w:val="12"/>
                <w:numId w:val="0"/>
              </w:numPr>
              <w:jc w:val="center"/>
            </w:pPr>
            <w:r w:rsidRPr="00365F23">
              <w:t>300</w:t>
            </w:r>
          </w:p>
        </w:tc>
        <w:tc>
          <w:tcPr>
            <w:tcW w:w="1620" w:type="dxa"/>
            <w:tcBorders>
              <w:top w:val="single" w:sz="6" w:space="0" w:color="000000"/>
              <w:left w:val="single" w:sz="6" w:space="0" w:color="000000"/>
              <w:bottom w:val="nil"/>
              <w:right w:val="single" w:sz="4" w:space="0" w:color="auto"/>
            </w:tcBorders>
            <w:vAlign w:val="center"/>
          </w:tcPr>
          <w:p w:rsidR="00ED2F21" w:rsidRPr="00365F23" w:rsidRDefault="00ED2F21" w:rsidP="00975413">
            <w:pPr>
              <w:keepNext/>
              <w:keepLines/>
              <w:numPr>
                <w:ilvl w:val="12"/>
                <w:numId w:val="0"/>
              </w:numPr>
              <w:jc w:val="right"/>
            </w:pPr>
            <w:r w:rsidRPr="00365F23">
              <w:t>31</w:t>
            </w:r>
          </w:p>
        </w:tc>
        <w:tc>
          <w:tcPr>
            <w:tcW w:w="1782" w:type="dxa"/>
            <w:tcBorders>
              <w:top w:val="single" w:sz="4" w:space="0" w:color="auto"/>
              <w:left w:val="single" w:sz="4" w:space="0" w:color="auto"/>
              <w:bottom w:val="single" w:sz="4" w:space="0" w:color="auto"/>
              <w:right w:val="single" w:sz="4" w:space="0" w:color="auto"/>
            </w:tcBorders>
          </w:tcPr>
          <w:p w:rsidR="00ED2F21" w:rsidRPr="00365F23" w:rsidRDefault="00201316" w:rsidP="00975413">
            <w:pPr>
              <w:keepNext/>
              <w:keepLines/>
              <w:numPr>
                <w:ilvl w:val="12"/>
                <w:numId w:val="0"/>
              </w:numPr>
              <w:tabs>
                <w:tab w:val="right" w:pos="7200"/>
              </w:tabs>
              <w:jc w:val="right"/>
            </w:pPr>
            <w:r>
              <w:t xml:space="preserve">                 </w:t>
            </w:r>
            <w:r w:rsidR="00ED2F21" w:rsidRPr="00365F23">
              <w:t xml:space="preserve">9,300 </w:t>
            </w:r>
          </w:p>
        </w:tc>
        <w:tc>
          <w:tcPr>
            <w:tcW w:w="1558" w:type="dxa"/>
            <w:tcBorders>
              <w:top w:val="single" w:sz="4" w:space="0" w:color="auto"/>
              <w:left w:val="single" w:sz="4" w:space="0" w:color="auto"/>
              <w:bottom w:val="single" w:sz="4" w:space="0" w:color="auto"/>
              <w:right w:val="single" w:sz="4" w:space="0" w:color="auto"/>
            </w:tcBorders>
            <w:vAlign w:val="center"/>
          </w:tcPr>
          <w:p w:rsidR="00ED2F21" w:rsidRPr="00365F23" w:rsidRDefault="007F011E" w:rsidP="00975413">
            <w:pPr>
              <w:keepNext/>
              <w:keepLines/>
              <w:numPr>
                <w:ilvl w:val="12"/>
                <w:numId w:val="0"/>
              </w:numPr>
              <w:jc w:val="right"/>
            </w:pPr>
            <w:r>
              <w:t>$</w:t>
            </w:r>
            <w:r w:rsidR="00201316">
              <w:t>595,200</w:t>
            </w:r>
            <w:r w:rsidR="00ED2F21" w:rsidRPr="00365F23">
              <w:t xml:space="preserve"> </w:t>
            </w:r>
          </w:p>
        </w:tc>
      </w:tr>
      <w:tr w:rsidR="00ED2F21" w:rsidRPr="00365F23" w:rsidTr="00ED2F21">
        <w:trPr>
          <w:cantSplit/>
          <w:jc w:val="center"/>
        </w:trPr>
        <w:tc>
          <w:tcPr>
            <w:tcW w:w="3700" w:type="dxa"/>
            <w:tcBorders>
              <w:top w:val="single" w:sz="6" w:space="0" w:color="000000"/>
              <w:left w:val="single" w:sz="6" w:space="0" w:color="000000"/>
              <w:bottom w:val="nil"/>
              <w:right w:val="nil"/>
            </w:tcBorders>
            <w:vAlign w:val="center"/>
          </w:tcPr>
          <w:p w:rsidR="00ED2F21" w:rsidRPr="00365F23" w:rsidRDefault="00ED2F21" w:rsidP="00975413">
            <w:pPr>
              <w:keepNext/>
              <w:keepLines/>
              <w:numPr>
                <w:ilvl w:val="12"/>
                <w:numId w:val="0"/>
              </w:numPr>
              <w:ind w:left="270" w:hanging="270"/>
            </w:pPr>
            <w:r w:rsidRPr="00365F23">
              <w:t xml:space="preserve">Draft Permit Interaction </w:t>
            </w:r>
          </w:p>
        </w:tc>
        <w:tc>
          <w:tcPr>
            <w:tcW w:w="1620" w:type="dxa"/>
            <w:tcBorders>
              <w:top w:val="single" w:sz="6" w:space="0" w:color="000000"/>
              <w:left w:val="single" w:sz="6" w:space="0" w:color="000000"/>
              <w:bottom w:val="nil"/>
              <w:right w:val="nil"/>
            </w:tcBorders>
            <w:vAlign w:val="center"/>
          </w:tcPr>
          <w:p w:rsidR="00ED2F21" w:rsidRPr="00365F23" w:rsidRDefault="00ED2F21" w:rsidP="00975413">
            <w:pPr>
              <w:keepNext/>
              <w:keepLines/>
              <w:numPr>
                <w:ilvl w:val="12"/>
                <w:numId w:val="0"/>
              </w:numPr>
              <w:jc w:val="center"/>
            </w:pPr>
            <w:r w:rsidRPr="00365F23">
              <w:t>40</w:t>
            </w:r>
          </w:p>
        </w:tc>
        <w:tc>
          <w:tcPr>
            <w:tcW w:w="1620" w:type="dxa"/>
            <w:tcBorders>
              <w:top w:val="single" w:sz="6" w:space="0" w:color="000000"/>
              <w:left w:val="single" w:sz="6" w:space="0" w:color="000000"/>
              <w:bottom w:val="nil"/>
              <w:right w:val="single" w:sz="4" w:space="0" w:color="auto"/>
            </w:tcBorders>
            <w:vAlign w:val="center"/>
          </w:tcPr>
          <w:p w:rsidR="00ED2F21" w:rsidRPr="00365F23" w:rsidRDefault="00ED2F21" w:rsidP="00975413">
            <w:pPr>
              <w:keepNext/>
              <w:keepLines/>
              <w:numPr>
                <w:ilvl w:val="12"/>
                <w:numId w:val="0"/>
              </w:numPr>
              <w:jc w:val="right"/>
            </w:pPr>
            <w:r w:rsidRPr="00365F23">
              <w:t>69</w:t>
            </w:r>
          </w:p>
        </w:tc>
        <w:tc>
          <w:tcPr>
            <w:tcW w:w="1782" w:type="dxa"/>
            <w:tcBorders>
              <w:top w:val="single" w:sz="4" w:space="0" w:color="auto"/>
              <w:left w:val="single" w:sz="4" w:space="0" w:color="auto"/>
              <w:bottom w:val="single" w:sz="4" w:space="0" w:color="auto"/>
              <w:right w:val="single" w:sz="4" w:space="0" w:color="auto"/>
            </w:tcBorders>
            <w:vAlign w:val="center"/>
          </w:tcPr>
          <w:p w:rsidR="00ED2F21" w:rsidRPr="00365F23" w:rsidRDefault="00ED2F21" w:rsidP="00975413">
            <w:pPr>
              <w:keepNext/>
              <w:keepLines/>
              <w:numPr>
                <w:ilvl w:val="12"/>
                <w:numId w:val="0"/>
              </w:numPr>
              <w:tabs>
                <w:tab w:val="right" w:pos="7200"/>
              </w:tabs>
              <w:jc w:val="right"/>
            </w:pPr>
            <w:r w:rsidRPr="00365F23">
              <w:t>2,760</w:t>
            </w:r>
          </w:p>
        </w:tc>
        <w:tc>
          <w:tcPr>
            <w:tcW w:w="1558" w:type="dxa"/>
            <w:tcBorders>
              <w:top w:val="single" w:sz="4" w:space="0" w:color="auto"/>
              <w:left w:val="single" w:sz="4" w:space="0" w:color="auto"/>
              <w:bottom w:val="single" w:sz="4" w:space="0" w:color="auto"/>
              <w:right w:val="single" w:sz="4" w:space="0" w:color="auto"/>
            </w:tcBorders>
            <w:vAlign w:val="center"/>
          </w:tcPr>
          <w:p w:rsidR="00ED2F21" w:rsidRPr="00365F23" w:rsidRDefault="007F011E" w:rsidP="00975413">
            <w:pPr>
              <w:keepNext/>
              <w:keepLines/>
              <w:numPr>
                <w:ilvl w:val="12"/>
                <w:numId w:val="0"/>
              </w:numPr>
              <w:jc w:val="right"/>
            </w:pPr>
            <w:r>
              <w:t>$</w:t>
            </w:r>
            <w:r w:rsidR="00ED2F21" w:rsidRPr="00365F23">
              <w:t>1</w:t>
            </w:r>
            <w:r w:rsidR="00201316">
              <w:t>76,640</w:t>
            </w:r>
          </w:p>
        </w:tc>
      </w:tr>
      <w:tr w:rsidR="00ED2F21" w:rsidRPr="00365F23" w:rsidTr="00ED2F21">
        <w:trPr>
          <w:cantSplit/>
          <w:jc w:val="center"/>
        </w:trPr>
        <w:tc>
          <w:tcPr>
            <w:tcW w:w="3700" w:type="dxa"/>
            <w:tcBorders>
              <w:top w:val="single" w:sz="6" w:space="0" w:color="000000"/>
              <w:left w:val="single" w:sz="6" w:space="0" w:color="000000"/>
              <w:bottom w:val="nil"/>
              <w:right w:val="nil"/>
            </w:tcBorders>
          </w:tcPr>
          <w:p w:rsidR="00ED2F21" w:rsidRPr="00365F23" w:rsidRDefault="00ED2F21" w:rsidP="00975413">
            <w:pPr>
              <w:keepNext/>
              <w:keepLines/>
              <w:numPr>
                <w:ilvl w:val="12"/>
                <w:numId w:val="0"/>
              </w:numPr>
              <w:ind w:left="270" w:hanging="270"/>
            </w:pPr>
            <w:r w:rsidRPr="00365F23">
              <w:t>Gap Filling Monitoring Development (50% of permits)</w:t>
            </w:r>
          </w:p>
        </w:tc>
        <w:tc>
          <w:tcPr>
            <w:tcW w:w="1620" w:type="dxa"/>
            <w:tcBorders>
              <w:top w:val="single" w:sz="6" w:space="0" w:color="000000"/>
              <w:left w:val="single" w:sz="6" w:space="0" w:color="000000"/>
              <w:bottom w:val="nil"/>
              <w:right w:val="nil"/>
            </w:tcBorders>
          </w:tcPr>
          <w:p w:rsidR="00ED2F21" w:rsidRPr="00365F23" w:rsidRDefault="00ED2F21" w:rsidP="00975413">
            <w:pPr>
              <w:keepNext/>
              <w:keepLines/>
              <w:numPr>
                <w:ilvl w:val="12"/>
                <w:numId w:val="0"/>
              </w:numPr>
              <w:jc w:val="center"/>
            </w:pPr>
            <w:r w:rsidRPr="00365F23">
              <w:t>40</w:t>
            </w:r>
          </w:p>
        </w:tc>
        <w:tc>
          <w:tcPr>
            <w:tcW w:w="1620" w:type="dxa"/>
            <w:tcBorders>
              <w:top w:val="single" w:sz="6" w:space="0" w:color="000000"/>
              <w:left w:val="single" w:sz="6" w:space="0" w:color="000000"/>
              <w:bottom w:val="nil"/>
              <w:right w:val="single" w:sz="4" w:space="0" w:color="auto"/>
            </w:tcBorders>
          </w:tcPr>
          <w:p w:rsidR="00ED2F21" w:rsidRPr="00365F23" w:rsidRDefault="00ED2F21" w:rsidP="00975413">
            <w:pPr>
              <w:keepNext/>
              <w:keepLines/>
              <w:numPr>
                <w:ilvl w:val="12"/>
                <w:numId w:val="0"/>
              </w:numPr>
              <w:jc w:val="right"/>
            </w:pPr>
            <w:r w:rsidRPr="00365F23">
              <w:t>35</w:t>
            </w:r>
          </w:p>
        </w:tc>
        <w:tc>
          <w:tcPr>
            <w:tcW w:w="1782" w:type="dxa"/>
            <w:tcBorders>
              <w:top w:val="single" w:sz="4" w:space="0" w:color="auto"/>
              <w:left w:val="single" w:sz="4" w:space="0" w:color="auto"/>
              <w:bottom w:val="single" w:sz="4" w:space="0" w:color="auto"/>
              <w:right w:val="single" w:sz="4" w:space="0" w:color="auto"/>
            </w:tcBorders>
          </w:tcPr>
          <w:p w:rsidR="00ED2F21" w:rsidRPr="00365F23" w:rsidRDefault="00201316" w:rsidP="00975413">
            <w:pPr>
              <w:keepNext/>
              <w:keepLines/>
              <w:numPr>
                <w:ilvl w:val="12"/>
                <w:numId w:val="0"/>
              </w:numPr>
              <w:tabs>
                <w:tab w:val="right" w:pos="7200"/>
              </w:tabs>
              <w:jc w:val="right"/>
            </w:pPr>
            <w:r>
              <w:t xml:space="preserve">                 </w:t>
            </w:r>
            <w:r w:rsidR="00ED2F21" w:rsidRPr="00365F23">
              <w:t>1,</w:t>
            </w:r>
            <w:r>
              <w:t>40</w:t>
            </w:r>
            <w:r w:rsidR="00ED2F21" w:rsidRPr="00365F23">
              <w:t xml:space="preserve">0 </w:t>
            </w:r>
          </w:p>
        </w:tc>
        <w:tc>
          <w:tcPr>
            <w:tcW w:w="1558" w:type="dxa"/>
            <w:tcBorders>
              <w:top w:val="single" w:sz="4" w:space="0" w:color="auto"/>
              <w:left w:val="single" w:sz="4" w:space="0" w:color="auto"/>
              <w:bottom w:val="single" w:sz="4" w:space="0" w:color="auto"/>
              <w:right w:val="single" w:sz="4" w:space="0" w:color="auto"/>
            </w:tcBorders>
          </w:tcPr>
          <w:p w:rsidR="00ED2F21" w:rsidRPr="00365F23" w:rsidRDefault="007F011E" w:rsidP="00975413">
            <w:pPr>
              <w:keepNext/>
              <w:keepLines/>
              <w:numPr>
                <w:ilvl w:val="12"/>
                <w:numId w:val="0"/>
              </w:numPr>
              <w:jc w:val="right"/>
            </w:pPr>
            <w:r>
              <w:t>$</w:t>
            </w:r>
            <w:r w:rsidR="00201316">
              <w:t>89,600</w:t>
            </w:r>
          </w:p>
        </w:tc>
      </w:tr>
      <w:tr w:rsidR="00ED2F21" w:rsidRPr="00365F23" w:rsidTr="00ED2F21">
        <w:trPr>
          <w:cantSplit/>
          <w:jc w:val="center"/>
        </w:trPr>
        <w:tc>
          <w:tcPr>
            <w:tcW w:w="3700" w:type="dxa"/>
            <w:tcBorders>
              <w:top w:val="single" w:sz="6" w:space="0" w:color="000000"/>
              <w:left w:val="single" w:sz="6" w:space="0" w:color="000000"/>
              <w:bottom w:val="nil"/>
              <w:right w:val="nil"/>
            </w:tcBorders>
          </w:tcPr>
          <w:p w:rsidR="00ED2F21" w:rsidRDefault="00ED2F21" w:rsidP="00975413">
            <w:pPr>
              <w:keepNext/>
              <w:keepLines/>
              <w:numPr>
                <w:ilvl w:val="12"/>
                <w:numId w:val="0"/>
              </w:numPr>
              <w:ind w:left="270" w:hanging="270"/>
            </w:pPr>
            <w:r w:rsidRPr="00365F23">
              <w:t xml:space="preserve">Public Hearing Participation </w:t>
            </w:r>
          </w:p>
          <w:p w:rsidR="00ED2F21" w:rsidRPr="00365F23" w:rsidRDefault="00ED2F21" w:rsidP="00975413">
            <w:pPr>
              <w:keepNext/>
              <w:keepLines/>
              <w:numPr>
                <w:ilvl w:val="12"/>
                <w:numId w:val="0"/>
              </w:numPr>
              <w:ind w:left="270"/>
            </w:pPr>
            <w:r w:rsidRPr="00365F23">
              <w:t>(2% of permits)</w:t>
            </w:r>
          </w:p>
        </w:tc>
        <w:tc>
          <w:tcPr>
            <w:tcW w:w="1620" w:type="dxa"/>
            <w:tcBorders>
              <w:top w:val="single" w:sz="6" w:space="0" w:color="000000"/>
              <w:left w:val="single" w:sz="6" w:space="0" w:color="000000"/>
              <w:bottom w:val="nil"/>
              <w:right w:val="nil"/>
            </w:tcBorders>
          </w:tcPr>
          <w:p w:rsidR="00ED2F21" w:rsidRPr="00365F23" w:rsidRDefault="00ED2F21" w:rsidP="00975413">
            <w:pPr>
              <w:keepNext/>
              <w:keepLines/>
              <w:numPr>
                <w:ilvl w:val="12"/>
                <w:numId w:val="0"/>
              </w:numPr>
              <w:jc w:val="center"/>
            </w:pPr>
            <w:r w:rsidRPr="00365F23">
              <w:t>10</w:t>
            </w:r>
          </w:p>
        </w:tc>
        <w:tc>
          <w:tcPr>
            <w:tcW w:w="1620" w:type="dxa"/>
            <w:tcBorders>
              <w:top w:val="single" w:sz="6" w:space="0" w:color="000000"/>
              <w:left w:val="single" w:sz="6" w:space="0" w:color="000000"/>
              <w:bottom w:val="nil"/>
              <w:right w:val="single" w:sz="4" w:space="0" w:color="auto"/>
            </w:tcBorders>
          </w:tcPr>
          <w:p w:rsidR="00ED2F21" w:rsidRPr="00365F23" w:rsidRDefault="00ED2F21" w:rsidP="00975413">
            <w:pPr>
              <w:keepNext/>
              <w:keepLines/>
              <w:numPr>
                <w:ilvl w:val="12"/>
                <w:numId w:val="0"/>
              </w:numPr>
              <w:jc w:val="right"/>
            </w:pPr>
            <w:r w:rsidRPr="00365F23">
              <w:t>1</w:t>
            </w:r>
          </w:p>
        </w:tc>
        <w:tc>
          <w:tcPr>
            <w:tcW w:w="1782" w:type="dxa"/>
            <w:tcBorders>
              <w:top w:val="single" w:sz="4" w:space="0" w:color="auto"/>
              <w:left w:val="single" w:sz="4" w:space="0" w:color="auto"/>
              <w:bottom w:val="single" w:sz="4" w:space="0" w:color="auto"/>
              <w:right w:val="single" w:sz="4" w:space="0" w:color="auto"/>
            </w:tcBorders>
          </w:tcPr>
          <w:p w:rsidR="00ED2F21" w:rsidRPr="00365F23" w:rsidRDefault="00ED2F21" w:rsidP="00975413">
            <w:pPr>
              <w:keepNext/>
              <w:keepLines/>
              <w:numPr>
                <w:ilvl w:val="12"/>
                <w:numId w:val="0"/>
              </w:numPr>
              <w:tabs>
                <w:tab w:val="right" w:pos="1250"/>
              </w:tabs>
              <w:jc w:val="right"/>
            </w:pPr>
            <w:r w:rsidRPr="00365F23">
              <w:t>1</w:t>
            </w:r>
            <w:r w:rsidR="00201316">
              <w:t>0</w:t>
            </w:r>
          </w:p>
        </w:tc>
        <w:tc>
          <w:tcPr>
            <w:tcW w:w="1558" w:type="dxa"/>
            <w:tcBorders>
              <w:top w:val="single" w:sz="4" w:space="0" w:color="auto"/>
              <w:left w:val="single" w:sz="4" w:space="0" w:color="auto"/>
              <w:bottom w:val="single" w:sz="4" w:space="0" w:color="auto"/>
              <w:right w:val="single" w:sz="4" w:space="0" w:color="auto"/>
            </w:tcBorders>
          </w:tcPr>
          <w:p w:rsidR="00ED2F21" w:rsidRPr="00365F23" w:rsidRDefault="007F011E" w:rsidP="00975413">
            <w:pPr>
              <w:keepNext/>
              <w:keepLines/>
              <w:numPr>
                <w:ilvl w:val="12"/>
                <w:numId w:val="0"/>
              </w:numPr>
              <w:jc w:val="right"/>
            </w:pPr>
            <w:r>
              <w:t>$</w:t>
            </w:r>
            <w:r w:rsidR="00201316">
              <w:t>640</w:t>
            </w:r>
          </w:p>
        </w:tc>
      </w:tr>
      <w:tr w:rsidR="00ED2F21" w:rsidRPr="00365F23" w:rsidTr="00ED2F21">
        <w:trPr>
          <w:cantSplit/>
          <w:jc w:val="center"/>
        </w:trPr>
        <w:tc>
          <w:tcPr>
            <w:tcW w:w="3700" w:type="dxa"/>
            <w:tcBorders>
              <w:top w:val="single" w:sz="6" w:space="0" w:color="000000"/>
              <w:left w:val="single" w:sz="6" w:space="0" w:color="000000"/>
              <w:bottom w:val="nil"/>
              <w:right w:val="nil"/>
            </w:tcBorders>
          </w:tcPr>
          <w:p w:rsidR="00ED2F21" w:rsidRDefault="00ED2F21" w:rsidP="00975413">
            <w:pPr>
              <w:keepNext/>
              <w:keepLines/>
              <w:numPr>
                <w:ilvl w:val="12"/>
                <w:numId w:val="0"/>
              </w:numPr>
              <w:ind w:left="270" w:hanging="270"/>
            </w:pPr>
            <w:r w:rsidRPr="00365F23">
              <w:t xml:space="preserve">Operate Gap Filling Monitoring </w:t>
            </w:r>
          </w:p>
          <w:p w:rsidR="00ED2F21" w:rsidRPr="00365F23" w:rsidRDefault="00ED2F21" w:rsidP="00975413">
            <w:pPr>
              <w:keepNext/>
              <w:keepLines/>
              <w:numPr>
                <w:ilvl w:val="12"/>
                <w:numId w:val="0"/>
              </w:numPr>
              <w:ind w:left="270"/>
            </w:pPr>
            <w:r w:rsidRPr="00365F23">
              <w:t>(50% of permits)</w:t>
            </w:r>
          </w:p>
        </w:tc>
        <w:tc>
          <w:tcPr>
            <w:tcW w:w="1620" w:type="dxa"/>
            <w:tcBorders>
              <w:top w:val="single" w:sz="6" w:space="0" w:color="000000"/>
              <w:left w:val="single" w:sz="6" w:space="0" w:color="000000"/>
              <w:bottom w:val="nil"/>
              <w:right w:val="nil"/>
            </w:tcBorders>
          </w:tcPr>
          <w:p w:rsidR="00ED2F21" w:rsidRPr="00365F23" w:rsidRDefault="00ED2F21" w:rsidP="00975413">
            <w:pPr>
              <w:keepNext/>
              <w:keepLines/>
              <w:numPr>
                <w:ilvl w:val="12"/>
                <w:numId w:val="0"/>
              </w:numPr>
              <w:jc w:val="center"/>
            </w:pPr>
            <w:r w:rsidRPr="00365F23">
              <w:t>200</w:t>
            </w:r>
          </w:p>
        </w:tc>
        <w:tc>
          <w:tcPr>
            <w:tcW w:w="1620" w:type="dxa"/>
            <w:tcBorders>
              <w:top w:val="single" w:sz="6" w:space="0" w:color="000000"/>
              <w:left w:val="single" w:sz="6" w:space="0" w:color="000000"/>
              <w:bottom w:val="nil"/>
              <w:right w:val="single" w:sz="4" w:space="0" w:color="auto"/>
            </w:tcBorders>
          </w:tcPr>
          <w:p w:rsidR="00ED2F21" w:rsidRPr="00365F23" w:rsidRDefault="00ED2F21" w:rsidP="00975413">
            <w:pPr>
              <w:keepNext/>
              <w:keepLines/>
              <w:numPr>
                <w:ilvl w:val="12"/>
                <w:numId w:val="0"/>
              </w:numPr>
              <w:tabs>
                <w:tab w:val="right" w:pos="7200"/>
              </w:tabs>
            </w:pPr>
            <w:r w:rsidRPr="00365F23">
              <w:t>year 1       53</w:t>
            </w:r>
            <w:r w:rsidRPr="00365F23">
              <w:tab/>
              <w:t>35</w:t>
            </w:r>
          </w:p>
          <w:p w:rsidR="00ED2F21" w:rsidRPr="00365F23" w:rsidRDefault="00ED2F21" w:rsidP="00975413">
            <w:pPr>
              <w:keepNext/>
              <w:keepLines/>
              <w:numPr>
                <w:ilvl w:val="12"/>
                <w:numId w:val="0"/>
              </w:numPr>
              <w:tabs>
                <w:tab w:val="right" w:pos="7200"/>
              </w:tabs>
            </w:pPr>
            <w:r w:rsidRPr="00365F23">
              <w:t>year 2       64</w:t>
            </w:r>
            <w:r w:rsidRPr="00365F23">
              <w:tab/>
              <w:t>35</w:t>
            </w:r>
          </w:p>
          <w:p w:rsidR="00ED2F21" w:rsidRPr="00365F23" w:rsidRDefault="00ED2F21" w:rsidP="00975413">
            <w:pPr>
              <w:keepNext/>
              <w:keepLines/>
              <w:numPr>
                <w:ilvl w:val="12"/>
                <w:numId w:val="0"/>
              </w:numPr>
              <w:tabs>
                <w:tab w:val="right" w:pos="7200"/>
              </w:tabs>
            </w:pPr>
            <w:r w:rsidRPr="00365F23">
              <w:t>year 3       75</w:t>
            </w:r>
            <w:r w:rsidRPr="00365F23">
              <w:tab/>
              <w:t>35</w:t>
            </w:r>
          </w:p>
          <w:p w:rsidR="00ED2F21" w:rsidRPr="00365F23" w:rsidRDefault="00ED2F21" w:rsidP="00975413">
            <w:pPr>
              <w:keepNext/>
              <w:keepLines/>
              <w:numPr>
                <w:ilvl w:val="12"/>
                <w:numId w:val="0"/>
              </w:numPr>
            </w:pPr>
            <w:r w:rsidRPr="00365F23">
              <w:t xml:space="preserve">       </w:t>
            </w:r>
          </w:p>
        </w:tc>
        <w:tc>
          <w:tcPr>
            <w:tcW w:w="1782" w:type="dxa"/>
            <w:tcBorders>
              <w:top w:val="single" w:sz="4" w:space="0" w:color="auto"/>
              <w:left w:val="single" w:sz="4" w:space="0" w:color="auto"/>
              <w:bottom w:val="single" w:sz="4" w:space="0" w:color="auto"/>
              <w:right w:val="single" w:sz="4" w:space="0" w:color="auto"/>
            </w:tcBorders>
          </w:tcPr>
          <w:p w:rsidR="00ED2F21" w:rsidRPr="00365F23" w:rsidRDefault="00ED2F21" w:rsidP="00975413">
            <w:pPr>
              <w:keepNext/>
              <w:keepLines/>
              <w:numPr>
                <w:ilvl w:val="12"/>
                <w:numId w:val="0"/>
              </w:numPr>
              <w:tabs>
                <w:tab w:val="right" w:pos="7200"/>
              </w:tabs>
              <w:jc w:val="right"/>
            </w:pPr>
            <w:r w:rsidRPr="00365F23">
              <w:t xml:space="preserve">year 1  </w:t>
            </w:r>
            <w:r w:rsidR="00DF1519">
              <w:t xml:space="preserve"> </w:t>
            </w:r>
            <w:r w:rsidRPr="00365F23">
              <w:t xml:space="preserve">  10,600</w:t>
            </w:r>
            <w:r w:rsidRPr="00365F23">
              <w:tab/>
              <w:t>7,000</w:t>
            </w:r>
          </w:p>
          <w:p w:rsidR="00ED2F21" w:rsidRPr="00365F23" w:rsidRDefault="00ED2F21" w:rsidP="00975413">
            <w:pPr>
              <w:keepNext/>
              <w:keepLines/>
              <w:numPr>
                <w:ilvl w:val="12"/>
                <w:numId w:val="0"/>
              </w:numPr>
              <w:tabs>
                <w:tab w:val="right" w:pos="7200"/>
              </w:tabs>
              <w:jc w:val="right"/>
            </w:pPr>
            <w:r w:rsidRPr="00365F23">
              <w:t xml:space="preserve">year 2   </w:t>
            </w:r>
            <w:r w:rsidR="00DF1519">
              <w:t xml:space="preserve"> </w:t>
            </w:r>
            <w:r w:rsidRPr="00365F23">
              <w:t xml:space="preserve"> 12,800</w:t>
            </w:r>
            <w:r w:rsidRPr="00365F23">
              <w:tab/>
              <w:t>7,000</w:t>
            </w:r>
          </w:p>
          <w:p w:rsidR="00ED2F21" w:rsidRPr="00365F23" w:rsidRDefault="00ED2F21" w:rsidP="00975413">
            <w:pPr>
              <w:keepNext/>
              <w:keepLines/>
              <w:numPr>
                <w:ilvl w:val="12"/>
                <w:numId w:val="0"/>
              </w:numPr>
              <w:tabs>
                <w:tab w:val="right" w:pos="7200"/>
              </w:tabs>
              <w:jc w:val="right"/>
            </w:pPr>
            <w:r w:rsidRPr="00365F23">
              <w:t xml:space="preserve">year 3  </w:t>
            </w:r>
            <w:r w:rsidR="00DF1519">
              <w:t xml:space="preserve"> </w:t>
            </w:r>
            <w:r w:rsidRPr="00365F23">
              <w:t xml:space="preserve"> </w:t>
            </w:r>
            <w:r w:rsidRPr="00365F23">
              <w:rPr>
                <w:u w:val="single"/>
              </w:rPr>
              <w:t xml:space="preserve"> 15,000</w:t>
            </w:r>
            <w:r w:rsidRPr="00365F23">
              <w:tab/>
              <w:t xml:space="preserve">     </w:t>
            </w:r>
            <w:r w:rsidRPr="00365F23">
              <w:rPr>
                <w:u w:val="single"/>
              </w:rPr>
              <w:t xml:space="preserve">  7,000</w:t>
            </w:r>
          </w:p>
          <w:p w:rsidR="00ED2F21" w:rsidRPr="00365F23" w:rsidRDefault="00ED2F21" w:rsidP="00975413">
            <w:pPr>
              <w:keepNext/>
              <w:keepLines/>
              <w:numPr>
                <w:ilvl w:val="12"/>
                <w:numId w:val="0"/>
              </w:numPr>
              <w:tabs>
                <w:tab w:val="right" w:pos="7200"/>
              </w:tabs>
              <w:jc w:val="right"/>
            </w:pPr>
            <w:r w:rsidRPr="00365F23">
              <w:t xml:space="preserve">             </w:t>
            </w:r>
            <w:r w:rsidR="00DF1519">
              <w:t xml:space="preserve"> </w:t>
            </w:r>
            <w:r w:rsidRPr="00365F23">
              <w:t xml:space="preserve"> 38,400</w:t>
            </w:r>
            <w:r w:rsidRPr="00365F23">
              <w:tab/>
              <w:t>21,000</w:t>
            </w:r>
          </w:p>
        </w:tc>
        <w:tc>
          <w:tcPr>
            <w:tcW w:w="1558" w:type="dxa"/>
            <w:tcBorders>
              <w:top w:val="single" w:sz="4" w:space="0" w:color="auto"/>
              <w:left w:val="single" w:sz="4" w:space="0" w:color="auto"/>
              <w:bottom w:val="single" w:sz="4" w:space="0" w:color="auto"/>
              <w:right w:val="single" w:sz="4" w:space="0" w:color="auto"/>
            </w:tcBorders>
          </w:tcPr>
          <w:p w:rsidR="00ED2F21" w:rsidRPr="00365F23" w:rsidRDefault="007F011E" w:rsidP="00975413">
            <w:pPr>
              <w:keepNext/>
              <w:keepLines/>
              <w:numPr>
                <w:ilvl w:val="12"/>
                <w:numId w:val="0"/>
              </w:numPr>
              <w:jc w:val="right"/>
            </w:pPr>
            <w:r>
              <w:t>$</w:t>
            </w:r>
            <w:r w:rsidR="00201316">
              <w:t>678,400</w:t>
            </w:r>
          </w:p>
          <w:p w:rsidR="00ED2F21" w:rsidRPr="00365F23" w:rsidRDefault="007F011E" w:rsidP="00975413">
            <w:pPr>
              <w:keepNext/>
              <w:keepLines/>
              <w:numPr>
                <w:ilvl w:val="12"/>
                <w:numId w:val="0"/>
              </w:numPr>
              <w:jc w:val="right"/>
            </w:pPr>
            <w:r>
              <w:t>$</w:t>
            </w:r>
            <w:r w:rsidR="00201316">
              <w:t>819,200</w:t>
            </w:r>
          </w:p>
          <w:p w:rsidR="00ED2F21" w:rsidRPr="00365F23" w:rsidRDefault="007F011E" w:rsidP="00975413">
            <w:pPr>
              <w:keepNext/>
              <w:keepLines/>
              <w:numPr>
                <w:ilvl w:val="12"/>
                <w:numId w:val="0"/>
              </w:numPr>
              <w:jc w:val="right"/>
              <w:rPr>
                <w:u w:val="single"/>
              </w:rPr>
            </w:pPr>
            <w:r>
              <w:rPr>
                <w:u w:val="single"/>
              </w:rPr>
              <w:t>$</w:t>
            </w:r>
            <w:r w:rsidR="00201316">
              <w:rPr>
                <w:u w:val="single"/>
              </w:rPr>
              <w:t>960,000</w:t>
            </w:r>
          </w:p>
          <w:p w:rsidR="00ED2F21" w:rsidRPr="00365F23" w:rsidRDefault="007F011E" w:rsidP="00975413">
            <w:pPr>
              <w:keepNext/>
              <w:keepLines/>
              <w:numPr>
                <w:ilvl w:val="12"/>
                <w:numId w:val="0"/>
              </w:numPr>
              <w:jc w:val="right"/>
            </w:pPr>
            <w:r>
              <w:t>$</w:t>
            </w:r>
            <w:r w:rsidR="00DF1519">
              <w:t>2,457,600</w:t>
            </w:r>
          </w:p>
        </w:tc>
      </w:tr>
      <w:tr w:rsidR="00ED2F21" w:rsidRPr="00365F23" w:rsidTr="00ED2F21">
        <w:trPr>
          <w:cantSplit/>
          <w:jc w:val="center"/>
        </w:trPr>
        <w:tc>
          <w:tcPr>
            <w:tcW w:w="3700" w:type="dxa"/>
            <w:tcBorders>
              <w:top w:val="single" w:sz="6" w:space="0" w:color="000000"/>
              <w:left w:val="single" w:sz="6" w:space="0" w:color="000000"/>
              <w:bottom w:val="nil"/>
              <w:right w:val="nil"/>
            </w:tcBorders>
          </w:tcPr>
          <w:p w:rsidR="00ED2F21" w:rsidRDefault="00ED2F21" w:rsidP="00975413">
            <w:pPr>
              <w:keepNext/>
              <w:keepLines/>
              <w:numPr>
                <w:ilvl w:val="12"/>
                <w:numId w:val="0"/>
              </w:numPr>
              <w:ind w:left="270" w:hanging="270"/>
            </w:pPr>
            <w:r w:rsidRPr="00365F23">
              <w:t xml:space="preserve">Prepare Monitoring Reports and Compliance Certifications </w:t>
            </w:r>
          </w:p>
          <w:p w:rsidR="00ED2F21" w:rsidRPr="00365F23" w:rsidRDefault="00ED2F21" w:rsidP="00975413">
            <w:pPr>
              <w:keepNext/>
              <w:keepLines/>
              <w:numPr>
                <w:ilvl w:val="12"/>
                <w:numId w:val="0"/>
              </w:numPr>
              <w:ind w:left="270"/>
            </w:pPr>
            <w:r w:rsidRPr="00365F23">
              <w:t>(all permits)</w:t>
            </w:r>
          </w:p>
        </w:tc>
        <w:tc>
          <w:tcPr>
            <w:tcW w:w="1620" w:type="dxa"/>
            <w:tcBorders>
              <w:top w:val="single" w:sz="6" w:space="0" w:color="000000"/>
              <w:left w:val="single" w:sz="6" w:space="0" w:color="000000"/>
              <w:bottom w:val="nil"/>
              <w:right w:val="nil"/>
            </w:tcBorders>
          </w:tcPr>
          <w:p w:rsidR="00ED2F21" w:rsidRPr="00365F23" w:rsidRDefault="00ED2F21" w:rsidP="00975413">
            <w:pPr>
              <w:keepNext/>
              <w:keepLines/>
              <w:numPr>
                <w:ilvl w:val="12"/>
                <w:numId w:val="0"/>
              </w:numPr>
              <w:tabs>
                <w:tab w:val="left" w:pos="0"/>
                <w:tab w:val="left" w:pos="720"/>
              </w:tabs>
              <w:jc w:val="center"/>
            </w:pPr>
            <w:r w:rsidRPr="00365F23">
              <w:t>80</w:t>
            </w:r>
          </w:p>
        </w:tc>
        <w:tc>
          <w:tcPr>
            <w:tcW w:w="1620" w:type="dxa"/>
            <w:tcBorders>
              <w:top w:val="single" w:sz="6" w:space="0" w:color="000000"/>
              <w:left w:val="single" w:sz="6" w:space="0" w:color="000000"/>
              <w:bottom w:val="nil"/>
              <w:right w:val="single" w:sz="4" w:space="0" w:color="auto"/>
            </w:tcBorders>
          </w:tcPr>
          <w:p w:rsidR="00ED2F21" w:rsidRPr="00365F23" w:rsidRDefault="00ED2F21" w:rsidP="00975413">
            <w:pPr>
              <w:keepNext/>
              <w:keepLines/>
              <w:numPr>
                <w:ilvl w:val="12"/>
                <w:numId w:val="0"/>
              </w:numPr>
              <w:tabs>
                <w:tab w:val="right" w:pos="7200"/>
              </w:tabs>
            </w:pPr>
            <w:r w:rsidRPr="00365F23">
              <w:t>year 1       105</w:t>
            </w:r>
            <w:r w:rsidRPr="00365F23">
              <w:tab/>
              <w:t>105</w:t>
            </w:r>
          </w:p>
          <w:p w:rsidR="00ED2F21" w:rsidRPr="00365F23" w:rsidRDefault="00ED2F21" w:rsidP="00975413">
            <w:pPr>
              <w:keepNext/>
              <w:keepLines/>
              <w:numPr>
                <w:ilvl w:val="12"/>
                <w:numId w:val="0"/>
              </w:numPr>
              <w:tabs>
                <w:tab w:val="right" w:pos="7200"/>
              </w:tabs>
            </w:pPr>
            <w:r w:rsidRPr="00365F23">
              <w:t>year 2       127</w:t>
            </w:r>
            <w:r w:rsidRPr="00365F23">
              <w:tab/>
              <w:t>105</w:t>
            </w:r>
          </w:p>
          <w:p w:rsidR="00ED2F21" w:rsidRPr="00365F23" w:rsidRDefault="00ED2F21" w:rsidP="00975413">
            <w:pPr>
              <w:keepNext/>
              <w:keepLines/>
              <w:numPr>
                <w:ilvl w:val="12"/>
                <w:numId w:val="0"/>
              </w:numPr>
              <w:tabs>
                <w:tab w:val="right" w:pos="7200"/>
              </w:tabs>
            </w:pPr>
            <w:r w:rsidRPr="00365F23">
              <w:t>year 3       150</w:t>
            </w:r>
            <w:r w:rsidRPr="00365F23">
              <w:tab/>
              <w:t>105</w:t>
            </w:r>
          </w:p>
        </w:tc>
        <w:tc>
          <w:tcPr>
            <w:tcW w:w="1782" w:type="dxa"/>
            <w:tcBorders>
              <w:top w:val="single" w:sz="4" w:space="0" w:color="auto"/>
              <w:left w:val="single" w:sz="4" w:space="0" w:color="auto"/>
              <w:bottom w:val="single" w:sz="4" w:space="0" w:color="auto"/>
              <w:right w:val="single" w:sz="4" w:space="0" w:color="auto"/>
            </w:tcBorders>
          </w:tcPr>
          <w:p w:rsidR="00ED2F21" w:rsidRPr="00365F23" w:rsidRDefault="00ED2F21" w:rsidP="00975413">
            <w:pPr>
              <w:keepNext/>
              <w:keepLines/>
              <w:numPr>
                <w:ilvl w:val="12"/>
                <w:numId w:val="0"/>
              </w:numPr>
              <w:tabs>
                <w:tab w:val="right" w:pos="7200"/>
              </w:tabs>
              <w:jc w:val="right"/>
            </w:pPr>
            <w:r w:rsidRPr="00365F23">
              <w:t xml:space="preserve">year 1   </w:t>
            </w:r>
            <w:r w:rsidR="00DF1519">
              <w:t xml:space="preserve"> </w:t>
            </w:r>
            <w:r w:rsidRPr="00365F23">
              <w:t xml:space="preserve">   8,400</w:t>
            </w:r>
            <w:r w:rsidRPr="00365F23">
              <w:tab/>
              <w:t>8,400</w:t>
            </w:r>
          </w:p>
          <w:p w:rsidR="00ED2F21" w:rsidRPr="00365F23" w:rsidRDefault="00ED2F21" w:rsidP="00975413">
            <w:pPr>
              <w:keepNext/>
              <w:keepLines/>
              <w:numPr>
                <w:ilvl w:val="12"/>
                <w:numId w:val="0"/>
              </w:numPr>
              <w:tabs>
                <w:tab w:val="right" w:pos="7200"/>
              </w:tabs>
              <w:jc w:val="right"/>
            </w:pPr>
            <w:r w:rsidRPr="00365F23">
              <w:t>year 2     10,160</w:t>
            </w:r>
            <w:r w:rsidRPr="00365F23">
              <w:tab/>
              <w:t>8,400</w:t>
            </w:r>
          </w:p>
          <w:p w:rsidR="00ED2F21" w:rsidRPr="00365F23" w:rsidRDefault="00ED2F21" w:rsidP="00975413">
            <w:pPr>
              <w:keepNext/>
              <w:keepLines/>
              <w:numPr>
                <w:ilvl w:val="12"/>
                <w:numId w:val="0"/>
              </w:numPr>
              <w:tabs>
                <w:tab w:val="right" w:pos="7200"/>
              </w:tabs>
              <w:jc w:val="right"/>
            </w:pPr>
            <w:r w:rsidRPr="00365F23">
              <w:t xml:space="preserve">year 3    </w:t>
            </w:r>
            <w:r w:rsidRPr="00365F23">
              <w:rPr>
                <w:u w:val="single"/>
              </w:rPr>
              <w:t xml:space="preserve"> 12,000</w:t>
            </w:r>
            <w:r w:rsidRPr="00365F23">
              <w:tab/>
            </w:r>
            <w:r w:rsidRPr="00365F23">
              <w:rPr>
                <w:u w:val="single"/>
              </w:rPr>
              <w:t>8,400</w:t>
            </w:r>
          </w:p>
          <w:p w:rsidR="00ED2F21" w:rsidRPr="00365F23" w:rsidRDefault="00ED2F21" w:rsidP="00975413">
            <w:pPr>
              <w:keepNext/>
              <w:keepLines/>
              <w:numPr>
                <w:ilvl w:val="12"/>
                <w:numId w:val="0"/>
              </w:numPr>
              <w:tabs>
                <w:tab w:val="right" w:pos="7200"/>
              </w:tabs>
              <w:jc w:val="right"/>
            </w:pPr>
            <w:r w:rsidRPr="00365F23">
              <w:t xml:space="preserve">               30,560</w:t>
            </w:r>
            <w:r w:rsidRPr="00365F23">
              <w:tab/>
              <w:t>25,200</w:t>
            </w:r>
          </w:p>
        </w:tc>
        <w:tc>
          <w:tcPr>
            <w:tcW w:w="1558" w:type="dxa"/>
            <w:tcBorders>
              <w:top w:val="single" w:sz="4" w:space="0" w:color="auto"/>
              <w:left w:val="single" w:sz="4" w:space="0" w:color="auto"/>
              <w:bottom w:val="single" w:sz="4" w:space="0" w:color="auto"/>
              <w:right w:val="single" w:sz="4" w:space="0" w:color="auto"/>
            </w:tcBorders>
          </w:tcPr>
          <w:p w:rsidR="00ED2F21" w:rsidRPr="00365F23" w:rsidRDefault="007F011E" w:rsidP="00975413">
            <w:pPr>
              <w:keepNext/>
              <w:keepLines/>
              <w:numPr>
                <w:ilvl w:val="12"/>
                <w:numId w:val="0"/>
              </w:numPr>
              <w:tabs>
                <w:tab w:val="left" w:pos="0"/>
                <w:tab w:val="left" w:pos="720"/>
              </w:tabs>
              <w:jc w:val="right"/>
            </w:pPr>
            <w:r>
              <w:t>$</w:t>
            </w:r>
            <w:r w:rsidR="00DF1519">
              <w:t>537,600</w:t>
            </w:r>
          </w:p>
          <w:p w:rsidR="00ED2F21" w:rsidRPr="00365F23" w:rsidRDefault="007F011E" w:rsidP="00975413">
            <w:pPr>
              <w:keepNext/>
              <w:keepLines/>
              <w:numPr>
                <w:ilvl w:val="12"/>
                <w:numId w:val="0"/>
              </w:numPr>
              <w:tabs>
                <w:tab w:val="left" w:pos="0"/>
                <w:tab w:val="left" w:pos="720"/>
              </w:tabs>
              <w:jc w:val="right"/>
            </w:pPr>
            <w:r>
              <w:t>$</w:t>
            </w:r>
            <w:r w:rsidR="00DF1519">
              <w:t>650,240</w:t>
            </w:r>
          </w:p>
          <w:p w:rsidR="00ED2F21" w:rsidRPr="00365F23" w:rsidRDefault="007F011E" w:rsidP="00975413">
            <w:pPr>
              <w:keepNext/>
              <w:keepLines/>
              <w:numPr>
                <w:ilvl w:val="12"/>
                <w:numId w:val="0"/>
              </w:numPr>
              <w:tabs>
                <w:tab w:val="left" w:pos="0"/>
                <w:tab w:val="left" w:pos="720"/>
              </w:tabs>
              <w:jc w:val="right"/>
              <w:rPr>
                <w:u w:val="single"/>
              </w:rPr>
            </w:pPr>
            <w:r>
              <w:rPr>
                <w:u w:val="single"/>
              </w:rPr>
              <w:t>$</w:t>
            </w:r>
            <w:r w:rsidR="00DF1519">
              <w:rPr>
                <w:u w:val="single"/>
              </w:rPr>
              <w:t>768,000</w:t>
            </w:r>
          </w:p>
          <w:p w:rsidR="00ED2F21" w:rsidRPr="00365F23" w:rsidRDefault="007F011E" w:rsidP="00975413">
            <w:pPr>
              <w:keepNext/>
              <w:keepLines/>
              <w:numPr>
                <w:ilvl w:val="12"/>
                <w:numId w:val="0"/>
              </w:numPr>
              <w:tabs>
                <w:tab w:val="left" w:pos="0"/>
                <w:tab w:val="left" w:pos="720"/>
              </w:tabs>
              <w:jc w:val="right"/>
            </w:pPr>
            <w:r>
              <w:t>$</w:t>
            </w:r>
            <w:r w:rsidR="00ED2F21" w:rsidRPr="00365F23">
              <w:t>1,161,280</w:t>
            </w:r>
          </w:p>
        </w:tc>
      </w:tr>
      <w:tr w:rsidR="00ED2F21" w:rsidRPr="00365F23" w:rsidTr="00ED2F21">
        <w:trPr>
          <w:cantSplit/>
          <w:trHeight w:val="4602"/>
          <w:jc w:val="center"/>
        </w:trPr>
        <w:tc>
          <w:tcPr>
            <w:tcW w:w="3700" w:type="dxa"/>
            <w:tcBorders>
              <w:top w:val="single" w:sz="6" w:space="0" w:color="000000"/>
              <w:left w:val="single" w:sz="6" w:space="0" w:color="000000"/>
              <w:bottom w:val="nil"/>
              <w:right w:val="nil"/>
            </w:tcBorders>
          </w:tcPr>
          <w:p w:rsidR="00ED2F21" w:rsidRPr="00365F23" w:rsidRDefault="00ED2F21" w:rsidP="00975413">
            <w:pPr>
              <w:keepNext/>
              <w:keepLines/>
              <w:numPr>
                <w:ilvl w:val="12"/>
                <w:numId w:val="0"/>
              </w:numPr>
              <w:ind w:left="270" w:hanging="270"/>
            </w:pPr>
            <w:r w:rsidRPr="00365F23">
              <w:t>Permit Revisions</w:t>
            </w:r>
          </w:p>
          <w:p w:rsidR="00201316" w:rsidRDefault="00ED2F21" w:rsidP="00975413">
            <w:pPr>
              <w:keepNext/>
              <w:keepLines/>
              <w:numPr>
                <w:ilvl w:val="12"/>
                <w:numId w:val="0"/>
              </w:numPr>
              <w:ind w:left="270"/>
            </w:pPr>
            <w:r w:rsidRPr="00365F23">
              <w:t>Significant Permit Mod</w:t>
            </w:r>
            <w:r w:rsidR="00201316">
              <w:t>ification</w:t>
            </w:r>
            <w:r w:rsidRPr="00365F23">
              <w:t xml:space="preserve">s </w:t>
            </w:r>
          </w:p>
          <w:p w:rsidR="00ED2F21" w:rsidRPr="00365F23" w:rsidRDefault="00201316" w:rsidP="00975413">
            <w:pPr>
              <w:keepNext/>
              <w:keepLines/>
              <w:numPr>
                <w:ilvl w:val="12"/>
                <w:numId w:val="0"/>
              </w:numPr>
              <w:ind w:left="270"/>
            </w:pPr>
            <w:r>
              <w:t>(</w:t>
            </w:r>
            <w:r w:rsidR="00ED2F21" w:rsidRPr="00365F23">
              <w:t>10% of existing permits)</w:t>
            </w:r>
          </w:p>
          <w:p w:rsidR="00ED2F21" w:rsidRPr="00365F23" w:rsidRDefault="00ED2F21" w:rsidP="00975413">
            <w:pPr>
              <w:keepNext/>
              <w:keepLines/>
              <w:numPr>
                <w:ilvl w:val="12"/>
                <w:numId w:val="0"/>
              </w:numPr>
              <w:ind w:left="270" w:hanging="270"/>
            </w:pPr>
          </w:p>
          <w:p w:rsidR="00ED2F21" w:rsidRPr="00365F23" w:rsidRDefault="00ED2F21" w:rsidP="00975413">
            <w:pPr>
              <w:keepNext/>
              <w:keepLines/>
              <w:numPr>
                <w:ilvl w:val="12"/>
                <w:numId w:val="0"/>
              </w:numPr>
              <w:ind w:left="270" w:hanging="270"/>
            </w:pPr>
          </w:p>
          <w:p w:rsidR="00201316" w:rsidRDefault="00201316" w:rsidP="00975413">
            <w:pPr>
              <w:keepNext/>
              <w:keepLines/>
              <w:numPr>
                <w:ilvl w:val="12"/>
                <w:numId w:val="0"/>
              </w:numPr>
              <w:ind w:left="270" w:hanging="270"/>
            </w:pPr>
          </w:p>
          <w:p w:rsidR="00201316" w:rsidRDefault="00ED2F21" w:rsidP="00975413">
            <w:pPr>
              <w:keepNext/>
              <w:keepLines/>
              <w:numPr>
                <w:ilvl w:val="12"/>
                <w:numId w:val="0"/>
              </w:numPr>
              <w:ind w:left="270"/>
            </w:pPr>
            <w:r w:rsidRPr="00365F23">
              <w:t>Minor Permit Mod</w:t>
            </w:r>
            <w:r w:rsidR="00201316">
              <w:t>ification</w:t>
            </w:r>
            <w:r w:rsidRPr="00365F23">
              <w:t xml:space="preserve">s </w:t>
            </w:r>
          </w:p>
          <w:p w:rsidR="00ED2F21" w:rsidRPr="00365F23" w:rsidRDefault="00201316" w:rsidP="00975413">
            <w:pPr>
              <w:keepNext/>
              <w:keepLines/>
              <w:numPr>
                <w:ilvl w:val="12"/>
                <w:numId w:val="0"/>
              </w:numPr>
              <w:ind w:left="270"/>
            </w:pPr>
            <w:r>
              <w:t>(</w:t>
            </w:r>
            <w:r w:rsidR="00ED2F21" w:rsidRPr="00365F23">
              <w:t>50% of existing permits)</w:t>
            </w:r>
          </w:p>
          <w:p w:rsidR="00ED2F21" w:rsidRPr="00365F23" w:rsidRDefault="00ED2F21" w:rsidP="00975413">
            <w:pPr>
              <w:keepNext/>
              <w:keepLines/>
              <w:numPr>
                <w:ilvl w:val="12"/>
                <w:numId w:val="0"/>
              </w:numPr>
              <w:ind w:left="270" w:hanging="270"/>
            </w:pPr>
          </w:p>
          <w:p w:rsidR="00201316" w:rsidRDefault="00201316" w:rsidP="00975413">
            <w:pPr>
              <w:keepNext/>
              <w:keepLines/>
              <w:numPr>
                <w:ilvl w:val="12"/>
                <w:numId w:val="0"/>
              </w:numPr>
              <w:ind w:left="270" w:hanging="270"/>
            </w:pPr>
          </w:p>
          <w:p w:rsidR="00201316" w:rsidRDefault="00201316" w:rsidP="00975413">
            <w:pPr>
              <w:keepNext/>
              <w:keepLines/>
              <w:numPr>
                <w:ilvl w:val="12"/>
                <w:numId w:val="0"/>
              </w:numPr>
              <w:ind w:left="270" w:hanging="270"/>
            </w:pPr>
          </w:p>
          <w:p w:rsidR="00201316" w:rsidRDefault="00ED2F21" w:rsidP="00975413">
            <w:pPr>
              <w:keepNext/>
              <w:keepLines/>
              <w:numPr>
                <w:ilvl w:val="12"/>
                <w:numId w:val="0"/>
              </w:numPr>
              <w:ind w:left="270"/>
            </w:pPr>
            <w:r w:rsidRPr="00365F23">
              <w:t>Admin</w:t>
            </w:r>
            <w:r w:rsidR="00201316">
              <w:t>istrative</w:t>
            </w:r>
            <w:r w:rsidRPr="00365F23">
              <w:t xml:space="preserve"> Amendments </w:t>
            </w:r>
          </w:p>
          <w:p w:rsidR="00ED2F21" w:rsidRPr="00365F23" w:rsidRDefault="00ED2F21" w:rsidP="00975413">
            <w:pPr>
              <w:keepNext/>
              <w:keepLines/>
              <w:numPr>
                <w:ilvl w:val="12"/>
                <w:numId w:val="0"/>
              </w:numPr>
              <w:ind w:left="270"/>
            </w:pPr>
            <w:r w:rsidRPr="00365F23">
              <w:t>(50% of existing permits)</w:t>
            </w:r>
          </w:p>
          <w:p w:rsidR="00201316" w:rsidRPr="00365F23" w:rsidRDefault="00201316" w:rsidP="00975413">
            <w:pPr>
              <w:keepNext/>
              <w:keepLines/>
              <w:numPr>
                <w:ilvl w:val="12"/>
                <w:numId w:val="0"/>
              </w:numPr>
              <w:spacing w:line="360" w:lineRule="auto"/>
              <w:ind w:left="270" w:hanging="270"/>
            </w:pPr>
          </w:p>
          <w:p w:rsidR="00ED2F21" w:rsidRPr="00365F23" w:rsidRDefault="00ED2F21" w:rsidP="00975413">
            <w:pPr>
              <w:keepNext/>
              <w:keepLines/>
              <w:numPr>
                <w:ilvl w:val="12"/>
                <w:numId w:val="0"/>
              </w:numPr>
              <w:ind w:left="270" w:hanging="270"/>
            </w:pPr>
            <w:r>
              <w:t xml:space="preserve">  </w:t>
            </w:r>
            <w:r w:rsidRPr="00365F23">
              <w:t xml:space="preserve">           </w:t>
            </w:r>
          </w:p>
          <w:p w:rsidR="00ED2F21" w:rsidRPr="00365F23" w:rsidRDefault="00ED2F21" w:rsidP="00975413">
            <w:pPr>
              <w:keepNext/>
              <w:keepLines/>
              <w:numPr>
                <w:ilvl w:val="12"/>
                <w:numId w:val="0"/>
              </w:numPr>
              <w:ind w:left="270" w:hanging="270"/>
            </w:pPr>
            <w:r w:rsidRPr="00365F23">
              <w:t>Revision Subtotal</w:t>
            </w:r>
          </w:p>
        </w:tc>
        <w:tc>
          <w:tcPr>
            <w:tcW w:w="1620" w:type="dxa"/>
            <w:tcBorders>
              <w:top w:val="single" w:sz="6" w:space="0" w:color="000000"/>
              <w:left w:val="single" w:sz="6" w:space="0" w:color="000000"/>
              <w:bottom w:val="nil"/>
              <w:right w:val="nil"/>
            </w:tcBorders>
          </w:tcPr>
          <w:p w:rsidR="00ED2F21" w:rsidRPr="00365F23" w:rsidRDefault="00ED2F21" w:rsidP="00975413">
            <w:pPr>
              <w:keepNext/>
              <w:keepLines/>
              <w:numPr>
                <w:ilvl w:val="12"/>
                <w:numId w:val="0"/>
              </w:numPr>
              <w:tabs>
                <w:tab w:val="left" w:pos="0"/>
                <w:tab w:val="left" w:pos="720"/>
              </w:tabs>
              <w:jc w:val="center"/>
            </w:pPr>
          </w:p>
          <w:p w:rsidR="00ED2F21" w:rsidRPr="00365F23" w:rsidRDefault="00ED2F21" w:rsidP="00975413">
            <w:pPr>
              <w:keepNext/>
              <w:keepLines/>
              <w:numPr>
                <w:ilvl w:val="12"/>
                <w:numId w:val="0"/>
              </w:numPr>
              <w:tabs>
                <w:tab w:val="left" w:pos="0"/>
                <w:tab w:val="left" w:pos="720"/>
              </w:tabs>
              <w:jc w:val="center"/>
            </w:pPr>
            <w:r w:rsidRPr="00365F23">
              <w:t>80</w:t>
            </w:r>
          </w:p>
          <w:p w:rsidR="00ED2F21" w:rsidRPr="00365F23" w:rsidRDefault="00ED2F21" w:rsidP="00975413">
            <w:pPr>
              <w:keepNext/>
              <w:keepLines/>
              <w:numPr>
                <w:ilvl w:val="12"/>
                <w:numId w:val="0"/>
              </w:numPr>
              <w:tabs>
                <w:tab w:val="left" w:pos="0"/>
                <w:tab w:val="left" w:pos="720"/>
              </w:tabs>
              <w:jc w:val="center"/>
            </w:pPr>
          </w:p>
          <w:p w:rsidR="00ED2F21" w:rsidRPr="00365F23" w:rsidRDefault="00ED2F21" w:rsidP="00975413">
            <w:pPr>
              <w:keepNext/>
              <w:keepLines/>
              <w:numPr>
                <w:ilvl w:val="12"/>
                <w:numId w:val="0"/>
              </w:numPr>
              <w:tabs>
                <w:tab w:val="left" w:pos="0"/>
                <w:tab w:val="left" w:pos="720"/>
              </w:tabs>
              <w:jc w:val="center"/>
            </w:pPr>
          </w:p>
          <w:p w:rsidR="00ED2F21" w:rsidRPr="00365F23" w:rsidRDefault="00ED2F21" w:rsidP="00975413">
            <w:pPr>
              <w:keepNext/>
              <w:keepLines/>
              <w:numPr>
                <w:ilvl w:val="12"/>
                <w:numId w:val="0"/>
              </w:numPr>
              <w:tabs>
                <w:tab w:val="left" w:pos="0"/>
                <w:tab w:val="left" w:pos="720"/>
              </w:tabs>
              <w:jc w:val="center"/>
            </w:pPr>
          </w:p>
          <w:p w:rsidR="00ED2F21" w:rsidRPr="00365F23" w:rsidRDefault="00ED2F21" w:rsidP="00975413">
            <w:pPr>
              <w:keepNext/>
              <w:keepLines/>
              <w:numPr>
                <w:ilvl w:val="12"/>
                <w:numId w:val="0"/>
              </w:numPr>
              <w:tabs>
                <w:tab w:val="left" w:pos="0"/>
                <w:tab w:val="left" w:pos="720"/>
              </w:tabs>
              <w:jc w:val="center"/>
            </w:pPr>
          </w:p>
          <w:p w:rsidR="00ED2F21" w:rsidRPr="00365F23" w:rsidRDefault="00ED2F21" w:rsidP="00975413">
            <w:pPr>
              <w:keepNext/>
              <w:keepLines/>
              <w:numPr>
                <w:ilvl w:val="12"/>
                <w:numId w:val="0"/>
              </w:numPr>
              <w:tabs>
                <w:tab w:val="left" w:pos="0"/>
                <w:tab w:val="left" w:pos="720"/>
              </w:tabs>
              <w:jc w:val="center"/>
            </w:pPr>
            <w:r w:rsidRPr="00365F23">
              <w:t>40</w:t>
            </w:r>
          </w:p>
          <w:p w:rsidR="00ED2F21" w:rsidRPr="00365F23" w:rsidRDefault="00ED2F21" w:rsidP="00975413">
            <w:pPr>
              <w:keepNext/>
              <w:keepLines/>
              <w:numPr>
                <w:ilvl w:val="12"/>
                <w:numId w:val="0"/>
              </w:numPr>
              <w:tabs>
                <w:tab w:val="left" w:pos="0"/>
                <w:tab w:val="left" w:pos="720"/>
              </w:tabs>
              <w:jc w:val="center"/>
            </w:pPr>
          </w:p>
          <w:p w:rsidR="00ED2F21" w:rsidRPr="00365F23" w:rsidRDefault="00ED2F21" w:rsidP="00975413">
            <w:pPr>
              <w:keepNext/>
              <w:keepLines/>
              <w:numPr>
                <w:ilvl w:val="12"/>
                <w:numId w:val="0"/>
              </w:numPr>
              <w:tabs>
                <w:tab w:val="left" w:pos="0"/>
                <w:tab w:val="left" w:pos="720"/>
              </w:tabs>
              <w:jc w:val="center"/>
            </w:pPr>
          </w:p>
          <w:p w:rsidR="00ED2F21" w:rsidRPr="00365F23" w:rsidRDefault="00ED2F21" w:rsidP="00975413">
            <w:pPr>
              <w:keepNext/>
              <w:keepLines/>
              <w:numPr>
                <w:ilvl w:val="12"/>
                <w:numId w:val="0"/>
              </w:numPr>
              <w:tabs>
                <w:tab w:val="left" w:pos="0"/>
                <w:tab w:val="left" w:pos="720"/>
              </w:tabs>
              <w:jc w:val="center"/>
            </w:pPr>
          </w:p>
          <w:p w:rsidR="00ED2F21" w:rsidRPr="00365F23" w:rsidRDefault="00ED2F21" w:rsidP="00975413">
            <w:pPr>
              <w:keepNext/>
              <w:keepLines/>
              <w:numPr>
                <w:ilvl w:val="12"/>
                <w:numId w:val="0"/>
              </w:numPr>
              <w:tabs>
                <w:tab w:val="left" w:pos="0"/>
                <w:tab w:val="left" w:pos="720"/>
              </w:tabs>
              <w:jc w:val="center"/>
            </w:pPr>
          </w:p>
          <w:p w:rsidR="00ED2F21" w:rsidRPr="00365F23" w:rsidRDefault="00ED2F21" w:rsidP="00975413">
            <w:pPr>
              <w:keepNext/>
              <w:keepLines/>
              <w:numPr>
                <w:ilvl w:val="12"/>
                <w:numId w:val="0"/>
              </w:numPr>
              <w:tabs>
                <w:tab w:val="left" w:pos="0"/>
                <w:tab w:val="left" w:pos="720"/>
              </w:tabs>
              <w:jc w:val="center"/>
            </w:pPr>
            <w:r w:rsidRPr="00365F23">
              <w:t>8</w:t>
            </w:r>
          </w:p>
        </w:tc>
        <w:tc>
          <w:tcPr>
            <w:tcW w:w="1620" w:type="dxa"/>
            <w:tcBorders>
              <w:top w:val="single" w:sz="6" w:space="0" w:color="000000"/>
              <w:left w:val="single" w:sz="6" w:space="0" w:color="000000"/>
              <w:bottom w:val="nil"/>
              <w:right w:val="single" w:sz="4" w:space="0" w:color="auto"/>
            </w:tcBorders>
          </w:tcPr>
          <w:p w:rsidR="00ED2F21" w:rsidRPr="00365F23" w:rsidRDefault="00ED2F21" w:rsidP="00975413">
            <w:pPr>
              <w:keepNext/>
              <w:keepLines/>
              <w:numPr>
                <w:ilvl w:val="12"/>
                <w:numId w:val="0"/>
              </w:numPr>
              <w:tabs>
                <w:tab w:val="left" w:pos="0"/>
                <w:tab w:val="left" w:pos="720"/>
              </w:tabs>
            </w:pPr>
          </w:p>
          <w:p w:rsidR="00ED2F21" w:rsidRPr="00365F23" w:rsidRDefault="00ED2F21" w:rsidP="00975413">
            <w:pPr>
              <w:keepNext/>
              <w:keepLines/>
              <w:numPr>
                <w:ilvl w:val="12"/>
                <w:numId w:val="0"/>
              </w:numPr>
              <w:tabs>
                <w:tab w:val="right" w:pos="7200"/>
              </w:tabs>
            </w:pPr>
            <w:r w:rsidRPr="00365F23">
              <w:t>year 1       11</w:t>
            </w:r>
            <w:r w:rsidRPr="00365F23">
              <w:tab/>
              <w:t>10</w:t>
            </w:r>
          </w:p>
          <w:p w:rsidR="00ED2F21" w:rsidRPr="00365F23" w:rsidRDefault="00ED2F21" w:rsidP="00975413">
            <w:pPr>
              <w:keepNext/>
              <w:keepLines/>
              <w:numPr>
                <w:ilvl w:val="12"/>
                <w:numId w:val="0"/>
              </w:numPr>
              <w:tabs>
                <w:tab w:val="right" w:pos="7200"/>
              </w:tabs>
            </w:pPr>
            <w:r w:rsidRPr="00365F23">
              <w:t>year 2       13</w:t>
            </w:r>
            <w:r w:rsidRPr="00365F23">
              <w:tab/>
              <w:t>10</w:t>
            </w:r>
          </w:p>
          <w:p w:rsidR="00ED2F21" w:rsidRPr="00365F23" w:rsidRDefault="00ED2F21" w:rsidP="00975413">
            <w:pPr>
              <w:keepNext/>
              <w:keepLines/>
              <w:numPr>
                <w:ilvl w:val="12"/>
                <w:numId w:val="0"/>
              </w:numPr>
              <w:tabs>
                <w:tab w:val="right" w:pos="7200"/>
              </w:tabs>
            </w:pPr>
            <w:r w:rsidRPr="00365F23">
              <w:t xml:space="preserve">year 3       </w:t>
            </w:r>
            <w:r w:rsidRPr="00365F23">
              <w:rPr>
                <w:u w:val="single"/>
              </w:rPr>
              <w:t>15</w:t>
            </w:r>
            <w:r w:rsidRPr="00365F23">
              <w:tab/>
              <w:t>10</w:t>
            </w:r>
          </w:p>
          <w:p w:rsidR="00ED2F21" w:rsidRPr="00365F23" w:rsidRDefault="00ED2F21" w:rsidP="00975413">
            <w:pPr>
              <w:keepNext/>
              <w:keepLines/>
              <w:numPr>
                <w:ilvl w:val="12"/>
                <w:numId w:val="0"/>
              </w:numPr>
              <w:tabs>
                <w:tab w:val="left" w:pos="0"/>
                <w:tab w:val="left" w:pos="720"/>
              </w:tabs>
            </w:pPr>
            <w:r w:rsidRPr="00365F23">
              <w:t xml:space="preserve">                 39</w:t>
            </w:r>
          </w:p>
          <w:p w:rsidR="00ED2F21" w:rsidRPr="00365F23" w:rsidRDefault="00ED2F21" w:rsidP="00975413">
            <w:pPr>
              <w:keepNext/>
              <w:keepLines/>
              <w:numPr>
                <w:ilvl w:val="12"/>
                <w:numId w:val="0"/>
              </w:numPr>
              <w:tabs>
                <w:tab w:val="left" w:pos="0"/>
                <w:tab w:val="left" w:pos="720"/>
              </w:tabs>
            </w:pPr>
          </w:p>
          <w:p w:rsidR="00ED2F21" w:rsidRPr="00365F23" w:rsidRDefault="00ED2F21" w:rsidP="00975413">
            <w:pPr>
              <w:keepNext/>
              <w:keepLines/>
              <w:numPr>
                <w:ilvl w:val="12"/>
                <w:numId w:val="0"/>
              </w:numPr>
              <w:tabs>
                <w:tab w:val="right" w:pos="7200"/>
              </w:tabs>
            </w:pPr>
            <w:r w:rsidRPr="00365F23">
              <w:t>year 1       53</w:t>
            </w:r>
            <w:r w:rsidRPr="00365F23">
              <w:tab/>
              <w:t>53</w:t>
            </w:r>
          </w:p>
          <w:p w:rsidR="00ED2F21" w:rsidRPr="00365F23" w:rsidRDefault="00ED2F21" w:rsidP="00975413">
            <w:pPr>
              <w:keepNext/>
              <w:keepLines/>
              <w:numPr>
                <w:ilvl w:val="12"/>
                <w:numId w:val="0"/>
              </w:numPr>
              <w:tabs>
                <w:tab w:val="right" w:pos="7200"/>
              </w:tabs>
            </w:pPr>
            <w:r w:rsidRPr="00365F23">
              <w:t>year 2       64</w:t>
            </w:r>
            <w:r w:rsidRPr="00365F23">
              <w:tab/>
              <w:t>53</w:t>
            </w:r>
          </w:p>
          <w:p w:rsidR="00ED2F21" w:rsidRPr="00365F23" w:rsidRDefault="00ED2F21" w:rsidP="00975413">
            <w:pPr>
              <w:keepNext/>
              <w:keepLines/>
              <w:numPr>
                <w:ilvl w:val="12"/>
                <w:numId w:val="0"/>
              </w:numPr>
              <w:tabs>
                <w:tab w:val="right" w:pos="7200"/>
              </w:tabs>
            </w:pPr>
            <w:r w:rsidRPr="00365F23">
              <w:t xml:space="preserve">year 3       </w:t>
            </w:r>
            <w:r w:rsidRPr="00365F23">
              <w:rPr>
                <w:u w:val="single"/>
              </w:rPr>
              <w:t>75</w:t>
            </w:r>
            <w:r w:rsidRPr="00365F23">
              <w:tab/>
              <w:t>53</w:t>
            </w:r>
          </w:p>
          <w:p w:rsidR="00ED2F21" w:rsidRPr="00365F23" w:rsidRDefault="00ED2F21" w:rsidP="00975413">
            <w:pPr>
              <w:keepNext/>
              <w:keepLines/>
              <w:numPr>
                <w:ilvl w:val="12"/>
                <w:numId w:val="0"/>
              </w:numPr>
              <w:tabs>
                <w:tab w:val="left" w:pos="0"/>
                <w:tab w:val="left" w:pos="720"/>
              </w:tabs>
            </w:pPr>
            <w:r w:rsidRPr="00365F23">
              <w:t xml:space="preserve">               192</w:t>
            </w:r>
          </w:p>
          <w:p w:rsidR="00ED2F21" w:rsidRPr="00365F23" w:rsidRDefault="00ED2F21" w:rsidP="00975413">
            <w:pPr>
              <w:keepNext/>
              <w:keepLines/>
              <w:numPr>
                <w:ilvl w:val="12"/>
                <w:numId w:val="0"/>
              </w:numPr>
              <w:tabs>
                <w:tab w:val="left" w:pos="0"/>
                <w:tab w:val="left" w:pos="720"/>
              </w:tabs>
            </w:pPr>
          </w:p>
          <w:p w:rsidR="00ED2F21" w:rsidRPr="00365F23" w:rsidRDefault="00ED2F21" w:rsidP="00975413">
            <w:pPr>
              <w:keepNext/>
              <w:keepLines/>
              <w:numPr>
                <w:ilvl w:val="12"/>
                <w:numId w:val="0"/>
              </w:numPr>
              <w:tabs>
                <w:tab w:val="right" w:pos="7200"/>
              </w:tabs>
            </w:pPr>
            <w:r w:rsidRPr="00365F23">
              <w:t>year 1       53</w:t>
            </w:r>
            <w:r w:rsidRPr="00365F23">
              <w:tab/>
              <w:t>53</w:t>
            </w:r>
          </w:p>
          <w:p w:rsidR="00ED2F21" w:rsidRPr="00365F23" w:rsidRDefault="00ED2F21" w:rsidP="00975413">
            <w:pPr>
              <w:keepNext/>
              <w:keepLines/>
              <w:numPr>
                <w:ilvl w:val="12"/>
                <w:numId w:val="0"/>
              </w:numPr>
              <w:tabs>
                <w:tab w:val="right" w:pos="7200"/>
              </w:tabs>
            </w:pPr>
            <w:r w:rsidRPr="00365F23">
              <w:t>year 2       64</w:t>
            </w:r>
            <w:r w:rsidRPr="00365F23">
              <w:tab/>
              <w:t>53</w:t>
            </w:r>
          </w:p>
          <w:p w:rsidR="00ED2F21" w:rsidRPr="00365F23" w:rsidRDefault="00ED2F21" w:rsidP="00975413">
            <w:pPr>
              <w:keepNext/>
              <w:keepLines/>
              <w:numPr>
                <w:ilvl w:val="12"/>
                <w:numId w:val="0"/>
              </w:numPr>
              <w:tabs>
                <w:tab w:val="right" w:pos="7200"/>
              </w:tabs>
              <w:rPr>
                <w:u w:val="single"/>
              </w:rPr>
            </w:pPr>
            <w:r w:rsidRPr="00365F23">
              <w:t xml:space="preserve">year 3       </w:t>
            </w:r>
            <w:r w:rsidRPr="00365F23">
              <w:rPr>
                <w:u w:val="single"/>
              </w:rPr>
              <w:t>75</w:t>
            </w:r>
          </w:p>
          <w:p w:rsidR="00ED2F21" w:rsidRPr="00365F23" w:rsidRDefault="00ED2F21" w:rsidP="00975413">
            <w:pPr>
              <w:keepNext/>
              <w:keepLines/>
              <w:numPr>
                <w:ilvl w:val="12"/>
                <w:numId w:val="0"/>
              </w:numPr>
              <w:tabs>
                <w:tab w:val="right" w:pos="7200"/>
              </w:tabs>
            </w:pPr>
            <w:r w:rsidRPr="00365F23">
              <w:t xml:space="preserve">               192</w:t>
            </w:r>
            <w:r w:rsidRPr="00365F23">
              <w:tab/>
              <w:t>53</w:t>
            </w:r>
          </w:p>
        </w:tc>
        <w:tc>
          <w:tcPr>
            <w:tcW w:w="1782" w:type="dxa"/>
            <w:tcBorders>
              <w:top w:val="single" w:sz="4" w:space="0" w:color="auto"/>
              <w:left w:val="single" w:sz="4" w:space="0" w:color="auto"/>
              <w:bottom w:val="single" w:sz="4" w:space="0" w:color="auto"/>
              <w:right w:val="single" w:sz="4" w:space="0" w:color="auto"/>
            </w:tcBorders>
          </w:tcPr>
          <w:p w:rsidR="00ED2F21" w:rsidRPr="00365F23" w:rsidRDefault="00ED2F21" w:rsidP="00975413">
            <w:pPr>
              <w:keepNext/>
              <w:keepLines/>
              <w:numPr>
                <w:ilvl w:val="12"/>
                <w:numId w:val="0"/>
              </w:numPr>
              <w:tabs>
                <w:tab w:val="right" w:pos="1070"/>
              </w:tabs>
              <w:jc w:val="right"/>
            </w:pPr>
          </w:p>
          <w:p w:rsidR="00ED2F21" w:rsidRPr="00365F23" w:rsidRDefault="00ED2F21" w:rsidP="00975413">
            <w:pPr>
              <w:keepNext/>
              <w:keepLines/>
              <w:numPr>
                <w:ilvl w:val="12"/>
                <w:numId w:val="0"/>
              </w:numPr>
              <w:tabs>
                <w:tab w:val="right" w:pos="7200"/>
              </w:tabs>
              <w:jc w:val="right"/>
            </w:pPr>
            <w:r w:rsidRPr="00365F23">
              <w:t>year 1         880</w:t>
            </w:r>
            <w:r w:rsidRPr="00365F23">
              <w:tab/>
              <w:t>800</w:t>
            </w:r>
          </w:p>
          <w:p w:rsidR="00ED2F21" w:rsidRPr="00365F23" w:rsidRDefault="00ED2F21" w:rsidP="00975413">
            <w:pPr>
              <w:keepNext/>
              <w:keepLines/>
              <w:numPr>
                <w:ilvl w:val="12"/>
                <w:numId w:val="0"/>
              </w:numPr>
              <w:tabs>
                <w:tab w:val="right" w:pos="7200"/>
              </w:tabs>
              <w:jc w:val="right"/>
            </w:pPr>
            <w:r w:rsidRPr="00365F23">
              <w:t>year 2      1,040</w:t>
            </w:r>
            <w:r w:rsidRPr="00365F23">
              <w:tab/>
              <w:t>800</w:t>
            </w:r>
          </w:p>
          <w:p w:rsidR="00ED2F21" w:rsidRPr="00365F23" w:rsidRDefault="00ED2F21" w:rsidP="00975413">
            <w:pPr>
              <w:keepNext/>
              <w:keepLines/>
              <w:numPr>
                <w:ilvl w:val="12"/>
                <w:numId w:val="0"/>
              </w:numPr>
              <w:tabs>
                <w:tab w:val="right" w:pos="7200"/>
              </w:tabs>
              <w:jc w:val="right"/>
            </w:pPr>
            <w:r w:rsidRPr="00365F23">
              <w:t xml:space="preserve">year 3      </w:t>
            </w:r>
            <w:r w:rsidRPr="00365F23">
              <w:rPr>
                <w:u w:val="single"/>
              </w:rPr>
              <w:t>1,200</w:t>
            </w:r>
            <w:r w:rsidRPr="00365F23">
              <w:tab/>
            </w:r>
            <w:r w:rsidRPr="00365F23">
              <w:rPr>
                <w:u w:val="single"/>
              </w:rPr>
              <w:t>800</w:t>
            </w:r>
          </w:p>
          <w:p w:rsidR="00ED2F21" w:rsidRPr="00365F23" w:rsidRDefault="00ED2F21" w:rsidP="00975413">
            <w:pPr>
              <w:keepNext/>
              <w:keepLines/>
              <w:numPr>
                <w:ilvl w:val="12"/>
                <w:numId w:val="0"/>
              </w:numPr>
              <w:tabs>
                <w:tab w:val="right" w:pos="7200"/>
              </w:tabs>
              <w:jc w:val="right"/>
            </w:pPr>
            <w:r w:rsidRPr="00365F23">
              <w:t xml:space="preserve">                3,120</w:t>
            </w:r>
            <w:r w:rsidRPr="00365F23">
              <w:tab/>
              <w:t>2,400</w:t>
            </w:r>
          </w:p>
          <w:p w:rsidR="00ED2F21" w:rsidRPr="00365F23" w:rsidRDefault="00ED2F21" w:rsidP="00975413">
            <w:pPr>
              <w:keepNext/>
              <w:keepLines/>
              <w:numPr>
                <w:ilvl w:val="12"/>
                <w:numId w:val="0"/>
              </w:numPr>
              <w:tabs>
                <w:tab w:val="left" w:pos="0"/>
                <w:tab w:val="left" w:pos="720"/>
              </w:tabs>
              <w:jc w:val="right"/>
            </w:pPr>
          </w:p>
          <w:p w:rsidR="00ED2F21" w:rsidRPr="00365F23" w:rsidRDefault="00ED2F21" w:rsidP="00975413">
            <w:pPr>
              <w:keepNext/>
              <w:keepLines/>
              <w:numPr>
                <w:ilvl w:val="12"/>
                <w:numId w:val="0"/>
              </w:numPr>
              <w:tabs>
                <w:tab w:val="right" w:pos="7200"/>
              </w:tabs>
              <w:jc w:val="right"/>
            </w:pPr>
            <w:r w:rsidRPr="00365F23">
              <w:t>year 1      2,120</w:t>
            </w:r>
            <w:r w:rsidRPr="00365F23">
              <w:tab/>
              <w:t>2,120</w:t>
            </w:r>
          </w:p>
          <w:p w:rsidR="00ED2F21" w:rsidRPr="00365F23" w:rsidRDefault="00ED2F21" w:rsidP="00975413">
            <w:pPr>
              <w:keepNext/>
              <w:keepLines/>
              <w:numPr>
                <w:ilvl w:val="12"/>
                <w:numId w:val="0"/>
              </w:numPr>
              <w:tabs>
                <w:tab w:val="right" w:pos="7200"/>
              </w:tabs>
              <w:jc w:val="right"/>
            </w:pPr>
            <w:r w:rsidRPr="00365F23">
              <w:t>year 2      2,560</w:t>
            </w:r>
            <w:r w:rsidRPr="00365F23">
              <w:tab/>
              <w:t>2,120</w:t>
            </w:r>
          </w:p>
          <w:p w:rsidR="00ED2F21" w:rsidRPr="00365F23" w:rsidRDefault="00ED2F21" w:rsidP="00975413">
            <w:pPr>
              <w:keepNext/>
              <w:keepLines/>
              <w:numPr>
                <w:ilvl w:val="12"/>
                <w:numId w:val="0"/>
              </w:numPr>
              <w:tabs>
                <w:tab w:val="right" w:pos="7200"/>
              </w:tabs>
              <w:jc w:val="right"/>
            </w:pPr>
            <w:r w:rsidRPr="00365F23">
              <w:t xml:space="preserve">year 3      </w:t>
            </w:r>
            <w:r w:rsidRPr="00365F23">
              <w:rPr>
                <w:u w:val="single"/>
              </w:rPr>
              <w:t>3,000</w:t>
            </w:r>
            <w:r w:rsidRPr="00365F23">
              <w:tab/>
            </w:r>
            <w:r w:rsidRPr="00365F23">
              <w:rPr>
                <w:u w:val="single"/>
              </w:rPr>
              <w:t>2,120</w:t>
            </w:r>
          </w:p>
          <w:p w:rsidR="00ED2F21" w:rsidRPr="00365F23" w:rsidRDefault="00ED2F21" w:rsidP="00975413">
            <w:pPr>
              <w:keepNext/>
              <w:keepLines/>
              <w:numPr>
                <w:ilvl w:val="12"/>
                <w:numId w:val="0"/>
              </w:numPr>
              <w:tabs>
                <w:tab w:val="right" w:pos="7200"/>
              </w:tabs>
              <w:jc w:val="right"/>
            </w:pPr>
            <w:r w:rsidRPr="00365F23">
              <w:t xml:space="preserve">                7,680</w:t>
            </w:r>
            <w:r w:rsidRPr="00365F23">
              <w:tab/>
              <w:t>6,360</w:t>
            </w:r>
          </w:p>
          <w:p w:rsidR="00ED2F21" w:rsidRPr="00365F23" w:rsidRDefault="00ED2F21" w:rsidP="00975413">
            <w:pPr>
              <w:keepNext/>
              <w:keepLines/>
              <w:numPr>
                <w:ilvl w:val="12"/>
                <w:numId w:val="0"/>
              </w:numPr>
              <w:tabs>
                <w:tab w:val="left" w:pos="0"/>
                <w:tab w:val="left" w:pos="720"/>
              </w:tabs>
              <w:jc w:val="right"/>
            </w:pPr>
          </w:p>
          <w:p w:rsidR="00ED2F21" w:rsidRPr="00365F23" w:rsidRDefault="00ED2F21" w:rsidP="00975413">
            <w:pPr>
              <w:keepNext/>
              <w:keepLines/>
              <w:numPr>
                <w:ilvl w:val="12"/>
                <w:numId w:val="0"/>
              </w:numPr>
              <w:tabs>
                <w:tab w:val="right" w:pos="7200"/>
              </w:tabs>
              <w:jc w:val="right"/>
            </w:pPr>
            <w:r w:rsidRPr="00365F23">
              <w:t>year 1         424</w:t>
            </w:r>
            <w:r w:rsidRPr="00365F23">
              <w:tab/>
              <w:t>424</w:t>
            </w:r>
          </w:p>
          <w:p w:rsidR="00ED2F21" w:rsidRPr="00365F23" w:rsidRDefault="00ED2F21" w:rsidP="00975413">
            <w:pPr>
              <w:keepNext/>
              <w:keepLines/>
              <w:numPr>
                <w:ilvl w:val="12"/>
                <w:numId w:val="0"/>
              </w:numPr>
              <w:tabs>
                <w:tab w:val="right" w:pos="7200"/>
              </w:tabs>
              <w:jc w:val="right"/>
            </w:pPr>
            <w:r w:rsidRPr="00365F23">
              <w:t>year 2         512</w:t>
            </w:r>
            <w:r w:rsidRPr="00365F23">
              <w:tab/>
              <w:t>424</w:t>
            </w:r>
          </w:p>
          <w:p w:rsidR="00ED2F21" w:rsidRPr="00365F23" w:rsidRDefault="00ED2F21" w:rsidP="00975413">
            <w:pPr>
              <w:keepNext/>
              <w:keepLines/>
              <w:numPr>
                <w:ilvl w:val="12"/>
                <w:numId w:val="0"/>
              </w:numPr>
              <w:tabs>
                <w:tab w:val="right" w:pos="7200"/>
              </w:tabs>
              <w:jc w:val="right"/>
            </w:pPr>
            <w:r w:rsidRPr="00365F23">
              <w:t xml:space="preserve">year 3         </w:t>
            </w:r>
            <w:r w:rsidRPr="00365F23">
              <w:rPr>
                <w:u w:val="single"/>
              </w:rPr>
              <w:t>600</w:t>
            </w:r>
            <w:r w:rsidRPr="00365F23">
              <w:tab/>
            </w:r>
            <w:r w:rsidRPr="00365F23">
              <w:rPr>
                <w:u w:val="single"/>
              </w:rPr>
              <w:t>424</w:t>
            </w:r>
          </w:p>
          <w:p w:rsidR="00ED2F21" w:rsidRPr="00365F23" w:rsidRDefault="00ED2F21" w:rsidP="00975413">
            <w:pPr>
              <w:keepNext/>
              <w:keepLines/>
              <w:numPr>
                <w:ilvl w:val="12"/>
                <w:numId w:val="0"/>
              </w:numPr>
              <w:tabs>
                <w:tab w:val="right" w:pos="7200"/>
              </w:tabs>
              <w:jc w:val="right"/>
            </w:pPr>
            <w:r w:rsidRPr="00365F23">
              <w:t xml:space="preserve">                1,536</w:t>
            </w:r>
            <w:r w:rsidRPr="00365F23">
              <w:tab/>
              <w:t>1,272</w:t>
            </w:r>
          </w:p>
          <w:p w:rsidR="00ED2F21" w:rsidRPr="00365F23" w:rsidRDefault="00ED2F21" w:rsidP="00975413">
            <w:pPr>
              <w:keepNext/>
              <w:keepLines/>
              <w:numPr>
                <w:ilvl w:val="12"/>
                <w:numId w:val="0"/>
              </w:numPr>
              <w:tabs>
                <w:tab w:val="left" w:pos="0"/>
                <w:tab w:val="left" w:pos="720"/>
              </w:tabs>
              <w:jc w:val="right"/>
            </w:pPr>
          </w:p>
          <w:p w:rsidR="00ED2F21" w:rsidRPr="00365F23" w:rsidRDefault="00ED2F21" w:rsidP="00975413">
            <w:pPr>
              <w:keepNext/>
              <w:keepLines/>
              <w:numPr>
                <w:ilvl w:val="12"/>
                <w:numId w:val="0"/>
              </w:numPr>
              <w:tabs>
                <w:tab w:val="right" w:pos="7200"/>
              </w:tabs>
              <w:jc w:val="right"/>
            </w:pPr>
            <w:r w:rsidRPr="00365F23">
              <w:t xml:space="preserve">               </w:t>
            </w:r>
            <w:r w:rsidR="00055F7D">
              <w:rPr>
                <w:u w:val="double"/>
              </w:rPr>
              <w:t>12,336</w:t>
            </w:r>
            <w:r w:rsidRPr="00365F23">
              <w:tab/>
            </w:r>
            <w:r w:rsidRPr="00365F23">
              <w:rPr>
                <w:u w:val="double"/>
              </w:rPr>
              <w:t>10,032</w:t>
            </w:r>
          </w:p>
        </w:tc>
        <w:tc>
          <w:tcPr>
            <w:tcW w:w="1558" w:type="dxa"/>
            <w:tcBorders>
              <w:top w:val="single" w:sz="4" w:space="0" w:color="auto"/>
              <w:left w:val="single" w:sz="4" w:space="0" w:color="auto"/>
              <w:bottom w:val="single" w:sz="4" w:space="0" w:color="auto"/>
              <w:right w:val="single" w:sz="4" w:space="0" w:color="auto"/>
            </w:tcBorders>
          </w:tcPr>
          <w:p w:rsidR="00ED2F21" w:rsidRPr="00365F23" w:rsidRDefault="00ED2F21" w:rsidP="00975413">
            <w:pPr>
              <w:keepNext/>
              <w:keepLines/>
              <w:numPr>
                <w:ilvl w:val="12"/>
                <w:numId w:val="0"/>
              </w:numPr>
              <w:tabs>
                <w:tab w:val="left" w:pos="0"/>
                <w:tab w:val="left" w:pos="720"/>
              </w:tabs>
              <w:jc w:val="right"/>
            </w:pPr>
          </w:p>
          <w:p w:rsidR="00ED2F21" w:rsidRPr="00365F23" w:rsidRDefault="007F011E" w:rsidP="00975413">
            <w:pPr>
              <w:keepNext/>
              <w:keepLines/>
              <w:numPr>
                <w:ilvl w:val="12"/>
                <w:numId w:val="0"/>
              </w:numPr>
              <w:tabs>
                <w:tab w:val="left" w:pos="0"/>
                <w:tab w:val="left" w:pos="720"/>
              </w:tabs>
              <w:jc w:val="right"/>
            </w:pPr>
            <w:r>
              <w:t>$</w:t>
            </w:r>
            <w:r w:rsidR="00055F7D">
              <w:t>56,320</w:t>
            </w:r>
          </w:p>
          <w:p w:rsidR="00ED2F21" w:rsidRPr="00365F23" w:rsidRDefault="007F011E" w:rsidP="00975413">
            <w:pPr>
              <w:keepNext/>
              <w:keepLines/>
              <w:numPr>
                <w:ilvl w:val="12"/>
                <w:numId w:val="0"/>
              </w:numPr>
              <w:tabs>
                <w:tab w:val="left" w:pos="0"/>
                <w:tab w:val="left" w:pos="720"/>
              </w:tabs>
              <w:jc w:val="right"/>
            </w:pPr>
            <w:r>
              <w:t>$</w:t>
            </w:r>
            <w:r w:rsidR="00055F7D">
              <w:t>66,560</w:t>
            </w:r>
          </w:p>
          <w:p w:rsidR="00ED2F21" w:rsidRPr="00365F23" w:rsidRDefault="007F011E" w:rsidP="00975413">
            <w:pPr>
              <w:keepNext/>
              <w:keepLines/>
              <w:numPr>
                <w:ilvl w:val="12"/>
                <w:numId w:val="0"/>
              </w:numPr>
              <w:tabs>
                <w:tab w:val="left" w:pos="0"/>
                <w:tab w:val="left" w:pos="720"/>
              </w:tabs>
              <w:jc w:val="right"/>
              <w:rPr>
                <w:u w:val="single"/>
              </w:rPr>
            </w:pPr>
            <w:r>
              <w:rPr>
                <w:u w:val="single"/>
              </w:rPr>
              <w:t>$</w:t>
            </w:r>
            <w:r w:rsidR="00055F7D">
              <w:rPr>
                <w:u w:val="single"/>
              </w:rPr>
              <w:t>76,800</w:t>
            </w:r>
          </w:p>
          <w:p w:rsidR="00ED2F21" w:rsidRPr="00365F23" w:rsidRDefault="007F011E" w:rsidP="00975413">
            <w:pPr>
              <w:keepNext/>
              <w:keepLines/>
              <w:numPr>
                <w:ilvl w:val="12"/>
                <w:numId w:val="0"/>
              </w:numPr>
              <w:tabs>
                <w:tab w:val="left" w:pos="0"/>
                <w:tab w:val="left" w:pos="720"/>
              </w:tabs>
              <w:jc w:val="right"/>
            </w:pPr>
            <w:r>
              <w:t>$</w:t>
            </w:r>
            <w:r w:rsidR="00ED2F21" w:rsidRPr="00365F23">
              <w:t>1</w:t>
            </w:r>
            <w:r w:rsidR="00055F7D">
              <w:t>99,680</w:t>
            </w:r>
          </w:p>
          <w:p w:rsidR="00ED2F21" w:rsidRPr="00365F23" w:rsidRDefault="00ED2F21" w:rsidP="00975413">
            <w:pPr>
              <w:keepNext/>
              <w:keepLines/>
              <w:numPr>
                <w:ilvl w:val="12"/>
                <w:numId w:val="0"/>
              </w:numPr>
              <w:tabs>
                <w:tab w:val="left" w:pos="0"/>
                <w:tab w:val="left" w:pos="720"/>
              </w:tabs>
              <w:jc w:val="right"/>
            </w:pPr>
          </w:p>
          <w:p w:rsidR="00ED2F21" w:rsidRPr="00365F23" w:rsidRDefault="007F011E" w:rsidP="00975413">
            <w:pPr>
              <w:keepNext/>
              <w:keepLines/>
              <w:numPr>
                <w:ilvl w:val="12"/>
                <w:numId w:val="0"/>
              </w:numPr>
              <w:tabs>
                <w:tab w:val="left" w:pos="0"/>
                <w:tab w:val="left" w:pos="720"/>
              </w:tabs>
              <w:jc w:val="right"/>
            </w:pPr>
            <w:r>
              <w:t>$</w:t>
            </w:r>
            <w:r w:rsidR="00055F7D">
              <w:t>135,680</w:t>
            </w:r>
          </w:p>
          <w:p w:rsidR="00ED2F21" w:rsidRPr="00365F23" w:rsidRDefault="007F011E" w:rsidP="00975413">
            <w:pPr>
              <w:keepNext/>
              <w:keepLines/>
              <w:numPr>
                <w:ilvl w:val="12"/>
                <w:numId w:val="0"/>
              </w:numPr>
              <w:tabs>
                <w:tab w:val="left" w:pos="0"/>
                <w:tab w:val="left" w:pos="720"/>
              </w:tabs>
              <w:jc w:val="right"/>
            </w:pPr>
            <w:r>
              <w:t>$</w:t>
            </w:r>
            <w:r w:rsidR="00055F7D">
              <w:t>163,840</w:t>
            </w:r>
          </w:p>
          <w:p w:rsidR="00ED2F21" w:rsidRPr="00365F23" w:rsidRDefault="007F011E" w:rsidP="00975413">
            <w:pPr>
              <w:keepNext/>
              <w:keepLines/>
              <w:numPr>
                <w:ilvl w:val="12"/>
                <w:numId w:val="0"/>
              </w:numPr>
              <w:tabs>
                <w:tab w:val="left" w:pos="0"/>
                <w:tab w:val="left" w:pos="720"/>
              </w:tabs>
              <w:jc w:val="right"/>
              <w:rPr>
                <w:u w:val="single"/>
              </w:rPr>
            </w:pPr>
            <w:r>
              <w:rPr>
                <w:u w:val="single"/>
              </w:rPr>
              <w:t>$</w:t>
            </w:r>
            <w:r w:rsidR="00055F7D">
              <w:rPr>
                <w:u w:val="single"/>
              </w:rPr>
              <w:t>192,000</w:t>
            </w:r>
          </w:p>
          <w:p w:rsidR="00ED2F21" w:rsidRPr="00365F23" w:rsidRDefault="007F011E" w:rsidP="00975413">
            <w:pPr>
              <w:keepNext/>
              <w:keepLines/>
              <w:numPr>
                <w:ilvl w:val="12"/>
                <w:numId w:val="0"/>
              </w:numPr>
              <w:tabs>
                <w:tab w:val="left" w:pos="0"/>
                <w:tab w:val="left" w:pos="720"/>
              </w:tabs>
              <w:jc w:val="right"/>
            </w:pPr>
            <w:r>
              <w:t>$</w:t>
            </w:r>
            <w:r w:rsidR="00055F7D">
              <w:t>491,520</w:t>
            </w:r>
          </w:p>
          <w:p w:rsidR="00ED2F21" w:rsidRPr="00365F23" w:rsidRDefault="00ED2F21" w:rsidP="00975413">
            <w:pPr>
              <w:keepNext/>
              <w:keepLines/>
              <w:numPr>
                <w:ilvl w:val="12"/>
                <w:numId w:val="0"/>
              </w:numPr>
              <w:tabs>
                <w:tab w:val="left" w:pos="0"/>
                <w:tab w:val="left" w:pos="720"/>
              </w:tabs>
              <w:jc w:val="right"/>
            </w:pPr>
          </w:p>
          <w:p w:rsidR="00ED2F21" w:rsidRPr="00365F23" w:rsidRDefault="007F011E" w:rsidP="00975413">
            <w:pPr>
              <w:keepNext/>
              <w:keepLines/>
              <w:numPr>
                <w:ilvl w:val="12"/>
                <w:numId w:val="0"/>
              </w:numPr>
              <w:tabs>
                <w:tab w:val="left" w:pos="0"/>
                <w:tab w:val="left" w:pos="720"/>
              </w:tabs>
              <w:jc w:val="right"/>
            </w:pPr>
            <w:r>
              <w:t>$</w:t>
            </w:r>
            <w:r w:rsidR="00055F7D">
              <w:t>27,136</w:t>
            </w:r>
          </w:p>
          <w:p w:rsidR="00ED2F21" w:rsidRPr="00365F23" w:rsidRDefault="007F011E" w:rsidP="00975413">
            <w:pPr>
              <w:keepNext/>
              <w:keepLines/>
              <w:numPr>
                <w:ilvl w:val="12"/>
                <w:numId w:val="0"/>
              </w:numPr>
              <w:tabs>
                <w:tab w:val="left" w:pos="0"/>
                <w:tab w:val="left" w:pos="720"/>
              </w:tabs>
              <w:jc w:val="right"/>
            </w:pPr>
            <w:r>
              <w:t>$</w:t>
            </w:r>
            <w:r w:rsidR="00055F7D">
              <w:t>32,768</w:t>
            </w:r>
          </w:p>
          <w:p w:rsidR="00ED2F21" w:rsidRPr="00365F23" w:rsidRDefault="007F011E" w:rsidP="00975413">
            <w:pPr>
              <w:keepNext/>
              <w:keepLines/>
              <w:numPr>
                <w:ilvl w:val="12"/>
                <w:numId w:val="0"/>
              </w:numPr>
              <w:tabs>
                <w:tab w:val="left" w:pos="0"/>
                <w:tab w:val="left" w:pos="720"/>
              </w:tabs>
              <w:jc w:val="right"/>
              <w:rPr>
                <w:u w:val="single"/>
              </w:rPr>
            </w:pPr>
            <w:r>
              <w:rPr>
                <w:u w:val="single"/>
              </w:rPr>
              <w:t>$</w:t>
            </w:r>
            <w:r w:rsidR="00055F7D">
              <w:rPr>
                <w:u w:val="single"/>
              </w:rPr>
              <w:t>38,400</w:t>
            </w:r>
          </w:p>
          <w:p w:rsidR="00ED2F21" w:rsidRDefault="007F011E" w:rsidP="00975413">
            <w:pPr>
              <w:keepNext/>
              <w:keepLines/>
              <w:numPr>
                <w:ilvl w:val="12"/>
                <w:numId w:val="0"/>
              </w:numPr>
              <w:tabs>
                <w:tab w:val="left" w:pos="0"/>
                <w:tab w:val="left" w:pos="720"/>
              </w:tabs>
              <w:jc w:val="right"/>
            </w:pPr>
            <w:r>
              <w:t>$</w:t>
            </w:r>
            <w:r w:rsidR="00055F7D">
              <w:t>98,304</w:t>
            </w:r>
          </w:p>
          <w:p w:rsidR="00055F7D" w:rsidRDefault="00055F7D" w:rsidP="00975413">
            <w:pPr>
              <w:keepNext/>
              <w:keepLines/>
              <w:numPr>
                <w:ilvl w:val="12"/>
                <w:numId w:val="0"/>
              </w:numPr>
              <w:tabs>
                <w:tab w:val="left" w:pos="0"/>
                <w:tab w:val="left" w:pos="720"/>
              </w:tabs>
              <w:jc w:val="right"/>
            </w:pPr>
          </w:p>
          <w:p w:rsidR="00055F7D" w:rsidRPr="00055F7D" w:rsidRDefault="007F011E" w:rsidP="00975413">
            <w:pPr>
              <w:keepNext/>
              <w:keepLines/>
              <w:numPr>
                <w:ilvl w:val="12"/>
                <w:numId w:val="0"/>
              </w:numPr>
              <w:tabs>
                <w:tab w:val="left" w:pos="0"/>
                <w:tab w:val="left" w:pos="720"/>
              </w:tabs>
              <w:jc w:val="right"/>
              <w:rPr>
                <w:u w:val="double"/>
              </w:rPr>
            </w:pPr>
            <w:r>
              <w:rPr>
                <w:u w:val="double"/>
              </w:rPr>
              <w:t>$</w:t>
            </w:r>
            <w:r w:rsidR="00055F7D">
              <w:rPr>
                <w:u w:val="double"/>
              </w:rPr>
              <w:t>789,504</w:t>
            </w:r>
          </w:p>
        </w:tc>
      </w:tr>
      <w:tr w:rsidR="00ED2F21" w:rsidRPr="00365F23" w:rsidTr="00ED2F21">
        <w:trPr>
          <w:cantSplit/>
          <w:jc w:val="center"/>
        </w:trPr>
        <w:tc>
          <w:tcPr>
            <w:tcW w:w="3700" w:type="dxa"/>
            <w:tcBorders>
              <w:top w:val="single" w:sz="6" w:space="0" w:color="000000"/>
              <w:left w:val="single" w:sz="6" w:space="0" w:color="000000"/>
              <w:bottom w:val="nil"/>
              <w:right w:val="nil"/>
            </w:tcBorders>
          </w:tcPr>
          <w:p w:rsidR="00ED2F21" w:rsidRPr="00365F23" w:rsidRDefault="00ED2F21" w:rsidP="00975413">
            <w:pPr>
              <w:keepNext/>
              <w:keepLines/>
              <w:numPr>
                <w:ilvl w:val="12"/>
                <w:numId w:val="0"/>
              </w:numPr>
              <w:ind w:left="270" w:hanging="270"/>
            </w:pPr>
            <w:r w:rsidRPr="00365F23">
              <w:t>Renewal Permit Application</w:t>
            </w:r>
          </w:p>
        </w:tc>
        <w:tc>
          <w:tcPr>
            <w:tcW w:w="1620" w:type="dxa"/>
            <w:tcBorders>
              <w:top w:val="single" w:sz="6" w:space="0" w:color="000000"/>
              <w:left w:val="single" w:sz="6" w:space="0" w:color="000000"/>
              <w:bottom w:val="nil"/>
              <w:right w:val="nil"/>
            </w:tcBorders>
          </w:tcPr>
          <w:p w:rsidR="00ED2F21" w:rsidRPr="00365F23" w:rsidRDefault="00ED2F21" w:rsidP="00975413">
            <w:pPr>
              <w:keepNext/>
              <w:keepLines/>
              <w:numPr>
                <w:ilvl w:val="12"/>
                <w:numId w:val="0"/>
              </w:numPr>
              <w:jc w:val="center"/>
            </w:pPr>
            <w:r w:rsidRPr="00365F23">
              <w:t>200</w:t>
            </w:r>
          </w:p>
        </w:tc>
        <w:tc>
          <w:tcPr>
            <w:tcW w:w="1620" w:type="dxa"/>
            <w:tcBorders>
              <w:top w:val="single" w:sz="6" w:space="0" w:color="000000"/>
              <w:left w:val="single" w:sz="6" w:space="0" w:color="000000"/>
              <w:bottom w:val="nil"/>
              <w:right w:val="single" w:sz="4" w:space="0" w:color="auto"/>
            </w:tcBorders>
          </w:tcPr>
          <w:p w:rsidR="00ED2F21" w:rsidRPr="00365F23" w:rsidRDefault="00ED2F21" w:rsidP="00975413">
            <w:pPr>
              <w:keepNext/>
              <w:keepLines/>
              <w:numPr>
                <w:ilvl w:val="12"/>
                <w:numId w:val="0"/>
              </w:numPr>
              <w:jc w:val="right"/>
            </w:pPr>
            <w:r w:rsidRPr="00365F23">
              <w:t>78</w:t>
            </w:r>
          </w:p>
        </w:tc>
        <w:tc>
          <w:tcPr>
            <w:tcW w:w="1782" w:type="dxa"/>
            <w:tcBorders>
              <w:top w:val="single" w:sz="4" w:space="0" w:color="auto"/>
              <w:left w:val="single" w:sz="4" w:space="0" w:color="auto"/>
              <w:bottom w:val="single" w:sz="4" w:space="0" w:color="auto"/>
              <w:right w:val="single" w:sz="4" w:space="0" w:color="auto"/>
            </w:tcBorders>
          </w:tcPr>
          <w:p w:rsidR="00ED2F21" w:rsidRPr="00365F23" w:rsidRDefault="00ED2F21" w:rsidP="00975413">
            <w:pPr>
              <w:keepNext/>
              <w:keepLines/>
              <w:numPr>
                <w:ilvl w:val="12"/>
                <w:numId w:val="0"/>
              </w:numPr>
              <w:tabs>
                <w:tab w:val="right" w:pos="7200"/>
              </w:tabs>
              <w:jc w:val="right"/>
            </w:pPr>
            <w:r w:rsidRPr="00365F23">
              <w:t xml:space="preserve">              15,600</w:t>
            </w:r>
            <w:r w:rsidRPr="00365F23">
              <w:tab/>
              <w:t xml:space="preserve"> 15,000</w:t>
            </w:r>
          </w:p>
        </w:tc>
        <w:tc>
          <w:tcPr>
            <w:tcW w:w="1558" w:type="dxa"/>
            <w:tcBorders>
              <w:top w:val="single" w:sz="4" w:space="0" w:color="auto"/>
              <w:left w:val="single" w:sz="4" w:space="0" w:color="auto"/>
              <w:bottom w:val="single" w:sz="4" w:space="0" w:color="auto"/>
              <w:right w:val="single" w:sz="4" w:space="0" w:color="auto"/>
            </w:tcBorders>
          </w:tcPr>
          <w:p w:rsidR="00ED2F21" w:rsidRPr="00365F23" w:rsidRDefault="007F011E" w:rsidP="00975413">
            <w:pPr>
              <w:keepNext/>
              <w:keepLines/>
              <w:numPr>
                <w:ilvl w:val="12"/>
                <w:numId w:val="0"/>
              </w:numPr>
              <w:jc w:val="right"/>
            </w:pPr>
            <w:r>
              <w:t>$</w:t>
            </w:r>
            <w:r w:rsidR="00055F7D">
              <w:t>998,400</w:t>
            </w:r>
            <w:r w:rsidR="00ED2F21" w:rsidRPr="00365F23">
              <w:t xml:space="preserve"> </w:t>
            </w:r>
          </w:p>
        </w:tc>
      </w:tr>
      <w:tr w:rsidR="00ED2F21" w:rsidRPr="00365F23" w:rsidTr="00ED2F21">
        <w:trPr>
          <w:cantSplit/>
          <w:jc w:val="center"/>
        </w:trPr>
        <w:tc>
          <w:tcPr>
            <w:tcW w:w="3700" w:type="dxa"/>
            <w:tcBorders>
              <w:top w:val="single" w:sz="6" w:space="0" w:color="000000"/>
              <w:left w:val="single" w:sz="6" w:space="0" w:color="000000"/>
              <w:bottom w:val="nil"/>
              <w:right w:val="nil"/>
            </w:tcBorders>
          </w:tcPr>
          <w:p w:rsidR="00ED2F21" w:rsidRPr="00365F23" w:rsidRDefault="00ED2F21" w:rsidP="00975413">
            <w:pPr>
              <w:keepNext/>
              <w:keepLines/>
              <w:numPr>
                <w:ilvl w:val="12"/>
                <w:numId w:val="0"/>
              </w:numPr>
              <w:ind w:left="270" w:hanging="270"/>
            </w:pPr>
            <w:r w:rsidRPr="00365F23">
              <w:t>Other Renewal Activities</w:t>
            </w:r>
          </w:p>
        </w:tc>
        <w:tc>
          <w:tcPr>
            <w:tcW w:w="1620" w:type="dxa"/>
            <w:tcBorders>
              <w:top w:val="single" w:sz="6" w:space="0" w:color="000000"/>
              <w:left w:val="single" w:sz="6" w:space="0" w:color="000000"/>
              <w:bottom w:val="nil"/>
              <w:right w:val="nil"/>
            </w:tcBorders>
          </w:tcPr>
          <w:p w:rsidR="00ED2F21" w:rsidRPr="00365F23" w:rsidRDefault="00ED2F21" w:rsidP="00975413">
            <w:pPr>
              <w:keepNext/>
              <w:keepLines/>
              <w:numPr>
                <w:ilvl w:val="12"/>
                <w:numId w:val="0"/>
              </w:numPr>
              <w:tabs>
                <w:tab w:val="left" w:pos="0"/>
                <w:tab w:val="left" w:pos="720"/>
              </w:tabs>
              <w:jc w:val="center"/>
            </w:pPr>
            <w:r w:rsidRPr="00365F23">
              <w:t>20</w:t>
            </w:r>
          </w:p>
        </w:tc>
        <w:tc>
          <w:tcPr>
            <w:tcW w:w="1620" w:type="dxa"/>
            <w:tcBorders>
              <w:top w:val="single" w:sz="6" w:space="0" w:color="000000"/>
              <w:left w:val="single" w:sz="6" w:space="0" w:color="000000"/>
              <w:bottom w:val="nil"/>
              <w:right w:val="single" w:sz="4" w:space="0" w:color="auto"/>
            </w:tcBorders>
          </w:tcPr>
          <w:p w:rsidR="00ED2F21" w:rsidRPr="00365F23" w:rsidRDefault="00ED2F21" w:rsidP="00975413">
            <w:pPr>
              <w:keepNext/>
              <w:keepLines/>
              <w:numPr>
                <w:ilvl w:val="12"/>
                <w:numId w:val="0"/>
              </w:numPr>
              <w:tabs>
                <w:tab w:val="left" w:pos="0"/>
                <w:tab w:val="left" w:pos="720"/>
              </w:tabs>
              <w:jc w:val="right"/>
            </w:pPr>
            <w:r w:rsidRPr="00365F23">
              <w:t>78</w:t>
            </w:r>
          </w:p>
        </w:tc>
        <w:tc>
          <w:tcPr>
            <w:tcW w:w="1782" w:type="dxa"/>
            <w:tcBorders>
              <w:top w:val="single" w:sz="4" w:space="0" w:color="auto"/>
              <w:left w:val="single" w:sz="4" w:space="0" w:color="auto"/>
              <w:bottom w:val="single" w:sz="4" w:space="0" w:color="auto"/>
              <w:right w:val="single" w:sz="4" w:space="0" w:color="auto"/>
            </w:tcBorders>
          </w:tcPr>
          <w:p w:rsidR="00ED2F21" w:rsidRPr="00365F23" w:rsidRDefault="00ED2F21" w:rsidP="00975413">
            <w:pPr>
              <w:keepNext/>
              <w:keepLines/>
              <w:numPr>
                <w:ilvl w:val="12"/>
                <w:numId w:val="0"/>
              </w:numPr>
              <w:tabs>
                <w:tab w:val="right" w:pos="7200"/>
              </w:tabs>
            </w:pPr>
            <w:r w:rsidRPr="00365F23">
              <w:t xml:space="preserve">                1,560</w:t>
            </w:r>
            <w:r w:rsidRPr="00365F23">
              <w:tab/>
              <w:t>1,000</w:t>
            </w:r>
          </w:p>
        </w:tc>
        <w:tc>
          <w:tcPr>
            <w:tcW w:w="1558" w:type="dxa"/>
            <w:tcBorders>
              <w:top w:val="single" w:sz="4" w:space="0" w:color="auto"/>
              <w:left w:val="single" w:sz="4" w:space="0" w:color="auto"/>
              <w:bottom w:val="single" w:sz="4" w:space="0" w:color="auto"/>
              <w:right w:val="single" w:sz="4" w:space="0" w:color="auto"/>
            </w:tcBorders>
          </w:tcPr>
          <w:p w:rsidR="00ED2F21" w:rsidRPr="00365F23" w:rsidRDefault="007F011E" w:rsidP="00975413">
            <w:pPr>
              <w:keepNext/>
              <w:keepLines/>
              <w:numPr>
                <w:ilvl w:val="12"/>
                <w:numId w:val="0"/>
              </w:numPr>
              <w:jc w:val="right"/>
            </w:pPr>
            <w:r>
              <w:t>$</w:t>
            </w:r>
            <w:r w:rsidR="00055F7D">
              <w:t>99,840</w:t>
            </w:r>
          </w:p>
        </w:tc>
      </w:tr>
      <w:tr w:rsidR="00201316" w:rsidRPr="00365F23" w:rsidTr="00055F7D">
        <w:trPr>
          <w:cantSplit/>
          <w:jc w:val="center"/>
        </w:trPr>
        <w:tc>
          <w:tcPr>
            <w:tcW w:w="6940" w:type="dxa"/>
            <w:gridSpan w:val="3"/>
            <w:tcBorders>
              <w:top w:val="single" w:sz="6" w:space="0" w:color="000000"/>
              <w:left w:val="single" w:sz="6" w:space="0" w:color="000000"/>
              <w:right w:val="single" w:sz="4" w:space="0" w:color="auto"/>
            </w:tcBorders>
          </w:tcPr>
          <w:p w:rsidR="00201316" w:rsidRPr="00365F23" w:rsidRDefault="00201316" w:rsidP="00975413">
            <w:pPr>
              <w:keepNext/>
              <w:keepLines/>
              <w:numPr>
                <w:ilvl w:val="12"/>
                <w:numId w:val="0"/>
              </w:numPr>
            </w:pPr>
            <w:r w:rsidRPr="00365F23">
              <w:rPr>
                <w:b/>
                <w:bCs/>
              </w:rPr>
              <w:t>T</w:t>
            </w:r>
            <w:r>
              <w:rPr>
                <w:b/>
                <w:bCs/>
              </w:rPr>
              <w:t>otal                                                                                            3-year</w:t>
            </w:r>
          </w:p>
        </w:tc>
        <w:tc>
          <w:tcPr>
            <w:tcW w:w="1782" w:type="dxa"/>
            <w:tcBorders>
              <w:top w:val="single" w:sz="4" w:space="0" w:color="auto"/>
              <w:left w:val="single" w:sz="4" w:space="0" w:color="auto"/>
              <w:right w:val="single" w:sz="4" w:space="0" w:color="auto"/>
            </w:tcBorders>
          </w:tcPr>
          <w:p w:rsidR="00201316" w:rsidRPr="00240FB1" w:rsidRDefault="00201316" w:rsidP="00975413">
            <w:pPr>
              <w:keepNext/>
              <w:keepLines/>
              <w:numPr>
                <w:ilvl w:val="12"/>
                <w:numId w:val="0"/>
              </w:numPr>
              <w:tabs>
                <w:tab w:val="right" w:pos="1250"/>
              </w:tabs>
              <w:jc w:val="right"/>
              <w:rPr>
                <w:b/>
              </w:rPr>
            </w:pPr>
            <w:r w:rsidRPr="00240FB1">
              <w:rPr>
                <w:b/>
              </w:rPr>
              <w:t xml:space="preserve">     111,9</w:t>
            </w:r>
            <w:r w:rsidR="00055F7D">
              <w:rPr>
                <w:b/>
              </w:rPr>
              <w:t>26</w:t>
            </w:r>
          </w:p>
        </w:tc>
        <w:tc>
          <w:tcPr>
            <w:tcW w:w="1558" w:type="dxa"/>
            <w:tcBorders>
              <w:top w:val="single" w:sz="4" w:space="0" w:color="auto"/>
              <w:left w:val="single" w:sz="4" w:space="0" w:color="auto"/>
              <w:right w:val="single" w:sz="4" w:space="0" w:color="auto"/>
            </w:tcBorders>
          </w:tcPr>
          <w:p w:rsidR="00201316" w:rsidRPr="00240FB1" w:rsidRDefault="007F011E" w:rsidP="00975413">
            <w:pPr>
              <w:keepNext/>
              <w:keepLines/>
              <w:numPr>
                <w:ilvl w:val="12"/>
                <w:numId w:val="0"/>
              </w:numPr>
              <w:jc w:val="right"/>
              <w:rPr>
                <w:b/>
              </w:rPr>
            </w:pPr>
            <w:r>
              <w:rPr>
                <w:b/>
              </w:rPr>
              <w:t>$</w:t>
            </w:r>
            <w:r w:rsidR="00C96DBB">
              <w:rPr>
                <w:b/>
              </w:rPr>
              <w:t>7,163,264</w:t>
            </w:r>
          </w:p>
        </w:tc>
      </w:tr>
      <w:tr w:rsidR="00201316" w:rsidRPr="00365F23" w:rsidTr="00C96DBB">
        <w:trPr>
          <w:cantSplit/>
          <w:jc w:val="center"/>
        </w:trPr>
        <w:tc>
          <w:tcPr>
            <w:tcW w:w="6940" w:type="dxa"/>
            <w:gridSpan w:val="3"/>
            <w:tcBorders>
              <w:left w:val="single" w:sz="6" w:space="0" w:color="000000"/>
              <w:bottom w:val="single" w:sz="6" w:space="0" w:color="000000"/>
              <w:right w:val="single" w:sz="4" w:space="0" w:color="auto"/>
            </w:tcBorders>
          </w:tcPr>
          <w:p w:rsidR="00201316" w:rsidRPr="00201316" w:rsidRDefault="00201316" w:rsidP="00975413">
            <w:pPr>
              <w:keepNext/>
              <w:keepLines/>
              <w:numPr>
                <w:ilvl w:val="12"/>
                <w:numId w:val="0"/>
              </w:numPr>
              <w:jc w:val="right"/>
              <w:rPr>
                <w:b/>
                <w:bCs/>
              </w:rPr>
            </w:pPr>
            <w:r w:rsidRPr="00201316">
              <w:rPr>
                <w:b/>
                <w:bCs/>
              </w:rPr>
              <w:t>Annual</w:t>
            </w:r>
          </w:p>
        </w:tc>
        <w:tc>
          <w:tcPr>
            <w:tcW w:w="1782" w:type="dxa"/>
            <w:tcBorders>
              <w:left w:val="single" w:sz="4" w:space="0" w:color="auto"/>
              <w:bottom w:val="single" w:sz="4" w:space="0" w:color="auto"/>
              <w:right w:val="single" w:sz="4" w:space="0" w:color="auto"/>
            </w:tcBorders>
          </w:tcPr>
          <w:p w:rsidR="00201316" w:rsidRPr="00201316" w:rsidRDefault="00C96DBB" w:rsidP="00975413">
            <w:pPr>
              <w:keepNext/>
              <w:keepLines/>
              <w:numPr>
                <w:ilvl w:val="12"/>
                <w:numId w:val="0"/>
              </w:numPr>
              <w:tabs>
                <w:tab w:val="right" w:pos="1250"/>
              </w:tabs>
              <w:jc w:val="right"/>
              <w:rPr>
                <w:b/>
              </w:rPr>
            </w:pPr>
            <w:r>
              <w:rPr>
                <w:b/>
              </w:rPr>
              <w:t>37,309</w:t>
            </w:r>
          </w:p>
        </w:tc>
        <w:tc>
          <w:tcPr>
            <w:tcW w:w="1558" w:type="dxa"/>
            <w:tcBorders>
              <w:left w:val="single" w:sz="4" w:space="0" w:color="auto"/>
              <w:bottom w:val="single" w:sz="4" w:space="0" w:color="auto"/>
              <w:right w:val="single" w:sz="4" w:space="0" w:color="auto"/>
            </w:tcBorders>
          </w:tcPr>
          <w:p w:rsidR="00201316" w:rsidRPr="00201316" w:rsidRDefault="007F011E" w:rsidP="00975413">
            <w:pPr>
              <w:keepNext/>
              <w:keepLines/>
              <w:numPr>
                <w:ilvl w:val="12"/>
                <w:numId w:val="0"/>
              </w:numPr>
              <w:jc w:val="right"/>
              <w:rPr>
                <w:b/>
              </w:rPr>
            </w:pPr>
            <w:r>
              <w:rPr>
                <w:b/>
              </w:rPr>
              <w:t>$</w:t>
            </w:r>
            <w:r w:rsidR="00C96DBB">
              <w:rPr>
                <w:b/>
              </w:rPr>
              <w:t>2,387,755</w:t>
            </w:r>
          </w:p>
        </w:tc>
      </w:tr>
    </w:tbl>
    <w:p w:rsidR="00ED2F21" w:rsidRPr="00D61B0C" w:rsidRDefault="00ED2F21" w:rsidP="00ED2F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p w:rsidR="00ED2F21" w:rsidRDefault="00ED2F21"/>
    <w:p w:rsidR="00C96DBB" w:rsidRDefault="00C96DBB" w:rsidP="00C96DBB"/>
    <w:p w:rsidR="00C96DBB" w:rsidRDefault="00C96DBB" w:rsidP="00975413">
      <w:pPr>
        <w:keepNext/>
        <w:jc w:val="center"/>
        <w:rPr>
          <w:b/>
        </w:rPr>
      </w:pPr>
      <w:r w:rsidRPr="00240FB1">
        <w:rPr>
          <w:b/>
        </w:rPr>
        <w:lastRenderedPageBreak/>
        <w:t xml:space="preserve">Table </w:t>
      </w:r>
      <w:r>
        <w:rPr>
          <w:b/>
        </w:rPr>
        <w:t>7</w:t>
      </w:r>
      <w:r w:rsidRPr="00240FB1">
        <w:rPr>
          <w:b/>
        </w:rPr>
        <w:t xml:space="preserve">. </w:t>
      </w:r>
      <w:r>
        <w:rPr>
          <w:b/>
        </w:rPr>
        <w:t>Baseline</w:t>
      </w:r>
      <w:r w:rsidRPr="00240FB1">
        <w:rPr>
          <w:b/>
        </w:rPr>
        <w:t xml:space="preserve"> Burden and Cost of Permitting Authorit</w:t>
      </w:r>
      <w:r>
        <w:rPr>
          <w:b/>
        </w:rPr>
        <w:t>y Activities</w:t>
      </w:r>
    </w:p>
    <w:p w:rsidR="00C96DBB" w:rsidRPr="00240FB1" w:rsidRDefault="00C96DBB" w:rsidP="00975413">
      <w:pPr>
        <w:keepNext/>
        <w:jc w:val="center"/>
        <w:rPr>
          <w:b/>
        </w:rPr>
      </w:pPr>
    </w:p>
    <w:tbl>
      <w:tblPr>
        <w:tblW w:w="9990" w:type="dxa"/>
        <w:jc w:val="center"/>
        <w:tblLayout w:type="fixed"/>
        <w:tblCellMar>
          <w:left w:w="100" w:type="dxa"/>
          <w:right w:w="100" w:type="dxa"/>
        </w:tblCellMar>
        <w:tblLook w:val="0000"/>
      </w:tblPr>
      <w:tblGrid>
        <w:gridCol w:w="3510"/>
        <w:gridCol w:w="1620"/>
        <w:gridCol w:w="1800"/>
        <w:gridCol w:w="1620"/>
        <w:gridCol w:w="1440"/>
      </w:tblGrid>
      <w:tr w:rsidR="00C96DBB" w:rsidRPr="00240FB1" w:rsidTr="00C96DBB">
        <w:trPr>
          <w:cantSplit/>
          <w:jc w:val="center"/>
        </w:trPr>
        <w:tc>
          <w:tcPr>
            <w:tcW w:w="3510" w:type="dxa"/>
            <w:tcBorders>
              <w:top w:val="single" w:sz="6" w:space="0" w:color="000000"/>
              <w:left w:val="single" w:sz="6" w:space="0" w:color="000000"/>
              <w:bottom w:val="nil"/>
              <w:right w:val="nil"/>
            </w:tcBorders>
            <w:vAlign w:val="bottom"/>
          </w:tcPr>
          <w:p w:rsidR="00C96DBB" w:rsidRPr="00240FB1" w:rsidRDefault="00C96DBB" w:rsidP="00975413">
            <w:pPr>
              <w:keepNext/>
              <w:numPr>
                <w:ilvl w:val="12"/>
                <w:numId w:val="0"/>
              </w:numPr>
              <w:spacing w:line="276" w:lineRule="auto"/>
              <w:jc w:val="center"/>
            </w:pPr>
            <w:r w:rsidRPr="00240FB1">
              <w:rPr>
                <w:b/>
                <w:bCs/>
              </w:rPr>
              <w:t>Activity</w:t>
            </w:r>
          </w:p>
        </w:tc>
        <w:tc>
          <w:tcPr>
            <w:tcW w:w="1620" w:type="dxa"/>
            <w:tcBorders>
              <w:top w:val="single" w:sz="6" w:space="0" w:color="000000"/>
              <w:left w:val="single" w:sz="6" w:space="0" w:color="000000"/>
              <w:bottom w:val="nil"/>
              <w:right w:val="nil"/>
            </w:tcBorders>
            <w:vAlign w:val="bottom"/>
          </w:tcPr>
          <w:p w:rsidR="00C96DBB" w:rsidRPr="00240FB1" w:rsidRDefault="00C96DBB" w:rsidP="00975413">
            <w:pPr>
              <w:keepNext/>
              <w:numPr>
                <w:ilvl w:val="12"/>
                <w:numId w:val="0"/>
              </w:numPr>
              <w:spacing w:line="276" w:lineRule="auto"/>
              <w:jc w:val="center"/>
            </w:pPr>
            <w:r w:rsidRPr="00240FB1">
              <w:rPr>
                <w:b/>
                <w:bCs/>
              </w:rPr>
              <w:t>Burden Hours per Permit**</w:t>
            </w:r>
          </w:p>
        </w:tc>
        <w:tc>
          <w:tcPr>
            <w:tcW w:w="1800" w:type="dxa"/>
            <w:tcBorders>
              <w:top w:val="single" w:sz="6" w:space="0" w:color="000000"/>
              <w:left w:val="single" w:sz="6" w:space="0" w:color="000000"/>
              <w:bottom w:val="nil"/>
              <w:right w:val="nil"/>
            </w:tcBorders>
            <w:vAlign w:val="bottom"/>
          </w:tcPr>
          <w:p w:rsidR="00C96DBB" w:rsidRPr="00240FB1" w:rsidRDefault="00C96DBB" w:rsidP="00975413">
            <w:pPr>
              <w:keepNext/>
              <w:numPr>
                <w:ilvl w:val="12"/>
                <w:numId w:val="0"/>
              </w:numPr>
              <w:spacing w:line="276" w:lineRule="auto"/>
              <w:jc w:val="center"/>
            </w:pPr>
            <w:r w:rsidRPr="00240FB1">
              <w:rPr>
                <w:b/>
                <w:bCs/>
              </w:rPr>
              <w:t>Affected Permits or Programs</w:t>
            </w:r>
          </w:p>
        </w:tc>
        <w:tc>
          <w:tcPr>
            <w:tcW w:w="1620" w:type="dxa"/>
            <w:tcBorders>
              <w:top w:val="single" w:sz="6" w:space="0" w:color="000000"/>
              <w:left w:val="single" w:sz="6" w:space="0" w:color="000000"/>
              <w:bottom w:val="nil"/>
              <w:right w:val="nil"/>
            </w:tcBorders>
            <w:vAlign w:val="bottom"/>
          </w:tcPr>
          <w:p w:rsidR="00C96DBB" w:rsidRPr="00240FB1" w:rsidRDefault="00C96DBB" w:rsidP="00975413">
            <w:pPr>
              <w:keepNext/>
              <w:numPr>
                <w:ilvl w:val="12"/>
                <w:numId w:val="0"/>
              </w:numPr>
              <w:spacing w:line="276" w:lineRule="auto"/>
              <w:jc w:val="center"/>
            </w:pPr>
            <w:r w:rsidRPr="00240FB1">
              <w:rPr>
                <w:b/>
                <w:bCs/>
              </w:rPr>
              <w:t>Total Burden (Hours)</w:t>
            </w:r>
          </w:p>
        </w:tc>
        <w:tc>
          <w:tcPr>
            <w:tcW w:w="1440" w:type="dxa"/>
            <w:tcBorders>
              <w:top w:val="single" w:sz="6" w:space="0" w:color="000000"/>
              <w:left w:val="single" w:sz="6" w:space="0" w:color="000000"/>
              <w:bottom w:val="nil"/>
              <w:right w:val="single" w:sz="6" w:space="0" w:color="000000"/>
            </w:tcBorders>
            <w:vAlign w:val="bottom"/>
          </w:tcPr>
          <w:p w:rsidR="00C96DBB" w:rsidRPr="00240FB1" w:rsidRDefault="00C96DBB" w:rsidP="00975413">
            <w:pPr>
              <w:keepNext/>
              <w:numPr>
                <w:ilvl w:val="12"/>
                <w:numId w:val="0"/>
              </w:numPr>
              <w:spacing w:line="276" w:lineRule="auto"/>
              <w:jc w:val="center"/>
            </w:pPr>
            <w:r w:rsidRPr="00240FB1">
              <w:rPr>
                <w:b/>
                <w:bCs/>
              </w:rPr>
              <w:t>Total Cost (</w:t>
            </w:r>
            <w:r>
              <w:rPr>
                <w:b/>
                <w:bCs/>
              </w:rPr>
              <w:t>2011</w:t>
            </w:r>
            <w:r w:rsidRPr="00240FB1">
              <w:rPr>
                <w:b/>
                <w:bCs/>
              </w:rPr>
              <w:t>$)*</w:t>
            </w:r>
          </w:p>
        </w:tc>
      </w:tr>
      <w:tr w:rsidR="00C96DBB" w:rsidRPr="00240FB1" w:rsidTr="00C96DBB">
        <w:trPr>
          <w:cantSplit/>
          <w:jc w:val="center"/>
        </w:trPr>
        <w:tc>
          <w:tcPr>
            <w:tcW w:w="351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pPr>
            <w:r w:rsidRPr="00240FB1">
              <w:t>Program Administration</w:t>
            </w:r>
          </w:p>
        </w:tc>
        <w:tc>
          <w:tcPr>
            <w:tcW w:w="162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center"/>
            </w:pPr>
            <w:r w:rsidRPr="00240FB1">
              <w:t>3,500 per year</w:t>
            </w:r>
          </w:p>
        </w:tc>
        <w:tc>
          <w:tcPr>
            <w:tcW w:w="180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center"/>
            </w:pPr>
            <w:r w:rsidRPr="00240FB1">
              <w:t>1</w:t>
            </w:r>
          </w:p>
        </w:tc>
        <w:tc>
          <w:tcPr>
            <w:tcW w:w="162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right"/>
            </w:pPr>
            <w:r w:rsidRPr="00240FB1">
              <w:t>10,500</w:t>
            </w:r>
          </w:p>
        </w:tc>
        <w:tc>
          <w:tcPr>
            <w:tcW w:w="1440" w:type="dxa"/>
            <w:tcBorders>
              <w:top w:val="single" w:sz="6" w:space="0" w:color="000000"/>
              <w:left w:val="single" w:sz="6" w:space="0" w:color="000000"/>
              <w:bottom w:val="nil"/>
              <w:right w:val="single" w:sz="6" w:space="0" w:color="000000"/>
            </w:tcBorders>
          </w:tcPr>
          <w:p w:rsidR="00C96DBB" w:rsidRPr="00240FB1" w:rsidRDefault="00C96DBB" w:rsidP="00975413">
            <w:pPr>
              <w:keepNext/>
              <w:numPr>
                <w:ilvl w:val="12"/>
                <w:numId w:val="0"/>
              </w:numPr>
              <w:spacing w:line="276" w:lineRule="auto"/>
              <w:jc w:val="right"/>
            </w:pPr>
            <w:r w:rsidRPr="00240FB1">
              <w:t>$</w:t>
            </w:r>
            <w:r>
              <w:t>546,000</w:t>
            </w:r>
          </w:p>
        </w:tc>
      </w:tr>
      <w:tr w:rsidR="00C96DBB" w:rsidRPr="00240FB1" w:rsidTr="00C96DBB">
        <w:trPr>
          <w:cantSplit/>
          <w:jc w:val="center"/>
        </w:trPr>
        <w:tc>
          <w:tcPr>
            <w:tcW w:w="351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pPr>
            <w:r w:rsidRPr="00240FB1">
              <w:t>Permit Application Review</w:t>
            </w:r>
          </w:p>
        </w:tc>
        <w:tc>
          <w:tcPr>
            <w:tcW w:w="162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center"/>
            </w:pPr>
            <w:r w:rsidRPr="00240FB1">
              <w:t>100</w:t>
            </w:r>
          </w:p>
        </w:tc>
        <w:tc>
          <w:tcPr>
            <w:tcW w:w="180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center"/>
            </w:pPr>
            <w:r w:rsidRPr="00240FB1">
              <w:t>31</w:t>
            </w:r>
          </w:p>
        </w:tc>
        <w:tc>
          <w:tcPr>
            <w:tcW w:w="162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right"/>
            </w:pPr>
            <w:r w:rsidRPr="00240FB1">
              <w:t>3,100</w:t>
            </w:r>
          </w:p>
        </w:tc>
        <w:tc>
          <w:tcPr>
            <w:tcW w:w="1440" w:type="dxa"/>
            <w:tcBorders>
              <w:top w:val="single" w:sz="6" w:space="0" w:color="000000"/>
              <w:left w:val="single" w:sz="6" w:space="0" w:color="000000"/>
              <w:bottom w:val="nil"/>
              <w:right w:val="single" w:sz="6" w:space="0" w:color="000000"/>
            </w:tcBorders>
          </w:tcPr>
          <w:p w:rsidR="00C96DBB" w:rsidRPr="00240FB1" w:rsidRDefault="00C96DBB" w:rsidP="00975413">
            <w:pPr>
              <w:keepNext/>
              <w:numPr>
                <w:ilvl w:val="12"/>
                <w:numId w:val="0"/>
              </w:numPr>
              <w:spacing w:line="276" w:lineRule="auto"/>
              <w:jc w:val="right"/>
            </w:pPr>
            <w:r w:rsidRPr="00240FB1">
              <w:t>$</w:t>
            </w:r>
            <w:r>
              <w:t>161,200</w:t>
            </w:r>
          </w:p>
        </w:tc>
      </w:tr>
      <w:tr w:rsidR="00C96DBB" w:rsidRPr="00240FB1" w:rsidTr="00C96DBB">
        <w:trPr>
          <w:cantSplit/>
          <w:jc w:val="center"/>
        </w:trPr>
        <w:tc>
          <w:tcPr>
            <w:tcW w:w="351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pPr>
            <w:r w:rsidRPr="00240FB1">
              <w:t>Draft Permit Preparation</w:t>
            </w:r>
          </w:p>
        </w:tc>
        <w:tc>
          <w:tcPr>
            <w:tcW w:w="162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center"/>
            </w:pPr>
            <w:r w:rsidRPr="00240FB1">
              <w:t>150</w:t>
            </w:r>
          </w:p>
        </w:tc>
        <w:tc>
          <w:tcPr>
            <w:tcW w:w="180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center"/>
            </w:pPr>
            <w:r w:rsidRPr="00240FB1">
              <w:t>69</w:t>
            </w:r>
          </w:p>
        </w:tc>
        <w:tc>
          <w:tcPr>
            <w:tcW w:w="162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right"/>
            </w:pPr>
            <w:r w:rsidRPr="00240FB1">
              <w:t>10,350</w:t>
            </w:r>
          </w:p>
        </w:tc>
        <w:tc>
          <w:tcPr>
            <w:tcW w:w="1440" w:type="dxa"/>
            <w:tcBorders>
              <w:top w:val="single" w:sz="6" w:space="0" w:color="000000"/>
              <w:left w:val="single" w:sz="6" w:space="0" w:color="000000"/>
              <w:bottom w:val="nil"/>
              <w:right w:val="single" w:sz="6" w:space="0" w:color="000000"/>
            </w:tcBorders>
          </w:tcPr>
          <w:p w:rsidR="00C96DBB" w:rsidRPr="00240FB1" w:rsidRDefault="00C96DBB" w:rsidP="00975413">
            <w:pPr>
              <w:keepNext/>
              <w:numPr>
                <w:ilvl w:val="12"/>
                <w:numId w:val="0"/>
              </w:numPr>
              <w:spacing w:line="276" w:lineRule="auto"/>
              <w:jc w:val="right"/>
            </w:pPr>
            <w:r w:rsidRPr="00240FB1">
              <w:t>$</w:t>
            </w:r>
            <w:r>
              <w:t>538,200</w:t>
            </w:r>
          </w:p>
        </w:tc>
      </w:tr>
      <w:tr w:rsidR="00C96DBB" w:rsidRPr="00240FB1" w:rsidTr="00C96DBB">
        <w:trPr>
          <w:cantSplit/>
          <w:jc w:val="center"/>
        </w:trPr>
        <w:tc>
          <w:tcPr>
            <w:tcW w:w="351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pPr>
            <w:r w:rsidRPr="00240FB1">
              <w:t>Comment Period Notification</w:t>
            </w:r>
          </w:p>
        </w:tc>
        <w:tc>
          <w:tcPr>
            <w:tcW w:w="162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center"/>
            </w:pPr>
            <w:r w:rsidRPr="00240FB1">
              <w:t>10</w:t>
            </w:r>
          </w:p>
        </w:tc>
        <w:tc>
          <w:tcPr>
            <w:tcW w:w="180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center"/>
            </w:pPr>
            <w:r w:rsidRPr="00240FB1">
              <w:t>69</w:t>
            </w:r>
          </w:p>
        </w:tc>
        <w:tc>
          <w:tcPr>
            <w:tcW w:w="162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right"/>
            </w:pPr>
            <w:r w:rsidRPr="00240FB1">
              <w:t>690</w:t>
            </w:r>
          </w:p>
        </w:tc>
        <w:tc>
          <w:tcPr>
            <w:tcW w:w="1440" w:type="dxa"/>
            <w:tcBorders>
              <w:top w:val="single" w:sz="6" w:space="0" w:color="000000"/>
              <w:left w:val="single" w:sz="6" w:space="0" w:color="000000"/>
              <w:bottom w:val="nil"/>
              <w:right w:val="single" w:sz="6" w:space="0" w:color="000000"/>
            </w:tcBorders>
          </w:tcPr>
          <w:p w:rsidR="00C96DBB" w:rsidRPr="00240FB1" w:rsidRDefault="00C96DBB" w:rsidP="00975413">
            <w:pPr>
              <w:keepNext/>
              <w:numPr>
                <w:ilvl w:val="12"/>
                <w:numId w:val="0"/>
              </w:numPr>
              <w:spacing w:line="276" w:lineRule="auto"/>
              <w:jc w:val="right"/>
            </w:pPr>
            <w:r w:rsidRPr="00240FB1">
              <w:t>$</w:t>
            </w:r>
            <w:r w:rsidR="00731175">
              <w:t>35,880</w:t>
            </w:r>
          </w:p>
        </w:tc>
      </w:tr>
      <w:tr w:rsidR="00C96DBB" w:rsidRPr="00240FB1" w:rsidTr="00C96DBB">
        <w:trPr>
          <w:cantSplit/>
          <w:jc w:val="center"/>
        </w:trPr>
        <w:tc>
          <w:tcPr>
            <w:tcW w:w="3510" w:type="dxa"/>
            <w:tcBorders>
              <w:top w:val="single" w:sz="6" w:space="0" w:color="000000"/>
              <w:left w:val="single" w:sz="6" w:space="0" w:color="000000"/>
              <w:bottom w:val="nil"/>
              <w:right w:val="nil"/>
            </w:tcBorders>
          </w:tcPr>
          <w:p w:rsidR="00731175" w:rsidRDefault="00C96DBB" w:rsidP="00975413">
            <w:pPr>
              <w:keepNext/>
              <w:numPr>
                <w:ilvl w:val="12"/>
                <w:numId w:val="0"/>
              </w:numPr>
              <w:spacing w:line="276" w:lineRule="auto"/>
              <w:ind w:left="215" w:hanging="215"/>
            </w:pPr>
            <w:r w:rsidRPr="00240FB1">
              <w:t xml:space="preserve">Public Hearing  (by Hearing) </w:t>
            </w:r>
          </w:p>
          <w:p w:rsidR="00C96DBB" w:rsidRPr="00240FB1" w:rsidRDefault="00C96DBB" w:rsidP="00975413">
            <w:pPr>
              <w:keepNext/>
              <w:numPr>
                <w:ilvl w:val="12"/>
                <w:numId w:val="0"/>
              </w:numPr>
              <w:spacing w:line="276" w:lineRule="auto"/>
              <w:ind w:left="144"/>
            </w:pPr>
            <w:r w:rsidRPr="00240FB1">
              <w:t>(2% of permits)</w:t>
            </w:r>
          </w:p>
        </w:tc>
        <w:tc>
          <w:tcPr>
            <w:tcW w:w="162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center"/>
            </w:pPr>
            <w:r w:rsidRPr="00240FB1">
              <w:t>100</w:t>
            </w:r>
          </w:p>
        </w:tc>
        <w:tc>
          <w:tcPr>
            <w:tcW w:w="180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center"/>
            </w:pPr>
            <w:r w:rsidRPr="00240FB1">
              <w:t>1</w:t>
            </w:r>
          </w:p>
        </w:tc>
        <w:tc>
          <w:tcPr>
            <w:tcW w:w="162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right"/>
            </w:pPr>
            <w:r w:rsidRPr="00240FB1">
              <w:t>100</w:t>
            </w:r>
          </w:p>
        </w:tc>
        <w:tc>
          <w:tcPr>
            <w:tcW w:w="1440" w:type="dxa"/>
            <w:tcBorders>
              <w:top w:val="single" w:sz="6" w:space="0" w:color="000000"/>
              <w:left w:val="single" w:sz="6" w:space="0" w:color="000000"/>
              <w:bottom w:val="nil"/>
              <w:right w:val="single" w:sz="6" w:space="0" w:color="000000"/>
            </w:tcBorders>
          </w:tcPr>
          <w:p w:rsidR="00C96DBB" w:rsidRPr="00240FB1" w:rsidRDefault="00C96DBB" w:rsidP="00975413">
            <w:pPr>
              <w:keepNext/>
              <w:numPr>
                <w:ilvl w:val="12"/>
                <w:numId w:val="0"/>
              </w:numPr>
              <w:spacing w:line="276" w:lineRule="auto"/>
              <w:jc w:val="right"/>
            </w:pPr>
            <w:r w:rsidRPr="00240FB1">
              <w:t>$</w:t>
            </w:r>
            <w:r w:rsidR="00731175">
              <w:t>5,200</w:t>
            </w:r>
          </w:p>
        </w:tc>
      </w:tr>
      <w:tr w:rsidR="00C96DBB" w:rsidRPr="00240FB1" w:rsidTr="00C96DBB">
        <w:trPr>
          <w:cantSplit/>
          <w:jc w:val="center"/>
        </w:trPr>
        <w:tc>
          <w:tcPr>
            <w:tcW w:w="3510" w:type="dxa"/>
            <w:tcBorders>
              <w:top w:val="single" w:sz="6" w:space="0" w:color="000000"/>
              <w:left w:val="single" w:sz="6" w:space="0" w:color="000000"/>
              <w:bottom w:val="nil"/>
              <w:right w:val="nil"/>
            </w:tcBorders>
          </w:tcPr>
          <w:p w:rsidR="00731175" w:rsidRDefault="00C96DBB" w:rsidP="00975413">
            <w:pPr>
              <w:keepNext/>
              <w:numPr>
                <w:ilvl w:val="12"/>
                <w:numId w:val="0"/>
              </w:numPr>
              <w:spacing w:line="276" w:lineRule="auto"/>
            </w:pPr>
            <w:r w:rsidRPr="00240FB1">
              <w:t xml:space="preserve">Analyzing Public Comments </w:t>
            </w:r>
          </w:p>
          <w:p w:rsidR="00C96DBB" w:rsidRPr="00240FB1" w:rsidRDefault="00C96DBB" w:rsidP="00975413">
            <w:pPr>
              <w:keepNext/>
              <w:numPr>
                <w:ilvl w:val="12"/>
                <w:numId w:val="0"/>
              </w:numPr>
              <w:spacing w:line="276" w:lineRule="auto"/>
              <w:ind w:left="144"/>
            </w:pPr>
            <w:r w:rsidRPr="00240FB1">
              <w:t>(2% of permits)</w:t>
            </w:r>
          </w:p>
        </w:tc>
        <w:tc>
          <w:tcPr>
            <w:tcW w:w="162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center"/>
            </w:pPr>
            <w:r w:rsidRPr="00240FB1">
              <w:t>40</w:t>
            </w:r>
          </w:p>
        </w:tc>
        <w:tc>
          <w:tcPr>
            <w:tcW w:w="180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center"/>
            </w:pPr>
            <w:r w:rsidRPr="00240FB1">
              <w:t>1</w:t>
            </w:r>
          </w:p>
        </w:tc>
        <w:tc>
          <w:tcPr>
            <w:tcW w:w="162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right"/>
            </w:pPr>
            <w:r w:rsidRPr="00240FB1">
              <w:t>40</w:t>
            </w:r>
          </w:p>
        </w:tc>
        <w:tc>
          <w:tcPr>
            <w:tcW w:w="1440" w:type="dxa"/>
            <w:tcBorders>
              <w:top w:val="single" w:sz="6" w:space="0" w:color="000000"/>
              <w:left w:val="single" w:sz="6" w:space="0" w:color="000000"/>
              <w:bottom w:val="nil"/>
              <w:right w:val="single" w:sz="6" w:space="0" w:color="000000"/>
            </w:tcBorders>
          </w:tcPr>
          <w:p w:rsidR="00C96DBB" w:rsidRPr="00240FB1" w:rsidRDefault="00C96DBB" w:rsidP="00975413">
            <w:pPr>
              <w:keepNext/>
              <w:numPr>
                <w:ilvl w:val="12"/>
                <w:numId w:val="0"/>
              </w:numPr>
              <w:spacing w:line="276" w:lineRule="auto"/>
              <w:jc w:val="right"/>
            </w:pPr>
            <w:r w:rsidRPr="00240FB1">
              <w:t>$</w:t>
            </w:r>
            <w:r w:rsidR="00731175">
              <w:t>2,080</w:t>
            </w:r>
          </w:p>
        </w:tc>
      </w:tr>
      <w:tr w:rsidR="00C96DBB" w:rsidRPr="00240FB1" w:rsidTr="00C96DBB">
        <w:trPr>
          <w:cantSplit/>
          <w:jc w:val="center"/>
        </w:trPr>
        <w:tc>
          <w:tcPr>
            <w:tcW w:w="3510" w:type="dxa"/>
            <w:tcBorders>
              <w:top w:val="single" w:sz="6" w:space="0" w:color="000000"/>
              <w:left w:val="single" w:sz="6" w:space="0" w:color="000000"/>
              <w:bottom w:val="single" w:sz="6" w:space="0" w:color="000000"/>
              <w:right w:val="nil"/>
            </w:tcBorders>
          </w:tcPr>
          <w:p w:rsidR="00C96DBB" w:rsidRPr="00240FB1" w:rsidRDefault="00C96DBB" w:rsidP="00975413">
            <w:pPr>
              <w:keepNext/>
              <w:numPr>
                <w:ilvl w:val="12"/>
                <w:numId w:val="0"/>
              </w:numPr>
              <w:spacing w:line="276" w:lineRule="auto"/>
            </w:pPr>
            <w:r w:rsidRPr="00240FB1">
              <w:t>Permit Issuance</w:t>
            </w:r>
          </w:p>
        </w:tc>
        <w:tc>
          <w:tcPr>
            <w:tcW w:w="1620" w:type="dxa"/>
            <w:tcBorders>
              <w:top w:val="single" w:sz="6" w:space="0" w:color="000000"/>
              <w:left w:val="single" w:sz="6" w:space="0" w:color="000000"/>
              <w:bottom w:val="single" w:sz="6" w:space="0" w:color="000000"/>
              <w:right w:val="nil"/>
            </w:tcBorders>
          </w:tcPr>
          <w:p w:rsidR="00C96DBB" w:rsidRPr="00240FB1" w:rsidRDefault="00C96DBB" w:rsidP="00975413">
            <w:pPr>
              <w:keepNext/>
              <w:numPr>
                <w:ilvl w:val="12"/>
                <w:numId w:val="0"/>
              </w:numPr>
              <w:spacing w:line="276" w:lineRule="auto"/>
              <w:jc w:val="center"/>
            </w:pPr>
            <w:r w:rsidRPr="00240FB1">
              <w:t>8</w:t>
            </w:r>
          </w:p>
        </w:tc>
        <w:tc>
          <w:tcPr>
            <w:tcW w:w="1800" w:type="dxa"/>
            <w:tcBorders>
              <w:top w:val="single" w:sz="6" w:space="0" w:color="000000"/>
              <w:left w:val="single" w:sz="6" w:space="0" w:color="000000"/>
              <w:bottom w:val="single" w:sz="6" w:space="0" w:color="000000"/>
              <w:right w:val="nil"/>
            </w:tcBorders>
          </w:tcPr>
          <w:p w:rsidR="00C96DBB" w:rsidRPr="00240FB1" w:rsidRDefault="00C96DBB" w:rsidP="00975413">
            <w:pPr>
              <w:keepNext/>
              <w:numPr>
                <w:ilvl w:val="12"/>
                <w:numId w:val="0"/>
              </w:numPr>
              <w:spacing w:line="276" w:lineRule="auto"/>
              <w:jc w:val="center"/>
            </w:pPr>
            <w:r w:rsidRPr="00240FB1">
              <w:t>69</w:t>
            </w:r>
          </w:p>
        </w:tc>
        <w:tc>
          <w:tcPr>
            <w:tcW w:w="1620" w:type="dxa"/>
            <w:tcBorders>
              <w:top w:val="single" w:sz="6" w:space="0" w:color="000000"/>
              <w:left w:val="single" w:sz="6" w:space="0" w:color="000000"/>
              <w:bottom w:val="single" w:sz="6" w:space="0" w:color="000000"/>
              <w:right w:val="nil"/>
            </w:tcBorders>
          </w:tcPr>
          <w:p w:rsidR="00C96DBB" w:rsidRPr="00240FB1" w:rsidRDefault="00C96DBB" w:rsidP="00975413">
            <w:pPr>
              <w:keepNext/>
              <w:numPr>
                <w:ilvl w:val="12"/>
                <w:numId w:val="0"/>
              </w:numPr>
              <w:spacing w:line="276" w:lineRule="auto"/>
              <w:jc w:val="right"/>
            </w:pPr>
            <w:r w:rsidRPr="00240FB1">
              <w:t>552</w:t>
            </w:r>
          </w:p>
        </w:tc>
        <w:tc>
          <w:tcPr>
            <w:tcW w:w="1440" w:type="dxa"/>
            <w:tcBorders>
              <w:top w:val="single" w:sz="6" w:space="0" w:color="000000"/>
              <w:left w:val="single" w:sz="6" w:space="0" w:color="000000"/>
              <w:bottom w:val="single" w:sz="6" w:space="0" w:color="000000"/>
              <w:right w:val="single" w:sz="6" w:space="0" w:color="000000"/>
            </w:tcBorders>
          </w:tcPr>
          <w:p w:rsidR="00C96DBB" w:rsidRPr="00240FB1" w:rsidRDefault="00C96DBB" w:rsidP="00975413">
            <w:pPr>
              <w:keepNext/>
              <w:numPr>
                <w:ilvl w:val="12"/>
                <w:numId w:val="0"/>
              </w:numPr>
              <w:spacing w:line="276" w:lineRule="auto"/>
              <w:jc w:val="right"/>
            </w:pPr>
            <w:r w:rsidRPr="00240FB1">
              <w:t>$</w:t>
            </w:r>
            <w:r w:rsidR="00731175">
              <w:t>28,704</w:t>
            </w:r>
          </w:p>
        </w:tc>
      </w:tr>
      <w:tr w:rsidR="00C96DBB" w:rsidRPr="00240FB1" w:rsidTr="00C96DBB">
        <w:trPr>
          <w:cantSplit/>
          <w:trHeight w:hRule="exact" w:val="717"/>
          <w:jc w:val="center"/>
        </w:trPr>
        <w:tc>
          <w:tcPr>
            <w:tcW w:w="3510" w:type="dxa"/>
            <w:tcBorders>
              <w:top w:val="single" w:sz="6" w:space="0" w:color="000000"/>
              <w:left w:val="single" w:sz="6" w:space="0" w:color="000000"/>
              <w:bottom w:val="nil"/>
              <w:right w:val="nil"/>
            </w:tcBorders>
          </w:tcPr>
          <w:p w:rsidR="00C96DBB" w:rsidRPr="00731175" w:rsidRDefault="00C96DBB" w:rsidP="00975413">
            <w:pPr>
              <w:keepNext/>
              <w:numPr>
                <w:ilvl w:val="12"/>
                <w:numId w:val="0"/>
              </w:numPr>
            </w:pPr>
            <w:r w:rsidRPr="00731175">
              <w:t>Permit Revisions</w:t>
            </w:r>
          </w:p>
          <w:p w:rsidR="00C96DBB" w:rsidRPr="00731175" w:rsidRDefault="00C96DBB" w:rsidP="00975413">
            <w:pPr>
              <w:keepNext/>
              <w:numPr>
                <w:ilvl w:val="12"/>
                <w:numId w:val="0"/>
              </w:numPr>
              <w:ind w:left="144"/>
            </w:pPr>
            <w:r w:rsidRPr="00731175">
              <w:t>Significant (10% of permits)</w:t>
            </w:r>
          </w:p>
        </w:tc>
        <w:tc>
          <w:tcPr>
            <w:tcW w:w="1620" w:type="dxa"/>
            <w:tcBorders>
              <w:top w:val="single" w:sz="6" w:space="0" w:color="000000"/>
              <w:left w:val="single" w:sz="6" w:space="0" w:color="000000"/>
              <w:bottom w:val="nil"/>
              <w:right w:val="nil"/>
            </w:tcBorders>
            <w:vAlign w:val="center"/>
          </w:tcPr>
          <w:p w:rsidR="00C96DBB" w:rsidRPr="00240FB1" w:rsidRDefault="00C96DBB" w:rsidP="00975413">
            <w:pPr>
              <w:keepNext/>
              <w:numPr>
                <w:ilvl w:val="12"/>
                <w:numId w:val="0"/>
              </w:numPr>
              <w:spacing w:line="276" w:lineRule="auto"/>
              <w:jc w:val="center"/>
            </w:pPr>
          </w:p>
          <w:p w:rsidR="00C96DBB" w:rsidRPr="00240FB1" w:rsidRDefault="00C96DBB" w:rsidP="00975413">
            <w:pPr>
              <w:keepNext/>
              <w:numPr>
                <w:ilvl w:val="12"/>
                <w:numId w:val="0"/>
              </w:numPr>
              <w:spacing w:line="276" w:lineRule="auto"/>
              <w:jc w:val="center"/>
            </w:pPr>
            <w:r w:rsidRPr="00240FB1">
              <w:t>90</w:t>
            </w:r>
          </w:p>
        </w:tc>
        <w:tc>
          <w:tcPr>
            <w:tcW w:w="180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center"/>
            </w:pPr>
          </w:p>
          <w:p w:rsidR="00C96DBB" w:rsidRPr="00240FB1" w:rsidRDefault="00C96DBB" w:rsidP="00975413">
            <w:pPr>
              <w:keepNext/>
              <w:numPr>
                <w:ilvl w:val="12"/>
                <w:numId w:val="0"/>
              </w:numPr>
              <w:spacing w:line="276" w:lineRule="auto"/>
              <w:jc w:val="center"/>
            </w:pPr>
            <w:r w:rsidRPr="00240FB1">
              <w:t>39</w:t>
            </w:r>
          </w:p>
        </w:tc>
        <w:tc>
          <w:tcPr>
            <w:tcW w:w="162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jc w:val="right"/>
            </w:pPr>
          </w:p>
          <w:p w:rsidR="00C96DBB" w:rsidRPr="00240FB1" w:rsidRDefault="00C96DBB" w:rsidP="00975413">
            <w:pPr>
              <w:keepNext/>
              <w:numPr>
                <w:ilvl w:val="12"/>
                <w:numId w:val="0"/>
              </w:numPr>
              <w:spacing w:line="276" w:lineRule="auto"/>
              <w:jc w:val="right"/>
            </w:pPr>
            <w:r w:rsidRPr="00240FB1">
              <w:t>3,510</w:t>
            </w:r>
          </w:p>
        </w:tc>
        <w:tc>
          <w:tcPr>
            <w:tcW w:w="1440" w:type="dxa"/>
            <w:tcBorders>
              <w:top w:val="single" w:sz="6" w:space="0" w:color="000000"/>
              <w:left w:val="single" w:sz="6" w:space="0" w:color="000000"/>
              <w:bottom w:val="nil"/>
              <w:right w:val="single" w:sz="6" w:space="0" w:color="000000"/>
            </w:tcBorders>
          </w:tcPr>
          <w:p w:rsidR="00C96DBB" w:rsidRPr="00240FB1" w:rsidRDefault="00C96DBB" w:rsidP="00975413">
            <w:pPr>
              <w:keepNext/>
              <w:numPr>
                <w:ilvl w:val="12"/>
                <w:numId w:val="0"/>
              </w:numPr>
              <w:spacing w:line="276" w:lineRule="auto"/>
              <w:jc w:val="right"/>
            </w:pPr>
          </w:p>
          <w:p w:rsidR="00C96DBB" w:rsidRPr="00240FB1" w:rsidRDefault="00C96DBB" w:rsidP="00975413">
            <w:pPr>
              <w:keepNext/>
              <w:numPr>
                <w:ilvl w:val="12"/>
                <w:numId w:val="0"/>
              </w:numPr>
              <w:spacing w:line="276" w:lineRule="auto"/>
              <w:jc w:val="right"/>
            </w:pPr>
            <w:r w:rsidRPr="00240FB1">
              <w:t>$</w:t>
            </w:r>
            <w:r w:rsidR="00731175">
              <w:t>182,520</w:t>
            </w:r>
          </w:p>
        </w:tc>
      </w:tr>
      <w:tr w:rsidR="00C96DBB" w:rsidRPr="00240FB1" w:rsidTr="00C96DBB">
        <w:trPr>
          <w:cantSplit/>
          <w:trHeight w:hRule="exact" w:val="342"/>
          <w:jc w:val="center"/>
        </w:trPr>
        <w:tc>
          <w:tcPr>
            <w:tcW w:w="3510" w:type="dxa"/>
            <w:tcBorders>
              <w:left w:val="single" w:sz="6" w:space="0" w:color="000000"/>
              <w:bottom w:val="nil"/>
              <w:right w:val="nil"/>
            </w:tcBorders>
          </w:tcPr>
          <w:p w:rsidR="00C96DBB" w:rsidRPr="00731175" w:rsidRDefault="00731175" w:rsidP="00975413">
            <w:pPr>
              <w:keepNext/>
              <w:numPr>
                <w:ilvl w:val="12"/>
                <w:numId w:val="0"/>
              </w:numPr>
              <w:ind w:left="144"/>
            </w:pPr>
            <w:r>
              <w:t>Minor (50% of permits)</w:t>
            </w:r>
            <w:r w:rsidR="00C96DBB" w:rsidRPr="00731175">
              <w:t xml:space="preserve">                                                                         </w:t>
            </w:r>
          </w:p>
        </w:tc>
        <w:tc>
          <w:tcPr>
            <w:tcW w:w="1620" w:type="dxa"/>
            <w:tcBorders>
              <w:left w:val="single" w:sz="6" w:space="0" w:color="000000"/>
              <w:bottom w:val="nil"/>
              <w:right w:val="nil"/>
            </w:tcBorders>
          </w:tcPr>
          <w:p w:rsidR="00C96DBB" w:rsidRPr="00240FB1" w:rsidRDefault="00C96DBB" w:rsidP="00975413">
            <w:pPr>
              <w:keepNext/>
              <w:numPr>
                <w:ilvl w:val="12"/>
                <w:numId w:val="0"/>
              </w:numPr>
              <w:spacing w:line="276" w:lineRule="auto"/>
              <w:jc w:val="center"/>
            </w:pPr>
            <w:r w:rsidRPr="00240FB1">
              <w:t>30</w:t>
            </w:r>
          </w:p>
        </w:tc>
        <w:tc>
          <w:tcPr>
            <w:tcW w:w="1800" w:type="dxa"/>
            <w:tcBorders>
              <w:left w:val="single" w:sz="6" w:space="0" w:color="000000"/>
              <w:bottom w:val="nil"/>
              <w:right w:val="nil"/>
            </w:tcBorders>
          </w:tcPr>
          <w:p w:rsidR="00C96DBB" w:rsidRPr="00240FB1" w:rsidRDefault="00C96DBB" w:rsidP="00975413">
            <w:pPr>
              <w:keepNext/>
              <w:numPr>
                <w:ilvl w:val="12"/>
                <w:numId w:val="0"/>
              </w:numPr>
              <w:spacing w:line="276" w:lineRule="auto"/>
              <w:jc w:val="center"/>
            </w:pPr>
            <w:r w:rsidRPr="00240FB1">
              <w:t>192</w:t>
            </w:r>
          </w:p>
        </w:tc>
        <w:tc>
          <w:tcPr>
            <w:tcW w:w="1620" w:type="dxa"/>
            <w:tcBorders>
              <w:left w:val="single" w:sz="6" w:space="0" w:color="000000"/>
              <w:bottom w:val="nil"/>
              <w:right w:val="nil"/>
            </w:tcBorders>
          </w:tcPr>
          <w:p w:rsidR="00C96DBB" w:rsidRPr="00240FB1" w:rsidRDefault="00C96DBB" w:rsidP="00975413">
            <w:pPr>
              <w:keepNext/>
              <w:numPr>
                <w:ilvl w:val="12"/>
                <w:numId w:val="0"/>
              </w:numPr>
              <w:spacing w:line="276" w:lineRule="auto"/>
              <w:jc w:val="right"/>
            </w:pPr>
            <w:r w:rsidRPr="00240FB1">
              <w:t>5,760</w:t>
            </w:r>
          </w:p>
        </w:tc>
        <w:tc>
          <w:tcPr>
            <w:tcW w:w="1440" w:type="dxa"/>
            <w:tcBorders>
              <w:left w:val="single" w:sz="6" w:space="0" w:color="000000"/>
              <w:bottom w:val="nil"/>
              <w:right w:val="single" w:sz="6" w:space="0" w:color="000000"/>
            </w:tcBorders>
          </w:tcPr>
          <w:p w:rsidR="00C96DBB" w:rsidRPr="00240FB1" w:rsidRDefault="00C96DBB" w:rsidP="00975413">
            <w:pPr>
              <w:keepNext/>
              <w:numPr>
                <w:ilvl w:val="12"/>
                <w:numId w:val="0"/>
              </w:numPr>
              <w:spacing w:line="276" w:lineRule="auto"/>
              <w:jc w:val="right"/>
            </w:pPr>
            <w:r w:rsidRPr="00240FB1">
              <w:t>$</w:t>
            </w:r>
            <w:r w:rsidR="00731175">
              <w:t>299,520</w:t>
            </w:r>
          </w:p>
        </w:tc>
      </w:tr>
      <w:tr w:rsidR="00C96DBB" w:rsidRPr="00240FB1" w:rsidTr="00C96DBB">
        <w:trPr>
          <w:cantSplit/>
          <w:jc w:val="center"/>
        </w:trPr>
        <w:tc>
          <w:tcPr>
            <w:tcW w:w="3510" w:type="dxa"/>
            <w:tcBorders>
              <w:left w:val="single" w:sz="6" w:space="0" w:color="000000"/>
              <w:bottom w:val="single" w:sz="6" w:space="0" w:color="000000"/>
              <w:right w:val="nil"/>
            </w:tcBorders>
          </w:tcPr>
          <w:p w:rsidR="00C96DBB" w:rsidRPr="00240FB1" w:rsidRDefault="00C96DBB" w:rsidP="00975413">
            <w:pPr>
              <w:keepNext/>
              <w:numPr>
                <w:ilvl w:val="12"/>
                <w:numId w:val="0"/>
              </w:numPr>
              <w:ind w:left="144"/>
            </w:pPr>
            <w:r w:rsidRPr="00240FB1">
              <w:t xml:space="preserve">Administrative (50% </w:t>
            </w:r>
            <w:r w:rsidR="00731175">
              <w:t>o</w:t>
            </w:r>
            <w:r w:rsidRPr="00240FB1">
              <w:t>f permits)</w:t>
            </w:r>
          </w:p>
          <w:p w:rsidR="00C96DBB" w:rsidRPr="00240FB1" w:rsidRDefault="00C96DBB" w:rsidP="00975413">
            <w:pPr>
              <w:keepNext/>
              <w:numPr>
                <w:ilvl w:val="12"/>
                <w:numId w:val="0"/>
              </w:numPr>
              <w:ind w:left="215"/>
            </w:pPr>
            <w:r w:rsidRPr="00240FB1">
              <w:t xml:space="preserve">                                                 Revision Subtotal</w:t>
            </w:r>
          </w:p>
        </w:tc>
        <w:tc>
          <w:tcPr>
            <w:tcW w:w="1620" w:type="dxa"/>
            <w:tcBorders>
              <w:left w:val="single" w:sz="6" w:space="0" w:color="000000"/>
              <w:bottom w:val="single" w:sz="6" w:space="0" w:color="000000"/>
              <w:right w:val="nil"/>
            </w:tcBorders>
          </w:tcPr>
          <w:p w:rsidR="00C96DBB" w:rsidRPr="00240FB1" w:rsidRDefault="00C96DBB" w:rsidP="00975413">
            <w:pPr>
              <w:keepNext/>
              <w:numPr>
                <w:ilvl w:val="12"/>
                <w:numId w:val="0"/>
              </w:numPr>
              <w:spacing w:line="276" w:lineRule="auto"/>
              <w:jc w:val="center"/>
            </w:pPr>
            <w:r w:rsidRPr="00240FB1">
              <w:t>5</w:t>
            </w:r>
          </w:p>
          <w:p w:rsidR="00C96DBB" w:rsidRPr="00240FB1" w:rsidRDefault="00C96DBB" w:rsidP="00975413">
            <w:pPr>
              <w:keepNext/>
              <w:numPr>
                <w:ilvl w:val="12"/>
                <w:numId w:val="0"/>
              </w:numPr>
              <w:spacing w:line="276" w:lineRule="auto"/>
              <w:jc w:val="center"/>
            </w:pPr>
          </w:p>
        </w:tc>
        <w:tc>
          <w:tcPr>
            <w:tcW w:w="1800" w:type="dxa"/>
            <w:tcBorders>
              <w:left w:val="single" w:sz="6" w:space="0" w:color="000000"/>
              <w:bottom w:val="single" w:sz="6" w:space="0" w:color="000000"/>
              <w:right w:val="nil"/>
            </w:tcBorders>
          </w:tcPr>
          <w:p w:rsidR="00C96DBB" w:rsidRPr="00240FB1" w:rsidRDefault="00C96DBB" w:rsidP="00975413">
            <w:pPr>
              <w:keepNext/>
              <w:numPr>
                <w:ilvl w:val="12"/>
                <w:numId w:val="0"/>
              </w:numPr>
              <w:spacing w:line="276" w:lineRule="auto"/>
              <w:jc w:val="center"/>
            </w:pPr>
            <w:r w:rsidRPr="00240FB1">
              <w:t>192</w:t>
            </w:r>
          </w:p>
          <w:p w:rsidR="00C96DBB" w:rsidRPr="00240FB1" w:rsidRDefault="00C96DBB" w:rsidP="00975413">
            <w:pPr>
              <w:keepNext/>
              <w:numPr>
                <w:ilvl w:val="12"/>
                <w:numId w:val="0"/>
              </w:numPr>
              <w:spacing w:line="276" w:lineRule="auto"/>
              <w:jc w:val="center"/>
            </w:pPr>
          </w:p>
        </w:tc>
        <w:tc>
          <w:tcPr>
            <w:tcW w:w="1620" w:type="dxa"/>
            <w:tcBorders>
              <w:left w:val="single" w:sz="6" w:space="0" w:color="000000"/>
              <w:bottom w:val="single" w:sz="6" w:space="0" w:color="000000"/>
              <w:right w:val="nil"/>
            </w:tcBorders>
          </w:tcPr>
          <w:p w:rsidR="00C96DBB" w:rsidRPr="00240FB1" w:rsidRDefault="00C96DBB" w:rsidP="00975413">
            <w:pPr>
              <w:keepNext/>
              <w:numPr>
                <w:ilvl w:val="12"/>
                <w:numId w:val="0"/>
              </w:numPr>
              <w:spacing w:line="276" w:lineRule="auto"/>
              <w:jc w:val="right"/>
              <w:rPr>
                <w:u w:val="single"/>
              </w:rPr>
            </w:pPr>
            <w:r w:rsidRPr="00240FB1">
              <w:rPr>
                <w:u w:val="single"/>
              </w:rPr>
              <w:t>960</w:t>
            </w:r>
          </w:p>
          <w:p w:rsidR="00C96DBB" w:rsidRPr="00240FB1" w:rsidRDefault="00C96DBB" w:rsidP="00975413">
            <w:pPr>
              <w:keepNext/>
              <w:numPr>
                <w:ilvl w:val="12"/>
                <w:numId w:val="0"/>
              </w:numPr>
              <w:spacing w:line="276" w:lineRule="auto"/>
              <w:jc w:val="right"/>
            </w:pPr>
          </w:p>
          <w:p w:rsidR="00C96DBB" w:rsidRPr="00240FB1" w:rsidRDefault="00C96DBB" w:rsidP="00975413">
            <w:pPr>
              <w:keepNext/>
              <w:numPr>
                <w:ilvl w:val="12"/>
                <w:numId w:val="0"/>
              </w:numPr>
              <w:spacing w:line="276" w:lineRule="auto"/>
              <w:jc w:val="right"/>
            </w:pPr>
            <w:r w:rsidRPr="00240FB1">
              <w:t>10,230</w:t>
            </w:r>
          </w:p>
        </w:tc>
        <w:tc>
          <w:tcPr>
            <w:tcW w:w="1440" w:type="dxa"/>
            <w:tcBorders>
              <w:left w:val="single" w:sz="6" w:space="0" w:color="000000"/>
              <w:bottom w:val="single" w:sz="6" w:space="0" w:color="000000"/>
              <w:right w:val="single" w:sz="6" w:space="0" w:color="000000"/>
            </w:tcBorders>
          </w:tcPr>
          <w:p w:rsidR="00C96DBB" w:rsidRPr="00240FB1" w:rsidRDefault="00C96DBB" w:rsidP="00975413">
            <w:pPr>
              <w:keepNext/>
              <w:numPr>
                <w:ilvl w:val="12"/>
                <w:numId w:val="0"/>
              </w:numPr>
              <w:spacing w:line="276" w:lineRule="auto"/>
              <w:jc w:val="right"/>
            </w:pPr>
            <w:r w:rsidRPr="00731175">
              <w:rPr>
                <w:u w:val="single"/>
              </w:rPr>
              <w:t>$</w:t>
            </w:r>
            <w:r w:rsidR="00731175">
              <w:rPr>
                <w:u w:val="single"/>
              </w:rPr>
              <w:t>49,920</w:t>
            </w:r>
          </w:p>
          <w:p w:rsidR="00C96DBB" w:rsidRPr="00240FB1" w:rsidRDefault="00C96DBB" w:rsidP="00975413">
            <w:pPr>
              <w:keepNext/>
              <w:numPr>
                <w:ilvl w:val="12"/>
                <w:numId w:val="0"/>
              </w:numPr>
              <w:spacing w:line="276" w:lineRule="auto"/>
              <w:jc w:val="right"/>
            </w:pPr>
          </w:p>
          <w:p w:rsidR="00C96DBB" w:rsidRPr="00240FB1" w:rsidRDefault="00C96DBB" w:rsidP="00975413">
            <w:pPr>
              <w:keepNext/>
              <w:numPr>
                <w:ilvl w:val="12"/>
                <w:numId w:val="0"/>
              </w:numPr>
              <w:spacing w:line="276" w:lineRule="auto"/>
              <w:jc w:val="right"/>
            </w:pPr>
            <w:r w:rsidRPr="00240FB1">
              <w:t>$</w:t>
            </w:r>
            <w:r w:rsidR="00731175">
              <w:t>531,960</w:t>
            </w:r>
          </w:p>
        </w:tc>
      </w:tr>
      <w:tr w:rsidR="00C96DBB" w:rsidRPr="00240FB1" w:rsidTr="00731175">
        <w:trPr>
          <w:cantSplit/>
          <w:jc w:val="center"/>
        </w:trPr>
        <w:tc>
          <w:tcPr>
            <w:tcW w:w="3510" w:type="dxa"/>
            <w:tcBorders>
              <w:top w:val="single" w:sz="6" w:space="0" w:color="000000"/>
              <w:left w:val="single" w:sz="6" w:space="0" w:color="000000"/>
              <w:bottom w:val="nil"/>
              <w:right w:val="nil"/>
            </w:tcBorders>
          </w:tcPr>
          <w:p w:rsidR="00C96DBB" w:rsidRPr="00240FB1" w:rsidRDefault="00C96DBB" w:rsidP="00975413">
            <w:pPr>
              <w:keepNext/>
              <w:numPr>
                <w:ilvl w:val="12"/>
                <w:numId w:val="0"/>
              </w:numPr>
              <w:spacing w:line="276" w:lineRule="auto"/>
            </w:pPr>
            <w:r w:rsidRPr="00240FB1">
              <w:t>Permit Renewals</w:t>
            </w:r>
          </w:p>
        </w:tc>
        <w:tc>
          <w:tcPr>
            <w:tcW w:w="1620" w:type="dxa"/>
            <w:tcBorders>
              <w:top w:val="single" w:sz="6" w:space="0" w:color="000000"/>
              <w:left w:val="single" w:sz="6" w:space="0" w:color="000000"/>
              <w:bottom w:val="nil"/>
              <w:right w:val="nil"/>
            </w:tcBorders>
            <w:vAlign w:val="center"/>
          </w:tcPr>
          <w:p w:rsidR="00C96DBB" w:rsidRPr="00240FB1" w:rsidRDefault="00C96DBB" w:rsidP="00975413">
            <w:pPr>
              <w:keepNext/>
              <w:numPr>
                <w:ilvl w:val="12"/>
                <w:numId w:val="0"/>
              </w:numPr>
              <w:spacing w:line="276" w:lineRule="auto"/>
              <w:jc w:val="center"/>
            </w:pPr>
            <w:r w:rsidRPr="00240FB1">
              <w:t>90</w:t>
            </w:r>
          </w:p>
        </w:tc>
        <w:tc>
          <w:tcPr>
            <w:tcW w:w="1800" w:type="dxa"/>
            <w:tcBorders>
              <w:top w:val="single" w:sz="6" w:space="0" w:color="000000"/>
              <w:left w:val="single" w:sz="6" w:space="0" w:color="000000"/>
              <w:bottom w:val="nil"/>
              <w:right w:val="nil"/>
            </w:tcBorders>
            <w:vAlign w:val="center"/>
          </w:tcPr>
          <w:p w:rsidR="00C96DBB" w:rsidRPr="00240FB1" w:rsidRDefault="00C96DBB" w:rsidP="00975413">
            <w:pPr>
              <w:keepNext/>
              <w:numPr>
                <w:ilvl w:val="12"/>
                <w:numId w:val="0"/>
              </w:numPr>
              <w:spacing w:line="276" w:lineRule="auto"/>
              <w:jc w:val="center"/>
            </w:pPr>
            <w:r w:rsidRPr="00240FB1">
              <w:t>78</w:t>
            </w:r>
          </w:p>
        </w:tc>
        <w:tc>
          <w:tcPr>
            <w:tcW w:w="1620" w:type="dxa"/>
            <w:tcBorders>
              <w:top w:val="single" w:sz="6" w:space="0" w:color="000000"/>
              <w:left w:val="single" w:sz="6" w:space="0" w:color="000000"/>
              <w:bottom w:val="nil"/>
              <w:right w:val="nil"/>
            </w:tcBorders>
            <w:vAlign w:val="center"/>
          </w:tcPr>
          <w:p w:rsidR="00C96DBB" w:rsidRPr="00240FB1" w:rsidRDefault="00C96DBB" w:rsidP="00975413">
            <w:pPr>
              <w:keepNext/>
              <w:numPr>
                <w:ilvl w:val="12"/>
                <w:numId w:val="0"/>
              </w:numPr>
              <w:spacing w:line="276" w:lineRule="auto"/>
              <w:jc w:val="right"/>
            </w:pPr>
            <w:r w:rsidRPr="00240FB1">
              <w:t>7,020</w:t>
            </w:r>
          </w:p>
        </w:tc>
        <w:tc>
          <w:tcPr>
            <w:tcW w:w="1440" w:type="dxa"/>
            <w:tcBorders>
              <w:top w:val="single" w:sz="6" w:space="0" w:color="000000"/>
              <w:left w:val="single" w:sz="6" w:space="0" w:color="000000"/>
              <w:bottom w:val="nil"/>
              <w:right w:val="single" w:sz="6" w:space="0" w:color="000000"/>
            </w:tcBorders>
            <w:vAlign w:val="center"/>
          </w:tcPr>
          <w:p w:rsidR="00C96DBB" w:rsidRPr="00240FB1" w:rsidRDefault="00C96DBB" w:rsidP="00975413">
            <w:pPr>
              <w:keepNext/>
              <w:numPr>
                <w:ilvl w:val="12"/>
                <w:numId w:val="0"/>
              </w:numPr>
              <w:spacing w:line="276" w:lineRule="auto"/>
              <w:jc w:val="right"/>
            </w:pPr>
            <w:r w:rsidRPr="00240FB1">
              <w:t>$3</w:t>
            </w:r>
            <w:r w:rsidR="00731175">
              <w:t>65,040</w:t>
            </w:r>
          </w:p>
        </w:tc>
      </w:tr>
      <w:tr w:rsidR="00C96DBB" w:rsidRPr="00240FB1" w:rsidTr="00BF7B9A">
        <w:trPr>
          <w:cantSplit/>
          <w:jc w:val="center"/>
        </w:trPr>
        <w:tc>
          <w:tcPr>
            <w:tcW w:w="3510" w:type="dxa"/>
            <w:tcBorders>
              <w:top w:val="single" w:sz="6" w:space="0" w:color="000000"/>
              <w:left w:val="single" w:sz="6" w:space="0" w:color="000000"/>
              <w:bottom w:val="single" w:sz="6" w:space="0" w:color="000000"/>
              <w:right w:val="nil"/>
            </w:tcBorders>
          </w:tcPr>
          <w:p w:rsidR="00C96DBB" w:rsidRPr="00240FB1" w:rsidRDefault="00C96DBB" w:rsidP="00975413">
            <w:pPr>
              <w:keepNext/>
              <w:numPr>
                <w:ilvl w:val="12"/>
                <w:numId w:val="0"/>
              </w:numPr>
              <w:ind w:left="144" w:hanging="144"/>
            </w:pPr>
            <w:r w:rsidRPr="00240FB1">
              <w:t>Review Monitoring / Compliance</w:t>
            </w:r>
            <w:r w:rsidR="00731175">
              <w:t xml:space="preserve"> </w:t>
            </w:r>
            <w:r w:rsidRPr="00240FB1">
              <w:t>Reports</w:t>
            </w:r>
          </w:p>
          <w:p w:rsidR="00C96DBB" w:rsidRPr="00240FB1" w:rsidRDefault="00C96DBB" w:rsidP="00975413">
            <w:pPr>
              <w:keepNext/>
              <w:numPr>
                <w:ilvl w:val="12"/>
                <w:numId w:val="0"/>
              </w:numPr>
              <w:spacing w:line="276" w:lineRule="auto"/>
              <w:ind w:left="144"/>
            </w:pPr>
            <w:r w:rsidRPr="00240FB1">
              <w:t xml:space="preserve">Year 1 </w:t>
            </w:r>
          </w:p>
          <w:p w:rsidR="00C96DBB" w:rsidRPr="00240FB1" w:rsidRDefault="00C96DBB" w:rsidP="00975413">
            <w:pPr>
              <w:keepNext/>
              <w:numPr>
                <w:ilvl w:val="12"/>
                <w:numId w:val="0"/>
              </w:numPr>
              <w:spacing w:line="276" w:lineRule="auto"/>
              <w:ind w:left="144"/>
            </w:pPr>
            <w:r w:rsidRPr="00240FB1">
              <w:t xml:space="preserve">Year 2 </w:t>
            </w:r>
          </w:p>
          <w:p w:rsidR="00C96DBB" w:rsidRPr="00240FB1" w:rsidRDefault="00C96DBB" w:rsidP="00975413">
            <w:pPr>
              <w:keepNext/>
              <w:numPr>
                <w:ilvl w:val="12"/>
                <w:numId w:val="0"/>
              </w:numPr>
              <w:spacing w:line="276" w:lineRule="auto"/>
              <w:ind w:left="144"/>
            </w:pPr>
            <w:r w:rsidRPr="00240FB1">
              <w:t>Year 3</w:t>
            </w:r>
          </w:p>
        </w:tc>
        <w:tc>
          <w:tcPr>
            <w:tcW w:w="1620" w:type="dxa"/>
            <w:tcBorders>
              <w:top w:val="single" w:sz="6" w:space="0" w:color="000000"/>
              <w:left w:val="single" w:sz="6" w:space="0" w:color="000000"/>
              <w:bottom w:val="single" w:sz="6" w:space="0" w:color="000000"/>
              <w:right w:val="nil"/>
            </w:tcBorders>
          </w:tcPr>
          <w:p w:rsidR="00C96DBB" w:rsidRPr="00240FB1" w:rsidRDefault="00C96DBB" w:rsidP="00975413">
            <w:pPr>
              <w:keepNext/>
              <w:numPr>
                <w:ilvl w:val="12"/>
                <w:numId w:val="0"/>
              </w:numPr>
              <w:jc w:val="center"/>
            </w:pPr>
          </w:p>
          <w:p w:rsidR="00C96DBB" w:rsidRPr="00240FB1" w:rsidRDefault="00C96DBB" w:rsidP="00975413">
            <w:pPr>
              <w:keepNext/>
              <w:numPr>
                <w:ilvl w:val="12"/>
                <w:numId w:val="0"/>
              </w:numPr>
              <w:jc w:val="center"/>
            </w:pPr>
          </w:p>
          <w:p w:rsidR="00C96DBB" w:rsidRPr="00240FB1" w:rsidRDefault="00C96DBB" w:rsidP="00975413">
            <w:pPr>
              <w:keepNext/>
              <w:numPr>
                <w:ilvl w:val="12"/>
                <w:numId w:val="0"/>
              </w:numPr>
              <w:jc w:val="center"/>
            </w:pPr>
            <w:r w:rsidRPr="00240FB1">
              <w:t>15</w:t>
            </w:r>
          </w:p>
          <w:p w:rsidR="00C96DBB" w:rsidRPr="00240FB1" w:rsidRDefault="00C96DBB" w:rsidP="00975413">
            <w:pPr>
              <w:keepNext/>
              <w:numPr>
                <w:ilvl w:val="12"/>
                <w:numId w:val="0"/>
              </w:numPr>
              <w:jc w:val="center"/>
            </w:pPr>
            <w:r w:rsidRPr="00240FB1">
              <w:t>15</w:t>
            </w:r>
          </w:p>
          <w:p w:rsidR="00C96DBB" w:rsidRPr="00240FB1" w:rsidRDefault="00C96DBB" w:rsidP="00975413">
            <w:pPr>
              <w:keepNext/>
              <w:numPr>
                <w:ilvl w:val="12"/>
                <w:numId w:val="0"/>
              </w:numPr>
              <w:jc w:val="center"/>
            </w:pPr>
            <w:r w:rsidRPr="00240FB1">
              <w:t>15</w:t>
            </w:r>
          </w:p>
        </w:tc>
        <w:tc>
          <w:tcPr>
            <w:tcW w:w="1800" w:type="dxa"/>
            <w:tcBorders>
              <w:top w:val="single" w:sz="6" w:space="0" w:color="000000"/>
              <w:left w:val="single" w:sz="6" w:space="0" w:color="000000"/>
              <w:bottom w:val="single" w:sz="6" w:space="0" w:color="000000"/>
              <w:right w:val="nil"/>
            </w:tcBorders>
          </w:tcPr>
          <w:p w:rsidR="00C96DBB" w:rsidRPr="00240FB1" w:rsidRDefault="00C96DBB" w:rsidP="00975413">
            <w:pPr>
              <w:keepNext/>
              <w:numPr>
                <w:ilvl w:val="12"/>
                <w:numId w:val="0"/>
              </w:numPr>
              <w:jc w:val="center"/>
            </w:pPr>
          </w:p>
          <w:p w:rsidR="00C96DBB" w:rsidRPr="00240FB1" w:rsidRDefault="00C96DBB" w:rsidP="00975413">
            <w:pPr>
              <w:keepNext/>
              <w:numPr>
                <w:ilvl w:val="12"/>
                <w:numId w:val="0"/>
              </w:numPr>
              <w:jc w:val="center"/>
            </w:pPr>
          </w:p>
          <w:p w:rsidR="00C96DBB" w:rsidRPr="00240FB1" w:rsidRDefault="00C96DBB" w:rsidP="00975413">
            <w:pPr>
              <w:keepNext/>
              <w:numPr>
                <w:ilvl w:val="12"/>
                <w:numId w:val="0"/>
              </w:numPr>
              <w:jc w:val="center"/>
            </w:pPr>
            <w:r w:rsidRPr="00240FB1">
              <w:t>105</w:t>
            </w:r>
          </w:p>
          <w:p w:rsidR="00C96DBB" w:rsidRPr="00240FB1" w:rsidRDefault="00C96DBB" w:rsidP="00975413">
            <w:pPr>
              <w:keepNext/>
              <w:numPr>
                <w:ilvl w:val="12"/>
                <w:numId w:val="0"/>
              </w:numPr>
              <w:jc w:val="center"/>
            </w:pPr>
            <w:r w:rsidRPr="00240FB1">
              <w:t>127</w:t>
            </w:r>
          </w:p>
          <w:p w:rsidR="00C96DBB" w:rsidRPr="00240FB1" w:rsidRDefault="00C96DBB" w:rsidP="00975413">
            <w:pPr>
              <w:keepNext/>
              <w:numPr>
                <w:ilvl w:val="12"/>
                <w:numId w:val="0"/>
              </w:numPr>
              <w:jc w:val="center"/>
            </w:pPr>
            <w:r w:rsidRPr="00240FB1">
              <w:t>150</w:t>
            </w:r>
          </w:p>
        </w:tc>
        <w:tc>
          <w:tcPr>
            <w:tcW w:w="1620" w:type="dxa"/>
            <w:tcBorders>
              <w:top w:val="single" w:sz="6" w:space="0" w:color="000000"/>
              <w:left w:val="single" w:sz="6" w:space="0" w:color="000000"/>
              <w:bottom w:val="single" w:sz="6" w:space="0" w:color="000000"/>
              <w:right w:val="nil"/>
            </w:tcBorders>
          </w:tcPr>
          <w:p w:rsidR="00C96DBB" w:rsidRPr="00240FB1" w:rsidRDefault="00C96DBB" w:rsidP="00975413">
            <w:pPr>
              <w:keepNext/>
              <w:numPr>
                <w:ilvl w:val="12"/>
                <w:numId w:val="0"/>
              </w:numPr>
              <w:jc w:val="right"/>
            </w:pPr>
          </w:p>
          <w:p w:rsidR="00C96DBB" w:rsidRPr="00240FB1" w:rsidRDefault="00C96DBB" w:rsidP="00975413">
            <w:pPr>
              <w:keepNext/>
              <w:numPr>
                <w:ilvl w:val="12"/>
                <w:numId w:val="0"/>
              </w:numPr>
              <w:jc w:val="right"/>
            </w:pPr>
          </w:p>
          <w:p w:rsidR="00C96DBB" w:rsidRPr="00240FB1" w:rsidRDefault="00C96DBB" w:rsidP="00975413">
            <w:pPr>
              <w:keepNext/>
              <w:numPr>
                <w:ilvl w:val="12"/>
                <w:numId w:val="0"/>
              </w:numPr>
              <w:jc w:val="right"/>
            </w:pPr>
            <w:r w:rsidRPr="00240FB1">
              <w:t>1,575</w:t>
            </w:r>
          </w:p>
          <w:p w:rsidR="00C96DBB" w:rsidRPr="00240FB1" w:rsidRDefault="00C96DBB" w:rsidP="00975413">
            <w:pPr>
              <w:keepNext/>
              <w:numPr>
                <w:ilvl w:val="12"/>
                <w:numId w:val="0"/>
              </w:numPr>
              <w:jc w:val="right"/>
            </w:pPr>
            <w:r w:rsidRPr="00240FB1">
              <w:t>1,905</w:t>
            </w:r>
          </w:p>
          <w:p w:rsidR="00C96DBB" w:rsidRPr="00240FB1" w:rsidRDefault="00C96DBB" w:rsidP="00975413">
            <w:pPr>
              <w:keepNext/>
              <w:numPr>
                <w:ilvl w:val="12"/>
                <w:numId w:val="0"/>
              </w:numPr>
              <w:jc w:val="right"/>
            </w:pPr>
            <w:r w:rsidRPr="00240FB1">
              <w:rPr>
                <w:u w:val="single"/>
              </w:rPr>
              <w:t>2,250</w:t>
            </w:r>
          </w:p>
          <w:p w:rsidR="00C96DBB" w:rsidRPr="00240FB1" w:rsidRDefault="00C96DBB" w:rsidP="00975413">
            <w:pPr>
              <w:keepNext/>
              <w:numPr>
                <w:ilvl w:val="12"/>
                <w:numId w:val="0"/>
              </w:numPr>
              <w:jc w:val="right"/>
            </w:pPr>
            <w:r w:rsidRPr="00240FB1">
              <w:t>5,730</w:t>
            </w:r>
          </w:p>
        </w:tc>
        <w:tc>
          <w:tcPr>
            <w:tcW w:w="1440" w:type="dxa"/>
            <w:tcBorders>
              <w:top w:val="single" w:sz="6" w:space="0" w:color="000000"/>
              <w:left w:val="single" w:sz="6" w:space="0" w:color="000000"/>
              <w:bottom w:val="single" w:sz="6" w:space="0" w:color="000000"/>
              <w:right w:val="single" w:sz="6" w:space="0" w:color="000000"/>
            </w:tcBorders>
          </w:tcPr>
          <w:p w:rsidR="00C96DBB" w:rsidRPr="00240FB1" w:rsidRDefault="00C96DBB" w:rsidP="00975413">
            <w:pPr>
              <w:keepNext/>
              <w:numPr>
                <w:ilvl w:val="12"/>
                <w:numId w:val="0"/>
              </w:numPr>
              <w:jc w:val="right"/>
            </w:pPr>
          </w:p>
          <w:p w:rsidR="00C96DBB" w:rsidRPr="00240FB1" w:rsidRDefault="00C96DBB" w:rsidP="00975413">
            <w:pPr>
              <w:keepNext/>
              <w:numPr>
                <w:ilvl w:val="12"/>
                <w:numId w:val="0"/>
              </w:numPr>
              <w:jc w:val="right"/>
            </w:pPr>
          </w:p>
          <w:p w:rsidR="00C96DBB" w:rsidRPr="00240FB1" w:rsidRDefault="00C96DBB" w:rsidP="00975413">
            <w:pPr>
              <w:keepNext/>
              <w:numPr>
                <w:ilvl w:val="12"/>
                <w:numId w:val="0"/>
              </w:numPr>
              <w:jc w:val="right"/>
            </w:pPr>
            <w:r w:rsidRPr="00240FB1">
              <w:t>$</w:t>
            </w:r>
            <w:r w:rsidR="00BF7B9A">
              <w:t>81,900</w:t>
            </w:r>
          </w:p>
          <w:p w:rsidR="00C96DBB" w:rsidRPr="00240FB1" w:rsidRDefault="00BF7B9A" w:rsidP="00975413">
            <w:pPr>
              <w:keepNext/>
              <w:numPr>
                <w:ilvl w:val="12"/>
                <w:numId w:val="0"/>
              </w:numPr>
              <w:jc w:val="right"/>
            </w:pPr>
            <w:r>
              <w:t>$99,060</w:t>
            </w:r>
          </w:p>
          <w:p w:rsidR="00C96DBB" w:rsidRPr="00240FB1" w:rsidRDefault="00C96DBB" w:rsidP="00975413">
            <w:pPr>
              <w:keepNext/>
              <w:numPr>
                <w:ilvl w:val="12"/>
                <w:numId w:val="0"/>
              </w:numPr>
              <w:jc w:val="right"/>
            </w:pPr>
            <w:r w:rsidRPr="00240FB1">
              <w:rPr>
                <w:u w:val="single"/>
              </w:rPr>
              <w:t>$1</w:t>
            </w:r>
            <w:r w:rsidR="00BF7B9A">
              <w:rPr>
                <w:u w:val="single"/>
              </w:rPr>
              <w:t>17,000</w:t>
            </w:r>
          </w:p>
          <w:p w:rsidR="00C96DBB" w:rsidRPr="00240FB1" w:rsidRDefault="00C96DBB" w:rsidP="00975413">
            <w:pPr>
              <w:keepNext/>
              <w:numPr>
                <w:ilvl w:val="12"/>
                <w:numId w:val="0"/>
              </w:numPr>
              <w:jc w:val="right"/>
            </w:pPr>
            <w:r w:rsidRPr="00240FB1">
              <w:t>$2</w:t>
            </w:r>
            <w:r w:rsidR="00BF7B9A">
              <w:t>97,960</w:t>
            </w:r>
          </w:p>
        </w:tc>
      </w:tr>
      <w:tr w:rsidR="00BF7B9A" w:rsidRPr="00240FB1" w:rsidTr="00BF7B9A">
        <w:trPr>
          <w:cantSplit/>
          <w:jc w:val="center"/>
        </w:trPr>
        <w:tc>
          <w:tcPr>
            <w:tcW w:w="6930" w:type="dxa"/>
            <w:gridSpan w:val="3"/>
            <w:tcBorders>
              <w:top w:val="single" w:sz="6" w:space="0" w:color="000000"/>
              <w:left w:val="single" w:sz="6" w:space="0" w:color="000000"/>
              <w:right w:val="nil"/>
            </w:tcBorders>
          </w:tcPr>
          <w:p w:rsidR="00BF7B9A" w:rsidRPr="00240FB1" w:rsidRDefault="00BF7B9A" w:rsidP="00975413">
            <w:pPr>
              <w:keepNext/>
              <w:numPr>
                <w:ilvl w:val="12"/>
                <w:numId w:val="0"/>
              </w:numPr>
              <w:spacing w:line="276" w:lineRule="auto"/>
              <w:rPr>
                <w:b/>
              </w:rPr>
            </w:pPr>
            <w:r w:rsidRPr="00240FB1">
              <w:rPr>
                <w:b/>
              </w:rPr>
              <w:t>Total</w:t>
            </w:r>
            <w:r w:rsidR="006213F0">
              <w:rPr>
                <w:b/>
              </w:rPr>
              <w:t xml:space="preserve"> for all Permitting Authorities</w:t>
            </w:r>
            <w:r w:rsidR="00CF344E">
              <w:rPr>
                <w:b/>
              </w:rPr>
              <w:t xml:space="preserve">                                         3-year</w:t>
            </w:r>
          </w:p>
        </w:tc>
        <w:tc>
          <w:tcPr>
            <w:tcW w:w="1620" w:type="dxa"/>
            <w:tcBorders>
              <w:top w:val="single" w:sz="6" w:space="0" w:color="000000"/>
              <w:left w:val="single" w:sz="6" w:space="0" w:color="000000"/>
              <w:right w:val="nil"/>
            </w:tcBorders>
          </w:tcPr>
          <w:p w:rsidR="00BF7B9A" w:rsidRPr="00240FB1" w:rsidRDefault="00BF7B9A" w:rsidP="00975413">
            <w:pPr>
              <w:keepNext/>
              <w:numPr>
                <w:ilvl w:val="12"/>
                <w:numId w:val="0"/>
              </w:numPr>
              <w:spacing w:line="276" w:lineRule="auto"/>
              <w:jc w:val="right"/>
              <w:rPr>
                <w:b/>
              </w:rPr>
            </w:pPr>
            <w:r w:rsidRPr="00240FB1">
              <w:rPr>
                <w:b/>
              </w:rPr>
              <w:t>48,312</w:t>
            </w:r>
          </w:p>
        </w:tc>
        <w:tc>
          <w:tcPr>
            <w:tcW w:w="1440" w:type="dxa"/>
            <w:tcBorders>
              <w:top w:val="single" w:sz="6" w:space="0" w:color="000000"/>
              <w:left w:val="single" w:sz="6" w:space="0" w:color="000000"/>
              <w:right w:val="single" w:sz="6" w:space="0" w:color="000000"/>
            </w:tcBorders>
          </w:tcPr>
          <w:p w:rsidR="00BF7B9A" w:rsidRPr="00240FB1" w:rsidRDefault="00BF7B9A" w:rsidP="00975413">
            <w:pPr>
              <w:keepNext/>
              <w:numPr>
                <w:ilvl w:val="12"/>
                <w:numId w:val="0"/>
              </w:numPr>
              <w:spacing w:line="276" w:lineRule="auto"/>
              <w:jc w:val="right"/>
              <w:rPr>
                <w:b/>
              </w:rPr>
            </w:pPr>
            <w:r w:rsidRPr="00240FB1">
              <w:rPr>
                <w:b/>
              </w:rPr>
              <w:t>$2,</w:t>
            </w:r>
            <w:r>
              <w:rPr>
                <w:b/>
              </w:rPr>
              <w:t>512,224</w:t>
            </w:r>
          </w:p>
        </w:tc>
      </w:tr>
      <w:tr w:rsidR="00BF7B9A" w:rsidRPr="00240FB1" w:rsidTr="006213F0">
        <w:trPr>
          <w:cantSplit/>
          <w:jc w:val="center"/>
        </w:trPr>
        <w:tc>
          <w:tcPr>
            <w:tcW w:w="6930" w:type="dxa"/>
            <w:gridSpan w:val="3"/>
            <w:tcBorders>
              <w:left w:val="single" w:sz="6" w:space="0" w:color="000000"/>
              <w:bottom w:val="single" w:sz="4" w:space="0" w:color="auto"/>
              <w:right w:val="nil"/>
            </w:tcBorders>
          </w:tcPr>
          <w:p w:rsidR="00BF7B9A" w:rsidRPr="00240FB1" w:rsidRDefault="00CF344E" w:rsidP="00975413">
            <w:pPr>
              <w:keepNext/>
              <w:numPr>
                <w:ilvl w:val="12"/>
                <w:numId w:val="0"/>
              </w:numPr>
              <w:spacing w:line="276" w:lineRule="auto"/>
              <w:jc w:val="right"/>
              <w:rPr>
                <w:b/>
              </w:rPr>
            </w:pPr>
            <w:r>
              <w:rPr>
                <w:b/>
              </w:rPr>
              <w:t>Annual</w:t>
            </w:r>
          </w:p>
        </w:tc>
        <w:tc>
          <w:tcPr>
            <w:tcW w:w="1620" w:type="dxa"/>
            <w:tcBorders>
              <w:left w:val="single" w:sz="6" w:space="0" w:color="000000"/>
              <w:bottom w:val="single" w:sz="4" w:space="0" w:color="auto"/>
              <w:right w:val="nil"/>
            </w:tcBorders>
          </w:tcPr>
          <w:p w:rsidR="00BF7B9A" w:rsidRPr="00240FB1" w:rsidRDefault="00CF344E" w:rsidP="00975413">
            <w:pPr>
              <w:keepNext/>
              <w:numPr>
                <w:ilvl w:val="12"/>
                <w:numId w:val="0"/>
              </w:numPr>
              <w:spacing w:line="276" w:lineRule="auto"/>
              <w:jc w:val="right"/>
              <w:rPr>
                <w:b/>
              </w:rPr>
            </w:pPr>
            <w:r>
              <w:rPr>
                <w:b/>
              </w:rPr>
              <w:t>16,104</w:t>
            </w:r>
          </w:p>
        </w:tc>
        <w:tc>
          <w:tcPr>
            <w:tcW w:w="1440" w:type="dxa"/>
            <w:tcBorders>
              <w:left w:val="single" w:sz="6" w:space="0" w:color="000000"/>
              <w:bottom w:val="single" w:sz="4" w:space="0" w:color="auto"/>
              <w:right w:val="single" w:sz="6" w:space="0" w:color="000000"/>
            </w:tcBorders>
          </w:tcPr>
          <w:p w:rsidR="00BF7B9A" w:rsidRPr="00240FB1" w:rsidRDefault="00CF344E" w:rsidP="00975413">
            <w:pPr>
              <w:keepNext/>
              <w:numPr>
                <w:ilvl w:val="12"/>
                <w:numId w:val="0"/>
              </w:numPr>
              <w:spacing w:line="276" w:lineRule="auto"/>
              <w:jc w:val="right"/>
              <w:rPr>
                <w:b/>
              </w:rPr>
            </w:pPr>
            <w:r>
              <w:rPr>
                <w:b/>
              </w:rPr>
              <w:t>$837,408</w:t>
            </w:r>
          </w:p>
        </w:tc>
      </w:tr>
      <w:tr w:rsidR="006213F0" w:rsidRPr="00240FB1" w:rsidTr="006213F0">
        <w:trPr>
          <w:cantSplit/>
          <w:jc w:val="center"/>
        </w:trPr>
        <w:tc>
          <w:tcPr>
            <w:tcW w:w="6930" w:type="dxa"/>
            <w:gridSpan w:val="3"/>
            <w:tcBorders>
              <w:top w:val="single" w:sz="4" w:space="0" w:color="auto"/>
              <w:left w:val="single" w:sz="6" w:space="0" w:color="000000"/>
              <w:right w:val="nil"/>
            </w:tcBorders>
          </w:tcPr>
          <w:p w:rsidR="006213F0" w:rsidRDefault="006213F0" w:rsidP="00975413">
            <w:pPr>
              <w:keepNext/>
              <w:numPr>
                <w:ilvl w:val="12"/>
                <w:numId w:val="0"/>
              </w:numPr>
              <w:spacing w:line="276" w:lineRule="auto"/>
              <w:rPr>
                <w:b/>
              </w:rPr>
            </w:pPr>
            <w:r>
              <w:rPr>
                <w:b/>
              </w:rPr>
              <w:t>Total for the Delegate Permitting Authority                        Annual</w:t>
            </w:r>
          </w:p>
        </w:tc>
        <w:tc>
          <w:tcPr>
            <w:tcW w:w="1620" w:type="dxa"/>
            <w:tcBorders>
              <w:top w:val="single" w:sz="4" w:space="0" w:color="auto"/>
              <w:left w:val="single" w:sz="6" w:space="0" w:color="000000"/>
              <w:right w:val="nil"/>
            </w:tcBorders>
          </w:tcPr>
          <w:p w:rsidR="006213F0" w:rsidRDefault="007221AB" w:rsidP="00975413">
            <w:pPr>
              <w:keepNext/>
              <w:numPr>
                <w:ilvl w:val="12"/>
                <w:numId w:val="0"/>
              </w:numPr>
              <w:spacing w:line="276" w:lineRule="auto"/>
              <w:jc w:val="right"/>
              <w:rPr>
                <w:b/>
              </w:rPr>
            </w:pPr>
            <w:r>
              <w:rPr>
                <w:b/>
              </w:rPr>
              <w:t>1,296</w:t>
            </w:r>
          </w:p>
        </w:tc>
        <w:tc>
          <w:tcPr>
            <w:tcW w:w="1440" w:type="dxa"/>
            <w:tcBorders>
              <w:top w:val="single" w:sz="4" w:space="0" w:color="auto"/>
              <w:left w:val="single" w:sz="6" w:space="0" w:color="000000"/>
              <w:right w:val="single" w:sz="6" w:space="0" w:color="000000"/>
            </w:tcBorders>
          </w:tcPr>
          <w:p w:rsidR="006213F0" w:rsidRDefault="007221AB" w:rsidP="00975413">
            <w:pPr>
              <w:keepNext/>
              <w:numPr>
                <w:ilvl w:val="12"/>
                <w:numId w:val="0"/>
              </w:numPr>
              <w:spacing w:line="276" w:lineRule="auto"/>
              <w:jc w:val="right"/>
              <w:rPr>
                <w:b/>
              </w:rPr>
            </w:pPr>
            <w:r>
              <w:rPr>
                <w:b/>
              </w:rPr>
              <w:t>$67,378</w:t>
            </w:r>
          </w:p>
        </w:tc>
      </w:tr>
      <w:tr w:rsidR="006213F0" w:rsidRPr="00240FB1" w:rsidTr="006213F0">
        <w:trPr>
          <w:cantSplit/>
          <w:jc w:val="center"/>
        </w:trPr>
        <w:tc>
          <w:tcPr>
            <w:tcW w:w="6930" w:type="dxa"/>
            <w:gridSpan w:val="3"/>
            <w:tcBorders>
              <w:left w:val="single" w:sz="6" w:space="0" w:color="000000"/>
              <w:bottom w:val="single" w:sz="6" w:space="0" w:color="000000"/>
              <w:right w:val="nil"/>
            </w:tcBorders>
          </w:tcPr>
          <w:p w:rsidR="006213F0" w:rsidRDefault="006213F0" w:rsidP="00975413">
            <w:pPr>
              <w:keepNext/>
              <w:numPr>
                <w:ilvl w:val="12"/>
                <w:numId w:val="0"/>
              </w:numPr>
              <w:spacing w:line="276" w:lineRule="auto"/>
              <w:rPr>
                <w:b/>
              </w:rPr>
            </w:pPr>
            <w:r>
              <w:rPr>
                <w:b/>
              </w:rPr>
              <w:t>Total for the EPA</w:t>
            </w:r>
            <w:r w:rsidR="007221AB">
              <w:rPr>
                <w:b/>
              </w:rPr>
              <w:t xml:space="preserve">                                                                    Annual</w:t>
            </w:r>
          </w:p>
        </w:tc>
        <w:tc>
          <w:tcPr>
            <w:tcW w:w="1620" w:type="dxa"/>
            <w:tcBorders>
              <w:left w:val="single" w:sz="6" w:space="0" w:color="000000"/>
              <w:bottom w:val="single" w:sz="6" w:space="0" w:color="000000"/>
              <w:right w:val="nil"/>
            </w:tcBorders>
          </w:tcPr>
          <w:p w:rsidR="006213F0" w:rsidRDefault="007221AB" w:rsidP="00975413">
            <w:pPr>
              <w:keepNext/>
              <w:numPr>
                <w:ilvl w:val="12"/>
                <w:numId w:val="0"/>
              </w:numPr>
              <w:spacing w:line="276" w:lineRule="auto"/>
              <w:jc w:val="right"/>
              <w:rPr>
                <w:b/>
              </w:rPr>
            </w:pPr>
            <w:r>
              <w:rPr>
                <w:b/>
              </w:rPr>
              <w:t>14,808</w:t>
            </w:r>
          </w:p>
        </w:tc>
        <w:tc>
          <w:tcPr>
            <w:tcW w:w="1440" w:type="dxa"/>
            <w:tcBorders>
              <w:left w:val="single" w:sz="6" w:space="0" w:color="000000"/>
              <w:bottom w:val="single" w:sz="6" w:space="0" w:color="000000"/>
              <w:right w:val="single" w:sz="6" w:space="0" w:color="000000"/>
            </w:tcBorders>
          </w:tcPr>
          <w:p w:rsidR="006213F0" w:rsidRDefault="007221AB" w:rsidP="00975413">
            <w:pPr>
              <w:keepNext/>
              <w:numPr>
                <w:ilvl w:val="12"/>
                <w:numId w:val="0"/>
              </w:numPr>
              <w:spacing w:line="276" w:lineRule="auto"/>
              <w:jc w:val="right"/>
              <w:rPr>
                <w:b/>
              </w:rPr>
            </w:pPr>
            <w:r>
              <w:rPr>
                <w:b/>
              </w:rPr>
              <w:t>$770,030</w:t>
            </w:r>
          </w:p>
        </w:tc>
      </w:tr>
    </w:tbl>
    <w:p w:rsidR="00C96DBB" w:rsidRPr="00240FB1" w:rsidRDefault="00C96DBB" w:rsidP="00975413">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8" w:lineRule="atLeast"/>
        <w:rPr>
          <w:sz w:val="20"/>
          <w:szCs w:val="20"/>
        </w:rPr>
      </w:pPr>
      <w:r w:rsidRPr="00240FB1">
        <w:rPr>
          <w:sz w:val="20"/>
          <w:szCs w:val="20"/>
        </w:rPr>
        <w:t>*   The wage rate applied was $</w:t>
      </w:r>
      <w:r>
        <w:rPr>
          <w:sz w:val="20"/>
          <w:szCs w:val="20"/>
        </w:rPr>
        <w:t>52</w:t>
      </w:r>
      <w:r w:rsidRPr="00240FB1">
        <w:rPr>
          <w:sz w:val="20"/>
          <w:szCs w:val="20"/>
        </w:rPr>
        <w:t xml:space="preserve"> per hour</w:t>
      </w:r>
      <w:r>
        <w:rPr>
          <w:sz w:val="20"/>
          <w:szCs w:val="20"/>
        </w:rPr>
        <w:t>;</w:t>
      </w:r>
      <w:r w:rsidRPr="00240FB1">
        <w:rPr>
          <w:sz w:val="20"/>
          <w:szCs w:val="20"/>
        </w:rPr>
        <w:t xml:space="preserve"> see </w:t>
      </w:r>
      <w:r>
        <w:rPr>
          <w:sz w:val="20"/>
          <w:szCs w:val="20"/>
        </w:rPr>
        <w:t>s</w:t>
      </w:r>
      <w:r w:rsidRPr="00F21BF4">
        <w:rPr>
          <w:sz w:val="20"/>
          <w:szCs w:val="20"/>
        </w:rPr>
        <w:t>ection 6</w:t>
      </w:r>
      <w:r>
        <w:rPr>
          <w:sz w:val="20"/>
          <w:szCs w:val="20"/>
        </w:rPr>
        <w:t>(c)</w:t>
      </w:r>
      <w:r w:rsidRPr="00240FB1">
        <w:rPr>
          <w:sz w:val="20"/>
          <w:szCs w:val="20"/>
        </w:rPr>
        <w:t xml:space="preserve"> for details.</w:t>
      </w:r>
      <w:r w:rsidRPr="00240FB1">
        <w:rPr>
          <w:sz w:val="20"/>
          <w:szCs w:val="20"/>
        </w:rPr>
        <w:tab/>
      </w:r>
    </w:p>
    <w:p w:rsidR="00C96DBB" w:rsidRPr="00240FB1" w:rsidRDefault="00C96DBB" w:rsidP="00975413">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8" w:lineRule="atLeast"/>
        <w:rPr>
          <w:sz w:val="20"/>
          <w:szCs w:val="20"/>
        </w:rPr>
      </w:pPr>
      <w:r w:rsidRPr="00240FB1">
        <w:rPr>
          <w:sz w:val="20"/>
          <w:szCs w:val="20"/>
        </w:rPr>
        <w:t xml:space="preserve">** Units are per permit except program administration (per </w:t>
      </w:r>
      <w:r w:rsidR="007F46CA">
        <w:rPr>
          <w:sz w:val="20"/>
          <w:szCs w:val="20"/>
        </w:rPr>
        <w:t>permitting authority</w:t>
      </w:r>
      <w:r w:rsidRPr="00240FB1">
        <w:rPr>
          <w:sz w:val="20"/>
          <w:szCs w:val="20"/>
        </w:rPr>
        <w:t>) and public hearings (per hearing)</w:t>
      </w:r>
    </w:p>
    <w:p w:rsidR="00ED2F21" w:rsidRDefault="00ED2F21"/>
    <w:p w:rsidR="004B0829" w:rsidRDefault="004B0829"/>
    <w:p w:rsidR="004B0829" w:rsidRPr="004B0829" w:rsidRDefault="004B0829" w:rsidP="004B0829">
      <w:pPr>
        <w:pStyle w:val="Heading2"/>
        <w:rPr>
          <w:i w:val="0"/>
          <w:iCs w:val="0"/>
        </w:rPr>
      </w:pPr>
      <w:bookmarkStart w:id="49" w:name="_Toc319326608"/>
      <w:bookmarkStart w:id="50" w:name="_Toc320021964"/>
      <w:r w:rsidRPr="004B0829">
        <w:rPr>
          <w:i w:val="0"/>
        </w:rPr>
        <w:t xml:space="preserve">6(e) </w:t>
      </w:r>
      <w:r w:rsidRPr="004B0829">
        <w:rPr>
          <w:i w:val="0"/>
        </w:rPr>
        <w:tab/>
        <w:t>Bottom Line Burden Hours and Cost Tables</w:t>
      </w:r>
      <w:bookmarkEnd w:id="49"/>
      <w:bookmarkEnd w:id="50"/>
    </w:p>
    <w:p w:rsidR="004B0829" w:rsidRDefault="004B0829" w:rsidP="004B0829">
      <w:pPr>
        <w:rPr>
          <w:iCs/>
        </w:rPr>
      </w:pPr>
    </w:p>
    <w:p w:rsidR="004B0829" w:rsidRPr="004B0829" w:rsidRDefault="004B0829" w:rsidP="004B0829">
      <w:pPr>
        <w:rPr>
          <w:iCs/>
        </w:rPr>
      </w:pPr>
      <w:r w:rsidRPr="004B0829">
        <w:rPr>
          <w:iCs/>
        </w:rPr>
        <w:t xml:space="preserve">Since the approval of the 2007 ICR renewal, the EPA has promulgated two rules that have affected the burden and cost of the part 70 Operating Permits Program, the Flexible Air Permits (FAP) rule and the GHG Tailoring rule. The Office of Management and Budget (OMB) approved ICR change requests for both of these rules, EPA tracking numbers </w:t>
      </w:r>
      <w:r w:rsidR="00DD2CFF">
        <w:t>1703.09</w:t>
      </w:r>
      <w:r w:rsidRPr="004B0829">
        <w:rPr>
          <w:iCs/>
        </w:rPr>
        <w:t xml:space="preserve"> and 1587.11, respectively; however, this is the first ICR renewal that addresses the two provisions at the same time and updates them to reflect </w:t>
      </w:r>
      <w:r w:rsidR="005F484C">
        <w:rPr>
          <w:iCs/>
        </w:rPr>
        <w:t xml:space="preserve">the </w:t>
      </w:r>
      <w:r w:rsidRPr="004B0829">
        <w:rPr>
          <w:iCs/>
        </w:rPr>
        <w:t xml:space="preserve">current </w:t>
      </w:r>
      <w:r w:rsidR="005F484C">
        <w:t>stage of implementation</w:t>
      </w:r>
      <w:r w:rsidRPr="004B0829">
        <w:rPr>
          <w:iCs/>
        </w:rPr>
        <w:t>.</w:t>
      </w:r>
    </w:p>
    <w:p w:rsidR="004B0829" w:rsidRPr="004B0829" w:rsidRDefault="004B0829" w:rsidP="004B0829">
      <w:pPr>
        <w:rPr>
          <w:iCs/>
        </w:rPr>
      </w:pPr>
    </w:p>
    <w:p w:rsidR="004B0829" w:rsidRPr="004B0829" w:rsidRDefault="004B0829" w:rsidP="004B0829">
      <w:pPr>
        <w:rPr>
          <w:iCs/>
        </w:rPr>
      </w:pPr>
      <w:r w:rsidRPr="004B0829">
        <w:rPr>
          <w:iCs/>
        </w:rPr>
        <w:lastRenderedPageBreak/>
        <w:t>The FAP rule, promulgated during the term of the last ICR renewal, revised part 7</w:t>
      </w:r>
      <w:r w:rsidR="00DD2CFF">
        <w:rPr>
          <w:iCs/>
        </w:rPr>
        <w:t>1</w:t>
      </w:r>
      <w:r w:rsidRPr="004B0829">
        <w:rPr>
          <w:iCs/>
        </w:rPr>
        <w:t xml:space="preserve"> to provide for permits that allow for upfront approval for changes to processes, equipment, raw materials and end products at a facility, in such a way as to avoid formal submittal and processing of significant permit modifications (SPM) and minor permit modifications (MPM) during the term of the permit. The FAP rule did not increase the number of sources subject to title V permitting, and it only applies to a relatively small number of new and existing sources that would need to get a permit anyway. While there is typically an increased burden to put the flexible provisions in the permit, once added, they allow the source to avoid permit modifications on a recurring, open-ended basis, resulting in an overall decrease in burden over the long term.</w:t>
      </w:r>
    </w:p>
    <w:p w:rsidR="004B0829" w:rsidRPr="004B0829" w:rsidRDefault="004B0829" w:rsidP="004B0829">
      <w:pPr>
        <w:rPr>
          <w:iCs/>
        </w:rPr>
      </w:pPr>
      <w:r w:rsidRPr="004B0829">
        <w:rPr>
          <w:iCs/>
        </w:rPr>
        <w:t xml:space="preserve">  </w:t>
      </w:r>
    </w:p>
    <w:p w:rsidR="004B0829" w:rsidRPr="004B0829" w:rsidRDefault="004B0829" w:rsidP="004B0829">
      <w:pPr>
        <w:rPr>
          <w:iCs/>
        </w:rPr>
      </w:pPr>
      <w:r w:rsidRPr="004B0829">
        <w:rPr>
          <w:iCs/>
        </w:rPr>
        <w:t>The EPA estimated in the FAP rule ICR that 5 percent of the total number of existing sources subject to part 70 would obtain a comprehensive flexible permit (a “Tier 1” permit) and that an additional 10 percent of all existing sources and new sources subject to part 70 would seek simpler flexible permits (“Tier 2” permits). The FAP rule ICR assumed all existing part 70 sources would be issued Tier 1 and 2 permits during the period of that ICR, and that there would be no new Tier 1 permits needed after that period ended. Thus, for this ICR period, we assume that only new Tier 2 permits will be issued, and they will comprise 10 percent of new permits issued during the period.</w:t>
      </w:r>
    </w:p>
    <w:p w:rsidR="004B0829" w:rsidRPr="004B0829" w:rsidRDefault="004B0829" w:rsidP="004B0829">
      <w:pPr>
        <w:rPr>
          <w:iCs/>
        </w:rPr>
      </w:pPr>
    </w:p>
    <w:p w:rsidR="007221AB" w:rsidRDefault="004B0829" w:rsidP="004B0829">
      <w:pPr>
        <w:rPr>
          <w:iCs/>
        </w:rPr>
      </w:pPr>
      <w:r w:rsidRPr="004B0829">
        <w:rPr>
          <w:iCs/>
        </w:rPr>
        <w:t>Table 8 lists the burden categories for respondent sources, the number of affected permits for each activity, and the expected incremental burden hours and costs for each, based on the burden estimations made in the previous OMB-approved ICR change worksheet for the FAP rule. The table shows incremental burden increases for issuing new Tier 2 permits and burden decreases for avoided permit modifications for all Tier 1 and 2 permits. Tables 9 and 10 present the same analysis for permitting authorities</w:t>
      </w:r>
      <w:r w:rsidR="00367675">
        <w:rPr>
          <w:iCs/>
        </w:rPr>
        <w:t xml:space="preserve"> (both the EPA and delegate agencies)</w:t>
      </w:r>
      <w:r w:rsidRPr="004B0829">
        <w:rPr>
          <w:iCs/>
        </w:rPr>
        <w:t xml:space="preserve"> and the EPA</w:t>
      </w:r>
      <w:r w:rsidR="00367675">
        <w:rPr>
          <w:iCs/>
        </w:rPr>
        <w:t xml:space="preserve"> (in our oversight role)</w:t>
      </w:r>
      <w:r w:rsidRPr="004B0829">
        <w:rPr>
          <w:iCs/>
        </w:rPr>
        <w:t xml:space="preserve">, respectively. </w:t>
      </w:r>
      <w:r w:rsidR="007221AB">
        <w:rPr>
          <w:iCs/>
        </w:rPr>
        <w:t xml:space="preserve">In Table 9, we first calculate the total impact of the FAP rule across all permits, and then apportion that burden and cost between </w:t>
      </w:r>
      <w:r w:rsidR="00AE4E8B">
        <w:rPr>
          <w:iCs/>
        </w:rPr>
        <w:t xml:space="preserve">the one delegate permitting authority and </w:t>
      </w:r>
      <w:r w:rsidR="007221AB">
        <w:rPr>
          <w:iCs/>
        </w:rPr>
        <w:t xml:space="preserve">the EPA as above. </w:t>
      </w:r>
    </w:p>
    <w:p w:rsidR="007221AB" w:rsidRDefault="007221AB" w:rsidP="004B0829">
      <w:pPr>
        <w:rPr>
          <w:iCs/>
        </w:rPr>
      </w:pPr>
    </w:p>
    <w:p w:rsidR="004B0829" w:rsidRPr="004B0829" w:rsidRDefault="004B0829" w:rsidP="004B0829">
      <w:pPr>
        <w:rPr>
          <w:iCs/>
        </w:rPr>
      </w:pPr>
      <w:r w:rsidRPr="004B0829">
        <w:rPr>
          <w:iCs/>
        </w:rPr>
        <w:t xml:space="preserve">Note that our assumptions for the mix of activities expected to occur under the FAP rule have changed compared to the OMB-approved change worksheet due to the normal evolution of the program (i.e., by May 2012, the beginning of this ICR renewal period, all eligible existing permits have been changed to add Tier 1 and 2 flexibility and only new Tier 2 permits will need to add such flexibility during the term of the ICR renewal). Also, the number of affected permits has changed because our assumptions concerning the number of existing permits over the period (discussed previously) have changed since the FAP rule ICR. </w:t>
      </w:r>
    </w:p>
    <w:p w:rsidR="004B0829" w:rsidRPr="004B0829" w:rsidRDefault="004B0829" w:rsidP="004B0829">
      <w:pPr>
        <w:rPr>
          <w:iCs/>
        </w:rPr>
      </w:pPr>
    </w:p>
    <w:p w:rsidR="004B0829" w:rsidRPr="004B0829" w:rsidRDefault="004B0829" w:rsidP="007221AB">
      <w:pPr>
        <w:keepNext/>
        <w:jc w:val="center"/>
        <w:rPr>
          <w:b/>
          <w:iCs/>
        </w:rPr>
      </w:pPr>
      <w:r w:rsidRPr="004B0829">
        <w:rPr>
          <w:b/>
          <w:iCs/>
        </w:rPr>
        <w:t>Table 8. Three-Year and Annual Incremental Burden of the FAP Rule for Sources</w:t>
      </w:r>
    </w:p>
    <w:p w:rsidR="004B0829" w:rsidRPr="004B0829" w:rsidRDefault="004B0829" w:rsidP="007221AB">
      <w:pPr>
        <w:keepNext/>
        <w:rPr>
          <w:iCs/>
        </w:rPr>
      </w:pPr>
    </w:p>
    <w:tbl>
      <w:tblPr>
        <w:tblW w:w="5000" w:type="pct"/>
        <w:jc w:val="center"/>
        <w:tblLook w:val="04A0"/>
      </w:tblPr>
      <w:tblGrid>
        <w:gridCol w:w="4015"/>
        <w:gridCol w:w="1209"/>
        <w:gridCol w:w="1338"/>
        <w:gridCol w:w="1878"/>
        <w:gridCol w:w="1856"/>
      </w:tblGrid>
      <w:tr w:rsidR="004B0829" w:rsidRPr="004B0829" w:rsidTr="001E2E72">
        <w:trPr>
          <w:trHeight w:val="1275"/>
          <w:jc w:val="center"/>
        </w:trPr>
        <w:tc>
          <w:tcPr>
            <w:tcW w:w="401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B0829" w:rsidRPr="004B0829" w:rsidRDefault="004B0829" w:rsidP="007221AB">
            <w:pPr>
              <w:keepNext/>
              <w:jc w:val="center"/>
              <w:rPr>
                <w:b/>
                <w:bCs/>
                <w:iCs/>
              </w:rPr>
            </w:pPr>
            <w:r w:rsidRPr="004B0829">
              <w:rPr>
                <w:b/>
                <w:bCs/>
                <w:iCs/>
              </w:rPr>
              <w:t>Activity</w:t>
            </w:r>
          </w:p>
        </w:tc>
        <w:tc>
          <w:tcPr>
            <w:tcW w:w="1209"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7221AB">
            <w:pPr>
              <w:keepNext/>
              <w:jc w:val="center"/>
              <w:rPr>
                <w:b/>
                <w:bCs/>
                <w:iCs/>
              </w:rPr>
            </w:pPr>
            <w:r w:rsidRPr="004B0829">
              <w:rPr>
                <w:b/>
                <w:bCs/>
                <w:iCs/>
              </w:rPr>
              <w:t>Burden Hours per Permit</w:t>
            </w:r>
          </w:p>
        </w:tc>
        <w:tc>
          <w:tcPr>
            <w:tcW w:w="1338"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7221AB">
            <w:pPr>
              <w:keepNext/>
              <w:jc w:val="center"/>
              <w:rPr>
                <w:b/>
                <w:bCs/>
                <w:iCs/>
              </w:rPr>
            </w:pPr>
            <w:r w:rsidRPr="004B0829">
              <w:rPr>
                <w:b/>
                <w:bCs/>
                <w:iCs/>
              </w:rPr>
              <w:t>Affected Permits</w:t>
            </w:r>
          </w:p>
        </w:tc>
        <w:tc>
          <w:tcPr>
            <w:tcW w:w="1878"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7221AB">
            <w:pPr>
              <w:keepNext/>
              <w:jc w:val="center"/>
              <w:rPr>
                <w:b/>
                <w:bCs/>
                <w:iCs/>
              </w:rPr>
            </w:pPr>
            <w:r w:rsidRPr="004B0829">
              <w:rPr>
                <w:b/>
                <w:bCs/>
                <w:iCs/>
              </w:rPr>
              <w:t>Total 3-Year Burden</w:t>
            </w:r>
          </w:p>
          <w:p w:rsidR="004B0829" w:rsidRPr="004B0829" w:rsidRDefault="004B0829" w:rsidP="007221AB">
            <w:pPr>
              <w:keepNext/>
              <w:jc w:val="center"/>
              <w:rPr>
                <w:b/>
                <w:bCs/>
                <w:iCs/>
              </w:rPr>
            </w:pPr>
            <w:r w:rsidRPr="004B0829">
              <w:rPr>
                <w:b/>
                <w:bCs/>
                <w:iCs/>
              </w:rPr>
              <w:t>(Hours)</w:t>
            </w:r>
          </w:p>
        </w:tc>
        <w:tc>
          <w:tcPr>
            <w:tcW w:w="1856"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7221AB">
            <w:pPr>
              <w:keepNext/>
              <w:jc w:val="center"/>
              <w:rPr>
                <w:b/>
                <w:bCs/>
                <w:iCs/>
              </w:rPr>
            </w:pPr>
            <w:r w:rsidRPr="004B0829">
              <w:rPr>
                <w:b/>
                <w:bCs/>
                <w:iCs/>
              </w:rPr>
              <w:t>Total 3-Year Cost</w:t>
            </w:r>
          </w:p>
          <w:p w:rsidR="004B0829" w:rsidRPr="004B0829" w:rsidRDefault="004B0829" w:rsidP="007221AB">
            <w:pPr>
              <w:keepNext/>
              <w:jc w:val="center"/>
              <w:rPr>
                <w:b/>
                <w:bCs/>
                <w:iCs/>
              </w:rPr>
            </w:pPr>
            <w:r w:rsidRPr="004B0829">
              <w:rPr>
                <w:b/>
                <w:bCs/>
                <w:iCs/>
              </w:rPr>
              <w:t>(2011$)</w:t>
            </w:r>
          </w:p>
        </w:tc>
      </w:tr>
      <w:tr w:rsidR="004B0829" w:rsidRPr="004B0829" w:rsidTr="001E2E72">
        <w:trPr>
          <w:trHeight w:val="300"/>
          <w:jc w:val="center"/>
        </w:trPr>
        <w:tc>
          <w:tcPr>
            <w:tcW w:w="4015"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7221AB">
            <w:pPr>
              <w:keepNext/>
              <w:rPr>
                <w:iCs/>
              </w:rPr>
            </w:pPr>
            <w:r w:rsidRPr="004B0829">
              <w:rPr>
                <w:iCs/>
              </w:rPr>
              <w:t>Tier 1 – 5 MPM Avoided per year</w:t>
            </w:r>
          </w:p>
        </w:tc>
        <w:tc>
          <w:tcPr>
            <w:tcW w:w="1209" w:type="dxa"/>
            <w:tcBorders>
              <w:top w:val="nil"/>
              <w:left w:val="nil"/>
              <w:bottom w:val="single" w:sz="4" w:space="0" w:color="000000"/>
              <w:right w:val="single" w:sz="4" w:space="0" w:color="000000"/>
            </w:tcBorders>
            <w:shd w:val="clear" w:color="auto" w:fill="auto"/>
            <w:hideMark/>
          </w:tcPr>
          <w:p w:rsidR="004B0829" w:rsidRPr="004B0829" w:rsidRDefault="004B0829" w:rsidP="007221AB">
            <w:pPr>
              <w:keepNext/>
              <w:jc w:val="right"/>
              <w:rPr>
                <w:iCs/>
              </w:rPr>
            </w:pPr>
            <w:r w:rsidRPr="004B0829">
              <w:rPr>
                <w:iCs/>
              </w:rPr>
              <w:t>-40</w:t>
            </w:r>
          </w:p>
        </w:tc>
        <w:tc>
          <w:tcPr>
            <w:tcW w:w="1338" w:type="dxa"/>
            <w:tcBorders>
              <w:top w:val="nil"/>
              <w:left w:val="nil"/>
              <w:bottom w:val="single" w:sz="4" w:space="0" w:color="000000"/>
              <w:right w:val="single" w:sz="4" w:space="0" w:color="000000"/>
            </w:tcBorders>
            <w:shd w:val="clear" w:color="auto" w:fill="auto"/>
            <w:hideMark/>
          </w:tcPr>
          <w:p w:rsidR="004B0829" w:rsidRPr="004B0829" w:rsidRDefault="00DD2CFF" w:rsidP="007221AB">
            <w:pPr>
              <w:keepNext/>
              <w:jc w:val="right"/>
              <w:rPr>
                <w:iCs/>
              </w:rPr>
            </w:pPr>
            <w:r>
              <w:rPr>
                <w:iCs/>
              </w:rPr>
              <w:t>9</w:t>
            </w:r>
          </w:p>
        </w:tc>
        <w:tc>
          <w:tcPr>
            <w:tcW w:w="1878" w:type="dxa"/>
            <w:tcBorders>
              <w:top w:val="nil"/>
              <w:left w:val="nil"/>
              <w:bottom w:val="single" w:sz="4" w:space="0" w:color="000000"/>
              <w:right w:val="single" w:sz="4" w:space="0" w:color="000000"/>
            </w:tcBorders>
            <w:shd w:val="clear" w:color="auto" w:fill="auto"/>
            <w:hideMark/>
          </w:tcPr>
          <w:p w:rsidR="004B0829" w:rsidRPr="004B0829" w:rsidRDefault="004B0829" w:rsidP="007221AB">
            <w:pPr>
              <w:keepNext/>
              <w:jc w:val="right"/>
              <w:rPr>
                <w:iCs/>
              </w:rPr>
            </w:pPr>
            <w:r w:rsidRPr="004B0829">
              <w:rPr>
                <w:iCs/>
              </w:rPr>
              <w:t>-</w:t>
            </w:r>
            <w:r w:rsidR="00DD2CFF">
              <w:rPr>
                <w:iCs/>
              </w:rPr>
              <w:t>5,400</w:t>
            </w:r>
          </w:p>
        </w:tc>
        <w:tc>
          <w:tcPr>
            <w:tcW w:w="1856" w:type="dxa"/>
            <w:tcBorders>
              <w:top w:val="nil"/>
              <w:left w:val="nil"/>
              <w:bottom w:val="single" w:sz="4" w:space="0" w:color="000000"/>
              <w:right w:val="single" w:sz="4" w:space="0" w:color="000000"/>
            </w:tcBorders>
            <w:shd w:val="clear" w:color="auto" w:fill="auto"/>
            <w:hideMark/>
          </w:tcPr>
          <w:p w:rsidR="004B0829" w:rsidRPr="004B0829" w:rsidRDefault="004B0829" w:rsidP="007221AB">
            <w:pPr>
              <w:keepNext/>
              <w:jc w:val="right"/>
              <w:rPr>
                <w:iCs/>
              </w:rPr>
            </w:pPr>
            <w:r w:rsidRPr="004B0829">
              <w:rPr>
                <w:iCs/>
              </w:rPr>
              <w:t>-$</w:t>
            </w:r>
            <w:r w:rsidR="00DD2CFF">
              <w:rPr>
                <w:iCs/>
              </w:rPr>
              <w:t>345,600</w:t>
            </w:r>
          </w:p>
        </w:tc>
      </w:tr>
      <w:tr w:rsidR="004B0829" w:rsidRPr="004B0829" w:rsidTr="001E2E72">
        <w:trPr>
          <w:trHeight w:val="300"/>
          <w:jc w:val="center"/>
        </w:trPr>
        <w:tc>
          <w:tcPr>
            <w:tcW w:w="4015"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7221AB">
            <w:pPr>
              <w:keepNext/>
              <w:rPr>
                <w:iCs/>
              </w:rPr>
            </w:pPr>
            <w:r w:rsidRPr="004B0829">
              <w:rPr>
                <w:iCs/>
              </w:rPr>
              <w:t>Tier 1 – 1 SPM Avoided every 5 years</w:t>
            </w:r>
          </w:p>
        </w:tc>
        <w:tc>
          <w:tcPr>
            <w:tcW w:w="1209" w:type="dxa"/>
            <w:tcBorders>
              <w:top w:val="nil"/>
              <w:left w:val="nil"/>
              <w:bottom w:val="single" w:sz="4" w:space="0" w:color="000000"/>
              <w:right w:val="single" w:sz="4" w:space="0" w:color="000000"/>
            </w:tcBorders>
            <w:shd w:val="clear" w:color="auto" w:fill="auto"/>
            <w:hideMark/>
          </w:tcPr>
          <w:p w:rsidR="004B0829" w:rsidRPr="004B0829" w:rsidRDefault="004B0829" w:rsidP="007221AB">
            <w:pPr>
              <w:keepNext/>
              <w:jc w:val="right"/>
              <w:rPr>
                <w:iCs/>
              </w:rPr>
            </w:pPr>
            <w:r w:rsidRPr="004B0829">
              <w:rPr>
                <w:iCs/>
              </w:rPr>
              <w:t>-80</w:t>
            </w:r>
          </w:p>
        </w:tc>
        <w:tc>
          <w:tcPr>
            <w:tcW w:w="1338" w:type="dxa"/>
            <w:tcBorders>
              <w:top w:val="nil"/>
              <w:left w:val="nil"/>
              <w:bottom w:val="single" w:sz="4" w:space="0" w:color="000000"/>
              <w:right w:val="single" w:sz="4" w:space="0" w:color="000000"/>
            </w:tcBorders>
            <w:shd w:val="clear" w:color="auto" w:fill="auto"/>
            <w:hideMark/>
          </w:tcPr>
          <w:p w:rsidR="004B0829" w:rsidRPr="004B0829" w:rsidRDefault="00DD2CFF" w:rsidP="007221AB">
            <w:pPr>
              <w:keepNext/>
              <w:jc w:val="right"/>
              <w:rPr>
                <w:iCs/>
              </w:rPr>
            </w:pPr>
            <w:r>
              <w:rPr>
                <w:iCs/>
              </w:rPr>
              <w:t>9</w:t>
            </w:r>
          </w:p>
        </w:tc>
        <w:tc>
          <w:tcPr>
            <w:tcW w:w="1878" w:type="dxa"/>
            <w:tcBorders>
              <w:top w:val="nil"/>
              <w:left w:val="nil"/>
              <w:bottom w:val="single" w:sz="4" w:space="0" w:color="000000"/>
              <w:right w:val="single" w:sz="4" w:space="0" w:color="000000"/>
            </w:tcBorders>
            <w:shd w:val="clear" w:color="auto" w:fill="auto"/>
            <w:hideMark/>
          </w:tcPr>
          <w:p w:rsidR="004B0829" w:rsidRPr="004B0829" w:rsidRDefault="004B0829" w:rsidP="007221AB">
            <w:pPr>
              <w:keepNext/>
              <w:jc w:val="right"/>
              <w:rPr>
                <w:iCs/>
              </w:rPr>
            </w:pPr>
            <w:r w:rsidRPr="004B0829">
              <w:rPr>
                <w:iCs/>
              </w:rPr>
              <w:t>-</w:t>
            </w:r>
            <w:r w:rsidR="00DD2CFF">
              <w:rPr>
                <w:iCs/>
              </w:rPr>
              <w:t>400</w:t>
            </w:r>
          </w:p>
        </w:tc>
        <w:tc>
          <w:tcPr>
            <w:tcW w:w="1856" w:type="dxa"/>
            <w:tcBorders>
              <w:top w:val="nil"/>
              <w:left w:val="nil"/>
              <w:bottom w:val="single" w:sz="4" w:space="0" w:color="000000"/>
              <w:right w:val="single" w:sz="4" w:space="0" w:color="000000"/>
            </w:tcBorders>
            <w:shd w:val="clear" w:color="auto" w:fill="auto"/>
            <w:hideMark/>
          </w:tcPr>
          <w:p w:rsidR="004B0829" w:rsidRPr="004B0829" w:rsidRDefault="004B0829" w:rsidP="007221AB">
            <w:pPr>
              <w:keepNext/>
              <w:jc w:val="right"/>
              <w:rPr>
                <w:iCs/>
              </w:rPr>
            </w:pPr>
            <w:r w:rsidRPr="004B0829">
              <w:rPr>
                <w:iCs/>
              </w:rPr>
              <w:t>-$</w:t>
            </w:r>
            <w:r w:rsidR="00DD2CFF">
              <w:rPr>
                <w:iCs/>
              </w:rPr>
              <w:t>25,600</w:t>
            </w:r>
          </w:p>
        </w:tc>
      </w:tr>
      <w:tr w:rsidR="004B0829" w:rsidRPr="004B0829" w:rsidTr="001E2E72">
        <w:trPr>
          <w:trHeight w:val="300"/>
          <w:jc w:val="center"/>
        </w:trPr>
        <w:tc>
          <w:tcPr>
            <w:tcW w:w="4015"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7221AB">
            <w:pPr>
              <w:keepNext/>
              <w:rPr>
                <w:iCs/>
              </w:rPr>
            </w:pPr>
            <w:r w:rsidRPr="004B0829">
              <w:rPr>
                <w:iCs/>
              </w:rPr>
              <w:t>Tier 2 – New Permit</w:t>
            </w:r>
          </w:p>
        </w:tc>
        <w:tc>
          <w:tcPr>
            <w:tcW w:w="1209" w:type="dxa"/>
            <w:tcBorders>
              <w:top w:val="nil"/>
              <w:left w:val="nil"/>
              <w:bottom w:val="single" w:sz="4" w:space="0" w:color="000000"/>
              <w:right w:val="single" w:sz="4" w:space="0" w:color="000000"/>
            </w:tcBorders>
            <w:shd w:val="clear" w:color="auto" w:fill="auto"/>
            <w:hideMark/>
          </w:tcPr>
          <w:p w:rsidR="004B0829" w:rsidRPr="004B0829" w:rsidRDefault="004B0829" w:rsidP="007221AB">
            <w:pPr>
              <w:keepNext/>
              <w:jc w:val="right"/>
              <w:rPr>
                <w:iCs/>
              </w:rPr>
            </w:pPr>
            <w:r w:rsidRPr="004B0829">
              <w:rPr>
                <w:iCs/>
              </w:rPr>
              <w:t>60</w:t>
            </w:r>
          </w:p>
        </w:tc>
        <w:tc>
          <w:tcPr>
            <w:tcW w:w="1338" w:type="dxa"/>
            <w:tcBorders>
              <w:top w:val="nil"/>
              <w:left w:val="nil"/>
              <w:bottom w:val="single" w:sz="4" w:space="0" w:color="000000"/>
              <w:right w:val="single" w:sz="4" w:space="0" w:color="000000"/>
            </w:tcBorders>
            <w:shd w:val="clear" w:color="auto" w:fill="auto"/>
            <w:hideMark/>
          </w:tcPr>
          <w:p w:rsidR="004B0829" w:rsidRPr="004B0829" w:rsidRDefault="00DD2CFF" w:rsidP="007221AB">
            <w:pPr>
              <w:keepNext/>
              <w:jc w:val="right"/>
              <w:rPr>
                <w:iCs/>
              </w:rPr>
            </w:pPr>
            <w:r>
              <w:rPr>
                <w:iCs/>
              </w:rPr>
              <w:t>7</w:t>
            </w:r>
          </w:p>
        </w:tc>
        <w:tc>
          <w:tcPr>
            <w:tcW w:w="1878" w:type="dxa"/>
            <w:tcBorders>
              <w:top w:val="nil"/>
              <w:left w:val="nil"/>
              <w:bottom w:val="single" w:sz="4" w:space="0" w:color="000000"/>
              <w:right w:val="single" w:sz="4" w:space="0" w:color="000000"/>
            </w:tcBorders>
            <w:shd w:val="clear" w:color="auto" w:fill="auto"/>
            <w:hideMark/>
          </w:tcPr>
          <w:p w:rsidR="004B0829" w:rsidRPr="004B0829" w:rsidRDefault="00DD2CFF" w:rsidP="007221AB">
            <w:pPr>
              <w:keepNext/>
              <w:jc w:val="right"/>
              <w:rPr>
                <w:iCs/>
              </w:rPr>
            </w:pPr>
            <w:r>
              <w:rPr>
                <w:iCs/>
              </w:rPr>
              <w:t>420</w:t>
            </w:r>
          </w:p>
        </w:tc>
        <w:tc>
          <w:tcPr>
            <w:tcW w:w="1856" w:type="dxa"/>
            <w:tcBorders>
              <w:top w:val="nil"/>
              <w:left w:val="nil"/>
              <w:bottom w:val="single" w:sz="4" w:space="0" w:color="000000"/>
              <w:right w:val="single" w:sz="4" w:space="0" w:color="000000"/>
            </w:tcBorders>
            <w:shd w:val="clear" w:color="auto" w:fill="auto"/>
            <w:hideMark/>
          </w:tcPr>
          <w:p w:rsidR="004B0829" w:rsidRPr="004B0829" w:rsidRDefault="004B0829" w:rsidP="007221AB">
            <w:pPr>
              <w:keepNext/>
              <w:jc w:val="right"/>
              <w:rPr>
                <w:iCs/>
              </w:rPr>
            </w:pPr>
            <w:r w:rsidRPr="004B0829">
              <w:rPr>
                <w:iCs/>
              </w:rPr>
              <w:t>$</w:t>
            </w:r>
            <w:r w:rsidR="00DD2CFF">
              <w:rPr>
                <w:iCs/>
              </w:rPr>
              <w:t>26,880</w:t>
            </w:r>
          </w:p>
        </w:tc>
      </w:tr>
      <w:tr w:rsidR="004B0829" w:rsidRPr="004B0829" w:rsidTr="001E2E72">
        <w:trPr>
          <w:trHeight w:val="300"/>
          <w:jc w:val="center"/>
        </w:trPr>
        <w:tc>
          <w:tcPr>
            <w:tcW w:w="4015"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7221AB">
            <w:pPr>
              <w:keepNext/>
              <w:rPr>
                <w:iCs/>
              </w:rPr>
            </w:pPr>
            <w:r w:rsidRPr="004B0829">
              <w:rPr>
                <w:iCs/>
              </w:rPr>
              <w:t>Tier 2 – 1 MPM Avoided per year</w:t>
            </w:r>
          </w:p>
        </w:tc>
        <w:tc>
          <w:tcPr>
            <w:tcW w:w="1209" w:type="dxa"/>
            <w:tcBorders>
              <w:top w:val="nil"/>
              <w:left w:val="nil"/>
              <w:bottom w:val="single" w:sz="4" w:space="0" w:color="000000"/>
              <w:right w:val="single" w:sz="4" w:space="0" w:color="000000"/>
            </w:tcBorders>
            <w:shd w:val="clear" w:color="auto" w:fill="auto"/>
            <w:hideMark/>
          </w:tcPr>
          <w:p w:rsidR="004B0829" w:rsidRPr="004B0829" w:rsidRDefault="004B0829" w:rsidP="007221AB">
            <w:pPr>
              <w:keepNext/>
              <w:jc w:val="right"/>
              <w:rPr>
                <w:iCs/>
              </w:rPr>
            </w:pPr>
            <w:r w:rsidRPr="004B0829">
              <w:rPr>
                <w:iCs/>
              </w:rPr>
              <w:t>-40</w:t>
            </w:r>
          </w:p>
        </w:tc>
        <w:tc>
          <w:tcPr>
            <w:tcW w:w="1338" w:type="dxa"/>
            <w:tcBorders>
              <w:top w:val="nil"/>
              <w:left w:val="nil"/>
              <w:bottom w:val="single" w:sz="4" w:space="0" w:color="000000"/>
              <w:right w:val="single" w:sz="4" w:space="0" w:color="000000"/>
            </w:tcBorders>
            <w:shd w:val="clear" w:color="auto" w:fill="auto"/>
            <w:hideMark/>
          </w:tcPr>
          <w:p w:rsidR="004B0829" w:rsidRPr="004B0829" w:rsidRDefault="00DD2CFF" w:rsidP="007221AB">
            <w:pPr>
              <w:keepNext/>
              <w:jc w:val="right"/>
              <w:rPr>
                <w:iCs/>
              </w:rPr>
            </w:pPr>
            <w:r>
              <w:rPr>
                <w:iCs/>
              </w:rPr>
              <w:t>17</w:t>
            </w:r>
          </w:p>
        </w:tc>
        <w:tc>
          <w:tcPr>
            <w:tcW w:w="1878" w:type="dxa"/>
            <w:tcBorders>
              <w:top w:val="nil"/>
              <w:left w:val="nil"/>
              <w:bottom w:val="single" w:sz="4" w:space="0" w:color="000000"/>
              <w:right w:val="single" w:sz="4" w:space="0" w:color="000000"/>
            </w:tcBorders>
            <w:shd w:val="clear" w:color="auto" w:fill="auto"/>
            <w:hideMark/>
          </w:tcPr>
          <w:p w:rsidR="004B0829" w:rsidRPr="004B0829" w:rsidRDefault="004B0829" w:rsidP="007221AB">
            <w:pPr>
              <w:keepNext/>
              <w:jc w:val="right"/>
              <w:rPr>
                <w:iCs/>
              </w:rPr>
            </w:pPr>
            <w:r w:rsidRPr="004B0829">
              <w:rPr>
                <w:iCs/>
              </w:rPr>
              <w:t>-</w:t>
            </w:r>
            <w:r w:rsidR="00DD2CFF">
              <w:rPr>
                <w:iCs/>
              </w:rPr>
              <w:t>2,040</w:t>
            </w:r>
          </w:p>
        </w:tc>
        <w:tc>
          <w:tcPr>
            <w:tcW w:w="1856" w:type="dxa"/>
            <w:tcBorders>
              <w:top w:val="nil"/>
              <w:left w:val="nil"/>
              <w:bottom w:val="single" w:sz="4" w:space="0" w:color="000000"/>
              <w:right w:val="single" w:sz="4" w:space="0" w:color="000000"/>
            </w:tcBorders>
            <w:shd w:val="clear" w:color="auto" w:fill="auto"/>
            <w:hideMark/>
          </w:tcPr>
          <w:p w:rsidR="004B0829" w:rsidRPr="004B0829" w:rsidRDefault="004B0829" w:rsidP="007221AB">
            <w:pPr>
              <w:keepNext/>
              <w:jc w:val="right"/>
              <w:rPr>
                <w:iCs/>
              </w:rPr>
            </w:pPr>
            <w:r w:rsidRPr="004B0829">
              <w:rPr>
                <w:iCs/>
              </w:rPr>
              <w:t>-$</w:t>
            </w:r>
            <w:r w:rsidR="00DD2CFF">
              <w:rPr>
                <w:iCs/>
              </w:rPr>
              <w:t>130,560</w:t>
            </w:r>
          </w:p>
        </w:tc>
      </w:tr>
      <w:tr w:rsidR="001E2E72" w:rsidRPr="004B0829" w:rsidTr="001E2E72">
        <w:trPr>
          <w:trHeight w:val="300"/>
          <w:jc w:val="center"/>
        </w:trPr>
        <w:tc>
          <w:tcPr>
            <w:tcW w:w="6562" w:type="dxa"/>
            <w:gridSpan w:val="3"/>
            <w:tcBorders>
              <w:top w:val="nil"/>
              <w:left w:val="single" w:sz="4" w:space="0" w:color="000000"/>
              <w:bottom w:val="nil"/>
              <w:right w:val="single" w:sz="4" w:space="0" w:color="000000"/>
            </w:tcBorders>
            <w:shd w:val="clear" w:color="auto" w:fill="auto"/>
            <w:hideMark/>
          </w:tcPr>
          <w:p w:rsidR="001E2E72" w:rsidRPr="004B0829" w:rsidRDefault="001E2E72" w:rsidP="001E2E72">
            <w:pPr>
              <w:keepNext/>
              <w:rPr>
                <w:b/>
                <w:bCs/>
                <w:iCs/>
              </w:rPr>
            </w:pPr>
            <w:r w:rsidRPr="004B0829">
              <w:rPr>
                <w:b/>
                <w:bCs/>
                <w:iCs/>
              </w:rPr>
              <w:t xml:space="preserve">Total                                           </w:t>
            </w:r>
            <w:r>
              <w:rPr>
                <w:b/>
                <w:bCs/>
                <w:iCs/>
              </w:rPr>
              <w:t xml:space="preserve">                                         </w:t>
            </w:r>
            <w:r w:rsidRPr="004B0829">
              <w:rPr>
                <w:b/>
                <w:bCs/>
                <w:iCs/>
              </w:rPr>
              <w:t>3-year </w:t>
            </w:r>
          </w:p>
        </w:tc>
        <w:tc>
          <w:tcPr>
            <w:tcW w:w="1878" w:type="dxa"/>
            <w:tcBorders>
              <w:top w:val="nil"/>
              <w:left w:val="nil"/>
              <w:bottom w:val="nil"/>
              <w:right w:val="single" w:sz="4" w:space="0" w:color="000000"/>
            </w:tcBorders>
            <w:shd w:val="clear" w:color="auto" w:fill="auto"/>
            <w:hideMark/>
          </w:tcPr>
          <w:p w:rsidR="001E2E72" w:rsidRPr="004B0829" w:rsidRDefault="001E2E72" w:rsidP="007221AB">
            <w:pPr>
              <w:keepNext/>
              <w:jc w:val="right"/>
              <w:rPr>
                <w:b/>
                <w:bCs/>
                <w:iCs/>
              </w:rPr>
            </w:pPr>
            <w:r w:rsidRPr="004B0829">
              <w:rPr>
                <w:b/>
                <w:bCs/>
                <w:iCs/>
              </w:rPr>
              <w:t>-7</w:t>
            </w:r>
            <w:r>
              <w:rPr>
                <w:b/>
                <w:bCs/>
                <w:iCs/>
              </w:rPr>
              <w:t>,420</w:t>
            </w:r>
          </w:p>
        </w:tc>
        <w:tc>
          <w:tcPr>
            <w:tcW w:w="1856" w:type="dxa"/>
            <w:tcBorders>
              <w:top w:val="nil"/>
              <w:left w:val="nil"/>
              <w:bottom w:val="nil"/>
              <w:right w:val="single" w:sz="4" w:space="0" w:color="000000"/>
            </w:tcBorders>
            <w:shd w:val="clear" w:color="auto" w:fill="auto"/>
            <w:hideMark/>
          </w:tcPr>
          <w:p w:rsidR="001E2E72" w:rsidRPr="004B0829" w:rsidRDefault="001E2E72" w:rsidP="007221AB">
            <w:pPr>
              <w:keepNext/>
              <w:jc w:val="right"/>
              <w:rPr>
                <w:b/>
                <w:bCs/>
                <w:iCs/>
              </w:rPr>
            </w:pPr>
            <w:r w:rsidRPr="004B0829">
              <w:rPr>
                <w:b/>
                <w:bCs/>
                <w:iCs/>
              </w:rPr>
              <w:t>-$4</w:t>
            </w:r>
            <w:r>
              <w:rPr>
                <w:b/>
                <w:bCs/>
                <w:iCs/>
              </w:rPr>
              <w:t>74,880</w:t>
            </w:r>
          </w:p>
        </w:tc>
      </w:tr>
      <w:tr w:rsidR="001E2E72" w:rsidRPr="004B0829" w:rsidTr="00F55CA6">
        <w:trPr>
          <w:trHeight w:val="300"/>
          <w:jc w:val="center"/>
        </w:trPr>
        <w:tc>
          <w:tcPr>
            <w:tcW w:w="6562"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1E2E72" w:rsidRPr="001E2E72" w:rsidRDefault="001E2E72" w:rsidP="007221AB">
            <w:pPr>
              <w:keepNext/>
              <w:jc w:val="right"/>
              <w:rPr>
                <w:b/>
                <w:bCs/>
                <w:iCs/>
              </w:rPr>
            </w:pPr>
            <w:r w:rsidRPr="004B0829">
              <w:rPr>
                <w:b/>
                <w:bCs/>
                <w:iCs/>
              </w:rPr>
              <w:t>Annual</w:t>
            </w:r>
            <w:r>
              <w:rPr>
                <w:b/>
                <w:bCs/>
                <w:iCs/>
              </w:rPr>
              <w:t xml:space="preserve">     </w:t>
            </w:r>
          </w:p>
        </w:tc>
        <w:tc>
          <w:tcPr>
            <w:tcW w:w="1878" w:type="dxa"/>
            <w:tcBorders>
              <w:top w:val="nil"/>
              <w:left w:val="nil"/>
              <w:bottom w:val="single" w:sz="4" w:space="0" w:color="000000"/>
              <w:right w:val="single" w:sz="4" w:space="0" w:color="000000"/>
            </w:tcBorders>
            <w:shd w:val="clear" w:color="auto" w:fill="auto"/>
            <w:hideMark/>
          </w:tcPr>
          <w:p w:rsidR="001E2E72" w:rsidRPr="004B0829" w:rsidRDefault="001E2E72" w:rsidP="007221AB">
            <w:pPr>
              <w:keepNext/>
              <w:jc w:val="right"/>
              <w:rPr>
                <w:b/>
                <w:bCs/>
                <w:iCs/>
              </w:rPr>
            </w:pPr>
            <w:r w:rsidRPr="004B0829">
              <w:rPr>
                <w:b/>
                <w:bCs/>
                <w:iCs/>
              </w:rPr>
              <w:t>-2</w:t>
            </w:r>
            <w:r>
              <w:rPr>
                <w:b/>
                <w:bCs/>
                <w:iCs/>
              </w:rPr>
              <w:t>,473</w:t>
            </w:r>
          </w:p>
        </w:tc>
        <w:tc>
          <w:tcPr>
            <w:tcW w:w="1856" w:type="dxa"/>
            <w:tcBorders>
              <w:top w:val="nil"/>
              <w:left w:val="nil"/>
              <w:bottom w:val="single" w:sz="4" w:space="0" w:color="000000"/>
              <w:right w:val="single" w:sz="4" w:space="0" w:color="000000"/>
            </w:tcBorders>
            <w:shd w:val="clear" w:color="auto" w:fill="auto"/>
            <w:hideMark/>
          </w:tcPr>
          <w:p w:rsidR="001E2E72" w:rsidRPr="004B0829" w:rsidRDefault="001E2E72" w:rsidP="007221AB">
            <w:pPr>
              <w:keepNext/>
              <w:jc w:val="right"/>
              <w:rPr>
                <w:b/>
                <w:bCs/>
                <w:iCs/>
              </w:rPr>
            </w:pPr>
            <w:r w:rsidRPr="004B0829">
              <w:rPr>
                <w:b/>
                <w:bCs/>
                <w:iCs/>
              </w:rPr>
              <w:t>-$1</w:t>
            </w:r>
            <w:r>
              <w:rPr>
                <w:b/>
                <w:bCs/>
                <w:iCs/>
              </w:rPr>
              <w:t>58,293</w:t>
            </w:r>
          </w:p>
        </w:tc>
      </w:tr>
    </w:tbl>
    <w:p w:rsidR="004B0829" w:rsidRPr="004B0829" w:rsidRDefault="004B0829" w:rsidP="004B0829">
      <w:pPr>
        <w:rPr>
          <w:iCs/>
        </w:rPr>
      </w:pPr>
    </w:p>
    <w:p w:rsidR="004B0829" w:rsidRPr="004B0829" w:rsidRDefault="004B0829" w:rsidP="004B0829">
      <w:pPr>
        <w:rPr>
          <w:iCs/>
        </w:rPr>
      </w:pPr>
    </w:p>
    <w:p w:rsidR="004B0829" w:rsidRPr="004B0829" w:rsidRDefault="004B0829" w:rsidP="00DD2CFF">
      <w:pPr>
        <w:keepNext/>
        <w:jc w:val="center"/>
        <w:rPr>
          <w:iCs/>
        </w:rPr>
      </w:pPr>
      <w:r w:rsidRPr="004B0829">
        <w:rPr>
          <w:b/>
          <w:iCs/>
        </w:rPr>
        <w:t>Table 9. Three-Year and Annual Incremental Burden of the FAP Rule for Permitting Authorities</w:t>
      </w:r>
      <w:r w:rsidR="00DD2CFF">
        <w:rPr>
          <w:b/>
          <w:iCs/>
        </w:rPr>
        <w:t xml:space="preserve"> (EPA and Delegate Agencies)</w:t>
      </w:r>
    </w:p>
    <w:p w:rsidR="004B0829" w:rsidRPr="004B0829" w:rsidRDefault="004B0829" w:rsidP="00DD2CFF">
      <w:pPr>
        <w:keepNext/>
        <w:rPr>
          <w:iCs/>
        </w:rPr>
      </w:pPr>
    </w:p>
    <w:tbl>
      <w:tblPr>
        <w:tblW w:w="5000" w:type="pct"/>
        <w:jc w:val="center"/>
        <w:tblLook w:val="04A0"/>
      </w:tblPr>
      <w:tblGrid>
        <w:gridCol w:w="4015"/>
        <w:gridCol w:w="1209"/>
        <w:gridCol w:w="1338"/>
        <w:gridCol w:w="1878"/>
        <w:gridCol w:w="1856"/>
      </w:tblGrid>
      <w:tr w:rsidR="004B0829" w:rsidRPr="004B0829" w:rsidTr="007221AB">
        <w:trPr>
          <w:trHeight w:val="945"/>
          <w:jc w:val="center"/>
        </w:trPr>
        <w:tc>
          <w:tcPr>
            <w:tcW w:w="401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B0829" w:rsidRPr="004B0829" w:rsidRDefault="004B0829" w:rsidP="00DD2CFF">
            <w:pPr>
              <w:keepNext/>
              <w:jc w:val="center"/>
              <w:rPr>
                <w:b/>
                <w:bCs/>
                <w:iCs/>
              </w:rPr>
            </w:pPr>
            <w:r w:rsidRPr="004B0829">
              <w:rPr>
                <w:b/>
                <w:bCs/>
                <w:iCs/>
              </w:rPr>
              <w:t>Activity</w:t>
            </w:r>
          </w:p>
        </w:tc>
        <w:tc>
          <w:tcPr>
            <w:tcW w:w="1209"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DD2CFF">
            <w:pPr>
              <w:keepNext/>
              <w:jc w:val="center"/>
              <w:rPr>
                <w:b/>
                <w:bCs/>
                <w:iCs/>
              </w:rPr>
            </w:pPr>
            <w:r w:rsidRPr="004B0829">
              <w:rPr>
                <w:b/>
                <w:bCs/>
                <w:iCs/>
              </w:rPr>
              <w:t>Burden Hours per Permit</w:t>
            </w:r>
          </w:p>
        </w:tc>
        <w:tc>
          <w:tcPr>
            <w:tcW w:w="1338"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DD2CFF">
            <w:pPr>
              <w:keepNext/>
              <w:jc w:val="center"/>
              <w:rPr>
                <w:b/>
                <w:bCs/>
                <w:iCs/>
              </w:rPr>
            </w:pPr>
            <w:r w:rsidRPr="004B0829">
              <w:rPr>
                <w:b/>
                <w:bCs/>
                <w:iCs/>
              </w:rPr>
              <w:t>Affected Permits</w:t>
            </w:r>
          </w:p>
        </w:tc>
        <w:tc>
          <w:tcPr>
            <w:tcW w:w="1878"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DD2CFF">
            <w:pPr>
              <w:keepNext/>
              <w:jc w:val="center"/>
              <w:rPr>
                <w:b/>
                <w:bCs/>
                <w:iCs/>
              </w:rPr>
            </w:pPr>
            <w:r w:rsidRPr="004B0829">
              <w:rPr>
                <w:b/>
                <w:bCs/>
                <w:iCs/>
              </w:rPr>
              <w:t>Total 3-Year Burden</w:t>
            </w:r>
          </w:p>
          <w:p w:rsidR="004B0829" w:rsidRPr="004B0829" w:rsidRDefault="004B0829" w:rsidP="00DD2CFF">
            <w:pPr>
              <w:keepNext/>
              <w:jc w:val="center"/>
              <w:rPr>
                <w:b/>
                <w:bCs/>
                <w:iCs/>
              </w:rPr>
            </w:pPr>
            <w:r w:rsidRPr="004B0829">
              <w:rPr>
                <w:b/>
                <w:bCs/>
                <w:iCs/>
              </w:rPr>
              <w:t>(Hours)</w:t>
            </w:r>
          </w:p>
        </w:tc>
        <w:tc>
          <w:tcPr>
            <w:tcW w:w="1856"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DD2CFF">
            <w:pPr>
              <w:keepNext/>
              <w:jc w:val="center"/>
              <w:rPr>
                <w:b/>
                <w:bCs/>
                <w:iCs/>
              </w:rPr>
            </w:pPr>
            <w:r w:rsidRPr="004B0829">
              <w:rPr>
                <w:b/>
                <w:bCs/>
                <w:iCs/>
              </w:rPr>
              <w:t>Total 3-Year Cost</w:t>
            </w:r>
          </w:p>
          <w:p w:rsidR="004B0829" w:rsidRPr="004B0829" w:rsidRDefault="004B0829" w:rsidP="00DD2CFF">
            <w:pPr>
              <w:keepNext/>
              <w:jc w:val="center"/>
              <w:rPr>
                <w:b/>
                <w:bCs/>
                <w:iCs/>
              </w:rPr>
            </w:pPr>
            <w:r w:rsidRPr="004B0829">
              <w:rPr>
                <w:b/>
                <w:bCs/>
                <w:iCs/>
              </w:rPr>
              <w:t>(2011$)</w:t>
            </w:r>
          </w:p>
        </w:tc>
      </w:tr>
      <w:tr w:rsidR="004B0829" w:rsidRPr="004B0829" w:rsidTr="007221AB">
        <w:trPr>
          <w:trHeight w:val="300"/>
          <w:jc w:val="center"/>
        </w:trPr>
        <w:tc>
          <w:tcPr>
            <w:tcW w:w="4015"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DD2CFF">
            <w:pPr>
              <w:keepNext/>
              <w:rPr>
                <w:iCs/>
              </w:rPr>
            </w:pPr>
            <w:r w:rsidRPr="004B0829">
              <w:rPr>
                <w:iCs/>
              </w:rPr>
              <w:t>Tier 1 – 5 MPM Avoided per year</w:t>
            </w:r>
          </w:p>
        </w:tc>
        <w:tc>
          <w:tcPr>
            <w:tcW w:w="1209" w:type="dxa"/>
            <w:tcBorders>
              <w:top w:val="nil"/>
              <w:left w:val="nil"/>
              <w:bottom w:val="single" w:sz="4" w:space="0" w:color="000000"/>
              <w:right w:val="single" w:sz="4" w:space="0" w:color="000000"/>
            </w:tcBorders>
            <w:shd w:val="clear" w:color="auto" w:fill="auto"/>
            <w:hideMark/>
          </w:tcPr>
          <w:p w:rsidR="004B0829" w:rsidRPr="004B0829" w:rsidRDefault="004B0829" w:rsidP="00DD2CFF">
            <w:pPr>
              <w:keepNext/>
              <w:jc w:val="right"/>
              <w:rPr>
                <w:iCs/>
              </w:rPr>
            </w:pPr>
            <w:r w:rsidRPr="004B0829">
              <w:rPr>
                <w:iCs/>
              </w:rPr>
              <w:t>-30</w:t>
            </w:r>
          </w:p>
        </w:tc>
        <w:tc>
          <w:tcPr>
            <w:tcW w:w="1338" w:type="dxa"/>
            <w:tcBorders>
              <w:top w:val="nil"/>
              <w:left w:val="nil"/>
              <w:bottom w:val="single" w:sz="4" w:space="0" w:color="000000"/>
              <w:right w:val="single" w:sz="4" w:space="0" w:color="000000"/>
            </w:tcBorders>
            <w:shd w:val="clear" w:color="auto" w:fill="auto"/>
            <w:hideMark/>
          </w:tcPr>
          <w:p w:rsidR="004B0829" w:rsidRPr="004B0829" w:rsidRDefault="00DD2CFF" w:rsidP="00DD2CFF">
            <w:pPr>
              <w:keepNext/>
              <w:jc w:val="right"/>
              <w:rPr>
                <w:iCs/>
              </w:rPr>
            </w:pPr>
            <w:r>
              <w:rPr>
                <w:iCs/>
              </w:rPr>
              <w:t>9</w:t>
            </w:r>
          </w:p>
        </w:tc>
        <w:tc>
          <w:tcPr>
            <w:tcW w:w="1878" w:type="dxa"/>
            <w:tcBorders>
              <w:top w:val="nil"/>
              <w:left w:val="nil"/>
              <w:bottom w:val="single" w:sz="4" w:space="0" w:color="000000"/>
              <w:right w:val="single" w:sz="4" w:space="0" w:color="000000"/>
            </w:tcBorders>
            <w:shd w:val="clear" w:color="auto" w:fill="auto"/>
            <w:hideMark/>
          </w:tcPr>
          <w:p w:rsidR="004B0829" w:rsidRPr="004B0829" w:rsidRDefault="004B0829" w:rsidP="00DD2CFF">
            <w:pPr>
              <w:keepNext/>
              <w:jc w:val="right"/>
              <w:rPr>
                <w:iCs/>
              </w:rPr>
            </w:pPr>
            <w:r w:rsidRPr="004B0829">
              <w:rPr>
                <w:iCs/>
              </w:rPr>
              <w:t>-</w:t>
            </w:r>
            <w:r w:rsidR="00DD2CFF">
              <w:rPr>
                <w:iCs/>
              </w:rPr>
              <w:t>4,050</w:t>
            </w:r>
          </w:p>
        </w:tc>
        <w:tc>
          <w:tcPr>
            <w:tcW w:w="1856" w:type="dxa"/>
            <w:tcBorders>
              <w:top w:val="nil"/>
              <w:left w:val="nil"/>
              <w:bottom w:val="single" w:sz="4" w:space="0" w:color="000000"/>
              <w:right w:val="single" w:sz="4" w:space="0" w:color="000000"/>
            </w:tcBorders>
            <w:shd w:val="clear" w:color="auto" w:fill="auto"/>
            <w:hideMark/>
          </w:tcPr>
          <w:p w:rsidR="004B0829" w:rsidRPr="004B0829" w:rsidRDefault="004B0829" w:rsidP="00DD2CFF">
            <w:pPr>
              <w:keepNext/>
              <w:jc w:val="right"/>
              <w:rPr>
                <w:iCs/>
              </w:rPr>
            </w:pPr>
            <w:r w:rsidRPr="004B0829">
              <w:rPr>
                <w:iCs/>
              </w:rPr>
              <w:t>-$</w:t>
            </w:r>
            <w:r w:rsidR="00DD2CFF">
              <w:rPr>
                <w:iCs/>
              </w:rPr>
              <w:t>210,600</w:t>
            </w:r>
          </w:p>
        </w:tc>
      </w:tr>
      <w:tr w:rsidR="004B0829" w:rsidRPr="004B0829" w:rsidTr="007221AB">
        <w:trPr>
          <w:trHeight w:val="300"/>
          <w:jc w:val="center"/>
        </w:trPr>
        <w:tc>
          <w:tcPr>
            <w:tcW w:w="4015"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DD2CFF">
            <w:pPr>
              <w:keepNext/>
              <w:rPr>
                <w:iCs/>
              </w:rPr>
            </w:pPr>
            <w:r w:rsidRPr="004B0829">
              <w:rPr>
                <w:iCs/>
              </w:rPr>
              <w:t>Tier 1 – 1 SPM Avoided every 5 years</w:t>
            </w:r>
          </w:p>
        </w:tc>
        <w:tc>
          <w:tcPr>
            <w:tcW w:w="1209" w:type="dxa"/>
            <w:tcBorders>
              <w:top w:val="nil"/>
              <w:left w:val="nil"/>
              <w:bottom w:val="single" w:sz="4" w:space="0" w:color="000000"/>
              <w:right w:val="single" w:sz="4" w:space="0" w:color="000000"/>
            </w:tcBorders>
            <w:shd w:val="clear" w:color="auto" w:fill="auto"/>
            <w:hideMark/>
          </w:tcPr>
          <w:p w:rsidR="004B0829" w:rsidRPr="004B0829" w:rsidRDefault="004B0829" w:rsidP="00DD2CFF">
            <w:pPr>
              <w:keepNext/>
              <w:jc w:val="right"/>
              <w:rPr>
                <w:iCs/>
              </w:rPr>
            </w:pPr>
            <w:r w:rsidRPr="004B0829">
              <w:rPr>
                <w:iCs/>
              </w:rPr>
              <w:t>-90</w:t>
            </w:r>
          </w:p>
        </w:tc>
        <w:tc>
          <w:tcPr>
            <w:tcW w:w="1338" w:type="dxa"/>
            <w:tcBorders>
              <w:top w:val="nil"/>
              <w:left w:val="nil"/>
              <w:bottom w:val="single" w:sz="4" w:space="0" w:color="000000"/>
              <w:right w:val="single" w:sz="4" w:space="0" w:color="000000"/>
            </w:tcBorders>
            <w:shd w:val="clear" w:color="auto" w:fill="auto"/>
            <w:hideMark/>
          </w:tcPr>
          <w:p w:rsidR="004B0829" w:rsidRPr="004B0829" w:rsidRDefault="00DD2CFF" w:rsidP="00DD2CFF">
            <w:pPr>
              <w:keepNext/>
              <w:jc w:val="right"/>
              <w:rPr>
                <w:iCs/>
              </w:rPr>
            </w:pPr>
            <w:r>
              <w:rPr>
                <w:iCs/>
              </w:rPr>
              <w:t>9</w:t>
            </w:r>
          </w:p>
        </w:tc>
        <w:tc>
          <w:tcPr>
            <w:tcW w:w="1878" w:type="dxa"/>
            <w:tcBorders>
              <w:top w:val="nil"/>
              <w:left w:val="nil"/>
              <w:bottom w:val="single" w:sz="4" w:space="0" w:color="000000"/>
              <w:right w:val="single" w:sz="4" w:space="0" w:color="000000"/>
            </w:tcBorders>
            <w:shd w:val="clear" w:color="auto" w:fill="auto"/>
            <w:hideMark/>
          </w:tcPr>
          <w:p w:rsidR="004B0829" w:rsidRPr="004B0829" w:rsidRDefault="004B0829" w:rsidP="0006660C">
            <w:pPr>
              <w:keepNext/>
              <w:jc w:val="right"/>
              <w:rPr>
                <w:iCs/>
              </w:rPr>
            </w:pPr>
            <w:r w:rsidRPr="004B0829">
              <w:rPr>
                <w:iCs/>
              </w:rPr>
              <w:t>-4</w:t>
            </w:r>
            <w:r w:rsidR="0006660C">
              <w:rPr>
                <w:iCs/>
              </w:rPr>
              <w:t>5</w:t>
            </w:r>
            <w:r w:rsidRPr="004B0829">
              <w:rPr>
                <w:iCs/>
              </w:rPr>
              <w:t>0</w:t>
            </w:r>
          </w:p>
        </w:tc>
        <w:tc>
          <w:tcPr>
            <w:tcW w:w="1856" w:type="dxa"/>
            <w:tcBorders>
              <w:top w:val="nil"/>
              <w:left w:val="nil"/>
              <w:bottom w:val="single" w:sz="4" w:space="0" w:color="000000"/>
              <w:right w:val="single" w:sz="4" w:space="0" w:color="000000"/>
            </w:tcBorders>
            <w:shd w:val="clear" w:color="auto" w:fill="auto"/>
            <w:hideMark/>
          </w:tcPr>
          <w:p w:rsidR="004B0829" w:rsidRPr="004B0829" w:rsidRDefault="004B0829" w:rsidP="0006660C">
            <w:pPr>
              <w:keepNext/>
              <w:jc w:val="right"/>
              <w:rPr>
                <w:iCs/>
              </w:rPr>
            </w:pPr>
            <w:r w:rsidRPr="004B0829">
              <w:rPr>
                <w:iCs/>
              </w:rPr>
              <w:t>-$23,</w:t>
            </w:r>
            <w:r w:rsidR="0006660C">
              <w:rPr>
                <w:iCs/>
              </w:rPr>
              <w:t>40</w:t>
            </w:r>
            <w:r w:rsidRPr="004B0829">
              <w:rPr>
                <w:iCs/>
              </w:rPr>
              <w:t>0</w:t>
            </w:r>
          </w:p>
        </w:tc>
      </w:tr>
      <w:tr w:rsidR="004B0829" w:rsidRPr="004B0829" w:rsidTr="007221AB">
        <w:trPr>
          <w:trHeight w:val="300"/>
          <w:jc w:val="center"/>
        </w:trPr>
        <w:tc>
          <w:tcPr>
            <w:tcW w:w="4015"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DD2CFF">
            <w:pPr>
              <w:keepNext/>
              <w:rPr>
                <w:iCs/>
              </w:rPr>
            </w:pPr>
            <w:r w:rsidRPr="004B0829">
              <w:rPr>
                <w:iCs/>
              </w:rPr>
              <w:t>Tier 2 – New Permit</w:t>
            </w:r>
          </w:p>
        </w:tc>
        <w:tc>
          <w:tcPr>
            <w:tcW w:w="1209" w:type="dxa"/>
            <w:tcBorders>
              <w:top w:val="nil"/>
              <w:left w:val="nil"/>
              <w:bottom w:val="single" w:sz="4" w:space="0" w:color="000000"/>
              <w:right w:val="single" w:sz="4" w:space="0" w:color="000000"/>
            </w:tcBorders>
            <w:shd w:val="clear" w:color="auto" w:fill="auto"/>
            <w:hideMark/>
          </w:tcPr>
          <w:p w:rsidR="004B0829" w:rsidRPr="004B0829" w:rsidRDefault="004B0829" w:rsidP="00DD2CFF">
            <w:pPr>
              <w:keepNext/>
              <w:jc w:val="right"/>
              <w:rPr>
                <w:iCs/>
              </w:rPr>
            </w:pPr>
            <w:r w:rsidRPr="004B0829">
              <w:rPr>
                <w:iCs/>
              </w:rPr>
              <w:t>45</w:t>
            </w:r>
          </w:p>
        </w:tc>
        <w:tc>
          <w:tcPr>
            <w:tcW w:w="1338" w:type="dxa"/>
            <w:tcBorders>
              <w:top w:val="nil"/>
              <w:left w:val="nil"/>
              <w:bottom w:val="single" w:sz="4" w:space="0" w:color="000000"/>
              <w:right w:val="single" w:sz="4" w:space="0" w:color="000000"/>
            </w:tcBorders>
            <w:shd w:val="clear" w:color="auto" w:fill="auto"/>
            <w:hideMark/>
          </w:tcPr>
          <w:p w:rsidR="004B0829" w:rsidRPr="004B0829" w:rsidRDefault="00DD2CFF" w:rsidP="00DD2CFF">
            <w:pPr>
              <w:keepNext/>
              <w:jc w:val="right"/>
              <w:rPr>
                <w:iCs/>
              </w:rPr>
            </w:pPr>
            <w:r>
              <w:rPr>
                <w:iCs/>
              </w:rPr>
              <w:t>7</w:t>
            </w:r>
          </w:p>
        </w:tc>
        <w:tc>
          <w:tcPr>
            <w:tcW w:w="1878" w:type="dxa"/>
            <w:tcBorders>
              <w:top w:val="nil"/>
              <w:left w:val="nil"/>
              <w:bottom w:val="single" w:sz="4" w:space="0" w:color="000000"/>
              <w:right w:val="single" w:sz="4" w:space="0" w:color="000000"/>
            </w:tcBorders>
            <w:shd w:val="clear" w:color="auto" w:fill="auto"/>
            <w:hideMark/>
          </w:tcPr>
          <w:p w:rsidR="004B0829" w:rsidRPr="004B0829" w:rsidRDefault="0006660C" w:rsidP="00DD2CFF">
            <w:pPr>
              <w:keepNext/>
              <w:jc w:val="right"/>
              <w:rPr>
                <w:iCs/>
              </w:rPr>
            </w:pPr>
            <w:r>
              <w:rPr>
                <w:iCs/>
              </w:rPr>
              <w:t>315</w:t>
            </w:r>
          </w:p>
        </w:tc>
        <w:tc>
          <w:tcPr>
            <w:tcW w:w="1856" w:type="dxa"/>
            <w:tcBorders>
              <w:top w:val="nil"/>
              <w:left w:val="nil"/>
              <w:bottom w:val="single" w:sz="4" w:space="0" w:color="000000"/>
              <w:right w:val="single" w:sz="4" w:space="0" w:color="000000"/>
            </w:tcBorders>
            <w:shd w:val="clear" w:color="auto" w:fill="auto"/>
            <w:hideMark/>
          </w:tcPr>
          <w:p w:rsidR="004B0829" w:rsidRPr="004B0829" w:rsidRDefault="004B0829" w:rsidP="0006660C">
            <w:pPr>
              <w:keepNext/>
              <w:jc w:val="right"/>
              <w:rPr>
                <w:iCs/>
              </w:rPr>
            </w:pPr>
            <w:r w:rsidRPr="004B0829">
              <w:rPr>
                <w:iCs/>
              </w:rPr>
              <w:t>$</w:t>
            </w:r>
            <w:r w:rsidR="0006660C">
              <w:rPr>
                <w:iCs/>
              </w:rPr>
              <w:t>16,380</w:t>
            </w:r>
          </w:p>
        </w:tc>
      </w:tr>
      <w:tr w:rsidR="004B0829" w:rsidRPr="004B0829" w:rsidTr="007221AB">
        <w:trPr>
          <w:trHeight w:val="300"/>
          <w:jc w:val="center"/>
        </w:trPr>
        <w:tc>
          <w:tcPr>
            <w:tcW w:w="4015"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DD2CFF">
            <w:pPr>
              <w:keepNext/>
              <w:rPr>
                <w:iCs/>
              </w:rPr>
            </w:pPr>
            <w:r w:rsidRPr="004B0829">
              <w:rPr>
                <w:iCs/>
              </w:rPr>
              <w:t>Tier 2 – 1 MPM Avoided per year</w:t>
            </w:r>
          </w:p>
        </w:tc>
        <w:tc>
          <w:tcPr>
            <w:tcW w:w="1209" w:type="dxa"/>
            <w:tcBorders>
              <w:top w:val="nil"/>
              <w:left w:val="nil"/>
              <w:bottom w:val="single" w:sz="4" w:space="0" w:color="000000"/>
              <w:right w:val="single" w:sz="4" w:space="0" w:color="000000"/>
            </w:tcBorders>
            <w:shd w:val="clear" w:color="auto" w:fill="auto"/>
            <w:hideMark/>
          </w:tcPr>
          <w:p w:rsidR="004B0829" w:rsidRPr="004B0829" w:rsidRDefault="004B0829" w:rsidP="00DD2CFF">
            <w:pPr>
              <w:keepNext/>
              <w:jc w:val="right"/>
              <w:rPr>
                <w:iCs/>
              </w:rPr>
            </w:pPr>
            <w:r w:rsidRPr="004B0829">
              <w:rPr>
                <w:iCs/>
              </w:rPr>
              <w:t>-30</w:t>
            </w:r>
          </w:p>
        </w:tc>
        <w:tc>
          <w:tcPr>
            <w:tcW w:w="1338" w:type="dxa"/>
            <w:tcBorders>
              <w:top w:val="nil"/>
              <w:left w:val="nil"/>
              <w:bottom w:val="single" w:sz="4" w:space="0" w:color="000000"/>
              <w:right w:val="single" w:sz="4" w:space="0" w:color="000000"/>
            </w:tcBorders>
            <w:shd w:val="clear" w:color="auto" w:fill="auto"/>
            <w:hideMark/>
          </w:tcPr>
          <w:p w:rsidR="004B0829" w:rsidRPr="004B0829" w:rsidRDefault="004B0829" w:rsidP="00DD2CFF">
            <w:pPr>
              <w:keepNext/>
              <w:jc w:val="right"/>
              <w:rPr>
                <w:iCs/>
              </w:rPr>
            </w:pPr>
            <w:r w:rsidRPr="004B0829">
              <w:rPr>
                <w:iCs/>
              </w:rPr>
              <w:t>1</w:t>
            </w:r>
            <w:r w:rsidR="00DD2CFF">
              <w:rPr>
                <w:iCs/>
              </w:rPr>
              <w:t>7</w:t>
            </w:r>
          </w:p>
        </w:tc>
        <w:tc>
          <w:tcPr>
            <w:tcW w:w="1878" w:type="dxa"/>
            <w:tcBorders>
              <w:top w:val="nil"/>
              <w:left w:val="nil"/>
              <w:bottom w:val="single" w:sz="4" w:space="0" w:color="000000"/>
              <w:right w:val="single" w:sz="4" w:space="0" w:color="000000"/>
            </w:tcBorders>
            <w:shd w:val="clear" w:color="auto" w:fill="auto"/>
            <w:hideMark/>
          </w:tcPr>
          <w:p w:rsidR="004B0829" w:rsidRPr="004B0829" w:rsidRDefault="004B0829" w:rsidP="0006660C">
            <w:pPr>
              <w:keepNext/>
              <w:jc w:val="right"/>
              <w:rPr>
                <w:iCs/>
              </w:rPr>
            </w:pPr>
            <w:r w:rsidRPr="004B0829">
              <w:rPr>
                <w:iCs/>
              </w:rPr>
              <w:t>-1</w:t>
            </w:r>
            <w:r w:rsidR="0006660C">
              <w:rPr>
                <w:iCs/>
              </w:rPr>
              <w:t>,530</w:t>
            </w:r>
          </w:p>
        </w:tc>
        <w:tc>
          <w:tcPr>
            <w:tcW w:w="1856" w:type="dxa"/>
            <w:tcBorders>
              <w:top w:val="nil"/>
              <w:left w:val="nil"/>
              <w:bottom w:val="single" w:sz="4" w:space="0" w:color="000000"/>
              <w:right w:val="single" w:sz="4" w:space="0" w:color="000000"/>
            </w:tcBorders>
            <w:shd w:val="clear" w:color="auto" w:fill="auto"/>
            <w:hideMark/>
          </w:tcPr>
          <w:p w:rsidR="004B0829" w:rsidRPr="004B0829" w:rsidRDefault="004B0829" w:rsidP="0006660C">
            <w:pPr>
              <w:keepNext/>
              <w:jc w:val="right"/>
              <w:rPr>
                <w:iCs/>
              </w:rPr>
            </w:pPr>
            <w:r w:rsidRPr="004B0829">
              <w:rPr>
                <w:iCs/>
              </w:rPr>
              <w:t>-$7</w:t>
            </w:r>
            <w:r w:rsidR="0006660C">
              <w:rPr>
                <w:iCs/>
              </w:rPr>
              <w:t>9,560</w:t>
            </w:r>
          </w:p>
        </w:tc>
      </w:tr>
      <w:tr w:rsidR="001E2E72" w:rsidRPr="004B0829" w:rsidTr="00F55CA6">
        <w:trPr>
          <w:trHeight w:val="300"/>
          <w:jc w:val="center"/>
        </w:trPr>
        <w:tc>
          <w:tcPr>
            <w:tcW w:w="6562" w:type="dxa"/>
            <w:gridSpan w:val="3"/>
            <w:tcBorders>
              <w:top w:val="nil"/>
              <w:left w:val="single" w:sz="4" w:space="0" w:color="000000"/>
              <w:bottom w:val="nil"/>
              <w:right w:val="single" w:sz="4" w:space="0" w:color="000000"/>
            </w:tcBorders>
            <w:shd w:val="clear" w:color="auto" w:fill="auto"/>
            <w:hideMark/>
          </w:tcPr>
          <w:p w:rsidR="001E2E72" w:rsidRPr="004B0829" w:rsidRDefault="001E2E72" w:rsidP="001E2E72">
            <w:pPr>
              <w:keepNext/>
              <w:rPr>
                <w:b/>
                <w:bCs/>
                <w:iCs/>
              </w:rPr>
            </w:pPr>
            <w:r w:rsidRPr="004B0829">
              <w:rPr>
                <w:b/>
                <w:bCs/>
                <w:iCs/>
              </w:rPr>
              <w:t xml:space="preserve">Total  </w:t>
            </w:r>
            <w:r>
              <w:rPr>
                <w:b/>
              </w:rPr>
              <w:t>for all Permitting Authorities</w:t>
            </w:r>
            <w:r>
              <w:rPr>
                <w:b/>
                <w:bCs/>
                <w:iCs/>
              </w:rPr>
              <w:t xml:space="preserve">                       </w:t>
            </w:r>
            <w:r w:rsidRPr="004B0829">
              <w:rPr>
                <w:b/>
                <w:bCs/>
                <w:iCs/>
              </w:rPr>
              <w:t xml:space="preserve">       </w:t>
            </w:r>
            <w:r>
              <w:rPr>
                <w:b/>
                <w:bCs/>
                <w:iCs/>
              </w:rPr>
              <w:t xml:space="preserve">  </w:t>
            </w:r>
            <w:r w:rsidRPr="004B0829">
              <w:rPr>
                <w:b/>
                <w:bCs/>
                <w:iCs/>
              </w:rPr>
              <w:t xml:space="preserve"> 3-year</w:t>
            </w:r>
          </w:p>
        </w:tc>
        <w:tc>
          <w:tcPr>
            <w:tcW w:w="1878" w:type="dxa"/>
            <w:tcBorders>
              <w:top w:val="nil"/>
              <w:left w:val="nil"/>
              <w:bottom w:val="nil"/>
              <w:right w:val="single" w:sz="4" w:space="0" w:color="000000"/>
            </w:tcBorders>
            <w:shd w:val="clear" w:color="auto" w:fill="auto"/>
            <w:hideMark/>
          </w:tcPr>
          <w:p w:rsidR="001E2E72" w:rsidRPr="004B0829" w:rsidRDefault="001E2E72" w:rsidP="0006660C">
            <w:pPr>
              <w:keepNext/>
              <w:jc w:val="right"/>
              <w:rPr>
                <w:b/>
                <w:bCs/>
                <w:iCs/>
              </w:rPr>
            </w:pPr>
            <w:r w:rsidRPr="004B0829">
              <w:rPr>
                <w:b/>
                <w:bCs/>
                <w:iCs/>
              </w:rPr>
              <w:t>-5</w:t>
            </w:r>
            <w:r>
              <w:rPr>
                <w:b/>
                <w:bCs/>
                <w:iCs/>
              </w:rPr>
              <w:t>,715</w:t>
            </w:r>
          </w:p>
        </w:tc>
        <w:tc>
          <w:tcPr>
            <w:tcW w:w="1856" w:type="dxa"/>
            <w:tcBorders>
              <w:top w:val="nil"/>
              <w:left w:val="nil"/>
              <w:bottom w:val="nil"/>
              <w:right w:val="single" w:sz="4" w:space="0" w:color="000000"/>
            </w:tcBorders>
            <w:shd w:val="clear" w:color="auto" w:fill="auto"/>
            <w:hideMark/>
          </w:tcPr>
          <w:p w:rsidR="001E2E72" w:rsidRPr="004B0829" w:rsidRDefault="001E2E72" w:rsidP="0006660C">
            <w:pPr>
              <w:keepNext/>
              <w:jc w:val="right"/>
              <w:rPr>
                <w:b/>
                <w:bCs/>
                <w:iCs/>
              </w:rPr>
            </w:pPr>
            <w:r w:rsidRPr="004B0829">
              <w:rPr>
                <w:b/>
                <w:bCs/>
                <w:iCs/>
              </w:rPr>
              <w:t>-</w:t>
            </w:r>
            <w:r>
              <w:rPr>
                <w:b/>
                <w:bCs/>
                <w:iCs/>
              </w:rPr>
              <w:t>$</w:t>
            </w:r>
            <w:r w:rsidRPr="004B0829">
              <w:rPr>
                <w:b/>
                <w:bCs/>
                <w:iCs/>
              </w:rPr>
              <w:t>2</w:t>
            </w:r>
            <w:r>
              <w:rPr>
                <w:b/>
                <w:bCs/>
                <w:iCs/>
              </w:rPr>
              <w:t>97,180</w:t>
            </w:r>
          </w:p>
        </w:tc>
      </w:tr>
      <w:tr w:rsidR="001E2E72" w:rsidRPr="004B0829" w:rsidTr="00F55CA6">
        <w:trPr>
          <w:trHeight w:val="300"/>
          <w:jc w:val="center"/>
        </w:trPr>
        <w:tc>
          <w:tcPr>
            <w:tcW w:w="6562" w:type="dxa"/>
            <w:gridSpan w:val="3"/>
            <w:tcBorders>
              <w:top w:val="nil"/>
              <w:left w:val="single" w:sz="4" w:space="0" w:color="000000"/>
              <w:bottom w:val="single" w:sz="4" w:space="0" w:color="auto"/>
              <w:right w:val="single" w:sz="4" w:space="0" w:color="000000"/>
            </w:tcBorders>
            <w:shd w:val="clear" w:color="auto" w:fill="auto"/>
            <w:noWrap/>
            <w:vAlign w:val="bottom"/>
            <w:hideMark/>
          </w:tcPr>
          <w:p w:rsidR="001E2E72" w:rsidRPr="001E2E72" w:rsidRDefault="001E2E72" w:rsidP="001E2E72">
            <w:pPr>
              <w:keepNext/>
              <w:jc w:val="right"/>
              <w:rPr>
                <w:b/>
                <w:bCs/>
                <w:iCs/>
              </w:rPr>
            </w:pPr>
            <w:r w:rsidRPr="004B0829">
              <w:rPr>
                <w:b/>
                <w:bCs/>
                <w:iCs/>
              </w:rPr>
              <w:t>Annual</w:t>
            </w:r>
          </w:p>
        </w:tc>
        <w:tc>
          <w:tcPr>
            <w:tcW w:w="1878" w:type="dxa"/>
            <w:tcBorders>
              <w:top w:val="nil"/>
              <w:left w:val="nil"/>
              <w:bottom w:val="single" w:sz="4" w:space="0" w:color="auto"/>
              <w:right w:val="single" w:sz="4" w:space="0" w:color="000000"/>
            </w:tcBorders>
            <w:shd w:val="clear" w:color="auto" w:fill="auto"/>
            <w:hideMark/>
          </w:tcPr>
          <w:p w:rsidR="001E2E72" w:rsidRPr="004B0829" w:rsidRDefault="001E2E72" w:rsidP="0006660C">
            <w:pPr>
              <w:keepNext/>
              <w:jc w:val="right"/>
              <w:rPr>
                <w:b/>
                <w:bCs/>
                <w:iCs/>
              </w:rPr>
            </w:pPr>
            <w:r w:rsidRPr="004B0829">
              <w:rPr>
                <w:b/>
                <w:bCs/>
                <w:iCs/>
              </w:rPr>
              <w:t>-</w:t>
            </w:r>
            <w:r>
              <w:rPr>
                <w:b/>
                <w:bCs/>
                <w:iCs/>
              </w:rPr>
              <w:t>1,905</w:t>
            </w:r>
          </w:p>
        </w:tc>
        <w:tc>
          <w:tcPr>
            <w:tcW w:w="1856" w:type="dxa"/>
            <w:tcBorders>
              <w:top w:val="nil"/>
              <w:left w:val="nil"/>
              <w:bottom w:val="single" w:sz="4" w:space="0" w:color="auto"/>
              <w:right w:val="single" w:sz="4" w:space="0" w:color="000000"/>
            </w:tcBorders>
            <w:shd w:val="clear" w:color="auto" w:fill="auto"/>
            <w:hideMark/>
          </w:tcPr>
          <w:p w:rsidR="001E2E72" w:rsidRPr="004B0829" w:rsidRDefault="001E2E72" w:rsidP="0006660C">
            <w:pPr>
              <w:keepNext/>
              <w:jc w:val="right"/>
              <w:rPr>
                <w:b/>
                <w:bCs/>
                <w:iCs/>
              </w:rPr>
            </w:pPr>
            <w:r w:rsidRPr="004B0829">
              <w:rPr>
                <w:b/>
                <w:bCs/>
                <w:iCs/>
              </w:rPr>
              <w:t>-</w:t>
            </w:r>
            <w:r>
              <w:rPr>
                <w:b/>
                <w:bCs/>
                <w:iCs/>
              </w:rPr>
              <w:t>$</w:t>
            </w:r>
            <w:r w:rsidRPr="004B0829">
              <w:rPr>
                <w:b/>
                <w:bCs/>
                <w:iCs/>
              </w:rPr>
              <w:t>9</w:t>
            </w:r>
            <w:r>
              <w:rPr>
                <w:b/>
                <w:bCs/>
                <w:iCs/>
              </w:rPr>
              <w:t>9,060</w:t>
            </w:r>
          </w:p>
        </w:tc>
      </w:tr>
      <w:tr w:rsidR="001E2E72" w:rsidRPr="004B0829" w:rsidTr="001E2E72">
        <w:trPr>
          <w:trHeight w:val="300"/>
          <w:jc w:val="center"/>
        </w:trPr>
        <w:tc>
          <w:tcPr>
            <w:tcW w:w="6562" w:type="dxa"/>
            <w:gridSpan w:val="3"/>
            <w:tcBorders>
              <w:top w:val="single" w:sz="4" w:space="0" w:color="auto"/>
              <w:left w:val="single" w:sz="4" w:space="0" w:color="000000"/>
              <w:bottom w:val="nil"/>
              <w:right w:val="single" w:sz="4" w:space="0" w:color="000000"/>
            </w:tcBorders>
            <w:shd w:val="clear" w:color="auto" w:fill="auto"/>
            <w:noWrap/>
          </w:tcPr>
          <w:p w:rsidR="001E2E72" w:rsidRDefault="001E2E72" w:rsidP="001E2E72">
            <w:pPr>
              <w:numPr>
                <w:ilvl w:val="12"/>
                <w:numId w:val="0"/>
              </w:numPr>
              <w:spacing w:line="276" w:lineRule="auto"/>
              <w:rPr>
                <w:b/>
              </w:rPr>
            </w:pPr>
            <w:r>
              <w:rPr>
                <w:b/>
              </w:rPr>
              <w:t>Total for the Delegate Permitting Authority                  Annual</w:t>
            </w:r>
          </w:p>
        </w:tc>
        <w:tc>
          <w:tcPr>
            <w:tcW w:w="1878" w:type="dxa"/>
            <w:tcBorders>
              <w:top w:val="single" w:sz="4" w:space="0" w:color="auto"/>
              <w:left w:val="nil"/>
              <w:bottom w:val="nil"/>
              <w:right w:val="single" w:sz="4" w:space="0" w:color="000000"/>
            </w:tcBorders>
            <w:shd w:val="clear" w:color="auto" w:fill="auto"/>
          </w:tcPr>
          <w:p w:rsidR="001E2E72" w:rsidRDefault="00AE4E8B" w:rsidP="00F55CA6">
            <w:pPr>
              <w:numPr>
                <w:ilvl w:val="12"/>
                <w:numId w:val="0"/>
              </w:numPr>
              <w:spacing w:line="276" w:lineRule="auto"/>
              <w:jc w:val="right"/>
              <w:rPr>
                <w:b/>
              </w:rPr>
            </w:pPr>
            <w:r>
              <w:rPr>
                <w:b/>
              </w:rPr>
              <w:t>-153</w:t>
            </w:r>
          </w:p>
        </w:tc>
        <w:tc>
          <w:tcPr>
            <w:tcW w:w="1856" w:type="dxa"/>
            <w:tcBorders>
              <w:top w:val="single" w:sz="4" w:space="0" w:color="auto"/>
              <w:left w:val="nil"/>
              <w:bottom w:val="nil"/>
              <w:right w:val="single" w:sz="4" w:space="0" w:color="000000"/>
            </w:tcBorders>
            <w:shd w:val="clear" w:color="auto" w:fill="auto"/>
          </w:tcPr>
          <w:p w:rsidR="001E2E72" w:rsidRDefault="00AE4E8B" w:rsidP="00AE4E8B">
            <w:pPr>
              <w:numPr>
                <w:ilvl w:val="12"/>
                <w:numId w:val="0"/>
              </w:numPr>
              <w:spacing w:line="276" w:lineRule="auto"/>
              <w:jc w:val="right"/>
              <w:rPr>
                <w:b/>
              </w:rPr>
            </w:pPr>
            <w:r>
              <w:rPr>
                <w:b/>
              </w:rPr>
              <w:t>-</w:t>
            </w:r>
            <w:r w:rsidR="001E2E72">
              <w:rPr>
                <w:b/>
              </w:rPr>
              <w:t>$7,</w:t>
            </w:r>
            <w:r>
              <w:rPr>
                <w:b/>
              </w:rPr>
              <w:t>970</w:t>
            </w:r>
          </w:p>
        </w:tc>
      </w:tr>
      <w:tr w:rsidR="001E2E72" w:rsidRPr="004B0829" w:rsidTr="001E2E72">
        <w:trPr>
          <w:trHeight w:val="300"/>
          <w:jc w:val="center"/>
        </w:trPr>
        <w:tc>
          <w:tcPr>
            <w:tcW w:w="6562" w:type="dxa"/>
            <w:gridSpan w:val="3"/>
            <w:tcBorders>
              <w:top w:val="nil"/>
              <w:left w:val="single" w:sz="4" w:space="0" w:color="000000"/>
              <w:bottom w:val="single" w:sz="4" w:space="0" w:color="000000"/>
              <w:right w:val="single" w:sz="4" w:space="0" w:color="000000"/>
            </w:tcBorders>
            <w:shd w:val="clear" w:color="auto" w:fill="auto"/>
            <w:noWrap/>
          </w:tcPr>
          <w:p w:rsidR="001E2E72" w:rsidRDefault="001E2E72" w:rsidP="001E2E72">
            <w:pPr>
              <w:numPr>
                <w:ilvl w:val="12"/>
                <w:numId w:val="0"/>
              </w:numPr>
              <w:spacing w:line="276" w:lineRule="auto"/>
              <w:rPr>
                <w:b/>
              </w:rPr>
            </w:pPr>
            <w:r>
              <w:rPr>
                <w:b/>
              </w:rPr>
              <w:t>Total for the EPA                                                              Annual</w:t>
            </w:r>
          </w:p>
        </w:tc>
        <w:tc>
          <w:tcPr>
            <w:tcW w:w="1878" w:type="dxa"/>
            <w:tcBorders>
              <w:top w:val="nil"/>
              <w:left w:val="nil"/>
              <w:bottom w:val="single" w:sz="4" w:space="0" w:color="000000"/>
              <w:right w:val="single" w:sz="4" w:space="0" w:color="000000"/>
            </w:tcBorders>
            <w:shd w:val="clear" w:color="auto" w:fill="auto"/>
          </w:tcPr>
          <w:p w:rsidR="001E2E72" w:rsidRDefault="00AE4E8B" w:rsidP="00F55CA6">
            <w:pPr>
              <w:numPr>
                <w:ilvl w:val="12"/>
                <w:numId w:val="0"/>
              </w:numPr>
              <w:spacing w:line="276" w:lineRule="auto"/>
              <w:jc w:val="right"/>
              <w:rPr>
                <w:b/>
              </w:rPr>
            </w:pPr>
            <w:r>
              <w:rPr>
                <w:b/>
              </w:rPr>
              <w:t>-1,752</w:t>
            </w:r>
          </w:p>
        </w:tc>
        <w:tc>
          <w:tcPr>
            <w:tcW w:w="1856" w:type="dxa"/>
            <w:tcBorders>
              <w:top w:val="nil"/>
              <w:left w:val="nil"/>
              <w:bottom w:val="single" w:sz="4" w:space="0" w:color="000000"/>
              <w:right w:val="single" w:sz="4" w:space="0" w:color="000000"/>
            </w:tcBorders>
            <w:shd w:val="clear" w:color="auto" w:fill="auto"/>
          </w:tcPr>
          <w:p w:rsidR="001E2E72" w:rsidRDefault="00AE4E8B" w:rsidP="00AE4E8B">
            <w:pPr>
              <w:numPr>
                <w:ilvl w:val="12"/>
                <w:numId w:val="0"/>
              </w:numPr>
              <w:spacing w:line="276" w:lineRule="auto"/>
              <w:jc w:val="right"/>
              <w:rPr>
                <w:b/>
              </w:rPr>
            </w:pPr>
            <w:r>
              <w:rPr>
                <w:b/>
              </w:rPr>
              <w:t>-</w:t>
            </w:r>
            <w:r w:rsidR="001E2E72">
              <w:rPr>
                <w:b/>
              </w:rPr>
              <w:t>$</w:t>
            </w:r>
            <w:r>
              <w:rPr>
                <w:b/>
              </w:rPr>
              <w:t>91,090</w:t>
            </w:r>
          </w:p>
        </w:tc>
      </w:tr>
    </w:tbl>
    <w:p w:rsidR="004B0829" w:rsidRPr="004B0829" w:rsidRDefault="004B0829" w:rsidP="004B0829">
      <w:pPr>
        <w:rPr>
          <w:iCs/>
        </w:rPr>
      </w:pPr>
    </w:p>
    <w:p w:rsidR="004B0829" w:rsidRPr="004B0829" w:rsidRDefault="004B0829" w:rsidP="004B0829">
      <w:pPr>
        <w:rPr>
          <w:iCs/>
        </w:rPr>
      </w:pPr>
    </w:p>
    <w:p w:rsidR="004B0829" w:rsidRPr="004B0829" w:rsidRDefault="004B0829" w:rsidP="00DD2CFF">
      <w:pPr>
        <w:jc w:val="center"/>
        <w:rPr>
          <w:iCs/>
        </w:rPr>
      </w:pPr>
      <w:r w:rsidRPr="004B0829">
        <w:rPr>
          <w:b/>
          <w:iCs/>
        </w:rPr>
        <w:t>Table 10. Three-Year and Annual Incremental Burden of the FAP Rule for EPA</w:t>
      </w:r>
      <w:r w:rsidR="00DD2CFF">
        <w:rPr>
          <w:b/>
          <w:iCs/>
        </w:rPr>
        <w:t xml:space="preserve"> Oversight of Delegate Agencies</w:t>
      </w:r>
    </w:p>
    <w:p w:rsidR="004B0829" w:rsidRPr="004B0829" w:rsidRDefault="004B0829" w:rsidP="004B0829">
      <w:pPr>
        <w:rPr>
          <w:iCs/>
        </w:rPr>
      </w:pPr>
    </w:p>
    <w:tbl>
      <w:tblPr>
        <w:tblW w:w="5000" w:type="pct"/>
        <w:jc w:val="center"/>
        <w:tblLook w:val="04A0"/>
      </w:tblPr>
      <w:tblGrid>
        <w:gridCol w:w="4015"/>
        <w:gridCol w:w="1209"/>
        <w:gridCol w:w="1338"/>
        <w:gridCol w:w="1878"/>
        <w:gridCol w:w="1856"/>
      </w:tblGrid>
      <w:tr w:rsidR="004B0829" w:rsidRPr="004B0829" w:rsidTr="00491C8F">
        <w:trPr>
          <w:trHeight w:val="945"/>
          <w:jc w:val="center"/>
        </w:trPr>
        <w:tc>
          <w:tcPr>
            <w:tcW w:w="401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B0829" w:rsidRPr="004B0829" w:rsidRDefault="004B0829" w:rsidP="00DD2CFF">
            <w:pPr>
              <w:jc w:val="center"/>
              <w:rPr>
                <w:b/>
                <w:bCs/>
                <w:iCs/>
              </w:rPr>
            </w:pPr>
            <w:r w:rsidRPr="004B0829">
              <w:rPr>
                <w:b/>
                <w:bCs/>
                <w:iCs/>
              </w:rPr>
              <w:t>Activity</w:t>
            </w:r>
          </w:p>
        </w:tc>
        <w:tc>
          <w:tcPr>
            <w:tcW w:w="1209"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DD2CFF">
            <w:pPr>
              <w:jc w:val="center"/>
              <w:rPr>
                <w:b/>
                <w:bCs/>
                <w:iCs/>
              </w:rPr>
            </w:pPr>
            <w:r w:rsidRPr="004B0829">
              <w:rPr>
                <w:b/>
                <w:bCs/>
                <w:iCs/>
              </w:rPr>
              <w:t>Burden Hours per Permit</w:t>
            </w:r>
          </w:p>
        </w:tc>
        <w:tc>
          <w:tcPr>
            <w:tcW w:w="1338"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DD2CFF">
            <w:pPr>
              <w:jc w:val="center"/>
              <w:rPr>
                <w:b/>
                <w:bCs/>
                <w:iCs/>
              </w:rPr>
            </w:pPr>
            <w:r w:rsidRPr="004B0829">
              <w:rPr>
                <w:b/>
                <w:bCs/>
                <w:iCs/>
              </w:rPr>
              <w:t>Affected Permits</w:t>
            </w:r>
          </w:p>
        </w:tc>
        <w:tc>
          <w:tcPr>
            <w:tcW w:w="1878"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DD2CFF">
            <w:pPr>
              <w:jc w:val="center"/>
              <w:rPr>
                <w:b/>
                <w:bCs/>
                <w:iCs/>
              </w:rPr>
            </w:pPr>
            <w:r w:rsidRPr="004B0829">
              <w:rPr>
                <w:b/>
                <w:bCs/>
                <w:iCs/>
              </w:rPr>
              <w:t>Total 3-Year Burden</w:t>
            </w:r>
          </w:p>
          <w:p w:rsidR="004B0829" w:rsidRPr="004B0829" w:rsidRDefault="004B0829" w:rsidP="00DD2CFF">
            <w:pPr>
              <w:jc w:val="center"/>
              <w:rPr>
                <w:b/>
                <w:bCs/>
                <w:iCs/>
              </w:rPr>
            </w:pPr>
            <w:r w:rsidRPr="004B0829">
              <w:rPr>
                <w:b/>
                <w:bCs/>
                <w:iCs/>
              </w:rPr>
              <w:t>(Hours)</w:t>
            </w:r>
          </w:p>
        </w:tc>
        <w:tc>
          <w:tcPr>
            <w:tcW w:w="1856"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DD2CFF">
            <w:pPr>
              <w:jc w:val="center"/>
              <w:rPr>
                <w:b/>
                <w:bCs/>
                <w:iCs/>
              </w:rPr>
            </w:pPr>
            <w:r w:rsidRPr="004B0829">
              <w:rPr>
                <w:b/>
                <w:bCs/>
                <w:iCs/>
              </w:rPr>
              <w:t>Total 3-Year Cost</w:t>
            </w:r>
          </w:p>
          <w:p w:rsidR="004B0829" w:rsidRPr="004B0829" w:rsidRDefault="004B0829" w:rsidP="00DD2CFF">
            <w:pPr>
              <w:jc w:val="center"/>
              <w:rPr>
                <w:b/>
                <w:bCs/>
                <w:iCs/>
              </w:rPr>
            </w:pPr>
            <w:r w:rsidRPr="004B0829">
              <w:rPr>
                <w:b/>
                <w:bCs/>
                <w:iCs/>
              </w:rPr>
              <w:t>(2011$)</w:t>
            </w:r>
          </w:p>
        </w:tc>
      </w:tr>
      <w:tr w:rsidR="004B0829" w:rsidRPr="004B0829" w:rsidTr="00491C8F">
        <w:trPr>
          <w:trHeight w:val="300"/>
          <w:jc w:val="center"/>
        </w:trPr>
        <w:tc>
          <w:tcPr>
            <w:tcW w:w="4015"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4B0829">
            <w:pPr>
              <w:rPr>
                <w:iCs/>
              </w:rPr>
            </w:pPr>
            <w:r w:rsidRPr="004B0829">
              <w:rPr>
                <w:iCs/>
              </w:rPr>
              <w:t>Tier 1 – 5 MPM Avoided per year</w:t>
            </w:r>
          </w:p>
        </w:tc>
        <w:tc>
          <w:tcPr>
            <w:tcW w:w="1209" w:type="dxa"/>
            <w:tcBorders>
              <w:top w:val="nil"/>
              <w:left w:val="nil"/>
              <w:bottom w:val="single" w:sz="4" w:space="0" w:color="000000"/>
              <w:right w:val="single" w:sz="4" w:space="0" w:color="000000"/>
            </w:tcBorders>
            <w:shd w:val="clear" w:color="auto" w:fill="auto"/>
            <w:hideMark/>
          </w:tcPr>
          <w:p w:rsidR="004B0829" w:rsidRPr="004B0829" w:rsidRDefault="004B0829" w:rsidP="00DD2CFF">
            <w:pPr>
              <w:jc w:val="right"/>
              <w:rPr>
                <w:iCs/>
              </w:rPr>
            </w:pPr>
            <w:r w:rsidRPr="004B0829">
              <w:rPr>
                <w:iCs/>
              </w:rPr>
              <w:t>-1</w:t>
            </w:r>
          </w:p>
        </w:tc>
        <w:tc>
          <w:tcPr>
            <w:tcW w:w="1338" w:type="dxa"/>
            <w:tcBorders>
              <w:top w:val="nil"/>
              <w:left w:val="nil"/>
              <w:bottom w:val="single" w:sz="4" w:space="0" w:color="000000"/>
              <w:right w:val="single" w:sz="4" w:space="0" w:color="000000"/>
            </w:tcBorders>
            <w:shd w:val="clear" w:color="auto" w:fill="auto"/>
            <w:hideMark/>
          </w:tcPr>
          <w:p w:rsidR="004B0829" w:rsidRPr="004B0829" w:rsidRDefault="005F484C" w:rsidP="00DD2CFF">
            <w:pPr>
              <w:jc w:val="right"/>
              <w:rPr>
                <w:iCs/>
              </w:rPr>
            </w:pPr>
            <w:r>
              <w:rPr>
                <w:iCs/>
              </w:rPr>
              <w:t>1</w:t>
            </w:r>
          </w:p>
        </w:tc>
        <w:tc>
          <w:tcPr>
            <w:tcW w:w="1878" w:type="dxa"/>
            <w:tcBorders>
              <w:top w:val="nil"/>
              <w:left w:val="nil"/>
              <w:bottom w:val="single" w:sz="4" w:space="0" w:color="000000"/>
              <w:right w:val="single" w:sz="4" w:space="0" w:color="000000"/>
            </w:tcBorders>
            <w:shd w:val="clear" w:color="auto" w:fill="auto"/>
            <w:hideMark/>
          </w:tcPr>
          <w:p w:rsidR="004B0829" w:rsidRPr="004B0829" w:rsidRDefault="004B0829" w:rsidP="005F484C">
            <w:pPr>
              <w:jc w:val="right"/>
              <w:rPr>
                <w:iCs/>
              </w:rPr>
            </w:pPr>
            <w:r w:rsidRPr="004B0829">
              <w:rPr>
                <w:iCs/>
              </w:rPr>
              <w:t>-15</w:t>
            </w:r>
          </w:p>
        </w:tc>
        <w:tc>
          <w:tcPr>
            <w:tcW w:w="1856" w:type="dxa"/>
            <w:tcBorders>
              <w:top w:val="nil"/>
              <w:left w:val="nil"/>
              <w:bottom w:val="single" w:sz="4" w:space="0" w:color="000000"/>
              <w:right w:val="single" w:sz="4" w:space="0" w:color="000000"/>
            </w:tcBorders>
            <w:shd w:val="clear" w:color="auto" w:fill="auto"/>
            <w:hideMark/>
          </w:tcPr>
          <w:p w:rsidR="004B0829" w:rsidRPr="004B0829" w:rsidRDefault="004B0829" w:rsidP="005F484C">
            <w:pPr>
              <w:jc w:val="right"/>
              <w:rPr>
                <w:iCs/>
              </w:rPr>
            </w:pPr>
            <w:r w:rsidRPr="004B0829">
              <w:rPr>
                <w:iCs/>
              </w:rPr>
              <w:t>-$</w:t>
            </w:r>
            <w:r w:rsidR="005F484C">
              <w:rPr>
                <w:iCs/>
              </w:rPr>
              <w:t>78</w:t>
            </w:r>
            <w:r w:rsidRPr="004B0829">
              <w:rPr>
                <w:iCs/>
              </w:rPr>
              <w:t>0</w:t>
            </w:r>
          </w:p>
        </w:tc>
      </w:tr>
      <w:tr w:rsidR="004B0829" w:rsidRPr="004B0829" w:rsidTr="00491C8F">
        <w:trPr>
          <w:trHeight w:val="300"/>
          <w:jc w:val="center"/>
        </w:trPr>
        <w:tc>
          <w:tcPr>
            <w:tcW w:w="4015"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4B0829">
            <w:pPr>
              <w:rPr>
                <w:iCs/>
              </w:rPr>
            </w:pPr>
            <w:r w:rsidRPr="004B0829">
              <w:rPr>
                <w:iCs/>
              </w:rPr>
              <w:t>Tier 1 – 1 SPM Avoided every 5 years</w:t>
            </w:r>
          </w:p>
        </w:tc>
        <w:tc>
          <w:tcPr>
            <w:tcW w:w="1209" w:type="dxa"/>
            <w:tcBorders>
              <w:top w:val="nil"/>
              <w:left w:val="nil"/>
              <w:bottom w:val="single" w:sz="4" w:space="0" w:color="000000"/>
              <w:right w:val="single" w:sz="4" w:space="0" w:color="000000"/>
            </w:tcBorders>
            <w:shd w:val="clear" w:color="auto" w:fill="auto"/>
            <w:hideMark/>
          </w:tcPr>
          <w:p w:rsidR="004B0829" w:rsidRPr="004B0829" w:rsidRDefault="004B0829" w:rsidP="00DD2CFF">
            <w:pPr>
              <w:jc w:val="right"/>
              <w:rPr>
                <w:iCs/>
              </w:rPr>
            </w:pPr>
            <w:r w:rsidRPr="004B0829">
              <w:rPr>
                <w:iCs/>
              </w:rPr>
              <w:t>-8</w:t>
            </w:r>
          </w:p>
        </w:tc>
        <w:tc>
          <w:tcPr>
            <w:tcW w:w="1338" w:type="dxa"/>
            <w:tcBorders>
              <w:top w:val="nil"/>
              <w:left w:val="nil"/>
              <w:bottom w:val="single" w:sz="4" w:space="0" w:color="000000"/>
              <w:right w:val="single" w:sz="4" w:space="0" w:color="000000"/>
            </w:tcBorders>
            <w:shd w:val="clear" w:color="auto" w:fill="auto"/>
            <w:hideMark/>
          </w:tcPr>
          <w:p w:rsidR="004B0829" w:rsidRPr="004B0829" w:rsidRDefault="005F484C" w:rsidP="00DD2CFF">
            <w:pPr>
              <w:jc w:val="right"/>
              <w:rPr>
                <w:iCs/>
              </w:rPr>
            </w:pPr>
            <w:r>
              <w:rPr>
                <w:iCs/>
              </w:rPr>
              <w:t>1</w:t>
            </w:r>
          </w:p>
        </w:tc>
        <w:tc>
          <w:tcPr>
            <w:tcW w:w="1878" w:type="dxa"/>
            <w:tcBorders>
              <w:top w:val="nil"/>
              <w:left w:val="nil"/>
              <w:bottom w:val="single" w:sz="4" w:space="0" w:color="000000"/>
              <w:right w:val="single" w:sz="4" w:space="0" w:color="000000"/>
            </w:tcBorders>
            <w:shd w:val="clear" w:color="auto" w:fill="auto"/>
            <w:hideMark/>
          </w:tcPr>
          <w:p w:rsidR="004B0829" w:rsidRPr="004B0829" w:rsidRDefault="004B0829" w:rsidP="005F484C">
            <w:pPr>
              <w:jc w:val="right"/>
              <w:rPr>
                <w:iCs/>
              </w:rPr>
            </w:pPr>
            <w:r w:rsidRPr="004B0829">
              <w:rPr>
                <w:iCs/>
              </w:rPr>
              <w:t>-</w:t>
            </w:r>
            <w:r w:rsidR="005F484C">
              <w:rPr>
                <w:iCs/>
              </w:rPr>
              <w:t>8</w:t>
            </w:r>
          </w:p>
        </w:tc>
        <w:tc>
          <w:tcPr>
            <w:tcW w:w="1856" w:type="dxa"/>
            <w:tcBorders>
              <w:top w:val="nil"/>
              <w:left w:val="nil"/>
              <w:bottom w:val="single" w:sz="4" w:space="0" w:color="000000"/>
              <w:right w:val="single" w:sz="4" w:space="0" w:color="000000"/>
            </w:tcBorders>
            <w:shd w:val="clear" w:color="auto" w:fill="auto"/>
            <w:hideMark/>
          </w:tcPr>
          <w:p w:rsidR="004B0829" w:rsidRPr="004B0829" w:rsidRDefault="004B0829" w:rsidP="005F484C">
            <w:pPr>
              <w:jc w:val="right"/>
              <w:rPr>
                <w:iCs/>
              </w:rPr>
            </w:pPr>
            <w:r w:rsidRPr="004B0829">
              <w:rPr>
                <w:iCs/>
              </w:rPr>
              <w:t>-$</w:t>
            </w:r>
            <w:r w:rsidR="005F484C">
              <w:rPr>
                <w:iCs/>
              </w:rPr>
              <w:t>416</w:t>
            </w:r>
          </w:p>
        </w:tc>
      </w:tr>
      <w:tr w:rsidR="004B0829" w:rsidRPr="004B0829" w:rsidTr="00491C8F">
        <w:trPr>
          <w:trHeight w:val="300"/>
          <w:jc w:val="center"/>
        </w:trPr>
        <w:tc>
          <w:tcPr>
            <w:tcW w:w="4015"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4B0829">
            <w:pPr>
              <w:rPr>
                <w:iCs/>
              </w:rPr>
            </w:pPr>
            <w:r w:rsidRPr="004B0829">
              <w:rPr>
                <w:iCs/>
              </w:rPr>
              <w:t>Tier 2 – New Permit</w:t>
            </w:r>
          </w:p>
        </w:tc>
        <w:tc>
          <w:tcPr>
            <w:tcW w:w="1209" w:type="dxa"/>
            <w:tcBorders>
              <w:top w:val="nil"/>
              <w:left w:val="nil"/>
              <w:bottom w:val="single" w:sz="4" w:space="0" w:color="000000"/>
              <w:right w:val="single" w:sz="4" w:space="0" w:color="000000"/>
            </w:tcBorders>
            <w:shd w:val="clear" w:color="auto" w:fill="auto"/>
            <w:hideMark/>
          </w:tcPr>
          <w:p w:rsidR="004B0829" w:rsidRPr="004B0829" w:rsidRDefault="004B0829" w:rsidP="00DD2CFF">
            <w:pPr>
              <w:jc w:val="right"/>
              <w:rPr>
                <w:iCs/>
              </w:rPr>
            </w:pPr>
            <w:r w:rsidRPr="004B0829">
              <w:rPr>
                <w:iCs/>
              </w:rPr>
              <w:t>8</w:t>
            </w:r>
          </w:p>
        </w:tc>
        <w:tc>
          <w:tcPr>
            <w:tcW w:w="1338" w:type="dxa"/>
            <w:tcBorders>
              <w:top w:val="nil"/>
              <w:left w:val="nil"/>
              <w:bottom w:val="single" w:sz="4" w:space="0" w:color="000000"/>
              <w:right w:val="single" w:sz="4" w:space="0" w:color="000000"/>
            </w:tcBorders>
            <w:shd w:val="clear" w:color="auto" w:fill="auto"/>
            <w:hideMark/>
          </w:tcPr>
          <w:p w:rsidR="004B0829" w:rsidRPr="004B0829" w:rsidRDefault="005F484C" w:rsidP="00DD2CFF">
            <w:pPr>
              <w:jc w:val="right"/>
              <w:rPr>
                <w:iCs/>
              </w:rPr>
            </w:pPr>
            <w:r>
              <w:rPr>
                <w:iCs/>
              </w:rPr>
              <w:t>0</w:t>
            </w:r>
          </w:p>
        </w:tc>
        <w:tc>
          <w:tcPr>
            <w:tcW w:w="1878" w:type="dxa"/>
            <w:tcBorders>
              <w:top w:val="nil"/>
              <w:left w:val="nil"/>
              <w:bottom w:val="single" w:sz="4" w:space="0" w:color="000000"/>
              <w:right w:val="single" w:sz="4" w:space="0" w:color="000000"/>
            </w:tcBorders>
            <w:shd w:val="clear" w:color="auto" w:fill="auto"/>
            <w:hideMark/>
          </w:tcPr>
          <w:p w:rsidR="004B0829" w:rsidRPr="004B0829" w:rsidRDefault="005F484C" w:rsidP="00DD2CFF">
            <w:pPr>
              <w:jc w:val="right"/>
              <w:rPr>
                <w:iCs/>
              </w:rPr>
            </w:pPr>
            <w:r>
              <w:rPr>
                <w:iCs/>
              </w:rPr>
              <w:t>0</w:t>
            </w:r>
          </w:p>
        </w:tc>
        <w:tc>
          <w:tcPr>
            <w:tcW w:w="1856" w:type="dxa"/>
            <w:tcBorders>
              <w:top w:val="nil"/>
              <w:left w:val="nil"/>
              <w:bottom w:val="single" w:sz="4" w:space="0" w:color="000000"/>
              <w:right w:val="single" w:sz="4" w:space="0" w:color="000000"/>
            </w:tcBorders>
            <w:shd w:val="clear" w:color="auto" w:fill="auto"/>
            <w:hideMark/>
          </w:tcPr>
          <w:p w:rsidR="004B0829" w:rsidRPr="004B0829" w:rsidRDefault="004B0829" w:rsidP="005F484C">
            <w:pPr>
              <w:jc w:val="right"/>
              <w:rPr>
                <w:iCs/>
              </w:rPr>
            </w:pPr>
            <w:r w:rsidRPr="004B0829">
              <w:rPr>
                <w:iCs/>
              </w:rPr>
              <w:t>$</w:t>
            </w:r>
            <w:r w:rsidR="005F484C">
              <w:rPr>
                <w:iCs/>
              </w:rPr>
              <w:t>0</w:t>
            </w:r>
          </w:p>
        </w:tc>
      </w:tr>
      <w:tr w:rsidR="004B0829" w:rsidRPr="004B0829" w:rsidTr="00491C8F">
        <w:trPr>
          <w:trHeight w:val="300"/>
          <w:jc w:val="center"/>
        </w:trPr>
        <w:tc>
          <w:tcPr>
            <w:tcW w:w="4015"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4B0829">
            <w:pPr>
              <w:rPr>
                <w:iCs/>
              </w:rPr>
            </w:pPr>
            <w:r w:rsidRPr="004B0829">
              <w:rPr>
                <w:iCs/>
              </w:rPr>
              <w:t>Tier 2 – 1 MPM Avoided per year</w:t>
            </w:r>
          </w:p>
        </w:tc>
        <w:tc>
          <w:tcPr>
            <w:tcW w:w="1209" w:type="dxa"/>
            <w:tcBorders>
              <w:top w:val="nil"/>
              <w:left w:val="nil"/>
              <w:bottom w:val="single" w:sz="4" w:space="0" w:color="000000"/>
              <w:right w:val="single" w:sz="4" w:space="0" w:color="000000"/>
            </w:tcBorders>
            <w:shd w:val="clear" w:color="auto" w:fill="auto"/>
            <w:hideMark/>
          </w:tcPr>
          <w:p w:rsidR="004B0829" w:rsidRPr="004B0829" w:rsidRDefault="004B0829" w:rsidP="00DD2CFF">
            <w:pPr>
              <w:jc w:val="right"/>
              <w:rPr>
                <w:iCs/>
              </w:rPr>
            </w:pPr>
            <w:r w:rsidRPr="004B0829">
              <w:rPr>
                <w:iCs/>
              </w:rPr>
              <w:t>-1</w:t>
            </w:r>
          </w:p>
        </w:tc>
        <w:tc>
          <w:tcPr>
            <w:tcW w:w="1338" w:type="dxa"/>
            <w:tcBorders>
              <w:top w:val="nil"/>
              <w:left w:val="nil"/>
              <w:bottom w:val="single" w:sz="4" w:space="0" w:color="000000"/>
              <w:right w:val="single" w:sz="4" w:space="0" w:color="000000"/>
            </w:tcBorders>
            <w:shd w:val="clear" w:color="auto" w:fill="auto"/>
            <w:hideMark/>
          </w:tcPr>
          <w:p w:rsidR="004B0829" w:rsidRPr="004B0829" w:rsidRDefault="005F484C" w:rsidP="00DD2CFF">
            <w:pPr>
              <w:jc w:val="right"/>
              <w:rPr>
                <w:iCs/>
              </w:rPr>
            </w:pPr>
            <w:r>
              <w:rPr>
                <w:iCs/>
              </w:rPr>
              <w:t>2</w:t>
            </w:r>
          </w:p>
        </w:tc>
        <w:tc>
          <w:tcPr>
            <w:tcW w:w="1878" w:type="dxa"/>
            <w:tcBorders>
              <w:top w:val="nil"/>
              <w:left w:val="nil"/>
              <w:bottom w:val="single" w:sz="4" w:space="0" w:color="000000"/>
              <w:right w:val="single" w:sz="4" w:space="0" w:color="000000"/>
            </w:tcBorders>
            <w:shd w:val="clear" w:color="auto" w:fill="auto"/>
            <w:hideMark/>
          </w:tcPr>
          <w:p w:rsidR="004B0829" w:rsidRPr="004B0829" w:rsidRDefault="004B0829" w:rsidP="005F484C">
            <w:pPr>
              <w:jc w:val="right"/>
              <w:rPr>
                <w:iCs/>
              </w:rPr>
            </w:pPr>
            <w:r w:rsidRPr="004B0829">
              <w:rPr>
                <w:iCs/>
              </w:rPr>
              <w:t>-</w:t>
            </w:r>
            <w:r w:rsidR="005F484C">
              <w:rPr>
                <w:iCs/>
              </w:rPr>
              <w:t>6</w:t>
            </w:r>
          </w:p>
        </w:tc>
        <w:tc>
          <w:tcPr>
            <w:tcW w:w="1856" w:type="dxa"/>
            <w:tcBorders>
              <w:top w:val="nil"/>
              <w:left w:val="nil"/>
              <w:bottom w:val="single" w:sz="4" w:space="0" w:color="000000"/>
              <w:right w:val="single" w:sz="4" w:space="0" w:color="000000"/>
            </w:tcBorders>
            <w:shd w:val="clear" w:color="auto" w:fill="auto"/>
            <w:hideMark/>
          </w:tcPr>
          <w:p w:rsidR="004B0829" w:rsidRPr="004B0829" w:rsidRDefault="004B0829" w:rsidP="005F484C">
            <w:pPr>
              <w:jc w:val="right"/>
              <w:rPr>
                <w:iCs/>
              </w:rPr>
            </w:pPr>
            <w:r w:rsidRPr="004B0829">
              <w:rPr>
                <w:iCs/>
              </w:rPr>
              <w:t>-$</w:t>
            </w:r>
            <w:r w:rsidR="005F484C">
              <w:rPr>
                <w:iCs/>
              </w:rPr>
              <w:t>312</w:t>
            </w:r>
          </w:p>
        </w:tc>
      </w:tr>
      <w:tr w:rsidR="00491C8F" w:rsidRPr="004B0829" w:rsidTr="00491C8F">
        <w:trPr>
          <w:trHeight w:val="300"/>
          <w:jc w:val="center"/>
        </w:trPr>
        <w:tc>
          <w:tcPr>
            <w:tcW w:w="6562" w:type="dxa"/>
            <w:gridSpan w:val="3"/>
            <w:tcBorders>
              <w:top w:val="nil"/>
              <w:left w:val="single" w:sz="4" w:space="0" w:color="000000"/>
              <w:bottom w:val="nil"/>
              <w:right w:val="single" w:sz="4" w:space="0" w:color="000000"/>
            </w:tcBorders>
            <w:shd w:val="clear" w:color="auto" w:fill="auto"/>
            <w:hideMark/>
          </w:tcPr>
          <w:p w:rsidR="00491C8F" w:rsidRPr="004B0829" w:rsidRDefault="00491C8F" w:rsidP="00491C8F">
            <w:pPr>
              <w:rPr>
                <w:b/>
                <w:bCs/>
                <w:iCs/>
              </w:rPr>
            </w:pPr>
            <w:r w:rsidRPr="004B0829">
              <w:rPr>
                <w:b/>
                <w:bCs/>
                <w:iCs/>
              </w:rPr>
              <w:t xml:space="preserve">Total                                        </w:t>
            </w:r>
            <w:r>
              <w:rPr>
                <w:b/>
                <w:bCs/>
                <w:iCs/>
              </w:rPr>
              <w:t xml:space="preserve">                                         </w:t>
            </w:r>
            <w:r w:rsidRPr="004B0829">
              <w:rPr>
                <w:b/>
                <w:bCs/>
                <w:iCs/>
              </w:rPr>
              <w:t xml:space="preserve">   3-year </w:t>
            </w:r>
          </w:p>
        </w:tc>
        <w:tc>
          <w:tcPr>
            <w:tcW w:w="1878" w:type="dxa"/>
            <w:tcBorders>
              <w:top w:val="nil"/>
              <w:left w:val="nil"/>
              <w:bottom w:val="nil"/>
              <w:right w:val="single" w:sz="4" w:space="0" w:color="000000"/>
            </w:tcBorders>
            <w:shd w:val="clear" w:color="auto" w:fill="auto"/>
            <w:hideMark/>
          </w:tcPr>
          <w:p w:rsidR="00491C8F" w:rsidRPr="004B0829" w:rsidRDefault="00491C8F" w:rsidP="005F484C">
            <w:pPr>
              <w:jc w:val="right"/>
              <w:rPr>
                <w:b/>
                <w:bCs/>
                <w:iCs/>
              </w:rPr>
            </w:pPr>
            <w:r w:rsidRPr="004B0829">
              <w:rPr>
                <w:b/>
                <w:bCs/>
                <w:iCs/>
              </w:rPr>
              <w:t>-</w:t>
            </w:r>
            <w:r>
              <w:rPr>
                <w:b/>
                <w:bCs/>
                <w:iCs/>
              </w:rPr>
              <w:t>29</w:t>
            </w:r>
          </w:p>
        </w:tc>
        <w:tc>
          <w:tcPr>
            <w:tcW w:w="1856" w:type="dxa"/>
            <w:tcBorders>
              <w:top w:val="nil"/>
              <w:left w:val="nil"/>
              <w:bottom w:val="nil"/>
              <w:right w:val="single" w:sz="4" w:space="0" w:color="000000"/>
            </w:tcBorders>
            <w:shd w:val="clear" w:color="auto" w:fill="auto"/>
            <w:hideMark/>
          </w:tcPr>
          <w:p w:rsidR="00491C8F" w:rsidRPr="004B0829" w:rsidRDefault="00491C8F" w:rsidP="005F484C">
            <w:pPr>
              <w:jc w:val="right"/>
              <w:rPr>
                <w:b/>
                <w:bCs/>
                <w:iCs/>
              </w:rPr>
            </w:pPr>
            <w:r w:rsidRPr="004B0829">
              <w:rPr>
                <w:b/>
                <w:bCs/>
                <w:iCs/>
              </w:rPr>
              <w:t>-$1,</w:t>
            </w:r>
            <w:r>
              <w:rPr>
                <w:b/>
                <w:bCs/>
                <w:iCs/>
              </w:rPr>
              <w:t>508</w:t>
            </w:r>
          </w:p>
        </w:tc>
      </w:tr>
      <w:tr w:rsidR="00491C8F" w:rsidRPr="004B0829" w:rsidTr="00F55CA6">
        <w:trPr>
          <w:trHeight w:val="300"/>
          <w:jc w:val="center"/>
        </w:trPr>
        <w:tc>
          <w:tcPr>
            <w:tcW w:w="6562"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491C8F" w:rsidRPr="00491C8F" w:rsidRDefault="00491C8F" w:rsidP="00DD2CFF">
            <w:pPr>
              <w:jc w:val="right"/>
              <w:rPr>
                <w:b/>
                <w:bCs/>
                <w:iCs/>
              </w:rPr>
            </w:pPr>
            <w:r w:rsidRPr="004B0829">
              <w:rPr>
                <w:b/>
                <w:bCs/>
                <w:iCs/>
              </w:rPr>
              <w:t>Annual</w:t>
            </w:r>
          </w:p>
        </w:tc>
        <w:tc>
          <w:tcPr>
            <w:tcW w:w="1878" w:type="dxa"/>
            <w:tcBorders>
              <w:top w:val="nil"/>
              <w:left w:val="nil"/>
              <w:bottom w:val="single" w:sz="4" w:space="0" w:color="000000"/>
              <w:right w:val="single" w:sz="4" w:space="0" w:color="000000"/>
            </w:tcBorders>
            <w:shd w:val="clear" w:color="auto" w:fill="auto"/>
            <w:hideMark/>
          </w:tcPr>
          <w:p w:rsidR="00491C8F" w:rsidRPr="004B0829" w:rsidRDefault="00491C8F" w:rsidP="005F484C">
            <w:pPr>
              <w:jc w:val="right"/>
              <w:rPr>
                <w:b/>
                <w:bCs/>
                <w:iCs/>
              </w:rPr>
            </w:pPr>
            <w:r w:rsidRPr="004B0829">
              <w:rPr>
                <w:b/>
                <w:bCs/>
                <w:iCs/>
              </w:rPr>
              <w:t>-</w:t>
            </w:r>
            <w:r>
              <w:rPr>
                <w:b/>
                <w:bCs/>
                <w:iCs/>
              </w:rPr>
              <w:t>10</w:t>
            </w:r>
          </w:p>
        </w:tc>
        <w:tc>
          <w:tcPr>
            <w:tcW w:w="1856" w:type="dxa"/>
            <w:tcBorders>
              <w:top w:val="nil"/>
              <w:left w:val="nil"/>
              <w:bottom w:val="single" w:sz="4" w:space="0" w:color="000000"/>
              <w:right w:val="single" w:sz="4" w:space="0" w:color="000000"/>
            </w:tcBorders>
            <w:shd w:val="clear" w:color="auto" w:fill="auto"/>
            <w:hideMark/>
          </w:tcPr>
          <w:p w:rsidR="00491C8F" w:rsidRPr="004B0829" w:rsidRDefault="00491C8F" w:rsidP="005F484C">
            <w:pPr>
              <w:jc w:val="right"/>
              <w:rPr>
                <w:b/>
                <w:bCs/>
                <w:iCs/>
              </w:rPr>
            </w:pPr>
            <w:r w:rsidRPr="004B0829">
              <w:rPr>
                <w:b/>
                <w:bCs/>
                <w:iCs/>
              </w:rPr>
              <w:t>-$</w:t>
            </w:r>
            <w:r>
              <w:rPr>
                <w:b/>
                <w:bCs/>
                <w:iCs/>
              </w:rPr>
              <w:t>503</w:t>
            </w:r>
          </w:p>
        </w:tc>
      </w:tr>
    </w:tbl>
    <w:p w:rsidR="004B0829" w:rsidRPr="004B0829" w:rsidRDefault="004B0829" w:rsidP="004B0829">
      <w:pPr>
        <w:rPr>
          <w:iCs/>
        </w:rPr>
      </w:pPr>
    </w:p>
    <w:p w:rsidR="004B0829" w:rsidRPr="004B0829" w:rsidRDefault="004B0829" w:rsidP="004B0829">
      <w:pPr>
        <w:rPr>
          <w:iCs/>
        </w:rPr>
      </w:pPr>
    </w:p>
    <w:p w:rsidR="004B0829" w:rsidRPr="004B0829" w:rsidRDefault="004B0829" w:rsidP="004B0829">
      <w:pPr>
        <w:rPr>
          <w:iCs/>
        </w:rPr>
      </w:pPr>
      <w:r w:rsidRPr="004B0829">
        <w:rPr>
          <w:iCs/>
        </w:rPr>
        <w:t xml:space="preserve">The GHG Tailoring rule, also promulgated during the term of the last ICR renewal, “tailors” the requirements of the Act to limit the number of facilities that would otherwise be required to obtain title V permits solely due to their emissions of Greenhouse Gases (GHGs). As a result of actions to regulate GHGs under other CAA programs, GHGs are now required to be addressed under the title V program. The GHG Tailoring rule is necessary because the statutory definitions that have been used for other air pollutants to determine which sources are “major sources” subject to title V permitting, if implemented immediately for GHGs, would bring so many sources into the programs as to overwhelm the capabilities of permitting authorities to issue permits. Accordingly, the EPA adopted the GHG Tailoring rule to phase in coverage of GHG-emitting sources under the title V program. We are currently in Step 2 of the implementation schedule of the GHG Tailoring rule, and the EPA assumes that there will be about 552 GHG sources subject to part 70 solely due to GHG emissions during the 3-year period of this ICR renewal, and that all of these sources will be issued single-source permits (i.e., not </w:t>
      </w:r>
      <w:r w:rsidRPr="004B0829">
        <w:rPr>
          <w:iCs/>
        </w:rPr>
        <w:lastRenderedPageBreak/>
        <w:t>general permits).</w:t>
      </w:r>
      <w:r w:rsidRPr="004B0829">
        <w:rPr>
          <w:iCs/>
          <w:vertAlign w:val="superscript"/>
        </w:rPr>
        <w:footnoteReference w:id="8"/>
      </w:r>
      <w:r w:rsidRPr="004B0829">
        <w:rPr>
          <w:iCs/>
        </w:rPr>
        <w:t xml:space="preserve"> </w:t>
      </w:r>
      <w:r w:rsidR="009632FC" w:rsidRPr="00D61B0C">
        <w:t xml:space="preserve">For part 71, we estimate there will be up to </w:t>
      </w:r>
      <w:r w:rsidR="009632FC">
        <w:t>six</w:t>
      </w:r>
      <w:r w:rsidR="009632FC" w:rsidRPr="00D61B0C">
        <w:t xml:space="preserve"> new sources subject solely due to GHG emissions.</w:t>
      </w:r>
    </w:p>
    <w:p w:rsidR="004B0829" w:rsidRPr="004B0829" w:rsidRDefault="004B0829" w:rsidP="004B0829">
      <w:pPr>
        <w:rPr>
          <w:iCs/>
        </w:rPr>
      </w:pPr>
    </w:p>
    <w:p w:rsidR="004B0829" w:rsidRPr="004B0829" w:rsidRDefault="004B0829" w:rsidP="004B0829">
      <w:pPr>
        <w:rPr>
          <w:iCs/>
        </w:rPr>
      </w:pPr>
      <w:r w:rsidRPr="004B0829">
        <w:rPr>
          <w:iCs/>
        </w:rPr>
        <w:t>The baseline burden associated with part 7</w:t>
      </w:r>
      <w:r w:rsidR="009632FC">
        <w:rPr>
          <w:iCs/>
        </w:rPr>
        <w:t>1</w:t>
      </w:r>
      <w:r w:rsidRPr="004B0829">
        <w:rPr>
          <w:iCs/>
        </w:rPr>
        <w:t xml:space="preserve"> is shown above in Tables 6 and 7 for sources and permitting authorities</w:t>
      </w:r>
      <w:r w:rsidR="009632FC">
        <w:rPr>
          <w:iCs/>
        </w:rPr>
        <w:t xml:space="preserve"> (both the EPA and delegated agencies)</w:t>
      </w:r>
      <w:r w:rsidRPr="004B0829">
        <w:rPr>
          <w:iCs/>
        </w:rPr>
        <w:t xml:space="preserve">, respectively. </w:t>
      </w:r>
      <w:r w:rsidR="0096404B">
        <w:rPr>
          <w:iCs/>
        </w:rPr>
        <w:t xml:space="preserve">The baseline burden incurred by </w:t>
      </w:r>
      <w:r w:rsidR="0096404B" w:rsidRPr="004B0829">
        <w:rPr>
          <w:iCs/>
        </w:rPr>
        <w:t>the EPA</w:t>
      </w:r>
      <w:r w:rsidR="0096404B">
        <w:rPr>
          <w:iCs/>
        </w:rPr>
        <w:t xml:space="preserve"> in our oversight role is discussed above in section 6(c). </w:t>
      </w:r>
      <w:r w:rsidRPr="004B0829">
        <w:rPr>
          <w:iCs/>
        </w:rPr>
        <w:t xml:space="preserve">The burden for each activity in these </w:t>
      </w:r>
      <w:r w:rsidR="0096404B">
        <w:rPr>
          <w:iCs/>
        </w:rPr>
        <w:t>analyses</w:t>
      </w:r>
      <w:r w:rsidRPr="004B0829">
        <w:rPr>
          <w:iCs/>
        </w:rPr>
        <w:t xml:space="preserve"> is based on the assumptions of the 2007 ICR renewal. The </w:t>
      </w:r>
      <w:r w:rsidR="009632FC">
        <w:rPr>
          <w:iCs/>
        </w:rPr>
        <w:t>six</w:t>
      </w:r>
      <w:r w:rsidRPr="004B0829">
        <w:rPr>
          <w:iCs/>
        </w:rPr>
        <w:t xml:space="preserve"> additional GHG sources are included as well. The baseline burden </w:t>
      </w:r>
      <w:r w:rsidR="0096404B">
        <w:rPr>
          <w:iCs/>
        </w:rPr>
        <w:t>figures</w:t>
      </w:r>
      <w:r w:rsidRPr="004B0829">
        <w:rPr>
          <w:iCs/>
        </w:rPr>
        <w:t>, however, do not include the incremental burden for addressing GHG emissions in permits that appl</w:t>
      </w:r>
      <w:r w:rsidR="009632FC">
        <w:rPr>
          <w:iCs/>
        </w:rPr>
        <w:t>y</w:t>
      </w:r>
      <w:r w:rsidRPr="004B0829">
        <w:rPr>
          <w:iCs/>
        </w:rPr>
        <w:t xml:space="preserve"> to both GHG and non-GHG subject sources. The incremental GHG burden is shown below in Tables 11, 12 and 13 for sources, permitting authorities</w:t>
      </w:r>
      <w:r w:rsidR="009632FC">
        <w:rPr>
          <w:iCs/>
        </w:rPr>
        <w:t xml:space="preserve"> (both the EPA and delegate agencies)</w:t>
      </w:r>
      <w:r w:rsidRPr="004B0829">
        <w:rPr>
          <w:iCs/>
        </w:rPr>
        <w:t xml:space="preserve"> and the EPA</w:t>
      </w:r>
      <w:r w:rsidR="009632FC">
        <w:rPr>
          <w:iCs/>
        </w:rPr>
        <w:t xml:space="preserve"> (in our oversight role)</w:t>
      </w:r>
      <w:r w:rsidRPr="004B0829">
        <w:rPr>
          <w:iCs/>
        </w:rPr>
        <w:t xml:space="preserve">. </w:t>
      </w:r>
      <w:r w:rsidR="00AE4E8B">
        <w:rPr>
          <w:iCs/>
        </w:rPr>
        <w:t xml:space="preserve">As above, Table 12 shows the total permitting authority burden hours and cost for all permits, followed by the burden apportioned between the delegate permitting authority and the EPA. </w:t>
      </w:r>
      <w:r w:rsidRPr="004B0829">
        <w:rPr>
          <w:iCs/>
        </w:rPr>
        <w:t xml:space="preserve">Note that the EPA assumes the burden for issuing new GHG permits is the same as non-GHG permits, so there is no incremental burden for new permit issuance included in the tables below (it is included in Tables 6 and 7 instead). </w:t>
      </w:r>
    </w:p>
    <w:p w:rsidR="004B0829" w:rsidRPr="004B0829" w:rsidRDefault="004B0829" w:rsidP="004B0829">
      <w:pPr>
        <w:rPr>
          <w:iCs/>
        </w:rPr>
      </w:pPr>
    </w:p>
    <w:p w:rsidR="004B0829" w:rsidRPr="004B0829" w:rsidRDefault="004B0829" w:rsidP="004B0829">
      <w:pPr>
        <w:rPr>
          <w:iCs/>
        </w:rPr>
      </w:pPr>
      <w:r w:rsidRPr="004B0829">
        <w:rPr>
          <w:iCs/>
        </w:rPr>
        <w:t>Specifically, included in the tables below is the incremental burden for sources and permitting authorities alike to address GHG in all new non-GHG permits (including backlog sources), the burden of permit modifications solely related to GHG (based on the number of NSR actions involving GHG in the NSR program ICR), the burden of addressing GHG in all existing non-GHG permits when they undergo minor permit or significant modification procedures, and the burden of addressing GHG in 80 percent of all permit renewals. For the EPA</w:t>
      </w:r>
      <w:r w:rsidR="00464F09">
        <w:rPr>
          <w:iCs/>
        </w:rPr>
        <w:t xml:space="preserve"> in our oversight role</w:t>
      </w:r>
      <w:r w:rsidRPr="004B0829">
        <w:rPr>
          <w:iCs/>
        </w:rPr>
        <w:t xml:space="preserve">, the additional incremental burden is for reviewing and consulting with </w:t>
      </w:r>
      <w:r w:rsidR="00464F09">
        <w:rPr>
          <w:iCs/>
        </w:rPr>
        <w:t xml:space="preserve">delegate </w:t>
      </w:r>
      <w:r w:rsidRPr="004B0829">
        <w:rPr>
          <w:iCs/>
        </w:rPr>
        <w:t>permitting authorities on minor and significant modifications that occur solely due to GHG.</w:t>
      </w:r>
      <w:r w:rsidRPr="004B0829">
        <w:rPr>
          <w:iCs/>
          <w:vertAlign w:val="superscript"/>
        </w:rPr>
        <w:footnoteReference w:id="9"/>
      </w:r>
    </w:p>
    <w:p w:rsidR="004B0829" w:rsidRPr="004B0829" w:rsidRDefault="004B0829" w:rsidP="004B0829">
      <w:pPr>
        <w:rPr>
          <w:iCs/>
        </w:rPr>
      </w:pPr>
    </w:p>
    <w:p w:rsidR="004B0829" w:rsidRPr="004B0829" w:rsidRDefault="004B0829" w:rsidP="004B0829">
      <w:pPr>
        <w:rPr>
          <w:iCs/>
        </w:rPr>
      </w:pPr>
      <w:r w:rsidRPr="004B0829">
        <w:rPr>
          <w:iCs/>
        </w:rPr>
        <w:t>Table 11 lists the burden categories for respondent sources, the number of affected permits for each activity, and the expected incremental burden hours and costs for each, based on the burden estimations made in the previous OMB-approved ICR change worksheet for the GHG Tailoring rule. Compared to the change worksheet for this rule, these tables have been updated to reflect the number of affected permits and the mix of activities expected to occur due to the</w:t>
      </w:r>
      <w:r w:rsidR="0096404B" w:rsidRPr="00D61B0C">
        <w:t xml:space="preserve"> expected evolution</w:t>
      </w:r>
      <w:r w:rsidR="0096404B">
        <w:rPr>
          <w:iCs/>
        </w:rPr>
        <w:t xml:space="preserve"> of the program. Tables </w:t>
      </w:r>
      <w:r w:rsidRPr="004B0829">
        <w:rPr>
          <w:iCs/>
        </w:rPr>
        <w:t>12 and 13 present the same analysis for permitting authorities and the EPA, respectively.</w:t>
      </w:r>
    </w:p>
    <w:p w:rsidR="004B0829" w:rsidRPr="004B0829" w:rsidRDefault="004B0829" w:rsidP="004B0829">
      <w:pPr>
        <w:rPr>
          <w:iCs/>
        </w:rPr>
      </w:pPr>
    </w:p>
    <w:p w:rsidR="004B0829" w:rsidRPr="004B0829" w:rsidRDefault="004B0829" w:rsidP="00975413">
      <w:pPr>
        <w:keepNext/>
        <w:jc w:val="center"/>
        <w:rPr>
          <w:iCs/>
        </w:rPr>
      </w:pPr>
      <w:r w:rsidRPr="004B0829">
        <w:rPr>
          <w:b/>
          <w:iCs/>
        </w:rPr>
        <w:lastRenderedPageBreak/>
        <w:t>Table 11. Three-Year and Annual Incremental Burden of the GHG Tailoring Rule for Sources</w:t>
      </w:r>
    </w:p>
    <w:p w:rsidR="004B0829" w:rsidRPr="004B0829" w:rsidRDefault="004B0829" w:rsidP="00975413">
      <w:pPr>
        <w:keepNext/>
        <w:rPr>
          <w:iCs/>
        </w:rPr>
      </w:pPr>
    </w:p>
    <w:tbl>
      <w:tblPr>
        <w:tblW w:w="5000" w:type="pct"/>
        <w:jc w:val="center"/>
        <w:tblLayout w:type="fixed"/>
        <w:tblLook w:val="04A0"/>
      </w:tblPr>
      <w:tblGrid>
        <w:gridCol w:w="5328"/>
        <w:gridCol w:w="1080"/>
        <w:gridCol w:w="1170"/>
        <w:gridCol w:w="1170"/>
        <w:gridCol w:w="1548"/>
      </w:tblGrid>
      <w:tr w:rsidR="004B0829" w:rsidRPr="004B0829" w:rsidTr="00AD7C55">
        <w:trPr>
          <w:trHeight w:val="945"/>
          <w:jc w:val="center"/>
        </w:trPr>
        <w:tc>
          <w:tcPr>
            <w:tcW w:w="532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B0829" w:rsidRPr="004B0829" w:rsidRDefault="004B0829" w:rsidP="00975413">
            <w:pPr>
              <w:keepNext/>
              <w:jc w:val="center"/>
              <w:rPr>
                <w:b/>
                <w:bCs/>
                <w:iCs/>
              </w:rPr>
            </w:pPr>
            <w:r w:rsidRPr="004B0829">
              <w:rPr>
                <w:b/>
                <w:bCs/>
                <w:iCs/>
              </w:rPr>
              <w:t>Activity</w:t>
            </w:r>
          </w:p>
        </w:tc>
        <w:tc>
          <w:tcPr>
            <w:tcW w:w="1080"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975413">
            <w:pPr>
              <w:keepNext/>
              <w:jc w:val="center"/>
              <w:rPr>
                <w:b/>
                <w:bCs/>
                <w:iCs/>
              </w:rPr>
            </w:pPr>
            <w:r w:rsidRPr="004B0829">
              <w:rPr>
                <w:b/>
                <w:bCs/>
                <w:iCs/>
              </w:rPr>
              <w:t>Burden Hours per Permit</w:t>
            </w:r>
          </w:p>
        </w:tc>
        <w:tc>
          <w:tcPr>
            <w:tcW w:w="1170"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975413">
            <w:pPr>
              <w:keepNext/>
              <w:jc w:val="center"/>
              <w:rPr>
                <w:b/>
                <w:bCs/>
                <w:iCs/>
              </w:rPr>
            </w:pPr>
            <w:r w:rsidRPr="004B0829">
              <w:rPr>
                <w:b/>
                <w:bCs/>
                <w:iCs/>
              </w:rPr>
              <w:t>Affected Permits</w:t>
            </w:r>
          </w:p>
        </w:tc>
        <w:tc>
          <w:tcPr>
            <w:tcW w:w="1170"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975413">
            <w:pPr>
              <w:keepNext/>
              <w:jc w:val="center"/>
              <w:rPr>
                <w:b/>
                <w:bCs/>
                <w:iCs/>
              </w:rPr>
            </w:pPr>
            <w:r w:rsidRPr="004B0829">
              <w:rPr>
                <w:b/>
                <w:bCs/>
                <w:iCs/>
              </w:rPr>
              <w:t>Total</w:t>
            </w:r>
          </w:p>
          <w:p w:rsidR="004B0829" w:rsidRPr="004B0829" w:rsidRDefault="004B0829" w:rsidP="00975413">
            <w:pPr>
              <w:keepNext/>
              <w:jc w:val="center"/>
              <w:rPr>
                <w:b/>
                <w:bCs/>
                <w:iCs/>
              </w:rPr>
            </w:pPr>
            <w:r w:rsidRPr="004B0829">
              <w:rPr>
                <w:b/>
                <w:bCs/>
                <w:iCs/>
              </w:rPr>
              <w:t>3-Year Burden (Hours)</w:t>
            </w:r>
          </w:p>
        </w:tc>
        <w:tc>
          <w:tcPr>
            <w:tcW w:w="1548"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975413">
            <w:pPr>
              <w:keepNext/>
              <w:jc w:val="center"/>
              <w:rPr>
                <w:b/>
                <w:bCs/>
                <w:iCs/>
              </w:rPr>
            </w:pPr>
            <w:r w:rsidRPr="004B0829">
              <w:rPr>
                <w:b/>
                <w:bCs/>
                <w:iCs/>
              </w:rPr>
              <w:t>Total 3-Year Cost</w:t>
            </w:r>
          </w:p>
          <w:p w:rsidR="004B0829" w:rsidRPr="004B0829" w:rsidRDefault="004B0829" w:rsidP="00975413">
            <w:pPr>
              <w:keepNext/>
              <w:jc w:val="center"/>
              <w:rPr>
                <w:b/>
                <w:bCs/>
                <w:iCs/>
              </w:rPr>
            </w:pPr>
            <w:r w:rsidRPr="004B0829">
              <w:rPr>
                <w:b/>
                <w:bCs/>
                <w:iCs/>
              </w:rPr>
              <w:t>(2011$)</w:t>
            </w:r>
          </w:p>
        </w:tc>
      </w:tr>
      <w:tr w:rsidR="004B0829" w:rsidRPr="004B0829" w:rsidTr="00AD7C55">
        <w:trPr>
          <w:trHeight w:val="300"/>
          <w:jc w:val="center"/>
        </w:trPr>
        <w:tc>
          <w:tcPr>
            <w:tcW w:w="5328"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975413">
            <w:pPr>
              <w:keepNext/>
              <w:rPr>
                <w:iCs/>
              </w:rPr>
            </w:pPr>
            <w:r w:rsidRPr="004B0829">
              <w:rPr>
                <w:iCs/>
              </w:rPr>
              <w:t>Prepare Application (add GHG to non-GHG permit)</w:t>
            </w:r>
          </w:p>
        </w:tc>
        <w:tc>
          <w:tcPr>
            <w:tcW w:w="1080" w:type="dxa"/>
            <w:tcBorders>
              <w:top w:val="nil"/>
              <w:left w:val="nil"/>
              <w:bottom w:val="single" w:sz="4" w:space="0" w:color="000000"/>
              <w:right w:val="single" w:sz="4" w:space="0" w:color="000000"/>
            </w:tcBorders>
            <w:shd w:val="clear" w:color="auto" w:fill="auto"/>
            <w:hideMark/>
          </w:tcPr>
          <w:p w:rsidR="004B0829" w:rsidRPr="004B0829" w:rsidRDefault="004B0829" w:rsidP="00975413">
            <w:pPr>
              <w:keepNext/>
              <w:jc w:val="right"/>
              <w:rPr>
                <w:iCs/>
              </w:rPr>
            </w:pPr>
            <w:r w:rsidRPr="004B0829">
              <w:rPr>
                <w:iCs/>
              </w:rPr>
              <w:t>34</w:t>
            </w:r>
          </w:p>
        </w:tc>
        <w:tc>
          <w:tcPr>
            <w:tcW w:w="1170" w:type="dxa"/>
            <w:tcBorders>
              <w:top w:val="nil"/>
              <w:left w:val="nil"/>
              <w:bottom w:val="single" w:sz="4" w:space="0" w:color="000000"/>
              <w:right w:val="single" w:sz="4" w:space="0" w:color="000000"/>
            </w:tcBorders>
            <w:shd w:val="clear" w:color="auto" w:fill="auto"/>
            <w:hideMark/>
          </w:tcPr>
          <w:p w:rsidR="004B0829" w:rsidRPr="004B0829" w:rsidRDefault="0096404B" w:rsidP="00975413">
            <w:pPr>
              <w:keepNext/>
              <w:jc w:val="right"/>
              <w:rPr>
                <w:iCs/>
              </w:rPr>
            </w:pPr>
            <w:r>
              <w:rPr>
                <w:iCs/>
              </w:rPr>
              <w:t>34</w:t>
            </w:r>
          </w:p>
        </w:tc>
        <w:tc>
          <w:tcPr>
            <w:tcW w:w="1170" w:type="dxa"/>
            <w:tcBorders>
              <w:top w:val="nil"/>
              <w:left w:val="nil"/>
              <w:bottom w:val="single" w:sz="4" w:space="0" w:color="000000"/>
              <w:right w:val="single" w:sz="4" w:space="0" w:color="000000"/>
            </w:tcBorders>
            <w:shd w:val="clear" w:color="auto" w:fill="auto"/>
            <w:hideMark/>
          </w:tcPr>
          <w:p w:rsidR="004B0829" w:rsidRPr="004B0829" w:rsidRDefault="004B0829" w:rsidP="00975413">
            <w:pPr>
              <w:keepNext/>
              <w:jc w:val="right"/>
              <w:rPr>
                <w:iCs/>
              </w:rPr>
            </w:pPr>
            <w:r w:rsidRPr="004B0829">
              <w:rPr>
                <w:iCs/>
              </w:rPr>
              <w:t>1</w:t>
            </w:r>
            <w:r w:rsidR="0096404B">
              <w:rPr>
                <w:iCs/>
              </w:rPr>
              <w:t>,156</w:t>
            </w:r>
          </w:p>
        </w:tc>
        <w:tc>
          <w:tcPr>
            <w:tcW w:w="1548" w:type="dxa"/>
            <w:tcBorders>
              <w:top w:val="nil"/>
              <w:left w:val="nil"/>
              <w:bottom w:val="single" w:sz="4" w:space="0" w:color="000000"/>
              <w:right w:val="single" w:sz="4" w:space="0" w:color="000000"/>
            </w:tcBorders>
            <w:shd w:val="clear" w:color="auto" w:fill="auto"/>
            <w:hideMark/>
          </w:tcPr>
          <w:p w:rsidR="004B0829" w:rsidRPr="004B0829" w:rsidRDefault="004B0829" w:rsidP="00975413">
            <w:pPr>
              <w:keepNext/>
              <w:jc w:val="right"/>
              <w:rPr>
                <w:iCs/>
              </w:rPr>
            </w:pPr>
            <w:r w:rsidRPr="004B0829">
              <w:rPr>
                <w:iCs/>
              </w:rPr>
              <w:t>$</w:t>
            </w:r>
            <w:r w:rsidR="0096404B">
              <w:rPr>
                <w:iCs/>
              </w:rPr>
              <w:t>73,984</w:t>
            </w:r>
          </w:p>
        </w:tc>
      </w:tr>
      <w:tr w:rsidR="004B0829" w:rsidRPr="004B0829" w:rsidTr="00AD7C55">
        <w:trPr>
          <w:trHeight w:val="300"/>
          <w:jc w:val="center"/>
        </w:trPr>
        <w:tc>
          <w:tcPr>
            <w:tcW w:w="5328"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975413">
            <w:pPr>
              <w:keepNext/>
              <w:rPr>
                <w:iCs/>
              </w:rPr>
            </w:pPr>
            <w:r w:rsidRPr="004B0829">
              <w:rPr>
                <w:iCs/>
              </w:rPr>
              <w:t>Modification due to GHG</w:t>
            </w:r>
          </w:p>
        </w:tc>
        <w:tc>
          <w:tcPr>
            <w:tcW w:w="1080" w:type="dxa"/>
            <w:tcBorders>
              <w:top w:val="nil"/>
              <w:left w:val="nil"/>
              <w:bottom w:val="single" w:sz="4" w:space="0" w:color="000000"/>
              <w:right w:val="single" w:sz="4" w:space="0" w:color="000000"/>
            </w:tcBorders>
            <w:shd w:val="clear" w:color="auto" w:fill="auto"/>
            <w:hideMark/>
          </w:tcPr>
          <w:p w:rsidR="004B0829" w:rsidRPr="004B0829" w:rsidRDefault="004B0829" w:rsidP="00975413">
            <w:pPr>
              <w:keepNext/>
              <w:jc w:val="right"/>
              <w:rPr>
                <w:iCs/>
              </w:rPr>
            </w:pPr>
            <w:r w:rsidRPr="004B0829">
              <w:rPr>
                <w:iCs/>
              </w:rPr>
              <w:t>43</w:t>
            </w:r>
          </w:p>
        </w:tc>
        <w:tc>
          <w:tcPr>
            <w:tcW w:w="1170" w:type="dxa"/>
            <w:tcBorders>
              <w:top w:val="nil"/>
              <w:left w:val="nil"/>
              <w:bottom w:val="single" w:sz="4" w:space="0" w:color="000000"/>
              <w:right w:val="single" w:sz="4" w:space="0" w:color="000000"/>
            </w:tcBorders>
            <w:shd w:val="clear" w:color="auto" w:fill="auto"/>
            <w:hideMark/>
          </w:tcPr>
          <w:p w:rsidR="004B0829" w:rsidRPr="004B0829" w:rsidRDefault="0096404B" w:rsidP="00975413">
            <w:pPr>
              <w:keepNext/>
              <w:jc w:val="right"/>
              <w:rPr>
                <w:iCs/>
              </w:rPr>
            </w:pPr>
            <w:r>
              <w:rPr>
                <w:iCs/>
              </w:rPr>
              <w:t>30</w:t>
            </w:r>
          </w:p>
        </w:tc>
        <w:tc>
          <w:tcPr>
            <w:tcW w:w="1170" w:type="dxa"/>
            <w:tcBorders>
              <w:top w:val="nil"/>
              <w:left w:val="nil"/>
              <w:bottom w:val="single" w:sz="4" w:space="0" w:color="000000"/>
              <w:right w:val="single" w:sz="4" w:space="0" w:color="000000"/>
            </w:tcBorders>
            <w:shd w:val="clear" w:color="auto" w:fill="auto"/>
            <w:hideMark/>
          </w:tcPr>
          <w:p w:rsidR="004B0829" w:rsidRPr="004B0829" w:rsidRDefault="004B0829" w:rsidP="00975413">
            <w:pPr>
              <w:keepNext/>
              <w:jc w:val="right"/>
              <w:rPr>
                <w:iCs/>
              </w:rPr>
            </w:pPr>
            <w:r w:rsidRPr="004B0829">
              <w:rPr>
                <w:iCs/>
              </w:rPr>
              <w:t>1</w:t>
            </w:r>
            <w:r w:rsidR="0096404B">
              <w:rPr>
                <w:iCs/>
              </w:rPr>
              <w:t>,290</w:t>
            </w:r>
          </w:p>
        </w:tc>
        <w:tc>
          <w:tcPr>
            <w:tcW w:w="1548" w:type="dxa"/>
            <w:tcBorders>
              <w:top w:val="nil"/>
              <w:left w:val="nil"/>
              <w:bottom w:val="single" w:sz="4" w:space="0" w:color="000000"/>
              <w:right w:val="single" w:sz="4" w:space="0" w:color="000000"/>
            </w:tcBorders>
            <w:shd w:val="clear" w:color="auto" w:fill="auto"/>
            <w:hideMark/>
          </w:tcPr>
          <w:p w:rsidR="004B0829" w:rsidRPr="004B0829" w:rsidRDefault="004B0829" w:rsidP="00975413">
            <w:pPr>
              <w:keepNext/>
              <w:jc w:val="right"/>
              <w:rPr>
                <w:iCs/>
              </w:rPr>
            </w:pPr>
            <w:r w:rsidRPr="004B0829">
              <w:rPr>
                <w:iCs/>
              </w:rPr>
              <w:t>$</w:t>
            </w:r>
            <w:r w:rsidR="0096404B">
              <w:rPr>
                <w:iCs/>
              </w:rPr>
              <w:t>82,560</w:t>
            </w:r>
          </w:p>
        </w:tc>
      </w:tr>
      <w:tr w:rsidR="004B0829" w:rsidRPr="004B0829" w:rsidTr="00AD7C55">
        <w:trPr>
          <w:trHeight w:val="300"/>
          <w:jc w:val="center"/>
        </w:trPr>
        <w:tc>
          <w:tcPr>
            <w:tcW w:w="5328"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975413">
            <w:pPr>
              <w:keepNext/>
              <w:rPr>
                <w:iCs/>
              </w:rPr>
            </w:pPr>
            <w:r w:rsidRPr="004B0829">
              <w:rPr>
                <w:iCs/>
              </w:rPr>
              <w:t>Modification to address GHG in non-GHG permit</w:t>
            </w:r>
          </w:p>
        </w:tc>
        <w:tc>
          <w:tcPr>
            <w:tcW w:w="1080" w:type="dxa"/>
            <w:tcBorders>
              <w:top w:val="nil"/>
              <w:left w:val="nil"/>
              <w:bottom w:val="single" w:sz="4" w:space="0" w:color="000000"/>
              <w:right w:val="single" w:sz="4" w:space="0" w:color="000000"/>
            </w:tcBorders>
            <w:shd w:val="clear" w:color="auto" w:fill="auto"/>
            <w:hideMark/>
          </w:tcPr>
          <w:p w:rsidR="004B0829" w:rsidRPr="004B0829" w:rsidRDefault="004B0829" w:rsidP="00975413">
            <w:pPr>
              <w:keepNext/>
              <w:jc w:val="right"/>
              <w:rPr>
                <w:iCs/>
              </w:rPr>
            </w:pPr>
            <w:r w:rsidRPr="004B0829">
              <w:rPr>
                <w:iCs/>
              </w:rPr>
              <w:t>4</w:t>
            </w:r>
          </w:p>
        </w:tc>
        <w:tc>
          <w:tcPr>
            <w:tcW w:w="1170" w:type="dxa"/>
            <w:tcBorders>
              <w:top w:val="nil"/>
              <w:left w:val="nil"/>
              <w:bottom w:val="single" w:sz="4" w:space="0" w:color="000000"/>
              <w:right w:val="single" w:sz="4" w:space="0" w:color="000000"/>
            </w:tcBorders>
            <w:shd w:val="clear" w:color="auto" w:fill="auto"/>
            <w:hideMark/>
          </w:tcPr>
          <w:p w:rsidR="004B0829" w:rsidRPr="004B0829" w:rsidRDefault="004B0829" w:rsidP="00975413">
            <w:pPr>
              <w:keepNext/>
              <w:jc w:val="right"/>
              <w:rPr>
                <w:iCs/>
              </w:rPr>
            </w:pPr>
            <w:r w:rsidRPr="004B0829">
              <w:rPr>
                <w:iCs/>
              </w:rPr>
              <w:t>23</w:t>
            </w:r>
            <w:r w:rsidR="00AD7C55">
              <w:rPr>
                <w:iCs/>
              </w:rPr>
              <w:t>1</w:t>
            </w:r>
          </w:p>
        </w:tc>
        <w:tc>
          <w:tcPr>
            <w:tcW w:w="1170" w:type="dxa"/>
            <w:tcBorders>
              <w:top w:val="nil"/>
              <w:left w:val="nil"/>
              <w:bottom w:val="single" w:sz="4" w:space="0" w:color="000000"/>
              <w:right w:val="single" w:sz="4" w:space="0" w:color="000000"/>
            </w:tcBorders>
            <w:shd w:val="clear" w:color="auto" w:fill="auto"/>
            <w:hideMark/>
          </w:tcPr>
          <w:p w:rsidR="004B0829" w:rsidRPr="004B0829" w:rsidRDefault="004B0829" w:rsidP="00975413">
            <w:pPr>
              <w:keepNext/>
              <w:jc w:val="right"/>
              <w:rPr>
                <w:iCs/>
              </w:rPr>
            </w:pPr>
            <w:r w:rsidRPr="004B0829">
              <w:rPr>
                <w:iCs/>
              </w:rPr>
              <w:t>92</w:t>
            </w:r>
            <w:r w:rsidR="00AD7C55">
              <w:rPr>
                <w:iCs/>
              </w:rPr>
              <w:t>4</w:t>
            </w:r>
          </w:p>
        </w:tc>
        <w:tc>
          <w:tcPr>
            <w:tcW w:w="1548" w:type="dxa"/>
            <w:tcBorders>
              <w:top w:val="nil"/>
              <w:left w:val="nil"/>
              <w:bottom w:val="single" w:sz="4" w:space="0" w:color="000000"/>
              <w:right w:val="single" w:sz="4" w:space="0" w:color="000000"/>
            </w:tcBorders>
            <w:shd w:val="clear" w:color="auto" w:fill="auto"/>
            <w:hideMark/>
          </w:tcPr>
          <w:p w:rsidR="004B0829" w:rsidRPr="004B0829" w:rsidRDefault="004B0829" w:rsidP="00975413">
            <w:pPr>
              <w:keepNext/>
              <w:jc w:val="right"/>
              <w:rPr>
                <w:iCs/>
              </w:rPr>
            </w:pPr>
            <w:r w:rsidRPr="004B0829">
              <w:rPr>
                <w:iCs/>
              </w:rPr>
              <w:t>$</w:t>
            </w:r>
            <w:r w:rsidR="00AD7C55">
              <w:rPr>
                <w:iCs/>
              </w:rPr>
              <w:t>59136</w:t>
            </w:r>
          </w:p>
        </w:tc>
      </w:tr>
      <w:tr w:rsidR="004B0829" w:rsidRPr="004B0829" w:rsidTr="00AD7C55">
        <w:trPr>
          <w:trHeight w:val="300"/>
          <w:jc w:val="center"/>
        </w:trPr>
        <w:tc>
          <w:tcPr>
            <w:tcW w:w="5328"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975413">
            <w:pPr>
              <w:keepNext/>
              <w:rPr>
                <w:iCs/>
              </w:rPr>
            </w:pPr>
            <w:r w:rsidRPr="004B0829">
              <w:rPr>
                <w:iCs/>
              </w:rPr>
              <w:t>Address GHG at Renewal</w:t>
            </w:r>
          </w:p>
        </w:tc>
        <w:tc>
          <w:tcPr>
            <w:tcW w:w="1080" w:type="dxa"/>
            <w:tcBorders>
              <w:top w:val="nil"/>
              <w:left w:val="nil"/>
              <w:bottom w:val="single" w:sz="4" w:space="0" w:color="000000"/>
              <w:right w:val="single" w:sz="4" w:space="0" w:color="000000"/>
            </w:tcBorders>
            <w:shd w:val="clear" w:color="auto" w:fill="auto"/>
            <w:hideMark/>
          </w:tcPr>
          <w:p w:rsidR="004B0829" w:rsidRPr="004B0829" w:rsidRDefault="004B0829" w:rsidP="00975413">
            <w:pPr>
              <w:keepNext/>
              <w:jc w:val="right"/>
              <w:rPr>
                <w:iCs/>
              </w:rPr>
            </w:pPr>
            <w:r w:rsidRPr="004B0829">
              <w:rPr>
                <w:iCs/>
              </w:rPr>
              <w:t>20</w:t>
            </w:r>
          </w:p>
        </w:tc>
        <w:tc>
          <w:tcPr>
            <w:tcW w:w="1170" w:type="dxa"/>
            <w:tcBorders>
              <w:top w:val="nil"/>
              <w:left w:val="nil"/>
              <w:bottom w:val="single" w:sz="4" w:space="0" w:color="000000"/>
              <w:right w:val="single" w:sz="4" w:space="0" w:color="000000"/>
            </w:tcBorders>
            <w:shd w:val="clear" w:color="auto" w:fill="auto"/>
            <w:hideMark/>
          </w:tcPr>
          <w:p w:rsidR="004B0829" w:rsidRPr="004B0829" w:rsidRDefault="00AD7C55" w:rsidP="00975413">
            <w:pPr>
              <w:keepNext/>
              <w:jc w:val="right"/>
              <w:rPr>
                <w:iCs/>
              </w:rPr>
            </w:pPr>
            <w:r>
              <w:rPr>
                <w:iCs/>
              </w:rPr>
              <w:t>62</w:t>
            </w:r>
          </w:p>
        </w:tc>
        <w:tc>
          <w:tcPr>
            <w:tcW w:w="1170" w:type="dxa"/>
            <w:tcBorders>
              <w:top w:val="nil"/>
              <w:left w:val="nil"/>
              <w:bottom w:val="single" w:sz="4" w:space="0" w:color="000000"/>
              <w:right w:val="single" w:sz="4" w:space="0" w:color="000000"/>
            </w:tcBorders>
            <w:shd w:val="clear" w:color="auto" w:fill="auto"/>
            <w:hideMark/>
          </w:tcPr>
          <w:p w:rsidR="004B0829" w:rsidRPr="004B0829" w:rsidRDefault="004B0829" w:rsidP="00975413">
            <w:pPr>
              <w:keepNext/>
              <w:jc w:val="right"/>
              <w:rPr>
                <w:iCs/>
              </w:rPr>
            </w:pPr>
            <w:r w:rsidRPr="004B0829">
              <w:rPr>
                <w:iCs/>
              </w:rPr>
              <w:t>1</w:t>
            </w:r>
            <w:r w:rsidR="00AD7C55">
              <w:rPr>
                <w:iCs/>
              </w:rPr>
              <w:t>,248</w:t>
            </w:r>
          </w:p>
        </w:tc>
        <w:tc>
          <w:tcPr>
            <w:tcW w:w="1548" w:type="dxa"/>
            <w:tcBorders>
              <w:top w:val="nil"/>
              <w:left w:val="nil"/>
              <w:bottom w:val="single" w:sz="4" w:space="0" w:color="000000"/>
              <w:right w:val="single" w:sz="4" w:space="0" w:color="000000"/>
            </w:tcBorders>
            <w:shd w:val="clear" w:color="auto" w:fill="auto"/>
            <w:hideMark/>
          </w:tcPr>
          <w:p w:rsidR="004B0829" w:rsidRPr="004B0829" w:rsidRDefault="004B0829" w:rsidP="00975413">
            <w:pPr>
              <w:keepNext/>
              <w:jc w:val="right"/>
              <w:rPr>
                <w:iCs/>
              </w:rPr>
            </w:pPr>
            <w:r w:rsidRPr="004B0829">
              <w:rPr>
                <w:iCs/>
              </w:rPr>
              <w:t>$1</w:t>
            </w:r>
            <w:r w:rsidR="00AD7C55">
              <w:rPr>
                <w:iCs/>
              </w:rPr>
              <w:t>79,872</w:t>
            </w:r>
          </w:p>
        </w:tc>
      </w:tr>
      <w:tr w:rsidR="00491C8F" w:rsidRPr="004B0829" w:rsidTr="00F55CA6">
        <w:trPr>
          <w:trHeight w:val="300"/>
          <w:jc w:val="center"/>
        </w:trPr>
        <w:tc>
          <w:tcPr>
            <w:tcW w:w="7578" w:type="dxa"/>
            <w:gridSpan w:val="3"/>
            <w:tcBorders>
              <w:top w:val="nil"/>
              <w:left w:val="single" w:sz="4" w:space="0" w:color="000000"/>
              <w:bottom w:val="nil"/>
              <w:right w:val="single" w:sz="4" w:space="0" w:color="000000"/>
            </w:tcBorders>
            <w:shd w:val="clear" w:color="auto" w:fill="auto"/>
            <w:hideMark/>
          </w:tcPr>
          <w:p w:rsidR="00491C8F" w:rsidRPr="004B0829" w:rsidRDefault="00491C8F" w:rsidP="00975413">
            <w:pPr>
              <w:keepNext/>
              <w:rPr>
                <w:b/>
                <w:bCs/>
                <w:iCs/>
              </w:rPr>
            </w:pPr>
            <w:r w:rsidRPr="004B0829">
              <w:rPr>
                <w:b/>
                <w:bCs/>
                <w:iCs/>
              </w:rPr>
              <w:t xml:space="preserve">Total                                            </w:t>
            </w:r>
            <w:r>
              <w:rPr>
                <w:b/>
                <w:bCs/>
                <w:iCs/>
              </w:rPr>
              <w:t xml:space="preserve">   </w:t>
            </w:r>
            <w:r w:rsidRPr="004B0829">
              <w:rPr>
                <w:b/>
                <w:bCs/>
                <w:iCs/>
              </w:rPr>
              <w:t xml:space="preserve">                </w:t>
            </w:r>
            <w:r>
              <w:rPr>
                <w:b/>
                <w:bCs/>
                <w:iCs/>
              </w:rPr>
              <w:t xml:space="preserve">                                     </w:t>
            </w:r>
            <w:r w:rsidRPr="004B0829">
              <w:rPr>
                <w:b/>
                <w:bCs/>
                <w:iCs/>
              </w:rPr>
              <w:t xml:space="preserve">  3-year</w:t>
            </w:r>
          </w:p>
        </w:tc>
        <w:tc>
          <w:tcPr>
            <w:tcW w:w="1170" w:type="dxa"/>
            <w:tcBorders>
              <w:top w:val="nil"/>
              <w:left w:val="nil"/>
              <w:bottom w:val="nil"/>
              <w:right w:val="single" w:sz="4" w:space="0" w:color="000000"/>
            </w:tcBorders>
            <w:shd w:val="clear" w:color="auto" w:fill="auto"/>
            <w:hideMark/>
          </w:tcPr>
          <w:p w:rsidR="00491C8F" w:rsidRPr="004B0829" w:rsidRDefault="00491C8F" w:rsidP="00975413">
            <w:pPr>
              <w:keepNext/>
              <w:jc w:val="right"/>
              <w:rPr>
                <w:b/>
                <w:bCs/>
                <w:iCs/>
              </w:rPr>
            </w:pPr>
            <w:r w:rsidRPr="004B0829">
              <w:rPr>
                <w:b/>
                <w:bCs/>
                <w:iCs/>
              </w:rPr>
              <w:t>4</w:t>
            </w:r>
            <w:r>
              <w:rPr>
                <w:b/>
                <w:bCs/>
                <w:iCs/>
              </w:rPr>
              <w:t>,618</w:t>
            </w:r>
          </w:p>
        </w:tc>
        <w:tc>
          <w:tcPr>
            <w:tcW w:w="1548" w:type="dxa"/>
            <w:tcBorders>
              <w:top w:val="nil"/>
              <w:left w:val="nil"/>
              <w:bottom w:val="nil"/>
              <w:right w:val="single" w:sz="4" w:space="0" w:color="000000"/>
            </w:tcBorders>
            <w:shd w:val="clear" w:color="auto" w:fill="auto"/>
            <w:hideMark/>
          </w:tcPr>
          <w:p w:rsidR="00491C8F" w:rsidRPr="004B0829" w:rsidRDefault="00491C8F" w:rsidP="00975413">
            <w:pPr>
              <w:keepNext/>
              <w:jc w:val="right"/>
              <w:rPr>
                <w:b/>
                <w:bCs/>
                <w:iCs/>
              </w:rPr>
            </w:pPr>
            <w:r w:rsidRPr="004B0829">
              <w:rPr>
                <w:b/>
                <w:bCs/>
                <w:iCs/>
              </w:rPr>
              <w:t>$2</w:t>
            </w:r>
            <w:r>
              <w:rPr>
                <w:b/>
                <w:bCs/>
                <w:iCs/>
              </w:rPr>
              <w:t>95,552</w:t>
            </w:r>
          </w:p>
        </w:tc>
      </w:tr>
      <w:tr w:rsidR="00491C8F" w:rsidRPr="004B0829" w:rsidTr="00F55CA6">
        <w:trPr>
          <w:trHeight w:val="300"/>
          <w:jc w:val="center"/>
        </w:trPr>
        <w:tc>
          <w:tcPr>
            <w:tcW w:w="7578" w:type="dxa"/>
            <w:gridSpan w:val="3"/>
            <w:tcBorders>
              <w:top w:val="nil"/>
              <w:left w:val="single" w:sz="4" w:space="0" w:color="000000"/>
              <w:bottom w:val="single" w:sz="4" w:space="0" w:color="000000"/>
              <w:right w:val="single" w:sz="4" w:space="0" w:color="000000"/>
            </w:tcBorders>
            <w:shd w:val="clear" w:color="auto" w:fill="auto"/>
            <w:hideMark/>
          </w:tcPr>
          <w:p w:rsidR="00491C8F" w:rsidRPr="00491C8F" w:rsidRDefault="00491C8F" w:rsidP="00975413">
            <w:pPr>
              <w:keepNext/>
              <w:jc w:val="right"/>
              <w:rPr>
                <w:b/>
                <w:bCs/>
                <w:iCs/>
              </w:rPr>
            </w:pPr>
            <w:r w:rsidRPr="004B0829">
              <w:rPr>
                <w:b/>
                <w:bCs/>
                <w:iCs/>
              </w:rPr>
              <w:t>Annual</w:t>
            </w:r>
          </w:p>
        </w:tc>
        <w:tc>
          <w:tcPr>
            <w:tcW w:w="1170" w:type="dxa"/>
            <w:tcBorders>
              <w:top w:val="nil"/>
              <w:left w:val="nil"/>
              <w:bottom w:val="single" w:sz="4" w:space="0" w:color="000000"/>
              <w:right w:val="single" w:sz="4" w:space="0" w:color="000000"/>
            </w:tcBorders>
            <w:shd w:val="clear" w:color="auto" w:fill="auto"/>
            <w:hideMark/>
          </w:tcPr>
          <w:p w:rsidR="00491C8F" w:rsidRPr="004B0829" w:rsidRDefault="00491C8F" w:rsidP="00975413">
            <w:pPr>
              <w:keepNext/>
              <w:jc w:val="right"/>
              <w:rPr>
                <w:b/>
                <w:bCs/>
                <w:iCs/>
              </w:rPr>
            </w:pPr>
            <w:r w:rsidRPr="004B0829">
              <w:rPr>
                <w:b/>
                <w:bCs/>
                <w:iCs/>
              </w:rPr>
              <w:t>1</w:t>
            </w:r>
            <w:r>
              <w:rPr>
                <w:b/>
                <w:bCs/>
                <w:iCs/>
              </w:rPr>
              <w:t>,539</w:t>
            </w:r>
          </w:p>
        </w:tc>
        <w:tc>
          <w:tcPr>
            <w:tcW w:w="1548" w:type="dxa"/>
            <w:tcBorders>
              <w:top w:val="nil"/>
              <w:left w:val="nil"/>
              <w:bottom w:val="single" w:sz="4" w:space="0" w:color="000000"/>
              <w:right w:val="single" w:sz="4" w:space="0" w:color="000000"/>
            </w:tcBorders>
            <w:shd w:val="clear" w:color="auto" w:fill="auto"/>
            <w:hideMark/>
          </w:tcPr>
          <w:p w:rsidR="00491C8F" w:rsidRPr="004B0829" w:rsidRDefault="00491C8F" w:rsidP="00975413">
            <w:pPr>
              <w:keepNext/>
              <w:jc w:val="right"/>
              <w:rPr>
                <w:b/>
                <w:bCs/>
                <w:iCs/>
              </w:rPr>
            </w:pPr>
            <w:r w:rsidRPr="004B0829">
              <w:rPr>
                <w:b/>
                <w:bCs/>
                <w:iCs/>
              </w:rPr>
              <w:t>$</w:t>
            </w:r>
            <w:r>
              <w:rPr>
                <w:b/>
                <w:bCs/>
                <w:iCs/>
              </w:rPr>
              <w:t>98,517</w:t>
            </w:r>
          </w:p>
        </w:tc>
      </w:tr>
    </w:tbl>
    <w:p w:rsidR="004B0829" w:rsidRPr="004B0829" w:rsidRDefault="004B0829" w:rsidP="004B0829">
      <w:pPr>
        <w:rPr>
          <w:iCs/>
        </w:rPr>
      </w:pPr>
    </w:p>
    <w:p w:rsidR="004B0829" w:rsidRPr="004B0829" w:rsidRDefault="004B0829" w:rsidP="004B0829">
      <w:pPr>
        <w:rPr>
          <w:iCs/>
        </w:rPr>
      </w:pPr>
    </w:p>
    <w:p w:rsidR="004B0829" w:rsidRPr="004B0829" w:rsidRDefault="004B0829" w:rsidP="00AD7C55">
      <w:pPr>
        <w:keepNext/>
        <w:jc w:val="center"/>
        <w:rPr>
          <w:iCs/>
        </w:rPr>
      </w:pPr>
      <w:r w:rsidRPr="004B0829">
        <w:rPr>
          <w:b/>
          <w:iCs/>
        </w:rPr>
        <w:t>Table 12. Three-Year and Annual Incremental Burden of the GHG Tailoring Rule for Permitting Authorities</w:t>
      </w:r>
      <w:r w:rsidR="00AD7C55">
        <w:rPr>
          <w:b/>
          <w:iCs/>
        </w:rPr>
        <w:t xml:space="preserve"> (EPA and Delegate Agencies)</w:t>
      </w:r>
    </w:p>
    <w:p w:rsidR="004B0829" w:rsidRPr="004B0829" w:rsidRDefault="004B0829" w:rsidP="00AD7C55">
      <w:pPr>
        <w:keepNext/>
        <w:rPr>
          <w:iCs/>
        </w:rPr>
      </w:pPr>
    </w:p>
    <w:tbl>
      <w:tblPr>
        <w:tblW w:w="5000" w:type="pct"/>
        <w:jc w:val="center"/>
        <w:tblLook w:val="04A0"/>
      </w:tblPr>
      <w:tblGrid>
        <w:gridCol w:w="5418"/>
        <w:gridCol w:w="1167"/>
        <w:gridCol w:w="1083"/>
        <w:gridCol w:w="1080"/>
        <w:gridCol w:w="1548"/>
      </w:tblGrid>
      <w:tr w:rsidR="004B0829" w:rsidRPr="004B0829" w:rsidTr="00AD7C55">
        <w:trPr>
          <w:trHeight w:val="945"/>
          <w:jc w:val="center"/>
        </w:trPr>
        <w:tc>
          <w:tcPr>
            <w:tcW w:w="541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B0829" w:rsidRPr="004B0829" w:rsidRDefault="004B0829" w:rsidP="00AD7C55">
            <w:pPr>
              <w:keepNext/>
              <w:jc w:val="center"/>
              <w:rPr>
                <w:b/>
                <w:bCs/>
                <w:iCs/>
              </w:rPr>
            </w:pPr>
            <w:r w:rsidRPr="004B0829">
              <w:rPr>
                <w:b/>
                <w:bCs/>
                <w:iCs/>
              </w:rPr>
              <w:t>Activity</w:t>
            </w:r>
          </w:p>
        </w:tc>
        <w:tc>
          <w:tcPr>
            <w:tcW w:w="1167"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AD7C55">
            <w:pPr>
              <w:keepNext/>
              <w:jc w:val="center"/>
              <w:rPr>
                <w:b/>
                <w:bCs/>
                <w:iCs/>
              </w:rPr>
            </w:pPr>
            <w:r w:rsidRPr="004B0829">
              <w:rPr>
                <w:b/>
                <w:bCs/>
                <w:iCs/>
              </w:rPr>
              <w:t>Burden Hours per Permit</w:t>
            </w:r>
          </w:p>
        </w:tc>
        <w:tc>
          <w:tcPr>
            <w:tcW w:w="1083"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AD7C55">
            <w:pPr>
              <w:keepNext/>
              <w:jc w:val="center"/>
              <w:rPr>
                <w:b/>
                <w:bCs/>
                <w:iCs/>
              </w:rPr>
            </w:pPr>
            <w:r w:rsidRPr="004B0829">
              <w:rPr>
                <w:b/>
                <w:bCs/>
                <w:iCs/>
              </w:rPr>
              <w:t>Affected Permits</w:t>
            </w:r>
          </w:p>
        </w:tc>
        <w:tc>
          <w:tcPr>
            <w:tcW w:w="1080"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AD7C55">
            <w:pPr>
              <w:keepNext/>
              <w:jc w:val="center"/>
              <w:rPr>
                <w:b/>
                <w:bCs/>
                <w:iCs/>
              </w:rPr>
            </w:pPr>
            <w:r w:rsidRPr="004B0829">
              <w:rPr>
                <w:b/>
                <w:bCs/>
                <w:iCs/>
              </w:rPr>
              <w:t>Total 3</w:t>
            </w:r>
            <w:r w:rsidRPr="004B0829">
              <w:rPr>
                <w:b/>
                <w:bCs/>
                <w:iCs/>
              </w:rPr>
              <w:noBreakHyphen/>
              <w:t>Year Burden (Hours)</w:t>
            </w:r>
          </w:p>
        </w:tc>
        <w:tc>
          <w:tcPr>
            <w:tcW w:w="1548"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AD7C55">
            <w:pPr>
              <w:keepNext/>
              <w:jc w:val="center"/>
              <w:rPr>
                <w:b/>
                <w:bCs/>
                <w:iCs/>
              </w:rPr>
            </w:pPr>
            <w:r w:rsidRPr="004B0829">
              <w:rPr>
                <w:b/>
                <w:bCs/>
                <w:iCs/>
              </w:rPr>
              <w:t>Total 3-Year Cost</w:t>
            </w:r>
          </w:p>
          <w:p w:rsidR="004B0829" w:rsidRPr="004B0829" w:rsidRDefault="004B0829" w:rsidP="00AD7C55">
            <w:pPr>
              <w:keepNext/>
              <w:jc w:val="center"/>
              <w:rPr>
                <w:b/>
                <w:bCs/>
                <w:iCs/>
              </w:rPr>
            </w:pPr>
            <w:r w:rsidRPr="004B0829">
              <w:rPr>
                <w:b/>
                <w:bCs/>
                <w:iCs/>
              </w:rPr>
              <w:t>(2011$)</w:t>
            </w:r>
          </w:p>
        </w:tc>
      </w:tr>
      <w:tr w:rsidR="004B0829" w:rsidRPr="004B0829" w:rsidTr="00AD7C55">
        <w:trPr>
          <w:trHeight w:val="300"/>
          <w:jc w:val="center"/>
        </w:trPr>
        <w:tc>
          <w:tcPr>
            <w:tcW w:w="5418"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4B0829">
            <w:pPr>
              <w:rPr>
                <w:iCs/>
              </w:rPr>
            </w:pPr>
            <w:r w:rsidRPr="004B0829">
              <w:rPr>
                <w:iCs/>
              </w:rPr>
              <w:t>Prepare Application (add GHG to non-GHG permit)</w:t>
            </w:r>
          </w:p>
        </w:tc>
        <w:tc>
          <w:tcPr>
            <w:tcW w:w="1167" w:type="dxa"/>
            <w:tcBorders>
              <w:top w:val="nil"/>
              <w:left w:val="nil"/>
              <w:bottom w:val="single" w:sz="4" w:space="0" w:color="000000"/>
              <w:right w:val="single" w:sz="4" w:space="0" w:color="000000"/>
            </w:tcBorders>
            <w:shd w:val="clear" w:color="auto" w:fill="auto"/>
            <w:hideMark/>
          </w:tcPr>
          <w:p w:rsidR="004B0829" w:rsidRPr="004B0829" w:rsidRDefault="004B0829" w:rsidP="00AD7C55">
            <w:pPr>
              <w:jc w:val="right"/>
              <w:rPr>
                <w:iCs/>
              </w:rPr>
            </w:pPr>
            <w:r w:rsidRPr="004B0829">
              <w:rPr>
                <w:iCs/>
              </w:rPr>
              <w:t>43</w:t>
            </w:r>
          </w:p>
        </w:tc>
        <w:tc>
          <w:tcPr>
            <w:tcW w:w="1083" w:type="dxa"/>
            <w:tcBorders>
              <w:top w:val="nil"/>
              <w:left w:val="nil"/>
              <w:bottom w:val="single" w:sz="4" w:space="0" w:color="000000"/>
              <w:right w:val="single" w:sz="4" w:space="0" w:color="000000"/>
            </w:tcBorders>
            <w:shd w:val="clear" w:color="auto" w:fill="auto"/>
            <w:hideMark/>
          </w:tcPr>
          <w:p w:rsidR="004B0829" w:rsidRPr="004B0829" w:rsidRDefault="00AD7C55" w:rsidP="00AD7C55">
            <w:pPr>
              <w:jc w:val="right"/>
              <w:rPr>
                <w:iCs/>
              </w:rPr>
            </w:pPr>
            <w:r>
              <w:rPr>
                <w:iCs/>
              </w:rPr>
              <w:t>34</w:t>
            </w:r>
          </w:p>
        </w:tc>
        <w:tc>
          <w:tcPr>
            <w:tcW w:w="1080" w:type="dxa"/>
            <w:tcBorders>
              <w:top w:val="nil"/>
              <w:left w:val="nil"/>
              <w:bottom w:val="single" w:sz="4" w:space="0" w:color="000000"/>
              <w:right w:val="single" w:sz="4" w:space="0" w:color="000000"/>
            </w:tcBorders>
            <w:shd w:val="clear" w:color="auto" w:fill="auto"/>
            <w:hideMark/>
          </w:tcPr>
          <w:p w:rsidR="004B0829" w:rsidRPr="004B0829" w:rsidRDefault="00AD7C55" w:rsidP="00AD7C55">
            <w:pPr>
              <w:jc w:val="right"/>
              <w:rPr>
                <w:iCs/>
              </w:rPr>
            </w:pPr>
            <w:r>
              <w:rPr>
                <w:iCs/>
              </w:rPr>
              <w:t>1,462</w:t>
            </w:r>
          </w:p>
        </w:tc>
        <w:tc>
          <w:tcPr>
            <w:tcW w:w="1548" w:type="dxa"/>
            <w:tcBorders>
              <w:top w:val="nil"/>
              <w:left w:val="nil"/>
              <w:bottom w:val="single" w:sz="4" w:space="0" w:color="000000"/>
              <w:right w:val="single" w:sz="4" w:space="0" w:color="000000"/>
            </w:tcBorders>
            <w:shd w:val="clear" w:color="auto" w:fill="auto"/>
            <w:hideMark/>
          </w:tcPr>
          <w:p w:rsidR="004B0829" w:rsidRPr="004B0829" w:rsidRDefault="004B0829" w:rsidP="00AD7C55">
            <w:pPr>
              <w:jc w:val="right"/>
              <w:rPr>
                <w:iCs/>
              </w:rPr>
            </w:pPr>
            <w:r w:rsidRPr="004B0829">
              <w:rPr>
                <w:iCs/>
              </w:rPr>
              <w:t>$</w:t>
            </w:r>
            <w:r w:rsidR="00AD7C55">
              <w:rPr>
                <w:iCs/>
              </w:rPr>
              <w:t>76,024</w:t>
            </w:r>
          </w:p>
        </w:tc>
      </w:tr>
      <w:tr w:rsidR="004B0829" w:rsidRPr="004B0829" w:rsidTr="00AD7C55">
        <w:trPr>
          <w:trHeight w:val="300"/>
          <w:jc w:val="center"/>
        </w:trPr>
        <w:tc>
          <w:tcPr>
            <w:tcW w:w="5418"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4B0829">
            <w:pPr>
              <w:rPr>
                <w:iCs/>
              </w:rPr>
            </w:pPr>
            <w:r w:rsidRPr="004B0829">
              <w:rPr>
                <w:iCs/>
              </w:rPr>
              <w:t>Modification due to GHG</w:t>
            </w:r>
          </w:p>
        </w:tc>
        <w:tc>
          <w:tcPr>
            <w:tcW w:w="1167" w:type="dxa"/>
            <w:tcBorders>
              <w:top w:val="nil"/>
              <w:left w:val="nil"/>
              <w:bottom w:val="single" w:sz="4" w:space="0" w:color="000000"/>
              <w:right w:val="single" w:sz="4" w:space="0" w:color="000000"/>
            </w:tcBorders>
            <w:shd w:val="clear" w:color="auto" w:fill="auto"/>
            <w:hideMark/>
          </w:tcPr>
          <w:p w:rsidR="004B0829" w:rsidRPr="004B0829" w:rsidRDefault="004B0829" w:rsidP="00AD7C55">
            <w:pPr>
              <w:jc w:val="right"/>
              <w:rPr>
                <w:iCs/>
              </w:rPr>
            </w:pPr>
            <w:r w:rsidRPr="004B0829">
              <w:rPr>
                <w:iCs/>
              </w:rPr>
              <w:t>40</w:t>
            </w:r>
          </w:p>
        </w:tc>
        <w:tc>
          <w:tcPr>
            <w:tcW w:w="1083" w:type="dxa"/>
            <w:tcBorders>
              <w:top w:val="nil"/>
              <w:left w:val="nil"/>
              <w:bottom w:val="single" w:sz="4" w:space="0" w:color="000000"/>
              <w:right w:val="single" w:sz="4" w:space="0" w:color="000000"/>
            </w:tcBorders>
            <w:shd w:val="clear" w:color="auto" w:fill="auto"/>
            <w:hideMark/>
          </w:tcPr>
          <w:p w:rsidR="004B0829" w:rsidRPr="004B0829" w:rsidRDefault="00AD7C55" w:rsidP="00AD7C55">
            <w:pPr>
              <w:jc w:val="right"/>
              <w:rPr>
                <w:iCs/>
              </w:rPr>
            </w:pPr>
            <w:r>
              <w:rPr>
                <w:iCs/>
              </w:rPr>
              <w:t>30</w:t>
            </w:r>
          </w:p>
        </w:tc>
        <w:tc>
          <w:tcPr>
            <w:tcW w:w="1080" w:type="dxa"/>
            <w:tcBorders>
              <w:top w:val="nil"/>
              <w:left w:val="nil"/>
              <w:bottom w:val="single" w:sz="4" w:space="0" w:color="000000"/>
              <w:right w:val="single" w:sz="4" w:space="0" w:color="000000"/>
            </w:tcBorders>
            <w:shd w:val="clear" w:color="auto" w:fill="auto"/>
            <w:hideMark/>
          </w:tcPr>
          <w:p w:rsidR="004B0829" w:rsidRPr="004B0829" w:rsidRDefault="004B0829" w:rsidP="00AD7C55">
            <w:pPr>
              <w:jc w:val="right"/>
              <w:rPr>
                <w:iCs/>
              </w:rPr>
            </w:pPr>
            <w:r w:rsidRPr="004B0829">
              <w:rPr>
                <w:iCs/>
              </w:rPr>
              <w:t>1</w:t>
            </w:r>
            <w:r w:rsidR="00AD7C55">
              <w:rPr>
                <w:iCs/>
              </w:rPr>
              <w:t>,200</w:t>
            </w:r>
          </w:p>
        </w:tc>
        <w:tc>
          <w:tcPr>
            <w:tcW w:w="1548" w:type="dxa"/>
            <w:tcBorders>
              <w:top w:val="nil"/>
              <w:left w:val="nil"/>
              <w:bottom w:val="single" w:sz="4" w:space="0" w:color="000000"/>
              <w:right w:val="single" w:sz="4" w:space="0" w:color="000000"/>
            </w:tcBorders>
            <w:shd w:val="clear" w:color="auto" w:fill="auto"/>
            <w:hideMark/>
          </w:tcPr>
          <w:p w:rsidR="004B0829" w:rsidRPr="004B0829" w:rsidRDefault="004B0829" w:rsidP="00AD7C55">
            <w:pPr>
              <w:jc w:val="right"/>
              <w:rPr>
                <w:iCs/>
              </w:rPr>
            </w:pPr>
            <w:r w:rsidRPr="004B0829">
              <w:rPr>
                <w:iCs/>
              </w:rPr>
              <w:t>$</w:t>
            </w:r>
            <w:r w:rsidR="00AD7C55">
              <w:rPr>
                <w:iCs/>
              </w:rPr>
              <w:t>62,400</w:t>
            </w:r>
          </w:p>
        </w:tc>
      </w:tr>
      <w:tr w:rsidR="004B0829" w:rsidRPr="004B0829" w:rsidTr="00AD7C55">
        <w:trPr>
          <w:trHeight w:val="300"/>
          <w:jc w:val="center"/>
        </w:trPr>
        <w:tc>
          <w:tcPr>
            <w:tcW w:w="5418"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4B0829">
            <w:pPr>
              <w:rPr>
                <w:iCs/>
              </w:rPr>
            </w:pPr>
            <w:r w:rsidRPr="004B0829">
              <w:rPr>
                <w:iCs/>
              </w:rPr>
              <w:t>Modification to address GHG in non-GHG permit</w:t>
            </w:r>
          </w:p>
        </w:tc>
        <w:tc>
          <w:tcPr>
            <w:tcW w:w="1167" w:type="dxa"/>
            <w:tcBorders>
              <w:top w:val="nil"/>
              <w:left w:val="nil"/>
              <w:bottom w:val="single" w:sz="4" w:space="0" w:color="000000"/>
              <w:right w:val="single" w:sz="4" w:space="0" w:color="000000"/>
            </w:tcBorders>
            <w:shd w:val="clear" w:color="auto" w:fill="auto"/>
            <w:hideMark/>
          </w:tcPr>
          <w:p w:rsidR="004B0829" w:rsidRPr="004B0829" w:rsidRDefault="004B0829" w:rsidP="00AD7C55">
            <w:pPr>
              <w:jc w:val="right"/>
              <w:rPr>
                <w:iCs/>
              </w:rPr>
            </w:pPr>
            <w:r w:rsidRPr="004B0829">
              <w:rPr>
                <w:iCs/>
              </w:rPr>
              <w:t>4</w:t>
            </w:r>
          </w:p>
        </w:tc>
        <w:tc>
          <w:tcPr>
            <w:tcW w:w="1083" w:type="dxa"/>
            <w:tcBorders>
              <w:top w:val="nil"/>
              <w:left w:val="nil"/>
              <w:bottom w:val="single" w:sz="4" w:space="0" w:color="000000"/>
              <w:right w:val="single" w:sz="4" w:space="0" w:color="000000"/>
            </w:tcBorders>
            <w:shd w:val="clear" w:color="auto" w:fill="auto"/>
            <w:hideMark/>
          </w:tcPr>
          <w:p w:rsidR="004B0829" w:rsidRPr="004B0829" w:rsidRDefault="004B0829" w:rsidP="00AD7C55">
            <w:pPr>
              <w:jc w:val="right"/>
              <w:rPr>
                <w:iCs/>
              </w:rPr>
            </w:pPr>
            <w:r w:rsidRPr="004B0829">
              <w:rPr>
                <w:iCs/>
              </w:rPr>
              <w:t>23</w:t>
            </w:r>
            <w:r w:rsidR="00AD7C55">
              <w:rPr>
                <w:iCs/>
              </w:rPr>
              <w:t>1</w:t>
            </w:r>
          </w:p>
        </w:tc>
        <w:tc>
          <w:tcPr>
            <w:tcW w:w="1080" w:type="dxa"/>
            <w:tcBorders>
              <w:top w:val="nil"/>
              <w:left w:val="nil"/>
              <w:bottom w:val="single" w:sz="4" w:space="0" w:color="000000"/>
              <w:right w:val="single" w:sz="4" w:space="0" w:color="000000"/>
            </w:tcBorders>
            <w:shd w:val="clear" w:color="auto" w:fill="auto"/>
            <w:hideMark/>
          </w:tcPr>
          <w:p w:rsidR="004B0829" w:rsidRPr="004B0829" w:rsidRDefault="00AD7C55" w:rsidP="00AD7C55">
            <w:pPr>
              <w:jc w:val="right"/>
              <w:rPr>
                <w:iCs/>
              </w:rPr>
            </w:pPr>
            <w:r>
              <w:rPr>
                <w:iCs/>
              </w:rPr>
              <w:t>924</w:t>
            </w:r>
          </w:p>
        </w:tc>
        <w:tc>
          <w:tcPr>
            <w:tcW w:w="1548" w:type="dxa"/>
            <w:tcBorders>
              <w:top w:val="nil"/>
              <w:left w:val="nil"/>
              <w:bottom w:val="single" w:sz="4" w:space="0" w:color="000000"/>
              <w:right w:val="single" w:sz="4" w:space="0" w:color="000000"/>
            </w:tcBorders>
            <w:shd w:val="clear" w:color="auto" w:fill="auto"/>
            <w:hideMark/>
          </w:tcPr>
          <w:p w:rsidR="004B0829" w:rsidRPr="004B0829" w:rsidRDefault="004B0829" w:rsidP="00AD7C55">
            <w:pPr>
              <w:jc w:val="right"/>
              <w:rPr>
                <w:iCs/>
              </w:rPr>
            </w:pPr>
            <w:r w:rsidRPr="004B0829">
              <w:rPr>
                <w:iCs/>
              </w:rPr>
              <w:t>$48,</w:t>
            </w:r>
            <w:r w:rsidR="00AD7C55">
              <w:rPr>
                <w:iCs/>
              </w:rPr>
              <w:t>048</w:t>
            </w:r>
          </w:p>
        </w:tc>
      </w:tr>
      <w:tr w:rsidR="004B0829" w:rsidRPr="004B0829" w:rsidTr="00AD7C55">
        <w:trPr>
          <w:trHeight w:val="300"/>
          <w:jc w:val="center"/>
        </w:trPr>
        <w:tc>
          <w:tcPr>
            <w:tcW w:w="5418"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4B0829">
            <w:pPr>
              <w:rPr>
                <w:iCs/>
              </w:rPr>
            </w:pPr>
            <w:r w:rsidRPr="004B0829">
              <w:rPr>
                <w:iCs/>
              </w:rPr>
              <w:t>Address GHG at Renewal</w:t>
            </w:r>
          </w:p>
        </w:tc>
        <w:tc>
          <w:tcPr>
            <w:tcW w:w="1167" w:type="dxa"/>
            <w:tcBorders>
              <w:top w:val="nil"/>
              <w:left w:val="nil"/>
              <w:bottom w:val="single" w:sz="4" w:space="0" w:color="000000"/>
              <w:right w:val="single" w:sz="4" w:space="0" w:color="000000"/>
            </w:tcBorders>
            <w:shd w:val="clear" w:color="auto" w:fill="auto"/>
            <w:hideMark/>
          </w:tcPr>
          <w:p w:rsidR="004B0829" w:rsidRPr="004B0829" w:rsidRDefault="004B0829" w:rsidP="00AD7C55">
            <w:pPr>
              <w:jc w:val="right"/>
              <w:rPr>
                <w:iCs/>
              </w:rPr>
            </w:pPr>
            <w:r w:rsidRPr="004B0829">
              <w:rPr>
                <w:iCs/>
              </w:rPr>
              <w:t>9</w:t>
            </w:r>
          </w:p>
        </w:tc>
        <w:tc>
          <w:tcPr>
            <w:tcW w:w="1083" w:type="dxa"/>
            <w:tcBorders>
              <w:top w:val="nil"/>
              <w:left w:val="nil"/>
              <w:bottom w:val="single" w:sz="4" w:space="0" w:color="000000"/>
              <w:right w:val="single" w:sz="4" w:space="0" w:color="000000"/>
            </w:tcBorders>
            <w:shd w:val="clear" w:color="auto" w:fill="auto"/>
            <w:hideMark/>
          </w:tcPr>
          <w:p w:rsidR="004B0829" w:rsidRPr="004B0829" w:rsidRDefault="00AD7C55" w:rsidP="00AD7C55">
            <w:pPr>
              <w:jc w:val="right"/>
              <w:rPr>
                <w:iCs/>
              </w:rPr>
            </w:pPr>
            <w:r>
              <w:rPr>
                <w:iCs/>
              </w:rPr>
              <w:t>62</w:t>
            </w:r>
          </w:p>
        </w:tc>
        <w:tc>
          <w:tcPr>
            <w:tcW w:w="1080" w:type="dxa"/>
            <w:tcBorders>
              <w:top w:val="nil"/>
              <w:left w:val="nil"/>
              <w:bottom w:val="single" w:sz="4" w:space="0" w:color="000000"/>
              <w:right w:val="single" w:sz="4" w:space="0" w:color="000000"/>
            </w:tcBorders>
            <w:shd w:val="clear" w:color="auto" w:fill="auto"/>
            <w:hideMark/>
          </w:tcPr>
          <w:p w:rsidR="004B0829" w:rsidRPr="004B0829" w:rsidRDefault="00AD7C55" w:rsidP="00AD7C55">
            <w:pPr>
              <w:jc w:val="right"/>
              <w:rPr>
                <w:iCs/>
              </w:rPr>
            </w:pPr>
            <w:r>
              <w:rPr>
                <w:iCs/>
              </w:rPr>
              <w:t>562</w:t>
            </w:r>
          </w:p>
        </w:tc>
        <w:tc>
          <w:tcPr>
            <w:tcW w:w="1548" w:type="dxa"/>
            <w:tcBorders>
              <w:top w:val="nil"/>
              <w:left w:val="nil"/>
              <w:bottom w:val="single" w:sz="4" w:space="0" w:color="000000"/>
              <w:right w:val="single" w:sz="4" w:space="0" w:color="000000"/>
            </w:tcBorders>
            <w:shd w:val="clear" w:color="auto" w:fill="auto"/>
            <w:hideMark/>
          </w:tcPr>
          <w:p w:rsidR="004B0829" w:rsidRPr="004B0829" w:rsidRDefault="004B0829" w:rsidP="00AD7C55">
            <w:pPr>
              <w:jc w:val="right"/>
              <w:rPr>
                <w:iCs/>
              </w:rPr>
            </w:pPr>
            <w:r w:rsidRPr="004B0829">
              <w:rPr>
                <w:iCs/>
              </w:rPr>
              <w:t>$</w:t>
            </w:r>
            <w:r w:rsidR="00AD7C55">
              <w:rPr>
                <w:iCs/>
              </w:rPr>
              <w:t>29,203</w:t>
            </w:r>
          </w:p>
        </w:tc>
      </w:tr>
      <w:tr w:rsidR="00491C8F" w:rsidRPr="004B0829" w:rsidTr="00F55CA6">
        <w:trPr>
          <w:trHeight w:val="300"/>
          <w:jc w:val="center"/>
        </w:trPr>
        <w:tc>
          <w:tcPr>
            <w:tcW w:w="7668" w:type="dxa"/>
            <w:gridSpan w:val="3"/>
            <w:tcBorders>
              <w:top w:val="nil"/>
              <w:left w:val="single" w:sz="4" w:space="0" w:color="000000"/>
              <w:bottom w:val="nil"/>
              <w:right w:val="single" w:sz="4" w:space="0" w:color="000000"/>
            </w:tcBorders>
            <w:shd w:val="clear" w:color="auto" w:fill="auto"/>
            <w:hideMark/>
          </w:tcPr>
          <w:p w:rsidR="00491C8F" w:rsidRPr="004B0829" w:rsidRDefault="00491C8F" w:rsidP="00491C8F">
            <w:pPr>
              <w:rPr>
                <w:b/>
                <w:bCs/>
                <w:iCs/>
              </w:rPr>
            </w:pPr>
            <w:r w:rsidRPr="004B0829">
              <w:rPr>
                <w:b/>
                <w:bCs/>
                <w:iCs/>
              </w:rPr>
              <w:t xml:space="preserve">Total </w:t>
            </w:r>
            <w:r>
              <w:rPr>
                <w:b/>
                <w:bCs/>
                <w:iCs/>
              </w:rPr>
              <w:t xml:space="preserve">                                     </w:t>
            </w:r>
            <w:r w:rsidRPr="004B0829">
              <w:rPr>
                <w:b/>
                <w:bCs/>
                <w:iCs/>
              </w:rPr>
              <w:t xml:space="preserve">                                         </w:t>
            </w:r>
            <w:r>
              <w:rPr>
                <w:b/>
                <w:bCs/>
                <w:iCs/>
              </w:rPr>
              <w:t xml:space="preserve">    </w:t>
            </w:r>
            <w:r w:rsidRPr="004B0829">
              <w:rPr>
                <w:b/>
                <w:bCs/>
                <w:iCs/>
              </w:rPr>
              <w:t xml:space="preserve">                    3-year </w:t>
            </w:r>
          </w:p>
        </w:tc>
        <w:tc>
          <w:tcPr>
            <w:tcW w:w="1080" w:type="dxa"/>
            <w:tcBorders>
              <w:top w:val="nil"/>
              <w:left w:val="nil"/>
              <w:bottom w:val="nil"/>
              <w:right w:val="single" w:sz="4" w:space="0" w:color="000000"/>
            </w:tcBorders>
            <w:shd w:val="clear" w:color="auto" w:fill="auto"/>
            <w:hideMark/>
          </w:tcPr>
          <w:p w:rsidR="00491C8F" w:rsidRPr="004B0829" w:rsidRDefault="00491C8F" w:rsidP="00AD7C55">
            <w:pPr>
              <w:jc w:val="right"/>
              <w:rPr>
                <w:b/>
                <w:bCs/>
                <w:iCs/>
              </w:rPr>
            </w:pPr>
            <w:r>
              <w:rPr>
                <w:b/>
                <w:bCs/>
                <w:iCs/>
              </w:rPr>
              <w:t>4,148</w:t>
            </w:r>
          </w:p>
        </w:tc>
        <w:tc>
          <w:tcPr>
            <w:tcW w:w="1548" w:type="dxa"/>
            <w:tcBorders>
              <w:top w:val="nil"/>
              <w:left w:val="nil"/>
              <w:bottom w:val="nil"/>
              <w:right w:val="single" w:sz="4" w:space="0" w:color="000000"/>
            </w:tcBorders>
            <w:shd w:val="clear" w:color="auto" w:fill="auto"/>
            <w:hideMark/>
          </w:tcPr>
          <w:p w:rsidR="00491C8F" w:rsidRPr="004B0829" w:rsidRDefault="00491C8F" w:rsidP="00AD7C55">
            <w:pPr>
              <w:jc w:val="right"/>
              <w:rPr>
                <w:b/>
                <w:bCs/>
                <w:iCs/>
              </w:rPr>
            </w:pPr>
            <w:r w:rsidRPr="004B0829">
              <w:rPr>
                <w:b/>
                <w:bCs/>
                <w:iCs/>
              </w:rPr>
              <w:t>$</w:t>
            </w:r>
            <w:r>
              <w:rPr>
                <w:b/>
                <w:bCs/>
                <w:iCs/>
              </w:rPr>
              <w:t>215,675</w:t>
            </w:r>
          </w:p>
        </w:tc>
      </w:tr>
      <w:tr w:rsidR="00491C8F" w:rsidRPr="004B0829" w:rsidTr="00491C8F">
        <w:trPr>
          <w:trHeight w:val="300"/>
          <w:jc w:val="center"/>
        </w:trPr>
        <w:tc>
          <w:tcPr>
            <w:tcW w:w="7668" w:type="dxa"/>
            <w:gridSpan w:val="3"/>
            <w:tcBorders>
              <w:top w:val="nil"/>
              <w:left w:val="single" w:sz="4" w:space="0" w:color="000000"/>
              <w:bottom w:val="single" w:sz="4" w:space="0" w:color="auto"/>
              <w:right w:val="single" w:sz="4" w:space="0" w:color="000000"/>
            </w:tcBorders>
            <w:shd w:val="clear" w:color="auto" w:fill="auto"/>
            <w:hideMark/>
          </w:tcPr>
          <w:p w:rsidR="00491C8F" w:rsidRPr="00491C8F" w:rsidRDefault="00491C8F" w:rsidP="00AD7C55">
            <w:pPr>
              <w:jc w:val="right"/>
              <w:rPr>
                <w:b/>
                <w:bCs/>
                <w:iCs/>
              </w:rPr>
            </w:pPr>
            <w:r w:rsidRPr="004B0829">
              <w:rPr>
                <w:b/>
                <w:bCs/>
                <w:iCs/>
              </w:rPr>
              <w:t>Annual</w:t>
            </w:r>
            <w:r>
              <w:rPr>
                <w:b/>
                <w:bCs/>
                <w:iCs/>
              </w:rPr>
              <w:t xml:space="preserve">             </w:t>
            </w:r>
          </w:p>
        </w:tc>
        <w:tc>
          <w:tcPr>
            <w:tcW w:w="1080" w:type="dxa"/>
            <w:tcBorders>
              <w:top w:val="nil"/>
              <w:left w:val="nil"/>
              <w:bottom w:val="single" w:sz="4" w:space="0" w:color="auto"/>
              <w:right w:val="single" w:sz="4" w:space="0" w:color="000000"/>
            </w:tcBorders>
            <w:shd w:val="clear" w:color="auto" w:fill="auto"/>
            <w:hideMark/>
          </w:tcPr>
          <w:p w:rsidR="00491C8F" w:rsidRPr="004B0829" w:rsidRDefault="00491C8F" w:rsidP="00AD7C55">
            <w:pPr>
              <w:jc w:val="right"/>
              <w:rPr>
                <w:b/>
                <w:bCs/>
                <w:iCs/>
              </w:rPr>
            </w:pPr>
            <w:r w:rsidRPr="004B0829">
              <w:rPr>
                <w:b/>
                <w:bCs/>
                <w:iCs/>
              </w:rPr>
              <w:t>1</w:t>
            </w:r>
            <w:r>
              <w:rPr>
                <w:b/>
                <w:bCs/>
                <w:iCs/>
              </w:rPr>
              <w:t>,383</w:t>
            </w:r>
          </w:p>
        </w:tc>
        <w:tc>
          <w:tcPr>
            <w:tcW w:w="1548" w:type="dxa"/>
            <w:tcBorders>
              <w:top w:val="nil"/>
              <w:left w:val="nil"/>
              <w:bottom w:val="single" w:sz="4" w:space="0" w:color="auto"/>
              <w:right w:val="single" w:sz="4" w:space="0" w:color="000000"/>
            </w:tcBorders>
            <w:shd w:val="clear" w:color="auto" w:fill="auto"/>
            <w:hideMark/>
          </w:tcPr>
          <w:p w:rsidR="00491C8F" w:rsidRPr="004B0829" w:rsidRDefault="00491C8F" w:rsidP="00AD7C55">
            <w:pPr>
              <w:jc w:val="right"/>
              <w:rPr>
                <w:b/>
                <w:bCs/>
                <w:iCs/>
              </w:rPr>
            </w:pPr>
            <w:r w:rsidRPr="004B0829">
              <w:rPr>
                <w:b/>
                <w:bCs/>
                <w:iCs/>
              </w:rPr>
              <w:t>$</w:t>
            </w:r>
            <w:r>
              <w:rPr>
                <w:b/>
                <w:bCs/>
                <w:iCs/>
              </w:rPr>
              <w:t>71,892</w:t>
            </w:r>
          </w:p>
        </w:tc>
      </w:tr>
      <w:tr w:rsidR="00491C8F" w:rsidRPr="004B0829" w:rsidTr="00491C8F">
        <w:trPr>
          <w:trHeight w:val="300"/>
          <w:jc w:val="center"/>
        </w:trPr>
        <w:tc>
          <w:tcPr>
            <w:tcW w:w="7668" w:type="dxa"/>
            <w:gridSpan w:val="3"/>
            <w:tcBorders>
              <w:top w:val="single" w:sz="4" w:space="0" w:color="auto"/>
              <w:left w:val="single" w:sz="4" w:space="0" w:color="000000"/>
              <w:bottom w:val="nil"/>
              <w:right w:val="single" w:sz="4" w:space="0" w:color="000000"/>
            </w:tcBorders>
            <w:shd w:val="clear" w:color="auto" w:fill="auto"/>
          </w:tcPr>
          <w:p w:rsidR="00491C8F" w:rsidRDefault="00491C8F" w:rsidP="00F55CA6">
            <w:pPr>
              <w:numPr>
                <w:ilvl w:val="12"/>
                <w:numId w:val="0"/>
              </w:numPr>
              <w:spacing w:line="276" w:lineRule="auto"/>
              <w:rPr>
                <w:b/>
              </w:rPr>
            </w:pPr>
            <w:r>
              <w:rPr>
                <w:b/>
              </w:rPr>
              <w:t>Total for the Delegate Permitting Authority                                    Annual</w:t>
            </w:r>
          </w:p>
        </w:tc>
        <w:tc>
          <w:tcPr>
            <w:tcW w:w="1080" w:type="dxa"/>
            <w:tcBorders>
              <w:top w:val="single" w:sz="4" w:space="0" w:color="auto"/>
              <w:left w:val="nil"/>
              <w:bottom w:val="nil"/>
              <w:right w:val="single" w:sz="4" w:space="0" w:color="000000"/>
            </w:tcBorders>
            <w:shd w:val="clear" w:color="auto" w:fill="auto"/>
          </w:tcPr>
          <w:p w:rsidR="00491C8F" w:rsidRPr="004B0829" w:rsidRDefault="00491C8F" w:rsidP="00AD7C55">
            <w:pPr>
              <w:jc w:val="right"/>
              <w:rPr>
                <w:b/>
                <w:bCs/>
                <w:iCs/>
              </w:rPr>
            </w:pPr>
            <w:r>
              <w:rPr>
                <w:b/>
                <w:bCs/>
                <w:iCs/>
              </w:rPr>
              <w:t>111</w:t>
            </w:r>
          </w:p>
        </w:tc>
        <w:tc>
          <w:tcPr>
            <w:tcW w:w="1548" w:type="dxa"/>
            <w:tcBorders>
              <w:top w:val="single" w:sz="4" w:space="0" w:color="auto"/>
              <w:left w:val="nil"/>
              <w:bottom w:val="nil"/>
              <w:right w:val="single" w:sz="4" w:space="0" w:color="000000"/>
            </w:tcBorders>
            <w:shd w:val="clear" w:color="auto" w:fill="auto"/>
          </w:tcPr>
          <w:p w:rsidR="00491C8F" w:rsidRPr="004B0829" w:rsidRDefault="00491C8F" w:rsidP="00AD7C55">
            <w:pPr>
              <w:jc w:val="right"/>
              <w:rPr>
                <w:b/>
                <w:bCs/>
                <w:iCs/>
              </w:rPr>
            </w:pPr>
            <w:r>
              <w:rPr>
                <w:b/>
                <w:bCs/>
                <w:iCs/>
              </w:rPr>
              <w:t>$5,784</w:t>
            </w:r>
          </w:p>
        </w:tc>
      </w:tr>
      <w:tr w:rsidR="00491C8F" w:rsidRPr="004B0829" w:rsidTr="00491C8F">
        <w:trPr>
          <w:trHeight w:val="300"/>
          <w:jc w:val="center"/>
        </w:trPr>
        <w:tc>
          <w:tcPr>
            <w:tcW w:w="7668" w:type="dxa"/>
            <w:gridSpan w:val="3"/>
            <w:tcBorders>
              <w:top w:val="nil"/>
              <w:left w:val="single" w:sz="4" w:space="0" w:color="000000"/>
              <w:bottom w:val="single" w:sz="4" w:space="0" w:color="000000"/>
              <w:right w:val="single" w:sz="4" w:space="0" w:color="000000"/>
            </w:tcBorders>
            <w:shd w:val="clear" w:color="auto" w:fill="auto"/>
          </w:tcPr>
          <w:p w:rsidR="00491C8F" w:rsidRDefault="00491C8F" w:rsidP="00F55CA6">
            <w:pPr>
              <w:numPr>
                <w:ilvl w:val="12"/>
                <w:numId w:val="0"/>
              </w:numPr>
              <w:spacing w:line="276" w:lineRule="auto"/>
              <w:rPr>
                <w:b/>
              </w:rPr>
            </w:pPr>
            <w:r>
              <w:rPr>
                <w:b/>
              </w:rPr>
              <w:t>Total for the EPA                                                                                Annual</w:t>
            </w:r>
          </w:p>
        </w:tc>
        <w:tc>
          <w:tcPr>
            <w:tcW w:w="1080" w:type="dxa"/>
            <w:tcBorders>
              <w:top w:val="nil"/>
              <w:left w:val="nil"/>
              <w:bottom w:val="single" w:sz="4" w:space="0" w:color="000000"/>
              <w:right w:val="single" w:sz="4" w:space="0" w:color="000000"/>
            </w:tcBorders>
            <w:shd w:val="clear" w:color="auto" w:fill="auto"/>
          </w:tcPr>
          <w:p w:rsidR="00491C8F" w:rsidRPr="004B0829" w:rsidRDefault="00491C8F" w:rsidP="00AD7C55">
            <w:pPr>
              <w:jc w:val="right"/>
              <w:rPr>
                <w:b/>
                <w:bCs/>
                <w:iCs/>
              </w:rPr>
            </w:pPr>
            <w:r>
              <w:rPr>
                <w:b/>
                <w:bCs/>
                <w:iCs/>
              </w:rPr>
              <w:t>1,272</w:t>
            </w:r>
          </w:p>
        </w:tc>
        <w:tc>
          <w:tcPr>
            <w:tcW w:w="1548" w:type="dxa"/>
            <w:tcBorders>
              <w:top w:val="nil"/>
              <w:left w:val="nil"/>
              <w:bottom w:val="single" w:sz="4" w:space="0" w:color="000000"/>
              <w:right w:val="single" w:sz="4" w:space="0" w:color="000000"/>
            </w:tcBorders>
            <w:shd w:val="clear" w:color="auto" w:fill="auto"/>
          </w:tcPr>
          <w:p w:rsidR="00491C8F" w:rsidRPr="004B0829" w:rsidRDefault="00491C8F" w:rsidP="00AD7C55">
            <w:pPr>
              <w:jc w:val="right"/>
              <w:rPr>
                <w:b/>
                <w:bCs/>
                <w:iCs/>
              </w:rPr>
            </w:pPr>
            <w:r>
              <w:rPr>
                <w:b/>
                <w:bCs/>
                <w:iCs/>
              </w:rPr>
              <w:t>$66,107</w:t>
            </w:r>
          </w:p>
        </w:tc>
      </w:tr>
    </w:tbl>
    <w:p w:rsidR="004B0829" w:rsidRPr="004B0829" w:rsidRDefault="004B0829" w:rsidP="004B0829">
      <w:pPr>
        <w:rPr>
          <w:iCs/>
        </w:rPr>
      </w:pPr>
    </w:p>
    <w:p w:rsidR="004B0829" w:rsidRPr="004B0829" w:rsidRDefault="004B0829" w:rsidP="004B0829">
      <w:pPr>
        <w:rPr>
          <w:iCs/>
        </w:rPr>
      </w:pPr>
    </w:p>
    <w:p w:rsidR="004B0829" w:rsidRPr="004B0829" w:rsidRDefault="004B0829" w:rsidP="00AD7C55">
      <w:pPr>
        <w:jc w:val="center"/>
        <w:rPr>
          <w:iCs/>
        </w:rPr>
      </w:pPr>
      <w:r w:rsidRPr="004B0829">
        <w:rPr>
          <w:b/>
          <w:iCs/>
        </w:rPr>
        <w:t>Table 13. Three-Year and Annual Incremental Burden of the GHG Tailoring Rule for EPA</w:t>
      </w:r>
      <w:r w:rsidR="00AD7C55">
        <w:rPr>
          <w:b/>
          <w:iCs/>
        </w:rPr>
        <w:t xml:space="preserve"> Oversight of Delegate Agencies</w:t>
      </w:r>
    </w:p>
    <w:p w:rsidR="004B0829" w:rsidRPr="004B0829" w:rsidRDefault="004B0829" w:rsidP="004B0829">
      <w:pPr>
        <w:rPr>
          <w:iCs/>
        </w:rPr>
      </w:pPr>
    </w:p>
    <w:tbl>
      <w:tblPr>
        <w:tblW w:w="5000" w:type="pct"/>
        <w:jc w:val="center"/>
        <w:tblLook w:val="04A0"/>
      </w:tblPr>
      <w:tblGrid>
        <w:gridCol w:w="4713"/>
        <w:gridCol w:w="1160"/>
        <w:gridCol w:w="1083"/>
        <w:gridCol w:w="1717"/>
        <w:gridCol w:w="1623"/>
      </w:tblGrid>
      <w:tr w:rsidR="004B0829" w:rsidRPr="004B0829" w:rsidTr="007F46CA">
        <w:trPr>
          <w:trHeight w:val="945"/>
          <w:jc w:val="center"/>
        </w:trPr>
        <w:tc>
          <w:tcPr>
            <w:tcW w:w="4713" w:type="dxa"/>
            <w:tcBorders>
              <w:top w:val="single" w:sz="4" w:space="0" w:color="000000"/>
              <w:left w:val="single" w:sz="4" w:space="0" w:color="000000"/>
              <w:bottom w:val="nil"/>
              <w:right w:val="single" w:sz="4" w:space="0" w:color="000000"/>
            </w:tcBorders>
            <w:shd w:val="clear" w:color="auto" w:fill="auto"/>
            <w:vAlign w:val="bottom"/>
            <w:hideMark/>
          </w:tcPr>
          <w:p w:rsidR="004B0829" w:rsidRPr="004B0829" w:rsidRDefault="004B0829" w:rsidP="00AD7C55">
            <w:pPr>
              <w:jc w:val="center"/>
              <w:rPr>
                <w:b/>
                <w:bCs/>
                <w:iCs/>
              </w:rPr>
            </w:pPr>
            <w:r w:rsidRPr="004B0829">
              <w:rPr>
                <w:b/>
                <w:bCs/>
                <w:iCs/>
              </w:rPr>
              <w:t>Activity</w:t>
            </w:r>
          </w:p>
        </w:tc>
        <w:tc>
          <w:tcPr>
            <w:tcW w:w="1160"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AD7C55">
            <w:pPr>
              <w:jc w:val="center"/>
              <w:rPr>
                <w:b/>
                <w:bCs/>
                <w:iCs/>
              </w:rPr>
            </w:pPr>
            <w:r w:rsidRPr="004B0829">
              <w:rPr>
                <w:b/>
                <w:bCs/>
                <w:iCs/>
              </w:rPr>
              <w:t>Burden Hours per Permit</w:t>
            </w:r>
          </w:p>
        </w:tc>
        <w:tc>
          <w:tcPr>
            <w:tcW w:w="1083"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AD7C55">
            <w:pPr>
              <w:jc w:val="center"/>
              <w:rPr>
                <w:b/>
                <w:bCs/>
                <w:iCs/>
              </w:rPr>
            </w:pPr>
            <w:r w:rsidRPr="004B0829">
              <w:rPr>
                <w:b/>
                <w:bCs/>
                <w:iCs/>
              </w:rPr>
              <w:t>Affected Permits</w:t>
            </w:r>
          </w:p>
        </w:tc>
        <w:tc>
          <w:tcPr>
            <w:tcW w:w="1717"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AD7C55">
            <w:pPr>
              <w:jc w:val="center"/>
              <w:rPr>
                <w:b/>
                <w:bCs/>
                <w:iCs/>
              </w:rPr>
            </w:pPr>
            <w:r w:rsidRPr="004B0829">
              <w:rPr>
                <w:b/>
                <w:bCs/>
                <w:iCs/>
              </w:rPr>
              <w:t>Total 3-Year Burden (Hours)</w:t>
            </w:r>
          </w:p>
        </w:tc>
        <w:tc>
          <w:tcPr>
            <w:tcW w:w="1623" w:type="dxa"/>
            <w:tcBorders>
              <w:top w:val="single" w:sz="4" w:space="0" w:color="000000"/>
              <w:left w:val="nil"/>
              <w:bottom w:val="single" w:sz="4" w:space="0" w:color="000000"/>
              <w:right w:val="single" w:sz="4" w:space="0" w:color="000000"/>
            </w:tcBorders>
            <w:shd w:val="clear" w:color="auto" w:fill="auto"/>
            <w:vAlign w:val="bottom"/>
            <w:hideMark/>
          </w:tcPr>
          <w:p w:rsidR="004B0829" w:rsidRPr="004B0829" w:rsidRDefault="004B0829" w:rsidP="00AD7C55">
            <w:pPr>
              <w:jc w:val="center"/>
              <w:rPr>
                <w:b/>
                <w:bCs/>
                <w:iCs/>
              </w:rPr>
            </w:pPr>
            <w:r w:rsidRPr="004B0829">
              <w:rPr>
                <w:b/>
                <w:bCs/>
                <w:iCs/>
              </w:rPr>
              <w:t>Total 3-Year Cost</w:t>
            </w:r>
          </w:p>
          <w:p w:rsidR="004B0829" w:rsidRPr="004B0829" w:rsidRDefault="004B0829" w:rsidP="00AD7C55">
            <w:pPr>
              <w:jc w:val="center"/>
              <w:rPr>
                <w:b/>
                <w:bCs/>
                <w:iCs/>
              </w:rPr>
            </w:pPr>
            <w:r w:rsidRPr="004B0829">
              <w:rPr>
                <w:b/>
                <w:bCs/>
                <w:iCs/>
              </w:rPr>
              <w:t>(2011$)</w:t>
            </w:r>
          </w:p>
        </w:tc>
      </w:tr>
      <w:tr w:rsidR="004B0829" w:rsidRPr="004B0829" w:rsidTr="007F46CA">
        <w:trPr>
          <w:trHeight w:val="300"/>
          <w:jc w:val="center"/>
        </w:trPr>
        <w:tc>
          <w:tcPr>
            <w:tcW w:w="4713" w:type="dxa"/>
            <w:tcBorders>
              <w:top w:val="single" w:sz="4" w:space="0" w:color="000000"/>
              <w:left w:val="single" w:sz="4" w:space="0" w:color="000000"/>
              <w:bottom w:val="single" w:sz="4" w:space="0" w:color="000000"/>
              <w:right w:val="single" w:sz="4" w:space="0" w:color="000000"/>
            </w:tcBorders>
            <w:shd w:val="clear" w:color="auto" w:fill="auto"/>
            <w:hideMark/>
          </w:tcPr>
          <w:p w:rsidR="004B0829" w:rsidRPr="004B0829" w:rsidRDefault="004B0829" w:rsidP="004B0829">
            <w:pPr>
              <w:rPr>
                <w:iCs/>
              </w:rPr>
            </w:pPr>
            <w:r w:rsidRPr="004B0829">
              <w:rPr>
                <w:iCs/>
              </w:rPr>
              <w:t>Review Modification due to GHG</w:t>
            </w:r>
          </w:p>
        </w:tc>
        <w:tc>
          <w:tcPr>
            <w:tcW w:w="1160" w:type="dxa"/>
            <w:tcBorders>
              <w:top w:val="nil"/>
              <w:left w:val="nil"/>
              <w:bottom w:val="single" w:sz="4" w:space="0" w:color="000000"/>
              <w:right w:val="single" w:sz="4" w:space="0" w:color="000000"/>
            </w:tcBorders>
            <w:shd w:val="clear" w:color="auto" w:fill="auto"/>
            <w:hideMark/>
          </w:tcPr>
          <w:p w:rsidR="004B0829" w:rsidRPr="004B0829" w:rsidRDefault="004B0829" w:rsidP="00AD7C55">
            <w:pPr>
              <w:jc w:val="right"/>
              <w:rPr>
                <w:iCs/>
              </w:rPr>
            </w:pPr>
            <w:r w:rsidRPr="004B0829">
              <w:rPr>
                <w:iCs/>
              </w:rPr>
              <w:t>8</w:t>
            </w:r>
          </w:p>
        </w:tc>
        <w:tc>
          <w:tcPr>
            <w:tcW w:w="1083" w:type="dxa"/>
            <w:tcBorders>
              <w:top w:val="nil"/>
              <w:left w:val="nil"/>
              <w:bottom w:val="single" w:sz="4" w:space="0" w:color="000000"/>
              <w:right w:val="single" w:sz="4" w:space="0" w:color="000000"/>
            </w:tcBorders>
            <w:shd w:val="clear" w:color="auto" w:fill="auto"/>
            <w:hideMark/>
          </w:tcPr>
          <w:p w:rsidR="004B0829" w:rsidRPr="004B0829" w:rsidRDefault="004B0829" w:rsidP="00AD7C55">
            <w:pPr>
              <w:jc w:val="right"/>
              <w:rPr>
                <w:iCs/>
              </w:rPr>
            </w:pPr>
            <w:r w:rsidRPr="004B0829">
              <w:rPr>
                <w:iCs/>
              </w:rPr>
              <w:t>2</w:t>
            </w:r>
          </w:p>
        </w:tc>
        <w:tc>
          <w:tcPr>
            <w:tcW w:w="1717" w:type="dxa"/>
            <w:tcBorders>
              <w:top w:val="nil"/>
              <w:left w:val="nil"/>
              <w:bottom w:val="single" w:sz="4" w:space="0" w:color="000000"/>
              <w:right w:val="single" w:sz="4" w:space="0" w:color="000000"/>
            </w:tcBorders>
            <w:shd w:val="clear" w:color="auto" w:fill="auto"/>
            <w:hideMark/>
          </w:tcPr>
          <w:p w:rsidR="004B0829" w:rsidRPr="004B0829" w:rsidRDefault="00AD7C55" w:rsidP="00AD7C55">
            <w:pPr>
              <w:jc w:val="right"/>
              <w:rPr>
                <w:iCs/>
              </w:rPr>
            </w:pPr>
            <w:r>
              <w:rPr>
                <w:iCs/>
              </w:rPr>
              <w:t>16</w:t>
            </w:r>
          </w:p>
        </w:tc>
        <w:tc>
          <w:tcPr>
            <w:tcW w:w="1623" w:type="dxa"/>
            <w:tcBorders>
              <w:top w:val="nil"/>
              <w:left w:val="nil"/>
              <w:bottom w:val="single" w:sz="4" w:space="0" w:color="000000"/>
              <w:right w:val="single" w:sz="4" w:space="0" w:color="000000"/>
            </w:tcBorders>
            <w:shd w:val="clear" w:color="auto" w:fill="auto"/>
            <w:hideMark/>
          </w:tcPr>
          <w:p w:rsidR="004B0829" w:rsidRPr="004B0829" w:rsidRDefault="004B0829" w:rsidP="00AD7C55">
            <w:pPr>
              <w:jc w:val="right"/>
              <w:rPr>
                <w:iCs/>
              </w:rPr>
            </w:pPr>
            <w:r w:rsidRPr="004B0829">
              <w:rPr>
                <w:iCs/>
              </w:rPr>
              <w:t>$</w:t>
            </w:r>
            <w:r w:rsidR="00AD7C55">
              <w:rPr>
                <w:iCs/>
              </w:rPr>
              <w:t>832</w:t>
            </w:r>
          </w:p>
        </w:tc>
      </w:tr>
      <w:tr w:rsidR="004B0829" w:rsidRPr="004B0829" w:rsidTr="007F46CA">
        <w:trPr>
          <w:trHeight w:val="300"/>
          <w:jc w:val="center"/>
        </w:trPr>
        <w:tc>
          <w:tcPr>
            <w:tcW w:w="4713" w:type="dxa"/>
            <w:tcBorders>
              <w:top w:val="nil"/>
              <w:left w:val="single" w:sz="4" w:space="0" w:color="000000"/>
              <w:bottom w:val="single" w:sz="4" w:space="0" w:color="000000"/>
              <w:right w:val="single" w:sz="4" w:space="0" w:color="000000"/>
            </w:tcBorders>
            <w:shd w:val="clear" w:color="auto" w:fill="auto"/>
            <w:hideMark/>
          </w:tcPr>
          <w:p w:rsidR="004B0829" w:rsidRPr="004B0829" w:rsidRDefault="004B0829" w:rsidP="004B0829">
            <w:pPr>
              <w:rPr>
                <w:iCs/>
              </w:rPr>
            </w:pPr>
            <w:r w:rsidRPr="004B0829">
              <w:rPr>
                <w:iCs/>
              </w:rPr>
              <w:t>Consult on Modification due to GHG</w:t>
            </w:r>
          </w:p>
        </w:tc>
        <w:tc>
          <w:tcPr>
            <w:tcW w:w="1160" w:type="dxa"/>
            <w:tcBorders>
              <w:top w:val="nil"/>
              <w:left w:val="nil"/>
              <w:bottom w:val="single" w:sz="4" w:space="0" w:color="000000"/>
              <w:right w:val="single" w:sz="4" w:space="0" w:color="000000"/>
            </w:tcBorders>
            <w:shd w:val="clear" w:color="auto" w:fill="auto"/>
            <w:hideMark/>
          </w:tcPr>
          <w:p w:rsidR="004B0829" w:rsidRPr="004B0829" w:rsidRDefault="004B0829" w:rsidP="00AD7C55">
            <w:pPr>
              <w:jc w:val="right"/>
              <w:rPr>
                <w:iCs/>
              </w:rPr>
            </w:pPr>
            <w:r w:rsidRPr="004B0829">
              <w:rPr>
                <w:iCs/>
              </w:rPr>
              <w:t>8</w:t>
            </w:r>
          </w:p>
        </w:tc>
        <w:tc>
          <w:tcPr>
            <w:tcW w:w="1083" w:type="dxa"/>
            <w:tcBorders>
              <w:top w:val="nil"/>
              <w:left w:val="nil"/>
              <w:bottom w:val="single" w:sz="4" w:space="0" w:color="000000"/>
              <w:right w:val="single" w:sz="4" w:space="0" w:color="000000"/>
            </w:tcBorders>
            <w:shd w:val="clear" w:color="auto" w:fill="auto"/>
            <w:hideMark/>
          </w:tcPr>
          <w:p w:rsidR="004B0829" w:rsidRPr="004B0829" w:rsidRDefault="00AD7C55" w:rsidP="00AD7C55">
            <w:pPr>
              <w:jc w:val="right"/>
              <w:rPr>
                <w:iCs/>
              </w:rPr>
            </w:pPr>
            <w:r>
              <w:rPr>
                <w:iCs/>
              </w:rPr>
              <w:t>1</w:t>
            </w:r>
          </w:p>
        </w:tc>
        <w:tc>
          <w:tcPr>
            <w:tcW w:w="1717" w:type="dxa"/>
            <w:tcBorders>
              <w:top w:val="nil"/>
              <w:left w:val="nil"/>
              <w:bottom w:val="single" w:sz="4" w:space="0" w:color="000000"/>
              <w:right w:val="single" w:sz="4" w:space="0" w:color="000000"/>
            </w:tcBorders>
            <w:shd w:val="clear" w:color="auto" w:fill="auto"/>
            <w:hideMark/>
          </w:tcPr>
          <w:p w:rsidR="004B0829" w:rsidRPr="004B0829" w:rsidRDefault="004B0829" w:rsidP="00AD7C55">
            <w:pPr>
              <w:jc w:val="right"/>
              <w:rPr>
                <w:iCs/>
              </w:rPr>
            </w:pPr>
            <w:r w:rsidRPr="004B0829">
              <w:rPr>
                <w:iCs/>
              </w:rPr>
              <w:t>8</w:t>
            </w:r>
          </w:p>
        </w:tc>
        <w:tc>
          <w:tcPr>
            <w:tcW w:w="1623" w:type="dxa"/>
            <w:tcBorders>
              <w:top w:val="nil"/>
              <w:left w:val="nil"/>
              <w:bottom w:val="single" w:sz="4" w:space="0" w:color="000000"/>
              <w:right w:val="single" w:sz="4" w:space="0" w:color="000000"/>
            </w:tcBorders>
            <w:shd w:val="clear" w:color="auto" w:fill="auto"/>
            <w:hideMark/>
          </w:tcPr>
          <w:p w:rsidR="004B0829" w:rsidRPr="004B0829" w:rsidRDefault="004B0829" w:rsidP="00AD7C55">
            <w:pPr>
              <w:jc w:val="right"/>
              <w:rPr>
                <w:iCs/>
              </w:rPr>
            </w:pPr>
            <w:r w:rsidRPr="004B0829">
              <w:rPr>
                <w:iCs/>
              </w:rPr>
              <w:t>$</w:t>
            </w:r>
            <w:r w:rsidR="00AD7C55">
              <w:rPr>
                <w:iCs/>
              </w:rPr>
              <w:t>416</w:t>
            </w:r>
          </w:p>
        </w:tc>
      </w:tr>
      <w:tr w:rsidR="007F46CA" w:rsidRPr="004B0829" w:rsidTr="007F46CA">
        <w:trPr>
          <w:trHeight w:val="300"/>
          <w:jc w:val="center"/>
        </w:trPr>
        <w:tc>
          <w:tcPr>
            <w:tcW w:w="6956" w:type="dxa"/>
            <w:gridSpan w:val="3"/>
            <w:tcBorders>
              <w:top w:val="nil"/>
              <w:left w:val="single" w:sz="4" w:space="0" w:color="000000"/>
              <w:bottom w:val="nil"/>
              <w:right w:val="single" w:sz="4" w:space="0" w:color="000000"/>
            </w:tcBorders>
            <w:shd w:val="clear" w:color="auto" w:fill="auto"/>
            <w:hideMark/>
          </w:tcPr>
          <w:p w:rsidR="007F46CA" w:rsidRPr="004B0829" w:rsidRDefault="007F46CA" w:rsidP="007F46CA">
            <w:pPr>
              <w:rPr>
                <w:b/>
                <w:bCs/>
                <w:iCs/>
              </w:rPr>
            </w:pPr>
            <w:r w:rsidRPr="004B0829">
              <w:rPr>
                <w:b/>
                <w:bCs/>
                <w:iCs/>
              </w:rPr>
              <w:t xml:space="preserve">Total                                                     </w:t>
            </w:r>
            <w:r>
              <w:rPr>
                <w:b/>
                <w:bCs/>
                <w:iCs/>
              </w:rPr>
              <w:t xml:space="preserve">                                      </w:t>
            </w:r>
            <w:r w:rsidRPr="004B0829">
              <w:rPr>
                <w:b/>
                <w:bCs/>
                <w:iCs/>
              </w:rPr>
              <w:t xml:space="preserve"> 3-year</w:t>
            </w:r>
          </w:p>
        </w:tc>
        <w:tc>
          <w:tcPr>
            <w:tcW w:w="1717" w:type="dxa"/>
            <w:tcBorders>
              <w:top w:val="nil"/>
              <w:left w:val="nil"/>
              <w:bottom w:val="nil"/>
              <w:right w:val="single" w:sz="4" w:space="0" w:color="000000"/>
            </w:tcBorders>
            <w:shd w:val="clear" w:color="auto" w:fill="auto"/>
            <w:hideMark/>
          </w:tcPr>
          <w:p w:rsidR="007F46CA" w:rsidRPr="004B0829" w:rsidRDefault="007F46CA" w:rsidP="00AD7C55">
            <w:pPr>
              <w:jc w:val="right"/>
              <w:rPr>
                <w:b/>
                <w:bCs/>
                <w:iCs/>
              </w:rPr>
            </w:pPr>
            <w:r w:rsidRPr="004B0829">
              <w:rPr>
                <w:b/>
                <w:bCs/>
                <w:iCs/>
              </w:rPr>
              <w:t>2</w:t>
            </w:r>
            <w:r>
              <w:rPr>
                <w:b/>
                <w:bCs/>
                <w:iCs/>
              </w:rPr>
              <w:t>4</w:t>
            </w:r>
          </w:p>
        </w:tc>
        <w:tc>
          <w:tcPr>
            <w:tcW w:w="1623" w:type="dxa"/>
            <w:tcBorders>
              <w:top w:val="nil"/>
              <w:left w:val="nil"/>
              <w:bottom w:val="nil"/>
              <w:right w:val="single" w:sz="4" w:space="0" w:color="000000"/>
            </w:tcBorders>
            <w:shd w:val="clear" w:color="auto" w:fill="auto"/>
            <w:hideMark/>
          </w:tcPr>
          <w:p w:rsidR="007F46CA" w:rsidRPr="004B0829" w:rsidRDefault="007F46CA" w:rsidP="00AD7C55">
            <w:pPr>
              <w:jc w:val="right"/>
              <w:rPr>
                <w:b/>
                <w:bCs/>
                <w:iCs/>
              </w:rPr>
            </w:pPr>
            <w:r w:rsidRPr="004B0829">
              <w:rPr>
                <w:b/>
                <w:bCs/>
                <w:iCs/>
              </w:rPr>
              <w:t>$1,</w:t>
            </w:r>
            <w:r>
              <w:rPr>
                <w:b/>
                <w:bCs/>
                <w:iCs/>
              </w:rPr>
              <w:t>248</w:t>
            </w:r>
          </w:p>
        </w:tc>
      </w:tr>
      <w:tr w:rsidR="007F46CA" w:rsidRPr="004B0829" w:rsidTr="003E3A9D">
        <w:trPr>
          <w:trHeight w:val="300"/>
          <w:jc w:val="center"/>
        </w:trPr>
        <w:tc>
          <w:tcPr>
            <w:tcW w:w="6956" w:type="dxa"/>
            <w:gridSpan w:val="3"/>
            <w:tcBorders>
              <w:top w:val="nil"/>
              <w:left w:val="single" w:sz="4" w:space="0" w:color="000000"/>
              <w:bottom w:val="single" w:sz="4" w:space="0" w:color="000000"/>
              <w:right w:val="single" w:sz="4" w:space="0" w:color="000000"/>
            </w:tcBorders>
            <w:shd w:val="clear" w:color="auto" w:fill="auto"/>
            <w:hideMark/>
          </w:tcPr>
          <w:p w:rsidR="007F46CA" w:rsidRPr="007F46CA" w:rsidRDefault="007F46CA" w:rsidP="00AD7C55">
            <w:pPr>
              <w:jc w:val="right"/>
              <w:rPr>
                <w:b/>
                <w:bCs/>
                <w:iCs/>
              </w:rPr>
            </w:pPr>
            <w:r w:rsidRPr="004B0829">
              <w:rPr>
                <w:b/>
                <w:bCs/>
                <w:iCs/>
              </w:rPr>
              <w:t>Annual</w:t>
            </w:r>
          </w:p>
        </w:tc>
        <w:tc>
          <w:tcPr>
            <w:tcW w:w="1717" w:type="dxa"/>
            <w:tcBorders>
              <w:top w:val="nil"/>
              <w:left w:val="nil"/>
              <w:bottom w:val="single" w:sz="4" w:space="0" w:color="000000"/>
              <w:right w:val="single" w:sz="4" w:space="0" w:color="000000"/>
            </w:tcBorders>
            <w:shd w:val="clear" w:color="auto" w:fill="auto"/>
            <w:hideMark/>
          </w:tcPr>
          <w:p w:rsidR="007F46CA" w:rsidRPr="004B0829" w:rsidRDefault="007F46CA" w:rsidP="00AD7C55">
            <w:pPr>
              <w:jc w:val="right"/>
              <w:rPr>
                <w:b/>
                <w:bCs/>
                <w:iCs/>
              </w:rPr>
            </w:pPr>
            <w:r>
              <w:rPr>
                <w:b/>
                <w:bCs/>
                <w:iCs/>
              </w:rPr>
              <w:t>8</w:t>
            </w:r>
          </w:p>
        </w:tc>
        <w:tc>
          <w:tcPr>
            <w:tcW w:w="1623" w:type="dxa"/>
            <w:tcBorders>
              <w:top w:val="nil"/>
              <w:left w:val="nil"/>
              <w:bottom w:val="single" w:sz="4" w:space="0" w:color="000000"/>
              <w:right w:val="single" w:sz="4" w:space="0" w:color="000000"/>
            </w:tcBorders>
            <w:shd w:val="clear" w:color="auto" w:fill="auto"/>
            <w:hideMark/>
          </w:tcPr>
          <w:p w:rsidR="007F46CA" w:rsidRPr="004B0829" w:rsidRDefault="007F46CA" w:rsidP="00AD7C55">
            <w:pPr>
              <w:jc w:val="right"/>
              <w:rPr>
                <w:b/>
                <w:bCs/>
                <w:iCs/>
              </w:rPr>
            </w:pPr>
            <w:r w:rsidRPr="004B0829">
              <w:rPr>
                <w:b/>
                <w:bCs/>
                <w:iCs/>
              </w:rPr>
              <w:t>$4</w:t>
            </w:r>
            <w:r>
              <w:rPr>
                <w:b/>
                <w:bCs/>
                <w:iCs/>
              </w:rPr>
              <w:t>16</w:t>
            </w:r>
          </w:p>
        </w:tc>
      </w:tr>
    </w:tbl>
    <w:p w:rsidR="004B0829" w:rsidRPr="004B0829" w:rsidRDefault="004B0829" w:rsidP="004B0829">
      <w:pPr>
        <w:rPr>
          <w:iCs/>
        </w:rPr>
      </w:pPr>
    </w:p>
    <w:p w:rsidR="004B0829" w:rsidRDefault="004B0829" w:rsidP="004B0829">
      <w:pPr>
        <w:rPr>
          <w:iCs/>
        </w:rPr>
      </w:pPr>
    </w:p>
    <w:p w:rsidR="00AD7C55" w:rsidRPr="005D10D5" w:rsidRDefault="00AD7C55" w:rsidP="00491C8F">
      <w:pPr>
        <w:pStyle w:val="Heading3"/>
        <w:widowControl/>
        <w:spacing w:before="0"/>
        <w:ind w:firstLine="0"/>
      </w:pPr>
      <w:bookmarkStart w:id="51" w:name="_Toc319326609"/>
      <w:bookmarkStart w:id="52" w:name="_Toc320021965"/>
      <w:r>
        <w:lastRenderedPageBreak/>
        <w:t>6(e)(i) Respondent Tally</w:t>
      </w:r>
      <w:bookmarkEnd w:id="51"/>
      <w:bookmarkEnd w:id="52"/>
    </w:p>
    <w:p w:rsidR="00AD7C55" w:rsidRDefault="00AD7C55" w:rsidP="00491C8F">
      <w:pPr>
        <w:keepNext/>
      </w:pPr>
    </w:p>
    <w:p w:rsidR="00367675" w:rsidRDefault="00E8676F" w:rsidP="00491C8F">
      <w:pPr>
        <w:keepNext/>
      </w:pPr>
      <w:r>
        <w:t>Tables 2 and 3 above display the activities of the part 71 program carried out by sources and permitting authorities, respectively. Section 6(b)(i)</w:t>
      </w:r>
      <w:r w:rsidRPr="0093592D">
        <w:t xml:space="preserve"> explains the derivation of the hourly cost of labor for sources</w:t>
      </w:r>
      <w:r>
        <w:t xml:space="preserve"> and delegate permitting authorities</w:t>
      </w:r>
      <w:r w:rsidRPr="0093592D">
        <w:t xml:space="preserve">. </w:t>
      </w:r>
      <w:r w:rsidRPr="00E3711A">
        <w:t xml:space="preserve">Tables </w:t>
      </w:r>
      <w:r>
        <w:t xml:space="preserve">6 and </w:t>
      </w:r>
      <w:r w:rsidRPr="00E3711A">
        <w:t xml:space="preserve">7 summarize the expected baseline </w:t>
      </w:r>
      <w:r>
        <w:t xml:space="preserve">burden and </w:t>
      </w:r>
      <w:r w:rsidRPr="00E3711A">
        <w:t>costs (in 20</w:t>
      </w:r>
      <w:r>
        <w:t>11</w:t>
      </w:r>
      <w:r w:rsidRPr="00E3711A">
        <w:t xml:space="preserve"> dollars) </w:t>
      </w:r>
      <w:r>
        <w:t xml:space="preserve">over the 3-year period of this ICR renewal </w:t>
      </w:r>
      <w:r w:rsidRPr="00E3711A">
        <w:t>for sources</w:t>
      </w:r>
      <w:r>
        <w:t xml:space="preserve"> and</w:t>
      </w:r>
      <w:r w:rsidRPr="00E3711A">
        <w:t xml:space="preserve"> permitting authorities. The baseline burden and costs, which are based on the methodology of the previous </w:t>
      </w:r>
      <w:r>
        <w:t>ICR renewal</w:t>
      </w:r>
      <w:r w:rsidRPr="00E3711A">
        <w:t>, do not account for changes to the approved burden from the F</w:t>
      </w:r>
      <w:r>
        <w:t>AP</w:t>
      </w:r>
      <w:r w:rsidRPr="00E3711A">
        <w:t xml:space="preserve"> rule and the GHG Tailoring rule. The incremental burden and costs attributable to the F</w:t>
      </w:r>
      <w:r>
        <w:t>AP</w:t>
      </w:r>
      <w:r w:rsidRPr="00E3711A">
        <w:t xml:space="preserve"> rule </w:t>
      </w:r>
      <w:r>
        <w:t>are</w:t>
      </w:r>
      <w:r w:rsidRPr="00E3711A">
        <w:t xml:space="preserve"> shown in </w:t>
      </w:r>
      <w:r>
        <w:t>T</w:t>
      </w:r>
      <w:r w:rsidRPr="00E3711A">
        <w:t xml:space="preserve">ables </w:t>
      </w:r>
      <w:r>
        <w:t>8 and 9</w:t>
      </w:r>
      <w:r w:rsidRPr="00E3711A">
        <w:t xml:space="preserve"> </w:t>
      </w:r>
      <w:r>
        <w:t>for sources and permitting authorities, respectively,</w:t>
      </w:r>
      <w:r w:rsidRPr="00E3711A">
        <w:t xml:space="preserve"> and that attributable to the GHG Tailoring rule is shown in Table</w:t>
      </w:r>
      <w:r>
        <w:t>s 11 and 12</w:t>
      </w:r>
      <w:r w:rsidRPr="00E3711A">
        <w:t>. In table 1</w:t>
      </w:r>
      <w:r>
        <w:t>4</w:t>
      </w:r>
      <w:r w:rsidRPr="00E3711A">
        <w:t xml:space="preserve"> we show the </w:t>
      </w:r>
      <w:r>
        <w:t xml:space="preserve">calculation of the </w:t>
      </w:r>
      <w:r w:rsidR="007F4CC3">
        <w:t xml:space="preserve">bottom line </w:t>
      </w:r>
      <w:r>
        <w:t xml:space="preserve">average annual </w:t>
      </w:r>
      <w:r w:rsidRPr="00E3711A">
        <w:t>burden</w:t>
      </w:r>
      <w:r>
        <w:t xml:space="preserve"> for </w:t>
      </w:r>
      <w:r w:rsidR="00941464">
        <w:t xml:space="preserve">respondents (i.e., </w:t>
      </w:r>
      <w:r>
        <w:t xml:space="preserve">sources and </w:t>
      </w:r>
      <w:r w:rsidR="00F55CA6">
        <w:t xml:space="preserve">the single </w:t>
      </w:r>
      <w:r w:rsidR="00941464">
        <w:t xml:space="preserve">delegate </w:t>
      </w:r>
      <w:r>
        <w:t>permitting authorit</w:t>
      </w:r>
      <w:r w:rsidR="00F55CA6">
        <w:t>y</w:t>
      </w:r>
      <w:r w:rsidR="00941464">
        <w:t>)</w:t>
      </w:r>
      <w:r>
        <w:t>,</w:t>
      </w:r>
      <w:r w:rsidRPr="00E3711A">
        <w:t xml:space="preserve"> </w:t>
      </w:r>
      <w:r>
        <w:t xml:space="preserve">and in Table 15 the calculation of the </w:t>
      </w:r>
      <w:r w:rsidR="007F4CC3">
        <w:t xml:space="preserve">bottom line </w:t>
      </w:r>
      <w:r>
        <w:t xml:space="preserve">average annual cost, adjusted for the </w:t>
      </w:r>
      <w:r w:rsidRPr="00E3711A">
        <w:t>F</w:t>
      </w:r>
      <w:r>
        <w:t>AP</w:t>
      </w:r>
      <w:r w:rsidRPr="00E3711A">
        <w:t xml:space="preserve"> and GHG </w:t>
      </w:r>
      <w:r>
        <w:t>T</w:t>
      </w:r>
      <w:r w:rsidRPr="00E3711A">
        <w:t xml:space="preserve">ailoring </w:t>
      </w:r>
      <w:r>
        <w:t>r</w:t>
      </w:r>
      <w:r w:rsidRPr="00E3711A">
        <w:t>ules.</w:t>
      </w:r>
      <w:r w:rsidR="006035B4">
        <w:t xml:space="preserve"> As can be seen from these tables, the FAP rule and the GHG Tailoring rule resulted in nearly offsetting decreases and increases, respectively, in burden and cost. Overall, there is a small decrease in burden for sources and the delegate permitting authority.</w:t>
      </w:r>
    </w:p>
    <w:p w:rsidR="008B6E8E" w:rsidRDefault="008B6E8E" w:rsidP="004B0829"/>
    <w:p w:rsidR="008B6E8E" w:rsidRPr="00666CA0" w:rsidRDefault="008B6E8E" w:rsidP="00576C3C">
      <w:pPr>
        <w:keepNext/>
        <w:spacing w:line="276" w:lineRule="auto"/>
        <w:jc w:val="center"/>
        <w:rPr>
          <w:b/>
        </w:rPr>
      </w:pPr>
      <w:r w:rsidRPr="00666CA0">
        <w:rPr>
          <w:b/>
        </w:rPr>
        <w:t xml:space="preserve">Table </w:t>
      </w:r>
      <w:r>
        <w:rPr>
          <w:b/>
        </w:rPr>
        <w:t>14</w:t>
      </w:r>
      <w:r w:rsidRPr="00666CA0">
        <w:rPr>
          <w:b/>
        </w:rPr>
        <w:t xml:space="preserve">. </w:t>
      </w:r>
      <w:r w:rsidRPr="008B6E8E">
        <w:rPr>
          <w:b/>
        </w:rPr>
        <w:t xml:space="preserve">Calculation of Bottom Line Average Annual </w:t>
      </w:r>
      <w:r w:rsidR="00941464">
        <w:rPr>
          <w:b/>
        </w:rPr>
        <w:t>Respondent</w:t>
      </w:r>
      <w:r w:rsidRPr="008B6E8E">
        <w:rPr>
          <w:b/>
        </w:rPr>
        <w:t xml:space="preserve"> Burden Hours</w:t>
      </w:r>
      <w:r w:rsidRPr="00666CA0">
        <w:rPr>
          <w:b/>
        </w:rPr>
        <w:t xml:space="preserve"> </w:t>
      </w:r>
    </w:p>
    <w:p w:rsidR="008B6E8E" w:rsidRPr="00666CA0" w:rsidRDefault="008B6E8E" w:rsidP="007F011E">
      <w:pPr>
        <w:keepNext/>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655"/>
        <w:gridCol w:w="1440"/>
        <w:gridCol w:w="1815"/>
        <w:gridCol w:w="1757"/>
        <w:gridCol w:w="1523"/>
      </w:tblGrid>
      <w:tr w:rsidR="008B6E8E" w:rsidRPr="00666CA0" w:rsidTr="00C77C3B">
        <w:trPr>
          <w:jc w:val="center"/>
        </w:trPr>
        <w:tc>
          <w:tcPr>
            <w:tcW w:w="3655" w:type="dxa"/>
            <w:vAlign w:val="bottom"/>
          </w:tcPr>
          <w:p w:rsidR="008B6E8E" w:rsidRPr="00666CA0" w:rsidRDefault="008B6E8E" w:rsidP="007F011E">
            <w:pPr>
              <w:keepNext/>
              <w:jc w:val="center"/>
              <w:rPr>
                <w:b/>
              </w:rPr>
            </w:pPr>
            <w:r w:rsidRPr="00666CA0">
              <w:rPr>
                <w:b/>
              </w:rPr>
              <w:t>Respondent</w:t>
            </w:r>
          </w:p>
        </w:tc>
        <w:tc>
          <w:tcPr>
            <w:tcW w:w="1440" w:type="dxa"/>
            <w:vAlign w:val="bottom"/>
          </w:tcPr>
          <w:p w:rsidR="008B6E8E" w:rsidRPr="00666CA0" w:rsidRDefault="008B6E8E" w:rsidP="007F011E">
            <w:pPr>
              <w:keepNext/>
              <w:jc w:val="center"/>
              <w:rPr>
                <w:b/>
              </w:rPr>
            </w:pPr>
            <w:r w:rsidRPr="00666CA0">
              <w:rPr>
                <w:b/>
              </w:rPr>
              <w:t>Baseline</w:t>
            </w:r>
          </w:p>
        </w:tc>
        <w:tc>
          <w:tcPr>
            <w:tcW w:w="1815" w:type="dxa"/>
            <w:vAlign w:val="bottom"/>
          </w:tcPr>
          <w:p w:rsidR="008B6E8E" w:rsidRDefault="008B6E8E" w:rsidP="007F011E">
            <w:pPr>
              <w:keepNext/>
              <w:jc w:val="center"/>
              <w:rPr>
                <w:b/>
              </w:rPr>
            </w:pPr>
            <w:r w:rsidRPr="00666CA0">
              <w:rPr>
                <w:b/>
              </w:rPr>
              <w:t xml:space="preserve">Flexible Air </w:t>
            </w:r>
          </w:p>
          <w:p w:rsidR="008B6E8E" w:rsidRPr="00666CA0" w:rsidRDefault="008B6E8E" w:rsidP="007F011E">
            <w:pPr>
              <w:keepNext/>
              <w:jc w:val="center"/>
              <w:rPr>
                <w:b/>
              </w:rPr>
            </w:pPr>
            <w:r w:rsidRPr="00666CA0">
              <w:rPr>
                <w:b/>
              </w:rPr>
              <w:t>Permit</w:t>
            </w:r>
            <w:r>
              <w:rPr>
                <w:b/>
              </w:rPr>
              <w:t xml:space="preserve"> Rule</w:t>
            </w:r>
          </w:p>
        </w:tc>
        <w:tc>
          <w:tcPr>
            <w:tcW w:w="1757" w:type="dxa"/>
            <w:vAlign w:val="bottom"/>
          </w:tcPr>
          <w:p w:rsidR="008B6E8E" w:rsidRDefault="008B6E8E" w:rsidP="007F011E">
            <w:pPr>
              <w:keepNext/>
              <w:jc w:val="center"/>
              <w:rPr>
                <w:b/>
              </w:rPr>
            </w:pPr>
            <w:r w:rsidRPr="00666CA0">
              <w:rPr>
                <w:b/>
              </w:rPr>
              <w:t xml:space="preserve">GHG </w:t>
            </w:r>
          </w:p>
          <w:p w:rsidR="008B6E8E" w:rsidRPr="00666CA0" w:rsidRDefault="008B6E8E" w:rsidP="007F011E">
            <w:pPr>
              <w:keepNext/>
              <w:jc w:val="center"/>
              <w:rPr>
                <w:b/>
              </w:rPr>
            </w:pPr>
            <w:r w:rsidRPr="00666CA0">
              <w:rPr>
                <w:b/>
              </w:rPr>
              <w:t>Tailoring</w:t>
            </w:r>
            <w:r>
              <w:rPr>
                <w:b/>
              </w:rPr>
              <w:t xml:space="preserve"> Rule</w:t>
            </w:r>
          </w:p>
        </w:tc>
        <w:tc>
          <w:tcPr>
            <w:tcW w:w="1523" w:type="dxa"/>
            <w:vAlign w:val="bottom"/>
          </w:tcPr>
          <w:p w:rsidR="008B6E8E" w:rsidRPr="00666CA0" w:rsidRDefault="008B6E8E" w:rsidP="007F011E">
            <w:pPr>
              <w:keepNext/>
              <w:jc w:val="center"/>
              <w:rPr>
                <w:b/>
              </w:rPr>
            </w:pPr>
            <w:r w:rsidRPr="00666CA0">
              <w:rPr>
                <w:b/>
              </w:rPr>
              <w:t>T</w:t>
            </w:r>
            <w:r>
              <w:rPr>
                <w:b/>
              </w:rPr>
              <w:t>otal</w:t>
            </w:r>
          </w:p>
        </w:tc>
      </w:tr>
      <w:tr w:rsidR="008B6E8E" w:rsidRPr="00666CA0" w:rsidTr="00C77C3B">
        <w:trPr>
          <w:jc w:val="center"/>
        </w:trPr>
        <w:tc>
          <w:tcPr>
            <w:tcW w:w="3655" w:type="dxa"/>
          </w:tcPr>
          <w:p w:rsidR="008B6E8E" w:rsidRPr="00666CA0" w:rsidRDefault="008B6E8E" w:rsidP="007F011E">
            <w:pPr>
              <w:keepNext/>
            </w:pPr>
            <w:r w:rsidRPr="00666CA0">
              <w:t>Sources</w:t>
            </w:r>
          </w:p>
        </w:tc>
        <w:tc>
          <w:tcPr>
            <w:tcW w:w="1440" w:type="dxa"/>
          </w:tcPr>
          <w:p w:rsidR="008B6E8E" w:rsidRPr="00666CA0" w:rsidRDefault="008B6E8E" w:rsidP="007F011E">
            <w:pPr>
              <w:keepNext/>
              <w:jc w:val="right"/>
            </w:pPr>
            <w:r>
              <w:t>37,309</w:t>
            </w:r>
          </w:p>
        </w:tc>
        <w:tc>
          <w:tcPr>
            <w:tcW w:w="1815" w:type="dxa"/>
          </w:tcPr>
          <w:p w:rsidR="008B6E8E" w:rsidRPr="00666CA0" w:rsidRDefault="008B6E8E" w:rsidP="00EF76FA">
            <w:pPr>
              <w:keepNext/>
              <w:jc w:val="right"/>
            </w:pPr>
            <w:r w:rsidRPr="00666CA0">
              <w:t>-</w:t>
            </w:r>
            <w:r w:rsidR="00EF76FA">
              <w:t>2,473</w:t>
            </w:r>
          </w:p>
        </w:tc>
        <w:tc>
          <w:tcPr>
            <w:tcW w:w="1757" w:type="dxa"/>
          </w:tcPr>
          <w:p w:rsidR="008B6E8E" w:rsidRPr="00666CA0" w:rsidRDefault="00EF76FA" w:rsidP="007F011E">
            <w:pPr>
              <w:keepNext/>
              <w:jc w:val="right"/>
            </w:pPr>
            <w:r>
              <w:t>1,539</w:t>
            </w:r>
          </w:p>
        </w:tc>
        <w:tc>
          <w:tcPr>
            <w:tcW w:w="1523" w:type="dxa"/>
          </w:tcPr>
          <w:p w:rsidR="008B6E8E" w:rsidRPr="00666CA0" w:rsidRDefault="00EF76FA" w:rsidP="007F011E">
            <w:pPr>
              <w:keepNext/>
              <w:jc w:val="right"/>
            </w:pPr>
            <w:r>
              <w:t>36,375</w:t>
            </w:r>
          </w:p>
        </w:tc>
      </w:tr>
      <w:tr w:rsidR="008B6E8E" w:rsidRPr="00666CA0" w:rsidTr="00C77C3B">
        <w:trPr>
          <w:jc w:val="center"/>
        </w:trPr>
        <w:tc>
          <w:tcPr>
            <w:tcW w:w="3655" w:type="dxa"/>
          </w:tcPr>
          <w:p w:rsidR="008B6E8E" w:rsidRPr="00666CA0" w:rsidRDefault="008B6E8E" w:rsidP="007F011E">
            <w:pPr>
              <w:keepNext/>
            </w:pPr>
            <w:r>
              <w:t>Delegate Permitting Authority</w:t>
            </w:r>
          </w:p>
        </w:tc>
        <w:tc>
          <w:tcPr>
            <w:tcW w:w="1440" w:type="dxa"/>
          </w:tcPr>
          <w:p w:rsidR="008B6E8E" w:rsidRPr="00666CA0" w:rsidRDefault="00EF76FA" w:rsidP="00D635AB">
            <w:pPr>
              <w:keepNext/>
              <w:jc w:val="right"/>
            </w:pPr>
            <w:r>
              <w:t>1,2</w:t>
            </w:r>
            <w:r w:rsidR="00D635AB">
              <w:t>96</w:t>
            </w:r>
          </w:p>
        </w:tc>
        <w:tc>
          <w:tcPr>
            <w:tcW w:w="1815" w:type="dxa"/>
          </w:tcPr>
          <w:p w:rsidR="008B6E8E" w:rsidRPr="00666CA0" w:rsidRDefault="008B6E8E" w:rsidP="00D635AB">
            <w:pPr>
              <w:keepNext/>
              <w:jc w:val="right"/>
            </w:pPr>
            <w:r w:rsidRPr="00666CA0">
              <w:t>-</w:t>
            </w:r>
            <w:r w:rsidR="00EF76FA">
              <w:t>15</w:t>
            </w:r>
            <w:r w:rsidR="00D635AB">
              <w:t>3</w:t>
            </w:r>
          </w:p>
        </w:tc>
        <w:tc>
          <w:tcPr>
            <w:tcW w:w="1757" w:type="dxa"/>
          </w:tcPr>
          <w:p w:rsidR="008B6E8E" w:rsidRPr="00666CA0" w:rsidRDefault="00EF76FA" w:rsidP="007F011E">
            <w:pPr>
              <w:keepNext/>
              <w:jc w:val="right"/>
            </w:pPr>
            <w:r>
              <w:t>111</w:t>
            </w:r>
          </w:p>
        </w:tc>
        <w:tc>
          <w:tcPr>
            <w:tcW w:w="1523" w:type="dxa"/>
          </w:tcPr>
          <w:p w:rsidR="008B6E8E" w:rsidRPr="00666CA0" w:rsidRDefault="00EF76FA" w:rsidP="007F011E">
            <w:pPr>
              <w:keepNext/>
              <w:jc w:val="right"/>
            </w:pPr>
            <w:r>
              <w:t>1,2</w:t>
            </w:r>
            <w:r w:rsidR="008B6E8E" w:rsidRPr="00666CA0">
              <w:t>54</w:t>
            </w:r>
          </w:p>
        </w:tc>
      </w:tr>
      <w:tr w:rsidR="008B6E8E" w:rsidRPr="00666CA0" w:rsidTr="00C77C3B">
        <w:trPr>
          <w:jc w:val="center"/>
        </w:trPr>
        <w:tc>
          <w:tcPr>
            <w:tcW w:w="3655" w:type="dxa"/>
          </w:tcPr>
          <w:p w:rsidR="008B6E8E" w:rsidRPr="00666CA0" w:rsidRDefault="008B6E8E" w:rsidP="007F011E">
            <w:pPr>
              <w:keepNext/>
              <w:rPr>
                <w:b/>
              </w:rPr>
            </w:pPr>
            <w:r w:rsidRPr="00666CA0">
              <w:rPr>
                <w:b/>
              </w:rPr>
              <w:t>T</w:t>
            </w:r>
            <w:r>
              <w:rPr>
                <w:b/>
              </w:rPr>
              <w:t>otal</w:t>
            </w:r>
          </w:p>
        </w:tc>
        <w:tc>
          <w:tcPr>
            <w:tcW w:w="1440" w:type="dxa"/>
          </w:tcPr>
          <w:p w:rsidR="008B6E8E" w:rsidRPr="00666CA0" w:rsidRDefault="00941464" w:rsidP="007F011E">
            <w:pPr>
              <w:keepNext/>
              <w:jc w:val="right"/>
              <w:rPr>
                <w:b/>
              </w:rPr>
            </w:pPr>
            <w:r>
              <w:rPr>
                <w:b/>
              </w:rPr>
              <w:t>38,605</w:t>
            </w:r>
          </w:p>
        </w:tc>
        <w:tc>
          <w:tcPr>
            <w:tcW w:w="1815" w:type="dxa"/>
          </w:tcPr>
          <w:p w:rsidR="008B6E8E" w:rsidRPr="00666CA0" w:rsidRDefault="008B6E8E" w:rsidP="00C77C3B">
            <w:pPr>
              <w:keepNext/>
              <w:jc w:val="right"/>
              <w:rPr>
                <w:b/>
              </w:rPr>
            </w:pPr>
            <w:r w:rsidRPr="00666CA0">
              <w:rPr>
                <w:b/>
              </w:rPr>
              <w:t>-</w:t>
            </w:r>
            <w:r w:rsidR="00941464">
              <w:rPr>
                <w:b/>
              </w:rPr>
              <w:t>2,62</w:t>
            </w:r>
            <w:r w:rsidR="00C77C3B">
              <w:rPr>
                <w:b/>
              </w:rPr>
              <w:t>6</w:t>
            </w:r>
          </w:p>
        </w:tc>
        <w:tc>
          <w:tcPr>
            <w:tcW w:w="1757" w:type="dxa"/>
          </w:tcPr>
          <w:p w:rsidR="008B6E8E" w:rsidRPr="00666CA0" w:rsidRDefault="00941464" w:rsidP="007F011E">
            <w:pPr>
              <w:keepNext/>
              <w:jc w:val="right"/>
              <w:rPr>
                <w:b/>
              </w:rPr>
            </w:pPr>
            <w:r>
              <w:rPr>
                <w:b/>
              </w:rPr>
              <w:t>1,650</w:t>
            </w:r>
          </w:p>
        </w:tc>
        <w:tc>
          <w:tcPr>
            <w:tcW w:w="1523" w:type="dxa"/>
          </w:tcPr>
          <w:p w:rsidR="008B6E8E" w:rsidRPr="00666CA0" w:rsidRDefault="00941464" w:rsidP="002B759C">
            <w:pPr>
              <w:keepNext/>
              <w:jc w:val="right"/>
              <w:rPr>
                <w:b/>
              </w:rPr>
            </w:pPr>
            <w:r>
              <w:rPr>
                <w:b/>
              </w:rPr>
              <w:t>37,62</w:t>
            </w:r>
            <w:r w:rsidR="002B759C">
              <w:rPr>
                <w:b/>
              </w:rPr>
              <w:t>9</w:t>
            </w:r>
          </w:p>
        </w:tc>
      </w:tr>
    </w:tbl>
    <w:p w:rsidR="008B6E8E" w:rsidRDefault="008B6E8E" w:rsidP="008B6E8E">
      <w:r w:rsidRPr="00666CA0">
        <w:t xml:space="preserve"> </w:t>
      </w:r>
      <w:r w:rsidR="00447D00">
        <w:t xml:space="preserve"> </w:t>
      </w:r>
    </w:p>
    <w:p w:rsidR="00447D00" w:rsidRPr="00666CA0" w:rsidRDefault="00447D00" w:rsidP="008B6E8E"/>
    <w:p w:rsidR="008B6E8E" w:rsidRDefault="00941464" w:rsidP="00576C3C">
      <w:pPr>
        <w:spacing w:line="276" w:lineRule="auto"/>
        <w:jc w:val="center"/>
        <w:rPr>
          <w:b/>
        </w:rPr>
      </w:pPr>
      <w:r w:rsidRPr="00941464">
        <w:rPr>
          <w:b/>
        </w:rPr>
        <w:t>Table 15. Calculation of Bottom Line Average Annual Respondent Cost (2011$)</w:t>
      </w:r>
      <w:r w:rsidR="008B6E8E" w:rsidRPr="00666CA0">
        <w:rPr>
          <w:b/>
        </w:rPr>
        <w:t xml:space="preserve"> </w:t>
      </w:r>
    </w:p>
    <w:p w:rsidR="00576C3C" w:rsidRPr="00666CA0" w:rsidRDefault="00576C3C" w:rsidP="00576C3C">
      <w:pPr>
        <w:spacing w:line="276" w:lineRule="auto"/>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655"/>
        <w:gridCol w:w="1440"/>
        <w:gridCol w:w="1839"/>
        <w:gridCol w:w="1761"/>
        <w:gridCol w:w="1495"/>
      </w:tblGrid>
      <w:tr w:rsidR="008B6E8E" w:rsidRPr="00666CA0" w:rsidTr="00C77C3B">
        <w:trPr>
          <w:jc w:val="center"/>
        </w:trPr>
        <w:tc>
          <w:tcPr>
            <w:tcW w:w="3655" w:type="dxa"/>
            <w:vAlign w:val="bottom"/>
          </w:tcPr>
          <w:p w:rsidR="008B6E8E" w:rsidRPr="00666CA0" w:rsidRDefault="008B6E8E" w:rsidP="00C77C3B">
            <w:pPr>
              <w:jc w:val="center"/>
              <w:rPr>
                <w:b/>
              </w:rPr>
            </w:pPr>
            <w:r w:rsidRPr="00666CA0">
              <w:rPr>
                <w:b/>
              </w:rPr>
              <w:t>Respondent</w:t>
            </w:r>
          </w:p>
        </w:tc>
        <w:tc>
          <w:tcPr>
            <w:tcW w:w="1440" w:type="dxa"/>
            <w:vAlign w:val="bottom"/>
          </w:tcPr>
          <w:p w:rsidR="008B6E8E" w:rsidRPr="00666CA0" w:rsidRDefault="008B6E8E" w:rsidP="00C77C3B">
            <w:pPr>
              <w:jc w:val="center"/>
              <w:rPr>
                <w:b/>
              </w:rPr>
            </w:pPr>
            <w:r w:rsidRPr="00666CA0">
              <w:rPr>
                <w:b/>
              </w:rPr>
              <w:t>Baseline</w:t>
            </w:r>
          </w:p>
        </w:tc>
        <w:tc>
          <w:tcPr>
            <w:tcW w:w="1839" w:type="dxa"/>
            <w:vAlign w:val="bottom"/>
          </w:tcPr>
          <w:p w:rsidR="008B6E8E" w:rsidRPr="00666CA0" w:rsidRDefault="008B6E8E" w:rsidP="00C77C3B">
            <w:pPr>
              <w:jc w:val="center"/>
              <w:rPr>
                <w:b/>
              </w:rPr>
            </w:pPr>
            <w:r w:rsidRPr="00666CA0">
              <w:rPr>
                <w:b/>
              </w:rPr>
              <w:t>Flexible Air Permit</w:t>
            </w:r>
            <w:r w:rsidR="00C77C3B">
              <w:rPr>
                <w:b/>
              </w:rPr>
              <w:t xml:space="preserve"> Rule</w:t>
            </w:r>
          </w:p>
        </w:tc>
        <w:tc>
          <w:tcPr>
            <w:tcW w:w="1761" w:type="dxa"/>
            <w:vAlign w:val="bottom"/>
          </w:tcPr>
          <w:p w:rsidR="008B6E8E" w:rsidRPr="00666CA0" w:rsidRDefault="008B6E8E" w:rsidP="00C77C3B">
            <w:pPr>
              <w:jc w:val="center"/>
              <w:rPr>
                <w:b/>
              </w:rPr>
            </w:pPr>
            <w:r w:rsidRPr="00666CA0">
              <w:rPr>
                <w:b/>
              </w:rPr>
              <w:t>GHG Tailoring</w:t>
            </w:r>
            <w:r w:rsidR="00C77C3B">
              <w:rPr>
                <w:b/>
              </w:rPr>
              <w:t xml:space="preserve"> Rule</w:t>
            </w:r>
          </w:p>
        </w:tc>
        <w:tc>
          <w:tcPr>
            <w:tcW w:w="1495" w:type="dxa"/>
            <w:vAlign w:val="bottom"/>
          </w:tcPr>
          <w:p w:rsidR="008B6E8E" w:rsidRPr="00666CA0" w:rsidRDefault="008B6E8E" w:rsidP="00C77C3B">
            <w:pPr>
              <w:jc w:val="center"/>
              <w:rPr>
                <w:b/>
              </w:rPr>
            </w:pPr>
            <w:r w:rsidRPr="00666CA0">
              <w:rPr>
                <w:b/>
              </w:rPr>
              <w:t>T</w:t>
            </w:r>
            <w:r>
              <w:rPr>
                <w:b/>
              </w:rPr>
              <w:t>otal</w:t>
            </w:r>
          </w:p>
        </w:tc>
      </w:tr>
      <w:tr w:rsidR="008B6E8E" w:rsidRPr="00666CA0" w:rsidTr="00C77C3B">
        <w:trPr>
          <w:jc w:val="center"/>
        </w:trPr>
        <w:tc>
          <w:tcPr>
            <w:tcW w:w="3655" w:type="dxa"/>
          </w:tcPr>
          <w:p w:rsidR="008B6E8E" w:rsidRPr="00666CA0" w:rsidRDefault="008B6E8E" w:rsidP="00C77C3B">
            <w:r w:rsidRPr="00666CA0">
              <w:t>Sources</w:t>
            </w:r>
          </w:p>
        </w:tc>
        <w:tc>
          <w:tcPr>
            <w:tcW w:w="1440" w:type="dxa"/>
          </w:tcPr>
          <w:p w:rsidR="008B6E8E" w:rsidRPr="00666CA0" w:rsidRDefault="008B6E8E" w:rsidP="00C77C3B">
            <w:pPr>
              <w:jc w:val="right"/>
            </w:pPr>
            <w:r w:rsidRPr="00666CA0">
              <w:t>$</w:t>
            </w:r>
            <w:r w:rsidR="00C77C3B">
              <w:t>2,387,755</w:t>
            </w:r>
          </w:p>
        </w:tc>
        <w:tc>
          <w:tcPr>
            <w:tcW w:w="1839" w:type="dxa"/>
          </w:tcPr>
          <w:p w:rsidR="008B6E8E" w:rsidRPr="00666CA0" w:rsidRDefault="008B6E8E" w:rsidP="00C77C3B">
            <w:pPr>
              <w:jc w:val="right"/>
            </w:pPr>
            <w:r w:rsidRPr="00666CA0">
              <w:t>-$1</w:t>
            </w:r>
            <w:r w:rsidR="00C77C3B">
              <w:t>58,293</w:t>
            </w:r>
          </w:p>
        </w:tc>
        <w:tc>
          <w:tcPr>
            <w:tcW w:w="1761" w:type="dxa"/>
          </w:tcPr>
          <w:p w:rsidR="008B6E8E" w:rsidRPr="00666CA0" w:rsidRDefault="008B6E8E" w:rsidP="00C77C3B">
            <w:pPr>
              <w:jc w:val="right"/>
            </w:pPr>
            <w:r w:rsidRPr="00666CA0">
              <w:t>$</w:t>
            </w:r>
            <w:r w:rsidR="00C77C3B">
              <w:t>98,517</w:t>
            </w:r>
          </w:p>
        </w:tc>
        <w:tc>
          <w:tcPr>
            <w:tcW w:w="1495" w:type="dxa"/>
          </w:tcPr>
          <w:p w:rsidR="008B6E8E" w:rsidRPr="00666CA0" w:rsidRDefault="008B6E8E" w:rsidP="00C77C3B">
            <w:pPr>
              <w:jc w:val="right"/>
            </w:pPr>
            <w:r w:rsidRPr="00666CA0">
              <w:t>$</w:t>
            </w:r>
            <w:r w:rsidR="00C77C3B">
              <w:t>2,327,979</w:t>
            </w:r>
          </w:p>
        </w:tc>
      </w:tr>
      <w:tr w:rsidR="008B6E8E" w:rsidRPr="00666CA0" w:rsidTr="00C77C3B">
        <w:trPr>
          <w:jc w:val="center"/>
        </w:trPr>
        <w:tc>
          <w:tcPr>
            <w:tcW w:w="3655" w:type="dxa"/>
          </w:tcPr>
          <w:p w:rsidR="008B6E8E" w:rsidRPr="00666CA0" w:rsidRDefault="00C77C3B" w:rsidP="00C77C3B">
            <w:r>
              <w:t>Delegate Permitting Authority</w:t>
            </w:r>
          </w:p>
        </w:tc>
        <w:tc>
          <w:tcPr>
            <w:tcW w:w="1440" w:type="dxa"/>
          </w:tcPr>
          <w:p w:rsidR="008B6E8E" w:rsidRPr="00666CA0" w:rsidRDefault="008B6E8E" w:rsidP="00C77C3B">
            <w:pPr>
              <w:jc w:val="right"/>
            </w:pPr>
            <w:r w:rsidRPr="00666CA0">
              <w:t>$</w:t>
            </w:r>
            <w:r w:rsidR="00C77C3B">
              <w:t>67,378</w:t>
            </w:r>
          </w:p>
        </w:tc>
        <w:tc>
          <w:tcPr>
            <w:tcW w:w="1839" w:type="dxa"/>
          </w:tcPr>
          <w:p w:rsidR="008B6E8E" w:rsidRPr="00666CA0" w:rsidRDefault="008B6E8E" w:rsidP="00C77C3B">
            <w:pPr>
              <w:jc w:val="right"/>
            </w:pPr>
            <w:r w:rsidRPr="00666CA0">
              <w:t>-$</w:t>
            </w:r>
            <w:r w:rsidR="00C77C3B">
              <w:t>7,970</w:t>
            </w:r>
          </w:p>
        </w:tc>
        <w:tc>
          <w:tcPr>
            <w:tcW w:w="1761" w:type="dxa"/>
          </w:tcPr>
          <w:p w:rsidR="008B6E8E" w:rsidRPr="00666CA0" w:rsidRDefault="008B6E8E" w:rsidP="00C77C3B">
            <w:pPr>
              <w:jc w:val="right"/>
            </w:pPr>
            <w:r w:rsidRPr="00666CA0">
              <w:t>$5,</w:t>
            </w:r>
            <w:r w:rsidR="00C77C3B">
              <w:t>784</w:t>
            </w:r>
          </w:p>
        </w:tc>
        <w:tc>
          <w:tcPr>
            <w:tcW w:w="1495" w:type="dxa"/>
          </w:tcPr>
          <w:p w:rsidR="008B6E8E" w:rsidRPr="00666CA0" w:rsidRDefault="008B6E8E" w:rsidP="00C77C3B">
            <w:pPr>
              <w:jc w:val="right"/>
            </w:pPr>
            <w:r w:rsidRPr="00666CA0">
              <w:t>$</w:t>
            </w:r>
            <w:r w:rsidR="00C77C3B">
              <w:t>65,192</w:t>
            </w:r>
          </w:p>
        </w:tc>
      </w:tr>
      <w:tr w:rsidR="008B6E8E" w:rsidRPr="00666CA0" w:rsidTr="00C77C3B">
        <w:trPr>
          <w:jc w:val="center"/>
        </w:trPr>
        <w:tc>
          <w:tcPr>
            <w:tcW w:w="3655" w:type="dxa"/>
          </w:tcPr>
          <w:p w:rsidR="008B6E8E" w:rsidRPr="00666CA0" w:rsidRDefault="008B6E8E" w:rsidP="00C77C3B">
            <w:pPr>
              <w:rPr>
                <w:b/>
              </w:rPr>
            </w:pPr>
            <w:r w:rsidRPr="00666CA0">
              <w:rPr>
                <w:b/>
              </w:rPr>
              <w:t>T</w:t>
            </w:r>
            <w:r>
              <w:rPr>
                <w:b/>
              </w:rPr>
              <w:t xml:space="preserve">otal </w:t>
            </w:r>
          </w:p>
        </w:tc>
        <w:tc>
          <w:tcPr>
            <w:tcW w:w="1440" w:type="dxa"/>
          </w:tcPr>
          <w:p w:rsidR="008B6E8E" w:rsidRPr="00C070B9" w:rsidRDefault="008B6E8E" w:rsidP="00C77C3B">
            <w:pPr>
              <w:jc w:val="right"/>
              <w:rPr>
                <w:b/>
              </w:rPr>
            </w:pPr>
            <w:r w:rsidRPr="00C070B9">
              <w:rPr>
                <w:b/>
              </w:rPr>
              <w:t>$</w:t>
            </w:r>
            <w:r w:rsidR="00C77C3B">
              <w:rPr>
                <w:b/>
              </w:rPr>
              <w:t>2,455,133</w:t>
            </w:r>
          </w:p>
        </w:tc>
        <w:tc>
          <w:tcPr>
            <w:tcW w:w="1839" w:type="dxa"/>
          </w:tcPr>
          <w:p w:rsidR="008B6E8E" w:rsidRPr="00C070B9" w:rsidRDefault="008B6E8E" w:rsidP="002B759C">
            <w:pPr>
              <w:jc w:val="right"/>
              <w:rPr>
                <w:b/>
              </w:rPr>
            </w:pPr>
            <w:r w:rsidRPr="00C070B9">
              <w:rPr>
                <w:b/>
              </w:rPr>
              <w:t>-$</w:t>
            </w:r>
            <w:r w:rsidR="00C77C3B">
              <w:rPr>
                <w:b/>
              </w:rPr>
              <w:t>166,26</w:t>
            </w:r>
            <w:r w:rsidR="002B759C">
              <w:rPr>
                <w:b/>
              </w:rPr>
              <w:t>3</w:t>
            </w:r>
          </w:p>
        </w:tc>
        <w:tc>
          <w:tcPr>
            <w:tcW w:w="1761" w:type="dxa"/>
          </w:tcPr>
          <w:p w:rsidR="008B6E8E" w:rsidRPr="00C070B9" w:rsidRDefault="008B6E8E" w:rsidP="002B759C">
            <w:pPr>
              <w:jc w:val="right"/>
              <w:rPr>
                <w:b/>
              </w:rPr>
            </w:pPr>
            <w:r w:rsidRPr="00C070B9">
              <w:rPr>
                <w:b/>
              </w:rPr>
              <w:t>$</w:t>
            </w:r>
            <w:r w:rsidR="00C77C3B">
              <w:rPr>
                <w:b/>
              </w:rPr>
              <w:t>104,30</w:t>
            </w:r>
            <w:r w:rsidR="002B759C">
              <w:rPr>
                <w:b/>
              </w:rPr>
              <w:t>1</w:t>
            </w:r>
          </w:p>
        </w:tc>
        <w:tc>
          <w:tcPr>
            <w:tcW w:w="1495" w:type="dxa"/>
          </w:tcPr>
          <w:p w:rsidR="008B6E8E" w:rsidRPr="00C070B9" w:rsidRDefault="008B6E8E" w:rsidP="00C77C3B">
            <w:pPr>
              <w:jc w:val="right"/>
              <w:rPr>
                <w:b/>
              </w:rPr>
            </w:pPr>
            <w:r w:rsidRPr="00C070B9">
              <w:rPr>
                <w:b/>
              </w:rPr>
              <w:t>$</w:t>
            </w:r>
            <w:r w:rsidR="00C77C3B">
              <w:rPr>
                <w:b/>
              </w:rPr>
              <w:t>2,393,171</w:t>
            </w:r>
          </w:p>
        </w:tc>
      </w:tr>
    </w:tbl>
    <w:p w:rsidR="008B6E8E" w:rsidRPr="00DF6A4B" w:rsidRDefault="008B6E8E" w:rsidP="008B6E8E">
      <w:pPr>
        <w:rPr>
          <w:rFonts w:ascii="Arial" w:hAnsi="Arial" w:cs="Arial"/>
          <w:sz w:val="20"/>
          <w:szCs w:val="20"/>
        </w:rPr>
      </w:pPr>
    </w:p>
    <w:p w:rsidR="008B6E8E" w:rsidRDefault="007D14CE" w:rsidP="008B6E8E">
      <w:r w:rsidRPr="007D14CE">
        <w:t xml:space="preserve">Table 16 shows the bottom line average annual burden and cost for the source and </w:t>
      </w:r>
      <w:r w:rsidR="00F55CA6">
        <w:t xml:space="preserve">delegate </w:t>
      </w:r>
      <w:r w:rsidRPr="007D14CE">
        <w:t>permitting authority respondents under this ICR renewal for implementation of the part 7</w:t>
      </w:r>
      <w:r w:rsidR="00F55CA6">
        <w:t>1</w:t>
      </w:r>
      <w:r w:rsidRPr="007D14CE">
        <w:t xml:space="preserve"> Operating Permit Program between May 2012 and April 2015.</w:t>
      </w:r>
      <w:r w:rsidR="009E49DA">
        <w:t xml:space="preserve"> As the table shows, </w:t>
      </w:r>
      <w:r w:rsidR="009E49DA" w:rsidRPr="009E49DA">
        <w:t xml:space="preserve">the Agency anticipates it will take </w:t>
      </w:r>
      <w:r w:rsidR="009E49DA">
        <w:t>somewhat over 36,000</w:t>
      </w:r>
      <w:r w:rsidR="009E49DA" w:rsidRPr="009E49DA">
        <w:t xml:space="preserve"> hours</w:t>
      </w:r>
      <w:r w:rsidR="009E49DA">
        <w:t xml:space="preserve"> </w:t>
      </w:r>
      <w:r w:rsidR="001A3934">
        <w:t xml:space="preserve">per year </w:t>
      </w:r>
      <w:r w:rsidR="009E49DA">
        <w:t xml:space="preserve">for the 174 sources subject to part 71 permitting </w:t>
      </w:r>
      <w:r w:rsidR="009E49DA" w:rsidRPr="009E49DA">
        <w:t xml:space="preserve">to perform all the functions required by title V. </w:t>
      </w:r>
      <w:r w:rsidR="009E49DA">
        <w:t>This averages out to about 20</w:t>
      </w:r>
      <w:r w:rsidR="0077240F">
        <w:t>9</w:t>
      </w:r>
      <w:r w:rsidR="009E49DA">
        <w:t xml:space="preserve"> hours per source</w:t>
      </w:r>
      <w:r w:rsidR="009E49DA" w:rsidRPr="009E49DA">
        <w:t xml:space="preserve"> – just over </w:t>
      </w:r>
      <w:r w:rsidR="009E49DA">
        <w:t>5</w:t>
      </w:r>
      <w:r w:rsidR="009E49DA" w:rsidRPr="009E49DA">
        <w:t> </w:t>
      </w:r>
      <w:r w:rsidR="009E49DA">
        <w:t>weeks of a full time employee’</w:t>
      </w:r>
      <w:r w:rsidR="009E49DA" w:rsidRPr="009E49DA">
        <w:t xml:space="preserve">s time. </w:t>
      </w:r>
      <w:r w:rsidR="009E49DA">
        <w:t>T</w:t>
      </w:r>
      <w:r w:rsidR="009E49DA" w:rsidRPr="009E49DA">
        <w:t xml:space="preserve">he cost associated with that burden is </w:t>
      </w:r>
      <w:r w:rsidR="009E49DA">
        <w:t xml:space="preserve">relatively </w:t>
      </w:r>
      <w:r w:rsidR="009E49DA" w:rsidRPr="009E49DA">
        <w:t>small – under $1</w:t>
      </w:r>
      <w:r w:rsidR="009E49DA">
        <w:t>4</w:t>
      </w:r>
      <w:r w:rsidR="009E49DA" w:rsidRPr="009E49DA">
        <w:t>,000.</w:t>
      </w:r>
    </w:p>
    <w:p w:rsidR="00F55CA6" w:rsidRDefault="00F55CA6" w:rsidP="008B6E8E"/>
    <w:p w:rsidR="009E49DA" w:rsidRDefault="001A3934" w:rsidP="008B6E8E">
      <w:r>
        <w:t>For</w:t>
      </w:r>
      <w:r w:rsidR="009E49DA">
        <w:t xml:space="preserve"> the single delegate permitting authority (the NNEPA)</w:t>
      </w:r>
      <w:r>
        <w:t xml:space="preserve">, Table 16 shows that we </w:t>
      </w:r>
      <w:r w:rsidRPr="001A3934">
        <w:t xml:space="preserve">estimate </w:t>
      </w:r>
      <w:r>
        <w:t xml:space="preserve">that </w:t>
      </w:r>
      <w:r w:rsidRPr="001A3934">
        <w:t>the burden associated with the part 7</w:t>
      </w:r>
      <w:r>
        <w:t>1</w:t>
      </w:r>
      <w:r w:rsidRPr="001A3934">
        <w:t xml:space="preserve"> Operating Permit Program will be </w:t>
      </w:r>
      <w:r>
        <w:t>well under 1,300</w:t>
      </w:r>
      <w:r w:rsidRPr="001A3934">
        <w:t> hours per year</w:t>
      </w:r>
      <w:r>
        <w:t>, or about 90 hours and $4,700 for each of the 14 permits administered by the agency</w:t>
      </w:r>
      <w:r w:rsidRPr="001A3934">
        <w:t xml:space="preserve">. However, this cost cannot be considered an Unfunded Mandate from the federal government, because the net cost to </w:t>
      </w:r>
      <w:r w:rsidRPr="001A3934">
        <w:lastRenderedPageBreak/>
        <w:t xml:space="preserve">permitting authorities for their management of an operating permit program must, by law, be passed on to sources in the form of permit fees of sufficient magnitude to fully offset all permit management costs. Therefore, the true annual cost to </w:t>
      </w:r>
      <w:r>
        <w:t xml:space="preserve">the delegate </w:t>
      </w:r>
      <w:r w:rsidRPr="001A3934">
        <w:t>permitting authorit</w:t>
      </w:r>
      <w:r>
        <w:t>y</w:t>
      </w:r>
      <w:r w:rsidRPr="001A3934">
        <w:t xml:space="preserve"> under </w:t>
      </w:r>
      <w:r>
        <w:t>part 71</w:t>
      </w:r>
      <w:r w:rsidRPr="001A3934">
        <w:t xml:space="preserve"> is zero, and the true annual cost to sources is </w:t>
      </w:r>
      <w:r w:rsidR="005B1309">
        <w:t>the sum of their direct costs (</w:t>
      </w:r>
      <w:r w:rsidRPr="001A3934">
        <w:t>$</w:t>
      </w:r>
      <w:r>
        <w:t>2.</w:t>
      </w:r>
      <w:r w:rsidR="005B1309">
        <w:t>3</w:t>
      </w:r>
      <w:r w:rsidRPr="001A3934">
        <w:t> million</w:t>
      </w:r>
      <w:r w:rsidR="005B1309">
        <w:t xml:space="preserve"> as shown in Table 16) and the costs incurred by both the delegate permitting authority (about $65,000 as shown in Table 16) and the EPA in its role as permitting authority (about $</w:t>
      </w:r>
      <w:r w:rsidR="004F1E0D">
        <w:t>745,000</w:t>
      </w:r>
      <w:r w:rsidR="005B1309">
        <w:t xml:space="preserve"> as shown below in Table 1</w:t>
      </w:r>
      <w:r w:rsidR="004F1E0D">
        <w:t>8</w:t>
      </w:r>
      <w:r w:rsidR="005B1309">
        <w:t>)</w:t>
      </w:r>
      <w:r w:rsidRPr="001A3934">
        <w:t xml:space="preserve">, or approximately </w:t>
      </w:r>
      <w:r w:rsidR="00210E31">
        <w:t>$</w:t>
      </w:r>
      <w:r w:rsidR="004F1E0D">
        <w:t>3.1 </w:t>
      </w:r>
      <w:r w:rsidR="00210E31">
        <w:t xml:space="preserve">million per year. This total averages out to about </w:t>
      </w:r>
      <w:r w:rsidRPr="001A3934">
        <w:t>$</w:t>
      </w:r>
      <w:r w:rsidR="004F1E0D">
        <w:t>18,000</w:t>
      </w:r>
      <w:r w:rsidRPr="001A3934">
        <w:t xml:space="preserve"> per permit.</w:t>
      </w:r>
    </w:p>
    <w:p w:rsidR="00210E31" w:rsidRDefault="00210E31" w:rsidP="008B6E8E"/>
    <w:p w:rsidR="00F55CA6" w:rsidRDefault="00F55CA6" w:rsidP="00F55CA6">
      <w:pPr>
        <w:keepNext/>
        <w:jc w:val="center"/>
      </w:pPr>
      <w:r>
        <w:rPr>
          <w:b/>
        </w:rPr>
        <w:t>Table 16</w:t>
      </w:r>
      <w:r w:rsidRPr="00666CA0">
        <w:rPr>
          <w:b/>
        </w:rPr>
        <w:t xml:space="preserve">. </w:t>
      </w:r>
      <w:r>
        <w:rPr>
          <w:b/>
        </w:rPr>
        <w:t>Bottom Line Average Annual Respondent Burden and Cost (2012-2015)</w:t>
      </w:r>
    </w:p>
    <w:p w:rsidR="00F55CA6" w:rsidRDefault="00F55CA6" w:rsidP="00F55CA6">
      <w:pPr>
        <w:keepNext/>
        <w:jc w:val="center"/>
      </w:pPr>
    </w:p>
    <w:tbl>
      <w:tblPr>
        <w:tblStyle w:val="TableGrid"/>
        <w:tblW w:w="5000" w:type="pct"/>
        <w:jc w:val="center"/>
        <w:tblLook w:val="04A0"/>
      </w:tblPr>
      <w:tblGrid>
        <w:gridCol w:w="1491"/>
        <w:gridCol w:w="1141"/>
        <w:gridCol w:w="1125"/>
        <w:gridCol w:w="1461"/>
        <w:gridCol w:w="1199"/>
        <w:gridCol w:w="1334"/>
        <w:gridCol w:w="1438"/>
        <w:gridCol w:w="1107"/>
      </w:tblGrid>
      <w:tr w:rsidR="00F55CA6" w:rsidRPr="00EF021D" w:rsidTr="00F55CA6">
        <w:trPr>
          <w:trHeight w:val="300"/>
          <w:jc w:val="center"/>
        </w:trPr>
        <w:tc>
          <w:tcPr>
            <w:tcW w:w="2240" w:type="dxa"/>
            <w:vMerge w:val="restart"/>
            <w:vAlign w:val="bottom"/>
            <w:hideMark/>
          </w:tcPr>
          <w:p w:rsidR="00F55CA6" w:rsidRPr="00EF021D" w:rsidRDefault="00F55CA6" w:rsidP="00F55CA6">
            <w:pPr>
              <w:keepNext/>
              <w:jc w:val="center"/>
              <w:rPr>
                <w:b/>
                <w:bCs/>
              </w:rPr>
            </w:pPr>
            <w:r w:rsidRPr="00EF021D">
              <w:rPr>
                <w:b/>
                <w:bCs/>
              </w:rPr>
              <w:t>Type of Respondent</w:t>
            </w:r>
          </w:p>
        </w:tc>
        <w:tc>
          <w:tcPr>
            <w:tcW w:w="1840" w:type="dxa"/>
            <w:vMerge w:val="restart"/>
            <w:vAlign w:val="bottom"/>
            <w:hideMark/>
          </w:tcPr>
          <w:p w:rsidR="00F55CA6" w:rsidRPr="00EF021D" w:rsidRDefault="00F55CA6" w:rsidP="00F55CA6">
            <w:pPr>
              <w:keepNext/>
              <w:jc w:val="center"/>
              <w:rPr>
                <w:b/>
                <w:bCs/>
              </w:rPr>
            </w:pPr>
            <w:r w:rsidRPr="00EF021D">
              <w:rPr>
                <w:b/>
                <w:bCs/>
              </w:rPr>
              <w:t>Number of Affected Entities</w:t>
            </w:r>
          </w:p>
        </w:tc>
        <w:tc>
          <w:tcPr>
            <w:tcW w:w="1800" w:type="dxa"/>
            <w:vMerge w:val="restart"/>
            <w:vAlign w:val="bottom"/>
            <w:hideMark/>
          </w:tcPr>
          <w:p w:rsidR="00F55CA6" w:rsidRPr="00EF021D" w:rsidRDefault="00F55CA6" w:rsidP="00F55CA6">
            <w:pPr>
              <w:keepNext/>
              <w:jc w:val="center"/>
              <w:rPr>
                <w:b/>
                <w:bCs/>
              </w:rPr>
            </w:pPr>
            <w:r w:rsidRPr="00EF021D">
              <w:rPr>
                <w:b/>
                <w:bCs/>
              </w:rPr>
              <w:t>Average Annual Burden (Hours)</w:t>
            </w:r>
          </w:p>
        </w:tc>
        <w:tc>
          <w:tcPr>
            <w:tcW w:w="1840" w:type="dxa"/>
            <w:vMerge w:val="restart"/>
            <w:vAlign w:val="bottom"/>
            <w:hideMark/>
          </w:tcPr>
          <w:p w:rsidR="00F55CA6" w:rsidRPr="00EF021D" w:rsidRDefault="00F55CA6" w:rsidP="00F55CA6">
            <w:pPr>
              <w:keepNext/>
              <w:jc w:val="center"/>
              <w:rPr>
                <w:b/>
                <w:bCs/>
              </w:rPr>
            </w:pPr>
            <w:r w:rsidRPr="00EF021D">
              <w:rPr>
                <w:b/>
                <w:bCs/>
              </w:rPr>
              <w:t>Average Annual Burden per Respondent (Hours)</w:t>
            </w:r>
          </w:p>
        </w:tc>
        <w:tc>
          <w:tcPr>
            <w:tcW w:w="1960" w:type="dxa"/>
            <w:vMerge w:val="restart"/>
            <w:vAlign w:val="bottom"/>
            <w:hideMark/>
          </w:tcPr>
          <w:p w:rsidR="00F55CA6" w:rsidRPr="00EF021D" w:rsidRDefault="00F55CA6" w:rsidP="00F55CA6">
            <w:pPr>
              <w:keepNext/>
              <w:jc w:val="center"/>
              <w:rPr>
                <w:b/>
                <w:bCs/>
              </w:rPr>
            </w:pPr>
            <w:r w:rsidRPr="00EF021D">
              <w:rPr>
                <w:b/>
                <w:bCs/>
              </w:rPr>
              <w:t>Average Annual Burden per Source (Hours)</w:t>
            </w:r>
            <w:r w:rsidR="007F46CA">
              <w:rPr>
                <w:b/>
                <w:bCs/>
              </w:rPr>
              <w:t>*</w:t>
            </w:r>
          </w:p>
        </w:tc>
        <w:tc>
          <w:tcPr>
            <w:tcW w:w="1800" w:type="dxa"/>
            <w:vMerge w:val="restart"/>
            <w:vAlign w:val="bottom"/>
            <w:hideMark/>
          </w:tcPr>
          <w:p w:rsidR="00F55CA6" w:rsidRPr="00EF021D" w:rsidRDefault="00F55CA6" w:rsidP="00F55CA6">
            <w:pPr>
              <w:keepNext/>
              <w:jc w:val="center"/>
              <w:rPr>
                <w:b/>
                <w:bCs/>
              </w:rPr>
            </w:pPr>
            <w:r w:rsidRPr="00EF021D">
              <w:rPr>
                <w:b/>
                <w:bCs/>
              </w:rPr>
              <w:t>Average Annual Cost (2011$)</w:t>
            </w:r>
          </w:p>
        </w:tc>
        <w:tc>
          <w:tcPr>
            <w:tcW w:w="1540" w:type="dxa"/>
            <w:vMerge w:val="restart"/>
            <w:vAlign w:val="bottom"/>
            <w:hideMark/>
          </w:tcPr>
          <w:p w:rsidR="00F55CA6" w:rsidRPr="00EF021D" w:rsidRDefault="00F55CA6" w:rsidP="00F55CA6">
            <w:pPr>
              <w:keepNext/>
              <w:jc w:val="center"/>
              <w:rPr>
                <w:b/>
                <w:bCs/>
              </w:rPr>
            </w:pPr>
            <w:r w:rsidRPr="00EF021D">
              <w:rPr>
                <w:b/>
                <w:bCs/>
              </w:rPr>
              <w:t>Average Annual Cost per Respondent (2011$)</w:t>
            </w:r>
          </w:p>
        </w:tc>
        <w:tc>
          <w:tcPr>
            <w:tcW w:w="1240" w:type="dxa"/>
            <w:vMerge w:val="restart"/>
            <w:vAlign w:val="bottom"/>
            <w:hideMark/>
          </w:tcPr>
          <w:p w:rsidR="00F55CA6" w:rsidRPr="00EF021D" w:rsidRDefault="00F55CA6" w:rsidP="00F55CA6">
            <w:pPr>
              <w:keepNext/>
              <w:jc w:val="center"/>
              <w:rPr>
                <w:b/>
                <w:bCs/>
              </w:rPr>
            </w:pPr>
            <w:r w:rsidRPr="00EF021D">
              <w:rPr>
                <w:b/>
                <w:bCs/>
              </w:rPr>
              <w:t>Average Annual Cost per Source (2011$)</w:t>
            </w:r>
            <w:r w:rsidR="007F46CA">
              <w:rPr>
                <w:b/>
                <w:bCs/>
              </w:rPr>
              <w:t>*</w:t>
            </w:r>
          </w:p>
        </w:tc>
      </w:tr>
      <w:tr w:rsidR="00F55CA6" w:rsidRPr="00EF021D" w:rsidTr="00F55CA6">
        <w:trPr>
          <w:trHeight w:val="300"/>
          <w:jc w:val="center"/>
        </w:trPr>
        <w:tc>
          <w:tcPr>
            <w:tcW w:w="2240" w:type="dxa"/>
            <w:vMerge/>
            <w:hideMark/>
          </w:tcPr>
          <w:p w:rsidR="00F55CA6" w:rsidRPr="00EF021D" w:rsidRDefault="00F55CA6" w:rsidP="00F55CA6">
            <w:pPr>
              <w:keepNext/>
              <w:jc w:val="center"/>
              <w:rPr>
                <w:b/>
                <w:bCs/>
              </w:rPr>
            </w:pPr>
          </w:p>
        </w:tc>
        <w:tc>
          <w:tcPr>
            <w:tcW w:w="1840" w:type="dxa"/>
            <w:vMerge/>
            <w:hideMark/>
          </w:tcPr>
          <w:p w:rsidR="00F55CA6" w:rsidRPr="00EF021D" w:rsidRDefault="00F55CA6" w:rsidP="00F55CA6">
            <w:pPr>
              <w:keepNext/>
              <w:jc w:val="center"/>
              <w:rPr>
                <w:b/>
                <w:bCs/>
              </w:rPr>
            </w:pPr>
          </w:p>
        </w:tc>
        <w:tc>
          <w:tcPr>
            <w:tcW w:w="1800" w:type="dxa"/>
            <w:vMerge/>
            <w:hideMark/>
          </w:tcPr>
          <w:p w:rsidR="00F55CA6" w:rsidRPr="00EF021D" w:rsidRDefault="00F55CA6" w:rsidP="00F55CA6">
            <w:pPr>
              <w:keepNext/>
              <w:jc w:val="center"/>
              <w:rPr>
                <w:b/>
                <w:bCs/>
              </w:rPr>
            </w:pPr>
          </w:p>
        </w:tc>
        <w:tc>
          <w:tcPr>
            <w:tcW w:w="1840" w:type="dxa"/>
            <w:vMerge/>
            <w:hideMark/>
          </w:tcPr>
          <w:p w:rsidR="00F55CA6" w:rsidRPr="00EF021D" w:rsidRDefault="00F55CA6" w:rsidP="00F55CA6">
            <w:pPr>
              <w:keepNext/>
              <w:jc w:val="center"/>
              <w:rPr>
                <w:b/>
                <w:bCs/>
              </w:rPr>
            </w:pPr>
          </w:p>
        </w:tc>
        <w:tc>
          <w:tcPr>
            <w:tcW w:w="1960" w:type="dxa"/>
            <w:vMerge/>
            <w:hideMark/>
          </w:tcPr>
          <w:p w:rsidR="00F55CA6" w:rsidRPr="00EF021D" w:rsidRDefault="00F55CA6" w:rsidP="00F55CA6">
            <w:pPr>
              <w:keepNext/>
              <w:jc w:val="center"/>
              <w:rPr>
                <w:b/>
                <w:bCs/>
              </w:rPr>
            </w:pPr>
          </w:p>
        </w:tc>
        <w:tc>
          <w:tcPr>
            <w:tcW w:w="1800" w:type="dxa"/>
            <w:vMerge/>
            <w:hideMark/>
          </w:tcPr>
          <w:p w:rsidR="00F55CA6" w:rsidRPr="00EF021D" w:rsidRDefault="00F55CA6" w:rsidP="00F55CA6">
            <w:pPr>
              <w:keepNext/>
              <w:jc w:val="center"/>
              <w:rPr>
                <w:b/>
                <w:bCs/>
              </w:rPr>
            </w:pPr>
          </w:p>
        </w:tc>
        <w:tc>
          <w:tcPr>
            <w:tcW w:w="1540" w:type="dxa"/>
            <w:vMerge/>
            <w:hideMark/>
          </w:tcPr>
          <w:p w:rsidR="00F55CA6" w:rsidRPr="00EF021D" w:rsidRDefault="00F55CA6" w:rsidP="00F55CA6">
            <w:pPr>
              <w:keepNext/>
              <w:jc w:val="center"/>
              <w:rPr>
                <w:b/>
                <w:bCs/>
              </w:rPr>
            </w:pPr>
          </w:p>
        </w:tc>
        <w:tc>
          <w:tcPr>
            <w:tcW w:w="1240" w:type="dxa"/>
            <w:vMerge/>
            <w:hideMark/>
          </w:tcPr>
          <w:p w:rsidR="00F55CA6" w:rsidRPr="00EF021D" w:rsidRDefault="00F55CA6" w:rsidP="00F55CA6">
            <w:pPr>
              <w:keepNext/>
              <w:jc w:val="center"/>
              <w:rPr>
                <w:b/>
                <w:bCs/>
              </w:rPr>
            </w:pPr>
          </w:p>
        </w:tc>
      </w:tr>
      <w:tr w:rsidR="00F55CA6" w:rsidRPr="00EF021D" w:rsidTr="00F55CA6">
        <w:trPr>
          <w:trHeight w:val="300"/>
          <w:jc w:val="center"/>
        </w:trPr>
        <w:tc>
          <w:tcPr>
            <w:tcW w:w="2240" w:type="dxa"/>
            <w:vMerge/>
            <w:hideMark/>
          </w:tcPr>
          <w:p w:rsidR="00F55CA6" w:rsidRPr="00EF021D" w:rsidRDefault="00F55CA6" w:rsidP="00F55CA6">
            <w:pPr>
              <w:keepNext/>
              <w:jc w:val="center"/>
              <w:rPr>
                <w:b/>
                <w:bCs/>
              </w:rPr>
            </w:pPr>
          </w:p>
        </w:tc>
        <w:tc>
          <w:tcPr>
            <w:tcW w:w="1840" w:type="dxa"/>
            <w:vMerge/>
            <w:hideMark/>
          </w:tcPr>
          <w:p w:rsidR="00F55CA6" w:rsidRPr="00EF021D" w:rsidRDefault="00F55CA6" w:rsidP="00F55CA6">
            <w:pPr>
              <w:keepNext/>
              <w:jc w:val="center"/>
              <w:rPr>
                <w:b/>
                <w:bCs/>
              </w:rPr>
            </w:pPr>
          </w:p>
        </w:tc>
        <w:tc>
          <w:tcPr>
            <w:tcW w:w="1800" w:type="dxa"/>
            <w:vMerge/>
            <w:hideMark/>
          </w:tcPr>
          <w:p w:rsidR="00F55CA6" w:rsidRPr="00EF021D" w:rsidRDefault="00F55CA6" w:rsidP="00F55CA6">
            <w:pPr>
              <w:keepNext/>
              <w:jc w:val="center"/>
              <w:rPr>
                <w:b/>
                <w:bCs/>
              </w:rPr>
            </w:pPr>
          </w:p>
        </w:tc>
        <w:tc>
          <w:tcPr>
            <w:tcW w:w="1840" w:type="dxa"/>
            <w:vMerge/>
            <w:hideMark/>
          </w:tcPr>
          <w:p w:rsidR="00F55CA6" w:rsidRPr="00EF021D" w:rsidRDefault="00F55CA6" w:rsidP="00F55CA6">
            <w:pPr>
              <w:keepNext/>
              <w:jc w:val="center"/>
              <w:rPr>
                <w:b/>
                <w:bCs/>
              </w:rPr>
            </w:pPr>
          </w:p>
        </w:tc>
        <w:tc>
          <w:tcPr>
            <w:tcW w:w="1960" w:type="dxa"/>
            <w:vMerge/>
            <w:hideMark/>
          </w:tcPr>
          <w:p w:rsidR="00F55CA6" w:rsidRPr="00EF021D" w:rsidRDefault="00F55CA6" w:rsidP="00F55CA6">
            <w:pPr>
              <w:keepNext/>
              <w:jc w:val="center"/>
              <w:rPr>
                <w:b/>
                <w:bCs/>
              </w:rPr>
            </w:pPr>
          </w:p>
        </w:tc>
        <w:tc>
          <w:tcPr>
            <w:tcW w:w="1800" w:type="dxa"/>
            <w:vMerge/>
            <w:hideMark/>
          </w:tcPr>
          <w:p w:rsidR="00F55CA6" w:rsidRPr="00EF021D" w:rsidRDefault="00F55CA6" w:rsidP="00F55CA6">
            <w:pPr>
              <w:keepNext/>
              <w:jc w:val="center"/>
              <w:rPr>
                <w:b/>
                <w:bCs/>
              </w:rPr>
            </w:pPr>
          </w:p>
        </w:tc>
        <w:tc>
          <w:tcPr>
            <w:tcW w:w="1540" w:type="dxa"/>
            <w:vMerge/>
            <w:hideMark/>
          </w:tcPr>
          <w:p w:rsidR="00F55CA6" w:rsidRPr="00EF021D" w:rsidRDefault="00F55CA6" w:rsidP="00F55CA6">
            <w:pPr>
              <w:keepNext/>
              <w:jc w:val="center"/>
              <w:rPr>
                <w:b/>
                <w:bCs/>
              </w:rPr>
            </w:pPr>
          </w:p>
        </w:tc>
        <w:tc>
          <w:tcPr>
            <w:tcW w:w="1240" w:type="dxa"/>
            <w:vMerge/>
            <w:hideMark/>
          </w:tcPr>
          <w:p w:rsidR="00F55CA6" w:rsidRPr="00EF021D" w:rsidRDefault="00F55CA6" w:rsidP="00F55CA6">
            <w:pPr>
              <w:keepNext/>
              <w:jc w:val="center"/>
              <w:rPr>
                <w:b/>
                <w:bCs/>
              </w:rPr>
            </w:pPr>
          </w:p>
        </w:tc>
      </w:tr>
      <w:tr w:rsidR="00F55CA6" w:rsidRPr="00EF021D" w:rsidTr="00F55CA6">
        <w:trPr>
          <w:trHeight w:val="300"/>
          <w:jc w:val="center"/>
        </w:trPr>
        <w:tc>
          <w:tcPr>
            <w:tcW w:w="2240" w:type="dxa"/>
            <w:vMerge/>
            <w:hideMark/>
          </w:tcPr>
          <w:p w:rsidR="00F55CA6" w:rsidRPr="00EF021D" w:rsidRDefault="00F55CA6" w:rsidP="00F55CA6">
            <w:pPr>
              <w:keepNext/>
              <w:jc w:val="center"/>
              <w:rPr>
                <w:b/>
                <w:bCs/>
              </w:rPr>
            </w:pPr>
          </w:p>
        </w:tc>
        <w:tc>
          <w:tcPr>
            <w:tcW w:w="1840" w:type="dxa"/>
            <w:vMerge/>
            <w:hideMark/>
          </w:tcPr>
          <w:p w:rsidR="00F55CA6" w:rsidRPr="00EF021D" w:rsidRDefault="00F55CA6" w:rsidP="00F55CA6">
            <w:pPr>
              <w:keepNext/>
              <w:jc w:val="center"/>
              <w:rPr>
                <w:b/>
                <w:bCs/>
              </w:rPr>
            </w:pPr>
          </w:p>
        </w:tc>
        <w:tc>
          <w:tcPr>
            <w:tcW w:w="1800" w:type="dxa"/>
            <w:vMerge/>
            <w:hideMark/>
          </w:tcPr>
          <w:p w:rsidR="00F55CA6" w:rsidRPr="00EF021D" w:rsidRDefault="00F55CA6" w:rsidP="00F55CA6">
            <w:pPr>
              <w:keepNext/>
              <w:jc w:val="center"/>
              <w:rPr>
                <w:b/>
                <w:bCs/>
              </w:rPr>
            </w:pPr>
          </w:p>
        </w:tc>
        <w:tc>
          <w:tcPr>
            <w:tcW w:w="1840" w:type="dxa"/>
            <w:vMerge/>
            <w:hideMark/>
          </w:tcPr>
          <w:p w:rsidR="00F55CA6" w:rsidRPr="00EF021D" w:rsidRDefault="00F55CA6" w:rsidP="00F55CA6">
            <w:pPr>
              <w:keepNext/>
              <w:jc w:val="center"/>
              <w:rPr>
                <w:b/>
                <w:bCs/>
              </w:rPr>
            </w:pPr>
          </w:p>
        </w:tc>
        <w:tc>
          <w:tcPr>
            <w:tcW w:w="1960" w:type="dxa"/>
            <w:vMerge/>
            <w:hideMark/>
          </w:tcPr>
          <w:p w:rsidR="00F55CA6" w:rsidRPr="00EF021D" w:rsidRDefault="00F55CA6" w:rsidP="00F55CA6">
            <w:pPr>
              <w:keepNext/>
              <w:jc w:val="center"/>
              <w:rPr>
                <w:b/>
                <w:bCs/>
              </w:rPr>
            </w:pPr>
          </w:p>
        </w:tc>
        <w:tc>
          <w:tcPr>
            <w:tcW w:w="1800" w:type="dxa"/>
            <w:vMerge/>
            <w:hideMark/>
          </w:tcPr>
          <w:p w:rsidR="00F55CA6" w:rsidRPr="00EF021D" w:rsidRDefault="00F55CA6" w:rsidP="00F55CA6">
            <w:pPr>
              <w:keepNext/>
              <w:jc w:val="center"/>
              <w:rPr>
                <w:b/>
                <w:bCs/>
              </w:rPr>
            </w:pPr>
          </w:p>
        </w:tc>
        <w:tc>
          <w:tcPr>
            <w:tcW w:w="1540" w:type="dxa"/>
            <w:vMerge/>
            <w:hideMark/>
          </w:tcPr>
          <w:p w:rsidR="00F55CA6" w:rsidRPr="00EF021D" w:rsidRDefault="00F55CA6" w:rsidP="00F55CA6">
            <w:pPr>
              <w:keepNext/>
              <w:jc w:val="center"/>
              <w:rPr>
                <w:b/>
                <w:bCs/>
              </w:rPr>
            </w:pPr>
          </w:p>
        </w:tc>
        <w:tc>
          <w:tcPr>
            <w:tcW w:w="1240" w:type="dxa"/>
            <w:vMerge/>
            <w:hideMark/>
          </w:tcPr>
          <w:p w:rsidR="00F55CA6" w:rsidRPr="00EF021D" w:rsidRDefault="00F55CA6" w:rsidP="00F55CA6">
            <w:pPr>
              <w:keepNext/>
              <w:jc w:val="center"/>
              <w:rPr>
                <w:b/>
                <w:bCs/>
              </w:rPr>
            </w:pPr>
          </w:p>
        </w:tc>
      </w:tr>
      <w:tr w:rsidR="00F55CA6" w:rsidRPr="00EF021D" w:rsidTr="00F55CA6">
        <w:trPr>
          <w:trHeight w:val="300"/>
          <w:jc w:val="center"/>
        </w:trPr>
        <w:tc>
          <w:tcPr>
            <w:tcW w:w="2240" w:type="dxa"/>
            <w:vMerge/>
            <w:hideMark/>
          </w:tcPr>
          <w:p w:rsidR="00F55CA6" w:rsidRPr="00EF021D" w:rsidRDefault="00F55CA6" w:rsidP="00F55CA6">
            <w:pPr>
              <w:keepNext/>
              <w:jc w:val="center"/>
              <w:rPr>
                <w:b/>
                <w:bCs/>
              </w:rPr>
            </w:pPr>
          </w:p>
        </w:tc>
        <w:tc>
          <w:tcPr>
            <w:tcW w:w="1840" w:type="dxa"/>
            <w:vMerge/>
            <w:hideMark/>
          </w:tcPr>
          <w:p w:rsidR="00F55CA6" w:rsidRPr="00EF021D" w:rsidRDefault="00F55CA6" w:rsidP="00F55CA6">
            <w:pPr>
              <w:keepNext/>
              <w:jc w:val="center"/>
              <w:rPr>
                <w:b/>
                <w:bCs/>
              </w:rPr>
            </w:pPr>
          </w:p>
        </w:tc>
        <w:tc>
          <w:tcPr>
            <w:tcW w:w="1800" w:type="dxa"/>
            <w:vMerge/>
            <w:hideMark/>
          </w:tcPr>
          <w:p w:rsidR="00F55CA6" w:rsidRPr="00EF021D" w:rsidRDefault="00F55CA6" w:rsidP="00F55CA6">
            <w:pPr>
              <w:keepNext/>
              <w:jc w:val="center"/>
              <w:rPr>
                <w:b/>
                <w:bCs/>
              </w:rPr>
            </w:pPr>
          </w:p>
        </w:tc>
        <w:tc>
          <w:tcPr>
            <w:tcW w:w="1840" w:type="dxa"/>
            <w:vMerge/>
            <w:hideMark/>
          </w:tcPr>
          <w:p w:rsidR="00F55CA6" w:rsidRPr="00EF021D" w:rsidRDefault="00F55CA6" w:rsidP="00F55CA6">
            <w:pPr>
              <w:keepNext/>
              <w:jc w:val="center"/>
              <w:rPr>
                <w:b/>
                <w:bCs/>
              </w:rPr>
            </w:pPr>
          </w:p>
        </w:tc>
        <w:tc>
          <w:tcPr>
            <w:tcW w:w="1960" w:type="dxa"/>
            <w:vMerge/>
            <w:hideMark/>
          </w:tcPr>
          <w:p w:rsidR="00F55CA6" w:rsidRPr="00EF021D" w:rsidRDefault="00F55CA6" w:rsidP="00F55CA6">
            <w:pPr>
              <w:keepNext/>
              <w:jc w:val="center"/>
              <w:rPr>
                <w:b/>
                <w:bCs/>
              </w:rPr>
            </w:pPr>
          </w:p>
        </w:tc>
        <w:tc>
          <w:tcPr>
            <w:tcW w:w="1800" w:type="dxa"/>
            <w:vMerge/>
            <w:hideMark/>
          </w:tcPr>
          <w:p w:rsidR="00F55CA6" w:rsidRPr="00EF021D" w:rsidRDefault="00F55CA6" w:rsidP="00F55CA6">
            <w:pPr>
              <w:keepNext/>
              <w:jc w:val="center"/>
              <w:rPr>
                <w:b/>
                <w:bCs/>
              </w:rPr>
            </w:pPr>
          </w:p>
        </w:tc>
        <w:tc>
          <w:tcPr>
            <w:tcW w:w="1540" w:type="dxa"/>
            <w:vMerge/>
            <w:hideMark/>
          </w:tcPr>
          <w:p w:rsidR="00F55CA6" w:rsidRPr="00EF021D" w:rsidRDefault="00F55CA6" w:rsidP="00F55CA6">
            <w:pPr>
              <w:keepNext/>
              <w:jc w:val="center"/>
              <w:rPr>
                <w:b/>
                <w:bCs/>
              </w:rPr>
            </w:pPr>
          </w:p>
        </w:tc>
        <w:tc>
          <w:tcPr>
            <w:tcW w:w="1240" w:type="dxa"/>
            <w:vMerge/>
            <w:hideMark/>
          </w:tcPr>
          <w:p w:rsidR="00F55CA6" w:rsidRPr="00EF021D" w:rsidRDefault="00F55CA6" w:rsidP="00F55CA6">
            <w:pPr>
              <w:keepNext/>
              <w:jc w:val="center"/>
              <w:rPr>
                <w:b/>
                <w:bCs/>
              </w:rPr>
            </w:pPr>
          </w:p>
        </w:tc>
      </w:tr>
      <w:tr w:rsidR="00F55CA6" w:rsidRPr="00EF021D" w:rsidTr="00F55CA6">
        <w:trPr>
          <w:trHeight w:val="300"/>
          <w:jc w:val="center"/>
        </w:trPr>
        <w:tc>
          <w:tcPr>
            <w:tcW w:w="2240" w:type="dxa"/>
            <w:hideMark/>
          </w:tcPr>
          <w:p w:rsidR="00F55CA6" w:rsidRPr="00EF021D" w:rsidRDefault="00F55CA6" w:rsidP="00F55CA6">
            <w:pPr>
              <w:keepNext/>
              <w:jc w:val="center"/>
            </w:pPr>
            <w:r w:rsidRPr="00EF021D">
              <w:rPr>
                <w:bCs/>
              </w:rPr>
              <w:t>Sources</w:t>
            </w:r>
          </w:p>
        </w:tc>
        <w:tc>
          <w:tcPr>
            <w:tcW w:w="1840" w:type="dxa"/>
            <w:hideMark/>
          </w:tcPr>
          <w:p w:rsidR="00F55CA6" w:rsidRPr="00EF021D" w:rsidRDefault="00F55CA6" w:rsidP="00F55CA6">
            <w:pPr>
              <w:keepNext/>
              <w:jc w:val="right"/>
            </w:pPr>
            <w:r>
              <w:t>174</w:t>
            </w:r>
          </w:p>
        </w:tc>
        <w:tc>
          <w:tcPr>
            <w:tcW w:w="1800" w:type="dxa"/>
            <w:hideMark/>
          </w:tcPr>
          <w:p w:rsidR="00F55CA6" w:rsidRPr="00EF021D" w:rsidRDefault="00F55CA6" w:rsidP="00F55CA6">
            <w:pPr>
              <w:keepNext/>
              <w:jc w:val="right"/>
            </w:pPr>
            <w:r>
              <w:t>36,375</w:t>
            </w:r>
          </w:p>
        </w:tc>
        <w:tc>
          <w:tcPr>
            <w:tcW w:w="1840" w:type="dxa"/>
            <w:hideMark/>
          </w:tcPr>
          <w:p w:rsidR="00F55CA6" w:rsidRPr="00EF021D" w:rsidRDefault="00F55CA6" w:rsidP="00F55CA6">
            <w:pPr>
              <w:keepNext/>
              <w:jc w:val="right"/>
            </w:pPr>
            <w:r w:rsidRPr="00EF021D">
              <w:t>2</w:t>
            </w:r>
            <w:r>
              <w:t>09</w:t>
            </w:r>
          </w:p>
        </w:tc>
        <w:tc>
          <w:tcPr>
            <w:tcW w:w="1960" w:type="dxa"/>
            <w:hideMark/>
          </w:tcPr>
          <w:p w:rsidR="00F55CA6" w:rsidRPr="00EF021D" w:rsidRDefault="00F55CA6" w:rsidP="00F55CA6">
            <w:pPr>
              <w:keepNext/>
              <w:jc w:val="right"/>
            </w:pPr>
            <w:r>
              <w:t>209</w:t>
            </w:r>
          </w:p>
        </w:tc>
        <w:tc>
          <w:tcPr>
            <w:tcW w:w="1800" w:type="dxa"/>
            <w:hideMark/>
          </w:tcPr>
          <w:p w:rsidR="00F55CA6" w:rsidRPr="00EF021D" w:rsidRDefault="00F55CA6" w:rsidP="00F55CA6">
            <w:pPr>
              <w:keepNext/>
              <w:jc w:val="right"/>
            </w:pPr>
            <w:r w:rsidRPr="00666CA0">
              <w:t>$</w:t>
            </w:r>
            <w:r>
              <w:t>2,327,979</w:t>
            </w:r>
            <w:r w:rsidRPr="00EF021D">
              <w:t xml:space="preserve"> </w:t>
            </w:r>
          </w:p>
        </w:tc>
        <w:tc>
          <w:tcPr>
            <w:tcW w:w="1540" w:type="dxa"/>
            <w:hideMark/>
          </w:tcPr>
          <w:p w:rsidR="00F55CA6" w:rsidRPr="00EF021D" w:rsidRDefault="00F55CA6" w:rsidP="00F55CA6">
            <w:pPr>
              <w:keepNext/>
              <w:jc w:val="right"/>
            </w:pPr>
            <w:r w:rsidRPr="00EF021D">
              <w:t>$</w:t>
            </w:r>
            <w:r>
              <w:t>13,379</w:t>
            </w:r>
            <w:r w:rsidRPr="00EF021D">
              <w:t xml:space="preserve"> </w:t>
            </w:r>
          </w:p>
        </w:tc>
        <w:tc>
          <w:tcPr>
            <w:tcW w:w="1240" w:type="dxa"/>
            <w:hideMark/>
          </w:tcPr>
          <w:p w:rsidR="00F55CA6" w:rsidRPr="00EF021D" w:rsidRDefault="00F55CA6" w:rsidP="00F55CA6">
            <w:pPr>
              <w:keepNext/>
              <w:jc w:val="right"/>
            </w:pPr>
            <w:r w:rsidRPr="00EF021D">
              <w:t>$</w:t>
            </w:r>
            <w:r>
              <w:t>13,379</w:t>
            </w:r>
            <w:r w:rsidRPr="00EF021D">
              <w:t xml:space="preserve"> </w:t>
            </w:r>
          </w:p>
        </w:tc>
      </w:tr>
      <w:tr w:rsidR="00F55CA6" w:rsidRPr="00EF021D" w:rsidTr="00F55CA6">
        <w:trPr>
          <w:trHeight w:val="300"/>
          <w:jc w:val="center"/>
        </w:trPr>
        <w:tc>
          <w:tcPr>
            <w:tcW w:w="2240" w:type="dxa"/>
            <w:hideMark/>
          </w:tcPr>
          <w:p w:rsidR="00F55CA6" w:rsidRPr="00EF021D" w:rsidRDefault="00F55CA6" w:rsidP="00F55CA6">
            <w:pPr>
              <w:keepNext/>
              <w:jc w:val="center"/>
            </w:pPr>
            <w:r>
              <w:rPr>
                <w:bCs/>
              </w:rPr>
              <w:t xml:space="preserve">Delegate </w:t>
            </w:r>
            <w:r w:rsidRPr="00EF021D">
              <w:rPr>
                <w:bCs/>
              </w:rPr>
              <w:t>Permitting Authorit</w:t>
            </w:r>
            <w:r>
              <w:rPr>
                <w:bCs/>
              </w:rPr>
              <w:t>y</w:t>
            </w:r>
          </w:p>
        </w:tc>
        <w:tc>
          <w:tcPr>
            <w:tcW w:w="1840" w:type="dxa"/>
            <w:vAlign w:val="center"/>
            <w:hideMark/>
          </w:tcPr>
          <w:p w:rsidR="00F55CA6" w:rsidRPr="00EF021D" w:rsidRDefault="00F55CA6" w:rsidP="00F55CA6">
            <w:pPr>
              <w:keepNext/>
              <w:jc w:val="right"/>
            </w:pPr>
            <w:r>
              <w:t>1</w:t>
            </w:r>
          </w:p>
        </w:tc>
        <w:tc>
          <w:tcPr>
            <w:tcW w:w="1800" w:type="dxa"/>
            <w:vAlign w:val="center"/>
            <w:hideMark/>
          </w:tcPr>
          <w:p w:rsidR="00F55CA6" w:rsidRPr="00EF021D" w:rsidRDefault="00F55CA6" w:rsidP="00F55CA6">
            <w:pPr>
              <w:keepNext/>
              <w:jc w:val="right"/>
            </w:pPr>
            <w:r>
              <w:t>1,254</w:t>
            </w:r>
          </w:p>
        </w:tc>
        <w:tc>
          <w:tcPr>
            <w:tcW w:w="1840" w:type="dxa"/>
            <w:vAlign w:val="center"/>
            <w:hideMark/>
          </w:tcPr>
          <w:p w:rsidR="00F55CA6" w:rsidRPr="00EF021D" w:rsidRDefault="00F55CA6" w:rsidP="00F55CA6">
            <w:pPr>
              <w:keepNext/>
              <w:jc w:val="right"/>
            </w:pPr>
            <w:r>
              <w:t>1,254</w:t>
            </w:r>
          </w:p>
        </w:tc>
        <w:tc>
          <w:tcPr>
            <w:tcW w:w="1960" w:type="dxa"/>
            <w:vAlign w:val="center"/>
            <w:hideMark/>
          </w:tcPr>
          <w:p w:rsidR="00F55CA6" w:rsidRPr="00EF021D" w:rsidRDefault="00F55CA6" w:rsidP="00F55CA6">
            <w:pPr>
              <w:keepNext/>
              <w:jc w:val="right"/>
            </w:pPr>
            <w:r>
              <w:t>90</w:t>
            </w:r>
          </w:p>
        </w:tc>
        <w:tc>
          <w:tcPr>
            <w:tcW w:w="1800" w:type="dxa"/>
            <w:vAlign w:val="center"/>
            <w:hideMark/>
          </w:tcPr>
          <w:p w:rsidR="00F55CA6" w:rsidRPr="00EF021D" w:rsidRDefault="00F55CA6" w:rsidP="00F55CA6">
            <w:pPr>
              <w:keepNext/>
              <w:jc w:val="right"/>
            </w:pPr>
            <w:r w:rsidRPr="00666CA0">
              <w:t>$</w:t>
            </w:r>
            <w:r>
              <w:t>65,192</w:t>
            </w:r>
            <w:r w:rsidRPr="00EF021D">
              <w:t xml:space="preserve"> </w:t>
            </w:r>
          </w:p>
        </w:tc>
        <w:tc>
          <w:tcPr>
            <w:tcW w:w="1540" w:type="dxa"/>
            <w:vAlign w:val="center"/>
            <w:hideMark/>
          </w:tcPr>
          <w:p w:rsidR="00F55CA6" w:rsidRPr="00EF021D" w:rsidRDefault="00F55CA6" w:rsidP="00F55CA6">
            <w:pPr>
              <w:keepNext/>
              <w:jc w:val="right"/>
            </w:pPr>
            <w:r w:rsidRPr="00666CA0">
              <w:t>$</w:t>
            </w:r>
            <w:r>
              <w:t>65,192</w:t>
            </w:r>
            <w:r w:rsidRPr="00EF021D">
              <w:t xml:space="preserve"> </w:t>
            </w:r>
          </w:p>
        </w:tc>
        <w:tc>
          <w:tcPr>
            <w:tcW w:w="1240" w:type="dxa"/>
            <w:vAlign w:val="center"/>
            <w:hideMark/>
          </w:tcPr>
          <w:p w:rsidR="00F55CA6" w:rsidRPr="00EF021D" w:rsidRDefault="00F55CA6" w:rsidP="00F55CA6">
            <w:pPr>
              <w:keepNext/>
              <w:jc w:val="right"/>
            </w:pPr>
            <w:r w:rsidRPr="00EF021D">
              <w:t>$4,</w:t>
            </w:r>
            <w:r>
              <w:t>657</w:t>
            </w:r>
            <w:r w:rsidRPr="00EF021D">
              <w:t xml:space="preserve"> </w:t>
            </w:r>
          </w:p>
        </w:tc>
      </w:tr>
      <w:tr w:rsidR="00F55CA6" w:rsidRPr="00EF021D" w:rsidTr="00F55CA6">
        <w:trPr>
          <w:trHeight w:val="300"/>
          <w:jc w:val="center"/>
        </w:trPr>
        <w:tc>
          <w:tcPr>
            <w:tcW w:w="2240" w:type="dxa"/>
            <w:hideMark/>
          </w:tcPr>
          <w:p w:rsidR="00F55CA6" w:rsidRPr="00EF021D" w:rsidRDefault="00F55CA6" w:rsidP="00F55CA6">
            <w:pPr>
              <w:keepNext/>
              <w:jc w:val="center"/>
              <w:rPr>
                <w:b/>
                <w:bCs/>
              </w:rPr>
            </w:pPr>
            <w:r w:rsidRPr="00EF021D">
              <w:rPr>
                <w:b/>
                <w:bCs/>
              </w:rPr>
              <w:t>Total</w:t>
            </w:r>
          </w:p>
        </w:tc>
        <w:tc>
          <w:tcPr>
            <w:tcW w:w="1840" w:type="dxa"/>
            <w:hideMark/>
          </w:tcPr>
          <w:p w:rsidR="00F55CA6" w:rsidRPr="00EF021D" w:rsidRDefault="007F46CA" w:rsidP="00F55CA6">
            <w:pPr>
              <w:keepNext/>
              <w:jc w:val="right"/>
              <w:rPr>
                <w:b/>
                <w:bCs/>
              </w:rPr>
            </w:pPr>
            <w:r>
              <w:rPr>
                <w:b/>
                <w:bCs/>
              </w:rPr>
              <w:t>175</w:t>
            </w:r>
          </w:p>
        </w:tc>
        <w:tc>
          <w:tcPr>
            <w:tcW w:w="1800" w:type="dxa"/>
            <w:hideMark/>
          </w:tcPr>
          <w:p w:rsidR="00F55CA6" w:rsidRPr="00EF021D" w:rsidRDefault="007F46CA" w:rsidP="00F55CA6">
            <w:pPr>
              <w:keepNext/>
              <w:jc w:val="right"/>
              <w:rPr>
                <w:b/>
                <w:bCs/>
              </w:rPr>
            </w:pPr>
            <w:r>
              <w:rPr>
                <w:b/>
              </w:rPr>
              <w:t>37,629</w:t>
            </w:r>
          </w:p>
        </w:tc>
        <w:tc>
          <w:tcPr>
            <w:tcW w:w="1840" w:type="dxa"/>
            <w:hideMark/>
          </w:tcPr>
          <w:p w:rsidR="00F55CA6" w:rsidRPr="00EF021D" w:rsidRDefault="00F55CA6" w:rsidP="00F55CA6">
            <w:pPr>
              <w:keepNext/>
              <w:jc w:val="center"/>
              <w:rPr>
                <w:b/>
                <w:bCs/>
              </w:rPr>
            </w:pPr>
            <w:r w:rsidRPr="00EF021D">
              <w:rPr>
                <w:b/>
                <w:bCs/>
              </w:rPr>
              <w:t>NA</w:t>
            </w:r>
          </w:p>
        </w:tc>
        <w:tc>
          <w:tcPr>
            <w:tcW w:w="1960" w:type="dxa"/>
            <w:hideMark/>
          </w:tcPr>
          <w:p w:rsidR="00F55CA6" w:rsidRPr="00EF021D" w:rsidRDefault="00F55CA6" w:rsidP="00F55CA6">
            <w:pPr>
              <w:keepNext/>
              <w:jc w:val="center"/>
              <w:rPr>
                <w:b/>
                <w:bCs/>
              </w:rPr>
            </w:pPr>
            <w:r w:rsidRPr="00EF021D">
              <w:rPr>
                <w:b/>
                <w:bCs/>
              </w:rPr>
              <w:t>NA</w:t>
            </w:r>
          </w:p>
        </w:tc>
        <w:tc>
          <w:tcPr>
            <w:tcW w:w="1800" w:type="dxa"/>
            <w:hideMark/>
          </w:tcPr>
          <w:p w:rsidR="00F55CA6" w:rsidRPr="00EF021D" w:rsidRDefault="007F46CA" w:rsidP="00F55CA6">
            <w:pPr>
              <w:keepNext/>
              <w:jc w:val="right"/>
              <w:rPr>
                <w:b/>
                <w:bCs/>
              </w:rPr>
            </w:pPr>
            <w:r w:rsidRPr="00C070B9">
              <w:rPr>
                <w:b/>
              </w:rPr>
              <w:t>$</w:t>
            </w:r>
            <w:r>
              <w:rPr>
                <w:b/>
              </w:rPr>
              <w:t>2,393,171</w:t>
            </w:r>
            <w:r w:rsidR="00F55CA6" w:rsidRPr="00EF021D">
              <w:rPr>
                <w:b/>
                <w:bCs/>
              </w:rPr>
              <w:t xml:space="preserve"> </w:t>
            </w:r>
          </w:p>
        </w:tc>
        <w:tc>
          <w:tcPr>
            <w:tcW w:w="1540" w:type="dxa"/>
            <w:hideMark/>
          </w:tcPr>
          <w:p w:rsidR="00F55CA6" w:rsidRPr="00EF021D" w:rsidRDefault="00F55CA6" w:rsidP="00F55CA6">
            <w:pPr>
              <w:keepNext/>
              <w:jc w:val="center"/>
              <w:rPr>
                <w:b/>
                <w:bCs/>
              </w:rPr>
            </w:pPr>
            <w:r w:rsidRPr="00EF021D">
              <w:rPr>
                <w:b/>
                <w:bCs/>
              </w:rPr>
              <w:t>NA</w:t>
            </w:r>
          </w:p>
        </w:tc>
        <w:tc>
          <w:tcPr>
            <w:tcW w:w="1240" w:type="dxa"/>
            <w:hideMark/>
          </w:tcPr>
          <w:p w:rsidR="00F55CA6" w:rsidRPr="00EF021D" w:rsidRDefault="00F55CA6" w:rsidP="00F55CA6">
            <w:pPr>
              <w:keepNext/>
              <w:jc w:val="center"/>
              <w:rPr>
                <w:b/>
                <w:bCs/>
              </w:rPr>
            </w:pPr>
            <w:r w:rsidRPr="00EF021D">
              <w:rPr>
                <w:b/>
                <w:bCs/>
              </w:rPr>
              <w:t>NA</w:t>
            </w:r>
          </w:p>
        </w:tc>
      </w:tr>
    </w:tbl>
    <w:p w:rsidR="008B6E8E" w:rsidRDefault="007F46CA" w:rsidP="004B0829">
      <w:pPr>
        <w:rPr>
          <w:iCs/>
          <w:sz w:val="20"/>
          <w:szCs w:val="20"/>
        </w:rPr>
      </w:pPr>
      <w:r w:rsidRPr="007F46CA">
        <w:rPr>
          <w:iCs/>
          <w:sz w:val="20"/>
          <w:szCs w:val="20"/>
        </w:rPr>
        <w:t>*</w:t>
      </w:r>
      <w:r w:rsidR="00C9434F">
        <w:rPr>
          <w:iCs/>
          <w:sz w:val="20"/>
          <w:szCs w:val="20"/>
        </w:rPr>
        <w:t xml:space="preserve"> Per-</w:t>
      </w:r>
      <w:r>
        <w:rPr>
          <w:iCs/>
          <w:sz w:val="20"/>
          <w:szCs w:val="20"/>
        </w:rPr>
        <w:t>source figures for the delegate permitting authority are based on the 14 sources administered by the NNEPA.</w:t>
      </w:r>
    </w:p>
    <w:p w:rsidR="007F46CA" w:rsidRPr="007F46CA" w:rsidRDefault="007F46CA" w:rsidP="004B0829">
      <w:pPr>
        <w:rPr>
          <w:iCs/>
        </w:rPr>
      </w:pPr>
    </w:p>
    <w:p w:rsidR="00210E31" w:rsidRPr="005D10D5" w:rsidRDefault="00210E31" w:rsidP="00210E31">
      <w:pPr>
        <w:pStyle w:val="Heading3"/>
        <w:spacing w:before="0"/>
        <w:ind w:firstLine="0"/>
      </w:pPr>
      <w:bookmarkStart w:id="53" w:name="_Toc319326610"/>
      <w:bookmarkStart w:id="54" w:name="_Toc320021966"/>
      <w:r>
        <w:t>6(e)(ii) The Agency Tally</w:t>
      </w:r>
      <w:bookmarkEnd w:id="53"/>
      <w:bookmarkEnd w:id="54"/>
    </w:p>
    <w:p w:rsidR="00210E31" w:rsidRDefault="00210E31" w:rsidP="00210E31"/>
    <w:p w:rsidR="00210E31" w:rsidRDefault="00210E31" w:rsidP="00210E31">
      <w:r>
        <w:t xml:space="preserve">Table 3 above displays the activities undertaken by the federal government (EPA) for the part 71 program in its role as permitting authority, and Table 4 shows the activities undertaken by the EPA in its oversight role for delegate permitting authorities. Section 6(c) </w:t>
      </w:r>
      <w:r w:rsidRPr="0093592D">
        <w:t xml:space="preserve">gives the derivation of hourly costs for </w:t>
      </w:r>
      <w:r>
        <w:t xml:space="preserve">the EPA. Table 7 gives the </w:t>
      </w:r>
      <w:r w:rsidRPr="00E3711A">
        <w:t xml:space="preserve">expected baseline </w:t>
      </w:r>
      <w:r>
        <w:t xml:space="preserve">burden and </w:t>
      </w:r>
      <w:r w:rsidRPr="00E3711A">
        <w:t xml:space="preserve">cost </w:t>
      </w:r>
      <w:r>
        <w:t>for</w:t>
      </w:r>
      <w:r w:rsidRPr="00E3711A">
        <w:t xml:space="preserve"> </w:t>
      </w:r>
      <w:r>
        <w:t xml:space="preserve">the EPA as permitting authority, and section 6(c) discusses the baseline burden and costs for the EPA in overseeing delegate permitting authorities. </w:t>
      </w:r>
      <w:r w:rsidRPr="00E3711A">
        <w:t>The incremental burden and cost attributable to the F</w:t>
      </w:r>
      <w:r>
        <w:t>AP</w:t>
      </w:r>
      <w:r w:rsidRPr="00E3711A">
        <w:t xml:space="preserve"> rule </w:t>
      </w:r>
      <w:r>
        <w:t>are</w:t>
      </w:r>
      <w:r w:rsidRPr="00E3711A">
        <w:t xml:space="preserve"> shown in </w:t>
      </w:r>
      <w:r>
        <w:t>T</w:t>
      </w:r>
      <w:r w:rsidRPr="00E3711A">
        <w:t>able</w:t>
      </w:r>
      <w:r>
        <w:t>s 9 and</w:t>
      </w:r>
      <w:r w:rsidRPr="00E3711A">
        <w:t xml:space="preserve"> </w:t>
      </w:r>
      <w:r>
        <w:t>10</w:t>
      </w:r>
      <w:r w:rsidRPr="00E3711A">
        <w:t xml:space="preserve"> </w:t>
      </w:r>
      <w:r>
        <w:t>for the EPA’s two roles,</w:t>
      </w:r>
      <w:r w:rsidRPr="00E3711A">
        <w:t xml:space="preserve"> and th</w:t>
      </w:r>
      <w:r w:rsidR="004F1E0D">
        <w:t>ose</w:t>
      </w:r>
      <w:r w:rsidRPr="00E3711A">
        <w:t xml:space="preserve"> attributable to the GHG Tailoring rule </w:t>
      </w:r>
      <w:r w:rsidR="004F1E0D">
        <w:t>are</w:t>
      </w:r>
      <w:r w:rsidRPr="00E3711A">
        <w:t xml:space="preserve"> shown in Table</w:t>
      </w:r>
      <w:r>
        <w:t>s 12 and</w:t>
      </w:r>
      <w:r w:rsidRPr="00E3711A">
        <w:t xml:space="preserve"> </w:t>
      </w:r>
      <w:r>
        <w:t>13</w:t>
      </w:r>
      <w:r w:rsidRPr="00E3711A">
        <w:t>.</w:t>
      </w:r>
      <w:r>
        <w:t xml:space="preserve"> </w:t>
      </w:r>
      <w:r w:rsidRPr="00E3711A">
        <w:t xml:space="preserve">In </w:t>
      </w:r>
      <w:r>
        <w:t>T</w:t>
      </w:r>
      <w:r w:rsidRPr="00E3711A">
        <w:t>able</w:t>
      </w:r>
      <w:r>
        <w:t>s</w:t>
      </w:r>
      <w:r w:rsidRPr="00E3711A">
        <w:t xml:space="preserve"> 1</w:t>
      </w:r>
      <w:r>
        <w:t>7 and 18</w:t>
      </w:r>
      <w:r w:rsidRPr="00E3711A">
        <w:t xml:space="preserve"> we show the </w:t>
      </w:r>
      <w:r>
        <w:t xml:space="preserve">calculation of the average annual </w:t>
      </w:r>
      <w:r w:rsidRPr="00E3711A">
        <w:t>burden</w:t>
      </w:r>
      <w:r>
        <w:t xml:space="preserve"> and cost for the EPA, adjusted for the </w:t>
      </w:r>
      <w:r w:rsidRPr="00E3711A">
        <w:t>F</w:t>
      </w:r>
      <w:r>
        <w:t>AP</w:t>
      </w:r>
      <w:r w:rsidRPr="00E3711A">
        <w:t xml:space="preserve"> and GHG </w:t>
      </w:r>
      <w:r>
        <w:t>T</w:t>
      </w:r>
      <w:r w:rsidRPr="00E3711A">
        <w:t xml:space="preserve">ailoring </w:t>
      </w:r>
      <w:r>
        <w:t>r</w:t>
      </w:r>
      <w:r w:rsidRPr="00E3711A">
        <w:t>ules.</w:t>
      </w:r>
    </w:p>
    <w:p w:rsidR="00DE3FD8" w:rsidRDefault="00DE3FD8" w:rsidP="00210E31"/>
    <w:p w:rsidR="00DE3FD8" w:rsidRPr="00666CA0" w:rsidRDefault="00DE3FD8" w:rsidP="00576C3C">
      <w:pPr>
        <w:keepNext/>
        <w:spacing w:line="276" w:lineRule="auto"/>
        <w:jc w:val="center"/>
        <w:rPr>
          <w:b/>
        </w:rPr>
      </w:pPr>
      <w:r w:rsidRPr="00666CA0">
        <w:rPr>
          <w:b/>
        </w:rPr>
        <w:t xml:space="preserve">Table </w:t>
      </w:r>
      <w:r>
        <w:rPr>
          <w:b/>
        </w:rPr>
        <w:t>17</w:t>
      </w:r>
      <w:r w:rsidRPr="00666CA0">
        <w:rPr>
          <w:b/>
        </w:rPr>
        <w:t xml:space="preserve">. </w:t>
      </w:r>
      <w:r w:rsidRPr="008B6E8E">
        <w:rPr>
          <w:b/>
        </w:rPr>
        <w:t xml:space="preserve">Calculation of Bottom Line Average Annual </w:t>
      </w:r>
      <w:r>
        <w:rPr>
          <w:b/>
        </w:rPr>
        <w:t>EPA</w:t>
      </w:r>
      <w:r w:rsidRPr="008B6E8E">
        <w:rPr>
          <w:b/>
        </w:rPr>
        <w:t xml:space="preserve"> Burden Hours</w:t>
      </w:r>
      <w:r w:rsidRPr="00666CA0">
        <w:rPr>
          <w:b/>
        </w:rPr>
        <w:t xml:space="preserve"> </w:t>
      </w:r>
    </w:p>
    <w:p w:rsidR="00DE3FD8" w:rsidRPr="00666CA0" w:rsidRDefault="00DE3FD8" w:rsidP="00DE3FD8">
      <w:pPr>
        <w:keepNext/>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655"/>
        <w:gridCol w:w="1440"/>
        <w:gridCol w:w="1815"/>
        <w:gridCol w:w="1757"/>
        <w:gridCol w:w="1523"/>
      </w:tblGrid>
      <w:tr w:rsidR="00DE3FD8" w:rsidRPr="00666CA0" w:rsidTr="003E3A9D">
        <w:trPr>
          <w:jc w:val="center"/>
        </w:trPr>
        <w:tc>
          <w:tcPr>
            <w:tcW w:w="3655" w:type="dxa"/>
            <w:vAlign w:val="bottom"/>
          </w:tcPr>
          <w:p w:rsidR="00DE3FD8" w:rsidRPr="00666CA0" w:rsidRDefault="00DE3FD8" w:rsidP="00DE3FD8">
            <w:pPr>
              <w:keepNext/>
              <w:jc w:val="center"/>
              <w:rPr>
                <w:b/>
              </w:rPr>
            </w:pPr>
            <w:r w:rsidRPr="00666CA0">
              <w:rPr>
                <w:b/>
              </w:rPr>
              <w:t>R</w:t>
            </w:r>
            <w:r>
              <w:rPr>
                <w:b/>
              </w:rPr>
              <w:t>ole</w:t>
            </w:r>
          </w:p>
        </w:tc>
        <w:tc>
          <w:tcPr>
            <w:tcW w:w="1440" w:type="dxa"/>
            <w:vAlign w:val="bottom"/>
          </w:tcPr>
          <w:p w:rsidR="00DE3FD8" w:rsidRPr="00666CA0" w:rsidRDefault="00DE3FD8" w:rsidP="003E3A9D">
            <w:pPr>
              <w:keepNext/>
              <w:jc w:val="center"/>
              <w:rPr>
                <w:b/>
              </w:rPr>
            </w:pPr>
            <w:r w:rsidRPr="00666CA0">
              <w:rPr>
                <w:b/>
              </w:rPr>
              <w:t>Baseline</w:t>
            </w:r>
          </w:p>
        </w:tc>
        <w:tc>
          <w:tcPr>
            <w:tcW w:w="1815" w:type="dxa"/>
            <w:vAlign w:val="bottom"/>
          </w:tcPr>
          <w:p w:rsidR="00DE3FD8" w:rsidRDefault="00DE3FD8" w:rsidP="003E3A9D">
            <w:pPr>
              <w:keepNext/>
              <w:jc w:val="center"/>
              <w:rPr>
                <w:b/>
              </w:rPr>
            </w:pPr>
            <w:r w:rsidRPr="00666CA0">
              <w:rPr>
                <w:b/>
              </w:rPr>
              <w:t xml:space="preserve">Flexible Air </w:t>
            </w:r>
          </w:p>
          <w:p w:rsidR="00DE3FD8" w:rsidRPr="00666CA0" w:rsidRDefault="00DE3FD8" w:rsidP="003E3A9D">
            <w:pPr>
              <w:keepNext/>
              <w:jc w:val="center"/>
              <w:rPr>
                <w:b/>
              </w:rPr>
            </w:pPr>
            <w:r w:rsidRPr="00666CA0">
              <w:rPr>
                <w:b/>
              </w:rPr>
              <w:t>Permit</w:t>
            </w:r>
            <w:r>
              <w:rPr>
                <w:b/>
              </w:rPr>
              <w:t xml:space="preserve"> Rule</w:t>
            </w:r>
          </w:p>
        </w:tc>
        <w:tc>
          <w:tcPr>
            <w:tcW w:w="1757" w:type="dxa"/>
            <w:vAlign w:val="bottom"/>
          </w:tcPr>
          <w:p w:rsidR="00DE3FD8" w:rsidRDefault="00DE3FD8" w:rsidP="003E3A9D">
            <w:pPr>
              <w:keepNext/>
              <w:jc w:val="center"/>
              <w:rPr>
                <w:b/>
              </w:rPr>
            </w:pPr>
            <w:r w:rsidRPr="00666CA0">
              <w:rPr>
                <w:b/>
              </w:rPr>
              <w:t xml:space="preserve">GHG </w:t>
            </w:r>
          </w:p>
          <w:p w:rsidR="00DE3FD8" w:rsidRPr="00666CA0" w:rsidRDefault="00DE3FD8" w:rsidP="003E3A9D">
            <w:pPr>
              <w:keepNext/>
              <w:jc w:val="center"/>
              <w:rPr>
                <w:b/>
              </w:rPr>
            </w:pPr>
            <w:r w:rsidRPr="00666CA0">
              <w:rPr>
                <w:b/>
              </w:rPr>
              <w:t>Tailoring</w:t>
            </w:r>
            <w:r>
              <w:rPr>
                <w:b/>
              </w:rPr>
              <w:t xml:space="preserve"> Rule</w:t>
            </w:r>
          </w:p>
        </w:tc>
        <w:tc>
          <w:tcPr>
            <w:tcW w:w="1523" w:type="dxa"/>
            <w:vAlign w:val="bottom"/>
          </w:tcPr>
          <w:p w:rsidR="00DE3FD8" w:rsidRPr="00666CA0" w:rsidRDefault="00DE3FD8" w:rsidP="003E3A9D">
            <w:pPr>
              <w:keepNext/>
              <w:jc w:val="center"/>
              <w:rPr>
                <w:b/>
              </w:rPr>
            </w:pPr>
            <w:r w:rsidRPr="00666CA0">
              <w:rPr>
                <w:b/>
              </w:rPr>
              <w:t>T</w:t>
            </w:r>
            <w:r>
              <w:rPr>
                <w:b/>
              </w:rPr>
              <w:t>otal</w:t>
            </w:r>
          </w:p>
        </w:tc>
      </w:tr>
      <w:tr w:rsidR="00DE3FD8" w:rsidRPr="00666CA0" w:rsidTr="003E3A9D">
        <w:trPr>
          <w:jc w:val="center"/>
        </w:trPr>
        <w:tc>
          <w:tcPr>
            <w:tcW w:w="3655" w:type="dxa"/>
          </w:tcPr>
          <w:p w:rsidR="00DE3FD8" w:rsidRPr="00666CA0" w:rsidRDefault="00DE3FD8" w:rsidP="003E3A9D">
            <w:pPr>
              <w:keepNext/>
            </w:pPr>
            <w:r>
              <w:t>Permitting Authority</w:t>
            </w:r>
          </w:p>
        </w:tc>
        <w:tc>
          <w:tcPr>
            <w:tcW w:w="1440" w:type="dxa"/>
          </w:tcPr>
          <w:p w:rsidR="00DE3FD8" w:rsidRPr="00666CA0" w:rsidRDefault="00DE3FD8" w:rsidP="003E3A9D">
            <w:pPr>
              <w:keepNext/>
              <w:jc w:val="right"/>
            </w:pPr>
            <w:r>
              <w:t>14,808</w:t>
            </w:r>
          </w:p>
        </w:tc>
        <w:tc>
          <w:tcPr>
            <w:tcW w:w="1815" w:type="dxa"/>
          </w:tcPr>
          <w:p w:rsidR="00DE3FD8" w:rsidRPr="00666CA0" w:rsidRDefault="00DE3FD8" w:rsidP="00DE3FD8">
            <w:pPr>
              <w:keepNext/>
              <w:jc w:val="right"/>
            </w:pPr>
            <w:r w:rsidRPr="00666CA0">
              <w:t>-</w:t>
            </w:r>
            <w:r>
              <w:t>1,752</w:t>
            </w:r>
          </w:p>
        </w:tc>
        <w:tc>
          <w:tcPr>
            <w:tcW w:w="1757" w:type="dxa"/>
          </w:tcPr>
          <w:p w:rsidR="00DE3FD8" w:rsidRPr="00666CA0" w:rsidRDefault="00DE3FD8" w:rsidP="00DE3FD8">
            <w:pPr>
              <w:keepNext/>
              <w:jc w:val="right"/>
            </w:pPr>
            <w:r>
              <w:t>1,272</w:t>
            </w:r>
          </w:p>
        </w:tc>
        <w:tc>
          <w:tcPr>
            <w:tcW w:w="1523" w:type="dxa"/>
          </w:tcPr>
          <w:p w:rsidR="00DE3FD8" w:rsidRPr="00666CA0" w:rsidRDefault="00DE3FD8" w:rsidP="003E3A9D">
            <w:pPr>
              <w:keepNext/>
              <w:jc w:val="right"/>
            </w:pPr>
            <w:r>
              <w:t>14,328</w:t>
            </w:r>
          </w:p>
        </w:tc>
      </w:tr>
      <w:tr w:rsidR="00DE3FD8" w:rsidRPr="00666CA0" w:rsidTr="003E3A9D">
        <w:trPr>
          <w:jc w:val="center"/>
        </w:trPr>
        <w:tc>
          <w:tcPr>
            <w:tcW w:w="3655" w:type="dxa"/>
          </w:tcPr>
          <w:p w:rsidR="00DE3FD8" w:rsidRPr="00666CA0" w:rsidRDefault="00DE3FD8" w:rsidP="003E3A9D">
            <w:pPr>
              <w:keepNext/>
            </w:pPr>
            <w:r>
              <w:t>Oversight of Delegate Agencies</w:t>
            </w:r>
          </w:p>
        </w:tc>
        <w:tc>
          <w:tcPr>
            <w:tcW w:w="1440" w:type="dxa"/>
          </w:tcPr>
          <w:p w:rsidR="00DE3FD8" w:rsidRPr="00666CA0" w:rsidRDefault="00DE3FD8" w:rsidP="003E3A9D">
            <w:pPr>
              <w:keepNext/>
              <w:jc w:val="right"/>
            </w:pPr>
            <w:r>
              <w:t>28</w:t>
            </w:r>
          </w:p>
        </w:tc>
        <w:tc>
          <w:tcPr>
            <w:tcW w:w="1815" w:type="dxa"/>
          </w:tcPr>
          <w:p w:rsidR="00DE3FD8" w:rsidRPr="00666CA0" w:rsidRDefault="00DE3FD8" w:rsidP="00DE3FD8">
            <w:pPr>
              <w:keepNext/>
              <w:jc w:val="right"/>
            </w:pPr>
            <w:r w:rsidRPr="00666CA0">
              <w:t>-</w:t>
            </w:r>
            <w:r>
              <w:t>10</w:t>
            </w:r>
          </w:p>
        </w:tc>
        <w:tc>
          <w:tcPr>
            <w:tcW w:w="1757" w:type="dxa"/>
          </w:tcPr>
          <w:p w:rsidR="00DE3FD8" w:rsidRPr="00666CA0" w:rsidRDefault="004F1E0D" w:rsidP="003E3A9D">
            <w:pPr>
              <w:keepNext/>
              <w:jc w:val="right"/>
            </w:pPr>
            <w:r>
              <w:t>8</w:t>
            </w:r>
          </w:p>
        </w:tc>
        <w:tc>
          <w:tcPr>
            <w:tcW w:w="1523" w:type="dxa"/>
          </w:tcPr>
          <w:p w:rsidR="00DE3FD8" w:rsidRPr="00666CA0" w:rsidRDefault="004F1E0D" w:rsidP="003E3A9D">
            <w:pPr>
              <w:keepNext/>
              <w:jc w:val="right"/>
            </w:pPr>
            <w:r>
              <w:t>26</w:t>
            </w:r>
          </w:p>
        </w:tc>
      </w:tr>
      <w:tr w:rsidR="00DE3FD8" w:rsidRPr="00666CA0" w:rsidTr="003E3A9D">
        <w:trPr>
          <w:jc w:val="center"/>
        </w:trPr>
        <w:tc>
          <w:tcPr>
            <w:tcW w:w="3655" w:type="dxa"/>
          </w:tcPr>
          <w:p w:rsidR="00DE3FD8" w:rsidRPr="00666CA0" w:rsidRDefault="00DE3FD8" w:rsidP="003E3A9D">
            <w:pPr>
              <w:keepNext/>
              <w:rPr>
                <w:b/>
              </w:rPr>
            </w:pPr>
            <w:r w:rsidRPr="00666CA0">
              <w:rPr>
                <w:b/>
              </w:rPr>
              <w:t>T</w:t>
            </w:r>
            <w:r>
              <w:rPr>
                <w:b/>
              </w:rPr>
              <w:t>otal</w:t>
            </w:r>
          </w:p>
        </w:tc>
        <w:tc>
          <w:tcPr>
            <w:tcW w:w="1440" w:type="dxa"/>
          </w:tcPr>
          <w:p w:rsidR="00DE3FD8" w:rsidRPr="00666CA0" w:rsidRDefault="004F1E0D" w:rsidP="003E3A9D">
            <w:pPr>
              <w:keepNext/>
              <w:jc w:val="right"/>
              <w:rPr>
                <w:b/>
              </w:rPr>
            </w:pPr>
            <w:r>
              <w:rPr>
                <w:b/>
              </w:rPr>
              <w:t>14,836</w:t>
            </w:r>
          </w:p>
        </w:tc>
        <w:tc>
          <w:tcPr>
            <w:tcW w:w="1815" w:type="dxa"/>
          </w:tcPr>
          <w:p w:rsidR="00DE3FD8" w:rsidRPr="00666CA0" w:rsidRDefault="00DE3FD8" w:rsidP="004F1E0D">
            <w:pPr>
              <w:keepNext/>
              <w:jc w:val="right"/>
              <w:rPr>
                <w:b/>
              </w:rPr>
            </w:pPr>
            <w:r w:rsidRPr="00666CA0">
              <w:rPr>
                <w:b/>
              </w:rPr>
              <w:t>-</w:t>
            </w:r>
            <w:r w:rsidR="004F1E0D">
              <w:rPr>
                <w:b/>
              </w:rPr>
              <w:t>1,762</w:t>
            </w:r>
          </w:p>
        </w:tc>
        <w:tc>
          <w:tcPr>
            <w:tcW w:w="1757" w:type="dxa"/>
          </w:tcPr>
          <w:p w:rsidR="00DE3FD8" w:rsidRPr="00666CA0" w:rsidRDefault="00DE3FD8" w:rsidP="004F1E0D">
            <w:pPr>
              <w:keepNext/>
              <w:jc w:val="right"/>
              <w:rPr>
                <w:b/>
              </w:rPr>
            </w:pPr>
            <w:r>
              <w:rPr>
                <w:b/>
              </w:rPr>
              <w:t>1,</w:t>
            </w:r>
            <w:r w:rsidR="004F1E0D">
              <w:rPr>
                <w:b/>
              </w:rPr>
              <w:t>280</w:t>
            </w:r>
          </w:p>
        </w:tc>
        <w:tc>
          <w:tcPr>
            <w:tcW w:w="1523" w:type="dxa"/>
          </w:tcPr>
          <w:p w:rsidR="00DE3FD8" w:rsidRPr="00666CA0" w:rsidRDefault="004F1E0D" w:rsidP="003E3A9D">
            <w:pPr>
              <w:keepNext/>
              <w:jc w:val="right"/>
              <w:rPr>
                <w:b/>
              </w:rPr>
            </w:pPr>
            <w:r>
              <w:rPr>
                <w:b/>
              </w:rPr>
              <w:t>14,354</w:t>
            </w:r>
          </w:p>
        </w:tc>
      </w:tr>
    </w:tbl>
    <w:p w:rsidR="00DE3FD8" w:rsidRPr="00666CA0" w:rsidRDefault="00DE3FD8" w:rsidP="00DE3FD8">
      <w:r w:rsidRPr="00666CA0">
        <w:t xml:space="preserve"> </w:t>
      </w:r>
    </w:p>
    <w:p w:rsidR="00DE3FD8" w:rsidRPr="00666CA0" w:rsidRDefault="00DE3FD8" w:rsidP="00576C3C">
      <w:pPr>
        <w:keepNext/>
        <w:spacing w:line="276" w:lineRule="auto"/>
        <w:jc w:val="center"/>
        <w:rPr>
          <w:b/>
        </w:rPr>
      </w:pPr>
      <w:r w:rsidRPr="00941464">
        <w:rPr>
          <w:b/>
        </w:rPr>
        <w:lastRenderedPageBreak/>
        <w:t>Table 1</w:t>
      </w:r>
      <w:r>
        <w:rPr>
          <w:b/>
        </w:rPr>
        <w:t>8</w:t>
      </w:r>
      <w:r w:rsidRPr="00941464">
        <w:rPr>
          <w:b/>
        </w:rPr>
        <w:t xml:space="preserve">. Calculation of Bottom Line Average Annual </w:t>
      </w:r>
      <w:r>
        <w:rPr>
          <w:b/>
        </w:rPr>
        <w:t>EPA</w:t>
      </w:r>
      <w:r w:rsidRPr="00941464">
        <w:rPr>
          <w:b/>
        </w:rPr>
        <w:t xml:space="preserve"> Cost (2011$)</w:t>
      </w:r>
      <w:r w:rsidRPr="00666CA0">
        <w:rPr>
          <w:b/>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655"/>
        <w:gridCol w:w="1440"/>
        <w:gridCol w:w="1839"/>
        <w:gridCol w:w="1761"/>
        <w:gridCol w:w="1495"/>
      </w:tblGrid>
      <w:tr w:rsidR="00DE3FD8" w:rsidRPr="00666CA0" w:rsidTr="003E3A9D">
        <w:trPr>
          <w:jc w:val="center"/>
        </w:trPr>
        <w:tc>
          <w:tcPr>
            <w:tcW w:w="3655" w:type="dxa"/>
            <w:vAlign w:val="bottom"/>
          </w:tcPr>
          <w:p w:rsidR="00DE3FD8" w:rsidRPr="00666CA0" w:rsidRDefault="00DE3FD8" w:rsidP="006035B4">
            <w:pPr>
              <w:keepNext/>
              <w:jc w:val="center"/>
              <w:rPr>
                <w:b/>
              </w:rPr>
            </w:pPr>
            <w:r w:rsidRPr="00666CA0">
              <w:rPr>
                <w:b/>
              </w:rPr>
              <w:t>R</w:t>
            </w:r>
            <w:r>
              <w:rPr>
                <w:b/>
              </w:rPr>
              <w:t>ole</w:t>
            </w:r>
          </w:p>
        </w:tc>
        <w:tc>
          <w:tcPr>
            <w:tcW w:w="1440" w:type="dxa"/>
            <w:vAlign w:val="bottom"/>
          </w:tcPr>
          <w:p w:rsidR="00DE3FD8" w:rsidRPr="00666CA0" w:rsidRDefault="00DE3FD8" w:rsidP="006035B4">
            <w:pPr>
              <w:keepNext/>
              <w:jc w:val="center"/>
              <w:rPr>
                <w:b/>
              </w:rPr>
            </w:pPr>
            <w:r w:rsidRPr="00666CA0">
              <w:rPr>
                <w:b/>
              </w:rPr>
              <w:t>Baseline</w:t>
            </w:r>
          </w:p>
        </w:tc>
        <w:tc>
          <w:tcPr>
            <w:tcW w:w="1839" w:type="dxa"/>
            <w:vAlign w:val="bottom"/>
          </w:tcPr>
          <w:p w:rsidR="00DE3FD8" w:rsidRPr="00666CA0" w:rsidRDefault="00DE3FD8" w:rsidP="006035B4">
            <w:pPr>
              <w:keepNext/>
              <w:jc w:val="center"/>
              <w:rPr>
                <w:b/>
              </w:rPr>
            </w:pPr>
            <w:r w:rsidRPr="00666CA0">
              <w:rPr>
                <w:b/>
              </w:rPr>
              <w:t>Flexible Air Permit</w:t>
            </w:r>
            <w:r>
              <w:rPr>
                <w:b/>
              </w:rPr>
              <w:t xml:space="preserve"> Rule</w:t>
            </w:r>
          </w:p>
        </w:tc>
        <w:tc>
          <w:tcPr>
            <w:tcW w:w="1761" w:type="dxa"/>
            <w:vAlign w:val="bottom"/>
          </w:tcPr>
          <w:p w:rsidR="00DE3FD8" w:rsidRPr="00666CA0" w:rsidRDefault="00DE3FD8" w:rsidP="006035B4">
            <w:pPr>
              <w:keepNext/>
              <w:jc w:val="center"/>
              <w:rPr>
                <w:b/>
              </w:rPr>
            </w:pPr>
            <w:r w:rsidRPr="00666CA0">
              <w:rPr>
                <w:b/>
              </w:rPr>
              <w:t>GHG Tailoring</w:t>
            </w:r>
            <w:r>
              <w:rPr>
                <w:b/>
              </w:rPr>
              <w:t xml:space="preserve"> Rule</w:t>
            </w:r>
          </w:p>
        </w:tc>
        <w:tc>
          <w:tcPr>
            <w:tcW w:w="1495" w:type="dxa"/>
            <w:vAlign w:val="bottom"/>
          </w:tcPr>
          <w:p w:rsidR="00DE3FD8" w:rsidRPr="00666CA0" w:rsidRDefault="00DE3FD8" w:rsidP="006035B4">
            <w:pPr>
              <w:keepNext/>
              <w:jc w:val="center"/>
              <w:rPr>
                <w:b/>
              </w:rPr>
            </w:pPr>
            <w:r w:rsidRPr="00666CA0">
              <w:rPr>
                <w:b/>
              </w:rPr>
              <w:t>T</w:t>
            </w:r>
            <w:r>
              <w:rPr>
                <w:b/>
              </w:rPr>
              <w:t>otal</w:t>
            </w:r>
          </w:p>
        </w:tc>
      </w:tr>
      <w:tr w:rsidR="00DE3FD8" w:rsidRPr="00666CA0" w:rsidTr="003E3A9D">
        <w:trPr>
          <w:jc w:val="center"/>
        </w:trPr>
        <w:tc>
          <w:tcPr>
            <w:tcW w:w="3655" w:type="dxa"/>
          </w:tcPr>
          <w:p w:rsidR="00DE3FD8" w:rsidRPr="00666CA0" w:rsidRDefault="00DE3FD8" w:rsidP="006035B4">
            <w:pPr>
              <w:keepNext/>
            </w:pPr>
            <w:r>
              <w:t>Permitting Authority</w:t>
            </w:r>
          </w:p>
        </w:tc>
        <w:tc>
          <w:tcPr>
            <w:tcW w:w="1440" w:type="dxa"/>
          </w:tcPr>
          <w:p w:rsidR="00DE3FD8" w:rsidRPr="00666CA0" w:rsidRDefault="00DE3FD8" w:rsidP="006035B4">
            <w:pPr>
              <w:keepNext/>
              <w:jc w:val="right"/>
            </w:pPr>
            <w:r w:rsidRPr="00666CA0">
              <w:t>$</w:t>
            </w:r>
            <w:r w:rsidR="004F1E0D">
              <w:t>770,030</w:t>
            </w:r>
          </w:p>
        </w:tc>
        <w:tc>
          <w:tcPr>
            <w:tcW w:w="1839" w:type="dxa"/>
          </w:tcPr>
          <w:p w:rsidR="00DE3FD8" w:rsidRPr="00666CA0" w:rsidRDefault="00DE3FD8" w:rsidP="006035B4">
            <w:pPr>
              <w:keepNext/>
              <w:jc w:val="right"/>
            </w:pPr>
            <w:r w:rsidRPr="00666CA0">
              <w:t>-$</w:t>
            </w:r>
            <w:r w:rsidR="004F1E0D">
              <w:t>91,090</w:t>
            </w:r>
          </w:p>
        </w:tc>
        <w:tc>
          <w:tcPr>
            <w:tcW w:w="1761" w:type="dxa"/>
          </w:tcPr>
          <w:p w:rsidR="00DE3FD8" w:rsidRPr="00666CA0" w:rsidRDefault="00DE3FD8" w:rsidP="006035B4">
            <w:pPr>
              <w:keepNext/>
              <w:jc w:val="right"/>
            </w:pPr>
            <w:r w:rsidRPr="00666CA0">
              <w:t>$</w:t>
            </w:r>
            <w:r w:rsidR="004F1E0D">
              <w:t>66,107</w:t>
            </w:r>
          </w:p>
        </w:tc>
        <w:tc>
          <w:tcPr>
            <w:tcW w:w="1495" w:type="dxa"/>
          </w:tcPr>
          <w:p w:rsidR="00DE3FD8" w:rsidRPr="00666CA0" w:rsidRDefault="00DE3FD8" w:rsidP="006035B4">
            <w:pPr>
              <w:keepNext/>
              <w:jc w:val="right"/>
            </w:pPr>
            <w:r w:rsidRPr="00666CA0">
              <w:t>$</w:t>
            </w:r>
            <w:r w:rsidR="004F1E0D">
              <w:t>745,047</w:t>
            </w:r>
          </w:p>
        </w:tc>
      </w:tr>
      <w:tr w:rsidR="00DE3FD8" w:rsidRPr="00666CA0" w:rsidTr="003E3A9D">
        <w:trPr>
          <w:jc w:val="center"/>
        </w:trPr>
        <w:tc>
          <w:tcPr>
            <w:tcW w:w="3655" w:type="dxa"/>
          </w:tcPr>
          <w:p w:rsidR="00DE3FD8" w:rsidRPr="00666CA0" w:rsidRDefault="00DE3FD8" w:rsidP="006035B4">
            <w:pPr>
              <w:keepNext/>
            </w:pPr>
            <w:r>
              <w:t>Oversight of Delegate Agencies</w:t>
            </w:r>
          </w:p>
        </w:tc>
        <w:tc>
          <w:tcPr>
            <w:tcW w:w="1440" w:type="dxa"/>
          </w:tcPr>
          <w:p w:rsidR="00DE3FD8" w:rsidRPr="00666CA0" w:rsidRDefault="00DE3FD8" w:rsidP="006035B4">
            <w:pPr>
              <w:keepNext/>
              <w:jc w:val="right"/>
            </w:pPr>
            <w:r w:rsidRPr="00666CA0">
              <w:t>$</w:t>
            </w:r>
            <w:r w:rsidR="004F1E0D">
              <w:t>1,456</w:t>
            </w:r>
          </w:p>
        </w:tc>
        <w:tc>
          <w:tcPr>
            <w:tcW w:w="1839" w:type="dxa"/>
          </w:tcPr>
          <w:p w:rsidR="00DE3FD8" w:rsidRPr="00666CA0" w:rsidRDefault="00DE3FD8" w:rsidP="006035B4">
            <w:pPr>
              <w:keepNext/>
              <w:jc w:val="right"/>
            </w:pPr>
            <w:r w:rsidRPr="00666CA0">
              <w:t>-$</w:t>
            </w:r>
            <w:r w:rsidR="004F1E0D">
              <w:t>503</w:t>
            </w:r>
          </w:p>
        </w:tc>
        <w:tc>
          <w:tcPr>
            <w:tcW w:w="1761" w:type="dxa"/>
          </w:tcPr>
          <w:p w:rsidR="00DE3FD8" w:rsidRPr="00666CA0" w:rsidRDefault="00DE3FD8" w:rsidP="006035B4">
            <w:pPr>
              <w:keepNext/>
              <w:jc w:val="right"/>
            </w:pPr>
            <w:r w:rsidRPr="00666CA0">
              <w:t>$</w:t>
            </w:r>
            <w:r w:rsidR="004F1E0D">
              <w:t>416</w:t>
            </w:r>
          </w:p>
        </w:tc>
        <w:tc>
          <w:tcPr>
            <w:tcW w:w="1495" w:type="dxa"/>
          </w:tcPr>
          <w:p w:rsidR="00DE3FD8" w:rsidRPr="00666CA0" w:rsidRDefault="00DE3FD8" w:rsidP="006035B4">
            <w:pPr>
              <w:keepNext/>
              <w:jc w:val="right"/>
            </w:pPr>
            <w:r w:rsidRPr="00666CA0">
              <w:t>$</w:t>
            </w:r>
            <w:r w:rsidR="004F1E0D">
              <w:t>1,369</w:t>
            </w:r>
          </w:p>
        </w:tc>
      </w:tr>
      <w:tr w:rsidR="00DE3FD8" w:rsidRPr="00666CA0" w:rsidTr="003E3A9D">
        <w:trPr>
          <w:jc w:val="center"/>
        </w:trPr>
        <w:tc>
          <w:tcPr>
            <w:tcW w:w="3655" w:type="dxa"/>
          </w:tcPr>
          <w:p w:rsidR="00DE3FD8" w:rsidRPr="00666CA0" w:rsidRDefault="00DE3FD8" w:rsidP="006035B4">
            <w:pPr>
              <w:keepNext/>
              <w:rPr>
                <w:b/>
              </w:rPr>
            </w:pPr>
            <w:r w:rsidRPr="00666CA0">
              <w:rPr>
                <w:b/>
              </w:rPr>
              <w:t>T</w:t>
            </w:r>
            <w:r>
              <w:rPr>
                <w:b/>
              </w:rPr>
              <w:t xml:space="preserve">otal </w:t>
            </w:r>
          </w:p>
        </w:tc>
        <w:tc>
          <w:tcPr>
            <w:tcW w:w="1440" w:type="dxa"/>
          </w:tcPr>
          <w:p w:rsidR="00DE3FD8" w:rsidRPr="00C070B9" w:rsidRDefault="00DE3FD8" w:rsidP="006035B4">
            <w:pPr>
              <w:keepNext/>
              <w:jc w:val="right"/>
              <w:rPr>
                <w:b/>
              </w:rPr>
            </w:pPr>
            <w:r w:rsidRPr="00C070B9">
              <w:rPr>
                <w:b/>
              </w:rPr>
              <w:t>$</w:t>
            </w:r>
            <w:r w:rsidR="004F1E0D">
              <w:rPr>
                <w:b/>
              </w:rPr>
              <w:t>771,486</w:t>
            </w:r>
          </w:p>
        </w:tc>
        <w:tc>
          <w:tcPr>
            <w:tcW w:w="1839" w:type="dxa"/>
          </w:tcPr>
          <w:p w:rsidR="00DE3FD8" w:rsidRPr="00C070B9" w:rsidRDefault="00DE3FD8" w:rsidP="006035B4">
            <w:pPr>
              <w:keepNext/>
              <w:jc w:val="right"/>
              <w:rPr>
                <w:b/>
              </w:rPr>
            </w:pPr>
            <w:r w:rsidRPr="00C070B9">
              <w:rPr>
                <w:b/>
              </w:rPr>
              <w:t>-$</w:t>
            </w:r>
            <w:r w:rsidR="004F1E0D">
              <w:rPr>
                <w:b/>
              </w:rPr>
              <w:t>91,593</w:t>
            </w:r>
          </w:p>
        </w:tc>
        <w:tc>
          <w:tcPr>
            <w:tcW w:w="1761" w:type="dxa"/>
          </w:tcPr>
          <w:p w:rsidR="00DE3FD8" w:rsidRPr="00C070B9" w:rsidRDefault="00DE3FD8" w:rsidP="006035B4">
            <w:pPr>
              <w:keepNext/>
              <w:jc w:val="right"/>
              <w:rPr>
                <w:b/>
              </w:rPr>
            </w:pPr>
            <w:r w:rsidRPr="00C070B9">
              <w:rPr>
                <w:b/>
              </w:rPr>
              <w:t>$</w:t>
            </w:r>
            <w:r w:rsidR="004F1E0D">
              <w:rPr>
                <w:b/>
              </w:rPr>
              <w:t>66,523</w:t>
            </w:r>
          </w:p>
        </w:tc>
        <w:tc>
          <w:tcPr>
            <w:tcW w:w="1495" w:type="dxa"/>
          </w:tcPr>
          <w:p w:rsidR="00DE3FD8" w:rsidRPr="00C070B9" w:rsidRDefault="00DE3FD8" w:rsidP="006035B4">
            <w:pPr>
              <w:keepNext/>
              <w:jc w:val="right"/>
              <w:rPr>
                <w:b/>
              </w:rPr>
            </w:pPr>
            <w:r w:rsidRPr="00C070B9">
              <w:rPr>
                <w:b/>
              </w:rPr>
              <w:t>$</w:t>
            </w:r>
            <w:r w:rsidR="004F1E0D">
              <w:rPr>
                <w:b/>
              </w:rPr>
              <w:t>746,416</w:t>
            </w:r>
          </w:p>
        </w:tc>
      </w:tr>
    </w:tbl>
    <w:p w:rsidR="00DE3FD8" w:rsidRDefault="00DE3FD8" w:rsidP="00210E31"/>
    <w:p w:rsidR="00210E31" w:rsidRDefault="00210E31" w:rsidP="00210E31">
      <w:r>
        <w:t>As can be seen from Table</w:t>
      </w:r>
      <w:r w:rsidR="00A65D07">
        <w:t>s</w:t>
      </w:r>
      <w:r>
        <w:t xml:space="preserve"> 17</w:t>
      </w:r>
      <w:r w:rsidR="00A65D07">
        <w:t xml:space="preserve"> and 18</w:t>
      </w:r>
      <w:r>
        <w:t>, the total, bottom line burden incurred by the EPA for the part 7</w:t>
      </w:r>
      <w:r w:rsidR="00607949">
        <w:t>1 Operating Permit</w:t>
      </w:r>
      <w:r>
        <w:t xml:space="preserve"> Program is estimated to be about </w:t>
      </w:r>
      <w:r w:rsidR="003D1A4F">
        <w:t>14,4</w:t>
      </w:r>
      <w:r>
        <w:t>00 hours and $</w:t>
      </w:r>
      <w:r w:rsidR="003D1A4F">
        <w:t>750,000</w:t>
      </w:r>
      <w:r>
        <w:t xml:space="preserve"> dollars per year. This total represents approximately </w:t>
      </w:r>
      <w:r w:rsidR="003D1A4F">
        <w:t>8</w:t>
      </w:r>
      <w:r>
        <w:t>2 hours and $</w:t>
      </w:r>
      <w:r w:rsidR="003D1A4F">
        <w:t>4,300</w:t>
      </w:r>
      <w:r>
        <w:t xml:space="preserve"> per source</w:t>
      </w:r>
      <w:r w:rsidR="003D1A4F">
        <w:t xml:space="preserve"> across the two roles fulfilled by the Agency</w:t>
      </w:r>
      <w:r>
        <w:t>.</w:t>
      </w:r>
      <w:r w:rsidR="003D1A4F">
        <w:t xml:space="preserve"> As a permitting authority, the EPA’s bottom line annual burden is about 14,300 per year at a cost of about $745,000, or an average of approximately 90 hours and $4,700 for each of the 160 sources to be administered by the EPA. In overseeing the delegate permitting authority, </w:t>
      </w:r>
      <w:r w:rsidR="00A65D07">
        <w:t>the EPA expects an annual burden of less than 30 hours and $1,500 per year, for an average of 2 hours and $100 for each of the 14 sources administered by the NNEPA.</w:t>
      </w:r>
    </w:p>
    <w:p w:rsidR="004B0829" w:rsidRDefault="004B0829" w:rsidP="004B0829">
      <w:pPr>
        <w:rPr>
          <w:iCs/>
        </w:rPr>
      </w:pPr>
    </w:p>
    <w:p w:rsidR="00A65D07" w:rsidRPr="005D10D5" w:rsidRDefault="00A65D07" w:rsidP="00A65D07">
      <w:pPr>
        <w:pStyle w:val="Heading3"/>
        <w:spacing w:before="0"/>
        <w:ind w:firstLine="0"/>
      </w:pPr>
      <w:bookmarkStart w:id="55" w:name="_Toc319326611"/>
      <w:bookmarkStart w:id="56" w:name="_Toc320021967"/>
      <w:r>
        <w:t>6(e)(iii) Variations in the Annual Bottom Line</w:t>
      </w:r>
      <w:bookmarkEnd w:id="55"/>
      <w:bookmarkEnd w:id="56"/>
    </w:p>
    <w:p w:rsidR="00A65D07" w:rsidRDefault="00A65D07" w:rsidP="00A65D07"/>
    <w:p w:rsidR="00A65D07" w:rsidRDefault="00A65D07" w:rsidP="00A65D07">
      <w:r>
        <w:t xml:space="preserve">The annual burden is not expected to change significantly from year to year over the 3 years covered by this ICR renewal. However, the burden is expected to increase incrementally each year as the number of permitted sources increases by about </w:t>
      </w:r>
      <w:r w:rsidR="006035B4">
        <w:t>6 to 7</w:t>
      </w:r>
      <w:r>
        <w:t xml:space="preserve"> percent per year.</w:t>
      </w:r>
    </w:p>
    <w:p w:rsidR="00A65D07" w:rsidRDefault="00A65D07" w:rsidP="00A65D07"/>
    <w:p w:rsidR="006035B4" w:rsidRPr="005B0A94" w:rsidRDefault="006035B4" w:rsidP="006035B4">
      <w:pPr>
        <w:pStyle w:val="Heading2"/>
        <w:widowControl/>
        <w:rPr>
          <w:i w:val="0"/>
        </w:rPr>
      </w:pPr>
      <w:bookmarkStart w:id="57" w:name="_Toc319326612"/>
      <w:bookmarkStart w:id="58" w:name="_Toc320021968"/>
      <w:r w:rsidRPr="005B0A94">
        <w:rPr>
          <w:i w:val="0"/>
        </w:rPr>
        <w:t>6(f) Reasons for Change in Burden</w:t>
      </w:r>
      <w:bookmarkEnd w:id="57"/>
      <w:bookmarkEnd w:id="58"/>
    </w:p>
    <w:p w:rsidR="00A65D07" w:rsidRPr="004B0829" w:rsidRDefault="00A65D07" w:rsidP="004B0829">
      <w:pPr>
        <w:rPr>
          <w:iCs/>
        </w:rPr>
      </w:pPr>
    </w:p>
    <w:p w:rsidR="006035B4" w:rsidRDefault="006035B4" w:rsidP="006035B4">
      <w:r>
        <w:t xml:space="preserve">There are several reasons for the changes in burden in this ICR renewal relative to the 2007 ICR renewal. The most significant reason causing an increase in burden for sources and permitting authorities has been updated estimates of the number of existing sources and permits due to better data. This data shows increased economic activity occurring in areas under EPA jurisdiction, primarily due to oil and gas exploration, LNG terminals and several alternative energy development projects. Also affecting the burden estimates, but to a lesser extent, was an increase in wage rates applied to the activities of sources and permitting authorities.  </w:t>
      </w:r>
    </w:p>
    <w:p w:rsidR="006035B4" w:rsidRDefault="006035B4" w:rsidP="006035B4"/>
    <w:p w:rsidR="006035B4" w:rsidRDefault="006035B4" w:rsidP="006035B4">
      <w:r>
        <w:t xml:space="preserve">Table 19 compares the </w:t>
      </w:r>
      <w:r w:rsidR="00D04FAD">
        <w:t xml:space="preserve">respondent </w:t>
      </w:r>
      <w:r>
        <w:t>burden in the 2007 ICR</w:t>
      </w:r>
      <w:r w:rsidR="005410D4">
        <w:t xml:space="preserve"> renewal</w:t>
      </w:r>
      <w:r>
        <w:t xml:space="preserve"> with the burden in this ICR renewal. </w:t>
      </w:r>
      <w:r w:rsidRPr="00F37129">
        <w:rPr>
          <w:bCs/>
        </w:rPr>
        <w:t xml:space="preserve">The approved burden </w:t>
      </w:r>
      <w:r>
        <w:rPr>
          <w:bCs/>
        </w:rPr>
        <w:t xml:space="preserve">level in the previous ICR was </w:t>
      </w:r>
      <w:r w:rsidR="00D04FAD">
        <w:rPr>
          <w:bCs/>
        </w:rPr>
        <w:t xml:space="preserve">about </w:t>
      </w:r>
      <w:r>
        <w:rPr>
          <w:bCs/>
        </w:rPr>
        <w:t>27</w:t>
      </w:r>
      <w:r w:rsidR="00D04FAD">
        <w:rPr>
          <w:bCs/>
        </w:rPr>
        <w:t>,000</w:t>
      </w:r>
      <w:r w:rsidRPr="00F37129">
        <w:rPr>
          <w:bCs/>
        </w:rPr>
        <w:t xml:space="preserve"> h</w:t>
      </w:r>
      <w:r>
        <w:rPr>
          <w:bCs/>
        </w:rPr>
        <w:t>ours per year for sources</w:t>
      </w:r>
      <w:r w:rsidR="00A33D0D">
        <w:rPr>
          <w:bCs/>
        </w:rPr>
        <w:t>, while t</w:t>
      </w:r>
      <w:r w:rsidRPr="00F37129">
        <w:rPr>
          <w:bCs/>
        </w:rPr>
        <w:t>his ICR est</w:t>
      </w:r>
      <w:r>
        <w:rPr>
          <w:bCs/>
        </w:rPr>
        <w:t xml:space="preserve">imates total annual burden </w:t>
      </w:r>
      <w:r w:rsidR="00D04FAD">
        <w:rPr>
          <w:bCs/>
        </w:rPr>
        <w:t xml:space="preserve">for sources </w:t>
      </w:r>
      <w:r>
        <w:rPr>
          <w:bCs/>
        </w:rPr>
        <w:t xml:space="preserve">at </w:t>
      </w:r>
      <w:r w:rsidR="00A33D0D">
        <w:rPr>
          <w:bCs/>
        </w:rPr>
        <w:t>over</w:t>
      </w:r>
      <w:r w:rsidR="00D04FAD">
        <w:rPr>
          <w:bCs/>
        </w:rPr>
        <w:t xml:space="preserve"> </w:t>
      </w:r>
      <w:r>
        <w:rPr>
          <w:bCs/>
        </w:rPr>
        <w:t>3</w:t>
      </w:r>
      <w:r w:rsidR="00A33D0D">
        <w:rPr>
          <w:bCs/>
        </w:rPr>
        <w:t>6</w:t>
      </w:r>
      <w:r w:rsidR="00D04FAD">
        <w:rPr>
          <w:bCs/>
        </w:rPr>
        <w:t>,000</w:t>
      </w:r>
      <w:r>
        <w:rPr>
          <w:bCs/>
        </w:rPr>
        <w:t xml:space="preserve"> </w:t>
      </w:r>
      <w:r w:rsidRPr="00F37129">
        <w:rPr>
          <w:bCs/>
        </w:rPr>
        <w:t>burden hours per year</w:t>
      </w:r>
      <w:r>
        <w:rPr>
          <w:bCs/>
        </w:rPr>
        <w:t xml:space="preserve">. </w:t>
      </w:r>
      <w:r>
        <w:t>Th</w:t>
      </w:r>
      <w:r w:rsidR="00A33D0D">
        <w:t>is</w:t>
      </w:r>
      <w:r>
        <w:t xml:space="preserve"> change in burden from the previous ICR </w:t>
      </w:r>
      <w:r w:rsidR="00CD7009">
        <w:t xml:space="preserve">renewal </w:t>
      </w:r>
      <w:r>
        <w:t xml:space="preserve">is primarily due to updated estimates of the number of sources and permits, rather than any new </w:t>
      </w:r>
      <w:r w:rsidR="00A33D0D">
        <w:t>f</w:t>
      </w:r>
      <w:r>
        <w:t>ederal mandates (the FAP and the GHG Tailoring rule</w:t>
      </w:r>
      <w:r w:rsidR="00A33D0D">
        <w:t>s</w:t>
      </w:r>
      <w:r>
        <w:t xml:space="preserve"> were previously approved by OMB</w:t>
      </w:r>
      <w:r w:rsidR="00A33D0D">
        <w:t>,</w:t>
      </w:r>
      <w:r>
        <w:t xml:space="preserve"> but this is the first ICR renewal to address them </w:t>
      </w:r>
      <w:r w:rsidR="00A33D0D">
        <w:t>simultaneously</w:t>
      </w:r>
      <w:r>
        <w:t xml:space="preserve"> and update them for the current stage of implementation).</w:t>
      </w:r>
      <w:r w:rsidR="00A33D0D">
        <w:t xml:space="preserve"> </w:t>
      </w:r>
      <w:r w:rsidR="00A33D0D" w:rsidRPr="003C0DFA">
        <w:t>In the last ICR t</w:t>
      </w:r>
      <w:r w:rsidR="00A33D0D">
        <w:t xml:space="preserve">here were 123 sources subject to administration by the EPA, while this one assumes there will be 174 sources, of which 14 will be subject to delegate agency administration and 160 subject to EPA administration. </w:t>
      </w:r>
      <w:r w:rsidR="00A33D0D">
        <w:rPr>
          <w:bCs/>
        </w:rPr>
        <w:t>Permitting by the delegate permitting authority accounts for about 1,250 hours in this ICR renewal, while the previous ICR included no burden for this type of respondent because no delegate agencies had been approved at that time.</w:t>
      </w:r>
    </w:p>
    <w:p w:rsidR="005410D4" w:rsidRDefault="005410D4" w:rsidP="006035B4"/>
    <w:p w:rsidR="005410D4" w:rsidRDefault="005410D4" w:rsidP="00576C3C">
      <w:pPr>
        <w:keepNext/>
        <w:spacing w:line="276" w:lineRule="auto"/>
        <w:jc w:val="center"/>
        <w:rPr>
          <w:b/>
        </w:rPr>
      </w:pPr>
      <w:r w:rsidRPr="00C070B9">
        <w:rPr>
          <w:b/>
        </w:rPr>
        <w:lastRenderedPageBreak/>
        <w:t xml:space="preserve">Table </w:t>
      </w:r>
      <w:r>
        <w:rPr>
          <w:b/>
        </w:rPr>
        <w:t>19</w:t>
      </w:r>
      <w:r w:rsidRPr="00C070B9">
        <w:rPr>
          <w:b/>
        </w:rPr>
        <w:t xml:space="preserve">. Burden </w:t>
      </w:r>
      <w:r>
        <w:rPr>
          <w:b/>
        </w:rPr>
        <w:t>Change from 2007 ICR to Current ICR (Hours)</w:t>
      </w:r>
    </w:p>
    <w:p w:rsidR="005410D4" w:rsidRDefault="005410D4" w:rsidP="005410D4">
      <w:pPr>
        <w:keepNext/>
        <w:jc w:val="center"/>
      </w:pPr>
    </w:p>
    <w:tbl>
      <w:tblPr>
        <w:tblW w:w="5000" w:type="pct"/>
        <w:jc w:val="center"/>
        <w:tblLook w:val="04A0"/>
      </w:tblPr>
      <w:tblGrid>
        <w:gridCol w:w="3321"/>
        <w:gridCol w:w="2342"/>
        <w:gridCol w:w="2291"/>
        <w:gridCol w:w="2342"/>
      </w:tblGrid>
      <w:tr w:rsidR="005410D4" w:rsidRPr="00A86485" w:rsidTr="00D04FAD">
        <w:trPr>
          <w:cantSplit/>
          <w:trHeight w:hRule="exact" w:val="274"/>
          <w:jc w:val="center"/>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410D4" w:rsidRPr="00A86485" w:rsidRDefault="005410D4" w:rsidP="003E3A9D">
            <w:pPr>
              <w:keepNext/>
              <w:jc w:val="center"/>
              <w:rPr>
                <w:b/>
                <w:bCs/>
              </w:rPr>
            </w:pPr>
            <w:r w:rsidRPr="00A86485">
              <w:rPr>
                <w:b/>
                <w:bCs/>
              </w:rPr>
              <w:t>Type of Respondent</w:t>
            </w:r>
          </w:p>
        </w:tc>
        <w:tc>
          <w:tcPr>
            <w:tcW w:w="184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410D4" w:rsidRPr="00A86485" w:rsidRDefault="005410D4" w:rsidP="005410D4">
            <w:pPr>
              <w:keepNext/>
              <w:jc w:val="center"/>
              <w:rPr>
                <w:b/>
                <w:bCs/>
              </w:rPr>
            </w:pPr>
            <w:r w:rsidRPr="00A86485">
              <w:rPr>
                <w:b/>
                <w:bCs/>
              </w:rPr>
              <w:t>Average Annual Burden in 2007 ICR</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410D4" w:rsidRPr="00A86485" w:rsidRDefault="005410D4" w:rsidP="003E3A9D">
            <w:pPr>
              <w:keepNext/>
              <w:jc w:val="center"/>
              <w:rPr>
                <w:b/>
                <w:bCs/>
              </w:rPr>
            </w:pPr>
            <w:r w:rsidRPr="00A86485">
              <w:rPr>
                <w:b/>
                <w:bCs/>
              </w:rPr>
              <w:t>Average Annual Burden in ICR Renewal</w:t>
            </w:r>
          </w:p>
        </w:tc>
        <w:tc>
          <w:tcPr>
            <w:tcW w:w="184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410D4" w:rsidRPr="00A86485" w:rsidRDefault="005410D4" w:rsidP="003E3A9D">
            <w:pPr>
              <w:keepNext/>
              <w:jc w:val="center"/>
              <w:rPr>
                <w:b/>
                <w:bCs/>
              </w:rPr>
            </w:pPr>
            <w:r w:rsidRPr="00A86485">
              <w:rPr>
                <w:b/>
                <w:bCs/>
              </w:rPr>
              <w:t>Difference</w:t>
            </w:r>
          </w:p>
        </w:tc>
      </w:tr>
      <w:tr w:rsidR="005410D4" w:rsidRPr="00A86485" w:rsidTr="005410D4">
        <w:trPr>
          <w:trHeight w:val="300"/>
          <w:jc w:val="center"/>
        </w:trPr>
        <w:tc>
          <w:tcPr>
            <w:tcW w:w="2610" w:type="dxa"/>
            <w:vMerge/>
            <w:tcBorders>
              <w:top w:val="single" w:sz="4" w:space="0" w:color="000000"/>
              <w:left w:val="single" w:sz="4" w:space="0" w:color="000000"/>
              <w:bottom w:val="single" w:sz="4" w:space="0" w:color="000000"/>
              <w:right w:val="single" w:sz="4" w:space="0" w:color="000000"/>
            </w:tcBorders>
            <w:vAlign w:val="center"/>
            <w:hideMark/>
          </w:tcPr>
          <w:p w:rsidR="005410D4" w:rsidRPr="00A86485" w:rsidRDefault="005410D4" w:rsidP="003E3A9D">
            <w:pPr>
              <w:keepNext/>
              <w:rPr>
                <w:b/>
                <w:bCs/>
              </w:rPr>
            </w:pPr>
          </w:p>
        </w:tc>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5410D4" w:rsidRPr="00A86485" w:rsidRDefault="005410D4" w:rsidP="003E3A9D">
            <w:pPr>
              <w:keepNext/>
              <w:rPr>
                <w:b/>
                <w:bCs/>
              </w:rPr>
            </w:pPr>
          </w:p>
        </w:tc>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5410D4" w:rsidRPr="00A86485" w:rsidRDefault="005410D4" w:rsidP="003E3A9D">
            <w:pPr>
              <w:keepNext/>
              <w:rPr>
                <w:b/>
                <w:bCs/>
              </w:rPr>
            </w:pPr>
          </w:p>
        </w:tc>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5410D4" w:rsidRPr="00A86485" w:rsidRDefault="005410D4" w:rsidP="003E3A9D">
            <w:pPr>
              <w:keepNext/>
              <w:rPr>
                <w:b/>
                <w:bCs/>
              </w:rPr>
            </w:pPr>
          </w:p>
        </w:tc>
      </w:tr>
      <w:tr w:rsidR="005410D4" w:rsidRPr="00A86485" w:rsidTr="005410D4">
        <w:trPr>
          <w:trHeight w:val="300"/>
          <w:jc w:val="center"/>
        </w:trPr>
        <w:tc>
          <w:tcPr>
            <w:tcW w:w="2610" w:type="dxa"/>
            <w:vMerge/>
            <w:tcBorders>
              <w:top w:val="single" w:sz="4" w:space="0" w:color="000000"/>
              <w:left w:val="single" w:sz="4" w:space="0" w:color="000000"/>
              <w:bottom w:val="single" w:sz="4" w:space="0" w:color="000000"/>
              <w:right w:val="single" w:sz="4" w:space="0" w:color="000000"/>
            </w:tcBorders>
            <w:vAlign w:val="center"/>
            <w:hideMark/>
          </w:tcPr>
          <w:p w:rsidR="005410D4" w:rsidRPr="00A86485" w:rsidRDefault="005410D4" w:rsidP="003E3A9D">
            <w:pPr>
              <w:keepNext/>
              <w:rPr>
                <w:b/>
                <w:bCs/>
              </w:rPr>
            </w:pPr>
          </w:p>
        </w:tc>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5410D4" w:rsidRPr="00A86485" w:rsidRDefault="005410D4" w:rsidP="003E3A9D">
            <w:pPr>
              <w:keepNext/>
              <w:rPr>
                <w:b/>
                <w:bCs/>
              </w:rPr>
            </w:pPr>
          </w:p>
        </w:tc>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5410D4" w:rsidRPr="00A86485" w:rsidRDefault="005410D4" w:rsidP="003E3A9D">
            <w:pPr>
              <w:keepNext/>
              <w:rPr>
                <w:b/>
                <w:bCs/>
              </w:rPr>
            </w:pPr>
          </w:p>
        </w:tc>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5410D4" w:rsidRPr="00A86485" w:rsidRDefault="005410D4" w:rsidP="003E3A9D">
            <w:pPr>
              <w:keepNext/>
              <w:rPr>
                <w:b/>
                <w:bCs/>
              </w:rPr>
            </w:pPr>
          </w:p>
        </w:tc>
      </w:tr>
      <w:tr w:rsidR="005410D4" w:rsidRPr="00A86485" w:rsidTr="00D04FAD">
        <w:trPr>
          <w:trHeight w:val="276"/>
          <w:jc w:val="center"/>
        </w:trPr>
        <w:tc>
          <w:tcPr>
            <w:tcW w:w="2610" w:type="dxa"/>
            <w:vMerge/>
            <w:tcBorders>
              <w:top w:val="single" w:sz="4" w:space="0" w:color="000000"/>
              <w:left w:val="single" w:sz="4" w:space="0" w:color="000000"/>
              <w:bottom w:val="single" w:sz="4" w:space="0" w:color="000000"/>
              <w:right w:val="single" w:sz="4" w:space="0" w:color="000000"/>
            </w:tcBorders>
            <w:vAlign w:val="center"/>
            <w:hideMark/>
          </w:tcPr>
          <w:p w:rsidR="005410D4" w:rsidRPr="00A86485" w:rsidRDefault="005410D4" w:rsidP="003E3A9D">
            <w:pPr>
              <w:keepNext/>
              <w:rPr>
                <w:b/>
                <w:bCs/>
              </w:rPr>
            </w:pPr>
          </w:p>
        </w:tc>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5410D4" w:rsidRPr="00A86485" w:rsidRDefault="005410D4" w:rsidP="003E3A9D">
            <w:pPr>
              <w:keepNext/>
              <w:rPr>
                <w:b/>
                <w:bCs/>
              </w:rPr>
            </w:pPr>
          </w:p>
        </w:tc>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5410D4" w:rsidRPr="00A86485" w:rsidRDefault="005410D4" w:rsidP="003E3A9D">
            <w:pPr>
              <w:keepNext/>
              <w:rPr>
                <w:b/>
                <w:bCs/>
              </w:rPr>
            </w:pPr>
          </w:p>
        </w:tc>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5410D4" w:rsidRPr="00A86485" w:rsidRDefault="005410D4" w:rsidP="003E3A9D">
            <w:pPr>
              <w:keepNext/>
              <w:rPr>
                <w:b/>
                <w:bCs/>
              </w:rPr>
            </w:pPr>
          </w:p>
        </w:tc>
      </w:tr>
      <w:tr w:rsidR="005410D4" w:rsidRPr="00A86485" w:rsidTr="006E3AD1">
        <w:trPr>
          <w:cantSplit/>
          <w:trHeight w:val="300"/>
          <w:jc w:val="center"/>
        </w:trPr>
        <w:tc>
          <w:tcPr>
            <w:tcW w:w="2610" w:type="dxa"/>
            <w:tcBorders>
              <w:top w:val="nil"/>
              <w:left w:val="single" w:sz="4" w:space="0" w:color="000000"/>
              <w:bottom w:val="single" w:sz="4" w:space="0" w:color="000000"/>
              <w:right w:val="single" w:sz="4" w:space="0" w:color="000000"/>
            </w:tcBorders>
            <w:shd w:val="clear" w:color="auto" w:fill="auto"/>
            <w:vAlign w:val="center"/>
            <w:hideMark/>
          </w:tcPr>
          <w:p w:rsidR="005410D4" w:rsidRPr="00A86485" w:rsidRDefault="005410D4" w:rsidP="006E3AD1">
            <w:pPr>
              <w:keepNext/>
            </w:pPr>
            <w:r w:rsidRPr="00A86485">
              <w:rPr>
                <w:bCs/>
              </w:rPr>
              <w:t>Sources</w:t>
            </w:r>
          </w:p>
        </w:tc>
        <w:tc>
          <w:tcPr>
            <w:tcW w:w="1840" w:type="dxa"/>
            <w:tcBorders>
              <w:top w:val="nil"/>
              <w:left w:val="nil"/>
              <w:bottom w:val="single" w:sz="4" w:space="0" w:color="000000"/>
              <w:right w:val="single" w:sz="4" w:space="0" w:color="000000"/>
            </w:tcBorders>
            <w:shd w:val="clear" w:color="auto" w:fill="auto"/>
            <w:vAlign w:val="center"/>
            <w:hideMark/>
          </w:tcPr>
          <w:p w:rsidR="005410D4" w:rsidRPr="00A86485" w:rsidRDefault="005410D4" w:rsidP="006E3AD1">
            <w:pPr>
              <w:keepNext/>
              <w:jc w:val="right"/>
            </w:pPr>
            <w:r>
              <w:t>27,218</w:t>
            </w:r>
          </w:p>
        </w:tc>
        <w:tc>
          <w:tcPr>
            <w:tcW w:w="1800" w:type="dxa"/>
            <w:tcBorders>
              <w:top w:val="nil"/>
              <w:left w:val="nil"/>
              <w:bottom w:val="single" w:sz="4" w:space="0" w:color="000000"/>
              <w:right w:val="single" w:sz="4" w:space="0" w:color="000000"/>
            </w:tcBorders>
            <w:shd w:val="clear" w:color="auto" w:fill="auto"/>
            <w:vAlign w:val="center"/>
            <w:hideMark/>
          </w:tcPr>
          <w:p w:rsidR="005410D4" w:rsidRPr="00A86485" w:rsidRDefault="005410D4" w:rsidP="006E3AD1">
            <w:pPr>
              <w:keepNext/>
              <w:jc w:val="right"/>
            </w:pPr>
            <w:r>
              <w:t>36,375</w:t>
            </w:r>
          </w:p>
        </w:tc>
        <w:tc>
          <w:tcPr>
            <w:tcW w:w="1840" w:type="dxa"/>
            <w:tcBorders>
              <w:top w:val="nil"/>
              <w:left w:val="nil"/>
              <w:bottom w:val="single" w:sz="4" w:space="0" w:color="000000"/>
              <w:right w:val="single" w:sz="4" w:space="0" w:color="000000"/>
            </w:tcBorders>
            <w:shd w:val="clear" w:color="auto" w:fill="auto"/>
            <w:vAlign w:val="center"/>
            <w:hideMark/>
          </w:tcPr>
          <w:p w:rsidR="005410D4" w:rsidRPr="00A86485" w:rsidRDefault="00D04FAD" w:rsidP="006E3AD1">
            <w:pPr>
              <w:keepNext/>
              <w:jc w:val="right"/>
            </w:pPr>
            <w:r>
              <w:t>9,157</w:t>
            </w:r>
          </w:p>
        </w:tc>
      </w:tr>
      <w:tr w:rsidR="005410D4" w:rsidRPr="00A86485" w:rsidTr="006E3AD1">
        <w:trPr>
          <w:cantSplit/>
          <w:trHeight w:val="300"/>
          <w:jc w:val="center"/>
        </w:trPr>
        <w:tc>
          <w:tcPr>
            <w:tcW w:w="2610" w:type="dxa"/>
            <w:tcBorders>
              <w:top w:val="nil"/>
              <w:left w:val="single" w:sz="4" w:space="0" w:color="000000"/>
              <w:bottom w:val="single" w:sz="4" w:space="0" w:color="000000"/>
              <w:right w:val="single" w:sz="4" w:space="0" w:color="000000"/>
            </w:tcBorders>
            <w:shd w:val="clear" w:color="auto" w:fill="auto"/>
            <w:vAlign w:val="center"/>
            <w:hideMark/>
          </w:tcPr>
          <w:p w:rsidR="005410D4" w:rsidRPr="00A86485" w:rsidRDefault="005410D4" w:rsidP="006E3AD1">
            <w:pPr>
              <w:keepNext/>
            </w:pPr>
            <w:r>
              <w:rPr>
                <w:bCs/>
              </w:rPr>
              <w:t xml:space="preserve">Delegate </w:t>
            </w:r>
            <w:r w:rsidRPr="00A86485">
              <w:rPr>
                <w:bCs/>
              </w:rPr>
              <w:t>Permitting Authorities</w:t>
            </w:r>
          </w:p>
        </w:tc>
        <w:tc>
          <w:tcPr>
            <w:tcW w:w="1840" w:type="dxa"/>
            <w:tcBorders>
              <w:top w:val="nil"/>
              <w:left w:val="nil"/>
              <w:bottom w:val="single" w:sz="4" w:space="0" w:color="000000"/>
              <w:right w:val="single" w:sz="4" w:space="0" w:color="000000"/>
            </w:tcBorders>
            <w:shd w:val="clear" w:color="auto" w:fill="auto"/>
            <w:vAlign w:val="center"/>
            <w:hideMark/>
          </w:tcPr>
          <w:p w:rsidR="005410D4" w:rsidRPr="00A86485" w:rsidRDefault="005410D4" w:rsidP="006E3AD1">
            <w:pPr>
              <w:keepNext/>
              <w:jc w:val="right"/>
            </w:pPr>
            <w:r w:rsidRPr="00A86485">
              <w:t>0</w:t>
            </w:r>
          </w:p>
        </w:tc>
        <w:tc>
          <w:tcPr>
            <w:tcW w:w="1800" w:type="dxa"/>
            <w:tcBorders>
              <w:top w:val="nil"/>
              <w:left w:val="nil"/>
              <w:bottom w:val="single" w:sz="4" w:space="0" w:color="000000"/>
              <w:right w:val="single" w:sz="4" w:space="0" w:color="000000"/>
            </w:tcBorders>
            <w:shd w:val="clear" w:color="auto" w:fill="auto"/>
            <w:vAlign w:val="center"/>
            <w:hideMark/>
          </w:tcPr>
          <w:p w:rsidR="005410D4" w:rsidRPr="00A86485" w:rsidRDefault="00D04FAD" w:rsidP="006E3AD1">
            <w:pPr>
              <w:keepNext/>
              <w:jc w:val="right"/>
            </w:pPr>
            <w:r>
              <w:t>1,254</w:t>
            </w:r>
          </w:p>
        </w:tc>
        <w:tc>
          <w:tcPr>
            <w:tcW w:w="1840" w:type="dxa"/>
            <w:tcBorders>
              <w:top w:val="nil"/>
              <w:left w:val="nil"/>
              <w:bottom w:val="single" w:sz="4" w:space="0" w:color="000000"/>
              <w:right w:val="single" w:sz="4" w:space="0" w:color="000000"/>
            </w:tcBorders>
            <w:shd w:val="clear" w:color="auto" w:fill="auto"/>
            <w:vAlign w:val="center"/>
            <w:hideMark/>
          </w:tcPr>
          <w:p w:rsidR="005410D4" w:rsidRPr="00A86485" w:rsidRDefault="00D04FAD" w:rsidP="006E3AD1">
            <w:pPr>
              <w:keepNext/>
              <w:jc w:val="right"/>
            </w:pPr>
            <w:r>
              <w:t>1,254</w:t>
            </w:r>
          </w:p>
        </w:tc>
      </w:tr>
      <w:tr w:rsidR="005410D4" w:rsidRPr="00A86485" w:rsidTr="006E3AD1">
        <w:trPr>
          <w:cantSplit/>
          <w:trHeight w:val="300"/>
          <w:jc w:val="center"/>
        </w:trPr>
        <w:tc>
          <w:tcPr>
            <w:tcW w:w="2610" w:type="dxa"/>
            <w:tcBorders>
              <w:top w:val="nil"/>
              <w:left w:val="single" w:sz="4" w:space="0" w:color="000000"/>
              <w:bottom w:val="single" w:sz="4" w:space="0" w:color="000000"/>
              <w:right w:val="single" w:sz="4" w:space="0" w:color="000000"/>
            </w:tcBorders>
            <w:shd w:val="clear" w:color="auto" w:fill="auto"/>
            <w:vAlign w:val="center"/>
            <w:hideMark/>
          </w:tcPr>
          <w:p w:rsidR="005410D4" w:rsidRPr="00A86485" w:rsidRDefault="005410D4" w:rsidP="006E3AD1">
            <w:pPr>
              <w:keepNext/>
              <w:rPr>
                <w:b/>
                <w:bCs/>
              </w:rPr>
            </w:pPr>
            <w:r w:rsidRPr="00A86485">
              <w:rPr>
                <w:b/>
                <w:bCs/>
              </w:rPr>
              <w:t xml:space="preserve">Total </w:t>
            </w:r>
          </w:p>
        </w:tc>
        <w:tc>
          <w:tcPr>
            <w:tcW w:w="1840" w:type="dxa"/>
            <w:tcBorders>
              <w:top w:val="nil"/>
              <w:left w:val="nil"/>
              <w:bottom w:val="single" w:sz="4" w:space="0" w:color="000000"/>
              <w:right w:val="single" w:sz="4" w:space="0" w:color="000000"/>
            </w:tcBorders>
            <w:shd w:val="clear" w:color="auto" w:fill="auto"/>
            <w:vAlign w:val="center"/>
            <w:hideMark/>
          </w:tcPr>
          <w:p w:rsidR="005410D4" w:rsidRPr="00A86485" w:rsidRDefault="00D04FAD" w:rsidP="006E3AD1">
            <w:pPr>
              <w:keepNext/>
              <w:jc w:val="right"/>
              <w:rPr>
                <w:b/>
                <w:bCs/>
              </w:rPr>
            </w:pPr>
            <w:r>
              <w:rPr>
                <w:b/>
                <w:bCs/>
              </w:rPr>
              <w:t>27,218</w:t>
            </w:r>
          </w:p>
        </w:tc>
        <w:tc>
          <w:tcPr>
            <w:tcW w:w="1800" w:type="dxa"/>
            <w:tcBorders>
              <w:top w:val="nil"/>
              <w:left w:val="nil"/>
              <w:bottom w:val="single" w:sz="4" w:space="0" w:color="000000"/>
              <w:right w:val="single" w:sz="4" w:space="0" w:color="000000"/>
            </w:tcBorders>
            <w:shd w:val="clear" w:color="auto" w:fill="auto"/>
            <w:vAlign w:val="center"/>
            <w:hideMark/>
          </w:tcPr>
          <w:p w:rsidR="005410D4" w:rsidRPr="00A86485" w:rsidRDefault="00D04FAD" w:rsidP="006E3AD1">
            <w:pPr>
              <w:keepNext/>
              <w:jc w:val="right"/>
              <w:rPr>
                <w:b/>
                <w:bCs/>
              </w:rPr>
            </w:pPr>
            <w:r>
              <w:rPr>
                <w:b/>
                <w:bCs/>
              </w:rPr>
              <w:t>37,629</w:t>
            </w:r>
          </w:p>
        </w:tc>
        <w:tc>
          <w:tcPr>
            <w:tcW w:w="1840" w:type="dxa"/>
            <w:tcBorders>
              <w:top w:val="nil"/>
              <w:left w:val="nil"/>
              <w:bottom w:val="single" w:sz="4" w:space="0" w:color="000000"/>
              <w:right w:val="single" w:sz="4" w:space="0" w:color="000000"/>
            </w:tcBorders>
            <w:shd w:val="clear" w:color="auto" w:fill="auto"/>
            <w:vAlign w:val="center"/>
            <w:hideMark/>
          </w:tcPr>
          <w:p w:rsidR="005410D4" w:rsidRPr="00A86485" w:rsidRDefault="00D04FAD" w:rsidP="006E3AD1">
            <w:pPr>
              <w:keepNext/>
              <w:jc w:val="right"/>
              <w:rPr>
                <w:b/>
                <w:bCs/>
              </w:rPr>
            </w:pPr>
            <w:r>
              <w:rPr>
                <w:b/>
                <w:bCs/>
              </w:rPr>
              <w:t>10,411</w:t>
            </w:r>
          </w:p>
        </w:tc>
      </w:tr>
    </w:tbl>
    <w:p w:rsidR="005410D4" w:rsidRDefault="005410D4" w:rsidP="006035B4"/>
    <w:p w:rsidR="00A33D0D" w:rsidRDefault="00A33D0D"/>
    <w:p w:rsidR="00D04FAD" w:rsidRDefault="00A33D0D">
      <w:r w:rsidRPr="00A33D0D">
        <w:t xml:space="preserve">For the EPA, the estimated burden level in the 2007 ICR renewal was about </w:t>
      </w:r>
      <w:r>
        <w:t>12,400</w:t>
      </w:r>
      <w:r w:rsidRPr="00A33D0D">
        <w:t xml:space="preserve"> hours per year, which we estimate will increase to </w:t>
      </w:r>
      <w:r w:rsidR="00D77D95">
        <w:t xml:space="preserve">an average of </w:t>
      </w:r>
      <w:r w:rsidRPr="00A33D0D">
        <w:t xml:space="preserve">about </w:t>
      </w:r>
      <w:r>
        <w:t>14,400</w:t>
      </w:r>
      <w:r w:rsidRPr="00A33D0D">
        <w:t xml:space="preserve"> hours per year over the 3 years of this ICR renewal. </w:t>
      </w:r>
      <w:r w:rsidR="00D77D95">
        <w:t xml:space="preserve">As with sources, this increase is largely the result of an increase in the number of existing and projected new sources subject to the part 71 program, although we estimate that a small portion of the increase (less than 30 hours annually) will be expended in oversight of the one delegate permitting authority. </w:t>
      </w:r>
      <w:r w:rsidRPr="00A33D0D">
        <w:t>In addition, we updated the cost of labor assumed for the EPA (see section 6(c)). Based on the projected increases in burden hours and the dollar-per-hour rate for EPA labor, we estimate that the cost to the federal government of the part 7</w:t>
      </w:r>
      <w:r w:rsidR="00D77D95">
        <w:t>1</w:t>
      </w:r>
      <w:r w:rsidRPr="00A33D0D">
        <w:t xml:space="preserve"> program will increase by about $</w:t>
      </w:r>
      <w:r w:rsidR="00D77D95">
        <w:t>190</w:t>
      </w:r>
      <w:r w:rsidRPr="00A33D0D">
        <w:t>,000</w:t>
      </w:r>
      <w:r w:rsidR="00D77D95">
        <w:t xml:space="preserve"> per year</w:t>
      </w:r>
      <w:r w:rsidRPr="00A33D0D">
        <w:t>.</w:t>
      </w:r>
    </w:p>
    <w:p w:rsidR="00D77D95" w:rsidRDefault="00D77D95"/>
    <w:p w:rsidR="00D77D95" w:rsidRPr="005B0A94" w:rsidRDefault="00D77D95" w:rsidP="00D77D95">
      <w:pPr>
        <w:pStyle w:val="Heading2"/>
        <w:widowControl/>
        <w:rPr>
          <w:i w:val="0"/>
        </w:rPr>
      </w:pPr>
      <w:bookmarkStart w:id="59" w:name="_Toc319326613"/>
      <w:bookmarkStart w:id="60" w:name="_Toc320021969"/>
      <w:r>
        <w:rPr>
          <w:i w:val="0"/>
        </w:rPr>
        <w:t>6(g</w:t>
      </w:r>
      <w:r w:rsidRPr="005B0A94">
        <w:rPr>
          <w:i w:val="0"/>
        </w:rPr>
        <w:t>) Burden</w:t>
      </w:r>
      <w:r>
        <w:rPr>
          <w:i w:val="0"/>
        </w:rPr>
        <w:t xml:space="preserve"> Statement</w:t>
      </w:r>
      <w:bookmarkEnd w:id="59"/>
      <w:bookmarkEnd w:id="60"/>
    </w:p>
    <w:p w:rsidR="00D77D95" w:rsidRDefault="00D77D95" w:rsidP="00D77D95"/>
    <w:p w:rsidR="00D77D95" w:rsidRDefault="00D77D95" w:rsidP="00D77D95">
      <w:r>
        <w:t>Following in Table 19 is the apportioned burden for each type of respondent</w:t>
      </w:r>
      <w:r w:rsidR="00C9434F">
        <w:t>, i.e. sources and the single delegate permitting authority</w:t>
      </w:r>
      <w:r>
        <w:t xml:space="preserve">. This is derived from the total hourly burden </w:t>
      </w:r>
      <w:r w:rsidR="00C9434F">
        <w:t xml:space="preserve">for sources </w:t>
      </w:r>
      <w:r>
        <w:t xml:space="preserve">divided by the number of </w:t>
      </w:r>
      <w:r w:rsidR="00C9434F">
        <w:t>sources</w:t>
      </w:r>
      <w:r>
        <w:t xml:space="preserve">, and similarly for </w:t>
      </w:r>
      <w:r w:rsidR="00C9434F">
        <w:t>the delegate permitting authority</w:t>
      </w:r>
      <w:r>
        <w:t xml:space="preserve">. </w:t>
      </w:r>
    </w:p>
    <w:p w:rsidR="00D77D95" w:rsidRPr="00C070B9" w:rsidRDefault="00D77D95" w:rsidP="00D77D95"/>
    <w:p w:rsidR="00D77D95" w:rsidRPr="00D77D95" w:rsidRDefault="00D77D95" w:rsidP="00C9434F">
      <w:pPr>
        <w:jc w:val="center"/>
        <w:rPr>
          <w:b/>
        </w:rPr>
      </w:pPr>
      <w:r>
        <w:rPr>
          <w:b/>
        </w:rPr>
        <w:t>Table 20</w:t>
      </w:r>
      <w:r w:rsidRPr="00C070B9">
        <w:rPr>
          <w:b/>
        </w:rPr>
        <w:t xml:space="preserve">. Burden </w:t>
      </w:r>
      <w:r>
        <w:rPr>
          <w:b/>
        </w:rPr>
        <w:t>Statement</w:t>
      </w:r>
      <w:r w:rsidRPr="00C070B9">
        <w:rPr>
          <w:b/>
        </w:rPr>
        <w:t xml:space="preserve"> </w:t>
      </w:r>
      <w:r>
        <w:rPr>
          <w:b/>
        </w:rPr>
        <w:t>(Hours)</w:t>
      </w:r>
    </w:p>
    <w:p w:rsidR="00D77D95" w:rsidRDefault="00D77D95" w:rsidP="00D77D95">
      <w:pPr>
        <w:spacing w:line="276" w:lineRule="auto"/>
        <w:ind w:left="-360"/>
        <w:jc w:val="center"/>
      </w:pPr>
    </w:p>
    <w:tbl>
      <w:tblPr>
        <w:tblW w:w="5000" w:type="pct"/>
        <w:jc w:val="center"/>
        <w:tblLook w:val="04A0"/>
      </w:tblPr>
      <w:tblGrid>
        <w:gridCol w:w="2600"/>
        <w:gridCol w:w="1739"/>
        <w:gridCol w:w="1915"/>
        <w:gridCol w:w="1957"/>
        <w:gridCol w:w="2085"/>
      </w:tblGrid>
      <w:tr w:rsidR="00D77D95" w:rsidRPr="00C716AC" w:rsidTr="00C9434F">
        <w:trPr>
          <w:trHeight w:val="300"/>
          <w:jc w:val="center"/>
        </w:trPr>
        <w:tc>
          <w:tcPr>
            <w:tcW w:w="26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77D95" w:rsidRPr="00C716AC" w:rsidRDefault="00D77D95" w:rsidP="00D77D95">
            <w:pPr>
              <w:jc w:val="center"/>
              <w:rPr>
                <w:b/>
                <w:bCs/>
              </w:rPr>
            </w:pPr>
            <w:r w:rsidRPr="00C716AC">
              <w:rPr>
                <w:b/>
                <w:bCs/>
              </w:rPr>
              <w:t>Type of Respondent</w:t>
            </w:r>
          </w:p>
        </w:tc>
        <w:tc>
          <w:tcPr>
            <w:tcW w:w="1739"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77D95" w:rsidRPr="00C716AC" w:rsidRDefault="00D77D95" w:rsidP="00D77D95">
            <w:pPr>
              <w:jc w:val="center"/>
              <w:rPr>
                <w:b/>
                <w:bCs/>
              </w:rPr>
            </w:pPr>
            <w:r w:rsidRPr="00C716AC">
              <w:rPr>
                <w:b/>
                <w:bCs/>
              </w:rPr>
              <w:t>Number of Respondents</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77D95" w:rsidRPr="00C716AC" w:rsidRDefault="00D77D95" w:rsidP="00D77D95">
            <w:pPr>
              <w:jc w:val="center"/>
              <w:rPr>
                <w:b/>
                <w:bCs/>
              </w:rPr>
            </w:pPr>
            <w:r w:rsidRPr="00C716AC">
              <w:rPr>
                <w:b/>
                <w:bCs/>
              </w:rPr>
              <w:t>Total Annual Burden</w:t>
            </w:r>
          </w:p>
        </w:tc>
        <w:tc>
          <w:tcPr>
            <w:tcW w:w="1957"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77D95" w:rsidRPr="00C716AC" w:rsidRDefault="00D77D95" w:rsidP="00D77D95">
            <w:pPr>
              <w:jc w:val="center"/>
              <w:rPr>
                <w:b/>
                <w:bCs/>
              </w:rPr>
            </w:pPr>
            <w:r w:rsidRPr="00C716AC">
              <w:rPr>
                <w:b/>
                <w:bCs/>
              </w:rPr>
              <w:t>Average Annual Burden per Respondent</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77D95" w:rsidRPr="00C716AC" w:rsidRDefault="00D77D95" w:rsidP="00D77D95">
            <w:pPr>
              <w:jc w:val="center"/>
              <w:rPr>
                <w:b/>
                <w:bCs/>
              </w:rPr>
            </w:pPr>
            <w:r w:rsidRPr="00C716AC">
              <w:rPr>
                <w:b/>
                <w:bCs/>
              </w:rPr>
              <w:t>Average Annual Burden per Source</w:t>
            </w:r>
            <w:r w:rsidR="00C9434F">
              <w:rPr>
                <w:b/>
                <w:bCs/>
              </w:rPr>
              <w:t>*</w:t>
            </w:r>
          </w:p>
        </w:tc>
      </w:tr>
      <w:tr w:rsidR="00D77D95" w:rsidRPr="00C716AC" w:rsidTr="00C9434F">
        <w:trPr>
          <w:trHeight w:val="300"/>
          <w:jc w:val="center"/>
        </w:trPr>
        <w:tc>
          <w:tcPr>
            <w:tcW w:w="2600" w:type="dxa"/>
            <w:vMerge/>
            <w:tcBorders>
              <w:top w:val="single" w:sz="4" w:space="0" w:color="000000"/>
              <w:left w:val="single" w:sz="4" w:space="0" w:color="000000"/>
              <w:bottom w:val="single" w:sz="4" w:space="0" w:color="000000"/>
              <w:right w:val="single" w:sz="4" w:space="0" w:color="000000"/>
            </w:tcBorders>
            <w:vAlign w:val="center"/>
            <w:hideMark/>
          </w:tcPr>
          <w:p w:rsidR="00D77D95" w:rsidRPr="00C716AC" w:rsidRDefault="00D77D95" w:rsidP="00D77D95">
            <w:pPr>
              <w:rPr>
                <w:b/>
                <w:bCs/>
              </w:rPr>
            </w:pPr>
          </w:p>
        </w:tc>
        <w:tc>
          <w:tcPr>
            <w:tcW w:w="1739" w:type="dxa"/>
            <w:vMerge/>
            <w:tcBorders>
              <w:top w:val="single" w:sz="4" w:space="0" w:color="000000"/>
              <w:left w:val="single" w:sz="4" w:space="0" w:color="000000"/>
              <w:bottom w:val="single" w:sz="4" w:space="0" w:color="000000"/>
              <w:right w:val="single" w:sz="4" w:space="0" w:color="000000"/>
            </w:tcBorders>
            <w:vAlign w:val="center"/>
            <w:hideMark/>
          </w:tcPr>
          <w:p w:rsidR="00D77D95" w:rsidRPr="00C716AC" w:rsidRDefault="00D77D95" w:rsidP="00D77D95">
            <w:pPr>
              <w:rPr>
                <w:b/>
                <w:bCs/>
              </w:rPr>
            </w:pPr>
          </w:p>
        </w:tc>
        <w:tc>
          <w:tcPr>
            <w:tcW w:w="1915" w:type="dxa"/>
            <w:vMerge/>
            <w:tcBorders>
              <w:top w:val="single" w:sz="4" w:space="0" w:color="000000"/>
              <w:left w:val="single" w:sz="4" w:space="0" w:color="000000"/>
              <w:bottom w:val="single" w:sz="4" w:space="0" w:color="000000"/>
              <w:right w:val="single" w:sz="4" w:space="0" w:color="000000"/>
            </w:tcBorders>
            <w:vAlign w:val="center"/>
            <w:hideMark/>
          </w:tcPr>
          <w:p w:rsidR="00D77D95" w:rsidRPr="00C716AC" w:rsidRDefault="00D77D95" w:rsidP="00D77D95">
            <w:pPr>
              <w:rPr>
                <w:b/>
                <w:bCs/>
              </w:rPr>
            </w:pP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D77D95" w:rsidRPr="00C716AC" w:rsidRDefault="00D77D95" w:rsidP="00D77D95">
            <w:pPr>
              <w:rPr>
                <w:b/>
                <w:bCs/>
              </w:rPr>
            </w:pPr>
          </w:p>
        </w:tc>
        <w:tc>
          <w:tcPr>
            <w:tcW w:w="2085" w:type="dxa"/>
            <w:vMerge/>
            <w:tcBorders>
              <w:top w:val="single" w:sz="4" w:space="0" w:color="000000"/>
              <w:left w:val="single" w:sz="4" w:space="0" w:color="000000"/>
              <w:bottom w:val="single" w:sz="4" w:space="0" w:color="000000"/>
              <w:right w:val="single" w:sz="4" w:space="0" w:color="000000"/>
            </w:tcBorders>
            <w:vAlign w:val="center"/>
            <w:hideMark/>
          </w:tcPr>
          <w:p w:rsidR="00D77D95" w:rsidRPr="00C716AC" w:rsidRDefault="00D77D95" w:rsidP="00D77D95">
            <w:pPr>
              <w:rPr>
                <w:b/>
                <w:bCs/>
              </w:rPr>
            </w:pPr>
          </w:p>
        </w:tc>
      </w:tr>
      <w:tr w:rsidR="00D77D95" w:rsidRPr="00C716AC" w:rsidTr="00C9434F">
        <w:trPr>
          <w:trHeight w:val="300"/>
          <w:jc w:val="center"/>
        </w:trPr>
        <w:tc>
          <w:tcPr>
            <w:tcW w:w="2600" w:type="dxa"/>
            <w:vMerge/>
            <w:tcBorders>
              <w:top w:val="single" w:sz="4" w:space="0" w:color="000000"/>
              <w:left w:val="single" w:sz="4" w:space="0" w:color="000000"/>
              <w:bottom w:val="single" w:sz="4" w:space="0" w:color="000000"/>
              <w:right w:val="single" w:sz="4" w:space="0" w:color="000000"/>
            </w:tcBorders>
            <w:vAlign w:val="center"/>
            <w:hideMark/>
          </w:tcPr>
          <w:p w:rsidR="00D77D95" w:rsidRPr="00C716AC" w:rsidRDefault="00D77D95" w:rsidP="00D77D95">
            <w:pPr>
              <w:rPr>
                <w:b/>
                <w:bCs/>
              </w:rPr>
            </w:pPr>
          </w:p>
        </w:tc>
        <w:tc>
          <w:tcPr>
            <w:tcW w:w="1739" w:type="dxa"/>
            <w:vMerge/>
            <w:tcBorders>
              <w:top w:val="single" w:sz="4" w:space="0" w:color="000000"/>
              <w:left w:val="single" w:sz="4" w:space="0" w:color="000000"/>
              <w:bottom w:val="single" w:sz="4" w:space="0" w:color="000000"/>
              <w:right w:val="single" w:sz="4" w:space="0" w:color="000000"/>
            </w:tcBorders>
            <w:vAlign w:val="center"/>
            <w:hideMark/>
          </w:tcPr>
          <w:p w:rsidR="00D77D95" w:rsidRPr="00C716AC" w:rsidRDefault="00D77D95" w:rsidP="00D77D95">
            <w:pPr>
              <w:rPr>
                <w:b/>
                <w:bCs/>
              </w:rPr>
            </w:pPr>
          </w:p>
        </w:tc>
        <w:tc>
          <w:tcPr>
            <w:tcW w:w="1915" w:type="dxa"/>
            <w:vMerge/>
            <w:tcBorders>
              <w:top w:val="single" w:sz="4" w:space="0" w:color="000000"/>
              <w:left w:val="single" w:sz="4" w:space="0" w:color="000000"/>
              <w:bottom w:val="single" w:sz="4" w:space="0" w:color="000000"/>
              <w:right w:val="single" w:sz="4" w:space="0" w:color="000000"/>
            </w:tcBorders>
            <w:vAlign w:val="center"/>
            <w:hideMark/>
          </w:tcPr>
          <w:p w:rsidR="00D77D95" w:rsidRPr="00C716AC" w:rsidRDefault="00D77D95" w:rsidP="00D77D95">
            <w:pPr>
              <w:rPr>
                <w:b/>
                <w:bCs/>
              </w:rPr>
            </w:pP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D77D95" w:rsidRPr="00C716AC" w:rsidRDefault="00D77D95" w:rsidP="00D77D95">
            <w:pPr>
              <w:rPr>
                <w:b/>
                <w:bCs/>
              </w:rPr>
            </w:pPr>
          </w:p>
        </w:tc>
        <w:tc>
          <w:tcPr>
            <w:tcW w:w="2085" w:type="dxa"/>
            <w:vMerge/>
            <w:tcBorders>
              <w:top w:val="single" w:sz="4" w:space="0" w:color="000000"/>
              <w:left w:val="single" w:sz="4" w:space="0" w:color="000000"/>
              <w:bottom w:val="single" w:sz="4" w:space="0" w:color="000000"/>
              <w:right w:val="single" w:sz="4" w:space="0" w:color="000000"/>
            </w:tcBorders>
            <w:vAlign w:val="center"/>
            <w:hideMark/>
          </w:tcPr>
          <w:p w:rsidR="00D77D95" w:rsidRPr="00C716AC" w:rsidRDefault="00D77D95" w:rsidP="00D77D95">
            <w:pPr>
              <w:rPr>
                <w:b/>
                <w:bCs/>
              </w:rPr>
            </w:pPr>
          </w:p>
        </w:tc>
      </w:tr>
      <w:tr w:rsidR="00D77D95" w:rsidRPr="00C716AC" w:rsidTr="00C9434F">
        <w:trPr>
          <w:cantSplit/>
          <w:trHeight w:val="300"/>
          <w:jc w:val="center"/>
        </w:trPr>
        <w:tc>
          <w:tcPr>
            <w:tcW w:w="2600" w:type="dxa"/>
            <w:tcBorders>
              <w:top w:val="nil"/>
              <w:left w:val="single" w:sz="4" w:space="0" w:color="000000"/>
              <w:bottom w:val="single" w:sz="4" w:space="0" w:color="000000"/>
              <w:right w:val="single" w:sz="4" w:space="0" w:color="000000"/>
            </w:tcBorders>
            <w:shd w:val="clear" w:color="auto" w:fill="auto"/>
            <w:hideMark/>
          </w:tcPr>
          <w:p w:rsidR="00D77D95" w:rsidRPr="00C716AC" w:rsidRDefault="00D77D95" w:rsidP="00D77D95">
            <w:r w:rsidRPr="00C716AC">
              <w:rPr>
                <w:bCs/>
              </w:rPr>
              <w:t>Sources</w:t>
            </w:r>
          </w:p>
        </w:tc>
        <w:tc>
          <w:tcPr>
            <w:tcW w:w="1739" w:type="dxa"/>
            <w:tcBorders>
              <w:top w:val="nil"/>
              <w:left w:val="nil"/>
              <w:bottom w:val="single" w:sz="4" w:space="0" w:color="000000"/>
              <w:right w:val="single" w:sz="4" w:space="0" w:color="000000"/>
            </w:tcBorders>
            <w:shd w:val="clear" w:color="auto" w:fill="auto"/>
            <w:hideMark/>
          </w:tcPr>
          <w:p w:rsidR="00D77D95" w:rsidRPr="00C716AC" w:rsidRDefault="00C9434F" w:rsidP="00D77D95">
            <w:pPr>
              <w:jc w:val="right"/>
            </w:pPr>
            <w:r>
              <w:t>174</w:t>
            </w:r>
          </w:p>
        </w:tc>
        <w:tc>
          <w:tcPr>
            <w:tcW w:w="1915" w:type="dxa"/>
            <w:tcBorders>
              <w:top w:val="nil"/>
              <w:left w:val="nil"/>
              <w:bottom w:val="single" w:sz="4" w:space="0" w:color="000000"/>
              <w:right w:val="single" w:sz="4" w:space="0" w:color="000000"/>
            </w:tcBorders>
            <w:shd w:val="clear" w:color="auto" w:fill="auto"/>
            <w:hideMark/>
          </w:tcPr>
          <w:p w:rsidR="00D77D95" w:rsidRPr="00C716AC" w:rsidRDefault="00C9434F" w:rsidP="00D77D95">
            <w:pPr>
              <w:jc w:val="right"/>
            </w:pPr>
            <w:r>
              <w:t>36,375</w:t>
            </w:r>
          </w:p>
        </w:tc>
        <w:tc>
          <w:tcPr>
            <w:tcW w:w="1957" w:type="dxa"/>
            <w:tcBorders>
              <w:top w:val="nil"/>
              <w:left w:val="nil"/>
              <w:bottom w:val="single" w:sz="4" w:space="0" w:color="000000"/>
              <w:right w:val="single" w:sz="4" w:space="0" w:color="000000"/>
            </w:tcBorders>
            <w:shd w:val="clear" w:color="auto" w:fill="auto"/>
            <w:hideMark/>
          </w:tcPr>
          <w:p w:rsidR="00D77D95" w:rsidRPr="00C716AC" w:rsidRDefault="00D77D95" w:rsidP="00C9434F">
            <w:pPr>
              <w:jc w:val="right"/>
            </w:pPr>
            <w:r w:rsidRPr="00C716AC">
              <w:t>2</w:t>
            </w:r>
            <w:r w:rsidR="00C9434F">
              <w:t>09</w:t>
            </w:r>
          </w:p>
        </w:tc>
        <w:tc>
          <w:tcPr>
            <w:tcW w:w="2085" w:type="dxa"/>
            <w:tcBorders>
              <w:top w:val="nil"/>
              <w:left w:val="nil"/>
              <w:bottom w:val="single" w:sz="4" w:space="0" w:color="000000"/>
              <w:right w:val="single" w:sz="4" w:space="0" w:color="000000"/>
            </w:tcBorders>
            <w:shd w:val="clear" w:color="auto" w:fill="auto"/>
            <w:hideMark/>
          </w:tcPr>
          <w:p w:rsidR="00D77D95" w:rsidRPr="00C716AC" w:rsidRDefault="00D77D95" w:rsidP="00C9434F">
            <w:pPr>
              <w:jc w:val="right"/>
            </w:pPr>
            <w:r w:rsidRPr="00C716AC">
              <w:t>2</w:t>
            </w:r>
            <w:r w:rsidR="00C9434F">
              <w:t>09</w:t>
            </w:r>
          </w:p>
        </w:tc>
      </w:tr>
      <w:tr w:rsidR="00D77D95" w:rsidRPr="00C716AC" w:rsidTr="00C9434F">
        <w:trPr>
          <w:cantSplit/>
          <w:trHeight w:val="300"/>
          <w:jc w:val="center"/>
        </w:trPr>
        <w:tc>
          <w:tcPr>
            <w:tcW w:w="2600" w:type="dxa"/>
            <w:tcBorders>
              <w:top w:val="nil"/>
              <w:left w:val="single" w:sz="4" w:space="0" w:color="000000"/>
              <w:bottom w:val="single" w:sz="4" w:space="0" w:color="000000"/>
              <w:right w:val="single" w:sz="4" w:space="0" w:color="000000"/>
            </w:tcBorders>
            <w:shd w:val="clear" w:color="auto" w:fill="auto"/>
            <w:hideMark/>
          </w:tcPr>
          <w:p w:rsidR="00D77D95" w:rsidRPr="00C716AC" w:rsidRDefault="00D77D95" w:rsidP="00D77D95">
            <w:r w:rsidRPr="00C716AC">
              <w:rPr>
                <w:bCs/>
              </w:rPr>
              <w:t>Permitting Authorities</w:t>
            </w:r>
          </w:p>
        </w:tc>
        <w:tc>
          <w:tcPr>
            <w:tcW w:w="1739" w:type="dxa"/>
            <w:tcBorders>
              <w:top w:val="nil"/>
              <w:left w:val="nil"/>
              <w:bottom w:val="single" w:sz="4" w:space="0" w:color="000000"/>
              <w:right w:val="single" w:sz="4" w:space="0" w:color="000000"/>
            </w:tcBorders>
            <w:shd w:val="clear" w:color="auto" w:fill="auto"/>
            <w:hideMark/>
          </w:tcPr>
          <w:p w:rsidR="00D77D95" w:rsidRPr="00C716AC" w:rsidRDefault="00D77D95" w:rsidP="00C9434F">
            <w:pPr>
              <w:jc w:val="right"/>
            </w:pPr>
            <w:r w:rsidRPr="00C716AC">
              <w:t>1</w:t>
            </w:r>
          </w:p>
        </w:tc>
        <w:tc>
          <w:tcPr>
            <w:tcW w:w="1915" w:type="dxa"/>
            <w:tcBorders>
              <w:top w:val="nil"/>
              <w:left w:val="nil"/>
              <w:bottom w:val="single" w:sz="4" w:space="0" w:color="000000"/>
              <w:right w:val="single" w:sz="4" w:space="0" w:color="000000"/>
            </w:tcBorders>
            <w:shd w:val="clear" w:color="auto" w:fill="auto"/>
            <w:hideMark/>
          </w:tcPr>
          <w:p w:rsidR="00D77D95" w:rsidRPr="00C716AC" w:rsidRDefault="00C9434F" w:rsidP="00D77D95">
            <w:pPr>
              <w:jc w:val="right"/>
            </w:pPr>
            <w:r>
              <w:t>1,254</w:t>
            </w:r>
          </w:p>
        </w:tc>
        <w:tc>
          <w:tcPr>
            <w:tcW w:w="1957" w:type="dxa"/>
            <w:tcBorders>
              <w:top w:val="nil"/>
              <w:left w:val="nil"/>
              <w:bottom w:val="single" w:sz="4" w:space="0" w:color="000000"/>
              <w:right w:val="single" w:sz="4" w:space="0" w:color="000000"/>
            </w:tcBorders>
            <w:shd w:val="clear" w:color="auto" w:fill="auto"/>
            <w:hideMark/>
          </w:tcPr>
          <w:p w:rsidR="00D77D95" w:rsidRPr="00C716AC" w:rsidRDefault="00C9434F" w:rsidP="00D77D95">
            <w:pPr>
              <w:jc w:val="right"/>
            </w:pPr>
            <w:r>
              <w:t>1,254</w:t>
            </w:r>
          </w:p>
        </w:tc>
        <w:tc>
          <w:tcPr>
            <w:tcW w:w="2085" w:type="dxa"/>
            <w:tcBorders>
              <w:top w:val="nil"/>
              <w:left w:val="nil"/>
              <w:bottom w:val="single" w:sz="4" w:space="0" w:color="000000"/>
              <w:right w:val="single" w:sz="4" w:space="0" w:color="000000"/>
            </w:tcBorders>
            <w:shd w:val="clear" w:color="auto" w:fill="auto"/>
            <w:hideMark/>
          </w:tcPr>
          <w:p w:rsidR="00D77D95" w:rsidRPr="00C716AC" w:rsidRDefault="00C9434F" w:rsidP="00D77D95">
            <w:pPr>
              <w:jc w:val="right"/>
            </w:pPr>
            <w:r>
              <w:t>90</w:t>
            </w:r>
          </w:p>
        </w:tc>
      </w:tr>
    </w:tbl>
    <w:p w:rsidR="00D77D95" w:rsidRDefault="00C9434F" w:rsidP="00C9434F">
      <w:pPr>
        <w:spacing w:line="276" w:lineRule="auto"/>
      </w:pPr>
      <w:r w:rsidRPr="007F46CA">
        <w:rPr>
          <w:iCs/>
          <w:sz w:val="20"/>
          <w:szCs w:val="20"/>
        </w:rPr>
        <w:t>*</w:t>
      </w:r>
      <w:r>
        <w:rPr>
          <w:iCs/>
          <w:sz w:val="20"/>
          <w:szCs w:val="20"/>
        </w:rPr>
        <w:t xml:space="preserve"> Per-source figures for the delegate permitting authority are based on the 14 sources administered by the NNEPA.</w:t>
      </w:r>
    </w:p>
    <w:p w:rsidR="00D77D95" w:rsidRDefault="00D77D95" w:rsidP="00D77D95">
      <w:pPr>
        <w:spacing w:line="276" w:lineRule="auto"/>
        <w:ind w:left="-360"/>
        <w:jc w:val="center"/>
      </w:pPr>
    </w:p>
    <w:p w:rsidR="00D77D95" w:rsidRDefault="00D77D95" w:rsidP="00D77D95">
      <w:r>
        <w:t xml:space="preserve">For the federal government, the EPA is the only affected entity covered by this ICR. We project an annual burden of </w:t>
      </w:r>
      <w:r w:rsidR="00C9434F">
        <w:t>14,354</w:t>
      </w:r>
      <w:r>
        <w:t xml:space="preserve"> hours for the EPA, or about </w:t>
      </w:r>
      <w:r w:rsidR="00C9434F">
        <w:t>82</w:t>
      </w:r>
      <w:r>
        <w:t xml:space="preserve"> hours per source.</w:t>
      </w:r>
      <w:r w:rsidR="00C9434F">
        <w:t xml:space="preserve"> This per-source average encompasses the EPA’s role as a permitting authority (about </w:t>
      </w:r>
      <w:r w:rsidR="0033172A">
        <w:t>90 hours for each of 160 sources) and in providing oversight for the delegate agency (about 2 hours for each of 14 sources).</w:t>
      </w:r>
    </w:p>
    <w:p w:rsidR="00D77D95" w:rsidRDefault="00D77D95" w:rsidP="00D77D95"/>
    <w:p w:rsidR="00D77D95" w:rsidRPr="007A2B3A" w:rsidRDefault="00D77D95" w:rsidP="00D77D95">
      <w:r w:rsidRPr="007A2B3A">
        <w:t xml:space="preserve">Burden means the total time, effort, or financial resources expended by persons to generate, maintain, retain, or disclose or provide information to or for a </w:t>
      </w:r>
      <w:r>
        <w:t>federal</w:t>
      </w:r>
      <w:r w:rsidRPr="007A2B3A">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w:t>
      </w:r>
      <w:r w:rsidRPr="007A2B3A">
        <w:lastRenderedPageBreak/>
        <w:t xml:space="preserve">information. An agency may not conduct or sponsor, and a person is not required to respond to, a collection of information unless it displays a currently valid OMB control number. The OMB control numbers for </w:t>
      </w:r>
      <w:r>
        <w:t>the EPA</w:t>
      </w:r>
      <w:r w:rsidRPr="007A2B3A">
        <w:t xml:space="preserve">'s regulations are listed in 40 CFR part 9 and 48 CFR chapter 15.     </w:t>
      </w:r>
    </w:p>
    <w:p w:rsidR="00D77D95" w:rsidRPr="007A2B3A" w:rsidRDefault="00D77D95" w:rsidP="00D77D95"/>
    <w:p w:rsidR="00FF4A48" w:rsidRDefault="00D77D95" w:rsidP="00D77D95">
      <w:pPr>
        <w:rPr>
          <w:color w:val="0F0F0F"/>
        </w:rPr>
      </w:pPr>
      <w:r w:rsidRPr="007A2B3A">
        <w:rPr>
          <w:color w:val="0F0F0F"/>
        </w:rPr>
        <w:t xml:space="preserve">To comment on the Agency's need for this information, the accuracy of the provided burden estimates, and any suggested methods for minimizing respondent burden, including the use of automated collection techniques, </w:t>
      </w:r>
      <w:r>
        <w:rPr>
          <w:color w:val="0F0F0F"/>
        </w:rPr>
        <w:t>the EPA</w:t>
      </w:r>
      <w:r w:rsidRPr="007A2B3A">
        <w:rPr>
          <w:color w:val="0F0F0F"/>
        </w:rPr>
        <w:t xml:space="preserve"> has established a public docket for this ICR under Docket ID Number</w:t>
      </w:r>
      <w:r>
        <w:rPr>
          <w:color w:val="0F0F0F"/>
        </w:rPr>
        <w:t xml:space="preserve"> </w:t>
      </w:r>
      <w:r w:rsidRPr="00215337">
        <w:t>EPA-HQ-OAR-2004-001</w:t>
      </w:r>
      <w:r w:rsidR="0033172A">
        <w:t>6</w:t>
      </w:r>
      <w:r w:rsidRPr="007A2B3A">
        <w:rPr>
          <w:color w:val="0F0F0F"/>
        </w:rPr>
        <w:t xml:space="preserve">, which is available for online viewing at </w:t>
      </w:r>
      <w:hyperlink r:id="rId12" w:history="1">
        <w:r w:rsidRPr="007A2B3A">
          <w:rPr>
            <w:rStyle w:val="Hyperlink"/>
          </w:rPr>
          <w:t>www.regulations.gov</w:t>
        </w:r>
      </w:hyperlink>
      <w:r>
        <w:rPr>
          <w:color w:val="0F0F0F"/>
        </w:rPr>
        <w:t>, or in-</w:t>
      </w:r>
      <w:r w:rsidRPr="007A2B3A">
        <w:rPr>
          <w:color w:val="0F0F0F"/>
        </w:rPr>
        <w:t xml:space="preserve">person viewing at the </w:t>
      </w:r>
      <w:r>
        <w:rPr>
          <w:color w:val="0F0F0F"/>
        </w:rPr>
        <w:t>Air and Radiation Docket and Information Center</w:t>
      </w:r>
      <w:r w:rsidRPr="007A2B3A">
        <w:rPr>
          <w:color w:val="0F0F0F"/>
        </w:rPr>
        <w:t xml:space="preserve"> in the EPA Docket Center (EPA/DC), EPA West, Room </w:t>
      </w:r>
      <w:r>
        <w:rPr>
          <w:color w:val="0F0F0F"/>
        </w:rPr>
        <w:t>3334</w:t>
      </w:r>
      <w:r w:rsidRPr="007A2B3A">
        <w:rPr>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Pr>
          <w:color w:val="0F0F0F"/>
        </w:rPr>
        <w:t>Air and Radiation Docket and Information Center</w:t>
      </w:r>
      <w:r w:rsidRPr="007A2B3A">
        <w:rPr>
          <w:color w:val="0F0F0F"/>
        </w:rPr>
        <w:t xml:space="preserve"> is (202) 566-</w:t>
      </w:r>
      <w:r>
        <w:t>1742</w:t>
      </w:r>
      <w:r w:rsidRPr="007A2B3A">
        <w:rPr>
          <w:color w:val="0F0F0F"/>
        </w:rPr>
        <w:t>. An electronic version of the public docket is available at www.regulations.gov. This site can be used to submit or view public comments, access the index listing of the contents of the public docket, and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7A2B3A">
        <w:rPr>
          <w:rFonts w:ascii="Courier New" w:hAnsi="Courier New" w:cs="Courier New"/>
          <w:color w:val="0F0F0F"/>
        </w:rPr>
        <w:t xml:space="preserve"> </w:t>
      </w:r>
      <w:r w:rsidRPr="00215337">
        <w:rPr>
          <w:color w:val="0F0F0F"/>
        </w:rPr>
        <w:t xml:space="preserve">Number </w:t>
      </w:r>
      <w:r w:rsidRPr="00215337">
        <w:t>EPA-HQ-OAR-2004-001</w:t>
      </w:r>
      <w:r w:rsidR="0033172A">
        <w:t>6</w:t>
      </w:r>
      <w:r>
        <w:t xml:space="preserve"> </w:t>
      </w:r>
      <w:r w:rsidRPr="007A2B3A">
        <w:rPr>
          <w:color w:val="0F0F0F"/>
        </w:rPr>
        <w:t xml:space="preserve">and OMB Control Number </w:t>
      </w:r>
      <w:r>
        <w:t>2060-0</w:t>
      </w:r>
      <w:r w:rsidR="0033172A">
        <w:t>336</w:t>
      </w:r>
      <w:r>
        <w:t xml:space="preserve"> </w:t>
      </w:r>
      <w:r w:rsidRPr="007A2B3A">
        <w:rPr>
          <w:color w:val="0F0F0F"/>
        </w:rPr>
        <w:t>in any correspondence.</w:t>
      </w:r>
    </w:p>
    <w:p w:rsidR="00FF4A48" w:rsidRDefault="00FF4A48" w:rsidP="00D77D95">
      <w:pPr>
        <w:rPr>
          <w:color w:val="0F0F0F"/>
        </w:rPr>
      </w:pPr>
    </w:p>
    <w:p w:rsidR="00494E8A" w:rsidRPr="00BB2522" w:rsidRDefault="00494E8A" w:rsidP="00494E8A">
      <w:r w:rsidRPr="00BB2522">
        <w:tab/>
      </w:r>
    </w:p>
    <w:p w:rsidR="00D31476" w:rsidRDefault="00DD0AC0">
      <w:r>
        <w:t xml:space="preserve"> </w:t>
      </w:r>
    </w:p>
    <w:p w:rsidR="00D31476" w:rsidRDefault="00D31476">
      <w:pPr>
        <w:sectPr w:rsidR="00D31476" w:rsidSect="00D31476">
          <w:endnotePr>
            <w:numFmt w:val="decimal"/>
            <w:numStart w:val="5"/>
          </w:endnotePr>
          <w:type w:val="continuous"/>
          <w:pgSz w:w="12240" w:h="15840" w:code="1"/>
          <w:pgMar w:top="1080" w:right="1080" w:bottom="1080" w:left="1080" w:header="432" w:footer="720" w:gutter="0"/>
          <w:cols w:space="720"/>
          <w:docGrid w:linePitch="360"/>
        </w:sectPr>
      </w:pPr>
    </w:p>
    <w:p w:rsidR="00542459" w:rsidRPr="00BB2522" w:rsidRDefault="00542459" w:rsidP="00EC0759"/>
    <w:p w:rsidR="00E06D7C" w:rsidRPr="00BB2522" w:rsidRDefault="00E06D7C"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3E3A9D">
      <w:pPr>
        <w:jc w:val="center"/>
      </w:pPr>
    </w:p>
    <w:p w:rsidR="00D07736" w:rsidRPr="00BB2522" w:rsidRDefault="00244633" w:rsidP="003E3A9D">
      <w:pPr>
        <w:jc w:val="center"/>
      </w:pPr>
      <w:r>
        <w:t>ATTACHMENT 1</w:t>
      </w:r>
    </w:p>
    <w:p w:rsidR="00C21A59" w:rsidRPr="00BB2522" w:rsidRDefault="00C21A59" w:rsidP="003E3A9D">
      <w:pPr>
        <w:jc w:val="center"/>
      </w:pPr>
    </w:p>
    <w:p w:rsidR="00925709" w:rsidRPr="00BB2522" w:rsidRDefault="00925709" w:rsidP="003E3A9D">
      <w:pPr>
        <w:jc w:val="center"/>
      </w:pPr>
    </w:p>
    <w:p w:rsidR="00C21A59" w:rsidRPr="00BB2522" w:rsidRDefault="00C21A59" w:rsidP="003E3A9D">
      <w:pPr>
        <w:jc w:val="center"/>
      </w:pPr>
    </w:p>
    <w:p w:rsidR="00C21A59" w:rsidRPr="00BB2522" w:rsidRDefault="00244633" w:rsidP="003E3A9D">
      <w:pPr>
        <w:jc w:val="center"/>
      </w:pPr>
      <w:r>
        <w:t>THE STATUTORY REQUIREMENTS FOR REPONDENT INFORMATION</w:t>
      </w:r>
    </w:p>
    <w:p w:rsidR="00D36A7C" w:rsidRPr="00BB2522" w:rsidRDefault="00D36A7C" w:rsidP="00EC0759"/>
    <w:p w:rsidR="00D36A7C" w:rsidRPr="00BB2522" w:rsidRDefault="00D36A7C" w:rsidP="00D36A7C">
      <w:pPr>
        <w:rPr>
          <w:rFonts w:ascii="Times" w:hAnsi="Times" w:cs="Times"/>
        </w:rPr>
      </w:pPr>
      <w:r w:rsidRPr="00BB2522">
        <w:rPr>
          <w:rFonts w:ascii="Times" w:hAnsi="Times" w:cs="Times"/>
        </w:rPr>
        <w:tab/>
      </w:r>
    </w:p>
    <w:p w:rsidR="00D36A7C" w:rsidRPr="00BB2522" w:rsidRDefault="00D36A7C" w:rsidP="00D36A7C">
      <w:pPr>
        <w:rPr>
          <w:rFonts w:ascii="Times" w:hAnsi="Times" w:cs="Times"/>
        </w:rPr>
      </w:pPr>
      <w:r w:rsidRPr="00BB2522">
        <w:rPr>
          <w:rFonts w:ascii="Times" w:hAnsi="Times" w:cs="Times"/>
        </w:rPr>
        <w:tab/>
      </w:r>
    </w:p>
    <w:p w:rsidR="00D36A7C" w:rsidRPr="00BB2522" w:rsidRDefault="00D36A7C" w:rsidP="00D36A7C">
      <w:pPr>
        <w:rPr>
          <w:rFonts w:ascii="Times" w:hAnsi="Times" w:cs="Times"/>
        </w:rPr>
      </w:pPr>
      <w:r w:rsidRPr="00BB2522">
        <w:rPr>
          <w:rFonts w:ascii="Times" w:hAnsi="Times" w:cs="Times"/>
        </w:rPr>
        <w:tab/>
      </w:r>
    </w:p>
    <w:p w:rsidR="00D36A7C" w:rsidRPr="00BB2522" w:rsidRDefault="00D36A7C" w:rsidP="00D36A7C">
      <w:pPr>
        <w:rPr>
          <w:rFonts w:ascii="Times" w:hAnsi="Times" w:cs="Times"/>
        </w:rPr>
      </w:pPr>
    </w:p>
    <w:p w:rsidR="00704316" w:rsidRPr="00BB2522" w:rsidRDefault="00704316">
      <w:r w:rsidRPr="00BB2522">
        <w:br w:type="page"/>
      </w:r>
    </w:p>
    <w:p w:rsidR="007D1C1A" w:rsidRPr="00BB2522" w:rsidRDefault="007D1C1A" w:rsidP="00D36A7C">
      <w:pPr>
        <w:rPr>
          <w:b/>
          <w:bCs/>
        </w:rPr>
      </w:pPr>
    </w:p>
    <w:p w:rsidR="00244633" w:rsidRDefault="00244633" w:rsidP="002446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36" w:lineRule="atLeast"/>
        <w:jc w:val="center"/>
        <w:rPr>
          <w:b/>
          <w:bCs/>
        </w:rPr>
      </w:pPr>
      <w:r>
        <w:rPr>
          <w:b/>
          <w:bCs/>
        </w:rPr>
        <w:t>SECTIONS 502 THROUGH 504 OF TITLE V OF THE CLEAN AIR ACT</w:t>
      </w:r>
    </w:p>
    <w:p w:rsidR="00244633" w:rsidRDefault="00244633" w:rsidP="002446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36" w:lineRule="atLeast"/>
        <w:jc w:val="center"/>
        <w:rPr>
          <w:b/>
          <w:bCs/>
        </w:rPr>
      </w:pPr>
    </w:p>
    <w:p w:rsidR="00244633" w:rsidRDefault="00244633" w:rsidP="002446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36" w:lineRule="atLeast"/>
        <w:jc w:val="center"/>
        <w:rPr>
          <w:b/>
          <w:bCs/>
        </w:rPr>
      </w:pPr>
      <w:r>
        <w:rPr>
          <w:b/>
          <w:bCs/>
        </w:rPr>
        <w:t>SEC. 502. PERMIT PROGRAMS</w:t>
      </w:r>
    </w:p>
    <w:p w:rsidR="00244633" w:rsidRDefault="00244633" w:rsidP="002446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36" w:lineRule="atLeast"/>
      </w:pP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 xml:space="preserve"> (a)  Violations.-  After the effective date of any permit program approved or promulgated under  this title, it shall be unlawful for any person to violate any requirement of a permit issued under this title, or to operate an affected source (as provided in title IV), a major source, any other  source (including an area source) subject to standards or regulations under section 111 or 112,  any other source required to have a permit under parts C or D of title I, or any other stationary source in a category designated (in whole or in part) by regulations promulgated by the  Administrator (after notice and public comment) which shall include a finding setting forth the basis for such designation, except in compliance with a permit issued by a permitting authority under this title. (Nothing in this subsection shall be construed to alter the applicable requirements of this Act that a permit be obtained before construction or modification.)  The Administrator may, in the Administrator's discretion and consistent with the applicable provisions of this Act, promulgate regulations to exempt one or more source categories (in whole or in part) from the requirements of this subsection if the Administrator finds that compliance with such requirements is impracticable, infeasible, or unnecessarily burdensome on such categories, except that the Administrator may not exempt any major source from such requirements.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(b)  Regulations.-  The Administrator shall promulgate within 12 months after the date of the enactment of the Clean Air Act Amendments of 1990 regulations establishing the minimum elements of a permit program  to be administered by any air pollution control agency. These elements shall include each of the following:</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(1)  Requirements for permit applications, including a standard application form and criteria for determining in a timely fashion the completeness of applications.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(2)  Monitoring and reporting requirements.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(3)(A)  A requirement under State or local law or interstate compact that the owner or operator of all sources subject to the requirement to obtain a permit under this title pay an annual fee, or the equivalent over some other period, sufficient to cover all reasonable (direct and indirect) costs required to develop and administer the permit program requirements of this title, including section 507, including the reasonable costs of -</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  reviewing and acting  upon any application for such a permit,</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(ii)  if the owner or operator receives a permit for such source, whether before or after the  date of the enactment of the Clean Air Act Amendments of 1990, implementing and enforcing the terms and conditions of any such permit (not including any court costs or other costs  associated with any enforcement action),</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(iii)  emissions and ambient monitoring,</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(iv)  preparing generally applicable regulations, or guidance,</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(v)  modeling, analyses, and demonstrations, and</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(vi)  preparing inventories and tracking emissions.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lastRenderedPageBreak/>
        <w:tab/>
        <w:t>(B) The total amount of fees collected by the permitting authority shall conform to the following requirements: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  The Administrator shall not approve a program as meeting the requirements of this  paragraph unless the State demonstrates that, except as otherwise provided in subparagraphs (ii)  through (v) of this  subparagraph, the program will result in the collection, in the aggregate,  from all sources subject to subparagraph (A), of an amount not less than $25 per ton of each regulated pollutant, or such other amount as the Administrator may determine adequately  reflects the reasonable costs of the permit program.</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(ii)  As used in this subparagraph, the term "regulated pollutant" shall mean (I) a volatile organic compound; (II) each pollutant regulated under section 111 or 112; and (III) each  pollutant for which a national primary ambient air quality standard has been  promulgated (except that carbon monoxide shall be excluded from this reference).</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(iii)  In determining the amount under clause (i), the permitting authority is not required to include any amount of regulated pollutant emitted by any source in excess of 4,000 tons per year of that regulated pollutant.</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(iv) The requirements of clause (i) shall not apply if the permitting authority demonstrates that collecting an amount less than the amount specified under clause (i) will meet the requirements of subparagraph (A).</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 xml:space="preserve">(v)  The fee calculated under clause (i) shall be increased (consistent with the need to cover the reasonable costs authorized by subparagraph (A)) in each year beginning after the year of the enactment of the Clean Air Act Amendments of 1990 by the percentage, if any, by which the Consumer Price Index for the most recent calendar year ending before the beginning of such year exceeds the Consumer Price Index for the calendar year 1989. For purposes of this clause -  </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 the Consumer Price Index for any calendar year is the average of the Consumer Price  Index for all-urban consumers published by the Department of Labor, as of the close of the 12-month period ending on August 31 of each calendar year, and</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(II) the revision of the Consumer Price Index which is most consistent with the Consumer Price Index for calendar year 1989 shall be used.</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(C)(i)  If the Administrator determines, under subsection (d), that the fee provisions of the operating permit program do not meet the requirements of this paragraph, or if the Administrator makes a determination, under subsection (i), that the permitting authority is not adequately  administering or enforcing an approved fee program, the Administrator may, in addition to taking any other action authorized under this  title, collect reasonable fees from the sources identified under subparagraph (A). Such fees shall be designed solely to cover the Administrator's costs of administering the provisions of the permit program promulgated by the Administrator.</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(ii) Any source that fails to pay fees lawfully imposed by the Administrator under this subparagraph shall pay a penalty of 50 percent of the fee amount, plus interest on the fee amount computed in accordance with section 6621(a)(2) of the Internal Revenue Code of 1986 (relating  to computation of interest on underpayment of Federal taxes).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lastRenderedPageBreak/>
        <w:tab/>
        <w:t>(iii) Any fees, penalties, and interest collected under this subparagraph shall be deposited in a special fund in the United States Treasury for licensing and other services, which thereafter shall be available for appropriation, to remain available until expended, subject to appropriation, to carry out the Agency's activities for which the fees were collected. Any fee required to be collected by a State, local, or interstate agency under this subsection shall be utilized solely to cover all reasonable (direct and indirect) costs required to support the permit program as set forth in subparagraph (A).</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(4)  Requirements for adequate personnel and funding to administer the program.</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(5)  A requirement that the permitting authority have adequate authority to:</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(A)  issue permits and assure compliance by all sources required to have a permit under  this title with each applicable standard, regulation or requirement under this Act;</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(B)  issue permits for a fixed term, not to exceed 5 years;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(C)  assure that upon  issuance or renewal permits incorporate emission limitations and  other requirements in an applicable implementation plan;</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(D)  terminate, modify, or revoke and reissue permits for cause;</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(E)  enforce permits, permit fee requirements, and the requirement to obtain a permit,  including authority to recover civil penalties in a maximum amount of not less than $10,000 per day for each violation, and provide appropriate criminal penalties; and</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(F) assure that no permit will be issued if the Administrator objects to its issuance in a timely manner under this title.</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(6)  Adequate, streamlined, and reasonable procedures for expeditiously determining  when applications are complete, for processing such applications, for public notice, including  offering an opportunity for public comment and a hearing, and for expeditious review of permit actions, including applications, renewals, or revisions, and including an opportunity for judicial  review in State court of the final permit action by the applicant, any person who participated in  the public comment process, and any other person who could obtain judicial review of that action under applicable law.</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(7)  To ensure against unreasonable delay by the permitting authority, adequate authority and procedures to provide that a failure of such permitting authority to act on a permit  application or permit renewal application (in accordance with the time periods specified in section 503 or, as appropriate, title IV) shall be treated as a final permit action solely for  purposes of obtaining judicial review in State court of an action brought by any person referred to in paragraph (6) to require that action be taken by the permitting authority on such application without additional delay.</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(8) Authority, and reasonable procedures consistent with the need for expeditious action  by the permitting authority on permit applications and related matters, to make available to the public any permit application, compliance plan, permit, and monitoring or compliance report under section 503(e), subject to the provisions of section 114(c) of this Act.</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 xml:space="preserve">(9)  A requirement that the permitting authority, in the case of permits with a term of 3 or more years for major sources, shall require revisions to the permit to incorporate applicable standards and regulations promulgated under this Act after the issuance of such permit. Such revisions shall occur as expeditiously as practicable and consistent with the procedures established under paragraph (6) but not later than 18 months after the promulgation of such standards and regulations. No such revision shall be </w:t>
      </w:r>
      <w:r>
        <w:lastRenderedPageBreak/>
        <w:t>required if the effective date of the standards or regulations is a date after the expiration of the permit term. Such permit revision shall be treated as a permit renewal if it complies with the requirements of this title regarding renewals.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 xml:space="preserve">(10) Provisions to allow changes within a permitted facility (or one operating pursuant to section 503(d)) without requiring a permit revision, if the changes are not modifications under  any provision of title I and the changes do not exceed the emissions allowable under the permit (whether expressed therein as a rate of emissions or in terms of total emissions:  </w:t>
      </w:r>
      <w:r>
        <w:rPr>
          <w:i/>
          <w:iCs/>
        </w:rPr>
        <w:t>Provided</w:t>
      </w:r>
      <w:r>
        <w:t>, That the facility provides the Administrator and the permitting authority with written notification in advance of the proposed changes which shall be a minimum of 7 days, unless the permitting  authority provides in its regulations a different time frame for emergencies.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 xml:space="preserve">(c)  Single Permit.-  A single permit may be issued for a facility with multiple sources. </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(d)  Submission and Approval.-  (1) Not later than 3 years after the date of the enactment  of the Clean Air Act Amendments of 1990, the Governor of each State shall develop and submit to  the Administrator a permit program under State or local law or under an interstate compact meeting the requirements of this title. In addition, the Governor shall submit a legal opinion from the attorney general (or the attorney for those State air pollution control agencies that have independent legal counsel), or from the chief legal officer of an interstate agency, that the laws of the State, locality, or the interstate compact provide adequate authority to carry out the program. Not later than 1 year after receiving a program, and after notice and opportunity for public comment, the Administrator shall approve or disapprove such program, in whole or in part. The Administrator may approve a program to the extent that the program meets the requirements of this Act, including the regulations issued under subsection (b). If the program is disapproved, in whole or in part, the Administrator shall notify the Governor of any revisions or modifications necessary to obtain approval. The Governor shall revise and resubmit the program for review under this section within 180 days after receiving notification.</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(2)(A)  If the Governor does not submit a program as required under paragraph (1) or if the Administrator disapproves a program submitted by the Governor under paragraph (1), in whole or in part, the Administrator may, prior to the expiration of the 18-month period referred to in subparagraph (B), in the Administrator's discretion, apply any of the sanctions specified in section 179(b).</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(B)  If the Governor does not submit a program as required under paragraph (1), or if the  Administrator disapproves any such program submitted by the Governor under paragraph (1), in whole or in part, 18 months after the date required for such submittal or the date of such  disapproval, as the case may be, the Administrator shall apply sanctions under section 179(b) in the same manner and subject to the same deadlines and other conditions as are applicable in the  case of a determination, disapproval, or finding under section 179(a).</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(C)  The sanctions under section 179(b)(2) shall not apply pursuant to this paragraph in  any area unless the failure to submit or the disapproval referred to in subparagraph (A) or (B) relates to an air pollutant for which such area has been designated a nonattainment area (as  defined in part D of title I).</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(3)  If a program meeting the requirements of this title has not been approved in whole for any State, the Administrator shall, 2 years after the date required for submission of such a program under paragraph (1), promulgate, administer, and enforce a program under this title for that State.</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lastRenderedPageBreak/>
        <w:tab/>
        <w:t>(e)  Suspension.- The Administrator shall suspend the issuance of permits promptly upon  publication of notice of approval of a permit program under this section, but may, in such notice, retain jurisdiction over permits that have been federally issued, but for which the administrative or judicial review process is not complete. The Administrator shall continue to administer and enforce federally issued permits under this title until they are replaced by a permit issued by a permitting program. Nothing in this subsection should be construed to limit the Administrator's ability to enforce permits issued by a State.</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(f)  Prohibition.-  No partial permit program shall be approved unless, at a minimum, it  applies, and ensures compliance with, this title and each of the following:</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(1) All requirements established under title IV applicable to "affected sources."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(2)  All requirements established under section 112 applicable to "major sources", "area sources," and "new sources."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(3)  All requirements of title I (other than section 112) applicable to sources required to have a permit under this title. Approval of a partial program shall not relieve the State of its obligation to submit a complete program, nor from the application of any sanctions under this Act for failure to submit an approvable permit program.</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(g)  Interim Approval.-  If a program (including a partial permit program) submitted under this title substantially meets the requirements of this title, but is not fully approvable, the Administrator may by rule grant the program interim approval. In the notice of final rulemaking, the Administrator shall specify the changes that must be made before the program can receive full approval. An interim approval under this subsection shall expire on a date set by the Administrator not later than 2 years after such approval, and may not be renewed. For the period of any such interim approval, the provisions of subsection (d)(2), and the obligation of the  Administrator to promulgate a program under this title for the State pursuant to subsection (d)(3), shall be suspended. Such provisions and such obligation of the Administrator shall apply after the expiration of such interim approval.</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(h)  Effective Date.-  The effective date of a permit program, or partial or interim program, approved under this title, shall be the effective date of approval by the Administrator. The effective date of a permit program, or partial permit program, promulgated by the Administrator shall be the date of promulgation.</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  Administration and Enforcement.-  (1)  Whenever the Administrator makes a  determination that a permitting authority is not adequately administering and enforcing a  program, or portion thereof, in accordance with the requirements of this title, the Administrator shall provide notice to the State and may, prior to the expiration of the 18-month period referred to in paragraph (2), in the Administrator's discretion, apply any of the sanctions specified in section 179(b).</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(2)  Whenever the Administrator makes a determination that a permitting authority is not  adequately administering and enforcing a program, or portion thereof, in accordance with the requirements of this title, 18 months after the date of the notice under paragraph (1), the  Administrator shall apply the sanctions under section 179(b) in the same manner and subject to the same deadlines and other conditions as are applicable in the case of a determination,  disapproval, or finding under section 179(a).</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lastRenderedPageBreak/>
        <w:tab/>
        <w:t>(3)  The sanctions under section 179(b)(2) shall not apply pursuant to this subsection in  any area unless the failure to adequately enforce and administer the program relates to an air pollutant for which such area has been designated a nonattainment area.</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rPr>
          <w:b/>
          <w:bCs/>
        </w:rPr>
      </w:pPr>
      <w:r>
        <w:tab/>
        <w:t>(4)  Whenever the Administrator has made a finding under paragraph (1) with respect to any State, unless the State has corrected such deficiency within 18 months after the date of such finding, the Administrator shall, 2 years after the date of such finding, promulgate, administer, and enforce a program under this title for that State. Nothing in this paragraph shall be construed to affect the validity of a program which has been approved under this title or the authority of any permitting authority acting under such program until such time as such program is promulgated by the Administrator under this paragraph. [42 U.S.C. 7661a]</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rPr>
          <w:b/>
          <w:bCs/>
        </w:rPr>
      </w:pP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rPr>
          <w:b/>
          <w:bCs/>
        </w:rPr>
      </w:pPr>
      <w:r>
        <w:rPr>
          <w:b/>
          <w:bCs/>
        </w:rPr>
        <w:t xml:space="preserve"> SEC. 503. PERMIT APPLICATIONS.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rPr>
          <w:b/>
          <w:bCs/>
        </w:rPr>
      </w:pP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Pr>
          <w:b/>
          <w:bCs/>
        </w:rPr>
        <w:tab/>
      </w:r>
      <w:r>
        <w:t>(a) APPLICABLE DATE.-Any source specified in section 502(a) shall become subject to a permit program, and required to have a permit, on the later of the following dates-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 xml:space="preserve">(1) the effective date of a permit program or partial or interim permit program applicable to the source; or </w:t>
      </w:r>
    </w:p>
    <w:p w:rsidR="00244633" w:rsidRDefault="00244633" w:rsidP="00B36A4D">
      <w:pPr>
        <w:numPr>
          <w:ilvl w:val="12"/>
          <w:numId w:val="0"/>
        </w:num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s>
        <w:spacing w:line="336" w:lineRule="atLeast"/>
        <w:ind w:left="720"/>
      </w:pPr>
      <w:r>
        <w:tab/>
        <w:t>(2) the date such source becomes subject to section 502(a).</w:t>
      </w:r>
    </w:p>
    <w:p w:rsidR="00244633" w:rsidRDefault="00244633" w:rsidP="00B36A4D">
      <w:pPr>
        <w:numPr>
          <w:ilvl w:val="12"/>
          <w:numId w:val="0"/>
        </w:num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s>
        <w:spacing w:line="336" w:lineRule="atLeast"/>
        <w:ind w:left="720"/>
      </w:pPr>
      <w:r>
        <w:tab/>
        <w:t>(b) COMPLIANCE PLAN.-(1) The regulations required by section 502(b) shall include a requirement that the applicant submit with the permit application a compliance plan describing how the source will comply with all applicable requirements under this Act. The compliance plan shall include a schedule of compliance, and a schedule under which the permittee will submit progress reports to the permitting authority no less frequently than every 6 months.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(2) The regulations shall further require the permittee to periodically (but no less frequently than annually) certify that the facility is in compliance with any applicable requirements of the permit, and to promptly report any deviations from permit requirements to the permitting authority.</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(c) DEADLINE.-Any person required to have a permit shall, not later than 12 months after the date on which the source becomes subject to a permit program approved or promulgated under this title, or such earlier date as the permitting authority may establish, submit to the permitting authority a compliance plan and an application for a permit signed by a responsible official, who shall certify the accuracy of the information submitted. The permitting authority shall approve or disapprove a completed application (consistent with the procedures established under this title for consideration of such applications), and shall issue or deny the permit, within 18 months after the date of receipt thereof, except that the permitting authority shall establish a phased schedule for acting on permit applications submitted within the first full year after the effective date of a permit program (or a partial or interim program). Any such schedule shall assure that at least one-third of such permits will be acted on by such authority annually over a period of not to exceed 3 years after such effective date. Such authority shall establish reasonable procedures to prioritize such approval or disapproval actions in the case of applications for construction or modification under the applicable requirements of this Act.</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lastRenderedPageBreak/>
        <w:tab/>
        <w:t>(d) TIMELY AND COMPLETE APPLICATIONS.-Except for sources required to have a permit before construction or modification under the applicable requirements of this Act, if an applicant has submitted a timely and complete application for a permit required by this title (including renewals), but final action has not been taken on such application, the source's failure to have a permit shall not be a violation of this Act, unless the delay in final action was due to the failure of the applicant timely to submit information required or requested to process the application. No source required to have a permit under this title shall be in violation of section 502(a) before the date on which the source is required to submit an application under subsection (c).</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(e) COPIES; AVAILABILITY.-A copy of each permit application, compliance plan (including the schedule of compliance), emissions or compliance monitoring report, certification, and each permit issued under this title, shall be available to the public. If an applicant or permittee is required to submit information entitled to protection from disclosure under section 114(c) of this Act, the applicant or permittee may submit such information separately. The requirements of section 114(c) shall apply to such information. The contents of a permit shall not be entitled to protection under section 114(c).</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rPr>
          <w:b/>
          <w:bCs/>
        </w:rPr>
      </w:pPr>
      <w:r>
        <w:rPr>
          <w:b/>
          <w:bCs/>
        </w:rPr>
        <w:t>SEC. 504. PERMIT REQUIREMENTS AND CONDITIONS.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rPr>
          <w:b/>
          <w:bCs/>
        </w:rPr>
      </w:pP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Pr>
          <w:b/>
          <w:bCs/>
        </w:rPr>
        <w:tab/>
      </w:r>
      <w:r>
        <w:t>(a) CONDITIONS.-Each permit issued under this title shall include enforceable emission limitations and standards, a schedule of compliance, a requirement that the permittee submit to the permitting authority, no less often than every 6 months, the results of any required monitoring, and such other conditions as are necessary to assure compliance with applicable requirements of this Act, including the requirements of the applicable implementation plan.</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(b) MONITORING AND ANALYSIS.-The Administrator may by rule prescribe procedures and methods for determining compliance and for monitoring and analysis of pollutants regulated under this Act, but continuous emissions monitoring need not be required if alternative methods are available that provide sufficiently reliable and timely information for determining compliance. Nothing in this subsection shall be construed to affect any continuous emissions monitoring requirement of title IV, or where required elsewhere in this Act.</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(c) INSPECTION, ENTRY, MONITORING, CERTIFICATION, AND REPORTING.-Each permit issued under this title shall set forth inspection, entry, monitoring, compliance certification, and reporting requirements to assure compliance with the permit terms and conditions. Such monitoring and reporting requirements shall conform to any applicable regulation under subsection (b). Any report required to be submitted by a permit issued to a corporation under this title shall be signed by a responsible corporate official, who shall certify its accuracy.</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Pr>
          <w:i/>
          <w:iCs/>
        </w:rPr>
        <w:t>§70.5(c)  Standard applications form and required information</w:t>
      </w:r>
      <w:r>
        <w:t xml:space="preserve">. The State program under this part shall provide for a standard application form or forms. Information as described below for each emissions unit at a part 70 source shall be included in the application. The Administrator may approve as part of a State program a list of insignificant activities and emissions levels which need not be included in permit applications. However, for insignificant activities which are exempted because of size or production </w:t>
      </w:r>
      <w:r>
        <w:lastRenderedPageBreak/>
        <w:t>rate, a list of such insignificant activities must be included in the application. An application may not omit information needed to determine the applicability of, or to impose, any applicable requirement, or to evaluate the fee amount required under the schedule approved pursuant to §70.9 of this part. The permitting authority may use discretion in developing application forms that best meet program needs and administrative efficiency. The forms and attachments chosen, however, shall include the elements specified below:</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(1)  Identifying information, including company name and address (or plant name and address if different from the company name), owner's name and agent, and telephone number and names of plant site manager/contact.</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(2)  A description of the source's processes and products (by Standard Industrial Classification Code) including any associated alternative scenario identified by the source.</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(3)  The following emission related information:</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  All emissions of pollutants for which the source is major, and all emissions of regulated air pollutants. A permit application shall describe all emissions of regulated air pollutants emitted from any emissions unit, except where such units are exempted under this paragraph (c) of this section. The permitting authority shall require additional information related to the emissions of air pollutants sufficient to verify which requirements are applicable to the source, and other information necessary to collect any permit fees owed under the fee schedule approved pursuant to §70.9(b) of this part.</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(ii)  Identification and description of all points of emissions described in paragraph (c)(3)(i) of this section in sufficient detail to establish the basis for fees and applicability of requirements of the Act.</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(iii)  Emissions rate in tpy and in such terms as are necessary to establish compliance consistent with the applicable standard reference test method.</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(iv)  The following information to the extent it is needed to determine to regulate emissions: Fuels, fuel use, raw materials, production rates, and operating schedules.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(v)  Identification and description of air pollution control equipment and compliance monitoring devices or activities.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(vi)  Limitations on source operation affecting emissions or any work practice standards, where applicable, for all regulated pollutants at the part 70 source.</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(vii)  Other information required by any applicable requirement (including information related to stack height limitations developed pursuant to section 123 of the Act.)</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(viii)  Calculations on which the information on paragraphs (c)(3)(i) through (c)(3)(vii) of this section is based.</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(4)  The following air pollution control requirements: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   Citation and description of all applicable requirements, and</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(ii)  Description of or reference to any applicable test method for determining compliance with each applicable requirement.</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(5)  Other specific information that may be necessary to implement and enforce other applicable requirements of the Act or of this part or to determine the applicability of such requirements.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(6)  An explanation of any proposed exemptions from otherwise applicable requirements.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lastRenderedPageBreak/>
        <w:tab/>
        <w:t>(7)  Additional information as determined to be necessary by the permitting authority to define alternative operating scenarios identified by the source pursuant to § 70.6(a)(9) of this part or to define permit terms and conditions implementing § 70.4(b)(12) or § 70.6(a)(10) of this part.</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(8)  A compliance plan for all part 70 sources that contains all the following:</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  A description of the compliance status of the source with respect to all applicable requirements.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(ii)  A description as follows: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(A)  For applicable requirements with which the source is in compliance, a statement that the source will continue to comply with such requirements.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(B)  For applicable requirements that will become effective during the permit term, a statement that the source will meet such requirements on a timely basis.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(C)  For requirements for which the source is not in compliance at the time or permit issuance, a narrative description of how the source will achieve compliance with such requirements.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(iii)  A compliance schedule as follows: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(A)  For applicable requirements with which the source is in compliance, a statement that the source will continue to comply with such requirements.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(B)  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(C)  A schedule of compliance for sources that are not in compliance with all applicable requirements at the time of permit issuance. Such a schedule shall include a schedule of remedial measures, including an enforceable sequence of actions with milestones, leading to compliance with any applicable requirements for which the source will be in noncompliance at the time of permit issuance. This compliance schedule shall resemble and be at least as stringent as that contained in any judicial consent decree or administrative order to which the source is subject. Any such schedule of compliance shall be supplemental to and shall not sanction noncompliance with, the applicable requirements on which it is based.</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(iv)  A schedule for submission of certified progress reports no less frequently than every 6 months for sources required to have a schedule of compliance to remedy a violation.</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(v)  The compliance plan content requirements specified in this paragraph shall apply and be included in the acid rain portion of a compliance plan for an affected source, except as specifically superseded by regulations promulgated under title IV of the Act with regard to the schedule and method(s) the source will use to achieve compliance with the acid rain emissions limitations.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(9)  Requirements for compliance certification, including the following:</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  A certification of compliance with all applicable requirements by a responsible official consistent with paragraph (d) of this section and section 114(a)(3) of the Act;</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(ii)  A statement of methods used for determining compliance, including a description of monitoring, record keeping, and reporting requirements and test methods;</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lastRenderedPageBreak/>
        <w:tab/>
        <w:t>(iii)  A schedule for submission of compliance certifications during the permit term, to be submitted no less frequently than annually, or more frequently if specified by the underlying applicable requirement or by the permitting authority; and</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(iv)  A statement indicating the source's compliance status with any applicable enhanced monitoring and compliance certification requirements of the Act.</w:t>
      </w:r>
    </w:p>
    <w:p w:rsidR="00244633"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tab/>
        <w:t>(10)  The use of nationally-standardized forms for acid rain portions of permit applications and compliance plans, as required by regulations promulgated under title IV of the Act.</w:t>
      </w:r>
    </w:p>
    <w:p w:rsidR="00896824" w:rsidRPr="00BB2522" w:rsidRDefault="00B36A4D" w:rsidP="00B36A4D">
      <w:pPr>
        <w:rPr>
          <w:b/>
          <w:bCs/>
        </w:rPr>
      </w:pPr>
      <w:r>
        <w:tab/>
      </w:r>
      <w:r w:rsidR="00244633">
        <w:t>(d)  Any application form, report, or compliance certification submitted pursuant to these regulations shall contain certification by a responsible official of truth, accuracy, and completeness. This certification and any other certification required under this part shall state that, based on information and belief formed after reasonable inquiry, the statements and information in the document are true, accurate, and complete.</w:t>
      </w:r>
      <w:r w:rsidR="00244633">
        <w:rPr>
          <w:b/>
          <w:bCs/>
        </w:rPr>
        <w:cr/>
      </w:r>
    </w:p>
    <w:p w:rsidR="00244633" w:rsidRDefault="00244633" w:rsidP="00B36A4D">
      <w:pPr>
        <w:rPr>
          <w:b/>
          <w:bCs/>
        </w:rPr>
      </w:pPr>
      <w:r>
        <w:rPr>
          <w:b/>
          <w:bCs/>
        </w:rPr>
        <w:br w:type="page"/>
      </w:r>
    </w:p>
    <w:p w:rsidR="00B36A4D" w:rsidRPr="00BB2522" w:rsidRDefault="00B36A4D" w:rsidP="00B36A4D"/>
    <w:p w:rsidR="00B36A4D" w:rsidRPr="00BB2522" w:rsidRDefault="00B36A4D" w:rsidP="00B36A4D"/>
    <w:p w:rsidR="00B36A4D" w:rsidRPr="00BB2522" w:rsidRDefault="00B36A4D" w:rsidP="00B36A4D"/>
    <w:p w:rsidR="00B36A4D" w:rsidRPr="00BB2522" w:rsidRDefault="00B36A4D" w:rsidP="00B36A4D"/>
    <w:p w:rsidR="00B36A4D" w:rsidRPr="00BB2522" w:rsidRDefault="00B36A4D" w:rsidP="00B36A4D"/>
    <w:p w:rsidR="00B36A4D" w:rsidRPr="00BB2522" w:rsidRDefault="00B36A4D" w:rsidP="00B36A4D"/>
    <w:p w:rsidR="00B36A4D" w:rsidRPr="00BB2522" w:rsidRDefault="00B36A4D" w:rsidP="00B36A4D"/>
    <w:p w:rsidR="00B36A4D" w:rsidRPr="00BB2522" w:rsidRDefault="00B36A4D" w:rsidP="00B36A4D"/>
    <w:p w:rsidR="00B36A4D" w:rsidRPr="00BB2522" w:rsidRDefault="00B36A4D" w:rsidP="00B36A4D"/>
    <w:p w:rsidR="00B36A4D" w:rsidRPr="00BB2522" w:rsidRDefault="00B36A4D" w:rsidP="00B36A4D"/>
    <w:p w:rsidR="00B36A4D" w:rsidRPr="00BB2522" w:rsidRDefault="00B36A4D" w:rsidP="00B36A4D"/>
    <w:p w:rsidR="00B36A4D" w:rsidRPr="00BB2522" w:rsidRDefault="00B36A4D" w:rsidP="00B36A4D"/>
    <w:p w:rsidR="00B36A4D" w:rsidRPr="00BB2522" w:rsidRDefault="00B36A4D" w:rsidP="00B36A4D"/>
    <w:p w:rsidR="00B36A4D" w:rsidRPr="00BB2522" w:rsidRDefault="00B36A4D" w:rsidP="00B36A4D"/>
    <w:p w:rsidR="00B36A4D" w:rsidRPr="00BB2522" w:rsidRDefault="00B36A4D" w:rsidP="00B36A4D"/>
    <w:p w:rsidR="00B36A4D" w:rsidRPr="00BB2522" w:rsidRDefault="00B36A4D" w:rsidP="00B36A4D"/>
    <w:p w:rsidR="00B36A4D" w:rsidRPr="00BB2522" w:rsidRDefault="00B36A4D" w:rsidP="00B36A4D"/>
    <w:p w:rsidR="00B36A4D" w:rsidRPr="00BB2522" w:rsidRDefault="00B36A4D" w:rsidP="00B36A4D"/>
    <w:p w:rsidR="00B36A4D" w:rsidRPr="00BB2522" w:rsidRDefault="00B36A4D" w:rsidP="00B36A4D"/>
    <w:p w:rsidR="00B36A4D" w:rsidRPr="00BB2522" w:rsidRDefault="00B36A4D" w:rsidP="003E3A9D">
      <w:pPr>
        <w:jc w:val="center"/>
      </w:pPr>
      <w:r>
        <w:t>ATTACHMENT 2</w:t>
      </w:r>
    </w:p>
    <w:p w:rsidR="00B36A4D" w:rsidRPr="00BB2522" w:rsidRDefault="00B36A4D" w:rsidP="003E3A9D">
      <w:pPr>
        <w:jc w:val="center"/>
      </w:pPr>
    </w:p>
    <w:p w:rsidR="00B36A4D" w:rsidRPr="00BB2522" w:rsidRDefault="00B36A4D" w:rsidP="003E3A9D">
      <w:pPr>
        <w:jc w:val="center"/>
      </w:pPr>
    </w:p>
    <w:p w:rsidR="00B36A4D" w:rsidRPr="00BB2522" w:rsidRDefault="00B36A4D" w:rsidP="003E3A9D">
      <w:pPr>
        <w:jc w:val="center"/>
      </w:pPr>
    </w:p>
    <w:p w:rsidR="00B36A4D" w:rsidRDefault="00515122" w:rsidP="003E3A9D">
      <w:pPr>
        <w:jc w:val="center"/>
      </w:pPr>
      <w:r>
        <w:t>DECEMBER 14, 2011</w:t>
      </w:r>
      <w:r w:rsidR="00B36A4D">
        <w:t xml:space="preserve"> FEDERAL REGISTER NOTICE</w:t>
      </w:r>
    </w:p>
    <w:p w:rsidR="00131D9F" w:rsidRPr="00B36A4D" w:rsidRDefault="00B36A4D" w:rsidP="003E3A9D">
      <w:pPr>
        <w:jc w:val="center"/>
        <w:sectPr w:rsidR="00131D9F" w:rsidRPr="00B36A4D" w:rsidSect="00131D9F">
          <w:footnotePr>
            <w:numStart w:val="4"/>
          </w:footnotePr>
          <w:endnotePr>
            <w:numFmt w:val="decimal"/>
            <w:numStart w:val="5"/>
          </w:endnotePr>
          <w:pgSz w:w="12240" w:h="15840" w:code="1"/>
          <w:pgMar w:top="1080" w:right="1080" w:bottom="1080" w:left="1080" w:header="432" w:footer="720" w:gutter="0"/>
          <w:cols w:space="720"/>
          <w:docGrid w:linePitch="360"/>
        </w:sectPr>
      </w:pPr>
      <w:r>
        <w:t>7</w:t>
      </w:r>
      <w:r w:rsidR="00515122">
        <w:t>6</w:t>
      </w:r>
      <w:r>
        <w:t xml:space="preserve"> FR </w:t>
      </w:r>
      <w:r w:rsidR="00515122">
        <w:t>77820</w:t>
      </w:r>
    </w:p>
    <w:p w:rsidR="00515122" w:rsidRPr="00515122" w:rsidRDefault="00515122" w:rsidP="00515122">
      <w:r w:rsidRPr="00515122">
        <w:rPr>
          <w:b/>
          <w:bCs/>
        </w:rPr>
        <w:lastRenderedPageBreak/>
        <w:t xml:space="preserve">77820 Federal Register </w:t>
      </w:r>
      <w:r w:rsidRPr="00515122">
        <w:t>/ Vol. 76, No. 240 / Wednesday, December 14, 2011 / Notices</w:t>
      </w:r>
    </w:p>
    <w:p w:rsidR="00515122" w:rsidRPr="00515122" w:rsidRDefault="00515122" w:rsidP="00515122"/>
    <w:p w:rsidR="00515122" w:rsidRPr="00515122" w:rsidRDefault="00515122" w:rsidP="00515122">
      <w:pPr>
        <w:rPr>
          <w:b/>
          <w:bCs/>
        </w:rPr>
      </w:pPr>
      <w:r w:rsidRPr="00515122">
        <w:rPr>
          <w:b/>
          <w:bCs/>
        </w:rPr>
        <w:t>ENVIRONMENTAL PROTECTION AGENCY</w:t>
      </w:r>
    </w:p>
    <w:p w:rsidR="00515122" w:rsidRPr="00515122" w:rsidRDefault="00515122" w:rsidP="00515122">
      <w:pPr>
        <w:rPr>
          <w:b/>
          <w:bCs/>
        </w:rPr>
      </w:pPr>
      <w:r w:rsidRPr="00515122">
        <w:rPr>
          <w:b/>
          <w:bCs/>
        </w:rPr>
        <w:t>[EPA–HQ–OAR–2004–0015 and EPA–HQ–OAR–2004–0016; FRL–9506–5]</w:t>
      </w:r>
    </w:p>
    <w:p w:rsidR="00515122" w:rsidRPr="00515122" w:rsidRDefault="00515122" w:rsidP="00515122">
      <w:pPr>
        <w:rPr>
          <w:b/>
          <w:bCs/>
        </w:rPr>
      </w:pPr>
      <w:r w:rsidRPr="00515122">
        <w:rPr>
          <w:b/>
          <w:bCs/>
        </w:rPr>
        <w:t>Agency Information Collection Activities; Proposed Collections; Comment Request; State Operating Permit Program (Renewal) and Federal Operating Permit Program (Renewal)</w:t>
      </w:r>
    </w:p>
    <w:p w:rsidR="00515122" w:rsidRPr="00515122" w:rsidRDefault="00515122" w:rsidP="00515122">
      <w:r w:rsidRPr="00515122">
        <w:rPr>
          <w:b/>
          <w:bCs/>
        </w:rPr>
        <w:t xml:space="preserve">AGENCY: </w:t>
      </w:r>
      <w:r w:rsidRPr="00515122">
        <w:t>Environmental Protection Agency (EPA).</w:t>
      </w:r>
    </w:p>
    <w:p w:rsidR="00515122" w:rsidRPr="00515122" w:rsidRDefault="00515122" w:rsidP="00515122">
      <w:r w:rsidRPr="00515122">
        <w:rPr>
          <w:b/>
          <w:bCs/>
        </w:rPr>
        <w:t xml:space="preserve">ACTION: </w:t>
      </w:r>
      <w:r w:rsidRPr="00515122">
        <w:t>Notice.</w:t>
      </w:r>
    </w:p>
    <w:p w:rsidR="00515122" w:rsidRPr="00515122" w:rsidRDefault="00515122" w:rsidP="00515122">
      <w:r w:rsidRPr="00515122">
        <w:rPr>
          <w:b/>
          <w:bCs/>
        </w:rPr>
        <w:t xml:space="preserve">SUMMARY: </w:t>
      </w:r>
      <w:r w:rsidRPr="00515122">
        <w:t xml:space="preserve">In compliance with the Paperwork Reduction Act (PRA) (44 U.S.C. 3501 </w:t>
      </w:r>
      <w:r w:rsidRPr="00515122">
        <w:rPr>
          <w:i/>
          <w:iCs/>
        </w:rPr>
        <w:t>et seq.</w:t>
      </w:r>
      <w:r w:rsidRPr="00515122">
        <w:t>), this document announces that the EPA is planning to submit a request to renew two existing approved Information Collection Requests (ICR) to the Office of Management and Budget (OMB). The two ICRs are scheduled to expire on April 30, 2012. Before submitting the two ICRs to OMB for review and approval, the EPA is soliciting comments on specific aspects of the proposed information collections as described below.</w:t>
      </w:r>
    </w:p>
    <w:p w:rsidR="00515122" w:rsidRPr="00515122" w:rsidRDefault="00515122" w:rsidP="00515122">
      <w:r w:rsidRPr="00515122">
        <w:rPr>
          <w:b/>
          <w:bCs/>
        </w:rPr>
        <w:t xml:space="preserve">DATES: </w:t>
      </w:r>
      <w:r w:rsidRPr="00515122">
        <w:t>Comments must be submitted on or before February 13, 2012.</w:t>
      </w:r>
    </w:p>
    <w:p w:rsidR="00515122" w:rsidRPr="00515122" w:rsidRDefault="00515122" w:rsidP="00515122">
      <w:r w:rsidRPr="00515122">
        <w:rPr>
          <w:b/>
          <w:bCs/>
        </w:rPr>
        <w:t xml:space="preserve">ADDRESSES: </w:t>
      </w:r>
      <w:r w:rsidRPr="00515122">
        <w:t>Submit your comments, identified by Docket ID No. EPA–HQ–OAR–2004–0015 (for the part 70 state program) or Docket ID No. EPA–HQ–OAR–2004–0016 (for the part 71 Federal program), by one of the following methods:</w:t>
      </w:r>
    </w:p>
    <w:p w:rsidR="00515122" w:rsidRPr="00515122" w:rsidRDefault="00515122" w:rsidP="00515122">
      <w:r w:rsidRPr="00515122">
        <w:tab/>
        <w:t xml:space="preserve">• </w:t>
      </w:r>
      <w:r w:rsidRPr="00515122">
        <w:rPr>
          <w:i/>
          <w:iCs/>
        </w:rPr>
        <w:t xml:space="preserve">http://www.regulations.gov: </w:t>
      </w:r>
      <w:r w:rsidRPr="00515122">
        <w:t>Follow the on-line instructions for submitting comments.</w:t>
      </w:r>
    </w:p>
    <w:p w:rsidR="00515122" w:rsidRPr="00515122" w:rsidRDefault="00515122" w:rsidP="00515122">
      <w:pPr>
        <w:rPr>
          <w:i/>
          <w:iCs/>
        </w:rPr>
      </w:pPr>
      <w:r w:rsidRPr="00515122">
        <w:tab/>
        <w:t xml:space="preserve">• </w:t>
      </w:r>
      <w:r w:rsidRPr="00515122">
        <w:rPr>
          <w:i/>
          <w:iCs/>
        </w:rPr>
        <w:t>Email: a-and-r-docket@epa.gov.</w:t>
      </w:r>
    </w:p>
    <w:p w:rsidR="00515122" w:rsidRPr="00515122" w:rsidRDefault="00515122" w:rsidP="00515122">
      <w:r w:rsidRPr="00515122">
        <w:tab/>
        <w:t xml:space="preserve">• </w:t>
      </w:r>
      <w:r w:rsidRPr="00515122">
        <w:rPr>
          <w:i/>
          <w:iCs/>
        </w:rPr>
        <w:t xml:space="preserve">Fax: </w:t>
      </w:r>
      <w:r w:rsidRPr="00515122">
        <w:t>(202) 566–9744.</w:t>
      </w:r>
    </w:p>
    <w:p w:rsidR="00515122" w:rsidRPr="00515122" w:rsidRDefault="00515122" w:rsidP="00515122">
      <w:r w:rsidRPr="00515122">
        <w:tab/>
        <w:t xml:space="preserve">• </w:t>
      </w:r>
      <w:r w:rsidRPr="00515122">
        <w:rPr>
          <w:i/>
          <w:iCs/>
        </w:rPr>
        <w:t xml:space="preserve">Mail: </w:t>
      </w:r>
      <w:r w:rsidRPr="00515122">
        <w:t>U.S. Environmental Protection Agency, Air and Radiation Docket and Information Center, Mailcode: 2822T, 1200 Pennsylvania Ave. NW., Washington, DC 20460. Attention: Docket ID No. EPA–HQ–OAR–2004–0015 (for Part 70) or Docket ID No. EPA–HQ–OAR–2004–0016 (for Part 71). Please include a total of two copies.</w:t>
      </w:r>
    </w:p>
    <w:p w:rsidR="00515122" w:rsidRPr="00515122" w:rsidRDefault="00515122" w:rsidP="00515122">
      <w:r w:rsidRPr="00515122">
        <w:tab/>
        <w:t xml:space="preserve">• </w:t>
      </w:r>
      <w:r w:rsidRPr="00515122">
        <w:rPr>
          <w:i/>
          <w:iCs/>
        </w:rPr>
        <w:t xml:space="preserve">Hand Delivery: </w:t>
      </w:r>
      <w:r w:rsidRPr="00515122">
        <w:t>EPA Docket Center, Public Reading Room, EPA West, Room 3334, 1301 Constitution Ave. NW., Washington, DC 20460. Such deliveries are only accepted during the Docket’s normal hours of operation, and special arrangements should be made for deliveries of boxed information.</w:t>
      </w:r>
    </w:p>
    <w:p w:rsidR="00515122" w:rsidRPr="00515122" w:rsidRDefault="00515122" w:rsidP="00515122">
      <w:pPr>
        <w:rPr>
          <w:i/>
          <w:iCs/>
        </w:rPr>
      </w:pPr>
      <w:r w:rsidRPr="00515122">
        <w:rPr>
          <w:i/>
          <w:iCs/>
        </w:rPr>
        <w:tab/>
        <w:t xml:space="preserve">Instructions: </w:t>
      </w:r>
      <w:r w:rsidRPr="00515122">
        <w:t xml:space="preserve">Direct your comments to Docket ID No. EPA–HQ–OAR–2004–0015 for the ICR renewal for the part 70 state permitting program or EPA–HQ–OAR–2004–0016 for the ICR renewal for the part 71 Federal (EPA) permitting program. The EPA’s policy is that all comments received will be included in the public docket without change and may be made available online at </w:t>
      </w:r>
      <w:r w:rsidRPr="00515122">
        <w:rPr>
          <w:i/>
          <w:iCs/>
        </w:rPr>
        <w:t xml:space="preserve">http://www.regulations.gov, </w:t>
      </w:r>
      <w:r w:rsidRPr="00515122">
        <w:t xml:space="preserve">including any personal information provided, unless the comment includes information claimed to be Confidential Business Information (CBI) or other information whose disclosure is restricted by statute. Do not submit information that you consider to be CBI or otherwise protected through </w:t>
      </w:r>
      <w:r w:rsidRPr="00515122">
        <w:rPr>
          <w:i/>
          <w:iCs/>
        </w:rPr>
        <w:t xml:space="preserve">http://www.regulations.gov </w:t>
      </w:r>
      <w:r w:rsidRPr="00515122">
        <w:t xml:space="preserve">or email. The </w:t>
      </w:r>
      <w:r w:rsidRPr="00515122">
        <w:rPr>
          <w:i/>
          <w:iCs/>
        </w:rPr>
        <w:t xml:space="preserve">http://www.regulations.gov </w:t>
      </w:r>
      <w:r w:rsidRPr="00515122">
        <w:t xml:space="preserve">Web site is an ‘‘anonymous access’’ system, which means the EPA will not know your identity or contact information unless you provide it in the body of your comment. If you send an email comment directly to the EPA without going through </w:t>
      </w:r>
      <w:r w:rsidRPr="00515122">
        <w:rPr>
          <w:i/>
          <w:iCs/>
        </w:rPr>
        <w:t xml:space="preserve">http://www.regulations.gov, </w:t>
      </w:r>
      <w:r w:rsidRPr="00515122">
        <w:t xml:space="preserve">your email address will be automatically captured and included as part of the comment that is placed in the public docket and made available on the Internet. If you submit an electronic comment, the EPA recommends that you include your name and other contact information in the body of your comment and with any disk or CD–ROM you submit. If the EPA cannot read your comment due to technical difficulties and cannot contact you for clarification, the EPA may not be able to consider your comment. Electronic files should avoid the use of special characters, any form of encryption and be free of any defects or viruses. For additional information about the EPA’s public docket, visit the EPA Docket Center homepage at </w:t>
      </w:r>
      <w:r w:rsidRPr="00515122">
        <w:rPr>
          <w:i/>
          <w:iCs/>
        </w:rPr>
        <w:t>http://www.epa.gov/epahome/dockets.htm.</w:t>
      </w:r>
    </w:p>
    <w:p w:rsidR="00515122" w:rsidRPr="00515122" w:rsidRDefault="00515122" w:rsidP="00515122">
      <w:pPr>
        <w:rPr>
          <w:i/>
          <w:iCs/>
        </w:rPr>
      </w:pPr>
      <w:r w:rsidRPr="00515122">
        <w:rPr>
          <w:b/>
          <w:bCs/>
        </w:rPr>
        <w:lastRenderedPageBreak/>
        <w:t xml:space="preserve">FOR FURTHER INFORMATION CONTACT: </w:t>
      </w:r>
      <w:r w:rsidRPr="00515122">
        <w:t xml:space="preserve">Mr. Jeff Herring, Air Quality Policy Division, Office of Air Quality Planning and Standards (C504–05), Environmental Protection Agency, Research Triangle Park, North Carolina 27711; telephone number: (919) 541–3195; fax number: (919) 541–5509; email address: </w:t>
      </w:r>
      <w:r w:rsidRPr="00515122">
        <w:rPr>
          <w:i/>
          <w:iCs/>
        </w:rPr>
        <w:t>herring.jeff@epa.gov.</w:t>
      </w:r>
    </w:p>
    <w:p w:rsidR="00515122" w:rsidRPr="00515122" w:rsidRDefault="00515122" w:rsidP="00515122">
      <w:pPr>
        <w:rPr>
          <w:b/>
          <w:bCs/>
        </w:rPr>
      </w:pPr>
      <w:r w:rsidRPr="00515122">
        <w:rPr>
          <w:b/>
          <w:bCs/>
        </w:rPr>
        <w:t>SUPPLEMENTARY INFORMATION:</w:t>
      </w:r>
    </w:p>
    <w:p w:rsidR="00515122" w:rsidRPr="00515122" w:rsidRDefault="00515122" w:rsidP="00515122">
      <w:pPr>
        <w:rPr>
          <w:b/>
          <w:bCs/>
        </w:rPr>
      </w:pPr>
    </w:p>
    <w:p w:rsidR="00515122" w:rsidRPr="00515122" w:rsidRDefault="00515122" w:rsidP="00515122">
      <w:pPr>
        <w:rPr>
          <w:b/>
          <w:bCs/>
        </w:rPr>
      </w:pPr>
      <w:r w:rsidRPr="00515122">
        <w:rPr>
          <w:b/>
          <w:bCs/>
        </w:rPr>
        <w:t>How can I access the docket and/or submit comments?</w:t>
      </w:r>
    </w:p>
    <w:p w:rsidR="00515122" w:rsidRPr="00515122" w:rsidRDefault="00515122" w:rsidP="00515122">
      <w:pPr>
        <w:rPr>
          <w:b/>
          <w:bCs/>
        </w:rPr>
      </w:pPr>
    </w:p>
    <w:p w:rsidR="00515122" w:rsidRPr="00515122" w:rsidRDefault="00515122" w:rsidP="00515122">
      <w:r w:rsidRPr="00515122">
        <w:t xml:space="preserve">The EPA has established a public docket for the Part 70 ICR renewal under Docket ID No. EPA–HQ–OAR–2004–0015 and a public docket for the Part 71 ICR renewal under Docket ID No. EPA–HQ–OAR–2004–0016, which are available for online viewing at </w:t>
      </w:r>
      <w:r w:rsidRPr="00515122">
        <w:rPr>
          <w:i/>
          <w:iCs/>
        </w:rPr>
        <w:t xml:space="preserve">http://www.regulations.gov, </w:t>
      </w:r>
      <w:r w:rsidRPr="00515122">
        <w:t xml:space="preserve">or in person viewing at the Air and Radiation Docket in the EPA Docket Center (EPA/DC), EPA West, Room 3334, 1301 Constitution Ave., NW., Washington, DC The EPA/DC Public Reading Room is open from 8:30 a.m. to 4:30 p.m., Monday through Friday, excluding legal holidays. The telephone number for the Public Reading Room is (202) 566–1744. Use </w:t>
      </w:r>
      <w:r w:rsidRPr="00515122">
        <w:rPr>
          <w:i/>
          <w:iCs/>
        </w:rPr>
        <w:t xml:space="preserve">http://www.regulations.gov </w:t>
      </w:r>
      <w:r w:rsidRPr="00515122">
        <w:t>to obtain a copy of the draft collection of information, submit or view public comments, access the index listing of the contents of the docket and access those documents in the public docket that are available electronically. Once in the system, select ‘‘search,’’ then key in the docket ID number identified in this document.</w:t>
      </w:r>
    </w:p>
    <w:p w:rsidR="00515122" w:rsidRPr="00515122" w:rsidRDefault="00515122" w:rsidP="00515122"/>
    <w:p w:rsidR="00515122" w:rsidRPr="00515122" w:rsidRDefault="00515122" w:rsidP="00515122">
      <w:pPr>
        <w:rPr>
          <w:b/>
          <w:bCs/>
        </w:rPr>
      </w:pPr>
      <w:r w:rsidRPr="00515122">
        <w:rPr>
          <w:b/>
          <w:bCs/>
        </w:rPr>
        <w:t>What information is the EPA particularly interested in?</w:t>
      </w:r>
    </w:p>
    <w:p w:rsidR="00515122" w:rsidRPr="00515122" w:rsidRDefault="00515122" w:rsidP="00515122">
      <w:pPr>
        <w:rPr>
          <w:b/>
          <w:bCs/>
        </w:rPr>
      </w:pPr>
    </w:p>
    <w:p w:rsidR="00515122" w:rsidRPr="00515122" w:rsidRDefault="00515122" w:rsidP="00515122">
      <w:r w:rsidRPr="00515122">
        <w:t>Pursuant to section 3506(c)(2)(A) of the PRA, the EPA specifically solicits comments and information to enable it to:</w:t>
      </w:r>
    </w:p>
    <w:p w:rsidR="00515122" w:rsidRPr="00515122" w:rsidRDefault="00515122" w:rsidP="00515122">
      <w:r w:rsidRPr="00515122">
        <w:tab/>
        <w:t>(i) Evaluate whether the proposed collection of information is necessary for the proper performance of the functions of the agency, including whether the information will have practical utility;</w:t>
      </w:r>
    </w:p>
    <w:p w:rsidR="00515122" w:rsidRPr="00515122" w:rsidRDefault="00515122" w:rsidP="00515122">
      <w:r w:rsidRPr="00515122">
        <w:tab/>
        <w:t xml:space="preserve">(ii) Evaluate the accuracy of the agency’s estimate of the burden of the proposed collection of information, including the validity of the methodology and assumptions used; </w:t>
      </w:r>
    </w:p>
    <w:p w:rsidR="00515122" w:rsidRPr="00515122" w:rsidRDefault="00515122" w:rsidP="00515122">
      <w:r w:rsidRPr="00515122">
        <w:tab/>
        <w:t xml:space="preserve">(iii) Enhance the quality, utility and clarity of the information to be collected; and </w:t>
      </w:r>
    </w:p>
    <w:p w:rsidR="00515122" w:rsidRPr="00515122" w:rsidRDefault="00515122" w:rsidP="00515122">
      <w:r w:rsidRPr="00515122">
        <w:tab/>
        <w:t xml:space="preserve">(iv) Minimize the burden of the collection of information on those who are to respond, including through the use of appropriate automated electronic, mechanical or other technological collection techniques or other forms of information technology, </w:t>
      </w:r>
      <w:r w:rsidRPr="00515122">
        <w:rPr>
          <w:i/>
          <w:iCs/>
        </w:rPr>
        <w:t xml:space="preserve">e.g., </w:t>
      </w:r>
      <w:r w:rsidRPr="00515122">
        <w:t>permitting electronic submission of responses. In particular, the EPA is requesting  comments from very small businesses (those that employ less than 25) on examples of specific additional efforts that the EPA could make to reduce the paperwork burden for very small businesses affected by this collection.</w:t>
      </w:r>
    </w:p>
    <w:p w:rsidR="00515122" w:rsidRPr="00515122" w:rsidRDefault="00515122" w:rsidP="00515122"/>
    <w:p w:rsidR="00515122" w:rsidRPr="00515122" w:rsidRDefault="00515122" w:rsidP="00515122">
      <w:pPr>
        <w:rPr>
          <w:b/>
          <w:bCs/>
        </w:rPr>
      </w:pPr>
      <w:r w:rsidRPr="00515122">
        <w:rPr>
          <w:b/>
          <w:bCs/>
        </w:rPr>
        <w:t xml:space="preserve">What should I consider when I prepare my comments for the EPA? </w:t>
      </w:r>
    </w:p>
    <w:p w:rsidR="00515122" w:rsidRPr="00515122" w:rsidRDefault="00515122" w:rsidP="00515122">
      <w:pPr>
        <w:rPr>
          <w:b/>
          <w:bCs/>
        </w:rPr>
      </w:pPr>
    </w:p>
    <w:p w:rsidR="00515122" w:rsidRPr="00515122" w:rsidRDefault="00515122" w:rsidP="00515122">
      <w:r w:rsidRPr="00515122">
        <w:t>You may find the following suggestions helpful for preparing your comments:</w:t>
      </w:r>
    </w:p>
    <w:p w:rsidR="00515122" w:rsidRPr="00515122" w:rsidRDefault="00515122" w:rsidP="00515122">
      <w:r w:rsidRPr="00515122">
        <w:tab/>
        <w:t>1. Explain your views as clearly as possible and provide specific examples.</w:t>
      </w:r>
    </w:p>
    <w:p w:rsidR="00515122" w:rsidRPr="00515122" w:rsidRDefault="00515122" w:rsidP="00515122">
      <w:r w:rsidRPr="00515122">
        <w:tab/>
        <w:t>2. Describe any assumptions that you used.</w:t>
      </w:r>
    </w:p>
    <w:p w:rsidR="00515122" w:rsidRPr="00515122" w:rsidRDefault="00515122" w:rsidP="00515122">
      <w:r w:rsidRPr="00515122">
        <w:tab/>
        <w:t>3. Provide copies of any technical information and/or data you used that support your views.</w:t>
      </w:r>
    </w:p>
    <w:p w:rsidR="00515122" w:rsidRPr="00515122" w:rsidRDefault="00515122" w:rsidP="00515122">
      <w:r w:rsidRPr="00515122">
        <w:tab/>
        <w:t>4. If you estimate potential burden or costs, explain how you arrived at the estimate that you provide.</w:t>
      </w:r>
    </w:p>
    <w:p w:rsidR="00515122" w:rsidRPr="00515122" w:rsidRDefault="00515122" w:rsidP="00515122">
      <w:r w:rsidRPr="00515122">
        <w:tab/>
        <w:t>5. Offer alternative ways to improve the collection activity.</w:t>
      </w:r>
    </w:p>
    <w:p w:rsidR="00515122" w:rsidRPr="00515122" w:rsidRDefault="00515122" w:rsidP="00515122">
      <w:r w:rsidRPr="00515122">
        <w:tab/>
        <w:t>6. Make sure to submit your comments by the deadline identified under DATES.</w:t>
      </w:r>
    </w:p>
    <w:p w:rsidR="00515122" w:rsidRPr="00515122" w:rsidRDefault="00515122" w:rsidP="00515122">
      <w:r w:rsidRPr="00515122">
        <w:tab/>
        <w:t xml:space="preserve">7. To ensure proper receipt by the EPA, be sure to identify the docket ID number assigned to this action in the subject line on the first page of your response. You may also provide the name, date, and </w:t>
      </w:r>
      <w:r w:rsidRPr="00515122">
        <w:rPr>
          <w:b/>
          <w:bCs/>
        </w:rPr>
        <w:t xml:space="preserve">Federal Register </w:t>
      </w:r>
      <w:r w:rsidRPr="00515122">
        <w:t>citation.</w:t>
      </w:r>
    </w:p>
    <w:p w:rsidR="00515122" w:rsidRPr="00515122" w:rsidRDefault="00515122" w:rsidP="00515122"/>
    <w:p w:rsidR="00515122" w:rsidRPr="00515122" w:rsidRDefault="00515122" w:rsidP="00515122">
      <w:pPr>
        <w:rPr>
          <w:b/>
          <w:bCs/>
        </w:rPr>
      </w:pPr>
      <w:r w:rsidRPr="00515122">
        <w:rPr>
          <w:b/>
          <w:bCs/>
        </w:rPr>
        <w:lastRenderedPageBreak/>
        <w:t>What information collection activity does this apply to?</w:t>
      </w:r>
    </w:p>
    <w:p w:rsidR="00515122" w:rsidRPr="00515122" w:rsidRDefault="00515122" w:rsidP="00515122">
      <w:pPr>
        <w:rPr>
          <w:b/>
          <w:bCs/>
        </w:rPr>
      </w:pPr>
    </w:p>
    <w:p w:rsidR="00515122" w:rsidRPr="00515122" w:rsidRDefault="00515122" w:rsidP="00515122">
      <w:r w:rsidRPr="00515122">
        <w:rPr>
          <w:i/>
          <w:iCs/>
        </w:rPr>
        <w:tab/>
        <w:t xml:space="preserve">Affected entities: </w:t>
      </w:r>
      <w:r w:rsidRPr="00515122">
        <w:t>Entities potentially affected by this action are those which must apply for and obtain an operating permit under title V of the Clean Air Act (Act). These, in general, include sources which are defined as ‘‘major’’ under any title of the Act.</w:t>
      </w:r>
    </w:p>
    <w:p w:rsidR="00515122" w:rsidRPr="00515122" w:rsidRDefault="00515122" w:rsidP="00515122">
      <w:r w:rsidRPr="00515122">
        <w:rPr>
          <w:i/>
          <w:iCs/>
        </w:rPr>
        <w:tab/>
        <w:t xml:space="preserve">Title: </w:t>
      </w:r>
      <w:r w:rsidRPr="00515122">
        <w:t>Part 70 State Operating Permit Program (Renewal) and Part 71 Federal Operating Permit Program (Renewal).</w:t>
      </w:r>
    </w:p>
    <w:p w:rsidR="00515122" w:rsidRPr="00515122" w:rsidRDefault="00515122" w:rsidP="00515122">
      <w:r w:rsidRPr="00515122">
        <w:rPr>
          <w:i/>
          <w:iCs/>
        </w:rPr>
        <w:tab/>
        <w:t xml:space="preserve">ICR number: </w:t>
      </w:r>
      <w:r w:rsidRPr="00515122">
        <w:t>For the Part 70 regulations, EPA ICR No. 1587.12 and OMB Control No. 2060–0243. For the Part 71 regulations, EPA ICR No. 1713.10 and OMB Control No. 2060–0336.</w:t>
      </w:r>
    </w:p>
    <w:p w:rsidR="00515122" w:rsidRPr="00515122" w:rsidRDefault="00515122" w:rsidP="00515122">
      <w:r w:rsidRPr="00515122">
        <w:rPr>
          <w:i/>
          <w:iCs/>
        </w:rPr>
        <w:tab/>
        <w:t xml:space="preserve">ICR status: </w:t>
      </w:r>
      <w:r w:rsidRPr="00515122">
        <w:t xml:space="preserve">The two ICRs are both scheduled to expire on April 30, 2012. </w:t>
      </w:r>
    </w:p>
    <w:p w:rsidR="00515122" w:rsidRPr="00515122" w:rsidRDefault="00515122" w:rsidP="00515122">
      <w:r w:rsidRPr="00515122">
        <w:tab/>
      </w:r>
      <w:r w:rsidRPr="00515122">
        <w:rPr>
          <w:i/>
          <w:iCs/>
        </w:rPr>
        <w:t xml:space="preserve">Abstract: </w:t>
      </w:r>
      <w:r w:rsidRPr="00515122">
        <w:t>Title V of the Act requires states to develop and implement a program for issuing operating permits to all sources that fall under any Act definition of ‘‘major’’ and certain other non-major sources that are subject to federal air quality regulations. The Act further requires the EPA to develop regulations that establish the minimum requirements for those state operating permits programs, to oversee implementation of the state programs, and to operate a federal operating permits program in areas not subject to an approved state program. An agency may not conduct or sponsor, and a</w:t>
      </w:r>
    </w:p>
    <w:p w:rsidR="00515122" w:rsidRPr="00515122" w:rsidRDefault="00515122" w:rsidP="00515122">
      <w:r w:rsidRPr="00515122">
        <w:t xml:space="preserve">person is not required to respond to, a collection of information request unless it displays a currently valid OMB control number. The OMB control numbers for the EPA’s regulations in 40 CFR are listed in 40 CFR part 9 and 48 CFR chapter 15. The EPA regulations setting forth requirements for the state operating permit program are at 40 CFR part 70 and the EPA regulations setting forth the requirements for the federal (EPA) operating permit program are at 40 CFR part 71. The part 70 program is designed to be implemented primarily by state and local permitting authorities in all areas where they have jurisdiction. The part 71 program is designed to be implemented primarily by the EPA in all areas where state and local agencies do not have jurisdiction, such as Indian Country and offshore beyond states’ seaward boundaries. </w:t>
      </w:r>
    </w:p>
    <w:p w:rsidR="00515122" w:rsidRPr="00515122" w:rsidRDefault="00515122" w:rsidP="00515122">
      <w:r w:rsidRPr="00515122">
        <w:tab/>
        <w:t xml:space="preserve">In order to receive an operating permit for a major or other source subject to either of the permitting programs, the applicant must conduct the necessary research, perform the appropriate analyses and prepare the permit application with documentation to demonstrate that their project meets all applicable statutory and regulatory requirements. Specific activities and requirements are listed and described in the Supporting Statements for the two ICRs. </w:t>
      </w:r>
    </w:p>
    <w:p w:rsidR="00515122" w:rsidRPr="00515122" w:rsidRDefault="00515122" w:rsidP="00515122">
      <w:r w:rsidRPr="00515122">
        <w:tab/>
        <w:t>State and local agencies under part 70 and the EPA (or a delegate agency) under part 71 review permit applications, provide for public review of proposed permits, issue permits based on consideration of all technical factors and public input, and review information submittals required of sources during the term of the permit. Also, under part 70, the EPA reviews certain actions of the state and local agencies and provides oversight of the programs to ensure that they are being adequately implemented and enforced. Under part 71, the EPA reviews certain actions and performs oversight for any delegate agency, consistent with the terms of a delegation agreement. Consequently, information prepared and submitted by sources is essential for sources to receive permits, and for Federal, state, and local permitting agencies to adequately review the permit applications and thereby properly administer and manage the program.</w:t>
      </w:r>
    </w:p>
    <w:p w:rsidR="00515122" w:rsidRPr="00515122" w:rsidRDefault="00515122" w:rsidP="00515122">
      <w:r w:rsidRPr="00515122">
        <w:tab/>
        <w:t xml:space="preserve">Since the previous renewal of this ICR, the EPA has promulgated two changes to the part 70 and 71 regulations: the Flexible Air Permits rule and the Greenhouse Gas (GHG) Tailoring rule. The first rule provides a mechanism for sources to establish provisions in their operating permits that result in fewer permit revisions necessary during the term of the permit. The second rule establishes levels where GHG emissions trigger permitting requirements. The information collection requirements for these regulatory revisions were approved by OMB after the approval of the 2007 ICR renewal and those approved changes are included and updated in these ICR renewals. Also, the previous part 71 ICR renewal identifed the EPA as the sole permitting authority, while this part 71 renewal identifies the EPA and one delegate agency, the Navajo Nation, as permitting authorities (the EPA continues to serve as a </w:t>
      </w:r>
      <w:r w:rsidRPr="00515122">
        <w:lastRenderedPageBreak/>
        <w:t xml:space="preserve">permitting authority in all areas, while the delegate agency serves as a permitting authority in a limited portion of Indian country). </w:t>
      </w:r>
    </w:p>
    <w:p w:rsidR="00515122" w:rsidRPr="00515122" w:rsidRDefault="00515122" w:rsidP="00515122">
      <w:r w:rsidRPr="00515122">
        <w:tab/>
        <w:t>Information that is collected is handled according to the EPA’s policies set forth in title 40, chapter 1, part 2, subpart B—Confidentiality of Business Information (see 40 CFR part 2). See also section 114(c) of the Act.</w:t>
      </w:r>
    </w:p>
    <w:p w:rsidR="00515122" w:rsidRPr="00515122" w:rsidRDefault="00515122" w:rsidP="00515122">
      <w:r w:rsidRPr="00515122">
        <w:rPr>
          <w:i/>
          <w:iCs/>
        </w:rPr>
        <w:tab/>
        <w:t xml:space="preserve">Burden Statement: </w:t>
      </w:r>
      <w:r w:rsidRPr="00515122">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The annual public reporting and recordkeeping burden for the collection of information under parts 70 and part 71 is broken down as follows:</w:t>
      </w:r>
    </w:p>
    <w:p w:rsidR="00515122" w:rsidRPr="00515122" w:rsidRDefault="00515122" w:rsidP="00515122"/>
    <w:tbl>
      <w:tblPr>
        <w:tblStyle w:val="TableGrid"/>
        <w:tblW w:w="0" w:type="auto"/>
        <w:tblLayout w:type="fixed"/>
        <w:tblLook w:val="04A0"/>
      </w:tblPr>
      <w:tblGrid>
        <w:gridCol w:w="7848"/>
        <w:gridCol w:w="1224"/>
        <w:gridCol w:w="1224"/>
      </w:tblGrid>
      <w:tr w:rsidR="00515122" w:rsidRPr="00515122" w:rsidTr="009E50D0">
        <w:tc>
          <w:tcPr>
            <w:tcW w:w="7848" w:type="dxa"/>
          </w:tcPr>
          <w:p w:rsidR="00515122" w:rsidRPr="00515122" w:rsidRDefault="00515122" w:rsidP="00515122">
            <w:r w:rsidRPr="00515122">
              <w:t>Type of permit action</w:t>
            </w:r>
          </w:p>
        </w:tc>
        <w:tc>
          <w:tcPr>
            <w:tcW w:w="1224" w:type="dxa"/>
          </w:tcPr>
          <w:p w:rsidR="00515122" w:rsidRPr="00515122" w:rsidRDefault="00515122" w:rsidP="00515122">
            <w:r w:rsidRPr="00515122">
              <w:t>Part 70</w:t>
            </w:r>
          </w:p>
        </w:tc>
        <w:tc>
          <w:tcPr>
            <w:tcW w:w="1224" w:type="dxa"/>
          </w:tcPr>
          <w:p w:rsidR="00515122" w:rsidRPr="00515122" w:rsidRDefault="00515122" w:rsidP="00515122">
            <w:r w:rsidRPr="00515122">
              <w:t>Part 71</w:t>
            </w:r>
          </w:p>
        </w:tc>
      </w:tr>
      <w:tr w:rsidR="00515122" w:rsidRPr="00515122" w:rsidTr="009E50D0">
        <w:tc>
          <w:tcPr>
            <w:tcW w:w="7848" w:type="dxa"/>
            <w:tcBorders>
              <w:bottom w:val="single" w:sz="4" w:space="0" w:color="auto"/>
            </w:tcBorders>
          </w:tcPr>
          <w:p w:rsidR="00515122" w:rsidRPr="00515122" w:rsidRDefault="00515122" w:rsidP="00515122">
            <w:r w:rsidRPr="00515122">
              <w:t>Permitting Authority:</w:t>
            </w:r>
          </w:p>
          <w:p w:rsidR="00515122" w:rsidRPr="00515122" w:rsidRDefault="00515122" w:rsidP="00515122">
            <w:r w:rsidRPr="00515122">
              <w:t>Number of Sources.............................................................................................</w:t>
            </w:r>
          </w:p>
          <w:p w:rsidR="00515122" w:rsidRPr="00515122" w:rsidRDefault="00515122" w:rsidP="00515122">
            <w:r w:rsidRPr="00515122">
              <w:t>Burden Hours per Response:</w:t>
            </w:r>
          </w:p>
          <w:p w:rsidR="00515122" w:rsidRPr="00515122" w:rsidRDefault="00515122" w:rsidP="00515122">
            <w:r w:rsidRPr="00515122">
              <w:t>Sources...............................................................................................................</w:t>
            </w:r>
          </w:p>
          <w:p w:rsidR="00515122" w:rsidRPr="00515122" w:rsidRDefault="00515122" w:rsidP="00515122">
            <w:r w:rsidRPr="00515122">
              <w:t>Permitting Authority.........................................................................................</w:t>
            </w:r>
          </w:p>
          <w:p w:rsidR="00515122" w:rsidRPr="00515122" w:rsidRDefault="00515122" w:rsidP="00515122">
            <w:r w:rsidRPr="00515122">
              <w:t>Total Annual Burden Hours:</w:t>
            </w:r>
          </w:p>
          <w:p w:rsidR="00515122" w:rsidRPr="00515122" w:rsidRDefault="00515122" w:rsidP="00515122">
            <w:r w:rsidRPr="00515122">
              <w:t>Sources...............................................................................................................</w:t>
            </w:r>
          </w:p>
          <w:p w:rsidR="00515122" w:rsidRPr="00515122" w:rsidRDefault="00515122" w:rsidP="00515122">
            <w:r w:rsidRPr="00515122">
              <w:t>Permitting Authority.........................................................................................</w:t>
            </w:r>
          </w:p>
        </w:tc>
        <w:tc>
          <w:tcPr>
            <w:tcW w:w="1224" w:type="dxa"/>
            <w:tcBorders>
              <w:bottom w:val="single" w:sz="4" w:space="0" w:color="auto"/>
            </w:tcBorders>
            <w:vAlign w:val="bottom"/>
          </w:tcPr>
          <w:p w:rsidR="00515122" w:rsidRPr="00515122" w:rsidRDefault="00515122" w:rsidP="00515122">
            <w:r w:rsidRPr="00515122">
              <w:t>15,940</w:t>
            </w:r>
          </w:p>
          <w:p w:rsidR="00515122" w:rsidRPr="00515122" w:rsidRDefault="00515122" w:rsidP="00515122">
            <w:r w:rsidRPr="00515122">
              <w:t>250</w:t>
            </w:r>
          </w:p>
          <w:p w:rsidR="00515122" w:rsidRPr="00515122" w:rsidRDefault="00515122" w:rsidP="00515122">
            <w:r w:rsidRPr="00515122">
              <w:t>84</w:t>
            </w:r>
          </w:p>
          <w:p w:rsidR="00515122" w:rsidRPr="00515122" w:rsidRDefault="00515122" w:rsidP="00515122"/>
          <w:p w:rsidR="00515122" w:rsidRPr="00515122" w:rsidRDefault="00515122" w:rsidP="00515122">
            <w:r w:rsidRPr="00515122">
              <w:t>3,977,118</w:t>
            </w:r>
          </w:p>
          <w:p w:rsidR="00515122" w:rsidRPr="00515122" w:rsidRDefault="00515122" w:rsidP="00515122">
            <w:r w:rsidRPr="00515122">
              <w:t>1,334,766</w:t>
            </w:r>
          </w:p>
        </w:tc>
        <w:tc>
          <w:tcPr>
            <w:tcW w:w="1224" w:type="dxa"/>
            <w:tcBorders>
              <w:bottom w:val="single" w:sz="4" w:space="0" w:color="auto"/>
            </w:tcBorders>
            <w:vAlign w:val="bottom"/>
          </w:tcPr>
          <w:p w:rsidR="00515122" w:rsidRPr="00515122" w:rsidRDefault="00515122" w:rsidP="00515122">
            <w:r w:rsidRPr="00515122">
              <w:t>174</w:t>
            </w:r>
          </w:p>
          <w:p w:rsidR="00515122" w:rsidRPr="00515122" w:rsidRDefault="00515122" w:rsidP="00515122"/>
          <w:p w:rsidR="00515122" w:rsidRPr="00515122" w:rsidRDefault="00515122" w:rsidP="00515122">
            <w:r w:rsidRPr="00515122">
              <w:t>215</w:t>
            </w:r>
          </w:p>
          <w:p w:rsidR="00515122" w:rsidRPr="00515122" w:rsidRDefault="00515122" w:rsidP="00515122">
            <w:r w:rsidRPr="00515122">
              <w:t>94</w:t>
            </w:r>
          </w:p>
          <w:p w:rsidR="00515122" w:rsidRPr="00515122" w:rsidRDefault="00515122" w:rsidP="00515122"/>
          <w:p w:rsidR="00515122" w:rsidRPr="00515122" w:rsidRDefault="00515122" w:rsidP="00515122">
            <w:r w:rsidRPr="00515122">
              <w:t>37,413</w:t>
            </w:r>
          </w:p>
          <w:p w:rsidR="00515122" w:rsidRPr="00515122" w:rsidRDefault="00515122" w:rsidP="00515122">
            <w:r w:rsidRPr="00515122">
              <w:t>1,318</w:t>
            </w:r>
            <w:r w:rsidRPr="00515122">
              <w:rPr>
                <w:vertAlign w:val="superscript"/>
              </w:rPr>
              <w:t>a</w:t>
            </w:r>
          </w:p>
        </w:tc>
      </w:tr>
      <w:tr w:rsidR="00515122" w:rsidRPr="00515122" w:rsidTr="009E50D0">
        <w:trPr>
          <w:trHeight w:val="368"/>
        </w:trPr>
        <w:tc>
          <w:tcPr>
            <w:tcW w:w="7848" w:type="dxa"/>
            <w:tcBorders>
              <w:left w:val="nil"/>
              <w:bottom w:val="single" w:sz="4" w:space="0" w:color="auto"/>
              <w:right w:val="nil"/>
            </w:tcBorders>
            <w:vAlign w:val="center"/>
          </w:tcPr>
          <w:p w:rsidR="00515122" w:rsidRPr="00515122" w:rsidRDefault="00515122" w:rsidP="00515122">
            <w:r w:rsidRPr="00515122">
              <w:t>Any minor discrepencies are due to rounding.</w:t>
            </w:r>
          </w:p>
        </w:tc>
        <w:tc>
          <w:tcPr>
            <w:tcW w:w="1224" w:type="dxa"/>
            <w:tcBorders>
              <w:left w:val="nil"/>
              <w:bottom w:val="single" w:sz="4" w:space="0" w:color="auto"/>
              <w:right w:val="nil"/>
            </w:tcBorders>
            <w:vAlign w:val="bottom"/>
          </w:tcPr>
          <w:p w:rsidR="00515122" w:rsidRPr="00515122" w:rsidRDefault="00515122" w:rsidP="00515122"/>
        </w:tc>
        <w:tc>
          <w:tcPr>
            <w:tcW w:w="1224" w:type="dxa"/>
            <w:tcBorders>
              <w:left w:val="nil"/>
              <w:bottom w:val="single" w:sz="4" w:space="0" w:color="auto"/>
              <w:right w:val="nil"/>
            </w:tcBorders>
            <w:vAlign w:val="bottom"/>
          </w:tcPr>
          <w:p w:rsidR="00515122" w:rsidRPr="00515122" w:rsidRDefault="00515122" w:rsidP="00515122"/>
        </w:tc>
      </w:tr>
      <w:tr w:rsidR="00515122" w:rsidRPr="00515122" w:rsidTr="009E50D0">
        <w:trPr>
          <w:trHeight w:val="368"/>
        </w:trPr>
        <w:tc>
          <w:tcPr>
            <w:tcW w:w="7848" w:type="dxa"/>
            <w:tcBorders>
              <w:left w:val="nil"/>
              <w:bottom w:val="nil"/>
              <w:right w:val="nil"/>
            </w:tcBorders>
            <w:vAlign w:val="center"/>
          </w:tcPr>
          <w:p w:rsidR="00515122" w:rsidRPr="00515122" w:rsidRDefault="00515122" w:rsidP="00515122">
            <w:r w:rsidRPr="00515122">
              <w:rPr>
                <w:vertAlign w:val="superscript"/>
              </w:rPr>
              <w:t>a</w:t>
            </w:r>
            <w:r w:rsidRPr="00515122">
              <w:t xml:space="preserve"> Only delegate agency burden is shown for part 71.</w:t>
            </w:r>
          </w:p>
        </w:tc>
        <w:tc>
          <w:tcPr>
            <w:tcW w:w="1224" w:type="dxa"/>
            <w:tcBorders>
              <w:left w:val="nil"/>
              <w:bottom w:val="nil"/>
              <w:right w:val="nil"/>
            </w:tcBorders>
            <w:vAlign w:val="bottom"/>
          </w:tcPr>
          <w:p w:rsidR="00515122" w:rsidRPr="00515122" w:rsidRDefault="00515122" w:rsidP="00515122"/>
        </w:tc>
        <w:tc>
          <w:tcPr>
            <w:tcW w:w="1224" w:type="dxa"/>
            <w:tcBorders>
              <w:left w:val="nil"/>
              <w:bottom w:val="nil"/>
              <w:right w:val="nil"/>
            </w:tcBorders>
            <w:vAlign w:val="bottom"/>
          </w:tcPr>
          <w:p w:rsidR="00515122" w:rsidRPr="00515122" w:rsidRDefault="00515122" w:rsidP="00515122"/>
        </w:tc>
      </w:tr>
    </w:tbl>
    <w:p w:rsidR="00515122" w:rsidRPr="00515122" w:rsidRDefault="00515122" w:rsidP="00515122">
      <w:pPr>
        <w:rPr>
          <w:vertAlign w:val="superscript"/>
        </w:rPr>
      </w:pPr>
    </w:p>
    <w:p w:rsidR="00515122" w:rsidRPr="00515122" w:rsidRDefault="00515122" w:rsidP="00515122">
      <w:r w:rsidRPr="00515122">
        <w:rPr>
          <w:i/>
          <w:iCs/>
        </w:rPr>
        <w:tab/>
        <w:t xml:space="preserve">Respondents/Affected Entities: </w:t>
      </w:r>
      <w:r w:rsidRPr="00515122">
        <w:t xml:space="preserve">Industrial plants (sources); state, local, and tribal permitting authorities. </w:t>
      </w:r>
    </w:p>
    <w:p w:rsidR="00515122" w:rsidRPr="00515122" w:rsidRDefault="00515122" w:rsidP="00515122">
      <w:r w:rsidRPr="00515122">
        <w:rPr>
          <w:i/>
          <w:iCs/>
        </w:rPr>
        <w:tab/>
        <w:t xml:space="preserve">Estimated Number of Respondents: </w:t>
      </w:r>
      <w:r w:rsidRPr="00515122">
        <w:t>For part 70, there are 15,940 sources and 112 state and local permitting authorities. For part 71, there are 174 industry sources and 1 tribal delegate permitting authority (the EPA serves as a permitting authority but is not a respondent).</w:t>
      </w:r>
    </w:p>
    <w:p w:rsidR="00515122" w:rsidRPr="00515122" w:rsidRDefault="00515122" w:rsidP="00515122">
      <w:r w:rsidRPr="00515122">
        <w:rPr>
          <w:i/>
          <w:iCs/>
        </w:rPr>
        <w:tab/>
        <w:t xml:space="preserve">Estimated Total Annual Burden: </w:t>
      </w:r>
      <w:r w:rsidRPr="00515122">
        <w:t>For part 70, the total annual burden for sources and state and local permitting authorities is 5,311,884 hours and the total annual cost is $226,736,622. For part 71, the total annual burden for sources and the one delegate agency (tribal) is 38,731 hours and the total annual cost is $1,865,183.</w:t>
      </w:r>
    </w:p>
    <w:p w:rsidR="00515122" w:rsidRPr="00515122" w:rsidRDefault="00515122" w:rsidP="00515122"/>
    <w:p w:rsidR="00515122" w:rsidRPr="00515122" w:rsidRDefault="00515122" w:rsidP="00515122">
      <w:pPr>
        <w:rPr>
          <w:b/>
          <w:bCs/>
        </w:rPr>
      </w:pPr>
      <w:r w:rsidRPr="00515122">
        <w:rPr>
          <w:b/>
          <w:bCs/>
        </w:rPr>
        <w:t xml:space="preserve">Are there changes in the estimates from the last approval? </w:t>
      </w:r>
    </w:p>
    <w:p w:rsidR="00515122" w:rsidRPr="00515122" w:rsidRDefault="00515122" w:rsidP="00515122">
      <w:pPr>
        <w:rPr>
          <w:b/>
          <w:bCs/>
        </w:rPr>
      </w:pPr>
    </w:p>
    <w:p w:rsidR="00515122" w:rsidRPr="00515122" w:rsidRDefault="00515122" w:rsidP="00515122">
      <w:r w:rsidRPr="00515122">
        <w:tab/>
        <w:t>Since the last renewal of the part 70 ICR (in 2007), there is a decrease of 214 thousand hours (or about a 4 percent decrease) of annual respondent burden. This change is primarily due to an updated estimate of the number of permits expected compared to the last ICR renewal. To a lesser extent, this decrease is due to reduced permit renewal activity related to implementation of the Flexible Permits rule. Although the GHG Tailoring rule increased the number of source respondents by 552, the increase in burden was more than offset by the decrease in burden from the updated estimate of the number of permits and the decreased burden from the implementation of the Flexible Air Permits rule. Also, the annual per respondent burden has changed very little since the last part 70 ICR renewal (248 hours previously compared to the new estimate of 250 hours or about a 1 percent increase).</w:t>
      </w:r>
    </w:p>
    <w:p w:rsidR="00515122" w:rsidRPr="00515122" w:rsidRDefault="00515122" w:rsidP="00515122">
      <w:r w:rsidRPr="00515122">
        <w:lastRenderedPageBreak/>
        <w:tab/>
        <w:t>Since the last renewal of the part 71 ICR (in 2007), there is an increase of 10 thousand hours of total annual respondent burden (about a 36 percent increase). This is primarily due to an updated estimate of the number of permits expected (123 permits in the prior renewal versus 174 permits in this renewal or a 42 percent increase), which is due to increased energy development (oil and gas exploration and alternative energy development) in offshore areas under the EPA jurisdiction. In the current part 71 renewal, the Flexible Air Permits rule and the GHG Tailoring rule result in nearly offseting decreases and increases in burden. Also, even though the total annual burden has increased compared to the prior ICR renewal, the annual per source burden has decreased by about 3 percent.</w:t>
      </w:r>
    </w:p>
    <w:p w:rsidR="00515122" w:rsidRPr="00515122" w:rsidRDefault="00515122" w:rsidP="00515122"/>
    <w:p w:rsidR="00515122" w:rsidRPr="00515122" w:rsidRDefault="00515122" w:rsidP="00515122">
      <w:pPr>
        <w:rPr>
          <w:b/>
          <w:bCs/>
        </w:rPr>
      </w:pPr>
      <w:r w:rsidRPr="00515122">
        <w:rPr>
          <w:b/>
          <w:bCs/>
        </w:rPr>
        <w:t>What is the next step in the process for this ICR?</w:t>
      </w:r>
    </w:p>
    <w:p w:rsidR="00515122" w:rsidRPr="00515122" w:rsidRDefault="00515122" w:rsidP="00515122">
      <w:pPr>
        <w:rPr>
          <w:b/>
          <w:bCs/>
        </w:rPr>
      </w:pPr>
    </w:p>
    <w:p w:rsidR="00515122" w:rsidRPr="00515122" w:rsidRDefault="00515122" w:rsidP="00515122">
      <w:pPr>
        <w:rPr>
          <w:b/>
          <w:bCs/>
        </w:rPr>
      </w:pPr>
      <w:r w:rsidRPr="00515122">
        <w:tab/>
        <w:t xml:space="preserve">The EPA will consider the comments received and amend the ICR as appropriate. The final ICR package will then be submitted to OMB for review and approval pursuant to 5 CFR 1320.12. At that time, the EPA will issue another </w:t>
      </w:r>
      <w:r w:rsidRPr="00515122">
        <w:rPr>
          <w:b/>
          <w:bCs/>
        </w:rPr>
        <w:t xml:space="preserve">Federal Register </w:t>
      </w:r>
      <w:r w:rsidRPr="00515122">
        <w:t xml:space="preserve">notice pursuant to 5 CFR 1320.5(a)(1)(iv) to announce the submission of the ICRs to OMB and the opportunity to submit additional comments to OMB. If you have any questions about this ICR or the approval process, please contact the technical person listed under </w:t>
      </w:r>
      <w:r w:rsidRPr="00515122">
        <w:rPr>
          <w:b/>
          <w:bCs/>
        </w:rPr>
        <w:t>FOR FURTHER INFORMATION CONTACT.</w:t>
      </w:r>
    </w:p>
    <w:p w:rsidR="00515122" w:rsidRPr="00515122" w:rsidRDefault="00515122" w:rsidP="00515122"/>
    <w:p w:rsidR="00515122" w:rsidRPr="00515122" w:rsidRDefault="00515122" w:rsidP="00515122">
      <w:r w:rsidRPr="00515122">
        <w:tab/>
        <w:t>Dated: December 8, 2011.</w:t>
      </w:r>
    </w:p>
    <w:p w:rsidR="00515122" w:rsidRPr="00515122" w:rsidRDefault="00515122" w:rsidP="00515122">
      <w:pPr>
        <w:rPr>
          <w:b/>
          <w:bCs/>
        </w:rPr>
      </w:pPr>
    </w:p>
    <w:p w:rsidR="00515122" w:rsidRPr="00515122" w:rsidRDefault="00515122" w:rsidP="00515122">
      <w:pPr>
        <w:rPr>
          <w:b/>
          <w:bCs/>
        </w:rPr>
      </w:pPr>
      <w:r w:rsidRPr="00515122">
        <w:rPr>
          <w:b/>
          <w:bCs/>
        </w:rPr>
        <w:t>Mary E. Henigin,</w:t>
      </w:r>
    </w:p>
    <w:p w:rsidR="00515122" w:rsidRPr="00515122" w:rsidRDefault="00515122" w:rsidP="00515122">
      <w:pPr>
        <w:rPr>
          <w:i/>
          <w:iCs/>
        </w:rPr>
      </w:pPr>
      <w:r w:rsidRPr="00515122">
        <w:rPr>
          <w:i/>
          <w:iCs/>
        </w:rPr>
        <w:t>Acting Office Director, Office of Air Quality Planning and Standards.</w:t>
      </w:r>
    </w:p>
    <w:p w:rsidR="00515122" w:rsidRPr="00515122" w:rsidRDefault="00515122" w:rsidP="00515122"/>
    <w:p w:rsidR="00515122" w:rsidRPr="00515122" w:rsidRDefault="00515122" w:rsidP="00515122">
      <w:r w:rsidRPr="00515122">
        <w:t>[FR Doc. 2011–32062 Filed 12–13–11; 8:45 am]</w:t>
      </w:r>
    </w:p>
    <w:p w:rsidR="00515122" w:rsidRPr="00515122" w:rsidRDefault="00515122" w:rsidP="00515122">
      <w:pPr>
        <w:rPr>
          <w:b/>
          <w:bCs/>
        </w:rPr>
      </w:pPr>
      <w:r w:rsidRPr="00515122">
        <w:rPr>
          <w:b/>
          <w:bCs/>
        </w:rPr>
        <w:t>BILLING CODE 6560–50–P</w:t>
      </w:r>
    </w:p>
    <w:p w:rsidR="001B687A" w:rsidRPr="00E9034C" w:rsidRDefault="001B687A" w:rsidP="00515122"/>
    <w:sectPr w:rsidR="001B687A" w:rsidRPr="00E9034C" w:rsidSect="00B36A4D">
      <w:footnotePr>
        <w:numStart w:val="4"/>
      </w:footnotePr>
      <w:endnotePr>
        <w:numFmt w:val="decimal"/>
        <w:numStart w:val="5"/>
      </w:endnotePr>
      <w:pgSz w:w="12240" w:h="15840" w:code="1"/>
      <w:pgMar w:top="1080" w:right="1080" w:bottom="1080" w:left="108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85F" w:rsidRDefault="00AE685F">
      <w:r>
        <w:separator/>
      </w:r>
    </w:p>
  </w:endnote>
  <w:endnote w:type="continuationSeparator" w:id="0">
    <w:p w:rsidR="00AE685F" w:rsidRDefault="00AE68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8A2" w:rsidRDefault="002508A2" w:rsidP="00076F02">
    <w:pPr>
      <w:pStyle w:val="EndnoteText"/>
      <w:framePr w:wrap="around" w:vAnchor="text" w:hAnchor="margin" w:xAlign="right" w:y="1"/>
    </w:pPr>
    <w:r>
      <w:fldChar w:fldCharType="begin"/>
    </w:r>
    <w:r>
      <w:instrText xml:space="preserve">PAGE  </w:instrText>
    </w:r>
    <w:r>
      <w:fldChar w:fldCharType="end"/>
    </w:r>
  </w:p>
  <w:p w:rsidR="002508A2" w:rsidRDefault="002508A2" w:rsidP="003A1E0F">
    <w:pPr>
      <w:pStyle w:val="EndnoteTex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8A2" w:rsidRDefault="002508A2" w:rsidP="00076F02">
    <w:pPr>
      <w:pStyle w:val="EndnoteText"/>
      <w:framePr w:wrap="around" w:vAnchor="text" w:hAnchor="margin" w:xAlign="right" w:y="1"/>
    </w:pPr>
    <w:fldSimple w:instr="PAGE  ">
      <w:r w:rsidR="009C1974">
        <w:rPr>
          <w:noProof/>
        </w:rPr>
        <w:t>31</w:t>
      </w:r>
    </w:fldSimple>
  </w:p>
  <w:p w:rsidR="002508A2" w:rsidRDefault="002508A2" w:rsidP="00076F02">
    <w:pPr>
      <w:pStyle w:val="EndnoteText"/>
      <w:framePr w:wrap="around" w:vAnchor="text" w:hAnchor="margin" w:xAlign="center" w:y="1"/>
      <w:ind w:right="360"/>
    </w:pPr>
  </w:p>
  <w:p w:rsidR="002508A2" w:rsidRDefault="002508A2" w:rsidP="0011032D">
    <w:pPr>
      <w:pStyle w:val="EndnoteText"/>
      <w:framePr w:wrap="around" w:vAnchor="text" w:hAnchor="margin" w:xAlign="right" w:y="1"/>
    </w:pPr>
  </w:p>
  <w:p w:rsidR="002508A2" w:rsidRDefault="002508A2" w:rsidP="00AE7A6B">
    <w:pPr>
      <w:pStyle w:val="EndnoteTex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85F" w:rsidRDefault="00AE685F">
      <w:r>
        <w:separator/>
      </w:r>
    </w:p>
  </w:footnote>
  <w:footnote w:type="continuationSeparator" w:id="0">
    <w:p w:rsidR="00AE685F" w:rsidRDefault="00AE685F">
      <w:r>
        <w:continuationSeparator/>
      </w:r>
    </w:p>
  </w:footnote>
  <w:footnote w:id="1">
    <w:p w:rsidR="002508A2" w:rsidRDefault="002508A2" w:rsidP="00C8119B">
      <w:pPr>
        <w:pStyle w:val="FootnoteText"/>
      </w:pPr>
      <w:r w:rsidRPr="00D63CF3">
        <w:rPr>
          <w:rStyle w:val="FootnoteReference"/>
          <w:sz w:val="24"/>
          <w:szCs w:val="24"/>
        </w:rPr>
        <w:footnoteRef/>
      </w:r>
      <w:r>
        <w:t xml:space="preserve"> </w:t>
      </w:r>
      <w:r>
        <w:rPr>
          <w:sz w:val="24"/>
          <w:szCs w:val="24"/>
        </w:rPr>
        <w:t>All definitions of “major” in the Act.</w:t>
      </w:r>
    </w:p>
  </w:footnote>
  <w:footnote w:id="2">
    <w:p w:rsidR="002508A2" w:rsidRPr="00D63CF3" w:rsidRDefault="002508A2" w:rsidP="009E50D0">
      <w:pPr>
        <w:pStyle w:val="FootnoteText"/>
        <w:ind w:left="144" w:hanging="144"/>
        <w:rPr>
          <w:sz w:val="24"/>
          <w:szCs w:val="24"/>
        </w:rPr>
      </w:pPr>
      <w:r w:rsidRPr="00D63CF3">
        <w:rPr>
          <w:rStyle w:val="FootnoteReference"/>
          <w:sz w:val="24"/>
          <w:szCs w:val="24"/>
        </w:rPr>
        <w:footnoteRef/>
      </w:r>
      <w:r w:rsidRPr="00D63CF3">
        <w:rPr>
          <w:sz w:val="24"/>
          <w:szCs w:val="24"/>
        </w:rPr>
        <w:t xml:space="preserve"> This involves writing permit terms that </w:t>
      </w:r>
      <w:r>
        <w:rPr>
          <w:sz w:val="24"/>
          <w:szCs w:val="24"/>
        </w:rPr>
        <w:t>reflect the “applicable requirements” that apply to sources</w:t>
      </w:r>
      <w:r w:rsidRPr="00D63CF3">
        <w:rPr>
          <w:sz w:val="24"/>
          <w:szCs w:val="24"/>
        </w:rPr>
        <w:t xml:space="preserve">. </w:t>
      </w:r>
      <w:r>
        <w:rPr>
          <w:sz w:val="24"/>
          <w:szCs w:val="24"/>
        </w:rPr>
        <w:t>These “applicable requirements” (e.g., NSPS and NESHAP) are not required by part 70; they are required by other federal rules and their burden is counted in the ICRs for those rules. Nevertheless, writing permit terms to reflect those requirements is a part 70 burden. Also, part 70 burden includes imposing additional monitoring through part 70, such as gap-filing monitoring (</w:t>
      </w:r>
      <w:r w:rsidRPr="0020205F">
        <w:rPr>
          <w:sz w:val="24"/>
          <w:szCs w:val="24"/>
        </w:rPr>
        <w:t>see 504(c) of the Act and 40 CFR 70.6(a)(3)(i))</w:t>
      </w:r>
      <w:r>
        <w:rPr>
          <w:sz w:val="24"/>
          <w:szCs w:val="24"/>
        </w:rPr>
        <w:t>.</w:t>
      </w:r>
    </w:p>
  </w:footnote>
  <w:footnote w:id="3">
    <w:p w:rsidR="002508A2" w:rsidRDefault="002508A2" w:rsidP="00093A14">
      <w:pPr>
        <w:pStyle w:val="FootnoteText"/>
        <w:ind w:left="115" w:hanging="115"/>
      </w:pPr>
      <w:r>
        <w:rPr>
          <w:rStyle w:val="FootnoteReference"/>
        </w:rPr>
        <w:footnoteRef/>
      </w:r>
      <w:r>
        <w:t xml:space="preserve"> </w:t>
      </w:r>
      <w:r w:rsidRPr="00C070B9">
        <w:rPr>
          <w:sz w:val="24"/>
          <w:szCs w:val="24"/>
        </w:rPr>
        <w:t xml:space="preserve">May, 1995, United States Environmental Protection Agency, </w:t>
      </w:r>
      <w:r w:rsidRPr="00C070B9">
        <w:rPr>
          <w:sz w:val="24"/>
          <w:szCs w:val="24"/>
          <w:u w:val="single"/>
        </w:rPr>
        <w:t>Part 71 Information Collection Request</w:t>
      </w:r>
      <w:r>
        <w:rPr>
          <w:sz w:val="24"/>
          <w:szCs w:val="24"/>
        </w:rPr>
        <w:t>, p </w:t>
      </w:r>
      <w:r w:rsidRPr="00C070B9">
        <w:rPr>
          <w:sz w:val="24"/>
          <w:szCs w:val="24"/>
        </w:rPr>
        <w:t>19.</w:t>
      </w:r>
    </w:p>
  </w:footnote>
  <w:footnote w:id="4">
    <w:p w:rsidR="002508A2" w:rsidRPr="00DF7D37" w:rsidRDefault="002508A2" w:rsidP="008741D0">
      <w:pPr>
        <w:pStyle w:val="FootnoteText"/>
        <w:ind w:left="144" w:hanging="144"/>
        <w:rPr>
          <w:sz w:val="24"/>
          <w:szCs w:val="24"/>
        </w:rPr>
      </w:pPr>
      <w:r w:rsidRPr="00DF7D37">
        <w:rPr>
          <w:rStyle w:val="FootnoteReference"/>
          <w:sz w:val="24"/>
          <w:szCs w:val="24"/>
        </w:rPr>
        <w:footnoteRef/>
      </w:r>
      <w:r w:rsidRPr="00DF7D37">
        <w:rPr>
          <w:sz w:val="24"/>
          <w:szCs w:val="24"/>
        </w:rPr>
        <w:t xml:space="preserve"> </w:t>
      </w:r>
      <w:r>
        <w:rPr>
          <w:sz w:val="24"/>
          <w:szCs w:val="24"/>
        </w:rPr>
        <w:t xml:space="preserve">Environmental Engineer hourly wages obtained from “Occupational Employment Statistics, Occupational Employment and Wages, May, 2010, 17-2081 Environmental Engineers,” </w:t>
      </w:r>
      <w:r w:rsidRPr="009105AC">
        <w:rPr>
          <w:sz w:val="24"/>
          <w:szCs w:val="24"/>
        </w:rPr>
        <w:t>U.S. Dept. of Commerce, BLS</w:t>
      </w:r>
      <w:r>
        <w:rPr>
          <w:sz w:val="24"/>
          <w:szCs w:val="24"/>
        </w:rPr>
        <w:t>. (</w:t>
      </w:r>
      <w:hyperlink r:id="rId1" w:history="1">
        <w:r w:rsidRPr="006D2A50">
          <w:rPr>
            <w:rStyle w:val="Hyperlink"/>
            <w:sz w:val="24"/>
            <w:szCs w:val="24"/>
          </w:rPr>
          <w:t>http://www.bls.gov/oes/current/oes172081.htm</w:t>
        </w:r>
      </w:hyperlink>
      <w:r>
        <w:rPr>
          <w:sz w:val="24"/>
          <w:szCs w:val="24"/>
        </w:rPr>
        <w:t xml:space="preserve"> accessed March 2012)</w:t>
      </w:r>
    </w:p>
  </w:footnote>
  <w:footnote w:id="5">
    <w:p w:rsidR="002508A2" w:rsidRPr="003C6991" w:rsidRDefault="002508A2" w:rsidP="008741D0">
      <w:pPr>
        <w:pStyle w:val="FootnoteText"/>
        <w:spacing w:before="60"/>
        <w:ind w:left="144" w:hanging="144"/>
        <w:rPr>
          <w:sz w:val="24"/>
          <w:szCs w:val="24"/>
        </w:rPr>
      </w:pPr>
      <w:r w:rsidRPr="003C6991">
        <w:rPr>
          <w:rStyle w:val="FootnoteReference"/>
          <w:sz w:val="24"/>
          <w:szCs w:val="24"/>
        </w:rPr>
        <w:footnoteRef/>
      </w:r>
      <w:r w:rsidRPr="003C6991">
        <w:rPr>
          <w:sz w:val="24"/>
          <w:szCs w:val="24"/>
        </w:rPr>
        <w:t xml:space="preserve"> </w:t>
      </w:r>
      <w:r>
        <w:rPr>
          <w:sz w:val="24"/>
          <w:szCs w:val="24"/>
        </w:rPr>
        <w:t xml:space="preserve">Environmental Engineering Technician hourly wages obtained from “Occupational Employment Statistics, Occupational Employment and Wages, May, 2010, 17-3025 Environmental Engineering Technicians,” </w:t>
      </w:r>
      <w:r w:rsidRPr="009105AC">
        <w:rPr>
          <w:sz w:val="24"/>
          <w:szCs w:val="24"/>
        </w:rPr>
        <w:t>U.S. Dept. of Commerce, BLS</w:t>
      </w:r>
      <w:r>
        <w:rPr>
          <w:sz w:val="24"/>
          <w:szCs w:val="24"/>
        </w:rPr>
        <w:t>. (</w:t>
      </w:r>
      <w:hyperlink r:id="rId2" w:history="1">
        <w:r w:rsidRPr="006D2A50">
          <w:rPr>
            <w:rStyle w:val="Hyperlink"/>
            <w:sz w:val="24"/>
            <w:szCs w:val="24"/>
          </w:rPr>
          <w:t>http://www.bls.gov/oes/current/oes173025.htm</w:t>
        </w:r>
      </w:hyperlink>
      <w:r>
        <w:rPr>
          <w:sz w:val="24"/>
          <w:szCs w:val="24"/>
        </w:rPr>
        <w:t xml:space="preserve"> accessed March 2012)</w:t>
      </w:r>
    </w:p>
  </w:footnote>
  <w:footnote w:id="6">
    <w:p w:rsidR="002508A2" w:rsidRPr="003C6991" w:rsidRDefault="002508A2" w:rsidP="008741D0">
      <w:pPr>
        <w:pStyle w:val="FootnoteText"/>
        <w:spacing w:before="60"/>
        <w:ind w:left="144" w:hanging="144"/>
        <w:rPr>
          <w:sz w:val="24"/>
          <w:szCs w:val="24"/>
        </w:rPr>
      </w:pPr>
      <w:r w:rsidRPr="003C6991">
        <w:rPr>
          <w:rStyle w:val="FootnoteReference"/>
          <w:sz w:val="24"/>
          <w:szCs w:val="24"/>
        </w:rPr>
        <w:footnoteRef/>
      </w:r>
      <w:r w:rsidRPr="003C6991">
        <w:rPr>
          <w:sz w:val="24"/>
          <w:szCs w:val="24"/>
        </w:rPr>
        <w:t xml:space="preserve"> </w:t>
      </w:r>
      <w:r>
        <w:rPr>
          <w:sz w:val="24"/>
          <w:szCs w:val="24"/>
        </w:rPr>
        <w:t>Employment Cost Indexes for sources obtained from “</w:t>
      </w:r>
      <w:r w:rsidRPr="000D743C">
        <w:rPr>
          <w:sz w:val="24"/>
          <w:szCs w:val="24"/>
        </w:rPr>
        <w:t>Employment Cost Index</w:t>
      </w:r>
      <w:r>
        <w:rPr>
          <w:sz w:val="24"/>
          <w:szCs w:val="24"/>
        </w:rPr>
        <w:t xml:space="preserve"> </w:t>
      </w:r>
      <w:r w:rsidRPr="000D743C">
        <w:rPr>
          <w:sz w:val="24"/>
          <w:szCs w:val="24"/>
        </w:rPr>
        <w:t>Historical Listing</w:t>
      </w:r>
      <w:r>
        <w:rPr>
          <w:sz w:val="24"/>
          <w:szCs w:val="24"/>
        </w:rPr>
        <w:t xml:space="preserve">, </w:t>
      </w:r>
      <w:r w:rsidRPr="000D743C">
        <w:rPr>
          <w:sz w:val="24"/>
          <w:szCs w:val="24"/>
        </w:rPr>
        <w:t>Current-dollar</w:t>
      </w:r>
      <w:r>
        <w:rPr>
          <w:sz w:val="24"/>
          <w:szCs w:val="24"/>
        </w:rPr>
        <w:t xml:space="preserve">, </w:t>
      </w:r>
      <w:r w:rsidRPr="000D743C">
        <w:rPr>
          <w:sz w:val="24"/>
          <w:szCs w:val="24"/>
        </w:rPr>
        <w:t>March 2001–December 2011</w:t>
      </w:r>
      <w:r>
        <w:rPr>
          <w:sz w:val="24"/>
          <w:szCs w:val="24"/>
        </w:rPr>
        <w:t xml:space="preserve"> </w:t>
      </w:r>
      <w:r w:rsidRPr="000D743C">
        <w:rPr>
          <w:sz w:val="24"/>
          <w:szCs w:val="24"/>
        </w:rPr>
        <w:t>(December 2005=100)</w:t>
      </w:r>
      <w:r>
        <w:rPr>
          <w:sz w:val="24"/>
          <w:szCs w:val="24"/>
        </w:rPr>
        <w:t xml:space="preserve">, Table 2. </w:t>
      </w:r>
      <w:r w:rsidRPr="000D743C">
        <w:rPr>
          <w:sz w:val="24"/>
          <w:szCs w:val="24"/>
        </w:rPr>
        <w:t>Employment Cost Index for wages and salaries, by occupational group and industry</w:t>
      </w:r>
      <w:r>
        <w:rPr>
          <w:sz w:val="24"/>
          <w:szCs w:val="24"/>
        </w:rPr>
        <w:t xml:space="preserve"> </w:t>
      </w:r>
      <w:r w:rsidRPr="000D743C">
        <w:rPr>
          <w:sz w:val="24"/>
          <w:szCs w:val="24"/>
        </w:rPr>
        <w:t>(Seasonally adjusted)</w:t>
      </w:r>
      <w:r>
        <w:rPr>
          <w:sz w:val="24"/>
          <w:szCs w:val="24"/>
        </w:rPr>
        <w:t>,”</w:t>
      </w:r>
      <w:r w:rsidRPr="000D743C">
        <w:rPr>
          <w:sz w:val="24"/>
          <w:szCs w:val="24"/>
        </w:rPr>
        <w:t xml:space="preserve"> </w:t>
      </w:r>
      <w:r w:rsidRPr="009105AC">
        <w:rPr>
          <w:sz w:val="24"/>
          <w:szCs w:val="24"/>
        </w:rPr>
        <w:t>U.S. Dept. of Commerce, BLS</w:t>
      </w:r>
      <w:r>
        <w:rPr>
          <w:sz w:val="24"/>
          <w:szCs w:val="24"/>
        </w:rPr>
        <w:t xml:space="preserve">, pg. 21 </w:t>
      </w:r>
      <w:r w:rsidRPr="003C6991">
        <w:rPr>
          <w:sz w:val="24"/>
          <w:szCs w:val="24"/>
        </w:rPr>
        <w:t>Private Industry Workers - All Workers</w:t>
      </w:r>
      <w:r>
        <w:rPr>
          <w:sz w:val="24"/>
          <w:szCs w:val="24"/>
        </w:rPr>
        <w:t>. (</w:t>
      </w:r>
      <w:hyperlink r:id="rId3" w:history="1">
        <w:r w:rsidRPr="006D2A50">
          <w:rPr>
            <w:rStyle w:val="Hyperlink"/>
            <w:sz w:val="24"/>
            <w:szCs w:val="24"/>
          </w:rPr>
          <w:t>http://www.bls.gov/web/eci/echistrynaics.pdf</w:t>
        </w:r>
      </w:hyperlink>
      <w:r>
        <w:rPr>
          <w:sz w:val="24"/>
          <w:szCs w:val="24"/>
        </w:rPr>
        <w:t xml:space="preserve"> accessed March 2012)</w:t>
      </w:r>
    </w:p>
  </w:footnote>
  <w:footnote w:id="7">
    <w:p w:rsidR="002508A2" w:rsidRPr="00704A63" w:rsidRDefault="002508A2" w:rsidP="00975413">
      <w:pPr>
        <w:pStyle w:val="FootnoteText"/>
        <w:ind w:left="144" w:hanging="144"/>
        <w:rPr>
          <w:sz w:val="24"/>
          <w:szCs w:val="24"/>
        </w:rPr>
      </w:pPr>
      <w:r w:rsidRPr="00704A63">
        <w:rPr>
          <w:rStyle w:val="FootnoteReference"/>
          <w:sz w:val="24"/>
          <w:szCs w:val="24"/>
        </w:rPr>
        <w:footnoteRef/>
      </w:r>
      <w:r w:rsidRPr="00704A63">
        <w:rPr>
          <w:sz w:val="24"/>
          <w:szCs w:val="24"/>
        </w:rPr>
        <w:t xml:space="preserve"> Federal Labor Cost obtained from U.S. Office of Personnel Management 201</w:t>
      </w:r>
      <w:r>
        <w:rPr>
          <w:sz w:val="24"/>
          <w:szCs w:val="24"/>
        </w:rPr>
        <w:t>2</w:t>
      </w:r>
      <w:r w:rsidRPr="00704A63">
        <w:rPr>
          <w:sz w:val="24"/>
          <w:szCs w:val="24"/>
        </w:rPr>
        <w:t xml:space="preserve"> General Schedule Table 201</w:t>
      </w:r>
      <w:r>
        <w:rPr>
          <w:sz w:val="24"/>
          <w:szCs w:val="24"/>
        </w:rPr>
        <w:t>2</w:t>
      </w:r>
      <w:r w:rsidRPr="00704A63">
        <w:rPr>
          <w:sz w:val="24"/>
          <w:szCs w:val="24"/>
        </w:rPr>
        <w:t>-GS. Hourly labor rate assumed is G</w:t>
      </w:r>
      <w:r>
        <w:rPr>
          <w:sz w:val="24"/>
          <w:szCs w:val="24"/>
        </w:rPr>
        <w:t>S-12, Step 5 (Technical Labor).</w:t>
      </w:r>
    </w:p>
  </w:footnote>
  <w:footnote w:id="8">
    <w:p w:rsidR="002508A2" w:rsidRPr="009C7C86" w:rsidRDefault="002508A2" w:rsidP="009632FC">
      <w:pPr>
        <w:pStyle w:val="FootnoteText"/>
        <w:ind w:left="144" w:hanging="144"/>
        <w:rPr>
          <w:sz w:val="24"/>
          <w:szCs w:val="24"/>
        </w:rPr>
      </w:pPr>
      <w:r w:rsidRPr="009C7C86">
        <w:rPr>
          <w:rStyle w:val="FootnoteReference"/>
          <w:sz w:val="24"/>
          <w:szCs w:val="24"/>
        </w:rPr>
        <w:footnoteRef/>
      </w:r>
      <w:r w:rsidRPr="009C7C86">
        <w:rPr>
          <w:sz w:val="24"/>
          <w:szCs w:val="24"/>
        </w:rPr>
        <w:t xml:space="preserve"> </w:t>
      </w:r>
      <w:r>
        <w:rPr>
          <w:sz w:val="24"/>
          <w:szCs w:val="24"/>
        </w:rPr>
        <w:t>A proposed rule concerning Step 3 of the GHG Tailoring rule was published on March 8, 2012 (77 FR 14226), which would not change the applicability threshold that was promulgated for Step 2. Step 3 is scheduled to take effect in July of 2013.</w:t>
      </w:r>
    </w:p>
  </w:footnote>
  <w:footnote w:id="9">
    <w:p w:rsidR="002508A2" w:rsidRDefault="002508A2" w:rsidP="00464F09">
      <w:pPr>
        <w:pStyle w:val="FootnoteText"/>
        <w:spacing w:before="60"/>
        <w:ind w:left="144" w:hanging="144"/>
      </w:pPr>
      <w:r w:rsidRPr="00912B70">
        <w:rPr>
          <w:rStyle w:val="FootnoteReference"/>
          <w:sz w:val="24"/>
          <w:szCs w:val="24"/>
        </w:rPr>
        <w:footnoteRef/>
      </w:r>
      <w:r w:rsidRPr="00912B70">
        <w:rPr>
          <w:sz w:val="24"/>
          <w:szCs w:val="24"/>
        </w:rPr>
        <w:t xml:space="preserve"> Note </w:t>
      </w:r>
      <w:r>
        <w:rPr>
          <w:sz w:val="24"/>
          <w:szCs w:val="24"/>
        </w:rPr>
        <w:t xml:space="preserve">that </w:t>
      </w:r>
      <w:r w:rsidRPr="00912B70">
        <w:rPr>
          <w:sz w:val="24"/>
          <w:szCs w:val="24"/>
        </w:rPr>
        <w:t>we did not include administrative permit modifications because there is no requirement for EPA review and they do not involve substantive changes</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8A2" w:rsidRPr="00F45B14" w:rsidRDefault="002508A2" w:rsidP="00F45B14">
    <w:pPr>
      <w:jc w:val="right"/>
      <w:rPr>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00CF81E"/>
    <w:lvl w:ilvl="0">
      <w:numFmt w:val="bullet"/>
      <w:lvlText w:val="*"/>
      <w:lvlJc w:val="left"/>
    </w:lvl>
  </w:abstractNum>
  <w:abstractNum w:abstractNumId="1">
    <w:nsid w:val="00000001"/>
    <w:multiLevelType w:val="multilevel"/>
    <w:tmpl w:val="75F0FF7A"/>
    <w:name w:val="AutoList2"/>
    <w:lvl w:ilvl="0">
      <w:start w:val="1"/>
      <w:numFmt w:val="decimal"/>
      <w:pStyle w:val="Heading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2"/>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0000003"/>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4"/>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5">
    <w:nsid w:val="00000005"/>
    <w:multiLevelType w:val="multilevel"/>
    <w:tmpl w:val="00000000"/>
    <w:name w:val="AutoList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000006"/>
    <w:multiLevelType w:val="multilevel"/>
    <w:tmpl w:val="00000000"/>
    <w:name w:val="AutoList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7">
    <w:nsid w:val="00000007"/>
    <w:multiLevelType w:val="multilevel"/>
    <w:tmpl w:val="00000000"/>
    <w:name w:val="AutoList7"/>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8">
    <w:nsid w:val="00000008"/>
    <w:multiLevelType w:val="multilevel"/>
    <w:tmpl w:val="00000000"/>
    <w:name w:val="AutoList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9">
    <w:nsid w:val="00DD3CEC"/>
    <w:multiLevelType w:val="multilevel"/>
    <w:tmpl w:val="525A959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173B6175"/>
    <w:multiLevelType w:val="hybridMultilevel"/>
    <w:tmpl w:val="1E02B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3B2473"/>
    <w:multiLevelType w:val="hybridMultilevel"/>
    <w:tmpl w:val="FBE2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E23466"/>
    <w:multiLevelType w:val="hybridMultilevel"/>
    <w:tmpl w:val="CCBA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097798"/>
    <w:multiLevelType w:val="hybridMultilevel"/>
    <w:tmpl w:val="C186C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4A2FD3"/>
    <w:multiLevelType w:val="hybridMultilevel"/>
    <w:tmpl w:val="E81897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743763"/>
    <w:multiLevelType w:val="hybridMultilevel"/>
    <w:tmpl w:val="3A3EC3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701BB3"/>
    <w:multiLevelType w:val="hybridMultilevel"/>
    <w:tmpl w:val="9ADC5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1441A"/>
    <w:multiLevelType w:val="hybridMultilevel"/>
    <w:tmpl w:val="9680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8A658C"/>
    <w:multiLevelType w:val="hybridMultilevel"/>
    <w:tmpl w:val="FE127F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9A5880"/>
    <w:multiLevelType w:val="hybridMultilevel"/>
    <w:tmpl w:val="C706A6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6C40FF"/>
    <w:multiLevelType w:val="hybridMultilevel"/>
    <w:tmpl w:val="52D8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451076"/>
    <w:multiLevelType w:val="hybridMultilevel"/>
    <w:tmpl w:val="494A3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decimal"/>
        <w:pStyle w:val="Heading1"/>
        <w:lvlText w:val="%1."/>
        <w:lvlJc w:val="left"/>
        <w:rPr>
          <w:rFonts w:cs="Times New Roman"/>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2">
    <w:abstractNumId w:val="9"/>
  </w:num>
  <w:num w:numId="3">
    <w:abstractNumId w:val="13"/>
  </w:num>
  <w:num w:numId="4">
    <w:abstractNumId w:val="10"/>
  </w:num>
  <w:num w:numId="5">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6">
    <w:abstractNumId w:val="21"/>
  </w:num>
  <w:num w:numId="7">
    <w:abstractNumId w:val="16"/>
  </w:num>
  <w:num w:numId="8">
    <w:abstractNumId w:val="12"/>
  </w:num>
  <w:num w:numId="9">
    <w:abstractNumId w:val="20"/>
  </w:num>
  <w:num w:numId="10">
    <w:abstractNumId w:val="18"/>
  </w:num>
  <w:num w:numId="11">
    <w:abstractNumId w:val="14"/>
  </w:num>
  <w:num w:numId="12">
    <w:abstractNumId w:val="15"/>
  </w:num>
  <w:num w:numId="13">
    <w:abstractNumId w:val="19"/>
  </w:num>
  <w:num w:numId="14">
    <w:abstractNumId w:val="11"/>
  </w:num>
  <w:num w:numId="15">
    <w:abstractNumId w:val="1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stylePaneFormatFilter w:val="3F01"/>
  <w:defaultTabStop w:val="720"/>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F170BD"/>
    <w:rsid w:val="00000FDD"/>
    <w:rsid w:val="000017CE"/>
    <w:rsid w:val="00002327"/>
    <w:rsid w:val="000045D2"/>
    <w:rsid w:val="00005FA3"/>
    <w:rsid w:val="00006914"/>
    <w:rsid w:val="000072C9"/>
    <w:rsid w:val="00011B08"/>
    <w:rsid w:val="00015739"/>
    <w:rsid w:val="00017817"/>
    <w:rsid w:val="000257FE"/>
    <w:rsid w:val="00030A46"/>
    <w:rsid w:val="00032BE1"/>
    <w:rsid w:val="00032F01"/>
    <w:rsid w:val="000442CF"/>
    <w:rsid w:val="00047561"/>
    <w:rsid w:val="00050D8A"/>
    <w:rsid w:val="00051CF1"/>
    <w:rsid w:val="00051D5D"/>
    <w:rsid w:val="00055797"/>
    <w:rsid w:val="00055F7D"/>
    <w:rsid w:val="0006660C"/>
    <w:rsid w:val="0006730E"/>
    <w:rsid w:val="00070FE7"/>
    <w:rsid w:val="0007371B"/>
    <w:rsid w:val="00074CE7"/>
    <w:rsid w:val="00076F02"/>
    <w:rsid w:val="0007719B"/>
    <w:rsid w:val="00081D90"/>
    <w:rsid w:val="00085A30"/>
    <w:rsid w:val="00085C42"/>
    <w:rsid w:val="00086F08"/>
    <w:rsid w:val="00090846"/>
    <w:rsid w:val="00090DE0"/>
    <w:rsid w:val="000927A7"/>
    <w:rsid w:val="00093A14"/>
    <w:rsid w:val="000945EC"/>
    <w:rsid w:val="00094AC0"/>
    <w:rsid w:val="00097DB5"/>
    <w:rsid w:val="000A26F5"/>
    <w:rsid w:val="000A6DA5"/>
    <w:rsid w:val="000A7C7A"/>
    <w:rsid w:val="000A7E23"/>
    <w:rsid w:val="000B061E"/>
    <w:rsid w:val="000B1EAF"/>
    <w:rsid w:val="000B41CE"/>
    <w:rsid w:val="000C08D9"/>
    <w:rsid w:val="000C2722"/>
    <w:rsid w:val="000C5225"/>
    <w:rsid w:val="000C5A6C"/>
    <w:rsid w:val="000C5E57"/>
    <w:rsid w:val="000D454D"/>
    <w:rsid w:val="000E2421"/>
    <w:rsid w:val="000E2E92"/>
    <w:rsid w:val="000E6C4A"/>
    <w:rsid w:val="000F1FBA"/>
    <w:rsid w:val="000F2BAC"/>
    <w:rsid w:val="000F3D65"/>
    <w:rsid w:val="000F3F72"/>
    <w:rsid w:val="00100219"/>
    <w:rsid w:val="001079F7"/>
    <w:rsid w:val="0011032D"/>
    <w:rsid w:val="001115EE"/>
    <w:rsid w:val="001171C2"/>
    <w:rsid w:val="00127027"/>
    <w:rsid w:val="00131D9F"/>
    <w:rsid w:val="00137FF5"/>
    <w:rsid w:val="00145056"/>
    <w:rsid w:val="00151B1D"/>
    <w:rsid w:val="00157739"/>
    <w:rsid w:val="00161D75"/>
    <w:rsid w:val="00162758"/>
    <w:rsid w:val="0016442C"/>
    <w:rsid w:val="0016625E"/>
    <w:rsid w:val="0017184A"/>
    <w:rsid w:val="001719B7"/>
    <w:rsid w:val="001800C2"/>
    <w:rsid w:val="001924DB"/>
    <w:rsid w:val="00192560"/>
    <w:rsid w:val="00194073"/>
    <w:rsid w:val="001946BB"/>
    <w:rsid w:val="00196487"/>
    <w:rsid w:val="00197666"/>
    <w:rsid w:val="00197F5B"/>
    <w:rsid w:val="001A2B33"/>
    <w:rsid w:val="001A3934"/>
    <w:rsid w:val="001A5DC4"/>
    <w:rsid w:val="001A65BD"/>
    <w:rsid w:val="001A728B"/>
    <w:rsid w:val="001B259B"/>
    <w:rsid w:val="001B46D6"/>
    <w:rsid w:val="001B687A"/>
    <w:rsid w:val="001B7D85"/>
    <w:rsid w:val="001C63D8"/>
    <w:rsid w:val="001C668D"/>
    <w:rsid w:val="001D07DD"/>
    <w:rsid w:val="001E00EE"/>
    <w:rsid w:val="001E2E72"/>
    <w:rsid w:val="001E2EF7"/>
    <w:rsid w:val="001E4779"/>
    <w:rsid w:val="001F1E4E"/>
    <w:rsid w:val="001F3177"/>
    <w:rsid w:val="00201316"/>
    <w:rsid w:val="00203FE6"/>
    <w:rsid w:val="00204389"/>
    <w:rsid w:val="00210E31"/>
    <w:rsid w:val="00213E26"/>
    <w:rsid w:val="00217593"/>
    <w:rsid w:val="00222ABC"/>
    <w:rsid w:val="00222DA0"/>
    <w:rsid w:val="002248A4"/>
    <w:rsid w:val="00226D04"/>
    <w:rsid w:val="00230CF4"/>
    <w:rsid w:val="00230F20"/>
    <w:rsid w:val="00233E91"/>
    <w:rsid w:val="00236EF5"/>
    <w:rsid w:val="00240FB1"/>
    <w:rsid w:val="002436F5"/>
    <w:rsid w:val="00244633"/>
    <w:rsid w:val="002508A2"/>
    <w:rsid w:val="00251129"/>
    <w:rsid w:val="00267D2D"/>
    <w:rsid w:val="002774F8"/>
    <w:rsid w:val="00282519"/>
    <w:rsid w:val="00282AD7"/>
    <w:rsid w:val="00286B53"/>
    <w:rsid w:val="00287207"/>
    <w:rsid w:val="00287734"/>
    <w:rsid w:val="00290E0D"/>
    <w:rsid w:val="00291C43"/>
    <w:rsid w:val="00294221"/>
    <w:rsid w:val="00296CB0"/>
    <w:rsid w:val="002A3101"/>
    <w:rsid w:val="002A69B3"/>
    <w:rsid w:val="002A74EA"/>
    <w:rsid w:val="002A78EE"/>
    <w:rsid w:val="002B5708"/>
    <w:rsid w:val="002B759C"/>
    <w:rsid w:val="002C197C"/>
    <w:rsid w:val="002C1E82"/>
    <w:rsid w:val="002C46A4"/>
    <w:rsid w:val="002C7500"/>
    <w:rsid w:val="002E0DF4"/>
    <w:rsid w:val="002E4CE0"/>
    <w:rsid w:val="002F468E"/>
    <w:rsid w:val="002F58EF"/>
    <w:rsid w:val="002F5F33"/>
    <w:rsid w:val="00301BE6"/>
    <w:rsid w:val="00302612"/>
    <w:rsid w:val="00303379"/>
    <w:rsid w:val="003058D1"/>
    <w:rsid w:val="00310A95"/>
    <w:rsid w:val="00311B39"/>
    <w:rsid w:val="00312696"/>
    <w:rsid w:val="00313EBB"/>
    <w:rsid w:val="0031536C"/>
    <w:rsid w:val="00316261"/>
    <w:rsid w:val="0032199B"/>
    <w:rsid w:val="003232FC"/>
    <w:rsid w:val="003235C9"/>
    <w:rsid w:val="00327742"/>
    <w:rsid w:val="00330AD3"/>
    <w:rsid w:val="0033172A"/>
    <w:rsid w:val="00331A68"/>
    <w:rsid w:val="00341874"/>
    <w:rsid w:val="00342AB2"/>
    <w:rsid w:val="0034400A"/>
    <w:rsid w:val="0034701F"/>
    <w:rsid w:val="00354507"/>
    <w:rsid w:val="003545D6"/>
    <w:rsid w:val="0035477D"/>
    <w:rsid w:val="003565F4"/>
    <w:rsid w:val="00363E96"/>
    <w:rsid w:val="0036563A"/>
    <w:rsid w:val="00365F23"/>
    <w:rsid w:val="00365FBE"/>
    <w:rsid w:val="00367675"/>
    <w:rsid w:val="00367C5B"/>
    <w:rsid w:val="00374208"/>
    <w:rsid w:val="00374B93"/>
    <w:rsid w:val="00377CF5"/>
    <w:rsid w:val="00390DC7"/>
    <w:rsid w:val="003972B7"/>
    <w:rsid w:val="003A1329"/>
    <w:rsid w:val="003A1E0F"/>
    <w:rsid w:val="003A4036"/>
    <w:rsid w:val="003C0DFA"/>
    <w:rsid w:val="003C15B3"/>
    <w:rsid w:val="003C3EB8"/>
    <w:rsid w:val="003D1A4F"/>
    <w:rsid w:val="003D51CC"/>
    <w:rsid w:val="003E3A9D"/>
    <w:rsid w:val="003F1A46"/>
    <w:rsid w:val="003F5781"/>
    <w:rsid w:val="003F6668"/>
    <w:rsid w:val="00415515"/>
    <w:rsid w:val="00415D8C"/>
    <w:rsid w:val="00417036"/>
    <w:rsid w:val="004201D5"/>
    <w:rsid w:val="0042667B"/>
    <w:rsid w:val="00433240"/>
    <w:rsid w:val="00434AF0"/>
    <w:rsid w:val="0043568E"/>
    <w:rsid w:val="00435957"/>
    <w:rsid w:val="00435A1A"/>
    <w:rsid w:val="00447D00"/>
    <w:rsid w:val="004626B0"/>
    <w:rsid w:val="00464F09"/>
    <w:rsid w:val="004652DD"/>
    <w:rsid w:val="0046588E"/>
    <w:rsid w:val="00470182"/>
    <w:rsid w:val="00470C77"/>
    <w:rsid w:val="004753C2"/>
    <w:rsid w:val="00476031"/>
    <w:rsid w:val="004761EF"/>
    <w:rsid w:val="004803FE"/>
    <w:rsid w:val="004820E4"/>
    <w:rsid w:val="004843DA"/>
    <w:rsid w:val="00491C8F"/>
    <w:rsid w:val="00494844"/>
    <w:rsid w:val="00494E8A"/>
    <w:rsid w:val="0049519A"/>
    <w:rsid w:val="00497721"/>
    <w:rsid w:val="004A1835"/>
    <w:rsid w:val="004B0829"/>
    <w:rsid w:val="004B484A"/>
    <w:rsid w:val="004B7E49"/>
    <w:rsid w:val="004C0D51"/>
    <w:rsid w:val="004C5D24"/>
    <w:rsid w:val="004D3B08"/>
    <w:rsid w:val="004E603A"/>
    <w:rsid w:val="004E7147"/>
    <w:rsid w:val="004F011A"/>
    <w:rsid w:val="004F11D7"/>
    <w:rsid w:val="004F1E0D"/>
    <w:rsid w:val="004F309F"/>
    <w:rsid w:val="004F4B78"/>
    <w:rsid w:val="004F4EA5"/>
    <w:rsid w:val="004F5911"/>
    <w:rsid w:val="004F6D00"/>
    <w:rsid w:val="005034FC"/>
    <w:rsid w:val="005117EC"/>
    <w:rsid w:val="00515122"/>
    <w:rsid w:val="00517A04"/>
    <w:rsid w:val="00523B5A"/>
    <w:rsid w:val="00526A6D"/>
    <w:rsid w:val="005336ED"/>
    <w:rsid w:val="00536CCA"/>
    <w:rsid w:val="005404C9"/>
    <w:rsid w:val="005410D4"/>
    <w:rsid w:val="00542407"/>
    <w:rsid w:val="00542459"/>
    <w:rsid w:val="005442EA"/>
    <w:rsid w:val="00545CB7"/>
    <w:rsid w:val="00550E72"/>
    <w:rsid w:val="00553466"/>
    <w:rsid w:val="00557F43"/>
    <w:rsid w:val="00563808"/>
    <w:rsid w:val="00571A77"/>
    <w:rsid w:val="00573C8A"/>
    <w:rsid w:val="00575C6E"/>
    <w:rsid w:val="00576C3C"/>
    <w:rsid w:val="00577A27"/>
    <w:rsid w:val="00580F77"/>
    <w:rsid w:val="00584F2D"/>
    <w:rsid w:val="00585BD6"/>
    <w:rsid w:val="005863A6"/>
    <w:rsid w:val="005921E3"/>
    <w:rsid w:val="00596BE1"/>
    <w:rsid w:val="005A0CFF"/>
    <w:rsid w:val="005A1699"/>
    <w:rsid w:val="005A3444"/>
    <w:rsid w:val="005B1309"/>
    <w:rsid w:val="005B2875"/>
    <w:rsid w:val="005B3B3C"/>
    <w:rsid w:val="005B497E"/>
    <w:rsid w:val="005B75A6"/>
    <w:rsid w:val="005C63B5"/>
    <w:rsid w:val="005D0563"/>
    <w:rsid w:val="005D05C8"/>
    <w:rsid w:val="005D1445"/>
    <w:rsid w:val="005D3813"/>
    <w:rsid w:val="005D66B2"/>
    <w:rsid w:val="005E3C8F"/>
    <w:rsid w:val="005E511F"/>
    <w:rsid w:val="005F484C"/>
    <w:rsid w:val="005F51F4"/>
    <w:rsid w:val="006024C9"/>
    <w:rsid w:val="006035B4"/>
    <w:rsid w:val="00604187"/>
    <w:rsid w:val="00604E57"/>
    <w:rsid w:val="00607949"/>
    <w:rsid w:val="00613B1A"/>
    <w:rsid w:val="00617330"/>
    <w:rsid w:val="00617CC5"/>
    <w:rsid w:val="006213F0"/>
    <w:rsid w:val="0062690C"/>
    <w:rsid w:val="006303EC"/>
    <w:rsid w:val="00630B38"/>
    <w:rsid w:val="00633E82"/>
    <w:rsid w:val="006414D3"/>
    <w:rsid w:val="00642089"/>
    <w:rsid w:val="00651F02"/>
    <w:rsid w:val="00657288"/>
    <w:rsid w:val="00666CA0"/>
    <w:rsid w:val="0066701D"/>
    <w:rsid w:val="006738FA"/>
    <w:rsid w:val="006768F2"/>
    <w:rsid w:val="0068652E"/>
    <w:rsid w:val="00686ECD"/>
    <w:rsid w:val="00692ABD"/>
    <w:rsid w:val="00692C26"/>
    <w:rsid w:val="0069695C"/>
    <w:rsid w:val="006A066C"/>
    <w:rsid w:val="006A5623"/>
    <w:rsid w:val="006B0EE3"/>
    <w:rsid w:val="006B2866"/>
    <w:rsid w:val="006B6479"/>
    <w:rsid w:val="006B6FF2"/>
    <w:rsid w:val="006B7D8C"/>
    <w:rsid w:val="006C0517"/>
    <w:rsid w:val="006C55BF"/>
    <w:rsid w:val="006D0F1A"/>
    <w:rsid w:val="006D1590"/>
    <w:rsid w:val="006D3664"/>
    <w:rsid w:val="006D71CC"/>
    <w:rsid w:val="006E190F"/>
    <w:rsid w:val="006E3AD1"/>
    <w:rsid w:val="006E4C00"/>
    <w:rsid w:val="006E76B0"/>
    <w:rsid w:val="006F1AD5"/>
    <w:rsid w:val="007009E5"/>
    <w:rsid w:val="00704316"/>
    <w:rsid w:val="00704A63"/>
    <w:rsid w:val="007051B8"/>
    <w:rsid w:val="007071FB"/>
    <w:rsid w:val="00713E76"/>
    <w:rsid w:val="00716A02"/>
    <w:rsid w:val="00717833"/>
    <w:rsid w:val="007201E0"/>
    <w:rsid w:val="007221AB"/>
    <w:rsid w:val="007247D6"/>
    <w:rsid w:val="00727357"/>
    <w:rsid w:val="00730513"/>
    <w:rsid w:val="00731175"/>
    <w:rsid w:val="00735260"/>
    <w:rsid w:val="0074144B"/>
    <w:rsid w:val="007522F4"/>
    <w:rsid w:val="00752963"/>
    <w:rsid w:val="00753DBB"/>
    <w:rsid w:val="00754914"/>
    <w:rsid w:val="00761551"/>
    <w:rsid w:val="00761830"/>
    <w:rsid w:val="00761F1D"/>
    <w:rsid w:val="0076245D"/>
    <w:rsid w:val="00762D74"/>
    <w:rsid w:val="007639DF"/>
    <w:rsid w:val="00764F6E"/>
    <w:rsid w:val="00765DDF"/>
    <w:rsid w:val="0077013F"/>
    <w:rsid w:val="00770A6A"/>
    <w:rsid w:val="0077240F"/>
    <w:rsid w:val="00772E1E"/>
    <w:rsid w:val="00774373"/>
    <w:rsid w:val="0078123B"/>
    <w:rsid w:val="00782723"/>
    <w:rsid w:val="00784E87"/>
    <w:rsid w:val="00791170"/>
    <w:rsid w:val="007A33B2"/>
    <w:rsid w:val="007A38F6"/>
    <w:rsid w:val="007A3BEB"/>
    <w:rsid w:val="007B3E9C"/>
    <w:rsid w:val="007B7CD9"/>
    <w:rsid w:val="007C1D4E"/>
    <w:rsid w:val="007C7381"/>
    <w:rsid w:val="007D14CE"/>
    <w:rsid w:val="007D1C1A"/>
    <w:rsid w:val="007D26C0"/>
    <w:rsid w:val="007D5C70"/>
    <w:rsid w:val="007E176D"/>
    <w:rsid w:val="007E223E"/>
    <w:rsid w:val="007E5CA9"/>
    <w:rsid w:val="007E5E72"/>
    <w:rsid w:val="007F011E"/>
    <w:rsid w:val="007F0F81"/>
    <w:rsid w:val="007F1A81"/>
    <w:rsid w:val="007F383E"/>
    <w:rsid w:val="007F46CA"/>
    <w:rsid w:val="007F4CC3"/>
    <w:rsid w:val="00801136"/>
    <w:rsid w:val="0080383B"/>
    <w:rsid w:val="0081243D"/>
    <w:rsid w:val="00812A5F"/>
    <w:rsid w:val="008146BF"/>
    <w:rsid w:val="008170BC"/>
    <w:rsid w:val="0082003E"/>
    <w:rsid w:val="008265E0"/>
    <w:rsid w:val="00832007"/>
    <w:rsid w:val="0083208E"/>
    <w:rsid w:val="00843D6E"/>
    <w:rsid w:val="00845547"/>
    <w:rsid w:val="008506FB"/>
    <w:rsid w:val="0085396E"/>
    <w:rsid w:val="008544D9"/>
    <w:rsid w:val="00855FD8"/>
    <w:rsid w:val="00860149"/>
    <w:rsid w:val="00860E39"/>
    <w:rsid w:val="0086461E"/>
    <w:rsid w:val="008741D0"/>
    <w:rsid w:val="008752BE"/>
    <w:rsid w:val="00877DE9"/>
    <w:rsid w:val="00881874"/>
    <w:rsid w:val="00883188"/>
    <w:rsid w:val="00885F48"/>
    <w:rsid w:val="00890F3C"/>
    <w:rsid w:val="00891F8C"/>
    <w:rsid w:val="008940E4"/>
    <w:rsid w:val="008959D3"/>
    <w:rsid w:val="00896824"/>
    <w:rsid w:val="008974A7"/>
    <w:rsid w:val="00897924"/>
    <w:rsid w:val="008A064A"/>
    <w:rsid w:val="008B1DE4"/>
    <w:rsid w:val="008B2DE7"/>
    <w:rsid w:val="008B37D0"/>
    <w:rsid w:val="008B3C67"/>
    <w:rsid w:val="008B4A16"/>
    <w:rsid w:val="008B5CBF"/>
    <w:rsid w:val="008B6E8E"/>
    <w:rsid w:val="008C26CA"/>
    <w:rsid w:val="008C337B"/>
    <w:rsid w:val="008C6DB2"/>
    <w:rsid w:val="008C70E7"/>
    <w:rsid w:val="008D0A3A"/>
    <w:rsid w:val="008D0D13"/>
    <w:rsid w:val="008D10A2"/>
    <w:rsid w:val="008D14FA"/>
    <w:rsid w:val="008D15FB"/>
    <w:rsid w:val="008D4A71"/>
    <w:rsid w:val="008D585E"/>
    <w:rsid w:val="008E0BBA"/>
    <w:rsid w:val="008E3219"/>
    <w:rsid w:val="008E3254"/>
    <w:rsid w:val="008E34AE"/>
    <w:rsid w:val="008E60EA"/>
    <w:rsid w:val="008E7E16"/>
    <w:rsid w:val="008F1208"/>
    <w:rsid w:val="008F17A0"/>
    <w:rsid w:val="008F3769"/>
    <w:rsid w:val="008F7D10"/>
    <w:rsid w:val="0090418A"/>
    <w:rsid w:val="00904A8C"/>
    <w:rsid w:val="0091034B"/>
    <w:rsid w:val="009105AC"/>
    <w:rsid w:val="00911F67"/>
    <w:rsid w:val="0091466D"/>
    <w:rsid w:val="00924012"/>
    <w:rsid w:val="009252F6"/>
    <w:rsid w:val="00925709"/>
    <w:rsid w:val="009273FF"/>
    <w:rsid w:val="00927C65"/>
    <w:rsid w:val="00931841"/>
    <w:rsid w:val="00932500"/>
    <w:rsid w:val="00933229"/>
    <w:rsid w:val="0093344A"/>
    <w:rsid w:val="00940610"/>
    <w:rsid w:val="00941464"/>
    <w:rsid w:val="0094702B"/>
    <w:rsid w:val="00950058"/>
    <w:rsid w:val="00952C6E"/>
    <w:rsid w:val="009531DD"/>
    <w:rsid w:val="0095362D"/>
    <w:rsid w:val="00955D47"/>
    <w:rsid w:val="0096152E"/>
    <w:rsid w:val="009632FC"/>
    <w:rsid w:val="0096404B"/>
    <w:rsid w:val="009645F1"/>
    <w:rsid w:val="009735C2"/>
    <w:rsid w:val="00975413"/>
    <w:rsid w:val="009774B1"/>
    <w:rsid w:val="00983A13"/>
    <w:rsid w:val="00986FAA"/>
    <w:rsid w:val="00991093"/>
    <w:rsid w:val="00991638"/>
    <w:rsid w:val="0099258E"/>
    <w:rsid w:val="00993377"/>
    <w:rsid w:val="00993AED"/>
    <w:rsid w:val="009966C9"/>
    <w:rsid w:val="009A0F0E"/>
    <w:rsid w:val="009A568C"/>
    <w:rsid w:val="009A648D"/>
    <w:rsid w:val="009B0199"/>
    <w:rsid w:val="009B152E"/>
    <w:rsid w:val="009B290F"/>
    <w:rsid w:val="009B3AAD"/>
    <w:rsid w:val="009B4D30"/>
    <w:rsid w:val="009B633B"/>
    <w:rsid w:val="009B7489"/>
    <w:rsid w:val="009B7CD0"/>
    <w:rsid w:val="009C1974"/>
    <w:rsid w:val="009C500B"/>
    <w:rsid w:val="009C6741"/>
    <w:rsid w:val="009D1A53"/>
    <w:rsid w:val="009D401E"/>
    <w:rsid w:val="009D5748"/>
    <w:rsid w:val="009D7CAA"/>
    <w:rsid w:val="009E2712"/>
    <w:rsid w:val="009E49DA"/>
    <w:rsid w:val="009E50D0"/>
    <w:rsid w:val="009F530E"/>
    <w:rsid w:val="00A00C8F"/>
    <w:rsid w:val="00A065E4"/>
    <w:rsid w:val="00A11AC2"/>
    <w:rsid w:val="00A15DE9"/>
    <w:rsid w:val="00A160FC"/>
    <w:rsid w:val="00A2200D"/>
    <w:rsid w:val="00A24400"/>
    <w:rsid w:val="00A25A59"/>
    <w:rsid w:val="00A309B5"/>
    <w:rsid w:val="00A314FA"/>
    <w:rsid w:val="00A31DDE"/>
    <w:rsid w:val="00A32164"/>
    <w:rsid w:val="00A329C2"/>
    <w:rsid w:val="00A33C0F"/>
    <w:rsid w:val="00A33D0D"/>
    <w:rsid w:val="00A3434C"/>
    <w:rsid w:val="00A34DA5"/>
    <w:rsid w:val="00A36EC5"/>
    <w:rsid w:val="00A374E7"/>
    <w:rsid w:val="00A37B0A"/>
    <w:rsid w:val="00A4213D"/>
    <w:rsid w:val="00A4785B"/>
    <w:rsid w:val="00A5214B"/>
    <w:rsid w:val="00A54B3B"/>
    <w:rsid w:val="00A56E0B"/>
    <w:rsid w:val="00A65D07"/>
    <w:rsid w:val="00A663D6"/>
    <w:rsid w:val="00A70438"/>
    <w:rsid w:val="00A71C11"/>
    <w:rsid w:val="00A74A17"/>
    <w:rsid w:val="00A74F49"/>
    <w:rsid w:val="00A811EE"/>
    <w:rsid w:val="00A856CC"/>
    <w:rsid w:val="00A90B88"/>
    <w:rsid w:val="00A9239F"/>
    <w:rsid w:val="00A94175"/>
    <w:rsid w:val="00AA1771"/>
    <w:rsid w:val="00AA216F"/>
    <w:rsid w:val="00AA399B"/>
    <w:rsid w:val="00AB108C"/>
    <w:rsid w:val="00AB22D8"/>
    <w:rsid w:val="00AB470A"/>
    <w:rsid w:val="00AB6E3B"/>
    <w:rsid w:val="00AC53AA"/>
    <w:rsid w:val="00AD283B"/>
    <w:rsid w:val="00AD2FD8"/>
    <w:rsid w:val="00AD7C55"/>
    <w:rsid w:val="00AE47F1"/>
    <w:rsid w:val="00AE4E8B"/>
    <w:rsid w:val="00AE685F"/>
    <w:rsid w:val="00AE76DE"/>
    <w:rsid w:val="00AE76F7"/>
    <w:rsid w:val="00AE7A6B"/>
    <w:rsid w:val="00AF1277"/>
    <w:rsid w:val="00AF6635"/>
    <w:rsid w:val="00AF7C7E"/>
    <w:rsid w:val="00B01887"/>
    <w:rsid w:val="00B04B7C"/>
    <w:rsid w:val="00B0598B"/>
    <w:rsid w:val="00B070CA"/>
    <w:rsid w:val="00B075FD"/>
    <w:rsid w:val="00B125CF"/>
    <w:rsid w:val="00B33F0C"/>
    <w:rsid w:val="00B33FE7"/>
    <w:rsid w:val="00B3564F"/>
    <w:rsid w:val="00B36A4D"/>
    <w:rsid w:val="00B52B46"/>
    <w:rsid w:val="00B62C5F"/>
    <w:rsid w:val="00B653FF"/>
    <w:rsid w:val="00B7174A"/>
    <w:rsid w:val="00B71E4D"/>
    <w:rsid w:val="00B727EE"/>
    <w:rsid w:val="00B72ECA"/>
    <w:rsid w:val="00B83441"/>
    <w:rsid w:val="00B85E00"/>
    <w:rsid w:val="00B93B4B"/>
    <w:rsid w:val="00B94909"/>
    <w:rsid w:val="00B956CC"/>
    <w:rsid w:val="00B959B4"/>
    <w:rsid w:val="00B962C3"/>
    <w:rsid w:val="00B97A2B"/>
    <w:rsid w:val="00BA1219"/>
    <w:rsid w:val="00BA159D"/>
    <w:rsid w:val="00BA237E"/>
    <w:rsid w:val="00BA27B1"/>
    <w:rsid w:val="00BA5BBA"/>
    <w:rsid w:val="00BB2522"/>
    <w:rsid w:val="00BB61B3"/>
    <w:rsid w:val="00BC0142"/>
    <w:rsid w:val="00BC1C1A"/>
    <w:rsid w:val="00BC5587"/>
    <w:rsid w:val="00BD0DD5"/>
    <w:rsid w:val="00BD23C8"/>
    <w:rsid w:val="00BD5279"/>
    <w:rsid w:val="00BD725C"/>
    <w:rsid w:val="00BD7318"/>
    <w:rsid w:val="00BE0D62"/>
    <w:rsid w:val="00BE0F99"/>
    <w:rsid w:val="00BE1B05"/>
    <w:rsid w:val="00BE3CFC"/>
    <w:rsid w:val="00BE4153"/>
    <w:rsid w:val="00BF03D9"/>
    <w:rsid w:val="00BF1D4B"/>
    <w:rsid w:val="00BF385A"/>
    <w:rsid w:val="00BF4A57"/>
    <w:rsid w:val="00BF5874"/>
    <w:rsid w:val="00BF7B9A"/>
    <w:rsid w:val="00C06367"/>
    <w:rsid w:val="00C070B9"/>
    <w:rsid w:val="00C116CE"/>
    <w:rsid w:val="00C133CB"/>
    <w:rsid w:val="00C16E92"/>
    <w:rsid w:val="00C21A59"/>
    <w:rsid w:val="00C2247B"/>
    <w:rsid w:val="00C22AA0"/>
    <w:rsid w:val="00C2389A"/>
    <w:rsid w:val="00C31E4A"/>
    <w:rsid w:val="00C3377C"/>
    <w:rsid w:val="00C3438F"/>
    <w:rsid w:val="00C41628"/>
    <w:rsid w:val="00C4245A"/>
    <w:rsid w:val="00C44E53"/>
    <w:rsid w:val="00C468C9"/>
    <w:rsid w:val="00C50736"/>
    <w:rsid w:val="00C5288D"/>
    <w:rsid w:val="00C561D7"/>
    <w:rsid w:val="00C6375D"/>
    <w:rsid w:val="00C64615"/>
    <w:rsid w:val="00C66027"/>
    <w:rsid w:val="00C66473"/>
    <w:rsid w:val="00C71AD4"/>
    <w:rsid w:val="00C722B9"/>
    <w:rsid w:val="00C72B50"/>
    <w:rsid w:val="00C77C3B"/>
    <w:rsid w:val="00C80124"/>
    <w:rsid w:val="00C8119B"/>
    <w:rsid w:val="00C8272A"/>
    <w:rsid w:val="00C86624"/>
    <w:rsid w:val="00C9434F"/>
    <w:rsid w:val="00C96DBB"/>
    <w:rsid w:val="00C9734D"/>
    <w:rsid w:val="00C979F1"/>
    <w:rsid w:val="00CA156C"/>
    <w:rsid w:val="00CA16F1"/>
    <w:rsid w:val="00CA30AB"/>
    <w:rsid w:val="00CB4219"/>
    <w:rsid w:val="00CB74E1"/>
    <w:rsid w:val="00CB79C1"/>
    <w:rsid w:val="00CB7DB9"/>
    <w:rsid w:val="00CC2CE9"/>
    <w:rsid w:val="00CC3971"/>
    <w:rsid w:val="00CC408A"/>
    <w:rsid w:val="00CC6E16"/>
    <w:rsid w:val="00CD0A09"/>
    <w:rsid w:val="00CD1F6D"/>
    <w:rsid w:val="00CD7009"/>
    <w:rsid w:val="00CD701F"/>
    <w:rsid w:val="00CE1F99"/>
    <w:rsid w:val="00CE2B6F"/>
    <w:rsid w:val="00CE434C"/>
    <w:rsid w:val="00CF1D47"/>
    <w:rsid w:val="00CF344E"/>
    <w:rsid w:val="00D02BE1"/>
    <w:rsid w:val="00D04FAD"/>
    <w:rsid w:val="00D07736"/>
    <w:rsid w:val="00D103ED"/>
    <w:rsid w:val="00D10B65"/>
    <w:rsid w:val="00D156FA"/>
    <w:rsid w:val="00D16744"/>
    <w:rsid w:val="00D2392F"/>
    <w:rsid w:val="00D23D83"/>
    <w:rsid w:val="00D250F0"/>
    <w:rsid w:val="00D2759D"/>
    <w:rsid w:val="00D30364"/>
    <w:rsid w:val="00D31476"/>
    <w:rsid w:val="00D31835"/>
    <w:rsid w:val="00D32491"/>
    <w:rsid w:val="00D36A7C"/>
    <w:rsid w:val="00D440FA"/>
    <w:rsid w:val="00D522D9"/>
    <w:rsid w:val="00D527F7"/>
    <w:rsid w:val="00D54C98"/>
    <w:rsid w:val="00D6184C"/>
    <w:rsid w:val="00D61B0C"/>
    <w:rsid w:val="00D62541"/>
    <w:rsid w:val="00D62A0F"/>
    <w:rsid w:val="00D635AB"/>
    <w:rsid w:val="00D66B9E"/>
    <w:rsid w:val="00D744D6"/>
    <w:rsid w:val="00D75BD3"/>
    <w:rsid w:val="00D77D95"/>
    <w:rsid w:val="00D83C7C"/>
    <w:rsid w:val="00D9102D"/>
    <w:rsid w:val="00D9284E"/>
    <w:rsid w:val="00D93947"/>
    <w:rsid w:val="00DA22BB"/>
    <w:rsid w:val="00DA51EF"/>
    <w:rsid w:val="00DB3EB6"/>
    <w:rsid w:val="00DB44C1"/>
    <w:rsid w:val="00DC0BD3"/>
    <w:rsid w:val="00DC55A6"/>
    <w:rsid w:val="00DC6BF3"/>
    <w:rsid w:val="00DC7D73"/>
    <w:rsid w:val="00DD0AC0"/>
    <w:rsid w:val="00DD2CFF"/>
    <w:rsid w:val="00DE1B98"/>
    <w:rsid w:val="00DE2E3C"/>
    <w:rsid w:val="00DE3F06"/>
    <w:rsid w:val="00DE3FD8"/>
    <w:rsid w:val="00DE45E1"/>
    <w:rsid w:val="00DE5C02"/>
    <w:rsid w:val="00DE5E1C"/>
    <w:rsid w:val="00DF1519"/>
    <w:rsid w:val="00DF2AE8"/>
    <w:rsid w:val="00DF383B"/>
    <w:rsid w:val="00DF4407"/>
    <w:rsid w:val="00DF6227"/>
    <w:rsid w:val="00DF6A4B"/>
    <w:rsid w:val="00DF6DC3"/>
    <w:rsid w:val="00E003B1"/>
    <w:rsid w:val="00E011FC"/>
    <w:rsid w:val="00E03629"/>
    <w:rsid w:val="00E06AE4"/>
    <w:rsid w:val="00E06D7C"/>
    <w:rsid w:val="00E156DF"/>
    <w:rsid w:val="00E15DBC"/>
    <w:rsid w:val="00E20B8C"/>
    <w:rsid w:val="00E21AE0"/>
    <w:rsid w:val="00E25420"/>
    <w:rsid w:val="00E26825"/>
    <w:rsid w:val="00E346B0"/>
    <w:rsid w:val="00E40580"/>
    <w:rsid w:val="00E41932"/>
    <w:rsid w:val="00E46577"/>
    <w:rsid w:val="00E52E9E"/>
    <w:rsid w:val="00E60930"/>
    <w:rsid w:val="00E60AE4"/>
    <w:rsid w:val="00E60F50"/>
    <w:rsid w:val="00E61A9A"/>
    <w:rsid w:val="00E628FF"/>
    <w:rsid w:val="00E63C4D"/>
    <w:rsid w:val="00E711FE"/>
    <w:rsid w:val="00E72E3B"/>
    <w:rsid w:val="00E82FC4"/>
    <w:rsid w:val="00E8631C"/>
    <w:rsid w:val="00E8676F"/>
    <w:rsid w:val="00E9034C"/>
    <w:rsid w:val="00E909A5"/>
    <w:rsid w:val="00E90ABA"/>
    <w:rsid w:val="00E91523"/>
    <w:rsid w:val="00E9277D"/>
    <w:rsid w:val="00E92A6D"/>
    <w:rsid w:val="00E9519A"/>
    <w:rsid w:val="00E9761F"/>
    <w:rsid w:val="00EA15E5"/>
    <w:rsid w:val="00EA32B3"/>
    <w:rsid w:val="00EA435B"/>
    <w:rsid w:val="00EA620E"/>
    <w:rsid w:val="00EB0D22"/>
    <w:rsid w:val="00EB32DB"/>
    <w:rsid w:val="00EB4CF4"/>
    <w:rsid w:val="00EB705A"/>
    <w:rsid w:val="00EC0759"/>
    <w:rsid w:val="00ED0077"/>
    <w:rsid w:val="00ED0C3D"/>
    <w:rsid w:val="00ED2F21"/>
    <w:rsid w:val="00EE033C"/>
    <w:rsid w:val="00EF02DE"/>
    <w:rsid w:val="00EF07B2"/>
    <w:rsid w:val="00EF2D44"/>
    <w:rsid w:val="00EF4046"/>
    <w:rsid w:val="00EF6995"/>
    <w:rsid w:val="00EF76FA"/>
    <w:rsid w:val="00F00E92"/>
    <w:rsid w:val="00F024BF"/>
    <w:rsid w:val="00F15AFD"/>
    <w:rsid w:val="00F16ABA"/>
    <w:rsid w:val="00F170BD"/>
    <w:rsid w:val="00F21482"/>
    <w:rsid w:val="00F21BF4"/>
    <w:rsid w:val="00F3154A"/>
    <w:rsid w:val="00F32C67"/>
    <w:rsid w:val="00F41A66"/>
    <w:rsid w:val="00F42D73"/>
    <w:rsid w:val="00F45B14"/>
    <w:rsid w:val="00F45FEA"/>
    <w:rsid w:val="00F477F5"/>
    <w:rsid w:val="00F52ECB"/>
    <w:rsid w:val="00F55CA6"/>
    <w:rsid w:val="00F56EEB"/>
    <w:rsid w:val="00F571E7"/>
    <w:rsid w:val="00F71AB5"/>
    <w:rsid w:val="00F75127"/>
    <w:rsid w:val="00F83B45"/>
    <w:rsid w:val="00F85FD3"/>
    <w:rsid w:val="00FA0509"/>
    <w:rsid w:val="00FA0B42"/>
    <w:rsid w:val="00FA0F6A"/>
    <w:rsid w:val="00FA27F5"/>
    <w:rsid w:val="00FA2A64"/>
    <w:rsid w:val="00FA3786"/>
    <w:rsid w:val="00FA785B"/>
    <w:rsid w:val="00FB270C"/>
    <w:rsid w:val="00FB2DCE"/>
    <w:rsid w:val="00FB4243"/>
    <w:rsid w:val="00FB5220"/>
    <w:rsid w:val="00FB5B23"/>
    <w:rsid w:val="00FB6260"/>
    <w:rsid w:val="00FB69AB"/>
    <w:rsid w:val="00FC4A9A"/>
    <w:rsid w:val="00FC6019"/>
    <w:rsid w:val="00FC64F6"/>
    <w:rsid w:val="00FD19A3"/>
    <w:rsid w:val="00FD2D58"/>
    <w:rsid w:val="00FD4B40"/>
    <w:rsid w:val="00FD4E9D"/>
    <w:rsid w:val="00FE5217"/>
    <w:rsid w:val="00FE7594"/>
    <w:rsid w:val="00FF2591"/>
    <w:rsid w:val="00FF3A52"/>
    <w:rsid w:val="00FF47C9"/>
    <w:rsid w:val="00FF4A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874"/>
    <w:rPr>
      <w:sz w:val="24"/>
      <w:szCs w:val="24"/>
    </w:rPr>
  </w:style>
  <w:style w:type="paragraph" w:styleId="Heading1">
    <w:name w:val="heading 1"/>
    <w:basedOn w:val="Level1"/>
    <w:next w:val="Normal"/>
    <w:link w:val="Heading1Char"/>
    <w:qFormat/>
    <w:rsid w:val="00233E91"/>
    <w:pPr>
      <w:keepNext/>
      <w:keepLines/>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hanging="720"/>
      <w:outlineLvl w:val="0"/>
    </w:pPr>
    <w:rPr>
      <w:b/>
      <w:bCs/>
    </w:rPr>
  </w:style>
  <w:style w:type="paragraph" w:styleId="Heading2">
    <w:name w:val="heading 2"/>
    <w:basedOn w:val="Level1"/>
    <w:next w:val="Normal"/>
    <w:link w:val="Heading2Char"/>
    <w:qFormat/>
    <w:rsid w:val="00233E91"/>
    <w:pPr>
      <w:keepNext/>
      <w:keepLines/>
      <w:widowControl w:val="0"/>
      <w:ind w:hanging="720"/>
      <w:outlineLvl w:val="1"/>
    </w:pPr>
    <w:rPr>
      <w:i/>
      <w:iCs/>
    </w:rPr>
  </w:style>
  <w:style w:type="paragraph" w:styleId="Heading3">
    <w:name w:val="heading 3"/>
    <w:basedOn w:val="Normal"/>
    <w:next w:val="Normal"/>
    <w:link w:val="Heading3Char"/>
    <w:qFormat/>
    <w:rsid w:val="00233E91"/>
    <w:pPr>
      <w:keepNext/>
      <w:keepLines/>
      <w:widowControl w:val="0"/>
      <w:tabs>
        <w:tab w:val="left" w:pos="0"/>
      </w:tabs>
      <w:autoSpaceDE w:val="0"/>
      <w:autoSpaceDN w:val="0"/>
      <w:adjustRightInd w:val="0"/>
      <w:spacing w:before="120"/>
      <w:ind w:firstLine="720"/>
      <w:outlineLvl w:val="2"/>
    </w:pPr>
    <w:rPr>
      <w:i/>
      <w:iCs/>
      <w:color w:val="000000"/>
    </w:rPr>
  </w:style>
  <w:style w:type="paragraph" w:styleId="Heading4">
    <w:name w:val="heading 4"/>
    <w:basedOn w:val="Normal"/>
    <w:link w:val="Heading4Char"/>
    <w:uiPriority w:val="9"/>
    <w:qFormat/>
    <w:rsid w:val="008D10A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DF4407"/>
    <w:pPr>
      <w:autoSpaceDE w:val="0"/>
      <w:autoSpaceDN w:val="0"/>
      <w:adjustRightInd w:val="0"/>
      <w:ind w:left="720"/>
    </w:pPr>
    <w:rPr>
      <w:sz w:val="24"/>
      <w:szCs w:val="24"/>
    </w:rPr>
  </w:style>
  <w:style w:type="character" w:customStyle="1" w:styleId="Heading1Char">
    <w:name w:val="Heading 1 Char"/>
    <w:basedOn w:val="DefaultParagraphFont"/>
    <w:link w:val="Heading1"/>
    <w:rsid w:val="00233E91"/>
    <w:rPr>
      <w:b/>
      <w:bCs/>
      <w:sz w:val="24"/>
      <w:szCs w:val="24"/>
    </w:rPr>
  </w:style>
  <w:style w:type="character" w:customStyle="1" w:styleId="Heading2Char">
    <w:name w:val="Heading 2 Char"/>
    <w:basedOn w:val="DefaultParagraphFont"/>
    <w:link w:val="Heading2"/>
    <w:rsid w:val="00233E91"/>
    <w:rPr>
      <w:i/>
      <w:iCs/>
      <w:sz w:val="24"/>
      <w:szCs w:val="24"/>
    </w:rPr>
  </w:style>
  <w:style w:type="character" w:customStyle="1" w:styleId="Heading3Char">
    <w:name w:val="Heading 3 Char"/>
    <w:basedOn w:val="DefaultParagraphFont"/>
    <w:link w:val="Heading3"/>
    <w:rsid w:val="00233E91"/>
    <w:rPr>
      <w:i/>
      <w:iCs/>
      <w:color w:val="000000"/>
      <w:sz w:val="24"/>
      <w:szCs w:val="24"/>
    </w:rPr>
  </w:style>
  <w:style w:type="character" w:customStyle="1" w:styleId="Heading4Char">
    <w:name w:val="Heading 4 Char"/>
    <w:basedOn w:val="DefaultParagraphFont"/>
    <w:link w:val="Heading4"/>
    <w:uiPriority w:val="9"/>
    <w:rsid w:val="008D10A2"/>
    <w:rPr>
      <w:b/>
      <w:bCs/>
      <w:sz w:val="24"/>
      <w:szCs w:val="24"/>
    </w:rPr>
  </w:style>
  <w:style w:type="character" w:customStyle="1" w:styleId="table">
    <w:name w:val="table"/>
    <w:rsid w:val="00417036"/>
    <w:rPr>
      <w:b/>
      <w:bCs/>
      <w:sz w:val="28"/>
      <w:szCs w:val="28"/>
    </w:rPr>
  </w:style>
  <w:style w:type="paragraph" w:styleId="Footer">
    <w:name w:val="footer"/>
    <w:basedOn w:val="Normal"/>
    <w:link w:val="FooterChar"/>
    <w:rsid w:val="00D62A0F"/>
    <w:pPr>
      <w:tabs>
        <w:tab w:val="center" w:pos="4320"/>
        <w:tab w:val="right" w:pos="8640"/>
      </w:tabs>
    </w:pPr>
  </w:style>
  <w:style w:type="character" w:customStyle="1" w:styleId="FooterChar">
    <w:name w:val="Footer Char"/>
    <w:basedOn w:val="DefaultParagraphFont"/>
    <w:link w:val="Footer"/>
    <w:rsid w:val="00233E91"/>
    <w:rPr>
      <w:sz w:val="24"/>
      <w:szCs w:val="24"/>
    </w:rPr>
  </w:style>
  <w:style w:type="character" w:styleId="PageNumber">
    <w:name w:val="page number"/>
    <w:basedOn w:val="DefaultParagraphFont"/>
    <w:rsid w:val="00D62A0F"/>
  </w:style>
  <w:style w:type="paragraph" w:styleId="FootnoteText">
    <w:name w:val="footnote text"/>
    <w:aliases w:val="Preamble Footnote Text"/>
    <w:basedOn w:val="Normal"/>
    <w:link w:val="FootnoteTextChar"/>
    <w:qFormat/>
    <w:rsid w:val="0017184A"/>
    <w:rPr>
      <w:sz w:val="20"/>
      <w:szCs w:val="20"/>
    </w:rPr>
  </w:style>
  <w:style w:type="character" w:customStyle="1" w:styleId="FootnoteTextChar">
    <w:name w:val="Footnote Text Char"/>
    <w:aliases w:val="Preamble Footnote Text Char"/>
    <w:basedOn w:val="DefaultParagraphFont"/>
    <w:link w:val="FootnoteText"/>
    <w:rsid w:val="00233E91"/>
  </w:style>
  <w:style w:type="character" w:styleId="FootnoteReference">
    <w:name w:val="footnote reference"/>
    <w:basedOn w:val="DefaultParagraphFont"/>
    <w:rsid w:val="0017184A"/>
    <w:rPr>
      <w:vertAlign w:val="superscript"/>
    </w:rPr>
  </w:style>
  <w:style w:type="paragraph" w:styleId="EndnoteText">
    <w:name w:val="endnote text"/>
    <w:basedOn w:val="Normal"/>
    <w:semiHidden/>
    <w:rsid w:val="0017184A"/>
    <w:rPr>
      <w:sz w:val="20"/>
      <w:szCs w:val="20"/>
    </w:rPr>
  </w:style>
  <w:style w:type="character" w:styleId="EndnoteReference">
    <w:name w:val="endnote reference"/>
    <w:basedOn w:val="DefaultParagraphFont"/>
    <w:semiHidden/>
    <w:rsid w:val="0017184A"/>
    <w:rPr>
      <w:vertAlign w:val="superscript"/>
    </w:rPr>
  </w:style>
  <w:style w:type="paragraph" w:styleId="Header">
    <w:name w:val="header"/>
    <w:basedOn w:val="Normal"/>
    <w:link w:val="HeaderChar"/>
    <w:rsid w:val="00596BE1"/>
    <w:pPr>
      <w:tabs>
        <w:tab w:val="center" w:pos="4320"/>
        <w:tab w:val="right" w:pos="8640"/>
      </w:tabs>
    </w:pPr>
  </w:style>
  <w:style w:type="character" w:customStyle="1" w:styleId="HeaderChar">
    <w:name w:val="Header Char"/>
    <w:basedOn w:val="DefaultParagraphFont"/>
    <w:link w:val="Header"/>
    <w:rsid w:val="00233E91"/>
    <w:rPr>
      <w:sz w:val="24"/>
      <w:szCs w:val="24"/>
    </w:rPr>
  </w:style>
  <w:style w:type="character" w:styleId="Hyperlink">
    <w:name w:val="Hyperlink"/>
    <w:basedOn w:val="DefaultParagraphFont"/>
    <w:uiPriority w:val="99"/>
    <w:rsid w:val="0080383B"/>
    <w:rPr>
      <w:color w:val="0000FF"/>
      <w:u w:val="single"/>
    </w:rPr>
  </w:style>
  <w:style w:type="paragraph" w:styleId="DocumentMap">
    <w:name w:val="Document Map"/>
    <w:basedOn w:val="Normal"/>
    <w:link w:val="DocumentMapChar"/>
    <w:semiHidden/>
    <w:rsid w:val="0049484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33E91"/>
    <w:rPr>
      <w:rFonts w:ascii="Tahoma" w:hAnsi="Tahoma" w:cs="Tahoma"/>
      <w:shd w:val="clear" w:color="auto" w:fill="000080"/>
    </w:rPr>
  </w:style>
  <w:style w:type="paragraph" w:styleId="BalloonText">
    <w:name w:val="Balloon Text"/>
    <w:basedOn w:val="Normal"/>
    <w:link w:val="BalloonTextChar"/>
    <w:rsid w:val="00754914"/>
    <w:rPr>
      <w:rFonts w:ascii="Tahoma" w:hAnsi="Tahoma" w:cs="Tahoma"/>
      <w:sz w:val="16"/>
      <w:szCs w:val="16"/>
    </w:rPr>
  </w:style>
  <w:style w:type="character" w:customStyle="1" w:styleId="BalloonTextChar">
    <w:name w:val="Balloon Text Char"/>
    <w:basedOn w:val="DefaultParagraphFont"/>
    <w:link w:val="BalloonText"/>
    <w:rsid w:val="00233E91"/>
    <w:rPr>
      <w:rFonts w:ascii="Tahoma" w:hAnsi="Tahoma" w:cs="Tahoma"/>
      <w:sz w:val="16"/>
      <w:szCs w:val="16"/>
    </w:rPr>
  </w:style>
  <w:style w:type="paragraph" w:styleId="ListParagraph">
    <w:name w:val="List Paragraph"/>
    <w:basedOn w:val="Normal"/>
    <w:uiPriority w:val="34"/>
    <w:qFormat/>
    <w:rsid w:val="00A31DDE"/>
    <w:pPr>
      <w:ind w:left="720"/>
      <w:contextualSpacing/>
    </w:pPr>
  </w:style>
  <w:style w:type="character" w:styleId="FollowedHyperlink">
    <w:name w:val="FollowedHyperlink"/>
    <w:basedOn w:val="DefaultParagraphFont"/>
    <w:rsid w:val="006E4C00"/>
    <w:rPr>
      <w:color w:val="800080" w:themeColor="followedHyperlink"/>
      <w:u w:val="single"/>
    </w:rPr>
  </w:style>
  <w:style w:type="paragraph" w:customStyle="1" w:styleId="asource-2">
    <w:name w:val="asource-2"/>
    <w:basedOn w:val="Normal"/>
    <w:qFormat/>
    <w:rsid w:val="00296CB0"/>
    <w:pPr>
      <w:widowControl w:val="0"/>
      <w:autoSpaceDE w:val="0"/>
      <w:autoSpaceDN w:val="0"/>
      <w:adjustRightInd w:val="0"/>
      <w:spacing w:after="240"/>
      <w:ind w:left="180" w:hanging="180"/>
    </w:pPr>
    <w:rPr>
      <w:color w:val="000000"/>
      <w:sz w:val="18"/>
      <w:szCs w:val="18"/>
    </w:rPr>
  </w:style>
  <w:style w:type="paragraph" w:customStyle="1" w:styleId="tabletitle">
    <w:name w:val="table title"/>
    <w:basedOn w:val="Normal"/>
    <w:rsid w:val="00E9034C"/>
    <w:pPr>
      <w:widowControl w:val="0"/>
      <w:tabs>
        <w:tab w:val="left" w:pos="0"/>
      </w:tabs>
      <w:autoSpaceDE w:val="0"/>
      <w:autoSpaceDN w:val="0"/>
      <w:adjustRightInd w:val="0"/>
      <w:spacing w:after="120"/>
    </w:pPr>
    <w:rPr>
      <w:rFonts w:ascii="Arial" w:hAnsi="Arial" w:cs="Arial"/>
      <w:b/>
      <w:bCs/>
      <w:sz w:val="22"/>
      <w:szCs w:val="22"/>
    </w:rPr>
  </w:style>
  <w:style w:type="character" w:styleId="CommentReference">
    <w:name w:val="annotation reference"/>
    <w:basedOn w:val="DefaultParagraphFont"/>
    <w:unhideWhenUsed/>
    <w:rsid w:val="00233E91"/>
    <w:rPr>
      <w:sz w:val="16"/>
      <w:szCs w:val="16"/>
    </w:rPr>
  </w:style>
  <w:style w:type="paragraph" w:styleId="CommentText">
    <w:name w:val="annotation text"/>
    <w:basedOn w:val="Normal"/>
    <w:link w:val="CommentTextChar"/>
    <w:unhideWhenUsed/>
    <w:rsid w:val="00233E91"/>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233E91"/>
    <w:rPr>
      <w:rFonts w:ascii="Calibri" w:eastAsia="Calibri" w:hAnsi="Calibri"/>
    </w:rPr>
  </w:style>
  <w:style w:type="paragraph" w:styleId="CommentSubject">
    <w:name w:val="annotation subject"/>
    <w:basedOn w:val="CommentText"/>
    <w:next w:val="CommentText"/>
    <w:link w:val="CommentSubjectChar"/>
    <w:unhideWhenUsed/>
    <w:rsid w:val="00233E91"/>
    <w:rPr>
      <w:b/>
      <w:bCs/>
    </w:rPr>
  </w:style>
  <w:style w:type="character" w:customStyle="1" w:styleId="CommentSubjectChar">
    <w:name w:val="Comment Subject Char"/>
    <w:basedOn w:val="CommentTextChar"/>
    <w:link w:val="CommentSubject"/>
    <w:rsid w:val="00233E91"/>
    <w:rPr>
      <w:rFonts w:ascii="Calibri" w:eastAsia="Calibri" w:hAnsi="Calibri"/>
      <w:b/>
      <w:bCs/>
    </w:rPr>
  </w:style>
  <w:style w:type="paragraph" w:customStyle="1" w:styleId="asource-1">
    <w:name w:val="asource-1"/>
    <w:basedOn w:val="Normal"/>
    <w:qFormat/>
    <w:rsid w:val="00233E91"/>
    <w:pPr>
      <w:widowControl w:val="0"/>
      <w:autoSpaceDE w:val="0"/>
      <w:autoSpaceDN w:val="0"/>
      <w:adjustRightInd w:val="0"/>
      <w:ind w:left="180" w:hanging="180"/>
    </w:pPr>
    <w:rPr>
      <w:color w:val="000000"/>
      <w:sz w:val="18"/>
      <w:szCs w:val="18"/>
    </w:rPr>
  </w:style>
  <w:style w:type="paragraph" w:customStyle="1" w:styleId="BodyTextIndent1">
    <w:name w:val="Body Text Indent1"/>
    <w:basedOn w:val="Normal"/>
    <w:rsid w:val="00233E91"/>
    <w:pPr>
      <w:autoSpaceDE w:val="0"/>
      <w:autoSpaceDN w:val="0"/>
      <w:adjustRightInd w:val="0"/>
      <w:spacing w:after="240"/>
      <w:ind w:left="720"/>
    </w:pPr>
  </w:style>
  <w:style w:type="paragraph" w:customStyle="1" w:styleId="BodyText1">
    <w:name w:val="Body Text1"/>
    <w:basedOn w:val="Heading2"/>
    <w:rsid w:val="00233E91"/>
  </w:style>
  <w:style w:type="paragraph" w:customStyle="1" w:styleId="head2">
    <w:name w:val="head 2"/>
    <w:basedOn w:val="BodyText1"/>
    <w:rsid w:val="00233E91"/>
  </w:style>
  <w:style w:type="paragraph" w:customStyle="1" w:styleId="List1">
    <w:name w:val="List1"/>
    <w:basedOn w:val="BodyText1"/>
    <w:rsid w:val="00233E91"/>
    <w:pPr>
      <w:tabs>
        <w:tab w:val="left" w:pos="720"/>
      </w:tabs>
      <w:spacing w:after="240"/>
    </w:pPr>
    <w:rPr>
      <w:i w:val="0"/>
      <w:iCs w:val="0"/>
    </w:rPr>
  </w:style>
  <w:style w:type="paragraph" w:customStyle="1" w:styleId="aa">
    <w:name w:val="a(a)"/>
    <w:basedOn w:val="Heading2"/>
    <w:qFormat/>
    <w:rsid w:val="00233E91"/>
  </w:style>
  <w:style w:type="paragraph" w:styleId="PlainText">
    <w:name w:val="Plain Text"/>
    <w:basedOn w:val="Normal"/>
    <w:link w:val="PlainTextChar"/>
    <w:uiPriority w:val="99"/>
    <w:unhideWhenUsed/>
    <w:rsid w:val="00233E91"/>
    <w:rPr>
      <w:rFonts w:ascii="Consolas" w:eastAsia="Calibri" w:hAnsi="Consolas"/>
      <w:sz w:val="21"/>
      <w:szCs w:val="21"/>
    </w:rPr>
  </w:style>
  <w:style w:type="character" w:customStyle="1" w:styleId="PlainTextChar">
    <w:name w:val="Plain Text Char"/>
    <w:basedOn w:val="DefaultParagraphFont"/>
    <w:link w:val="PlainText"/>
    <w:uiPriority w:val="99"/>
    <w:rsid w:val="00233E91"/>
    <w:rPr>
      <w:rFonts w:ascii="Consolas" w:eastAsia="Calibri" w:hAnsi="Consolas"/>
      <w:sz w:val="21"/>
      <w:szCs w:val="21"/>
    </w:rPr>
  </w:style>
  <w:style w:type="character" w:customStyle="1" w:styleId="SYSHYPERTEXT">
    <w:name w:val="SYS_HYPERTEXT"/>
    <w:rsid w:val="000B1EAF"/>
    <w:rPr>
      <w:color w:val="0000FF"/>
      <w:u w:val="single"/>
    </w:rPr>
  </w:style>
  <w:style w:type="paragraph" w:customStyle="1" w:styleId="TableContents">
    <w:name w:val="Table Contents"/>
    <w:basedOn w:val="Normal"/>
    <w:rsid w:val="00DF6A4B"/>
    <w:pPr>
      <w:suppressLineNumbers/>
      <w:suppressAutoHyphens/>
    </w:pPr>
    <w:rPr>
      <w:rFonts w:eastAsia="SimSun" w:cs="Mangal"/>
      <w:kern w:val="1"/>
      <w:lang w:eastAsia="hi-IN" w:bidi="hi-IN"/>
    </w:rPr>
  </w:style>
  <w:style w:type="paragraph" w:styleId="BodyText">
    <w:name w:val="Body Text"/>
    <w:basedOn w:val="Normal"/>
    <w:link w:val="BodyTextChar"/>
    <w:rsid w:val="00EF6995"/>
    <w:pPr>
      <w:suppressAutoHyphens/>
      <w:spacing w:after="120"/>
    </w:pPr>
    <w:rPr>
      <w:rFonts w:eastAsia="SimSun" w:cs="Mangal"/>
      <w:kern w:val="1"/>
      <w:lang w:eastAsia="hi-IN" w:bidi="hi-IN"/>
    </w:rPr>
  </w:style>
  <w:style w:type="character" w:customStyle="1" w:styleId="BodyTextChar">
    <w:name w:val="Body Text Char"/>
    <w:basedOn w:val="DefaultParagraphFont"/>
    <w:link w:val="BodyText"/>
    <w:rsid w:val="00EF6995"/>
    <w:rPr>
      <w:rFonts w:eastAsia="SimSun" w:cs="Mangal"/>
      <w:kern w:val="1"/>
      <w:sz w:val="24"/>
      <w:szCs w:val="24"/>
      <w:lang w:eastAsia="hi-IN" w:bidi="hi-IN"/>
    </w:rPr>
  </w:style>
  <w:style w:type="paragraph" w:styleId="NoSpacing">
    <w:name w:val="No Spacing"/>
    <w:uiPriority w:val="1"/>
    <w:qFormat/>
    <w:rsid w:val="009D5748"/>
    <w:rPr>
      <w:sz w:val="24"/>
      <w:szCs w:val="24"/>
    </w:rPr>
  </w:style>
  <w:style w:type="table" w:styleId="TableGrid">
    <w:name w:val="Table Grid"/>
    <w:basedOn w:val="TableNormal"/>
    <w:rsid w:val="005151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3E3A9D"/>
    <w:pPr>
      <w:tabs>
        <w:tab w:val="left" w:pos="450"/>
        <w:tab w:val="right" w:leader="dot" w:pos="10070"/>
      </w:tabs>
      <w:spacing w:after="100"/>
      <w:ind w:left="450" w:hanging="450"/>
    </w:pPr>
  </w:style>
  <w:style w:type="paragraph" w:styleId="TOC2">
    <w:name w:val="toc 2"/>
    <w:basedOn w:val="Normal"/>
    <w:next w:val="Normal"/>
    <w:autoRedefine/>
    <w:uiPriority w:val="39"/>
    <w:rsid w:val="00617330"/>
    <w:pPr>
      <w:tabs>
        <w:tab w:val="left" w:pos="990"/>
        <w:tab w:val="right" w:leader="dot" w:pos="10070"/>
      </w:tabs>
      <w:spacing w:after="100"/>
      <w:ind w:left="446"/>
    </w:pPr>
  </w:style>
  <w:style w:type="paragraph" w:styleId="TOC3">
    <w:name w:val="toc 3"/>
    <w:basedOn w:val="Normal"/>
    <w:next w:val="Normal"/>
    <w:autoRedefine/>
    <w:uiPriority w:val="39"/>
    <w:rsid w:val="003E3A9D"/>
    <w:pPr>
      <w:tabs>
        <w:tab w:val="left" w:pos="1800"/>
        <w:tab w:val="right" w:leader="dot" w:pos="10070"/>
      </w:tabs>
      <w:spacing w:after="100"/>
      <w:ind w:left="99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874"/>
    <w:rPr>
      <w:sz w:val="24"/>
      <w:szCs w:val="24"/>
    </w:rPr>
  </w:style>
  <w:style w:type="paragraph" w:styleId="Heading1">
    <w:name w:val="heading 1"/>
    <w:basedOn w:val="Level1"/>
    <w:next w:val="Normal"/>
    <w:link w:val="Heading1Char"/>
    <w:qFormat/>
    <w:rsid w:val="00233E91"/>
    <w:pPr>
      <w:keepNext/>
      <w:keepLines/>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hanging="720"/>
      <w:outlineLvl w:val="0"/>
    </w:pPr>
    <w:rPr>
      <w:b/>
      <w:bCs/>
    </w:rPr>
  </w:style>
  <w:style w:type="paragraph" w:styleId="Heading2">
    <w:name w:val="heading 2"/>
    <w:basedOn w:val="Level1"/>
    <w:next w:val="Normal"/>
    <w:link w:val="Heading2Char"/>
    <w:qFormat/>
    <w:rsid w:val="00233E91"/>
    <w:pPr>
      <w:keepNext/>
      <w:keepLines/>
      <w:widowControl w:val="0"/>
      <w:ind w:hanging="720"/>
      <w:outlineLvl w:val="1"/>
    </w:pPr>
    <w:rPr>
      <w:i/>
      <w:iCs/>
    </w:rPr>
  </w:style>
  <w:style w:type="paragraph" w:styleId="Heading3">
    <w:name w:val="heading 3"/>
    <w:basedOn w:val="Normal"/>
    <w:next w:val="Normal"/>
    <w:link w:val="Heading3Char"/>
    <w:qFormat/>
    <w:rsid w:val="00233E91"/>
    <w:pPr>
      <w:keepNext/>
      <w:keepLines/>
      <w:widowControl w:val="0"/>
      <w:tabs>
        <w:tab w:val="left" w:pos="0"/>
      </w:tabs>
      <w:autoSpaceDE w:val="0"/>
      <w:autoSpaceDN w:val="0"/>
      <w:adjustRightInd w:val="0"/>
      <w:spacing w:before="120"/>
      <w:ind w:firstLine="720"/>
      <w:outlineLvl w:val="2"/>
    </w:pPr>
    <w:rPr>
      <w:i/>
      <w:iCs/>
      <w:color w:val="000000"/>
    </w:rPr>
  </w:style>
  <w:style w:type="paragraph" w:styleId="Heading4">
    <w:name w:val="heading 4"/>
    <w:basedOn w:val="Normal"/>
    <w:link w:val="Heading4Char"/>
    <w:uiPriority w:val="9"/>
    <w:qFormat/>
    <w:rsid w:val="008D10A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DF4407"/>
    <w:pPr>
      <w:autoSpaceDE w:val="0"/>
      <w:autoSpaceDN w:val="0"/>
      <w:adjustRightInd w:val="0"/>
      <w:ind w:left="720"/>
    </w:pPr>
    <w:rPr>
      <w:sz w:val="24"/>
      <w:szCs w:val="24"/>
    </w:rPr>
  </w:style>
  <w:style w:type="character" w:customStyle="1" w:styleId="Heading1Char">
    <w:name w:val="Heading 1 Char"/>
    <w:basedOn w:val="DefaultParagraphFont"/>
    <w:link w:val="Heading1"/>
    <w:rsid w:val="00233E91"/>
    <w:rPr>
      <w:b/>
      <w:bCs/>
      <w:sz w:val="24"/>
      <w:szCs w:val="24"/>
    </w:rPr>
  </w:style>
  <w:style w:type="character" w:customStyle="1" w:styleId="Heading2Char">
    <w:name w:val="Heading 2 Char"/>
    <w:basedOn w:val="DefaultParagraphFont"/>
    <w:link w:val="Heading2"/>
    <w:rsid w:val="00233E91"/>
    <w:rPr>
      <w:i/>
      <w:iCs/>
      <w:sz w:val="24"/>
      <w:szCs w:val="24"/>
    </w:rPr>
  </w:style>
  <w:style w:type="character" w:customStyle="1" w:styleId="Heading3Char">
    <w:name w:val="Heading 3 Char"/>
    <w:basedOn w:val="DefaultParagraphFont"/>
    <w:link w:val="Heading3"/>
    <w:rsid w:val="00233E91"/>
    <w:rPr>
      <w:i/>
      <w:iCs/>
      <w:color w:val="000000"/>
      <w:sz w:val="24"/>
      <w:szCs w:val="24"/>
    </w:rPr>
  </w:style>
  <w:style w:type="character" w:customStyle="1" w:styleId="Heading4Char">
    <w:name w:val="Heading 4 Char"/>
    <w:basedOn w:val="DefaultParagraphFont"/>
    <w:link w:val="Heading4"/>
    <w:uiPriority w:val="9"/>
    <w:rsid w:val="008D10A2"/>
    <w:rPr>
      <w:b/>
      <w:bCs/>
      <w:sz w:val="24"/>
      <w:szCs w:val="24"/>
    </w:rPr>
  </w:style>
  <w:style w:type="character" w:customStyle="1" w:styleId="table">
    <w:name w:val="table"/>
    <w:rsid w:val="00417036"/>
    <w:rPr>
      <w:b/>
      <w:bCs/>
      <w:sz w:val="28"/>
      <w:szCs w:val="28"/>
    </w:rPr>
  </w:style>
  <w:style w:type="paragraph" w:styleId="Footer">
    <w:name w:val="footer"/>
    <w:basedOn w:val="Normal"/>
    <w:link w:val="FooterChar"/>
    <w:rsid w:val="00D62A0F"/>
    <w:pPr>
      <w:tabs>
        <w:tab w:val="center" w:pos="4320"/>
        <w:tab w:val="right" w:pos="8640"/>
      </w:tabs>
    </w:pPr>
  </w:style>
  <w:style w:type="character" w:customStyle="1" w:styleId="FooterChar">
    <w:name w:val="Footer Char"/>
    <w:basedOn w:val="DefaultParagraphFont"/>
    <w:link w:val="Footer"/>
    <w:rsid w:val="00233E91"/>
    <w:rPr>
      <w:sz w:val="24"/>
      <w:szCs w:val="24"/>
    </w:rPr>
  </w:style>
  <w:style w:type="character" w:styleId="PageNumber">
    <w:name w:val="page number"/>
    <w:basedOn w:val="DefaultParagraphFont"/>
    <w:rsid w:val="00D62A0F"/>
  </w:style>
  <w:style w:type="paragraph" w:styleId="FootnoteText">
    <w:name w:val="footnote text"/>
    <w:aliases w:val="Preamble Footnote Text"/>
    <w:basedOn w:val="Normal"/>
    <w:link w:val="FootnoteTextChar"/>
    <w:qFormat/>
    <w:rsid w:val="0017184A"/>
    <w:rPr>
      <w:sz w:val="20"/>
      <w:szCs w:val="20"/>
    </w:rPr>
  </w:style>
  <w:style w:type="character" w:customStyle="1" w:styleId="FootnoteTextChar">
    <w:name w:val="Footnote Text Char"/>
    <w:aliases w:val="Preamble Footnote Text Char"/>
    <w:basedOn w:val="DefaultParagraphFont"/>
    <w:link w:val="FootnoteText"/>
    <w:rsid w:val="00233E91"/>
  </w:style>
  <w:style w:type="character" w:styleId="FootnoteReference">
    <w:name w:val="footnote reference"/>
    <w:basedOn w:val="DefaultParagraphFont"/>
    <w:rsid w:val="0017184A"/>
    <w:rPr>
      <w:vertAlign w:val="superscript"/>
    </w:rPr>
  </w:style>
  <w:style w:type="paragraph" w:styleId="EndnoteText">
    <w:name w:val="endnote text"/>
    <w:basedOn w:val="Normal"/>
    <w:semiHidden/>
    <w:rsid w:val="0017184A"/>
    <w:rPr>
      <w:sz w:val="20"/>
      <w:szCs w:val="20"/>
    </w:rPr>
  </w:style>
  <w:style w:type="character" w:styleId="EndnoteReference">
    <w:name w:val="endnote reference"/>
    <w:basedOn w:val="DefaultParagraphFont"/>
    <w:semiHidden/>
    <w:rsid w:val="0017184A"/>
    <w:rPr>
      <w:vertAlign w:val="superscript"/>
    </w:rPr>
  </w:style>
  <w:style w:type="paragraph" w:styleId="Header">
    <w:name w:val="header"/>
    <w:basedOn w:val="Normal"/>
    <w:link w:val="HeaderChar"/>
    <w:rsid w:val="00596BE1"/>
    <w:pPr>
      <w:tabs>
        <w:tab w:val="center" w:pos="4320"/>
        <w:tab w:val="right" w:pos="8640"/>
      </w:tabs>
    </w:pPr>
  </w:style>
  <w:style w:type="character" w:customStyle="1" w:styleId="HeaderChar">
    <w:name w:val="Header Char"/>
    <w:basedOn w:val="DefaultParagraphFont"/>
    <w:link w:val="Header"/>
    <w:rsid w:val="00233E91"/>
    <w:rPr>
      <w:sz w:val="24"/>
      <w:szCs w:val="24"/>
    </w:rPr>
  </w:style>
  <w:style w:type="character" w:styleId="Hyperlink">
    <w:name w:val="Hyperlink"/>
    <w:basedOn w:val="DefaultParagraphFont"/>
    <w:uiPriority w:val="99"/>
    <w:rsid w:val="0080383B"/>
    <w:rPr>
      <w:color w:val="0000FF"/>
      <w:u w:val="single"/>
    </w:rPr>
  </w:style>
  <w:style w:type="paragraph" w:styleId="DocumentMap">
    <w:name w:val="Document Map"/>
    <w:basedOn w:val="Normal"/>
    <w:link w:val="DocumentMapChar"/>
    <w:semiHidden/>
    <w:rsid w:val="0049484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33E91"/>
    <w:rPr>
      <w:rFonts w:ascii="Tahoma" w:hAnsi="Tahoma" w:cs="Tahoma"/>
      <w:shd w:val="clear" w:color="auto" w:fill="000080"/>
    </w:rPr>
  </w:style>
  <w:style w:type="paragraph" w:styleId="BalloonText">
    <w:name w:val="Balloon Text"/>
    <w:basedOn w:val="Normal"/>
    <w:link w:val="BalloonTextChar"/>
    <w:rsid w:val="00754914"/>
    <w:rPr>
      <w:rFonts w:ascii="Tahoma" w:hAnsi="Tahoma" w:cs="Tahoma"/>
      <w:sz w:val="16"/>
      <w:szCs w:val="16"/>
    </w:rPr>
  </w:style>
  <w:style w:type="character" w:customStyle="1" w:styleId="BalloonTextChar">
    <w:name w:val="Balloon Text Char"/>
    <w:basedOn w:val="DefaultParagraphFont"/>
    <w:link w:val="BalloonText"/>
    <w:rsid w:val="00233E91"/>
    <w:rPr>
      <w:rFonts w:ascii="Tahoma" w:hAnsi="Tahoma" w:cs="Tahoma"/>
      <w:sz w:val="16"/>
      <w:szCs w:val="16"/>
    </w:rPr>
  </w:style>
  <w:style w:type="paragraph" w:styleId="ListParagraph">
    <w:name w:val="List Paragraph"/>
    <w:basedOn w:val="Normal"/>
    <w:uiPriority w:val="34"/>
    <w:qFormat/>
    <w:rsid w:val="00A31DDE"/>
    <w:pPr>
      <w:ind w:left="720"/>
      <w:contextualSpacing/>
    </w:pPr>
  </w:style>
  <w:style w:type="character" w:styleId="FollowedHyperlink">
    <w:name w:val="FollowedHyperlink"/>
    <w:basedOn w:val="DefaultParagraphFont"/>
    <w:rsid w:val="006E4C00"/>
    <w:rPr>
      <w:color w:val="800080" w:themeColor="followedHyperlink"/>
      <w:u w:val="single"/>
    </w:rPr>
  </w:style>
  <w:style w:type="paragraph" w:customStyle="1" w:styleId="asource-2">
    <w:name w:val="asource-2"/>
    <w:basedOn w:val="Normal"/>
    <w:qFormat/>
    <w:rsid w:val="00296CB0"/>
    <w:pPr>
      <w:widowControl w:val="0"/>
      <w:autoSpaceDE w:val="0"/>
      <w:autoSpaceDN w:val="0"/>
      <w:adjustRightInd w:val="0"/>
      <w:spacing w:after="240"/>
      <w:ind w:left="180" w:hanging="180"/>
    </w:pPr>
    <w:rPr>
      <w:color w:val="000000"/>
      <w:sz w:val="18"/>
      <w:szCs w:val="18"/>
    </w:rPr>
  </w:style>
  <w:style w:type="paragraph" w:customStyle="1" w:styleId="tabletitle">
    <w:name w:val="table title"/>
    <w:basedOn w:val="Normal"/>
    <w:rsid w:val="00E9034C"/>
    <w:pPr>
      <w:widowControl w:val="0"/>
      <w:tabs>
        <w:tab w:val="left" w:pos="0"/>
      </w:tabs>
      <w:autoSpaceDE w:val="0"/>
      <w:autoSpaceDN w:val="0"/>
      <w:adjustRightInd w:val="0"/>
      <w:spacing w:after="120"/>
    </w:pPr>
    <w:rPr>
      <w:rFonts w:ascii="Arial" w:hAnsi="Arial" w:cs="Arial"/>
      <w:b/>
      <w:bCs/>
      <w:sz w:val="22"/>
      <w:szCs w:val="22"/>
    </w:rPr>
  </w:style>
  <w:style w:type="character" w:styleId="CommentReference">
    <w:name w:val="annotation reference"/>
    <w:basedOn w:val="DefaultParagraphFont"/>
    <w:unhideWhenUsed/>
    <w:rsid w:val="00233E91"/>
    <w:rPr>
      <w:sz w:val="16"/>
      <w:szCs w:val="16"/>
    </w:rPr>
  </w:style>
  <w:style w:type="paragraph" w:styleId="CommentText">
    <w:name w:val="annotation text"/>
    <w:basedOn w:val="Normal"/>
    <w:link w:val="CommentTextChar"/>
    <w:unhideWhenUsed/>
    <w:rsid w:val="00233E91"/>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233E91"/>
    <w:rPr>
      <w:rFonts w:ascii="Calibri" w:eastAsia="Calibri" w:hAnsi="Calibri"/>
    </w:rPr>
  </w:style>
  <w:style w:type="paragraph" w:styleId="CommentSubject">
    <w:name w:val="annotation subject"/>
    <w:basedOn w:val="CommentText"/>
    <w:next w:val="CommentText"/>
    <w:link w:val="CommentSubjectChar"/>
    <w:unhideWhenUsed/>
    <w:rsid w:val="00233E91"/>
    <w:rPr>
      <w:b/>
      <w:bCs/>
    </w:rPr>
  </w:style>
  <w:style w:type="character" w:customStyle="1" w:styleId="CommentSubjectChar">
    <w:name w:val="Comment Subject Char"/>
    <w:basedOn w:val="CommentTextChar"/>
    <w:link w:val="CommentSubject"/>
    <w:rsid w:val="00233E91"/>
    <w:rPr>
      <w:rFonts w:ascii="Calibri" w:eastAsia="Calibri" w:hAnsi="Calibri"/>
      <w:b/>
      <w:bCs/>
    </w:rPr>
  </w:style>
  <w:style w:type="paragraph" w:customStyle="1" w:styleId="asource-1">
    <w:name w:val="asource-1"/>
    <w:basedOn w:val="Normal"/>
    <w:qFormat/>
    <w:rsid w:val="00233E91"/>
    <w:pPr>
      <w:widowControl w:val="0"/>
      <w:autoSpaceDE w:val="0"/>
      <w:autoSpaceDN w:val="0"/>
      <w:adjustRightInd w:val="0"/>
      <w:ind w:left="180" w:hanging="180"/>
    </w:pPr>
    <w:rPr>
      <w:color w:val="000000"/>
      <w:sz w:val="18"/>
      <w:szCs w:val="18"/>
    </w:rPr>
  </w:style>
  <w:style w:type="paragraph" w:customStyle="1" w:styleId="BodyTextIndent1">
    <w:name w:val="Body Text Indent1"/>
    <w:basedOn w:val="Normal"/>
    <w:rsid w:val="00233E91"/>
    <w:pPr>
      <w:autoSpaceDE w:val="0"/>
      <w:autoSpaceDN w:val="0"/>
      <w:adjustRightInd w:val="0"/>
      <w:spacing w:after="240"/>
      <w:ind w:left="720"/>
    </w:pPr>
  </w:style>
  <w:style w:type="paragraph" w:customStyle="1" w:styleId="BodyText1">
    <w:name w:val="Body Text1"/>
    <w:basedOn w:val="Heading2"/>
    <w:rsid w:val="00233E91"/>
  </w:style>
  <w:style w:type="paragraph" w:customStyle="1" w:styleId="head2">
    <w:name w:val="head 2"/>
    <w:basedOn w:val="BodyText1"/>
    <w:rsid w:val="00233E91"/>
  </w:style>
  <w:style w:type="paragraph" w:customStyle="1" w:styleId="List1">
    <w:name w:val="List1"/>
    <w:basedOn w:val="BodyText1"/>
    <w:rsid w:val="00233E91"/>
    <w:pPr>
      <w:tabs>
        <w:tab w:val="left" w:pos="720"/>
      </w:tabs>
      <w:spacing w:after="240"/>
    </w:pPr>
    <w:rPr>
      <w:i w:val="0"/>
      <w:iCs w:val="0"/>
    </w:rPr>
  </w:style>
  <w:style w:type="paragraph" w:customStyle="1" w:styleId="aa">
    <w:name w:val="a(a)"/>
    <w:basedOn w:val="Heading2"/>
    <w:qFormat/>
    <w:rsid w:val="00233E91"/>
  </w:style>
  <w:style w:type="paragraph" w:styleId="PlainText">
    <w:name w:val="Plain Text"/>
    <w:basedOn w:val="Normal"/>
    <w:link w:val="PlainTextChar"/>
    <w:uiPriority w:val="99"/>
    <w:unhideWhenUsed/>
    <w:rsid w:val="00233E91"/>
    <w:rPr>
      <w:rFonts w:ascii="Consolas" w:eastAsia="Calibri" w:hAnsi="Consolas"/>
      <w:sz w:val="21"/>
      <w:szCs w:val="21"/>
    </w:rPr>
  </w:style>
  <w:style w:type="character" w:customStyle="1" w:styleId="PlainTextChar">
    <w:name w:val="Plain Text Char"/>
    <w:basedOn w:val="DefaultParagraphFont"/>
    <w:link w:val="PlainText"/>
    <w:uiPriority w:val="99"/>
    <w:rsid w:val="00233E91"/>
    <w:rPr>
      <w:rFonts w:ascii="Consolas" w:eastAsia="Calibri" w:hAnsi="Consolas"/>
      <w:sz w:val="21"/>
      <w:szCs w:val="21"/>
    </w:rPr>
  </w:style>
  <w:style w:type="character" w:customStyle="1" w:styleId="SYSHYPERTEXT">
    <w:name w:val="SYS_HYPERTEXT"/>
    <w:rsid w:val="000B1EAF"/>
    <w:rPr>
      <w:color w:val="0000FF"/>
      <w:u w:val="single"/>
    </w:rPr>
  </w:style>
  <w:style w:type="paragraph" w:customStyle="1" w:styleId="TableContents">
    <w:name w:val="Table Contents"/>
    <w:basedOn w:val="Normal"/>
    <w:rsid w:val="00DF6A4B"/>
    <w:pPr>
      <w:suppressLineNumbers/>
      <w:suppressAutoHyphens/>
    </w:pPr>
    <w:rPr>
      <w:rFonts w:eastAsia="SimSun" w:cs="Mangal"/>
      <w:kern w:val="1"/>
      <w:lang w:eastAsia="hi-IN" w:bidi="hi-IN"/>
    </w:rPr>
  </w:style>
  <w:style w:type="paragraph" w:styleId="BodyText">
    <w:name w:val="Body Text"/>
    <w:basedOn w:val="Normal"/>
    <w:link w:val="BodyTextChar"/>
    <w:rsid w:val="00EF6995"/>
    <w:pPr>
      <w:suppressAutoHyphens/>
      <w:spacing w:after="120"/>
    </w:pPr>
    <w:rPr>
      <w:rFonts w:eastAsia="SimSun" w:cs="Mangal"/>
      <w:kern w:val="1"/>
      <w:lang w:eastAsia="hi-IN" w:bidi="hi-IN"/>
    </w:rPr>
  </w:style>
  <w:style w:type="character" w:customStyle="1" w:styleId="BodyTextChar">
    <w:name w:val="Body Text Char"/>
    <w:basedOn w:val="DefaultParagraphFont"/>
    <w:link w:val="BodyText"/>
    <w:rsid w:val="00EF6995"/>
    <w:rPr>
      <w:rFonts w:eastAsia="SimSun" w:cs="Mangal"/>
      <w:kern w:val="1"/>
      <w:sz w:val="24"/>
      <w:szCs w:val="24"/>
      <w:lang w:eastAsia="hi-IN" w:bidi="hi-IN"/>
    </w:rPr>
  </w:style>
  <w:style w:type="paragraph" w:styleId="NoSpacing">
    <w:name w:val="No Spacing"/>
    <w:uiPriority w:val="1"/>
    <w:qFormat/>
    <w:rsid w:val="009D5748"/>
    <w:rPr>
      <w:sz w:val="24"/>
      <w:szCs w:val="24"/>
    </w:rPr>
  </w:style>
</w:styles>
</file>

<file path=word/webSettings.xml><?xml version="1.0" encoding="utf-8"?>
<w:webSettings xmlns:r="http://schemas.openxmlformats.org/officeDocument/2006/relationships" xmlns:w="http://schemas.openxmlformats.org/wordprocessingml/2006/main">
  <w:divs>
    <w:div w:id="103575930">
      <w:bodyDiv w:val="1"/>
      <w:marLeft w:val="0"/>
      <w:marRight w:val="0"/>
      <w:marTop w:val="0"/>
      <w:marBottom w:val="0"/>
      <w:divBdr>
        <w:top w:val="none" w:sz="0" w:space="0" w:color="auto"/>
        <w:left w:val="none" w:sz="0" w:space="0" w:color="auto"/>
        <w:bottom w:val="none" w:sz="0" w:space="0" w:color="auto"/>
        <w:right w:val="none" w:sz="0" w:space="0" w:color="auto"/>
      </w:divBdr>
    </w:div>
    <w:div w:id="125320159">
      <w:bodyDiv w:val="1"/>
      <w:marLeft w:val="0"/>
      <w:marRight w:val="0"/>
      <w:marTop w:val="0"/>
      <w:marBottom w:val="0"/>
      <w:divBdr>
        <w:top w:val="none" w:sz="0" w:space="0" w:color="auto"/>
        <w:left w:val="none" w:sz="0" w:space="0" w:color="auto"/>
        <w:bottom w:val="none" w:sz="0" w:space="0" w:color="auto"/>
        <w:right w:val="none" w:sz="0" w:space="0" w:color="auto"/>
      </w:divBdr>
    </w:div>
    <w:div w:id="367029123">
      <w:bodyDiv w:val="1"/>
      <w:marLeft w:val="0"/>
      <w:marRight w:val="0"/>
      <w:marTop w:val="0"/>
      <w:marBottom w:val="0"/>
      <w:divBdr>
        <w:top w:val="none" w:sz="0" w:space="0" w:color="auto"/>
        <w:left w:val="none" w:sz="0" w:space="0" w:color="auto"/>
        <w:bottom w:val="none" w:sz="0" w:space="0" w:color="auto"/>
        <w:right w:val="none" w:sz="0" w:space="0" w:color="auto"/>
      </w:divBdr>
    </w:div>
    <w:div w:id="398867029">
      <w:bodyDiv w:val="1"/>
      <w:marLeft w:val="0"/>
      <w:marRight w:val="0"/>
      <w:marTop w:val="0"/>
      <w:marBottom w:val="0"/>
      <w:divBdr>
        <w:top w:val="none" w:sz="0" w:space="0" w:color="auto"/>
        <w:left w:val="none" w:sz="0" w:space="0" w:color="auto"/>
        <w:bottom w:val="none" w:sz="0" w:space="0" w:color="auto"/>
        <w:right w:val="none" w:sz="0" w:space="0" w:color="auto"/>
      </w:divBdr>
    </w:div>
    <w:div w:id="443574144">
      <w:bodyDiv w:val="1"/>
      <w:marLeft w:val="0"/>
      <w:marRight w:val="0"/>
      <w:marTop w:val="0"/>
      <w:marBottom w:val="0"/>
      <w:divBdr>
        <w:top w:val="none" w:sz="0" w:space="0" w:color="auto"/>
        <w:left w:val="none" w:sz="0" w:space="0" w:color="auto"/>
        <w:bottom w:val="none" w:sz="0" w:space="0" w:color="auto"/>
        <w:right w:val="none" w:sz="0" w:space="0" w:color="auto"/>
      </w:divBdr>
    </w:div>
    <w:div w:id="497621963">
      <w:bodyDiv w:val="1"/>
      <w:marLeft w:val="0"/>
      <w:marRight w:val="0"/>
      <w:marTop w:val="0"/>
      <w:marBottom w:val="0"/>
      <w:divBdr>
        <w:top w:val="none" w:sz="0" w:space="0" w:color="auto"/>
        <w:left w:val="none" w:sz="0" w:space="0" w:color="auto"/>
        <w:bottom w:val="none" w:sz="0" w:space="0" w:color="auto"/>
        <w:right w:val="none" w:sz="0" w:space="0" w:color="auto"/>
      </w:divBdr>
    </w:div>
    <w:div w:id="540434840">
      <w:bodyDiv w:val="1"/>
      <w:marLeft w:val="0"/>
      <w:marRight w:val="0"/>
      <w:marTop w:val="0"/>
      <w:marBottom w:val="0"/>
      <w:divBdr>
        <w:top w:val="none" w:sz="0" w:space="0" w:color="auto"/>
        <w:left w:val="none" w:sz="0" w:space="0" w:color="auto"/>
        <w:bottom w:val="none" w:sz="0" w:space="0" w:color="auto"/>
        <w:right w:val="none" w:sz="0" w:space="0" w:color="auto"/>
      </w:divBdr>
    </w:div>
    <w:div w:id="623654280">
      <w:bodyDiv w:val="1"/>
      <w:marLeft w:val="0"/>
      <w:marRight w:val="0"/>
      <w:marTop w:val="0"/>
      <w:marBottom w:val="0"/>
      <w:divBdr>
        <w:top w:val="none" w:sz="0" w:space="0" w:color="auto"/>
        <w:left w:val="none" w:sz="0" w:space="0" w:color="auto"/>
        <w:bottom w:val="none" w:sz="0" w:space="0" w:color="auto"/>
        <w:right w:val="none" w:sz="0" w:space="0" w:color="auto"/>
      </w:divBdr>
    </w:div>
    <w:div w:id="689334316">
      <w:bodyDiv w:val="1"/>
      <w:marLeft w:val="0"/>
      <w:marRight w:val="0"/>
      <w:marTop w:val="0"/>
      <w:marBottom w:val="0"/>
      <w:divBdr>
        <w:top w:val="none" w:sz="0" w:space="0" w:color="auto"/>
        <w:left w:val="none" w:sz="0" w:space="0" w:color="auto"/>
        <w:bottom w:val="none" w:sz="0" w:space="0" w:color="auto"/>
        <w:right w:val="none" w:sz="0" w:space="0" w:color="auto"/>
      </w:divBdr>
    </w:div>
    <w:div w:id="743797030">
      <w:bodyDiv w:val="1"/>
      <w:marLeft w:val="0"/>
      <w:marRight w:val="0"/>
      <w:marTop w:val="0"/>
      <w:marBottom w:val="0"/>
      <w:divBdr>
        <w:top w:val="none" w:sz="0" w:space="0" w:color="auto"/>
        <w:left w:val="none" w:sz="0" w:space="0" w:color="auto"/>
        <w:bottom w:val="none" w:sz="0" w:space="0" w:color="auto"/>
        <w:right w:val="none" w:sz="0" w:space="0" w:color="auto"/>
      </w:divBdr>
    </w:div>
    <w:div w:id="790902827">
      <w:bodyDiv w:val="1"/>
      <w:marLeft w:val="0"/>
      <w:marRight w:val="0"/>
      <w:marTop w:val="0"/>
      <w:marBottom w:val="0"/>
      <w:divBdr>
        <w:top w:val="none" w:sz="0" w:space="0" w:color="auto"/>
        <w:left w:val="none" w:sz="0" w:space="0" w:color="auto"/>
        <w:bottom w:val="none" w:sz="0" w:space="0" w:color="auto"/>
        <w:right w:val="none" w:sz="0" w:space="0" w:color="auto"/>
      </w:divBdr>
    </w:div>
    <w:div w:id="839471938">
      <w:bodyDiv w:val="1"/>
      <w:marLeft w:val="0"/>
      <w:marRight w:val="0"/>
      <w:marTop w:val="0"/>
      <w:marBottom w:val="0"/>
      <w:divBdr>
        <w:top w:val="none" w:sz="0" w:space="0" w:color="auto"/>
        <w:left w:val="none" w:sz="0" w:space="0" w:color="auto"/>
        <w:bottom w:val="none" w:sz="0" w:space="0" w:color="auto"/>
        <w:right w:val="none" w:sz="0" w:space="0" w:color="auto"/>
      </w:divBdr>
    </w:div>
    <w:div w:id="910385930">
      <w:bodyDiv w:val="1"/>
      <w:marLeft w:val="0"/>
      <w:marRight w:val="0"/>
      <w:marTop w:val="0"/>
      <w:marBottom w:val="0"/>
      <w:divBdr>
        <w:top w:val="none" w:sz="0" w:space="0" w:color="auto"/>
        <w:left w:val="none" w:sz="0" w:space="0" w:color="auto"/>
        <w:bottom w:val="none" w:sz="0" w:space="0" w:color="auto"/>
        <w:right w:val="none" w:sz="0" w:space="0" w:color="auto"/>
      </w:divBdr>
    </w:div>
    <w:div w:id="962271051">
      <w:bodyDiv w:val="1"/>
      <w:marLeft w:val="0"/>
      <w:marRight w:val="0"/>
      <w:marTop w:val="0"/>
      <w:marBottom w:val="0"/>
      <w:divBdr>
        <w:top w:val="none" w:sz="0" w:space="0" w:color="auto"/>
        <w:left w:val="none" w:sz="0" w:space="0" w:color="auto"/>
        <w:bottom w:val="none" w:sz="0" w:space="0" w:color="auto"/>
        <w:right w:val="none" w:sz="0" w:space="0" w:color="auto"/>
      </w:divBdr>
    </w:div>
    <w:div w:id="1013873967">
      <w:bodyDiv w:val="1"/>
      <w:marLeft w:val="0"/>
      <w:marRight w:val="0"/>
      <w:marTop w:val="0"/>
      <w:marBottom w:val="0"/>
      <w:divBdr>
        <w:top w:val="none" w:sz="0" w:space="0" w:color="auto"/>
        <w:left w:val="none" w:sz="0" w:space="0" w:color="auto"/>
        <w:bottom w:val="none" w:sz="0" w:space="0" w:color="auto"/>
        <w:right w:val="none" w:sz="0" w:space="0" w:color="auto"/>
      </w:divBdr>
    </w:div>
    <w:div w:id="1048651250">
      <w:bodyDiv w:val="1"/>
      <w:marLeft w:val="0"/>
      <w:marRight w:val="0"/>
      <w:marTop w:val="0"/>
      <w:marBottom w:val="0"/>
      <w:divBdr>
        <w:top w:val="none" w:sz="0" w:space="0" w:color="auto"/>
        <w:left w:val="none" w:sz="0" w:space="0" w:color="auto"/>
        <w:bottom w:val="none" w:sz="0" w:space="0" w:color="auto"/>
        <w:right w:val="none" w:sz="0" w:space="0" w:color="auto"/>
      </w:divBdr>
    </w:div>
    <w:div w:id="1090588239">
      <w:bodyDiv w:val="1"/>
      <w:marLeft w:val="0"/>
      <w:marRight w:val="0"/>
      <w:marTop w:val="0"/>
      <w:marBottom w:val="0"/>
      <w:divBdr>
        <w:top w:val="none" w:sz="0" w:space="0" w:color="auto"/>
        <w:left w:val="none" w:sz="0" w:space="0" w:color="auto"/>
        <w:bottom w:val="none" w:sz="0" w:space="0" w:color="auto"/>
        <w:right w:val="none" w:sz="0" w:space="0" w:color="auto"/>
      </w:divBdr>
    </w:div>
    <w:div w:id="1092434007">
      <w:bodyDiv w:val="1"/>
      <w:marLeft w:val="0"/>
      <w:marRight w:val="0"/>
      <w:marTop w:val="0"/>
      <w:marBottom w:val="0"/>
      <w:divBdr>
        <w:top w:val="none" w:sz="0" w:space="0" w:color="auto"/>
        <w:left w:val="none" w:sz="0" w:space="0" w:color="auto"/>
        <w:bottom w:val="none" w:sz="0" w:space="0" w:color="auto"/>
        <w:right w:val="none" w:sz="0" w:space="0" w:color="auto"/>
      </w:divBdr>
    </w:div>
    <w:div w:id="1244611276">
      <w:bodyDiv w:val="1"/>
      <w:marLeft w:val="0"/>
      <w:marRight w:val="0"/>
      <w:marTop w:val="0"/>
      <w:marBottom w:val="0"/>
      <w:divBdr>
        <w:top w:val="none" w:sz="0" w:space="0" w:color="auto"/>
        <w:left w:val="none" w:sz="0" w:space="0" w:color="auto"/>
        <w:bottom w:val="none" w:sz="0" w:space="0" w:color="auto"/>
        <w:right w:val="none" w:sz="0" w:space="0" w:color="auto"/>
      </w:divBdr>
    </w:div>
    <w:div w:id="1256862257">
      <w:bodyDiv w:val="1"/>
      <w:marLeft w:val="0"/>
      <w:marRight w:val="0"/>
      <w:marTop w:val="0"/>
      <w:marBottom w:val="0"/>
      <w:divBdr>
        <w:top w:val="none" w:sz="0" w:space="0" w:color="auto"/>
        <w:left w:val="none" w:sz="0" w:space="0" w:color="auto"/>
        <w:bottom w:val="none" w:sz="0" w:space="0" w:color="auto"/>
        <w:right w:val="none" w:sz="0" w:space="0" w:color="auto"/>
      </w:divBdr>
    </w:div>
    <w:div w:id="1286035620">
      <w:bodyDiv w:val="1"/>
      <w:marLeft w:val="0"/>
      <w:marRight w:val="0"/>
      <w:marTop w:val="0"/>
      <w:marBottom w:val="0"/>
      <w:divBdr>
        <w:top w:val="none" w:sz="0" w:space="0" w:color="auto"/>
        <w:left w:val="none" w:sz="0" w:space="0" w:color="auto"/>
        <w:bottom w:val="none" w:sz="0" w:space="0" w:color="auto"/>
        <w:right w:val="none" w:sz="0" w:space="0" w:color="auto"/>
      </w:divBdr>
    </w:div>
    <w:div w:id="1322655498">
      <w:bodyDiv w:val="1"/>
      <w:marLeft w:val="0"/>
      <w:marRight w:val="0"/>
      <w:marTop w:val="0"/>
      <w:marBottom w:val="0"/>
      <w:divBdr>
        <w:top w:val="none" w:sz="0" w:space="0" w:color="auto"/>
        <w:left w:val="none" w:sz="0" w:space="0" w:color="auto"/>
        <w:bottom w:val="none" w:sz="0" w:space="0" w:color="auto"/>
        <w:right w:val="none" w:sz="0" w:space="0" w:color="auto"/>
      </w:divBdr>
    </w:div>
    <w:div w:id="1329751358">
      <w:bodyDiv w:val="1"/>
      <w:marLeft w:val="0"/>
      <w:marRight w:val="0"/>
      <w:marTop w:val="0"/>
      <w:marBottom w:val="0"/>
      <w:divBdr>
        <w:top w:val="none" w:sz="0" w:space="0" w:color="auto"/>
        <w:left w:val="none" w:sz="0" w:space="0" w:color="auto"/>
        <w:bottom w:val="none" w:sz="0" w:space="0" w:color="auto"/>
        <w:right w:val="none" w:sz="0" w:space="0" w:color="auto"/>
      </w:divBdr>
    </w:div>
    <w:div w:id="1335110033">
      <w:bodyDiv w:val="1"/>
      <w:marLeft w:val="0"/>
      <w:marRight w:val="0"/>
      <w:marTop w:val="0"/>
      <w:marBottom w:val="0"/>
      <w:divBdr>
        <w:top w:val="none" w:sz="0" w:space="0" w:color="auto"/>
        <w:left w:val="none" w:sz="0" w:space="0" w:color="auto"/>
        <w:bottom w:val="none" w:sz="0" w:space="0" w:color="auto"/>
        <w:right w:val="none" w:sz="0" w:space="0" w:color="auto"/>
      </w:divBdr>
    </w:div>
    <w:div w:id="1367293263">
      <w:bodyDiv w:val="1"/>
      <w:marLeft w:val="0"/>
      <w:marRight w:val="0"/>
      <w:marTop w:val="0"/>
      <w:marBottom w:val="0"/>
      <w:divBdr>
        <w:top w:val="none" w:sz="0" w:space="0" w:color="auto"/>
        <w:left w:val="none" w:sz="0" w:space="0" w:color="auto"/>
        <w:bottom w:val="none" w:sz="0" w:space="0" w:color="auto"/>
        <w:right w:val="none" w:sz="0" w:space="0" w:color="auto"/>
      </w:divBdr>
    </w:div>
    <w:div w:id="1509060383">
      <w:bodyDiv w:val="1"/>
      <w:marLeft w:val="0"/>
      <w:marRight w:val="0"/>
      <w:marTop w:val="0"/>
      <w:marBottom w:val="0"/>
      <w:divBdr>
        <w:top w:val="none" w:sz="0" w:space="0" w:color="auto"/>
        <w:left w:val="none" w:sz="0" w:space="0" w:color="auto"/>
        <w:bottom w:val="none" w:sz="0" w:space="0" w:color="auto"/>
        <w:right w:val="none" w:sz="0" w:space="0" w:color="auto"/>
      </w:divBdr>
    </w:div>
    <w:div w:id="1519583600">
      <w:bodyDiv w:val="1"/>
      <w:marLeft w:val="0"/>
      <w:marRight w:val="0"/>
      <w:marTop w:val="0"/>
      <w:marBottom w:val="0"/>
      <w:divBdr>
        <w:top w:val="none" w:sz="0" w:space="0" w:color="auto"/>
        <w:left w:val="none" w:sz="0" w:space="0" w:color="auto"/>
        <w:bottom w:val="none" w:sz="0" w:space="0" w:color="auto"/>
        <w:right w:val="none" w:sz="0" w:space="0" w:color="auto"/>
      </w:divBdr>
    </w:div>
    <w:div w:id="1539319863">
      <w:bodyDiv w:val="1"/>
      <w:marLeft w:val="0"/>
      <w:marRight w:val="0"/>
      <w:marTop w:val="0"/>
      <w:marBottom w:val="0"/>
      <w:divBdr>
        <w:top w:val="none" w:sz="0" w:space="0" w:color="auto"/>
        <w:left w:val="none" w:sz="0" w:space="0" w:color="auto"/>
        <w:bottom w:val="none" w:sz="0" w:space="0" w:color="auto"/>
        <w:right w:val="none" w:sz="0" w:space="0" w:color="auto"/>
      </w:divBdr>
    </w:div>
    <w:div w:id="1550729977">
      <w:bodyDiv w:val="1"/>
      <w:marLeft w:val="0"/>
      <w:marRight w:val="0"/>
      <w:marTop w:val="0"/>
      <w:marBottom w:val="0"/>
      <w:divBdr>
        <w:top w:val="none" w:sz="0" w:space="0" w:color="auto"/>
        <w:left w:val="none" w:sz="0" w:space="0" w:color="auto"/>
        <w:bottom w:val="none" w:sz="0" w:space="0" w:color="auto"/>
        <w:right w:val="none" w:sz="0" w:space="0" w:color="auto"/>
      </w:divBdr>
    </w:div>
    <w:div w:id="1679498060">
      <w:bodyDiv w:val="1"/>
      <w:marLeft w:val="0"/>
      <w:marRight w:val="0"/>
      <w:marTop w:val="0"/>
      <w:marBottom w:val="0"/>
      <w:divBdr>
        <w:top w:val="none" w:sz="0" w:space="0" w:color="auto"/>
        <w:left w:val="none" w:sz="0" w:space="0" w:color="auto"/>
        <w:bottom w:val="none" w:sz="0" w:space="0" w:color="auto"/>
        <w:right w:val="none" w:sz="0" w:space="0" w:color="auto"/>
      </w:divBdr>
    </w:div>
    <w:div w:id="1735393895">
      <w:bodyDiv w:val="1"/>
      <w:marLeft w:val="0"/>
      <w:marRight w:val="0"/>
      <w:marTop w:val="0"/>
      <w:marBottom w:val="0"/>
      <w:divBdr>
        <w:top w:val="none" w:sz="0" w:space="0" w:color="auto"/>
        <w:left w:val="none" w:sz="0" w:space="0" w:color="auto"/>
        <w:bottom w:val="none" w:sz="0" w:space="0" w:color="auto"/>
        <w:right w:val="none" w:sz="0" w:space="0" w:color="auto"/>
      </w:divBdr>
    </w:div>
    <w:div w:id="1819497195">
      <w:bodyDiv w:val="1"/>
      <w:marLeft w:val="0"/>
      <w:marRight w:val="0"/>
      <w:marTop w:val="0"/>
      <w:marBottom w:val="0"/>
      <w:divBdr>
        <w:top w:val="none" w:sz="0" w:space="0" w:color="auto"/>
        <w:left w:val="none" w:sz="0" w:space="0" w:color="auto"/>
        <w:bottom w:val="none" w:sz="0" w:space="0" w:color="auto"/>
        <w:right w:val="none" w:sz="0" w:space="0" w:color="auto"/>
      </w:divBdr>
    </w:div>
    <w:div w:id="1890918204">
      <w:bodyDiv w:val="1"/>
      <w:marLeft w:val="0"/>
      <w:marRight w:val="0"/>
      <w:marTop w:val="0"/>
      <w:marBottom w:val="0"/>
      <w:divBdr>
        <w:top w:val="none" w:sz="0" w:space="0" w:color="auto"/>
        <w:left w:val="none" w:sz="0" w:space="0" w:color="auto"/>
        <w:bottom w:val="none" w:sz="0" w:space="0" w:color="auto"/>
        <w:right w:val="none" w:sz="0" w:space="0" w:color="auto"/>
      </w:divBdr>
    </w:div>
    <w:div w:id="20638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ulation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oar/oaqps/permits/taskforce.html" TargetMode="External"/><Relationship Id="rId5" Type="http://schemas.openxmlformats.org/officeDocument/2006/relationships/webSettings" Target="webSettings.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web/eci/echistrynaics.pdf" TargetMode="External"/><Relationship Id="rId2" Type="http://schemas.openxmlformats.org/officeDocument/2006/relationships/hyperlink" Target="http://www.bls.gov/oes/current/oes173025.htm" TargetMode="External"/><Relationship Id="rId1" Type="http://schemas.openxmlformats.org/officeDocument/2006/relationships/hyperlink" Target="http://www.bls.gov/oes/current/oes17208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8EAD8-5D58-43F6-A815-9021B8F9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49</Pages>
  <Words>20180</Words>
  <Characters>115027</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EPA</Company>
  <LinksUpToDate>false</LinksUpToDate>
  <CharactersWithSpaces>134938</CharactersWithSpaces>
  <SharedDoc>false</SharedDoc>
  <HLinks>
    <vt:vector size="30" baseType="variant">
      <vt:variant>
        <vt:i4>2818151</vt:i4>
      </vt:variant>
      <vt:variant>
        <vt:i4>63</vt:i4>
      </vt:variant>
      <vt:variant>
        <vt:i4>0</vt:i4>
      </vt:variant>
      <vt:variant>
        <vt:i4>5</vt:i4>
      </vt:variant>
      <vt:variant>
        <vt:lpwstr>http://www.regulations.gov/</vt:lpwstr>
      </vt:variant>
      <vt:variant>
        <vt:lpwstr/>
      </vt:variant>
      <vt:variant>
        <vt:i4>2818151</vt:i4>
      </vt:variant>
      <vt:variant>
        <vt:i4>60</vt:i4>
      </vt:variant>
      <vt:variant>
        <vt:i4>0</vt:i4>
      </vt:variant>
      <vt:variant>
        <vt:i4>5</vt:i4>
      </vt:variant>
      <vt:variant>
        <vt:lpwstr>http://www.regulations.gov/</vt:lpwstr>
      </vt:variant>
      <vt:variant>
        <vt:lpwstr/>
      </vt:variant>
      <vt:variant>
        <vt:i4>7667835</vt:i4>
      </vt:variant>
      <vt:variant>
        <vt:i4>6</vt:i4>
      </vt:variant>
      <vt:variant>
        <vt:i4>0</vt:i4>
      </vt:variant>
      <vt:variant>
        <vt:i4>5</vt:i4>
      </vt:variant>
      <vt:variant>
        <vt:lpwstr>../../Local Settings/Temporary Internet Files/Content.IE5/0BNRYSPD/(www.opm.gov/oca/2000tbls/GSannual/html/GSBASE.HTM).</vt:lpwstr>
      </vt:variant>
      <vt:variant>
        <vt:lpwstr/>
      </vt:variant>
      <vt:variant>
        <vt:i4>2359354</vt:i4>
      </vt:variant>
      <vt:variant>
        <vt:i4>3</vt:i4>
      </vt:variant>
      <vt:variant>
        <vt:i4>0</vt:i4>
      </vt:variant>
      <vt:variant>
        <vt:i4>5</vt:i4>
      </vt:variant>
      <vt:variant>
        <vt:lpwstr>http://www.epa.gov/ttn/</vt:lpwstr>
      </vt:variant>
      <vt:variant>
        <vt:lpwstr/>
      </vt:variant>
      <vt:variant>
        <vt:i4>7667764</vt:i4>
      </vt:variant>
      <vt:variant>
        <vt:i4>0</vt:i4>
      </vt:variant>
      <vt:variant>
        <vt:i4>0</vt:i4>
      </vt:variant>
      <vt:variant>
        <vt:i4>5</vt:i4>
      </vt:variant>
      <vt:variant>
        <vt:lpwstr>http://cfpub.epa.gov/rblc/htm/bl02.cfm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Carrie Wheeler</dc:creator>
  <cp:keywords/>
  <dc:description/>
  <cp:lastModifiedBy>ckerwin</cp:lastModifiedBy>
  <cp:revision>2</cp:revision>
  <cp:lastPrinted>2012-03-20T19:41:00Z</cp:lastPrinted>
  <dcterms:created xsi:type="dcterms:W3CDTF">2012-04-02T13:06:00Z</dcterms:created>
  <dcterms:modified xsi:type="dcterms:W3CDTF">2012-04-02T13:06:00Z</dcterms:modified>
</cp:coreProperties>
</file>