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3D4" w:rsidRPr="00934778" w:rsidRDefault="00CE23D4" w:rsidP="00CE23D4">
      <w:pPr>
        <w:widowControl/>
      </w:pPr>
      <w:bookmarkStart w:id="0" w:name="QuickMark"/>
      <w:bookmarkEnd w:id="0"/>
    </w:p>
    <w:p w:rsidR="00CE23D4" w:rsidRPr="00934778" w:rsidRDefault="00CE23D4" w:rsidP="00CE23D4">
      <w:pPr>
        <w:widowControl/>
      </w:pPr>
    </w:p>
    <w:p w:rsidR="00CE23D4" w:rsidRPr="00934778" w:rsidRDefault="00CE23D4" w:rsidP="00143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4778">
        <w:rPr>
          <w:b/>
        </w:rPr>
        <w:t>SUPPORTING STATEMENT</w:t>
      </w:r>
    </w:p>
    <w:p w:rsidR="00CE23D4" w:rsidRPr="00934778" w:rsidRDefault="00CE23D4" w:rsidP="00143F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4778">
        <w:rPr>
          <w:b/>
        </w:rPr>
        <w:t>ENVIRONMENTAL PROTECTION AGENCY</w:t>
      </w:r>
    </w:p>
    <w:p w:rsidR="00CE23D4" w:rsidRDefault="00CE23D4" w:rsidP="00CE23D4">
      <w:pPr>
        <w:widowControl/>
        <w:jc w:val="center"/>
      </w:pPr>
    </w:p>
    <w:p w:rsidR="00CE23D4" w:rsidRPr="00934778" w:rsidRDefault="00CE23D4" w:rsidP="00CE23D4">
      <w:pPr>
        <w:widowControl/>
        <w:jc w:val="center"/>
      </w:pPr>
      <w:r>
        <w:t xml:space="preserve">National Emission Standards for Hazardous Air Pollutants for Polyvinyl Chloride and Copolymers Production </w:t>
      </w:r>
      <w:r w:rsidRPr="00934778">
        <w:t>(</w:t>
      </w:r>
      <w:r w:rsidR="00FE69DD">
        <w:t>40 CFR part 63, s</w:t>
      </w:r>
      <w:r w:rsidRPr="00934778">
        <w:t>ubpart </w:t>
      </w:r>
      <w:r>
        <w:t>HHHHHHH</w:t>
      </w:r>
      <w:r w:rsidRPr="00934778">
        <w:t>)</w:t>
      </w:r>
      <w:r w:rsidR="00FE69DD">
        <w:t xml:space="preserve"> (Final Rule)</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E23D4" w:rsidRDefault="00CE23D4" w:rsidP="00943AA0">
      <w:pPr>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rPr>
          <w:b/>
          <w:bCs/>
        </w:rPr>
      </w:pPr>
      <w:r w:rsidRPr="00934778">
        <w:rPr>
          <w:b/>
          <w:bCs/>
        </w:rPr>
        <w:t>IDENTIFICATION OF THE INFORMATION COLLECTION</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1(a</w:t>
      </w:r>
      <w:proofErr w:type="gramStart"/>
      <w:r w:rsidRPr="00934778">
        <w:rPr>
          <w:b/>
          <w:bCs/>
        </w:rPr>
        <w:t>)  Title</w:t>
      </w:r>
      <w:proofErr w:type="gramEnd"/>
      <w:r w:rsidRPr="00934778">
        <w:rPr>
          <w:b/>
          <w:bCs/>
        </w:rPr>
        <w:t xml:space="preserve"> of the Information Collection</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ind w:firstLine="720"/>
      </w:pPr>
      <w:proofErr w:type="gramStart"/>
      <w:r>
        <w:t xml:space="preserve">National Emission Standards for Hazardous Air Pollutants for Polyvinyl Chloride and Copolymers Production </w:t>
      </w:r>
      <w:r w:rsidRPr="00934778">
        <w:t>(</w:t>
      </w:r>
      <w:r>
        <w:t>40 CFR part 63</w:t>
      </w:r>
      <w:r w:rsidR="00A116F4">
        <w:t>,</w:t>
      </w:r>
      <w:r>
        <w:t xml:space="preserve"> s</w:t>
      </w:r>
      <w:r w:rsidRPr="00934778">
        <w:t>ubpart </w:t>
      </w:r>
      <w:r>
        <w:t>HHHHHHH</w:t>
      </w:r>
      <w:r w:rsidRPr="00934778">
        <w:t>)</w:t>
      </w:r>
      <w:r w:rsidR="00FE69DD">
        <w:t>, EPA ICR Number 2432.02, OMB Control Number 2060-NEW.</w:t>
      </w:r>
      <w:proofErr w:type="gramEnd"/>
    </w:p>
    <w:p w:rsidR="00CE23D4" w:rsidRPr="00934778" w:rsidRDefault="00CE23D4" w:rsidP="00022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1(b</w:t>
      </w:r>
      <w:proofErr w:type="gramStart"/>
      <w:r w:rsidRPr="00934778">
        <w:rPr>
          <w:b/>
          <w:bCs/>
        </w:rPr>
        <w:t>)  Short</w:t>
      </w:r>
      <w:proofErr w:type="gramEnd"/>
      <w:r w:rsidRPr="00934778">
        <w:rPr>
          <w:b/>
          <w:bCs/>
        </w:rPr>
        <w:t xml:space="preserve"> Characterization/Abstract</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3B29F8" w:rsidRDefault="00CE23D4" w:rsidP="003B29F8">
      <w:pPr>
        <w:ind w:firstLine="720"/>
      </w:pPr>
      <w:r w:rsidRPr="003B29F8">
        <w:t xml:space="preserve">This supporting statement addresses information collection activities that will be imposed by the </w:t>
      </w:r>
      <w:r w:rsidR="00261632">
        <w:t>National Emission Standards for Hazardous Air Pollutants (</w:t>
      </w:r>
      <w:r w:rsidRPr="003B29F8">
        <w:t>NESHAP</w:t>
      </w:r>
      <w:r w:rsidR="00261632">
        <w:t>)</w:t>
      </w:r>
      <w:r w:rsidRPr="003B29F8">
        <w:t xml:space="preserve"> for Polyvinyl Chloride</w:t>
      </w:r>
      <w:r w:rsidR="00261632">
        <w:t xml:space="preserve"> </w:t>
      </w:r>
      <w:r w:rsidRPr="003B29F8">
        <w:t>and Copolymers</w:t>
      </w:r>
      <w:r w:rsidR="009C479A">
        <w:t xml:space="preserve"> (PVC)</w:t>
      </w:r>
      <w:r w:rsidRPr="003B29F8">
        <w:t xml:space="preserve"> Production, 40 CFR </w:t>
      </w:r>
      <w:proofErr w:type="gramStart"/>
      <w:r w:rsidRPr="003B29F8">
        <w:t>part</w:t>
      </w:r>
      <w:proofErr w:type="gramEnd"/>
      <w:r w:rsidRPr="003B29F8">
        <w:t xml:space="preserve"> 63</w:t>
      </w:r>
      <w:r w:rsidR="002B22D5">
        <w:t>,</w:t>
      </w:r>
      <w:r w:rsidRPr="003B29F8">
        <w:t xml:space="preserve"> subpart HHHHHHH</w:t>
      </w:r>
      <w:r w:rsidR="00261632">
        <w:t>, referred to as the</w:t>
      </w:r>
      <w:r w:rsidR="009C479A">
        <w:t xml:space="preserve"> </w:t>
      </w:r>
      <w:r w:rsidR="00DA7DA3">
        <w:t>PVC NESHAP</w:t>
      </w:r>
      <w:r w:rsidR="005110E3">
        <w:t xml:space="preserve"> for major sources</w:t>
      </w:r>
      <w:r w:rsidR="00DA7DA3">
        <w:t xml:space="preserve">. </w:t>
      </w:r>
      <w:r w:rsidRPr="003B29F8">
        <w:t xml:space="preserve">In 2002, </w:t>
      </w:r>
      <w:r w:rsidR="004B2971">
        <w:t>the Environmental Protection Agency (</w:t>
      </w:r>
      <w:r w:rsidRPr="003B29F8">
        <w:t>EPA</w:t>
      </w:r>
      <w:r w:rsidR="004B2971">
        <w:t>)</w:t>
      </w:r>
      <w:r w:rsidRPr="003B29F8">
        <w:t xml:space="preserve"> promulgated national emission standards for </w:t>
      </w:r>
      <w:r w:rsidR="00261632">
        <w:t>hazardous air pollutants</w:t>
      </w:r>
      <w:r w:rsidRPr="003B29F8">
        <w:t xml:space="preserve"> for new and existing PVC and copolymers production facilities under 40 CFR part 63, subpart J</w:t>
      </w:r>
      <w:r w:rsidR="00DA7DA3">
        <w:t xml:space="preserve"> (67 FR 45886, July 10, 2002). </w:t>
      </w:r>
      <w:r w:rsidRPr="003B29F8">
        <w:t xml:space="preserve">In 2004 the court vacated and remanded the subpart J NESHAP, and </w:t>
      </w:r>
      <w:r w:rsidR="00A37633">
        <w:t xml:space="preserve">on May 20, 2011 the EPA issued a proposal in response </w:t>
      </w:r>
      <w:r w:rsidRPr="003B29F8">
        <w:t xml:space="preserve">to </w:t>
      </w:r>
      <w:r w:rsidR="00261632">
        <w:t>the</w:t>
      </w:r>
      <w:r w:rsidR="00261632" w:rsidRPr="003B29F8">
        <w:t xml:space="preserve"> </w:t>
      </w:r>
      <w:r w:rsidRPr="003B29F8">
        <w:t xml:space="preserve">remand in accordance with </w:t>
      </w:r>
      <w:r w:rsidR="00820679">
        <w:t>Clean Air Act</w:t>
      </w:r>
      <w:r w:rsidR="002B22D5">
        <w:t xml:space="preserve"> (CAA)</w:t>
      </w:r>
      <w:r w:rsidR="00DA7DA3">
        <w:t xml:space="preserve"> section 112. </w:t>
      </w:r>
      <w:r w:rsidR="00103793">
        <w:t>This information collection request documents the recordkeeping and reporting requirements associated with the EPA’s final rule in response to the remand as well as adjustments made since the proposal in response to public comments</w:t>
      </w:r>
      <w:r w:rsidRPr="003B29F8">
        <w:t>.</w:t>
      </w:r>
      <w:r w:rsidR="00DB1EB3">
        <w:t xml:space="preserve">  </w:t>
      </w:r>
    </w:p>
    <w:p w:rsidR="00CE23D4" w:rsidRPr="003B29F8" w:rsidRDefault="00CE23D4" w:rsidP="003B29F8"/>
    <w:p w:rsidR="00BF3F9C" w:rsidRDefault="00BF3F9C" w:rsidP="003B29F8">
      <w:pPr>
        <w:ind w:firstLine="720"/>
      </w:pPr>
      <w:r>
        <w:t xml:space="preserve">The ICR prepared for the May 20, 2011 proposed </w:t>
      </w:r>
      <w:r w:rsidR="005415AE">
        <w:t>40 CFR part 63 subpart HHHHHHH</w:t>
      </w:r>
      <w:r>
        <w:t xml:space="preserve"> (2432.01) included estimates of burden for  both major and area sources combined. The final 40 CFR part 63, subpart HHHHHHH applies to new and existing major source PVC production facilities and this ICR includes burden estimates for major sources only. A separate ICR (2454.01) has been prepared to estimate the burden to area source PVC and copolymer productions facilities following promulgation of 40 CFR </w:t>
      </w:r>
      <w:proofErr w:type="gramStart"/>
      <w:r>
        <w:t>part</w:t>
      </w:r>
      <w:proofErr w:type="gramEnd"/>
      <w:r>
        <w:t xml:space="preserve"> 63, subpart DDDDDD.</w:t>
      </w:r>
    </w:p>
    <w:p w:rsidR="00BF3F9C" w:rsidRDefault="00BF3F9C" w:rsidP="003B29F8">
      <w:pPr>
        <w:ind w:firstLine="720"/>
      </w:pPr>
    </w:p>
    <w:p w:rsidR="00CE23D4" w:rsidRDefault="00CE23D4" w:rsidP="003B29F8">
      <w:pPr>
        <w:ind w:firstLine="720"/>
      </w:pPr>
      <w:r w:rsidRPr="003B29F8">
        <w:t xml:space="preserve">This ICR includes the burden for activities that will be conducted in the first three years following promulgation of the proposed </w:t>
      </w:r>
      <w:r w:rsidR="00EF1A42">
        <w:t xml:space="preserve">PVC </w:t>
      </w:r>
      <w:r w:rsidR="00DA7DA3">
        <w:t xml:space="preserve">NESHAP. </w:t>
      </w:r>
      <w:r w:rsidRPr="003B29F8">
        <w:t>These activities include</w:t>
      </w:r>
      <w:r w:rsidR="006F321B">
        <w:t xml:space="preserve"> reading the rule, resin sampling, </w:t>
      </w:r>
      <w:r w:rsidR="0012762E">
        <w:t xml:space="preserve">process wastewater sampling, initial and continuous </w:t>
      </w:r>
      <w:r w:rsidR="007D1D0E">
        <w:t>performance</w:t>
      </w:r>
      <w:r w:rsidR="007D1D0E" w:rsidRPr="003B29F8">
        <w:t xml:space="preserve"> </w:t>
      </w:r>
      <w:r w:rsidRPr="003B29F8">
        <w:t>testing</w:t>
      </w:r>
      <w:r w:rsidR="0012762E">
        <w:t xml:space="preserve"> for process vents</w:t>
      </w:r>
      <w:r w:rsidRPr="003B29F8">
        <w:t>, establishing operating parameters, and monitoring, recordkeepin</w:t>
      </w:r>
      <w:r w:rsidR="00DA7DA3">
        <w:t xml:space="preserve">g, and reporting requirements. </w:t>
      </w:r>
      <w:r w:rsidRPr="003B29F8">
        <w:t>We realize that some facilities may not incur these costs within the first three years, and may incur them during the</w:t>
      </w:r>
      <w:r w:rsidR="00DA7DA3">
        <w:t xml:space="preserve"> fourth or fifth year instead. </w:t>
      </w:r>
      <w:r w:rsidRPr="003B29F8">
        <w:t xml:space="preserve">Therefore, this ICR presents a conservatively high burden estimate for the initial three years following promulgation of the proposed </w:t>
      </w:r>
      <w:r w:rsidR="00EF1A42">
        <w:t xml:space="preserve">PVC </w:t>
      </w:r>
      <w:r w:rsidRPr="003B29F8">
        <w:t>NESHAP.</w:t>
      </w:r>
    </w:p>
    <w:p w:rsidR="00C01FDE" w:rsidRPr="003B29F8" w:rsidRDefault="00C01FDE" w:rsidP="003B29F8">
      <w:pPr>
        <w:ind w:firstLine="720"/>
      </w:pPr>
    </w:p>
    <w:p w:rsidR="00C01FDE" w:rsidRPr="003B29F8" w:rsidRDefault="00C01FDE" w:rsidP="00C01FDE">
      <w:pPr>
        <w:ind w:firstLine="720"/>
      </w:pPr>
      <w:r w:rsidRPr="003B29F8">
        <w:t xml:space="preserve">The use of the term "Designated Administrator" throughout this document refers to the </w:t>
      </w:r>
      <w:r w:rsidRPr="003B29F8">
        <w:lastRenderedPageBreak/>
        <w:t>U.S. EPA Administrator or a delegated authority such as a state agency.</w:t>
      </w:r>
      <w:r w:rsidR="00DA7DA3">
        <w:t xml:space="preserve"> </w:t>
      </w:r>
      <w:r w:rsidRPr="003B29F8">
        <w:t>The term "Administrator" alone refers to the U.S. EPA Administrator.</w:t>
      </w:r>
    </w:p>
    <w:p w:rsidR="00CE23D4" w:rsidRPr="003B29F8" w:rsidRDefault="00CE23D4" w:rsidP="003B29F8"/>
    <w:p w:rsidR="00CE23D4" w:rsidRPr="003B29F8" w:rsidRDefault="00CE23D4" w:rsidP="003B29F8">
      <w:pPr>
        <w:ind w:firstLine="720"/>
      </w:pPr>
      <w:r w:rsidRPr="003B29F8">
        <w:t xml:space="preserve">This ICR presents the burden to respondents and the Designated Administrator (State or Federal Government) that will be imposed by the plans developed to implement </w:t>
      </w:r>
      <w:r w:rsidR="00EF1A42">
        <w:t>the PVC</w:t>
      </w:r>
      <w:r w:rsidR="00EF1A42" w:rsidRPr="003B29F8">
        <w:t xml:space="preserve"> </w:t>
      </w:r>
      <w:r w:rsidR="00DA7DA3">
        <w:t xml:space="preserve">NESHAP. </w:t>
      </w:r>
      <w:r w:rsidRPr="003B29F8">
        <w:t xml:space="preserve">Respondents are owners or operators of existing </w:t>
      </w:r>
      <w:r w:rsidR="00BF3F9C">
        <w:t xml:space="preserve">major source </w:t>
      </w:r>
      <w:r w:rsidRPr="003B29F8">
        <w:t xml:space="preserve">PVC </w:t>
      </w:r>
      <w:r w:rsidR="00820679">
        <w:t xml:space="preserve">production </w:t>
      </w:r>
      <w:r w:rsidRPr="003B29F8">
        <w:t xml:space="preserve">facilities. </w:t>
      </w:r>
    </w:p>
    <w:p w:rsidR="00CE23D4" w:rsidRPr="003B29F8" w:rsidRDefault="00CE23D4" w:rsidP="003B29F8"/>
    <w:p w:rsidR="00CE23D4" w:rsidRPr="003B29F8" w:rsidRDefault="00CE23D4" w:rsidP="003B29F8">
      <w:pPr>
        <w:ind w:firstLine="720"/>
      </w:pPr>
      <w:r w:rsidRPr="003B29F8">
        <w:t xml:space="preserve">The requirements described below are the minimum requirements established by the </w:t>
      </w:r>
      <w:r w:rsidR="00EF1A42">
        <w:t>PVC NESHAP</w:t>
      </w:r>
      <w:r w:rsidR="00DA7DA3">
        <w:t xml:space="preserve">. </w:t>
      </w:r>
      <w:r w:rsidRPr="003B29F8">
        <w:t xml:space="preserve">Although the Designated Administrator may choose to impose more stringent requirements, it is assumed for this burden estimate that the implemented plans mirror the </w:t>
      </w:r>
      <w:r w:rsidR="00EF1A42">
        <w:t xml:space="preserve">PVC </w:t>
      </w:r>
      <w:r w:rsidRPr="003B29F8">
        <w:t xml:space="preserve">NESHAP. </w:t>
      </w:r>
    </w:p>
    <w:p w:rsidR="00CE23D4" w:rsidRPr="003B29F8" w:rsidRDefault="00CE23D4" w:rsidP="003B29F8"/>
    <w:p w:rsidR="00CE23D4" w:rsidRPr="003B29F8" w:rsidRDefault="00CE23D4" w:rsidP="003B29F8">
      <w:pPr>
        <w:ind w:firstLine="720"/>
      </w:pPr>
      <w:r w:rsidRPr="003B29F8">
        <w:t>Over the next three years</w:t>
      </w:r>
      <w:r w:rsidR="00EF1A42">
        <w:t>,</w:t>
      </w:r>
      <w:r w:rsidRPr="003B29F8">
        <w:t xml:space="preserve"> </w:t>
      </w:r>
      <w:r w:rsidR="00DA7DA3" w:rsidRPr="00F81E1C">
        <w:t>15</w:t>
      </w:r>
      <w:r w:rsidRPr="003B29F8">
        <w:t xml:space="preserve"> </w:t>
      </w:r>
      <w:r w:rsidR="00BF3F9C">
        <w:t xml:space="preserve">major source </w:t>
      </w:r>
      <w:r w:rsidRPr="003B29F8">
        <w:t>PVC</w:t>
      </w:r>
      <w:r w:rsidR="00820679">
        <w:t xml:space="preserve"> production</w:t>
      </w:r>
      <w:r w:rsidRPr="003B29F8">
        <w:t xml:space="preserve"> facilities will be subject to this standard, and the cost of this ICR will be </w:t>
      </w:r>
      <w:r w:rsidR="004C24EF" w:rsidRPr="00F81E1C">
        <w:t>$</w:t>
      </w:r>
      <w:r w:rsidR="00DA7DA3" w:rsidRPr="00F81E1C">
        <w:t>5</w:t>
      </w:r>
      <w:r w:rsidR="001E78C6" w:rsidRPr="00F81E1C">
        <w:t>.</w:t>
      </w:r>
      <w:r w:rsidR="00DA7DA3" w:rsidRPr="00F81E1C">
        <w:t>6</w:t>
      </w:r>
      <w:r w:rsidR="00834090">
        <w:t xml:space="preserve"> </w:t>
      </w:r>
      <w:r w:rsidR="004C24EF" w:rsidRPr="004C24EF">
        <w:t>million</w:t>
      </w:r>
      <w:r w:rsidRPr="003B29F8">
        <w:t>.</w:t>
      </w:r>
      <w:r w:rsidR="00DA7DA3">
        <w:t xml:space="preserve"> </w:t>
      </w:r>
      <w:r w:rsidRPr="003B29F8">
        <w:t xml:space="preserve">The burden to the “Affected Public” for each PVC facility may be found in </w:t>
      </w:r>
      <w:r w:rsidRPr="00500BDF">
        <w:t xml:space="preserve">Tables </w:t>
      </w:r>
      <w:r w:rsidR="00500BDF" w:rsidRPr="00500BDF">
        <w:t xml:space="preserve">1 </w:t>
      </w:r>
      <w:r w:rsidR="00EF1A42">
        <w:t>through</w:t>
      </w:r>
      <w:r w:rsidR="00500BDF" w:rsidRPr="00500BDF">
        <w:t xml:space="preserve"> 4</w:t>
      </w:r>
      <w:r w:rsidRPr="00500BDF">
        <w:t xml:space="preserve"> in Attachment 2.</w:t>
      </w:r>
      <w:r w:rsidRPr="003B29F8">
        <w:t xml:space="preserve"> The burden to the “</w:t>
      </w:r>
      <w:r w:rsidR="0012762E">
        <w:t>Federal Government</w:t>
      </w:r>
      <w:r w:rsidRPr="003B29F8">
        <w:t xml:space="preserve">” is attributed entirely to work performed by federal employees or government contractors; this burden may be found in </w:t>
      </w:r>
      <w:r w:rsidRPr="00500BDF">
        <w:t xml:space="preserve">Tables </w:t>
      </w:r>
      <w:r w:rsidR="00500BDF" w:rsidRPr="00500BDF">
        <w:t>5</w:t>
      </w:r>
      <w:r w:rsidRPr="00500BDF">
        <w:t xml:space="preserve"> </w:t>
      </w:r>
      <w:r w:rsidR="00EF1A42">
        <w:t>through</w:t>
      </w:r>
      <w:r w:rsidR="00EF1A42" w:rsidRPr="00500BDF">
        <w:t xml:space="preserve"> </w:t>
      </w:r>
      <w:r w:rsidR="00500BDF" w:rsidRPr="00500BDF">
        <w:t>8</w:t>
      </w:r>
      <w:r w:rsidRPr="00500BDF">
        <w:t xml:space="preserve"> of Attachment 3.</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778">
        <w:rPr>
          <w:b/>
          <w:bCs/>
        </w:rPr>
        <w:t>2.</w:t>
      </w:r>
      <w:r w:rsidRPr="00934778">
        <w:rPr>
          <w:b/>
          <w:bCs/>
        </w:rPr>
        <w:tab/>
      </w:r>
      <w:r w:rsidR="00161149">
        <w:rPr>
          <w:b/>
          <w:bCs/>
        </w:rPr>
        <w:t>Need for and Use of the Collection</w:t>
      </w:r>
    </w:p>
    <w:p w:rsidR="00CE23D4" w:rsidRDefault="00CE23D4" w:rsidP="001611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2(a)</w:t>
      </w:r>
      <w:proofErr w:type="gramStart"/>
      <w:r w:rsidRPr="00934778">
        <w:rPr>
          <w:b/>
          <w:bCs/>
        </w:rPr>
        <w:t>  Need</w:t>
      </w:r>
      <w:proofErr w:type="gramEnd"/>
      <w:r w:rsidRPr="00934778">
        <w:rPr>
          <w:b/>
          <w:bCs/>
        </w:rPr>
        <w:t>/Authority for the Collection</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E22C6F" w:rsidRDefault="00CE23D4" w:rsidP="00CE23D4">
      <w:pPr>
        <w:pBdr>
          <w:top w:val="single" w:sz="6" w:space="0" w:color="FFFFFF"/>
          <w:left w:val="single" w:sz="6" w:space="0" w:color="FFFFFF"/>
          <w:bottom w:val="single" w:sz="6" w:space="0" w:color="FFFFFF"/>
          <w:right w:val="single" w:sz="6" w:space="0" w:color="FFFFFF"/>
        </w:pBdr>
        <w:ind w:firstLine="720"/>
      </w:pPr>
      <w:r w:rsidRPr="00E22C6F">
        <w:t xml:space="preserve">The EPA is charged under </w:t>
      </w:r>
      <w:r w:rsidR="003148C5">
        <w:t xml:space="preserve">CAA </w:t>
      </w:r>
      <w:r w:rsidRPr="00E22C6F">
        <w:t xml:space="preserve">Section 112, as amended, to establish standards of performance for each category or subcategory of major sources and area sources of </w:t>
      </w:r>
      <w:r w:rsidR="00820679">
        <w:t>hazardous air pollutants (</w:t>
      </w:r>
      <w:r w:rsidR="009C03AF">
        <w:t>HAP</w:t>
      </w:r>
      <w:r w:rsidR="00820679">
        <w:t>)</w:t>
      </w:r>
      <w:r w:rsidR="00DA7DA3">
        <w:t xml:space="preserve">. </w:t>
      </w:r>
      <w:r w:rsidRPr="00E22C6F">
        <w:t xml:space="preserve">These standards are applicable to new or existing sources of </w:t>
      </w:r>
      <w:r w:rsidR="00EF1A42">
        <w:t>HAP</w:t>
      </w:r>
      <w:r w:rsidRPr="00E22C6F">
        <w:t xml:space="preserve"> and require the maximum</w:t>
      </w:r>
      <w:r w:rsidR="00DA7DA3">
        <w:t xml:space="preserve"> degree of emission reduction. </w:t>
      </w:r>
      <w:r w:rsidRPr="00E22C6F">
        <w:t xml:space="preserve">In addition, </w:t>
      </w:r>
      <w:r w:rsidR="003148C5">
        <w:t xml:space="preserve">CAA </w:t>
      </w:r>
      <w:r w:rsidRPr="00E22C6F">
        <w:t xml:space="preserve">section 114(a) states that the Administrator may require any owner/operator subject to any requirement of this Act to: </w:t>
      </w:r>
    </w:p>
    <w:p w:rsidR="00CE23D4" w:rsidRPr="00E22C6F" w:rsidRDefault="00CE23D4" w:rsidP="00CE23D4">
      <w:pPr>
        <w:pBdr>
          <w:top w:val="single" w:sz="6" w:space="0" w:color="FFFFFF"/>
          <w:left w:val="single" w:sz="6" w:space="0" w:color="FFFFFF"/>
          <w:bottom w:val="single" w:sz="6" w:space="0" w:color="FFFFFF"/>
          <w:right w:val="single" w:sz="6" w:space="0" w:color="FFFFFF"/>
        </w:pBdr>
      </w:pPr>
    </w:p>
    <w:p w:rsidR="00CE23D4" w:rsidRPr="00E22C6F" w:rsidRDefault="00CE23D4" w:rsidP="00CE23D4">
      <w:pPr>
        <w:pBdr>
          <w:top w:val="single" w:sz="6" w:space="0" w:color="FFFFFF"/>
          <w:left w:val="single" w:sz="6" w:space="0" w:color="FFFFFF"/>
          <w:bottom w:val="single" w:sz="6" w:space="0" w:color="FFFFFF"/>
          <w:right w:val="single" w:sz="6" w:space="0" w:color="FFFFFF"/>
        </w:pBdr>
        <w:ind w:left="1440" w:right="1440"/>
      </w:pPr>
      <w:r w:rsidRPr="00E22C6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E23D4" w:rsidRPr="00E22C6F" w:rsidRDefault="00CE23D4" w:rsidP="00CE23D4">
      <w:pPr>
        <w:pBdr>
          <w:top w:val="single" w:sz="6" w:space="0" w:color="FFFFFF"/>
          <w:left w:val="single" w:sz="6" w:space="0" w:color="FFFFFF"/>
          <w:bottom w:val="single" w:sz="6" w:space="0" w:color="FFFFFF"/>
          <w:right w:val="single" w:sz="6" w:space="0" w:color="FFFFFF"/>
        </w:pBdr>
        <w:rPr>
          <w:color w:val="000000"/>
        </w:rPr>
      </w:pPr>
    </w:p>
    <w:p w:rsidR="00CE23D4" w:rsidRPr="00E22C6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E22C6F">
        <w:rPr>
          <w:color w:val="000000"/>
        </w:rPr>
        <w:t>In the Administrator's judgment,</w:t>
      </w:r>
      <w:r w:rsidRPr="00E22C6F">
        <w:rPr>
          <w:color w:val="FF0000"/>
        </w:rPr>
        <w:t xml:space="preserve"> </w:t>
      </w:r>
      <w:r w:rsidR="004B2971">
        <w:rPr>
          <w:color w:val="000000"/>
        </w:rPr>
        <w:t>HAP</w:t>
      </w:r>
      <w:r w:rsidRPr="00E22C6F">
        <w:rPr>
          <w:color w:val="000000"/>
        </w:rPr>
        <w:t xml:space="preserve"> emissions from </w:t>
      </w:r>
      <w:r w:rsidR="004B2971">
        <w:rPr>
          <w:color w:val="000000"/>
        </w:rPr>
        <w:t xml:space="preserve">PVC </w:t>
      </w:r>
      <w:r w:rsidR="00901E42">
        <w:rPr>
          <w:color w:val="000000"/>
        </w:rPr>
        <w:t xml:space="preserve">production </w:t>
      </w:r>
      <w:r w:rsidR="004B2971">
        <w:rPr>
          <w:color w:val="000000"/>
        </w:rPr>
        <w:t>facilities</w:t>
      </w:r>
      <w:r w:rsidRPr="00E22C6F">
        <w:rPr>
          <w:color w:val="000000"/>
        </w:rPr>
        <w:t xml:space="preserve"> cause or contribute to air pollution that may reasonably be anticipated to enda</w:t>
      </w:r>
      <w:r w:rsidR="00DA7DA3">
        <w:rPr>
          <w:color w:val="000000"/>
        </w:rPr>
        <w:t xml:space="preserve">nger public health or welfare. </w:t>
      </w:r>
      <w:r w:rsidRPr="00E22C6F">
        <w:rPr>
          <w:color w:val="000000"/>
        </w:rPr>
        <w:t xml:space="preserve">Therefore, the NESHAP </w:t>
      </w:r>
      <w:r w:rsidR="00161149">
        <w:rPr>
          <w:color w:val="000000"/>
        </w:rPr>
        <w:t xml:space="preserve">were promulgated </w:t>
      </w:r>
      <w:r w:rsidRPr="00E22C6F">
        <w:rPr>
          <w:color w:val="000000"/>
        </w:rPr>
        <w:t xml:space="preserve">for </w:t>
      </w:r>
      <w:r w:rsidR="00BF3F9C">
        <w:rPr>
          <w:color w:val="000000"/>
        </w:rPr>
        <w:t xml:space="preserve">major sources in </w:t>
      </w:r>
      <w:r w:rsidRPr="00E22C6F">
        <w:rPr>
          <w:color w:val="000000"/>
        </w:rPr>
        <w:t xml:space="preserve">this source category at 40 CFR </w:t>
      </w:r>
      <w:proofErr w:type="gramStart"/>
      <w:r w:rsidRPr="00E22C6F">
        <w:rPr>
          <w:color w:val="000000"/>
        </w:rPr>
        <w:t>part</w:t>
      </w:r>
      <w:proofErr w:type="gramEnd"/>
      <w:r w:rsidRPr="00E22C6F">
        <w:rPr>
          <w:color w:val="000000"/>
        </w:rPr>
        <w:t xml:space="preserve"> 63,</w:t>
      </w:r>
      <w:r w:rsidRPr="00E22C6F">
        <w:rPr>
          <w:b/>
          <w:bCs/>
          <w:i/>
          <w:iCs/>
          <w:color w:val="000000"/>
        </w:rPr>
        <w:t xml:space="preserve"> </w:t>
      </w:r>
      <w:r w:rsidRPr="00E22C6F">
        <w:rPr>
          <w:color w:val="000000"/>
        </w:rPr>
        <w:t xml:space="preserve">subpart </w:t>
      </w:r>
      <w:r>
        <w:rPr>
          <w:color w:val="000000"/>
        </w:rPr>
        <w:t>HHHHHHH</w:t>
      </w:r>
      <w:r w:rsidRPr="00E22C6F">
        <w:rPr>
          <w:color w:val="000000"/>
        </w:rPr>
        <w:t>.</w:t>
      </w:r>
    </w:p>
    <w:p w:rsidR="00CE23D4" w:rsidRPr="00BD7987"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34778">
        <w:rPr>
          <w:b/>
          <w:bCs/>
        </w:rPr>
        <w:lastRenderedPageBreak/>
        <w:t>2(b</w:t>
      </w:r>
      <w:r w:rsidR="000A36DE" w:rsidRPr="00934778">
        <w:rPr>
          <w:b/>
          <w:bCs/>
        </w:rPr>
        <w:t>) Practical</w:t>
      </w:r>
      <w:r w:rsidRPr="00934778">
        <w:rPr>
          <w:b/>
          <w:bCs/>
        </w:rPr>
        <w:t xml:space="preserve"> Utility/Users of the Data</w:t>
      </w:r>
    </w:p>
    <w:p w:rsidR="00CE23D4" w:rsidRPr="00B8569F" w:rsidRDefault="00CE23D4" w:rsidP="00CE23D4"/>
    <w:p w:rsidR="00CE23D4" w:rsidRPr="003B29F8" w:rsidRDefault="00CE23D4" w:rsidP="003B29F8">
      <w:pPr>
        <w:ind w:firstLine="720"/>
      </w:pPr>
      <w:r w:rsidRPr="003B29F8">
        <w:t>The information will be used by Designated Administrators' enforcement personnel to ensure that the requirements are being implemented and are complied with on a continuous</w:t>
      </w:r>
      <w:r w:rsidR="00DA7DA3">
        <w:t xml:space="preserve"> basis.</w:t>
      </w:r>
      <w:r w:rsidRPr="003B29F8">
        <w:t xml:space="preserve"> Specifically, the information will be used by the Designated Administrator to: (1) identify sources subject to the standards; (2) ensure that </w:t>
      </w:r>
      <w:r w:rsidR="003B29F8">
        <w:t>the PVC NESHAP</w:t>
      </w:r>
      <w:r w:rsidRPr="003B29F8">
        <w:t xml:space="preserve"> is being properly applied; (</w:t>
      </w:r>
      <w:r w:rsidR="00901E42">
        <w:t>3</w:t>
      </w:r>
      <w:r w:rsidRPr="003B29F8">
        <w:t xml:space="preserve">) ensure that the </w:t>
      </w:r>
      <w:r w:rsidR="003B29F8">
        <w:t xml:space="preserve">PVC NESHAP is being complied with; </w:t>
      </w:r>
      <w:r w:rsidR="00901E42">
        <w:t xml:space="preserve">and </w:t>
      </w:r>
      <w:r w:rsidR="003B29F8">
        <w:t>(4</w:t>
      </w:r>
      <w:r w:rsidRPr="003B29F8">
        <w:t>) ensure, on a continuous basis, that the operating parameters established during performance test</w:t>
      </w:r>
      <w:r w:rsidR="004B2971">
        <w:t>s</w:t>
      </w:r>
      <w:r w:rsidRPr="003B29F8">
        <w:t xml:space="preserve"> are not exceeded.</w:t>
      </w:r>
    </w:p>
    <w:p w:rsidR="00CE23D4" w:rsidRPr="003B29F8" w:rsidRDefault="00CE23D4" w:rsidP="003B29F8"/>
    <w:p w:rsidR="00CE23D4" w:rsidRPr="003B29F8" w:rsidRDefault="00CE23D4" w:rsidP="003B29F8">
      <w:pPr>
        <w:ind w:firstLine="720"/>
      </w:pPr>
      <w:r w:rsidRPr="003B29F8">
        <w:t xml:space="preserve">In addition, records and reports are necessary to enable the Designated Administrator to identify </w:t>
      </w:r>
      <w:r w:rsidR="003B29F8">
        <w:t>PVC</w:t>
      </w:r>
      <w:r w:rsidR="00901E42">
        <w:t xml:space="preserve"> production facilities</w:t>
      </w:r>
      <w:r w:rsidRPr="003B29F8">
        <w:t xml:space="preserve"> that may not be in </w:t>
      </w:r>
      <w:r w:rsidR="00DA7DA3">
        <w:t xml:space="preserve">compliance with the standards. </w:t>
      </w:r>
      <w:r w:rsidRPr="003B29F8">
        <w:t xml:space="preserve">Based on reported information, the Designated Administrator can decide which </w:t>
      </w:r>
      <w:r w:rsidR="003B29F8">
        <w:t>facilities</w:t>
      </w:r>
      <w:r w:rsidRPr="003B29F8">
        <w:t xml:space="preserve"> should be inspected and what records or proc</w:t>
      </w:r>
      <w:r w:rsidR="003B29F8">
        <w:t>esses should be inspected</w:t>
      </w:r>
      <w:r w:rsidR="00DA7DA3">
        <w:t xml:space="preserve">. </w:t>
      </w:r>
      <w:r w:rsidRPr="003B29F8">
        <w:t xml:space="preserve">The records that </w:t>
      </w:r>
      <w:r w:rsidR="003B29F8">
        <w:t>facilities</w:t>
      </w:r>
      <w:r w:rsidRPr="003B29F8">
        <w:t xml:space="preserve"> maintain would indicate to the Designated Administrator whether the personnel are operating and maintaining control equipment properly and whether they have met the qualification requirements.</w:t>
      </w:r>
    </w:p>
    <w:p w:rsidR="00CE23D4" w:rsidRPr="00B8569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34778">
        <w:rPr>
          <w:b/>
          <w:bCs/>
        </w:rPr>
        <w:t>3.</w:t>
      </w:r>
      <w:r w:rsidRPr="00934778">
        <w:rPr>
          <w:b/>
          <w:bCs/>
        </w:rPr>
        <w:tab/>
      </w:r>
      <w:r w:rsidR="00161149">
        <w:rPr>
          <w:b/>
          <w:bCs/>
        </w:rPr>
        <w:t>Nonduplication, Consultations, and Other Collection Criteria</w:t>
      </w:r>
    </w:p>
    <w:p w:rsidR="00CE23D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p>
    <w:p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b/>
          <w:bCs/>
          <w:color w:val="000000"/>
        </w:rPr>
      </w:pPr>
      <w:r w:rsidRPr="00934778">
        <w:rPr>
          <w:color w:val="000000"/>
        </w:rPr>
        <w:t>The requested recordkeeping and reporting will be required under 40 CFR part 6</w:t>
      </w:r>
      <w:r>
        <w:rPr>
          <w:color w:val="000000"/>
        </w:rPr>
        <w:t>3</w:t>
      </w:r>
      <w:r w:rsidRPr="00934778">
        <w:rPr>
          <w:color w:val="000000"/>
        </w:rPr>
        <w:t xml:space="preserve">, subpart </w:t>
      </w:r>
      <w:r w:rsidR="003B29F8">
        <w:rPr>
          <w:color w:val="000000"/>
        </w:rPr>
        <w:t>HHHHHHH</w:t>
      </w:r>
      <w:r w:rsidRPr="00934778">
        <w:rPr>
          <w:color w:val="000000"/>
        </w:rPr>
        <w:t>.</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a</w:t>
      </w:r>
      <w:r w:rsidR="000A36DE" w:rsidRPr="00934778">
        <w:rPr>
          <w:b/>
          <w:bCs/>
        </w:rPr>
        <w:t>) Nonduplication</w:t>
      </w:r>
    </w:p>
    <w:p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A82FD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A82FDF">
        <w:rPr>
          <w:color w:val="000000"/>
        </w:rPr>
        <w:t>If the subject standards have not been delegated, the information is sent directly to the ap</w:t>
      </w:r>
      <w:r w:rsidR="00DA7DA3">
        <w:rPr>
          <w:color w:val="000000"/>
        </w:rPr>
        <w:t xml:space="preserve">propriate EPA regional office. </w:t>
      </w:r>
      <w:r w:rsidRPr="00A82FDF">
        <w:rPr>
          <w:color w:val="000000"/>
        </w:rPr>
        <w:t>Otherwise, the information is sent directly to the de</w:t>
      </w:r>
      <w:r w:rsidR="00DA7DA3">
        <w:rPr>
          <w:color w:val="000000"/>
        </w:rPr>
        <w:t xml:space="preserve">legated state or local agency. </w:t>
      </w:r>
      <w:r w:rsidRPr="00A82FDF">
        <w:rPr>
          <w:color w:val="000000"/>
        </w:rPr>
        <w:t>If a state or local agency has adopted its own similar standards to implement the Federal standards, a copy of the report submitted to the state or local agency can be sent to the Administrator in lieu of the report requ</w:t>
      </w:r>
      <w:r w:rsidR="00DA7DA3">
        <w:rPr>
          <w:color w:val="000000"/>
        </w:rPr>
        <w:t xml:space="preserve">ired by the Federal standards. </w:t>
      </w:r>
      <w:r w:rsidRPr="00A82FDF">
        <w:rPr>
          <w:color w:val="000000"/>
        </w:rPr>
        <w:t>Therefore, no duplication exists.</w:t>
      </w:r>
    </w:p>
    <w:p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b</w:t>
      </w:r>
      <w:r w:rsidR="000A36DE" w:rsidRPr="00934778">
        <w:rPr>
          <w:b/>
          <w:bCs/>
        </w:rPr>
        <w:t xml:space="preserve">) </w:t>
      </w:r>
      <w:r w:rsidR="000A36DE">
        <w:rPr>
          <w:b/>
          <w:bCs/>
        </w:rPr>
        <w:t>Public</w:t>
      </w:r>
      <w:r w:rsidRPr="00934778">
        <w:rPr>
          <w:b/>
          <w:bCs/>
        </w:rPr>
        <w:t xml:space="preserve"> notice prior to ICR submission to OMB</w:t>
      </w:r>
    </w:p>
    <w:p w:rsidR="00CE23D4" w:rsidRPr="003B29F8" w:rsidRDefault="00CE23D4" w:rsidP="003B29F8"/>
    <w:p w:rsidR="00CE23D4" w:rsidRPr="003B29F8" w:rsidRDefault="00CE23D4" w:rsidP="003B29F8">
      <w:pPr>
        <w:ind w:firstLine="720"/>
      </w:pPr>
      <w:r w:rsidRPr="003B29F8">
        <w:t xml:space="preserve">A public notice of this collection </w:t>
      </w:r>
      <w:r w:rsidR="00161149">
        <w:t>was</w:t>
      </w:r>
      <w:r w:rsidRPr="003B29F8">
        <w:t xml:space="preserve"> provided in the Federal Register notice of </w:t>
      </w:r>
      <w:r w:rsidR="000A36DE">
        <w:t xml:space="preserve">proposed </w:t>
      </w:r>
      <w:r w:rsidR="000A36DE" w:rsidRPr="003B29F8">
        <w:t>rulemaking</w:t>
      </w:r>
      <w:r w:rsidRPr="003B29F8">
        <w:t xml:space="preserve"> published for the PVC NESHAP</w:t>
      </w:r>
      <w:r w:rsidR="00161149">
        <w:t xml:space="preserve"> on May 20, 2011 at 76 FR 29528</w:t>
      </w:r>
      <w:r w:rsidRPr="003B29F8">
        <w:t>.</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c</w:t>
      </w:r>
      <w:r w:rsidR="000A36DE" w:rsidRPr="00934778">
        <w:rPr>
          <w:b/>
          <w:bCs/>
        </w:rPr>
        <w:t>) Consultations</w:t>
      </w:r>
    </w:p>
    <w:p w:rsidR="00CE23D4" w:rsidRPr="003B29F8" w:rsidRDefault="00CE23D4" w:rsidP="003B29F8"/>
    <w:p w:rsidR="0012762E" w:rsidRPr="009769D3" w:rsidRDefault="0012762E" w:rsidP="0012762E">
      <w:pPr>
        <w:widowControl/>
        <w:ind w:firstLine="720"/>
        <w:rPr>
          <w:rFonts w:cs="Courier New"/>
        </w:rPr>
      </w:pPr>
      <w:r w:rsidRPr="008C6FC0">
        <w:rPr>
          <w:rFonts w:cs="Courier New"/>
        </w:rPr>
        <w:t>The public was provided the opportunity to review and comment on the burden estimated in this Information Collection Request during the comment period for the proposed rulemaking.</w:t>
      </w:r>
      <w:r w:rsidR="008C6FC0">
        <w:rPr>
          <w:rFonts w:cs="Courier New"/>
        </w:rPr>
        <w:t xml:space="preserve"> </w:t>
      </w:r>
      <w:r w:rsidRPr="008C6FC0">
        <w:rPr>
          <w:rFonts w:cs="Courier New"/>
        </w:rPr>
        <w:t xml:space="preserve">We have reviewed </w:t>
      </w:r>
      <w:r w:rsidR="005110E3">
        <w:rPr>
          <w:rFonts w:cs="Courier New"/>
        </w:rPr>
        <w:t>public comments received on the proposed rule</w:t>
      </w:r>
      <w:r w:rsidRPr="008C6FC0">
        <w:rPr>
          <w:rFonts w:cs="Courier New"/>
        </w:rPr>
        <w:t xml:space="preserve"> and have adopted several changes to the compliance requirements in the final rule in response to these comments and to minimize the burden on affected entities. Significant items that have reduced the burden on affected entities include removal of the </w:t>
      </w:r>
      <w:r w:rsidR="008C6FC0" w:rsidRPr="008C6FC0">
        <w:rPr>
          <w:rFonts w:cs="Courier New"/>
        </w:rPr>
        <w:t>continuous parametric monitoring</w:t>
      </w:r>
      <w:r w:rsidRPr="008C6FC0">
        <w:rPr>
          <w:rFonts w:cs="Courier New"/>
        </w:rPr>
        <w:t xml:space="preserve"> requirement</w:t>
      </w:r>
      <w:r w:rsidR="008C6FC0" w:rsidRPr="008C6FC0">
        <w:rPr>
          <w:rFonts w:cs="Courier New"/>
        </w:rPr>
        <w:t xml:space="preserve">s for resin strippers and wastewater strippers, reduced sampling and analysis frequency for process wastewater streams that do not require treatment, and consolidation of some reporting requirements. </w:t>
      </w:r>
      <w:r w:rsidRPr="008C6FC0">
        <w:rPr>
          <w:rFonts w:cs="Courier New"/>
        </w:rPr>
        <w:t xml:space="preserve">The preamble and final rule discuss the significant changes made since proposal. </w:t>
      </w:r>
      <w:r w:rsidRPr="008C6FC0">
        <w:rPr>
          <w:rFonts w:cs="Courier New"/>
        </w:rPr>
        <w:lastRenderedPageBreak/>
        <w:t>In response to specific comments received on the estimated burden we have updated the burden estimates.</w:t>
      </w:r>
    </w:p>
    <w:p w:rsidR="00CE23D4" w:rsidRPr="003B29F8" w:rsidRDefault="00CE23D4" w:rsidP="003B29F8">
      <w:pPr>
        <w:ind w:firstLine="720"/>
      </w:pPr>
      <w:r w:rsidRPr="003B29F8">
        <w:t xml:space="preserve">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d</w:t>
      </w:r>
      <w:r w:rsidR="000A36DE" w:rsidRPr="00934778">
        <w:rPr>
          <w:b/>
          <w:bCs/>
        </w:rPr>
        <w:t>) Effects</w:t>
      </w:r>
      <w:r w:rsidRPr="00934778">
        <w:rPr>
          <w:b/>
          <w:bCs/>
        </w:rPr>
        <w:t xml:space="preserve"> of Less Frequent Data Collection</w:t>
      </w:r>
    </w:p>
    <w:p w:rsidR="00CE23D4" w:rsidRPr="003B29F8" w:rsidRDefault="00CE23D4" w:rsidP="003B29F8"/>
    <w:p w:rsidR="00CF24F9" w:rsidRPr="00AF21B1" w:rsidRDefault="00CF24F9" w:rsidP="00AF21B1">
      <w:pPr>
        <w:ind w:firstLine="720"/>
      </w:pPr>
      <w:r w:rsidRPr="00840162">
        <w:t xml:space="preserve">The </w:t>
      </w:r>
      <w:r w:rsidR="00FA3FCC">
        <w:t xml:space="preserve">PVC </w:t>
      </w:r>
      <w:r w:rsidRPr="00840162">
        <w:t xml:space="preserve">NESHAP requires </w:t>
      </w:r>
      <w:r w:rsidR="00E524E7" w:rsidRPr="00840162">
        <w:t xml:space="preserve">an </w:t>
      </w:r>
      <w:r w:rsidR="00FA3FCC">
        <w:t>i</w:t>
      </w:r>
      <w:r w:rsidR="00FA3FCC" w:rsidRPr="00840162">
        <w:t xml:space="preserve">nitial </w:t>
      </w:r>
      <w:r w:rsidR="00FA3FCC">
        <w:t>n</w:t>
      </w:r>
      <w:r w:rsidR="00FA3FCC" w:rsidRPr="00840162">
        <w:t>otification</w:t>
      </w:r>
      <w:r w:rsidRPr="00840162">
        <w:t xml:space="preserve">, initial </w:t>
      </w:r>
      <w:r w:rsidR="00635078">
        <w:t xml:space="preserve">and periodic </w:t>
      </w:r>
      <w:r w:rsidRPr="00840162">
        <w:t>test</w:t>
      </w:r>
      <w:r w:rsidR="00635078">
        <w:t>ing</w:t>
      </w:r>
      <w:r w:rsidR="003C0548" w:rsidRPr="00840162">
        <w:t>,</w:t>
      </w:r>
      <w:r w:rsidRPr="00840162">
        <w:t xml:space="preserve"> </w:t>
      </w:r>
      <w:r w:rsidR="00E524E7" w:rsidRPr="00840162">
        <w:t xml:space="preserve">continuous operating parameter monitoring, </w:t>
      </w:r>
      <w:r w:rsidR="00F7682F" w:rsidRPr="00840162">
        <w:t xml:space="preserve">a </w:t>
      </w:r>
      <w:r w:rsidR="00FA3FCC">
        <w:t>n</w:t>
      </w:r>
      <w:r w:rsidR="00FA3FCC" w:rsidRPr="00840162">
        <w:t xml:space="preserve">otification </w:t>
      </w:r>
      <w:r w:rsidR="00E524E7" w:rsidRPr="00840162">
        <w:t xml:space="preserve">of </w:t>
      </w:r>
      <w:r w:rsidR="00FA3FCC">
        <w:t>c</w:t>
      </w:r>
      <w:r w:rsidR="00FA3FCC" w:rsidRPr="00840162">
        <w:t xml:space="preserve">ompliance </w:t>
      </w:r>
      <w:r w:rsidR="00FA3FCC">
        <w:t>s</w:t>
      </w:r>
      <w:r w:rsidR="00FA3FCC" w:rsidRPr="00840162">
        <w:t>tatus</w:t>
      </w:r>
      <w:r w:rsidR="00E524E7" w:rsidRPr="00840162">
        <w:t xml:space="preserve">, and </w:t>
      </w:r>
      <w:r w:rsidR="00FA3FCC">
        <w:t>compliance</w:t>
      </w:r>
      <w:r w:rsidR="00FA3FCC" w:rsidRPr="00840162">
        <w:t xml:space="preserve"> </w:t>
      </w:r>
      <w:r w:rsidR="00FA3FCC">
        <w:t>r</w:t>
      </w:r>
      <w:r w:rsidR="00FA3FCC" w:rsidRPr="00840162">
        <w:t>eports</w:t>
      </w:r>
      <w:r w:rsidR="00E524E7" w:rsidRPr="00840162">
        <w:t>.</w:t>
      </w:r>
      <w:r w:rsidR="00DB1EB3" w:rsidRPr="00840162">
        <w:t xml:space="preserve">  </w:t>
      </w:r>
      <w:r w:rsidR="003C0548" w:rsidRPr="00AF21B1">
        <w:t>The frequency of these activities was chosen by EPA as the period that will provide an adequate margin of assurance that affected facilities will not operate for extended periods in violation of the standards.</w:t>
      </w:r>
    </w:p>
    <w:p w:rsidR="00AF21B1" w:rsidRPr="00AF21B1" w:rsidRDefault="00AF21B1" w:rsidP="00AF21B1"/>
    <w:p w:rsidR="00840162" w:rsidRPr="00641D2C" w:rsidRDefault="00840162" w:rsidP="002C2696">
      <w:pPr>
        <w:ind w:firstLine="720"/>
      </w:pPr>
      <w:r w:rsidRPr="00AF21B1">
        <w:t>During the initial performance test</w:t>
      </w:r>
      <w:r w:rsidR="00641D2C">
        <w:t>s</w:t>
      </w:r>
      <w:r w:rsidRPr="00AF21B1">
        <w:t xml:space="preserve"> for vi</w:t>
      </w:r>
      <w:r w:rsidR="00635078">
        <w:t xml:space="preserve">nyl chloride, </w:t>
      </w:r>
      <w:r w:rsidR="000A36DE">
        <w:t xml:space="preserve">total hydrocarbons or </w:t>
      </w:r>
      <w:r w:rsidR="00635078">
        <w:t xml:space="preserve">total </w:t>
      </w:r>
      <w:r w:rsidR="0012762E">
        <w:t xml:space="preserve">organic </w:t>
      </w:r>
      <w:r w:rsidR="00635078">
        <w:t>HAP</w:t>
      </w:r>
      <w:r w:rsidRPr="00AF21B1">
        <w:t>, hydrogen chloride</w:t>
      </w:r>
      <w:r w:rsidR="00EC0249">
        <w:t xml:space="preserve"> (HCl)</w:t>
      </w:r>
      <w:r w:rsidRPr="00AF21B1">
        <w:t xml:space="preserve">, and </w:t>
      </w:r>
      <w:r w:rsidR="00FA3FCC">
        <w:t>chlorinated dibenzo-dioxins and furans</w:t>
      </w:r>
      <w:r w:rsidR="002A58EA">
        <w:t xml:space="preserve"> </w:t>
      </w:r>
      <w:r w:rsidR="00EC0249">
        <w:t>(CDD/CDF)</w:t>
      </w:r>
      <w:r w:rsidR="0012762E">
        <w:t xml:space="preserve"> from process vents</w:t>
      </w:r>
      <w:r w:rsidR="00FA3FCC">
        <w:t xml:space="preserve">, </w:t>
      </w:r>
      <w:r w:rsidRPr="00AF21B1">
        <w:t>the owner or operator must establish maximum or minimum value</w:t>
      </w:r>
      <w:r w:rsidR="00F81E1C">
        <w:t>s for each operating parameter.</w:t>
      </w:r>
      <w:r w:rsidRPr="00AF21B1">
        <w:t xml:space="preserve"> Thereafter, the owner or </w:t>
      </w:r>
      <w:r w:rsidRPr="00641D2C">
        <w:t>operator must continuously monitor the operating parameters.</w:t>
      </w:r>
      <w:r w:rsidR="00F81E1C">
        <w:t xml:space="preserve"> </w:t>
      </w:r>
      <w:r w:rsidR="008262DD">
        <w:t xml:space="preserve">In addition, </w:t>
      </w:r>
      <w:r w:rsidR="0012762E">
        <w:t>daily sampling of stripped resins for vinyl chloride and monthly sampling for total non-vinyl chloride organic HAP</w:t>
      </w:r>
      <w:r w:rsidR="000C686E">
        <w:t xml:space="preserve"> is required. Monthly sampling of process wastewater for vinyl chloride and total non-vinyl chloride organic HAP is also required. </w:t>
      </w:r>
      <w:r w:rsidR="003A0F3E">
        <w:t xml:space="preserve">Owners and operators must also conduct </w:t>
      </w:r>
      <w:r w:rsidR="000C686E">
        <w:t xml:space="preserve">monthly monitoring of heat exchange systems for </w:t>
      </w:r>
      <w:r w:rsidR="000A36DE">
        <w:t>volatile</w:t>
      </w:r>
      <w:r w:rsidR="000C686E">
        <w:t xml:space="preserve"> organic compounds or vinyl chloride, conduct </w:t>
      </w:r>
      <w:proofErr w:type="gramStart"/>
      <w:r w:rsidR="003A0F3E">
        <w:t>a leak</w:t>
      </w:r>
      <w:proofErr w:type="gramEnd"/>
      <w:r w:rsidR="003A0F3E">
        <w:t xml:space="preserve"> detection and repair program </w:t>
      </w:r>
      <w:r w:rsidR="000C686E">
        <w:t xml:space="preserve">for equipment leaks, </w:t>
      </w:r>
      <w:r w:rsidR="003A0F3E">
        <w:t>and operate a vinyl chloride monitoring system.</w:t>
      </w:r>
    </w:p>
    <w:p w:rsidR="002C2696" w:rsidRDefault="002C2696" w:rsidP="002C2696">
      <w:pPr>
        <w:ind w:firstLine="720"/>
      </w:pPr>
    </w:p>
    <w:p w:rsidR="00641D2C" w:rsidRPr="00641D2C" w:rsidRDefault="00641D2C" w:rsidP="002C2696">
      <w:pPr>
        <w:ind w:firstLine="720"/>
      </w:pPr>
      <w:r w:rsidRPr="00641D2C">
        <w:t xml:space="preserve">Although continuous monitoring of operating parameters cannot provide a direct measurement of emissions, it is less expensive than </w:t>
      </w:r>
      <w:r w:rsidR="00FA3FCC">
        <w:t>continuous emissions monitoring systems (</w:t>
      </w:r>
      <w:r w:rsidRPr="00641D2C">
        <w:t>CEMS</w:t>
      </w:r>
      <w:r w:rsidR="00FA3FCC">
        <w:t>)</w:t>
      </w:r>
      <w:r w:rsidRPr="00641D2C">
        <w:t>, and the information provided can be used to ensure that the air pollution control</w:t>
      </w:r>
      <w:r w:rsidR="00526123">
        <w:t xml:space="preserve"> devices</w:t>
      </w:r>
      <w:r w:rsidR="00F81E1C">
        <w:t xml:space="preserve"> are operating properly. </w:t>
      </w:r>
      <w:r w:rsidRPr="00641D2C">
        <w:t>This information assures EPA and the public that the reductions envisioned by the r</w:t>
      </w:r>
      <w:r w:rsidR="00F81E1C">
        <w:t xml:space="preserve">egulations are being achieved. </w:t>
      </w:r>
      <w:r w:rsidRPr="00641D2C">
        <w:t>Less frequent monitoring would not ensure continuous compliance.</w:t>
      </w:r>
    </w:p>
    <w:p w:rsidR="00CE23D4" w:rsidRPr="00641D2C" w:rsidRDefault="00CE23D4" w:rsidP="00641D2C"/>
    <w:p w:rsidR="00CE23D4" w:rsidRPr="003B29F8" w:rsidRDefault="002C2696" w:rsidP="00AF21B1">
      <w:pPr>
        <w:ind w:firstLine="720"/>
      </w:pPr>
      <w:r>
        <w:t xml:space="preserve">The </w:t>
      </w:r>
      <w:r w:rsidR="00FA3FCC">
        <w:t>c</w:t>
      </w:r>
      <w:r w:rsidR="008262DD">
        <w:t>ompliance</w:t>
      </w:r>
      <w:r>
        <w:t xml:space="preserve"> </w:t>
      </w:r>
      <w:r w:rsidR="00FA3FCC">
        <w:t>r</w:t>
      </w:r>
      <w:r>
        <w:t xml:space="preserve">eports </w:t>
      </w:r>
      <w:r w:rsidR="00CE23D4" w:rsidRPr="00AF21B1">
        <w:t>allow the</w:t>
      </w:r>
      <w:r w:rsidR="00CE23D4" w:rsidRPr="00840162">
        <w:t xml:space="preserve"> submittal of required information and data parameters so that any potential problems can be identified in a timely fashion.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e</w:t>
      </w:r>
      <w:r w:rsidR="000A36DE" w:rsidRPr="00934778">
        <w:rPr>
          <w:b/>
          <w:bCs/>
        </w:rPr>
        <w:t>) General</w:t>
      </w:r>
      <w:r w:rsidRPr="00934778">
        <w:rPr>
          <w:b/>
          <w:bCs/>
        </w:rPr>
        <w:t xml:space="preserve"> Guidelines</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0C686E" w:rsidRPr="009769D3" w:rsidRDefault="000C686E" w:rsidP="000C686E">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These reporting or recordkeeping requirements do not </w:t>
      </w:r>
      <w:r>
        <w:rPr>
          <w:color w:val="000000"/>
        </w:rPr>
        <w:t xml:space="preserve">violate any of the regulations </w:t>
      </w:r>
      <w:r w:rsidRPr="009769D3">
        <w:rPr>
          <w:color w:val="000000"/>
        </w:rPr>
        <w:t>promulgated by OMB under 5 CFR part 1320, section 1320.5.</w:t>
      </w:r>
    </w:p>
    <w:p w:rsidR="000C686E" w:rsidRDefault="000C686E"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rule requires all records to be maintained at the source for a period of </w:t>
      </w:r>
      <w:r w:rsidR="00EC0249">
        <w:t>five</w:t>
      </w:r>
      <w:r w:rsidR="00EC0249" w:rsidRPr="00934778">
        <w:t> </w:t>
      </w:r>
      <w:r w:rsidRPr="00934778">
        <w:t xml:space="preserve">years.  In 40 CFR part 63, subpart A, "General Provisions for National Emission Standards for Hazardous Air Pollutants for Source Categories," owners or operators of facilities are required to keep and maintain records for a period of </w:t>
      </w:r>
      <w:r w:rsidR="00EC0249">
        <w:t>five</w:t>
      </w:r>
      <w:r w:rsidR="00EC0249" w:rsidRPr="00934778">
        <w:t> </w:t>
      </w:r>
      <w:r w:rsidR="00F81E1C">
        <w:t xml:space="preserve">years. </w:t>
      </w:r>
      <w:r w:rsidRPr="00934778">
        <w:t>These records must be kept on file for use, if needed, by the regulating authority to ensure that the plant personnel are operating and maintaining control equipment properly</w:t>
      </w:r>
      <w:r w:rsidR="006B05E3">
        <w:t>.</w:t>
      </w:r>
      <w:r w:rsidR="00F81E1C">
        <w:t xml:space="preserve"> </w:t>
      </w:r>
      <w:r w:rsidRPr="00934778">
        <w:t xml:space="preserve">The title V permit programs also require records to be retained for </w:t>
      </w:r>
      <w:r w:rsidR="00EC0249">
        <w:t>five</w:t>
      </w:r>
      <w:r w:rsidR="00EC0249" w:rsidRPr="00934778">
        <w:t> </w:t>
      </w:r>
      <w:r w:rsidR="00F81E1C">
        <w:t xml:space="preserve">years. </w:t>
      </w:r>
      <w:r w:rsidRPr="00934778">
        <w:t xml:space="preserve">These records must be kept on file for use, if needed, by the regulating authority to ensure that the plant personnel are operating and maintaining control equipment properly.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lastRenderedPageBreak/>
        <w:t>3(f</w:t>
      </w:r>
      <w:r w:rsidR="000A36DE" w:rsidRPr="00934778">
        <w:rPr>
          <w:b/>
          <w:bCs/>
        </w:rPr>
        <w:t>) Confidentiality</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All information submitted to the Agency for which a claim of confidentiality is made will be safeguarded according to the Agency policies set forth in </w:t>
      </w:r>
      <w:r w:rsidR="00426B18">
        <w:t>40 CFR 2</w:t>
      </w:r>
      <w:r w:rsidRPr="00934778">
        <w:t>, subpart B -- Confidentiality of Business Information (see 40 CFR 2; 41 FR 36902, September 1, 1976, amended by 43 FR 39999, September 28, 1978; 43 FR 42251, September 28, 1978; 44 FR 17674, March 23, 1979).</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E0C64">
        <w:rPr>
          <w:b/>
        </w:rPr>
        <w:t>3(g</w:t>
      </w:r>
      <w:r w:rsidR="000A36DE" w:rsidRPr="00AE0C64">
        <w:rPr>
          <w:b/>
        </w:rPr>
        <w:t>) Sensitive</w:t>
      </w:r>
      <w:r w:rsidRPr="00934778">
        <w:rPr>
          <w:b/>
        </w:rPr>
        <w:t xml:space="preserve"> Questions</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934778">
        <w:rPr>
          <w:color w:val="000000"/>
        </w:rPr>
        <w:t>The reporting or recordkeeping requirements in the standard do not include sensitive questions.</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34778">
        <w:rPr>
          <w:b/>
          <w:bCs/>
        </w:rPr>
        <w:t>4.</w:t>
      </w:r>
      <w:r w:rsidRPr="00934778">
        <w:rPr>
          <w:b/>
          <w:bCs/>
        </w:rPr>
        <w:tab/>
        <w:t>THE RESPONDENTS AND THE INFORMATION REQUESTED</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4</w:t>
      </w:r>
      <w:r>
        <w:rPr>
          <w:b/>
          <w:bCs/>
        </w:rPr>
        <w:t>(</w:t>
      </w:r>
      <w:r w:rsidRPr="00934778">
        <w:rPr>
          <w:b/>
          <w:bCs/>
        </w:rPr>
        <w:t>a</w:t>
      </w:r>
      <w:r w:rsidR="000A36DE" w:rsidRPr="00934778">
        <w:rPr>
          <w:b/>
          <w:bCs/>
        </w:rPr>
        <w:t>) Respondents</w:t>
      </w:r>
      <w:r w:rsidRPr="00934778">
        <w:rPr>
          <w:b/>
          <w:bCs/>
        </w:rPr>
        <w:t>/NAICS Codes</w:t>
      </w:r>
    </w:p>
    <w:p w:rsidR="00CE23D4" w:rsidRPr="00576D6C"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BC3626" w:rsidRDefault="00CE23D4" w:rsidP="00BC3626">
      <w:pPr>
        <w:ind w:firstLine="720"/>
      </w:pPr>
      <w:r w:rsidRPr="00BC3626">
        <w:t xml:space="preserve">The respondents to the recordkeeping and reporting requirements are owners or operators of new or existing </w:t>
      </w:r>
      <w:r w:rsidR="002B39F7">
        <w:t xml:space="preserve">major source </w:t>
      </w:r>
      <w:r w:rsidR="00EC0249">
        <w:t>PVC</w:t>
      </w:r>
      <w:r w:rsidR="00F17E76" w:rsidRPr="00BC3626">
        <w:t xml:space="preserve"> production facilities</w:t>
      </w:r>
      <w:r w:rsidR="00F81E1C">
        <w:t xml:space="preserve">. </w:t>
      </w:r>
      <w:r w:rsidRPr="00BC3626">
        <w:t xml:space="preserve">The </w:t>
      </w:r>
      <w:r w:rsidR="00F17E76" w:rsidRPr="00BC3626">
        <w:t>PVC NESHAP</w:t>
      </w:r>
      <w:r w:rsidRPr="00BC3626">
        <w:t xml:space="preserve"> affects any industry</w:t>
      </w:r>
      <w:r w:rsidR="00F17E76" w:rsidRPr="00BC3626">
        <w:t xml:space="preserve"> </w:t>
      </w:r>
      <w:r w:rsidRPr="00BC3626">
        <w:t xml:space="preserve">using a </w:t>
      </w:r>
      <w:r w:rsidR="00F17E76" w:rsidRPr="00BC3626">
        <w:t>polyvinyl chloride and copolymers production process unit</w:t>
      </w:r>
      <w:r w:rsidR="00F81E1C">
        <w:t xml:space="preserve"> as defined in the regulation. </w:t>
      </w:r>
      <w:r w:rsidRPr="00BC3626">
        <w:t>This includes</w:t>
      </w:r>
      <w:r w:rsidR="00F17E76" w:rsidRPr="00BC3626">
        <w:t>, but is not limited to,</w:t>
      </w:r>
      <w:r w:rsidRPr="00BC3626">
        <w:t xml:space="preserve"> North American Industry Classification System (NAICS) Code </w:t>
      </w:r>
      <w:r w:rsidR="00F17E76" w:rsidRPr="00BC3626">
        <w:t>325211</w:t>
      </w:r>
      <w:r w:rsidRPr="00BC3626">
        <w:t xml:space="preserve"> (</w:t>
      </w:r>
      <w:r w:rsidR="00F17E76" w:rsidRPr="00BC3626">
        <w:t>Facilities that polymerize vinyl chloride monomer to produce PVC and/or copolymers products</w:t>
      </w:r>
      <w:r w:rsidRPr="00BC3626">
        <w:t>).</w:t>
      </w:r>
    </w:p>
    <w:p w:rsidR="00CE23D4" w:rsidRPr="00BC3626" w:rsidRDefault="00CE23D4" w:rsidP="00BC3626"/>
    <w:p w:rsidR="00BC3626" w:rsidRPr="00BC3626" w:rsidRDefault="00CE23D4" w:rsidP="00BC3626">
      <w:pPr>
        <w:ind w:firstLine="720"/>
      </w:pPr>
      <w:r w:rsidRPr="00BC3626">
        <w:t xml:space="preserve">Based on the distribution of facilities with affected </w:t>
      </w:r>
      <w:r w:rsidR="00F17E76" w:rsidRPr="00BC3626">
        <w:t xml:space="preserve">PVC </w:t>
      </w:r>
      <w:r w:rsidR="00684359">
        <w:t xml:space="preserve">production </w:t>
      </w:r>
      <w:r w:rsidR="00F17E76" w:rsidRPr="00BC3626">
        <w:t>facilities,</w:t>
      </w:r>
      <w:r w:rsidRPr="00BC3626">
        <w:t xml:space="preserve"> there </w:t>
      </w:r>
      <w:r w:rsidRPr="00F81E1C">
        <w:t xml:space="preserve">are </w:t>
      </w:r>
      <w:r w:rsidR="004C24EF" w:rsidRPr="00F81E1C">
        <w:t>1</w:t>
      </w:r>
      <w:r w:rsidR="002B39F7" w:rsidRPr="00F81E1C">
        <w:t>5</w:t>
      </w:r>
      <w:r w:rsidRPr="00BC3626">
        <w:t xml:space="preserve"> existing </w:t>
      </w:r>
      <w:r w:rsidR="002B39F7">
        <w:t xml:space="preserve">major source </w:t>
      </w:r>
      <w:r w:rsidRPr="00BC3626">
        <w:t xml:space="preserve">facilities which will be affected. </w:t>
      </w:r>
      <w:r w:rsidR="004C24EF" w:rsidRPr="004C24EF">
        <w:t>Of these, 100 percent are located in the private sector.</w:t>
      </w:r>
    </w:p>
    <w:p w:rsidR="00BC3626" w:rsidRPr="00BC3626" w:rsidRDefault="00BC3626" w:rsidP="00BC3626"/>
    <w:p w:rsidR="00CE23D4" w:rsidRPr="00BC3626" w:rsidRDefault="00CE23D4" w:rsidP="00BC3626">
      <w:pPr>
        <w:ind w:firstLine="720"/>
        <w:rPr>
          <w:b/>
        </w:rPr>
      </w:pPr>
      <w:r w:rsidRPr="00BC3626">
        <w:rPr>
          <w:b/>
        </w:rPr>
        <w:t>4(b</w:t>
      </w:r>
      <w:r w:rsidR="000A36DE" w:rsidRPr="00BC3626">
        <w:rPr>
          <w:b/>
        </w:rPr>
        <w:t>) Information</w:t>
      </w:r>
      <w:r w:rsidRPr="00BC3626">
        <w:rPr>
          <w:b/>
        </w:rPr>
        <w:t xml:space="preserve"> Requested</w:t>
      </w:r>
    </w:p>
    <w:p w:rsidR="00BC3626" w:rsidRDefault="00BC3626" w:rsidP="00BC3626">
      <w:pPr>
        <w:ind w:firstLine="720"/>
        <w:rPr>
          <w:b/>
        </w:rPr>
      </w:pPr>
    </w:p>
    <w:p w:rsidR="00CE23D4" w:rsidRPr="00BC3626" w:rsidRDefault="00CE23D4" w:rsidP="00BC3626">
      <w:pPr>
        <w:ind w:firstLine="720"/>
        <w:rPr>
          <w:b/>
        </w:rPr>
      </w:pPr>
      <w:r w:rsidRPr="00BC3626">
        <w:rPr>
          <w:b/>
        </w:rPr>
        <w:t>(i)  Data Items</w:t>
      </w:r>
    </w:p>
    <w:p w:rsidR="00CE23D4" w:rsidRPr="00BC3626" w:rsidRDefault="00CE23D4" w:rsidP="00BC3626"/>
    <w:p w:rsidR="00CE23D4" w:rsidRPr="00BC3626" w:rsidRDefault="00CE23D4" w:rsidP="00BC3626">
      <w:pPr>
        <w:ind w:firstLine="720"/>
      </w:pPr>
      <w:r w:rsidRPr="00500BDF">
        <w:t xml:space="preserve">Attachment 1, Source Data and Information Requirements, and Tables 1 </w:t>
      </w:r>
      <w:r w:rsidR="00EC0249">
        <w:t>through</w:t>
      </w:r>
      <w:r w:rsidR="00EC0249" w:rsidRPr="00500BDF">
        <w:t xml:space="preserve"> </w:t>
      </w:r>
      <w:r w:rsidR="00500BDF" w:rsidRPr="00500BDF">
        <w:t>4</w:t>
      </w:r>
      <w:r w:rsidRPr="00500BDF">
        <w:t xml:space="preserve"> of Attachment 2 present a summary of the recordkeeping and reporting requirements of this regulation.</w:t>
      </w:r>
      <w:r w:rsidRPr="00BC3626">
        <w:t xml:space="preserve">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w:t>
      </w:r>
      <w:r>
        <w:rPr>
          <w:b/>
        </w:rPr>
        <w:t>)  Respondent A</w:t>
      </w:r>
      <w:r w:rsidRPr="00AE0C64">
        <w:rPr>
          <w:b/>
        </w:rPr>
        <w:t>ctivities</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The respondent activities required by the standards are provided under the first column of Tables </w:t>
      </w:r>
      <w:r w:rsidR="00500BDF" w:rsidRPr="00500BDF">
        <w:t xml:space="preserve">1 </w:t>
      </w:r>
      <w:r w:rsidR="00EC0249">
        <w:t>through</w:t>
      </w:r>
      <w:r w:rsidR="00EC0249" w:rsidRPr="00500BDF">
        <w:t xml:space="preserve"> </w:t>
      </w:r>
      <w:r w:rsidR="00500BDF" w:rsidRPr="00500BDF">
        <w:t xml:space="preserve">4 </w:t>
      </w:r>
      <w:r w:rsidRPr="00500BDF">
        <w:t xml:space="preserve">of Attachment </w:t>
      </w:r>
      <w:r w:rsidR="00F81E1C">
        <w:t xml:space="preserve">2, introduced in section 6(a). </w:t>
      </w:r>
      <w:r w:rsidRPr="00500BDF">
        <w:t>All</w:t>
      </w:r>
      <w:r w:rsidRPr="00934778">
        <w:t xml:space="preserve"> burden items are included in these tables.</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(iii)  Summary of Requirements</w:t>
      </w:r>
      <w:r w:rsidRPr="00934778">
        <w:t xml:space="preserve">  </w:t>
      </w:r>
    </w:p>
    <w:p w:rsidR="00CE23D4" w:rsidRPr="00A63F32" w:rsidRDefault="00CE23D4" w:rsidP="00A63F32"/>
    <w:p w:rsidR="00A63F32" w:rsidRDefault="00A63F32" w:rsidP="00834090">
      <w:pPr>
        <w:ind w:firstLine="720"/>
      </w:pPr>
      <w:r w:rsidRPr="00642F7A">
        <w:t xml:space="preserve">The information collection activities in this ICR include the following: </w:t>
      </w:r>
      <w:r w:rsidR="007D1D0E">
        <w:t xml:space="preserve">reading the rule, </w:t>
      </w:r>
      <w:r w:rsidRPr="00642F7A">
        <w:t>performance tests,</w:t>
      </w:r>
      <w:r w:rsidR="00135582">
        <w:t xml:space="preserve"> </w:t>
      </w:r>
      <w:r w:rsidR="000C686E">
        <w:t xml:space="preserve">process </w:t>
      </w:r>
      <w:r w:rsidR="00135582">
        <w:t>wastewater sampling, resin sampling,</w:t>
      </w:r>
      <w:r w:rsidRPr="00642F7A">
        <w:t xml:space="preserve"> </w:t>
      </w:r>
      <w:r w:rsidR="00684359">
        <w:t>leak detection</w:t>
      </w:r>
      <w:r w:rsidR="007D1D0E">
        <w:t xml:space="preserve"> monitoring</w:t>
      </w:r>
      <w:r w:rsidR="00684359">
        <w:t>,</w:t>
      </w:r>
      <w:r w:rsidR="00834090">
        <w:t xml:space="preserve"> heat exchange</w:t>
      </w:r>
      <w:r w:rsidR="000C686E">
        <w:t xml:space="preserve"> system</w:t>
      </w:r>
      <w:r w:rsidR="00834090">
        <w:t xml:space="preserve"> monitoring,</w:t>
      </w:r>
      <w:r w:rsidR="00DC148E">
        <w:t xml:space="preserve"> pressure relief device (PRD) monitoring,</w:t>
      </w:r>
      <w:r w:rsidR="00684359">
        <w:t xml:space="preserve"> </w:t>
      </w:r>
      <w:r w:rsidRPr="00642F7A">
        <w:t xml:space="preserve">operating parameter </w:t>
      </w:r>
      <w:r w:rsidRPr="00642F7A">
        <w:lastRenderedPageBreak/>
        <w:t xml:space="preserve">monitoring, </w:t>
      </w:r>
      <w:proofErr w:type="gramStart"/>
      <w:r w:rsidRPr="00642F7A">
        <w:t>preparation</w:t>
      </w:r>
      <w:proofErr w:type="gramEnd"/>
      <w:r w:rsidRPr="00642F7A">
        <w:t xml:space="preserve"> of a site</w:t>
      </w:r>
      <w:r w:rsidR="00135582">
        <w:t>-specific monitoring plan</w:t>
      </w:r>
      <w:r w:rsidR="00BF73B6" w:rsidRPr="00642F7A">
        <w:t xml:space="preserve">, </w:t>
      </w:r>
      <w:r w:rsidRPr="00642F7A">
        <w:t>one-time and periodic reports, a</w:t>
      </w:r>
      <w:r w:rsidR="00F81E1C">
        <w:t xml:space="preserve">nd the maintenance of records. </w:t>
      </w:r>
      <w:r w:rsidRPr="00642F7A">
        <w:t xml:space="preserve">Some information collection activities included in the </w:t>
      </w:r>
      <w:r w:rsidR="00EC0249">
        <w:t xml:space="preserve">PVC </w:t>
      </w:r>
      <w:r w:rsidR="00BF73B6" w:rsidRPr="00642F7A">
        <w:t>NESHAP</w:t>
      </w:r>
      <w:r w:rsidRPr="00642F7A">
        <w:t xml:space="preserve"> may occur within the first three years, and are presented in this burden estimate, but may not occur until </w:t>
      </w:r>
      <w:r w:rsidR="00EC0249">
        <w:t>four</w:t>
      </w:r>
      <w:r w:rsidR="00EC0249" w:rsidRPr="00642F7A">
        <w:t xml:space="preserve"> </w:t>
      </w:r>
      <w:r w:rsidRPr="00642F7A">
        <w:t xml:space="preserve">or </w:t>
      </w:r>
      <w:r w:rsidR="00EC0249">
        <w:t>five</w:t>
      </w:r>
      <w:r w:rsidR="00EC0249" w:rsidRPr="00642F7A">
        <w:t xml:space="preserve"> </w:t>
      </w:r>
      <w:r w:rsidRPr="00642F7A">
        <w:t>years following promulgation of the proposed standa</w:t>
      </w:r>
      <w:r w:rsidR="00F81E1C">
        <w:t xml:space="preserve">rds for some affected sources. </w:t>
      </w:r>
      <w:r w:rsidRPr="00642F7A">
        <w:t xml:space="preserve">To be conservative in our estimate, the burden for these items is included in this ICR.  </w:t>
      </w:r>
    </w:p>
    <w:p w:rsidR="00834090" w:rsidRPr="00642F7A" w:rsidRDefault="00834090" w:rsidP="00834090">
      <w:pPr>
        <w:ind w:firstLine="720"/>
      </w:pPr>
    </w:p>
    <w:p w:rsidR="004C2F3F" w:rsidRPr="00642F7A" w:rsidRDefault="004C2F3F" w:rsidP="00642F7A">
      <w:pPr>
        <w:ind w:firstLine="720"/>
      </w:pPr>
      <w:r w:rsidRPr="00642F7A">
        <w:t xml:space="preserve">An </w:t>
      </w:r>
      <w:r w:rsidR="00EC0249">
        <w:t>i</w:t>
      </w:r>
      <w:r w:rsidR="00EC0249" w:rsidRPr="00642F7A">
        <w:t xml:space="preserve">nitial </w:t>
      </w:r>
      <w:r w:rsidR="00EC0249">
        <w:t>n</w:t>
      </w:r>
      <w:r w:rsidR="00EC0249" w:rsidRPr="00642F7A">
        <w:t xml:space="preserve">otification </w:t>
      </w:r>
      <w:r w:rsidRPr="00642F7A">
        <w:t>is required to notify the Designated Administrator of the applicability of this subpart and to identify storage vessels, process vents, equipment leaks, and other equipment and emission points subject to this subpart.</w:t>
      </w:r>
    </w:p>
    <w:p w:rsidR="004C2F3F" w:rsidRPr="00642F7A" w:rsidRDefault="004C2F3F" w:rsidP="00642F7A"/>
    <w:p w:rsidR="00CE23D4" w:rsidRDefault="009F652F" w:rsidP="00642F7A">
      <w:pPr>
        <w:ind w:firstLine="720"/>
      </w:pPr>
      <w:r w:rsidRPr="00642F7A">
        <w:t>A notification of performance test must be submitted, and a site-specific test plan written for the performance test along with a monitoring plan.</w:t>
      </w:r>
      <w:r w:rsidR="00F81E1C">
        <w:t xml:space="preserve"> </w:t>
      </w:r>
      <w:r w:rsidR="00CE23D4" w:rsidRPr="00642F7A">
        <w:t>The regulation requires an initial performance test for the following pollutants</w:t>
      </w:r>
      <w:r w:rsidR="002914A1">
        <w:t>,</w:t>
      </w:r>
      <w:r w:rsidR="003245B7" w:rsidRPr="00642F7A">
        <w:t xml:space="preserve"> vinyl chloride, </w:t>
      </w:r>
      <w:r w:rsidR="005110E3">
        <w:t xml:space="preserve">total hydrocarbons or </w:t>
      </w:r>
      <w:r w:rsidR="003245B7" w:rsidRPr="00642F7A">
        <w:t xml:space="preserve">total </w:t>
      </w:r>
      <w:r w:rsidR="000C686E">
        <w:t xml:space="preserve">organic </w:t>
      </w:r>
      <w:r w:rsidR="003245B7" w:rsidRPr="00642F7A">
        <w:t xml:space="preserve">HAP, </w:t>
      </w:r>
      <w:r w:rsidR="00EC0249">
        <w:t>HCl</w:t>
      </w:r>
      <w:r w:rsidR="003245B7" w:rsidRPr="00642F7A">
        <w:t xml:space="preserve">, and </w:t>
      </w:r>
      <w:r w:rsidR="00EC0249">
        <w:t>CDD/CDF</w:t>
      </w:r>
      <w:r w:rsidR="00F81E1C">
        <w:t xml:space="preserve">. </w:t>
      </w:r>
      <w:r w:rsidR="00CE23D4" w:rsidRPr="00642F7A">
        <w:t>During the initial performance test the owner or operator must establish limits</w:t>
      </w:r>
      <w:r w:rsidR="00F81E1C">
        <w:t xml:space="preserve"> for each operating parameter. </w:t>
      </w:r>
      <w:r w:rsidR="00CE23D4" w:rsidRPr="00642F7A">
        <w:t>Thereafter, the owner or operator must continuously mon</w:t>
      </w:r>
      <w:r w:rsidR="003245B7" w:rsidRPr="00642F7A">
        <w:t>itor the operating parameters.</w:t>
      </w:r>
      <w:r w:rsidR="00F81E1C">
        <w:t xml:space="preserve"> </w:t>
      </w:r>
      <w:r w:rsidR="005110E3">
        <w:t>P</w:t>
      </w:r>
      <w:r w:rsidR="003C2999">
        <w:t xml:space="preserve">erformance tests </w:t>
      </w:r>
      <w:r w:rsidR="00082DC2">
        <w:t xml:space="preserve">are also required for </w:t>
      </w:r>
      <w:r w:rsidR="005110E3">
        <w:t xml:space="preserve">vinyl chloride, </w:t>
      </w:r>
      <w:r w:rsidR="00082DC2">
        <w:t xml:space="preserve">total </w:t>
      </w:r>
      <w:r w:rsidR="005110E3">
        <w:t xml:space="preserve">hydrocarbons or total </w:t>
      </w:r>
      <w:r w:rsidR="000C686E">
        <w:t xml:space="preserve">organic </w:t>
      </w:r>
      <w:r w:rsidR="00EC0249">
        <w:t>HAP</w:t>
      </w:r>
      <w:r w:rsidR="005110E3">
        <w:t>, HCl,</w:t>
      </w:r>
      <w:r w:rsidR="00EC0249">
        <w:t xml:space="preserve"> and</w:t>
      </w:r>
      <w:r w:rsidR="00082DC2">
        <w:t xml:space="preserve"> </w:t>
      </w:r>
      <w:r w:rsidR="00EC0249">
        <w:t>CDD/CDF</w:t>
      </w:r>
      <w:r w:rsidR="005110E3">
        <w:t xml:space="preserve"> every five years</w:t>
      </w:r>
      <w:r w:rsidR="00082DC2">
        <w:t>.</w:t>
      </w:r>
    </w:p>
    <w:p w:rsidR="00082DC2" w:rsidRDefault="00082DC2" w:rsidP="00642F7A">
      <w:pPr>
        <w:ind w:firstLine="720"/>
      </w:pPr>
    </w:p>
    <w:p w:rsidR="00834090" w:rsidRDefault="00082DC2" w:rsidP="000C686E">
      <w:pPr>
        <w:ind w:firstLine="720"/>
      </w:pPr>
      <w:r>
        <w:t xml:space="preserve">For </w:t>
      </w:r>
      <w:r w:rsidR="000C686E">
        <w:t>stripped resin and process wastewater</w:t>
      </w:r>
      <w:r>
        <w:t xml:space="preserve"> streams, testing is required for </w:t>
      </w:r>
      <w:r w:rsidR="000C686E">
        <w:t xml:space="preserve">both </w:t>
      </w:r>
      <w:r>
        <w:t xml:space="preserve">vinyl chloride and total </w:t>
      </w:r>
      <w:r w:rsidR="000C686E">
        <w:t xml:space="preserve">non-vinyl chloride organic </w:t>
      </w:r>
      <w:r w:rsidR="00F81E1C">
        <w:t xml:space="preserve">HAP. </w:t>
      </w:r>
      <w:r>
        <w:t>An</w:t>
      </w:r>
      <w:r w:rsidR="000C686E">
        <w:t xml:space="preserve"> initial test must be performed. For stripped resins, subsequent daily sampling is required for vinyl chloride and monthly sampling is required for total non-vinyl chloride organic HAP. For process wastewater streams that require treatment, monthly sampling is required fo</w:t>
      </w:r>
      <w:r w:rsidR="002B39F7">
        <w:t>r both vinyl chloride and total</w:t>
      </w:r>
      <w:r w:rsidR="000C686E">
        <w:t xml:space="preserve"> </w:t>
      </w:r>
      <w:r w:rsidR="002B39F7">
        <w:t>n</w:t>
      </w:r>
      <w:r w:rsidR="000C686E">
        <w:t xml:space="preserve">on-vinyl chloride organic HAP. </w:t>
      </w:r>
      <w:r w:rsidR="00834090">
        <w:t xml:space="preserve">Monthly monitoring is </w:t>
      </w:r>
      <w:r w:rsidR="00155C17">
        <w:t xml:space="preserve">also </w:t>
      </w:r>
      <w:r w:rsidR="000C686E">
        <w:t>required for heat exchange systems</w:t>
      </w:r>
      <w:r w:rsidR="00834090">
        <w:t xml:space="preserve"> and equipment leaks.  </w:t>
      </w:r>
    </w:p>
    <w:p w:rsidR="00834090" w:rsidRPr="00642F7A" w:rsidRDefault="00834090" w:rsidP="00834090">
      <w:pPr>
        <w:ind w:firstLine="720"/>
      </w:pPr>
    </w:p>
    <w:p w:rsidR="00CE23D4" w:rsidRPr="00642F7A" w:rsidRDefault="00CE23D4" w:rsidP="00642F7A">
      <w:pPr>
        <w:ind w:firstLine="720"/>
      </w:pPr>
      <w:r w:rsidRPr="00642F7A">
        <w:t xml:space="preserve">Following the initial performance test, the owner or operator must submit a </w:t>
      </w:r>
      <w:r w:rsidR="00EC0249">
        <w:t>n</w:t>
      </w:r>
      <w:r w:rsidR="00EC0249" w:rsidRPr="00642F7A">
        <w:t xml:space="preserve">otification </w:t>
      </w:r>
      <w:r w:rsidR="003245B7" w:rsidRPr="00642F7A">
        <w:t xml:space="preserve">of </w:t>
      </w:r>
      <w:r w:rsidR="00EC0249">
        <w:t>c</w:t>
      </w:r>
      <w:r w:rsidR="00EC0249" w:rsidRPr="00642F7A">
        <w:t xml:space="preserve">ompliance </w:t>
      </w:r>
      <w:r w:rsidR="00EC0249">
        <w:t>s</w:t>
      </w:r>
      <w:r w:rsidR="00EC0249" w:rsidRPr="00642F7A">
        <w:t xml:space="preserve">tatus </w:t>
      </w:r>
      <w:r w:rsidRPr="00642F7A">
        <w:t xml:space="preserve">that documents the </w:t>
      </w:r>
      <w:r w:rsidR="00180EC4">
        <w:t xml:space="preserve">performance </w:t>
      </w:r>
      <w:r w:rsidR="00A644FF">
        <w:t>test</w:t>
      </w:r>
      <w:r w:rsidR="00082DC2">
        <w:t>s</w:t>
      </w:r>
      <w:r w:rsidR="00180EC4">
        <w:t>,</w:t>
      </w:r>
      <w:r w:rsidR="00A644FF">
        <w:t xml:space="preserve"> values for the</w:t>
      </w:r>
      <w:r w:rsidRPr="00642F7A">
        <w:t xml:space="preserve"> operating </w:t>
      </w:r>
      <w:r w:rsidR="00110105">
        <w:t>parameters</w:t>
      </w:r>
      <w:r w:rsidR="00180EC4">
        <w:t>, resin stripper tests, and wastewater tests</w:t>
      </w:r>
      <w:r w:rsidRPr="00642F7A">
        <w:t>.</w:t>
      </w:r>
      <w:r w:rsidR="00F81E1C">
        <w:t xml:space="preserve"> </w:t>
      </w:r>
      <w:r w:rsidR="003245B7" w:rsidRPr="00642F7A">
        <w:t xml:space="preserve">This report also includes </w:t>
      </w:r>
      <w:r w:rsidR="005771F7">
        <w:t xml:space="preserve">the following </w:t>
      </w:r>
      <w:r w:rsidR="00A644FF">
        <w:t>additional</w:t>
      </w:r>
      <w:r w:rsidR="003245B7" w:rsidRPr="00642F7A">
        <w:t xml:space="preserve"> items</w:t>
      </w:r>
      <w:r w:rsidR="005771F7">
        <w:t>:</w:t>
      </w:r>
      <w:r w:rsidR="00A644FF">
        <w:t xml:space="preserve"> </w:t>
      </w:r>
      <w:r w:rsidR="005771F7">
        <w:t xml:space="preserve">identification of storage vessels, </w:t>
      </w:r>
      <w:r w:rsidR="00180EC4">
        <w:t>information</w:t>
      </w:r>
      <w:r w:rsidR="00A644FF">
        <w:t xml:space="preserve"> for equipment leaks, </w:t>
      </w:r>
      <w:r w:rsidR="00180EC4">
        <w:t xml:space="preserve">and </w:t>
      </w:r>
      <w:r w:rsidR="00A644FF">
        <w:t>identific</w:t>
      </w:r>
      <w:r w:rsidR="00180EC4">
        <w:t>ation of heat exchange systems.</w:t>
      </w:r>
    </w:p>
    <w:p w:rsidR="003245B7" w:rsidRPr="00642F7A" w:rsidRDefault="003245B7" w:rsidP="00642F7A"/>
    <w:p w:rsidR="00D829BE" w:rsidRPr="00642F7A" w:rsidRDefault="00CE23D4" w:rsidP="00DC148E">
      <w:pPr>
        <w:ind w:firstLine="720"/>
      </w:pPr>
      <w:r w:rsidRPr="00642F7A">
        <w:t>A</w:t>
      </w:r>
      <w:r w:rsidR="00110105">
        <w:t xml:space="preserve"> </w:t>
      </w:r>
      <w:r w:rsidR="009D21AA">
        <w:t>compliance</w:t>
      </w:r>
      <w:r w:rsidR="009D21AA" w:rsidRPr="00642F7A">
        <w:t xml:space="preserve"> </w:t>
      </w:r>
      <w:r w:rsidR="009D21AA">
        <w:t>r</w:t>
      </w:r>
      <w:r w:rsidR="009D21AA" w:rsidRPr="00642F7A">
        <w:t>eport</w:t>
      </w:r>
      <w:r w:rsidR="009D21AA">
        <w:t xml:space="preserve"> </w:t>
      </w:r>
      <w:r w:rsidR="00110105">
        <w:t xml:space="preserve">submitted </w:t>
      </w:r>
      <w:r w:rsidR="005110E3">
        <w:t>semi-</w:t>
      </w:r>
      <w:r w:rsidR="00082DC2">
        <w:t>annually</w:t>
      </w:r>
      <w:r w:rsidRPr="00642F7A">
        <w:t xml:space="preserve"> documents the values for the operating </w:t>
      </w:r>
      <w:r w:rsidR="00110105">
        <w:t xml:space="preserve">parameters </w:t>
      </w:r>
      <w:r w:rsidR="00A84BD7">
        <w:t>and deviations,</w:t>
      </w:r>
      <w:r w:rsidR="00110105">
        <w:t xml:space="preserve"> </w:t>
      </w:r>
      <w:r w:rsidR="00A84BD7">
        <w:t>storage vessel inspection records, leak</w:t>
      </w:r>
      <w:r w:rsidR="00110105">
        <w:t xml:space="preserve"> and monitoring informatio</w:t>
      </w:r>
      <w:r w:rsidR="00A84BD7">
        <w:t>n for equipment leaks,</w:t>
      </w:r>
      <w:r w:rsidR="00DC148E">
        <w:t xml:space="preserve"> </w:t>
      </w:r>
      <w:r w:rsidR="00A84BD7">
        <w:t>and leak</w:t>
      </w:r>
      <w:r w:rsidR="00110105">
        <w:t xml:space="preserve"> and monitoring data for heat exchangers if greater than leak definition.</w:t>
      </w:r>
      <w:r w:rsidR="00F81E1C">
        <w:t xml:space="preserve"> </w:t>
      </w:r>
      <w:r w:rsidR="00D829BE">
        <w:t>Other reporting requirements include submittal of a batch pre</w:t>
      </w:r>
      <w:r w:rsidR="009D21AA">
        <w:t>-</w:t>
      </w:r>
      <w:r w:rsidR="00D829BE">
        <w:t>compliance report and notice of inspection.</w:t>
      </w:r>
    </w:p>
    <w:p w:rsidR="00D829BE" w:rsidRDefault="00D829BE" w:rsidP="00642F7A">
      <w:pPr>
        <w:ind w:firstLine="720"/>
      </w:pPr>
    </w:p>
    <w:p w:rsidR="00CE23D4" w:rsidRPr="00642F7A" w:rsidRDefault="00CE23D4" w:rsidP="00642F7A">
      <w:pPr>
        <w:ind w:firstLine="720"/>
      </w:pPr>
      <w:r w:rsidRPr="00642F7A">
        <w:t xml:space="preserve">Owners or operators of </w:t>
      </w:r>
      <w:r w:rsidR="007B3A60">
        <w:t xml:space="preserve">PVC </w:t>
      </w:r>
      <w:r w:rsidR="003366FA">
        <w:t xml:space="preserve">production </w:t>
      </w:r>
      <w:r w:rsidR="007B3A60">
        <w:t>facilities</w:t>
      </w:r>
      <w:r w:rsidRPr="00642F7A">
        <w:t xml:space="preserve"> are required to keep records of certain parameters and information for a period of </w:t>
      </w:r>
      <w:r w:rsidR="009D21AA">
        <w:t>five</w:t>
      </w:r>
      <w:r w:rsidR="009D21AA" w:rsidRPr="00642F7A">
        <w:t xml:space="preserve"> </w:t>
      </w:r>
      <w:r w:rsidR="00F81E1C">
        <w:t xml:space="preserve">years. </w:t>
      </w:r>
      <w:r w:rsidR="007B3A60">
        <w:t xml:space="preserve">These records include the </w:t>
      </w:r>
      <w:r w:rsidRPr="00642F7A">
        <w:t>initial performance test</w:t>
      </w:r>
      <w:r w:rsidR="007B3A60">
        <w:t xml:space="preserve"> and operating parameter values consistent with the monitoring plan;</w:t>
      </w:r>
      <w:r w:rsidRPr="00642F7A">
        <w:t xml:space="preserve"> </w:t>
      </w:r>
      <w:r w:rsidR="000C686E">
        <w:t>stripped resin and process wastewater</w:t>
      </w:r>
      <w:r w:rsidR="00D829BE">
        <w:t xml:space="preserve"> </w:t>
      </w:r>
      <w:r w:rsidR="000C686E">
        <w:t>sampling</w:t>
      </w:r>
      <w:r w:rsidR="00D829BE">
        <w:t xml:space="preserve"> results; </w:t>
      </w:r>
      <w:r w:rsidR="007B3A60">
        <w:t xml:space="preserve">the date and time for each deviation; copies of the current version of the monitoring plan and the equipment leak detection and repair plan; </w:t>
      </w:r>
      <w:r w:rsidR="003D2287">
        <w:t xml:space="preserve">monitoring schedule and inspection records for valves, pumps, connectors, agitators, pressure relief devices, and compressors; </w:t>
      </w:r>
      <w:r w:rsidR="007B3A60">
        <w:t xml:space="preserve">inspection records for </w:t>
      </w:r>
      <w:r w:rsidR="00DC08B5">
        <w:t xml:space="preserve">storage </w:t>
      </w:r>
      <w:r w:rsidR="007B3A60">
        <w:t xml:space="preserve">vessels; defects and leaks for vessels; </w:t>
      </w:r>
      <w:r w:rsidR="00B24699">
        <w:t xml:space="preserve">and </w:t>
      </w:r>
      <w:r w:rsidR="007B3A60">
        <w:t>monitoring events along with leak and re</w:t>
      </w:r>
      <w:r w:rsidR="000C686E">
        <w:t>pair dates for heat exchange systems</w:t>
      </w:r>
      <w:r w:rsidR="00B24699">
        <w:t>.</w:t>
      </w:r>
    </w:p>
    <w:p w:rsidR="00CE23D4" w:rsidRPr="00642F7A" w:rsidRDefault="00CE23D4" w:rsidP="00642F7A"/>
    <w:p w:rsidR="00CE23D4" w:rsidRDefault="00CE23D4" w:rsidP="00642F7A">
      <w:pPr>
        <w:ind w:firstLine="720"/>
      </w:pPr>
      <w:r w:rsidRPr="00642F7A">
        <w:lastRenderedPageBreak/>
        <w:t>All reports are to be submitted to</w:t>
      </w:r>
      <w:r w:rsidR="00F81E1C">
        <w:t xml:space="preserve"> the Designated Administrator. </w:t>
      </w:r>
      <w:r w:rsidRPr="00642F7A">
        <w:t>The information will be used to determine that all sources subject to the</w:t>
      </w:r>
      <w:r w:rsidR="009D21AA">
        <w:t xml:space="preserve"> PVC</w:t>
      </w:r>
      <w:r w:rsidRPr="00642F7A">
        <w:t xml:space="preserve"> </w:t>
      </w:r>
      <w:r w:rsidR="003245B7" w:rsidRPr="00642F7A">
        <w:t>NESHAP</w:t>
      </w:r>
      <w:r w:rsidRPr="00642F7A">
        <w:t xml:space="preserve"> are achieving the requirements.</w:t>
      </w:r>
    </w:p>
    <w:p w:rsidR="001929B3" w:rsidRPr="008A2E38" w:rsidRDefault="001929B3" w:rsidP="00642F7A">
      <w:pPr>
        <w:ind w:firstLine="720"/>
      </w:pPr>
    </w:p>
    <w:p w:rsidR="001929B3" w:rsidRPr="008A2E38" w:rsidRDefault="001929B3" w:rsidP="008A2E38">
      <w:pPr>
        <w:ind w:firstLine="720"/>
      </w:pPr>
      <w:r w:rsidRPr="008A2E38">
        <w:t xml:space="preserve">As an administrative addition to this ICR, EPA is also including an illustrative estimate of the burden associated with performing a Root Cause Analysis (RCA) associated with affirmative defense of malfunctions if the source elects to avail </w:t>
      </w:r>
      <w:proofErr w:type="gramStart"/>
      <w:r w:rsidRPr="008A2E38">
        <w:t>themselves</w:t>
      </w:r>
      <w:proofErr w:type="gramEnd"/>
      <w:r w:rsidRPr="008A2E38">
        <w:t xml:space="preserve"> to this defense in court. EPA is providing this as an illustrative example of the potential additional administrative burden a source may incur to assert in an affirmative defense in response to an action to enforce the standards set fo</w:t>
      </w:r>
      <w:r w:rsidR="00F81E1C">
        <w:t xml:space="preserve">rth in the applicable subpart. </w:t>
      </w:r>
      <w:r w:rsidRPr="008A2E38">
        <w:t>If a source is in compliance and does not encounter malfunctions that cause a violation of the standard, EPA does not expect this activity to be routinely performed by a source.</w:t>
      </w:r>
      <w:r w:rsidR="008A2E38" w:rsidRPr="008A2E38">
        <w:t xml:space="preserve"> </w:t>
      </w:r>
      <w:r w:rsidRPr="008A2E38">
        <w:t>Our decision to include this recordkeeping and reporting in the ICR burden is not to assert that EPA assu</w:t>
      </w:r>
      <w:r w:rsidR="00F81E1C">
        <w:t xml:space="preserve">mes less than full compliance. </w:t>
      </w:r>
      <w:r w:rsidRPr="008A2E38">
        <w:t xml:space="preserve">EPA cannot estimate whether an affirmative defense would be necessary for </w:t>
      </w:r>
      <w:r w:rsidR="00F81E1C">
        <w:t>any source or class of sources.</w:t>
      </w:r>
      <w:r w:rsidRPr="008A2E38">
        <w:t xml:space="preserve"> It is not an enforceable requirement of compliance.  </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34778">
        <w:rPr>
          <w:b/>
          <w:bCs/>
        </w:rPr>
        <w:t>5.</w:t>
      </w:r>
      <w:r w:rsidRPr="00934778">
        <w:rPr>
          <w:b/>
          <w:bCs/>
        </w:rPr>
        <w:tab/>
        <w:t>THE INFORMATION COLLECTED -- AGENCY ACTIVITIES, COLLECTION, METHODOLOGY, AND INFORMATION MANAGEMENT</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5</w:t>
      </w:r>
      <w:r>
        <w:rPr>
          <w:b/>
          <w:bCs/>
        </w:rPr>
        <w:t>(</w:t>
      </w:r>
      <w:r w:rsidRPr="00934778">
        <w:rPr>
          <w:b/>
          <w:bCs/>
        </w:rPr>
        <w:t>a</w:t>
      </w:r>
      <w:proofErr w:type="gramStart"/>
      <w:r w:rsidRPr="00934778">
        <w:rPr>
          <w:b/>
          <w:bCs/>
        </w:rPr>
        <w:t>)  Agency</w:t>
      </w:r>
      <w:proofErr w:type="gramEnd"/>
      <w:r w:rsidRPr="00934778">
        <w:rPr>
          <w:b/>
          <w:bCs/>
        </w:rPr>
        <w:t xml:space="preserve"> Activities</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A list </w:t>
      </w:r>
      <w:r w:rsidRPr="00500BDF">
        <w:t>of Agency activities is provided in section 6(c) and in Tables </w:t>
      </w:r>
      <w:r w:rsidR="00500BDF" w:rsidRPr="00500BDF">
        <w:t>5</w:t>
      </w:r>
      <w:r w:rsidRPr="00500BDF">
        <w:t xml:space="preserve"> through </w:t>
      </w:r>
      <w:r w:rsidR="00500BDF" w:rsidRPr="00500BDF">
        <w:t>8</w:t>
      </w:r>
      <w:r w:rsidRPr="00500BDF">
        <w:t xml:space="preserve"> of Attachment 3.</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5</w:t>
      </w:r>
      <w:r>
        <w:rPr>
          <w:b/>
          <w:bCs/>
        </w:rPr>
        <w:t>(</w:t>
      </w:r>
      <w:r w:rsidRPr="00934778">
        <w:rPr>
          <w:b/>
          <w:bCs/>
        </w:rPr>
        <w:t>b</w:t>
      </w:r>
      <w:proofErr w:type="gramStart"/>
      <w:r w:rsidRPr="00934778">
        <w:rPr>
          <w:b/>
          <w:bCs/>
        </w:rPr>
        <w:t>)  Collection</w:t>
      </w:r>
      <w:proofErr w:type="gramEnd"/>
      <w:r w:rsidRPr="00934778">
        <w:rPr>
          <w:b/>
          <w:bCs/>
        </w:rPr>
        <w:t xml:space="preserve"> Methodology and Management</w:t>
      </w:r>
      <w:r w:rsidRPr="00934778">
        <w:t xml:space="preserve">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260E7B" w:rsidRPr="00DC08B5" w:rsidRDefault="00260E7B" w:rsidP="00260E7B">
      <w:pPr>
        <w:pBdr>
          <w:top w:val="single" w:sz="6" w:space="0" w:color="FFFFFF"/>
          <w:left w:val="single" w:sz="6" w:space="0" w:color="FFFFFF"/>
          <w:bottom w:val="single" w:sz="6" w:space="0" w:color="FFFFFF"/>
          <w:right w:val="single" w:sz="6" w:space="0" w:color="FFFFFF"/>
        </w:pBdr>
        <w:ind w:firstLine="720"/>
        <w:rPr>
          <w:rFonts w:cs="Courier New"/>
        </w:rPr>
      </w:pPr>
      <w:r w:rsidRPr="00DC08B5">
        <w:rPr>
          <w:rFonts w:cs="Courier New"/>
        </w:rPr>
        <w:t>Data obtained during periodic visits by EPA personnel, from records maintained by the respondents, and from information provided in reports will be tabulated and published for internal EPA use in compli</w:t>
      </w:r>
      <w:r w:rsidR="00F81E1C">
        <w:rPr>
          <w:rFonts w:cs="Courier New"/>
        </w:rPr>
        <w:t xml:space="preserve">ance and enforcement programs. </w:t>
      </w:r>
      <w:r w:rsidRPr="00DC08B5">
        <w:rPr>
          <w:rFonts w:cs="Courier New"/>
        </w:rPr>
        <w:t xml:space="preserve">The </w:t>
      </w:r>
      <w:r w:rsidR="00DC08B5" w:rsidRPr="00DC08B5">
        <w:rPr>
          <w:rFonts w:cs="Courier New"/>
        </w:rPr>
        <w:t>PVC</w:t>
      </w:r>
      <w:r w:rsidRPr="00DC08B5">
        <w:rPr>
          <w:rFonts w:cs="Courier New"/>
        </w:rPr>
        <w:t xml:space="preserve"> NESHAP allows records to be retained in hardcopy or electronic format to allow flexibility and minimize burden.</w:t>
      </w:r>
    </w:p>
    <w:p w:rsidR="00260E7B" w:rsidRPr="00DC08B5" w:rsidRDefault="00260E7B" w:rsidP="00260E7B">
      <w:pPr>
        <w:pBdr>
          <w:top w:val="single" w:sz="6" w:space="0" w:color="FFFFFF"/>
          <w:left w:val="single" w:sz="6" w:space="0" w:color="FFFFFF"/>
          <w:bottom w:val="single" w:sz="6" w:space="0" w:color="FFFFFF"/>
          <w:right w:val="single" w:sz="6" w:space="0" w:color="FFFFFF"/>
        </w:pBdr>
        <w:rPr>
          <w:color w:val="000000"/>
        </w:rPr>
      </w:pPr>
    </w:p>
    <w:p w:rsidR="00260E7B" w:rsidRPr="00DC08B5" w:rsidRDefault="00260E7B" w:rsidP="00260E7B">
      <w:pPr>
        <w:pBdr>
          <w:top w:val="single" w:sz="6" w:space="0" w:color="FFFFFF"/>
          <w:left w:val="single" w:sz="6" w:space="0" w:color="FFFFFF"/>
          <w:bottom w:val="single" w:sz="6" w:space="0" w:color="FFFFFF"/>
          <w:right w:val="single" w:sz="6" w:space="0" w:color="FFFFFF"/>
        </w:pBdr>
        <w:ind w:firstLine="720"/>
        <w:rPr>
          <w:color w:val="000000"/>
        </w:rPr>
      </w:pPr>
      <w:r w:rsidRPr="00DC08B5">
        <w:rPr>
          <w:color w:val="000000"/>
        </w:rPr>
        <w:t xml:space="preserve">Information contained in the reports is entered into the </w:t>
      </w:r>
      <w:r w:rsidR="006967B2">
        <w:rPr>
          <w:color w:val="000000"/>
        </w:rPr>
        <w:t>Air Facility System (</w:t>
      </w:r>
      <w:r w:rsidRPr="00DC08B5">
        <w:rPr>
          <w:color w:val="000000"/>
        </w:rPr>
        <w:t>AFS</w:t>
      </w:r>
      <w:r w:rsidR="006B6060">
        <w:rPr>
          <w:color w:val="000000"/>
        </w:rPr>
        <w:t xml:space="preserve">) </w:t>
      </w:r>
      <w:r w:rsidR="006B6060" w:rsidRPr="00DC08B5">
        <w:rPr>
          <w:color w:val="000000"/>
        </w:rPr>
        <w:t>which</w:t>
      </w:r>
      <w:r w:rsidRPr="00DC08B5">
        <w:rPr>
          <w:color w:val="000000"/>
        </w:rPr>
        <w:t xml:space="preserve"> is operated and maintained by EPA's Office of Compliance.  AFS is EPA</w:t>
      </w:r>
      <w:r w:rsidR="00DC08B5" w:rsidRPr="00DC08B5">
        <w:rPr>
          <w:color w:val="000000"/>
        </w:rPr>
        <w:t>’</w:t>
      </w:r>
      <w:r w:rsidRPr="00DC08B5">
        <w:rPr>
          <w:color w:val="000000"/>
        </w:rPr>
        <w:t>s database for the collection, maintenance, and retrieval of compliance data for approximately 125,000 industrial an</w:t>
      </w:r>
      <w:r w:rsidR="00F81E1C">
        <w:rPr>
          <w:color w:val="000000"/>
        </w:rPr>
        <w:t xml:space="preserve">d government-owned facilities. </w:t>
      </w:r>
      <w:r w:rsidRPr="00DC08B5">
        <w:rPr>
          <w:color w:val="000000"/>
        </w:rPr>
        <w:t>EPA uses the AFS for tracking air pollution compliance and enforcement by local and state regulatory agencies, EPA regiona</w:t>
      </w:r>
      <w:r w:rsidR="00F81E1C">
        <w:rPr>
          <w:color w:val="000000"/>
        </w:rPr>
        <w:t>l offices and EPA headquarters.</w:t>
      </w:r>
      <w:r w:rsidRPr="00DC08B5">
        <w:rPr>
          <w:color w:val="000000"/>
        </w:rPr>
        <w:t xml:space="preserve"> EPA and its delegated Authorities can edit, store, retrieve and analyze the data.</w:t>
      </w:r>
    </w:p>
    <w:p w:rsidR="00260E7B" w:rsidRPr="00DC08B5" w:rsidRDefault="00260E7B" w:rsidP="00260E7B">
      <w:pPr>
        <w:pBdr>
          <w:top w:val="single" w:sz="6" w:space="0" w:color="FFFFFF"/>
          <w:left w:val="single" w:sz="6" w:space="0" w:color="FFFFFF"/>
          <w:bottom w:val="single" w:sz="6" w:space="0" w:color="FFFFFF"/>
          <w:right w:val="single" w:sz="6" w:space="0" w:color="FFFFFF"/>
        </w:pBdr>
        <w:rPr>
          <w:color w:val="000000"/>
        </w:rPr>
      </w:pPr>
    </w:p>
    <w:p w:rsidR="00260E7B" w:rsidRDefault="00260E7B" w:rsidP="00260E7B">
      <w:pPr>
        <w:pBdr>
          <w:top w:val="single" w:sz="6" w:space="0" w:color="FFFFFF"/>
          <w:left w:val="single" w:sz="6" w:space="0" w:color="FFFFFF"/>
          <w:bottom w:val="single" w:sz="6" w:space="0" w:color="FFFFFF"/>
          <w:right w:val="single" w:sz="6" w:space="0" w:color="FFFFFF"/>
        </w:pBdr>
        <w:ind w:firstLine="720"/>
        <w:rPr>
          <w:color w:val="000000"/>
        </w:rPr>
      </w:pPr>
      <w:r w:rsidRPr="00DC08B5">
        <w:rPr>
          <w:color w:val="000000"/>
        </w:rPr>
        <w:t xml:space="preserve"> The records required by this regulation must be retained by the owner/operator for </w:t>
      </w:r>
      <w:r w:rsidRPr="00DC08B5">
        <w:t>five</w:t>
      </w:r>
      <w:r w:rsidRPr="00DC08B5">
        <w:rPr>
          <w:color w:val="000000"/>
        </w:rPr>
        <w:t xml:space="preserve"> years.</w:t>
      </w:r>
    </w:p>
    <w:p w:rsidR="00260E7B" w:rsidRDefault="00260E7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25022">
        <w:rPr>
          <w:b/>
          <w:bCs/>
        </w:rPr>
        <w:t>5(c</w:t>
      </w:r>
      <w:proofErr w:type="gramStart"/>
      <w:r w:rsidRPr="00F25022">
        <w:rPr>
          <w:b/>
          <w:bCs/>
        </w:rPr>
        <w:t>)  Small</w:t>
      </w:r>
      <w:proofErr w:type="gramEnd"/>
      <w:r w:rsidRPr="00F25022">
        <w:rPr>
          <w:b/>
          <w:bCs/>
        </w:rPr>
        <w:t xml:space="preserve"> Entity Flexibility</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Default="002E19F7"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FF0000"/>
        </w:rPr>
      </w:pPr>
      <w:r>
        <w:rPr>
          <w:color w:val="000000"/>
        </w:rPr>
        <w:t>There are no small entities (i.e., small businesses) affected by this regulation.</w:t>
      </w:r>
    </w:p>
    <w:p w:rsidR="002E19F7" w:rsidRDefault="002E19F7"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500BDF">
        <w:t xml:space="preserve">The </w:t>
      </w:r>
      <w:r w:rsidR="006967B2">
        <w:t xml:space="preserve">PVC </w:t>
      </w:r>
      <w:r w:rsidR="00B71543" w:rsidRPr="00500BDF">
        <w:t>NESHAP</w:t>
      </w:r>
      <w:r w:rsidRPr="00500BDF">
        <w:t xml:space="preserve"> does not contain any provisions reserved exclusively for the benefit of small </w:t>
      </w:r>
      <w:r w:rsidR="00B71543" w:rsidRPr="00500BDF">
        <w:t>entities; h</w:t>
      </w:r>
      <w:r w:rsidRPr="00500BDF">
        <w:t xml:space="preserve">owever, </w:t>
      </w:r>
      <w:r w:rsidR="00B71543" w:rsidRPr="00500BDF">
        <w:t>there are</w:t>
      </w:r>
      <w:r w:rsidRPr="00500BDF">
        <w:t xml:space="preserve"> provisions that reduce the impact on all regulated entities, </w:t>
      </w:r>
      <w:r w:rsidRPr="00500BDF">
        <w:lastRenderedPageBreak/>
        <w:t>which wou</w:t>
      </w:r>
      <w:r w:rsidR="00F81E1C">
        <w:t xml:space="preserve">ld include any small entities. </w:t>
      </w:r>
      <w:r w:rsidR="00B71543" w:rsidRPr="00500BDF">
        <w:t>R</w:t>
      </w:r>
      <w:r w:rsidRPr="00500BDF">
        <w:t>eporting is annual</w:t>
      </w:r>
      <w:r w:rsidR="00DC08B5" w:rsidRPr="00500BDF">
        <w:t xml:space="preserve"> and</w:t>
      </w:r>
      <w:r w:rsidRPr="00500BDF">
        <w:t xml:space="preserve"> operating parameter monitoring is required instead of CEMS</w:t>
      </w:r>
      <w:r w:rsidR="00DC08B5" w:rsidRPr="00500BDF">
        <w:t>.</w:t>
      </w:r>
    </w:p>
    <w:p w:rsidR="00DC08B5" w:rsidRPr="00F25022" w:rsidRDefault="00DC08B5"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FF0000"/>
        </w:rPr>
      </w:pPr>
    </w:p>
    <w:p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25022">
        <w:rPr>
          <w:b/>
          <w:bCs/>
        </w:rPr>
        <w:t>5(d</w:t>
      </w:r>
      <w:proofErr w:type="gramStart"/>
      <w:r w:rsidRPr="00F25022">
        <w:rPr>
          <w:b/>
          <w:bCs/>
        </w:rPr>
        <w:t>)  Collection</w:t>
      </w:r>
      <w:proofErr w:type="gramEnd"/>
      <w:r w:rsidRPr="00F25022">
        <w:rPr>
          <w:b/>
          <w:bCs/>
        </w:rPr>
        <w:t xml:space="preserve"> Schedule</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25022">
        <w:t xml:space="preserve">In the first three years following promulgation of the </w:t>
      </w:r>
      <w:r w:rsidR="006967B2">
        <w:t xml:space="preserve">PVC </w:t>
      </w:r>
      <w:r w:rsidR="00B71543">
        <w:t>NESHAP</w:t>
      </w:r>
      <w:r w:rsidRPr="00F25022">
        <w:t xml:space="preserve"> owners or operators would read the rule and are required to submit a</w:t>
      </w:r>
      <w:r w:rsidR="00B71543">
        <w:t xml:space="preserve">n </w:t>
      </w:r>
      <w:r w:rsidR="006967B2">
        <w:t>i</w:t>
      </w:r>
      <w:r w:rsidR="00B71543">
        <w:t xml:space="preserve">nitial </w:t>
      </w:r>
      <w:r w:rsidR="006967B2">
        <w:t>n</w:t>
      </w:r>
      <w:r w:rsidR="00B71543">
        <w:t>otification</w:t>
      </w:r>
      <w:r w:rsidRPr="00934778">
        <w:t xml:space="preserve">. As discussed earlier, we also anticipate many of the one-time activities, including:  initial performance tests </w:t>
      </w:r>
      <w:r w:rsidR="005D329D">
        <w:t>(</w:t>
      </w:r>
      <w:r w:rsidR="005D329D" w:rsidRPr="00642F7A">
        <w:t xml:space="preserve">vinyl chloride, total </w:t>
      </w:r>
      <w:r w:rsidR="00774F73">
        <w:t xml:space="preserve">organic </w:t>
      </w:r>
      <w:r w:rsidR="005D329D" w:rsidRPr="00642F7A">
        <w:t xml:space="preserve">HAP, </w:t>
      </w:r>
      <w:r w:rsidR="006967B2">
        <w:t>HCl</w:t>
      </w:r>
      <w:r w:rsidR="005D329D" w:rsidRPr="00642F7A">
        <w:t xml:space="preserve">, and </w:t>
      </w:r>
      <w:r w:rsidR="006967B2">
        <w:t>CDD/CDF</w:t>
      </w:r>
      <w:r w:rsidRPr="00934778">
        <w:t>)</w:t>
      </w:r>
      <w:r w:rsidR="00DC08B5">
        <w:t xml:space="preserve">, initial </w:t>
      </w:r>
      <w:r w:rsidR="00774F73">
        <w:t>stripped resin and process wastewater sampling results</w:t>
      </w:r>
      <w:r w:rsidR="00DC08B5">
        <w:t>,</w:t>
      </w:r>
      <w:r w:rsidR="005D329D">
        <w:t xml:space="preserve"> and the </w:t>
      </w:r>
      <w:r w:rsidR="006967B2">
        <w:t xml:space="preserve">notification </w:t>
      </w:r>
      <w:r w:rsidR="00B71543">
        <w:t xml:space="preserve">of </w:t>
      </w:r>
      <w:r w:rsidR="006967B2">
        <w:t xml:space="preserve">compliance status </w:t>
      </w:r>
      <w:r w:rsidR="00B71543">
        <w:t xml:space="preserve">(including </w:t>
      </w:r>
      <w:r w:rsidRPr="00934778">
        <w:t>performance test</w:t>
      </w:r>
      <w:r w:rsidR="00B71543">
        <w:t>s</w:t>
      </w:r>
      <w:r w:rsidR="005D329D">
        <w:t xml:space="preserve"> results</w:t>
      </w:r>
      <w:r w:rsidRPr="00934778">
        <w:t xml:space="preserve"> </w:t>
      </w:r>
      <w:r w:rsidR="00B71543">
        <w:t xml:space="preserve">and </w:t>
      </w:r>
      <w:r w:rsidRPr="00934778">
        <w:t xml:space="preserve">operating parameter values) to occur for many facilities within the first three years, but they may occur in years </w:t>
      </w:r>
      <w:r w:rsidR="006967B2">
        <w:t>four</w:t>
      </w:r>
      <w:r w:rsidR="006967B2" w:rsidRPr="00DC08B5">
        <w:t xml:space="preserve"> </w:t>
      </w:r>
      <w:r w:rsidRPr="00DC08B5">
        <w:t xml:space="preserve">or </w:t>
      </w:r>
      <w:r w:rsidR="006967B2">
        <w:t>five</w:t>
      </w:r>
      <w:r w:rsidRPr="00DC08B5">
        <w:t xml:space="preserve">.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5110E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w:t>
      </w:r>
      <w:r w:rsidR="002914A1">
        <w:t xml:space="preserve"> </w:t>
      </w:r>
      <w:r>
        <w:t xml:space="preserve">semi-annual </w:t>
      </w:r>
      <w:r w:rsidR="006967B2">
        <w:t>c</w:t>
      </w:r>
      <w:r w:rsidR="00DC08B5">
        <w:t>ompliance</w:t>
      </w:r>
      <w:r w:rsidR="002914A1">
        <w:t xml:space="preserve"> </w:t>
      </w:r>
      <w:r w:rsidR="006967B2">
        <w:t>r</w:t>
      </w:r>
      <w:r w:rsidR="00CE23D4" w:rsidRPr="00934778">
        <w:t>eport that includes data on the operating para</w:t>
      </w:r>
      <w:r w:rsidR="00494481">
        <w:t>meters and deviations, and information from inspections and monitoring</w:t>
      </w:r>
      <w:r w:rsidR="003366FA">
        <w:t xml:space="preserve"> </w:t>
      </w:r>
      <w:r w:rsidR="003366FA" w:rsidRPr="00934778">
        <w:t>is required</w:t>
      </w:r>
      <w:r w:rsidR="00494481">
        <w:t>.</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676EE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778">
        <w:rPr>
          <w:b/>
          <w:bCs/>
        </w:rPr>
        <w:t>6.</w:t>
      </w:r>
      <w:r w:rsidRPr="00934778">
        <w:rPr>
          <w:b/>
          <w:bCs/>
        </w:rPr>
        <w:tab/>
      </w:r>
      <w:r w:rsidRPr="00676EE2">
        <w:rPr>
          <w:b/>
          <w:bCs/>
        </w:rPr>
        <w:t>ESTIMATING THE BURDEN AND COST OF THE COLLECTION</w:t>
      </w:r>
    </w:p>
    <w:p w:rsidR="00CE23D4" w:rsidRDefault="00CE23D4" w:rsidP="00CE23D4">
      <w:pPr>
        <w:pBdr>
          <w:top w:val="single" w:sz="6" w:space="0" w:color="FFFFFF"/>
          <w:left w:val="single" w:sz="6" w:space="0" w:color="FFFFFF"/>
          <w:bottom w:val="single" w:sz="6" w:space="0" w:color="FFFFFF"/>
          <w:right w:val="single" w:sz="6" w:space="0" w:color="FFFFFF"/>
        </w:pBdr>
        <w:ind w:firstLine="720"/>
        <w:rPr>
          <w:bCs/>
        </w:rPr>
      </w:pPr>
    </w:p>
    <w:p w:rsidR="00CE23D4" w:rsidRDefault="00CE23D4" w:rsidP="00CE23D4">
      <w:pPr>
        <w:pBdr>
          <w:top w:val="single" w:sz="6" w:space="0" w:color="FFFFFF"/>
          <w:left w:val="single" w:sz="6" w:space="0" w:color="FFFFFF"/>
          <w:bottom w:val="single" w:sz="6" w:space="0" w:color="FFFFFF"/>
          <w:right w:val="single" w:sz="6" w:space="0" w:color="FFFFFF"/>
        </w:pBdr>
        <w:ind w:firstLine="720"/>
      </w:pPr>
      <w:r w:rsidRPr="00676EE2">
        <w:rPr>
          <w:bCs/>
        </w:rPr>
        <w:t xml:space="preserve">Tables </w:t>
      </w:r>
      <w:r w:rsidR="00500BDF" w:rsidRPr="00500BDF">
        <w:t xml:space="preserve">1 </w:t>
      </w:r>
      <w:r w:rsidR="006967B2">
        <w:t>through</w:t>
      </w:r>
      <w:r w:rsidR="006967B2" w:rsidRPr="00500BDF">
        <w:t xml:space="preserve"> </w:t>
      </w:r>
      <w:r w:rsidR="00500BDF" w:rsidRPr="00500BDF">
        <w:t xml:space="preserve">4 </w:t>
      </w:r>
      <w:r w:rsidRPr="00500BDF">
        <w:rPr>
          <w:bCs/>
        </w:rPr>
        <w:t>of Attachment 2 document</w:t>
      </w:r>
      <w:r w:rsidRPr="00676EE2">
        <w:rPr>
          <w:bCs/>
        </w:rPr>
        <w:t xml:space="preserve"> the computation of </w:t>
      </w:r>
      <w:r w:rsidRPr="00676EE2">
        <w:rPr>
          <w:color w:val="000000"/>
        </w:rPr>
        <w:t>individual burdens and non-labor costs for the recordkeeping and reporting requirements applicable to the industry for each year for the</w:t>
      </w:r>
      <w:r w:rsidR="00743986">
        <w:rPr>
          <w:color w:val="000000"/>
        </w:rPr>
        <w:t xml:space="preserve"> subpart included in this ICR. </w:t>
      </w:r>
      <w:r w:rsidRPr="00676EE2">
        <w:rPr>
          <w:color w:val="000000"/>
        </w:rPr>
        <w:t>The individual burdens are expressed under standardized headings believed to be consistent with the concept of burden unde</w:t>
      </w:r>
      <w:r w:rsidR="00743986">
        <w:rPr>
          <w:color w:val="000000"/>
        </w:rPr>
        <w:t xml:space="preserve">r the Paperwork Reduction Act. </w:t>
      </w:r>
      <w:r w:rsidRPr="00676EE2">
        <w:rPr>
          <w:color w:val="000000"/>
        </w:rPr>
        <w:t>Where appropriate, specific tasks and major ass</w:t>
      </w:r>
      <w:r w:rsidR="00743986">
        <w:rPr>
          <w:color w:val="000000"/>
        </w:rPr>
        <w:t xml:space="preserve">umptions have been identified. </w:t>
      </w:r>
      <w:r w:rsidRPr="00676EE2">
        <w:rPr>
          <w:color w:val="000000"/>
        </w:rPr>
        <w:t>Responses to this information collection are mandatory</w:t>
      </w:r>
      <w:r w:rsidRPr="00500BDF">
        <w:rPr>
          <w:color w:val="000000"/>
        </w:rPr>
        <w:t xml:space="preserve">. </w:t>
      </w:r>
      <w:r w:rsidR="00500BDF" w:rsidRPr="00500BDF">
        <w:t xml:space="preserve">Tables 5 </w:t>
      </w:r>
      <w:r w:rsidR="006967B2">
        <w:t>through</w:t>
      </w:r>
      <w:r w:rsidR="006967B2" w:rsidRPr="00500BDF">
        <w:t xml:space="preserve"> </w:t>
      </w:r>
      <w:r w:rsidR="00500BDF" w:rsidRPr="00500BDF">
        <w:t>8 of Attachment 3 present</w:t>
      </w:r>
      <w:r w:rsidRPr="00500BDF">
        <w:t xml:space="preserve"> a summary of the agency burden.</w:t>
      </w:r>
      <w:r w:rsidRPr="00934778">
        <w:t xml:space="preserve">  </w:t>
      </w:r>
    </w:p>
    <w:p w:rsidR="00DC08B5" w:rsidRDefault="00DC08B5" w:rsidP="00CE23D4">
      <w:pPr>
        <w:pBdr>
          <w:top w:val="single" w:sz="6" w:space="0" w:color="FFFFFF"/>
          <w:left w:val="single" w:sz="6" w:space="0" w:color="FFFFFF"/>
          <w:bottom w:val="single" w:sz="6" w:space="0" w:color="FFFFFF"/>
          <w:right w:val="single" w:sz="6" w:space="0" w:color="FFFFFF"/>
        </w:pBdr>
        <w:ind w:firstLine="720"/>
      </w:pPr>
    </w:p>
    <w:p w:rsidR="00DC08B5" w:rsidRDefault="00DC08B5" w:rsidP="00DC08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B34390">
        <w:rPr>
          <w:color w:val="000000"/>
        </w:rPr>
        <w:t>a</w:t>
      </w:r>
      <w:r>
        <w:rPr>
          <w:color w:val="000000"/>
        </w:rPr>
        <w:t>gency may not conduct or sponsor, and a person is not required to respond to, a collection of information unless it displays a currently valid OMB Control Number.</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6</w:t>
      </w:r>
      <w:r>
        <w:rPr>
          <w:b/>
          <w:bCs/>
        </w:rPr>
        <w:t>(</w:t>
      </w:r>
      <w:r w:rsidRPr="00934778">
        <w:rPr>
          <w:b/>
          <w:bCs/>
        </w:rPr>
        <w:t>a</w:t>
      </w:r>
      <w:proofErr w:type="gramStart"/>
      <w:r w:rsidRPr="00934778">
        <w:rPr>
          <w:b/>
          <w:bCs/>
        </w:rPr>
        <w:t>)  Estimating</w:t>
      </w:r>
      <w:proofErr w:type="gramEnd"/>
      <w:r w:rsidRPr="00934778">
        <w:rPr>
          <w:b/>
          <w:bCs/>
        </w:rPr>
        <w:t xml:space="preserve"> Respondent Burden</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FE3AB7" w:rsidRDefault="00CE23D4" w:rsidP="00FE3AB7">
      <w:pPr>
        <w:ind w:firstLine="720"/>
      </w:pPr>
      <w:r w:rsidRPr="00FE3AB7">
        <w:t xml:space="preserve">The average annual burden to industry over the next three years from these recordkeeping and reporting requirements is estimated to be </w:t>
      </w:r>
      <w:r w:rsidR="002A12C8">
        <w:t>3,200</w:t>
      </w:r>
      <w:r w:rsidR="006B6060" w:rsidRPr="00FE3AB7">
        <w:t xml:space="preserve"> </w:t>
      </w:r>
      <w:r w:rsidR="00743986">
        <w:t xml:space="preserve">hours. </w:t>
      </w:r>
      <w:r w:rsidRPr="00FE3AB7">
        <w:t xml:space="preserve">The average annual recordkeeping hours are </w:t>
      </w:r>
      <w:r w:rsidR="00743986">
        <w:t>1,100</w:t>
      </w:r>
      <w:r w:rsidRPr="00CC536B">
        <w:t xml:space="preserve"> and the reporting requirement hours are </w:t>
      </w:r>
      <w:r w:rsidR="002A12C8">
        <w:t>2,</w:t>
      </w:r>
      <w:r w:rsidR="00743986">
        <w:t>1</w:t>
      </w:r>
      <w:r w:rsidR="002A12C8">
        <w:t>00</w:t>
      </w:r>
      <w:r w:rsidR="00B2236D">
        <w:t xml:space="preserve">, both of which are </w:t>
      </w:r>
      <w:r w:rsidR="00B2236D" w:rsidRPr="00FE3AB7">
        <w:t xml:space="preserve">shown in Tables 1 </w:t>
      </w:r>
      <w:r w:rsidR="00B2236D">
        <w:t>through 4</w:t>
      </w:r>
      <w:r w:rsidR="00B2236D" w:rsidRPr="00FE3AB7">
        <w:t xml:space="preserve"> of Attachment 2</w:t>
      </w:r>
      <w:r w:rsidRPr="00CC536B">
        <w:t>.</w:t>
      </w:r>
      <w:r w:rsidRPr="00FE3AB7">
        <w:t xml:space="preserve">  </w:t>
      </w:r>
    </w:p>
    <w:p w:rsidR="00CE23D4" w:rsidRPr="00FD6B2D"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D6B2D">
        <w:rPr>
          <w:b/>
          <w:bCs/>
        </w:rPr>
        <w:t>6(b</w:t>
      </w:r>
      <w:proofErr w:type="gramStart"/>
      <w:r w:rsidRPr="00FD6B2D">
        <w:rPr>
          <w:b/>
          <w:bCs/>
        </w:rPr>
        <w:t>)  Estimating</w:t>
      </w:r>
      <w:proofErr w:type="gramEnd"/>
      <w:r w:rsidRPr="00FD6B2D">
        <w:rPr>
          <w:b/>
          <w:bCs/>
        </w:rPr>
        <w:t xml:space="preserve"> Respondent Costs</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The information collection activities for sources subject to these requirements are presented </w:t>
      </w:r>
      <w:r w:rsidRPr="00500BDF">
        <w:t>in Tables </w:t>
      </w:r>
      <w:r w:rsidR="00500BDF" w:rsidRPr="00500BDF">
        <w:t xml:space="preserve">1 </w:t>
      </w:r>
      <w:r w:rsidR="00712B4D">
        <w:t>through</w:t>
      </w:r>
      <w:r w:rsidR="00712B4D" w:rsidRPr="00500BDF">
        <w:t xml:space="preserve"> </w:t>
      </w:r>
      <w:r w:rsidR="00500BDF" w:rsidRPr="00500BDF">
        <w:t xml:space="preserve">4 </w:t>
      </w:r>
      <w:r w:rsidR="00743986">
        <w:t xml:space="preserve">of Attachment 2. </w:t>
      </w:r>
      <w:r w:rsidRPr="00500BDF">
        <w:t>The</w:t>
      </w:r>
      <w:r w:rsidRPr="00934778">
        <w:t xml:space="preserve"> total cost for each respondent activity includes labor costs, capital/startup costs, and operating and maintenance (O&amp;M) costs.</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RPr="00AE0C6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81D1C">
        <w:rPr>
          <w:b/>
        </w:rPr>
        <w:t>(i)  Estimating Labor Costs</w:t>
      </w:r>
      <w:r w:rsidRPr="00AE0C64">
        <w:rPr>
          <w:b/>
        </w:rPr>
        <w:t xml:space="preserve">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E77036" w:rsidRDefault="00CE23D4" w:rsidP="00E77036">
      <w:pPr>
        <w:ind w:firstLine="720"/>
      </w:pPr>
      <w:r w:rsidRPr="00E77036">
        <w:t>This ICR uses the following labor rates:</w:t>
      </w:r>
      <w:r w:rsidR="00E77036">
        <w:t xml:space="preserve"> </w:t>
      </w:r>
    </w:p>
    <w:p w:rsidR="00CE23D4" w:rsidRPr="00E77036" w:rsidRDefault="00CE23D4" w:rsidP="00E77036"/>
    <w:p w:rsidR="00E77036" w:rsidRPr="00BC520B" w:rsidRDefault="00E77036" w:rsidP="00E77036">
      <w:pPr>
        <w:ind w:left="720" w:firstLine="720"/>
        <w:rPr>
          <w:color w:val="000000"/>
        </w:rPr>
      </w:pPr>
      <w:r w:rsidRPr="00BC520B">
        <w:t>Managerial</w:t>
      </w:r>
      <w:r w:rsidRPr="00BC520B">
        <w:rPr>
          <w:color w:val="000000"/>
        </w:rPr>
        <w:tab/>
        <w:t xml:space="preserve">$114.49 ($54.52 + 110%)   </w:t>
      </w:r>
    </w:p>
    <w:p w:rsidR="00E77036" w:rsidRPr="00BC520B"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lastRenderedPageBreak/>
        <w:t>Technical</w:t>
      </w:r>
      <w:r w:rsidRPr="00BC520B">
        <w:rPr>
          <w:color w:val="000000"/>
        </w:rPr>
        <w:tab/>
        <w:t>$98.20 ($46.76 + 110%)</w:t>
      </w:r>
    </w:p>
    <w:p w:rsidR="00E77036" w:rsidRPr="00BC520B"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Clerical</w:t>
      </w:r>
      <w:r w:rsidRPr="00BC520B">
        <w:rPr>
          <w:color w:val="000000"/>
        </w:rPr>
        <w:tab/>
        <w:t>$48.53 ($23.11 + 110%)</w:t>
      </w:r>
    </w:p>
    <w:p w:rsidR="00E77036" w:rsidRPr="00E77036" w:rsidRDefault="00E77036" w:rsidP="00E77036">
      <w:pPr>
        <w:rPr>
          <w:highlight w:val="cyan"/>
        </w:rPr>
      </w:pPr>
    </w:p>
    <w:p w:rsidR="00CE23D4" w:rsidRPr="00E77036" w:rsidRDefault="00E77036" w:rsidP="00E77036">
      <w:pPr>
        <w:ind w:firstLine="720"/>
      </w:pPr>
      <w:r w:rsidRPr="00BC520B">
        <w:t xml:space="preserve">These rates are from the United States Department of Labor, Bureau of </w:t>
      </w:r>
      <w:r w:rsidR="00BC520B" w:rsidRPr="00BC520B">
        <w:t>Labor Statistics, September 2010</w:t>
      </w:r>
      <w:r w:rsidRPr="00BC520B">
        <w:t xml:space="preserve">, </w:t>
      </w:r>
      <w:r w:rsidR="00DC08B5" w:rsidRPr="00BC520B">
        <w:t>“</w:t>
      </w:r>
      <w:r w:rsidRPr="00BC520B">
        <w:t xml:space="preserve">Table 2. </w:t>
      </w:r>
      <w:proofErr w:type="gramStart"/>
      <w:r w:rsidRPr="00BC520B">
        <w:t>Civilian Workers, by occupational and industry group.</w:t>
      </w:r>
      <w:r w:rsidR="00BC520B" w:rsidRPr="00BC520B">
        <w:t>”</w:t>
      </w:r>
      <w:proofErr w:type="gramEnd"/>
      <w:r w:rsidR="00743986">
        <w:t xml:space="preserve"> </w:t>
      </w:r>
      <w:r w:rsidRPr="00BC520B">
        <w:t>The rates are from</w:t>
      </w:r>
      <w:r w:rsidR="00743986">
        <w:t xml:space="preserve"> column 1, Total compensation. </w:t>
      </w:r>
      <w:r w:rsidRPr="00BC520B">
        <w:t>The rates have been increased by 110 percent to account for the benefit packages available to those employed by private industry.</w:t>
      </w:r>
    </w:p>
    <w:p w:rsidR="00CE23D4" w:rsidRPr="00E77036" w:rsidRDefault="00CE23D4" w:rsidP="00E77036">
      <w:r w:rsidRPr="00E77036">
        <w:tab/>
      </w:r>
      <w:r w:rsidRPr="00E77036">
        <w:tab/>
      </w:r>
    </w:p>
    <w:p w:rsidR="00CE23D4" w:rsidRPr="00C9370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9370F">
        <w:rPr>
          <w:b/>
        </w:rPr>
        <w:t xml:space="preserve"> (ii)</w:t>
      </w:r>
      <w:r>
        <w:rPr>
          <w:b/>
        </w:rPr>
        <w:t xml:space="preserve"> </w:t>
      </w:r>
      <w:r w:rsidRPr="00C9370F">
        <w:rPr>
          <w:b/>
        </w:rPr>
        <w:t xml:space="preserve"> Estimating Capital/Start-up and Operation and Maintenance Costs</w:t>
      </w:r>
    </w:p>
    <w:p w:rsidR="00CE23D4" w:rsidRDefault="00CE23D4" w:rsidP="00CE23D4">
      <w:pPr>
        <w:pBdr>
          <w:top w:val="single" w:sz="6" w:space="0" w:color="FFFFFF"/>
          <w:left w:val="single" w:sz="6" w:space="0" w:color="FFFFFF"/>
          <w:bottom w:val="single" w:sz="6" w:space="0" w:color="FFFFFF"/>
          <w:right w:val="single" w:sz="6" w:space="0" w:color="FFFFFF"/>
        </w:pBdr>
        <w:ind w:firstLine="720"/>
      </w:pPr>
    </w:p>
    <w:p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pPr>
      <w:r w:rsidRPr="00BC520B">
        <w:t xml:space="preserve">The capital costs associated with the proposed </w:t>
      </w:r>
      <w:r w:rsidR="009C03AF">
        <w:t xml:space="preserve">PVC </w:t>
      </w:r>
      <w:r w:rsidR="0070141F" w:rsidRPr="00BC520B">
        <w:t>NESHAP</w:t>
      </w:r>
      <w:r w:rsidRPr="00BC520B">
        <w:t xml:space="preserve"> include</w:t>
      </w:r>
      <w:r w:rsidR="00BC520B" w:rsidRPr="00BC520B">
        <w:t xml:space="preserve"> </w:t>
      </w:r>
      <w:r w:rsidRPr="00BC520B">
        <w:t>monitoring system initial costs</w:t>
      </w:r>
      <w:r w:rsidR="00BC520B" w:rsidRPr="00BC520B">
        <w:t>, performance</w:t>
      </w:r>
      <w:r w:rsidR="00190918" w:rsidRPr="00BC520B">
        <w:t xml:space="preserve"> testing</w:t>
      </w:r>
      <w:r w:rsidR="00BC520B" w:rsidRPr="00BC520B">
        <w:t>, resin stripper testing, wastewater testing</w:t>
      </w:r>
      <w:r w:rsidRPr="00BC520B">
        <w:t>; one time costs when a facility beco</w:t>
      </w:r>
      <w:r w:rsidR="00743986">
        <w:t xml:space="preserve">mes subject to the regulation. </w:t>
      </w:r>
      <w:r w:rsidRPr="00BC520B">
        <w:rPr>
          <w:color w:val="000000"/>
        </w:rPr>
        <w:t xml:space="preserve">The annual operation and maintenance costs are the ongoing </w:t>
      </w:r>
      <w:r w:rsidR="00190918" w:rsidRPr="00BC520B">
        <w:rPr>
          <w:color w:val="000000"/>
        </w:rPr>
        <w:t>costs to maintain the monitors</w:t>
      </w:r>
      <w:r w:rsidR="00BC520B" w:rsidRPr="00BC520B">
        <w:rPr>
          <w:color w:val="000000"/>
        </w:rPr>
        <w:t>, perform subsequent testing,</w:t>
      </w:r>
      <w:r w:rsidRPr="00BC520B">
        <w:rPr>
          <w:color w:val="000000"/>
        </w:rPr>
        <w:t xml:space="preserve"> and other costs such as photocopying and postage.</w:t>
      </w:r>
      <w:r w:rsidRPr="00BC520B">
        <w:t xml:space="preserve"> </w:t>
      </w:r>
    </w:p>
    <w:p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pPr>
    </w:p>
    <w:p w:rsidR="00CE23D4" w:rsidRPr="00C9370F" w:rsidRDefault="00CE23D4" w:rsidP="00CE23D4">
      <w:pPr>
        <w:pBdr>
          <w:top w:val="single" w:sz="6" w:space="0" w:color="FFFFFF"/>
          <w:left w:val="single" w:sz="6" w:space="0" w:color="FFFFFF"/>
          <w:bottom w:val="single" w:sz="6" w:space="0" w:color="FFFFFF"/>
          <w:right w:val="single" w:sz="6" w:space="0" w:color="FFFFFF"/>
        </w:pBdr>
        <w:rPr>
          <w:b/>
          <w:color w:val="000000"/>
        </w:rPr>
      </w:pPr>
      <w:r w:rsidRPr="00934778">
        <w:t xml:space="preserve">    </w:t>
      </w:r>
      <w:r>
        <w:tab/>
      </w:r>
      <w:r w:rsidRPr="00C9370F">
        <w:rPr>
          <w:b/>
        </w:rPr>
        <w:t xml:space="preserve">(iii) </w:t>
      </w:r>
      <w:r>
        <w:rPr>
          <w:b/>
        </w:rPr>
        <w:t xml:space="preserve"> </w:t>
      </w:r>
      <w:r w:rsidRPr="00C9370F">
        <w:rPr>
          <w:b/>
          <w:bCs/>
          <w:color w:val="000000"/>
        </w:rPr>
        <w:t>Capital/Startup vs. Operation and Maintenance (O&amp;M) Costs</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Below </w:t>
      </w:r>
      <w:r>
        <w:t xml:space="preserve">are </w:t>
      </w:r>
      <w:r w:rsidRPr="00934778">
        <w:t xml:space="preserve">the estimated capital and startup costs and O&amp;M costs for the affected units for the first </w:t>
      </w:r>
      <w:r w:rsidR="009C03AF">
        <w:t>three</w:t>
      </w:r>
      <w:r w:rsidR="009C03AF" w:rsidRPr="00934778">
        <w:t xml:space="preserve"> </w:t>
      </w:r>
      <w:r w:rsidRPr="00934778">
        <w:t>years after promulgation.</w:t>
      </w:r>
    </w:p>
    <w:p w:rsidR="00497409" w:rsidRDefault="00497409" w:rsidP="00CE23D4">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2"/>
        <w:gridCol w:w="1771"/>
        <w:gridCol w:w="1771"/>
        <w:gridCol w:w="1772"/>
      </w:tblGrid>
      <w:tr w:rsidR="00F21598" w:rsidRPr="000E60D9" w:rsidTr="003141A4">
        <w:trPr>
          <w:trHeight w:val="1313"/>
          <w:jc w:val="center"/>
        </w:trPr>
        <w:tc>
          <w:tcPr>
            <w:tcW w:w="1932" w:type="dxa"/>
            <w:vAlign w:val="center"/>
          </w:tcPr>
          <w:p w:rsidR="00F21598" w:rsidRPr="00721EF4" w:rsidRDefault="00F21598" w:rsidP="00CE23D4">
            <w:pPr>
              <w:tabs>
                <w:tab w:val="left" w:pos="603"/>
                <w:tab w:val="center" w:pos="777"/>
              </w:tabs>
              <w:jc w:val="center"/>
              <w:rPr>
                <w:color w:val="000000"/>
                <w:sz w:val="20"/>
                <w:szCs w:val="20"/>
              </w:rPr>
            </w:pPr>
            <w:r w:rsidRPr="00721EF4">
              <w:rPr>
                <w:color w:val="000000"/>
                <w:sz w:val="20"/>
                <w:szCs w:val="20"/>
              </w:rPr>
              <w:t>(A)</w:t>
            </w:r>
          </w:p>
          <w:p w:rsidR="00F21598" w:rsidRPr="00721EF4" w:rsidRDefault="00F21598" w:rsidP="00CE23D4">
            <w:pPr>
              <w:jc w:val="center"/>
              <w:rPr>
                <w:color w:val="000000"/>
                <w:sz w:val="20"/>
                <w:szCs w:val="20"/>
              </w:rPr>
            </w:pPr>
            <w:r w:rsidRPr="00721EF4">
              <w:rPr>
                <w:color w:val="000000"/>
                <w:sz w:val="20"/>
                <w:szCs w:val="20"/>
              </w:rPr>
              <w:t>Unit Type</w:t>
            </w:r>
          </w:p>
        </w:tc>
        <w:tc>
          <w:tcPr>
            <w:tcW w:w="1771" w:type="dxa"/>
            <w:vAlign w:val="center"/>
          </w:tcPr>
          <w:p w:rsidR="00F21598" w:rsidRPr="00721EF4" w:rsidRDefault="00F21598" w:rsidP="00CE23D4">
            <w:pPr>
              <w:jc w:val="center"/>
              <w:rPr>
                <w:color w:val="000000"/>
                <w:sz w:val="20"/>
                <w:szCs w:val="20"/>
              </w:rPr>
            </w:pPr>
            <w:r w:rsidRPr="00721EF4">
              <w:rPr>
                <w:color w:val="000000"/>
                <w:sz w:val="20"/>
                <w:szCs w:val="20"/>
              </w:rPr>
              <w:t>(B)</w:t>
            </w:r>
          </w:p>
          <w:p w:rsidR="00F21598" w:rsidRPr="00721EF4" w:rsidRDefault="00F21598" w:rsidP="00CE23D4">
            <w:pPr>
              <w:jc w:val="center"/>
              <w:rPr>
                <w:color w:val="000000"/>
                <w:sz w:val="20"/>
                <w:szCs w:val="20"/>
              </w:rPr>
            </w:pPr>
            <w:r w:rsidRPr="00721EF4">
              <w:rPr>
                <w:color w:val="000000"/>
                <w:sz w:val="20"/>
                <w:szCs w:val="20"/>
              </w:rPr>
              <w:t>Number of Respondents (facilities)</w:t>
            </w:r>
          </w:p>
        </w:tc>
        <w:tc>
          <w:tcPr>
            <w:tcW w:w="1771" w:type="dxa"/>
            <w:vAlign w:val="center"/>
          </w:tcPr>
          <w:p w:rsidR="00F21598" w:rsidRPr="00721EF4" w:rsidRDefault="00F21598" w:rsidP="00CE23D4">
            <w:pPr>
              <w:jc w:val="center"/>
              <w:rPr>
                <w:color w:val="000000"/>
                <w:sz w:val="20"/>
                <w:szCs w:val="20"/>
              </w:rPr>
            </w:pPr>
            <w:r w:rsidRPr="00721EF4">
              <w:rPr>
                <w:color w:val="000000"/>
                <w:sz w:val="20"/>
                <w:szCs w:val="20"/>
              </w:rPr>
              <w:t>(D)</w:t>
            </w:r>
          </w:p>
          <w:p w:rsidR="00F21598" w:rsidRPr="00721EF4" w:rsidRDefault="00F21598" w:rsidP="00CE23D4">
            <w:pPr>
              <w:jc w:val="center"/>
              <w:rPr>
                <w:color w:val="000000"/>
                <w:sz w:val="20"/>
                <w:szCs w:val="20"/>
              </w:rPr>
            </w:pPr>
            <w:r w:rsidRPr="00721EF4">
              <w:rPr>
                <w:color w:val="000000"/>
                <w:sz w:val="20"/>
                <w:szCs w:val="20"/>
              </w:rPr>
              <w:t>Total Annualized Capital/Start-up and O&amp;M over 3 years</w:t>
            </w:r>
          </w:p>
        </w:tc>
        <w:tc>
          <w:tcPr>
            <w:tcW w:w="1772" w:type="dxa"/>
            <w:vAlign w:val="center"/>
          </w:tcPr>
          <w:p w:rsidR="00F21598" w:rsidRPr="00721EF4" w:rsidRDefault="00F21598" w:rsidP="00CE23D4">
            <w:pPr>
              <w:jc w:val="center"/>
              <w:rPr>
                <w:color w:val="000000"/>
                <w:sz w:val="20"/>
                <w:szCs w:val="20"/>
              </w:rPr>
            </w:pPr>
            <w:r w:rsidRPr="00721EF4">
              <w:rPr>
                <w:color w:val="000000"/>
                <w:sz w:val="20"/>
                <w:szCs w:val="20"/>
              </w:rPr>
              <w:t>(E)</w:t>
            </w:r>
          </w:p>
          <w:p w:rsidR="00F21598" w:rsidRPr="00721EF4" w:rsidRDefault="00F21598" w:rsidP="00CE23D4">
            <w:pPr>
              <w:jc w:val="center"/>
              <w:rPr>
                <w:color w:val="000000"/>
                <w:sz w:val="20"/>
                <w:szCs w:val="20"/>
              </w:rPr>
            </w:pPr>
            <w:r w:rsidRPr="00721EF4">
              <w:rPr>
                <w:color w:val="000000"/>
                <w:sz w:val="20"/>
                <w:szCs w:val="20"/>
              </w:rPr>
              <w:t>Average Annual Capital/Startup and O&amp;M Costs</w:t>
            </w:r>
          </w:p>
        </w:tc>
      </w:tr>
      <w:tr w:rsidR="00F21598" w:rsidRPr="00CC536B" w:rsidTr="003141A4">
        <w:trPr>
          <w:trHeight w:val="332"/>
          <w:jc w:val="center"/>
        </w:trPr>
        <w:tc>
          <w:tcPr>
            <w:tcW w:w="1932" w:type="dxa"/>
            <w:vAlign w:val="center"/>
          </w:tcPr>
          <w:p w:rsidR="00F21598" w:rsidRPr="00CC536B" w:rsidRDefault="00F21598" w:rsidP="003141A4">
            <w:pPr>
              <w:rPr>
                <w:color w:val="000000"/>
                <w:sz w:val="20"/>
                <w:szCs w:val="20"/>
              </w:rPr>
            </w:pPr>
            <w:r w:rsidRPr="00CC536B">
              <w:rPr>
                <w:color w:val="000000"/>
                <w:sz w:val="20"/>
                <w:szCs w:val="20"/>
              </w:rPr>
              <w:t>PVC Facilities Total</w:t>
            </w:r>
          </w:p>
        </w:tc>
        <w:tc>
          <w:tcPr>
            <w:tcW w:w="1771" w:type="dxa"/>
            <w:vAlign w:val="center"/>
          </w:tcPr>
          <w:p w:rsidR="00F21598" w:rsidRPr="00CC536B" w:rsidRDefault="00F21598" w:rsidP="00CE23D4">
            <w:pPr>
              <w:jc w:val="center"/>
              <w:rPr>
                <w:color w:val="000000"/>
                <w:sz w:val="20"/>
                <w:szCs w:val="20"/>
              </w:rPr>
            </w:pPr>
            <w:r>
              <w:rPr>
                <w:color w:val="000000"/>
                <w:sz w:val="20"/>
                <w:szCs w:val="20"/>
              </w:rPr>
              <w:t>15</w:t>
            </w:r>
          </w:p>
        </w:tc>
        <w:tc>
          <w:tcPr>
            <w:tcW w:w="1771" w:type="dxa"/>
            <w:vAlign w:val="center"/>
          </w:tcPr>
          <w:p w:rsidR="00F21598" w:rsidRPr="00CC536B" w:rsidRDefault="00F21598" w:rsidP="00743986">
            <w:pPr>
              <w:jc w:val="center"/>
              <w:rPr>
                <w:color w:val="000000"/>
                <w:sz w:val="20"/>
                <w:szCs w:val="20"/>
              </w:rPr>
            </w:pPr>
            <w:r w:rsidRPr="00CC536B">
              <w:rPr>
                <w:color w:val="000000"/>
                <w:sz w:val="20"/>
                <w:szCs w:val="20"/>
              </w:rPr>
              <w:t>$</w:t>
            </w:r>
            <w:r>
              <w:rPr>
                <w:color w:val="000000"/>
                <w:sz w:val="20"/>
                <w:szCs w:val="20"/>
              </w:rPr>
              <w:t>4,656,752</w:t>
            </w:r>
          </w:p>
        </w:tc>
        <w:tc>
          <w:tcPr>
            <w:tcW w:w="1772" w:type="dxa"/>
            <w:vAlign w:val="center"/>
          </w:tcPr>
          <w:p w:rsidR="00F21598" w:rsidRPr="00CC536B" w:rsidRDefault="00F21598" w:rsidP="00743986">
            <w:pPr>
              <w:jc w:val="center"/>
              <w:rPr>
                <w:color w:val="000000"/>
                <w:sz w:val="20"/>
                <w:szCs w:val="20"/>
              </w:rPr>
            </w:pPr>
            <w:r w:rsidRPr="00CC536B">
              <w:rPr>
                <w:color w:val="000000"/>
                <w:sz w:val="20"/>
                <w:szCs w:val="20"/>
              </w:rPr>
              <w:t>$</w:t>
            </w:r>
            <w:r>
              <w:rPr>
                <w:color w:val="000000"/>
                <w:sz w:val="20"/>
                <w:szCs w:val="20"/>
              </w:rPr>
              <w:t>1,552,251</w:t>
            </w:r>
          </w:p>
        </w:tc>
      </w:tr>
    </w:tbl>
    <w:p w:rsidR="00CE23D4" w:rsidRPr="00CC536B" w:rsidRDefault="00CE23D4" w:rsidP="00CE23D4">
      <w:pPr>
        <w:pBdr>
          <w:top w:val="single" w:sz="6" w:space="0" w:color="FFFFFF"/>
          <w:left w:val="single" w:sz="6" w:space="0" w:color="FFFFFF"/>
          <w:bottom w:val="single" w:sz="6" w:space="0" w:color="FFFFFF"/>
          <w:right w:val="single" w:sz="6" w:space="0" w:color="FFFFFF"/>
        </w:pBdr>
        <w:rPr>
          <w:color w:val="000000"/>
        </w:rPr>
      </w:pPr>
    </w:p>
    <w:p w:rsidR="00CE23D4" w:rsidRPr="00CC536B" w:rsidRDefault="00CE23D4" w:rsidP="00CE23D4">
      <w:pPr>
        <w:widowControl/>
        <w:ind w:firstLine="720"/>
      </w:pPr>
      <w:r w:rsidRPr="00CC536B">
        <w:t>The total annualized capital/startup and O&amp;M costs for this ICR are $</w:t>
      </w:r>
      <w:r w:rsidR="00743986">
        <w:t>4</w:t>
      </w:r>
      <w:r w:rsidR="00E14D5E">
        <w:t>.</w:t>
      </w:r>
      <w:r w:rsidR="00743986">
        <w:t>7</w:t>
      </w:r>
      <w:r w:rsidR="00B2236D" w:rsidRPr="00CC536B">
        <w:t xml:space="preserve"> </w:t>
      </w:r>
      <w:r w:rsidRPr="00CC536B">
        <w:t>million, or an average of $</w:t>
      </w:r>
      <w:r w:rsidR="00743986">
        <w:t>1</w:t>
      </w:r>
      <w:r w:rsidR="00E14D5E">
        <w:t>.</w:t>
      </w:r>
      <w:r w:rsidR="00743986">
        <w:t>6</w:t>
      </w:r>
      <w:r w:rsidR="00B2236D" w:rsidRPr="00CC536B">
        <w:t xml:space="preserve"> </w:t>
      </w:r>
      <w:r w:rsidRPr="00CC536B">
        <w:t>million per year</w:t>
      </w:r>
      <w:r w:rsidR="000E60D9" w:rsidRPr="00CC536B">
        <w:t>; columns D and E</w:t>
      </w:r>
      <w:r w:rsidRPr="00CC536B">
        <w:t xml:space="preserve">. These are recordkeeping costs. </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520B" w:rsidRPr="004E6F13" w:rsidRDefault="00BC520B" w:rsidP="00BC520B">
      <w:pPr>
        <w:pBdr>
          <w:top w:val="single" w:sz="6" w:space="0" w:color="FFFFFF"/>
          <w:left w:val="single" w:sz="6" w:space="0" w:color="FFFFFF"/>
          <w:bottom w:val="single" w:sz="6" w:space="0" w:color="FFFFFF"/>
          <w:right w:val="single" w:sz="6" w:space="0" w:color="FFFFFF"/>
        </w:pBdr>
        <w:ind w:firstLine="720"/>
      </w:pPr>
      <w:proofErr w:type="gramStart"/>
      <w:r w:rsidRPr="00CC536B">
        <w:rPr>
          <w:b/>
          <w:bCs/>
        </w:rPr>
        <w:t xml:space="preserve">(iv)  </w:t>
      </w:r>
      <w:r w:rsidR="00B34390">
        <w:rPr>
          <w:b/>
          <w:bCs/>
        </w:rPr>
        <w:t>Potential</w:t>
      </w:r>
      <w:proofErr w:type="gramEnd"/>
      <w:r w:rsidR="00B34390">
        <w:rPr>
          <w:b/>
          <w:bCs/>
        </w:rPr>
        <w:t xml:space="preserve"> </w:t>
      </w:r>
      <w:r w:rsidRPr="00CC536B">
        <w:rPr>
          <w:b/>
          <w:bCs/>
        </w:rPr>
        <w:t>Burden under Affirmative Defense</w:t>
      </w:r>
      <w:r w:rsidRPr="004E6F13">
        <w:rPr>
          <w:b/>
          <w:bCs/>
        </w:rPr>
        <w:t xml:space="preserve"> </w:t>
      </w:r>
    </w:p>
    <w:p w:rsidR="00BC520B" w:rsidRPr="008A2E38" w:rsidRDefault="00BC520B" w:rsidP="00BC520B">
      <w:pPr>
        <w:pBdr>
          <w:top w:val="single" w:sz="6" w:space="0" w:color="FFFFFF"/>
          <w:left w:val="single" w:sz="6" w:space="0" w:color="FFFFFF"/>
          <w:bottom w:val="single" w:sz="6" w:space="0" w:color="FFFFFF"/>
          <w:right w:val="single" w:sz="6" w:space="0" w:color="FFFFFF"/>
        </w:pBdr>
        <w:ind w:firstLine="720"/>
      </w:pPr>
    </w:p>
    <w:p w:rsidR="00C95452" w:rsidRPr="008A2E38" w:rsidRDefault="00C95452" w:rsidP="008A2E38">
      <w:pPr>
        <w:ind w:firstLine="720"/>
      </w:pPr>
      <w:r w:rsidRPr="008A2E38">
        <w:t xml:space="preserve">When a malfunction occurs, sources must report them according to the applicable reporting requirements of </w:t>
      </w:r>
      <w:r w:rsidR="005110E3">
        <w:t>s</w:t>
      </w:r>
      <w:r w:rsidRPr="008A2E38">
        <w:t xml:space="preserve">ubpart </w:t>
      </w:r>
      <w:r w:rsidR="003148C5">
        <w:t>HHHHHHH</w:t>
      </w:r>
      <w:r w:rsidR="00B34390">
        <w:t xml:space="preserve">. </w:t>
      </w:r>
      <w:r w:rsidRPr="008A2E38">
        <w:t>An affirmative defense to civil penalties for exceedances of emission limits that are caused by malfunctions is available to a source if it can demonstrate that certain criteria a</w:t>
      </w:r>
      <w:r w:rsidR="00B34390">
        <w:t xml:space="preserve">nd requirements are satisfied. </w:t>
      </w:r>
      <w:r w:rsidRPr="008A2E38">
        <w:t xml:space="preserve">The criteria ensure that the affirmative defense is available only where the event that causes an exceedance of the emission </w:t>
      </w:r>
      <w:r w:rsidR="005110E3">
        <w:t>standard</w:t>
      </w:r>
      <w:r w:rsidRPr="008A2E38">
        <w:t xml:space="preserve"> meets the narrow definition of malfunction in 40 C.F.R. 63.2 (sudden, infrequent, not reasonable preventable and not caused by poor maintenance and or careless operation) and where the source  took necessary actions to minimize emissions.</w:t>
      </w:r>
      <w:r w:rsidR="008A2E38">
        <w:t xml:space="preserve"> </w:t>
      </w:r>
      <w:r w:rsidRPr="008A2E38">
        <w:t>In addition, the source must meet certain notificati</w:t>
      </w:r>
      <w:r w:rsidR="00B34390">
        <w:t xml:space="preserve">on and reporting requirements. </w:t>
      </w:r>
      <w:r w:rsidRPr="008A2E38">
        <w:t xml:space="preserve">For example, the source must prepare a written root cause analysis and submit a written report to the Administrator documenting that it has met the conditions and requirements for assertion of the affirmative defense.  </w:t>
      </w:r>
    </w:p>
    <w:p w:rsidR="00C95452" w:rsidRPr="008A2E38" w:rsidRDefault="00C95452" w:rsidP="00C95452"/>
    <w:p w:rsidR="00C95452" w:rsidRPr="008A2E38" w:rsidRDefault="00C95452" w:rsidP="008A2E38">
      <w:pPr>
        <w:ind w:firstLine="720"/>
      </w:pPr>
      <w:r w:rsidRPr="008A2E38">
        <w:t xml:space="preserve">To provide the public with an estimate of the relative magnitude of the burden associated </w:t>
      </w:r>
      <w:r w:rsidRPr="008A2E38">
        <w:lastRenderedPageBreak/>
        <w:t xml:space="preserve">with an assertion of the affirmative defense position adopted by a source, </w:t>
      </w:r>
      <w:r w:rsidR="00B34390">
        <w:t xml:space="preserve">the </w:t>
      </w:r>
      <w:r w:rsidRPr="008A2E38">
        <w:t>EPA provides an administrative adjustment to this ICR that shows the notification, recordkeeping and reporting requirements associated with the assertion of the affirmative de</w:t>
      </w:r>
      <w:r w:rsidR="00B34390">
        <w:t xml:space="preserve">fense might entail. The </w:t>
      </w:r>
      <w:r w:rsidRPr="008A2E38">
        <w:t xml:space="preserve">EPA’s estimate for the required notification, reports and records, including the root cause analysis, totals $3,141 and is based on the time and effort required of a source to review relevant data, interview plant employees, and document the events surrounding a malfunction that has caused an exceedance of an emission limit. The estimate also includes time to produce and retain the record and </w:t>
      </w:r>
      <w:r w:rsidR="00B34390">
        <w:t xml:space="preserve">reports for submission to the EPA. The </w:t>
      </w:r>
      <w:r w:rsidRPr="008A2E38">
        <w:t xml:space="preserve">EPA provides this illustrative estimate of this burden because these costs are only incurred if there has been a violation and a source chooses to take advantage of the affirmative defense.  </w:t>
      </w:r>
    </w:p>
    <w:p w:rsidR="00C95452" w:rsidRPr="008A2E38" w:rsidRDefault="00C95452" w:rsidP="00C95452"/>
    <w:tbl>
      <w:tblPr>
        <w:tblW w:w="9555" w:type="dxa"/>
        <w:tblInd w:w="93" w:type="dxa"/>
        <w:tblLook w:val="04A0"/>
      </w:tblPr>
      <w:tblGrid>
        <w:gridCol w:w="2161"/>
        <w:gridCol w:w="1454"/>
        <w:gridCol w:w="1649"/>
        <w:gridCol w:w="1231"/>
        <w:gridCol w:w="1620"/>
        <w:gridCol w:w="1440"/>
      </w:tblGrid>
      <w:tr w:rsidR="008A2E38" w:rsidRPr="008A2E38" w:rsidTr="00443F1F">
        <w:trPr>
          <w:trHeight w:val="293"/>
        </w:trPr>
        <w:tc>
          <w:tcPr>
            <w:tcW w:w="95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E38" w:rsidRDefault="008A2E38" w:rsidP="008A2E38">
            <w:pPr>
              <w:widowControl/>
              <w:autoSpaceDE/>
              <w:autoSpaceDN/>
              <w:adjustRightInd/>
              <w:jc w:val="center"/>
              <w:rPr>
                <w:bCs/>
                <w:color w:val="000000"/>
                <w:sz w:val="20"/>
                <w:szCs w:val="20"/>
              </w:rPr>
            </w:pPr>
            <w:r w:rsidRPr="00CC536B">
              <w:rPr>
                <w:b/>
                <w:bCs/>
              </w:rPr>
              <w:t>Burden under Affirmative Defense</w:t>
            </w:r>
          </w:p>
        </w:tc>
      </w:tr>
      <w:tr w:rsidR="00C95452" w:rsidRPr="008A2E38" w:rsidTr="008A2E38">
        <w:trPr>
          <w:trHeight w:val="293"/>
        </w:trPr>
        <w:tc>
          <w:tcPr>
            <w:tcW w:w="2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E38" w:rsidRDefault="008A2E38" w:rsidP="008A2E38">
            <w:pPr>
              <w:jc w:val="center"/>
              <w:rPr>
                <w:bCs/>
                <w:color w:val="000000"/>
                <w:sz w:val="20"/>
                <w:szCs w:val="20"/>
              </w:rPr>
            </w:pPr>
            <w:r>
              <w:rPr>
                <w:bCs/>
                <w:color w:val="000000"/>
                <w:sz w:val="20"/>
                <w:szCs w:val="20"/>
              </w:rPr>
              <w:t>(A)</w:t>
            </w:r>
          </w:p>
          <w:p w:rsidR="00C95452" w:rsidRPr="008A2E38" w:rsidRDefault="00C95452" w:rsidP="008A2E38">
            <w:pPr>
              <w:jc w:val="center"/>
              <w:rPr>
                <w:bCs/>
                <w:color w:val="000000"/>
                <w:sz w:val="20"/>
                <w:szCs w:val="20"/>
              </w:rPr>
            </w:pPr>
            <w:r w:rsidRPr="008A2E38">
              <w:rPr>
                <w:bCs/>
                <w:color w:val="000000"/>
                <w:sz w:val="20"/>
                <w:szCs w:val="20"/>
              </w:rPr>
              <w:t>Personnel</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8A2E38" w:rsidRDefault="008A2E38" w:rsidP="008A2E38">
            <w:pPr>
              <w:widowControl/>
              <w:autoSpaceDE/>
              <w:autoSpaceDN/>
              <w:adjustRightInd/>
              <w:jc w:val="center"/>
              <w:rPr>
                <w:bCs/>
                <w:color w:val="000000"/>
                <w:sz w:val="20"/>
                <w:szCs w:val="20"/>
              </w:rPr>
            </w:pPr>
            <w:r>
              <w:rPr>
                <w:bCs/>
                <w:color w:val="000000"/>
                <w:sz w:val="20"/>
                <w:szCs w:val="20"/>
              </w:rPr>
              <w:t>(B)</w:t>
            </w:r>
          </w:p>
          <w:p w:rsidR="00C95452" w:rsidRPr="008A2E38" w:rsidRDefault="00C95452" w:rsidP="008A2E38">
            <w:pPr>
              <w:widowControl/>
              <w:autoSpaceDE/>
              <w:autoSpaceDN/>
              <w:adjustRightInd/>
              <w:jc w:val="center"/>
              <w:rPr>
                <w:bCs/>
                <w:color w:val="000000"/>
                <w:sz w:val="20"/>
                <w:szCs w:val="20"/>
              </w:rPr>
            </w:pPr>
            <w:r w:rsidRPr="008A2E38">
              <w:rPr>
                <w:bCs/>
                <w:color w:val="000000"/>
                <w:sz w:val="20"/>
                <w:szCs w:val="20"/>
              </w:rPr>
              <w:t>Number of Personnel</w:t>
            </w:r>
          </w:p>
        </w:tc>
        <w:tc>
          <w:tcPr>
            <w:tcW w:w="1649" w:type="dxa"/>
            <w:tcBorders>
              <w:top w:val="single" w:sz="4" w:space="0" w:color="auto"/>
              <w:left w:val="nil"/>
              <w:bottom w:val="single" w:sz="4" w:space="0" w:color="auto"/>
              <w:right w:val="single" w:sz="4" w:space="0" w:color="auto"/>
            </w:tcBorders>
            <w:shd w:val="clear" w:color="auto" w:fill="auto"/>
            <w:noWrap/>
            <w:vAlign w:val="center"/>
            <w:hideMark/>
          </w:tcPr>
          <w:p w:rsidR="008A2E38" w:rsidRDefault="008A2E38" w:rsidP="008A2E38">
            <w:pPr>
              <w:widowControl/>
              <w:autoSpaceDE/>
              <w:autoSpaceDN/>
              <w:adjustRightInd/>
              <w:jc w:val="center"/>
              <w:rPr>
                <w:bCs/>
                <w:color w:val="000000"/>
                <w:sz w:val="20"/>
                <w:szCs w:val="20"/>
              </w:rPr>
            </w:pPr>
            <w:r>
              <w:rPr>
                <w:bCs/>
                <w:color w:val="000000"/>
                <w:sz w:val="20"/>
                <w:szCs w:val="20"/>
              </w:rPr>
              <w:t>(C)</w:t>
            </w:r>
          </w:p>
          <w:p w:rsidR="00C95452" w:rsidRPr="008A2E38" w:rsidRDefault="00C95452" w:rsidP="008A2E38">
            <w:pPr>
              <w:widowControl/>
              <w:autoSpaceDE/>
              <w:autoSpaceDN/>
              <w:adjustRightInd/>
              <w:jc w:val="center"/>
              <w:rPr>
                <w:bCs/>
                <w:color w:val="000000"/>
                <w:sz w:val="20"/>
                <w:szCs w:val="20"/>
              </w:rPr>
            </w:pPr>
            <w:r w:rsidRPr="008A2E38">
              <w:rPr>
                <w:bCs/>
                <w:color w:val="000000"/>
                <w:sz w:val="20"/>
                <w:szCs w:val="20"/>
              </w:rPr>
              <w:t>Time Requirement (hours)</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8A2E38" w:rsidRDefault="008A2E38" w:rsidP="008A2E38">
            <w:pPr>
              <w:widowControl/>
              <w:autoSpaceDE/>
              <w:autoSpaceDN/>
              <w:adjustRightInd/>
              <w:jc w:val="center"/>
              <w:rPr>
                <w:bCs/>
                <w:color w:val="000000"/>
                <w:sz w:val="20"/>
                <w:szCs w:val="20"/>
              </w:rPr>
            </w:pPr>
            <w:r>
              <w:rPr>
                <w:bCs/>
                <w:color w:val="000000"/>
                <w:sz w:val="20"/>
                <w:szCs w:val="20"/>
              </w:rPr>
              <w:t>(D)</w:t>
            </w:r>
          </w:p>
          <w:p w:rsidR="00C95452" w:rsidRPr="008A2E38" w:rsidRDefault="00C95452" w:rsidP="008A2E38">
            <w:pPr>
              <w:widowControl/>
              <w:autoSpaceDE/>
              <w:autoSpaceDN/>
              <w:adjustRightInd/>
              <w:jc w:val="center"/>
              <w:rPr>
                <w:bCs/>
                <w:color w:val="000000"/>
                <w:sz w:val="20"/>
                <w:szCs w:val="20"/>
              </w:rPr>
            </w:pPr>
            <w:r w:rsidRPr="008A2E38">
              <w:rPr>
                <w:bCs/>
                <w:color w:val="000000"/>
                <w:sz w:val="20"/>
                <w:szCs w:val="20"/>
              </w:rPr>
              <w:t>Total Hours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8A2E38" w:rsidRDefault="008A2E38" w:rsidP="008A2E38">
            <w:pPr>
              <w:widowControl/>
              <w:autoSpaceDE/>
              <w:autoSpaceDN/>
              <w:adjustRightInd/>
              <w:jc w:val="center"/>
              <w:rPr>
                <w:bCs/>
                <w:color w:val="000000"/>
                <w:sz w:val="20"/>
                <w:szCs w:val="20"/>
              </w:rPr>
            </w:pPr>
            <w:r>
              <w:rPr>
                <w:bCs/>
                <w:color w:val="000000"/>
                <w:sz w:val="20"/>
                <w:szCs w:val="20"/>
              </w:rPr>
              <w:t>(E)</w:t>
            </w:r>
          </w:p>
          <w:p w:rsidR="00C95452" w:rsidRPr="008A2E38" w:rsidRDefault="00C95452" w:rsidP="008A2E38">
            <w:pPr>
              <w:widowControl/>
              <w:autoSpaceDE/>
              <w:autoSpaceDN/>
              <w:adjustRightInd/>
              <w:jc w:val="center"/>
              <w:rPr>
                <w:bCs/>
                <w:color w:val="000000"/>
                <w:sz w:val="20"/>
                <w:szCs w:val="20"/>
              </w:rPr>
            </w:pPr>
            <w:r w:rsidRPr="008A2E38">
              <w:rPr>
                <w:bCs/>
                <w:color w:val="000000"/>
                <w:sz w:val="20"/>
                <w:szCs w:val="20"/>
              </w:rPr>
              <w:t>Hourly Rate ($/hr)</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A2E38" w:rsidRDefault="008A2E38" w:rsidP="008A2E38">
            <w:pPr>
              <w:widowControl/>
              <w:autoSpaceDE/>
              <w:autoSpaceDN/>
              <w:adjustRightInd/>
              <w:jc w:val="center"/>
              <w:rPr>
                <w:bCs/>
                <w:color w:val="000000"/>
                <w:sz w:val="20"/>
                <w:szCs w:val="20"/>
              </w:rPr>
            </w:pPr>
            <w:r>
              <w:rPr>
                <w:bCs/>
                <w:color w:val="000000"/>
                <w:sz w:val="20"/>
                <w:szCs w:val="20"/>
              </w:rPr>
              <w:t>(F)</w:t>
            </w:r>
          </w:p>
          <w:p w:rsidR="00C95452" w:rsidRPr="008A2E38" w:rsidRDefault="00C95452" w:rsidP="008A2E38">
            <w:pPr>
              <w:widowControl/>
              <w:autoSpaceDE/>
              <w:autoSpaceDN/>
              <w:adjustRightInd/>
              <w:jc w:val="center"/>
              <w:rPr>
                <w:bCs/>
                <w:color w:val="000000"/>
                <w:sz w:val="20"/>
                <w:szCs w:val="20"/>
              </w:rPr>
            </w:pPr>
            <w:r w:rsidRPr="008A2E38">
              <w:rPr>
                <w:bCs/>
                <w:color w:val="000000"/>
                <w:sz w:val="20"/>
                <w:szCs w:val="20"/>
              </w:rPr>
              <w:t>Total</w:t>
            </w:r>
          </w:p>
        </w:tc>
      </w:tr>
      <w:tr w:rsidR="00C95452" w:rsidRPr="008A2E38" w:rsidTr="008A2E38">
        <w:trPr>
          <w:trHeight w:val="324"/>
        </w:trPr>
        <w:tc>
          <w:tcPr>
            <w:tcW w:w="2161" w:type="dxa"/>
            <w:tcBorders>
              <w:top w:val="nil"/>
              <w:left w:val="single" w:sz="4" w:space="0" w:color="auto"/>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Technical Personnel</w:t>
            </w:r>
          </w:p>
        </w:tc>
        <w:tc>
          <w:tcPr>
            <w:tcW w:w="1454"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3</w:t>
            </w:r>
          </w:p>
        </w:tc>
        <w:tc>
          <w:tcPr>
            <w:tcW w:w="1649"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6</w:t>
            </w:r>
          </w:p>
        </w:tc>
        <w:tc>
          <w:tcPr>
            <w:tcW w:w="1231"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18</w:t>
            </w:r>
          </w:p>
        </w:tc>
        <w:tc>
          <w:tcPr>
            <w:tcW w:w="1620"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jc w:val="center"/>
              <w:rPr>
                <w:color w:val="000000"/>
                <w:sz w:val="20"/>
                <w:szCs w:val="20"/>
              </w:rPr>
            </w:pPr>
            <w:r w:rsidRPr="008A2E38">
              <w:rPr>
                <w:color w:val="000000"/>
                <w:sz w:val="20"/>
                <w:szCs w:val="20"/>
              </w:rPr>
              <w:t>98.20</w:t>
            </w:r>
          </w:p>
        </w:tc>
        <w:tc>
          <w:tcPr>
            <w:tcW w:w="1440"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jc w:val="center"/>
              <w:rPr>
                <w:color w:val="000000"/>
                <w:sz w:val="20"/>
                <w:szCs w:val="20"/>
              </w:rPr>
            </w:pPr>
            <w:r w:rsidRPr="008A2E38">
              <w:rPr>
                <w:color w:val="000000"/>
                <w:sz w:val="20"/>
                <w:szCs w:val="20"/>
              </w:rPr>
              <w:t>$1,768</w:t>
            </w:r>
          </w:p>
        </w:tc>
      </w:tr>
      <w:tr w:rsidR="00C95452" w:rsidRPr="008A2E38" w:rsidTr="008A2E38">
        <w:trPr>
          <w:trHeight w:val="293"/>
        </w:trPr>
        <w:tc>
          <w:tcPr>
            <w:tcW w:w="2161" w:type="dxa"/>
            <w:tcBorders>
              <w:top w:val="nil"/>
              <w:left w:val="single" w:sz="4" w:space="0" w:color="auto"/>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Managerial Personnel</w:t>
            </w:r>
          </w:p>
        </w:tc>
        <w:tc>
          <w:tcPr>
            <w:tcW w:w="1454"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2</w:t>
            </w:r>
          </w:p>
        </w:tc>
        <w:tc>
          <w:tcPr>
            <w:tcW w:w="1649"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6</w:t>
            </w:r>
          </w:p>
        </w:tc>
        <w:tc>
          <w:tcPr>
            <w:tcW w:w="1231"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12</w:t>
            </w:r>
          </w:p>
        </w:tc>
        <w:tc>
          <w:tcPr>
            <w:tcW w:w="1620"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114.49</w:t>
            </w:r>
          </w:p>
        </w:tc>
        <w:tc>
          <w:tcPr>
            <w:tcW w:w="1440" w:type="dxa"/>
            <w:tcBorders>
              <w:top w:val="nil"/>
              <w:left w:val="nil"/>
              <w:bottom w:val="single" w:sz="4" w:space="0" w:color="auto"/>
              <w:right w:val="single" w:sz="4" w:space="0" w:color="auto"/>
            </w:tcBorders>
            <w:shd w:val="clear" w:color="auto" w:fill="auto"/>
            <w:noWrap/>
            <w:vAlign w:val="center"/>
            <w:hideMark/>
          </w:tcPr>
          <w:p w:rsidR="00C95452" w:rsidRPr="008A2E38" w:rsidRDefault="008A2E38" w:rsidP="008A2E38">
            <w:pPr>
              <w:jc w:val="center"/>
              <w:rPr>
                <w:color w:val="000000"/>
                <w:sz w:val="20"/>
                <w:szCs w:val="20"/>
              </w:rPr>
            </w:pPr>
            <w:r>
              <w:rPr>
                <w:color w:val="000000"/>
                <w:sz w:val="20"/>
                <w:szCs w:val="20"/>
              </w:rPr>
              <w:t>$</w:t>
            </w:r>
            <w:r w:rsidR="00C95452" w:rsidRPr="008A2E38">
              <w:rPr>
                <w:color w:val="000000"/>
                <w:sz w:val="20"/>
                <w:szCs w:val="20"/>
              </w:rPr>
              <w:t>1,374</w:t>
            </w:r>
          </w:p>
        </w:tc>
      </w:tr>
      <w:tr w:rsidR="00C95452" w:rsidRPr="008A2E38" w:rsidTr="008A2E38">
        <w:trPr>
          <w:trHeight w:val="293"/>
        </w:trPr>
        <w:tc>
          <w:tcPr>
            <w:tcW w:w="2161" w:type="dxa"/>
            <w:tcBorders>
              <w:top w:val="nil"/>
              <w:left w:val="single" w:sz="4" w:space="0" w:color="auto"/>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Total</w:t>
            </w:r>
          </w:p>
        </w:tc>
        <w:tc>
          <w:tcPr>
            <w:tcW w:w="1454"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5</w:t>
            </w:r>
          </w:p>
        </w:tc>
        <w:tc>
          <w:tcPr>
            <w:tcW w:w="1649"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jc w:val="center"/>
              <w:rPr>
                <w:color w:val="000000"/>
                <w:sz w:val="20"/>
                <w:szCs w:val="20"/>
              </w:rPr>
            </w:pPr>
          </w:p>
        </w:tc>
        <w:tc>
          <w:tcPr>
            <w:tcW w:w="1231"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r w:rsidRPr="008A2E38">
              <w:rPr>
                <w:color w:val="000000"/>
                <w:sz w:val="20"/>
                <w:szCs w:val="20"/>
              </w:rPr>
              <w:t>30</w:t>
            </w:r>
          </w:p>
        </w:tc>
        <w:tc>
          <w:tcPr>
            <w:tcW w:w="1620"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95452" w:rsidRPr="008A2E38" w:rsidRDefault="00C95452" w:rsidP="008A2E38">
            <w:pPr>
              <w:jc w:val="center"/>
              <w:rPr>
                <w:color w:val="000000"/>
                <w:sz w:val="20"/>
                <w:szCs w:val="20"/>
              </w:rPr>
            </w:pPr>
            <w:r w:rsidRPr="008A2E38">
              <w:rPr>
                <w:color w:val="000000"/>
                <w:sz w:val="20"/>
                <w:szCs w:val="20"/>
              </w:rPr>
              <w:t>$3,141</w:t>
            </w:r>
          </w:p>
        </w:tc>
      </w:tr>
    </w:tbl>
    <w:p w:rsidR="00C95452" w:rsidRPr="00934778" w:rsidRDefault="00C9545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6</w:t>
      </w:r>
      <w:r>
        <w:rPr>
          <w:b/>
          <w:bCs/>
        </w:rPr>
        <w:t>(</w:t>
      </w:r>
      <w:r w:rsidRPr="00934778">
        <w:rPr>
          <w:b/>
          <w:bCs/>
        </w:rPr>
        <w:t>c</w:t>
      </w:r>
      <w:proofErr w:type="gramStart"/>
      <w:r w:rsidRPr="00934778">
        <w:rPr>
          <w:b/>
          <w:bCs/>
        </w:rPr>
        <w:t>)  Estimating</w:t>
      </w:r>
      <w:proofErr w:type="gramEnd"/>
      <w:r w:rsidRPr="00934778">
        <w:rPr>
          <w:b/>
          <w:bCs/>
        </w:rPr>
        <w:t xml:space="preserve"> Agency Burden and Cost</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4B4D01" w:rsidRDefault="004B4D01" w:rsidP="004B4D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w:t>
      </w:r>
      <w:r w:rsidR="00B34390">
        <w:rPr>
          <w:color w:val="000000"/>
        </w:rPr>
        <w:t>a</w:t>
      </w:r>
      <w:r>
        <w:rPr>
          <w:color w:val="000000"/>
        </w:rPr>
        <w:t>gency are those costs associated with analysis of the reported information.</w:t>
      </w:r>
      <w:r w:rsidR="00B34390">
        <w:rPr>
          <w:color w:val="000000"/>
        </w:rPr>
        <w:t xml:space="preserve"> The</w:t>
      </w:r>
      <w:r w:rsidR="00FA6E16">
        <w:rPr>
          <w:color w:val="000000"/>
        </w:rPr>
        <w:t xml:space="preserve"> </w:t>
      </w:r>
      <w:r>
        <w:rPr>
          <w:color w:val="000000"/>
        </w:rPr>
        <w:t xml:space="preserve">EPA's overall compliance and enforcement program includes activities such as the examination of records maintained by the respondents, periodic inspection of sources of emissions, and the publication and distribution of collected information. </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The average annual </w:t>
      </w:r>
      <w:r w:rsidR="00B34390">
        <w:t>a</w:t>
      </w:r>
      <w:r w:rsidRPr="00934778">
        <w:t xml:space="preserve">gency cost </w:t>
      </w:r>
      <w:r>
        <w:t>du</w:t>
      </w:r>
      <w:r w:rsidRPr="00934778">
        <w:t xml:space="preserve">ring the three years of the ICR is estimated to be </w:t>
      </w:r>
      <w:r w:rsidRPr="00CC536B">
        <w:t>$</w:t>
      </w:r>
      <w:r w:rsidR="00B34390">
        <w:t>37</w:t>
      </w:r>
      <w:r w:rsidR="00721EF4" w:rsidRPr="00CC536B">
        <w:t>,000</w:t>
      </w:r>
      <w:r w:rsidRPr="00CC536B">
        <w:t>.</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This cost is based on the average hourly labor rates as follows:</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3141A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r w:rsidRPr="003141A4">
        <w:t xml:space="preserve">Managerial  </w:t>
      </w:r>
      <w:r w:rsidRPr="003141A4">
        <w:tab/>
        <w:t>$62.27 (GS-13, Step 5, $38.92+ 60%)</w:t>
      </w:r>
    </w:p>
    <w:p w:rsidR="00CE23D4" w:rsidRPr="003141A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 xml:space="preserve">Technical      </w:t>
      </w:r>
      <w:r w:rsidRPr="003141A4">
        <w:tab/>
        <w:t>$46.21 (GS-12, Step 1, $28.88+ 60%)</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Clerical</w:t>
      </w:r>
      <w:r w:rsidRPr="003141A4">
        <w:tab/>
        <w:t>$25.01 (GS-6, Step 3, $15.63 + 60%)</w:t>
      </w:r>
    </w:p>
    <w:p w:rsidR="00CE23D4" w:rsidRDefault="00CE23D4" w:rsidP="00CE23D4">
      <w:pPr>
        <w:pBdr>
          <w:top w:val="single" w:sz="6" w:space="0" w:color="FFFFFF"/>
          <w:left w:val="single" w:sz="6" w:space="0" w:color="FFFFFF"/>
          <w:bottom w:val="single" w:sz="6" w:space="0" w:color="FFFFFF"/>
          <w:right w:val="single" w:sz="6" w:space="0" w:color="FFFFFF"/>
        </w:pBdr>
        <w:tabs>
          <w:tab w:val="left" w:pos="-1440"/>
        </w:tabs>
        <w:ind w:left="2880" w:hanging="216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0BDF">
        <w:rPr>
          <w:color w:val="000000"/>
        </w:rPr>
        <w:t xml:space="preserve">These rates are from the Office of Personnel Management (OPM), 2010 General Schedule, which excludes </w:t>
      </w:r>
      <w:proofErr w:type="gramStart"/>
      <w:r w:rsidRPr="00500BDF">
        <w:rPr>
          <w:color w:val="000000"/>
        </w:rPr>
        <w:t>locality</w:t>
      </w:r>
      <w:proofErr w:type="gramEnd"/>
      <w:r w:rsidRPr="00500BDF">
        <w:rPr>
          <w:color w:val="000000"/>
        </w:rPr>
        <w:t xml:space="preserve"> rates of pay. </w:t>
      </w:r>
      <w:r w:rsidRPr="00500BDF">
        <w:t>The rates have been increased by 60 percent to account for overhead and</w:t>
      </w:r>
      <w:r w:rsidR="00B34390">
        <w:t xml:space="preserve"> fringe benefit costs. </w:t>
      </w:r>
      <w:r w:rsidRPr="00500BDF">
        <w:t>Details on the line item estimates used to calculate these burdens are presented in Tables </w:t>
      </w:r>
      <w:r w:rsidR="00500BDF" w:rsidRPr="00500BDF">
        <w:t>5</w:t>
      </w:r>
      <w:r w:rsidRPr="00500BDF">
        <w:t xml:space="preserve"> through </w:t>
      </w:r>
      <w:r w:rsidR="00500BDF" w:rsidRPr="00500BDF">
        <w:t>8</w:t>
      </w:r>
      <w:r w:rsidRPr="00500BDF">
        <w:t xml:space="preserve"> of Attachment 3.</w:t>
      </w:r>
      <w:r w:rsidRPr="00934778">
        <w:t xml:space="preserve">  </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6</w:t>
      </w:r>
      <w:r>
        <w:rPr>
          <w:b/>
          <w:bCs/>
        </w:rPr>
        <w:t>(</w:t>
      </w:r>
      <w:r w:rsidRPr="00934778">
        <w:rPr>
          <w:b/>
          <w:bCs/>
        </w:rPr>
        <w:t>d</w:t>
      </w:r>
      <w:proofErr w:type="gramStart"/>
      <w:r w:rsidRPr="00934778">
        <w:rPr>
          <w:b/>
          <w:bCs/>
        </w:rPr>
        <w:t xml:space="preserve">) </w:t>
      </w:r>
      <w:r>
        <w:rPr>
          <w:b/>
          <w:bCs/>
        </w:rPr>
        <w:t xml:space="preserve"> </w:t>
      </w:r>
      <w:r w:rsidRPr="00934778">
        <w:rPr>
          <w:b/>
          <w:bCs/>
        </w:rPr>
        <w:t>Estimating</w:t>
      </w:r>
      <w:proofErr w:type="gramEnd"/>
      <w:r w:rsidRPr="00934778">
        <w:rPr>
          <w:b/>
          <w:bCs/>
        </w:rPr>
        <w:t xml:space="preserve"> the Respondent Universe and Total Burden Costs</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The total number of respondents is also referred </w:t>
      </w:r>
      <w:r w:rsidR="00B34390">
        <w:t xml:space="preserve">to as the respondent universe. </w:t>
      </w:r>
      <w:r w:rsidR="003F7E18">
        <w:t xml:space="preserve">Based on research, </w:t>
      </w:r>
      <w:r w:rsidR="00006435" w:rsidRPr="009541F1">
        <w:t>1</w:t>
      </w:r>
      <w:r w:rsidR="00B34390">
        <w:t xml:space="preserve">5 </w:t>
      </w:r>
      <w:r w:rsidR="003F7E18">
        <w:t>existing facilities wi</w:t>
      </w:r>
      <w:r w:rsidR="00FA6E16">
        <w:t xml:space="preserve">ll be subject to the standard. </w:t>
      </w:r>
      <w:r w:rsidR="003F7E18">
        <w:t>No new re</w:t>
      </w:r>
      <w:r w:rsidR="00B34390">
        <w:t xml:space="preserve">spondents will become subject. </w:t>
      </w:r>
      <w:r w:rsidRPr="00934778">
        <w:t xml:space="preserve">Industry burden is calculated based on the </w:t>
      </w:r>
      <w:r w:rsidRPr="00500BDF">
        <w:t>number of facilities in</w:t>
      </w:r>
      <w:r w:rsidRPr="00934778">
        <w:t xml:space="preserve"> each subcategory and </w:t>
      </w:r>
      <w:r w:rsidRPr="00934778">
        <w:lastRenderedPageBreak/>
        <w:t xml:space="preserve">the anticipated controls and monitoring that each unit will most likely utilize to comply with the proposed emissions guidelines.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W w:w="7365" w:type="dxa"/>
        <w:jc w:val="center"/>
        <w:tblLook w:val="0000"/>
      </w:tblPr>
      <w:tblGrid>
        <w:gridCol w:w="1920"/>
        <w:gridCol w:w="1815"/>
        <w:gridCol w:w="1815"/>
        <w:gridCol w:w="1815"/>
      </w:tblGrid>
      <w:tr w:rsidR="00CE23D4" w:rsidRPr="007A5C3C" w:rsidTr="003141A4">
        <w:trPr>
          <w:trHeight w:val="475"/>
          <w:jc w:val="center"/>
        </w:trPr>
        <w:tc>
          <w:tcPr>
            <w:tcW w:w="7365" w:type="dxa"/>
            <w:gridSpan w:val="4"/>
            <w:tcBorders>
              <w:top w:val="single" w:sz="8" w:space="0" w:color="auto"/>
              <w:left w:val="single" w:sz="8" w:space="0" w:color="auto"/>
              <w:bottom w:val="nil"/>
              <w:right w:val="single" w:sz="8" w:space="0" w:color="auto"/>
            </w:tcBorders>
            <w:shd w:val="clear" w:color="auto" w:fill="auto"/>
            <w:vAlign w:val="center"/>
          </w:tcPr>
          <w:p w:rsidR="00CE23D4" w:rsidRPr="001961BD" w:rsidRDefault="00CE23D4" w:rsidP="00CE23D4">
            <w:pPr>
              <w:widowControl/>
              <w:autoSpaceDE/>
              <w:autoSpaceDN/>
              <w:adjustRightInd/>
              <w:jc w:val="center"/>
              <w:rPr>
                <w:b/>
              </w:rPr>
            </w:pPr>
            <w:r w:rsidRPr="001961BD">
              <w:rPr>
                <w:b/>
              </w:rPr>
              <w:t>Total Annual Responses</w:t>
            </w:r>
          </w:p>
        </w:tc>
      </w:tr>
      <w:tr w:rsidR="00CE23D4" w:rsidRPr="007A5C3C" w:rsidTr="003141A4">
        <w:trPr>
          <w:trHeight w:val="1060"/>
          <w:jc w:val="center"/>
        </w:trPr>
        <w:tc>
          <w:tcPr>
            <w:tcW w:w="1920" w:type="dxa"/>
            <w:tcBorders>
              <w:top w:val="single" w:sz="8" w:space="0" w:color="auto"/>
              <w:left w:val="single" w:sz="8" w:space="0" w:color="auto"/>
              <w:bottom w:val="single" w:sz="8" w:space="0" w:color="auto"/>
              <w:right w:val="single" w:sz="4" w:space="0" w:color="auto"/>
            </w:tcBorders>
            <w:shd w:val="clear" w:color="auto" w:fill="auto"/>
            <w:vAlign w:val="center"/>
          </w:tcPr>
          <w:p w:rsidR="00CE23D4" w:rsidRDefault="00CE23D4" w:rsidP="00CE23D4">
            <w:pPr>
              <w:widowControl/>
              <w:autoSpaceDE/>
              <w:autoSpaceDN/>
              <w:adjustRightInd/>
              <w:jc w:val="center"/>
              <w:rPr>
                <w:color w:val="000000"/>
                <w:sz w:val="20"/>
                <w:szCs w:val="20"/>
              </w:rPr>
            </w:pPr>
            <w:r>
              <w:rPr>
                <w:color w:val="000000"/>
                <w:sz w:val="20"/>
                <w:szCs w:val="20"/>
              </w:rPr>
              <w:t>(A)</w:t>
            </w:r>
          </w:p>
          <w:p w:rsidR="00CE23D4" w:rsidRPr="007A5C3C" w:rsidRDefault="00CE23D4" w:rsidP="00CE23D4">
            <w:pPr>
              <w:widowControl/>
              <w:autoSpaceDE/>
              <w:autoSpaceDN/>
              <w:adjustRightInd/>
              <w:jc w:val="center"/>
              <w:rPr>
                <w:color w:val="000000"/>
                <w:sz w:val="20"/>
                <w:szCs w:val="20"/>
              </w:rPr>
            </w:pPr>
            <w:r w:rsidRPr="007A5C3C">
              <w:rPr>
                <w:color w:val="000000"/>
                <w:sz w:val="20"/>
                <w:szCs w:val="20"/>
              </w:rPr>
              <w:t>Unit Type</w:t>
            </w:r>
          </w:p>
        </w:tc>
        <w:tc>
          <w:tcPr>
            <w:tcW w:w="1815" w:type="dxa"/>
            <w:tcBorders>
              <w:top w:val="single" w:sz="8" w:space="0" w:color="auto"/>
              <w:left w:val="nil"/>
              <w:bottom w:val="single" w:sz="8" w:space="0" w:color="auto"/>
              <w:right w:val="single" w:sz="4" w:space="0" w:color="auto"/>
            </w:tcBorders>
            <w:shd w:val="clear" w:color="auto" w:fill="auto"/>
            <w:vAlign w:val="center"/>
          </w:tcPr>
          <w:p w:rsidR="00CE23D4" w:rsidRDefault="00CE23D4" w:rsidP="00CE23D4">
            <w:pPr>
              <w:widowControl/>
              <w:autoSpaceDE/>
              <w:autoSpaceDN/>
              <w:adjustRightInd/>
              <w:jc w:val="center"/>
              <w:rPr>
                <w:sz w:val="20"/>
                <w:szCs w:val="20"/>
              </w:rPr>
            </w:pPr>
            <w:r>
              <w:rPr>
                <w:sz w:val="20"/>
                <w:szCs w:val="20"/>
              </w:rPr>
              <w:t>(B)</w:t>
            </w:r>
          </w:p>
          <w:p w:rsidR="00CE23D4" w:rsidRPr="007A5C3C" w:rsidRDefault="00CE23D4" w:rsidP="00CE23D4">
            <w:pPr>
              <w:widowControl/>
              <w:autoSpaceDE/>
              <w:autoSpaceDN/>
              <w:adjustRightInd/>
              <w:jc w:val="center"/>
              <w:rPr>
                <w:sz w:val="20"/>
                <w:szCs w:val="20"/>
              </w:rPr>
            </w:pPr>
            <w:r w:rsidRPr="007A5C3C">
              <w:rPr>
                <w:sz w:val="20"/>
                <w:szCs w:val="20"/>
              </w:rPr>
              <w:t>Number of Respondents (facilities)</w:t>
            </w:r>
          </w:p>
        </w:tc>
        <w:tc>
          <w:tcPr>
            <w:tcW w:w="1815" w:type="dxa"/>
            <w:tcBorders>
              <w:top w:val="single" w:sz="8" w:space="0" w:color="auto"/>
              <w:left w:val="nil"/>
              <w:bottom w:val="single" w:sz="8" w:space="0" w:color="auto"/>
              <w:right w:val="single" w:sz="4" w:space="0" w:color="auto"/>
            </w:tcBorders>
            <w:shd w:val="clear" w:color="auto" w:fill="auto"/>
            <w:vAlign w:val="center"/>
          </w:tcPr>
          <w:p w:rsidR="00CE23D4" w:rsidRDefault="00CE23D4" w:rsidP="00CE23D4">
            <w:pPr>
              <w:widowControl/>
              <w:autoSpaceDE/>
              <w:autoSpaceDN/>
              <w:adjustRightInd/>
              <w:jc w:val="center"/>
              <w:rPr>
                <w:sz w:val="20"/>
                <w:szCs w:val="20"/>
              </w:rPr>
            </w:pPr>
            <w:r>
              <w:rPr>
                <w:sz w:val="20"/>
                <w:szCs w:val="20"/>
              </w:rPr>
              <w:t>(C)</w:t>
            </w:r>
          </w:p>
          <w:p w:rsidR="00CE23D4" w:rsidRPr="007A5C3C" w:rsidRDefault="00CE23D4" w:rsidP="00CE23D4">
            <w:pPr>
              <w:widowControl/>
              <w:autoSpaceDE/>
              <w:autoSpaceDN/>
              <w:adjustRightInd/>
              <w:jc w:val="center"/>
              <w:rPr>
                <w:sz w:val="20"/>
                <w:szCs w:val="20"/>
              </w:rPr>
            </w:pPr>
            <w:r w:rsidRPr="007A5C3C">
              <w:rPr>
                <w:sz w:val="20"/>
                <w:szCs w:val="20"/>
              </w:rPr>
              <w:t>Total Number Responses for 3-year Period</w:t>
            </w:r>
          </w:p>
        </w:tc>
        <w:tc>
          <w:tcPr>
            <w:tcW w:w="1815" w:type="dxa"/>
            <w:tcBorders>
              <w:top w:val="single" w:sz="8" w:space="0" w:color="auto"/>
              <w:left w:val="nil"/>
              <w:bottom w:val="single" w:sz="8" w:space="0" w:color="auto"/>
              <w:right w:val="single" w:sz="8" w:space="0" w:color="auto"/>
            </w:tcBorders>
            <w:shd w:val="clear" w:color="auto" w:fill="auto"/>
            <w:vAlign w:val="center"/>
          </w:tcPr>
          <w:p w:rsidR="00CE23D4" w:rsidRDefault="00CE23D4" w:rsidP="00CE23D4">
            <w:pPr>
              <w:widowControl/>
              <w:autoSpaceDE/>
              <w:autoSpaceDN/>
              <w:adjustRightInd/>
              <w:jc w:val="center"/>
              <w:rPr>
                <w:sz w:val="20"/>
                <w:szCs w:val="20"/>
              </w:rPr>
            </w:pPr>
            <w:r>
              <w:rPr>
                <w:sz w:val="20"/>
                <w:szCs w:val="20"/>
              </w:rPr>
              <w:t>(D)</w:t>
            </w:r>
          </w:p>
          <w:p w:rsidR="00CE23D4" w:rsidRPr="007A5C3C" w:rsidRDefault="00CE23D4" w:rsidP="00CE23D4">
            <w:pPr>
              <w:widowControl/>
              <w:autoSpaceDE/>
              <w:autoSpaceDN/>
              <w:adjustRightInd/>
              <w:jc w:val="center"/>
              <w:rPr>
                <w:sz w:val="20"/>
                <w:szCs w:val="20"/>
              </w:rPr>
            </w:pPr>
            <w:r w:rsidRPr="007A5C3C">
              <w:rPr>
                <w:sz w:val="20"/>
                <w:szCs w:val="20"/>
              </w:rPr>
              <w:t>Average Annual Number of Responses</w:t>
            </w:r>
          </w:p>
        </w:tc>
      </w:tr>
      <w:tr w:rsidR="003141A4" w:rsidRPr="00CC536B" w:rsidTr="003141A4">
        <w:trPr>
          <w:trHeight w:val="385"/>
          <w:jc w:val="center"/>
        </w:trPr>
        <w:tc>
          <w:tcPr>
            <w:tcW w:w="1920" w:type="dxa"/>
            <w:tcBorders>
              <w:top w:val="single" w:sz="8" w:space="0" w:color="auto"/>
              <w:left w:val="single" w:sz="8" w:space="0" w:color="auto"/>
              <w:bottom w:val="single" w:sz="8" w:space="0" w:color="auto"/>
              <w:right w:val="single" w:sz="4" w:space="0" w:color="auto"/>
            </w:tcBorders>
            <w:shd w:val="clear" w:color="auto" w:fill="auto"/>
            <w:vAlign w:val="center"/>
          </w:tcPr>
          <w:p w:rsidR="003141A4" w:rsidRPr="00CC536B" w:rsidRDefault="003141A4" w:rsidP="003141A4">
            <w:pPr>
              <w:rPr>
                <w:color w:val="000000"/>
                <w:sz w:val="20"/>
                <w:szCs w:val="20"/>
              </w:rPr>
            </w:pPr>
            <w:r w:rsidRPr="00CC536B">
              <w:rPr>
                <w:color w:val="000000"/>
                <w:sz w:val="20"/>
                <w:szCs w:val="20"/>
              </w:rPr>
              <w:t>PVC Facilities Total</w:t>
            </w:r>
          </w:p>
        </w:tc>
        <w:tc>
          <w:tcPr>
            <w:tcW w:w="1815" w:type="dxa"/>
            <w:tcBorders>
              <w:top w:val="single" w:sz="8" w:space="0" w:color="auto"/>
              <w:left w:val="nil"/>
              <w:bottom w:val="single" w:sz="8" w:space="0" w:color="auto"/>
              <w:right w:val="single" w:sz="4" w:space="0" w:color="auto"/>
            </w:tcBorders>
            <w:shd w:val="clear" w:color="auto" w:fill="auto"/>
            <w:vAlign w:val="center"/>
          </w:tcPr>
          <w:p w:rsidR="003141A4" w:rsidRPr="00CC536B" w:rsidRDefault="00721EF4" w:rsidP="00B34390">
            <w:pPr>
              <w:widowControl/>
              <w:autoSpaceDE/>
              <w:autoSpaceDN/>
              <w:adjustRightInd/>
              <w:jc w:val="center"/>
              <w:rPr>
                <w:sz w:val="20"/>
                <w:szCs w:val="20"/>
              </w:rPr>
            </w:pPr>
            <w:r w:rsidRPr="00CC536B">
              <w:rPr>
                <w:sz w:val="20"/>
                <w:szCs w:val="20"/>
              </w:rPr>
              <w:t>1</w:t>
            </w:r>
            <w:r w:rsidR="00B34390">
              <w:rPr>
                <w:sz w:val="20"/>
                <w:szCs w:val="20"/>
              </w:rPr>
              <w:t>5</w:t>
            </w:r>
          </w:p>
        </w:tc>
        <w:tc>
          <w:tcPr>
            <w:tcW w:w="1815" w:type="dxa"/>
            <w:tcBorders>
              <w:top w:val="single" w:sz="8" w:space="0" w:color="auto"/>
              <w:left w:val="nil"/>
              <w:bottom w:val="single" w:sz="8" w:space="0" w:color="auto"/>
              <w:right w:val="single" w:sz="4" w:space="0" w:color="auto"/>
            </w:tcBorders>
            <w:shd w:val="clear" w:color="auto" w:fill="auto"/>
            <w:vAlign w:val="center"/>
          </w:tcPr>
          <w:p w:rsidR="003141A4" w:rsidRPr="00CC536B" w:rsidRDefault="00CF39B1" w:rsidP="00B34390">
            <w:pPr>
              <w:widowControl/>
              <w:autoSpaceDE/>
              <w:autoSpaceDN/>
              <w:adjustRightInd/>
              <w:jc w:val="center"/>
              <w:rPr>
                <w:sz w:val="20"/>
                <w:szCs w:val="20"/>
              </w:rPr>
            </w:pPr>
            <w:r>
              <w:rPr>
                <w:sz w:val="20"/>
                <w:szCs w:val="20"/>
              </w:rPr>
              <w:t>1</w:t>
            </w:r>
            <w:r w:rsidR="00B34390">
              <w:rPr>
                <w:sz w:val="20"/>
                <w:szCs w:val="20"/>
              </w:rPr>
              <w:t>35</w:t>
            </w:r>
          </w:p>
        </w:tc>
        <w:tc>
          <w:tcPr>
            <w:tcW w:w="1815" w:type="dxa"/>
            <w:tcBorders>
              <w:top w:val="single" w:sz="8" w:space="0" w:color="auto"/>
              <w:left w:val="nil"/>
              <w:bottom w:val="single" w:sz="8" w:space="0" w:color="auto"/>
              <w:right w:val="single" w:sz="8" w:space="0" w:color="auto"/>
            </w:tcBorders>
            <w:shd w:val="clear" w:color="auto" w:fill="auto"/>
            <w:vAlign w:val="center"/>
          </w:tcPr>
          <w:p w:rsidR="003141A4" w:rsidRPr="00CC536B" w:rsidRDefault="00B34390" w:rsidP="00CF39B1">
            <w:pPr>
              <w:widowControl/>
              <w:autoSpaceDE/>
              <w:autoSpaceDN/>
              <w:adjustRightInd/>
              <w:jc w:val="center"/>
              <w:rPr>
                <w:sz w:val="20"/>
                <w:szCs w:val="20"/>
              </w:rPr>
            </w:pPr>
            <w:r>
              <w:rPr>
                <w:sz w:val="20"/>
                <w:szCs w:val="20"/>
              </w:rPr>
              <w:t>45</w:t>
            </w:r>
          </w:p>
        </w:tc>
      </w:tr>
    </w:tbl>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C536B">
        <w:rPr>
          <w:color w:val="000000"/>
        </w:rPr>
        <w:tab/>
        <w:t xml:space="preserve">The number of average annual responses is </w:t>
      </w:r>
      <w:r w:rsidR="00B34390">
        <w:rPr>
          <w:color w:val="000000"/>
        </w:rPr>
        <w:t>45</w:t>
      </w:r>
      <w:r w:rsidRPr="00CC536B">
        <w:rPr>
          <w:color w:val="000000"/>
        </w:rPr>
        <w:t>.</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CC536B">
        <w:rPr>
          <w:b/>
          <w:bCs/>
        </w:rPr>
        <w:t>6(e</w:t>
      </w:r>
      <w:proofErr w:type="gramStart"/>
      <w:r w:rsidRPr="00CC536B">
        <w:rPr>
          <w:b/>
          <w:bCs/>
        </w:rPr>
        <w:t>)  Bottom</w:t>
      </w:r>
      <w:proofErr w:type="gramEnd"/>
      <w:r w:rsidRPr="00CC536B">
        <w:rPr>
          <w:b/>
          <w:bCs/>
        </w:rPr>
        <w:t xml:space="preserve"> Line Burden Hours and Cost Tables</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 xml:space="preserve">(i)  The Respondent Tally  </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93035C" w:rsidRPr="00CC536B"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 xml:space="preserve">The total annual labor hours are </w:t>
      </w:r>
      <w:r w:rsidR="00F628AC">
        <w:rPr>
          <w:color w:val="000000"/>
        </w:rPr>
        <w:t>3,</w:t>
      </w:r>
      <w:r w:rsidR="00F21598">
        <w:rPr>
          <w:color w:val="000000"/>
        </w:rPr>
        <w:t>164</w:t>
      </w:r>
      <w:r w:rsidR="00B34390">
        <w:rPr>
          <w:color w:val="000000"/>
        </w:rPr>
        <w:t xml:space="preserve">. </w:t>
      </w:r>
      <w:r w:rsidRPr="00CC536B">
        <w:rPr>
          <w:color w:val="000000"/>
        </w:rPr>
        <w:t xml:space="preserve">Details regarding these estimates may be found in </w:t>
      </w:r>
      <w:r w:rsidR="0000526F" w:rsidRPr="00CC536B">
        <w:rPr>
          <w:color w:val="000000"/>
        </w:rPr>
        <w:t>T</w:t>
      </w:r>
      <w:r w:rsidRPr="00CC536B">
        <w:rPr>
          <w:color w:val="000000"/>
        </w:rPr>
        <w:t xml:space="preserve">ables </w:t>
      </w:r>
      <w:r w:rsidR="0000526F" w:rsidRPr="00CC536B">
        <w:rPr>
          <w:color w:val="000000"/>
        </w:rPr>
        <w:t>1</w:t>
      </w:r>
      <w:r w:rsidR="00500BDF" w:rsidRPr="00CC536B">
        <w:rPr>
          <w:color w:val="000000"/>
        </w:rPr>
        <w:t xml:space="preserve"> </w:t>
      </w:r>
      <w:r w:rsidR="00E77F00" w:rsidRPr="00CC536B">
        <w:rPr>
          <w:color w:val="000000"/>
        </w:rPr>
        <w:t xml:space="preserve">through </w:t>
      </w:r>
      <w:r w:rsidR="0000526F" w:rsidRPr="00CC536B">
        <w:rPr>
          <w:color w:val="000000"/>
        </w:rPr>
        <w:t>4</w:t>
      </w:r>
      <w:r w:rsidRPr="00CC536B">
        <w:rPr>
          <w:color w:val="000000"/>
        </w:rPr>
        <w:t xml:space="preserve"> </w:t>
      </w:r>
      <w:r w:rsidR="0000526F" w:rsidRPr="00CC536B">
        <w:rPr>
          <w:color w:val="000000"/>
        </w:rPr>
        <w:t>of</w:t>
      </w:r>
      <w:r w:rsidRPr="00CC536B">
        <w:rPr>
          <w:color w:val="000000"/>
        </w:rPr>
        <w:t xml:space="preserve"> </w:t>
      </w:r>
      <w:r w:rsidR="0000526F" w:rsidRPr="00CC536B">
        <w:rPr>
          <w:color w:val="000000"/>
        </w:rPr>
        <w:t>Attachment 2</w:t>
      </w:r>
      <w:r w:rsidR="00B34390">
        <w:rPr>
          <w:color w:val="000000"/>
        </w:rPr>
        <w:t xml:space="preserve">. </w:t>
      </w:r>
      <w:r w:rsidRPr="00CC536B">
        <w:rPr>
          <w:color w:val="000000"/>
        </w:rPr>
        <w:t xml:space="preserve">Furthermore, the annual public reporting and recordkeeping burden for this collection of information is estimated to </w:t>
      </w:r>
      <w:r w:rsidRPr="00CC536B">
        <w:t xml:space="preserve">average </w:t>
      </w:r>
      <w:r w:rsidR="00B34390">
        <w:t>7</w:t>
      </w:r>
      <w:r w:rsidR="00C20DDB">
        <w:t>0</w:t>
      </w:r>
      <w:r w:rsidR="005E0275">
        <w:t xml:space="preserve"> </w:t>
      </w:r>
      <w:r w:rsidRPr="00CC536B">
        <w:t>hours</w:t>
      </w:r>
      <w:r w:rsidRPr="00CC536B">
        <w:rPr>
          <w:color w:val="000000"/>
        </w:rPr>
        <w:t xml:space="preserve"> per response. </w:t>
      </w:r>
    </w:p>
    <w:p w:rsidR="0093035C" w:rsidRPr="00CC536B"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p>
    <w:p w:rsidR="0093035C" w:rsidRPr="00CC536B"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The total annual</w:t>
      </w:r>
      <w:r w:rsidR="00F21598">
        <w:rPr>
          <w:color w:val="000000"/>
        </w:rPr>
        <w:t>ized 3-year</w:t>
      </w:r>
      <w:r w:rsidRPr="00CC536B">
        <w:rPr>
          <w:color w:val="000000"/>
        </w:rPr>
        <w:t xml:space="preserve"> capital/startup and O&amp;M costs to the regulated entity </w:t>
      </w:r>
      <w:proofErr w:type="gramStart"/>
      <w:r w:rsidRPr="00CC536B">
        <w:rPr>
          <w:color w:val="000000"/>
        </w:rPr>
        <w:t>are</w:t>
      </w:r>
      <w:proofErr w:type="gramEnd"/>
      <w:r w:rsidRPr="00CC536B">
        <w:rPr>
          <w:color w:val="000000"/>
        </w:rPr>
        <w:t xml:space="preserve"> $</w:t>
      </w:r>
      <w:r w:rsidR="00B34390">
        <w:rPr>
          <w:color w:val="000000"/>
        </w:rPr>
        <w:t>4</w:t>
      </w:r>
      <w:r w:rsidR="00F21598">
        <w:rPr>
          <w:color w:val="000000"/>
        </w:rPr>
        <w:t>,656,752</w:t>
      </w:r>
      <w:r w:rsidR="00F628AC">
        <w:rPr>
          <w:color w:val="000000"/>
        </w:rPr>
        <w:t xml:space="preserve"> </w:t>
      </w:r>
      <w:r w:rsidR="009F3A9E">
        <w:rPr>
          <w:color w:val="000000"/>
        </w:rPr>
        <w:t>million.</w:t>
      </w:r>
      <w:r w:rsidRPr="00CC536B">
        <w:rPr>
          <w:color w:val="000000"/>
        </w:rPr>
        <w:t xml:space="preserve"> The cost calculations are detailed in Section 6(b</w:t>
      </w:r>
      <w:proofErr w:type="gramStart"/>
      <w:r w:rsidRPr="00CC536B">
        <w:rPr>
          <w:color w:val="000000"/>
        </w:rPr>
        <w:t>)(</w:t>
      </w:r>
      <w:proofErr w:type="gramEnd"/>
      <w:r w:rsidRPr="00CC536B">
        <w:rPr>
          <w:color w:val="000000"/>
        </w:rPr>
        <w:t>iii), Capital/Startup vs. Operation and Maintenance Costs.</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(ii) The Designated Administrator</w:t>
      </w:r>
      <w:r w:rsidR="0000526F" w:rsidRPr="00CC536B">
        <w:rPr>
          <w:b/>
        </w:rPr>
        <w:t xml:space="preserve"> Tally</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t xml:space="preserve">The average annual burden over the first </w:t>
      </w:r>
      <w:r w:rsidR="00E77F00" w:rsidRPr="00CC536B">
        <w:t>three </w:t>
      </w:r>
      <w:r w:rsidRPr="00CC536B">
        <w:t xml:space="preserve">years for the Designated Administrator would be </w:t>
      </w:r>
      <w:r w:rsidR="009F3A9E">
        <w:t>810</w:t>
      </w:r>
      <w:r w:rsidRPr="00CC536B">
        <w:t xml:space="preserve"> hours at a cost of $</w:t>
      </w:r>
      <w:r w:rsidR="009F3A9E">
        <w:t>37</w:t>
      </w:r>
      <w:r w:rsidR="00F21598">
        <w:t>,281</w:t>
      </w:r>
      <w:r w:rsidRPr="00CC536B">
        <w:t xml:space="preserve"> per year.</w:t>
      </w:r>
      <w:r w:rsidR="0000526F" w:rsidRPr="00CC536B">
        <w:t xml:space="preserve"> The Designated Administrator burden hours and costs are presented in Tables </w:t>
      </w:r>
      <w:r w:rsidR="00672461" w:rsidRPr="00CC536B">
        <w:t>5</w:t>
      </w:r>
      <w:r w:rsidR="0000526F" w:rsidRPr="00CC536B">
        <w:t xml:space="preserve"> through </w:t>
      </w:r>
      <w:r w:rsidR="00672461" w:rsidRPr="00CC536B">
        <w:t>8</w:t>
      </w:r>
      <w:r w:rsidR="0000526F" w:rsidRPr="00CC536B">
        <w:t xml:space="preserve"> of Attachment 3.</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CC536B">
        <w:rPr>
          <w:b/>
          <w:bCs/>
        </w:rPr>
        <w:t>6(f</w:t>
      </w:r>
      <w:proofErr w:type="gramStart"/>
      <w:r w:rsidRPr="00CC536B">
        <w:rPr>
          <w:b/>
          <w:bCs/>
        </w:rPr>
        <w:t>)  Reasons</w:t>
      </w:r>
      <w:proofErr w:type="gramEnd"/>
      <w:r w:rsidRPr="00CC536B">
        <w:rPr>
          <w:b/>
          <w:bCs/>
        </w:rPr>
        <w:t xml:space="preserve"> for change in burden</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3E546E" w:rsidRDefault="003E546E" w:rsidP="003E546E">
      <w:pPr>
        <w:pBdr>
          <w:top w:val="single" w:sz="6" w:space="0" w:color="FFFFFF"/>
          <w:left w:val="single" w:sz="6" w:space="0" w:color="FFFFFF"/>
          <w:bottom w:val="single" w:sz="6" w:space="0" w:color="FFFFFF"/>
          <w:right w:val="single" w:sz="6" w:space="0" w:color="FFFFFF"/>
        </w:pBdr>
        <w:ind w:firstLine="720"/>
        <w:rPr>
          <w:rFonts w:cs="Courier New"/>
        </w:rPr>
      </w:pPr>
      <w:r w:rsidRPr="00CC536B">
        <w:rPr>
          <w:rFonts w:cs="Courier New"/>
        </w:rPr>
        <w:t xml:space="preserve">Since this rule was vacated by the courts, this ICR treats these burden estimates as new burdens and the burden is not compared to previous burden estimates made for the vacated rule. </w:t>
      </w:r>
    </w:p>
    <w:p w:rsidR="00E2626F" w:rsidRDefault="00E2626F" w:rsidP="00F50A24">
      <w:pPr>
        <w:pBdr>
          <w:top w:val="single" w:sz="6" w:space="0" w:color="FFFFFF"/>
          <w:left w:val="single" w:sz="6" w:space="0" w:color="FFFFFF"/>
          <w:bottom w:val="single" w:sz="6" w:space="0" w:color="FFFFFF"/>
          <w:right w:val="single" w:sz="6" w:space="0" w:color="FFFFFF"/>
        </w:pBdr>
        <w:ind w:firstLine="720"/>
        <w:rPr>
          <w:rFonts w:cs="Courier New"/>
        </w:rPr>
      </w:pPr>
    </w:p>
    <w:p w:rsidR="00F50A24" w:rsidRPr="004E6F13" w:rsidRDefault="00F50A24" w:rsidP="00F50A24">
      <w:pPr>
        <w:pBdr>
          <w:top w:val="single" w:sz="6" w:space="0" w:color="FFFFFF"/>
          <w:left w:val="single" w:sz="6" w:space="0" w:color="FFFFFF"/>
          <w:bottom w:val="single" w:sz="6" w:space="0" w:color="FFFFFF"/>
          <w:right w:val="single" w:sz="6" w:space="0" w:color="FFFFFF"/>
        </w:pBdr>
        <w:ind w:firstLine="720"/>
      </w:pPr>
      <w:r w:rsidRPr="009769D3">
        <w:rPr>
          <w:rFonts w:cs="Courier New"/>
        </w:rPr>
        <w:t xml:space="preserve">The </w:t>
      </w:r>
      <w:r>
        <w:rPr>
          <w:rFonts w:cs="Courier New"/>
        </w:rPr>
        <w:t>decrease</w:t>
      </w:r>
      <w:r w:rsidRPr="009769D3">
        <w:rPr>
          <w:rFonts w:cs="Courier New"/>
        </w:rPr>
        <w:t xml:space="preserve"> in burden from the proposal ICR to this final ICR is due to changes in the rule and </w:t>
      </w:r>
      <w:r>
        <w:rPr>
          <w:rFonts w:cs="Courier New"/>
        </w:rPr>
        <w:t>removing area sources from the burden estimates of this ICR</w:t>
      </w:r>
      <w:r w:rsidR="00E2626F">
        <w:rPr>
          <w:rFonts w:cs="Courier New"/>
        </w:rPr>
        <w:t>.</w:t>
      </w:r>
      <w:r>
        <w:rPr>
          <w:rFonts w:cs="Courier New"/>
        </w:rPr>
        <w:t xml:space="preserve"> </w:t>
      </w:r>
      <w:r w:rsidR="00E2626F">
        <w:rPr>
          <w:rFonts w:cs="Courier New"/>
        </w:rPr>
        <w:t xml:space="preserve"> </w:t>
      </w:r>
      <w:r>
        <w:rPr>
          <w:rFonts w:cs="Courier New"/>
        </w:rPr>
        <w:t>Two facilities that were included in the proposed ICR are now shown in the area source ICR</w:t>
      </w:r>
      <w:r w:rsidR="00E2626F">
        <w:rPr>
          <w:rFonts w:cs="Courier New"/>
        </w:rPr>
        <w:t xml:space="preserve"> (see ICR 2454.01)</w:t>
      </w:r>
      <w:r>
        <w:rPr>
          <w:rFonts w:cs="Courier New"/>
        </w:rPr>
        <w:t xml:space="preserve">.  </w:t>
      </w:r>
      <w:r w:rsidR="009E2366">
        <w:rPr>
          <w:rFonts w:cs="Courier New"/>
        </w:rPr>
        <w:t>Additionally, s</w:t>
      </w:r>
      <w:r w:rsidR="00BE21E9">
        <w:rPr>
          <w:rFonts w:cs="Courier New"/>
        </w:rPr>
        <w:t>ome monitoring and r</w:t>
      </w:r>
      <w:r w:rsidR="009E2366">
        <w:rPr>
          <w:rFonts w:cs="Courier New"/>
        </w:rPr>
        <w:t>ecordkeeping requirements were modified</w:t>
      </w:r>
      <w:r w:rsidR="00BE21E9">
        <w:rPr>
          <w:rFonts w:cs="Courier New"/>
        </w:rPr>
        <w:t xml:space="preserve"> between proposed and final rules</w:t>
      </w:r>
      <w:r w:rsidR="00C2391E">
        <w:rPr>
          <w:rFonts w:cs="Courier New"/>
        </w:rPr>
        <w:t>, and there were</w:t>
      </w:r>
      <w:r w:rsidR="009E2366">
        <w:rPr>
          <w:rFonts w:cs="Courier New"/>
        </w:rPr>
        <w:t xml:space="preserve"> </w:t>
      </w:r>
      <w:r w:rsidR="00C2391E">
        <w:rPr>
          <w:rFonts w:cs="Courier New"/>
        </w:rPr>
        <w:t xml:space="preserve">also </w:t>
      </w:r>
      <w:r w:rsidR="009E2366">
        <w:rPr>
          <w:rFonts w:cs="Courier New"/>
        </w:rPr>
        <w:t>changes to the emission limits between the proposed and final rule</w:t>
      </w:r>
      <w:r w:rsidR="00C2391E">
        <w:rPr>
          <w:rFonts w:cs="Courier New"/>
        </w:rPr>
        <w:t>. A</w:t>
      </w:r>
      <w:r w:rsidR="009E2366">
        <w:rPr>
          <w:rFonts w:cs="Courier New"/>
        </w:rPr>
        <w:t xml:space="preserve"> smaller number of </w:t>
      </w:r>
      <w:r w:rsidR="00C2391E">
        <w:rPr>
          <w:rFonts w:cs="Courier New"/>
        </w:rPr>
        <w:t>facilities</w:t>
      </w:r>
      <w:r w:rsidR="009E2366">
        <w:rPr>
          <w:rFonts w:cs="Courier New"/>
        </w:rPr>
        <w:t xml:space="preserve"> are expected to require</w:t>
      </w:r>
      <w:r w:rsidR="00C2391E">
        <w:rPr>
          <w:rFonts w:cs="Courier New"/>
        </w:rPr>
        <w:t xml:space="preserve"> additional capital equipment to meet the final emission limits</w:t>
      </w:r>
      <w:r w:rsidR="009E2366">
        <w:rPr>
          <w:rFonts w:cs="Courier New"/>
        </w:rPr>
        <w:t xml:space="preserve">, which reduces the estimated costs of this ICR.  However, despite small increases </w:t>
      </w:r>
      <w:r w:rsidR="00C2391E">
        <w:rPr>
          <w:rFonts w:cs="Courier New"/>
        </w:rPr>
        <w:t>some</w:t>
      </w:r>
      <w:r w:rsidR="009E2366">
        <w:rPr>
          <w:rFonts w:cs="Courier New"/>
        </w:rPr>
        <w:t xml:space="preserve"> recordkeeping burden line items for this final rule, the overall burden </w:t>
      </w:r>
      <w:r w:rsidR="00C2391E">
        <w:rPr>
          <w:rFonts w:cs="Courier New"/>
        </w:rPr>
        <w:t xml:space="preserve">has </w:t>
      </w:r>
      <w:r w:rsidR="009E2366">
        <w:rPr>
          <w:rFonts w:cs="Courier New"/>
        </w:rPr>
        <w:t>decreased</w:t>
      </w:r>
      <w:r w:rsidR="00503388">
        <w:rPr>
          <w:rFonts w:cs="Courier New"/>
        </w:rPr>
        <w:t xml:space="preserve"> since proposal</w:t>
      </w:r>
      <w:r w:rsidR="009E2366">
        <w:rPr>
          <w:rFonts w:cs="Courier New"/>
        </w:rPr>
        <w:t xml:space="preserve">. </w:t>
      </w:r>
      <w:r w:rsidR="00F10C25">
        <w:rPr>
          <w:rFonts w:cs="Courier New"/>
        </w:rPr>
        <w:t xml:space="preserve"> </w:t>
      </w:r>
    </w:p>
    <w:p w:rsidR="00CE23D4" w:rsidRPr="008A2E3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95452" w:rsidRPr="008A2E38" w:rsidRDefault="00C95452" w:rsidP="00C95452">
      <w:pPr>
        <w:pBdr>
          <w:top w:val="single" w:sz="6" w:space="0" w:color="FFFFFF"/>
          <w:left w:val="single" w:sz="6" w:space="0" w:color="FFFFFF"/>
          <w:bottom w:val="single" w:sz="6" w:space="0" w:color="FFFFFF"/>
          <w:right w:val="single" w:sz="6" w:space="0" w:color="FFFFFF"/>
        </w:pBdr>
        <w:ind w:firstLine="720"/>
      </w:pPr>
      <w:r w:rsidRPr="008A2E38">
        <w:lastRenderedPageBreak/>
        <w:t>To provide the public with an estimate of the relative magnitude of the burden associated with a source asserting an affirmative defense position</w:t>
      </w:r>
      <w:r w:rsidR="001E7179">
        <w:t xml:space="preserve"> </w:t>
      </w:r>
      <w:r w:rsidR="001E7179" w:rsidRPr="001535ED">
        <w:rPr>
          <w:rFonts w:cs="Courier New"/>
          <w:bCs/>
        </w:rPr>
        <w:t>(for those not already regulated under the part 61 NESHAP)</w:t>
      </w:r>
      <w:r w:rsidRPr="008A2E38">
        <w:t xml:space="preserve">, </w:t>
      </w:r>
      <w:r w:rsidR="009F3A9E">
        <w:t xml:space="preserve">the </w:t>
      </w:r>
      <w:r w:rsidRPr="008A2E38">
        <w:t>EPA is providing an administ</w:t>
      </w:r>
      <w:r w:rsidR="009F3A9E">
        <w:t xml:space="preserve">rative adjustment to this ICR. </w:t>
      </w:r>
      <w:r w:rsidRPr="008A2E38">
        <w:t>The adjustment shows the notification, recordkeeping and reporting requirements associated with the asserti</w:t>
      </w:r>
      <w:r w:rsidR="009F3A9E">
        <w:t xml:space="preserve">on of the affirmative defense. </w:t>
      </w:r>
      <w:r w:rsidRPr="008A2E38">
        <w:t xml:space="preserve">This illustrative example does not result in an increase in the burden for this rule. </w:t>
      </w:r>
      <w:r w:rsidR="009F3A9E">
        <w:t>The</w:t>
      </w:r>
      <w:r w:rsidR="008A2E38" w:rsidRPr="008A2E38">
        <w:t xml:space="preserve"> </w:t>
      </w:r>
      <w:r w:rsidRPr="008A2E38">
        <w:t xml:space="preserve">EPA provides this estimate of the burden because these costs are only incurred if the source believes that there has been a violation, and chooses to take advantage of the affirmative defense. </w:t>
      </w:r>
    </w:p>
    <w:p w:rsidR="00C95452" w:rsidRPr="008A2E38" w:rsidRDefault="00C9545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CC536B">
        <w:rPr>
          <w:b/>
          <w:bCs/>
        </w:rPr>
        <w:t>6(g</w:t>
      </w:r>
      <w:proofErr w:type="gramStart"/>
      <w:r w:rsidRPr="00CC536B">
        <w:rPr>
          <w:b/>
          <w:bCs/>
        </w:rPr>
        <w:t>)  Burden</w:t>
      </w:r>
      <w:proofErr w:type="gramEnd"/>
      <w:r w:rsidRPr="00CC536B">
        <w:rPr>
          <w:b/>
          <w:bCs/>
        </w:rPr>
        <w:t xml:space="preserve"> Statement</w:t>
      </w:r>
    </w:p>
    <w:p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rPr>
          <w:color w:val="000000"/>
        </w:rPr>
        <w:t xml:space="preserve">The annual public reporting and recordkeeping burden for this collection of information </w:t>
      </w:r>
      <w:r w:rsidRPr="00CC536B">
        <w:t xml:space="preserve">is estimated to be </w:t>
      </w:r>
      <w:r w:rsidR="009F3A9E">
        <w:t>7</w:t>
      </w:r>
      <w:r w:rsidR="00C20DDB">
        <w:t>0</w:t>
      </w:r>
      <w:r w:rsidR="00F628AC" w:rsidRPr="00CC536B">
        <w:t xml:space="preserve"> </w:t>
      </w:r>
      <w:r w:rsidRPr="00CC536B">
        <w:t>hours per response. Burden means total time, effort, or financial resources expended by persons to generate, maintain, retain, or disclose or provide information to o</w:t>
      </w:r>
      <w:r w:rsidR="009F3A9E">
        <w:t xml:space="preserve">r for a Federal agency. </w:t>
      </w:r>
      <w:r w:rsidRPr="00934778">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 </w:t>
      </w: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An agency may not conduct or sponsor, and a person is not required to respond to, a collection of information unless it displays a currently vali</w:t>
      </w:r>
      <w:r w:rsidR="009F3A9E">
        <w:t xml:space="preserve">d OMB control number. </w:t>
      </w:r>
      <w:r w:rsidR="0090550A">
        <w:t>The OMB Control N</w:t>
      </w:r>
      <w:r w:rsidRPr="00934778">
        <w:t>umbers for EPA regulations are listed in 40 CFR part 9 and 48 CFR chapter 15.</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ind w:firstLine="720"/>
      </w:pPr>
      <w:r w:rsidRPr="00934778">
        <w:t xml:space="preserve">To comment on the </w:t>
      </w:r>
      <w:r w:rsidR="00B34390">
        <w:t>a</w:t>
      </w:r>
      <w:r w:rsidRPr="00934778">
        <w:t xml:space="preserve">gency's need for this information, the accuracy of the provided burden estimates, and any suggested methods for minimizing respondent burden, including the use of automated </w:t>
      </w:r>
      <w:r w:rsidRPr="000B3497">
        <w:t xml:space="preserve">collection techniques, </w:t>
      </w:r>
      <w:r w:rsidR="009F3A9E">
        <w:t xml:space="preserve">the </w:t>
      </w:r>
      <w:r w:rsidRPr="000B3497">
        <w:t xml:space="preserve">EPA has established a public docket for this ICR under Docket ID Number </w:t>
      </w:r>
      <w:r w:rsidR="00672461" w:rsidRPr="00672461">
        <w:rPr>
          <w:bCs/>
        </w:rPr>
        <w:t>EPA-HQ-OAR-2002</w:t>
      </w:r>
      <w:r w:rsidR="00672461" w:rsidRPr="00672461">
        <w:rPr>
          <w:bCs/>
        </w:rPr>
        <w:noBreakHyphen/>
        <w:t>0037</w:t>
      </w:r>
      <w:r w:rsidRPr="000B3497">
        <w:rPr>
          <w:bCs/>
        </w:rPr>
        <w:t>.</w:t>
      </w:r>
      <w:r w:rsidRPr="000B3497">
        <w:rPr>
          <w:color w:val="FF0000"/>
        </w:rPr>
        <w:t xml:space="preserve"> </w:t>
      </w:r>
      <w:r w:rsidRPr="000B3497">
        <w:t>An electronic version of the public docket is available at http://www.regulations.gov/ which</w:t>
      </w:r>
      <w:r w:rsidRPr="00934778">
        <w:t xml:space="preserve"> may be used to obtain a copy of the draft collection of information, submit or view public comments, access the index listing of the contents of the docket, and to access those documents in the public docket that</w:t>
      </w:r>
      <w:r w:rsidR="009F3A9E">
        <w:t xml:space="preserve"> are available electronically. </w:t>
      </w:r>
      <w:r w:rsidRPr="00934778">
        <w:t>When in the system</w:t>
      </w:r>
      <w:r w:rsidRPr="00934778">
        <w:rPr>
          <w:rStyle w:val="1"/>
        </w:rPr>
        <w:t>, select “search,” then key in the docket ID numbe</w:t>
      </w:r>
      <w:r w:rsidR="009F3A9E">
        <w:rPr>
          <w:rStyle w:val="1"/>
        </w:rPr>
        <w:t xml:space="preserve">r identified in this document. </w:t>
      </w:r>
      <w:r w:rsidRPr="00934778">
        <w:rPr>
          <w:rStyle w:val="1"/>
        </w:rPr>
        <w:t xml:space="preserve">The documents are also </w:t>
      </w:r>
      <w:r w:rsidRPr="00934778">
        <w:t xml:space="preserve">available for public viewing at the Enforcement and Compliance Docket and </w:t>
      </w:r>
      <w:smartTag w:uri="urn:schemas-microsoft-com:office:smarttags" w:element="PlaceName">
        <w:r w:rsidRPr="00934778">
          <w:t>Information</w:t>
        </w:r>
      </w:smartTag>
      <w:r w:rsidRPr="00934778">
        <w:t xml:space="preserve"> </w:t>
      </w:r>
      <w:smartTag w:uri="urn:schemas-microsoft-com:office:smarttags" w:element="PlaceType">
        <w:r w:rsidRPr="00934778">
          <w:t>Center</w:t>
        </w:r>
      </w:smartTag>
      <w:r w:rsidRPr="00934778">
        <w:t xml:space="preserve"> in the </w:t>
      </w:r>
      <w:smartTag w:uri="urn:schemas-microsoft-com:office:smarttags" w:element="place">
        <w:smartTag w:uri="urn:schemas-microsoft-com:office:smarttags" w:element="PlaceName">
          <w:r w:rsidRPr="00934778">
            <w:t>EPA</w:t>
          </w:r>
        </w:smartTag>
        <w:r w:rsidRPr="00934778">
          <w:t xml:space="preserve"> </w:t>
        </w:r>
        <w:smartTag w:uri="urn:schemas-microsoft-com:office:smarttags" w:element="PlaceName">
          <w:r w:rsidRPr="00934778">
            <w:t>Docket</w:t>
          </w:r>
        </w:smartTag>
        <w:r w:rsidRPr="00934778">
          <w:t xml:space="preserve"> </w:t>
        </w:r>
        <w:smartTag w:uri="urn:schemas-microsoft-com:office:smarttags" w:element="PlaceType">
          <w:r w:rsidRPr="00934778">
            <w:t>Center</w:t>
          </w:r>
        </w:smartTag>
      </w:smartTag>
      <w:r w:rsidRPr="00934778">
        <w:t xml:space="preserve"> (EPA/DC), EPA West, Room 3334, </w:t>
      </w:r>
      <w:smartTag w:uri="urn:schemas-microsoft-com:office:smarttags" w:element="address">
        <w:smartTag w:uri="urn:schemas-microsoft-com:office:smarttags" w:element="Street">
          <w:r w:rsidRPr="00934778">
            <w:t>1301 Constitution Ave., NW</w:t>
          </w:r>
        </w:smartTag>
        <w:r w:rsidRPr="00934778">
          <w:t xml:space="preserve">, </w:t>
        </w:r>
        <w:smartTag w:uri="urn:schemas-microsoft-com:office:smarttags" w:element="City">
          <w:r w:rsidRPr="00934778">
            <w:t>Washington</w:t>
          </w:r>
        </w:smartTag>
        <w:r w:rsidRPr="00934778">
          <w:t xml:space="preserve">, </w:t>
        </w:r>
        <w:smartTag w:uri="urn:schemas-microsoft-com:office:smarttags" w:element="State">
          <w:r w:rsidRPr="00934778">
            <w:t>DC</w:t>
          </w:r>
        </w:smartTag>
      </w:smartTag>
      <w:r w:rsidR="009F3A9E">
        <w:t xml:space="preserve">. </w:t>
      </w:r>
      <w:r w:rsidRPr="00934778">
        <w:t>The EPA Docket Center Public Reading Room is open from 8:30 a.m. to 4:30 p.m., Monday through Friday,</w:t>
      </w:r>
      <w:r w:rsidR="009F3A9E">
        <w:t xml:space="preserve"> excluding legal holidays. </w:t>
      </w:r>
      <w:r w:rsidRPr="00934778">
        <w:t>The telephone number for the Reading Room is (202) 566-1744, and the telephone number for the do</w:t>
      </w:r>
      <w:r w:rsidR="009F3A9E">
        <w:t xml:space="preserve">cket center is (202) 566-1927. </w:t>
      </w:r>
      <w:r w:rsidRPr="00934778">
        <w:t xml:space="preserve">Also, you can send comments to the Office of </w:t>
      </w:r>
      <w:r w:rsidRPr="000B3497">
        <w:t xml:space="preserve">Information and Regulatory Affairs, Office of Management and Budget, </w:t>
      </w:r>
      <w:smartTag w:uri="urn:schemas-microsoft-com:office:smarttags" w:element="address">
        <w:smartTag w:uri="urn:schemas-microsoft-com:office:smarttags" w:element="Street">
          <w:r w:rsidRPr="000B3497">
            <w:t>725 17th Street, NW</w:t>
          </w:r>
        </w:smartTag>
        <w:r w:rsidRPr="000B3497">
          <w:t xml:space="preserve">, </w:t>
        </w:r>
        <w:smartTag w:uri="urn:schemas-microsoft-com:office:smarttags" w:element="City">
          <w:r w:rsidRPr="000B3497">
            <w:t>Washington</w:t>
          </w:r>
        </w:smartTag>
        <w:r w:rsidRPr="000B3497">
          <w:t xml:space="preserve">, </w:t>
        </w:r>
        <w:smartTag w:uri="urn:schemas-microsoft-com:office:smarttags" w:element="State">
          <w:r w:rsidRPr="000B3497">
            <w:t>DC</w:t>
          </w:r>
        </w:smartTag>
        <w:r w:rsidRPr="000B3497">
          <w:t xml:space="preserve"> </w:t>
        </w:r>
        <w:smartTag w:uri="urn:schemas-microsoft-com:office:smarttags" w:element="PostalCode">
          <w:r w:rsidRPr="000B3497">
            <w:t>20503</w:t>
          </w:r>
        </w:smartTag>
      </w:smartTag>
      <w:r w:rsidRPr="000B3497">
        <w:t>, At</w:t>
      </w:r>
      <w:r w:rsidR="009F3A9E">
        <w:t xml:space="preserve">tention: Desk Officer for EPA. </w:t>
      </w:r>
      <w:r w:rsidRPr="000B3497">
        <w:t xml:space="preserve">Please include the EPA Docket ID Number </w:t>
      </w:r>
      <w:r w:rsidR="00672461" w:rsidRPr="00672461">
        <w:rPr>
          <w:bCs/>
        </w:rPr>
        <w:t>EPA-HQ-OAR-2002</w:t>
      </w:r>
      <w:r w:rsidRPr="00672461">
        <w:rPr>
          <w:bCs/>
        </w:rPr>
        <w:noBreakHyphen/>
        <w:t>0</w:t>
      </w:r>
      <w:r w:rsidR="00672461" w:rsidRPr="00672461">
        <w:rPr>
          <w:bCs/>
        </w:rPr>
        <w:t>037</w:t>
      </w:r>
      <w:r w:rsidRPr="000B3497">
        <w:rPr>
          <w:bCs/>
        </w:rPr>
        <w:t xml:space="preserve"> </w:t>
      </w:r>
      <w:r w:rsidR="00F21598">
        <w:rPr>
          <w:bCs/>
        </w:rPr>
        <w:t xml:space="preserve">and OMB Control Number 2060-NEW </w:t>
      </w:r>
      <w:r w:rsidRPr="000B3497">
        <w:t>in any</w:t>
      </w:r>
      <w:r w:rsidRPr="00934778">
        <w:t xml:space="preserve"> correspondence. </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RDefault="00CE23D4" w:rsidP="00CE23D4">
      <w:pPr>
        <w:widowControl/>
        <w:tabs>
          <w:tab w:val="center" w:pos="4320"/>
          <w:tab w:val="left" w:pos="5040"/>
          <w:tab w:val="left" w:pos="5760"/>
          <w:tab w:val="left" w:pos="6480"/>
          <w:tab w:val="left" w:pos="7200"/>
          <w:tab w:val="left" w:pos="7920"/>
          <w:tab w:val="left" w:pos="8640"/>
        </w:tabs>
      </w:pPr>
      <w:r w:rsidRPr="00934778">
        <w:tab/>
      </w:r>
    </w:p>
    <w:p w:rsidR="00CE23D4" w:rsidRPr="00934778" w:rsidRDefault="00CE23D4" w:rsidP="00CE23D4">
      <w:pPr>
        <w:widowControl/>
        <w:tabs>
          <w:tab w:val="center" w:pos="4320"/>
          <w:tab w:val="left" w:pos="5040"/>
          <w:tab w:val="left" w:pos="5760"/>
          <w:tab w:val="left" w:pos="6480"/>
          <w:tab w:val="left" w:pos="7200"/>
          <w:tab w:val="left" w:pos="7920"/>
          <w:tab w:val="left" w:pos="8640"/>
        </w:tabs>
        <w:jc w:val="center"/>
        <w:rPr>
          <w:b/>
        </w:rPr>
      </w:pPr>
      <w:r w:rsidRPr="00934778">
        <w:br w:type="page"/>
      </w:r>
      <w:r w:rsidRPr="00934778">
        <w:rPr>
          <w:b/>
        </w:rPr>
        <w:lastRenderedPageBreak/>
        <w:t>PART B OF THE SUPPORTING STATEMENT</w:t>
      </w:r>
    </w:p>
    <w:p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section is not applicable because statistical methods are not used in data collection associated with </w:t>
      </w:r>
      <w:r w:rsidRPr="007473C2">
        <w:t>this regulation.</w:t>
      </w:r>
    </w:p>
    <w:p w:rsidR="009E4310" w:rsidRPr="007473C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4" w:type="dxa"/>
          <w:right w:w="124" w:type="dxa"/>
        </w:tblCellMar>
        <w:tblLook w:val="0000"/>
      </w:tblPr>
      <w:tblGrid>
        <w:gridCol w:w="6234"/>
        <w:gridCol w:w="2418"/>
      </w:tblGrid>
      <w:tr w:rsidR="009E4310" w:rsidRPr="007473C2" w:rsidTr="004D4D40">
        <w:trPr>
          <w:cantSplit/>
          <w:trHeight w:val="926"/>
          <w:tblHeader/>
          <w:jc w:val="center"/>
        </w:trPr>
        <w:tc>
          <w:tcPr>
            <w:tcW w:w="8652" w:type="dxa"/>
            <w:gridSpan w:val="2"/>
            <w:tcBorders>
              <w:top w:val="nil"/>
              <w:left w:val="nil"/>
              <w:right w:val="nil"/>
            </w:tcBorders>
          </w:tcPr>
          <w:p w:rsidR="009E4310" w:rsidRPr="00666A77" w:rsidRDefault="009E4310" w:rsidP="00EC141F">
            <w:pPr>
              <w:widowControl/>
              <w:tabs>
                <w:tab w:val="center" w:pos="4320"/>
                <w:tab w:val="left" w:pos="5040"/>
                <w:tab w:val="left" w:pos="5760"/>
                <w:tab w:val="left" w:pos="6480"/>
                <w:tab w:val="left" w:pos="7200"/>
                <w:tab w:val="left" w:pos="7920"/>
                <w:tab w:val="left" w:pos="8640"/>
              </w:tabs>
              <w:jc w:val="center"/>
            </w:pPr>
            <w:r w:rsidRPr="00666A77">
              <w:br w:type="page"/>
              <w:t>ATTACHMENT 1</w:t>
            </w:r>
          </w:p>
          <w:p w:rsidR="009E4310" w:rsidRPr="00666A77" w:rsidRDefault="009E4310" w:rsidP="00EC14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310" w:rsidRPr="00666A77" w:rsidRDefault="009E4310" w:rsidP="00EC141F">
            <w:pPr>
              <w:widowControl/>
              <w:tabs>
                <w:tab w:val="center" w:pos="4320"/>
                <w:tab w:val="left" w:pos="5040"/>
                <w:tab w:val="left" w:pos="5760"/>
                <w:tab w:val="left" w:pos="6480"/>
                <w:tab w:val="left" w:pos="7200"/>
                <w:tab w:val="left" w:pos="7920"/>
                <w:tab w:val="left" w:pos="8640"/>
              </w:tabs>
              <w:jc w:val="center"/>
            </w:pPr>
            <w:r w:rsidRPr="00666A77">
              <w:t>SOURCE DATA AND INFORMATION REQUIREMENTS</w:t>
            </w:r>
          </w:p>
        </w:tc>
      </w:tr>
      <w:tr w:rsidR="009E4310" w:rsidRPr="007473C2" w:rsidTr="004D4D40">
        <w:trPr>
          <w:cantSplit/>
          <w:trHeight w:val="1191"/>
          <w:tblHeader/>
          <w:jc w:val="center"/>
        </w:trPr>
        <w:tc>
          <w:tcPr>
            <w:tcW w:w="6234" w:type="dxa"/>
          </w:tcPr>
          <w:p w:rsidR="009E4310" w:rsidRPr="00666A77" w:rsidRDefault="009E4310" w:rsidP="00EC141F"/>
          <w:p w:rsidR="009E4310" w:rsidRPr="00666A77" w:rsidRDefault="009E4310" w:rsidP="00EC14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4310" w:rsidRPr="00666A77" w:rsidRDefault="009E4310" w:rsidP="00EC14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Requirement</w:t>
            </w:r>
          </w:p>
        </w:tc>
        <w:tc>
          <w:tcPr>
            <w:tcW w:w="2418" w:type="dxa"/>
          </w:tcPr>
          <w:p w:rsidR="009E4310" w:rsidRPr="00666A77" w:rsidRDefault="009E4310" w:rsidP="00EC141F"/>
          <w:p w:rsidR="009E4310" w:rsidRPr="00666A77" w:rsidRDefault="009E4310" w:rsidP="00EC14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40 CFR</w:t>
            </w:r>
          </w:p>
          <w:p w:rsidR="009E4310" w:rsidRPr="00666A77" w:rsidRDefault="009E4310" w:rsidP="00EC14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63 Subpart HHHHHHH</w:t>
            </w:r>
          </w:p>
        </w:tc>
      </w:tr>
      <w:tr w:rsidR="004D4D40" w:rsidRPr="00D966EF" w:rsidTr="004D4D40">
        <w:trPr>
          <w:cantSplit/>
          <w:trHeight w:val="904"/>
          <w:jc w:val="center"/>
        </w:trPr>
        <w:tc>
          <w:tcPr>
            <w:tcW w:w="8652" w:type="dxa"/>
            <w:gridSpan w:val="2"/>
            <w:vAlign w:val="center"/>
          </w:tcPr>
          <w:p w:rsidR="004D4D40" w:rsidRPr="004D4D40" w:rsidRDefault="004D4D40" w:rsidP="004D4D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4D4D40">
              <w:rPr>
                <w:b/>
              </w:rPr>
              <w:t>Recordkeeping</w:t>
            </w:r>
          </w:p>
        </w:tc>
      </w:tr>
      <w:tr w:rsidR="009F0F2D" w:rsidRPr="00D966EF" w:rsidTr="004D4D40">
        <w:trPr>
          <w:cantSplit/>
          <w:trHeight w:val="609"/>
          <w:jc w:val="center"/>
        </w:trPr>
        <w:tc>
          <w:tcPr>
            <w:tcW w:w="6234" w:type="dxa"/>
          </w:tcPr>
          <w:p w:rsidR="009F0F2D" w:rsidRPr="00666A77"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66A77">
              <w:t>A copy of each notification and report submitted to comply with this subpart</w:t>
            </w:r>
          </w:p>
        </w:tc>
        <w:tc>
          <w:tcPr>
            <w:tcW w:w="2418" w:type="dxa"/>
          </w:tcPr>
          <w:p w:rsidR="009F0F2D" w:rsidRPr="00666A77"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w:t>
            </w:r>
            <w:r>
              <w:t>3</w:t>
            </w:r>
            <w:r w:rsidRPr="00666A77">
              <w:t>.</w:t>
            </w:r>
            <w:r>
              <w:t>11990</w:t>
            </w:r>
            <w:r w:rsidRPr="00666A77">
              <w:t>(a)</w:t>
            </w:r>
          </w:p>
        </w:tc>
      </w:tr>
      <w:tr w:rsidR="009F0F2D" w:rsidRPr="00D966EF" w:rsidTr="004D4D40">
        <w:trPr>
          <w:cantSplit/>
          <w:trHeight w:val="418"/>
          <w:jc w:val="center"/>
        </w:trPr>
        <w:tc>
          <w:tcPr>
            <w:tcW w:w="6234" w:type="dxa"/>
          </w:tcPr>
          <w:p w:rsidR="009F0F2D" w:rsidRPr="00D966EF" w:rsidRDefault="009F0F2D" w:rsidP="00E37F47">
            <w:pPr>
              <w:widowControl/>
              <w:tabs>
                <w:tab w:val="left" w:pos="0"/>
                <w:tab w:val="left" w:pos="720"/>
                <w:tab w:val="left" w:pos="1440"/>
                <w:tab w:val="left" w:pos="2160"/>
                <w:tab w:val="left" w:pos="4140"/>
              </w:tabs>
            </w:pPr>
            <w:r w:rsidRPr="00D966EF">
              <w:t xml:space="preserve">Records of </w:t>
            </w:r>
            <w:r>
              <w:t>storage vessels</w:t>
            </w:r>
            <w:r>
              <w:tab/>
            </w:r>
          </w:p>
        </w:tc>
        <w:tc>
          <w:tcPr>
            <w:tcW w:w="2418" w:type="dxa"/>
          </w:tcPr>
          <w:p w:rsidR="009F0F2D" w:rsidRPr="00666A77"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w:t>
            </w:r>
            <w:r>
              <w:t>3</w:t>
            </w:r>
            <w:r w:rsidRPr="00666A77">
              <w:t>.</w:t>
            </w:r>
            <w:r>
              <w:t>11990</w:t>
            </w:r>
            <w:r w:rsidRPr="00666A77">
              <w:t>(</w:t>
            </w:r>
            <w:r>
              <w:t>b</w:t>
            </w:r>
            <w:r w:rsidRPr="00666A77">
              <w:t>)</w:t>
            </w:r>
          </w:p>
        </w:tc>
      </w:tr>
      <w:tr w:rsidR="009F0F2D" w:rsidRPr="00D966EF" w:rsidTr="004D4D40">
        <w:trPr>
          <w:cantSplit/>
          <w:trHeight w:val="448"/>
          <w:jc w:val="center"/>
        </w:trPr>
        <w:tc>
          <w:tcPr>
            <w:tcW w:w="6234" w:type="dxa"/>
          </w:tcPr>
          <w:p w:rsidR="009F0F2D" w:rsidRPr="00D966EF"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Records of equipment leaks</w:t>
            </w:r>
          </w:p>
        </w:tc>
        <w:tc>
          <w:tcPr>
            <w:tcW w:w="2418" w:type="dxa"/>
          </w:tcPr>
          <w:p w:rsidR="009F0F2D" w:rsidRPr="00666A77"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w:t>
            </w:r>
            <w:r>
              <w:t>3</w:t>
            </w:r>
            <w:r w:rsidRPr="00666A77">
              <w:t>.</w:t>
            </w:r>
            <w:r>
              <w:t>11990</w:t>
            </w:r>
            <w:r w:rsidRPr="00666A77">
              <w:t>(</w:t>
            </w:r>
            <w:r>
              <w:t>c</w:t>
            </w:r>
            <w:r w:rsidRPr="00666A77">
              <w:t>)</w:t>
            </w:r>
          </w:p>
        </w:tc>
      </w:tr>
      <w:tr w:rsidR="009F0F2D" w:rsidRPr="00470B42" w:rsidTr="004D4D40">
        <w:trPr>
          <w:cantSplit/>
          <w:trHeight w:val="477"/>
          <w:jc w:val="center"/>
        </w:trPr>
        <w:tc>
          <w:tcPr>
            <w:tcW w:w="6234" w:type="dxa"/>
          </w:tcPr>
          <w:p w:rsidR="009F0F2D" w:rsidRPr="00D966EF"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Records of heat exchanger systems</w:t>
            </w:r>
          </w:p>
        </w:tc>
        <w:tc>
          <w:tcPr>
            <w:tcW w:w="2418" w:type="dxa"/>
          </w:tcPr>
          <w:p w:rsidR="009F0F2D" w:rsidRPr="00666A77"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w:t>
            </w:r>
            <w:r>
              <w:t>3</w:t>
            </w:r>
            <w:r w:rsidRPr="00666A77">
              <w:t>.</w:t>
            </w:r>
            <w:r>
              <w:t>11990</w:t>
            </w:r>
            <w:r w:rsidRPr="00666A77">
              <w:t>(</w:t>
            </w:r>
            <w:r>
              <w:t>d</w:t>
            </w:r>
            <w:r w:rsidRPr="00666A77">
              <w:t>)</w:t>
            </w:r>
          </w:p>
        </w:tc>
      </w:tr>
      <w:tr w:rsidR="009F0F2D" w:rsidRPr="00470B42" w:rsidTr="004D4D40">
        <w:trPr>
          <w:cantSplit/>
          <w:trHeight w:val="467"/>
          <w:jc w:val="center"/>
        </w:trPr>
        <w:tc>
          <w:tcPr>
            <w:tcW w:w="6234" w:type="dxa"/>
          </w:tcPr>
          <w:p w:rsidR="009F0F2D" w:rsidRPr="00D966EF" w:rsidRDefault="009F0F2D" w:rsidP="00E37F47">
            <w:r>
              <w:t>Records of process vents</w:t>
            </w:r>
          </w:p>
        </w:tc>
        <w:tc>
          <w:tcPr>
            <w:tcW w:w="2418" w:type="dxa"/>
          </w:tcPr>
          <w:p w:rsidR="009F0F2D"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w:t>
            </w:r>
            <w:r>
              <w:t>3</w:t>
            </w:r>
            <w:r w:rsidRPr="00666A77">
              <w:t>.</w:t>
            </w:r>
            <w:r>
              <w:t>11990(e) and</w:t>
            </w:r>
          </w:p>
          <w:p w:rsidR="009F0F2D" w:rsidRPr="00666A77"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w:t>
            </w:r>
            <w:r>
              <w:t>3</w:t>
            </w:r>
            <w:r w:rsidRPr="00666A77">
              <w:t>.</w:t>
            </w:r>
            <w:r>
              <w:t>11990</w:t>
            </w:r>
            <w:r w:rsidRPr="00666A77">
              <w:t>(</w:t>
            </w:r>
            <w:r>
              <w:t>f</w:t>
            </w:r>
            <w:r w:rsidRPr="00666A77">
              <w:t>)</w:t>
            </w:r>
          </w:p>
        </w:tc>
      </w:tr>
      <w:tr w:rsidR="009F0F2D" w:rsidRPr="00470B42" w:rsidTr="004D4D40">
        <w:trPr>
          <w:cantSplit/>
          <w:trHeight w:val="388"/>
          <w:jc w:val="center"/>
        </w:trPr>
        <w:tc>
          <w:tcPr>
            <w:tcW w:w="6234" w:type="dxa"/>
          </w:tcPr>
          <w:p w:rsidR="009F0F2D" w:rsidRPr="00D966EF" w:rsidRDefault="009F0F2D" w:rsidP="00E37F47">
            <w:r>
              <w:t>Records of closed vent systems</w:t>
            </w:r>
          </w:p>
        </w:tc>
        <w:tc>
          <w:tcPr>
            <w:tcW w:w="2418" w:type="dxa"/>
          </w:tcPr>
          <w:p w:rsidR="009F0F2D"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63.11930(g) and</w:t>
            </w:r>
          </w:p>
          <w:p w:rsidR="009F0F2D" w:rsidRPr="00666A77"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w:t>
            </w:r>
            <w:r>
              <w:t>3</w:t>
            </w:r>
            <w:r w:rsidRPr="00666A77">
              <w:t>.</w:t>
            </w:r>
            <w:r>
              <w:t>11990</w:t>
            </w:r>
            <w:r w:rsidRPr="00666A77">
              <w:t>(</w:t>
            </w:r>
            <w:r>
              <w:t>g</w:t>
            </w:r>
            <w:r w:rsidRPr="00666A77">
              <w:t>)</w:t>
            </w:r>
          </w:p>
        </w:tc>
      </w:tr>
      <w:tr w:rsidR="009F0F2D" w:rsidRPr="00470B42" w:rsidTr="004D4D40">
        <w:trPr>
          <w:cantSplit/>
          <w:trHeight w:val="378"/>
          <w:jc w:val="center"/>
        </w:trPr>
        <w:tc>
          <w:tcPr>
            <w:tcW w:w="6234" w:type="dxa"/>
          </w:tcPr>
          <w:p w:rsidR="009F0F2D" w:rsidRPr="00D966EF" w:rsidRDefault="009F0F2D" w:rsidP="00E37F47">
            <w:r>
              <w:t>Records of resin strippers</w:t>
            </w:r>
          </w:p>
        </w:tc>
        <w:tc>
          <w:tcPr>
            <w:tcW w:w="2418" w:type="dxa"/>
          </w:tcPr>
          <w:p w:rsidR="009F0F2D" w:rsidRPr="00470B42" w:rsidRDefault="009F0F2D" w:rsidP="00E37F47">
            <w:pPr>
              <w:jc w:val="center"/>
            </w:pPr>
            <w:r w:rsidRPr="00666A77">
              <w:t>6</w:t>
            </w:r>
            <w:r>
              <w:t>3</w:t>
            </w:r>
            <w:r w:rsidRPr="00666A77">
              <w:t>.</w:t>
            </w:r>
            <w:r>
              <w:t xml:space="preserve">11990(e) and </w:t>
            </w:r>
            <w:r w:rsidRPr="00666A77">
              <w:t>6</w:t>
            </w:r>
            <w:r>
              <w:t>3</w:t>
            </w:r>
            <w:r w:rsidRPr="00666A77">
              <w:t>.</w:t>
            </w:r>
            <w:r>
              <w:t>11990(h)</w:t>
            </w:r>
          </w:p>
        </w:tc>
      </w:tr>
      <w:tr w:rsidR="009F0F2D" w:rsidRPr="00470B42" w:rsidTr="004D4D40">
        <w:trPr>
          <w:cantSplit/>
          <w:trHeight w:val="666"/>
          <w:jc w:val="center"/>
        </w:trPr>
        <w:tc>
          <w:tcPr>
            <w:tcW w:w="6234" w:type="dxa"/>
          </w:tcPr>
          <w:p w:rsidR="009F0F2D" w:rsidRPr="00D966EF" w:rsidRDefault="009F0F2D" w:rsidP="00E37F47">
            <w:r>
              <w:t>Records of process wastewater</w:t>
            </w:r>
          </w:p>
        </w:tc>
        <w:tc>
          <w:tcPr>
            <w:tcW w:w="2418" w:type="dxa"/>
          </w:tcPr>
          <w:p w:rsidR="009F0F2D" w:rsidRPr="00470B42" w:rsidRDefault="009F0F2D" w:rsidP="00E37F47">
            <w:pPr>
              <w:jc w:val="center"/>
            </w:pPr>
            <w:r w:rsidRPr="00666A77">
              <w:t>6</w:t>
            </w:r>
            <w:r>
              <w:t>3</w:t>
            </w:r>
            <w:r w:rsidRPr="00666A77">
              <w:t>.</w:t>
            </w:r>
            <w:r>
              <w:t xml:space="preserve">11990(e) and </w:t>
            </w:r>
            <w:r w:rsidRPr="00666A77">
              <w:t>6</w:t>
            </w:r>
            <w:r>
              <w:t>3</w:t>
            </w:r>
            <w:r w:rsidRPr="00666A77">
              <w:t>.</w:t>
            </w:r>
            <w:r>
              <w:t>11990(i)</w:t>
            </w:r>
          </w:p>
        </w:tc>
      </w:tr>
      <w:tr w:rsidR="009F0F2D" w:rsidRPr="00470B42" w:rsidTr="004D4D40">
        <w:trPr>
          <w:cantSplit/>
          <w:trHeight w:val="448"/>
          <w:jc w:val="center"/>
        </w:trPr>
        <w:tc>
          <w:tcPr>
            <w:tcW w:w="6234" w:type="dxa"/>
          </w:tcPr>
          <w:p w:rsidR="009F0F2D" w:rsidRDefault="009F0F2D" w:rsidP="00E37F47">
            <w:r>
              <w:t>Keep records for five years</w:t>
            </w:r>
          </w:p>
        </w:tc>
        <w:tc>
          <w:tcPr>
            <w:tcW w:w="2418" w:type="dxa"/>
          </w:tcPr>
          <w:p w:rsidR="009F0F2D" w:rsidRPr="00470B42" w:rsidRDefault="009F0F2D" w:rsidP="00E37F47">
            <w:pPr>
              <w:jc w:val="center"/>
            </w:pPr>
            <w:r w:rsidRPr="00666A77">
              <w:t>6</w:t>
            </w:r>
            <w:r>
              <w:t>3</w:t>
            </w:r>
            <w:r w:rsidRPr="00666A77">
              <w:t>.</w:t>
            </w:r>
            <w:r>
              <w:t>11995(a)</w:t>
            </w:r>
          </w:p>
        </w:tc>
      </w:tr>
      <w:tr w:rsidR="00F9733D" w:rsidRPr="00470B42" w:rsidTr="004D4D40">
        <w:trPr>
          <w:cantSplit/>
          <w:trHeight w:val="904"/>
          <w:jc w:val="center"/>
        </w:trPr>
        <w:tc>
          <w:tcPr>
            <w:tcW w:w="8652" w:type="dxa"/>
            <w:gridSpan w:val="2"/>
            <w:vAlign w:val="center"/>
          </w:tcPr>
          <w:p w:rsidR="00F9733D" w:rsidRPr="004D4D40" w:rsidRDefault="004D4D40" w:rsidP="004D4D40">
            <w:pPr>
              <w:rPr>
                <w:b/>
              </w:rPr>
            </w:pPr>
            <w:r w:rsidRPr="004D4D40">
              <w:rPr>
                <w:b/>
              </w:rPr>
              <w:t>Reporting</w:t>
            </w:r>
          </w:p>
        </w:tc>
      </w:tr>
      <w:tr w:rsidR="009F0F2D" w:rsidRPr="00470B42" w:rsidTr="004D4D40">
        <w:trPr>
          <w:cantSplit/>
          <w:trHeight w:val="441"/>
          <w:jc w:val="center"/>
        </w:trPr>
        <w:tc>
          <w:tcPr>
            <w:tcW w:w="6234" w:type="dxa"/>
          </w:tcPr>
          <w:p w:rsidR="009F0F2D" w:rsidRPr="00470B42"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 xml:space="preserve">Submit an initial notification </w:t>
            </w:r>
          </w:p>
        </w:tc>
        <w:tc>
          <w:tcPr>
            <w:tcW w:w="2418" w:type="dxa"/>
          </w:tcPr>
          <w:p w:rsidR="009F0F2D" w:rsidRPr="001C2CD6"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63.9(b)</w:t>
            </w:r>
          </w:p>
        </w:tc>
      </w:tr>
      <w:tr w:rsidR="009F0F2D" w:rsidRPr="00470B42" w:rsidTr="004D4D40">
        <w:trPr>
          <w:cantSplit/>
          <w:trHeight w:val="463"/>
          <w:jc w:val="center"/>
        </w:trPr>
        <w:tc>
          <w:tcPr>
            <w:tcW w:w="6234" w:type="dxa"/>
          </w:tcPr>
          <w:p w:rsidR="009F0F2D" w:rsidRPr="00470B42" w:rsidRDefault="009F0F2D" w:rsidP="00E37F47">
            <w:pPr>
              <w:spacing w:line="360" w:lineRule="auto"/>
            </w:pPr>
            <w:r>
              <w:t xml:space="preserve">Submit a notification of compliance status </w:t>
            </w:r>
          </w:p>
        </w:tc>
        <w:tc>
          <w:tcPr>
            <w:tcW w:w="2418" w:type="dxa"/>
          </w:tcPr>
          <w:p w:rsidR="009F0F2D" w:rsidRPr="001C2CD6"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63.11985(a)</w:t>
            </w:r>
            <w:r w:rsidRPr="001C2CD6">
              <w:t xml:space="preserve">   </w:t>
            </w:r>
          </w:p>
        </w:tc>
      </w:tr>
      <w:tr w:rsidR="009F0F2D" w:rsidRPr="00470B42" w:rsidTr="004D4D40">
        <w:trPr>
          <w:cantSplit/>
          <w:trHeight w:val="463"/>
          <w:jc w:val="center"/>
        </w:trPr>
        <w:tc>
          <w:tcPr>
            <w:tcW w:w="6234" w:type="dxa"/>
          </w:tcPr>
          <w:p w:rsidR="009F0F2D"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Submit a notification of performance test</w:t>
            </w:r>
          </w:p>
        </w:tc>
        <w:tc>
          <w:tcPr>
            <w:tcW w:w="2418" w:type="dxa"/>
          </w:tcPr>
          <w:p w:rsidR="009F0F2D"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pPr>
            <w:r>
              <w:t>63.9(e)</w:t>
            </w:r>
          </w:p>
        </w:tc>
      </w:tr>
      <w:tr w:rsidR="009F0F2D" w:rsidRPr="00470B42" w:rsidTr="004D4D40">
        <w:trPr>
          <w:cantSplit/>
          <w:trHeight w:val="463"/>
          <w:jc w:val="center"/>
        </w:trPr>
        <w:tc>
          <w:tcPr>
            <w:tcW w:w="6234" w:type="dxa"/>
          </w:tcPr>
          <w:p w:rsidR="009F0F2D" w:rsidRPr="00470B42"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Submit a compliance report</w:t>
            </w:r>
          </w:p>
        </w:tc>
        <w:tc>
          <w:tcPr>
            <w:tcW w:w="2418" w:type="dxa"/>
          </w:tcPr>
          <w:p w:rsidR="009F0F2D" w:rsidRPr="001C2CD6"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pPr>
            <w:r>
              <w:t>63.11985(b)</w:t>
            </w:r>
          </w:p>
        </w:tc>
      </w:tr>
      <w:tr w:rsidR="009F0F2D" w:rsidRPr="00470B42" w:rsidTr="004D4D40">
        <w:trPr>
          <w:cantSplit/>
          <w:trHeight w:val="463"/>
          <w:jc w:val="center"/>
        </w:trPr>
        <w:tc>
          <w:tcPr>
            <w:tcW w:w="6234" w:type="dxa"/>
          </w:tcPr>
          <w:p w:rsidR="009F0F2D" w:rsidRPr="00470B42"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Submit a notification of inspection</w:t>
            </w:r>
          </w:p>
        </w:tc>
        <w:tc>
          <w:tcPr>
            <w:tcW w:w="2418" w:type="dxa"/>
          </w:tcPr>
          <w:p w:rsidR="009F0F2D" w:rsidRPr="001C2CD6"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63.11985(c)(1)</w:t>
            </w:r>
          </w:p>
        </w:tc>
      </w:tr>
      <w:tr w:rsidR="009F0F2D" w:rsidRPr="00FC3C2A" w:rsidTr="004D4D40">
        <w:trPr>
          <w:cantSplit/>
          <w:trHeight w:val="463"/>
          <w:jc w:val="center"/>
        </w:trPr>
        <w:tc>
          <w:tcPr>
            <w:tcW w:w="6234" w:type="dxa"/>
          </w:tcPr>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05627B">
              <w:t>Submit a batch precompliance report</w:t>
            </w:r>
          </w:p>
        </w:tc>
        <w:tc>
          <w:tcPr>
            <w:tcW w:w="2418" w:type="dxa"/>
          </w:tcPr>
          <w:p w:rsidR="009F0F2D"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63.11985(c)(2)</w:t>
            </w:r>
            <w:r>
              <w:t xml:space="preserve"> and</w:t>
            </w:r>
          </w:p>
          <w:p w:rsidR="009F0F2D"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63.11985(c)(</w:t>
            </w:r>
            <w:r>
              <w:t>3) and</w:t>
            </w:r>
          </w:p>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63.11985(c)(</w:t>
            </w:r>
            <w:r>
              <w:t>8)</w:t>
            </w:r>
          </w:p>
        </w:tc>
      </w:tr>
    </w:tbl>
    <w:p w:rsidR="00CE23D4" w:rsidRPr="007473C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4" w:type="dxa"/>
          <w:right w:w="124" w:type="dxa"/>
        </w:tblCellMar>
        <w:tblLook w:val="0000"/>
      </w:tblPr>
      <w:tblGrid>
        <w:gridCol w:w="6247"/>
        <w:gridCol w:w="2418"/>
      </w:tblGrid>
      <w:tr w:rsidR="00354742" w:rsidRPr="007473C2" w:rsidTr="004D4D40">
        <w:trPr>
          <w:cantSplit/>
          <w:trHeight w:val="926"/>
          <w:tblHeader/>
          <w:jc w:val="center"/>
        </w:trPr>
        <w:tc>
          <w:tcPr>
            <w:tcW w:w="8665" w:type="dxa"/>
            <w:gridSpan w:val="2"/>
            <w:tcBorders>
              <w:top w:val="nil"/>
              <w:left w:val="nil"/>
              <w:right w:val="nil"/>
            </w:tcBorders>
          </w:tcPr>
          <w:p w:rsidR="00354742" w:rsidRPr="00666A77" w:rsidRDefault="00354742" w:rsidP="00354742">
            <w:pPr>
              <w:widowControl/>
              <w:tabs>
                <w:tab w:val="center" w:pos="4320"/>
                <w:tab w:val="left" w:pos="5040"/>
                <w:tab w:val="left" w:pos="5760"/>
                <w:tab w:val="left" w:pos="6480"/>
                <w:tab w:val="left" w:pos="7200"/>
                <w:tab w:val="left" w:pos="7920"/>
                <w:tab w:val="left" w:pos="8640"/>
              </w:tabs>
              <w:jc w:val="center"/>
            </w:pPr>
            <w:r w:rsidRPr="00666A77">
              <w:lastRenderedPageBreak/>
              <w:br w:type="page"/>
              <w:t>ATTACHMENT 1</w:t>
            </w:r>
            <w:r>
              <w:t xml:space="preserve"> (cont.)</w:t>
            </w:r>
          </w:p>
          <w:p w:rsidR="00354742" w:rsidRPr="00666A77" w:rsidRDefault="00354742" w:rsidP="003547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54742" w:rsidRPr="00666A77" w:rsidRDefault="00354742" w:rsidP="00354742">
            <w:pPr>
              <w:widowControl/>
              <w:tabs>
                <w:tab w:val="center" w:pos="4320"/>
                <w:tab w:val="left" w:pos="5040"/>
                <w:tab w:val="left" w:pos="5760"/>
                <w:tab w:val="left" w:pos="6480"/>
                <w:tab w:val="left" w:pos="7200"/>
                <w:tab w:val="left" w:pos="7920"/>
                <w:tab w:val="left" w:pos="8640"/>
              </w:tabs>
              <w:jc w:val="center"/>
            </w:pPr>
            <w:r w:rsidRPr="00666A77">
              <w:t>SOURCE DATA AND INFORMATION REQUIREMENTS</w:t>
            </w:r>
          </w:p>
        </w:tc>
      </w:tr>
      <w:tr w:rsidR="00354742" w:rsidRPr="007473C2" w:rsidTr="004D4D40">
        <w:trPr>
          <w:cantSplit/>
          <w:trHeight w:val="1191"/>
          <w:tblHeader/>
          <w:jc w:val="center"/>
        </w:trPr>
        <w:tc>
          <w:tcPr>
            <w:tcW w:w="6247" w:type="dxa"/>
          </w:tcPr>
          <w:p w:rsidR="00354742" w:rsidRPr="00666A77" w:rsidRDefault="00354742" w:rsidP="00354742"/>
          <w:p w:rsidR="00354742" w:rsidRPr="00666A77" w:rsidRDefault="00354742" w:rsidP="003547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54742" w:rsidRPr="00666A77" w:rsidRDefault="00354742" w:rsidP="003547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Requirement</w:t>
            </w:r>
          </w:p>
        </w:tc>
        <w:tc>
          <w:tcPr>
            <w:tcW w:w="2418" w:type="dxa"/>
          </w:tcPr>
          <w:p w:rsidR="00354742" w:rsidRPr="00666A77" w:rsidRDefault="00354742" w:rsidP="00354742"/>
          <w:p w:rsidR="00354742" w:rsidRPr="00666A77" w:rsidRDefault="00354742" w:rsidP="003547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40 CFR</w:t>
            </w:r>
          </w:p>
          <w:p w:rsidR="00354742" w:rsidRPr="00666A77" w:rsidRDefault="00354742" w:rsidP="003547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66A77">
              <w:t>63 Subpart HHHHHHH</w:t>
            </w:r>
          </w:p>
        </w:tc>
      </w:tr>
      <w:tr w:rsidR="00354742" w:rsidRPr="00D966EF" w:rsidTr="004D4D40">
        <w:trPr>
          <w:cantSplit/>
          <w:trHeight w:val="904"/>
          <w:jc w:val="center"/>
        </w:trPr>
        <w:tc>
          <w:tcPr>
            <w:tcW w:w="6247" w:type="dxa"/>
            <w:vAlign w:val="center"/>
          </w:tcPr>
          <w:p w:rsidR="00354742" w:rsidRPr="004D4D40" w:rsidRDefault="004D4D40" w:rsidP="004D4D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4D4D40">
              <w:rPr>
                <w:b/>
              </w:rPr>
              <w:t>Monitoring</w:t>
            </w:r>
          </w:p>
        </w:tc>
        <w:tc>
          <w:tcPr>
            <w:tcW w:w="2418" w:type="dxa"/>
          </w:tcPr>
          <w:p w:rsidR="00354742" w:rsidRPr="00666A77" w:rsidRDefault="00354742" w:rsidP="00354742"/>
          <w:p w:rsidR="00354742" w:rsidRPr="00666A77" w:rsidRDefault="00354742" w:rsidP="003547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9F0F2D" w:rsidRPr="00D966EF" w:rsidTr="004D4D40">
        <w:trPr>
          <w:cantSplit/>
          <w:trHeight w:val="609"/>
          <w:jc w:val="center"/>
        </w:trPr>
        <w:tc>
          <w:tcPr>
            <w:tcW w:w="6247" w:type="dxa"/>
          </w:tcPr>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5627B">
              <w:t>General Monitoring Requirements</w:t>
            </w:r>
          </w:p>
        </w:tc>
        <w:tc>
          <w:tcPr>
            <w:tcW w:w="2418" w:type="dxa"/>
          </w:tcPr>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63.11890(c) and</w:t>
            </w:r>
          </w:p>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63.11935(a) and</w:t>
            </w:r>
          </w:p>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63.11935(b) and</w:t>
            </w:r>
          </w:p>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63.11935(c) and</w:t>
            </w:r>
          </w:p>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63.11935(d)</w:t>
            </w:r>
          </w:p>
        </w:tc>
      </w:tr>
      <w:tr w:rsidR="009F0F2D" w:rsidRPr="00D966EF" w:rsidTr="004D4D40">
        <w:trPr>
          <w:cantSplit/>
          <w:trHeight w:val="418"/>
          <w:jc w:val="center"/>
        </w:trPr>
        <w:tc>
          <w:tcPr>
            <w:tcW w:w="6247" w:type="dxa"/>
          </w:tcPr>
          <w:p w:rsidR="009F0F2D" w:rsidRPr="0005627B" w:rsidRDefault="009F0F2D" w:rsidP="00E37F47">
            <w:pPr>
              <w:widowControl/>
              <w:tabs>
                <w:tab w:val="left" w:pos="0"/>
                <w:tab w:val="left" w:pos="720"/>
                <w:tab w:val="left" w:pos="1440"/>
                <w:tab w:val="left" w:pos="2160"/>
                <w:tab w:val="left" w:pos="4140"/>
              </w:tabs>
            </w:pPr>
            <w:r w:rsidRPr="0005627B">
              <w:t xml:space="preserve">Storage Vessel Monitoring </w:t>
            </w:r>
          </w:p>
        </w:tc>
        <w:tc>
          <w:tcPr>
            <w:tcW w:w="2418" w:type="dxa"/>
          </w:tcPr>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 xml:space="preserve">63.11910(a) and </w:t>
            </w:r>
          </w:p>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63.11910(c)</w:t>
            </w:r>
          </w:p>
        </w:tc>
      </w:tr>
      <w:tr w:rsidR="009F0F2D" w:rsidRPr="00D966EF" w:rsidTr="004D4D40">
        <w:trPr>
          <w:cantSplit/>
          <w:trHeight w:val="448"/>
          <w:jc w:val="center"/>
        </w:trPr>
        <w:tc>
          <w:tcPr>
            <w:tcW w:w="6247" w:type="dxa"/>
          </w:tcPr>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5627B">
              <w:t>Pressure Relief Device Monitoring</w:t>
            </w:r>
          </w:p>
        </w:tc>
        <w:tc>
          <w:tcPr>
            <w:tcW w:w="2418" w:type="dxa"/>
          </w:tcPr>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63.11915(c)</w:t>
            </w:r>
          </w:p>
        </w:tc>
      </w:tr>
      <w:tr w:rsidR="009F0F2D" w:rsidRPr="00470B42" w:rsidTr="004D4D40">
        <w:trPr>
          <w:cantSplit/>
          <w:trHeight w:val="477"/>
          <w:jc w:val="center"/>
        </w:trPr>
        <w:tc>
          <w:tcPr>
            <w:tcW w:w="6247" w:type="dxa"/>
          </w:tcPr>
          <w:p w:rsidR="009F0F2D" w:rsidRPr="0005627B" w:rsidRDefault="008B2191"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Heat Exchange System</w:t>
            </w:r>
            <w:r w:rsidR="009F0F2D" w:rsidRPr="0005627B">
              <w:t xml:space="preserve"> Monitoring</w:t>
            </w:r>
          </w:p>
        </w:tc>
        <w:tc>
          <w:tcPr>
            <w:tcW w:w="2418" w:type="dxa"/>
          </w:tcPr>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63.11920(a)</w:t>
            </w:r>
          </w:p>
        </w:tc>
      </w:tr>
      <w:tr w:rsidR="009F0F2D" w:rsidRPr="00470B42" w:rsidTr="004D4D40">
        <w:trPr>
          <w:cantSplit/>
          <w:trHeight w:val="467"/>
          <w:jc w:val="center"/>
        </w:trPr>
        <w:tc>
          <w:tcPr>
            <w:tcW w:w="6247" w:type="dxa"/>
          </w:tcPr>
          <w:p w:rsidR="009F0F2D" w:rsidRPr="0005627B" w:rsidRDefault="009F0F2D" w:rsidP="00E37F47">
            <w:r w:rsidRPr="0005627B">
              <w:t>Process Vent Control Device Monitoring</w:t>
            </w:r>
          </w:p>
        </w:tc>
        <w:tc>
          <w:tcPr>
            <w:tcW w:w="2418" w:type="dxa"/>
          </w:tcPr>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63.11925(c) and</w:t>
            </w:r>
          </w:p>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63.11925(d) and 63.11925(e) and</w:t>
            </w:r>
          </w:p>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63.11925(f) and</w:t>
            </w:r>
          </w:p>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63.11940 and</w:t>
            </w:r>
          </w:p>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63.11945(a)</w:t>
            </w:r>
          </w:p>
        </w:tc>
      </w:tr>
      <w:tr w:rsidR="009F0F2D" w:rsidRPr="00470B42" w:rsidTr="004D4D40">
        <w:trPr>
          <w:cantSplit/>
          <w:trHeight w:val="388"/>
          <w:jc w:val="center"/>
        </w:trPr>
        <w:tc>
          <w:tcPr>
            <w:tcW w:w="6247" w:type="dxa"/>
          </w:tcPr>
          <w:p w:rsidR="009F0F2D" w:rsidRPr="0005627B" w:rsidRDefault="009F0F2D" w:rsidP="00E37F47">
            <w:r w:rsidRPr="0005627B">
              <w:t>Closed Vent System Monitoring</w:t>
            </w:r>
          </w:p>
        </w:tc>
        <w:tc>
          <w:tcPr>
            <w:tcW w:w="2418" w:type="dxa"/>
          </w:tcPr>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 xml:space="preserve">63.11930(c) and </w:t>
            </w:r>
          </w:p>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63.11930(d) and</w:t>
            </w:r>
          </w:p>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63.11930 (f) and</w:t>
            </w:r>
          </w:p>
          <w:p w:rsidR="009F0F2D" w:rsidRPr="0005627B" w:rsidRDefault="009F0F2D" w:rsidP="00E37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05627B">
              <w:t>63.11930 (h)</w:t>
            </w:r>
          </w:p>
        </w:tc>
      </w:tr>
      <w:tr w:rsidR="009F0F2D" w:rsidRPr="00470B42" w:rsidTr="004D4D40">
        <w:trPr>
          <w:cantSplit/>
          <w:trHeight w:val="378"/>
          <w:jc w:val="center"/>
        </w:trPr>
        <w:tc>
          <w:tcPr>
            <w:tcW w:w="6247" w:type="dxa"/>
          </w:tcPr>
          <w:p w:rsidR="009F0F2D" w:rsidRPr="00D966EF" w:rsidRDefault="009F0F2D" w:rsidP="00E37F47">
            <w:r>
              <w:t>Ambient Vinyl Chloride Monitoring</w:t>
            </w:r>
          </w:p>
        </w:tc>
        <w:tc>
          <w:tcPr>
            <w:tcW w:w="2418" w:type="dxa"/>
          </w:tcPr>
          <w:p w:rsidR="009F0F2D" w:rsidRPr="00470B42" w:rsidRDefault="009F0F2D" w:rsidP="00E37F47">
            <w:pPr>
              <w:jc w:val="center"/>
            </w:pPr>
            <w:r>
              <w:t>63.11956</w:t>
            </w:r>
          </w:p>
        </w:tc>
      </w:tr>
      <w:tr w:rsidR="009F0F2D" w:rsidRPr="00470B42" w:rsidTr="004D4D40">
        <w:trPr>
          <w:cantSplit/>
          <w:trHeight w:val="666"/>
          <w:jc w:val="center"/>
        </w:trPr>
        <w:tc>
          <w:tcPr>
            <w:tcW w:w="6247" w:type="dxa"/>
          </w:tcPr>
          <w:p w:rsidR="009F0F2D" w:rsidRPr="00D966EF" w:rsidRDefault="009F0F2D" w:rsidP="00E37F47">
            <w:r>
              <w:t>Resin Stripper Sampling and Testing</w:t>
            </w:r>
          </w:p>
        </w:tc>
        <w:tc>
          <w:tcPr>
            <w:tcW w:w="2418" w:type="dxa"/>
          </w:tcPr>
          <w:p w:rsidR="009F0F2D" w:rsidRDefault="009F0F2D" w:rsidP="00E37F47">
            <w:pPr>
              <w:jc w:val="center"/>
            </w:pPr>
            <w:r>
              <w:t>63.11960(c) and</w:t>
            </w:r>
          </w:p>
          <w:p w:rsidR="009F0F2D" w:rsidRPr="00470B42" w:rsidRDefault="009F0F2D" w:rsidP="00E37F47">
            <w:pPr>
              <w:jc w:val="center"/>
            </w:pPr>
            <w:r>
              <w:t>63.11960(d)</w:t>
            </w:r>
          </w:p>
        </w:tc>
      </w:tr>
      <w:tr w:rsidR="009F0F2D" w:rsidRPr="00470B42" w:rsidTr="004D4D40">
        <w:trPr>
          <w:cantSplit/>
          <w:trHeight w:val="448"/>
          <w:jc w:val="center"/>
        </w:trPr>
        <w:tc>
          <w:tcPr>
            <w:tcW w:w="6247" w:type="dxa"/>
          </w:tcPr>
          <w:p w:rsidR="009F0F2D" w:rsidRDefault="009F0F2D" w:rsidP="00E37F47">
            <w:r>
              <w:t>Process Wastewater Sampling and Analysis</w:t>
            </w:r>
          </w:p>
        </w:tc>
        <w:tc>
          <w:tcPr>
            <w:tcW w:w="2418" w:type="dxa"/>
          </w:tcPr>
          <w:p w:rsidR="009F0F2D" w:rsidRDefault="009F0F2D" w:rsidP="00E37F47">
            <w:pPr>
              <w:jc w:val="center"/>
            </w:pPr>
            <w:r>
              <w:t>63.11965(b) and</w:t>
            </w:r>
          </w:p>
          <w:p w:rsidR="009F0F2D" w:rsidRDefault="009F0F2D" w:rsidP="00E37F47">
            <w:pPr>
              <w:jc w:val="center"/>
            </w:pPr>
            <w:r>
              <w:t>63.11965(c) and</w:t>
            </w:r>
          </w:p>
          <w:p w:rsidR="009F0F2D" w:rsidRDefault="009F0F2D" w:rsidP="00E37F47">
            <w:pPr>
              <w:jc w:val="center"/>
            </w:pPr>
            <w:r>
              <w:t>63.11965(d) and</w:t>
            </w:r>
          </w:p>
          <w:p w:rsidR="009F0F2D" w:rsidRDefault="009F0F2D" w:rsidP="00E37F47">
            <w:pPr>
              <w:jc w:val="center"/>
            </w:pPr>
            <w:r>
              <w:t>63.11970 and</w:t>
            </w:r>
          </w:p>
          <w:p w:rsidR="009F0F2D" w:rsidRDefault="009F0F2D" w:rsidP="00E37F47">
            <w:pPr>
              <w:jc w:val="center"/>
            </w:pPr>
            <w:r>
              <w:t>63.11975</w:t>
            </w:r>
          </w:p>
          <w:p w:rsidR="009F0F2D" w:rsidRPr="00470B42" w:rsidRDefault="009F0F2D" w:rsidP="00E37F47">
            <w:pPr>
              <w:jc w:val="center"/>
            </w:pPr>
          </w:p>
        </w:tc>
      </w:tr>
    </w:tbl>
    <w:p w:rsidR="00CE23D4" w:rsidRPr="00934778" w:rsidRDefault="00CE23D4" w:rsidP="00CE23D4">
      <w:pPr>
        <w:widowControl/>
        <w:tabs>
          <w:tab w:val="center" w:pos="4680"/>
          <w:tab w:val="left" w:pos="5040"/>
          <w:tab w:val="left" w:pos="5760"/>
          <w:tab w:val="left" w:pos="6480"/>
          <w:tab w:val="left" w:pos="7200"/>
          <w:tab w:val="left" w:pos="7920"/>
          <w:tab w:val="left" w:pos="8640"/>
          <w:tab w:val="left" w:pos="9360"/>
        </w:tabs>
      </w:pPr>
    </w:p>
    <w:p w:rsidR="00CE23D4" w:rsidRPr="00672461" w:rsidRDefault="00CE23D4" w:rsidP="00CE23D4">
      <w:pPr>
        <w:widowControl/>
        <w:tabs>
          <w:tab w:val="center" w:pos="4680"/>
          <w:tab w:val="left" w:pos="5040"/>
          <w:tab w:val="left" w:pos="5760"/>
          <w:tab w:val="left" w:pos="6480"/>
          <w:tab w:val="left" w:pos="7200"/>
          <w:tab w:val="left" w:pos="7920"/>
          <w:tab w:val="left" w:pos="8640"/>
          <w:tab w:val="left" w:pos="9360"/>
        </w:tabs>
        <w:jc w:val="center"/>
        <w:rPr>
          <w:b/>
        </w:rPr>
      </w:pPr>
      <w:r w:rsidRPr="00934778">
        <w:rPr>
          <w:b/>
        </w:rPr>
        <w:br w:type="page"/>
      </w:r>
      <w:r w:rsidRPr="00672461">
        <w:rPr>
          <w:b/>
        </w:rPr>
        <w:lastRenderedPageBreak/>
        <w:t>ATTACHMENT 2</w:t>
      </w:r>
    </w:p>
    <w:p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672461" w:rsidRDefault="00CE23D4" w:rsidP="00CE23D4">
      <w:pPr>
        <w:widowControl/>
        <w:tabs>
          <w:tab w:val="center" w:pos="4680"/>
          <w:tab w:val="left" w:pos="5040"/>
          <w:tab w:val="left" w:pos="5760"/>
          <w:tab w:val="left" w:pos="6480"/>
          <w:tab w:val="left" w:pos="7200"/>
          <w:tab w:val="left" w:pos="7920"/>
          <w:tab w:val="left" w:pos="8640"/>
          <w:tab w:val="left" w:pos="9360"/>
        </w:tabs>
        <w:rPr>
          <w:b/>
        </w:rPr>
      </w:pPr>
      <w:r w:rsidRPr="00672461">
        <w:rPr>
          <w:b/>
        </w:rPr>
        <w:tab/>
        <w:t xml:space="preserve">TABLES 1, 2, </w:t>
      </w:r>
      <w:r w:rsidR="007F1766" w:rsidRPr="00672461">
        <w:rPr>
          <w:b/>
        </w:rPr>
        <w:t xml:space="preserve">3, </w:t>
      </w:r>
      <w:r w:rsidRPr="00672461">
        <w:rPr>
          <w:b/>
        </w:rPr>
        <w:t xml:space="preserve">and </w:t>
      </w:r>
      <w:r w:rsidR="007F1766" w:rsidRPr="00672461">
        <w:rPr>
          <w:b/>
        </w:rPr>
        <w:t>4</w:t>
      </w:r>
    </w:p>
    <w:p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 xml:space="preserve">Tables </w:t>
      </w:r>
      <w:r w:rsidR="007E10A9" w:rsidRPr="00672461">
        <w:t>1 - 3</w:t>
      </w:r>
      <w:r w:rsidRPr="00672461">
        <w:t>:</w:t>
      </w:r>
      <w:r w:rsidRPr="00672461">
        <w:tab/>
      </w:r>
      <w:r w:rsidR="007E10A9" w:rsidRPr="00672461">
        <w:t>Annual Respondent Burden and Cost of Recordkeeping and Reporting Requirements of the MACT Floor for Existing Sources: Polyvinyl Chloride and Copolymer Manufacturing Units – Years 1-3</w:t>
      </w:r>
    </w:p>
    <w:p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672461" w:rsidRDefault="007E10A9"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00CE23D4" w:rsidRPr="00672461">
        <w:tab/>
      </w:r>
      <w:r w:rsidRPr="00672461">
        <w:t>Summary of Annual Respondent Burden and Cost of Recordkeeping and Reporting Requirements of the MACT Floor for Existing Sources: Polyvinyl Chloride and Copolymer Manufacturing Units</w:t>
      </w:r>
    </w:p>
    <w:p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672461" w:rsidRDefault="00CE23D4" w:rsidP="00CE23D4">
      <w:pPr>
        <w:widowControl/>
        <w:tabs>
          <w:tab w:val="center" w:pos="4680"/>
        </w:tabs>
        <w:jc w:val="center"/>
        <w:rPr>
          <w:b/>
          <w:color w:val="000000"/>
        </w:rPr>
      </w:pPr>
      <w:r w:rsidRPr="00672461">
        <w:rPr>
          <w:b/>
          <w:color w:val="000000"/>
        </w:rPr>
        <w:br w:type="page"/>
      </w:r>
      <w:r w:rsidRPr="00672461">
        <w:rPr>
          <w:b/>
          <w:color w:val="000000"/>
        </w:rPr>
        <w:lastRenderedPageBreak/>
        <w:t>ATTACHMENT 3</w:t>
      </w:r>
    </w:p>
    <w:p w:rsidR="00CE23D4" w:rsidRPr="00672461" w:rsidRDefault="00CE23D4" w:rsidP="00CE23D4">
      <w:pPr>
        <w:widowControl/>
        <w:tabs>
          <w:tab w:val="left" w:pos="-1180"/>
          <w:tab w:val="left" w:pos="-720"/>
          <w:tab w:val="left" w:pos="0"/>
          <w:tab w:val="left" w:pos="270"/>
          <w:tab w:val="left" w:pos="1440"/>
        </w:tabs>
        <w:rPr>
          <w:color w:val="000000"/>
        </w:rPr>
      </w:pPr>
    </w:p>
    <w:p w:rsidR="00CE23D4" w:rsidRPr="00672461" w:rsidRDefault="007F1766" w:rsidP="00CE23D4">
      <w:pPr>
        <w:widowControl/>
        <w:tabs>
          <w:tab w:val="center" w:pos="4680"/>
        </w:tabs>
        <w:rPr>
          <w:b/>
          <w:color w:val="000000"/>
        </w:rPr>
      </w:pPr>
      <w:r w:rsidRPr="00672461">
        <w:rPr>
          <w:b/>
          <w:color w:val="000000"/>
        </w:rPr>
        <w:tab/>
        <w:t xml:space="preserve">TABLES </w:t>
      </w:r>
      <w:r w:rsidR="00CE23D4" w:rsidRPr="00672461">
        <w:rPr>
          <w:b/>
          <w:color w:val="000000"/>
        </w:rPr>
        <w:t>5, 6,</w:t>
      </w:r>
      <w:r w:rsidRPr="00672461">
        <w:rPr>
          <w:b/>
          <w:color w:val="000000"/>
        </w:rPr>
        <w:t xml:space="preserve"> 7, </w:t>
      </w:r>
      <w:r w:rsidR="00CE23D4" w:rsidRPr="00672461">
        <w:rPr>
          <w:b/>
          <w:color w:val="000000"/>
        </w:rPr>
        <w:t xml:space="preserve">and </w:t>
      </w:r>
      <w:r w:rsidRPr="00672461">
        <w:rPr>
          <w:b/>
          <w:color w:val="000000"/>
        </w:rPr>
        <w:t>8</w:t>
      </w:r>
    </w:p>
    <w:p w:rsidR="00CE23D4" w:rsidRPr="00672461" w:rsidRDefault="00CE23D4" w:rsidP="00CE23D4">
      <w:pPr>
        <w:widowControl/>
        <w:tabs>
          <w:tab w:val="left" w:pos="-1180"/>
          <w:tab w:val="left" w:pos="-720"/>
          <w:tab w:val="left" w:pos="0"/>
          <w:tab w:val="left" w:pos="270"/>
          <w:tab w:val="left" w:pos="1440"/>
        </w:tabs>
        <w:rPr>
          <w:color w:val="000000"/>
        </w:rPr>
      </w:pPr>
    </w:p>
    <w:p w:rsidR="00CE23D4" w:rsidRPr="00672461" w:rsidRDefault="00CE23D4" w:rsidP="00CE23D4">
      <w:pPr>
        <w:widowControl/>
        <w:tabs>
          <w:tab w:val="left" w:pos="-1180"/>
          <w:tab w:val="left" w:pos="-720"/>
          <w:tab w:val="left" w:pos="0"/>
          <w:tab w:val="left" w:pos="270"/>
          <w:tab w:val="left" w:pos="1440"/>
        </w:tabs>
        <w:rPr>
          <w:color w:val="000000"/>
        </w:rPr>
      </w:pPr>
    </w:p>
    <w:p w:rsidR="00CE23D4" w:rsidRPr="00672461" w:rsidRDefault="007F1766" w:rsidP="00CE23D4">
      <w:pPr>
        <w:widowControl/>
        <w:tabs>
          <w:tab w:val="left" w:pos="-1180"/>
          <w:tab w:val="left" w:pos="-720"/>
          <w:tab w:val="left" w:pos="0"/>
          <w:tab w:val="left" w:pos="270"/>
          <w:tab w:val="left" w:pos="1440"/>
        </w:tabs>
        <w:ind w:left="1440" w:hanging="1440"/>
        <w:rPr>
          <w:color w:val="000000"/>
        </w:rPr>
      </w:pPr>
      <w:r w:rsidRPr="00672461">
        <w:rPr>
          <w:color w:val="000000"/>
        </w:rPr>
        <w:t>Tables 5 - 7</w:t>
      </w:r>
      <w:r w:rsidR="00CE23D4" w:rsidRPr="00672461">
        <w:rPr>
          <w:color w:val="000000"/>
        </w:rPr>
        <w:t>:</w:t>
      </w:r>
      <w:r w:rsidR="00CE23D4" w:rsidRPr="00672461">
        <w:rPr>
          <w:color w:val="000000"/>
        </w:rPr>
        <w:tab/>
      </w:r>
      <w:r w:rsidRPr="00672461">
        <w:rPr>
          <w:color w:val="000000"/>
        </w:rPr>
        <w:t>Annual Designated Administrator Burden and Cost of Recordkeeping and Reporting Requirements of the MACT Floor for Existing Sources: Polyvinyl Chloride and Copolymer Manufacturing Units - Year 1-3</w:t>
      </w:r>
    </w:p>
    <w:p w:rsidR="00CE23D4" w:rsidRPr="00672461" w:rsidRDefault="00CE23D4" w:rsidP="00CE23D4">
      <w:pPr>
        <w:widowControl/>
        <w:tabs>
          <w:tab w:val="left" w:pos="-1180"/>
          <w:tab w:val="left" w:pos="-720"/>
          <w:tab w:val="left" w:pos="0"/>
          <w:tab w:val="left" w:pos="270"/>
          <w:tab w:val="left" w:pos="1440"/>
        </w:tabs>
        <w:rPr>
          <w:color w:val="000000"/>
        </w:rPr>
      </w:pPr>
    </w:p>
    <w:p w:rsidR="00CE23D4" w:rsidRDefault="00CE23D4" w:rsidP="00CE23D4">
      <w:pPr>
        <w:widowControl/>
        <w:tabs>
          <w:tab w:val="left" w:pos="-1180"/>
          <w:tab w:val="left" w:pos="-720"/>
          <w:tab w:val="left" w:pos="0"/>
          <w:tab w:val="left" w:pos="270"/>
          <w:tab w:val="left" w:pos="1440"/>
        </w:tabs>
        <w:ind w:left="1440" w:hanging="1440"/>
        <w:rPr>
          <w:color w:val="000000"/>
        </w:rPr>
      </w:pPr>
      <w:r w:rsidRPr="00672461">
        <w:rPr>
          <w:color w:val="000000"/>
        </w:rPr>
        <w:t xml:space="preserve">Table </w:t>
      </w:r>
      <w:r w:rsidR="007F1766" w:rsidRPr="00672461">
        <w:rPr>
          <w:color w:val="000000"/>
        </w:rPr>
        <w:t>8</w:t>
      </w:r>
      <w:r w:rsidRPr="00672461">
        <w:rPr>
          <w:color w:val="000000"/>
        </w:rPr>
        <w:t>:</w:t>
      </w:r>
      <w:r w:rsidRPr="00672461">
        <w:rPr>
          <w:color w:val="000000"/>
        </w:rPr>
        <w:tab/>
      </w:r>
      <w:r w:rsidR="007F1766" w:rsidRPr="00672461">
        <w:rPr>
          <w:color w:val="000000"/>
        </w:rPr>
        <w:t>Summary</w:t>
      </w:r>
      <w:r w:rsidR="007F1766" w:rsidRPr="007F1766">
        <w:rPr>
          <w:color w:val="000000"/>
        </w:rPr>
        <w:t xml:space="preserve"> of Annual Designated Administrator Burden and Cost of Recordkeeping and Reporting Requirements of the MACT Floor for Existing Sources: Polyvinyl Chloride and Copol</w:t>
      </w:r>
      <w:r w:rsidR="007F1766">
        <w:rPr>
          <w:color w:val="000000"/>
        </w:rPr>
        <w:t>ymer Manufacturing Units</w:t>
      </w:r>
    </w:p>
    <w:p w:rsidR="007F1766" w:rsidRDefault="007F1766" w:rsidP="00CE23D4">
      <w:pPr>
        <w:widowControl/>
        <w:tabs>
          <w:tab w:val="left" w:pos="-1180"/>
          <w:tab w:val="left" w:pos="-720"/>
          <w:tab w:val="left" w:pos="0"/>
          <w:tab w:val="left" w:pos="270"/>
          <w:tab w:val="left" w:pos="1440"/>
        </w:tabs>
        <w:ind w:left="1440" w:hanging="1440"/>
        <w:rPr>
          <w:color w:val="000000"/>
        </w:rPr>
      </w:pPr>
    </w:p>
    <w:p w:rsidR="007F1766" w:rsidRDefault="007F1766" w:rsidP="00CE23D4">
      <w:pPr>
        <w:widowControl/>
        <w:tabs>
          <w:tab w:val="left" w:pos="-1180"/>
          <w:tab w:val="left" w:pos="-720"/>
          <w:tab w:val="left" w:pos="0"/>
          <w:tab w:val="left" w:pos="270"/>
          <w:tab w:val="left" w:pos="1440"/>
        </w:tabs>
        <w:ind w:left="1440" w:hanging="1440"/>
        <w:rPr>
          <w:color w:val="000000"/>
        </w:rPr>
      </w:pPr>
    </w:p>
    <w:p w:rsidR="007F1766" w:rsidRPr="00937FAA" w:rsidRDefault="007F1766" w:rsidP="00CE23D4">
      <w:pPr>
        <w:widowControl/>
        <w:tabs>
          <w:tab w:val="left" w:pos="-1180"/>
          <w:tab w:val="left" w:pos="-720"/>
          <w:tab w:val="left" w:pos="0"/>
          <w:tab w:val="left" w:pos="270"/>
          <w:tab w:val="left" w:pos="1440"/>
        </w:tabs>
        <w:ind w:left="1440" w:hanging="1440"/>
        <w:rPr>
          <w:color w:val="000000"/>
          <w:highlight w:val="cyan"/>
        </w:rPr>
      </w:pPr>
    </w:p>
    <w:sectPr w:rsidR="007F1766" w:rsidRPr="00937FAA" w:rsidSect="00CE23D4">
      <w:footerReference w:type="default" r:id="rId7"/>
      <w:pgSz w:w="12240" w:h="15840"/>
      <w:pgMar w:top="1354"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E91" w:rsidRDefault="00CC7E91">
      <w:r>
        <w:separator/>
      </w:r>
    </w:p>
  </w:endnote>
  <w:endnote w:type="continuationSeparator" w:id="0">
    <w:p w:rsidR="00CC7E91" w:rsidRDefault="00CC7E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E9" w:rsidRDefault="00BE21E9">
    <w:pPr>
      <w:spacing w:line="240" w:lineRule="exact"/>
    </w:pPr>
  </w:p>
  <w:p w:rsidR="00BE21E9" w:rsidRDefault="00BE21E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E91" w:rsidRDefault="00CC7E91">
      <w:r>
        <w:separator/>
      </w:r>
    </w:p>
  </w:footnote>
  <w:footnote w:type="continuationSeparator" w:id="0">
    <w:p w:rsidR="00CC7E91" w:rsidRDefault="00CC7E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9E4CF2"/>
    <w:lvl w:ilvl="0">
      <w:start w:val="1"/>
      <w:numFmt w:val="decimal"/>
      <w:lvlText w:val="%1."/>
      <w:lvlJc w:val="left"/>
      <w:pPr>
        <w:tabs>
          <w:tab w:val="num" w:pos="1800"/>
        </w:tabs>
        <w:ind w:left="1800" w:hanging="360"/>
      </w:pPr>
    </w:lvl>
  </w:abstractNum>
  <w:abstractNum w:abstractNumId="1">
    <w:nsid w:val="FFFFFF7D"/>
    <w:multiLevelType w:val="singleLevel"/>
    <w:tmpl w:val="A1DAD824"/>
    <w:lvl w:ilvl="0">
      <w:start w:val="1"/>
      <w:numFmt w:val="decimal"/>
      <w:lvlText w:val="%1."/>
      <w:lvlJc w:val="left"/>
      <w:pPr>
        <w:tabs>
          <w:tab w:val="num" w:pos="1440"/>
        </w:tabs>
        <w:ind w:left="1440" w:hanging="360"/>
      </w:pPr>
    </w:lvl>
  </w:abstractNum>
  <w:abstractNum w:abstractNumId="2">
    <w:nsid w:val="FFFFFF7E"/>
    <w:multiLevelType w:val="singleLevel"/>
    <w:tmpl w:val="34306DAA"/>
    <w:lvl w:ilvl="0">
      <w:start w:val="1"/>
      <w:numFmt w:val="decimal"/>
      <w:lvlText w:val="%1."/>
      <w:lvlJc w:val="left"/>
      <w:pPr>
        <w:tabs>
          <w:tab w:val="num" w:pos="1080"/>
        </w:tabs>
        <w:ind w:left="1080" w:hanging="360"/>
      </w:pPr>
    </w:lvl>
  </w:abstractNum>
  <w:abstractNum w:abstractNumId="3">
    <w:nsid w:val="FFFFFF7F"/>
    <w:multiLevelType w:val="singleLevel"/>
    <w:tmpl w:val="3DAC472E"/>
    <w:lvl w:ilvl="0">
      <w:start w:val="1"/>
      <w:numFmt w:val="decimal"/>
      <w:lvlText w:val="%1."/>
      <w:lvlJc w:val="left"/>
      <w:pPr>
        <w:tabs>
          <w:tab w:val="num" w:pos="720"/>
        </w:tabs>
        <w:ind w:left="720" w:hanging="360"/>
      </w:pPr>
    </w:lvl>
  </w:abstractNum>
  <w:abstractNum w:abstractNumId="4">
    <w:nsid w:val="FFFFFF80"/>
    <w:multiLevelType w:val="singleLevel"/>
    <w:tmpl w:val="C406AA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042A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67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2AB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76A1BC"/>
    <w:lvl w:ilvl="0">
      <w:start w:val="1"/>
      <w:numFmt w:val="decimal"/>
      <w:lvlText w:val="%1."/>
      <w:lvlJc w:val="left"/>
      <w:pPr>
        <w:tabs>
          <w:tab w:val="num" w:pos="360"/>
        </w:tabs>
        <w:ind w:left="360" w:hanging="360"/>
      </w:pPr>
    </w:lvl>
  </w:abstractNum>
  <w:abstractNum w:abstractNumId="9">
    <w:nsid w:val="FFFFFF89"/>
    <w:multiLevelType w:val="singleLevel"/>
    <w:tmpl w:val="6CAA43BE"/>
    <w:lvl w:ilvl="0">
      <w:start w:val="1"/>
      <w:numFmt w:val="bullet"/>
      <w:lvlText w:val=""/>
      <w:lvlJc w:val="left"/>
      <w:pPr>
        <w:tabs>
          <w:tab w:val="num" w:pos="360"/>
        </w:tabs>
        <w:ind w:left="360" w:hanging="360"/>
      </w:pPr>
      <w:rPr>
        <w:rFonts w:ascii="Symbol" w:hAnsi="Symbol" w:hint="default"/>
      </w:rPr>
    </w:lvl>
  </w:abstractNum>
  <w:abstractNum w:abstractNumId="10">
    <w:nsid w:val="1334658C"/>
    <w:multiLevelType w:val="hybridMultilevel"/>
    <w:tmpl w:val="B75A7ADA"/>
    <w:lvl w:ilvl="0" w:tplc="31ACEBC0">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B3E614C"/>
    <w:multiLevelType w:val="hybridMultilevel"/>
    <w:tmpl w:val="EBEA0204"/>
    <w:lvl w:ilvl="0" w:tplc="CB2291D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BA32ABE"/>
    <w:multiLevelType w:val="hybridMultilevel"/>
    <w:tmpl w:val="D51E6A44"/>
    <w:lvl w:ilvl="0" w:tplc="72268500">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391465E"/>
    <w:multiLevelType w:val="hybridMultilevel"/>
    <w:tmpl w:val="F822C3E2"/>
    <w:lvl w:ilvl="0" w:tplc="A654658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D6D123E"/>
    <w:multiLevelType w:val="hybridMultilevel"/>
    <w:tmpl w:val="11625F06"/>
    <w:lvl w:ilvl="0" w:tplc="6E8C88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3"/>
  </w:num>
  <w:num w:numId="4">
    <w:abstractNumId w:val="11"/>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23D4"/>
    <w:rsid w:val="0000526F"/>
    <w:rsid w:val="00006150"/>
    <w:rsid w:val="00006435"/>
    <w:rsid w:val="00015ABF"/>
    <w:rsid w:val="00017199"/>
    <w:rsid w:val="00021F3E"/>
    <w:rsid w:val="000223AC"/>
    <w:rsid w:val="00046703"/>
    <w:rsid w:val="00082DC2"/>
    <w:rsid w:val="00087311"/>
    <w:rsid w:val="00087AB7"/>
    <w:rsid w:val="000A36DE"/>
    <w:rsid w:val="000A5B56"/>
    <w:rsid w:val="000C686E"/>
    <w:rsid w:val="000D2335"/>
    <w:rsid w:val="000E5381"/>
    <w:rsid w:val="000E60D9"/>
    <w:rsid w:val="000F0411"/>
    <w:rsid w:val="00103793"/>
    <w:rsid w:val="00105209"/>
    <w:rsid w:val="00110105"/>
    <w:rsid w:val="00116556"/>
    <w:rsid w:val="00120D36"/>
    <w:rsid w:val="0012762E"/>
    <w:rsid w:val="0012763B"/>
    <w:rsid w:val="00131D2E"/>
    <w:rsid w:val="00135582"/>
    <w:rsid w:val="00143F37"/>
    <w:rsid w:val="001440D8"/>
    <w:rsid w:val="001526E7"/>
    <w:rsid w:val="00155C17"/>
    <w:rsid w:val="00161149"/>
    <w:rsid w:val="00180EC4"/>
    <w:rsid w:val="001813E7"/>
    <w:rsid w:val="00187BD5"/>
    <w:rsid w:val="00190918"/>
    <w:rsid w:val="001929B3"/>
    <w:rsid w:val="001A730B"/>
    <w:rsid w:val="001B6A0E"/>
    <w:rsid w:val="001C2230"/>
    <w:rsid w:val="001E7179"/>
    <w:rsid w:val="001E78C6"/>
    <w:rsid w:val="00223980"/>
    <w:rsid w:val="00234B55"/>
    <w:rsid w:val="002365EB"/>
    <w:rsid w:val="00260E7B"/>
    <w:rsid w:val="00261632"/>
    <w:rsid w:val="00272CD5"/>
    <w:rsid w:val="00282570"/>
    <w:rsid w:val="002869B1"/>
    <w:rsid w:val="002914A1"/>
    <w:rsid w:val="002A12C8"/>
    <w:rsid w:val="002A58EA"/>
    <w:rsid w:val="002B0AD6"/>
    <w:rsid w:val="002B0B70"/>
    <w:rsid w:val="002B22D5"/>
    <w:rsid w:val="002B39F7"/>
    <w:rsid w:val="002C2696"/>
    <w:rsid w:val="002E19F7"/>
    <w:rsid w:val="003141A4"/>
    <w:rsid w:val="003148C5"/>
    <w:rsid w:val="003166A8"/>
    <w:rsid w:val="003245B7"/>
    <w:rsid w:val="003312BD"/>
    <w:rsid w:val="003345FF"/>
    <w:rsid w:val="003366FA"/>
    <w:rsid w:val="00343379"/>
    <w:rsid w:val="00347B3C"/>
    <w:rsid w:val="00354742"/>
    <w:rsid w:val="00365701"/>
    <w:rsid w:val="003803E8"/>
    <w:rsid w:val="0038240D"/>
    <w:rsid w:val="00391698"/>
    <w:rsid w:val="00392161"/>
    <w:rsid w:val="00393E97"/>
    <w:rsid w:val="003A0F3E"/>
    <w:rsid w:val="003B29F8"/>
    <w:rsid w:val="003B3CFA"/>
    <w:rsid w:val="003C0548"/>
    <w:rsid w:val="003C2999"/>
    <w:rsid w:val="003C3605"/>
    <w:rsid w:val="003D00F4"/>
    <w:rsid w:val="003D2287"/>
    <w:rsid w:val="003E546E"/>
    <w:rsid w:val="003E61B4"/>
    <w:rsid w:val="003F7E18"/>
    <w:rsid w:val="00422268"/>
    <w:rsid w:val="00426B18"/>
    <w:rsid w:val="00441109"/>
    <w:rsid w:val="00443F1F"/>
    <w:rsid w:val="004541E2"/>
    <w:rsid w:val="00490FCE"/>
    <w:rsid w:val="0049290A"/>
    <w:rsid w:val="00494481"/>
    <w:rsid w:val="00497409"/>
    <w:rsid w:val="004B2971"/>
    <w:rsid w:val="004B4D01"/>
    <w:rsid w:val="004C10A0"/>
    <w:rsid w:val="004C24EF"/>
    <w:rsid w:val="004C2F3F"/>
    <w:rsid w:val="004D4D40"/>
    <w:rsid w:val="00500BDF"/>
    <w:rsid w:val="00503388"/>
    <w:rsid w:val="005110E3"/>
    <w:rsid w:val="005205D5"/>
    <w:rsid w:val="00526123"/>
    <w:rsid w:val="00531E2A"/>
    <w:rsid w:val="005415AE"/>
    <w:rsid w:val="005572C5"/>
    <w:rsid w:val="00573806"/>
    <w:rsid w:val="005771F7"/>
    <w:rsid w:val="005A7E5B"/>
    <w:rsid w:val="005D329D"/>
    <w:rsid w:val="005E0275"/>
    <w:rsid w:val="006218C0"/>
    <w:rsid w:val="00623BBF"/>
    <w:rsid w:val="00635078"/>
    <w:rsid w:val="00641D2C"/>
    <w:rsid w:val="00642F7A"/>
    <w:rsid w:val="006534AA"/>
    <w:rsid w:val="00672461"/>
    <w:rsid w:val="006737B3"/>
    <w:rsid w:val="006837D0"/>
    <w:rsid w:val="00684359"/>
    <w:rsid w:val="00690791"/>
    <w:rsid w:val="006929D9"/>
    <w:rsid w:val="006967B2"/>
    <w:rsid w:val="006B05E3"/>
    <w:rsid w:val="006B6060"/>
    <w:rsid w:val="006C105D"/>
    <w:rsid w:val="006C3195"/>
    <w:rsid w:val="006F321B"/>
    <w:rsid w:val="007012A2"/>
    <w:rsid w:val="0070141F"/>
    <w:rsid w:val="00712B4D"/>
    <w:rsid w:val="00721EF4"/>
    <w:rsid w:val="00722C83"/>
    <w:rsid w:val="00743986"/>
    <w:rsid w:val="00764878"/>
    <w:rsid w:val="007748D1"/>
    <w:rsid w:val="00774F73"/>
    <w:rsid w:val="007947C2"/>
    <w:rsid w:val="007B3A60"/>
    <w:rsid w:val="007C6C0B"/>
    <w:rsid w:val="007C7403"/>
    <w:rsid w:val="007D09DC"/>
    <w:rsid w:val="007D1D0E"/>
    <w:rsid w:val="007D42E1"/>
    <w:rsid w:val="007E10A9"/>
    <w:rsid w:val="007E4DE7"/>
    <w:rsid w:val="007F1766"/>
    <w:rsid w:val="00807981"/>
    <w:rsid w:val="00820679"/>
    <w:rsid w:val="00826141"/>
    <w:rsid w:val="008262DD"/>
    <w:rsid w:val="00834090"/>
    <w:rsid w:val="00840162"/>
    <w:rsid w:val="008539AE"/>
    <w:rsid w:val="00861097"/>
    <w:rsid w:val="00890323"/>
    <w:rsid w:val="008A104B"/>
    <w:rsid w:val="008A2E38"/>
    <w:rsid w:val="008B2191"/>
    <w:rsid w:val="008C6FC0"/>
    <w:rsid w:val="008E0346"/>
    <w:rsid w:val="00901E42"/>
    <w:rsid w:val="0090550A"/>
    <w:rsid w:val="0092366F"/>
    <w:rsid w:val="0093035C"/>
    <w:rsid w:val="00937FAA"/>
    <w:rsid w:val="00943AA0"/>
    <w:rsid w:val="009465FF"/>
    <w:rsid w:val="009541F1"/>
    <w:rsid w:val="0098309F"/>
    <w:rsid w:val="009A5090"/>
    <w:rsid w:val="009B5843"/>
    <w:rsid w:val="009C03AF"/>
    <w:rsid w:val="009C479A"/>
    <w:rsid w:val="009D21AA"/>
    <w:rsid w:val="009D22E5"/>
    <w:rsid w:val="009E2366"/>
    <w:rsid w:val="009E4310"/>
    <w:rsid w:val="009F0F2D"/>
    <w:rsid w:val="009F3A9E"/>
    <w:rsid w:val="009F652F"/>
    <w:rsid w:val="00A02AF9"/>
    <w:rsid w:val="00A116F4"/>
    <w:rsid w:val="00A17F2E"/>
    <w:rsid w:val="00A37633"/>
    <w:rsid w:val="00A54AC2"/>
    <w:rsid w:val="00A63F32"/>
    <w:rsid w:val="00A644FF"/>
    <w:rsid w:val="00A84BD7"/>
    <w:rsid w:val="00AA768B"/>
    <w:rsid w:val="00AB3FDD"/>
    <w:rsid w:val="00AC24C0"/>
    <w:rsid w:val="00AC50CF"/>
    <w:rsid w:val="00AF21B1"/>
    <w:rsid w:val="00AF4EF9"/>
    <w:rsid w:val="00B04451"/>
    <w:rsid w:val="00B2236D"/>
    <w:rsid w:val="00B24699"/>
    <w:rsid w:val="00B30922"/>
    <w:rsid w:val="00B34390"/>
    <w:rsid w:val="00B66C74"/>
    <w:rsid w:val="00B71543"/>
    <w:rsid w:val="00BA25D2"/>
    <w:rsid w:val="00BC3626"/>
    <w:rsid w:val="00BC520B"/>
    <w:rsid w:val="00BD6E0A"/>
    <w:rsid w:val="00BE21E9"/>
    <w:rsid w:val="00BE4E36"/>
    <w:rsid w:val="00BF3730"/>
    <w:rsid w:val="00BF3F9C"/>
    <w:rsid w:val="00BF73B6"/>
    <w:rsid w:val="00C01FDE"/>
    <w:rsid w:val="00C05D44"/>
    <w:rsid w:val="00C20DDB"/>
    <w:rsid w:val="00C2391E"/>
    <w:rsid w:val="00C922EB"/>
    <w:rsid w:val="00C95452"/>
    <w:rsid w:val="00CC536B"/>
    <w:rsid w:val="00CC7E91"/>
    <w:rsid w:val="00CE23D4"/>
    <w:rsid w:val="00CE4657"/>
    <w:rsid w:val="00CE7749"/>
    <w:rsid w:val="00CF24F9"/>
    <w:rsid w:val="00CF39B1"/>
    <w:rsid w:val="00D17F4A"/>
    <w:rsid w:val="00D27E06"/>
    <w:rsid w:val="00D446F8"/>
    <w:rsid w:val="00D51B61"/>
    <w:rsid w:val="00D52C26"/>
    <w:rsid w:val="00D719AD"/>
    <w:rsid w:val="00D829BE"/>
    <w:rsid w:val="00D82F2E"/>
    <w:rsid w:val="00DA7DA3"/>
    <w:rsid w:val="00DB1EB3"/>
    <w:rsid w:val="00DC08B5"/>
    <w:rsid w:val="00DC148E"/>
    <w:rsid w:val="00DD25CA"/>
    <w:rsid w:val="00DE066F"/>
    <w:rsid w:val="00E07A17"/>
    <w:rsid w:val="00E14B7C"/>
    <w:rsid w:val="00E14D5E"/>
    <w:rsid w:val="00E20CA6"/>
    <w:rsid w:val="00E2626F"/>
    <w:rsid w:val="00E37F47"/>
    <w:rsid w:val="00E524E7"/>
    <w:rsid w:val="00E63534"/>
    <w:rsid w:val="00E77036"/>
    <w:rsid w:val="00E77F00"/>
    <w:rsid w:val="00E86FFF"/>
    <w:rsid w:val="00E91698"/>
    <w:rsid w:val="00E95E13"/>
    <w:rsid w:val="00EC0249"/>
    <w:rsid w:val="00EC141F"/>
    <w:rsid w:val="00EC74C8"/>
    <w:rsid w:val="00ED2008"/>
    <w:rsid w:val="00EE35C3"/>
    <w:rsid w:val="00EF1A42"/>
    <w:rsid w:val="00F10C25"/>
    <w:rsid w:val="00F17E76"/>
    <w:rsid w:val="00F21598"/>
    <w:rsid w:val="00F50A24"/>
    <w:rsid w:val="00F61B2E"/>
    <w:rsid w:val="00F628AC"/>
    <w:rsid w:val="00F67A12"/>
    <w:rsid w:val="00F7682F"/>
    <w:rsid w:val="00F81E1C"/>
    <w:rsid w:val="00F91E99"/>
    <w:rsid w:val="00F945F8"/>
    <w:rsid w:val="00F9733D"/>
    <w:rsid w:val="00FA3FCC"/>
    <w:rsid w:val="00FA6A19"/>
    <w:rsid w:val="00FA6E16"/>
    <w:rsid w:val="00FE3AB7"/>
    <w:rsid w:val="00FE67C2"/>
    <w:rsid w:val="00FE69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b/>
      <w:bCs/>
    </w:rPr>
  </w:style>
  <w:style w:type="character" w:customStyle="1" w:styleId="HeaderChar">
    <w:name w:val="Header Char"/>
    <w:basedOn w:val="DefaultParagraphFont"/>
    <w:link w:val="Header"/>
    <w:uiPriority w:val="99"/>
    <w:rsid w:val="006837D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5317</Words>
  <Characters>30308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ERG</Company>
  <LinksUpToDate>false</LinksUpToDate>
  <CharactersWithSpaces>35554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ERG_BML</dc:creator>
  <cp:keywords/>
  <dc:description/>
  <cp:lastModifiedBy>ckerwin</cp:lastModifiedBy>
  <cp:revision>2</cp:revision>
  <cp:lastPrinted>2012-02-09T17:50:00Z</cp:lastPrinted>
  <dcterms:created xsi:type="dcterms:W3CDTF">2012-04-17T12:35:00Z</dcterms:created>
  <dcterms:modified xsi:type="dcterms:W3CDTF">2012-04-17T12:35:00Z</dcterms:modified>
</cp:coreProperties>
</file>