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C86" w:rsidRDefault="003C5C86" w:rsidP="00162811">
      <w:pPr>
        <w:jc w:val="center"/>
        <w:outlineLvl w:val="0"/>
        <w:rPr>
          <w:b/>
          <w:bCs/>
        </w:rPr>
      </w:pPr>
      <w:r>
        <w:rPr>
          <w:b/>
          <w:bCs/>
        </w:rPr>
        <w:t>SUPPORTING STATEMENT</w:t>
      </w:r>
    </w:p>
    <w:p w:rsidR="003C5C86" w:rsidRDefault="003C5C86" w:rsidP="00162811">
      <w:pPr>
        <w:jc w:val="center"/>
        <w:outlineLvl w:val="0"/>
      </w:pPr>
      <w:r>
        <w:rPr>
          <w:b/>
          <w:bCs/>
        </w:rPr>
        <w:t>ENVIRONMENTAL PROTECTION AGENCY</w:t>
      </w:r>
    </w:p>
    <w:p w:rsidR="003C5C86" w:rsidRDefault="003C5C86">
      <w:pPr>
        <w:jc w:val="center"/>
      </w:pPr>
    </w:p>
    <w:p w:rsidR="003C5C86" w:rsidRDefault="003C5C86" w:rsidP="00162811">
      <w:pPr>
        <w:outlineLvl w:val="0"/>
        <w:rPr>
          <w:b/>
          <w:bCs/>
        </w:rPr>
      </w:pPr>
      <w:r>
        <w:rPr>
          <w:b/>
          <w:bCs/>
        </w:rPr>
        <w:t>NESHAP f</w:t>
      </w:r>
      <w:r w:rsidR="0050301C">
        <w:rPr>
          <w:b/>
          <w:bCs/>
        </w:rPr>
        <w:t xml:space="preserve">or Coke Oven Batteries (40 </w:t>
      </w:r>
      <w:smartTag w:uri="urn:schemas-microsoft-com:office:smarttags" w:element="stockticker">
        <w:r w:rsidR="0050301C">
          <w:rPr>
            <w:b/>
            <w:bCs/>
          </w:rPr>
          <w:t>CFR</w:t>
        </w:r>
      </w:smartTag>
      <w:r w:rsidR="0050301C">
        <w:rPr>
          <w:b/>
          <w:bCs/>
        </w:rPr>
        <w:t xml:space="preserve"> Part</w:t>
      </w:r>
      <w:r w:rsidR="00455E1C">
        <w:rPr>
          <w:b/>
          <w:bCs/>
        </w:rPr>
        <w:t xml:space="preserve"> </w:t>
      </w:r>
      <w:r w:rsidR="0050301C">
        <w:rPr>
          <w:b/>
          <w:bCs/>
        </w:rPr>
        <w:t>63, S</w:t>
      </w:r>
      <w:r>
        <w:rPr>
          <w:b/>
          <w:bCs/>
        </w:rPr>
        <w:t xml:space="preserve">ubpart L) </w:t>
      </w:r>
      <w:r w:rsidR="00F1568F">
        <w:rPr>
          <w:b/>
          <w:bCs/>
        </w:rPr>
        <w:t>(Renewal)</w:t>
      </w:r>
    </w:p>
    <w:p w:rsidR="003C5C86" w:rsidRDefault="003C5C86">
      <w:pPr>
        <w:jc w:val="center"/>
        <w:rPr>
          <w:b/>
          <w:bCs/>
        </w:rPr>
      </w:pPr>
    </w:p>
    <w:p w:rsidR="003C5C86" w:rsidRDefault="003C5C86">
      <w:pPr>
        <w:rPr>
          <w:b/>
          <w:bCs/>
        </w:rPr>
      </w:pPr>
      <w:r>
        <w:rPr>
          <w:b/>
          <w:bCs/>
        </w:rPr>
        <w:t>1.  Identification of the Information Collection</w:t>
      </w:r>
    </w:p>
    <w:p w:rsidR="003C5C86" w:rsidRDefault="003C5C86">
      <w:pPr>
        <w:rPr>
          <w:b/>
          <w:bCs/>
        </w:rPr>
      </w:pPr>
    </w:p>
    <w:p w:rsidR="003C5C86" w:rsidRDefault="003C5C86">
      <w:pPr>
        <w:ind w:firstLine="720"/>
        <w:rPr>
          <w:b/>
          <w:bCs/>
        </w:rPr>
      </w:pPr>
      <w:r>
        <w:rPr>
          <w:b/>
          <w:bCs/>
        </w:rPr>
        <w:t>1(a)  Title of the Information Collection</w:t>
      </w:r>
    </w:p>
    <w:p w:rsidR="003C5C86" w:rsidRDefault="003C5C86">
      <w:pPr>
        <w:rPr>
          <w:b/>
          <w:bCs/>
        </w:rPr>
      </w:pPr>
    </w:p>
    <w:p w:rsidR="0030631B" w:rsidRDefault="003C5C86" w:rsidP="00C924AF">
      <w:pPr>
        <w:rPr>
          <w:bCs/>
        </w:rPr>
      </w:pPr>
      <w:r w:rsidRPr="009B7287">
        <w:rPr>
          <w:bCs/>
        </w:rPr>
        <w:t>NESHAP f</w:t>
      </w:r>
      <w:r w:rsidR="00305C7C">
        <w:rPr>
          <w:bCs/>
        </w:rPr>
        <w:t xml:space="preserve">or Coke Oven Batteries (40 </w:t>
      </w:r>
      <w:smartTag w:uri="urn:schemas-microsoft-com:office:smarttags" w:element="stockticker">
        <w:r w:rsidR="00305C7C">
          <w:rPr>
            <w:bCs/>
          </w:rPr>
          <w:t>CFR</w:t>
        </w:r>
      </w:smartTag>
      <w:r w:rsidR="00305C7C">
        <w:rPr>
          <w:bCs/>
        </w:rPr>
        <w:t xml:space="preserve"> Part 63, S</w:t>
      </w:r>
      <w:r w:rsidRPr="009B7287">
        <w:rPr>
          <w:bCs/>
        </w:rPr>
        <w:t xml:space="preserve">ubpart L) </w:t>
      </w:r>
      <w:r w:rsidR="00F1568F">
        <w:rPr>
          <w:bCs/>
        </w:rPr>
        <w:t>(Renewal)</w:t>
      </w:r>
      <w:r w:rsidR="00852420">
        <w:rPr>
          <w:bCs/>
        </w:rPr>
        <w:t xml:space="preserve">, </w:t>
      </w:r>
    </w:p>
    <w:p w:rsidR="00C924AF" w:rsidRDefault="00852420" w:rsidP="00C924AF">
      <w:pPr>
        <w:rPr>
          <w:bCs/>
        </w:rPr>
      </w:pPr>
      <w:r>
        <w:rPr>
          <w:bCs/>
        </w:rPr>
        <w:t>EPA ICR Control Number 1362.09</w:t>
      </w:r>
      <w:r w:rsidR="00F1568F">
        <w:rPr>
          <w:bCs/>
        </w:rPr>
        <w:t>, OMB Control Number 2060-0253</w:t>
      </w:r>
    </w:p>
    <w:p w:rsidR="003C5C86" w:rsidRDefault="003C5C86">
      <w:pPr>
        <w:rPr>
          <w:b/>
          <w:bCs/>
        </w:rPr>
      </w:pPr>
    </w:p>
    <w:p w:rsidR="003C5C86" w:rsidRDefault="003C5C86">
      <w:pPr>
        <w:ind w:firstLine="720"/>
      </w:pPr>
      <w:r>
        <w:rPr>
          <w:b/>
          <w:bCs/>
        </w:rPr>
        <w:t>1(b)  Short Characterization/Abstract</w:t>
      </w:r>
    </w:p>
    <w:p w:rsidR="003C5C86" w:rsidRDefault="003C5C86"/>
    <w:p w:rsidR="003C5C86" w:rsidRDefault="00BB2093" w:rsidP="00572573">
      <w:pPr>
        <w:widowControl/>
      </w:pPr>
      <w:r>
        <w:tab/>
      </w:r>
      <w:r w:rsidR="003C5C86">
        <w:t>The National Emissions Standards for</w:t>
      </w:r>
      <w:r w:rsidR="00DF07A5">
        <w:t xml:space="preserve"> Hazardous Air Pollutants (NESHAP)</w:t>
      </w:r>
      <w:r w:rsidR="003C5C86">
        <w:t xml:space="preserve"> </w:t>
      </w:r>
      <w:r w:rsidR="00162811">
        <w:t xml:space="preserve">for </w:t>
      </w:r>
      <w:r w:rsidR="003C5C86">
        <w:t xml:space="preserve">Coke Oven Batteries </w:t>
      </w:r>
      <w:r w:rsidR="0030631B">
        <w:t xml:space="preserve">(40 CFR Part 63, Subpart L) </w:t>
      </w:r>
      <w:r w:rsidR="003C5C86">
        <w:t>were proposed on December 4, 1992,</w:t>
      </w:r>
      <w:r w:rsidR="006964C4">
        <w:t xml:space="preserve"> </w:t>
      </w:r>
      <w:r w:rsidR="003C5C86">
        <w:t>promulgated on October 27, 1993</w:t>
      </w:r>
      <w:r w:rsidR="006964C4">
        <w:t xml:space="preserve">, and amended </w:t>
      </w:r>
      <w:r w:rsidR="006964C4" w:rsidRPr="008A7374">
        <w:t>on April 15, 2005</w:t>
      </w:r>
      <w:r w:rsidR="003C5C86">
        <w:t>.  These standards apply to all coke oven batteries, whether existing, new, reconstructed, rebuilt or restarted.  It also applies to all batteries using the conventional by-product recovery, the non</w:t>
      </w:r>
      <w:r w:rsidR="00F1328F">
        <w:t>-</w:t>
      </w:r>
      <w:r w:rsidR="003C5C86">
        <w:t xml:space="preserve">recovery process, or any new recovery process.  This information is being collected to assure compliance with 40 CFR </w:t>
      </w:r>
      <w:proofErr w:type="gramStart"/>
      <w:r w:rsidR="003C5C86">
        <w:t>part</w:t>
      </w:r>
      <w:proofErr w:type="gramEnd"/>
      <w:r w:rsidR="003C5C86">
        <w:t xml:space="preserve"> 63, subpart L.</w:t>
      </w:r>
    </w:p>
    <w:p w:rsidR="003C5C86" w:rsidRDefault="003C5C86"/>
    <w:p w:rsidR="003C5C86" w:rsidRDefault="003C5C86">
      <w:pPr>
        <w:ind w:firstLine="72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30631B">
        <w:t xml:space="preserve">    </w:t>
      </w:r>
      <w:r>
        <w:t>the operation of an affected facility, or any period during which the monitoring system is inoperative.  These notifications, reports, and records are essential in determining compliance, and are required of all affected facilities subject to NESHAP.</w:t>
      </w:r>
    </w:p>
    <w:p w:rsidR="003C5C86" w:rsidRDefault="003C5C86"/>
    <w:p w:rsidR="003C5C86" w:rsidRDefault="003C5C86">
      <w:pPr>
        <w:ind w:firstLine="720"/>
      </w:pPr>
      <w:r>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30631B">
        <w:t xml:space="preserve"> </w:t>
      </w:r>
      <w:r>
        <w:t>In the event that there is no such delegated authority, the reports are sent directly to the U</w:t>
      </w:r>
      <w:r w:rsidR="0030631B">
        <w:t>.</w:t>
      </w:r>
      <w:r>
        <w:t xml:space="preserve"> S</w:t>
      </w:r>
      <w:r w:rsidR="0030631B">
        <w:t>.</w:t>
      </w:r>
      <w:r>
        <w:t xml:space="preserve"> Environmental Protection Agency (EPA) regional office.</w:t>
      </w:r>
    </w:p>
    <w:p w:rsidR="00D65630" w:rsidRDefault="00D65630">
      <w:pPr>
        <w:ind w:firstLine="720"/>
      </w:pPr>
    </w:p>
    <w:p w:rsidR="00C924AF" w:rsidRDefault="00D65630" w:rsidP="00C924AF">
      <w:pPr>
        <w:ind w:firstLine="720"/>
      </w:pPr>
      <w:r>
        <w:t>Over the next three years, an average of 19 respondents per year will be subject to the standard, and no additional respondents will become subject to the standard.</w:t>
      </w:r>
      <w:r w:rsidR="00C924AF">
        <w:t xml:space="preserve"> </w:t>
      </w:r>
      <w:r w:rsidR="00C924AF" w:rsidRPr="00C924AF">
        <w:t xml:space="preserve"> </w:t>
      </w:r>
      <w:r w:rsidR="00C924AF">
        <w:t xml:space="preserve">The respondents consist of two sectors within the coke industry, iron and steel integrated plants which produce coke for their operations (nine plants) and merchant plants which produce furnace and foundry coke for sale on the open market (10 plants).  </w:t>
      </w:r>
      <w:r w:rsidR="00C924AF" w:rsidRPr="008A7374">
        <w:t xml:space="preserve">These 19 coke plants operate 55 coke oven batteries (affected facilities); 44 are by-product batteries operated at 16 plants, and 11 are non-recovery batteries operated at three plants.  </w:t>
      </w:r>
    </w:p>
    <w:p w:rsidR="003F2F94" w:rsidRDefault="003F2F94" w:rsidP="007144C0"/>
    <w:p w:rsidR="007144C0" w:rsidRDefault="007144C0" w:rsidP="003F2F94">
      <w:pPr>
        <w:ind w:firstLine="720"/>
      </w:pPr>
      <w:r>
        <w:t>In the United States, there are approximately 19 coke oven facilities, which are owned and operated by the coke oven industry (</w:t>
      </w:r>
      <w:r w:rsidR="00D65630" w:rsidRPr="00504B9E">
        <w:t>the “Affected Public”</w:t>
      </w:r>
      <w:r>
        <w:t xml:space="preserve">).  None of the facilities in the United States are owned by state, local, tribal, or the Federal government; all are privately owned </w:t>
      </w:r>
      <w:r>
        <w:lastRenderedPageBreak/>
        <w:t>for-profit businesses.  The</w:t>
      </w:r>
      <w:r w:rsidR="00D65630" w:rsidRPr="00504B9E">
        <w:t xml:space="preserve"> </w:t>
      </w:r>
      <w:r w:rsidR="00441FE3">
        <w:t xml:space="preserve">burden of the “Affected Public” is listed </w:t>
      </w:r>
      <w:r w:rsidR="0030631B">
        <w:t xml:space="preserve">below </w:t>
      </w:r>
      <w:r w:rsidR="00441FE3">
        <w:t xml:space="preserve">in </w:t>
      </w:r>
      <w:r w:rsidR="00D65630" w:rsidRPr="00504B9E">
        <w:t xml:space="preserve">Table 1: Annual </w:t>
      </w:r>
      <w:r w:rsidR="006A30D0">
        <w:t>Respondent</w:t>
      </w:r>
      <w:r w:rsidR="00D65630" w:rsidRPr="00504B9E">
        <w:t xml:space="preserve"> Burden and Cost – NESHAP for Coke Oven Batteries (40 CFR Part 63, Subpart L) (Renewal).  The burden to the “Federal Government” is attributed entirely to work performed by </w:t>
      </w:r>
      <w:r w:rsidR="006A30D0">
        <w:t>either F</w:t>
      </w:r>
      <w:r w:rsidR="00D65630" w:rsidRPr="00504B9E">
        <w:t xml:space="preserve">ederal employees or government contractors. The burden to the “Federal Government” </w:t>
      </w:r>
      <w:r w:rsidR="00441FE3">
        <w:t xml:space="preserve">is listed </w:t>
      </w:r>
      <w:r w:rsidR="006A30D0">
        <w:t xml:space="preserve">below </w:t>
      </w:r>
      <w:r w:rsidR="00D65630" w:rsidRPr="00504B9E">
        <w:t xml:space="preserve">in Table 2: Average Annual EPA Burden and Cost – NESHAP for Coke Oven Batteries (40 CFR Part 63, Subpart L) (Renewal). </w:t>
      </w:r>
      <w:r w:rsidR="00886CD7" w:rsidRPr="00504B9E">
        <w:t xml:space="preserve"> </w:t>
      </w:r>
    </w:p>
    <w:p w:rsidR="007144C0" w:rsidRDefault="007144C0" w:rsidP="003F2F94">
      <w:pPr>
        <w:ind w:firstLine="720"/>
      </w:pPr>
    </w:p>
    <w:p w:rsidR="007144C0" w:rsidRDefault="007144C0" w:rsidP="007144C0">
      <w:pPr>
        <w:ind w:firstLine="720"/>
      </w:pPr>
      <w:r>
        <w:t>In the development of the Information Collection Request (ICR), we addressed the Office of Management and Budget (OMB) “Terms of Clearance (TOC)” on the active ICR.  The TOC are as follows:</w:t>
      </w:r>
    </w:p>
    <w:p w:rsidR="007144C0" w:rsidRDefault="007144C0" w:rsidP="007144C0"/>
    <w:p w:rsidR="007144C0" w:rsidRDefault="007144C0" w:rsidP="007144C0">
      <w:pPr>
        <w:ind w:left="1440" w:right="1440"/>
      </w:pPr>
      <w:r>
        <w:t>When this ICR is renewed, EPA should review the respondent burden, universe, response number, labor rates, and capital costs and ensure these estimates have been updated.</w:t>
      </w:r>
    </w:p>
    <w:p w:rsidR="007144C0" w:rsidRDefault="007144C0" w:rsidP="007144C0">
      <w:pPr>
        <w:ind w:firstLine="720"/>
      </w:pPr>
    </w:p>
    <w:p w:rsidR="007144C0" w:rsidRDefault="007144C0" w:rsidP="007144C0">
      <w:pPr>
        <w:ind w:firstLine="720"/>
      </w:pPr>
      <w:r>
        <w:t>EPA has addressed each item of concern in the TOC.  The respondent burden, universe, labor rates, and capital cost have been thoroughly checked, and all estimates updated.</w:t>
      </w:r>
    </w:p>
    <w:p w:rsidR="003C5C86" w:rsidRPr="00504B9E" w:rsidRDefault="00886CD7" w:rsidP="003F2F94">
      <w:pPr>
        <w:ind w:firstLine="720"/>
      </w:pPr>
      <w:r w:rsidRPr="00504B9E">
        <w:t xml:space="preserve">   </w:t>
      </w:r>
    </w:p>
    <w:p w:rsidR="00455E1C" w:rsidRDefault="00455E1C">
      <w:pPr>
        <w:rPr>
          <w:b/>
          <w:bCs/>
        </w:rPr>
      </w:pPr>
    </w:p>
    <w:p w:rsidR="003C5C86" w:rsidRDefault="003C5C86">
      <w:r>
        <w:rPr>
          <w:b/>
          <w:bCs/>
        </w:rPr>
        <w:t>2.  Need for and Use of the Collection</w:t>
      </w:r>
    </w:p>
    <w:p w:rsidR="003C5C86" w:rsidRDefault="003C5C86"/>
    <w:p w:rsidR="003C5C86" w:rsidRDefault="003C5C86" w:rsidP="00D74189">
      <w:pPr>
        <w:ind w:firstLine="720"/>
        <w:rPr>
          <w:b/>
          <w:bCs/>
        </w:rPr>
      </w:pPr>
      <w:r>
        <w:rPr>
          <w:b/>
          <w:bCs/>
        </w:rPr>
        <w:t>2(a)  Need/Authority for the Collection</w:t>
      </w:r>
    </w:p>
    <w:p w:rsidR="00D74189" w:rsidRDefault="00D74189" w:rsidP="00D74189">
      <w:pPr>
        <w:ind w:firstLine="720"/>
        <w:rPr>
          <w:b/>
          <w:bCs/>
        </w:rPr>
      </w:pPr>
    </w:p>
    <w:p w:rsidR="003C5C86" w:rsidRDefault="003E0E1A">
      <w:pPr>
        <w:ind w:firstLine="720"/>
      </w:pPr>
      <w:r>
        <w:t>The EPA is charged under S</w:t>
      </w:r>
      <w:r w:rsidR="003C5C86">
        <w:t>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w:t>
      </w:r>
      <w:r w:rsidR="00E16419">
        <w:t xml:space="preserve">ssion reduction.  In addition, </w:t>
      </w:r>
      <w:r>
        <w:t>S</w:t>
      </w:r>
      <w:r w:rsidR="003C5C86">
        <w:t xml:space="preserve">ection 114(a) states that the Administrator may require any owner/operator subject to any requirement of this Act to: </w:t>
      </w:r>
    </w:p>
    <w:p w:rsidR="003C5C86" w:rsidRDefault="003C5C86"/>
    <w:p w:rsidR="003C5C86" w:rsidRDefault="003C5C86">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3C5C86" w:rsidRDefault="003C5C86"/>
    <w:p w:rsidR="003C5C86" w:rsidRDefault="003C5C86">
      <w:pPr>
        <w:ind w:firstLine="720"/>
      </w:pPr>
      <w:r>
        <w:t xml:space="preserve">In the Administrator's judgment, particulate matter emissions from coke batteries at coke plants </w:t>
      </w:r>
      <w:r w:rsidR="006A30D0">
        <w:t xml:space="preserve">either </w:t>
      </w:r>
      <w:r>
        <w:t xml:space="preserve">cause or contribute to air pollution that may reasonably be anticipated to endanger public health or welfare.  Therefore, the NESHAP standards were promulgated for this source category at 40 CFR </w:t>
      </w:r>
      <w:proofErr w:type="gramStart"/>
      <w:r>
        <w:t>part</w:t>
      </w:r>
      <w:proofErr w:type="gramEnd"/>
      <w:r>
        <w:t xml:space="preserve"> 63, subpart L.</w:t>
      </w:r>
    </w:p>
    <w:p w:rsidR="003C5C86" w:rsidRDefault="003C5C86">
      <w:pPr>
        <w:ind w:firstLine="720"/>
      </w:pPr>
      <w:r>
        <w:rPr>
          <w:b/>
          <w:bCs/>
        </w:rPr>
        <w:lastRenderedPageBreak/>
        <w:t>2(b</w:t>
      </w:r>
      <w:proofErr w:type="gramStart"/>
      <w:r>
        <w:rPr>
          <w:b/>
          <w:bCs/>
        </w:rPr>
        <w:t>)  Practical</w:t>
      </w:r>
      <w:proofErr w:type="gramEnd"/>
      <w:r>
        <w:rPr>
          <w:b/>
          <w:bCs/>
        </w:rPr>
        <w:t xml:space="preserve"> Utility/Users of the Data</w:t>
      </w:r>
    </w:p>
    <w:p w:rsidR="003C5C86" w:rsidRDefault="003C5C86"/>
    <w:p w:rsidR="003C5C86" w:rsidRDefault="003C5C86">
      <w:pPr>
        <w:ind w:firstLine="720"/>
      </w:pPr>
      <w:r>
        <w:t xml:space="preserve">The recordkeeping and reporting requirements in the standard ensure compliance </w:t>
      </w:r>
      <w:proofErr w:type="gramStart"/>
      <w:r>
        <w:t xml:space="preserve">with </w:t>
      </w:r>
      <w:r w:rsidR="006A30D0">
        <w:t xml:space="preserve"> </w:t>
      </w:r>
      <w:r>
        <w:t>the</w:t>
      </w:r>
      <w:proofErr w:type="gramEnd"/>
      <w:r>
        <w:t xml:space="preserve"> applicable regulations which were promulgated in accordance with the Clean Air Act.</w:t>
      </w:r>
      <w:r w:rsidR="00D43F7D">
        <w:t xml:space="preserve"> </w:t>
      </w:r>
      <w:r>
        <w:t>The collected information is also used for targeting inspections and as evidence in legal proceedings.</w:t>
      </w:r>
    </w:p>
    <w:p w:rsidR="003C5C86" w:rsidRDefault="003C5C86"/>
    <w:p w:rsidR="003C5C86" w:rsidRDefault="003C5C86">
      <w:pPr>
        <w:ind w:firstLine="720"/>
      </w:pPr>
      <w:r>
        <w:t>Performance tests are required in order to determine an affected facility</w:t>
      </w:r>
      <w:r w:rsidR="00DF07A5">
        <w:t>’</w:t>
      </w:r>
      <w:r>
        <w:t>s initial capability to comply with the emission standard.  Continuous emission monitors are used to ensure compliance with the standard at all times.  During the performance test</w:t>
      </w:r>
      <w:r w:rsidR="004C19BA">
        <w:t>,</w:t>
      </w:r>
      <w:r>
        <w:t xml:space="preserve"> a record of the operating parameters under which compliance was achieved may be recorded and used to determine compliance in place of a continuous emission monitor.</w:t>
      </w:r>
    </w:p>
    <w:p w:rsidR="003C5C86" w:rsidRDefault="003C5C86"/>
    <w:p w:rsidR="003C5C86" w:rsidRDefault="003C5C86">
      <w:pPr>
        <w:ind w:firstLine="720"/>
      </w:pPr>
      <w:r>
        <w:t xml:space="preserve">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 is being met.  </w:t>
      </w:r>
      <w:r w:rsidR="00EB4029">
        <w:t xml:space="preserve">  </w:t>
      </w:r>
      <w:r>
        <w:t>The performance test may also be observed.</w:t>
      </w:r>
    </w:p>
    <w:p w:rsidR="003C5C86" w:rsidRDefault="003C5C86">
      <w:pPr>
        <w:ind w:firstLine="720"/>
      </w:pPr>
    </w:p>
    <w:p w:rsidR="003C5C86" w:rsidRDefault="003C5C86">
      <w:pPr>
        <w:ind w:firstLine="720"/>
      </w:pPr>
      <w:r>
        <w:t>The required semiannual compliance certifications are used to determine periods of excess emissions, identify problems at the facility, verify operation and maintenance procedures and for compliance determinations.</w:t>
      </w:r>
    </w:p>
    <w:p w:rsidR="003C5C86" w:rsidRDefault="003C5C86"/>
    <w:p w:rsidR="003C5C86" w:rsidRDefault="003C5C86">
      <w:pPr>
        <w:rPr>
          <w:b/>
          <w:bCs/>
        </w:rPr>
      </w:pPr>
      <w:r>
        <w:rPr>
          <w:b/>
          <w:bCs/>
        </w:rPr>
        <w:t>3.  Non</w:t>
      </w:r>
      <w:r w:rsidR="00DF07A5">
        <w:rPr>
          <w:b/>
          <w:bCs/>
        </w:rPr>
        <w:t>-</w:t>
      </w:r>
      <w:r w:rsidR="006A30D0">
        <w:rPr>
          <w:b/>
          <w:bCs/>
        </w:rPr>
        <w:t>D</w:t>
      </w:r>
      <w:r>
        <w:rPr>
          <w:b/>
          <w:bCs/>
        </w:rPr>
        <w:t>uplication, Consultations, and Other Collection Criteria</w:t>
      </w:r>
    </w:p>
    <w:p w:rsidR="003C5C86" w:rsidRDefault="003C5C86">
      <w:pPr>
        <w:rPr>
          <w:b/>
          <w:bCs/>
        </w:rPr>
      </w:pPr>
    </w:p>
    <w:p w:rsidR="003C5C86" w:rsidRDefault="003C5C86" w:rsidP="00162811">
      <w:pPr>
        <w:ind w:firstLine="720"/>
        <w:outlineLvl w:val="0"/>
        <w:rPr>
          <w:b/>
          <w:bCs/>
        </w:rPr>
      </w:pPr>
      <w:r>
        <w:t>The requested recordkeeping and reporting are required under 40 CFR part 63, subpart L.</w:t>
      </w:r>
    </w:p>
    <w:p w:rsidR="003C5C86" w:rsidRDefault="003C5C86">
      <w:pPr>
        <w:rPr>
          <w:b/>
          <w:bCs/>
        </w:rPr>
      </w:pPr>
    </w:p>
    <w:p w:rsidR="003C5C86" w:rsidRDefault="003C5C86">
      <w:pPr>
        <w:ind w:firstLine="720"/>
      </w:pPr>
      <w:r>
        <w:rPr>
          <w:b/>
          <w:bCs/>
        </w:rPr>
        <w:t>3(a</w:t>
      </w:r>
      <w:proofErr w:type="gramStart"/>
      <w:r>
        <w:rPr>
          <w:b/>
          <w:bCs/>
        </w:rPr>
        <w:t>)  Non</w:t>
      </w:r>
      <w:proofErr w:type="gramEnd"/>
      <w:r w:rsidR="00DF07A5">
        <w:rPr>
          <w:b/>
          <w:bCs/>
        </w:rPr>
        <w:t>-</w:t>
      </w:r>
      <w:r w:rsidR="006A30D0">
        <w:rPr>
          <w:b/>
          <w:bCs/>
        </w:rPr>
        <w:t>D</w:t>
      </w:r>
      <w:r>
        <w:rPr>
          <w:b/>
          <w:bCs/>
        </w:rPr>
        <w:t>uplication</w:t>
      </w:r>
    </w:p>
    <w:p w:rsidR="003C5C86" w:rsidRDefault="003C5C86"/>
    <w:p w:rsidR="003C5C86" w:rsidRDefault="003C5C86">
      <w:pPr>
        <w:ind w:firstLine="720"/>
      </w:pPr>
      <w:r>
        <w:t>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t xml:space="preserve">, </w:t>
      </w:r>
      <w:r w:rsidR="006A30D0">
        <w:t xml:space="preserve"> </w:t>
      </w:r>
      <w:r w:rsidR="00AC379C">
        <w:t>no</w:t>
      </w:r>
      <w:proofErr w:type="gramEnd"/>
      <w:r w:rsidR="00AC379C">
        <w:t xml:space="preserve"> duplication exists.</w:t>
      </w:r>
    </w:p>
    <w:p w:rsidR="003C5C86" w:rsidRDefault="003C5C86"/>
    <w:p w:rsidR="003C5C86" w:rsidRDefault="003C5C86">
      <w:pPr>
        <w:ind w:firstLine="720"/>
      </w:pPr>
      <w:r>
        <w:rPr>
          <w:b/>
          <w:bCs/>
        </w:rPr>
        <w:t>3(b)  Public Notice Required Prior to ICR Submission to OMB</w:t>
      </w:r>
    </w:p>
    <w:p w:rsidR="003C5C86" w:rsidRDefault="003C5C86"/>
    <w:p w:rsidR="003C5C86" w:rsidRDefault="003C5C86">
      <w:pPr>
        <w:ind w:firstLine="720"/>
      </w:pPr>
      <w:r>
        <w:t xml:space="preserve">An announcement of a public comment period for the renewal of this ICR was published in the </w:t>
      </w:r>
      <w:r>
        <w:rPr>
          <w:u w:val="single"/>
        </w:rPr>
        <w:t>Federal Register</w:t>
      </w:r>
      <w:r>
        <w:t xml:space="preserve"> on </w:t>
      </w:r>
      <w:r w:rsidR="00787B58">
        <w:t xml:space="preserve">May </w:t>
      </w:r>
      <w:r w:rsidR="003F2F94">
        <w:t>9</w:t>
      </w:r>
      <w:r w:rsidR="00787B58">
        <w:t xml:space="preserve">, </w:t>
      </w:r>
      <w:r w:rsidR="003F2F94">
        <w:t xml:space="preserve">2011 </w:t>
      </w:r>
      <w:r>
        <w:t>(</w:t>
      </w:r>
      <w:r w:rsidR="003F2F94">
        <w:t xml:space="preserve">76 </w:t>
      </w:r>
      <w:r>
        <w:rPr>
          <w:u w:val="single"/>
        </w:rPr>
        <w:t>FR</w:t>
      </w:r>
      <w:r>
        <w:t xml:space="preserve"> </w:t>
      </w:r>
      <w:r w:rsidR="003F2F94">
        <w:t>26900</w:t>
      </w:r>
      <w:r>
        <w:t xml:space="preserve">).  No comments were received on the burden published in the </w:t>
      </w:r>
      <w:r>
        <w:rPr>
          <w:u w:val="single"/>
        </w:rPr>
        <w:t>Federal Register</w:t>
      </w:r>
      <w:r>
        <w:t>.</w:t>
      </w:r>
    </w:p>
    <w:p w:rsidR="00DF07A5" w:rsidRDefault="00DF07A5">
      <w:pPr>
        <w:ind w:firstLine="720"/>
        <w:rPr>
          <w:b/>
          <w:bCs/>
        </w:rPr>
      </w:pPr>
    </w:p>
    <w:p w:rsidR="003C5C86" w:rsidRDefault="003C5C86">
      <w:pPr>
        <w:ind w:firstLine="720"/>
        <w:rPr>
          <w:b/>
          <w:bCs/>
        </w:rPr>
      </w:pPr>
      <w:r>
        <w:rPr>
          <w:b/>
          <w:bCs/>
        </w:rPr>
        <w:t>3(c)  Consultations</w:t>
      </w:r>
    </w:p>
    <w:p w:rsidR="00A06E7F" w:rsidRDefault="00A06E7F">
      <w:pPr>
        <w:ind w:firstLine="720"/>
        <w:rPr>
          <w:b/>
          <w:bCs/>
        </w:rPr>
      </w:pPr>
    </w:p>
    <w:p w:rsidR="004155C4" w:rsidRDefault="00AB6EF9" w:rsidP="004155C4">
      <w:pPr>
        <w:pBdr>
          <w:top w:val="single" w:sz="6" w:space="0" w:color="FFFFFF"/>
          <w:left w:val="single" w:sz="6" w:space="0" w:color="FFFFFF"/>
          <w:bottom w:val="single" w:sz="6" w:space="0" w:color="FFFFFF"/>
          <w:right w:val="single" w:sz="6" w:space="0" w:color="FFFFFF"/>
        </w:pBdr>
        <w:ind w:firstLine="720"/>
      </w:pPr>
      <w:r w:rsidRPr="00AB6EF9">
        <w:t>The Agency has consulted i</w:t>
      </w:r>
      <w:r w:rsidRPr="00AB6EF9">
        <w:rPr>
          <w:bCs/>
        </w:rPr>
        <w:t>ndustry experts and internal data sources to project the number of affected facilities and industry growth over the next three years.</w:t>
      </w:r>
      <w:r w:rsidRPr="00AB6EF9">
        <w:rPr>
          <w:b/>
          <w:bCs/>
        </w:rPr>
        <w:t xml:space="preserve">  </w:t>
      </w:r>
      <w:r w:rsidRPr="00AB6EF9">
        <w:t xml:space="preserve">The primary source of information as reported by industry, in compliance with the recordkeeping and reporting </w:t>
      </w:r>
      <w:r w:rsidRPr="00AB6EF9">
        <w:lastRenderedPageBreak/>
        <w:t xml:space="preserve">provisions in the standard, is the OTIS (Online Tracking Information System) which is operated and maintained by EPA's Office of Compliance.  OTIS is EPA’s database for the collection, maintenance, and retrieval of all compliance data.  The growth rate for the industry is based on our consultations with the Agency’s internal industry experts. Approximately </w:t>
      </w:r>
      <w:r>
        <w:t>19</w:t>
      </w:r>
      <w:r w:rsidRPr="00AB6EF9">
        <w:t xml:space="preserve"> respondents will be subject to the standard over the three year period covered by this ICR</w:t>
      </w:r>
      <w:r w:rsidRPr="00277F42">
        <w:rPr>
          <w:color w:val="FF0000"/>
        </w:rPr>
        <w:t>.</w:t>
      </w:r>
    </w:p>
    <w:p w:rsidR="00B72CD6" w:rsidRPr="00B84762" w:rsidRDefault="00B72CD6" w:rsidP="004155C4">
      <w:pPr>
        <w:pBdr>
          <w:top w:val="single" w:sz="6" w:space="0" w:color="FFFFFF"/>
          <w:left w:val="single" w:sz="6" w:space="0" w:color="FFFFFF"/>
          <w:bottom w:val="single" w:sz="6" w:space="0" w:color="FFFFFF"/>
          <w:right w:val="single" w:sz="6" w:space="0" w:color="FFFFFF"/>
        </w:pBdr>
        <w:ind w:firstLine="720"/>
      </w:pPr>
    </w:p>
    <w:p w:rsidR="004155C4" w:rsidRPr="00B84762" w:rsidRDefault="00D511F6" w:rsidP="004155C4">
      <w:pPr>
        <w:ind w:firstLine="720"/>
      </w:pPr>
      <w:r>
        <w:t>Industry trade associations</w:t>
      </w:r>
      <w:r w:rsidRPr="00B84762">
        <w:t xml:space="preserve"> and other interested parties were provided </w:t>
      </w:r>
      <w:r>
        <w:t xml:space="preserve">with </w:t>
      </w:r>
      <w:r w:rsidRPr="00B84762">
        <w:t xml:space="preserve">an opportunity to comment on the burden associated with the standard </w:t>
      </w:r>
      <w:r>
        <w:t xml:space="preserve">when </w:t>
      </w:r>
      <w:r w:rsidRPr="00B84762">
        <w:t xml:space="preserve">it was being developed and </w:t>
      </w:r>
      <w:r>
        <w:t>further amended</w:t>
      </w:r>
      <w:r w:rsidR="00B95598">
        <w:t xml:space="preserve">, and </w:t>
      </w:r>
      <w:r w:rsidR="00D74189">
        <w:t>the</w:t>
      </w:r>
      <w:r w:rsidR="004155C4" w:rsidRPr="00B84762">
        <w:t xml:space="preserve"> standard has been previously reviewed to determine the minimum information needed for compliance purposes.</w:t>
      </w:r>
      <w:r w:rsidR="00B95598">
        <w:t xml:space="preserve">  </w:t>
      </w:r>
      <w:r w:rsidR="00DF31BB" w:rsidRPr="00504B9E">
        <w:t>For the current</w:t>
      </w:r>
      <w:r w:rsidR="00504B9E" w:rsidRPr="00504B9E">
        <w:t xml:space="preserve"> renewal, EPA contacted</w:t>
      </w:r>
      <w:r w:rsidR="006A30D0">
        <w:t>: 1)</w:t>
      </w:r>
      <w:r w:rsidR="00504B9E" w:rsidRPr="00504B9E">
        <w:t xml:space="preserve"> the Sun</w:t>
      </w:r>
      <w:r w:rsidR="006A30D0">
        <w:t xml:space="preserve"> </w:t>
      </w:r>
      <w:r w:rsidR="00DF31BB" w:rsidRPr="00504B9E">
        <w:t>Coke Energy Inc</w:t>
      </w:r>
      <w:r w:rsidR="00C66B08">
        <w:t>orporated</w:t>
      </w:r>
      <w:r w:rsidR="006A30D0">
        <w:t>,</w:t>
      </w:r>
      <w:r w:rsidR="00DF31BB" w:rsidRPr="00504B9E">
        <w:t xml:space="preserve"> </w:t>
      </w:r>
      <w:r w:rsidR="00AB6EF9" w:rsidRPr="00504B9E">
        <w:t xml:space="preserve">at </w:t>
      </w:r>
      <w:r w:rsidR="00504B9E" w:rsidRPr="00504B9E">
        <w:t>(630</w:t>
      </w:r>
      <w:r w:rsidR="00DF31BB" w:rsidRPr="00504B9E">
        <w:t xml:space="preserve">) </w:t>
      </w:r>
      <w:r w:rsidR="00037DFF">
        <w:t>824-1000</w:t>
      </w:r>
      <w:r w:rsidR="006A30D0">
        <w:t xml:space="preserve">: and 2) </w:t>
      </w:r>
      <w:r w:rsidR="00DF31BB" w:rsidRPr="00504B9E">
        <w:t>Drummond Company Inc</w:t>
      </w:r>
      <w:r w:rsidR="00C66B08">
        <w:t>orporated</w:t>
      </w:r>
      <w:r w:rsidR="00DF31BB" w:rsidRPr="00504B9E">
        <w:t xml:space="preserve"> (owner of ABC Coke)</w:t>
      </w:r>
      <w:r w:rsidR="006A30D0">
        <w:t>,</w:t>
      </w:r>
      <w:r w:rsidR="00AB6EF9" w:rsidRPr="00504B9E">
        <w:t xml:space="preserve"> at </w:t>
      </w:r>
      <w:r w:rsidR="00DF31BB" w:rsidRPr="00504B9E">
        <w:t>(</w:t>
      </w:r>
      <w:r w:rsidR="00504B9E" w:rsidRPr="00504B9E">
        <w:t>205</w:t>
      </w:r>
      <w:r w:rsidR="00DF31BB" w:rsidRPr="00504B9E">
        <w:t>)</w:t>
      </w:r>
      <w:r w:rsidR="00504B9E" w:rsidRPr="00504B9E">
        <w:t xml:space="preserve"> 945-6300</w:t>
      </w:r>
      <w:r w:rsidR="00DF31BB" w:rsidRPr="00504B9E">
        <w:t>.  No comments were received on the burden associated with this ICR.</w:t>
      </w:r>
      <w:r w:rsidR="00B95598">
        <w:t xml:space="preserve"> </w:t>
      </w:r>
    </w:p>
    <w:p w:rsidR="004155C4" w:rsidRPr="00B84762" w:rsidRDefault="004155C4" w:rsidP="004155C4"/>
    <w:p w:rsidR="004155C4" w:rsidRPr="00B84762" w:rsidRDefault="004155C4" w:rsidP="004155C4">
      <w:pPr>
        <w:widowControl/>
        <w:ind w:firstLine="720"/>
      </w:pPr>
      <w:r w:rsidRPr="00B84762">
        <w:rPr>
          <w:bCs/>
        </w:rPr>
        <w:t xml:space="preserve">It is our policy to respond after a thorough review of comments received since the last ICR renewal as well as those submitted in response to the </w:t>
      </w:r>
      <w:r w:rsidR="00DF07A5">
        <w:rPr>
          <w:bCs/>
        </w:rPr>
        <w:t>f</w:t>
      </w:r>
      <w:r w:rsidRPr="00B84762">
        <w:rPr>
          <w:bCs/>
        </w:rPr>
        <w:t xml:space="preserve">irst </w:t>
      </w:r>
      <w:r w:rsidRPr="00DF07A5">
        <w:rPr>
          <w:bCs/>
          <w:u w:val="single"/>
        </w:rPr>
        <w:t>Federal Register</w:t>
      </w:r>
      <w:r w:rsidRPr="00B84762">
        <w:rPr>
          <w:bCs/>
        </w:rPr>
        <w:t xml:space="preserve"> </w:t>
      </w:r>
      <w:r w:rsidR="00DF07A5">
        <w:rPr>
          <w:bCs/>
        </w:rPr>
        <w:t>n</w:t>
      </w:r>
      <w:r w:rsidRPr="00B84762">
        <w:rPr>
          <w:bCs/>
        </w:rPr>
        <w:t xml:space="preserve">otice.  </w:t>
      </w:r>
      <w:r w:rsidRPr="00B84762">
        <w:t xml:space="preserve">In this case, no comments were received.  </w:t>
      </w:r>
    </w:p>
    <w:p w:rsidR="003C5C86" w:rsidRDefault="003C5C86"/>
    <w:p w:rsidR="003C5C86" w:rsidRDefault="003C5C86">
      <w:pPr>
        <w:ind w:firstLine="720"/>
        <w:rPr>
          <w:b/>
          <w:bCs/>
        </w:rPr>
      </w:pPr>
      <w:r>
        <w:rPr>
          <w:b/>
          <w:bCs/>
        </w:rPr>
        <w:t>3(d)  Effects of Less Frequent Collection</w:t>
      </w:r>
    </w:p>
    <w:p w:rsidR="003606AB" w:rsidRDefault="003606AB">
      <w:pPr>
        <w:ind w:firstLine="720"/>
      </w:pPr>
    </w:p>
    <w:p w:rsidR="003C5C86" w:rsidRDefault="003C5C86">
      <w:pPr>
        <w:ind w:firstLine="720"/>
      </w:pPr>
      <w: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w:t>
      </w:r>
      <w:r w:rsidR="00B12F32">
        <w:t>proper operation and maintenance of control equipment and the possibility of detection violations would be less likely</w:t>
      </w:r>
      <w:r>
        <w:t>.</w:t>
      </w:r>
    </w:p>
    <w:p w:rsidR="003C5C86" w:rsidRDefault="003C5C86"/>
    <w:p w:rsidR="003C5C86" w:rsidRDefault="003C5C86">
      <w:pPr>
        <w:ind w:firstLine="720"/>
      </w:pPr>
      <w:r>
        <w:rPr>
          <w:b/>
          <w:bCs/>
        </w:rPr>
        <w:t>3(e)  General Guidelines</w:t>
      </w:r>
    </w:p>
    <w:p w:rsidR="003C5C86" w:rsidRDefault="003C5C86"/>
    <w:p w:rsidR="00333588" w:rsidRDefault="00333588" w:rsidP="0033358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reporting or recordkeeping requirements do not </w:t>
      </w:r>
      <w:r w:rsidR="0093727F">
        <w:rPr>
          <w:color w:val="000000"/>
        </w:rPr>
        <w:t xml:space="preserve">violate any of the regulations </w:t>
      </w:r>
      <w:r>
        <w:rPr>
          <w:color w:val="000000"/>
        </w:rPr>
        <w:t xml:space="preserve">promulgated by OMB under 5 </w:t>
      </w:r>
      <w:smartTag w:uri="urn:schemas-microsoft-com:office:smarttags" w:element="stockticker">
        <w:r>
          <w:rPr>
            <w:color w:val="000000"/>
          </w:rPr>
          <w:t>CFR</w:t>
        </w:r>
      </w:smartTag>
      <w:r>
        <w:rPr>
          <w:color w:val="000000"/>
        </w:rPr>
        <w:t xml:space="preserve"> part 1320, section 1320.5.</w:t>
      </w:r>
    </w:p>
    <w:p w:rsidR="00333588" w:rsidRDefault="00333588" w:rsidP="00333588">
      <w:pPr>
        <w:pBdr>
          <w:top w:val="single" w:sz="6" w:space="0" w:color="FFFFFF"/>
          <w:left w:val="single" w:sz="6" w:space="0" w:color="FFFFFF"/>
          <w:bottom w:val="single" w:sz="6" w:space="0" w:color="FFFFFF"/>
          <w:right w:val="single" w:sz="6" w:space="0" w:color="FFFFFF"/>
        </w:pBdr>
        <w:rPr>
          <w:color w:val="000000"/>
        </w:rPr>
      </w:pPr>
    </w:p>
    <w:p w:rsidR="00333588" w:rsidRDefault="00333588" w:rsidP="00347F03">
      <w:pPr>
        <w:pBdr>
          <w:top w:val="single" w:sz="6" w:space="0" w:color="FFFFFF"/>
          <w:left w:val="single" w:sz="6" w:space="0" w:color="FFFFFF"/>
          <w:bottom w:val="single" w:sz="6" w:space="0" w:color="FFFFFF"/>
          <w:right w:val="single" w:sz="6" w:space="0" w:color="FFFFFF"/>
        </w:pBdr>
        <w:ind w:firstLine="720"/>
      </w:pPr>
      <w:r w:rsidRPr="003557B0">
        <w:t>These standards require the respondents to maintain all records, including reports and notifications for at least five years.  This is consistent with the General Provisions as applied to the standar</w:t>
      </w:r>
      <w:r w:rsidR="00CE37A0">
        <w:t>ds.  EPA believes that the five-</w:t>
      </w:r>
      <w:r w:rsidRPr="003557B0">
        <w:t>year records retention requirement is consistent the Part</w:t>
      </w:r>
      <w:r w:rsidR="002730FA">
        <w:t xml:space="preserve"> 70 permit program and the five-</w:t>
      </w:r>
      <w:r w:rsidRPr="003557B0">
        <w:t>year statute of limitations on whic</w:t>
      </w:r>
      <w:r w:rsidR="00347F03">
        <w:t xml:space="preserve">h the permit program is based. </w:t>
      </w:r>
    </w:p>
    <w:p w:rsidR="00347F03" w:rsidRDefault="00347F03" w:rsidP="00347F03">
      <w:pPr>
        <w:pBdr>
          <w:top w:val="single" w:sz="6" w:space="0" w:color="FFFFFF"/>
          <w:left w:val="single" w:sz="6" w:space="0" w:color="FFFFFF"/>
          <w:bottom w:val="single" w:sz="6" w:space="0" w:color="FFFFFF"/>
          <w:right w:val="single" w:sz="6" w:space="0" w:color="FFFFFF"/>
        </w:pBdr>
      </w:pPr>
    </w:p>
    <w:p w:rsidR="00333588" w:rsidRDefault="00333588" w:rsidP="00333588">
      <w:pPr>
        <w:pBdr>
          <w:top w:val="single" w:sz="6" w:space="0" w:color="FFFFFF"/>
          <w:left w:val="single" w:sz="6" w:space="0" w:color="FFFFFF"/>
          <w:bottom w:val="single" w:sz="6" w:space="0" w:color="FFFFFF"/>
          <w:right w:val="single" w:sz="6" w:space="0" w:color="FFFFFF"/>
        </w:pBdr>
        <w:ind w:firstLine="720"/>
      </w:pPr>
      <w:r w:rsidRPr="003557B0">
        <w:t>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C71C4" w:rsidRDefault="006C71C4" w:rsidP="006C71C4">
      <w:pPr>
        <w:pBdr>
          <w:top w:val="single" w:sz="6" w:space="0" w:color="FFFFFF"/>
          <w:left w:val="single" w:sz="6" w:space="0" w:color="FFFFFF"/>
          <w:bottom w:val="single" w:sz="6" w:space="0" w:color="FFFFFF"/>
          <w:right w:val="single" w:sz="6" w:space="0" w:color="FFFFFF"/>
        </w:pBdr>
      </w:pPr>
    </w:p>
    <w:p w:rsidR="0087515D" w:rsidRDefault="0087515D">
      <w:pPr>
        <w:ind w:firstLine="720"/>
        <w:rPr>
          <w:b/>
          <w:bCs/>
        </w:rPr>
      </w:pPr>
    </w:p>
    <w:p w:rsidR="0087515D" w:rsidRDefault="0087515D">
      <w:pPr>
        <w:ind w:firstLine="720"/>
        <w:rPr>
          <w:b/>
          <w:bCs/>
        </w:rPr>
      </w:pPr>
    </w:p>
    <w:p w:rsidR="003C5C86" w:rsidRDefault="003C5C86">
      <w:pPr>
        <w:ind w:firstLine="720"/>
      </w:pPr>
      <w:r>
        <w:rPr>
          <w:b/>
          <w:bCs/>
        </w:rPr>
        <w:lastRenderedPageBreak/>
        <w:t>3(f</w:t>
      </w:r>
      <w:proofErr w:type="gramStart"/>
      <w:r>
        <w:rPr>
          <w:b/>
          <w:bCs/>
        </w:rPr>
        <w:t>)  Confidentiality</w:t>
      </w:r>
      <w:proofErr w:type="gramEnd"/>
    </w:p>
    <w:p w:rsidR="003C5C86" w:rsidRDefault="003C5C86"/>
    <w:p w:rsidR="003C5C86" w:rsidRDefault="003C5C86">
      <w:pPr>
        <w:ind w:firstLine="720"/>
      </w:pPr>
      <w:r>
        <w:t xml:space="preserve">Any information submitted to the Agency for which a claim of confidentiality is made will be safeguarded according to the </w:t>
      </w:r>
      <w:r w:rsidR="00347F03">
        <w:t>Agency policies set forth in t</w:t>
      </w:r>
      <w:r>
        <w:t>itle 40, chapter 1, part 2, subpart B - Confidentiality of Business Information</w:t>
      </w:r>
      <w:r w:rsidR="00DF07A5">
        <w:t xml:space="preserve"> (CBI)</w:t>
      </w:r>
      <w:r>
        <w:t xml:space="preserve"> (see 40 </w:t>
      </w:r>
      <w:smartTag w:uri="urn:schemas-microsoft-com:office:smarttags" w:element="stockticker">
        <w:r>
          <w:t>CFR</w:t>
        </w:r>
      </w:smartTag>
      <w:r>
        <w:t xml:space="preserve"> 2; 41 </w:t>
      </w:r>
      <w:r>
        <w:rPr>
          <w:u w:val="single"/>
        </w:rPr>
        <w:t>FR</w:t>
      </w:r>
      <w:r>
        <w:t xml:space="preserve"> 36902, </w:t>
      </w:r>
      <w:smartTag w:uri="urn:schemas-microsoft-com:office:smarttags" w:element="date">
        <w:smartTagPr>
          <w:attr w:name="ls" w:val="trans"/>
          <w:attr w:name="Month" w:val="9"/>
          <w:attr w:name="Day" w:val="1"/>
          <w:attr w:name="Year" w:val="1976"/>
        </w:smartTagPr>
        <w:r>
          <w:t>September 1, 1976</w:t>
        </w:r>
      </w:smartTag>
      <w:r>
        <w:t xml:space="preserve">; amended by 43 </w:t>
      </w:r>
      <w:r>
        <w:rPr>
          <w:u w:val="single"/>
        </w:rPr>
        <w:t>FR</w:t>
      </w:r>
      <w:r>
        <w:t xml:space="preserve"> 40000, </w:t>
      </w:r>
      <w:smartTag w:uri="urn:schemas-microsoft-com:office:smarttags" w:element="date">
        <w:smartTagPr>
          <w:attr w:name="ls" w:val="trans"/>
          <w:attr w:name="Month" w:val="9"/>
          <w:attr w:name="Day" w:val="8"/>
          <w:attr w:name="Year" w:val="1978"/>
        </w:smartTagPr>
        <w:r>
          <w:t>September 8, 1978</w:t>
        </w:r>
      </w:smartTag>
      <w:r>
        <w:t xml:space="preserve">; 43 </w:t>
      </w:r>
      <w:r>
        <w:rPr>
          <w:u w:val="single"/>
        </w:rPr>
        <w:t>FR</w:t>
      </w:r>
      <w:r>
        <w:t xml:space="preserve"> 42251, </w:t>
      </w:r>
      <w:smartTag w:uri="urn:schemas-microsoft-com:office:smarttags" w:element="date">
        <w:smartTagPr>
          <w:attr w:name="ls" w:val="trans"/>
          <w:attr w:name="Month" w:val="9"/>
          <w:attr w:name="Day" w:val="20"/>
          <w:attr w:name="Year" w:val="1978"/>
        </w:smartTagPr>
        <w:r>
          <w:t>September 20, 1978</w:t>
        </w:r>
      </w:smartTag>
      <w:r>
        <w:t xml:space="preserve">; 44 </w:t>
      </w:r>
      <w:r>
        <w:rPr>
          <w:u w:val="single"/>
        </w:rPr>
        <w:t>FR</w:t>
      </w:r>
      <w:r>
        <w:t xml:space="preserve"> 17674, </w:t>
      </w:r>
      <w:smartTag w:uri="urn:schemas-microsoft-com:office:smarttags" w:element="date">
        <w:smartTagPr>
          <w:attr w:name="ls" w:val="trans"/>
          <w:attr w:name="Month" w:val="3"/>
          <w:attr w:name="Day" w:val="23"/>
          <w:attr w:name="Year" w:val="1979"/>
        </w:smartTagPr>
        <w:r>
          <w:t>March 23, 1979</w:t>
        </w:r>
      </w:smartTag>
      <w:r>
        <w:t>).</w:t>
      </w:r>
    </w:p>
    <w:p w:rsidR="003C5C86" w:rsidRDefault="003C5C86"/>
    <w:p w:rsidR="003C5C86" w:rsidRDefault="003C5C86">
      <w:pPr>
        <w:ind w:firstLine="720"/>
      </w:pPr>
      <w:r>
        <w:rPr>
          <w:b/>
          <w:bCs/>
        </w:rPr>
        <w:t>3(g)  Sensitive Questions</w:t>
      </w:r>
    </w:p>
    <w:p w:rsidR="003C5C86" w:rsidRDefault="003C5C86"/>
    <w:p w:rsidR="00C924AF" w:rsidRDefault="00EE3F17">
      <w:pPr>
        <w:ind w:firstLine="720"/>
        <w:rPr>
          <w:color w:val="000000"/>
        </w:rPr>
      </w:pPr>
      <w:r>
        <w:rPr>
          <w:color w:val="000000"/>
        </w:rPr>
        <w:t>The reporting or recordkeeping requirements in the standard do not include sensitive questions.</w:t>
      </w:r>
    </w:p>
    <w:p w:rsidR="00EE3F17" w:rsidRDefault="00EE3F17"/>
    <w:p w:rsidR="003C5C86" w:rsidRDefault="003C5C86">
      <w:pPr>
        <w:rPr>
          <w:b/>
          <w:bCs/>
        </w:rPr>
      </w:pPr>
      <w:r>
        <w:rPr>
          <w:b/>
          <w:bCs/>
        </w:rPr>
        <w:t>4.  The Respondents and the Information Requested</w:t>
      </w:r>
    </w:p>
    <w:p w:rsidR="003C5C86" w:rsidRDefault="003C5C86">
      <w:pPr>
        <w:rPr>
          <w:b/>
          <w:bCs/>
        </w:rPr>
      </w:pPr>
    </w:p>
    <w:p w:rsidR="003C5C86" w:rsidRDefault="003C5C86">
      <w:pPr>
        <w:ind w:firstLine="720"/>
      </w:pPr>
      <w:r>
        <w:rPr>
          <w:b/>
          <w:bCs/>
        </w:rPr>
        <w:t>4(a)  Respondents/SIC Codes</w:t>
      </w:r>
    </w:p>
    <w:p w:rsidR="003C5C86" w:rsidRDefault="003C5C86"/>
    <w:p w:rsidR="003C5C86" w:rsidRDefault="003C5C86">
      <w:pPr>
        <w:ind w:firstLine="720"/>
      </w:pPr>
      <w:r>
        <w:t>The respondents to the recordkeeping and reporting requirements are owners or operators of new or existing byproduct or non</w:t>
      </w:r>
      <w:r w:rsidR="00EE3F17">
        <w:t>-</w:t>
      </w:r>
      <w:r>
        <w:t>recovery coke oven batteries.  The Standard Industrial Classification (SIC) Code for</w:t>
      </w:r>
      <w:r w:rsidR="00EE3F17">
        <w:t xml:space="preserve"> the respondents affected by the standards</w:t>
      </w:r>
      <w:r w:rsidR="00782205">
        <w:t xml:space="preserve">, </w:t>
      </w:r>
      <w:r>
        <w:t xml:space="preserve">which </w:t>
      </w:r>
      <w:r w:rsidR="00EE3F17">
        <w:t>corresponds to</w:t>
      </w:r>
      <w:r>
        <w:t xml:space="preserve"> the </w:t>
      </w:r>
      <w:r w:rsidR="00EE3F17">
        <w:t>North American Industrial Classification System</w:t>
      </w:r>
      <w:r w:rsidR="00782205">
        <w:t xml:space="preserve"> (NAICS</w:t>
      </w:r>
      <w:r>
        <w:t xml:space="preserve">) </w:t>
      </w:r>
      <w:r w:rsidR="00782205">
        <w:t>codes, are listed below for source category description.</w:t>
      </w:r>
    </w:p>
    <w:p w:rsidR="00EE3F17" w:rsidRDefault="00EE3F17" w:rsidP="00EE3F17">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2" w:type="dxa"/>
          <w:right w:w="112" w:type="dxa"/>
        </w:tblCellMar>
        <w:tblLook w:val="0000"/>
      </w:tblPr>
      <w:tblGrid>
        <w:gridCol w:w="5400"/>
        <w:gridCol w:w="2160"/>
        <w:gridCol w:w="1800"/>
      </w:tblGrid>
      <w:tr w:rsidR="00EE3F17" w:rsidTr="00782205">
        <w:tc>
          <w:tcPr>
            <w:tcW w:w="5400" w:type="dxa"/>
          </w:tcPr>
          <w:p w:rsidR="00EE3F17" w:rsidRDefault="00EE3F17" w:rsidP="005E4319">
            <w:pPr>
              <w:spacing w:line="120" w:lineRule="exact"/>
              <w:rPr>
                <w:color w:val="000000"/>
              </w:rPr>
            </w:pPr>
          </w:p>
          <w:p w:rsidR="00EE3F17" w:rsidRPr="00782205" w:rsidRDefault="00EE3F17" w:rsidP="00782205">
            <w:pPr>
              <w:pBdr>
                <w:top w:val="single" w:sz="6" w:space="0" w:color="FFFFFF"/>
                <w:left w:val="single" w:sz="6" w:space="0" w:color="FFFFFF"/>
                <w:bottom w:val="single" w:sz="6" w:space="0" w:color="FFFFFF"/>
                <w:right w:val="single" w:sz="6" w:space="0" w:color="FFFFFF"/>
              </w:pBdr>
              <w:spacing w:after="54"/>
              <w:jc w:val="center"/>
              <w:rPr>
                <w:b/>
                <w:color w:val="000000"/>
              </w:rPr>
            </w:pPr>
            <w:r w:rsidRPr="00782205">
              <w:rPr>
                <w:b/>
                <w:bCs/>
                <w:color w:val="000000"/>
              </w:rPr>
              <w:t>Standard</w:t>
            </w:r>
            <w:r w:rsidR="003C7A4E" w:rsidRPr="00782205">
              <w:rPr>
                <w:b/>
                <w:bCs/>
                <w:color w:val="000000"/>
              </w:rPr>
              <w:t xml:space="preserve"> (</w:t>
            </w:r>
            <w:r w:rsidR="003C7A4E" w:rsidRPr="00782205">
              <w:rPr>
                <w:b/>
                <w:bCs/>
              </w:rPr>
              <w:t xml:space="preserve">40 </w:t>
            </w:r>
            <w:r w:rsidR="00782205">
              <w:rPr>
                <w:b/>
                <w:bCs/>
              </w:rPr>
              <w:t>CFR</w:t>
            </w:r>
            <w:r w:rsidR="003C7A4E" w:rsidRPr="00782205">
              <w:rPr>
                <w:b/>
                <w:bCs/>
              </w:rPr>
              <w:t xml:space="preserve"> Part 63, Subpart L</w:t>
            </w:r>
            <w:r w:rsidR="003C7A4E" w:rsidRPr="00782205">
              <w:rPr>
                <w:b/>
                <w:color w:val="000000"/>
              </w:rPr>
              <w:t>)</w:t>
            </w:r>
          </w:p>
        </w:tc>
        <w:tc>
          <w:tcPr>
            <w:tcW w:w="2160" w:type="dxa"/>
          </w:tcPr>
          <w:p w:rsidR="00EE3F17" w:rsidRDefault="00EE3F17" w:rsidP="00037DFF">
            <w:pPr>
              <w:spacing w:line="120" w:lineRule="exact"/>
              <w:jc w:val="center"/>
              <w:rPr>
                <w:b/>
                <w:bCs/>
                <w:color w:val="000000"/>
              </w:rPr>
            </w:pPr>
          </w:p>
          <w:p w:rsidR="00EE3F17" w:rsidRDefault="00EE3F17" w:rsidP="00037DFF">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800" w:type="dxa"/>
          </w:tcPr>
          <w:p w:rsidR="00EE3F17" w:rsidRDefault="00EE3F17" w:rsidP="00037DFF">
            <w:pPr>
              <w:spacing w:line="120" w:lineRule="exact"/>
              <w:jc w:val="center"/>
              <w:rPr>
                <w:b/>
                <w:bCs/>
                <w:color w:val="000000"/>
              </w:rPr>
            </w:pPr>
          </w:p>
          <w:p w:rsidR="00EE3F17" w:rsidRDefault="00EE3F17" w:rsidP="00037DFF">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E442B6" w:rsidTr="00782205">
        <w:tc>
          <w:tcPr>
            <w:tcW w:w="5400" w:type="dxa"/>
          </w:tcPr>
          <w:p w:rsidR="00E442B6" w:rsidRDefault="00E442B6" w:rsidP="005E4319">
            <w:pPr>
              <w:spacing w:line="120" w:lineRule="exact"/>
              <w:rPr>
                <w:b/>
                <w:bCs/>
                <w:color w:val="000000"/>
              </w:rPr>
            </w:pPr>
          </w:p>
          <w:p w:rsidR="00E442B6" w:rsidRDefault="00E442B6" w:rsidP="005E4319">
            <w:pPr>
              <w:pBdr>
                <w:top w:val="single" w:sz="6" w:space="0" w:color="FFFFFF"/>
                <w:left w:val="single" w:sz="6" w:space="0" w:color="FFFFFF"/>
                <w:bottom w:val="single" w:sz="6" w:space="0" w:color="FFFFFF"/>
                <w:right w:val="single" w:sz="6" w:space="0" w:color="FFFFFF"/>
              </w:pBdr>
              <w:spacing w:after="54"/>
              <w:rPr>
                <w:color w:val="000000"/>
              </w:rPr>
            </w:pPr>
            <w:r>
              <w:rPr>
                <w:bCs/>
              </w:rPr>
              <w:t>Iron and Steel Mills</w:t>
            </w:r>
          </w:p>
        </w:tc>
        <w:tc>
          <w:tcPr>
            <w:tcW w:w="2160" w:type="dxa"/>
            <w:vAlign w:val="center"/>
          </w:tcPr>
          <w:p w:rsidR="00E442B6" w:rsidRDefault="00E442B6" w:rsidP="00037DFF">
            <w:pPr>
              <w:spacing w:line="120" w:lineRule="exact"/>
              <w:jc w:val="center"/>
              <w:rPr>
                <w:color w:val="000000"/>
              </w:rPr>
            </w:pPr>
          </w:p>
          <w:p w:rsidR="00E442B6" w:rsidRDefault="00E442B6" w:rsidP="00037DF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3312</w:t>
            </w:r>
          </w:p>
        </w:tc>
        <w:tc>
          <w:tcPr>
            <w:tcW w:w="1800" w:type="dxa"/>
            <w:vAlign w:val="center"/>
          </w:tcPr>
          <w:p w:rsidR="00E442B6" w:rsidRDefault="00E442B6" w:rsidP="00037DFF">
            <w:pPr>
              <w:spacing w:line="120" w:lineRule="exact"/>
              <w:jc w:val="center"/>
              <w:rPr>
                <w:color w:val="000000"/>
              </w:rPr>
            </w:pPr>
          </w:p>
          <w:p w:rsidR="00E442B6" w:rsidRDefault="00E442B6" w:rsidP="00037DFF">
            <w:pPr>
              <w:pBdr>
                <w:top w:val="single" w:sz="6" w:space="0" w:color="FFFFFF"/>
                <w:left w:val="single" w:sz="6" w:space="0" w:color="FFFFFF"/>
                <w:bottom w:val="single" w:sz="6" w:space="0" w:color="FFFFFF"/>
                <w:right w:val="single" w:sz="6" w:space="0" w:color="FFFFFF"/>
              </w:pBdr>
              <w:spacing w:after="54"/>
              <w:jc w:val="center"/>
              <w:rPr>
                <w:color w:val="000000"/>
              </w:rPr>
            </w:pPr>
            <w:r>
              <w:t>331111</w:t>
            </w:r>
          </w:p>
        </w:tc>
      </w:tr>
      <w:tr w:rsidR="00E442B6" w:rsidTr="00782205">
        <w:tc>
          <w:tcPr>
            <w:tcW w:w="5400" w:type="dxa"/>
          </w:tcPr>
          <w:p w:rsidR="00E442B6" w:rsidRDefault="00E442B6" w:rsidP="005E4319">
            <w:pPr>
              <w:pBdr>
                <w:top w:val="single" w:sz="6" w:space="0" w:color="FFFFFF"/>
                <w:left w:val="single" w:sz="6" w:space="0" w:color="FFFFFF"/>
                <w:bottom w:val="single" w:sz="6" w:space="0" w:color="FFFFFF"/>
                <w:right w:val="single" w:sz="6" w:space="0" w:color="FFFFFF"/>
              </w:pBdr>
              <w:spacing w:after="54"/>
              <w:rPr>
                <w:color w:val="000000"/>
              </w:rPr>
            </w:pPr>
            <w:r>
              <w:rPr>
                <w:color w:val="000000"/>
              </w:rPr>
              <w:t>All Other Petroleum and Coal Products Manufacturing</w:t>
            </w:r>
          </w:p>
        </w:tc>
        <w:tc>
          <w:tcPr>
            <w:tcW w:w="2160" w:type="dxa"/>
            <w:vAlign w:val="center"/>
          </w:tcPr>
          <w:p w:rsidR="00E442B6" w:rsidRDefault="00E442B6" w:rsidP="00037DFF">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3312</w:t>
            </w:r>
          </w:p>
        </w:tc>
        <w:tc>
          <w:tcPr>
            <w:tcW w:w="1800" w:type="dxa"/>
            <w:vAlign w:val="center"/>
          </w:tcPr>
          <w:p w:rsidR="00E442B6" w:rsidRDefault="00E442B6" w:rsidP="00037DFF">
            <w:pPr>
              <w:pBdr>
                <w:top w:val="single" w:sz="6" w:space="0" w:color="FFFFFF"/>
                <w:left w:val="single" w:sz="6" w:space="0" w:color="FFFFFF"/>
                <w:bottom w:val="single" w:sz="6" w:space="0" w:color="FFFFFF"/>
                <w:right w:val="single" w:sz="6" w:space="0" w:color="FFFFFF"/>
              </w:pBdr>
              <w:spacing w:after="54"/>
              <w:jc w:val="center"/>
              <w:rPr>
                <w:color w:val="000000"/>
              </w:rPr>
            </w:pPr>
            <w:r>
              <w:t>324199</w:t>
            </w:r>
          </w:p>
        </w:tc>
      </w:tr>
    </w:tbl>
    <w:p w:rsidR="003C5C86" w:rsidRDefault="00EE3F17" w:rsidP="00C924AF">
      <w:pPr>
        <w:pBdr>
          <w:top w:val="single" w:sz="6" w:space="0" w:color="FFFFFF"/>
          <w:left w:val="single" w:sz="6" w:space="0" w:color="FFFFFF"/>
          <w:bottom w:val="single" w:sz="6" w:space="0" w:color="FFFFFF"/>
          <w:right w:val="single" w:sz="6" w:space="0" w:color="FFFFFF"/>
        </w:pBdr>
      </w:pPr>
      <w:r>
        <w:rPr>
          <w:color w:val="000000"/>
        </w:rPr>
        <w:t xml:space="preserve">  </w:t>
      </w:r>
    </w:p>
    <w:p w:rsidR="003C5C86" w:rsidRDefault="003C5C86">
      <w:pPr>
        <w:ind w:firstLine="720"/>
        <w:rPr>
          <w:b/>
          <w:bCs/>
        </w:rPr>
      </w:pPr>
      <w:r>
        <w:rPr>
          <w:b/>
          <w:bCs/>
        </w:rPr>
        <w:t>4(b)  Information Requested</w:t>
      </w:r>
    </w:p>
    <w:p w:rsidR="00706D6F" w:rsidRDefault="00706D6F">
      <w:pPr>
        <w:ind w:firstLine="720"/>
        <w:rPr>
          <w:b/>
          <w:bCs/>
        </w:rPr>
      </w:pPr>
    </w:p>
    <w:p w:rsidR="00706D6F" w:rsidRPr="00706D6F" w:rsidRDefault="00706D6F">
      <w:pPr>
        <w:ind w:firstLine="720"/>
      </w:pPr>
      <w:r w:rsidRPr="00706D6F">
        <w:rPr>
          <w:bCs/>
        </w:rPr>
        <w:t>None of these reporting or recordkeeping requirements violate any of the regulations established by OMB at 5 CFR part 1320, section 1320.5</w:t>
      </w:r>
    </w:p>
    <w:p w:rsidR="003C5C86" w:rsidRDefault="003C5C86"/>
    <w:p w:rsidR="003C5C86" w:rsidRDefault="003C5C86" w:rsidP="00162811">
      <w:pPr>
        <w:ind w:firstLine="1440"/>
        <w:outlineLvl w:val="0"/>
      </w:pPr>
      <w:r>
        <w:rPr>
          <w:b/>
          <w:bCs/>
        </w:rPr>
        <w:t>(i)  Data Items</w:t>
      </w:r>
    </w:p>
    <w:p w:rsidR="003C5C86" w:rsidRDefault="003C5C86"/>
    <w:p w:rsidR="003C5C86" w:rsidRDefault="003C5C86">
      <w:pPr>
        <w:ind w:firstLine="720"/>
      </w:pPr>
      <w:r>
        <w:t xml:space="preserve">All data in this ICR that are recorded or reported are required by NESHAP for Coke Oven Batteries (40 CFR </w:t>
      </w:r>
      <w:r w:rsidR="00C924AF">
        <w:t xml:space="preserve">Part </w:t>
      </w:r>
      <w:r>
        <w:t xml:space="preserve">63, </w:t>
      </w:r>
      <w:r w:rsidR="00C924AF">
        <w:t xml:space="preserve">Subpart </w:t>
      </w:r>
      <w:r>
        <w:t>L).</w:t>
      </w:r>
    </w:p>
    <w:p w:rsidR="003C5C86" w:rsidRDefault="003C5C86"/>
    <w:p w:rsidR="003C5C86" w:rsidRDefault="003C5C86">
      <w:pPr>
        <w:ind w:firstLine="720"/>
      </w:pPr>
      <w:r>
        <w:t>A source must make the following reports:</w:t>
      </w:r>
    </w:p>
    <w:p w:rsidR="00EB3970" w:rsidRDefault="00EB3970"/>
    <w:tbl>
      <w:tblPr>
        <w:tblW w:w="0" w:type="auto"/>
        <w:jc w:val="center"/>
        <w:tblLayout w:type="fixed"/>
        <w:tblCellMar>
          <w:left w:w="120" w:type="dxa"/>
          <w:right w:w="120" w:type="dxa"/>
        </w:tblCellMar>
        <w:tblLook w:val="0000"/>
      </w:tblPr>
      <w:tblGrid>
        <w:gridCol w:w="6930"/>
        <w:gridCol w:w="2430"/>
      </w:tblGrid>
      <w:tr w:rsidR="00CC0204" w:rsidTr="006C71C4">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C5C86" w:rsidRPr="00DA0868" w:rsidRDefault="003C5C86" w:rsidP="00E54424">
            <w:pPr>
              <w:spacing w:after="58"/>
              <w:jc w:val="center"/>
              <w:rPr>
                <w:b/>
              </w:rPr>
            </w:pPr>
            <w:r w:rsidRPr="00DA0868">
              <w:rPr>
                <w:b/>
              </w:rPr>
              <w:t>Notification</w:t>
            </w:r>
            <w:r w:rsidR="00E54424">
              <w:rPr>
                <w:b/>
              </w:rPr>
              <w:t>s</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Intention to construct a n</w:t>
            </w:r>
            <w:r w:rsidR="00CC0FDB">
              <w:t>ew, brownfield, or padup rebuilt</w:t>
            </w:r>
            <w:r>
              <w:t xml:space="preserve"> coke oven battery.</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63.311(c)(1), 63.5, 63.9(b)</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lastRenderedPageBreak/>
              <w:t>Notification of compliance status when a source becomes subject to the standard.</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63.9(h), 63.311(c)(2)</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Notification that source is subject to special compliance requirements: obtaining an exemption from control requirements for bypass\bleeder stacks by committing to permanent closure of a battery or using an equivalent alternative control system for the stacks; and obtaining an alternative standard for coke oven doors on a battery equipped with a shed.</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63.9(d)</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Initial performance test.</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63.7(b), 63.9(e)</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Rescheduled initial performance test.</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63.7(b)(2)</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Notification requirements for coke ovens with a shed using a continuous monitoring system for opacity of emissions discharged from the emission control equipment; and meeting the alternative standard.</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63.9(g), 63.305(f)(4)</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Demonstration of continuous monitoring system.</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 xml:space="preserve">63.9(g) </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Change in information already provided.</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63.9(j)</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Request for an extension of compliance with relevant standard.</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63.9(c)</w:t>
            </w:r>
          </w:p>
        </w:tc>
      </w:tr>
    </w:tbl>
    <w:p w:rsidR="00EB3970" w:rsidRDefault="00EB3970"/>
    <w:tbl>
      <w:tblPr>
        <w:tblW w:w="0" w:type="auto"/>
        <w:jc w:val="center"/>
        <w:tblLayout w:type="fixed"/>
        <w:tblCellMar>
          <w:left w:w="120" w:type="dxa"/>
          <w:right w:w="120" w:type="dxa"/>
        </w:tblCellMar>
        <w:tblLook w:val="0000"/>
      </w:tblPr>
      <w:tblGrid>
        <w:gridCol w:w="6930"/>
        <w:gridCol w:w="2430"/>
      </w:tblGrid>
      <w:tr w:rsidR="00CC0204" w:rsidTr="00EB3970">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6C71C4" w:rsidRPr="00DA0868" w:rsidRDefault="003C5C86" w:rsidP="00EB3970">
            <w:pPr>
              <w:tabs>
                <w:tab w:val="center" w:pos="4560"/>
                <w:tab w:val="left" w:pos="6168"/>
              </w:tabs>
              <w:spacing w:after="58"/>
              <w:jc w:val="center"/>
              <w:rPr>
                <w:b/>
              </w:rPr>
            </w:pPr>
            <w:r w:rsidRPr="00DA0868">
              <w:rPr>
                <w:b/>
              </w:rPr>
              <w:t>R</w:t>
            </w:r>
            <w:r w:rsidR="006C71C4">
              <w:rPr>
                <w:b/>
              </w:rPr>
              <w:t>eports</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Application for approval of the construction or reconstruction of a new major affected source, or reconstruction of a major affected source.</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63.5(6)(d), 63.9(b)(1)(</w:t>
            </w:r>
            <w:proofErr w:type="spellStart"/>
            <w:r>
              <w:t>iiii</w:t>
            </w:r>
            <w:proofErr w:type="spellEnd"/>
            <w:r>
              <w:t>)</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Performance test results.</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60.8 (a), 61.13(f), 63.10(d)(2), 63.309</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Report of opacity and visible emission observations.</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63.9(f)</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Emission control work practices plan for each coke oven battery.</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63.306(a)</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Opacity or visible emissions.</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63.10(d)(3)</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Periodic startup, shutdown and malfunction reports.</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63.10(d)(5)(I)</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Initial compliance certification.</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63.9(h), 63.111(b)</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Submit semiannual compliance certifications.</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63.9(h), 63.311(d)</w:t>
            </w:r>
          </w:p>
        </w:tc>
      </w:tr>
      <w:tr w:rsidR="003C5C86" w:rsidTr="00706D6F">
        <w:trPr>
          <w:cantSplit/>
          <w:jc w:val="center"/>
        </w:trPr>
        <w:tc>
          <w:tcPr>
            <w:tcW w:w="69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Report for the venting of coke oven gas other than through a flare system.</w:t>
            </w:r>
          </w:p>
        </w:tc>
        <w:tc>
          <w:tcPr>
            <w:tcW w:w="243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63.311(e)</w:t>
            </w:r>
          </w:p>
        </w:tc>
      </w:tr>
    </w:tbl>
    <w:p w:rsidR="00AC379C" w:rsidRDefault="00AC379C">
      <w:pPr>
        <w:ind w:firstLine="720"/>
      </w:pPr>
    </w:p>
    <w:p w:rsidR="00AC379C" w:rsidRDefault="003C5C86" w:rsidP="00AC379C">
      <w:pPr>
        <w:ind w:firstLine="720"/>
      </w:pPr>
      <w:r>
        <w:t>A source must keep the following records:</w:t>
      </w:r>
    </w:p>
    <w:p w:rsidR="00AC379C" w:rsidRDefault="00AC379C" w:rsidP="00AC379C"/>
    <w:tbl>
      <w:tblPr>
        <w:tblW w:w="0" w:type="auto"/>
        <w:jc w:val="center"/>
        <w:tblLayout w:type="fixed"/>
        <w:tblCellMar>
          <w:left w:w="120" w:type="dxa"/>
          <w:right w:w="120" w:type="dxa"/>
        </w:tblCellMar>
        <w:tblLook w:val="0000"/>
      </w:tblPr>
      <w:tblGrid>
        <w:gridCol w:w="7200"/>
        <w:gridCol w:w="2160"/>
      </w:tblGrid>
      <w:tr w:rsidR="00CC0204" w:rsidTr="0067092F">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C5C86" w:rsidRDefault="003C5C86" w:rsidP="00DA0868">
            <w:pPr>
              <w:spacing w:after="58"/>
              <w:jc w:val="center"/>
            </w:pPr>
            <w:r w:rsidRPr="00DA0868">
              <w:rPr>
                <w:b/>
              </w:rPr>
              <w:t>Recordkeeping</w:t>
            </w:r>
          </w:p>
        </w:tc>
      </w:tr>
      <w:tr w:rsidR="003C5C86" w:rsidTr="0067092F">
        <w:trPr>
          <w:cantSplit/>
          <w:jc w:val="center"/>
        </w:trPr>
        <w:tc>
          <w:tcPr>
            <w:tcW w:w="720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Startup, shutdown and malfunction plan.</w:t>
            </w:r>
          </w:p>
        </w:tc>
        <w:tc>
          <w:tcPr>
            <w:tcW w:w="216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63.6(e)(3), 63.1(b)(2), 63.310, 63.311(f)(6)</w:t>
            </w:r>
          </w:p>
        </w:tc>
      </w:tr>
      <w:tr w:rsidR="003C5C86" w:rsidTr="0067092F">
        <w:trPr>
          <w:cantSplit/>
          <w:jc w:val="center"/>
        </w:trPr>
        <w:tc>
          <w:tcPr>
            <w:tcW w:w="720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lastRenderedPageBreak/>
              <w:t>All reports and notifications.</w:t>
            </w:r>
          </w:p>
        </w:tc>
        <w:tc>
          <w:tcPr>
            <w:tcW w:w="216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63.10(b)(1)</w:t>
            </w:r>
          </w:p>
        </w:tc>
      </w:tr>
      <w:tr w:rsidR="003C5C86" w:rsidTr="0067092F">
        <w:trPr>
          <w:cantSplit/>
          <w:jc w:val="center"/>
        </w:trPr>
        <w:tc>
          <w:tcPr>
            <w:tcW w:w="720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Any applicability determination that demonstrates why owner or operator believes source(s) is/are unaffected.</w:t>
            </w:r>
          </w:p>
        </w:tc>
        <w:tc>
          <w:tcPr>
            <w:tcW w:w="216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63.10(b)(3)</w:t>
            </w:r>
          </w:p>
        </w:tc>
      </w:tr>
      <w:tr w:rsidR="003C5C86" w:rsidTr="0067092F">
        <w:trPr>
          <w:cantSplit/>
          <w:jc w:val="center"/>
        </w:trPr>
        <w:tc>
          <w:tcPr>
            <w:tcW w:w="720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Copy of the coke oven emission control work practice plan and revisions, and records related to implementation of plan requirements.</w:t>
            </w:r>
          </w:p>
        </w:tc>
        <w:tc>
          <w:tcPr>
            <w:tcW w:w="216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63.306, 63.311(f)(3-4)</w:t>
            </w:r>
          </w:p>
        </w:tc>
      </w:tr>
      <w:tr w:rsidR="003C5C86" w:rsidTr="0067092F">
        <w:trPr>
          <w:cantSplit/>
          <w:jc w:val="center"/>
        </w:trPr>
        <w:tc>
          <w:tcPr>
            <w:tcW w:w="720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For an approved alternative emission limitation: monitoring records of parameters that indicate the exhaust flow rate is maintained, records for the continuous opacity monitoring system, and quarterly visual inspection of the shed.</w:t>
            </w:r>
          </w:p>
        </w:tc>
        <w:tc>
          <w:tcPr>
            <w:tcW w:w="216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63.10(c), 63.311(f)(2)</w:t>
            </w:r>
          </w:p>
        </w:tc>
      </w:tr>
      <w:tr w:rsidR="003C5C86" w:rsidTr="0067092F">
        <w:trPr>
          <w:cantSplit/>
          <w:jc w:val="center"/>
        </w:trPr>
        <w:tc>
          <w:tcPr>
            <w:tcW w:w="720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For the bypass/bleeder stack flare system or an approved alternative control device: design of drawings and of engineering specifications.</w:t>
            </w:r>
          </w:p>
        </w:tc>
        <w:tc>
          <w:tcPr>
            <w:tcW w:w="216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63.311(f)(5)</w:t>
            </w:r>
          </w:p>
        </w:tc>
      </w:tr>
      <w:tr w:rsidR="003C5C86" w:rsidTr="0067092F">
        <w:trPr>
          <w:cantSplit/>
          <w:jc w:val="center"/>
        </w:trPr>
        <w:tc>
          <w:tcPr>
            <w:tcW w:w="720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For nonrecovery coke oven batteries: records of daily operating parameters and design characteristics.</w:t>
            </w:r>
          </w:p>
        </w:tc>
        <w:tc>
          <w:tcPr>
            <w:tcW w:w="2160" w:type="dxa"/>
            <w:tcBorders>
              <w:top w:val="single" w:sz="7" w:space="0" w:color="000000"/>
              <w:left w:val="single" w:sz="7" w:space="0" w:color="000000"/>
              <w:bottom w:val="single" w:sz="7" w:space="0" w:color="000000"/>
              <w:right w:val="single" w:sz="7" w:space="0" w:color="000000"/>
            </w:tcBorders>
            <w:vAlign w:val="center"/>
          </w:tcPr>
          <w:p w:rsidR="003C5C86" w:rsidRDefault="003C5C86">
            <w:pPr>
              <w:spacing w:after="58"/>
            </w:pPr>
            <w:r>
              <w:t>63.111(f)(1)</w:t>
            </w:r>
          </w:p>
        </w:tc>
      </w:tr>
    </w:tbl>
    <w:p w:rsidR="0067092F" w:rsidRDefault="0067092F">
      <w:pPr>
        <w:rPr>
          <w:u w:val="single"/>
        </w:rPr>
      </w:pPr>
    </w:p>
    <w:p w:rsidR="00EC0339" w:rsidRDefault="00902DF9" w:rsidP="00162811">
      <w:pPr>
        <w:outlineLvl w:val="0"/>
      </w:pPr>
      <w:r>
        <w:rPr>
          <w:u w:val="single"/>
        </w:rPr>
        <w:t>Electronic Reporting</w:t>
      </w:r>
    </w:p>
    <w:p w:rsidR="00EC0339" w:rsidRDefault="00EC0339"/>
    <w:p w:rsidR="00706D6F" w:rsidRDefault="00706D6F" w:rsidP="00EC0339">
      <w:pPr>
        <w:ind w:firstLine="720"/>
      </w:pPr>
      <w:r>
        <w:t>Currently, respondents are using monitoring equipment that automatically records parameter data.  Although personnel at the affected facility must evaluate the data, this internal automation has significantly reduced the burden associated with monitoring and recordkeeping at the plant site.</w:t>
      </w:r>
    </w:p>
    <w:p w:rsidR="00706D6F" w:rsidRDefault="00706D6F" w:rsidP="00EC0339">
      <w:pPr>
        <w:ind w:firstLine="720"/>
      </w:pPr>
    </w:p>
    <w:p w:rsidR="00AC379C" w:rsidRDefault="00706D6F" w:rsidP="00EC0339">
      <w:pPr>
        <w:ind w:firstLine="720"/>
      </w:pPr>
      <w:r>
        <w:t xml:space="preserve">Also, regulatory agencies, in cooperation </w:t>
      </w:r>
      <w:r w:rsidR="0018326E">
        <w:t xml:space="preserve">with the respondents, continue to create reporting systems to transmit data electronically.  </w:t>
      </w:r>
      <w:r w:rsidR="00902DF9">
        <w:t xml:space="preserve">However, electronic reporting systems are still not widely used.  At this time, it is estimated that approximately 20 percent of the respondents use electronic reporting. </w:t>
      </w:r>
    </w:p>
    <w:p w:rsidR="00AC379C" w:rsidRDefault="00AC379C"/>
    <w:p w:rsidR="003C5C86" w:rsidRDefault="003C5C86" w:rsidP="00162811">
      <w:pPr>
        <w:ind w:left="720" w:firstLine="720"/>
        <w:outlineLvl w:val="0"/>
        <w:rPr>
          <w:b/>
          <w:bCs/>
        </w:rPr>
      </w:pPr>
      <w:r>
        <w:rPr>
          <w:b/>
          <w:bCs/>
        </w:rPr>
        <w:t>(ii)</w:t>
      </w:r>
      <w:r w:rsidR="00AC379C">
        <w:rPr>
          <w:b/>
          <w:bCs/>
        </w:rPr>
        <w:t xml:space="preserve"> </w:t>
      </w:r>
      <w:r>
        <w:rPr>
          <w:b/>
          <w:bCs/>
        </w:rPr>
        <w:t xml:space="preserve"> Respondent Activities</w:t>
      </w:r>
    </w:p>
    <w:p w:rsidR="00AC379C" w:rsidRDefault="00AC379C" w:rsidP="00AC379C"/>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20" w:type="dxa"/>
          <w:right w:w="120" w:type="dxa"/>
        </w:tblCellMar>
        <w:tblLook w:val="0000"/>
      </w:tblPr>
      <w:tblGrid>
        <w:gridCol w:w="9360"/>
      </w:tblGrid>
      <w:tr w:rsidR="003C5C86" w:rsidTr="00EC0339">
        <w:trPr>
          <w:cantSplit/>
          <w:tblHeader/>
          <w:jc w:val="center"/>
        </w:trPr>
        <w:tc>
          <w:tcPr>
            <w:tcW w:w="9360" w:type="dxa"/>
          </w:tcPr>
          <w:p w:rsidR="003C5C86" w:rsidRDefault="003C5C86">
            <w:pPr>
              <w:spacing w:after="55"/>
              <w:jc w:val="center"/>
              <w:rPr>
                <w:b/>
                <w:bCs/>
              </w:rPr>
            </w:pPr>
            <w:r>
              <w:rPr>
                <w:b/>
                <w:bCs/>
              </w:rPr>
              <w:t>Respondent Activities</w:t>
            </w:r>
          </w:p>
        </w:tc>
      </w:tr>
      <w:tr w:rsidR="003C5C86" w:rsidTr="00EC0339">
        <w:trPr>
          <w:cantSplit/>
          <w:jc w:val="center"/>
        </w:trPr>
        <w:tc>
          <w:tcPr>
            <w:tcW w:w="9360" w:type="dxa"/>
          </w:tcPr>
          <w:p w:rsidR="003C5C86" w:rsidRDefault="003C5C86">
            <w:pPr>
              <w:spacing w:after="55"/>
            </w:pPr>
            <w:r>
              <w:t>Read instructions.</w:t>
            </w:r>
          </w:p>
        </w:tc>
      </w:tr>
      <w:tr w:rsidR="003C5C86" w:rsidTr="00EC0339">
        <w:trPr>
          <w:cantSplit/>
          <w:jc w:val="center"/>
        </w:trPr>
        <w:tc>
          <w:tcPr>
            <w:tcW w:w="9360" w:type="dxa"/>
          </w:tcPr>
          <w:p w:rsidR="003C5C86" w:rsidRDefault="003C5C86">
            <w:pPr>
              <w:spacing w:after="58"/>
            </w:pPr>
            <w:r>
              <w:t xml:space="preserve">Daily performance tests by a certified observer, commencing on the applicable date, using Method 303 or 303A for each new and existing coke oven battery are needed to determine compliance with the visible emission limitations for coke oven doors, topside port lids, </w:t>
            </w:r>
            <w:proofErr w:type="spellStart"/>
            <w:r>
              <w:t>offtake</w:t>
            </w:r>
            <w:proofErr w:type="spellEnd"/>
            <w:r>
              <w:t xml:space="preserve"> systems, and charging operations.</w:t>
            </w:r>
          </w:p>
        </w:tc>
      </w:tr>
      <w:tr w:rsidR="003C5C86" w:rsidTr="00EC0339">
        <w:trPr>
          <w:cantSplit/>
          <w:jc w:val="center"/>
        </w:trPr>
        <w:tc>
          <w:tcPr>
            <w:tcW w:w="9360" w:type="dxa"/>
          </w:tcPr>
          <w:p w:rsidR="003C5C86" w:rsidRDefault="003C5C86">
            <w:pPr>
              <w:spacing w:after="58"/>
            </w:pPr>
            <w:r>
              <w:t>Develop and implement an emission control work practice plan for each coke oven battery.</w:t>
            </w:r>
          </w:p>
        </w:tc>
      </w:tr>
      <w:tr w:rsidR="003C5C86" w:rsidTr="00EC0339">
        <w:trPr>
          <w:cantSplit/>
          <w:jc w:val="center"/>
        </w:trPr>
        <w:tc>
          <w:tcPr>
            <w:tcW w:w="9360" w:type="dxa"/>
          </w:tcPr>
          <w:p w:rsidR="003C5C86" w:rsidRDefault="003C5C86">
            <w:pPr>
              <w:spacing w:after="58"/>
            </w:pPr>
            <w:r>
              <w:t>For coke ovens equipped with sheds choosing to comply with an alternative to the emission limitation standards, submit an initial test plan, and once approved, conduct an initial performance test using Methods 5 (determine the efficiency of control equipment), Method 9 (measure opacity of emissions from control device), and Method 22 (measure visible emissions that escape the shed) to get approval to use alternative standard.</w:t>
            </w:r>
          </w:p>
        </w:tc>
      </w:tr>
      <w:tr w:rsidR="003C5C86" w:rsidTr="00EC0339">
        <w:trPr>
          <w:cantSplit/>
          <w:jc w:val="center"/>
        </w:trPr>
        <w:tc>
          <w:tcPr>
            <w:tcW w:w="9360" w:type="dxa"/>
          </w:tcPr>
          <w:p w:rsidR="003C5C86" w:rsidRDefault="003C5C86">
            <w:pPr>
              <w:spacing w:after="58"/>
            </w:pPr>
            <w:r>
              <w:lastRenderedPageBreak/>
              <w:t xml:space="preserve">For coke ovens equipped with sheds complying with the alternative standard, conduct weekly performance tests using Method 303 to determine compliance; and if the visible emission limitation is achieved for 12 consecutive observations, then switch to monthly tests until an </w:t>
            </w:r>
            <w:proofErr w:type="spellStart"/>
            <w:r>
              <w:t>exceedance</w:t>
            </w:r>
            <w:proofErr w:type="spellEnd"/>
            <w:r>
              <w:t xml:space="preserve"> occurs, at which time the weekly tests shall be resumed.</w:t>
            </w:r>
          </w:p>
        </w:tc>
      </w:tr>
      <w:tr w:rsidR="003C5C86" w:rsidTr="00EC0339">
        <w:trPr>
          <w:cantSplit/>
          <w:jc w:val="center"/>
        </w:trPr>
        <w:tc>
          <w:tcPr>
            <w:tcW w:w="9360" w:type="dxa"/>
          </w:tcPr>
          <w:p w:rsidR="003C5C86" w:rsidRDefault="003C5C86">
            <w:pPr>
              <w:spacing w:after="55"/>
            </w:pPr>
            <w:r>
              <w:t>Install, calibrate, maintain, and operate continuous monitoring system for opacity emissions discharged from the control system at coke oven doors equipped with sheds and complying with the alternative standard.</w:t>
            </w:r>
          </w:p>
        </w:tc>
      </w:tr>
      <w:tr w:rsidR="003C5C86" w:rsidTr="00EC0339">
        <w:trPr>
          <w:cantSplit/>
          <w:jc w:val="center"/>
        </w:trPr>
        <w:tc>
          <w:tcPr>
            <w:tcW w:w="9360" w:type="dxa"/>
          </w:tcPr>
          <w:p w:rsidR="003C5C86" w:rsidRDefault="003C5C86">
            <w:pPr>
              <w:spacing w:after="58"/>
            </w:pPr>
            <w:r>
              <w:t>For non</w:t>
            </w:r>
            <w:r w:rsidR="0029272B">
              <w:t>-</w:t>
            </w:r>
            <w:r>
              <w:t>recovery coke oven batteries, daily monitoring of pressure in oven or common tunnel to ensure a negative pressure; implement work practices requirement for charging operations at existing batteries; and install, operate and maintain control system for the capture and collection of emissions at new batteries.</w:t>
            </w:r>
          </w:p>
        </w:tc>
      </w:tr>
      <w:tr w:rsidR="003C5C86" w:rsidTr="00EC0339">
        <w:trPr>
          <w:cantSplit/>
          <w:jc w:val="center"/>
        </w:trPr>
        <w:tc>
          <w:tcPr>
            <w:tcW w:w="9360" w:type="dxa"/>
          </w:tcPr>
          <w:p w:rsidR="003C5C86" w:rsidRDefault="003C5C86">
            <w:pPr>
              <w:spacing w:after="58"/>
            </w:pPr>
            <w:r>
              <w:t>For a by-product recovery, a brownfield or padup rebuild coke oven battery, install, operate and maintain a bypass/bleeder stack flare system capable of controlling 120 percent of the normal gas flow generated by the battery; unless the owner or operator has been approved for an alternative control device or system that achieves at least 98 percent destruction or control of coke oven emissions.</w:t>
            </w:r>
          </w:p>
        </w:tc>
      </w:tr>
      <w:tr w:rsidR="003C5C86" w:rsidTr="00EC0339">
        <w:trPr>
          <w:cantSplit/>
          <w:jc w:val="center"/>
        </w:trPr>
        <w:tc>
          <w:tcPr>
            <w:tcW w:w="9360" w:type="dxa"/>
          </w:tcPr>
          <w:p w:rsidR="003C5C86" w:rsidRDefault="003C5C86">
            <w:pPr>
              <w:spacing w:after="58"/>
            </w:pPr>
            <w:r>
              <w:t>For by-product coke oven, daily inspection of the collecting main for leaks according to Method 303.</w:t>
            </w:r>
          </w:p>
        </w:tc>
      </w:tr>
      <w:tr w:rsidR="003C5C86" w:rsidTr="00EC0339">
        <w:trPr>
          <w:cantSplit/>
          <w:jc w:val="center"/>
        </w:trPr>
        <w:tc>
          <w:tcPr>
            <w:tcW w:w="9360" w:type="dxa"/>
          </w:tcPr>
          <w:p w:rsidR="003C5C86" w:rsidRDefault="003C5C86">
            <w:pPr>
              <w:spacing w:after="55"/>
            </w:pPr>
            <w:r>
              <w:t>Write the notifications and reports listed above.</w:t>
            </w:r>
          </w:p>
        </w:tc>
      </w:tr>
      <w:tr w:rsidR="003C5C86" w:rsidTr="00EC0339">
        <w:trPr>
          <w:cantSplit/>
          <w:jc w:val="center"/>
        </w:trPr>
        <w:tc>
          <w:tcPr>
            <w:tcW w:w="9360" w:type="dxa"/>
          </w:tcPr>
          <w:p w:rsidR="003C5C86" w:rsidRDefault="003C5C86">
            <w:pPr>
              <w:spacing w:after="55"/>
            </w:pPr>
            <w:r>
              <w:t>Enter information required to be recorded above.</w:t>
            </w:r>
          </w:p>
        </w:tc>
      </w:tr>
      <w:tr w:rsidR="003C5C86" w:rsidTr="00EC0339">
        <w:trPr>
          <w:cantSplit/>
          <w:jc w:val="center"/>
        </w:trPr>
        <w:tc>
          <w:tcPr>
            <w:tcW w:w="9360" w:type="dxa"/>
          </w:tcPr>
          <w:p w:rsidR="003C5C86" w:rsidRDefault="003C5C86">
            <w:pPr>
              <w:spacing w:after="55"/>
            </w:pPr>
            <w:r>
              <w:t>Submit the required reports developing, acquiring, installing, and utilizing technology and systems for the purpose of collecting, validating, and verifying information.</w:t>
            </w:r>
          </w:p>
        </w:tc>
      </w:tr>
      <w:tr w:rsidR="003C5C86" w:rsidTr="00EC0339">
        <w:trPr>
          <w:cantSplit/>
          <w:jc w:val="center"/>
        </w:trPr>
        <w:tc>
          <w:tcPr>
            <w:tcW w:w="9360" w:type="dxa"/>
          </w:tcPr>
          <w:p w:rsidR="003C5C86" w:rsidRDefault="003C5C86">
            <w:pPr>
              <w:spacing w:after="55"/>
            </w:pPr>
            <w:r>
              <w:t>Develop, acquire, install, and utilize technology and systems for the purpose of processing and maintaining information.</w:t>
            </w:r>
          </w:p>
        </w:tc>
      </w:tr>
      <w:tr w:rsidR="003C5C86" w:rsidTr="00EC0339">
        <w:trPr>
          <w:cantSplit/>
          <w:jc w:val="center"/>
        </w:trPr>
        <w:tc>
          <w:tcPr>
            <w:tcW w:w="9360" w:type="dxa"/>
          </w:tcPr>
          <w:p w:rsidR="003C5C86" w:rsidRDefault="003C5C86">
            <w:pPr>
              <w:spacing w:after="55"/>
            </w:pPr>
            <w:r>
              <w:t>Develop, acquire, install, and utilize technology and systems for the purpose of disclosing and providing information.</w:t>
            </w:r>
          </w:p>
        </w:tc>
      </w:tr>
      <w:tr w:rsidR="003C5C86" w:rsidTr="00EC0339">
        <w:trPr>
          <w:cantSplit/>
          <w:jc w:val="center"/>
        </w:trPr>
        <w:tc>
          <w:tcPr>
            <w:tcW w:w="9360" w:type="dxa"/>
          </w:tcPr>
          <w:p w:rsidR="003C5C86" w:rsidRDefault="003C5C86">
            <w:pPr>
              <w:spacing w:after="55"/>
            </w:pPr>
            <w:r>
              <w:t>Adjust the existing ways to comply with any previously applicable instructions and requirements.</w:t>
            </w:r>
          </w:p>
        </w:tc>
      </w:tr>
      <w:tr w:rsidR="003C5C86" w:rsidTr="00EC0339">
        <w:trPr>
          <w:cantSplit/>
          <w:jc w:val="center"/>
        </w:trPr>
        <w:tc>
          <w:tcPr>
            <w:tcW w:w="9360" w:type="dxa"/>
          </w:tcPr>
          <w:p w:rsidR="003C5C86" w:rsidRDefault="003C5C86">
            <w:pPr>
              <w:spacing w:after="55"/>
            </w:pPr>
            <w:r>
              <w:t>Train personnel to be able to respond to a collection of information.</w:t>
            </w:r>
          </w:p>
        </w:tc>
      </w:tr>
      <w:tr w:rsidR="003C5C86" w:rsidTr="00EC0339">
        <w:trPr>
          <w:cantSplit/>
          <w:jc w:val="center"/>
        </w:trPr>
        <w:tc>
          <w:tcPr>
            <w:tcW w:w="9360" w:type="dxa"/>
          </w:tcPr>
          <w:p w:rsidR="003C5C86" w:rsidRDefault="003C5C86">
            <w:pPr>
              <w:spacing w:after="74"/>
            </w:pPr>
            <w:r>
              <w:t>Transmit, or otherwise disclose the information.</w:t>
            </w:r>
          </w:p>
        </w:tc>
      </w:tr>
    </w:tbl>
    <w:p w:rsidR="00AC379C" w:rsidRDefault="00AC379C" w:rsidP="00AC379C">
      <w:pPr>
        <w:rPr>
          <w:b/>
          <w:bCs/>
        </w:rPr>
      </w:pPr>
    </w:p>
    <w:p w:rsidR="00E442B6" w:rsidRDefault="00E442B6" w:rsidP="00E442B6">
      <w:pPr>
        <w:ind w:firstLine="720"/>
        <w:rPr>
          <w:rStyle w:val="CommentReference"/>
        </w:rPr>
      </w:pPr>
      <w:r w:rsidRPr="00FE2B0F">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p>
    <w:p w:rsidR="00E442B6" w:rsidRDefault="00E442B6" w:rsidP="00AC379C">
      <w:pPr>
        <w:rPr>
          <w:b/>
          <w:bCs/>
        </w:rPr>
      </w:pPr>
      <w:r>
        <w:rPr>
          <w:b/>
          <w:bCs/>
        </w:rPr>
        <w:t xml:space="preserve"> </w:t>
      </w:r>
    </w:p>
    <w:p w:rsidR="006A30D0" w:rsidRDefault="006A30D0" w:rsidP="00162811">
      <w:pPr>
        <w:outlineLvl w:val="0"/>
        <w:rPr>
          <w:b/>
          <w:bCs/>
        </w:rPr>
      </w:pPr>
    </w:p>
    <w:p w:rsidR="006A30D0" w:rsidRDefault="006A30D0" w:rsidP="00162811">
      <w:pPr>
        <w:outlineLvl w:val="0"/>
        <w:rPr>
          <w:b/>
          <w:bCs/>
        </w:rPr>
      </w:pPr>
    </w:p>
    <w:p w:rsidR="006A30D0" w:rsidRDefault="006A30D0" w:rsidP="00162811">
      <w:pPr>
        <w:outlineLvl w:val="0"/>
        <w:rPr>
          <w:b/>
          <w:bCs/>
        </w:rPr>
      </w:pPr>
    </w:p>
    <w:p w:rsidR="006A30D0" w:rsidRDefault="006A30D0" w:rsidP="00162811">
      <w:pPr>
        <w:outlineLvl w:val="0"/>
        <w:rPr>
          <w:b/>
          <w:bCs/>
        </w:rPr>
      </w:pPr>
    </w:p>
    <w:p w:rsidR="006A30D0" w:rsidRDefault="006A30D0" w:rsidP="00162811">
      <w:pPr>
        <w:outlineLvl w:val="0"/>
        <w:rPr>
          <w:b/>
          <w:bCs/>
        </w:rPr>
      </w:pPr>
    </w:p>
    <w:p w:rsidR="00AC379C" w:rsidRDefault="00AC379C" w:rsidP="00162811">
      <w:pPr>
        <w:outlineLvl w:val="0"/>
        <w:rPr>
          <w:b/>
          <w:bCs/>
        </w:rPr>
      </w:pPr>
      <w:r>
        <w:rPr>
          <w:b/>
          <w:bCs/>
        </w:rPr>
        <w:lastRenderedPageBreak/>
        <w:t xml:space="preserve">5.  </w:t>
      </w:r>
      <w:r w:rsidR="003C5C86">
        <w:rPr>
          <w:b/>
          <w:bCs/>
        </w:rPr>
        <w:t>The Information Collected: Agency Activities, Collection Methodology, and Information Management</w:t>
      </w:r>
    </w:p>
    <w:p w:rsidR="00AC379C" w:rsidRDefault="00AC379C" w:rsidP="00AC379C">
      <w:pPr>
        <w:rPr>
          <w:b/>
          <w:bCs/>
        </w:rPr>
      </w:pPr>
    </w:p>
    <w:p w:rsidR="00EC0339" w:rsidRDefault="003C5C86" w:rsidP="00AC379C">
      <w:pPr>
        <w:ind w:firstLine="720"/>
      </w:pPr>
      <w:r>
        <w:rPr>
          <w:b/>
          <w:bCs/>
        </w:rPr>
        <w:t>5(a)  Agency Activities</w:t>
      </w:r>
    </w:p>
    <w:p w:rsidR="00EC0339" w:rsidRDefault="00EC0339" w:rsidP="00AC379C">
      <w:pPr>
        <w:ind w:firstLine="720"/>
      </w:pPr>
    </w:p>
    <w:p w:rsidR="003C5C86" w:rsidRDefault="003C5C86" w:rsidP="00AC379C">
      <w:pPr>
        <w:ind w:firstLine="720"/>
      </w:pPr>
      <w:r>
        <w:t>EPA conducts the following activities in connection with the acquisition, analysis, storage, and distribution of the required information.</w:t>
      </w:r>
    </w:p>
    <w:p w:rsidR="00AC379C" w:rsidRDefault="00AC379C" w:rsidP="00AC379C"/>
    <w:tbl>
      <w:tblPr>
        <w:tblW w:w="0" w:type="auto"/>
        <w:jc w:val="center"/>
        <w:tblLayout w:type="fixed"/>
        <w:tblCellMar>
          <w:left w:w="120" w:type="dxa"/>
          <w:right w:w="120" w:type="dxa"/>
        </w:tblCellMar>
        <w:tblLook w:val="0000"/>
      </w:tblPr>
      <w:tblGrid>
        <w:gridCol w:w="9360"/>
      </w:tblGrid>
      <w:tr w:rsidR="003C5C86" w:rsidTr="00B267E0">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3C5C86" w:rsidRDefault="003C5C86">
            <w:pPr>
              <w:spacing w:after="52"/>
              <w:jc w:val="center"/>
              <w:rPr>
                <w:b/>
                <w:bCs/>
              </w:rPr>
            </w:pPr>
            <w:r>
              <w:rPr>
                <w:b/>
                <w:bCs/>
              </w:rPr>
              <w:t>Agency Activities</w:t>
            </w:r>
          </w:p>
        </w:tc>
      </w:tr>
      <w:tr w:rsidR="003C5C86" w:rsidTr="00B267E0">
        <w:trPr>
          <w:jc w:val="center"/>
        </w:trPr>
        <w:tc>
          <w:tcPr>
            <w:tcW w:w="9360" w:type="dxa"/>
            <w:tcBorders>
              <w:top w:val="single" w:sz="7" w:space="0" w:color="000000"/>
              <w:left w:val="single" w:sz="7" w:space="0" w:color="000000"/>
              <w:bottom w:val="single" w:sz="6" w:space="0" w:color="FFFFFF"/>
              <w:right w:val="single" w:sz="7" w:space="0" w:color="000000"/>
            </w:tcBorders>
          </w:tcPr>
          <w:p w:rsidR="003C5C86" w:rsidRDefault="003C5C86">
            <w:pPr>
              <w:spacing w:after="52"/>
            </w:pPr>
            <w:r>
              <w:t>Observe initial performance tests and repeat performance tests if necessary.</w:t>
            </w:r>
          </w:p>
        </w:tc>
      </w:tr>
      <w:tr w:rsidR="003C5C86" w:rsidTr="00B267E0">
        <w:trPr>
          <w:jc w:val="center"/>
        </w:trPr>
        <w:tc>
          <w:tcPr>
            <w:tcW w:w="9360" w:type="dxa"/>
            <w:tcBorders>
              <w:top w:val="single" w:sz="7" w:space="0" w:color="000000"/>
              <w:left w:val="single" w:sz="7" w:space="0" w:color="000000"/>
              <w:bottom w:val="single" w:sz="6" w:space="0" w:color="FFFFFF"/>
              <w:right w:val="single" w:sz="7" w:space="0" w:color="000000"/>
            </w:tcBorders>
          </w:tcPr>
          <w:p w:rsidR="003C5C86" w:rsidRDefault="003C5C86">
            <w:pPr>
              <w:spacing w:after="52"/>
            </w:pPr>
            <w:r>
              <w:t>Review notifications and reports, including performance test reports, and excess emissions reports, required to be submitted by industry.</w:t>
            </w:r>
          </w:p>
        </w:tc>
      </w:tr>
      <w:tr w:rsidR="003C5C86" w:rsidTr="00B267E0">
        <w:trPr>
          <w:jc w:val="center"/>
        </w:trPr>
        <w:tc>
          <w:tcPr>
            <w:tcW w:w="9360" w:type="dxa"/>
            <w:tcBorders>
              <w:top w:val="single" w:sz="7" w:space="0" w:color="000000"/>
              <w:left w:val="single" w:sz="7" w:space="0" w:color="000000"/>
              <w:bottom w:val="single" w:sz="6" w:space="0" w:color="FFFFFF"/>
              <w:right w:val="single" w:sz="7" w:space="0" w:color="000000"/>
            </w:tcBorders>
          </w:tcPr>
          <w:p w:rsidR="003C5C86" w:rsidRDefault="003C5C86">
            <w:pPr>
              <w:spacing w:after="52"/>
            </w:pPr>
            <w:r>
              <w:t>Audit facility records.</w:t>
            </w:r>
          </w:p>
        </w:tc>
      </w:tr>
      <w:tr w:rsidR="003C5C86" w:rsidTr="00B267E0">
        <w:trPr>
          <w:jc w:val="center"/>
        </w:trPr>
        <w:tc>
          <w:tcPr>
            <w:tcW w:w="9360" w:type="dxa"/>
            <w:tcBorders>
              <w:top w:val="single" w:sz="7" w:space="0" w:color="000000"/>
              <w:left w:val="single" w:sz="7" w:space="0" w:color="000000"/>
              <w:bottom w:val="single" w:sz="7" w:space="0" w:color="000000"/>
              <w:right w:val="single" w:sz="7" w:space="0" w:color="000000"/>
            </w:tcBorders>
          </w:tcPr>
          <w:p w:rsidR="003C5C86" w:rsidRDefault="003C5C86" w:rsidP="00E442B6">
            <w:pPr>
              <w:spacing w:after="72"/>
            </w:pPr>
            <w:r>
              <w:t xml:space="preserve">Input, analyze, and maintain data in the </w:t>
            </w:r>
            <w:r w:rsidR="00E442B6">
              <w:t>Online Tracking Information System (OTIS)</w:t>
            </w:r>
            <w:r>
              <w:t>.</w:t>
            </w:r>
          </w:p>
        </w:tc>
      </w:tr>
    </w:tbl>
    <w:p w:rsidR="00EC0339" w:rsidRDefault="00EC0339">
      <w:pPr>
        <w:rPr>
          <w:b/>
          <w:bCs/>
        </w:rPr>
      </w:pPr>
    </w:p>
    <w:p w:rsidR="00EC0339" w:rsidRDefault="003C5C86" w:rsidP="00EC0339">
      <w:pPr>
        <w:ind w:firstLine="720"/>
        <w:rPr>
          <w:b/>
          <w:bCs/>
        </w:rPr>
      </w:pPr>
      <w:r>
        <w:rPr>
          <w:b/>
          <w:bCs/>
        </w:rPr>
        <w:t>5(b)  Collection Methodology and Management</w:t>
      </w:r>
    </w:p>
    <w:p w:rsidR="00EC0339" w:rsidRDefault="00EC0339" w:rsidP="00EC0339">
      <w:pPr>
        <w:ind w:firstLine="720"/>
        <w:rPr>
          <w:b/>
          <w:bCs/>
        </w:rPr>
      </w:pPr>
    </w:p>
    <w:p w:rsidR="00D511F6" w:rsidRDefault="003C5C86" w:rsidP="00EC0339">
      <w:pPr>
        <w:ind w:firstLine="720"/>
      </w:pPr>
      <w:r>
        <w:t xml:space="preserve">Following notification of startup, the reviewing authority might inspect the source to determine whether the pollution control devices are properly installed and operated. </w:t>
      </w:r>
      <w:r w:rsidR="00E442B6">
        <w:t xml:space="preserve">Performance test reports are used by the Agency to discern a source’s initial capability to comply with the emission standard. </w:t>
      </w:r>
      <w:r>
        <w:t>Data and records maintained by the respondents are tabulated and published for use in compliance and enforcement programs.  The semiannual compliance reports are used for problem identification, as a check on source operation and maintenance, and for compliance determinations.</w:t>
      </w:r>
    </w:p>
    <w:p w:rsidR="00D511F6" w:rsidRDefault="00D511F6" w:rsidP="00EC0339">
      <w:pPr>
        <w:ind w:firstLine="720"/>
      </w:pPr>
    </w:p>
    <w:p w:rsidR="00272ADF" w:rsidRDefault="003C5C86" w:rsidP="00EC0339">
      <w:pPr>
        <w:ind w:firstLine="720"/>
      </w:pPr>
      <w:r>
        <w:t xml:space="preserve">Information contained in the reports is entered into </w:t>
      </w:r>
      <w:r w:rsidR="00E442B6">
        <w:t>OTIS</w:t>
      </w:r>
      <w:r>
        <w:t xml:space="preserve"> which is operated and maintained by </w:t>
      </w:r>
      <w:r w:rsidR="00CF798F">
        <w:t>the EPA</w:t>
      </w:r>
      <w:r>
        <w:t xml:space="preserve"> Office of Compliance.  </w:t>
      </w:r>
      <w:r w:rsidR="00E442B6">
        <w:t xml:space="preserve">OTIS </w:t>
      </w:r>
      <w:r>
        <w:t xml:space="preserve">is </w:t>
      </w:r>
      <w:r w:rsidR="00CF798F">
        <w:t xml:space="preserve">the </w:t>
      </w:r>
      <w:r>
        <w:t>EPA</w:t>
      </w:r>
      <w:r w:rsidR="00463909">
        <w:t>’s</w:t>
      </w:r>
      <w:r>
        <w:t xml:space="preserve"> database for the collection, maintenance, and retrieval of compliance data for approximately 125,000 industrial and government-owned facilities.  EPA uses the </w:t>
      </w:r>
      <w:r w:rsidR="00E442B6">
        <w:t xml:space="preserve">OTIS </w:t>
      </w:r>
      <w:r>
        <w:t>for tracking air pollution compliance and enforcement by local and state regulatory agencies, EPA regional offices and EPA headquarters.  EPA and its delegated Authorities can edit, store,</w:t>
      </w:r>
      <w:r w:rsidR="00272ADF">
        <w:t xml:space="preserve"> retrieve and analyze the data.</w:t>
      </w:r>
    </w:p>
    <w:p w:rsidR="00272ADF" w:rsidRDefault="00272ADF" w:rsidP="00EC0339">
      <w:pPr>
        <w:ind w:firstLine="720"/>
      </w:pPr>
    </w:p>
    <w:p w:rsidR="00AC379C" w:rsidRDefault="003C5C86" w:rsidP="00EC0339">
      <w:pPr>
        <w:ind w:firstLine="720"/>
      </w:pPr>
      <w:r>
        <w:t>The records required by this regulation must be retained by the owner/operator for five years.</w:t>
      </w:r>
    </w:p>
    <w:p w:rsidR="00AC379C" w:rsidRDefault="00AC379C"/>
    <w:p w:rsidR="00EC0339" w:rsidRDefault="003C5C86" w:rsidP="00AC379C">
      <w:pPr>
        <w:ind w:firstLine="720"/>
        <w:rPr>
          <w:b/>
          <w:bCs/>
        </w:rPr>
      </w:pPr>
      <w:r>
        <w:rPr>
          <w:b/>
          <w:bCs/>
        </w:rPr>
        <w:t>5(c)  Small Entity Flexibility</w:t>
      </w:r>
    </w:p>
    <w:p w:rsidR="00EC0339" w:rsidRDefault="00EC0339" w:rsidP="00AC379C">
      <w:pPr>
        <w:ind w:firstLine="720"/>
        <w:rPr>
          <w:b/>
          <w:bCs/>
        </w:rPr>
      </w:pPr>
    </w:p>
    <w:p w:rsidR="007E4C82" w:rsidRDefault="007E4C82" w:rsidP="007E4C8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EC0339" w:rsidRDefault="003C5C86" w:rsidP="00AC379C">
      <w:pPr>
        <w:ind w:firstLine="720"/>
        <w:rPr>
          <w:b/>
          <w:bCs/>
        </w:rPr>
      </w:pPr>
      <w:r>
        <w:rPr>
          <w:b/>
          <w:bCs/>
        </w:rPr>
        <w:lastRenderedPageBreak/>
        <w:t>5(d</w:t>
      </w:r>
      <w:proofErr w:type="gramStart"/>
      <w:r>
        <w:rPr>
          <w:b/>
          <w:bCs/>
        </w:rPr>
        <w:t>)  Collection</w:t>
      </w:r>
      <w:proofErr w:type="gramEnd"/>
      <w:r>
        <w:rPr>
          <w:b/>
          <w:bCs/>
        </w:rPr>
        <w:t xml:space="preserve"> Schedule</w:t>
      </w:r>
    </w:p>
    <w:p w:rsidR="00EC0339" w:rsidRDefault="00EC0339" w:rsidP="00AC379C">
      <w:pPr>
        <w:ind w:firstLine="720"/>
        <w:rPr>
          <w:b/>
          <w:bCs/>
        </w:rPr>
      </w:pPr>
    </w:p>
    <w:p w:rsidR="00AC379C" w:rsidRDefault="003C5C86" w:rsidP="00AC379C">
      <w:pPr>
        <w:ind w:firstLine="720"/>
      </w:pPr>
      <w:r>
        <w:t xml:space="preserve">The specific frequency for each information collection activity within this request is shown </w:t>
      </w:r>
      <w:r w:rsidR="006A30D0">
        <w:t xml:space="preserve">below </w:t>
      </w:r>
      <w:r>
        <w:t>in Table 1: Annual Respondent Burden and Cost</w:t>
      </w:r>
      <w:r w:rsidR="005D4652">
        <w:t xml:space="preserve"> - </w:t>
      </w:r>
      <w:r>
        <w:t xml:space="preserve">NESHAP for Coke Oven Batteries (40 </w:t>
      </w:r>
      <w:smartTag w:uri="urn:schemas-microsoft-com:office:smarttags" w:element="stockticker">
        <w:r>
          <w:t>CFR</w:t>
        </w:r>
      </w:smartTag>
      <w:r>
        <w:t xml:space="preserve"> </w:t>
      </w:r>
      <w:r w:rsidR="001353BD">
        <w:t>P</w:t>
      </w:r>
      <w:r>
        <w:t xml:space="preserve">art 63, </w:t>
      </w:r>
      <w:r w:rsidR="001353BD">
        <w:t>S</w:t>
      </w:r>
      <w:r>
        <w:t>ubpart L)</w:t>
      </w:r>
      <w:r w:rsidR="00971C3D">
        <w:t xml:space="preserve"> (Renewal)</w:t>
      </w:r>
      <w:r>
        <w:t>.</w:t>
      </w:r>
    </w:p>
    <w:p w:rsidR="00AC379C" w:rsidRDefault="00AC379C"/>
    <w:p w:rsidR="003C5C86" w:rsidRDefault="003C5C86" w:rsidP="00162811">
      <w:pPr>
        <w:outlineLvl w:val="0"/>
      </w:pPr>
      <w:r>
        <w:rPr>
          <w:b/>
          <w:bCs/>
        </w:rPr>
        <w:t>6.  Estimating the Burden and Cost of the Collection</w:t>
      </w:r>
    </w:p>
    <w:p w:rsidR="00EC0339" w:rsidRDefault="00EC0339">
      <w:pPr>
        <w:ind w:firstLine="720"/>
      </w:pPr>
    </w:p>
    <w:p w:rsidR="003C5C86" w:rsidRDefault="003C5C86">
      <w:pPr>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t>
      </w:r>
      <w:r w:rsidR="00037DFF">
        <w:t xml:space="preserve">work Reduction Act.  Wherever </w:t>
      </w:r>
      <w:r>
        <w:t xml:space="preserve">appropriate, specific tasks and major assumptions </w:t>
      </w:r>
      <w:r w:rsidR="00FE55D6">
        <w:t>in calculating the burden to industry as a result of this regulation</w:t>
      </w:r>
      <w:r w:rsidR="00463909">
        <w:t xml:space="preserve"> have been identified.</w:t>
      </w:r>
      <w:r>
        <w:t xml:space="preserve">  Responses to this information collection are mandatory.</w:t>
      </w:r>
    </w:p>
    <w:p w:rsidR="003C5C86" w:rsidRDefault="003C5C86"/>
    <w:p w:rsidR="003C5C86" w:rsidRDefault="003C5C86">
      <w:pPr>
        <w:ind w:firstLine="720"/>
      </w:pPr>
      <w:r>
        <w:t>The Agency may not conduct or sponsor, and a person is not required to respond to, a collection of information unless it displays a currently valid OMB Control Number.</w:t>
      </w:r>
    </w:p>
    <w:p w:rsidR="003C5C86" w:rsidRDefault="003C5C86">
      <w:pPr>
        <w:ind w:firstLine="720"/>
      </w:pPr>
    </w:p>
    <w:p w:rsidR="003C5C86" w:rsidRDefault="003C5C86">
      <w:pPr>
        <w:ind w:firstLine="720"/>
      </w:pPr>
      <w:r>
        <w:rPr>
          <w:b/>
          <w:bCs/>
        </w:rPr>
        <w:t>6(a)  Estimating Respondent Burden</w:t>
      </w:r>
    </w:p>
    <w:p w:rsidR="003C5C86" w:rsidRDefault="003C5C86"/>
    <w:p w:rsidR="003C5C86" w:rsidRDefault="003C5C86">
      <w:pPr>
        <w:ind w:firstLine="720"/>
      </w:pPr>
      <w:r>
        <w:t xml:space="preserve">The average annual burden to industry over the next three years from these recordkeeping and reporting requirements is estimated to be </w:t>
      </w:r>
      <w:r w:rsidR="00BC51BE">
        <w:t>80,1</w:t>
      </w:r>
      <w:r w:rsidR="001353BD">
        <w:t>2</w:t>
      </w:r>
      <w:r w:rsidR="0057675C">
        <w:t>0</w:t>
      </w:r>
      <w:r>
        <w:t xml:space="preserve"> hours</w:t>
      </w:r>
      <w:r w:rsidR="00463909">
        <w:t xml:space="preserve"> (Total Labor Hours from Table 1</w:t>
      </w:r>
      <w:r w:rsidR="00D21875">
        <w:t xml:space="preserve"> below</w:t>
      </w:r>
      <w:r w:rsidR="00463909">
        <w:t>)</w:t>
      </w:r>
      <w:r>
        <w:t xml:space="preserve">.  </w:t>
      </w:r>
      <w:r w:rsidR="00463909">
        <w:t xml:space="preserve">These hours </w:t>
      </w:r>
      <w:r>
        <w:t>are based on Agency studies and background documents from the development of the regulation, Agency knowledge and experience with the NESHAP program, the previously approved ICR, and any comments received.</w:t>
      </w:r>
    </w:p>
    <w:p w:rsidR="003C5C86" w:rsidRDefault="003C5C86"/>
    <w:p w:rsidR="003C5C86" w:rsidRDefault="003C5C86">
      <w:pPr>
        <w:ind w:firstLine="720"/>
        <w:rPr>
          <w:b/>
          <w:bCs/>
        </w:rPr>
      </w:pPr>
      <w:r>
        <w:rPr>
          <w:b/>
          <w:bCs/>
        </w:rPr>
        <w:t>6(b)  Estimating Respondent Costs</w:t>
      </w:r>
    </w:p>
    <w:p w:rsidR="003C5C86" w:rsidRDefault="003C5C86">
      <w:pPr>
        <w:rPr>
          <w:b/>
          <w:bCs/>
        </w:rPr>
      </w:pPr>
    </w:p>
    <w:p w:rsidR="003C5C86" w:rsidRDefault="003C5C86" w:rsidP="00162811">
      <w:pPr>
        <w:ind w:firstLine="1440"/>
        <w:outlineLvl w:val="0"/>
      </w:pPr>
      <w:r>
        <w:rPr>
          <w:b/>
          <w:bCs/>
        </w:rPr>
        <w:t>(</w:t>
      </w:r>
      <w:proofErr w:type="spellStart"/>
      <w:r>
        <w:rPr>
          <w:b/>
          <w:bCs/>
        </w:rPr>
        <w:t>i</w:t>
      </w:r>
      <w:proofErr w:type="spellEnd"/>
      <w:r>
        <w:rPr>
          <w:b/>
          <w:bCs/>
        </w:rPr>
        <w:t>)  Estimating Labor Costs</w:t>
      </w:r>
    </w:p>
    <w:p w:rsidR="003C5C86" w:rsidRDefault="003C5C86">
      <w:r>
        <w:t xml:space="preserve"> </w:t>
      </w:r>
    </w:p>
    <w:p w:rsidR="003C5C86" w:rsidRDefault="003C5C86">
      <w:pPr>
        <w:ind w:firstLine="720"/>
      </w:pPr>
      <w:r>
        <w:t xml:space="preserve">This ICR uses the following labor rates: </w:t>
      </w:r>
    </w:p>
    <w:p w:rsidR="003C5C86" w:rsidRDefault="003C5C86"/>
    <w:p w:rsidR="003C5C86" w:rsidRDefault="003C5C86">
      <w:pPr>
        <w:tabs>
          <w:tab w:val="left" w:pos="-1440"/>
        </w:tabs>
        <w:ind w:left="2880" w:hanging="1440"/>
      </w:pPr>
      <w:r>
        <w:t>Managerial</w:t>
      </w:r>
      <w:r>
        <w:tab/>
        <w:t>$</w:t>
      </w:r>
      <w:r w:rsidR="00BC51BE">
        <w:t>1</w:t>
      </w:r>
      <w:r w:rsidR="008C4EBC">
        <w:t>21</w:t>
      </w:r>
      <w:r w:rsidR="00BC51BE">
        <w:t>.</w:t>
      </w:r>
      <w:r w:rsidR="008C4EBC">
        <w:t>42</w:t>
      </w:r>
      <w:r>
        <w:t xml:space="preserve">   ($</w:t>
      </w:r>
      <w:r w:rsidR="008C4EBC">
        <w:t>5</w:t>
      </w:r>
      <w:r w:rsidR="00BC51BE">
        <w:t>7.</w:t>
      </w:r>
      <w:r w:rsidR="008C4EBC">
        <w:t>82</w:t>
      </w:r>
      <w:r>
        <w:t xml:space="preserve"> + 110%)</w:t>
      </w:r>
    </w:p>
    <w:p w:rsidR="003C5C86" w:rsidRDefault="003C5C86">
      <w:pPr>
        <w:tabs>
          <w:tab w:val="left" w:pos="-1440"/>
        </w:tabs>
        <w:ind w:left="2880" w:hanging="1440"/>
      </w:pPr>
      <w:r>
        <w:t>Technical</w:t>
      </w:r>
      <w:r>
        <w:tab/>
        <w:t>$</w:t>
      </w:r>
      <w:r w:rsidR="008C4EBC">
        <w:t>99.14</w:t>
      </w:r>
      <w:r>
        <w:t xml:space="preserve">   ($</w:t>
      </w:r>
      <w:r w:rsidR="00BC51BE">
        <w:t>4</w:t>
      </w:r>
      <w:r w:rsidR="008C4EBC">
        <w:t>7</w:t>
      </w:r>
      <w:r w:rsidR="00BC51BE">
        <w:t>.</w:t>
      </w:r>
      <w:r w:rsidR="008C4EBC">
        <w:t>2</w:t>
      </w:r>
      <w:r w:rsidR="00BC51BE">
        <w:t>1</w:t>
      </w:r>
      <w:r>
        <w:t xml:space="preserve"> + 110%)</w:t>
      </w:r>
    </w:p>
    <w:p w:rsidR="003C5C86" w:rsidRDefault="003C5C86">
      <w:pPr>
        <w:tabs>
          <w:tab w:val="left" w:pos="-1440"/>
        </w:tabs>
        <w:ind w:left="2880" w:hanging="1440"/>
      </w:pPr>
      <w:r>
        <w:t>Clerical</w:t>
      </w:r>
      <w:r>
        <w:tab/>
        <w:t>$</w:t>
      </w:r>
      <w:r w:rsidR="008C4EBC">
        <w:t>49.81</w:t>
      </w:r>
      <w:r>
        <w:t xml:space="preserve">   ($2</w:t>
      </w:r>
      <w:r w:rsidR="008C4EBC">
        <w:t>3</w:t>
      </w:r>
      <w:r>
        <w:t>.</w:t>
      </w:r>
      <w:r w:rsidR="008C4EBC">
        <w:t>72</w:t>
      </w:r>
      <w:r>
        <w:t xml:space="preserve"> + 110%)</w:t>
      </w:r>
    </w:p>
    <w:p w:rsidR="003C5C86" w:rsidRDefault="003C5C86"/>
    <w:p w:rsidR="003C5C86" w:rsidRDefault="003C5C86">
      <w:r>
        <w:t xml:space="preserve">These rates are from the United States Department of Labor, Bureau of Labor Statistics, </w:t>
      </w:r>
      <w:r w:rsidR="008C4EBC">
        <w:t>September 2011</w:t>
      </w:r>
      <w:r>
        <w:t xml:space="preserve">, </w:t>
      </w:r>
      <w:r w:rsidR="00971C3D">
        <w:t>“</w:t>
      </w:r>
      <w:r>
        <w:t xml:space="preserve">Table 2. Civilian Workers, by </w:t>
      </w:r>
      <w:r w:rsidR="00971C3D">
        <w:t>O</w:t>
      </w:r>
      <w:r>
        <w:t xml:space="preserve">ccupational and </w:t>
      </w:r>
      <w:r w:rsidR="00971C3D">
        <w:t>I</w:t>
      </w:r>
      <w:r>
        <w:t>ndustry group.</w:t>
      </w:r>
      <w:r w:rsidR="00971C3D">
        <w:t>”</w:t>
      </w:r>
      <w:r>
        <w:t xml:space="preserve"> The </w:t>
      </w:r>
      <w:proofErr w:type="gramStart"/>
      <w:r>
        <w:t xml:space="preserve">rates </w:t>
      </w:r>
      <w:r w:rsidR="00D21875">
        <w:t xml:space="preserve"> </w:t>
      </w:r>
      <w:r>
        <w:t>are</w:t>
      </w:r>
      <w:proofErr w:type="gramEnd"/>
      <w:r>
        <w:t xml:space="preserve"> from column 1, </w:t>
      </w:r>
      <w:r w:rsidR="00971C3D">
        <w:t>“</w:t>
      </w:r>
      <w:r>
        <w:t xml:space="preserve">Total </w:t>
      </w:r>
      <w:r w:rsidR="00971C3D">
        <w:t>C</w:t>
      </w:r>
      <w:r>
        <w:t>ompensation.</w:t>
      </w:r>
      <w:r w:rsidR="00971C3D">
        <w:t>”</w:t>
      </w:r>
      <w:r>
        <w:t xml:space="preserve">  The rates have been increased by 110 percent to account for the benefit packages available to those employed by private industry.</w:t>
      </w:r>
    </w:p>
    <w:p w:rsidR="00656D07" w:rsidRDefault="00656D07" w:rsidP="00656D07"/>
    <w:p w:rsidR="003C5C86" w:rsidRDefault="00656D07" w:rsidP="00162811">
      <w:pPr>
        <w:ind w:left="720" w:firstLine="720"/>
        <w:outlineLvl w:val="0"/>
        <w:rPr>
          <w:b/>
          <w:bCs/>
          <w:color w:val="000000"/>
        </w:rPr>
      </w:pPr>
      <w:r>
        <w:rPr>
          <w:b/>
          <w:bCs/>
          <w:color w:val="000000"/>
        </w:rPr>
        <w:t>(ii)  E</w:t>
      </w:r>
      <w:r w:rsidR="003C5C86">
        <w:rPr>
          <w:b/>
          <w:bCs/>
          <w:color w:val="000000"/>
        </w:rPr>
        <w:t>stimating Capital/Startup and Operation and Maintenance Costs</w:t>
      </w:r>
    </w:p>
    <w:p w:rsidR="00EC0339" w:rsidRDefault="00EC0339" w:rsidP="00EC0339">
      <w:pPr>
        <w:rPr>
          <w:color w:val="000000"/>
        </w:rPr>
      </w:pPr>
    </w:p>
    <w:p w:rsidR="003C5C86" w:rsidRDefault="00656D07" w:rsidP="00656D07">
      <w:pPr>
        <w:ind w:firstLine="720"/>
        <w:rPr>
          <w:color w:val="000000"/>
        </w:rPr>
      </w:pPr>
      <w:r>
        <w:rPr>
          <w:color w:val="000000"/>
        </w:rPr>
        <w:t>T</w:t>
      </w:r>
      <w:r w:rsidR="003C5C86">
        <w:rPr>
          <w:color w:val="000000"/>
        </w:rPr>
        <w:t>he only costs to the regulated industry resulting from information collection activities required by the subje</w:t>
      </w:r>
      <w:r>
        <w:rPr>
          <w:color w:val="000000"/>
        </w:rPr>
        <w:t>ct standard</w:t>
      </w:r>
      <w:r w:rsidR="003C5C86">
        <w:rPr>
          <w:color w:val="000000"/>
        </w:rPr>
        <w:t xml:space="preserve"> are labor costs.  </w:t>
      </w:r>
      <w:r w:rsidR="002E68FF">
        <w:rPr>
          <w:color w:val="000000"/>
        </w:rPr>
        <w:t xml:space="preserve">There are no capital/startup or operation and maintenance </w:t>
      </w:r>
      <w:r w:rsidR="003C5C86">
        <w:rPr>
          <w:color w:val="000000"/>
        </w:rPr>
        <w:t xml:space="preserve">costs.  There are no annual operations and maintenance costs associated with </w:t>
      </w:r>
      <w:r w:rsidR="003C5C86">
        <w:rPr>
          <w:color w:val="000000"/>
        </w:rPr>
        <w:lastRenderedPageBreak/>
        <w:t>contin</w:t>
      </w:r>
      <w:r w:rsidR="00EF3B80">
        <w:rPr>
          <w:color w:val="000000"/>
        </w:rPr>
        <w:t>uou</w:t>
      </w:r>
      <w:r w:rsidR="003C5C86">
        <w:rPr>
          <w:color w:val="000000"/>
        </w:rPr>
        <w:t xml:space="preserve">s emissions monitors (CEMs) since there are no sources using CEMs for opacity emissions discharged from the control device.  </w:t>
      </w:r>
    </w:p>
    <w:p w:rsidR="003C5C86" w:rsidRDefault="003C5C86">
      <w:pPr>
        <w:rPr>
          <w:color w:val="000000"/>
        </w:rPr>
      </w:pPr>
    </w:p>
    <w:p w:rsidR="003C5C86" w:rsidRDefault="003C5C86" w:rsidP="00162811">
      <w:pPr>
        <w:ind w:firstLine="1440"/>
        <w:outlineLvl w:val="0"/>
        <w:rPr>
          <w:color w:val="000000"/>
        </w:rPr>
      </w:pPr>
      <w:r>
        <w:rPr>
          <w:b/>
          <w:bCs/>
          <w:color w:val="000000"/>
        </w:rPr>
        <w:t>(iii)  Capital/Startup vs. Operation and Maintenance (O&amp;M) Costs</w:t>
      </w:r>
    </w:p>
    <w:p w:rsidR="003C5C86" w:rsidRDefault="003C5C86">
      <w:pPr>
        <w:rPr>
          <w:color w:val="000000"/>
        </w:rPr>
      </w:pPr>
    </w:p>
    <w:p w:rsidR="00D32486" w:rsidRDefault="00D32486" w:rsidP="00D32486">
      <w:pPr>
        <w:ind w:firstLine="720"/>
      </w:pPr>
      <w:r>
        <w:t xml:space="preserve">The only type of industry costs associated with the information collection activity in the regulations </w:t>
      </w:r>
      <w:r w:rsidR="009E2E5E">
        <w:t xml:space="preserve">is </w:t>
      </w:r>
      <w:r>
        <w:t xml:space="preserve">labor </w:t>
      </w:r>
      <w:r w:rsidR="002E68FF">
        <w:t>costs.  There are no capital/startup or</w:t>
      </w:r>
      <w:r>
        <w:t xml:space="preserve"> operation and maintenance costs. </w:t>
      </w:r>
    </w:p>
    <w:p w:rsidR="003C5C86" w:rsidRDefault="003C5C86">
      <w:pPr>
        <w:rPr>
          <w:color w:val="000000"/>
        </w:rPr>
      </w:pPr>
    </w:p>
    <w:p w:rsidR="003C5C86" w:rsidRDefault="003C5C86">
      <w:pPr>
        <w:ind w:firstLine="720"/>
        <w:rPr>
          <w:color w:val="000000"/>
        </w:rPr>
      </w:pPr>
      <w:r>
        <w:rPr>
          <w:b/>
          <w:bCs/>
          <w:color w:val="000000"/>
        </w:rPr>
        <w:t>6(c)  Estimating Agency Burden and Cost</w:t>
      </w:r>
    </w:p>
    <w:p w:rsidR="003C5C86" w:rsidRDefault="003C5C86">
      <w:pPr>
        <w:rPr>
          <w:color w:val="000000"/>
        </w:rPr>
      </w:pPr>
    </w:p>
    <w:p w:rsidR="003C5C86" w:rsidRDefault="003C5C86">
      <w:pPr>
        <w:ind w:firstLine="720"/>
        <w:rPr>
          <w:color w:val="000000"/>
        </w:rPr>
      </w:pPr>
      <w:r>
        <w:rPr>
          <w:color w:val="000000"/>
        </w:rPr>
        <w:t>The only costs to the Agency are labor costs associated with analysis of the reported information and</w:t>
      </w:r>
      <w:r w:rsidR="00D0621C">
        <w:rPr>
          <w:color w:val="000000"/>
        </w:rPr>
        <w:t xml:space="preserve"> the </w:t>
      </w:r>
      <w:r>
        <w:rPr>
          <w:color w:val="000000"/>
        </w:rPr>
        <w:t xml:space="preserve">annual </w:t>
      </w:r>
      <w:r w:rsidR="00D0621C">
        <w:rPr>
          <w:color w:val="000000"/>
        </w:rPr>
        <w:t xml:space="preserve">visible observer </w:t>
      </w:r>
      <w:r w:rsidR="00625A76">
        <w:rPr>
          <w:color w:val="000000"/>
        </w:rPr>
        <w:t xml:space="preserve">certification training.  The </w:t>
      </w:r>
      <w:r w:rsidR="00656A49">
        <w:rPr>
          <w:color w:val="000000"/>
        </w:rPr>
        <w:t>EPA</w:t>
      </w:r>
      <w:r w:rsidR="00297FD5">
        <w:rPr>
          <w:color w:val="000000"/>
        </w:rPr>
        <w:t>’s</w:t>
      </w:r>
      <w:r>
        <w:rPr>
          <w:color w:val="000000"/>
        </w:rPr>
        <w:t xml:space="preserve"> overall compliance and enforcement program includes activities such as the examination of records maintained by the respondents, periodic inspection of sources of emissions, and the publication and distribution of collected information.</w:t>
      </w:r>
    </w:p>
    <w:p w:rsidR="00594EA9" w:rsidRDefault="00594EA9">
      <w:pPr>
        <w:ind w:firstLine="720"/>
        <w:rPr>
          <w:color w:val="000000"/>
        </w:rPr>
      </w:pPr>
    </w:p>
    <w:p w:rsidR="003C5C86" w:rsidRDefault="003C5C86" w:rsidP="00162811">
      <w:pPr>
        <w:ind w:firstLine="720"/>
        <w:outlineLvl w:val="0"/>
        <w:rPr>
          <w:color w:val="000000"/>
        </w:rPr>
      </w:pPr>
      <w:r>
        <w:rPr>
          <w:color w:val="000000"/>
        </w:rPr>
        <w:t xml:space="preserve">The average annual Agency cost during the three years of the ICR is estimated to be </w:t>
      </w:r>
    </w:p>
    <w:p w:rsidR="00286A56" w:rsidRDefault="00625A76">
      <w:pPr>
        <w:rPr>
          <w:color w:val="000000"/>
        </w:rPr>
      </w:pPr>
      <w:r>
        <w:rPr>
          <w:color w:val="000000"/>
        </w:rPr>
        <w:t>$5,209.</w:t>
      </w:r>
    </w:p>
    <w:p w:rsidR="00286A56" w:rsidRDefault="00286A56">
      <w:pPr>
        <w:rPr>
          <w:color w:val="000000"/>
        </w:rPr>
      </w:pPr>
    </w:p>
    <w:p w:rsidR="003C5C86" w:rsidRDefault="003C5C86" w:rsidP="00286A56">
      <w:pPr>
        <w:ind w:firstLine="720"/>
        <w:rPr>
          <w:color w:val="000000"/>
        </w:rPr>
      </w:pPr>
      <w:r>
        <w:rPr>
          <w:color w:val="000000"/>
        </w:rPr>
        <w:t>This cost is based on the average hourly labor rate as follows:</w:t>
      </w:r>
    </w:p>
    <w:p w:rsidR="003C5C86" w:rsidRDefault="003C5C86">
      <w:pPr>
        <w:rPr>
          <w:color w:val="000000"/>
        </w:rPr>
      </w:pPr>
    </w:p>
    <w:p w:rsidR="003C5C86" w:rsidRDefault="003C5C86">
      <w:pPr>
        <w:tabs>
          <w:tab w:val="left" w:pos="-1440"/>
        </w:tabs>
        <w:ind w:left="2880" w:hanging="1440"/>
        <w:rPr>
          <w:color w:val="000000"/>
        </w:rPr>
      </w:pPr>
      <w:r>
        <w:rPr>
          <w:color w:val="000000"/>
        </w:rPr>
        <w:t>Managerial</w:t>
      </w:r>
      <w:r>
        <w:rPr>
          <w:color w:val="000000"/>
        </w:rPr>
        <w:tab/>
        <w:t>$</w:t>
      </w:r>
      <w:r w:rsidR="00297FD5">
        <w:rPr>
          <w:color w:val="000000"/>
        </w:rPr>
        <w:t>62.27</w:t>
      </w:r>
      <w:r>
        <w:rPr>
          <w:color w:val="000000"/>
        </w:rPr>
        <w:t xml:space="preserve">   (GS-13, Step 5, $3</w:t>
      </w:r>
      <w:r w:rsidR="00297FD5">
        <w:rPr>
          <w:color w:val="000000"/>
        </w:rPr>
        <w:t>8</w:t>
      </w:r>
      <w:r>
        <w:rPr>
          <w:color w:val="000000"/>
        </w:rPr>
        <w:t>.</w:t>
      </w:r>
      <w:r w:rsidR="00297FD5">
        <w:rPr>
          <w:color w:val="000000"/>
        </w:rPr>
        <w:t>92</w:t>
      </w:r>
      <w:r>
        <w:rPr>
          <w:color w:val="000000"/>
        </w:rPr>
        <w:t xml:space="preserve"> </w:t>
      </w:r>
      <w:r w:rsidR="00297FD5">
        <w:rPr>
          <w:color w:val="000000"/>
        </w:rPr>
        <w:t>+ 60%</w:t>
      </w:r>
      <w:r>
        <w:rPr>
          <w:color w:val="000000"/>
        </w:rPr>
        <w:t xml:space="preserve">)   </w:t>
      </w:r>
    </w:p>
    <w:p w:rsidR="00297FD5" w:rsidRPr="00D2273E" w:rsidRDefault="00297FD5" w:rsidP="00297FD5">
      <w:pPr>
        <w:ind w:left="720" w:firstLine="720"/>
      </w:pPr>
      <w:r w:rsidRPr="00D2273E">
        <w:t>Technical</w:t>
      </w:r>
      <w:r w:rsidRPr="00D2273E">
        <w:tab/>
        <w:t>$4</w:t>
      </w:r>
      <w:r>
        <w:t>6</w:t>
      </w:r>
      <w:r w:rsidRPr="00D2273E">
        <w:t>.</w:t>
      </w:r>
      <w:r>
        <w:t>21</w:t>
      </w:r>
      <w:r w:rsidRPr="00D2273E">
        <w:t xml:space="preserve"> (GS-12, Step 1, $28.</w:t>
      </w:r>
      <w:r>
        <w:t>88</w:t>
      </w:r>
      <w:r w:rsidRPr="00D2273E">
        <w:t xml:space="preserve"> + 60%)</w:t>
      </w:r>
    </w:p>
    <w:p w:rsidR="00297FD5" w:rsidRPr="00D2273E" w:rsidRDefault="00297FD5" w:rsidP="00297FD5">
      <w:r>
        <w:tab/>
      </w:r>
      <w:r w:rsidRPr="00D2273E">
        <w:tab/>
        <w:t>Clerical</w:t>
      </w:r>
      <w:r w:rsidRPr="00D2273E">
        <w:tab/>
        <w:t>$2</w:t>
      </w:r>
      <w:r>
        <w:t>5.01</w:t>
      </w:r>
      <w:r w:rsidRPr="00D2273E">
        <w:t xml:space="preserve"> (GS-6, Step 3, $15.</w:t>
      </w:r>
      <w:r>
        <w:t>63</w:t>
      </w:r>
      <w:r w:rsidRPr="00D2273E">
        <w:t xml:space="preserve"> + 60%)</w:t>
      </w:r>
    </w:p>
    <w:p w:rsidR="003C5C86" w:rsidRDefault="003C5C86">
      <w:pPr>
        <w:rPr>
          <w:color w:val="000000"/>
        </w:rPr>
      </w:pPr>
    </w:p>
    <w:p w:rsidR="003C5C86" w:rsidRDefault="003C5C86">
      <w:pPr>
        <w:rPr>
          <w:color w:val="000000"/>
        </w:rPr>
      </w:pPr>
      <w:r>
        <w:rPr>
          <w:color w:val="000000"/>
        </w:rPr>
        <w:t xml:space="preserve">These rates are from the Office of Personnel Management (OPM) </w:t>
      </w:r>
      <w:r w:rsidR="00297FD5">
        <w:rPr>
          <w:color w:val="000000"/>
        </w:rPr>
        <w:t>2011</w:t>
      </w:r>
      <w:r>
        <w:rPr>
          <w:color w:val="000000"/>
        </w:rPr>
        <w:t xml:space="preserve"> General Schedule</w:t>
      </w:r>
      <w:r w:rsidR="00297FD5">
        <w:rPr>
          <w:color w:val="000000"/>
        </w:rPr>
        <w:t>,</w:t>
      </w:r>
      <w:r>
        <w:rPr>
          <w:color w:val="000000"/>
        </w:rPr>
        <w:t xml:space="preserve"> which excludes locality rates of pay.  </w:t>
      </w:r>
      <w:r w:rsidR="00297FD5">
        <w:rPr>
          <w:color w:val="000000"/>
        </w:rPr>
        <w:t>The rates have been increased by 60 percent to account for the benefit packages available to government employees</w:t>
      </w:r>
      <w:r w:rsidR="00297FD5" w:rsidRPr="007A0634">
        <w:t xml:space="preserve">.  </w:t>
      </w:r>
      <w:r>
        <w:rPr>
          <w:color w:val="000000"/>
        </w:rPr>
        <w:t xml:space="preserve">Details upon which this estimate is based appear </w:t>
      </w:r>
      <w:r w:rsidR="00286A56">
        <w:rPr>
          <w:color w:val="000000"/>
        </w:rPr>
        <w:t xml:space="preserve">below </w:t>
      </w:r>
      <w:r>
        <w:rPr>
          <w:color w:val="000000"/>
        </w:rPr>
        <w:t xml:space="preserve">in Table 2: </w:t>
      </w:r>
      <w:r w:rsidR="007125A4">
        <w:rPr>
          <w:color w:val="000000"/>
        </w:rPr>
        <w:t xml:space="preserve">Average </w:t>
      </w:r>
      <w:r>
        <w:rPr>
          <w:color w:val="000000"/>
        </w:rPr>
        <w:t xml:space="preserve">Annual </w:t>
      </w:r>
      <w:r w:rsidR="007125A4">
        <w:rPr>
          <w:color w:val="000000"/>
        </w:rPr>
        <w:t xml:space="preserve">EPA Burden </w:t>
      </w:r>
      <w:r>
        <w:rPr>
          <w:color w:val="000000"/>
        </w:rPr>
        <w:t>and Cost</w:t>
      </w:r>
      <w:r w:rsidR="007125A4">
        <w:rPr>
          <w:color w:val="000000"/>
        </w:rPr>
        <w:t xml:space="preserve"> - </w:t>
      </w:r>
      <w:r>
        <w:rPr>
          <w:color w:val="000000"/>
        </w:rPr>
        <w:t xml:space="preserve">NESHAP for Coke Oven Batteries (40 CFR </w:t>
      </w:r>
      <w:r w:rsidR="005A3EBE">
        <w:rPr>
          <w:color w:val="000000"/>
        </w:rPr>
        <w:t>P</w:t>
      </w:r>
      <w:r>
        <w:rPr>
          <w:color w:val="000000"/>
        </w:rPr>
        <w:t xml:space="preserve">art 63, </w:t>
      </w:r>
      <w:r w:rsidR="005A3EBE">
        <w:rPr>
          <w:color w:val="000000"/>
        </w:rPr>
        <w:t>S</w:t>
      </w:r>
      <w:r>
        <w:rPr>
          <w:color w:val="000000"/>
        </w:rPr>
        <w:t>ubpart L)</w:t>
      </w:r>
      <w:r w:rsidR="00286A56">
        <w:rPr>
          <w:color w:val="000000"/>
        </w:rPr>
        <w:t xml:space="preserve"> (Renewal)</w:t>
      </w:r>
      <w:r>
        <w:rPr>
          <w:color w:val="000000"/>
        </w:rPr>
        <w:t>.</w:t>
      </w:r>
    </w:p>
    <w:p w:rsidR="003C5C86" w:rsidRDefault="003C5C86">
      <w:pPr>
        <w:rPr>
          <w:color w:val="000000"/>
        </w:rPr>
      </w:pPr>
    </w:p>
    <w:p w:rsidR="003C5C86" w:rsidRDefault="003C5C86">
      <w:pPr>
        <w:ind w:firstLine="720"/>
        <w:rPr>
          <w:b/>
          <w:bCs/>
          <w:color w:val="000000"/>
        </w:rPr>
      </w:pPr>
      <w:r w:rsidRPr="00286A56">
        <w:rPr>
          <w:b/>
          <w:bCs/>
          <w:color w:val="000000"/>
        </w:rPr>
        <w:t>6(d)</w:t>
      </w:r>
      <w:r>
        <w:rPr>
          <w:b/>
          <w:bCs/>
          <w:color w:val="000000"/>
        </w:rPr>
        <w:t xml:space="preserve">  Estimating the Respondent Universe and Total Burden and Costs</w:t>
      </w:r>
    </w:p>
    <w:p w:rsidR="00594EA9" w:rsidRDefault="00594EA9">
      <w:pPr>
        <w:ind w:firstLine="720"/>
        <w:rPr>
          <w:b/>
          <w:bCs/>
          <w:color w:val="000000"/>
        </w:rPr>
      </w:pPr>
    </w:p>
    <w:p w:rsidR="003C5C86" w:rsidRDefault="003C5C86">
      <w:pPr>
        <w:ind w:firstLine="720"/>
        <w:rPr>
          <w:color w:val="000000"/>
        </w:rPr>
      </w:pPr>
      <w:r>
        <w:rPr>
          <w:color w:val="000000"/>
        </w:rPr>
        <w:t xml:space="preserve">Based on our research for this ICR, </w:t>
      </w:r>
      <w:r w:rsidR="00F94A28">
        <w:rPr>
          <w:color w:val="000000"/>
        </w:rPr>
        <w:t xml:space="preserve">on average over the next three years, </w:t>
      </w:r>
      <w:r>
        <w:rPr>
          <w:color w:val="000000"/>
        </w:rPr>
        <w:t xml:space="preserve">approximately </w:t>
      </w:r>
      <w:r w:rsidRPr="00F94A28">
        <w:rPr>
          <w:color w:val="000000"/>
        </w:rPr>
        <w:t>19</w:t>
      </w:r>
      <w:r>
        <w:rPr>
          <w:color w:val="000000"/>
        </w:rPr>
        <w:t xml:space="preserve"> existing </w:t>
      </w:r>
      <w:r w:rsidR="00F94A28">
        <w:rPr>
          <w:color w:val="000000"/>
        </w:rPr>
        <w:t>respondents will be</w:t>
      </w:r>
      <w:r>
        <w:rPr>
          <w:color w:val="000000"/>
        </w:rPr>
        <w:t xml:space="preserve"> subject to the </w:t>
      </w:r>
      <w:r w:rsidR="00F94A28">
        <w:rPr>
          <w:color w:val="000000"/>
        </w:rPr>
        <w:t>standard</w:t>
      </w:r>
      <w:r>
        <w:rPr>
          <w:color w:val="000000"/>
        </w:rPr>
        <w:t>.  It is estimated that no new sources per year will become subject to the standard in the next three years.</w:t>
      </w:r>
    </w:p>
    <w:p w:rsidR="003C5C86" w:rsidRDefault="003C5C86">
      <w:pPr>
        <w:rPr>
          <w:color w:val="000000"/>
        </w:rPr>
      </w:pPr>
    </w:p>
    <w:p w:rsidR="003C5C86" w:rsidRDefault="003C5C86" w:rsidP="0020608B">
      <w:pPr>
        <w:ind w:firstLine="720"/>
        <w:rPr>
          <w:color w:val="000000"/>
        </w:rPr>
      </w:pPr>
      <w:r>
        <w:rPr>
          <w:color w:val="000000"/>
        </w:rPr>
        <w:t xml:space="preserve">The </w:t>
      </w:r>
      <w:r w:rsidR="00D06BD9">
        <w:rPr>
          <w:color w:val="000000"/>
        </w:rPr>
        <w:t>n</w:t>
      </w:r>
      <w:r>
        <w:rPr>
          <w:color w:val="000000"/>
        </w:rPr>
        <w:t>umber of respondents is calculated using the following table which addresses the three years covered by this ICR.</w:t>
      </w:r>
    </w:p>
    <w:p w:rsidR="004D7DCE" w:rsidRDefault="004D7DCE"/>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0" w:type="dxa"/>
          <w:right w:w="110" w:type="dxa"/>
        </w:tblCellMar>
        <w:tblLook w:val="0000"/>
      </w:tblPr>
      <w:tblGrid>
        <w:gridCol w:w="900"/>
        <w:gridCol w:w="1597"/>
        <w:gridCol w:w="1372"/>
        <w:gridCol w:w="1980"/>
        <w:gridCol w:w="1800"/>
        <w:gridCol w:w="1710"/>
      </w:tblGrid>
      <w:tr w:rsidR="00ED1681" w:rsidTr="00680D29">
        <w:trPr>
          <w:cantSplit/>
          <w:tblHeader/>
          <w:jc w:val="center"/>
        </w:trPr>
        <w:tc>
          <w:tcPr>
            <w:tcW w:w="9359" w:type="dxa"/>
            <w:gridSpan w:val="6"/>
            <w:vAlign w:val="center"/>
          </w:tcPr>
          <w:p w:rsidR="00C924AF" w:rsidRDefault="004D7DCE">
            <w:pPr>
              <w:keepNext/>
              <w:jc w:val="center"/>
              <w:rPr>
                <w:b/>
                <w:bCs/>
                <w:color w:val="000000"/>
                <w:sz w:val="20"/>
                <w:szCs w:val="20"/>
              </w:rPr>
            </w:pPr>
            <w:r>
              <w:rPr>
                <w:b/>
                <w:bCs/>
                <w:color w:val="000000"/>
              </w:rPr>
              <w:lastRenderedPageBreak/>
              <w:t>N</w:t>
            </w:r>
            <w:r w:rsidR="00ED1681">
              <w:rPr>
                <w:b/>
                <w:bCs/>
                <w:color w:val="000000"/>
              </w:rPr>
              <w:t>umber of Respondents</w:t>
            </w:r>
          </w:p>
        </w:tc>
      </w:tr>
      <w:tr w:rsidR="00ED1681" w:rsidTr="00680D29">
        <w:trPr>
          <w:cantSplit/>
          <w:tblHeader/>
          <w:jc w:val="center"/>
        </w:trPr>
        <w:tc>
          <w:tcPr>
            <w:tcW w:w="900" w:type="dxa"/>
            <w:vAlign w:val="center"/>
          </w:tcPr>
          <w:p w:rsidR="00C924AF" w:rsidRDefault="00C924AF">
            <w:pPr>
              <w:keepNext/>
              <w:spacing w:after="52"/>
              <w:jc w:val="center"/>
              <w:rPr>
                <w:b/>
                <w:bCs/>
                <w:color w:val="000000"/>
                <w:sz w:val="20"/>
                <w:szCs w:val="20"/>
              </w:rPr>
            </w:pPr>
          </w:p>
        </w:tc>
        <w:tc>
          <w:tcPr>
            <w:tcW w:w="2969" w:type="dxa"/>
            <w:gridSpan w:val="2"/>
          </w:tcPr>
          <w:p w:rsidR="00C924AF" w:rsidRDefault="00ED1681">
            <w:pPr>
              <w:keepNext/>
              <w:jc w:val="center"/>
              <w:rPr>
                <w:b/>
                <w:bCs/>
                <w:color w:val="000000"/>
                <w:sz w:val="20"/>
                <w:szCs w:val="20"/>
              </w:rPr>
            </w:pPr>
            <w:r>
              <w:rPr>
                <w:b/>
                <w:bCs/>
                <w:color w:val="000000"/>
                <w:sz w:val="20"/>
                <w:szCs w:val="20"/>
              </w:rPr>
              <w:t>Respondents That Submit Reports</w:t>
            </w:r>
          </w:p>
        </w:tc>
        <w:tc>
          <w:tcPr>
            <w:tcW w:w="1980" w:type="dxa"/>
          </w:tcPr>
          <w:p w:rsidR="00C924AF" w:rsidRDefault="00ED1681">
            <w:pPr>
              <w:keepNext/>
              <w:jc w:val="center"/>
              <w:rPr>
                <w:b/>
                <w:bCs/>
                <w:color w:val="000000"/>
                <w:sz w:val="20"/>
                <w:szCs w:val="20"/>
              </w:rPr>
            </w:pPr>
            <w:r>
              <w:rPr>
                <w:b/>
                <w:bCs/>
                <w:color w:val="000000"/>
                <w:sz w:val="20"/>
                <w:szCs w:val="20"/>
              </w:rPr>
              <w:t>Respondents That Do Not Submit Any Reports</w:t>
            </w:r>
          </w:p>
        </w:tc>
        <w:tc>
          <w:tcPr>
            <w:tcW w:w="1800" w:type="dxa"/>
          </w:tcPr>
          <w:p w:rsidR="00C924AF" w:rsidRDefault="00C924AF">
            <w:pPr>
              <w:keepNext/>
              <w:jc w:val="center"/>
              <w:rPr>
                <w:b/>
                <w:bCs/>
                <w:color w:val="000000"/>
                <w:sz w:val="20"/>
                <w:szCs w:val="20"/>
              </w:rPr>
            </w:pPr>
          </w:p>
        </w:tc>
        <w:tc>
          <w:tcPr>
            <w:tcW w:w="1710" w:type="dxa"/>
          </w:tcPr>
          <w:p w:rsidR="00C924AF" w:rsidRDefault="00C924AF">
            <w:pPr>
              <w:keepNext/>
              <w:jc w:val="center"/>
              <w:rPr>
                <w:b/>
                <w:bCs/>
                <w:color w:val="000000"/>
                <w:sz w:val="20"/>
                <w:szCs w:val="20"/>
              </w:rPr>
            </w:pPr>
          </w:p>
        </w:tc>
      </w:tr>
      <w:tr w:rsidR="003C5C86" w:rsidTr="000A644B">
        <w:trPr>
          <w:cantSplit/>
          <w:tblHeader/>
          <w:jc w:val="center"/>
        </w:trPr>
        <w:tc>
          <w:tcPr>
            <w:tcW w:w="900" w:type="dxa"/>
            <w:vAlign w:val="center"/>
          </w:tcPr>
          <w:p w:rsidR="00C924AF" w:rsidRDefault="003C5C86">
            <w:pPr>
              <w:keepNext/>
              <w:spacing w:after="52"/>
              <w:jc w:val="center"/>
              <w:rPr>
                <w:b/>
                <w:bCs/>
                <w:color w:val="000000"/>
                <w:sz w:val="20"/>
                <w:szCs w:val="20"/>
              </w:rPr>
            </w:pPr>
            <w:r>
              <w:rPr>
                <w:b/>
                <w:bCs/>
                <w:color w:val="000000"/>
                <w:sz w:val="20"/>
                <w:szCs w:val="20"/>
              </w:rPr>
              <w:t>Year</w:t>
            </w:r>
          </w:p>
        </w:tc>
        <w:tc>
          <w:tcPr>
            <w:tcW w:w="1597" w:type="dxa"/>
          </w:tcPr>
          <w:p w:rsidR="00C924AF" w:rsidRDefault="003C5C86">
            <w:pPr>
              <w:keepNext/>
              <w:jc w:val="center"/>
              <w:rPr>
                <w:b/>
                <w:bCs/>
                <w:color w:val="000000"/>
                <w:sz w:val="20"/>
                <w:szCs w:val="20"/>
              </w:rPr>
            </w:pPr>
            <w:r>
              <w:rPr>
                <w:b/>
                <w:bCs/>
                <w:color w:val="000000"/>
                <w:sz w:val="20"/>
                <w:szCs w:val="20"/>
              </w:rPr>
              <w:t>(A)</w:t>
            </w:r>
          </w:p>
          <w:p w:rsidR="00C924AF" w:rsidRDefault="003C5C86">
            <w:pPr>
              <w:keepNext/>
              <w:spacing w:after="52"/>
              <w:jc w:val="center"/>
              <w:rPr>
                <w:b/>
                <w:bCs/>
                <w:color w:val="000000"/>
                <w:sz w:val="20"/>
                <w:szCs w:val="20"/>
              </w:rPr>
            </w:pPr>
            <w:r>
              <w:rPr>
                <w:b/>
                <w:bCs/>
                <w:color w:val="000000"/>
                <w:sz w:val="20"/>
                <w:szCs w:val="20"/>
              </w:rPr>
              <w:t xml:space="preserve">Number of New Respondents </w:t>
            </w:r>
            <w:r>
              <w:rPr>
                <w:b/>
                <w:bCs/>
                <w:color w:val="000000"/>
                <w:sz w:val="20"/>
                <w:szCs w:val="20"/>
                <w:vertAlign w:val="superscript"/>
              </w:rPr>
              <w:t>1</w:t>
            </w:r>
          </w:p>
        </w:tc>
        <w:tc>
          <w:tcPr>
            <w:tcW w:w="1372" w:type="dxa"/>
          </w:tcPr>
          <w:p w:rsidR="00C924AF" w:rsidRDefault="003C5C86">
            <w:pPr>
              <w:keepNext/>
              <w:jc w:val="center"/>
              <w:rPr>
                <w:b/>
                <w:bCs/>
                <w:color w:val="000000"/>
                <w:sz w:val="20"/>
                <w:szCs w:val="20"/>
              </w:rPr>
            </w:pPr>
            <w:r>
              <w:rPr>
                <w:b/>
                <w:bCs/>
                <w:color w:val="000000"/>
                <w:sz w:val="20"/>
                <w:szCs w:val="20"/>
              </w:rPr>
              <w:t>(B)</w:t>
            </w:r>
          </w:p>
          <w:p w:rsidR="00C924AF" w:rsidRDefault="003C5C86">
            <w:pPr>
              <w:keepNext/>
              <w:spacing w:after="52"/>
              <w:jc w:val="center"/>
              <w:rPr>
                <w:b/>
                <w:bCs/>
                <w:color w:val="000000"/>
                <w:sz w:val="20"/>
                <w:szCs w:val="20"/>
              </w:rPr>
            </w:pPr>
            <w:r>
              <w:rPr>
                <w:b/>
                <w:bCs/>
                <w:color w:val="000000"/>
                <w:sz w:val="20"/>
                <w:szCs w:val="20"/>
              </w:rPr>
              <w:t>Number of Existing Respondents</w:t>
            </w:r>
          </w:p>
        </w:tc>
        <w:tc>
          <w:tcPr>
            <w:tcW w:w="1980" w:type="dxa"/>
          </w:tcPr>
          <w:p w:rsidR="00C924AF" w:rsidRDefault="003C5C86">
            <w:pPr>
              <w:keepNext/>
              <w:jc w:val="center"/>
              <w:rPr>
                <w:b/>
                <w:bCs/>
                <w:color w:val="000000"/>
                <w:sz w:val="20"/>
                <w:szCs w:val="20"/>
              </w:rPr>
            </w:pPr>
            <w:r>
              <w:rPr>
                <w:b/>
                <w:bCs/>
                <w:color w:val="000000"/>
                <w:sz w:val="20"/>
                <w:szCs w:val="20"/>
              </w:rPr>
              <w:t>(C)</w:t>
            </w:r>
          </w:p>
          <w:p w:rsidR="00C924AF" w:rsidRDefault="003C5C86">
            <w:pPr>
              <w:keepNext/>
              <w:spacing w:after="52"/>
              <w:jc w:val="center"/>
              <w:rPr>
                <w:b/>
                <w:bCs/>
                <w:color w:val="000000"/>
                <w:sz w:val="20"/>
                <w:szCs w:val="20"/>
              </w:rPr>
            </w:pPr>
            <w:r>
              <w:rPr>
                <w:b/>
                <w:bCs/>
                <w:color w:val="000000"/>
                <w:sz w:val="20"/>
                <w:szCs w:val="20"/>
              </w:rPr>
              <w:t>Number of Existing Respondents That Keep Records but Do Not Submit Reports</w:t>
            </w:r>
          </w:p>
        </w:tc>
        <w:tc>
          <w:tcPr>
            <w:tcW w:w="1800" w:type="dxa"/>
          </w:tcPr>
          <w:p w:rsidR="00C924AF" w:rsidRDefault="003C5C86">
            <w:pPr>
              <w:keepNext/>
              <w:jc w:val="center"/>
              <w:rPr>
                <w:b/>
                <w:bCs/>
                <w:color w:val="000000"/>
                <w:sz w:val="20"/>
                <w:szCs w:val="20"/>
              </w:rPr>
            </w:pPr>
            <w:r>
              <w:rPr>
                <w:b/>
                <w:bCs/>
                <w:color w:val="000000"/>
                <w:sz w:val="20"/>
                <w:szCs w:val="20"/>
              </w:rPr>
              <w:t>(D)</w:t>
            </w:r>
          </w:p>
          <w:p w:rsidR="00C924AF" w:rsidRDefault="003C5C86">
            <w:pPr>
              <w:keepNext/>
              <w:spacing w:after="52"/>
              <w:jc w:val="center"/>
              <w:rPr>
                <w:b/>
                <w:bCs/>
                <w:color w:val="000000"/>
                <w:sz w:val="20"/>
                <w:szCs w:val="20"/>
              </w:rPr>
            </w:pPr>
            <w:r>
              <w:rPr>
                <w:b/>
                <w:bCs/>
                <w:color w:val="000000"/>
                <w:sz w:val="20"/>
                <w:szCs w:val="20"/>
              </w:rPr>
              <w:t>Number of Existing Respondents That Are Also New Respondents</w:t>
            </w:r>
          </w:p>
        </w:tc>
        <w:tc>
          <w:tcPr>
            <w:tcW w:w="1710" w:type="dxa"/>
          </w:tcPr>
          <w:p w:rsidR="00C924AF" w:rsidRDefault="003C5C86">
            <w:pPr>
              <w:keepNext/>
              <w:jc w:val="center"/>
              <w:rPr>
                <w:b/>
                <w:bCs/>
                <w:color w:val="000000"/>
                <w:sz w:val="20"/>
                <w:szCs w:val="20"/>
              </w:rPr>
            </w:pPr>
            <w:r>
              <w:rPr>
                <w:b/>
                <w:bCs/>
                <w:color w:val="000000"/>
                <w:sz w:val="20"/>
                <w:szCs w:val="20"/>
              </w:rPr>
              <w:t>(E)</w:t>
            </w:r>
          </w:p>
          <w:p w:rsidR="00C924AF" w:rsidRDefault="003C5C86">
            <w:pPr>
              <w:keepNext/>
              <w:jc w:val="center"/>
              <w:rPr>
                <w:b/>
                <w:bCs/>
                <w:color w:val="000000"/>
                <w:sz w:val="20"/>
                <w:szCs w:val="20"/>
              </w:rPr>
            </w:pPr>
            <w:r>
              <w:rPr>
                <w:b/>
                <w:bCs/>
                <w:color w:val="000000"/>
                <w:sz w:val="20"/>
                <w:szCs w:val="20"/>
              </w:rPr>
              <w:t>Number of Respondents</w:t>
            </w:r>
          </w:p>
          <w:p w:rsidR="00C924AF" w:rsidRDefault="003C5C86">
            <w:pPr>
              <w:keepNext/>
              <w:spacing w:after="52"/>
              <w:jc w:val="center"/>
              <w:rPr>
                <w:b/>
                <w:bCs/>
                <w:color w:val="000000"/>
                <w:sz w:val="20"/>
                <w:szCs w:val="20"/>
              </w:rPr>
            </w:pPr>
            <w:r>
              <w:rPr>
                <w:b/>
                <w:bCs/>
                <w:color w:val="000000"/>
                <w:sz w:val="20"/>
                <w:szCs w:val="20"/>
              </w:rPr>
              <w:t>(E=A+B+C-D)</w:t>
            </w:r>
          </w:p>
        </w:tc>
      </w:tr>
      <w:tr w:rsidR="003C5C86" w:rsidTr="000A644B">
        <w:trPr>
          <w:cantSplit/>
          <w:jc w:val="center"/>
        </w:trPr>
        <w:tc>
          <w:tcPr>
            <w:tcW w:w="900" w:type="dxa"/>
          </w:tcPr>
          <w:p w:rsidR="00C924AF" w:rsidRDefault="003C5C86">
            <w:pPr>
              <w:keepNext/>
              <w:spacing w:after="52"/>
              <w:jc w:val="center"/>
              <w:rPr>
                <w:color w:val="000000"/>
                <w:sz w:val="20"/>
                <w:szCs w:val="20"/>
              </w:rPr>
            </w:pPr>
            <w:r>
              <w:rPr>
                <w:color w:val="000000"/>
                <w:sz w:val="20"/>
                <w:szCs w:val="20"/>
              </w:rPr>
              <w:t>1</w:t>
            </w:r>
          </w:p>
        </w:tc>
        <w:tc>
          <w:tcPr>
            <w:tcW w:w="1597" w:type="dxa"/>
          </w:tcPr>
          <w:p w:rsidR="00C924AF" w:rsidRDefault="007125A4">
            <w:pPr>
              <w:keepNext/>
              <w:spacing w:after="52"/>
              <w:jc w:val="center"/>
              <w:rPr>
                <w:color w:val="000000"/>
                <w:sz w:val="20"/>
                <w:szCs w:val="20"/>
              </w:rPr>
            </w:pPr>
            <w:r>
              <w:rPr>
                <w:color w:val="000000"/>
                <w:sz w:val="20"/>
                <w:szCs w:val="20"/>
              </w:rPr>
              <w:t>0</w:t>
            </w:r>
          </w:p>
        </w:tc>
        <w:tc>
          <w:tcPr>
            <w:tcW w:w="1372" w:type="dxa"/>
          </w:tcPr>
          <w:p w:rsidR="00C924AF" w:rsidRDefault="003C5C86">
            <w:pPr>
              <w:keepNext/>
              <w:spacing w:after="52"/>
              <w:jc w:val="center"/>
              <w:rPr>
                <w:color w:val="000000"/>
                <w:sz w:val="20"/>
                <w:szCs w:val="20"/>
              </w:rPr>
            </w:pPr>
            <w:r>
              <w:rPr>
                <w:color w:val="000000"/>
                <w:sz w:val="20"/>
                <w:szCs w:val="20"/>
              </w:rPr>
              <w:t>19</w:t>
            </w:r>
          </w:p>
        </w:tc>
        <w:tc>
          <w:tcPr>
            <w:tcW w:w="1980" w:type="dxa"/>
          </w:tcPr>
          <w:p w:rsidR="00C924AF" w:rsidRDefault="003C5C86">
            <w:pPr>
              <w:keepNext/>
              <w:spacing w:after="52"/>
              <w:jc w:val="center"/>
              <w:rPr>
                <w:color w:val="000000"/>
                <w:sz w:val="20"/>
                <w:szCs w:val="20"/>
              </w:rPr>
            </w:pPr>
            <w:r>
              <w:rPr>
                <w:color w:val="000000"/>
                <w:sz w:val="20"/>
                <w:szCs w:val="20"/>
              </w:rPr>
              <w:t>0</w:t>
            </w:r>
          </w:p>
        </w:tc>
        <w:tc>
          <w:tcPr>
            <w:tcW w:w="1800" w:type="dxa"/>
          </w:tcPr>
          <w:p w:rsidR="00C924AF" w:rsidRDefault="007125A4">
            <w:pPr>
              <w:keepNext/>
              <w:spacing w:after="52"/>
              <w:jc w:val="center"/>
              <w:rPr>
                <w:color w:val="000000"/>
                <w:sz w:val="20"/>
                <w:szCs w:val="20"/>
              </w:rPr>
            </w:pPr>
            <w:r>
              <w:rPr>
                <w:color w:val="000000"/>
                <w:sz w:val="20"/>
                <w:szCs w:val="20"/>
              </w:rPr>
              <w:t>0</w:t>
            </w:r>
          </w:p>
        </w:tc>
        <w:tc>
          <w:tcPr>
            <w:tcW w:w="1710" w:type="dxa"/>
          </w:tcPr>
          <w:p w:rsidR="00C924AF" w:rsidRDefault="003C5C86">
            <w:pPr>
              <w:keepNext/>
              <w:spacing w:after="52"/>
              <w:jc w:val="center"/>
              <w:rPr>
                <w:color w:val="000000"/>
                <w:sz w:val="20"/>
                <w:szCs w:val="20"/>
              </w:rPr>
            </w:pPr>
            <w:r>
              <w:rPr>
                <w:color w:val="000000"/>
                <w:sz w:val="20"/>
                <w:szCs w:val="20"/>
              </w:rPr>
              <w:t>19</w:t>
            </w:r>
          </w:p>
        </w:tc>
      </w:tr>
      <w:tr w:rsidR="003C5C86" w:rsidTr="000A644B">
        <w:trPr>
          <w:cantSplit/>
          <w:jc w:val="center"/>
        </w:trPr>
        <w:tc>
          <w:tcPr>
            <w:tcW w:w="900" w:type="dxa"/>
          </w:tcPr>
          <w:p w:rsidR="00C924AF" w:rsidRDefault="003C5C86">
            <w:pPr>
              <w:keepNext/>
              <w:spacing w:after="52"/>
              <w:jc w:val="center"/>
              <w:rPr>
                <w:color w:val="000000"/>
                <w:sz w:val="20"/>
                <w:szCs w:val="20"/>
              </w:rPr>
            </w:pPr>
            <w:r>
              <w:rPr>
                <w:color w:val="000000"/>
                <w:sz w:val="20"/>
                <w:szCs w:val="20"/>
              </w:rPr>
              <w:t>2</w:t>
            </w:r>
          </w:p>
        </w:tc>
        <w:tc>
          <w:tcPr>
            <w:tcW w:w="1597" w:type="dxa"/>
          </w:tcPr>
          <w:p w:rsidR="00C924AF" w:rsidRDefault="007125A4">
            <w:pPr>
              <w:keepNext/>
              <w:spacing w:after="52"/>
              <w:jc w:val="center"/>
              <w:rPr>
                <w:color w:val="000000"/>
                <w:sz w:val="20"/>
                <w:szCs w:val="20"/>
              </w:rPr>
            </w:pPr>
            <w:r>
              <w:rPr>
                <w:color w:val="000000"/>
                <w:sz w:val="20"/>
                <w:szCs w:val="20"/>
              </w:rPr>
              <w:t>0</w:t>
            </w:r>
          </w:p>
        </w:tc>
        <w:tc>
          <w:tcPr>
            <w:tcW w:w="1372" w:type="dxa"/>
          </w:tcPr>
          <w:p w:rsidR="00C924AF" w:rsidRDefault="003C5C86">
            <w:pPr>
              <w:keepNext/>
              <w:spacing w:after="52"/>
              <w:jc w:val="center"/>
              <w:rPr>
                <w:color w:val="000000"/>
                <w:sz w:val="20"/>
                <w:szCs w:val="20"/>
              </w:rPr>
            </w:pPr>
            <w:r>
              <w:rPr>
                <w:color w:val="000000"/>
                <w:sz w:val="20"/>
                <w:szCs w:val="20"/>
              </w:rPr>
              <w:t>19</w:t>
            </w:r>
          </w:p>
        </w:tc>
        <w:tc>
          <w:tcPr>
            <w:tcW w:w="1980" w:type="dxa"/>
          </w:tcPr>
          <w:p w:rsidR="00C924AF" w:rsidRDefault="003C5C86">
            <w:pPr>
              <w:keepNext/>
              <w:spacing w:after="52"/>
              <w:jc w:val="center"/>
              <w:rPr>
                <w:color w:val="000000"/>
                <w:sz w:val="20"/>
                <w:szCs w:val="20"/>
              </w:rPr>
            </w:pPr>
            <w:r>
              <w:rPr>
                <w:color w:val="000000"/>
                <w:sz w:val="20"/>
                <w:szCs w:val="20"/>
              </w:rPr>
              <w:t>0</w:t>
            </w:r>
          </w:p>
        </w:tc>
        <w:tc>
          <w:tcPr>
            <w:tcW w:w="1800" w:type="dxa"/>
          </w:tcPr>
          <w:p w:rsidR="00C924AF" w:rsidRDefault="007125A4">
            <w:pPr>
              <w:keepNext/>
              <w:spacing w:after="52"/>
              <w:jc w:val="center"/>
              <w:rPr>
                <w:color w:val="000000"/>
                <w:sz w:val="20"/>
                <w:szCs w:val="20"/>
              </w:rPr>
            </w:pPr>
            <w:r>
              <w:rPr>
                <w:color w:val="000000"/>
                <w:sz w:val="20"/>
                <w:szCs w:val="20"/>
              </w:rPr>
              <w:t>0</w:t>
            </w:r>
          </w:p>
        </w:tc>
        <w:tc>
          <w:tcPr>
            <w:tcW w:w="1710" w:type="dxa"/>
          </w:tcPr>
          <w:p w:rsidR="00C924AF" w:rsidRDefault="003C5C86">
            <w:pPr>
              <w:keepNext/>
              <w:spacing w:after="52"/>
              <w:jc w:val="center"/>
              <w:rPr>
                <w:color w:val="000000"/>
                <w:sz w:val="20"/>
                <w:szCs w:val="20"/>
              </w:rPr>
            </w:pPr>
            <w:r>
              <w:rPr>
                <w:color w:val="000000"/>
                <w:sz w:val="20"/>
                <w:szCs w:val="20"/>
              </w:rPr>
              <w:t>19</w:t>
            </w:r>
          </w:p>
        </w:tc>
      </w:tr>
      <w:tr w:rsidR="003C5C86" w:rsidTr="000A644B">
        <w:trPr>
          <w:cantSplit/>
          <w:jc w:val="center"/>
        </w:trPr>
        <w:tc>
          <w:tcPr>
            <w:tcW w:w="900" w:type="dxa"/>
          </w:tcPr>
          <w:p w:rsidR="00C924AF" w:rsidRDefault="003C5C86">
            <w:pPr>
              <w:keepNext/>
              <w:spacing w:after="72"/>
              <w:jc w:val="center"/>
              <w:rPr>
                <w:color w:val="000000"/>
                <w:sz w:val="20"/>
                <w:szCs w:val="20"/>
              </w:rPr>
            </w:pPr>
            <w:r>
              <w:rPr>
                <w:color w:val="000000"/>
                <w:sz w:val="20"/>
                <w:szCs w:val="20"/>
              </w:rPr>
              <w:t>3</w:t>
            </w:r>
          </w:p>
        </w:tc>
        <w:tc>
          <w:tcPr>
            <w:tcW w:w="1597" w:type="dxa"/>
          </w:tcPr>
          <w:p w:rsidR="00C924AF" w:rsidRDefault="007125A4">
            <w:pPr>
              <w:keepNext/>
              <w:spacing w:after="72"/>
              <w:jc w:val="center"/>
              <w:rPr>
                <w:color w:val="000000"/>
                <w:sz w:val="20"/>
                <w:szCs w:val="20"/>
              </w:rPr>
            </w:pPr>
            <w:r>
              <w:rPr>
                <w:color w:val="000000"/>
                <w:sz w:val="20"/>
                <w:szCs w:val="20"/>
              </w:rPr>
              <w:t>0</w:t>
            </w:r>
          </w:p>
        </w:tc>
        <w:tc>
          <w:tcPr>
            <w:tcW w:w="1372" w:type="dxa"/>
          </w:tcPr>
          <w:p w:rsidR="00C924AF" w:rsidRDefault="003C5C86">
            <w:pPr>
              <w:keepNext/>
              <w:spacing w:after="72"/>
              <w:jc w:val="center"/>
              <w:rPr>
                <w:color w:val="000000"/>
                <w:sz w:val="20"/>
                <w:szCs w:val="20"/>
              </w:rPr>
            </w:pPr>
            <w:r>
              <w:rPr>
                <w:color w:val="000000"/>
                <w:sz w:val="20"/>
                <w:szCs w:val="20"/>
              </w:rPr>
              <w:t>19</w:t>
            </w:r>
          </w:p>
        </w:tc>
        <w:tc>
          <w:tcPr>
            <w:tcW w:w="1980" w:type="dxa"/>
          </w:tcPr>
          <w:p w:rsidR="00C924AF" w:rsidRDefault="003C5C86">
            <w:pPr>
              <w:keepNext/>
              <w:spacing w:after="72"/>
              <w:jc w:val="center"/>
              <w:rPr>
                <w:color w:val="000000"/>
                <w:sz w:val="20"/>
                <w:szCs w:val="20"/>
              </w:rPr>
            </w:pPr>
            <w:r>
              <w:rPr>
                <w:color w:val="000000"/>
                <w:sz w:val="20"/>
                <w:szCs w:val="20"/>
              </w:rPr>
              <w:t>0</w:t>
            </w:r>
          </w:p>
        </w:tc>
        <w:tc>
          <w:tcPr>
            <w:tcW w:w="1800" w:type="dxa"/>
          </w:tcPr>
          <w:p w:rsidR="00C924AF" w:rsidRDefault="007125A4">
            <w:pPr>
              <w:keepNext/>
              <w:spacing w:after="72"/>
              <w:jc w:val="center"/>
              <w:rPr>
                <w:color w:val="000000"/>
                <w:sz w:val="20"/>
                <w:szCs w:val="20"/>
              </w:rPr>
            </w:pPr>
            <w:r>
              <w:rPr>
                <w:color w:val="000000"/>
                <w:sz w:val="20"/>
                <w:szCs w:val="20"/>
              </w:rPr>
              <w:t>0</w:t>
            </w:r>
          </w:p>
        </w:tc>
        <w:tc>
          <w:tcPr>
            <w:tcW w:w="1710" w:type="dxa"/>
          </w:tcPr>
          <w:p w:rsidR="00C924AF" w:rsidRDefault="003C5C86">
            <w:pPr>
              <w:keepNext/>
              <w:spacing w:after="72"/>
              <w:jc w:val="center"/>
              <w:rPr>
                <w:color w:val="000000"/>
                <w:sz w:val="20"/>
                <w:szCs w:val="20"/>
              </w:rPr>
            </w:pPr>
            <w:r>
              <w:rPr>
                <w:color w:val="000000"/>
                <w:sz w:val="20"/>
                <w:szCs w:val="20"/>
              </w:rPr>
              <w:t>19</w:t>
            </w:r>
          </w:p>
        </w:tc>
      </w:tr>
      <w:tr w:rsidR="003C5C86" w:rsidTr="000A644B">
        <w:trPr>
          <w:cantSplit/>
          <w:jc w:val="center"/>
        </w:trPr>
        <w:tc>
          <w:tcPr>
            <w:tcW w:w="900" w:type="dxa"/>
          </w:tcPr>
          <w:p w:rsidR="00C924AF" w:rsidRDefault="003C5C86">
            <w:pPr>
              <w:keepNext/>
              <w:spacing w:after="72"/>
              <w:jc w:val="center"/>
              <w:rPr>
                <w:color w:val="000000"/>
                <w:sz w:val="20"/>
                <w:szCs w:val="20"/>
              </w:rPr>
            </w:pPr>
            <w:r>
              <w:rPr>
                <w:color w:val="000000"/>
                <w:sz w:val="20"/>
                <w:szCs w:val="20"/>
              </w:rPr>
              <w:t>Average</w:t>
            </w:r>
          </w:p>
        </w:tc>
        <w:tc>
          <w:tcPr>
            <w:tcW w:w="1597" w:type="dxa"/>
          </w:tcPr>
          <w:p w:rsidR="00C924AF" w:rsidRDefault="007125A4">
            <w:pPr>
              <w:keepNext/>
              <w:spacing w:after="72"/>
              <w:jc w:val="center"/>
              <w:rPr>
                <w:color w:val="000000"/>
                <w:sz w:val="20"/>
                <w:szCs w:val="20"/>
              </w:rPr>
            </w:pPr>
            <w:r>
              <w:rPr>
                <w:color w:val="000000"/>
                <w:sz w:val="20"/>
                <w:szCs w:val="20"/>
              </w:rPr>
              <w:t>0</w:t>
            </w:r>
          </w:p>
        </w:tc>
        <w:tc>
          <w:tcPr>
            <w:tcW w:w="1372" w:type="dxa"/>
          </w:tcPr>
          <w:p w:rsidR="00C924AF" w:rsidRDefault="003C5C86">
            <w:pPr>
              <w:keepNext/>
              <w:spacing w:after="72"/>
              <w:jc w:val="center"/>
              <w:rPr>
                <w:color w:val="000000"/>
                <w:sz w:val="20"/>
                <w:szCs w:val="20"/>
              </w:rPr>
            </w:pPr>
            <w:r>
              <w:rPr>
                <w:color w:val="000000"/>
                <w:sz w:val="20"/>
                <w:szCs w:val="20"/>
              </w:rPr>
              <w:t>19</w:t>
            </w:r>
          </w:p>
        </w:tc>
        <w:tc>
          <w:tcPr>
            <w:tcW w:w="1980" w:type="dxa"/>
          </w:tcPr>
          <w:p w:rsidR="00C924AF" w:rsidRDefault="003C5C86">
            <w:pPr>
              <w:keepNext/>
              <w:spacing w:after="72"/>
              <w:jc w:val="center"/>
              <w:rPr>
                <w:color w:val="000000"/>
                <w:sz w:val="20"/>
                <w:szCs w:val="20"/>
              </w:rPr>
            </w:pPr>
            <w:r>
              <w:rPr>
                <w:color w:val="000000"/>
                <w:sz w:val="20"/>
                <w:szCs w:val="20"/>
              </w:rPr>
              <w:t>0</w:t>
            </w:r>
          </w:p>
        </w:tc>
        <w:tc>
          <w:tcPr>
            <w:tcW w:w="1800" w:type="dxa"/>
          </w:tcPr>
          <w:p w:rsidR="00C924AF" w:rsidRDefault="007125A4">
            <w:pPr>
              <w:keepNext/>
              <w:spacing w:after="72"/>
              <w:jc w:val="center"/>
              <w:rPr>
                <w:color w:val="000000"/>
                <w:sz w:val="20"/>
                <w:szCs w:val="20"/>
              </w:rPr>
            </w:pPr>
            <w:r>
              <w:rPr>
                <w:color w:val="000000"/>
                <w:sz w:val="20"/>
                <w:szCs w:val="20"/>
              </w:rPr>
              <w:t>0</w:t>
            </w:r>
          </w:p>
        </w:tc>
        <w:tc>
          <w:tcPr>
            <w:tcW w:w="1710" w:type="dxa"/>
          </w:tcPr>
          <w:p w:rsidR="00C924AF" w:rsidRDefault="003C5C86" w:rsidP="00625A76">
            <w:pPr>
              <w:keepNext/>
              <w:spacing w:after="72"/>
              <w:jc w:val="center"/>
              <w:rPr>
                <w:color w:val="000000"/>
                <w:sz w:val="20"/>
                <w:szCs w:val="20"/>
              </w:rPr>
            </w:pPr>
            <w:r>
              <w:rPr>
                <w:color w:val="000000"/>
                <w:sz w:val="20"/>
                <w:szCs w:val="20"/>
              </w:rPr>
              <w:t>19</w:t>
            </w:r>
          </w:p>
        </w:tc>
      </w:tr>
    </w:tbl>
    <w:p w:rsidR="003C5C86" w:rsidRDefault="003C5C86">
      <w:pPr>
        <w:ind w:firstLine="720"/>
        <w:rPr>
          <w:color w:val="000000"/>
          <w:sz w:val="20"/>
          <w:szCs w:val="20"/>
        </w:rPr>
      </w:pPr>
      <w:r w:rsidRPr="000A644B">
        <w:rPr>
          <w:b/>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6F13D1" w:rsidRDefault="006F13D1">
      <w:pPr>
        <w:ind w:firstLine="720"/>
        <w:rPr>
          <w:color w:val="000000"/>
          <w:sz w:val="20"/>
          <w:szCs w:val="20"/>
        </w:rPr>
      </w:pPr>
    </w:p>
    <w:p w:rsidR="003C5C86" w:rsidRDefault="00DF4B28">
      <w:pPr>
        <w:ind w:firstLine="720"/>
        <w:rPr>
          <w:color w:val="000000"/>
        </w:rPr>
      </w:pPr>
      <w:r>
        <w:rPr>
          <w:color w:val="000000"/>
        </w:rPr>
        <w:t>T</w:t>
      </w:r>
      <w:r w:rsidR="00D06BD9">
        <w:rPr>
          <w:color w:val="000000"/>
        </w:rPr>
        <w:t>o avoid double-counting respondents</w:t>
      </w:r>
      <w:r>
        <w:rPr>
          <w:color w:val="000000"/>
        </w:rPr>
        <w:t>, column D is subtracted</w:t>
      </w:r>
      <w:r w:rsidR="00D06BD9">
        <w:rPr>
          <w:color w:val="000000"/>
        </w:rPr>
        <w:t xml:space="preserve">.  </w:t>
      </w:r>
      <w:r w:rsidR="003C5C86">
        <w:rPr>
          <w:color w:val="000000"/>
        </w:rPr>
        <w:t xml:space="preserve">As shown above, the average Number of Respondents over the three-year period of this ICR is </w:t>
      </w:r>
      <w:r w:rsidR="003C5C86" w:rsidRPr="00F94A28">
        <w:rPr>
          <w:color w:val="000000"/>
        </w:rPr>
        <w:t>19</w:t>
      </w:r>
      <w:r w:rsidR="003C5C86">
        <w:rPr>
          <w:color w:val="000000"/>
        </w:rPr>
        <w:t xml:space="preserve">.  </w:t>
      </w:r>
    </w:p>
    <w:p w:rsidR="003C5C86" w:rsidRDefault="003C5C86">
      <w:pPr>
        <w:rPr>
          <w:color w:val="000000"/>
        </w:rPr>
      </w:pPr>
    </w:p>
    <w:p w:rsidR="003C5C86" w:rsidRDefault="003C5C86">
      <w:pPr>
        <w:ind w:firstLine="720"/>
        <w:rPr>
          <w:color w:val="000000"/>
        </w:rPr>
      </w:pPr>
      <w:r>
        <w:rPr>
          <w:color w:val="000000"/>
        </w:rPr>
        <w:t xml:space="preserve">The </w:t>
      </w:r>
      <w:r w:rsidR="00F94A28">
        <w:rPr>
          <w:color w:val="000000"/>
        </w:rPr>
        <w:t xml:space="preserve">total </w:t>
      </w:r>
      <w:r>
        <w:rPr>
          <w:color w:val="000000"/>
        </w:rPr>
        <w:t xml:space="preserve">number of </w:t>
      </w:r>
      <w:r w:rsidR="00F94A28">
        <w:rPr>
          <w:color w:val="000000"/>
        </w:rPr>
        <w:t>annual r</w:t>
      </w:r>
      <w:r>
        <w:rPr>
          <w:color w:val="000000"/>
        </w:rPr>
        <w:t>esponses is</w:t>
      </w:r>
      <w:r w:rsidR="00F94A28">
        <w:rPr>
          <w:color w:val="000000"/>
        </w:rPr>
        <w:t xml:space="preserve"> calculated using the following table:</w:t>
      </w:r>
      <w:r>
        <w:rPr>
          <w:color w:val="000000"/>
        </w:rPr>
        <w:t xml:space="preserve">  </w:t>
      </w:r>
    </w:p>
    <w:p w:rsidR="000A644B" w:rsidRDefault="000A644B" w:rsidP="000A644B">
      <w:pPr>
        <w:rPr>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16"/>
        <w:gridCol w:w="1362"/>
        <w:gridCol w:w="1362"/>
        <w:gridCol w:w="2180"/>
        <w:gridCol w:w="1639"/>
      </w:tblGrid>
      <w:tr w:rsidR="00CC0204" w:rsidTr="000A644B">
        <w:trPr>
          <w:cantSplit/>
          <w:tblHeader/>
          <w:jc w:val="center"/>
        </w:trPr>
        <w:tc>
          <w:tcPr>
            <w:tcW w:w="9359" w:type="dxa"/>
            <w:gridSpan w:val="5"/>
          </w:tcPr>
          <w:p w:rsidR="003C5C86" w:rsidRDefault="003C5C86">
            <w:pPr>
              <w:spacing w:after="52"/>
              <w:jc w:val="center"/>
              <w:rPr>
                <w:b/>
                <w:bCs/>
                <w:color w:val="000000"/>
              </w:rPr>
            </w:pPr>
            <w:r>
              <w:rPr>
                <w:b/>
                <w:bCs/>
                <w:color w:val="000000"/>
              </w:rPr>
              <w:t>Total Annual Responses</w:t>
            </w:r>
          </w:p>
        </w:tc>
      </w:tr>
      <w:tr w:rsidR="003C5C86" w:rsidTr="000A644B">
        <w:trPr>
          <w:cantSplit/>
          <w:tblHeader/>
          <w:jc w:val="center"/>
        </w:trPr>
        <w:tc>
          <w:tcPr>
            <w:tcW w:w="2816" w:type="dxa"/>
          </w:tcPr>
          <w:p w:rsidR="003C5C86" w:rsidRDefault="003C5C86">
            <w:pPr>
              <w:jc w:val="center"/>
              <w:rPr>
                <w:b/>
                <w:bCs/>
                <w:color w:val="000000"/>
                <w:sz w:val="20"/>
                <w:szCs w:val="20"/>
              </w:rPr>
            </w:pPr>
            <w:r>
              <w:rPr>
                <w:b/>
                <w:bCs/>
                <w:color w:val="000000"/>
                <w:sz w:val="20"/>
                <w:szCs w:val="20"/>
              </w:rPr>
              <w:t>(A)</w:t>
            </w:r>
          </w:p>
          <w:p w:rsidR="003C5C86" w:rsidRDefault="003C5C86">
            <w:pPr>
              <w:spacing w:after="52"/>
              <w:jc w:val="center"/>
              <w:rPr>
                <w:b/>
                <w:bCs/>
                <w:color w:val="000000"/>
                <w:sz w:val="20"/>
                <w:szCs w:val="20"/>
              </w:rPr>
            </w:pPr>
            <w:r>
              <w:rPr>
                <w:b/>
                <w:bCs/>
                <w:color w:val="000000"/>
                <w:sz w:val="20"/>
                <w:szCs w:val="20"/>
              </w:rPr>
              <w:t>Information Collection Activity</w:t>
            </w:r>
          </w:p>
        </w:tc>
        <w:tc>
          <w:tcPr>
            <w:tcW w:w="1362" w:type="dxa"/>
          </w:tcPr>
          <w:p w:rsidR="003C5C86" w:rsidRDefault="003C5C86">
            <w:pPr>
              <w:jc w:val="center"/>
              <w:rPr>
                <w:b/>
                <w:bCs/>
                <w:color w:val="000000"/>
                <w:sz w:val="20"/>
                <w:szCs w:val="20"/>
              </w:rPr>
            </w:pPr>
            <w:r>
              <w:rPr>
                <w:b/>
                <w:bCs/>
                <w:color w:val="000000"/>
                <w:sz w:val="20"/>
                <w:szCs w:val="20"/>
              </w:rPr>
              <w:t>(B)</w:t>
            </w:r>
          </w:p>
          <w:p w:rsidR="003C5C86" w:rsidRDefault="003C5C86">
            <w:pPr>
              <w:spacing w:after="52"/>
              <w:jc w:val="center"/>
              <w:rPr>
                <w:b/>
                <w:bCs/>
                <w:color w:val="000000"/>
                <w:sz w:val="20"/>
                <w:szCs w:val="20"/>
              </w:rPr>
            </w:pPr>
            <w:r>
              <w:rPr>
                <w:b/>
                <w:bCs/>
                <w:color w:val="000000"/>
                <w:sz w:val="20"/>
                <w:szCs w:val="20"/>
              </w:rPr>
              <w:t>Number of Respondents</w:t>
            </w:r>
          </w:p>
        </w:tc>
        <w:tc>
          <w:tcPr>
            <w:tcW w:w="1362" w:type="dxa"/>
          </w:tcPr>
          <w:p w:rsidR="003C5C86" w:rsidRDefault="003C5C86">
            <w:pPr>
              <w:jc w:val="center"/>
              <w:rPr>
                <w:b/>
                <w:bCs/>
                <w:color w:val="000000"/>
                <w:sz w:val="20"/>
                <w:szCs w:val="20"/>
              </w:rPr>
            </w:pPr>
            <w:r>
              <w:rPr>
                <w:b/>
                <w:bCs/>
                <w:color w:val="000000"/>
                <w:sz w:val="20"/>
                <w:szCs w:val="20"/>
              </w:rPr>
              <w:t>(C)</w:t>
            </w:r>
          </w:p>
          <w:p w:rsidR="003C5C86" w:rsidRDefault="003C5C86">
            <w:pPr>
              <w:spacing w:after="52"/>
              <w:jc w:val="center"/>
              <w:rPr>
                <w:b/>
                <w:bCs/>
                <w:color w:val="000000"/>
                <w:sz w:val="20"/>
                <w:szCs w:val="20"/>
              </w:rPr>
            </w:pPr>
            <w:r>
              <w:rPr>
                <w:b/>
                <w:bCs/>
                <w:color w:val="000000"/>
                <w:sz w:val="20"/>
                <w:szCs w:val="20"/>
              </w:rPr>
              <w:t>Number of Responses</w:t>
            </w:r>
          </w:p>
        </w:tc>
        <w:tc>
          <w:tcPr>
            <w:tcW w:w="2180" w:type="dxa"/>
          </w:tcPr>
          <w:p w:rsidR="003C5C86" w:rsidRDefault="003C5C86">
            <w:pPr>
              <w:jc w:val="center"/>
              <w:rPr>
                <w:b/>
                <w:bCs/>
                <w:color w:val="000000"/>
                <w:sz w:val="20"/>
                <w:szCs w:val="20"/>
              </w:rPr>
            </w:pPr>
            <w:r>
              <w:rPr>
                <w:b/>
                <w:bCs/>
                <w:color w:val="000000"/>
                <w:sz w:val="20"/>
                <w:szCs w:val="20"/>
              </w:rPr>
              <w:t>(D)</w:t>
            </w:r>
          </w:p>
          <w:p w:rsidR="003C5C86" w:rsidRDefault="003C5C86">
            <w:pPr>
              <w:spacing w:after="52"/>
              <w:jc w:val="center"/>
              <w:rPr>
                <w:b/>
                <w:bCs/>
                <w:color w:val="000000"/>
                <w:sz w:val="20"/>
                <w:szCs w:val="20"/>
              </w:rPr>
            </w:pPr>
            <w:r>
              <w:rPr>
                <w:b/>
                <w:bCs/>
                <w:color w:val="000000"/>
                <w:sz w:val="20"/>
                <w:szCs w:val="20"/>
              </w:rPr>
              <w:t>Number of Existing Respondents That Keep Records But Do Not Submit Reports</w:t>
            </w:r>
          </w:p>
        </w:tc>
        <w:tc>
          <w:tcPr>
            <w:tcW w:w="1639" w:type="dxa"/>
          </w:tcPr>
          <w:p w:rsidR="003C5C86" w:rsidRDefault="003C5C86">
            <w:pPr>
              <w:jc w:val="center"/>
              <w:rPr>
                <w:b/>
                <w:bCs/>
                <w:color w:val="000000"/>
                <w:sz w:val="20"/>
                <w:szCs w:val="20"/>
              </w:rPr>
            </w:pPr>
            <w:r>
              <w:rPr>
                <w:b/>
                <w:bCs/>
                <w:color w:val="000000"/>
                <w:sz w:val="20"/>
                <w:szCs w:val="20"/>
              </w:rPr>
              <w:t>(E)</w:t>
            </w:r>
          </w:p>
          <w:p w:rsidR="003C5C86" w:rsidRDefault="003C5C86">
            <w:pPr>
              <w:jc w:val="center"/>
              <w:rPr>
                <w:b/>
                <w:bCs/>
                <w:color w:val="000000"/>
                <w:sz w:val="20"/>
                <w:szCs w:val="20"/>
              </w:rPr>
            </w:pPr>
            <w:r>
              <w:rPr>
                <w:b/>
                <w:bCs/>
                <w:color w:val="000000"/>
                <w:sz w:val="20"/>
                <w:szCs w:val="20"/>
              </w:rPr>
              <w:t xml:space="preserve">Total Annual Responses </w:t>
            </w:r>
          </w:p>
          <w:p w:rsidR="003C5C86" w:rsidRDefault="003C5C86">
            <w:pPr>
              <w:spacing w:after="52"/>
              <w:jc w:val="center"/>
              <w:rPr>
                <w:b/>
                <w:bCs/>
                <w:color w:val="000000"/>
                <w:sz w:val="20"/>
                <w:szCs w:val="20"/>
              </w:rPr>
            </w:pPr>
            <w:r>
              <w:rPr>
                <w:b/>
                <w:bCs/>
                <w:color w:val="000000"/>
                <w:sz w:val="20"/>
                <w:szCs w:val="20"/>
              </w:rPr>
              <w:t>E=(</w:t>
            </w:r>
            <w:proofErr w:type="spellStart"/>
            <w:r>
              <w:rPr>
                <w:b/>
                <w:bCs/>
                <w:color w:val="000000"/>
                <w:sz w:val="20"/>
                <w:szCs w:val="20"/>
              </w:rPr>
              <w:t>BxC</w:t>
            </w:r>
            <w:proofErr w:type="spellEnd"/>
            <w:r>
              <w:rPr>
                <w:b/>
                <w:bCs/>
                <w:color w:val="000000"/>
                <w:sz w:val="20"/>
                <w:szCs w:val="20"/>
              </w:rPr>
              <w:t>)+D</w:t>
            </w:r>
            <w:r w:rsidR="00C607B4">
              <w:rPr>
                <w:b/>
                <w:bCs/>
                <w:color w:val="000000"/>
                <w:sz w:val="20"/>
                <w:szCs w:val="20"/>
              </w:rPr>
              <w:t xml:space="preserve"> </w:t>
            </w:r>
          </w:p>
        </w:tc>
      </w:tr>
      <w:tr w:rsidR="006F13D1" w:rsidTr="000A644B">
        <w:trPr>
          <w:cantSplit/>
          <w:jc w:val="center"/>
        </w:trPr>
        <w:tc>
          <w:tcPr>
            <w:tcW w:w="2816" w:type="dxa"/>
          </w:tcPr>
          <w:p w:rsidR="006F13D1" w:rsidRDefault="006F13D1" w:rsidP="00326752">
            <w:pPr>
              <w:spacing w:after="52"/>
              <w:rPr>
                <w:color w:val="000000"/>
                <w:sz w:val="20"/>
                <w:szCs w:val="20"/>
              </w:rPr>
            </w:pPr>
            <w:r>
              <w:rPr>
                <w:color w:val="000000"/>
                <w:sz w:val="20"/>
                <w:szCs w:val="20"/>
              </w:rPr>
              <w:t>Notification of</w:t>
            </w:r>
            <w:r w:rsidR="0093727F">
              <w:rPr>
                <w:color w:val="000000"/>
                <w:sz w:val="20"/>
                <w:szCs w:val="20"/>
              </w:rPr>
              <w:t xml:space="preserve"> </w:t>
            </w:r>
            <w:r>
              <w:rPr>
                <w:color w:val="000000"/>
                <w:sz w:val="20"/>
                <w:szCs w:val="20"/>
              </w:rPr>
              <w:t>Initial</w:t>
            </w:r>
            <w:r w:rsidR="0093727F">
              <w:rPr>
                <w:color w:val="000000"/>
                <w:sz w:val="20"/>
                <w:szCs w:val="20"/>
              </w:rPr>
              <w:t xml:space="preserve"> </w:t>
            </w:r>
            <w:r>
              <w:rPr>
                <w:color w:val="000000"/>
                <w:sz w:val="20"/>
                <w:szCs w:val="20"/>
              </w:rPr>
              <w:t>Compliance</w:t>
            </w:r>
          </w:p>
        </w:tc>
        <w:tc>
          <w:tcPr>
            <w:tcW w:w="1362" w:type="dxa"/>
          </w:tcPr>
          <w:p w:rsidR="006F13D1" w:rsidRDefault="006F13D1" w:rsidP="00326752">
            <w:pPr>
              <w:spacing w:after="52"/>
              <w:jc w:val="center"/>
              <w:rPr>
                <w:color w:val="000000"/>
                <w:sz w:val="20"/>
                <w:szCs w:val="20"/>
              </w:rPr>
            </w:pPr>
            <w:r>
              <w:rPr>
                <w:color w:val="000000"/>
                <w:sz w:val="20"/>
                <w:szCs w:val="20"/>
              </w:rPr>
              <w:t>0.0</w:t>
            </w:r>
          </w:p>
        </w:tc>
        <w:tc>
          <w:tcPr>
            <w:tcW w:w="1362" w:type="dxa"/>
          </w:tcPr>
          <w:p w:rsidR="006F13D1" w:rsidRDefault="006F13D1" w:rsidP="00326752">
            <w:pPr>
              <w:spacing w:after="52"/>
              <w:jc w:val="center"/>
              <w:rPr>
                <w:color w:val="000000"/>
                <w:sz w:val="20"/>
                <w:szCs w:val="20"/>
              </w:rPr>
            </w:pPr>
            <w:r>
              <w:rPr>
                <w:color w:val="000000"/>
                <w:sz w:val="20"/>
                <w:szCs w:val="20"/>
              </w:rPr>
              <w:t>1</w:t>
            </w:r>
          </w:p>
        </w:tc>
        <w:tc>
          <w:tcPr>
            <w:tcW w:w="2180" w:type="dxa"/>
          </w:tcPr>
          <w:p w:rsidR="006F13D1" w:rsidRDefault="006F13D1" w:rsidP="00326752">
            <w:pPr>
              <w:spacing w:after="52"/>
              <w:jc w:val="center"/>
              <w:rPr>
                <w:color w:val="000000"/>
                <w:sz w:val="20"/>
                <w:szCs w:val="20"/>
              </w:rPr>
            </w:pPr>
            <w:r>
              <w:rPr>
                <w:color w:val="000000"/>
                <w:sz w:val="20"/>
                <w:szCs w:val="20"/>
              </w:rPr>
              <w:t>N/A</w:t>
            </w:r>
          </w:p>
        </w:tc>
        <w:tc>
          <w:tcPr>
            <w:tcW w:w="1639" w:type="dxa"/>
          </w:tcPr>
          <w:p w:rsidR="006F13D1" w:rsidRDefault="006F13D1" w:rsidP="00326752">
            <w:pPr>
              <w:spacing w:after="52"/>
              <w:jc w:val="center"/>
              <w:rPr>
                <w:color w:val="000000"/>
                <w:sz w:val="20"/>
                <w:szCs w:val="20"/>
              </w:rPr>
            </w:pPr>
            <w:r>
              <w:rPr>
                <w:color w:val="000000"/>
                <w:sz w:val="20"/>
                <w:szCs w:val="20"/>
              </w:rPr>
              <w:t>0</w:t>
            </w:r>
          </w:p>
        </w:tc>
      </w:tr>
      <w:tr w:rsidR="006F13D1" w:rsidTr="000A644B">
        <w:trPr>
          <w:cantSplit/>
          <w:jc w:val="center"/>
        </w:trPr>
        <w:tc>
          <w:tcPr>
            <w:tcW w:w="2816" w:type="dxa"/>
          </w:tcPr>
          <w:p w:rsidR="006F13D1" w:rsidRDefault="006F13D1">
            <w:pPr>
              <w:spacing w:after="52"/>
              <w:rPr>
                <w:color w:val="000000"/>
                <w:sz w:val="20"/>
                <w:szCs w:val="20"/>
              </w:rPr>
            </w:pPr>
            <w:r>
              <w:rPr>
                <w:color w:val="000000"/>
                <w:sz w:val="20"/>
                <w:szCs w:val="20"/>
              </w:rPr>
              <w:t>Notification of Construction/Reconstruction</w:t>
            </w:r>
          </w:p>
        </w:tc>
        <w:tc>
          <w:tcPr>
            <w:tcW w:w="1362" w:type="dxa"/>
          </w:tcPr>
          <w:p w:rsidR="006F13D1" w:rsidRDefault="007125A4">
            <w:pPr>
              <w:spacing w:after="52"/>
              <w:jc w:val="center"/>
              <w:rPr>
                <w:color w:val="000000"/>
                <w:sz w:val="20"/>
                <w:szCs w:val="20"/>
              </w:rPr>
            </w:pPr>
            <w:r>
              <w:rPr>
                <w:color w:val="000000"/>
                <w:sz w:val="20"/>
                <w:szCs w:val="20"/>
              </w:rPr>
              <w:t>0</w:t>
            </w:r>
          </w:p>
        </w:tc>
        <w:tc>
          <w:tcPr>
            <w:tcW w:w="1362" w:type="dxa"/>
          </w:tcPr>
          <w:p w:rsidR="006F13D1" w:rsidRDefault="006F13D1">
            <w:pPr>
              <w:spacing w:after="52"/>
              <w:jc w:val="center"/>
              <w:rPr>
                <w:color w:val="000000"/>
                <w:sz w:val="20"/>
                <w:szCs w:val="20"/>
              </w:rPr>
            </w:pPr>
            <w:r>
              <w:rPr>
                <w:color w:val="000000"/>
                <w:sz w:val="20"/>
                <w:szCs w:val="20"/>
              </w:rPr>
              <w:t>1</w:t>
            </w:r>
          </w:p>
        </w:tc>
        <w:tc>
          <w:tcPr>
            <w:tcW w:w="2180" w:type="dxa"/>
          </w:tcPr>
          <w:p w:rsidR="006F13D1" w:rsidRDefault="006F13D1">
            <w:pPr>
              <w:spacing w:after="52"/>
              <w:jc w:val="center"/>
              <w:rPr>
                <w:color w:val="000000"/>
                <w:sz w:val="20"/>
                <w:szCs w:val="20"/>
              </w:rPr>
            </w:pPr>
            <w:r>
              <w:rPr>
                <w:color w:val="000000"/>
                <w:sz w:val="20"/>
                <w:szCs w:val="20"/>
              </w:rPr>
              <w:t>N/A</w:t>
            </w:r>
          </w:p>
        </w:tc>
        <w:tc>
          <w:tcPr>
            <w:tcW w:w="1639" w:type="dxa"/>
          </w:tcPr>
          <w:p w:rsidR="006F13D1" w:rsidRDefault="007125A4">
            <w:pPr>
              <w:spacing w:after="52"/>
              <w:jc w:val="center"/>
              <w:rPr>
                <w:color w:val="000000"/>
                <w:sz w:val="20"/>
                <w:szCs w:val="20"/>
              </w:rPr>
            </w:pPr>
            <w:r>
              <w:rPr>
                <w:color w:val="000000"/>
                <w:sz w:val="20"/>
                <w:szCs w:val="20"/>
              </w:rPr>
              <w:t>0</w:t>
            </w:r>
          </w:p>
        </w:tc>
      </w:tr>
      <w:tr w:rsidR="006F13D1" w:rsidTr="000A644B">
        <w:trPr>
          <w:cantSplit/>
          <w:jc w:val="center"/>
        </w:trPr>
        <w:tc>
          <w:tcPr>
            <w:tcW w:w="2816" w:type="dxa"/>
          </w:tcPr>
          <w:p w:rsidR="006F13D1" w:rsidRDefault="006F13D1">
            <w:pPr>
              <w:spacing w:after="52"/>
              <w:rPr>
                <w:color w:val="000000"/>
                <w:sz w:val="20"/>
                <w:szCs w:val="20"/>
              </w:rPr>
            </w:pPr>
            <w:r>
              <w:rPr>
                <w:color w:val="000000"/>
                <w:sz w:val="20"/>
                <w:szCs w:val="20"/>
              </w:rPr>
              <w:t xml:space="preserve">Notification of Malfunction and Report </w:t>
            </w:r>
          </w:p>
        </w:tc>
        <w:tc>
          <w:tcPr>
            <w:tcW w:w="1362" w:type="dxa"/>
          </w:tcPr>
          <w:p w:rsidR="006F13D1" w:rsidRDefault="006F13D1">
            <w:pPr>
              <w:spacing w:after="52"/>
              <w:jc w:val="center"/>
              <w:rPr>
                <w:color w:val="000000"/>
                <w:sz w:val="20"/>
                <w:szCs w:val="20"/>
              </w:rPr>
            </w:pPr>
            <w:r>
              <w:rPr>
                <w:color w:val="000000"/>
                <w:sz w:val="20"/>
                <w:szCs w:val="20"/>
              </w:rPr>
              <w:t>2</w:t>
            </w:r>
          </w:p>
        </w:tc>
        <w:tc>
          <w:tcPr>
            <w:tcW w:w="1362" w:type="dxa"/>
          </w:tcPr>
          <w:p w:rsidR="006F13D1" w:rsidRDefault="006F13D1">
            <w:pPr>
              <w:spacing w:after="52"/>
              <w:jc w:val="center"/>
              <w:rPr>
                <w:color w:val="000000"/>
                <w:sz w:val="20"/>
                <w:szCs w:val="20"/>
              </w:rPr>
            </w:pPr>
            <w:r>
              <w:rPr>
                <w:color w:val="000000"/>
                <w:sz w:val="20"/>
                <w:szCs w:val="20"/>
              </w:rPr>
              <w:t>1</w:t>
            </w:r>
          </w:p>
        </w:tc>
        <w:tc>
          <w:tcPr>
            <w:tcW w:w="2180" w:type="dxa"/>
          </w:tcPr>
          <w:p w:rsidR="006F13D1" w:rsidRDefault="006F13D1">
            <w:pPr>
              <w:spacing w:after="52"/>
              <w:jc w:val="center"/>
              <w:rPr>
                <w:color w:val="000000"/>
                <w:sz w:val="20"/>
                <w:szCs w:val="20"/>
              </w:rPr>
            </w:pPr>
            <w:r>
              <w:rPr>
                <w:color w:val="000000"/>
                <w:sz w:val="20"/>
                <w:szCs w:val="20"/>
              </w:rPr>
              <w:t>N/A</w:t>
            </w:r>
          </w:p>
        </w:tc>
        <w:tc>
          <w:tcPr>
            <w:tcW w:w="1639" w:type="dxa"/>
          </w:tcPr>
          <w:p w:rsidR="006F13D1" w:rsidRDefault="006F13D1">
            <w:pPr>
              <w:spacing w:after="52"/>
              <w:jc w:val="center"/>
              <w:rPr>
                <w:color w:val="000000"/>
                <w:sz w:val="20"/>
                <w:szCs w:val="20"/>
              </w:rPr>
            </w:pPr>
            <w:r>
              <w:rPr>
                <w:color w:val="000000"/>
                <w:sz w:val="20"/>
                <w:szCs w:val="20"/>
              </w:rPr>
              <w:t>2</w:t>
            </w:r>
          </w:p>
        </w:tc>
      </w:tr>
      <w:tr w:rsidR="006F13D1" w:rsidTr="000A644B">
        <w:trPr>
          <w:cantSplit/>
          <w:jc w:val="center"/>
        </w:trPr>
        <w:tc>
          <w:tcPr>
            <w:tcW w:w="2816" w:type="dxa"/>
          </w:tcPr>
          <w:p w:rsidR="006F13D1" w:rsidRDefault="006F13D1">
            <w:pPr>
              <w:spacing w:after="52"/>
              <w:rPr>
                <w:color w:val="000000"/>
                <w:sz w:val="20"/>
                <w:szCs w:val="20"/>
              </w:rPr>
            </w:pPr>
            <w:r>
              <w:rPr>
                <w:color w:val="000000"/>
                <w:sz w:val="20"/>
                <w:szCs w:val="20"/>
              </w:rPr>
              <w:t xml:space="preserve">Notification of </w:t>
            </w:r>
            <w:smartTag w:uri="urn:schemas-microsoft-com:office:smarttags" w:element="place">
              <w:r>
                <w:rPr>
                  <w:color w:val="000000"/>
                  <w:sz w:val="20"/>
                  <w:szCs w:val="20"/>
                </w:rPr>
                <w:t>Battery</w:t>
              </w:r>
            </w:smartTag>
            <w:r>
              <w:rPr>
                <w:color w:val="000000"/>
                <w:sz w:val="20"/>
                <w:szCs w:val="20"/>
              </w:rPr>
              <w:t xml:space="preserve"> Closure</w:t>
            </w:r>
          </w:p>
        </w:tc>
        <w:tc>
          <w:tcPr>
            <w:tcW w:w="1362" w:type="dxa"/>
          </w:tcPr>
          <w:p w:rsidR="006F13D1" w:rsidRDefault="007125A4">
            <w:pPr>
              <w:spacing w:after="52"/>
              <w:jc w:val="center"/>
              <w:rPr>
                <w:color w:val="000000"/>
                <w:sz w:val="20"/>
                <w:szCs w:val="20"/>
              </w:rPr>
            </w:pPr>
            <w:r>
              <w:rPr>
                <w:color w:val="000000"/>
                <w:sz w:val="20"/>
                <w:szCs w:val="20"/>
              </w:rPr>
              <w:t>0</w:t>
            </w:r>
          </w:p>
        </w:tc>
        <w:tc>
          <w:tcPr>
            <w:tcW w:w="1362" w:type="dxa"/>
          </w:tcPr>
          <w:p w:rsidR="006F13D1" w:rsidRDefault="006F13D1">
            <w:pPr>
              <w:spacing w:after="52"/>
              <w:jc w:val="center"/>
              <w:rPr>
                <w:color w:val="000000"/>
                <w:sz w:val="20"/>
                <w:szCs w:val="20"/>
              </w:rPr>
            </w:pPr>
            <w:r>
              <w:rPr>
                <w:color w:val="000000"/>
                <w:sz w:val="20"/>
                <w:szCs w:val="20"/>
              </w:rPr>
              <w:t>1</w:t>
            </w:r>
          </w:p>
        </w:tc>
        <w:tc>
          <w:tcPr>
            <w:tcW w:w="2180" w:type="dxa"/>
          </w:tcPr>
          <w:p w:rsidR="006F13D1" w:rsidRDefault="006F13D1">
            <w:pPr>
              <w:spacing w:after="52"/>
              <w:jc w:val="center"/>
              <w:rPr>
                <w:color w:val="000000"/>
                <w:sz w:val="20"/>
                <w:szCs w:val="20"/>
              </w:rPr>
            </w:pPr>
            <w:r>
              <w:rPr>
                <w:color w:val="000000"/>
                <w:sz w:val="20"/>
                <w:szCs w:val="20"/>
              </w:rPr>
              <w:t>N/A</w:t>
            </w:r>
          </w:p>
        </w:tc>
        <w:tc>
          <w:tcPr>
            <w:tcW w:w="1639" w:type="dxa"/>
          </w:tcPr>
          <w:p w:rsidR="006F13D1" w:rsidRDefault="007125A4">
            <w:pPr>
              <w:spacing w:after="52"/>
              <w:jc w:val="center"/>
              <w:rPr>
                <w:color w:val="000000"/>
                <w:sz w:val="20"/>
                <w:szCs w:val="20"/>
              </w:rPr>
            </w:pPr>
            <w:r>
              <w:rPr>
                <w:color w:val="000000"/>
                <w:sz w:val="20"/>
                <w:szCs w:val="20"/>
              </w:rPr>
              <w:t>0</w:t>
            </w:r>
          </w:p>
        </w:tc>
      </w:tr>
      <w:tr w:rsidR="006F13D1" w:rsidTr="000A644B">
        <w:trPr>
          <w:cantSplit/>
          <w:jc w:val="center"/>
        </w:trPr>
        <w:tc>
          <w:tcPr>
            <w:tcW w:w="2816" w:type="dxa"/>
          </w:tcPr>
          <w:p w:rsidR="006F13D1" w:rsidRDefault="006F13D1">
            <w:pPr>
              <w:spacing w:after="52"/>
              <w:rPr>
                <w:color w:val="000000"/>
                <w:sz w:val="20"/>
                <w:szCs w:val="20"/>
              </w:rPr>
            </w:pPr>
            <w:r>
              <w:rPr>
                <w:color w:val="000000"/>
                <w:sz w:val="20"/>
                <w:szCs w:val="20"/>
              </w:rPr>
              <w:t>Report of Venting Coke Oven Gas Episode at a Stack Flare</w:t>
            </w:r>
          </w:p>
        </w:tc>
        <w:tc>
          <w:tcPr>
            <w:tcW w:w="1362" w:type="dxa"/>
          </w:tcPr>
          <w:p w:rsidR="006F13D1" w:rsidRDefault="006F13D1">
            <w:pPr>
              <w:spacing w:after="52"/>
              <w:jc w:val="center"/>
              <w:rPr>
                <w:color w:val="000000"/>
                <w:sz w:val="20"/>
                <w:szCs w:val="20"/>
              </w:rPr>
            </w:pPr>
            <w:r>
              <w:rPr>
                <w:color w:val="000000"/>
                <w:sz w:val="20"/>
                <w:szCs w:val="20"/>
              </w:rPr>
              <w:t>1.6</w:t>
            </w:r>
          </w:p>
        </w:tc>
        <w:tc>
          <w:tcPr>
            <w:tcW w:w="1362" w:type="dxa"/>
          </w:tcPr>
          <w:p w:rsidR="006F13D1" w:rsidRDefault="006F13D1">
            <w:pPr>
              <w:spacing w:after="52"/>
              <w:jc w:val="center"/>
              <w:rPr>
                <w:color w:val="000000"/>
                <w:sz w:val="20"/>
                <w:szCs w:val="20"/>
              </w:rPr>
            </w:pPr>
            <w:r>
              <w:rPr>
                <w:color w:val="000000"/>
                <w:sz w:val="20"/>
                <w:szCs w:val="20"/>
              </w:rPr>
              <w:t>1</w:t>
            </w:r>
          </w:p>
        </w:tc>
        <w:tc>
          <w:tcPr>
            <w:tcW w:w="2180" w:type="dxa"/>
          </w:tcPr>
          <w:p w:rsidR="006F13D1" w:rsidRDefault="006F13D1">
            <w:pPr>
              <w:spacing w:after="52"/>
              <w:jc w:val="center"/>
              <w:rPr>
                <w:color w:val="000000"/>
                <w:sz w:val="20"/>
                <w:szCs w:val="20"/>
              </w:rPr>
            </w:pPr>
            <w:r>
              <w:rPr>
                <w:color w:val="000000"/>
                <w:sz w:val="20"/>
                <w:szCs w:val="20"/>
              </w:rPr>
              <w:t>N/A</w:t>
            </w:r>
          </w:p>
        </w:tc>
        <w:tc>
          <w:tcPr>
            <w:tcW w:w="1639" w:type="dxa"/>
          </w:tcPr>
          <w:p w:rsidR="006F13D1" w:rsidRDefault="006F13D1">
            <w:pPr>
              <w:spacing w:after="52"/>
              <w:jc w:val="center"/>
              <w:rPr>
                <w:color w:val="000000"/>
                <w:sz w:val="20"/>
                <w:szCs w:val="20"/>
              </w:rPr>
            </w:pPr>
            <w:r>
              <w:rPr>
                <w:color w:val="000000"/>
                <w:sz w:val="20"/>
                <w:szCs w:val="20"/>
              </w:rPr>
              <w:t>1.6</w:t>
            </w:r>
          </w:p>
        </w:tc>
      </w:tr>
      <w:tr w:rsidR="006F13D1" w:rsidTr="000A644B">
        <w:trPr>
          <w:cantSplit/>
          <w:jc w:val="center"/>
        </w:trPr>
        <w:tc>
          <w:tcPr>
            <w:tcW w:w="2816" w:type="dxa"/>
          </w:tcPr>
          <w:p w:rsidR="006F13D1" w:rsidRDefault="006F13D1">
            <w:pPr>
              <w:spacing w:after="52"/>
              <w:rPr>
                <w:color w:val="000000"/>
                <w:sz w:val="20"/>
                <w:szCs w:val="20"/>
              </w:rPr>
            </w:pPr>
            <w:r>
              <w:rPr>
                <w:color w:val="000000"/>
                <w:sz w:val="20"/>
                <w:szCs w:val="20"/>
              </w:rPr>
              <w:t>Semiannual Compliance Report</w:t>
            </w:r>
          </w:p>
        </w:tc>
        <w:tc>
          <w:tcPr>
            <w:tcW w:w="1362" w:type="dxa"/>
          </w:tcPr>
          <w:p w:rsidR="006F13D1" w:rsidRDefault="006F13D1">
            <w:pPr>
              <w:spacing w:after="52"/>
              <w:jc w:val="center"/>
              <w:rPr>
                <w:color w:val="000000"/>
                <w:sz w:val="20"/>
                <w:szCs w:val="20"/>
              </w:rPr>
            </w:pPr>
            <w:r>
              <w:rPr>
                <w:color w:val="000000"/>
                <w:sz w:val="20"/>
                <w:szCs w:val="20"/>
              </w:rPr>
              <w:t>19</w:t>
            </w:r>
          </w:p>
        </w:tc>
        <w:tc>
          <w:tcPr>
            <w:tcW w:w="1362" w:type="dxa"/>
          </w:tcPr>
          <w:p w:rsidR="006F13D1" w:rsidRDefault="006F13D1">
            <w:pPr>
              <w:spacing w:after="52"/>
              <w:jc w:val="center"/>
              <w:rPr>
                <w:color w:val="000000"/>
                <w:sz w:val="20"/>
                <w:szCs w:val="20"/>
              </w:rPr>
            </w:pPr>
            <w:r>
              <w:rPr>
                <w:color w:val="000000"/>
                <w:sz w:val="20"/>
                <w:szCs w:val="20"/>
              </w:rPr>
              <w:t>2</w:t>
            </w:r>
          </w:p>
        </w:tc>
        <w:tc>
          <w:tcPr>
            <w:tcW w:w="2180" w:type="dxa"/>
          </w:tcPr>
          <w:p w:rsidR="006F13D1" w:rsidRDefault="006F13D1">
            <w:pPr>
              <w:spacing w:after="52"/>
              <w:jc w:val="center"/>
              <w:rPr>
                <w:color w:val="000000"/>
                <w:sz w:val="20"/>
                <w:szCs w:val="20"/>
              </w:rPr>
            </w:pPr>
            <w:r>
              <w:rPr>
                <w:color w:val="000000"/>
                <w:sz w:val="20"/>
                <w:szCs w:val="20"/>
              </w:rPr>
              <w:t>N/A</w:t>
            </w:r>
          </w:p>
        </w:tc>
        <w:tc>
          <w:tcPr>
            <w:tcW w:w="1639" w:type="dxa"/>
          </w:tcPr>
          <w:p w:rsidR="006F13D1" w:rsidRDefault="006F13D1">
            <w:pPr>
              <w:spacing w:after="52"/>
              <w:jc w:val="center"/>
              <w:rPr>
                <w:color w:val="000000"/>
                <w:sz w:val="20"/>
                <w:szCs w:val="20"/>
              </w:rPr>
            </w:pPr>
            <w:r>
              <w:rPr>
                <w:color w:val="000000"/>
                <w:sz w:val="20"/>
                <w:szCs w:val="20"/>
              </w:rPr>
              <w:t>38</w:t>
            </w:r>
          </w:p>
        </w:tc>
      </w:tr>
      <w:tr w:rsidR="006F13D1" w:rsidTr="000A644B">
        <w:trPr>
          <w:cantSplit/>
          <w:jc w:val="center"/>
        </w:trPr>
        <w:tc>
          <w:tcPr>
            <w:tcW w:w="5540" w:type="dxa"/>
            <w:gridSpan w:val="3"/>
          </w:tcPr>
          <w:p w:rsidR="006F13D1" w:rsidRDefault="006F13D1">
            <w:pPr>
              <w:spacing w:after="52"/>
              <w:jc w:val="center"/>
              <w:rPr>
                <w:color w:val="000000"/>
                <w:sz w:val="20"/>
                <w:szCs w:val="20"/>
              </w:rPr>
            </w:pPr>
          </w:p>
        </w:tc>
        <w:tc>
          <w:tcPr>
            <w:tcW w:w="2180" w:type="dxa"/>
          </w:tcPr>
          <w:p w:rsidR="006F13D1" w:rsidRDefault="006F13D1">
            <w:pPr>
              <w:spacing w:after="52"/>
              <w:jc w:val="center"/>
              <w:rPr>
                <w:color w:val="000000"/>
                <w:sz w:val="20"/>
                <w:szCs w:val="20"/>
              </w:rPr>
            </w:pPr>
            <w:r>
              <w:rPr>
                <w:color w:val="000000"/>
                <w:sz w:val="20"/>
                <w:szCs w:val="20"/>
              </w:rPr>
              <w:t>Total</w:t>
            </w:r>
          </w:p>
        </w:tc>
        <w:tc>
          <w:tcPr>
            <w:tcW w:w="1639" w:type="dxa"/>
          </w:tcPr>
          <w:p w:rsidR="006F13D1" w:rsidRDefault="007125A4" w:rsidP="00CE1143">
            <w:pPr>
              <w:spacing w:after="52"/>
              <w:jc w:val="center"/>
              <w:rPr>
                <w:color w:val="000000"/>
                <w:sz w:val="20"/>
                <w:szCs w:val="20"/>
              </w:rPr>
            </w:pPr>
            <w:r>
              <w:rPr>
                <w:color w:val="000000"/>
                <w:sz w:val="20"/>
                <w:szCs w:val="20"/>
              </w:rPr>
              <w:t>41.6</w:t>
            </w:r>
          </w:p>
        </w:tc>
      </w:tr>
    </w:tbl>
    <w:p w:rsidR="003C5C86" w:rsidRDefault="003C5C86">
      <w:pPr>
        <w:rPr>
          <w:color w:val="000000"/>
        </w:rPr>
      </w:pPr>
    </w:p>
    <w:p w:rsidR="00F94A28" w:rsidRDefault="00F94A28" w:rsidP="00162811">
      <w:pPr>
        <w:outlineLvl w:val="0"/>
        <w:rPr>
          <w:color w:val="000000"/>
        </w:rPr>
      </w:pPr>
      <w:r>
        <w:rPr>
          <w:color w:val="000000"/>
        </w:rPr>
        <w:tab/>
        <w:t>The number of Total Annual Responses is 42.</w:t>
      </w:r>
    </w:p>
    <w:p w:rsidR="00F94A28" w:rsidRDefault="00F94A28">
      <w:pPr>
        <w:rPr>
          <w:color w:val="000000"/>
        </w:rPr>
      </w:pPr>
    </w:p>
    <w:p w:rsidR="003C5C86" w:rsidRDefault="003C5C86">
      <w:pPr>
        <w:ind w:firstLine="720"/>
        <w:rPr>
          <w:color w:val="000000"/>
        </w:rPr>
      </w:pPr>
      <w:r>
        <w:rPr>
          <w:color w:val="000000"/>
        </w:rPr>
        <w:t>The total annual labor costs are $</w:t>
      </w:r>
      <w:r w:rsidR="0057675C">
        <w:rPr>
          <w:color w:val="000000"/>
        </w:rPr>
        <w:t>7,676,9</w:t>
      </w:r>
      <w:r w:rsidR="00F15059">
        <w:rPr>
          <w:color w:val="000000"/>
        </w:rPr>
        <w:t>89</w:t>
      </w:r>
      <w:r w:rsidR="00E51B7C">
        <w:rPr>
          <w:color w:val="000000"/>
        </w:rPr>
        <w:t xml:space="preserve">.  </w:t>
      </w:r>
      <w:r>
        <w:rPr>
          <w:color w:val="000000"/>
        </w:rPr>
        <w:t>Details regarding these estimates may be found</w:t>
      </w:r>
      <w:r w:rsidR="00D21875">
        <w:rPr>
          <w:color w:val="000000"/>
        </w:rPr>
        <w:t xml:space="preserve"> below </w:t>
      </w:r>
      <w:r>
        <w:rPr>
          <w:color w:val="000000"/>
        </w:rPr>
        <w:t>in Table 1</w:t>
      </w:r>
      <w:r w:rsidR="00C607B4">
        <w:rPr>
          <w:color w:val="000000"/>
        </w:rPr>
        <w:t>:</w:t>
      </w:r>
      <w:r>
        <w:rPr>
          <w:color w:val="000000"/>
        </w:rPr>
        <w:t xml:space="preserve"> Annual Respondent Burden and Cost</w:t>
      </w:r>
      <w:r w:rsidR="005D4652">
        <w:rPr>
          <w:color w:val="000000"/>
        </w:rPr>
        <w:t xml:space="preserve"> - </w:t>
      </w:r>
      <w:r>
        <w:rPr>
          <w:color w:val="000000"/>
        </w:rPr>
        <w:t xml:space="preserve">NESHAP for Coke Oven Batteries (40 CFR </w:t>
      </w:r>
      <w:r w:rsidR="0020608B">
        <w:rPr>
          <w:color w:val="000000"/>
        </w:rPr>
        <w:t>P</w:t>
      </w:r>
      <w:r>
        <w:rPr>
          <w:color w:val="000000"/>
        </w:rPr>
        <w:t xml:space="preserve">art 63, </w:t>
      </w:r>
      <w:r w:rsidR="0020608B">
        <w:rPr>
          <w:color w:val="000000"/>
        </w:rPr>
        <w:t>S</w:t>
      </w:r>
      <w:r>
        <w:rPr>
          <w:color w:val="000000"/>
        </w:rPr>
        <w:t>ubpart L)</w:t>
      </w:r>
      <w:r w:rsidR="00C607B4">
        <w:rPr>
          <w:color w:val="000000"/>
        </w:rPr>
        <w:t xml:space="preserve"> (</w:t>
      </w:r>
      <w:r w:rsidR="00243C6F">
        <w:rPr>
          <w:color w:val="000000"/>
        </w:rPr>
        <w:t>Renewal</w:t>
      </w:r>
      <w:r w:rsidR="00C607B4">
        <w:rPr>
          <w:color w:val="000000"/>
        </w:rPr>
        <w:t>)</w:t>
      </w:r>
      <w:r>
        <w:rPr>
          <w:color w:val="000000"/>
        </w:rPr>
        <w:t>.</w:t>
      </w:r>
    </w:p>
    <w:p w:rsidR="003C5C86" w:rsidRDefault="003C5C86">
      <w:pPr>
        <w:rPr>
          <w:color w:val="000000"/>
        </w:rPr>
      </w:pPr>
    </w:p>
    <w:p w:rsidR="00D21875" w:rsidRDefault="00D21875">
      <w:pPr>
        <w:ind w:firstLine="720"/>
        <w:rPr>
          <w:b/>
          <w:bCs/>
          <w:color w:val="000000"/>
        </w:rPr>
      </w:pPr>
    </w:p>
    <w:p w:rsidR="00D21875" w:rsidRDefault="00D21875">
      <w:pPr>
        <w:ind w:firstLine="720"/>
        <w:rPr>
          <w:b/>
          <w:bCs/>
          <w:color w:val="000000"/>
        </w:rPr>
      </w:pPr>
    </w:p>
    <w:p w:rsidR="003C5C86" w:rsidRDefault="003C5C86">
      <w:pPr>
        <w:ind w:firstLine="720"/>
        <w:rPr>
          <w:color w:val="000000"/>
        </w:rPr>
      </w:pPr>
      <w:r>
        <w:rPr>
          <w:b/>
          <w:bCs/>
          <w:color w:val="000000"/>
        </w:rPr>
        <w:lastRenderedPageBreak/>
        <w:t>6(e</w:t>
      </w:r>
      <w:proofErr w:type="gramStart"/>
      <w:r>
        <w:rPr>
          <w:b/>
          <w:bCs/>
          <w:color w:val="000000"/>
        </w:rPr>
        <w:t>)  Bottom</w:t>
      </w:r>
      <w:proofErr w:type="gramEnd"/>
      <w:r>
        <w:rPr>
          <w:b/>
          <w:bCs/>
          <w:color w:val="000000"/>
        </w:rPr>
        <w:t xml:space="preserve"> Line Burden Hours Burden Hours and Cost Tables</w:t>
      </w:r>
    </w:p>
    <w:p w:rsidR="003C5C86" w:rsidRDefault="003C5C86">
      <w:pPr>
        <w:rPr>
          <w:color w:val="000000"/>
        </w:rPr>
      </w:pPr>
    </w:p>
    <w:p w:rsidR="003C5C86" w:rsidRDefault="003C5C86">
      <w:pPr>
        <w:ind w:firstLine="720"/>
        <w:rPr>
          <w:color w:val="000000"/>
        </w:rPr>
      </w:pPr>
      <w:r>
        <w:rPr>
          <w:color w:val="000000"/>
        </w:rPr>
        <w:t>The detailed bottom line burden hours and cost calculations for the respondents and the Agency are shown in Tables 1 and 2, respectively, and summarized below.</w:t>
      </w:r>
    </w:p>
    <w:p w:rsidR="003C5C86" w:rsidRDefault="003C5C86">
      <w:pPr>
        <w:rPr>
          <w:color w:val="000000"/>
        </w:rPr>
      </w:pPr>
    </w:p>
    <w:p w:rsidR="003C5C86" w:rsidRDefault="003C5C86">
      <w:pPr>
        <w:ind w:firstLine="1440"/>
        <w:rPr>
          <w:color w:val="000000"/>
        </w:rPr>
      </w:pPr>
      <w:r>
        <w:rPr>
          <w:b/>
          <w:bCs/>
          <w:color w:val="000000"/>
        </w:rPr>
        <w:t>(</w:t>
      </w:r>
      <w:proofErr w:type="spellStart"/>
      <w:r>
        <w:rPr>
          <w:b/>
          <w:bCs/>
          <w:color w:val="000000"/>
        </w:rPr>
        <w:t>i</w:t>
      </w:r>
      <w:proofErr w:type="spellEnd"/>
      <w:r>
        <w:rPr>
          <w:b/>
          <w:bCs/>
          <w:color w:val="000000"/>
        </w:rPr>
        <w:t>) Respondent Tally</w:t>
      </w:r>
    </w:p>
    <w:p w:rsidR="003C5C86" w:rsidRDefault="003C5C86">
      <w:pPr>
        <w:rPr>
          <w:color w:val="000000"/>
        </w:rPr>
      </w:pPr>
    </w:p>
    <w:p w:rsidR="005D4652" w:rsidRDefault="003C5C86">
      <w:pPr>
        <w:ind w:firstLine="720"/>
        <w:rPr>
          <w:color w:val="000000"/>
        </w:rPr>
      </w:pPr>
      <w:r>
        <w:rPr>
          <w:color w:val="000000"/>
        </w:rPr>
        <w:t xml:space="preserve">The total annual </w:t>
      </w:r>
      <w:r w:rsidR="00D21875">
        <w:rPr>
          <w:color w:val="000000"/>
        </w:rPr>
        <w:t xml:space="preserve">burden </w:t>
      </w:r>
      <w:r w:rsidR="0087515D">
        <w:rPr>
          <w:color w:val="000000"/>
        </w:rPr>
        <w:t xml:space="preserve">to industry </w:t>
      </w:r>
      <w:r w:rsidR="00D21875">
        <w:rPr>
          <w:color w:val="000000"/>
        </w:rPr>
        <w:t xml:space="preserve">is </w:t>
      </w:r>
      <w:r w:rsidR="00734771">
        <w:rPr>
          <w:color w:val="000000"/>
        </w:rPr>
        <w:t>80,120</w:t>
      </w:r>
      <w:r w:rsidR="00D21875">
        <w:rPr>
          <w:color w:val="000000"/>
        </w:rPr>
        <w:t xml:space="preserve"> labor hours at a cost of $7,676,989.</w:t>
      </w:r>
      <w:r w:rsidR="00FF2FA6">
        <w:rPr>
          <w:color w:val="000000"/>
        </w:rPr>
        <w:t xml:space="preserve">  </w:t>
      </w:r>
      <w:r>
        <w:rPr>
          <w:color w:val="000000"/>
        </w:rPr>
        <w:t xml:space="preserve">Details regarding these estimates may be found </w:t>
      </w:r>
      <w:r w:rsidR="00B16BD1">
        <w:rPr>
          <w:color w:val="000000"/>
        </w:rPr>
        <w:t xml:space="preserve">below </w:t>
      </w:r>
      <w:r>
        <w:rPr>
          <w:color w:val="000000"/>
        </w:rPr>
        <w:t>in Table 1</w:t>
      </w:r>
      <w:r w:rsidR="00243C6F">
        <w:rPr>
          <w:color w:val="000000"/>
        </w:rPr>
        <w:t>:</w:t>
      </w:r>
      <w:r>
        <w:rPr>
          <w:color w:val="000000"/>
        </w:rPr>
        <w:t xml:space="preserve"> Annual Respondent Burden and Cost</w:t>
      </w:r>
      <w:r w:rsidR="005D4652">
        <w:rPr>
          <w:color w:val="000000"/>
        </w:rPr>
        <w:t xml:space="preserve"> - </w:t>
      </w:r>
      <w:r>
        <w:rPr>
          <w:color w:val="000000"/>
        </w:rPr>
        <w:t xml:space="preserve">NESHAP for Coke Oven Batteries (40 CFR </w:t>
      </w:r>
      <w:r w:rsidR="0020608B">
        <w:rPr>
          <w:color w:val="000000"/>
        </w:rPr>
        <w:t>P</w:t>
      </w:r>
      <w:r>
        <w:rPr>
          <w:color w:val="000000"/>
        </w:rPr>
        <w:t xml:space="preserve">art 63, </w:t>
      </w:r>
      <w:r w:rsidR="0020608B">
        <w:rPr>
          <w:color w:val="000000"/>
        </w:rPr>
        <w:t>S</w:t>
      </w:r>
      <w:r>
        <w:rPr>
          <w:color w:val="000000"/>
        </w:rPr>
        <w:t>ubpart L)</w:t>
      </w:r>
      <w:r w:rsidR="00243C6F">
        <w:rPr>
          <w:color w:val="000000"/>
        </w:rPr>
        <w:t xml:space="preserve"> (Renewal)</w:t>
      </w:r>
      <w:r>
        <w:rPr>
          <w:color w:val="000000"/>
        </w:rPr>
        <w:t xml:space="preserve">.  </w:t>
      </w:r>
    </w:p>
    <w:p w:rsidR="005D4652" w:rsidRDefault="005D4652">
      <w:pPr>
        <w:ind w:firstLine="720"/>
        <w:rPr>
          <w:color w:val="000000"/>
        </w:rPr>
      </w:pPr>
    </w:p>
    <w:p w:rsidR="003C5C86" w:rsidRDefault="003C5C86">
      <w:pPr>
        <w:ind w:firstLine="720"/>
        <w:rPr>
          <w:color w:val="000000"/>
        </w:rPr>
      </w:pPr>
      <w:r>
        <w:rPr>
          <w:color w:val="000000"/>
        </w:rPr>
        <w:t>Furthermore, the annual public reporting and recordkeeping burden for this collection of information is estimated to average 1,</w:t>
      </w:r>
      <w:r w:rsidR="00243C6F">
        <w:rPr>
          <w:color w:val="000000"/>
        </w:rPr>
        <w:t>908</w:t>
      </w:r>
      <w:r>
        <w:rPr>
          <w:color w:val="000000"/>
        </w:rPr>
        <w:t xml:space="preserve"> hours per response.</w:t>
      </w:r>
    </w:p>
    <w:p w:rsidR="00B72CD6" w:rsidRDefault="00B72CD6">
      <w:pPr>
        <w:ind w:firstLine="720"/>
        <w:rPr>
          <w:color w:val="000000"/>
        </w:rPr>
      </w:pPr>
    </w:p>
    <w:p w:rsidR="003C5C86" w:rsidRDefault="00734771">
      <w:pPr>
        <w:ind w:firstLine="720"/>
        <w:rPr>
          <w:color w:val="000000"/>
        </w:rPr>
      </w:pPr>
      <w:r>
        <w:rPr>
          <w:color w:val="000000"/>
        </w:rPr>
        <w:t>There are no annualized c</w:t>
      </w:r>
      <w:r w:rsidR="003C5C86">
        <w:rPr>
          <w:color w:val="000000"/>
        </w:rPr>
        <w:t>apital/startup and O&amp;M costs to the regulated entities.</w:t>
      </w:r>
    </w:p>
    <w:p w:rsidR="003C5C86" w:rsidRDefault="003C5C86">
      <w:pPr>
        <w:rPr>
          <w:color w:val="000000"/>
        </w:rPr>
      </w:pPr>
    </w:p>
    <w:p w:rsidR="003C5C86" w:rsidRDefault="003C5C86">
      <w:pPr>
        <w:ind w:firstLine="1440"/>
        <w:rPr>
          <w:color w:val="000000"/>
        </w:rPr>
      </w:pPr>
      <w:r>
        <w:rPr>
          <w:b/>
          <w:bCs/>
          <w:color w:val="000000"/>
        </w:rPr>
        <w:t>(ii) The Agency Tally</w:t>
      </w:r>
    </w:p>
    <w:p w:rsidR="003C5C86" w:rsidRDefault="003C5C86">
      <w:pPr>
        <w:rPr>
          <w:color w:val="000000"/>
        </w:rPr>
      </w:pPr>
    </w:p>
    <w:p w:rsidR="003C5C86" w:rsidRDefault="003C5C86">
      <w:pPr>
        <w:ind w:firstLine="720"/>
        <w:rPr>
          <w:color w:val="000000"/>
        </w:rPr>
      </w:pPr>
      <w:r>
        <w:rPr>
          <w:color w:val="000000"/>
        </w:rPr>
        <w:t>The average annual Agency burden and cost over next three years is estimated to be 11</w:t>
      </w:r>
      <w:r w:rsidR="00E4315B">
        <w:rPr>
          <w:color w:val="000000"/>
        </w:rPr>
        <w:t>6</w:t>
      </w:r>
      <w:r>
        <w:rPr>
          <w:color w:val="000000"/>
        </w:rPr>
        <w:t xml:space="preserve"> labor hours at a cost </w:t>
      </w:r>
      <w:r w:rsidRPr="00734771">
        <w:rPr>
          <w:color w:val="000000"/>
        </w:rPr>
        <w:t>of $</w:t>
      </w:r>
      <w:r w:rsidR="00F62B5E">
        <w:rPr>
          <w:color w:val="000000"/>
        </w:rPr>
        <w:t>5,209</w:t>
      </w:r>
      <w:r w:rsidRPr="00734771">
        <w:rPr>
          <w:color w:val="000000"/>
        </w:rPr>
        <w:t>.  See</w:t>
      </w:r>
      <w:r w:rsidR="00B16BD1">
        <w:rPr>
          <w:color w:val="000000"/>
        </w:rPr>
        <w:t xml:space="preserve"> below</w:t>
      </w:r>
      <w:r>
        <w:rPr>
          <w:color w:val="000000"/>
        </w:rPr>
        <w:t xml:space="preserve"> Table 2</w:t>
      </w:r>
      <w:r w:rsidR="00CA7C0C">
        <w:rPr>
          <w:color w:val="000000"/>
        </w:rPr>
        <w:t>:</w:t>
      </w:r>
      <w:r>
        <w:rPr>
          <w:color w:val="000000"/>
        </w:rPr>
        <w:t xml:space="preserve"> </w:t>
      </w:r>
      <w:r w:rsidR="005D4652">
        <w:rPr>
          <w:color w:val="000000"/>
        </w:rPr>
        <w:t xml:space="preserve">Average </w:t>
      </w:r>
      <w:r>
        <w:rPr>
          <w:color w:val="000000"/>
        </w:rPr>
        <w:t xml:space="preserve">Annual </w:t>
      </w:r>
      <w:r w:rsidR="005D4652">
        <w:rPr>
          <w:color w:val="000000"/>
        </w:rPr>
        <w:t xml:space="preserve">EPA </w:t>
      </w:r>
      <w:r>
        <w:rPr>
          <w:color w:val="000000"/>
        </w:rPr>
        <w:t>Burden and Cost</w:t>
      </w:r>
      <w:r w:rsidR="005D4652">
        <w:rPr>
          <w:color w:val="000000"/>
        </w:rPr>
        <w:t xml:space="preserve"> - </w:t>
      </w:r>
      <w:r>
        <w:rPr>
          <w:color w:val="000000"/>
        </w:rPr>
        <w:t xml:space="preserve">NESHAP for Coke Oven Batteries (40 CFR </w:t>
      </w:r>
      <w:proofErr w:type="gramStart"/>
      <w:r w:rsidR="001F0DAF">
        <w:rPr>
          <w:color w:val="000000"/>
        </w:rPr>
        <w:t>Part</w:t>
      </w:r>
      <w:proofErr w:type="gramEnd"/>
      <w:r w:rsidR="001F0DAF">
        <w:rPr>
          <w:color w:val="000000"/>
        </w:rPr>
        <w:t xml:space="preserve"> </w:t>
      </w:r>
      <w:r>
        <w:rPr>
          <w:color w:val="000000"/>
        </w:rPr>
        <w:t xml:space="preserve">63, </w:t>
      </w:r>
      <w:r w:rsidR="001F0DAF">
        <w:rPr>
          <w:color w:val="000000"/>
        </w:rPr>
        <w:t xml:space="preserve">Subpart </w:t>
      </w:r>
      <w:r>
        <w:rPr>
          <w:color w:val="000000"/>
        </w:rPr>
        <w:t>L)</w:t>
      </w:r>
      <w:r w:rsidR="00CA7C0C">
        <w:rPr>
          <w:color w:val="000000"/>
        </w:rPr>
        <w:t xml:space="preserve"> (Renewal)</w:t>
      </w:r>
      <w:r>
        <w:rPr>
          <w:color w:val="000000"/>
        </w:rPr>
        <w:t>.</w:t>
      </w:r>
    </w:p>
    <w:p w:rsidR="00B2401A" w:rsidRDefault="00B2401A">
      <w:pPr>
        <w:ind w:firstLine="720"/>
        <w:rPr>
          <w:color w:val="000000"/>
        </w:rPr>
      </w:pPr>
    </w:p>
    <w:p w:rsidR="003C5C86" w:rsidRDefault="003C5C86">
      <w:pPr>
        <w:ind w:firstLine="720"/>
        <w:rPr>
          <w:b/>
          <w:bCs/>
          <w:color w:val="000000"/>
        </w:rPr>
      </w:pPr>
      <w:r>
        <w:rPr>
          <w:b/>
          <w:bCs/>
          <w:color w:val="000000"/>
        </w:rPr>
        <w:t>6(f)  Reasons for Change in Burden</w:t>
      </w:r>
    </w:p>
    <w:p w:rsidR="0020608B" w:rsidRDefault="0020608B">
      <w:pPr>
        <w:ind w:firstLine="720"/>
        <w:rPr>
          <w:color w:val="000000"/>
        </w:rPr>
      </w:pPr>
    </w:p>
    <w:p w:rsidR="00F62B5E" w:rsidRDefault="00F62B5E" w:rsidP="00FC6150">
      <w:pPr>
        <w:pBdr>
          <w:top w:val="single" w:sz="6" w:space="0" w:color="FFFFFF"/>
          <w:left w:val="single" w:sz="6" w:space="0" w:color="FFFFFF"/>
          <w:bottom w:val="single" w:sz="6" w:space="0" w:color="FFFFFF"/>
          <w:right w:val="single" w:sz="6" w:space="0" w:color="FFFFFF"/>
        </w:pBdr>
        <w:ind w:firstLine="720"/>
      </w:pPr>
      <w:r>
        <w:t xml:space="preserve">There is a decrease of one hour in the respondent burden hours in this ICR compared to the most recently approved ICR due to rounding errors.  This ICR was updated with more accurate burden calculations. </w:t>
      </w:r>
    </w:p>
    <w:p w:rsidR="00F62B5E" w:rsidRDefault="00F62B5E" w:rsidP="00FC6150">
      <w:pPr>
        <w:pBdr>
          <w:top w:val="single" w:sz="6" w:space="0" w:color="FFFFFF"/>
          <w:left w:val="single" w:sz="6" w:space="0" w:color="FFFFFF"/>
          <w:bottom w:val="single" w:sz="6" w:space="0" w:color="FFFFFF"/>
          <w:right w:val="single" w:sz="6" w:space="0" w:color="FFFFFF"/>
        </w:pBdr>
        <w:ind w:firstLine="720"/>
      </w:pPr>
    </w:p>
    <w:p w:rsidR="00FC6150" w:rsidRPr="00613597" w:rsidRDefault="00F6653F" w:rsidP="00FC6150">
      <w:pPr>
        <w:pBdr>
          <w:top w:val="single" w:sz="6" w:space="0" w:color="FFFFFF"/>
          <w:left w:val="single" w:sz="6" w:space="0" w:color="FFFFFF"/>
          <w:bottom w:val="single" w:sz="6" w:space="0" w:color="FFFFFF"/>
          <w:right w:val="single" w:sz="6" w:space="0" w:color="FFFFFF"/>
        </w:pBdr>
        <w:ind w:firstLine="720"/>
      </w:pPr>
      <w:r>
        <w:t xml:space="preserve">There is an </w:t>
      </w:r>
      <w:r w:rsidR="00297FD5">
        <w:t xml:space="preserve">increase in burden </w:t>
      </w:r>
      <w:r>
        <w:t xml:space="preserve">costs </w:t>
      </w:r>
      <w:r w:rsidR="00297FD5">
        <w:t>from the most recently approved ICR</w:t>
      </w:r>
      <w:r>
        <w:t xml:space="preserve">.  </w:t>
      </w:r>
      <w:r w:rsidR="00E11459" w:rsidRPr="00E11459">
        <w:t>This increase is not due to any p</w:t>
      </w:r>
      <w:r w:rsidR="00E11459">
        <w:t>rogram changes</w:t>
      </w:r>
      <w:r>
        <w:t xml:space="preserve">.  The change in cost estimates occurred because this ICR uses updated labor rates in calculating the burden costs for both the respondents and the Agency. </w:t>
      </w:r>
    </w:p>
    <w:p w:rsidR="00FC6150" w:rsidRPr="00613597" w:rsidRDefault="00FC6150" w:rsidP="00FC6150">
      <w:pPr>
        <w:pBdr>
          <w:top w:val="single" w:sz="6" w:space="0" w:color="FFFFFF"/>
          <w:left w:val="single" w:sz="6" w:space="0" w:color="FFFFFF"/>
          <w:bottom w:val="single" w:sz="6" w:space="0" w:color="FFFFFF"/>
          <w:right w:val="single" w:sz="6" w:space="0" w:color="FFFFFF"/>
        </w:pBdr>
      </w:pPr>
    </w:p>
    <w:p w:rsidR="003C5C86" w:rsidRDefault="00FC6150" w:rsidP="00A040D1">
      <w:pPr>
        <w:pBdr>
          <w:top w:val="single" w:sz="6" w:space="0" w:color="FFFFFF"/>
          <w:left w:val="single" w:sz="6" w:space="0" w:color="FFFFFF"/>
          <w:bottom w:val="single" w:sz="6" w:space="0" w:color="FFFFFF"/>
          <w:right w:val="single" w:sz="6" w:space="0" w:color="FFFFFF"/>
        </w:pBdr>
        <w:rPr>
          <w:b/>
          <w:bCs/>
          <w:color w:val="000000"/>
        </w:rPr>
      </w:pPr>
      <w:r w:rsidRPr="00613597">
        <w:tab/>
      </w:r>
      <w:r w:rsidR="003C5C86">
        <w:rPr>
          <w:b/>
          <w:bCs/>
          <w:color w:val="000000"/>
        </w:rPr>
        <w:t>6(g)  Burden Statement</w:t>
      </w:r>
    </w:p>
    <w:p w:rsidR="00F3550F" w:rsidRDefault="00F3550F">
      <w:pPr>
        <w:ind w:firstLine="720"/>
        <w:rPr>
          <w:b/>
          <w:bCs/>
          <w:color w:val="000000"/>
        </w:rPr>
      </w:pPr>
    </w:p>
    <w:p w:rsidR="003C5C86" w:rsidRDefault="003C5C86">
      <w:pPr>
        <w:ind w:firstLine="720"/>
        <w:rPr>
          <w:color w:val="000000"/>
        </w:rPr>
      </w:pPr>
      <w:r>
        <w:rPr>
          <w:color w:val="000000"/>
        </w:rPr>
        <w:t>The annual public reporting and recordkeeping burden for this collection of information is estimated to average 1,</w:t>
      </w:r>
      <w:r w:rsidR="005F3F0B">
        <w:rPr>
          <w:color w:val="000000"/>
        </w:rPr>
        <w:t>908</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3C5C86" w:rsidRDefault="003C5C86">
      <w:pPr>
        <w:rPr>
          <w:color w:val="000000"/>
        </w:rPr>
      </w:pPr>
    </w:p>
    <w:p w:rsidR="00850E54" w:rsidRPr="00FB0650" w:rsidRDefault="00850E54" w:rsidP="00850E5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w:t>
      </w:r>
      <w:r>
        <w:rPr>
          <w:color w:val="000000"/>
        </w:rPr>
        <w:lastRenderedPageBreak/>
        <w:t>collection of information unless it displays a valid OMB Control Number.  The OMB Control Numbers for EPA regulations are listed at 40 CFR part 9 and 48 CFR chapter 15.</w:t>
      </w:r>
    </w:p>
    <w:p w:rsidR="00850E54" w:rsidRPr="00354C15" w:rsidRDefault="00850E54" w:rsidP="00850E54"/>
    <w:p w:rsidR="00850E54" w:rsidRDefault="00850E54" w:rsidP="00850E54">
      <w:r w:rsidRPr="00354C15">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541854">
        <w:t>EPA-HQ-</w:t>
      </w:r>
      <w:r>
        <w:t>OECA-</w:t>
      </w:r>
      <w:r w:rsidR="00F6653F">
        <w:t>2011</w:t>
      </w:r>
      <w:r>
        <w:t>-</w:t>
      </w:r>
      <w:r w:rsidR="00F6653F">
        <w:t>0243</w:t>
      </w:r>
      <w:r>
        <w:t>.</w:t>
      </w:r>
      <w:r>
        <w:rPr>
          <w:color w:val="FF0000"/>
        </w:rPr>
        <w:t xml:space="preserve">  </w:t>
      </w:r>
      <w:r w:rsidRPr="00354C15">
        <w:t xml:space="preserve">An electronic version of the public docket is available at </w:t>
      </w:r>
      <w:r w:rsidRPr="00B16BD1">
        <w:rPr>
          <w:u w:val="single"/>
        </w:rPr>
        <w:t>http://www.regulations.gov/</w:t>
      </w:r>
      <w:r>
        <w:t xml:space="preserve"> 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t xml:space="preserve">  </w:t>
      </w:r>
      <w:r w:rsidRPr="00354C15">
        <w:t>When in the system</w:t>
      </w:r>
      <w:r w:rsidRPr="00354C15">
        <w:rPr>
          <w:rStyle w:val="1"/>
        </w:rPr>
        <w:t>, select “search,” then key in the docket ID number identified in this document.</w:t>
      </w:r>
      <w:r>
        <w:rPr>
          <w:rStyle w:val="1"/>
        </w:rPr>
        <w:t xml:space="preserve">  The documents are also </w:t>
      </w:r>
      <w:r w:rsidRPr="00354C15">
        <w:t xml:space="preserve">available for public viewing at the Enforcement and Compliance Docket and </w:t>
      </w:r>
      <w:smartTag w:uri="urn:schemas-microsoft-com:office:smarttags" w:element="PlaceName">
        <w:r w:rsidRPr="00354C15">
          <w:t>Information</w:t>
        </w:r>
      </w:smartTag>
      <w:r w:rsidRPr="00354C15">
        <w:t xml:space="preserve"> </w:t>
      </w:r>
      <w:smartTag w:uri="urn:schemas-microsoft-com:office:smarttags" w:element="PlaceType">
        <w:r w:rsidRPr="00354C15">
          <w:t>Center</w:t>
        </w:r>
      </w:smartTag>
      <w:r w:rsidRPr="00354C15">
        <w:t xml:space="preserve"> in the </w:t>
      </w:r>
      <w:smartTag w:uri="urn:schemas-microsoft-com:office:smarttags" w:element="place">
        <w:smartTag w:uri="urn:schemas-microsoft-com:office:smarttags" w:element="PlaceName">
          <w:r w:rsidRPr="00354C15">
            <w:t>EPA</w:t>
          </w:r>
        </w:smartTag>
        <w:r w:rsidRPr="00354C15">
          <w:t xml:space="preserve"> </w:t>
        </w:r>
        <w:smartTag w:uri="urn:schemas-microsoft-com:office:smarttags" w:element="PlaceName">
          <w:r w:rsidRPr="00354C15">
            <w:t>Docket</w:t>
          </w:r>
        </w:smartTag>
        <w:r w:rsidRPr="00354C15">
          <w:t xml:space="preserve"> </w:t>
        </w:r>
        <w:smartTag w:uri="urn:schemas-microsoft-com:office:smarttags" w:element="PlaceType">
          <w:r w:rsidRPr="00354C15">
            <w:t>Center</w:t>
          </w:r>
        </w:smartTag>
      </w:smartTag>
      <w:r w:rsidRPr="00354C15">
        <w:t xml:space="preserve"> (EPA/DC), </w:t>
      </w:r>
      <w:r w:rsidRPr="000E187E">
        <w:t xml:space="preserve">EPA West, Room </w:t>
      </w:r>
      <w:r>
        <w:t>3334</w:t>
      </w:r>
      <w:r w:rsidRPr="00354C15">
        <w:t xml:space="preserve">, </w:t>
      </w:r>
      <w:smartTag w:uri="urn:schemas-microsoft-com:office:smarttags" w:element="address">
        <w:smartTag w:uri="urn:schemas-microsoft-com:office:smarttags" w:element="Street">
          <w:r w:rsidRPr="00354C15">
            <w:t>1301 Constitution Ave., NW</w:t>
          </w:r>
        </w:smartTag>
        <w:r w:rsidRPr="00354C15">
          <w:t xml:space="preserve">, </w:t>
        </w:r>
        <w:smartTag w:uri="urn:schemas-microsoft-com:office:smarttags" w:element="City">
          <w:r w:rsidRPr="00354C15">
            <w:t>Washington</w:t>
          </w:r>
        </w:smartTag>
        <w:r w:rsidRPr="00354C15">
          <w:t xml:space="preserve">, </w:t>
        </w:r>
        <w:smartTag w:uri="urn:schemas-microsoft-com:office:smarttags" w:element="State">
          <w:r w:rsidRPr="00354C15">
            <w:t>DC</w:t>
          </w:r>
        </w:smartTag>
      </w:smartTag>
      <w:r w:rsidRPr="00354C15">
        <w:t xml:space="preserve">.  The EPA Docket Center Public Reading Room is open from 8:30 a.m. to 4:30 p.m., Monday through Friday, excluding legal holidays.  The telephone number for the Reading Room is (202) 566-1744, and the telephone number </w:t>
      </w:r>
      <w:r>
        <w:t>for the docket center i</w:t>
      </w:r>
      <w:r w:rsidRPr="00354C15">
        <w:t>s (202) 566-</w:t>
      </w:r>
      <w:r>
        <w:t>17</w:t>
      </w:r>
      <w:r w:rsidR="00B16BD1">
        <w:t>52</w:t>
      </w:r>
      <w:r>
        <w:t xml:space="preserve">.  Also, you can send comments to the Office of Information and Regulatory Affairs, Office of Management and Budget, </w:t>
      </w:r>
      <w:smartTag w:uri="urn:schemas-microsoft-com:office:smarttags" w:element="address">
        <w:smartTag w:uri="urn:schemas-microsoft-com:office:smarttags" w:element="Street">
          <w:r>
            <w:t>725 17th Street, NW</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r>
        <w:t>, Attention: Desk Officer for EPA.  Please include the EPA Docket ID Number EPA-HQ-OECA-</w:t>
      </w:r>
      <w:r w:rsidR="00F6653F">
        <w:t>2011</w:t>
      </w:r>
      <w:r>
        <w:t>-</w:t>
      </w:r>
      <w:r w:rsidR="00F6653F">
        <w:t xml:space="preserve">0243 </w:t>
      </w:r>
      <w:r>
        <w:t>and OMB Control Number 2060-0</w:t>
      </w:r>
      <w:r w:rsidR="00541854">
        <w:t>253</w:t>
      </w:r>
      <w:r>
        <w:t xml:space="preserve"> in any correspondence. </w:t>
      </w:r>
    </w:p>
    <w:p w:rsidR="00850E54" w:rsidRDefault="00850E54">
      <w:pPr>
        <w:rPr>
          <w:color w:val="000000"/>
        </w:rPr>
      </w:pPr>
    </w:p>
    <w:p w:rsidR="003C5C86" w:rsidRDefault="003C5C86" w:rsidP="00162811">
      <w:pPr>
        <w:outlineLvl w:val="0"/>
        <w:rPr>
          <w:color w:val="000000"/>
        </w:rPr>
      </w:pPr>
      <w:r>
        <w:rPr>
          <w:b/>
          <w:bCs/>
          <w:color w:val="000000"/>
        </w:rPr>
        <w:t>Part B of the Supporting Statement</w:t>
      </w:r>
    </w:p>
    <w:p w:rsidR="003C5C86" w:rsidRDefault="003C5C86">
      <w:pPr>
        <w:rPr>
          <w:color w:val="000000"/>
        </w:rPr>
      </w:pPr>
    </w:p>
    <w:p w:rsidR="005277D7" w:rsidRDefault="003C5C86">
      <w:pPr>
        <w:ind w:firstLine="720"/>
        <w:rPr>
          <w:color w:val="000000"/>
        </w:rPr>
      </w:pPr>
      <w:r>
        <w:rPr>
          <w:color w:val="000000"/>
        </w:rPr>
        <w:t>This part is not applicable because no statistical methods were used in collecting this information.</w:t>
      </w:r>
    </w:p>
    <w:p w:rsidR="00613ABB" w:rsidRDefault="00613ABB" w:rsidP="005277D7">
      <w:pPr>
        <w:jc w:val="both"/>
        <w:rPr>
          <w:color w:val="000000"/>
        </w:rPr>
      </w:pPr>
    </w:p>
    <w:p w:rsidR="00EE1CED" w:rsidRDefault="00EE1CED" w:rsidP="00EE1CED">
      <w:pPr>
        <w:jc w:val="both"/>
        <w:rPr>
          <w:color w:val="000000"/>
        </w:rPr>
      </w:pPr>
    </w:p>
    <w:p w:rsidR="00EE1CED" w:rsidRDefault="00EE1CED" w:rsidP="00EE1CED">
      <w:pPr>
        <w:jc w:val="both"/>
        <w:rPr>
          <w:color w:val="000000"/>
        </w:rPr>
        <w:sectPr w:rsidR="00EE1CED" w:rsidSect="00AC379C">
          <w:headerReference w:type="even" r:id="rId7"/>
          <w:headerReference w:type="default" r:id="rId8"/>
          <w:footerReference w:type="even" r:id="rId9"/>
          <w:headerReference w:type="first" r:id="rId10"/>
          <w:pgSz w:w="12240" w:h="15840" w:code="1"/>
          <w:pgMar w:top="1440" w:right="1440" w:bottom="1440" w:left="1440" w:header="1008" w:footer="0" w:gutter="0"/>
          <w:pgNumType w:start="1"/>
          <w:cols w:space="720"/>
          <w:noEndnote/>
          <w:titlePg/>
        </w:sectPr>
      </w:pPr>
    </w:p>
    <w:p w:rsidR="00804E0E" w:rsidRDefault="00A01732" w:rsidP="00162811">
      <w:pPr>
        <w:jc w:val="center"/>
        <w:outlineLvl w:val="0"/>
        <w:rPr>
          <w:b/>
        </w:rPr>
      </w:pPr>
      <w:r w:rsidRPr="00C96119">
        <w:rPr>
          <w:b/>
        </w:rPr>
        <w:lastRenderedPageBreak/>
        <w:t>TABLE 1</w:t>
      </w:r>
      <w:r w:rsidR="001F0DAF">
        <w:rPr>
          <w:b/>
        </w:rPr>
        <w:t>:</w:t>
      </w:r>
      <w:r w:rsidRPr="00C96119">
        <w:rPr>
          <w:b/>
        </w:rPr>
        <w:t xml:space="preserve"> Annual Respondent Burden and Cost</w:t>
      </w:r>
      <w:r w:rsidR="005D4652">
        <w:rPr>
          <w:b/>
        </w:rPr>
        <w:t xml:space="preserve"> - </w:t>
      </w:r>
      <w:r w:rsidRPr="00C96119">
        <w:rPr>
          <w:b/>
        </w:rPr>
        <w:t>NESHAP f</w:t>
      </w:r>
      <w:r w:rsidR="00907415">
        <w:rPr>
          <w:b/>
        </w:rPr>
        <w:t>or Coke Oven Batteries</w:t>
      </w:r>
      <w:r w:rsidR="00750A74">
        <w:rPr>
          <w:b/>
        </w:rPr>
        <w:t xml:space="preserve"> </w:t>
      </w:r>
      <w:r w:rsidR="00907415">
        <w:rPr>
          <w:b/>
        </w:rPr>
        <w:t>(40 CFR P</w:t>
      </w:r>
      <w:r w:rsidRPr="00C96119">
        <w:rPr>
          <w:b/>
        </w:rPr>
        <w:t xml:space="preserve">art 63, </w:t>
      </w:r>
      <w:r w:rsidR="00907415">
        <w:rPr>
          <w:b/>
        </w:rPr>
        <w:t>S</w:t>
      </w:r>
      <w:r w:rsidRPr="00C96119">
        <w:rPr>
          <w:b/>
        </w:rPr>
        <w:t>ubpart L)</w:t>
      </w:r>
      <w:r w:rsidR="00CA7C0C">
        <w:rPr>
          <w:b/>
        </w:rPr>
        <w:t xml:space="preserve"> (Renewal)</w:t>
      </w:r>
    </w:p>
    <w:p w:rsidR="00CE1143" w:rsidRDefault="00CE1143" w:rsidP="00162811">
      <w:pPr>
        <w:jc w:val="center"/>
        <w:outlineLvl w:val="0"/>
        <w:rPr>
          <w:b/>
        </w:rPr>
      </w:pPr>
    </w:p>
    <w:tbl>
      <w:tblPr>
        <w:tblW w:w="5061" w:type="pct"/>
        <w:tblLook w:val="04A0"/>
      </w:tblPr>
      <w:tblGrid>
        <w:gridCol w:w="3168"/>
        <w:gridCol w:w="1170"/>
        <w:gridCol w:w="1259"/>
        <w:gridCol w:w="1172"/>
        <w:gridCol w:w="1350"/>
        <w:gridCol w:w="1168"/>
        <w:gridCol w:w="1350"/>
        <w:gridCol w:w="1174"/>
        <w:gridCol w:w="1526"/>
      </w:tblGrid>
      <w:tr w:rsidR="008F37CA" w:rsidRPr="00AD20EC" w:rsidTr="008F37CA">
        <w:trPr>
          <w:trHeight w:val="1406"/>
        </w:trPr>
        <w:tc>
          <w:tcPr>
            <w:tcW w:w="118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Burden item</w:t>
            </w:r>
          </w:p>
        </w:tc>
        <w:tc>
          <w:tcPr>
            <w:tcW w:w="439" w:type="pct"/>
            <w:tcBorders>
              <w:top w:val="single" w:sz="4" w:space="0" w:color="auto"/>
              <w:left w:val="nil"/>
              <w:bottom w:val="single" w:sz="4" w:space="0" w:color="auto"/>
              <w:right w:val="single" w:sz="4" w:space="0" w:color="auto"/>
            </w:tcBorders>
            <w:shd w:val="clear" w:color="auto" w:fill="auto"/>
            <w:hideMark/>
          </w:tcPr>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(A)</w:t>
            </w:r>
          </w:p>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Person-hours per occurrence</w:t>
            </w:r>
          </w:p>
          <w:p w:rsidR="00046105" w:rsidRPr="00AD20EC" w:rsidRDefault="00046105" w:rsidP="00AD20EC">
            <w:pPr>
              <w:rPr>
                <w:b/>
                <w:bCs/>
                <w:color w:val="000000"/>
                <w:sz w:val="20"/>
                <w:szCs w:val="20"/>
              </w:rPr>
            </w:pPr>
            <w:r w:rsidRPr="00AD20EC">
              <w:rPr>
                <w:rFonts w:ascii="Calibri" w:hAnsi="Calibri"/>
                <w:color w:val="000000"/>
                <w:sz w:val="20"/>
                <w:szCs w:val="20"/>
              </w:rPr>
              <w:t> </w:t>
            </w:r>
          </w:p>
        </w:tc>
        <w:tc>
          <w:tcPr>
            <w:tcW w:w="472" w:type="pct"/>
            <w:tcBorders>
              <w:top w:val="single" w:sz="4" w:space="0" w:color="auto"/>
              <w:left w:val="nil"/>
              <w:bottom w:val="single" w:sz="4" w:space="0" w:color="auto"/>
              <w:right w:val="single" w:sz="4" w:space="0" w:color="auto"/>
            </w:tcBorders>
            <w:shd w:val="clear" w:color="auto" w:fill="auto"/>
            <w:hideMark/>
          </w:tcPr>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(B)</w:t>
            </w:r>
          </w:p>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No. of occurrences per respondent</w:t>
            </w:r>
          </w:p>
          <w:p w:rsidR="00046105" w:rsidRPr="00AD20EC" w:rsidRDefault="00046105" w:rsidP="00AD20EC">
            <w:pPr>
              <w:rPr>
                <w:b/>
                <w:bCs/>
                <w:color w:val="000000"/>
                <w:sz w:val="20"/>
                <w:szCs w:val="20"/>
              </w:rPr>
            </w:pPr>
            <w:r w:rsidRPr="00AD20EC">
              <w:rPr>
                <w:rFonts w:ascii="Calibri" w:hAnsi="Calibri"/>
                <w:color w:val="000000"/>
                <w:sz w:val="20"/>
                <w:szCs w:val="20"/>
              </w:rPr>
              <w:t> </w:t>
            </w:r>
          </w:p>
        </w:tc>
        <w:tc>
          <w:tcPr>
            <w:tcW w:w="439" w:type="pct"/>
            <w:tcBorders>
              <w:top w:val="single" w:sz="4" w:space="0" w:color="auto"/>
              <w:left w:val="nil"/>
              <w:bottom w:val="single" w:sz="4" w:space="0" w:color="auto"/>
              <w:right w:val="single" w:sz="4" w:space="0" w:color="auto"/>
            </w:tcBorders>
            <w:shd w:val="clear" w:color="auto" w:fill="auto"/>
            <w:hideMark/>
          </w:tcPr>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(C)</w:t>
            </w:r>
          </w:p>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Person-hours per respondent</w:t>
            </w:r>
          </w:p>
          <w:p w:rsidR="00046105" w:rsidRPr="00AD20EC" w:rsidRDefault="00046105" w:rsidP="00AD20EC">
            <w:pPr>
              <w:jc w:val="center"/>
              <w:rPr>
                <w:b/>
                <w:bCs/>
                <w:color w:val="000000"/>
                <w:sz w:val="20"/>
                <w:szCs w:val="20"/>
              </w:rPr>
            </w:pPr>
            <w:r w:rsidRPr="00AD20EC">
              <w:rPr>
                <w:b/>
                <w:bCs/>
                <w:color w:val="000000"/>
                <w:sz w:val="20"/>
                <w:szCs w:val="20"/>
              </w:rPr>
              <w:t>(C=A*B)</w:t>
            </w:r>
          </w:p>
        </w:tc>
        <w:tc>
          <w:tcPr>
            <w:tcW w:w="506" w:type="pct"/>
            <w:tcBorders>
              <w:top w:val="single" w:sz="4" w:space="0" w:color="auto"/>
              <w:left w:val="nil"/>
              <w:bottom w:val="single" w:sz="4" w:space="0" w:color="auto"/>
              <w:right w:val="single" w:sz="4" w:space="0" w:color="auto"/>
            </w:tcBorders>
            <w:shd w:val="clear" w:color="auto" w:fill="auto"/>
            <w:hideMark/>
          </w:tcPr>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(D)</w:t>
            </w:r>
          </w:p>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 xml:space="preserve">Respondents per year </w:t>
            </w:r>
            <w:r w:rsidRPr="00AD20EC">
              <w:rPr>
                <w:b/>
                <w:bCs/>
                <w:color w:val="000000"/>
                <w:sz w:val="20"/>
                <w:szCs w:val="20"/>
                <w:vertAlign w:val="superscript"/>
              </w:rPr>
              <w:t>a</w:t>
            </w:r>
          </w:p>
          <w:p w:rsidR="00046105" w:rsidRPr="00AD20EC" w:rsidRDefault="00046105" w:rsidP="00AD20EC">
            <w:pPr>
              <w:rPr>
                <w:b/>
                <w:bCs/>
                <w:color w:val="000000"/>
                <w:sz w:val="20"/>
                <w:szCs w:val="20"/>
              </w:rPr>
            </w:pPr>
            <w:r w:rsidRPr="00AD20EC">
              <w:rPr>
                <w:rFonts w:ascii="Calibri" w:hAnsi="Calibri"/>
                <w:color w:val="000000"/>
                <w:sz w:val="20"/>
                <w:szCs w:val="20"/>
              </w:rPr>
              <w:t> </w:t>
            </w:r>
          </w:p>
        </w:tc>
        <w:tc>
          <w:tcPr>
            <w:tcW w:w="438" w:type="pct"/>
            <w:tcBorders>
              <w:top w:val="single" w:sz="4" w:space="0" w:color="auto"/>
              <w:left w:val="nil"/>
              <w:bottom w:val="single" w:sz="4" w:space="0" w:color="auto"/>
              <w:right w:val="single" w:sz="4" w:space="0" w:color="auto"/>
            </w:tcBorders>
            <w:shd w:val="clear" w:color="auto" w:fill="auto"/>
            <w:hideMark/>
          </w:tcPr>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(E)</w:t>
            </w:r>
          </w:p>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Technical person-hours per year</w:t>
            </w:r>
          </w:p>
          <w:p w:rsidR="00046105" w:rsidRPr="00AD20EC" w:rsidRDefault="00046105" w:rsidP="00AD20EC">
            <w:pPr>
              <w:jc w:val="center"/>
              <w:rPr>
                <w:b/>
                <w:bCs/>
                <w:color w:val="000000"/>
                <w:sz w:val="20"/>
                <w:szCs w:val="20"/>
              </w:rPr>
            </w:pPr>
            <w:r w:rsidRPr="00AD20EC">
              <w:rPr>
                <w:b/>
                <w:bCs/>
                <w:color w:val="000000"/>
                <w:sz w:val="20"/>
                <w:szCs w:val="20"/>
              </w:rPr>
              <w:t>(E=C*D)</w:t>
            </w:r>
          </w:p>
        </w:tc>
        <w:tc>
          <w:tcPr>
            <w:tcW w:w="506" w:type="pct"/>
            <w:tcBorders>
              <w:top w:val="single" w:sz="4" w:space="0" w:color="auto"/>
              <w:left w:val="nil"/>
              <w:bottom w:val="single" w:sz="4" w:space="0" w:color="auto"/>
              <w:right w:val="single" w:sz="4" w:space="0" w:color="auto"/>
            </w:tcBorders>
            <w:shd w:val="clear" w:color="auto" w:fill="auto"/>
            <w:hideMark/>
          </w:tcPr>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(F)</w:t>
            </w:r>
          </w:p>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Management person-hours per year</w:t>
            </w:r>
          </w:p>
          <w:p w:rsidR="00046105" w:rsidRPr="00AD20EC" w:rsidRDefault="00046105" w:rsidP="00AD20EC">
            <w:pPr>
              <w:jc w:val="center"/>
              <w:rPr>
                <w:b/>
                <w:bCs/>
                <w:color w:val="000000"/>
                <w:sz w:val="20"/>
                <w:szCs w:val="20"/>
              </w:rPr>
            </w:pPr>
            <w:r w:rsidRPr="00AD20EC">
              <w:rPr>
                <w:b/>
                <w:bCs/>
                <w:color w:val="000000"/>
                <w:sz w:val="20"/>
                <w:szCs w:val="20"/>
              </w:rPr>
              <w:t>(E*0.05)</w:t>
            </w:r>
          </w:p>
        </w:tc>
        <w:tc>
          <w:tcPr>
            <w:tcW w:w="440" w:type="pct"/>
            <w:tcBorders>
              <w:top w:val="single" w:sz="4" w:space="0" w:color="auto"/>
              <w:left w:val="nil"/>
              <w:bottom w:val="single" w:sz="4" w:space="0" w:color="auto"/>
              <w:right w:val="single" w:sz="4" w:space="0" w:color="auto"/>
            </w:tcBorders>
            <w:shd w:val="clear" w:color="auto" w:fill="auto"/>
            <w:hideMark/>
          </w:tcPr>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(G)</w:t>
            </w:r>
          </w:p>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Clerical person-hours per year</w:t>
            </w:r>
          </w:p>
          <w:p w:rsidR="00046105" w:rsidRPr="00AD20EC" w:rsidRDefault="00046105" w:rsidP="00AD20EC">
            <w:pPr>
              <w:jc w:val="center"/>
              <w:rPr>
                <w:b/>
                <w:bCs/>
                <w:color w:val="000000"/>
                <w:sz w:val="20"/>
                <w:szCs w:val="20"/>
              </w:rPr>
            </w:pPr>
            <w:r w:rsidRPr="00AD20EC">
              <w:rPr>
                <w:b/>
                <w:bCs/>
                <w:color w:val="000000"/>
                <w:sz w:val="20"/>
                <w:szCs w:val="20"/>
              </w:rPr>
              <w:t>(E*0.1)</w:t>
            </w:r>
          </w:p>
        </w:tc>
        <w:tc>
          <w:tcPr>
            <w:tcW w:w="572" w:type="pct"/>
            <w:tcBorders>
              <w:top w:val="single" w:sz="4" w:space="0" w:color="auto"/>
              <w:left w:val="nil"/>
              <w:bottom w:val="single" w:sz="4" w:space="0" w:color="auto"/>
              <w:right w:val="single" w:sz="4" w:space="0" w:color="auto"/>
            </w:tcBorders>
            <w:shd w:val="clear" w:color="auto" w:fill="auto"/>
            <w:hideMark/>
          </w:tcPr>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(H)</w:t>
            </w:r>
          </w:p>
          <w:p w:rsidR="00046105" w:rsidRPr="00AD20EC" w:rsidRDefault="00046105" w:rsidP="00AD20EC">
            <w:pPr>
              <w:widowControl/>
              <w:autoSpaceDE/>
              <w:autoSpaceDN/>
              <w:adjustRightInd/>
              <w:jc w:val="center"/>
              <w:rPr>
                <w:b/>
                <w:bCs/>
                <w:color w:val="000000"/>
                <w:sz w:val="20"/>
                <w:szCs w:val="20"/>
              </w:rPr>
            </w:pPr>
            <w:r w:rsidRPr="00AD20EC">
              <w:rPr>
                <w:b/>
                <w:bCs/>
                <w:color w:val="000000"/>
                <w:sz w:val="20"/>
                <w:szCs w:val="20"/>
              </w:rPr>
              <w:t xml:space="preserve">Cost </w:t>
            </w:r>
            <w:r w:rsidRPr="00AD20EC">
              <w:rPr>
                <w:b/>
                <w:bCs/>
                <w:color w:val="000000"/>
                <w:sz w:val="20"/>
                <w:szCs w:val="20"/>
                <w:vertAlign w:val="superscript"/>
              </w:rPr>
              <w:t>b</w:t>
            </w:r>
            <w:r w:rsidRPr="00AD20EC">
              <w:rPr>
                <w:b/>
                <w:bCs/>
                <w:color w:val="000000"/>
                <w:sz w:val="20"/>
                <w:szCs w:val="20"/>
              </w:rPr>
              <w:t xml:space="preserve">, $ </w:t>
            </w:r>
          </w:p>
          <w:p w:rsidR="00046105" w:rsidRPr="00AD20EC" w:rsidRDefault="00046105" w:rsidP="00AD20EC">
            <w:pPr>
              <w:rPr>
                <w:b/>
                <w:bCs/>
                <w:color w:val="000000"/>
                <w:sz w:val="20"/>
                <w:szCs w:val="20"/>
              </w:rPr>
            </w:pPr>
            <w:r w:rsidRPr="00AD20EC">
              <w:rPr>
                <w:rFonts w:ascii="Calibri" w:hAnsi="Calibri"/>
                <w:color w:val="000000"/>
                <w:sz w:val="20"/>
                <w:szCs w:val="20"/>
              </w:rPr>
              <w:t> </w:t>
            </w:r>
          </w:p>
        </w:tc>
      </w:tr>
      <w:tr w:rsidR="008F37CA" w:rsidRPr="00AD20EC" w:rsidTr="008F37CA">
        <w:trPr>
          <w:trHeight w:val="300"/>
        </w:trPr>
        <w:tc>
          <w:tcPr>
            <w:tcW w:w="1188" w:type="pct"/>
            <w:tcBorders>
              <w:top w:val="single" w:sz="4" w:space="0" w:color="auto"/>
              <w:left w:val="single" w:sz="4" w:space="0" w:color="auto"/>
              <w:bottom w:val="single" w:sz="4" w:space="0" w:color="auto"/>
              <w:right w:val="single" w:sz="6"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1.  Applications</w:t>
            </w:r>
          </w:p>
        </w:tc>
        <w:tc>
          <w:tcPr>
            <w:tcW w:w="439" w:type="pct"/>
            <w:tcBorders>
              <w:top w:val="single" w:sz="4" w:space="0" w:color="auto"/>
              <w:left w:val="single" w:sz="6" w:space="0" w:color="auto"/>
              <w:bottom w:val="single" w:sz="4" w:space="0" w:color="auto"/>
              <w:right w:val="single" w:sz="6"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N/A</w:t>
            </w:r>
          </w:p>
        </w:tc>
        <w:tc>
          <w:tcPr>
            <w:tcW w:w="472" w:type="pct"/>
            <w:tcBorders>
              <w:top w:val="single" w:sz="4" w:space="0" w:color="auto"/>
              <w:left w:val="single" w:sz="6" w:space="0" w:color="auto"/>
              <w:bottom w:val="single" w:sz="4" w:space="0" w:color="auto"/>
              <w:right w:val="single" w:sz="6"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single" w:sz="4" w:space="0" w:color="auto"/>
              <w:left w:val="single" w:sz="6" w:space="0" w:color="auto"/>
              <w:bottom w:val="single" w:sz="4" w:space="0" w:color="auto"/>
              <w:right w:val="single" w:sz="6"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single" w:sz="4" w:space="0" w:color="auto"/>
              <w:left w:val="single" w:sz="6" w:space="0" w:color="auto"/>
              <w:bottom w:val="single" w:sz="4" w:space="0" w:color="auto"/>
              <w:right w:val="single" w:sz="6"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single" w:sz="4" w:space="0" w:color="auto"/>
              <w:left w:val="single" w:sz="6" w:space="0" w:color="auto"/>
              <w:bottom w:val="single" w:sz="4" w:space="0" w:color="auto"/>
              <w:right w:val="single" w:sz="6"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p>
        </w:tc>
        <w:tc>
          <w:tcPr>
            <w:tcW w:w="506" w:type="pct"/>
            <w:tcBorders>
              <w:top w:val="single" w:sz="4" w:space="0" w:color="auto"/>
              <w:left w:val="single" w:sz="6" w:space="0" w:color="auto"/>
              <w:bottom w:val="single" w:sz="4" w:space="0" w:color="auto"/>
              <w:right w:val="single" w:sz="6"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p>
        </w:tc>
        <w:tc>
          <w:tcPr>
            <w:tcW w:w="440" w:type="pct"/>
            <w:tcBorders>
              <w:top w:val="single" w:sz="4" w:space="0" w:color="auto"/>
              <w:left w:val="single" w:sz="6" w:space="0" w:color="auto"/>
              <w:bottom w:val="single" w:sz="4" w:space="0" w:color="auto"/>
              <w:right w:val="single" w:sz="6"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p>
        </w:tc>
        <w:tc>
          <w:tcPr>
            <w:tcW w:w="572" w:type="pct"/>
            <w:tcBorders>
              <w:top w:val="single" w:sz="4" w:space="0" w:color="auto"/>
              <w:left w:val="single" w:sz="6" w:space="0" w:color="auto"/>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2.  Surveys and Studies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N/A</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right"/>
              <w:rPr>
                <w:color w:val="000000"/>
                <w:sz w:val="20"/>
                <w:szCs w:val="20"/>
              </w:rPr>
            </w:pPr>
          </w:p>
        </w:tc>
      </w:tr>
      <w:tr w:rsidR="008F37CA" w:rsidRPr="00AD20EC" w:rsidTr="008F37CA">
        <w:trPr>
          <w:trHeight w:val="48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3.  Acquisition, Installation, and Utilization of Technology and Systems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N/A</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4.  Recordkeeping Requirements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A. Read instructions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r w:rsidRPr="00AD20EC">
              <w:rPr>
                <w:color w:val="000000"/>
                <w:sz w:val="20"/>
                <w:szCs w:val="20"/>
              </w:rPr>
              <w:t>8</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r w:rsidRPr="00AD20EC">
              <w:rPr>
                <w:color w:val="000000"/>
                <w:sz w:val="20"/>
                <w:szCs w:val="20"/>
              </w:rPr>
              <w:t>1</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r w:rsidRPr="00AD20EC">
              <w:rPr>
                <w:color w:val="000000"/>
                <w:sz w:val="20"/>
                <w:szCs w:val="20"/>
              </w:rPr>
              <w:t>8</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r w:rsidRPr="00AD20EC">
              <w:rPr>
                <w:color w:val="000000"/>
                <w:sz w:val="20"/>
                <w:szCs w:val="20"/>
              </w:rPr>
              <w:t>19</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r w:rsidRPr="00AD20EC">
              <w:rPr>
                <w:color w:val="000000"/>
                <w:sz w:val="20"/>
                <w:szCs w:val="20"/>
              </w:rPr>
              <w:t>152</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r w:rsidRPr="00AD20EC">
              <w:rPr>
                <w:color w:val="000000"/>
                <w:sz w:val="20"/>
                <w:szCs w:val="20"/>
              </w:rPr>
              <w:t>7.6</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CE1143">
            <w:pPr>
              <w:widowControl/>
              <w:autoSpaceDE/>
              <w:autoSpaceDN/>
              <w:adjustRightInd/>
              <w:jc w:val="center"/>
              <w:rPr>
                <w:color w:val="000000"/>
                <w:sz w:val="20"/>
                <w:szCs w:val="20"/>
              </w:rPr>
            </w:pPr>
            <w:r w:rsidRPr="00AD20EC">
              <w:rPr>
                <w:color w:val="000000"/>
                <w:sz w:val="20"/>
                <w:szCs w:val="20"/>
              </w:rPr>
              <w:t>15.2</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$16,749.18</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B. Plan activities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See 4E</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C.  Create Information</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See 4F</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D.  Gather existing information</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See 4E</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E. Implement activities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ALL PLANTS: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 xml:space="preserve">Daily performance tests/visible observations </w:t>
            </w:r>
            <w:r w:rsidRPr="00AD20EC">
              <w:rPr>
                <w:color w:val="000000"/>
                <w:sz w:val="20"/>
                <w:szCs w:val="20"/>
                <w:vertAlign w:val="superscript"/>
              </w:rPr>
              <w:t>c</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8.25</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365</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3</w:t>
            </w:r>
            <w:r w:rsidR="00BE6C05">
              <w:rPr>
                <w:color w:val="000000"/>
                <w:sz w:val="20"/>
                <w:szCs w:val="20"/>
              </w:rPr>
              <w:t>,</w:t>
            </w:r>
            <w:r w:rsidRPr="00AD20EC">
              <w:rPr>
                <w:color w:val="000000"/>
                <w:sz w:val="20"/>
                <w:szCs w:val="20"/>
              </w:rPr>
              <w:t>011.25</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19</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57,213.75</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2,860.69</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5,721.38</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C7977">
            <w:pPr>
              <w:widowControl/>
              <w:autoSpaceDE/>
              <w:autoSpaceDN/>
              <w:adjustRightInd/>
              <w:jc w:val="right"/>
              <w:rPr>
                <w:color w:val="000000"/>
                <w:sz w:val="20"/>
                <w:szCs w:val="20"/>
              </w:rPr>
            </w:pPr>
            <w:r w:rsidRPr="00AD20EC">
              <w:rPr>
                <w:color w:val="000000"/>
                <w:sz w:val="20"/>
                <w:szCs w:val="20"/>
              </w:rPr>
              <w:t>$6,304,49</w:t>
            </w:r>
            <w:r w:rsidR="00AC7977">
              <w:rPr>
                <w:color w:val="000000"/>
                <w:sz w:val="20"/>
                <w:szCs w:val="20"/>
              </w:rPr>
              <w:t>8</w:t>
            </w:r>
            <w:r w:rsidRPr="00AD20EC">
              <w:rPr>
                <w:color w:val="000000"/>
                <w:sz w:val="20"/>
                <w:szCs w:val="20"/>
              </w:rPr>
              <w:t>.</w:t>
            </w:r>
            <w:r w:rsidR="00AC7977">
              <w:rPr>
                <w:color w:val="000000"/>
                <w:sz w:val="20"/>
                <w:szCs w:val="20"/>
              </w:rPr>
              <w:t>09</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 xml:space="preserve">Certification Program </w:t>
            </w:r>
            <w:r w:rsidRPr="00AD20EC">
              <w:rPr>
                <w:color w:val="000000"/>
                <w:sz w:val="20"/>
                <w:szCs w:val="20"/>
                <w:vertAlign w:val="superscript"/>
              </w:rPr>
              <w:t>d</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24</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24</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19</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456</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22.8</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C7977">
            <w:pPr>
              <w:widowControl/>
              <w:autoSpaceDE/>
              <w:autoSpaceDN/>
              <w:adjustRightInd/>
              <w:jc w:val="center"/>
              <w:rPr>
                <w:color w:val="000000"/>
                <w:sz w:val="20"/>
                <w:szCs w:val="20"/>
              </w:rPr>
            </w:pPr>
            <w:r w:rsidRPr="00AD20EC">
              <w:rPr>
                <w:color w:val="000000"/>
                <w:sz w:val="20"/>
                <w:szCs w:val="20"/>
              </w:rPr>
              <w:t>45.6</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C7977">
            <w:pPr>
              <w:widowControl/>
              <w:autoSpaceDE/>
              <w:autoSpaceDN/>
              <w:adjustRightInd/>
              <w:jc w:val="right"/>
              <w:rPr>
                <w:color w:val="000000"/>
                <w:sz w:val="20"/>
                <w:szCs w:val="20"/>
              </w:rPr>
            </w:pPr>
            <w:r w:rsidRPr="00AD20EC">
              <w:rPr>
                <w:color w:val="000000"/>
                <w:sz w:val="20"/>
                <w:szCs w:val="20"/>
              </w:rPr>
              <w:t>$50,247.5</w:t>
            </w:r>
            <w:r w:rsidR="00AC7977">
              <w:rPr>
                <w:color w:val="000000"/>
                <w:sz w:val="20"/>
                <w:szCs w:val="20"/>
              </w:rPr>
              <w:t>6</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Implement work practice plan</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4</w:t>
            </w:r>
            <w:r w:rsidR="00BA6685">
              <w:rPr>
                <w:color w:val="000000"/>
                <w:sz w:val="20"/>
                <w:szCs w:val="20"/>
              </w:rPr>
              <w:t>0</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40</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19</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760</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38</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76</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$83,745.92</w:t>
            </w:r>
          </w:p>
        </w:tc>
      </w:tr>
      <w:tr w:rsidR="008F37CA" w:rsidRPr="00AD20EC" w:rsidTr="008F37CA">
        <w:trPr>
          <w:trHeight w:val="48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Implement startup, shutdown, and malfunction plan</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40</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40</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19</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760</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38</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76</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$83,745.92</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NON-RECOVERY PLANTS: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 xml:space="preserve">Coke oven doors: daily pressure monitoring </w:t>
            </w:r>
            <w:r w:rsidRPr="00AD20EC">
              <w:rPr>
                <w:color w:val="000000"/>
                <w:sz w:val="20"/>
                <w:szCs w:val="20"/>
                <w:vertAlign w:val="superscript"/>
              </w:rPr>
              <w:t>e</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0.50</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365</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182.5</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547.5</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27.38</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54.75</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985029">
            <w:pPr>
              <w:widowControl/>
              <w:autoSpaceDE/>
              <w:autoSpaceDN/>
              <w:adjustRightInd/>
              <w:jc w:val="right"/>
              <w:rPr>
                <w:color w:val="000000"/>
                <w:sz w:val="20"/>
                <w:szCs w:val="20"/>
              </w:rPr>
            </w:pPr>
            <w:r w:rsidRPr="00AD20EC">
              <w:rPr>
                <w:color w:val="000000"/>
                <w:sz w:val="20"/>
                <w:szCs w:val="20"/>
              </w:rPr>
              <w:t>$60,330.</w:t>
            </w:r>
            <w:r w:rsidR="00985029">
              <w:rPr>
                <w:color w:val="000000"/>
                <w:sz w:val="20"/>
                <w:szCs w:val="20"/>
              </w:rPr>
              <w:t>73</w:t>
            </w:r>
          </w:p>
        </w:tc>
      </w:tr>
      <w:tr w:rsidR="008F37CA" w:rsidRPr="00AD20EC" w:rsidTr="008F37CA">
        <w:trPr>
          <w:trHeight w:val="300"/>
        </w:trPr>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 xml:space="preserve">Coke oven doors: leak detection procedures </w:t>
            </w:r>
            <w:r w:rsidRPr="00AD20EC">
              <w:rPr>
                <w:color w:val="000000"/>
                <w:sz w:val="20"/>
                <w:szCs w:val="20"/>
                <w:vertAlign w:val="superscript"/>
              </w:rPr>
              <w:t>f</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w:t>
            </w:r>
          </w:p>
        </w:tc>
        <w:tc>
          <w:tcPr>
            <w:tcW w:w="4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365</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365</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2</w:t>
            </w:r>
          </w:p>
        </w:tc>
        <w:tc>
          <w:tcPr>
            <w:tcW w:w="438"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730</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36.5</w:t>
            </w:r>
          </w:p>
        </w:tc>
        <w:tc>
          <w:tcPr>
            <w:tcW w:w="440"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73</w:t>
            </w:r>
          </w:p>
        </w:tc>
        <w:tc>
          <w:tcPr>
            <w:tcW w:w="5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$80,440.16</w:t>
            </w:r>
          </w:p>
        </w:tc>
      </w:tr>
      <w:tr w:rsidR="008F37CA" w:rsidRPr="00AD20EC" w:rsidTr="008F37CA">
        <w:trPr>
          <w:trHeight w:val="510"/>
        </w:trPr>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 xml:space="preserve">Charging operations: work practices on the control equipment </w:t>
            </w:r>
            <w:r w:rsidRPr="00AD20EC">
              <w:rPr>
                <w:color w:val="000000"/>
                <w:sz w:val="20"/>
                <w:szCs w:val="20"/>
                <w:vertAlign w:val="superscript"/>
              </w:rPr>
              <w:t>g</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0.5</w:t>
            </w:r>
          </w:p>
        </w:tc>
        <w:tc>
          <w:tcPr>
            <w:tcW w:w="4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365</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182.5</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w:t>
            </w:r>
          </w:p>
        </w:tc>
        <w:tc>
          <w:tcPr>
            <w:tcW w:w="438"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547.5</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27.38</w:t>
            </w:r>
          </w:p>
        </w:tc>
        <w:tc>
          <w:tcPr>
            <w:tcW w:w="440"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54.75</w:t>
            </w:r>
          </w:p>
        </w:tc>
        <w:tc>
          <w:tcPr>
            <w:tcW w:w="5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985029">
            <w:pPr>
              <w:widowControl/>
              <w:autoSpaceDE/>
              <w:autoSpaceDN/>
              <w:adjustRightInd/>
              <w:jc w:val="right"/>
              <w:rPr>
                <w:color w:val="000000"/>
                <w:sz w:val="20"/>
                <w:szCs w:val="20"/>
              </w:rPr>
            </w:pPr>
            <w:r w:rsidRPr="00AD20EC">
              <w:rPr>
                <w:color w:val="000000"/>
                <w:sz w:val="20"/>
                <w:szCs w:val="20"/>
              </w:rPr>
              <w:t>$60,330.</w:t>
            </w:r>
            <w:r w:rsidR="00985029">
              <w:rPr>
                <w:color w:val="000000"/>
                <w:sz w:val="20"/>
                <w:szCs w:val="20"/>
              </w:rPr>
              <w:t>73</w:t>
            </w:r>
          </w:p>
        </w:tc>
      </w:tr>
      <w:tr w:rsidR="008F37CA" w:rsidRPr="00AD20EC" w:rsidTr="008F37CA">
        <w:trPr>
          <w:trHeight w:val="300"/>
        </w:trPr>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lastRenderedPageBreak/>
              <w:t>BY-PRODUCT PLANTS:</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48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Daily inspection of the collecting main for leaks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0.5</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365</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182.5</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17</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BA6685" w:rsidP="00AD20EC">
            <w:pPr>
              <w:widowControl/>
              <w:autoSpaceDE/>
              <w:autoSpaceDN/>
              <w:adjustRightInd/>
              <w:jc w:val="center"/>
              <w:rPr>
                <w:color w:val="000000"/>
                <w:sz w:val="20"/>
                <w:szCs w:val="20"/>
              </w:rPr>
            </w:pPr>
            <w:r>
              <w:rPr>
                <w:color w:val="000000"/>
                <w:sz w:val="20"/>
                <w:szCs w:val="20"/>
              </w:rPr>
              <w:t>3,102.5</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155.13</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310.25</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393B30">
            <w:pPr>
              <w:widowControl/>
              <w:autoSpaceDE/>
              <w:autoSpaceDN/>
              <w:adjustRightInd/>
              <w:jc w:val="right"/>
              <w:rPr>
                <w:color w:val="000000"/>
                <w:sz w:val="20"/>
                <w:szCs w:val="20"/>
              </w:rPr>
            </w:pPr>
            <w:r w:rsidRPr="00AD20EC">
              <w:rPr>
                <w:color w:val="000000"/>
                <w:sz w:val="20"/>
                <w:szCs w:val="20"/>
              </w:rPr>
              <w:t>$341,87</w:t>
            </w:r>
            <w:r w:rsidR="00393B30">
              <w:rPr>
                <w:color w:val="000000"/>
                <w:sz w:val="20"/>
                <w:szCs w:val="20"/>
              </w:rPr>
              <w:t>1</w:t>
            </w:r>
            <w:r w:rsidRPr="00AD20EC">
              <w:rPr>
                <w:color w:val="000000"/>
                <w:sz w:val="20"/>
                <w:szCs w:val="20"/>
              </w:rPr>
              <w:t>.</w:t>
            </w:r>
            <w:r w:rsidR="00393B30">
              <w:rPr>
                <w:color w:val="000000"/>
                <w:sz w:val="20"/>
                <w:szCs w:val="20"/>
              </w:rPr>
              <w:t>2</w:t>
            </w:r>
            <w:r w:rsidRPr="00AD20EC">
              <w:rPr>
                <w:color w:val="000000"/>
                <w:sz w:val="20"/>
                <w:szCs w:val="20"/>
              </w:rPr>
              <w:t>8</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 xml:space="preserve">Inspect bypass/bleeder stack/flare system </w:t>
            </w:r>
            <w:r w:rsidRPr="00AD20EC">
              <w:rPr>
                <w:color w:val="000000"/>
                <w:sz w:val="20"/>
                <w:szCs w:val="20"/>
                <w:vertAlign w:val="superscript"/>
              </w:rPr>
              <w:t>h</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0.5</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365</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182.5</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17</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A6685">
            <w:pPr>
              <w:widowControl/>
              <w:autoSpaceDE/>
              <w:autoSpaceDN/>
              <w:adjustRightInd/>
              <w:jc w:val="center"/>
              <w:rPr>
                <w:color w:val="000000"/>
                <w:sz w:val="20"/>
                <w:szCs w:val="20"/>
              </w:rPr>
            </w:pPr>
            <w:r w:rsidRPr="00AD20EC">
              <w:rPr>
                <w:color w:val="000000"/>
                <w:sz w:val="20"/>
                <w:szCs w:val="20"/>
              </w:rPr>
              <w:t>3,102.5</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155.13</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310.25</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393B30">
            <w:pPr>
              <w:widowControl/>
              <w:autoSpaceDE/>
              <w:autoSpaceDN/>
              <w:adjustRightInd/>
              <w:jc w:val="right"/>
              <w:rPr>
                <w:color w:val="000000"/>
                <w:sz w:val="20"/>
                <w:szCs w:val="20"/>
              </w:rPr>
            </w:pPr>
            <w:r w:rsidRPr="00AD20EC">
              <w:rPr>
                <w:color w:val="000000"/>
                <w:sz w:val="20"/>
                <w:szCs w:val="20"/>
              </w:rPr>
              <w:t>$341,87</w:t>
            </w:r>
            <w:r w:rsidR="00393B30">
              <w:rPr>
                <w:color w:val="000000"/>
                <w:sz w:val="20"/>
                <w:szCs w:val="20"/>
              </w:rPr>
              <w:t>1.2</w:t>
            </w:r>
            <w:r w:rsidRPr="00AD20EC">
              <w:rPr>
                <w:color w:val="000000"/>
                <w:sz w:val="20"/>
                <w:szCs w:val="20"/>
              </w:rPr>
              <w:t>8</w:t>
            </w:r>
          </w:p>
        </w:tc>
      </w:tr>
      <w:tr w:rsidR="008F37CA" w:rsidRPr="00AD20EC" w:rsidTr="008F37CA">
        <w:trPr>
          <w:trHeight w:val="75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 xml:space="preserve">Coke oven doors with sheds complying with the alternative standard: initial and regular performance test and monitoring of opacity </w:t>
            </w:r>
            <w:proofErr w:type="spellStart"/>
            <w:r w:rsidRPr="00AD20EC">
              <w:rPr>
                <w:color w:val="000000"/>
                <w:sz w:val="20"/>
                <w:szCs w:val="20"/>
                <w:vertAlign w:val="superscript"/>
              </w:rPr>
              <w:t>i</w:t>
            </w:r>
            <w:proofErr w:type="spellEnd"/>
            <w:r w:rsidRPr="00AD20EC">
              <w:rPr>
                <w:color w:val="000000"/>
                <w:sz w:val="20"/>
                <w:szCs w:val="20"/>
              </w:rPr>
              <w:t xml:space="preserve"> </w:t>
            </w:r>
          </w:p>
        </w:tc>
        <w:tc>
          <w:tcPr>
            <w:tcW w:w="439" w:type="pct"/>
            <w:tcBorders>
              <w:top w:val="nil"/>
              <w:left w:val="nil"/>
              <w:bottom w:val="single" w:sz="4" w:space="0" w:color="auto"/>
              <w:right w:val="single" w:sz="4" w:space="0" w:color="auto"/>
            </w:tcBorders>
            <w:shd w:val="clear" w:color="auto" w:fill="auto"/>
            <w:noWrap/>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N/A</w:t>
            </w:r>
          </w:p>
        </w:tc>
        <w:tc>
          <w:tcPr>
            <w:tcW w:w="472" w:type="pct"/>
            <w:tcBorders>
              <w:top w:val="nil"/>
              <w:left w:val="nil"/>
              <w:bottom w:val="single" w:sz="4" w:space="0" w:color="auto"/>
              <w:right w:val="single" w:sz="4" w:space="0" w:color="auto"/>
            </w:tcBorders>
            <w:shd w:val="clear" w:color="auto" w:fill="auto"/>
            <w:noWrap/>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noWrap/>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noWrap/>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noWrap/>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noWrap/>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noWrap/>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noWrap/>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48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F.  Record information: all data required by rule</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1.5</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52</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78</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19</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1,482</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74.1</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148.2</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393B30">
            <w:pPr>
              <w:widowControl/>
              <w:autoSpaceDE/>
              <w:autoSpaceDN/>
              <w:adjustRightInd/>
              <w:jc w:val="right"/>
              <w:rPr>
                <w:color w:val="000000"/>
                <w:sz w:val="20"/>
                <w:szCs w:val="20"/>
              </w:rPr>
            </w:pPr>
            <w:r w:rsidRPr="00AD20EC">
              <w:rPr>
                <w:color w:val="000000"/>
                <w:sz w:val="20"/>
                <w:szCs w:val="20"/>
              </w:rPr>
              <w:t>$163,3</w:t>
            </w:r>
            <w:r w:rsidR="00393B30">
              <w:rPr>
                <w:color w:val="000000"/>
                <w:sz w:val="20"/>
                <w:szCs w:val="20"/>
              </w:rPr>
              <w:t>16</w:t>
            </w:r>
            <w:r w:rsidRPr="00AD20EC">
              <w:rPr>
                <w:color w:val="000000"/>
                <w:sz w:val="20"/>
                <w:szCs w:val="20"/>
              </w:rPr>
              <w:t>.</w:t>
            </w:r>
            <w:r w:rsidR="00393B30">
              <w:rPr>
                <w:color w:val="000000"/>
                <w:sz w:val="20"/>
                <w:szCs w:val="20"/>
              </w:rPr>
              <w:t>68</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G.  Time to transmit or disclose information</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19</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38</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393B30">
            <w:pPr>
              <w:widowControl/>
              <w:autoSpaceDE/>
              <w:autoSpaceDN/>
              <w:adjustRightInd/>
              <w:jc w:val="center"/>
              <w:rPr>
                <w:color w:val="000000"/>
                <w:sz w:val="20"/>
                <w:szCs w:val="20"/>
              </w:rPr>
            </w:pPr>
            <w:r w:rsidRPr="00AD20EC">
              <w:rPr>
                <w:color w:val="000000"/>
                <w:sz w:val="20"/>
                <w:szCs w:val="20"/>
              </w:rPr>
              <w:t>1.9</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3.8</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$4,187.30</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H.  Time to train personnel</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32</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32</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19</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608</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30.4</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60.8</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$66,996.74</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I.  Time for audits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N/A</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AD20EC"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b/>
                <w:bCs/>
                <w:color w:val="000000"/>
                <w:sz w:val="20"/>
                <w:szCs w:val="20"/>
              </w:rPr>
            </w:pPr>
            <w:r w:rsidRPr="00AD20EC">
              <w:rPr>
                <w:b/>
                <w:bCs/>
                <w:color w:val="000000"/>
                <w:sz w:val="20"/>
                <w:szCs w:val="20"/>
              </w:rPr>
              <w:t>Subtotal Recordkeeping</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1384" w:type="pct"/>
            <w:gridSpan w:val="3"/>
            <w:tcBorders>
              <w:top w:val="single" w:sz="4" w:space="0" w:color="auto"/>
              <w:left w:val="nil"/>
              <w:bottom w:val="single" w:sz="4" w:space="0" w:color="auto"/>
              <w:right w:val="single" w:sz="4" w:space="0" w:color="auto"/>
            </w:tcBorders>
            <w:shd w:val="clear" w:color="000000" w:fill="FFFFFF" w:themeFill="background1"/>
            <w:vAlign w:val="bottom"/>
            <w:hideMark/>
          </w:tcPr>
          <w:p w:rsidR="00AD20EC" w:rsidRPr="00046105" w:rsidRDefault="00EF58A6" w:rsidP="00AD20EC">
            <w:pPr>
              <w:widowControl/>
              <w:autoSpaceDE/>
              <w:autoSpaceDN/>
              <w:adjustRightInd/>
              <w:jc w:val="center"/>
              <w:rPr>
                <w:b/>
                <w:color w:val="000000"/>
                <w:sz w:val="20"/>
                <w:szCs w:val="20"/>
              </w:rPr>
            </w:pPr>
            <w:r>
              <w:rPr>
                <w:b/>
                <w:color w:val="000000"/>
                <w:sz w:val="20"/>
                <w:szCs w:val="20"/>
              </w:rPr>
              <w:t>79,924.84</w:t>
            </w:r>
          </w:p>
        </w:tc>
        <w:tc>
          <w:tcPr>
            <w:tcW w:w="572" w:type="pct"/>
            <w:tcBorders>
              <w:top w:val="nil"/>
              <w:left w:val="nil"/>
              <w:bottom w:val="single" w:sz="4" w:space="0" w:color="auto"/>
              <w:right w:val="single" w:sz="4" w:space="0" w:color="auto"/>
            </w:tcBorders>
            <w:shd w:val="clear" w:color="000000" w:fill="FFFFFF" w:themeFill="background1"/>
            <w:vAlign w:val="bottom"/>
            <w:hideMark/>
          </w:tcPr>
          <w:p w:rsidR="00AD20EC" w:rsidRPr="00046105" w:rsidRDefault="00AD20EC" w:rsidP="00AD20EC">
            <w:pPr>
              <w:widowControl/>
              <w:autoSpaceDE/>
              <w:autoSpaceDN/>
              <w:adjustRightInd/>
              <w:jc w:val="right"/>
              <w:rPr>
                <w:b/>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5.  Reporting Requirements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A.  Read instructions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See 4A</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B.  Required activities</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See 5B</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C.  Write report</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Notification requirements include:</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 xml:space="preserve">  -  Election of compliance track</w:t>
            </w:r>
            <w:r w:rsidRPr="00AD20EC">
              <w:rPr>
                <w:color w:val="000000"/>
                <w:sz w:val="20"/>
                <w:szCs w:val="20"/>
                <w:vertAlign w:val="superscript"/>
              </w:rPr>
              <w:t xml:space="preserve"> j</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0B4885" w:rsidP="00AD20EC">
            <w:pPr>
              <w:widowControl/>
              <w:autoSpaceDE/>
              <w:autoSpaceDN/>
              <w:adjustRightInd/>
              <w:jc w:val="center"/>
              <w:rPr>
                <w:color w:val="000000"/>
                <w:sz w:val="20"/>
                <w:szCs w:val="20"/>
              </w:rPr>
            </w:pPr>
            <w:r>
              <w:rPr>
                <w:color w:val="000000"/>
                <w:sz w:val="20"/>
                <w:szCs w:val="20"/>
              </w:rPr>
              <w:t>1</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0B4885" w:rsidP="00AD20EC">
            <w:pPr>
              <w:widowControl/>
              <w:autoSpaceDE/>
              <w:autoSpaceDN/>
              <w:adjustRightInd/>
              <w:jc w:val="center"/>
              <w:rPr>
                <w:color w:val="000000"/>
                <w:sz w:val="20"/>
                <w:szCs w:val="20"/>
              </w:rPr>
            </w:pPr>
            <w:r>
              <w:rPr>
                <w:color w:val="000000"/>
                <w:sz w:val="20"/>
                <w:szCs w:val="20"/>
              </w:rPr>
              <w:t>2</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FE571D" w:rsidP="00AD20EC">
            <w:pPr>
              <w:widowControl/>
              <w:autoSpaceDE/>
              <w:autoSpaceDN/>
              <w:adjustRightInd/>
              <w:jc w:val="center"/>
              <w:rPr>
                <w:color w:val="000000"/>
                <w:sz w:val="20"/>
                <w:szCs w:val="20"/>
              </w:rPr>
            </w:pPr>
            <w:r>
              <w:rPr>
                <w:color w:val="000000"/>
                <w:sz w:val="20"/>
                <w:szCs w:val="20"/>
              </w:rPr>
              <w:t>0</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FE571D" w:rsidP="00AD20EC">
            <w:pPr>
              <w:widowControl/>
              <w:autoSpaceDE/>
              <w:autoSpaceDN/>
              <w:adjustRightInd/>
              <w:jc w:val="center"/>
              <w:rPr>
                <w:color w:val="000000"/>
                <w:sz w:val="20"/>
                <w:szCs w:val="20"/>
              </w:rPr>
            </w:pPr>
            <w:r>
              <w:rPr>
                <w:color w:val="000000"/>
                <w:sz w:val="20"/>
                <w:szCs w:val="20"/>
              </w:rPr>
              <w:t>0</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FE571D" w:rsidP="00AD20EC">
            <w:pPr>
              <w:widowControl/>
              <w:autoSpaceDE/>
              <w:autoSpaceDN/>
              <w:adjustRightInd/>
              <w:jc w:val="center"/>
              <w:rPr>
                <w:color w:val="000000"/>
                <w:sz w:val="20"/>
                <w:szCs w:val="20"/>
              </w:rPr>
            </w:pPr>
            <w:r>
              <w:rPr>
                <w:color w:val="000000"/>
                <w:sz w:val="20"/>
                <w:szCs w:val="20"/>
              </w:rPr>
              <w:t>0</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FE571D" w:rsidP="00AD20EC">
            <w:pPr>
              <w:widowControl/>
              <w:autoSpaceDE/>
              <w:autoSpaceDN/>
              <w:adjustRightInd/>
              <w:jc w:val="center"/>
              <w:rPr>
                <w:color w:val="000000"/>
                <w:sz w:val="20"/>
                <w:szCs w:val="20"/>
              </w:rPr>
            </w:pPr>
            <w:r>
              <w:rPr>
                <w:color w:val="000000"/>
                <w:sz w:val="20"/>
                <w:szCs w:val="20"/>
              </w:rPr>
              <w:t>0</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FE571D" w:rsidP="00AD20EC">
            <w:pPr>
              <w:widowControl/>
              <w:autoSpaceDE/>
              <w:autoSpaceDN/>
              <w:adjustRightInd/>
              <w:jc w:val="right"/>
              <w:rPr>
                <w:color w:val="000000"/>
                <w:sz w:val="20"/>
                <w:szCs w:val="20"/>
              </w:rPr>
            </w:pPr>
            <w:r>
              <w:rPr>
                <w:color w:val="000000"/>
                <w:sz w:val="20"/>
                <w:szCs w:val="20"/>
              </w:rPr>
              <w:t>$0</w:t>
            </w:r>
          </w:p>
        </w:tc>
      </w:tr>
      <w:tr w:rsidR="008F37CA" w:rsidRPr="00AD20EC" w:rsidTr="008F37CA">
        <w:trPr>
          <w:trHeight w:val="75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 xml:space="preserve">  - Construct/reconstruct a new battery, a </w:t>
            </w:r>
            <w:proofErr w:type="spellStart"/>
            <w:r w:rsidRPr="00AD20EC">
              <w:rPr>
                <w:color w:val="000000"/>
                <w:sz w:val="20"/>
                <w:szCs w:val="20"/>
              </w:rPr>
              <w:t>brownfield</w:t>
            </w:r>
            <w:proofErr w:type="spellEnd"/>
            <w:r w:rsidRPr="00AD20EC">
              <w:rPr>
                <w:color w:val="000000"/>
                <w:sz w:val="20"/>
                <w:szCs w:val="20"/>
              </w:rPr>
              <w:t xml:space="preserve">         battery, or a </w:t>
            </w:r>
            <w:proofErr w:type="spellStart"/>
            <w:r w:rsidRPr="00AD20EC">
              <w:rPr>
                <w:color w:val="000000"/>
                <w:sz w:val="20"/>
                <w:szCs w:val="20"/>
              </w:rPr>
              <w:t>padup</w:t>
            </w:r>
            <w:proofErr w:type="spellEnd"/>
            <w:r w:rsidRPr="00AD20EC">
              <w:rPr>
                <w:color w:val="000000"/>
                <w:sz w:val="20"/>
                <w:szCs w:val="20"/>
              </w:rPr>
              <w:t xml:space="preserve"> rebuild battery</w:t>
            </w:r>
            <w:r w:rsidRPr="00AD20EC">
              <w:rPr>
                <w:color w:val="000000"/>
                <w:sz w:val="20"/>
                <w:szCs w:val="20"/>
                <w:vertAlign w:val="superscript"/>
              </w:rPr>
              <w:t xml:space="preserve"> k</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0.33</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0.66</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0.03</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0.07</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BD0F8C">
            <w:pPr>
              <w:widowControl/>
              <w:autoSpaceDE/>
              <w:autoSpaceDN/>
              <w:adjustRightInd/>
              <w:jc w:val="right"/>
              <w:rPr>
                <w:color w:val="000000"/>
                <w:sz w:val="20"/>
                <w:szCs w:val="20"/>
              </w:rPr>
            </w:pPr>
            <w:r w:rsidRPr="00AD20EC">
              <w:rPr>
                <w:color w:val="000000"/>
                <w:sz w:val="20"/>
                <w:szCs w:val="20"/>
              </w:rPr>
              <w:t>$72.</w:t>
            </w:r>
            <w:r w:rsidR="00BD0F8C">
              <w:rPr>
                <w:color w:val="000000"/>
                <w:sz w:val="20"/>
                <w:szCs w:val="20"/>
              </w:rPr>
              <w:t>56</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Malfunction notification</w:t>
            </w:r>
            <w:r w:rsidRPr="00AD20EC">
              <w:rPr>
                <w:color w:val="000000"/>
                <w:sz w:val="20"/>
                <w:szCs w:val="20"/>
                <w:vertAlign w:val="superscript"/>
              </w:rPr>
              <w:t xml:space="preserve"> l</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26</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26</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52</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2.6</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5.2</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$5,729.98</w:t>
            </w:r>
          </w:p>
        </w:tc>
      </w:tr>
      <w:tr w:rsidR="008F37CA" w:rsidRPr="00AD20EC" w:rsidTr="008F37CA">
        <w:trPr>
          <w:trHeight w:val="300"/>
        </w:trPr>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Report of plant or battery closure</w:t>
            </w:r>
            <w:r w:rsidRPr="00AD20EC">
              <w:rPr>
                <w:color w:val="000000"/>
                <w:sz w:val="20"/>
                <w:szCs w:val="20"/>
                <w:vertAlign w:val="superscript"/>
              </w:rPr>
              <w:t xml:space="preserve"> m</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w:t>
            </w:r>
          </w:p>
        </w:tc>
        <w:tc>
          <w:tcPr>
            <w:tcW w:w="4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0.33</w:t>
            </w:r>
          </w:p>
        </w:tc>
        <w:tc>
          <w:tcPr>
            <w:tcW w:w="438"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0.66</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0.03</w:t>
            </w:r>
          </w:p>
        </w:tc>
        <w:tc>
          <w:tcPr>
            <w:tcW w:w="440"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0.07</w:t>
            </w:r>
          </w:p>
        </w:tc>
        <w:tc>
          <w:tcPr>
            <w:tcW w:w="5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D0F8C">
            <w:pPr>
              <w:widowControl/>
              <w:autoSpaceDE/>
              <w:autoSpaceDN/>
              <w:adjustRightInd/>
              <w:jc w:val="right"/>
              <w:rPr>
                <w:color w:val="000000"/>
                <w:sz w:val="20"/>
                <w:szCs w:val="20"/>
              </w:rPr>
            </w:pPr>
            <w:r w:rsidRPr="00AD20EC">
              <w:rPr>
                <w:color w:val="000000"/>
                <w:sz w:val="20"/>
                <w:szCs w:val="20"/>
              </w:rPr>
              <w:t>$72.</w:t>
            </w:r>
            <w:r w:rsidR="00BD0F8C">
              <w:rPr>
                <w:color w:val="000000"/>
                <w:sz w:val="20"/>
                <w:szCs w:val="20"/>
              </w:rPr>
              <w:t>56</w:t>
            </w:r>
          </w:p>
        </w:tc>
      </w:tr>
      <w:tr w:rsidR="008F37CA" w:rsidRPr="00AD20EC" w:rsidTr="008F37CA">
        <w:trPr>
          <w:trHeight w:val="510"/>
        </w:trPr>
        <w:tc>
          <w:tcPr>
            <w:tcW w:w="1188"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Report of venting of coke oven gas through a bypass/bleeder stack</w:t>
            </w:r>
            <w:r w:rsidRPr="00AD20EC">
              <w:rPr>
                <w:color w:val="000000"/>
                <w:sz w:val="20"/>
                <w:szCs w:val="20"/>
                <w:vertAlign w:val="superscript"/>
              </w:rPr>
              <w:t xml:space="preserve"> n</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25</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25</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1.6</w:t>
            </w:r>
          </w:p>
        </w:tc>
        <w:tc>
          <w:tcPr>
            <w:tcW w:w="43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40</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2</w:t>
            </w:r>
          </w:p>
        </w:tc>
        <w:tc>
          <w:tcPr>
            <w:tcW w:w="440"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0B4885">
            <w:pPr>
              <w:widowControl/>
              <w:autoSpaceDE/>
              <w:autoSpaceDN/>
              <w:adjustRightInd/>
              <w:jc w:val="center"/>
              <w:rPr>
                <w:color w:val="000000"/>
                <w:sz w:val="20"/>
                <w:szCs w:val="20"/>
              </w:rPr>
            </w:pPr>
            <w:r w:rsidRPr="00AD20EC">
              <w:rPr>
                <w:color w:val="000000"/>
                <w:sz w:val="20"/>
                <w:szCs w:val="20"/>
              </w:rPr>
              <w:t>4</w:t>
            </w:r>
          </w:p>
        </w:tc>
        <w:tc>
          <w:tcPr>
            <w:tcW w:w="5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$4,407.68</w:t>
            </w:r>
          </w:p>
        </w:tc>
      </w:tr>
      <w:tr w:rsidR="008F37CA" w:rsidRPr="00AD20EC" w:rsidTr="008F37CA">
        <w:trPr>
          <w:trHeight w:val="300"/>
        </w:trPr>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t>Initial compliance certification</w:t>
            </w:r>
            <w:r w:rsidRPr="00AD20EC">
              <w:rPr>
                <w:color w:val="000000"/>
                <w:sz w:val="20"/>
                <w:szCs w:val="20"/>
                <w:vertAlign w:val="superscript"/>
              </w:rPr>
              <w:t xml:space="preserve"> o</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E6C05">
            <w:pPr>
              <w:widowControl/>
              <w:autoSpaceDE/>
              <w:autoSpaceDN/>
              <w:adjustRightInd/>
              <w:jc w:val="center"/>
              <w:rPr>
                <w:color w:val="000000"/>
                <w:sz w:val="20"/>
                <w:szCs w:val="20"/>
              </w:rPr>
            </w:pPr>
            <w:r w:rsidRPr="00AD20EC">
              <w:rPr>
                <w:color w:val="000000"/>
                <w:sz w:val="20"/>
                <w:szCs w:val="20"/>
              </w:rPr>
              <w:t>3</w:t>
            </w:r>
          </w:p>
        </w:tc>
        <w:tc>
          <w:tcPr>
            <w:tcW w:w="4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BE6C05" w:rsidP="00AD20EC">
            <w:pPr>
              <w:widowControl/>
              <w:autoSpaceDE/>
              <w:autoSpaceDN/>
              <w:adjustRightInd/>
              <w:jc w:val="center"/>
              <w:rPr>
                <w:color w:val="000000"/>
                <w:sz w:val="20"/>
                <w:szCs w:val="20"/>
              </w:rPr>
            </w:pPr>
            <w:r>
              <w:rPr>
                <w:color w:val="000000"/>
                <w:sz w:val="20"/>
                <w:szCs w:val="20"/>
              </w:rPr>
              <w:t>0</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BE6C05" w:rsidP="00AD20EC">
            <w:pPr>
              <w:widowControl/>
              <w:autoSpaceDE/>
              <w:autoSpaceDN/>
              <w:adjustRightInd/>
              <w:jc w:val="center"/>
              <w:rPr>
                <w:color w:val="000000"/>
                <w:sz w:val="20"/>
                <w:szCs w:val="20"/>
              </w:rPr>
            </w:pPr>
            <w:r>
              <w:rPr>
                <w:color w:val="000000"/>
                <w:sz w:val="20"/>
                <w:szCs w:val="20"/>
              </w:rPr>
              <w:t>0</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38"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440"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EF58A6">
            <w:pPr>
              <w:widowControl/>
              <w:autoSpaceDE/>
              <w:autoSpaceDN/>
              <w:adjustRightInd/>
              <w:jc w:val="right"/>
              <w:rPr>
                <w:color w:val="000000"/>
                <w:sz w:val="20"/>
                <w:szCs w:val="20"/>
              </w:rPr>
            </w:pPr>
            <w:r w:rsidRPr="00AD20EC">
              <w:rPr>
                <w:color w:val="000000"/>
                <w:sz w:val="20"/>
                <w:szCs w:val="20"/>
              </w:rPr>
              <w:t>$0</w:t>
            </w:r>
          </w:p>
        </w:tc>
      </w:tr>
      <w:tr w:rsidR="008F37CA" w:rsidRPr="00AD20EC" w:rsidTr="008F37CA">
        <w:trPr>
          <w:trHeight w:val="300"/>
        </w:trPr>
        <w:tc>
          <w:tcPr>
            <w:tcW w:w="1188" w:type="pct"/>
            <w:tcBorders>
              <w:top w:val="single" w:sz="4" w:space="0" w:color="auto"/>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ind w:firstLineChars="100" w:firstLine="200"/>
              <w:rPr>
                <w:color w:val="000000"/>
                <w:sz w:val="20"/>
                <w:szCs w:val="20"/>
              </w:rPr>
            </w:pPr>
            <w:r w:rsidRPr="00AD20EC">
              <w:rPr>
                <w:color w:val="000000"/>
                <w:sz w:val="20"/>
                <w:szCs w:val="20"/>
              </w:rPr>
              <w:lastRenderedPageBreak/>
              <w:t xml:space="preserve">Semiannual compliance certifications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EF58A6">
            <w:pPr>
              <w:widowControl/>
              <w:autoSpaceDE/>
              <w:autoSpaceDN/>
              <w:adjustRightInd/>
              <w:jc w:val="center"/>
              <w:rPr>
                <w:color w:val="000000"/>
                <w:sz w:val="20"/>
                <w:szCs w:val="20"/>
              </w:rPr>
            </w:pPr>
            <w:r w:rsidRPr="00AD20EC">
              <w:rPr>
                <w:color w:val="000000"/>
                <w:sz w:val="20"/>
                <w:szCs w:val="20"/>
              </w:rPr>
              <w:t>2</w:t>
            </w:r>
          </w:p>
        </w:tc>
        <w:tc>
          <w:tcPr>
            <w:tcW w:w="4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EF58A6">
            <w:pPr>
              <w:widowControl/>
              <w:autoSpaceDE/>
              <w:autoSpaceDN/>
              <w:adjustRightInd/>
              <w:jc w:val="center"/>
              <w:rPr>
                <w:color w:val="000000"/>
                <w:sz w:val="20"/>
                <w:szCs w:val="20"/>
              </w:rPr>
            </w:pPr>
            <w:r w:rsidRPr="00AD20EC">
              <w:rPr>
                <w:color w:val="000000"/>
                <w:sz w:val="20"/>
                <w:szCs w:val="20"/>
              </w:rPr>
              <w:t>2</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EF58A6">
            <w:pPr>
              <w:widowControl/>
              <w:autoSpaceDE/>
              <w:autoSpaceDN/>
              <w:adjustRightInd/>
              <w:jc w:val="center"/>
              <w:rPr>
                <w:color w:val="000000"/>
                <w:sz w:val="20"/>
                <w:szCs w:val="20"/>
              </w:rPr>
            </w:pPr>
            <w:r w:rsidRPr="00AD20EC">
              <w:rPr>
                <w:color w:val="000000"/>
                <w:sz w:val="20"/>
                <w:szCs w:val="20"/>
              </w:rPr>
              <w:t>4</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D0F8C">
            <w:pPr>
              <w:widowControl/>
              <w:autoSpaceDE/>
              <w:autoSpaceDN/>
              <w:adjustRightInd/>
              <w:jc w:val="center"/>
              <w:rPr>
                <w:color w:val="000000"/>
                <w:sz w:val="20"/>
                <w:szCs w:val="20"/>
              </w:rPr>
            </w:pPr>
            <w:r w:rsidRPr="00AD20EC">
              <w:rPr>
                <w:color w:val="000000"/>
                <w:sz w:val="20"/>
                <w:szCs w:val="20"/>
              </w:rPr>
              <w:t>19</w:t>
            </w:r>
          </w:p>
        </w:tc>
        <w:tc>
          <w:tcPr>
            <w:tcW w:w="438"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D0F8C">
            <w:pPr>
              <w:widowControl/>
              <w:autoSpaceDE/>
              <w:autoSpaceDN/>
              <w:adjustRightInd/>
              <w:jc w:val="center"/>
              <w:rPr>
                <w:color w:val="000000"/>
                <w:sz w:val="20"/>
                <w:szCs w:val="20"/>
              </w:rPr>
            </w:pPr>
            <w:r w:rsidRPr="00AD20EC">
              <w:rPr>
                <w:color w:val="000000"/>
                <w:sz w:val="20"/>
                <w:szCs w:val="20"/>
              </w:rPr>
              <w:t>76</w:t>
            </w:r>
          </w:p>
        </w:tc>
        <w:tc>
          <w:tcPr>
            <w:tcW w:w="50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D0F8C">
            <w:pPr>
              <w:widowControl/>
              <w:autoSpaceDE/>
              <w:autoSpaceDN/>
              <w:adjustRightInd/>
              <w:jc w:val="center"/>
              <w:rPr>
                <w:color w:val="000000"/>
                <w:sz w:val="20"/>
                <w:szCs w:val="20"/>
              </w:rPr>
            </w:pPr>
            <w:r w:rsidRPr="00AD20EC">
              <w:rPr>
                <w:color w:val="000000"/>
                <w:sz w:val="20"/>
                <w:szCs w:val="20"/>
              </w:rPr>
              <w:t>3.8</w:t>
            </w:r>
          </w:p>
        </w:tc>
        <w:tc>
          <w:tcPr>
            <w:tcW w:w="440"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BD0F8C">
            <w:pPr>
              <w:widowControl/>
              <w:autoSpaceDE/>
              <w:autoSpaceDN/>
              <w:adjustRightInd/>
              <w:jc w:val="center"/>
              <w:rPr>
                <w:color w:val="000000"/>
                <w:sz w:val="20"/>
                <w:szCs w:val="20"/>
              </w:rPr>
            </w:pPr>
            <w:r w:rsidRPr="00AD20EC">
              <w:rPr>
                <w:color w:val="000000"/>
                <w:sz w:val="20"/>
                <w:szCs w:val="20"/>
              </w:rPr>
              <w:t>7.6</w:t>
            </w:r>
          </w:p>
        </w:tc>
        <w:tc>
          <w:tcPr>
            <w:tcW w:w="57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F0275D">
            <w:pPr>
              <w:widowControl/>
              <w:autoSpaceDE/>
              <w:autoSpaceDN/>
              <w:adjustRightInd/>
              <w:jc w:val="right"/>
              <w:rPr>
                <w:color w:val="000000"/>
                <w:sz w:val="20"/>
                <w:szCs w:val="20"/>
              </w:rPr>
            </w:pPr>
            <w:r w:rsidRPr="00AD20EC">
              <w:rPr>
                <w:color w:val="000000"/>
                <w:sz w:val="20"/>
                <w:szCs w:val="20"/>
              </w:rPr>
              <w:t>$8,374.</w:t>
            </w:r>
            <w:r w:rsidR="00F0275D">
              <w:rPr>
                <w:color w:val="000000"/>
                <w:sz w:val="20"/>
                <w:szCs w:val="20"/>
              </w:rPr>
              <w:t>60</w:t>
            </w: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F0275D" w:rsidRPr="00AD20EC" w:rsidRDefault="00F0275D" w:rsidP="00F0275D">
            <w:pPr>
              <w:widowControl/>
              <w:autoSpaceDE/>
              <w:autoSpaceDN/>
              <w:adjustRightInd/>
              <w:ind w:firstLineChars="100" w:firstLine="201"/>
              <w:rPr>
                <w:color w:val="000000"/>
                <w:sz w:val="20"/>
                <w:szCs w:val="20"/>
              </w:rPr>
            </w:pPr>
            <w:r w:rsidRPr="00AD20EC">
              <w:rPr>
                <w:b/>
                <w:bCs/>
                <w:color w:val="000000"/>
                <w:sz w:val="20"/>
                <w:szCs w:val="20"/>
              </w:rPr>
              <w:t>Subtotal Reporting</w:t>
            </w:r>
          </w:p>
        </w:tc>
        <w:tc>
          <w:tcPr>
            <w:tcW w:w="439" w:type="pct"/>
            <w:tcBorders>
              <w:top w:val="nil"/>
              <w:left w:val="nil"/>
              <w:bottom w:val="single" w:sz="4" w:space="0" w:color="auto"/>
              <w:right w:val="single" w:sz="4" w:space="0" w:color="auto"/>
            </w:tcBorders>
            <w:shd w:val="clear" w:color="auto" w:fill="auto"/>
            <w:vAlign w:val="bottom"/>
            <w:hideMark/>
          </w:tcPr>
          <w:p w:rsidR="00F0275D" w:rsidRPr="00AD20EC" w:rsidRDefault="00F0275D" w:rsidP="00EF58A6">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F0275D" w:rsidRPr="00AD20EC" w:rsidRDefault="00F0275D" w:rsidP="00EF58A6">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F0275D" w:rsidRPr="00AD20EC" w:rsidRDefault="00F0275D" w:rsidP="00EF58A6">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F0275D" w:rsidRPr="00AD20EC" w:rsidRDefault="00F0275D" w:rsidP="00BD0F8C">
            <w:pPr>
              <w:widowControl/>
              <w:autoSpaceDE/>
              <w:autoSpaceDN/>
              <w:adjustRightInd/>
              <w:jc w:val="center"/>
              <w:rPr>
                <w:color w:val="000000"/>
                <w:sz w:val="20"/>
                <w:szCs w:val="20"/>
              </w:rPr>
            </w:pPr>
          </w:p>
        </w:tc>
        <w:tc>
          <w:tcPr>
            <w:tcW w:w="438" w:type="pct"/>
            <w:tcBorders>
              <w:top w:val="single" w:sz="4" w:space="0" w:color="auto"/>
              <w:left w:val="nil"/>
              <w:bottom w:val="single" w:sz="4" w:space="0" w:color="auto"/>
            </w:tcBorders>
            <w:shd w:val="clear" w:color="auto" w:fill="auto"/>
            <w:vAlign w:val="bottom"/>
            <w:hideMark/>
          </w:tcPr>
          <w:p w:rsidR="00F0275D" w:rsidRPr="00AD20EC" w:rsidRDefault="00F0275D" w:rsidP="00BD0F8C">
            <w:pPr>
              <w:widowControl/>
              <w:autoSpaceDE/>
              <w:autoSpaceDN/>
              <w:adjustRightInd/>
              <w:jc w:val="center"/>
              <w:rPr>
                <w:color w:val="000000"/>
                <w:sz w:val="20"/>
                <w:szCs w:val="20"/>
              </w:rPr>
            </w:pPr>
          </w:p>
        </w:tc>
        <w:tc>
          <w:tcPr>
            <w:tcW w:w="506" w:type="pct"/>
            <w:tcBorders>
              <w:top w:val="single" w:sz="4" w:space="0" w:color="auto"/>
              <w:bottom w:val="single" w:sz="4" w:space="0" w:color="auto"/>
            </w:tcBorders>
            <w:shd w:val="clear" w:color="auto" w:fill="auto"/>
            <w:vAlign w:val="bottom"/>
            <w:hideMark/>
          </w:tcPr>
          <w:p w:rsidR="00F0275D" w:rsidRPr="00853371" w:rsidRDefault="00853371" w:rsidP="00791A0E">
            <w:pPr>
              <w:widowControl/>
              <w:autoSpaceDE/>
              <w:autoSpaceDN/>
              <w:adjustRightInd/>
              <w:jc w:val="center"/>
              <w:rPr>
                <w:b/>
                <w:color w:val="000000"/>
                <w:sz w:val="20"/>
                <w:szCs w:val="20"/>
              </w:rPr>
            </w:pPr>
            <w:r w:rsidRPr="00853371">
              <w:rPr>
                <w:b/>
                <w:color w:val="000000"/>
                <w:sz w:val="20"/>
                <w:szCs w:val="20"/>
              </w:rPr>
              <w:t>19</w:t>
            </w:r>
            <w:r w:rsidR="00791A0E">
              <w:rPr>
                <w:b/>
                <w:color w:val="000000"/>
                <w:sz w:val="20"/>
                <w:szCs w:val="20"/>
              </w:rPr>
              <w:t>4.72</w:t>
            </w:r>
          </w:p>
        </w:tc>
        <w:tc>
          <w:tcPr>
            <w:tcW w:w="440" w:type="pct"/>
            <w:tcBorders>
              <w:top w:val="single" w:sz="4" w:space="0" w:color="auto"/>
              <w:bottom w:val="single" w:sz="4" w:space="0" w:color="auto"/>
              <w:right w:val="single" w:sz="4" w:space="0" w:color="auto"/>
            </w:tcBorders>
            <w:shd w:val="clear" w:color="auto" w:fill="auto"/>
            <w:vAlign w:val="bottom"/>
            <w:hideMark/>
          </w:tcPr>
          <w:p w:rsidR="00F0275D" w:rsidRPr="00AD20EC" w:rsidRDefault="00F0275D" w:rsidP="00BD0F8C">
            <w:pPr>
              <w:widowControl/>
              <w:autoSpaceDE/>
              <w:autoSpaceDN/>
              <w:adjustRightInd/>
              <w:jc w:val="center"/>
              <w:rPr>
                <w:color w:val="000000"/>
                <w:sz w:val="20"/>
                <w:szCs w:val="20"/>
              </w:rPr>
            </w:pPr>
          </w:p>
        </w:tc>
        <w:tc>
          <w:tcPr>
            <w:tcW w:w="572" w:type="pct"/>
            <w:tcBorders>
              <w:top w:val="nil"/>
              <w:left w:val="nil"/>
              <w:bottom w:val="single" w:sz="4" w:space="0" w:color="auto"/>
              <w:right w:val="single" w:sz="4" w:space="0" w:color="auto"/>
            </w:tcBorders>
            <w:shd w:val="clear" w:color="auto" w:fill="auto"/>
            <w:vAlign w:val="bottom"/>
            <w:hideMark/>
          </w:tcPr>
          <w:p w:rsidR="00F0275D" w:rsidRPr="00AD20EC" w:rsidRDefault="00F0275D" w:rsidP="00F0275D">
            <w:pPr>
              <w:widowControl/>
              <w:autoSpaceDE/>
              <w:autoSpaceDN/>
              <w:adjustRightInd/>
              <w:jc w:val="right"/>
              <w:rPr>
                <w:color w:val="000000"/>
                <w:sz w:val="20"/>
                <w:szCs w:val="20"/>
              </w:rPr>
            </w:pPr>
          </w:p>
        </w:tc>
      </w:tr>
      <w:tr w:rsidR="008F37CA"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F0275D" w:rsidRPr="008F37CA" w:rsidRDefault="008F37CA" w:rsidP="008F37CA">
            <w:pPr>
              <w:widowControl/>
              <w:autoSpaceDE/>
              <w:autoSpaceDN/>
              <w:adjustRightInd/>
              <w:rPr>
                <w:b/>
                <w:color w:val="000000"/>
                <w:sz w:val="20"/>
                <w:szCs w:val="20"/>
              </w:rPr>
            </w:pPr>
            <w:r w:rsidRPr="008F37CA">
              <w:rPr>
                <w:b/>
                <w:color w:val="000000"/>
                <w:sz w:val="20"/>
                <w:szCs w:val="20"/>
              </w:rPr>
              <w:t>Subtotals Labor Burden and Cost</w:t>
            </w:r>
          </w:p>
        </w:tc>
        <w:tc>
          <w:tcPr>
            <w:tcW w:w="439" w:type="pct"/>
            <w:tcBorders>
              <w:top w:val="nil"/>
              <w:left w:val="nil"/>
              <w:bottom w:val="single" w:sz="4" w:space="0" w:color="auto"/>
              <w:right w:val="single" w:sz="4" w:space="0" w:color="auto"/>
            </w:tcBorders>
            <w:shd w:val="clear" w:color="auto" w:fill="auto"/>
            <w:vAlign w:val="bottom"/>
            <w:hideMark/>
          </w:tcPr>
          <w:p w:rsidR="00F0275D" w:rsidRPr="00AD20EC" w:rsidRDefault="00F0275D" w:rsidP="00EF58A6">
            <w:pPr>
              <w:widowControl/>
              <w:autoSpaceDE/>
              <w:autoSpaceDN/>
              <w:adjustRightInd/>
              <w:jc w:val="center"/>
              <w:rPr>
                <w:color w:val="000000"/>
                <w:sz w:val="20"/>
                <w:szCs w:val="20"/>
              </w:rPr>
            </w:pPr>
          </w:p>
        </w:tc>
        <w:tc>
          <w:tcPr>
            <w:tcW w:w="472" w:type="pct"/>
            <w:tcBorders>
              <w:top w:val="nil"/>
              <w:left w:val="nil"/>
              <w:bottom w:val="single" w:sz="4" w:space="0" w:color="auto"/>
              <w:right w:val="single" w:sz="4" w:space="0" w:color="auto"/>
            </w:tcBorders>
            <w:shd w:val="clear" w:color="auto" w:fill="auto"/>
            <w:vAlign w:val="bottom"/>
            <w:hideMark/>
          </w:tcPr>
          <w:p w:rsidR="00F0275D" w:rsidRPr="00AD20EC" w:rsidRDefault="00F0275D" w:rsidP="00EF58A6">
            <w:pPr>
              <w:widowControl/>
              <w:autoSpaceDE/>
              <w:autoSpaceDN/>
              <w:adjustRightInd/>
              <w:jc w:val="center"/>
              <w:rPr>
                <w:color w:val="000000"/>
                <w:sz w:val="20"/>
                <w:szCs w:val="20"/>
              </w:rPr>
            </w:pPr>
          </w:p>
        </w:tc>
        <w:tc>
          <w:tcPr>
            <w:tcW w:w="439" w:type="pct"/>
            <w:tcBorders>
              <w:top w:val="nil"/>
              <w:left w:val="nil"/>
              <w:bottom w:val="single" w:sz="4" w:space="0" w:color="auto"/>
              <w:right w:val="single" w:sz="4" w:space="0" w:color="auto"/>
            </w:tcBorders>
            <w:shd w:val="clear" w:color="auto" w:fill="auto"/>
            <w:vAlign w:val="bottom"/>
            <w:hideMark/>
          </w:tcPr>
          <w:p w:rsidR="00F0275D" w:rsidRPr="00AD20EC" w:rsidRDefault="00F0275D" w:rsidP="00EF58A6">
            <w:pPr>
              <w:widowControl/>
              <w:autoSpaceDE/>
              <w:autoSpaceDN/>
              <w:adjustRightInd/>
              <w:jc w:val="center"/>
              <w:rPr>
                <w:color w:val="000000"/>
                <w:sz w:val="20"/>
                <w:szCs w:val="20"/>
              </w:rPr>
            </w:pPr>
          </w:p>
        </w:tc>
        <w:tc>
          <w:tcPr>
            <w:tcW w:w="506" w:type="pct"/>
            <w:tcBorders>
              <w:top w:val="nil"/>
              <w:left w:val="nil"/>
              <w:bottom w:val="single" w:sz="4" w:space="0" w:color="auto"/>
              <w:right w:val="single" w:sz="4" w:space="0" w:color="auto"/>
            </w:tcBorders>
            <w:shd w:val="clear" w:color="auto" w:fill="auto"/>
            <w:vAlign w:val="bottom"/>
            <w:hideMark/>
          </w:tcPr>
          <w:p w:rsidR="00F0275D" w:rsidRPr="00AD20EC" w:rsidRDefault="00F0275D" w:rsidP="00BD0F8C">
            <w:pPr>
              <w:widowControl/>
              <w:autoSpaceDE/>
              <w:autoSpaceDN/>
              <w:adjustRightInd/>
              <w:jc w:val="center"/>
              <w:rPr>
                <w:color w:val="000000"/>
                <w:sz w:val="20"/>
                <w:szCs w:val="20"/>
              </w:rPr>
            </w:pPr>
          </w:p>
        </w:tc>
        <w:tc>
          <w:tcPr>
            <w:tcW w:w="438" w:type="pct"/>
            <w:tcBorders>
              <w:top w:val="nil"/>
              <w:left w:val="nil"/>
              <w:bottom w:val="single" w:sz="4" w:space="0" w:color="auto"/>
              <w:right w:val="single" w:sz="4" w:space="0" w:color="auto"/>
            </w:tcBorders>
            <w:shd w:val="clear" w:color="auto" w:fill="auto"/>
            <w:vAlign w:val="bottom"/>
            <w:hideMark/>
          </w:tcPr>
          <w:p w:rsidR="00F0275D" w:rsidRPr="00D92942" w:rsidRDefault="00D92942" w:rsidP="00BD0F8C">
            <w:pPr>
              <w:widowControl/>
              <w:autoSpaceDE/>
              <w:autoSpaceDN/>
              <w:adjustRightInd/>
              <w:jc w:val="center"/>
              <w:rPr>
                <w:b/>
                <w:color w:val="000000"/>
                <w:sz w:val="20"/>
                <w:szCs w:val="20"/>
              </w:rPr>
            </w:pPr>
            <w:r w:rsidRPr="00D92942">
              <w:rPr>
                <w:b/>
                <w:color w:val="000000"/>
                <w:sz w:val="20"/>
                <w:szCs w:val="20"/>
              </w:rPr>
              <w:t>69,669.07</w:t>
            </w:r>
          </w:p>
        </w:tc>
        <w:tc>
          <w:tcPr>
            <w:tcW w:w="506" w:type="pct"/>
            <w:tcBorders>
              <w:top w:val="nil"/>
              <w:left w:val="nil"/>
              <w:bottom w:val="single" w:sz="4" w:space="0" w:color="auto"/>
              <w:right w:val="single" w:sz="4" w:space="0" w:color="auto"/>
            </w:tcBorders>
            <w:shd w:val="clear" w:color="auto" w:fill="auto"/>
            <w:vAlign w:val="bottom"/>
            <w:hideMark/>
          </w:tcPr>
          <w:p w:rsidR="00F0275D" w:rsidRPr="00D92942" w:rsidRDefault="00D92942" w:rsidP="00BD0F8C">
            <w:pPr>
              <w:widowControl/>
              <w:autoSpaceDE/>
              <w:autoSpaceDN/>
              <w:adjustRightInd/>
              <w:jc w:val="center"/>
              <w:rPr>
                <w:b/>
                <w:color w:val="000000"/>
                <w:sz w:val="20"/>
                <w:szCs w:val="20"/>
              </w:rPr>
            </w:pPr>
            <w:r w:rsidRPr="00D92942">
              <w:rPr>
                <w:b/>
                <w:color w:val="000000"/>
                <w:sz w:val="20"/>
                <w:szCs w:val="20"/>
              </w:rPr>
              <w:t>3,483.57</w:t>
            </w:r>
          </w:p>
        </w:tc>
        <w:tc>
          <w:tcPr>
            <w:tcW w:w="440" w:type="pct"/>
            <w:tcBorders>
              <w:top w:val="nil"/>
              <w:left w:val="nil"/>
              <w:bottom w:val="single" w:sz="4" w:space="0" w:color="auto"/>
              <w:right w:val="single" w:sz="4" w:space="0" w:color="auto"/>
            </w:tcBorders>
            <w:shd w:val="clear" w:color="auto" w:fill="auto"/>
            <w:vAlign w:val="bottom"/>
            <w:hideMark/>
          </w:tcPr>
          <w:p w:rsidR="00F0275D" w:rsidRPr="00D92942" w:rsidRDefault="00D92942" w:rsidP="00BD0F8C">
            <w:pPr>
              <w:widowControl/>
              <w:autoSpaceDE/>
              <w:autoSpaceDN/>
              <w:adjustRightInd/>
              <w:jc w:val="center"/>
              <w:rPr>
                <w:b/>
                <w:color w:val="000000"/>
                <w:sz w:val="20"/>
                <w:szCs w:val="20"/>
              </w:rPr>
            </w:pPr>
            <w:r w:rsidRPr="00D92942">
              <w:rPr>
                <w:b/>
                <w:color w:val="000000"/>
                <w:sz w:val="20"/>
                <w:szCs w:val="20"/>
              </w:rPr>
              <w:t>6,966.92</w:t>
            </w:r>
          </w:p>
        </w:tc>
        <w:tc>
          <w:tcPr>
            <w:tcW w:w="572" w:type="pct"/>
            <w:tcBorders>
              <w:top w:val="nil"/>
              <w:left w:val="nil"/>
              <w:bottom w:val="single" w:sz="4" w:space="0" w:color="auto"/>
              <w:right w:val="single" w:sz="4" w:space="0" w:color="auto"/>
            </w:tcBorders>
            <w:shd w:val="clear" w:color="auto" w:fill="auto"/>
            <w:vAlign w:val="bottom"/>
            <w:hideMark/>
          </w:tcPr>
          <w:p w:rsidR="00F0275D" w:rsidRPr="00D92942" w:rsidRDefault="008F37CA" w:rsidP="00F0275D">
            <w:pPr>
              <w:widowControl/>
              <w:autoSpaceDE/>
              <w:autoSpaceDN/>
              <w:adjustRightInd/>
              <w:jc w:val="right"/>
              <w:rPr>
                <w:b/>
                <w:color w:val="000000"/>
                <w:sz w:val="20"/>
                <w:szCs w:val="20"/>
              </w:rPr>
            </w:pPr>
            <w:r w:rsidRPr="00D92942">
              <w:rPr>
                <w:b/>
                <w:color w:val="000000"/>
                <w:sz w:val="20"/>
                <w:szCs w:val="20"/>
              </w:rPr>
              <w:t>$7,676,988.95</w:t>
            </w:r>
          </w:p>
        </w:tc>
      </w:tr>
      <w:tr w:rsidR="00AD20EC" w:rsidRPr="00AD20EC" w:rsidTr="008F37CA">
        <w:trPr>
          <w:trHeight w:val="300"/>
        </w:trPr>
        <w:tc>
          <w:tcPr>
            <w:tcW w:w="1188" w:type="pct"/>
            <w:tcBorders>
              <w:top w:val="nil"/>
              <w:left w:val="single" w:sz="4" w:space="0" w:color="auto"/>
              <w:bottom w:val="single" w:sz="4" w:space="0" w:color="auto"/>
              <w:right w:val="single" w:sz="4" w:space="0" w:color="auto"/>
            </w:tcBorders>
            <w:shd w:val="clear" w:color="auto" w:fill="auto"/>
            <w:hideMark/>
          </w:tcPr>
          <w:p w:rsidR="00D92942" w:rsidRDefault="008F37CA" w:rsidP="00D92942">
            <w:pPr>
              <w:widowControl/>
              <w:autoSpaceDE/>
              <w:autoSpaceDN/>
              <w:adjustRightInd/>
              <w:rPr>
                <w:b/>
                <w:bCs/>
                <w:color w:val="000000"/>
                <w:sz w:val="20"/>
                <w:szCs w:val="20"/>
              </w:rPr>
            </w:pPr>
            <w:r w:rsidRPr="00AD20EC">
              <w:rPr>
                <w:b/>
                <w:bCs/>
                <w:color w:val="000000"/>
                <w:sz w:val="20"/>
                <w:szCs w:val="20"/>
              </w:rPr>
              <w:t>TOTAL LABOR BURDEN AND</w:t>
            </w:r>
          </w:p>
          <w:p w:rsidR="00AD20EC" w:rsidRPr="00AD20EC" w:rsidRDefault="00D92942" w:rsidP="00D92942">
            <w:pPr>
              <w:widowControl/>
              <w:autoSpaceDE/>
              <w:autoSpaceDN/>
              <w:adjustRightInd/>
              <w:rPr>
                <w:b/>
                <w:bCs/>
                <w:color w:val="000000"/>
                <w:sz w:val="20"/>
                <w:szCs w:val="20"/>
              </w:rPr>
            </w:pPr>
            <w:r>
              <w:rPr>
                <w:b/>
                <w:bCs/>
                <w:color w:val="000000"/>
                <w:sz w:val="20"/>
                <w:szCs w:val="20"/>
              </w:rPr>
              <w:t>COST (rounded)</w:t>
            </w:r>
            <w:r w:rsidR="008F37CA" w:rsidRPr="00AD20EC">
              <w:rPr>
                <w:b/>
                <w:bCs/>
                <w:color w:val="000000"/>
                <w:sz w:val="20"/>
                <w:szCs w:val="20"/>
              </w:rPr>
              <w:t xml:space="preserve"> </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 </w:t>
            </w:r>
          </w:p>
        </w:tc>
        <w:tc>
          <w:tcPr>
            <w:tcW w:w="47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 </w:t>
            </w:r>
          </w:p>
        </w:tc>
        <w:tc>
          <w:tcPr>
            <w:tcW w:w="4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 </w:t>
            </w:r>
          </w:p>
        </w:tc>
        <w:tc>
          <w:tcPr>
            <w:tcW w:w="50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 </w:t>
            </w:r>
          </w:p>
        </w:tc>
        <w:tc>
          <w:tcPr>
            <w:tcW w:w="1384" w:type="pct"/>
            <w:gridSpan w:val="3"/>
            <w:tcBorders>
              <w:top w:val="single" w:sz="4" w:space="0" w:color="auto"/>
              <w:left w:val="nil"/>
              <w:bottom w:val="single" w:sz="4" w:space="0" w:color="auto"/>
              <w:right w:val="single" w:sz="4" w:space="0" w:color="auto"/>
            </w:tcBorders>
            <w:shd w:val="clear" w:color="000000" w:fill="FFFFFF" w:themeFill="background1"/>
            <w:vAlign w:val="bottom"/>
            <w:hideMark/>
          </w:tcPr>
          <w:p w:rsidR="00AD20EC" w:rsidRDefault="00D92942" w:rsidP="00AD20EC">
            <w:pPr>
              <w:widowControl/>
              <w:autoSpaceDE/>
              <w:autoSpaceDN/>
              <w:adjustRightInd/>
              <w:jc w:val="center"/>
              <w:rPr>
                <w:b/>
                <w:color w:val="000000"/>
                <w:sz w:val="20"/>
                <w:szCs w:val="20"/>
              </w:rPr>
            </w:pPr>
            <w:r>
              <w:rPr>
                <w:b/>
                <w:color w:val="000000"/>
                <w:sz w:val="20"/>
                <w:szCs w:val="20"/>
              </w:rPr>
              <w:t>80,119.56</w:t>
            </w:r>
          </w:p>
          <w:p w:rsidR="00D92942" w:rsidRPr="00046105" w:rsidRDefault="00D92942" w:rsidP="00AD20EC">
            <w:pPr>
              <w:widowControl/>
              <w:autoSpaceDE/>
              <w:autoSpaceDN/>
              <w:adjustRightInd/>
              <w:jc w:val="center"/>
              <w:rPr>
                <w:b/>
                <w:color w:val="000000"/>
                <w:sz w:val="20"/>
                <w:szCs w:val="20"/>
              </w:rPr>
            </w:pPr>
            <w:r>
              <w:rPr>
                <w:b/>
                <w:color w:val="000000"/>
                <w:sz w:val="20"/>
                <w:szCs w:val="20"/>
              </w:rPr>
              <w:t>80,120 (rounded)</w:t>
            </w:r>
          </w:p>
        </w:tc>
        <w:tc>
          <w:tcPr>
            <w:tcW w:w="572" w:type="pct"/>
            <w:tcBorders>
              <w:top w:val="nil"/>
              <w:left w:val="nil"/>
              <w:bottom w:val="single" w:sz="4" w:space="0" w:color="auto"/>
              <w:right w:val="single" w:sz="4" w:space="0" w:color="auto"/>
            </w:tcBorders>
            <w:shd w:val="clear" w:color="000000" w:fill="FFFFFF" w:themeFill="background1"/>
            <w:vAlign w:val="bottom"/>
            <w:hideMark/>
          </w:tcPr>
          <w:p w:rsidR="00AD20EC" w:rsidRPr="00046105" w:rsidRDefault="008F37CA" w:rsidP="00D92942">
            <w:pPr>
              <w:widowControl/>
              <w:autoSpaceDE/>
              <w:autoSpaceDN/>
              <w:adjustRightInd/>
              <w:jc w:val="right"/>
              <w:rPr>
                <w:b/>
                <w:color w:val="000000"/>
                <w:sz w:val="20"/>
                <w:szCs w:val="20"/>
              </w:rPr>
            </w:pPr>
            <w:r w:rsidRPr="00046105">
              <w:rPr>
                <w:b/>
                <w:color w:val="000000"/>
                <w:sz w:val="20"/>
                <w:szCs w:val="20"/>
              </w:rPr>
              <w:t>$7,676,9</w:t>
            </w:r>
            <w:r w:rsidR="00D92942">
              <w:rPr>
                <w:b/>
                <w:color w:val="000000"/>
                <w:sz w:val="20"/>
                <w:szCs w:val="20"/>
              </w:rPr>
              <w:t>89</w:t>
            </w:r>
          </w:p>
        </w:tc>
      </w:tr>
    </w:tbl>
    <w:p w:rsidR="00A06C19" w:rsidRDefault="00A06C19" w:rsidP="00750A74">
      <w:pPr>
        <w:jc w:val="center"/>
        <w:rPr>
          <w:b/>
        </w:rPr>
      </w:pPr>
    </w:p>
    <w:p w:rsidR="009F0045" w:rsidRDefault="00CC0145" w:rsidP="00162811">
      <w:pPr>
        <w:widowControl/>
        <w:outlineLvl w:val="0"/>
      </w:pPr>
      <w:r>
        <w:rPr>
          <w:b/>
          <w:bCs/>
        </w:rPr>
        <w:t>Assumptions</w:t>
      </w:r>
      <w:r w:rsidR="009F0045">
        <w:rPr>
          <w:b/>
          <w:bCs/>
        </w:rPr>
        <w:t>:</w:t>
      </w:r>
    </w:p>
    <w:p w:rsidR="009F0045" w:rsidRDefault="009F0045" w:rsidP="009F0045">
      <w:pPr>
        <w:widowControl/>
      </w:pPr>
      <w:proofErr w:type="spellStart"/>
      <w:r>
        <w:rPr>
          <w:vertAlign w:val="superscript"/>
        </w:rPr>
        <w:t>a</w:t>
      </w:r>
      <w:proofErr w:type="spellEnd"/>
      <w:r>
        <w:t xml:space="preserve">  There are 19 respondents that are currently owners or operators of new or existing byproduct or non-recovery coke oven batteries subject to 40 </w:t>
      </w:r>
      <w:smartTag w:uri="urn:schemas-microsoft-com:office:smarttags" w:element="stockticker">
        <w:r>
          <w:t>CFR</w:t>
        </w:r>
      </w:smartTag>
      <w:r w:rsidR="009009B7">
        <w:t xml:space="preserve"> p</w:t>
      </w:r>
      <w:r>
        <w:t>art 63, subpart L.</w:t>
      </w:r>
      <w:r w:rsidR="0093727F">
        <w:t xml:space="preserve"> </w:t>
      </w:r>
      <w:r>
        <w:t xml:space="preserve"> As of March 2005, these 19 coke plants were operating 55 coke oven batteries (affected facilities); 44 are by</w:t>
      </w:r>
      <w:r>
        <w:noBreakHyphen/>
        <w:t xml:space="preserve">product batteries operated at 16 plants, and 11 are </w:t>
      </w:r>
      <w:proofErr w:type="spellStart"/>
      <w:r>
        <w:t>non</w:t>
      </w:r>
      <w:r>
        <w:noBreakHyphen/>
        <w:t>recovery</w:t>
      </w:r>
      <w:proofErr w:type="spellEnd"/>
      <w:r>
        <w:t xml:space="preserve"> batteries operated at three plants.  No additional respondents (new sources) are expected over the next three years.</w:t>
      </w:r>
    </w:p>
    <w:p w:rsidR="009F0045" w:rsidRDefault="009F0045" w:rsidP="009F0045">
      <w:pPr>
        <w:widowControl/>
      </w:pPr>
      <w:r>
        <w:rPr>
          <w:vertAlign w:val="superscript"/>
        </w:rPr>
        <w:t xml:space="preserve">b  </w:t>
      </w:r>
      <w:r>
        <w:t>This ICR uses the following labor rates: $</w:t>
      </w:r>
      <w:r w:rsidR="002812C4">
        <w:t>1</w:t>
      </w:r>
      <w:r w:rsidR="00CA6FAF">
        <w:t>21</w:t>
      </w:r>
      <w:r w:rsidR="002812C4">
        <w:t>.</w:t>
      </w:r>
      <w:r w:rsidR="00CA6FAF">
        <w:t>4</w:t>
      </w:r>
      <w:r w:rsidR="002812C4">
        <w:t>2</w:t>
      </w:r>
      <w:r>
        <w:t xml:space="preserve"> for managerial labor, $</w:t>
      </w:r>
      <w:r w:rsidR="00CA6FAF">
        <w:t>99.14</w:t>
      </w:r>
      <w:r>
        <w:t xml:space="preserve"> for technical labor, and $</w:t>
      </w:r>
      <w:r w:rsidR="002812C4">
        <w:t>4</w:t>
      </w:r>
      <w:r w:rsidR="00CA6FAF">
        <w:t>9.81</w:t>
      </w:r>
      <w:r>
        <w:t xml:space="preserve"> for clerical labor.  These rates are from the United States Department of Labor, Bureau of Labor Statistics, </w:t>
      </w:r>
      <w:r w:rsidR="002812C4">
        <w:t>September 2011</w:t>
      </w:r>
      <w:r>
        <w:t xml:space="preserve">, </w:t>
      </w:r>
      <w:r w:rsidR="00CA7C0C">
        <w:t>“</w:t>
      </w:r>
      <w:r>
        <w:t xml:space="preserve">Table 2. Civilian Workers, by </w:t>
      </w:r>
      <w:r w:rsidR="00CA7C0C">
        <w:t>O</w:t>
      </w:r>
      <w:r>
        <w:t xml:space="preserve">ccupational and </w:t>
      </w:r>
      <w:r w:rsidR="00CA7C0C">
        <w:t>I</w:t>
      </w:r>
      <w:r>
        <w:t>ndustry group.</w:t>
      </w:r>
      <w:r w:rsidR="00CA7C0C">
        <w:t>”</w:t>
      </w:r>
      <w:r>
        <w:t xml:space="preserve">  The rates are from column 1, </w:t>
      </w:r>
      <w:r w:rsidR="00CA7C0C">
        <w:t>“</w:t>
      </w:r>
      <w:r>
        <w:t xml:space="preserve">Total </w:t>
      </w:r>
      <w:r w:rsidR="00CA7C0C">
        <w:t>C</w:t>
      </w:r>
      <w:r>
        <w:t>ompensation.</w:t>
      </w:r>
      <w:r w:rsidR="00CA7C0C">
        <w:t>”</w:t>
      </w:r>
      <w:r>
        <w:t xml:space="preserve">  The r</w:t>
      </w:r>
      <w:r w:rsidR="0093727F">
        <w:t>ates reflect an increase of 110 percent</w:t>
      </w:r>
      <w:r>
        <w:t xml:space="preserve"> to account for overhead costs.</w:t>
      </w:r>
    </w:p>
    <w:p w:rsidR="009F0045" w:rsidRDefault="009F0045" w:rsidP="009F0045">
      <w:pPr>
        <w:widowControl/>
      </w:pPr>
      <w:r>
        <w:rPr>
          <w:vertAlign w:val="superscript"/>
        </w:rPr>
        <w:t>c</w:t>
      </w:r>
      <w:r>
        <w:t xml:space="preserve">  Daily performance tests are conducted by a certified observer provided by the State enforcement agency for each emission point on each battery.  Respondents</w:t>
      </w:r>
      <w:r w:rsidR="00CE0860">
        <w:t xml:space="preserve"> </w:t>
      </w:r>
      <w:r>
        <w:t xml:space="preserve">reimburse States through permit fees.  Based on an average of 3 coke ovens batteries per plant, the total person hours for inspections is estimated at 8.25 hours using the cost formula for calculating reimbursement costs included in the rule. </w:t>
      </w:r>
    </w:p>
    <w:p w:rsidR="009F0045" w:rsidRDefault="009F0045" w:rsidP="009F0045">
      <w:pPr>
        <w:widowControl/>
      </w:pPr>
      <w:r>
        <w:rPr>
          <w:vertAlign w:val="superscript"/>
        </w:rPr>
        <w:t>d</w:t>
      </w:r>
      <w:r>
        <w:t xml:space="preserve">  This burden includes the indirect costs to respondents to provide certification to the observer provided by the State enforcement agency or its contractor including a 3-day EPA certification course.</w:t>
      </w:r>
    </w:p>
    <w:p w:rsidR="009F0045" w:rsidRDefault="009F0045" w:rsidP="009F0045">
      <w:pPr>
        <w:widowControl/>
      </w:pPr>
      <w:r>
        <w:rPr>
          <w:vertAlign w:val="superscript"/>
        </w:rPr>
        <w:t xml:space="preserve">e  </w:t>
      </w:r>
      <w:r>
        <w:t>The owners or operators of three existing non-recovery plants are required to either conduct leak detection procedures or monitor oven pressure each day.  The plants have elected to monitor pressure.</w:t>
      </w:r>
    </w:p>
    <w:p w:rsidR="009F0045" w:rsidRDefault="009F0045" w:rsidP="009F0045">
      <w:pPr>
        <w:widowControl/>
      </w:pPr>
      <w:r>
        <w:rPr>
          <w:vertAlign w:val="superscript"/>
        </w:rPr>
        <w:t xml:space="preserve">f </w:t>
      </w:r>
      <w:r w:rsidR="00D511F6">
        <w:rPr>
          <w:vertAlign w:val="superscript"/>
        </w:rPr>
        <w:t xml:space="preserve"> </w:t>
      </w:r>
      <w:r>
        <w:t xml:space="preserve">The promulgated rule amendments (70 </w:t>
      </w:r>
      <w:r>
        <w:rPr>
          <w:u w:val="single"/>
        </w:rPr>
        <w:t>FR</w:t>
      </w:r>
      <w:r>
        <w:t xml:space="preserve"> 19992, </w:t>
      </w:r>
      <w:smartTag w:uri="urn:schemas-microsoft-com:office:smarttags" w:element="date">
        <w:smartTagPr>
          <w:attr w:name="Year" w:val="2005"/>
          <w:attr w:name="Day" w:val="15"/>
          <w:attr w:name="Month" w:val="4"/>
          <w:attr w:name="ls" w:val="trans"/>
        </w:smartTagPr>
        <w:r>
          <w:t>April 15, 2005</w:t>
        </w:r>
      </w:smartTag>
      <w:r>
        <w:t xml:space="preserve">) require visible emission observations of doors for two non-recovery plants that are not on the LAER extension track. </w:t>
      </w:r>
    </w:p>
    <w:p w:rsidR="009F0045" w:rsidRDefault="009F0045" w:rsidP="009F0045">
      <w:pPr>
        <w:widowControl/>
      </w:pPr>
      <w:r>
        <w:rPr>
          <w:vertAlign w:val="superscript"/>
        </w:rPr>
        <w:t>g</w:t>
      </w:r>
      <w:r>
        <w:t xml:space="preserve"> The owners or operators of three existing non-recovery plants are required to implement specified work practices for the control of emissions from charging operations and to document the performance of each procedure.</w:t>
      </w:r>
    </w:p>
    <w:p w:rsidR="009F0045" w:rsidRDefault="009F0045" w:rsidP="009F0045">
      <w:pPr>
        <w:widowControl/>
      </w:pPr>
      <w:r>
        <w:rPr>
          <w:vertAlign w:val="superscript"/>
        </w:rPr>
        <w:t>h</w:t>
      </w:r>
      <w:r>
        <w:t xml:space="preserve"> All 17 of the by-product coke plants must install and maintain flares.</w:t>
      </w:r>
    </w:p>
    <w:p w:rsidR="009F0045" w:rsidRDefault="009F0045" w:rsidP="009F0045">
      <w:pPr>
        <w:widowControl/>
      </w:pPr>
      <w:r>
        <w:rPr>
          <w:vertAlign w:val="superscript"/>
        </w:rPr>
        <w:t>i</w:t>
      </w:r>
      <w:r>
        <w:t xml:space="preserve"> </w:t>
      </w:r>
      <w:r w:rsidR="00D511F6">
        <w:t xml:space="preserve"> </w:t>
      </w:r>
      <w:r>
        <w:t>None of the plants with cokeside sheds have applied for the alternative door standard.</w:t>
      </w:r>
      <w:r w:rsidR="00CE0860">
        <w:t xml:space="preserve"> </w:t>
      </w:r>
      <w:r>
        <w:t xml:space="preserve"> </w:t>
      </w:r>
    </w:p>
    <w:p w:rsidR="009F0045" w:rsidRDefault="009F0045" w:rsidP="009F0045">
      <w:pPr>
        <w:widowControl/>
      </w:pPr>
      <w:r>
        <w:rPr>
          <w:vertAlign w:val="superscript"/>
        </w:rPr>
        <w:t>j</w:t>
      </w:r>
      <w:r>
        <w:t xml:space="preserve"> </w:t>
      </w:r>
      <w:r w:rsidR="00D511F6">
        <w:t xml:space="preserve"> </w:t>
      </w:r>
      <w:r>
        <w:t xml:space="preserve">All sources have submitted this notification (the deadline was </w:t>
      </w:r>
      <w:smartTag w:uri="urn:schemas-microsoft-com:office:smarttags" w:element="date">
        <w:smartTagPr>
          <w:attr w:name="Year" w:val="1998"/>
          <w:attr w:name="Day" w:val="1"/>
          <w:attr w:name="Month" w:val="1"/>
          <w:attr w:name="ls" w:val="trans"/>
        </w:smartTagPr>
        <w:r>
          <w:t>January 1, 1998</w:t>
        </w:r>
      </w:smartTag>
      <w:r>
        <w:t xml:space="preserve">). </w:t>
      </w:r>
    </w:p>
    <w:p w:rsidR="009F0045" w:rsidRDefault="009F0045" w:rsidP="009F0045">
      <w:pPr>
        <w:widowControl/>
      </w:pPr>
      <w:r>
        <w:rPr>
          <w:vertAlign w:val="superscript"/>
        </w:rPr>
        <w:t>k</w:t>
      </w:r>
      <w:r>
        <w:t xml:space="preserve">  Assume that one plant would submit a notification to reconstruct a battery over the 3-year period.</w:t>
      </w:r>
      <w:r w:rsidR="00CE0860">
        <w:t xml:space="preserve"> </w:t>
      </w:r>
    </w:p>
    <w:p w:rsidR="009F0045" w:rsidRDefault="009F0045" w:rsidP="009F0045">
      <w:pPr>
        <w:widowControl/>
      </w:pPr>
      <w:r>
        <w:rPr>
          <w:vertAlign w:val="superscript"/>
        </w:rPr>
        <w:t>l</w:t>
      </w:r>
      <w:r>
        <w:t xml:space="preserve">  Assume that one plant per year may experience a malfunction requiring notification to inform the Agency and a written report.</w:t>
      </w:r>
    </w:p>
    <w:p w:rsidR="009F0045" w:rsidRDefault="00D511F6" w:rsidP="009F0045">
      <w:pPr>
        <w:widowControl/>
      </w:pPr>
      <w:r>
        <w:rPr>
          <w:vertAlign w:val="superscript"/>
        </w:rPr>
        <w:lastRenderedPageBreak/>
        <w:t>m</w:t>
      </w:r>
      <w:r>
        <w:t xml:space="preserve"> Assume that one plant over a three-year period is expected to permanently close one or more batteries and submit the required notification.</w:t>
      </w:r>
    </w:p>
    <w:p w:rsidR="009F0045" w:rsidRDefault="009F0045" w:rsidP="009F0045">
      <w:pPr>
        <w:widowControl/>
      </w:pPr>
      <w:r>
        <w:rPr>
          <w:vertAlign w:val="superscript"/>
        </w:rPr>
        <w:t>n</w:t>
      </w:r>
      <w:r>
        <w:t xml:space="preserve">  Ten percent of the 16 by-product plants (1.6) are expected to experience a venting episode where emissions are released through bypass/bleeder stacks without flaring requiring notification and a written report.</w:t>
      </w:r>
    </w:p>
    <w:p w:rsidR="009F0045" w:rsidRDefault="009F0045" w:rsidP="009F0045">
      <w:pPr>
        <w:widowControl/>
      </w:pPr>
      <w:r>
        <w:rPr>
          <w:vertAlign w:val="superscript"/>
        </w:rPr>
        <w:t>o</w:t>
      </w:r>
      <w:r>
        <w:t xml:space="preserve">  All of the existing plants have already submitted initial compliance certifications.</w:t>
      </w:r>
    </w:p>
    <w:p w:rsidR="009F0045" w:rsidRDefault="009F0045" w:rsidP="008A1B88">
      <w:pPr>
        <w:widowControl/>
        <w:outlineLvl w:val="0"/>
        <w:rPr>
          <w:b/>
          <w:bCs/>
          <w:color w:val="000000"/>
        </w:rPr>
      </w:pPr>
      <w:r>
        <w:rPr>
          <w:b/>
          <w:bCs/>
        </w:rPr>
        <w:br w:type="page"/>
      </w:r>
      <w:r>
        <w:rPr>
          <w:b/>
          <w:bCs/>
        </w:rPr>
        <w:lastRenderedPageBreak/>
        <w:t>TABLE 2</w:t>
      </w:r>
      <w:r w:rsidR="001F0DAF">
        <w:rPr>
          <w:b/>
          <w:bCs/>
        </w:rPr>
        <w:t>:</w:t>
      </w:r>
      <w:r>
        <w:rPr>
          <w:b/>
          <w:bCs/>
        </w:rPr>
        <w:t xml:space="preserve">  </w:t>
      </w:r>
      <w:r w:rsidR="005D4652">
        <w:rPr>
          <w:b/>
          <w:bCs/>
        </w:rPr>
        <w:t xml:space="preserve">Average </w:t>
      </w:r>
      <w:r w:rsidR="00D55AF8">
        <w:rPr>
          <w:b/>
          <w:bCs/>
          <w:color w:val="000000"/>
        </w:rPr>
        <w:t xml:space="preserve">Annual </w:t>
      </w:r>
      <w:r w:rsidR="005D4652">
        <w:rPr>
          <w:b/>
          <w:bCs/>
          <w:color w:val="000000"/>
        </w:rPr>
        <w:t xml:space="preserve">EPA </w:t>
      </w:r>
      <w:r w:rsidR="00D55AF8">
        <w:rPr>
          <w:b/>
          <w:bCs/>
          <w:color w:val="000000"/>
        </w:rPr>
        <w:t>Burden and Cost</w:t>
      </w:r>
      <w:r w:rsidR="005D4652">
        <w:rPr>
          <w:b/>
          <w:bCs/>
          <w:color w:val="000000"/>
        </w:rPr>
        <w:t xml:space="preserve"> - </w:t>
      </w:r>
      <w:r w:rsidR="00D55AF8">
        <w:rPr>
          <w:b/>
          <w:bCs/>
          <w:color w:val="000000"/>
        </w:rPr>
        <w:t>NESHAP for Coke Oven Batteries</w:t>
      </w:r>
      <w:r w:rsidR="001F0DAF">
        <w:rPr>
          <w:b/>
          <w:bCs/>
          <w:color w:val="000000"/>
        </w:rPr>
        <w:t xml:space="preserve"> </w:t>
      </w:r>
      <w:r w:rsidR="008F208D">
        <w:rPr>
          <w:b/>
          <w:bCs/>
          <w:color w:val="000000"/>
        </w:rPr>
        <w:t>(40 CFR Part 63, S</w:t>
      </w:r>
      <w:r w:rsidR="008A1B88">
        <w:rPr>
          <w:b/>
          <w:bCs/>
          <w:color w:val="000000"/>
        </w:rPr>
        <w:t xml:space="preserve">ubpart L </w:t>
      </w:r>
      <w:r w:rsidR="00CA7C0C">
        <w:rPr>
          <w:b/>
          <w:bCs/>
          <w:color w:val="000000"/>
        </w:rPr>
        <w:t>(Renewal)</w:t>
      </w:r>
    </w:p>
    <w:p w:rsidR="008A1B88" w:rsidRDefault="008A1B88" w:rsidP="001F0DAF">
      <w:pPr>
        <w:widowControl/>
        <w:jc w:val="center"/>
        <w:outlineLvl w:val="0"/>
        <w:rPr>
          <w:b/>
          <w:bCs/>
          <w:color w:val="000000"/>
        </w:rPr>
      </w:pPr>
    </w:p>
    <w:tbl>
      <w:tblPr>
        <w:tblW w:w="4822" w:type="pct"/>
        <w:tblLook w:val="04A0"/>
      </w:tblPr>
      <w:tblGrid>
        <w:gridCol w:w="2312"/>
        <w:gridCol w:w="1393"/>
        <w:gridCol w:w="1357"/>
        <w:gridCol w:w="1304"/>
        <w:gridCol w:w="1464"/>
        <w:gridCol w:w="1571"/>
        <w:gridCol w:w="1624"/>
        <w:gridCol w:w="1682"/>
      </w:tblGrid>
      <w:tr w:rsidR="00AD20EC" w:rsidRPr="00AD20EC" w:rsidTr="00504B9E">
        <w:trPr>
          <w:cantSplit/>
          <w:trHeight w:val="1198"/>
        </w:trPr>
        <w:tc>
          <w:tcPr>
            <w:tcW w:w="910" w:type="pct"/>
            <w:vMerge w:val="restart"/>
            <w:tcBorders>
              <w:top w:val="single" w:sz="4" w:space="0" w:color="auto"/>
              <w:left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Burden Item</w:t>
            </w:r>
          </w:p>
        </w:tc>
        <w:tc>
          <w:tcPr>
            <w:tcW w:w="548" w:type="pct"/>
            <w:tcBorders>
              <w:top w:val="single" w:sz="4" w:space="0" w:color="auto"/>
              <w:left w:val="nil"/>
              <w:right w:val="single" w:sz="4" w:space="0" w:color="auto"/>
            </w:tcBorders>
            <w:shd w:val="clear" w:color="auto" w:fill="auto"/>
            <w:hideMark/>
          </w:tcPr>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(A)</w:t>
            </w:r>
          </w:p>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Person hours per occurrence</w:t>
            </w:r>
          </w:p>
          <w:p w:rsidR="00AD20EC" w:rsidRPr="00AD20EC" w:rsidRDefault="00AD20EC" w:rsidP="00AD20EC">
            <w:pPr>
              <w:rPr>
                <w:b/>
                <w:bCs/>
                <w:color w:val="000000"/>
                <w:sz w:val="20"/>
                <w:szCs w:val="20"/>
              </w:rPr>
            </w:pPr>
            <w:r w:rsidRPr="00AD20EC">
              <w:rPr>
                <w:rFonts w:ascii="Calibri" w:hAnsi="Calibri"/>
                <w:color w:val="000000"/>
                <w:sz w:val="20"/>
                <w:szCs w:val="20"/>
              </w:rPr>
              <w:t> </w:t>
            </w:r>
          </w:p>
        </w:tc>
        <w:tc>
          <w:tcPr>
            <w:tcW w:w="534" w:type="pct"/>
            <w:tcBorders>
              <w:top w:val="single" w:sz="4" w:space="0" w:color="auto"/>
              <w:left w:val="nil"/>
              <w:right w:val="single" w:sz="4" w:space="0" w:color="auto"/>
            </w:tcBorders>
            <w:shd w:val="clear" w:color="auto" w:fill="auto"/>
            <w:hideMark/>
          </w:tcPr>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(B)</w:t>
            </w:r>
          </w:p>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Occurrences per plant per year</w:t>
            </w:r>
          </w:p>
          <w:p w:rsidR="00AD20EC" w:rsidRPr="00AD20EC" w:rsidRDefault="00AD20EC" w:rsidP="00AD20EC">
            <w:pPr>
              <w:rPr>
                <w:b/>
                <w:bCs/>
                <w:color w:val="000000"/>
                <w:sz w:val="20"/>
                <w:szCs w:val="20"/>
              </w:rPr>
            </w:pPr>
            <w:r w:rsidRPr="00AD20EC">
              <w:rPr>
                <w:rFonts w:ascii="Calibri" w:hAnsi="Calibri"/>
                <w:color w:val="000000"/>
                <w:sz w:val="20"/>
                <w:szCs w:val="20"/>
              </w:rPr>
              <w:t> </w:t>
            </w:r>
          </w:p>
        </w:tc>
        <w:tc>
          <w:tcPr>
            <w:tcW w:w="513" w:type="pct"/>
            <w:tcBorders>
              <w:top w:val="single" w:sz="4" w:space="0" w:color="auto"/>
              <w:left w:val="nil"/>
              <w:right w:val="single" w:sz="4" w:space="0" w:color="auto"/>
            </w:tcBorders>
            <w:shd w:val="clear" w:color="auto" w:fill="auto"/>
            <w:hideMark/>
          </w:tcPr>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(C)</w:t>
            </w:r>
          </w:p>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 xml:space="preserve">Plants per year </w:t>
            </w:r>
            <w:r w:rsidRPr="00AD20EC">
              <w:rPr>
                <w:b/>
                <w:bCs/>
                <w:color w:val="000000"/>
                <w:sz w:val="20"/>
                <w:szCs w:val="20"/>
                <w:vertAlign w:val="superscript"/>
              </w:rPr>
              <w:t>a</w:t>
            </w:r>
          </w:p>
          <w:p w:rsidR="00AD20EC" w:rsidRPr="00AD20EC" w:rsidRDefault="00AD20EC" w:rsidP="00AD20EC">
            <w:pPr>
              <w:rPr>
                <w:b/>
                <w:bCs/>
                <w:color w:val="000000"/>
                <w:sz w:val="20"/>
                <w:szCs w:val="20"/>
              </w:rPr>
            </w:pPr>
            <w:r w:rsidRPr="00AD20EC">
              <w:rPr>
                <w:rFonts w:ascii="Calibri" w:hAnsi="Calibri"/>
                <w:color w:val="000000"/>
                <w:sz w:val="20"/>
                <w:szCs w:val="20"/>
              </w:rPr>
              <w:t> </w:t>
            </w:r>
          </w:p>
        </w:tc>
        <w:tc>
          <w:tcPr>
            <w:tcW w:w="576" w:type="pct"/>
            <w:tcBorders>
              <w:top w:val="single" w:sz="4" w:space="0" w:color="auto"/>
              <w:left w:val="nil"/>
              <w:right w:val="single" w:sz="4" w:space="0" w:color="auto"/>
            </w:tcBorders>
            <w:shd w:val="clear" w:color="auto" w:fill="auto"/>
            <w:hideMark/>
          </w:tcPr>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(D)</w:t>
            </w:r>
          </w:p>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Technical hours/year</w:t>
            </w:r>
          </w:p>
          <w:p w:rsidR="00AD20EC" w:rsidRPr="00AD20EC" w:rsidRDefault="00AD20EC" w:rsidP="00AD20EC">
            <w:pPr>
              <w:jc w:val="center"/>
              <w:rPr>
                <w:b/>
                <w:bCs/>
                <w:color w:val="000000"/>
                <w:sz w:val="20"/>
                <w:szCs w:val="20"/>
              </w:rPr>
            </w:pPr>
            <w:r w:rsidRPr="00AD20EC">
              <w:rPr>
                <w:b/>
                <w:bCs/>
                <w:color w:val="000000"/>
                <w:sz w:val="20"/>
                <w:szCs w:val="20"/>
              </w:rPr>
              <w:t>(E=A*B*C)</w:t>
            </w:r>
          </w:p>
        </w:tc>
        <w:tc>
          <w:tcPr>
            <w:tcW w:w="618" w:type="pct"/>
            <w:tcBorders>
              <w:top w:val="single" w:sz="4" w:space="0" w:color="auto"/>
              <w:left w:val="nil"/>
              <w:right w:val="single" w:sz="4" w:space="0" w:color="auto"/>
            </w:tcBorders>
            <w:shd w:val="clear" w:color="auto" w:fill="auto"/>
            <w:hideMark/>
          </w:tcPr>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(E)</w:t>
            </w:r>
          </w:p>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Management hours/year</w:t>
            </w:r>
          </w:p>
          <w:p w:rsidR="00AD20EC" w:rsidRPr="00AD20EC" w:rsidRDefault="00AD20EC" w:rsidP="00AD20EC">
            <w:pPr>
              <w:jc w:val="center"/>
              <w:rPr>
                <w:b/>
                <w:bCs/>
                <w:color w:val="000000"/>
                <w:sz w:val="20"/>
                <w:szCs w:val="20"/>
              </w:rPr>
            </w:pPr>
            <w:r w:rsidRPr="00AD20EC">
              <w:rPr>
                <w:b/>
                <w:bCs/>
                <w:color w:val="000000"/>
                <w:sz w:val="20"/>
                <w:szCs w:val="20"/>
              </w:rPr>
              <w:t>(F=0.05*D)</w:t>
            </w:r>
          </w:p>
        </w:tc>
        <w:tc>
          <w:tcPr>
            <w:tcW w:w="639" w:type="pct"/>
            <w:tcBorders>
              <w:top w:val="single" w:sz="4" w:space="0" w:color="auto"/>
              <w:left w:val="nil"/>
              <w:right w:val="single" w:sz="4" w:space="0" w:color="auto"/>
            </w:tcBorders>
            <w:shd w:val="clear" w:color="auto" w:fill="auto"/>
            <w:hideMark/>
          </w:tcPr>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(F)</w:t>
            </w:r>
          </w:p>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Clerical-hours/year</w:t>
            </w:r>
          </w:p>
          <w:p w:rsidR="00AD20EC" w:rsidRPr="00AD20EC" w:rsidRDefault="00AD20EC" w:rsidP="00AD20EC">
            <w:pPr>
              <w:jc w:val="center"/>
              <w:rPr>
                <w:b/>
                <w:bCs/>
                <w:color w:val="000000"/>
                <w:sz w:val="20"/>
                <w:szCs w:val="20"/>
              </w:rPr>
            </w:pPr>
            <w:r w:rsidRPr="00AD20EC">
              <w:rPr>
                <w:b/>
                <w:bCs/>
                <w:color w:val="000000"/>
                <w:sz w:val="20"/>
                <w:szCs w:val="20"/>
              </w:rPr>
              <w:t>(G=0.1*D)</w:t>
            </w:r>
          </w:p>
        </w:tc>
        <w:tc>
          <w:tcPr>
            <w:tcW w:w="662" w:type="pct"/>
            <w:tcBorders>
              <w:top w:val="single" w:sz="4" w:space="0" w:color="auto"/>
              <w:left w:val="nil"/>
              <w:right w:val="single" w:sz="4" w:space="0" w:color="auto"/>
            </w:tcBorders>
            <w:shd w:val="clear" w:color="auto" w:fill="auto"/>
            <w:hideMark/>
          </w:tcPr>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(G)</w:t>
            </w:r>
          </w:p>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 xml:space="preserve">Cost </w:t>
            </w:r>
            <w:r w:rsidRPr="00AD20EC">
              <w:rPr>
                <w:b/>
                <w:bCs/>
                <w:color w:val="000000"/>
                <w:sz w:val="20"/>
                <w:szCs w:val="20"/>
                <w:vertAlign w:val="superscript"/>
              </w:rPr>
              <w:t>b</w:t>
            </w:r>
          </w:p>
          <w:p w:rsidR="00AD20EC" w:rsidRPr="00AD20EC" w:rsidRDefault="00AD20EC" w:rsidP="00AD20EC">
            <w:pPr>
              <w:jc w:val="center"/>
              <w:rPr>
                <w:b/>
                <w:bCs/>
                <w:color w:val="000000"/>
                <w:sz w:val="20"/>
                <w:szCs w:val="20"/>
              </w:rPr>
            </w:pPr>
            <w:r w:rsidRPr="00AD20EC">
              <w:rPr>
                <w:b/>
                <w:bCs/>
                <w:color w:val="000000"/>
                <w:sz w:val="20"/>
                <w:szCs w:val="20"/>
              </w:rPr>
              <w:t>$</w:t>
            </w:r>
          </w:p>
        </w:tc>
      </w:tr>
      <w:tr w:rsidR="00AD20EC" w:rsidRPr="00AD20EC" w:rsidTr="00504B9E">
        <w:trPr>
          <w:trHeight w:val="300"/>
        </w:trPr>
        <w:tc>
          <w:tcPr>
            <w:tcW w:w="910" w:type="pct"/>
            <w:vMerge/>
            <w:tcBorders>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p>
        </w:tc>
      </w:tr>
      <w:tr w:rsidR="00AD20EC" w:rsidRPr="00AD20EC" w:rsidTr="00504B9E">
        <w:trPr>
          <w:trHeight w:val="30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Report Review:</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p>
        </w:tc>
      </w:tr>
      <w:tr w:rsidR="00AD20EC" w:rsidRPr="00AD20EC" w:rsidTr="00504B9E">
        <w:trPr>
          <w:trHeight w:val="30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Site-specific test plan</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16</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$0 </w:t>
            </w:r>
          </w:p>
        </w:tc>
      </w:tr>
      <w:tr w:rsidR="00AD20EC" w:rsidRPr="00AD20EC" w:rsidTr="00504B9E">
        <w:trPr>
          <w:trHeight w:val="30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NESHAP waiver application</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4</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$0 </w:t>
            </w:r>
          </w:p>
        </w:tc>
      </w:tr>
      <w:tr w:rsidR="00AD20EC" w:rsidRPr="00AD20EC" w:rsidTr="00504B9E">
        <w:trPr>
          <w:trHeight w:val="30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Compliance extension request</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4</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$0 </w:t>
            </w:r>
          </w:p>
        </w:tc>
      </w:tr>
      <w:tr w:rsidR="00AD20EC" w:rsidRPr="00AD20EC" w:rsidTr="00504B9E">
        <w:trPr>
          <w:trHeight w:val="30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Work practice plan </w:t>
            </w:r>
            <w:r w:rsidRPr="00AD20EC">
              <w:rPr>
                <w:color w:val="000000"/>
                <w:sz w:val="20"/>
                <w:szCs w:val="20"/>
                <w:vertAlign w:val="superscript"/>
              </w:rPr>
              <w:t>c</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24</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$0 </w:t>
            </w:r>
          </w:p>
        </w:tc>
      </w:tr>
      <w:tr w:rsidR="00AD20EC" w:rsidRPr="00AD20EC" w:rsidTr="00504B9E">
        <w:trPr>
          <w:trHeight w:val="51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Startup, shutdown and malfunction plan </w:t>
            </w:r>
            <w:r w:rsidRPr="00AD20EC">
              <w:rPr>
                <w:color w:val="000000"/>
                <w:sz w:val="20"/>
                <w:szCs w:val="20"/>
                <w:vertAlign w:val="superscript"/>
              </w:rPr>
              <w:t>c</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w:t>
            </w:r>
          </w:p>
        </w:tc>
      </w:tr>
      <w:tr w:rsidR="00AD20EC" w:rsidRPr="00AD20EC" w:rsidTr="00504B9E">
        <w:trPr>
          <w:trHeight w:val="75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Construct/reconstruct a new battery, a </w:t>
            </w:r>
            <w:proofErr w:type="spellStart"/>
            <w:r w:rsidRPr="00AD20EC">
              <w:rPr>
                <w:color w:val="000000"/>
                <w:sz w:val="20"/>
                <w:szCs w:val="20"/>
              </w:rPr>
              <w:t>brownfield</w:t>
            </w:r>
            <w:proofErr w:type="spellEnd"/>
            <w:r w:rsidRPr="00AD20EC">
              <w:rPr>
                <w:color w:val="000000"/>
                <w:sz w:val="20"/>
                <w:szCs w:val="20"/>
              </w:rPr>
              <w:t xml:space="preserve"> battery, or a </w:t>
            </w:r>
            <w:proofErr w:type="spellStart"/>
            <w:r w:rsidRPr="00AD20EC">
              <w:rPr>
                <w:color w:val="000000"/>
                <w:sz w:val="20"/>
                <w:szCs w:val="20"/>
              </w:rPr>
              <w:t>padup</w:t>
            </w:r>
            <w:proofErr w:type="spellEnd"/>
            <w:r w:rsidRPr="00AD20EC">
              <w:rPr>
                <w:color w:val="000000"/>
                <w:sz w:val="20"/>
                <w:szCs w:val="20"/>
              </w:rPr>
              <w:t xml:space="preserve"> rebuild battery </w:t>
            </w:r>
            <w:r w:rsidRPr="00AD20EC">
              <w:rPr>
                <w:color w:val="000000"/>
                <w:sz w:val="20"/>
                <w:szCs w:val="20"/>
                <w:vertAlign w:val="superscript"/>
              </w:rPr>
              <w:t>d</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0.33</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0.66</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0.033</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0.066</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$34 </w:t>
            </w:r>
          </w:p>
        </w:tc>
      </w:tr>
      <w:tr w:rsidR="00AD20EC" w:rsidRPr="00AD20EC" w:rsidTr="00504B9E">
        <w:trPr>
          <w:trHeight w:val="51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Request for startup of cold-idle battery </w:t>
            </w:r>
            <w:r w:rsidRPr="00AD20EC">
              <w:rPr>
                <w:color w:val="000000"/>
                <w:sz w:val="20"/>
                <w:szCs w:val="20"/>
                <w:vertAlign w:val="superscript"/>
              </w:rPr>
              <w:t>e</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N/A</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w:t>
            </w:r>
          </w:p>
        </w:tc>
      </w:tr>
      <w:tr w:rsidR="00AD20EC" w:rsidRPr="00AD20EC" w:rsidTr="00504B9E">
        <w:trPr>
          <w:trHeight w:val="51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Notification of election of compliance track </w:t>
            </w:r>
            <w:r w:rsidRPr="00AD20EC">
              <w:rPr>
                <w:color w:val="000000"/>
                <w:sz w:val="20"/>
                <w:szCs w:val="20"/>
                <w:vertAlign w:val="superscript"/>
              </w:rPr>
              <w:t>f</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N/A</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w:t>
            </w:r>
          </w:p>
        </w:tc>
      </w:tr>
      <w:tr w:rsidR="00AD20EC" w:rsidRPr="00AD20EC" w:rsidTr="00504B9E">
        <w:trPr>
          <w:trHeight w:val="51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Request for alternative door standard </w:t>
            </w:r>
            <w:r w:rsidRPr="00AD20EC">
              <w:rPr>
                <w:color w:val="000000"/>
                <w:sz w:val="20"/>
                <w:szCs w:val="20"/>
                <w:vertAlign w:val="superscript"/>
              </w:rPr>
              <w:t>g</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N/A</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w:t>
            </w:r>
          </w:p>
        </w:tc>
      </w:tr>
      <w:tr w:rsidR="00AD20EC" w:rsidRPr="00AD20EC" w:rsidTr="00504B9E">
        <w:trPr>
          <w:trHeight w:val="51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Notification of closure of batteries </w:t>
            </w:r>
            <w:r w:rsidRPr="00AD20EC">
              <w:rPr>
                <w:color w:val="000000"/>
                <w:sz w:val="20"/>
                <w:szCs w:val="20"/>
                <w:vertAlign w:val="superscript"/>
              </w:rPr>
              <w:t>h</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0.33</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0.66</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0.033</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0.066</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$34 </w:t>
            </w:r>
          </w:p>
        </w:tc>
      </w:tr>
      <w:tr w:rsidR="00AD20EC" w:rsidRPr="00AD20EC" w:rsidTr="00504B9E">
        <w:trPr>
          <w:trHeight w:val="30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Malfunction notification </w:t>
            </w:r>
            <w:proofErr w:type="spellStart"/>
            <w:r w:rsidRPr="00AD20EC">
              <w:rPr>
                <w:color w:val="000000"/>
                <w:sz w:val="20"/>
                <w:szCs w:val="20"/>
                <w:vertAlign w:val="superscript"/>
              </w:rPr>
              <w:t>i</w:t>
            </w:r>
            <w:proofErr w:type="spellEnd"/>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4</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0.2</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0.4</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$207 </w:t>
            </w:r>
          </w:p>
        </w:tc>
      </w:tr>
      <w:tr w:rsidR="00AD20EC" w:rsidRPr="00AD20EC" w:rsidTr="00120AA8">
        <w:trPr>
          <w:trHeight w:val="30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Malfunction report </w:t>
            </w:r>
            <w:proofErr w:type="spellStart"/>
            <w:r w:rsidRPr="00AD20EC">
              <w:rPr>
                <w:color w:val="000000"/>
                <w:sz w:val="20"/>
                <w:szCs w:val="20"/>
                <w:vertAlign w:val="superscript"/>
              </w:rPr>
              <w:t>i</w:t>
            </w:r>
            <w:proofErr w:type="spellEnd"/>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8</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16</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0.8</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1.6</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$829 </w:t>
            </w:r>
          </w:p>
        </w:tc>
      </w:tr>
      <w:tr w:rsidR="00AD20EC" w:rsidRPr="00AD20EC" w:rsidTr="00120AA8">
        <w:trPr>
          <w:trHeight w:val="750"/>
        </w:trPr>
        <w:tc>
          <w:tcPr>
            <w:tcW w:w="910" w:type="pct"/>
            <w:tcBorders>
              <w:top w:val="single" w:sz="4" w:space="0" w:color="auto"/>
              <w:left w:val="single" w:sz="4" w:space="0" w:color="auto"/>
              <w:bottom w:val="single" w:sz="4" w:space="0" w:color="auto"/>
              <w:right w:val="single" w:sz="4" w:space="0" w:color="auto"/>
            </w:tcBorders>
            <w:shd w:val="clear" w:color="auto" w:fill="auto"/>
            <w:hideMark/>
          </w:tcPr>
          <w:p w:rsidR="00120AA8" w:rsidRDefault="00AD20EC" w:rsidP="00AD20EC">
            <w:pPr>
              <w:widowControl/>
              <w:autoSpaceDE/>
              <w:autoSpaceDN/>
              <w:adjustRightInd/>
              <w:rPr>
                <w:color w:val="000000"/>
                <w:sz w:val="20"/>
                <w:szCs w:val="20"/>
              </w:rPr>
            </w:pPr>
            <w:r w:rsidRPr="00AD20EC">
              <w:rPr>
                <w:color w:val="000000"/>
                <w:sz w:val="20"/>
                <w:szCs w:val="20"/>
              </w:rPr>
              <w:lastRenderedPageBreak/>
              <w:t xml:space="preserve">-  Report of venting of coke oven gas through a bypass/bleeder stack </w:t>
            </w:r>
          </w:p>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flare </w:t>
            </w:r>
            <w:r w:rsidRPr="00AD20EC">
              <w:rPr>
                <w:color w:val="000000"/>
                <w:sz w:val="20"/>
                <w:szCs w:val="20"/>
                <w:vertAlign w:val="superscript"/>
              </w:rPr>
              <w:t>j</w:t>
            </w:r>
          </w:p>
        </w:tc>
        <w:tc>
          <w:tcPr>
            <w:tcW w:w="548"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w:t>
            </w:r>
          </w:p>
        </w:tc>
        <w:tc>
          <w:tcPr>
            <w:tcW w:w="534"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w:t>
            </w:r>
          </w:p>
        </w:tc>
        <w:tc>
          <w:tcPr>
            <w:tcW w:w="513"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1.6</w:t>
            </w:r>
          </w:p>
        </w:tc>
        <w:tc>
          <w:tcPr>
            <w:tcW w:w="576"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3.2</w:t>
            </w:r>
          </w:p>
        </w:tc>
        <w:tc>
          <w:tcPr>
            <w:tcW w:w="618"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0.16</w:t>
            </w:r>
          </w:p>
        </w:tc>
        <w:tc>
          <w:tcPr>
            <w:tcW w:w="639"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0.32</w:t>
            </w:r>
          </w:p>
        </w:tc>
        <w:tc>
          <w:tcPr>
            <w:tcW w:w="662" w:type="pct"/>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$166 </w:t>
            </w:r>
          </w:p>
        </w:tc>
      </w:tr>
      <w:tr w:rsidR="00AD20EC" w:rsidRPr="00AD20EC" w:rsidTr="00504B9E">
        <w:trPr>
          <w:trHeight w:val="30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Initial compliance certification</w:t>
            </w:r>
            <w:r w:rsidRPr="00AD20EC">
              <w:rPr>
                <w:color w:val="000000"/>
                <w:sz w:val="20"/>
                <w:szCs w:val="20"/>
                <w:vertAlign w:val="superscript"/>
              </w:rPr>
              <w:t xml:space="preserve"> k</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0</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$0 </w:t>
            </w:r>
          </w:p>
        </w:tc>
      </w:tr>
      <w:tr w:rsidR="00AD20EC" w:rsidRPr="00AD20EC" w:rsidTr="00504B9E">
        <w:trPr>
          <w:trHeight w:val="51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color w:val="000000"/>
                <w:sz w:val="20"/>
                <w:szCs w:val="20"/>
              </w:rPr>
            </w:pPr>
            <w:r w:rsidRPr="00AD20EC">
              <w:rPr>
                <w:color w:val="000000"/>
                <w:sz w:val="20"/>
                <w:szCs w:val="20"/>
              </w:rPr>
              <w:t xml:space="preserve">-  Semiannual compliance certifications </w:t>
            </w:r>
            <w:r w:rsidRPr="00AD20EC">
              <w:rPr>
                <w:color w:val="000000"/>
                <w:sz w:val="20"/>
                <w:szCs w:val="20"/>
                <w:vertAlign w:val="superscript"/>
              </w:rPr>
              <w:t>l</w:t>
            </w:r>
          </w:p>
        </w:tc>
        <w:tc>
          <w:tcPr>
            <w:tcW w:w="54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w:t>
            </w:r>
          </w:p>
        </w:tc>
        <w:tc>
          <w:tcPr>
            <w:tcW w:w="534"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2</w:t>
            </w:r>
          </w:p>
        </w:tc>
        <w:tc>
          <w:tcPr>
            <w:tcW w:w="513"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19</w:t>
            </w:r>
          </w:p>
        </w:tc>
        <w:tc>
          <w:tcPr>
            <w:tcW w:w="576"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76</w:t>
            </w:r>
          </w:p>
        </w:tc>
        <w:tc>
          <w:tcPr>
            <w:tcW w:w="618"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3.8</w:t>
            </w:r>
          </w:p>
        </w:tc>
        <w:tc>
          <w:tcPr>
            <w:tcW w:w="639"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color w:val="000000"/>
                <w:sz w:val="20"/>
                <w:szCs w:val="20"/>
              </w:rPr>
            </w:pPr>
            <w:r w:rsidRPr="00AD20EC">
              <w:rPr>
                <w:color w:val="000000"/>
                <w:sz w:val="20"/>
                <w:szCs w:val="20"/>
              </w:rPr>
              <w:t>7.6</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color w:val="000000"/>
                <w:sz w:val="20"/>
                <w:szCs w:val="20"/>
              </w:rPr>
            </w:pPr>
            <w:r w:rsidRPr="00AD20EC">
              <w:rPr>
                <w:color w:val="000000"/>
                <w:sz w:val="20"/>
                <w:szCs w:val="20"/>
              </w:rPr>
              <w:t xml:space="preserve">$3,939 </w:t>
            </w:r>
          </w:p>
        </w:tc>
      </w:tr>
      <w:tr w:rsidR="00AD20EC" w:rsidRPr="00AD20EC" w:rsidTr="00504B9E">
        <w:trPr>
          <w:trHeight w:val="300"/>
        </w:trPr>
        <w:tc>
          <w:tcPr>
            <w:tcW w:w="910" w:type="pct"/>
            <w:tcBorders>
              <w:top w:val="nil"/>
              <w:left w:val="single" w:sz="4" w:space="0" w:color="auto"/>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b/>
                <w:bCs/>
                <w:color w:val="000000"/>
                <w:sz w:val="20"/>
                <w:szCs w:val="20"/>
              </w:rPr>
            </w:pPr>
            <w:r w:rsidRPr="00AD20EC">
              <w:rPr>
                <w:b/>
                <w:bCs/>
                <w:color w:val="000000"/>
                <w:sz w:val="20"/>
                <w:szCs w:val="20"/>
              </w:rPr>
              <w:t>TOTAL BURDEN AND COST</w:t>
            </w:r>
          </w:p>
        </w:tc>
        <w:tc>
          <w:tcPr>
            <w:tcW w:w="548" w:type="pct"/>
            <w:tcBorders>
              <w:top w:val="nil"/>
              <w:left w:val="nil"/>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b/>
                <w:bCs/>
                <w:color w:val="000000"/>
                <w:sz w:val="20"/>
                <w:szCs w:val="20"/>
              </w:rPr>
            </w:pPr>
            <w:r w:rsidRPr="00AD20EC">
              <w:rPr>
                <w:b/>
                <w:bCs/>
                <w:color w:val="000000"/>
                <w:sz w:val="20"/>
                <w:szCs w:val="20"/>
              </w:rPr>
              <w:t> </w:t>
            </w:r>
          </w:p>
        </w:tc>
        <w:tc>
          <w:tcPr>
            <w:tcW w:w="534" w:type="pct"/>
            <w:tcBorders>
              <w:top w:val="nil"/>
              <w:left w:val="nil"/>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b/>
                <w:bCs/>
                <w:color w:val="000000"/>
                <w:sz w:val="20"/>
                <w:szCs w:val="20"/>
              </w:rPr>
            </w:pPr>
            <w:r w:rsidRPr="00AD20EC">
              <w:rPr>
                <w:b/>
                <w:bCs/>
                <w:color w:val="000000"/>
                <w:sz w:val="20"/>
                <w:szCs w:val="20"/>
              </w:rPr>
              <w:t> </w:t>
            </w:r>
          </w:p>
        </w:tc>
        <w:tc>
          <w:tcPr>
            <w:tcW w:w="513" w:type="pct"/>
            <w:tcBorders>
              <w:top w:val="nil"/>
              <w:left w:val="nil"/>
              <w:bottom w:val="single" w:sz="4" w:space="0" w:color="auto"/>
              <w:right w:val="single" w:sz="4" w:space="0" w:color="auto"/>
            </w:tcBorders>
            <w:shd w:val="clear" w:color="auto" w:fill="auto"/>
            <w:hideMark/>
          </w:tcPr>
          <w:p w:rsidR="00AD20EC" w:rsidRPr="00AD20EC" w:rsidRDefault="00AD20EC" w:rsidP="00AD20EC">
            <w:pPr>
              <w:widowControl/>
              <w:autoSpaceDE/>
              <w:autoSpaceDN/>
              <w:adjustRightInd/>
              <w:rPr>
                <w:b/>
                <w:bCs/>
                <w:color w:val="000000"/>
                <w:sz w:val="20"/>
                <w:szCs w:val="20"/>
              </w:rPr>
            </w:pPr>
            <w:r w:rsidRPr="00AD20EC">
              <w:rPr>
                <w:b/>
                <w:bCs/>
                <w:color w:val="000000"/>
                <w:sz w:val="20"/>
                <w:szCs w:val="20"/>
              </w:rPr>
              <w:t> </w:t>
            </w:r>
          </w:p>
        </w:tc>
        <w:tc>
          <w:tcPr>
            <w:tcW w:w="1833" w:type="pct"/>
            <w:gridSpan w:val="3"/>
            <w:tcBorders>
              <w:top w:val="single" w:sz="4" w:space="0" w:color="auto"/>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center"/>
              <w:rPr>
                <w:b/>
                <w:bCs/>
                <w:color w:val="000000"/>
                <w:sz w:val="20"/>
                <w:szCs w:val="20"/>
              </w:rPr>
            </w:pPr>
            <w:r w:rsidRPr="00AD20EC">
              <w:rPr>
                <w:b/>
                <w:bCs/>
                <w:color w:val="000000"/>
                <w:sz w:val="20"/>
                <w:szCs w:val="20"/>
              </w:rPr>
              <w:t>116</w:t>
            </w:r>
          </w:p>
        </w:tc>
        <w:tc>
          <w:tcPr>
            <w:tcW w:w="662" w:type="pct"/>
            <w:tcBorders>
              <w:top w:val="nil"/>
              <w:left w:val="nil"/>
              <w:bottom w:val="single" w:sz="4" w:space="0" w:color="auto"/>
              <w:right w:val="single" w:sz="4" w:space="0" w:color="auto"/>
            </w:tcBorders>
            <w:shd w:val="clear" w:color="auto" w:fill="auto"/>
            <w:vAlign w:val="bottom"/>
            <w:hideMark/>
          </w:tcPr>
          <w:p w:rsidR="00AD20EC" w:rsidRPr="00AD20EC" w:rsidRDefault="00AD20EC" w:rsidP="00AD20EC">
            <w:pPr>
              <w:widowControl/>
              <w:autoSpaceDE/>
              <w:autoSpaceDN/>
              <w:adjustRightInd/>
              <w:jc w:val="right"/>
              <w:rPr>
                <w:b/>
                <w:bCs/>
                <w:color w:val="000000"/>
                <w:sz w:val="20"/>
                <w:szCs w:val="20"/>
              </w:rPr>
            </w:pPr>
            <w:r w:rsidRPr="00AD20EC">
              <w:rPr>
                <w:b/>
                <w:bCs/>
                <w:color w:val="000000"/>
                <w:sz w:val="20"/>
                <w:szCs w:val="20"/>
              </w:rPr>
              <w:t xml:space="preserve">$5,209 </w:t>
            </w:r>
          </w:p>
        </w:tc>
      </w:tr>
    </w:tbl>
    <w:p w:rsidR="00B553FB" w:rsidRDefault="00B553FB" w:rsidP="009F0045">
      <w:pPr>
        <w:widowControl/>
        <w:ind w:right="-90"/>
        <w:jc w:val="center"/>
      </w:pPr>
    </w:p>
    <w:p w:rsidR="009F0045" w:rsidRDefault="00CC0145" w:rsidP="00162811">
      <w:pPr>
        <w:keepNext/>
        <w:keepLines/>
        <w:widowControl/>
        <w:outlineLvl w:val="0"/>
      </w:pPr>
      <w:r>
        <w:rPr>
          <w:b/>
          <w:bCs/>
        </w:rPr>
        <w:t>Assumptions</w:t>
      </w:r>
      <w:r w:rsidR="009F0045">
        <w:rPr>
          <w:b/>
          <w:bCs/>
        </w:rPr>
        <w:t>:</w:t>
      </w:r>
    </w:p>
    <w:p w:rsidR="009F0045" w:rsidRDefault="009F0045" w:rsidP="009F0045">
      <w:pPr>
        <w:keepNext/>
        <w:keepLines/>
        <w:widowControl/>
      </w:pPr>
      <w:proofErr w:type="spellStart"/>
      <w:r>
        <w:rPr>
          <w:vertAlign w:val="superscript"/>
        </w:rPr>
        <w:t>a</w:t>
      </w:r>
      <w:proofErr w:type="spellEnd"/>
      <w:r>
        <w:t xml:space="preserve"> There are 19 respondents that are currently owners or operators of new or existing byproduct or non-recovery coke ov</w:t>
      </w:r>
      <w:r w:rsidR="00B67398">
        <w:t xml:space="preserve">en batteries subject to 40 </w:t>
      </w:r>
      <w:smartTag w:uri="urn:schemas-microsoft-com:office:smarttags" w:element="stockticker">
        <w:r w:rsidR="00B67398">
          <w:t>CFR</w:t>
        </w:r>
      </w:smartTag>
      <w:r w:rsidR="00B67398">
        <w:t xml:space="preserve"> p</w:t>
      </w:r>
      <w:r>
        <w:t>art 63, subpart L.  As of March 2005, these 19 coke plants were operating 55 coke oven batteries (affected facilities); 44 are by</w:t>
      </w:r>
      <w:r>
        <w:noBreakHyphen/>
        <w:t xml:space="preserve">product batteries operated at 16 plants, and 11 are </w:t>
      </w:r>
      <w:proofErr w:type="spellStart"/>
      <w:r>
        <w:t>non</w:t>
      </w:r>
      <w:r>
        <w:noBreakHyphen/>
        <w:t>recovery</w:t>
      </w:r>
      <w:proofErr w:type="spellEnd"/>
      <w:r>
        <w:t xml:space="preserve"> batteries operated at three plants.  No additional respondents (new sources) are expected over the next three years.</w:t>
      </w:r>
    </w:p>
    <w:p w:rsidR="009F0045" w:rsidRDefault="009F0045" w:rsidP="009F0045">
      <w:pPr>
        <w:keepNext/>
        <w:keepLines/>
        <w:widowControl/>
      </w:pPr>
      <w:r>
        <w:rPr>
          <w:vertAlign w:val="superscript"/>
        </w:rPr>
        <w:t xml:space="preserve">b  </w:t>
      </w:r>
      <w:r>
        <w:t>This ICR uses the followi</w:t>
      </w:r>
      <w:r w:rsidR="00F85132">
        <w:t>ng average hourly labor rates: 62.27</w:t>
      </w:r>
      <w:r>
        <w:t xml:space="preserve"> for Managerial (GS-13, Step 5, $3</w:t>
      </w:r>
      <w:r w:rsidR="00F85132">
        <w:t>8.92</w:t>
      </w:r>
      <w:r>
        <w:t xml:space="preserve"> x 1.6), $4</w:t>
      </w:r>
      <w:r w:rsidR="00F85132">
        <w:t>6.21 (GS-12, Step 1, $28.88</w:t>
      </w:r>
      <w:r>
        <w:t xml:space="preserve"> x 1.6) for Technical and $2</w:t>
      </w:r>
      <w:r w:rsidR="00F85132">
        <w:t>5</w:t>
      </w:r>
      <w:r>
        <w:t>.</w:t>
      </w:r>
      <w:r w:rsidR="00F85132">
        <w:t>01 (GS-6, Step 3, $15.63</w:t>
      </w:r>
      <w:r>
        <w:t xml:space="preserve"> x 1.6) for Clerical.  These rates are from the Office of Personnel Management (OPM) </w:t>
      </w:r>
      <w:r w:rsidR="00CA7C0C">
        <w:t>“</w:t>
      </w:r>
      <w:r w:rsidR="00F85132">
        <w:t>2011</w:t>
      </w:r>
      <w:r>
        <w:t xml:space="preserve"> General Schedule</w:t>
      </w:r>
      <w:r w:rsidR="00CA7C0C">
        <w:t>”</w:t>
      </w:r>
      <w:r>
        <w:t xml:space="preserve"> which excludes locality rates of pay.</w:t>
      </w:r>
    </w:p>
    <w:p w:rsidR="009F0045" w:rsidRDefault="009F0045" w:rsidP="009F0045">
      <w:pPr>
        <w:keepNext/>
        <w:keepLines/>
        <w:widowControl/>
      </w:pPr>
      <w:r>
        <w:rPr>
          <w:vertAlign w:val="superscript"/>
        </w:rPr>
        <w:t>c</w:t>
      </w:r>
      <w:r>
        <w:t xml:space="preserve">  These plans have already been submitted.</w:t>
      </w:r>
    </w:p>
    <w:p w:rsidR="009F0045" w:rsidRDefault="00D511F6" w:rsidP="009F0045">
      <w:pPr>
        <w:widowControl/>
        <w:ind w:right="-90"/>
      </w:pPr>
      <w:r>
        <w:rPr>
          <w:vertAlign w:val="superscript"/>
        </w:rPr>
        <w:t>d</w:t>
      </w:r>
      <w:r>
        <w:t xml:space="preserve">  Assume that</w:t>
      </w:r>
      <w:r w:rsidR="00CE0860">
        <w:t xml:space="preserve"> one plant over the three-year </w:t>
      </w:r>
      <w:r>
        <w:t>period will reconstruct or rebuild a battery.</w:t>
      </w:r>
    </w:p>
    <w:p w:rsidR="009F0045" w:rsidRDefault="009F0045" w:rsidP="009F0045">
      <w:pPr>
        <w:widowControl/>
        <w:ind w:right="-90"/>
      </w:pPr>
      <w:r>
        <w:rPr>
          <w:vertAlign w:val="superscript"/>
        </w:rPr>
        <w:t>e</w:t>
      </w:r>
      <w:r>
        <w:t xml:space="preserve">  There are no batteries on cold idle.</w:t>
      </w:r>
      <w:r w:rsidR="00CE0860">
        <w:t xml:space="preserve"> </w:t>
      </w:r>
    </w:p>
    <w:p w:rsidR="009F0045" w:rsidRDefault="009F0045" w:rsidP="009F0045">
      <w:pPr>
        <w:widowControl/>
      </w:pPr>
      <w:r>
        <w:rPr>
          <w:vertAlign w:val="superscript"/>
        </w:rPr>
        <w:t>f</w:t>
      </w:r>
      <w:r>
        <w:t xml:space="preserve"> </w:t>
      </w:r>
      <w:r w:rsidR="0095466D">
        <w:t xml:space="preserve"> </w:t>
      </w:r>
      <w:r>
        <w:t xml:space="preserve">All sources have submitted this notification (the deadline was </w:t>
      </w:r>
      <w:smartTag w:uri="urn:schemas-microsoft-com:office:smarttags" w:element="date">
        <w:smartTagPr>
          <w:attr w:name="Year" w:val="1998"/>
          <w:attr w:name="Day" w:val="1"/>
          <w:attr w:name="Month" w:val="1"/>
          <w:attr w:name="ls" w:val="trans"/>
        </w:smartTagPr>
        <w:r>
          <w:t>January 1, 1998</w:t>
        </w:r>
      </w:smartTag>
      <w:r>
        <w:t xml:space="preserve">). </w:t>
      </w:r>
    </w:p>
    <w:p w:rsidR="009F0045" w:rsidRDefault="009F0045" w:rsidP="009F0045">
      <w:pPr>
        <w:widowControl/>
        <w:ind w:right="-90"/>
      </w:pPr>
      <w:r>
        <w:rPr>
          <w:vertAlign w:val="superscript"/>
        </w:rPr>
        <w:t>g</w:t>
      </w:r>
      <w:r>
        <w:t xml:space="preserve"> </w:t>
      </w:r>
      <w:r w:rsidR="0095466D">
        <w:t xml:space="preserve"> </w:t>
      </w:r>
      <w:r>
        <w:t>None of the plants with cokeside sheds have applied for the alternative door standard.</w:t>
      </w:r>
    </w:p>
    <w:p w:rsidR="009F0045" w:rsidRDefault="00D511F6" w:rsidP="009F0045">
      <w:pPr>
        <w:widowControl/>
        <w:ind w:right="-90"/>
      </w:pPr>
      <w:r>
        <w:rPr>
          <w:vertAlign w:val="superscript"/>
        </w:rPr>
        <w:t>h</w:t>
      </w:r>
      <w:r>
        <w:t xml:space="preserve">  Assume that one plant over a three-year period is expected to permanently close batteries and submit the required notification.</w:t>
      </w:r>
    </w:p>
    <w:p w:rsidR="009F0045" w:rsidRDefault="009F0045" w:rsidP="009F0045">
      <w:pPr>
        <w:widowControl/>
        <w:ind w:right="-90"/>
      </w:pPr>
      <w:r>
        <w:rPr>
          <w:vertAlign w:val="superscript"/>
        </w:rPr>
        <w:t>i</w:t>
      </w:r>
      <w:r>
        <w:t xml:space="preserve">  Assume that </w:t>
      </w:r>
      <w:r w:rsidR="00801D53">
        <w:t>two</w:t>
      </w:r>
      <w:r>
        <w:t xml:space="preserve"> plant</w:t>
      </w:r>
      <w:r w:rsidR="00801D53">
        <w:t>s</w:t>
      </w:r>
      <w:r>
        <w:t xml:space="preserve"> per year may experience a malfunction requiring notification to inform the Agency and a written report.</w:t>
      </w:r>
    </w:p>
    <w:p w:rsidR="009F0045" w:rsidRDefault="009F0045" w:rsidP="009F0045">
      <w:pPr>
        <w:widowControl/>
        <w:ind w:right="-90"/>
      </w:pPr>
      <w:r>
        <w:rPr>
          <w:vertAlign w:val="superscript"/>
        </w:rPr>
        <w:t>j</w:t>
      </w:r>
      <w:r>
        <w:t xml:space="preserve">  Ten percent of the 16 by-product plants are expected to experience a venting episode where emissions are released through bypass/bleeder stacks without flaring requiring notification and a written report.</w:t>
      </w:r>
    </w:p>
    <w:p w:rsidR="009F0045" w:rsidRDefault="009F0045" w:rsidP="009F0045">
      <w:pPr>
        <w:widowControl/>
        <w:ind w:right="-90"/>
      </w:pPr>
      <w:bookmarkStart w:id="0" w:name="OLE_LINK1"/>
      <w:r>
        <w:rPr>
          <w:vertAlign w:val="superscript"/>
        </w:rPr>
        <w:t>k</w:t>
      </w:r>
      <w:r>
        <w:t xml:space="preserve">  A</w:t>
      </w:r>
      <w:bookmarkEnd w:id="0"/>
      <w:r>
        <w:t>ll sources have already submitted this initial notification.</w:t>
      </w:r>
    </w:p>
    <w:p w:rsidR="003C5C86" w:rsidRDefault="009F0045" w:rsidP="008F2E24">
      <w:pPr>
        <w:widowControl/>
        <w:ind w:right="-90"/>
      </w:pPr>
      <w:r>
        <w:rPr>
          <w:vertAlign w:val="superscript"/>
        </w:rPr>
        <w:t>l</w:t>
      </w:r>
      <w:r>
        <w:t xml:space="preserve">  All plants are required to submit semiannual compliance certifications.</w:t>
      </w:r>
    </w:p>
    <w:sectPr w:rsidR="003C5C86" w:rsidSect="009F4F90">
      <w:pgSz w:w="15840" w:h="12240" w:orient="landscape" w:code="1"/>
      <w:pgMar w:top="1440" w:right="1440" w:bottom="1440" w:left="1440" w:header="1296"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875" w:rsidRDefault="00D21875">
      <w:r>
        <w:separator/>
      </w:r>
    </w:p>
  </w:endnote>
  <w:endnote w:type="continuationSeparator" w:id="0">
    <w:p w:rsidR="00D21875" w:rsidRDefault="00D21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75" w:rsidRDefault="00D21875" w:rsidP="009361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1875" w:rsidRDefault="00D21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875" w:rsidRDefault="00D21875">
      <w:r>
        <w:separator/>
      </w:r>
    </w:p>
  </w:footnote>
  <w:footnote w:type="continuationSeparator" w:id="0">
    <w:p w:rsidR="00D21875" w:rsidRDefault="00D21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75" w:rsidRDefault="00D21875" w:rsidP="009C276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1875" w:rsidRDefault="00D218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75" w:rsidRDefault="00D21875" w:rsidP="009C2765">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7515D">
      <w:rPr>
        <w:rStyle w:val="PageNumber"/>
        <w:noProof/>
      </w:rPr>
      <w:t>16</w:t>
    </w:r>
    <w:r>
      <w:rPr>
        <w:rStyle w:val="PageNumber"/>
      </w:rPr>
      <w:fldChar w:fldCharType="end"/>
    </w:r>
  </w:p>
  <w:p w:rsidR="00D21875" w:rsidRDefault="00D21875" w:rsidP="00936131">
    <w:pPr>
      <w:pStyle w:val="Header"/>
      <w:framePr w:wrap="around" w:vAnchor="text" w:hAnchor="margin" w:xAlign="center" w:y="1"/>
      <w:rPr>
        <w:rStyle w:val="PageNumber"/>
      </w:rPr>
    </w:pPr>
  </w:p>
  <w:p w:rsidR="00D21875" w:rsidRDefault="00D21875" w:rsidP="009C27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875" w:rsidRDefault="00D21875">
    <w:pPr>
      <w:pStyle w:val="Header"/>
    </w:pPr>
  </w:p>
  <w:p w:rsidR="00D21875" w:rsidRDefault="00D218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45107"/>
    <w:multiLevelType w:val="hybridMultilevel"/>
    <w:tmpl w:val="CCFA10E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C70565"/>
    <w:multiLevelType w:val="hybridMultilevel"/>
    <w:tmpl w:val="FE98D0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3C3093"/>
    <w:multiLevelType w:val="hybridMultilevel"/>
    <w:tmpl w:val="8738E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4C483E"/>
    <w:multiLevelType w:val="hybridMultilevel"/>
    <w:tmpl w:val="4340647E"/>
    <w:lvl w:ilvl="0" w:tplc="ECDC6530">
      <w:start w:val="2"/>
      <w:numFmt w:val="lowerRoman"/>
      <w:lvlText w:val="(%1.)"/>
      <w:lvlJc w:val="left"/>
      <w:pPr>
        <w:tabs>
          <w:tab w:val="num" w:pos="2160"/>
        </w:tabs>
        <w:ind w:left="2160" w:hanging="72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0E21491"/>
    <w:multiLevelType w:val="hybridMultilevel"/>
    <w:tmpl w:val="2CDEB55A"/>
    <w:lvl w:ilvl="0" w:tplc="CF64B41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73DC15FA"/>
    <w:multiLevelType w:val="hybridMultilevel"/>
    <w:tmpl w:val="E6AE3D8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9302B7"/>
    <w:multiLevelType w:val="hybridMultilevel"/>
    <w:tmpl w:val="A7E2141A"/>
    <w:lvl w:ilvl="0" w:tplc="8A9857C6">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C5C86"/>
    <w:rsid w:val="00007075"/>
    <w:rsid w:val="000212FD"/>
    <w:rsid w:val="00034F40"/>
    <w:rsid w:val="00037DFF"/>
    <w:rsid w:val="00046105"/>
    <w:rsid w:val="00046B59"/>
    <w:rsid w:val="000476BA"/>
    <w:rsid w:val="000548D4"/>
    <w:rsid w:val="000758E3"/>
    <w:rsid w:val="00085151"/>
    <w:rsid w:val="0009475D"/>
    <w:rsid w:val="000A4345"/>
    <w:rsid w:val="000A644B"/>
    <w:rsid w:val="000B19BD"/>
    <w:rsid w:val="000B4885"/>
    <w:rsid w:val="000B7522"/>
    <w:rsid w:val="000D52EA"/>
    <w:rsid w:val="000D5B2B"/>
    <w:rsid w:val="000E0997"/>
    <w:rsid w:val="000E1B54"/>
    <w:rsid w:val="000F10FD"/>
    <w:rsid w:val="00120AA8"/>
    <w:rsid w:val="0013092F"/>
    <w:rsid w:val="001353BD"/>
    <w:rsid w:val="001419CC"/>
    <w:rsid w:val="00162811"/>
    <w:rsid w:val="0018326E"/>
    <w:rsid w:val="001965F1"/>
    <w:rsid w:val="001A40C2"/>
    <w:rsid w:val="001A555E"/>
    <w:rsid w:val="001A6590"/>
    <w:rsid w:val="001A6CBE"/>
    <w:rsid w:val="001A7E04"/>
    <w:rsid w:val="001C3696"/>
    <w:rsid w:val="001C6927"/>
    <w:rsid w:val="001F0DAF"/>
    <w:rsid w:val="0020608B"/>
    <w:rsid w:val="0022067D"/>
    <w:rsid w:val="0023636D"/>
    <w:rsid w:val="00243C6F"/>
    <w:rsid w:val="0024739C"/>
    <w:rsid w:val="00250742"/>
    <w:rsid w:val="00250F6F"/>
    <w:rsid w:val="00257263"/>
    <w:rsid w:val="00264EE5"/>
    <w:rsid w:val="00267A0C"/>
    <w:rsid w:val="00272ADF"/>
    <w:rsid w:val="002730FA"/>
    <w:rsid w:val="002812C4"/>
    <w:rsid w:val="00286A56"/>
    <w:rsid w:val="00291B05"/>
    <w:rsid w:val="0029272B"/>
    <w:rsid w:val="00294F9B"/>
    <w:rsid w:val="00297FD5"/>
    <w:rsid w:val="002A648E"/>
    <w:rsid w:val="002A769F"/>
    <w:rsid w:val="002B3C47"/>
    <w:rsid w:val="002C4EE7"/>
    <w:rsid w:val="002C63CA"/>
    <w:rsid w:val="002D5935"/>
    <w:rsid w:val="002D5B7A"/>
    <w:rsid w:val="002E0161"/>
    <w:rsid w:val="002E51B1"/>
    <w:rsid w:val="002E68FF"/>
    <w:rsid w:val="00305C7C"/>
    <w:rsid w:val="0030631B"/>
    <w:rsid w:val="003149DF"/>
    <w:rsid w:val="00326752"/>
    <w:rsid w:val="00333588"/>
    <w:rsid w:val="00336193"/>
    <w:rsid w:val="00347F03"/>
    <w:rsid w:val="003606AB"/>
    <w:rsid w:val="00362E04"/>
    <w:rsid w:val="00363B17"/>
    <w:rsid w:val="00364680"/>
    <w:rsid w:val="00373E48"/>
    <w:rsid w:val="00393B30"/>
    <w:rsid w:val="00397505"/>
    <w:rsid w:val="003A6CDA"/>
    <w:rsid w:val="003B5D0F"/>
    <w:rsid w:val="003C5C86"/>
    <w:rsid w:val="003C7A4E"/>
    <w:rsid w:val="003D6E94"/>
    <w:rsid w:val="003E0E1A"/>
    <w:rsid w:val="003E2CFD"/>
    <w:rsid w:val="003E5934"/>
    <w:rsid w:val="003F21E5"/>
    <w:rsid w:val="003F2F94"/>
    <w:rsid w:val="0040390D"/>
    <w:rsid w:val="00410D06"/>
    <w:rsid w:val="004117EC"/>
    <w:rsid w:val="004155C4"/>
    <w:rsid w:val="004170DB"/>
    <w:rsid w:val="0042141C"/>
    <w:rsid w:val="00441217"/>
    <w:rsid w:val="00441B33"/>
    <w:rsid w:val="00441FE3"/>
    <w:rsid w:val="00455E1C"/>
    <w:rsid w:val="00460606"/>
    <w:rsid w:val="00463909"/>
    <w:rsid w:val="00480ADB"/>
    <w:rsid w:val="004B3709"/>
    <w:rsid w:val="004B5465"/>
    <w:rsid w:val="004C19BA"/>
    <w:rsid w:val="004D1221"/>
    <w:rsid w:val="004D7DCE"/>
    <w:rsid w:val="004E51D0"/>
    <w:rsid w:val="0050301C"/>
    <w:rsid w:val="00504B9E"/>
    <w:rsid w:val="005277D7"/>
    <w:rsid w:val="00535E24"/>
    <w:rsid w:val="00541854"/>
    <w:rsid w:val="00545505"/>
    <w:rsid w:val="00572573"/>
    <w:rsid w:val="00574463"/>
    <w:rsid w:val="0057675C"/>
    <w:rsid w:val="00593467"/>
    <w:rsid w:val="00593F4D"/>
    <w:rsid w:val="00594EA9"/>
    <w:rsid w:val="005A2D62"/>
    <w:rsid w:val="005A3596"/>
    <w:rsid w:val="005A3EBE"/>
    <w:rsid w:val="005A686A"/>
    <w:rsid w:val="005B1B3F"/>
    <w:rsid w:val="005B3DCF"/>
    <w:rsid w:val="005D4652"/>
    <w:rsid w:val="005E4319"/>
    <w:rsid w:val="005E5FB8"/>
    <w:rsid w:val="005F3F0B"/>
    <w:rsid w:val="00613ABB"/>
    <w:rsid w:val="00620D5E"/>
    <w:rsid w:val="006227EA"/>
    <w:rsid w:val="00625161"/>
    <w:rsid w:val="00625A76"/>
    <w:rsid w:val="00634178"/>
    <w:rsid w:val="00635D47"/>
    <w:rsid w:val="006360EE"/>
    <w:rsid w:val="00643FFF"/>
    <w:rsid w:val="00654C88"/>
    <w:rsid w:val="00656A49"/>
    <w:rsid w:val="00656D07"/>
    <w:rsid w:val="00662B50"/>
    <w:rsid w:val="0066742E"/>
    <w:rsid w:val="0067092F"/>
    <w:rsid w:val="006710BC"/>
    <w:rsid w:val="00680D29"/>
    <w:rsid w:val="00686CC9"/>
    <w:rsid w:val="006873DD"/>
    <w:rsid w:val="006964C4"/>
    <w:rsid w:val="006A30D0"/>
    <w:rsid w:val="006A51A7"/>
    <w:rsid w:val="006C5EC4"/>
    <w:rsid w:val="006C71C4"/>
    <w:rsid w:val="006D2F9E"/>
    <w:rsid w:val="006E15CF"/>
    <w:rsid w:val="006E5797"/>
    <w:rsid w:val="006E6FD9"/>
    <w:rsid w:val="006F13D1"/>
    <w:rsid w:val="006F2A0D"/>
    <w:rsid w:val="006F4237"/>
    <w:rsid w:val="00700480"/>
    <w:rsid w:val="0070181D"/>
    <w:rsid w:val="00701D8D"/>
    <w:rsid w:val="00703022"/>
    <w:rsid w:val="007064BE"/>
    <w:rsid w:val="00706D6F"/>
    <w:rsid w:val="00706F22"/>
    <w:rsid w:val="007125A4"/>
    <w:rsid w:val="007144C0"/>
    <w:rsid w:val="00716E60"/>
    <w:rsid w:val="00722842"/>
    <w:rsid w:val="00734771"/>
    <w:rsid w:val="00750A74"/>
    <w:rsid w:val="0075371E"/>
    <w:rsid w:val="0076021E"/>
    <w:rsid w:val="00763503"/>
    <w:rsid w:val="00782205"/>
    <w:rsid w:val="00783C18"/>
    <w:rsid w:val="00787B58"/>
    <w:rsid w:val="0079001C"/>
    <w:rsid w:val="00791A0E"/>
    <w:rsid w:val="00793CD3"/>
    <w:rsid w:val="007C6862"/>
    <w:rsid w:val="007D3B0B"/>
    <w:rsid w:val="007E03A3"/>
    <w:rsid w:val="007E3727"/>
    <w:rsid w:val="007E4C82"/>
    <w:rsid w:val="007F1CF5"/>
    <w:rsid w:val="007F6005"/>
    <w:rsid w:val="00801D53"/>
    <w:rsid w:val="00802382"/>
    <w:rsid w:val="008037B1"/>
    <w:rsid w:val="00804E0E"/>
    <w:rsid w:val="0084414B"/>
    <w:rsid w:val="008447D0"/>
    <w:rsid w:val="00850E54"/>
    <w:rsid w:val="00852420"/>
    <w:rsid w:val="00853371"/>
    <w:rsid w:val="0087515D"/>
    <w:rsid w:val="00881C40"/>
    <w:rsid w:val="008847CD"/>
    <w:rsid w:val="00886CD7"/>
    <w:rsid w:val="00887199"/>
    <w:rsid w:val="008A1B88"/>
    <w:rsid w:val="008B5E22"/>
    <w:rsid w:val="008C235F"/>
    <w:rsid w:val="008C4EBC"/>
    <w:rsid w:val="008D0094"/>
    <w:rsid w:val="008F208D"/>
    <w:rsid w:val="008F2E24"/>
    <w:rsid w:val="008F37CA"/>
    <w:rsid w:val="009009B7"/>
    <w:rsid w:val="00902DF9"/>
    <w:rsid w:val="00902EA1"/>
    <w:rsid w:val="00907415"/>
    <w:rsid w:val="00920E53"/>
    <w:rsid w:val="00930857"/>
    <w:rsid w:val="00936131"/>
    <w:rsid w:val="0093727F"/>
    <w:rsid w:val="0095466D"/>
    <w:rsid w:val="00971C3D"/>
    <w:rsid w:val="00985029"/>
    <w:rsid w:val="00987D6A"/>
    <w:rsid w:val="0099267E"/>
    <w:rsid w:val="009B381E"/>
    <w:rsid w:val="009B7287"/>
    <w:rsid w:val="009C1D8D"/>
    <w:rsid w:val="009C1E60"/>
    <w:rsid w:val="009C2765"/>
    <w:rsid w:val="009C5050"/>
    <w:rsid w:val="009D26C5"/>
    <w:rsid w:val="009E2E5E"/>
    <w:rsid w:val="009E7E4F"/>
    <w:rsid w:val="009F0045"/>
    <w:rsid w:val="009F4AAF"/>
    <w:rsid w:val="009F4F90"/>
    <w:rsid w:val="00A01732"/>
    <w:rsid w:val="00A040D1"/>
    <w:rsid w:val="00A055C4"/>
    <w:rsid w:val="00A06C19"/>
    <w:rsid w:val="00A06E7F"/>
    <w:rsid w:val="00A0711F"/>
    <w:rsid w:val="00A35B39"/>
    <w:rsid w:val="00A54E05"/>
    <w:rsid w:val="00A82FA0"/>
    <w:rsid w:val="00A87ADE"/>
    <w:rsid w:val="00A945C7"/>
    <w:rsid w:val="00AB2491"/>
    <w:rsid w:val="00AB6EF9"/>
    <w:rsid w:val="00AC379C"/>
    <w:rsid w:val="00AC7977"/>
    <w:rsid w:val="00AD20EC"/>
    <w:rsid w:val="00AE00A5"/>
    <w:rsid w:val="00AE13BE"/>
    <w:rsid w:val="00AF39F0"/>
    <w:rsid w:val="00B0393E"/>
    <w:rsid w:val="00B12F32"/>
    <w:rsid w:val="00B16419"/>
    <w:rsid w:val="00B1656D"/>
    <w:rsid w:val="00B16BD1"/>
    <w:rsid w:val="00B20C19"/>
    <w:rsid w:val="00B2401A"/>
    <w:rsid w:val="00B267E0"/>
    <w:rsid w:val="00B3240A"/>
    <w:rsid w:val="00B46560"/>
    <w:rsid w:val="00B553FB"/>
    <w:rsid w:val="00B5565A"/>
    <w:rsid w:val="00B5672F"/>
    <w:rsid w:val="00B57637"/>
    <w:rsid w:val="00B60720"/>
    <w:rsid w:val="00B64FF3"/>
    <w:rsid w:val="00B67398"/>
    <w:rsid w:val="00B72CD6"/>
    <w:rsid w:val="00B75487"/>
    <w:rsid w:val="00B85CE8"/>
    <w:rsid w:val="00B90AA5"/>
    <w:rsid w:val="00B946C0"/>
    <w:rsid w:val="00B95598"/>
    <w:rsid w:val="00BA3BD8"/>
    <w:rsid w:val="00BA534A"/>
    <w:rsid w:val="00BA6685"/>
    <w:rsid w:val="00BA6772"/>
    <w:rsid w:val="00BA6C1C"/>
    <w:rsid w:val="00BB2093"/>
    <w:rsid w:val="00BC51BE"/>
    <w:rsid w:val="00BD0F8C"/>
    <w:rsid w:val="00BE6C05"/>
    <w:rsid w:val="00BF6F2D"/>
    <w:rsid w:val="00C113A9"/>
    <w:rsid w:val="00C13DCF"/>
    <w:rsid w:val="00C22C77"/>
    <w:rsid w:val="00C25204"/>
    <w:rsid w:val="00C265C6"/>
    <w:rsid w:val="00C32BAF"/>
    <w:rsid w:val="00C33645"/>
    <w:rsid w:val="00C44A44"/>
    <w:rsid w:val="00C55308"/>
    <w:rsid w:val="00C579F0"/>
    <w:rsid w:val="00C607B4"/>
    <w:rsid w:val="00C652DA"/>
    <w:rsid w:val="00C66B08"/>
    <w:rsid w:val="00C67F16"/>
    <w:rsid w:val="00C7337C"/>
    <w:rsid w:val="00C85CA4"/>
    <w:rsid w:val="00C922EE"/>
    <w:rsid w:val="00C924AF"/>
    <w:rsid w:val="00C96119"/>
    <w:rsid w:val="00CA6FAF"/>
    <w:rsid w:val="00CA7C0C"/>
    <w:rsid w:val="00CB6F83"/>
    <w:rsid w:val="00CC0145"/>
    <w:rsid w:val="00CC0204"/>
    <w:rsid w:val="00CC0FDB"/>
    <w:rsid w:val="00CC547B"/>
    <w:rsid w:val="00CD5C45"/>
    <w:rsid w:val="00CE0860"/>
    <w:rsid w:val="00CE104F"/>
    <w:rsid w:val="00CE1143"/>
    <w:rsid w:val="00CE3102"/>
    <w:rsid w:val="00CE37A0"/>
    <w:rsid w:val="00CE4AA4"/>
    <w:rsid w:val="00CF29B4"/>
    <w:rsid w:val="00CF798F"/>
    <w:rsid w:val="00D021D0"/>
    <w:rsid w:val="00D0279C"/>
    <w:rsid w:val="00D0621C"/>
    <w:rsid w:val="00D06BD9"/>
    <w:rsid w:val="00D1025D"/>
    <w:rsid w:val="00D14F76"/>
    <w:rsid w:val="00D2045F"/>
    <w:rsid w:val="00D21875"/>
    <w:rsid w:val="00D32486"/>
    <w:rsid w:val="00D33760"/>
    <w:rsid w:val="00D37256"/>
    <w:rsid w:val="00D406CB"/>
    <w:rsid w:val="00D40D63"/>
    <w:rsid w:val="00D43F7D"/>
    <w:rsid w:val="00D45792"/>
    <w:rsid w:val="00D511F6"/>
    <w:rsid w:val="00D55AF8"/>
    <w:rsid w:val="00D61DA6"/>
    <w:rsid w:val="00D6344C"/>
    <w:rsid w:val="00D65630"/>
    <w:rsid w:val="00D72DA9"/>
    <w:rsid w:val="00D74189"/>
    <w:rsid w:val="00D76EBC"/>
    <w:rsid w:val="00D77A11"/>
    <w:rsid w:val="00D843D6"/>
    <w:rsid w:val="00D92942"/>
    <w:rsid w:val="00DA0868"/>
    <w:rsid w:val="00DA37B2"/>
    <w:rsid w:val="00DA7DDF"/>
    <w:rsid w:val="00DB0031"/>
    <w:rsid w:val="00DC44F9"/>
    <w:rsid w:val="00DC7D78"/>
    <w:rsid w:val="00DD2A3B"/>
    <w:rsid w:val="00DF07A5"/>
    <w:rsid w:val="00DF31BB"/>
    <w:rsid w:val="00DF4B28"/>
    <w:rsid w:val="00E01EA4"/>
    <w:rsid w:val="00E04E71"/>
    <w:rsid w:val="00E11459"/>
    <w:rsid w:val="00E16419"/>
    <w:rsid w:val="00E370A8"/>
    <w:rsid w:val="00E4315B"/>
    <w:rsid w:val="00E43A7B"/>
    <w:rsid w:val="00E442B6"/>
    <w:rsid w:val="00E446AD"/>
    <w:rsid w:val="00E4484A"/>
    <w:rsid w:val="00E51B7C"/>
    <w:rsid w:val="00E54424"/>
    <w:rsid w:val="00E723CB"/>
    <w:rsid w:val="00E852E1"/>
    <w:rsid w:val="00E90E54"/>
    <w:rsid w:val="00E918FF"/>
    <w:rsid w:val="00E95FCD"/>
    <w:rsid w:val="00EB3970"/>
    <w:rsid w:val="00EB3E19"/>
    <w:rsid w:val="00EB4029"/>
    <w:rsid w:val="00EB6348"/>
    <w:rsid w:val="00EC0339"/>
    <w:rsid w:val="00ED160B"/>
    <w:rsid w:val="00ED1681"/>
    <w:rsid w:val="00EE1319"/>
    <w:rsid w:val="00EE1CED"/>
    <w:rsid w:val="00EE3F17"/>
    <w:rsid w:val="00EF3167"/>
    <w:rsid w:val="00EF3B80"/>
    <w:rsid w:val="00EF58A6"/>
    <w:rsid w:val="00EF7C50"/>
    <w:rsid w:val="00F0275D"/>
    <w:rsid w:val="00F03767"/>
    <w:rsid w:val="00F1328F"/>
    <w:rsid w:val="00F141B4"/>
    <w:rsid w:val="00F15059"/>
    <w:rsid w:val="00F1568F"/>
    <w:rsid w:val="00F2141E"/>
    <w:rsid w:val="00F3550F"/>
    <w:rsid w:val="00F35BD7"/>
    <w:rsid w:val="00F52EBE"/>
    <w:rsid w:val="00F62B5E"/>
    <w:rsid w:val="00F6653F"/>
    <w:rsid w:val="00F84B28"/>
    <w:rsid w:val="00F85132"/>
    <w:rsid w:val="00F853BA"/>
    <w:rsid w:val="00F94A28"/>
    <w:rsid w:val="00FA1A6A"/>
    <w:rsid w:val="00FA49BC"/>
    <w:rsid w:val="00FB3999"/>
    <w:rsid w:val="00FB6CF8"/>
    <w:rsid w:val="00FC6150"/>
    <w:rsid w:val="00FD61DA"/>
    <w:rsid w:val="00FE55D6"/>
    <w:rsid w:val="00FE571D"/>
    <w:rsid w:val="00FF2A06"/>
    <w:rsid w:val="00FF2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DC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B3E19"/>
    <w:pPr>
      <w:widowControl/>
      <w:autoSpaceDE/>
      <w:autoSpaceDN/>
      <w:adjustRightInd/>
    </w:pPr>
    <w:rPr>
      <w:rFonts w:ascii="Tahoma" w:hAnsi="Tahoma" w:cs="Tahoma"/>
      <w:sz w:val="16"/>
      <w:szCs w:val="16"/>
    </w:rPr>
  </w:style>
  <w:style w:type="character" w:styleId="FootnoteReference">
    <w:name w:val="footnote reference"/>
    <w:rsid w:val="00C13DCF"/>
  </w:style>
  <w:style w:type="character" w:customStyle="1" w:styleId="1">
    <w:name w:val="1"/>
    <w:rsid w:val="00850E54"/>
  </w:style>
  <w:style w:type="paragraph" w:styleId="Footer">
    <w:name w:val="footer"/>
    <w:basedOn w:val="Normal"/>
    <w:rsid w:val="00034F40"/>
    <w:pPr>
      <w:tabs>
        <w:tab w:val="center" w:pos="4320"/>
        <w:tab w:val="right" w:pos="8640"/>
      </w:tabs>
    </w:pPr>
  </w:style>
  <w:style w:type="character" w:styleId="PageNumber">
    <w:name w:val="page number"/>
    <w:basedOn w:val="DefaultParagraphFont"/>
    <w:rsid w:val="00034F40"/>
  </w:style>
  <w:style w:type="paragraph" w:styleId="Header">
    <w:name w:val="header"/>
    <w:basedOn w:val="Normal"/>
    <w:rsid w:val="00034F40"/>
    <w:pPr>
      <w:tabs>
        <w:tab w:val="center" w:pos="4320"/>
        <w:tab w:val="right" w:pos="8640"/>
      </w:tabs>
    </w:pPr>
  </w:style>
  <w:style w:type="character" w:styleId="CommentReference">
    <w:name w:val="annotation reference"/>
    <w:basedOn w:val="DefaultParagraphFont"/>
    <w:rsid w:val="006F4237"/>
    <w:rPr>
      <w:sz w:val="16"/>
      <w:szCs w:val="16"/>
    </w:rPr>
  </w:style>
  <w:style w:type="paragraph" w:styleId="CommentText">
    <w:name w:val="annotation text"/>
    <w:basedOn w:val="Normal"/>
    <w:link w:val="CommentTextChar"/>
    <w:rsid w:val="006F4237"/>
    <w:rPr>
      <w:sz w:val="20"/>
      <w:szCs w:val="20"/>
    </w:rPr>
  </w:style>
  <w:style w:type="character" w:customStyle="1" w:styleId="CommentTextChar">
    <w:name w:val="Comment Text Char"/>
    <w:basedOn w:val="DefaultParagraphFont"/>
    <w:link w:val="CommentText"/>
    <w:rsid w:val="006F4237"/>
  </w:style>
  <w:style w:type="paragraph" w:styleId="CommentSubject">
    <w:name w:val="annotation subject"/>
    <w:basedOn w:val="CommentText"/>
    <w:next w:val="CommentText"/>
    <w:link w:val="CommentSubjectChar"/>
    <w:rsid w:val="006F4237"/>
    <w:rPr>
      <w:b/>
      <w:bCs/>
    </w:rPr>
  </w:style>
  <w:style w:type="character" w:customStyle="1" w:styleId="CommentSubjectChar">
    <w:name w:val="Comment Subject Char"/>
    <w:basedOn w:val="CommentTextChar"/>
    <w:link w:val="CommentSubject"/>
    <w:rsid w:val="006F4237"/>
    <w:rPr>
      <w:b/>
      <w:bCs/>
    </w:rPr>
  </w:style>
  <w:style w:type="character" w:customStyle="1" w:styleId="Hypertext">
    <w:name w:val="Hypertext"/>
    <w:rsid w:val="00EE3F17"/>
    <w:rPr>
      <w:color w:val="0000FF"/>
      <w:u w:val="single"/>
    </w:rPr>
  </w:style>
  <w:style w:type="paragraph" w:styleId="DocumentMap">
    <w:name w:val="Document Map"/>
    <w:basedOn w:val="Normal"/>
    <w:link w:val="DocumentMapChar"/>
    <w:rsid w:val="00162811"/>
    <w:rPr>
      <w:rFonts w:ascii="Tahoma" w:hAnsi="Tahoma" w:cs="Tahoma"/>
      <w:sz w:val="16"/>
      <w:szCs w:val="16"/>
    </w:rPr>
  </w:style>
  <w:style w:type="character" w:customStyle="1" w:styleId="DocumentMapChar">
    <w:name w:val="Document Map Char"/>
    <w:basedOn w:val="DefaultParagraphFont"/>
    <w:link w:val="DocumentMap"/>
    <w:rsid w:val="00162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8370543">
      <w:bodyDiv w:val="1"/>
      <w:marLeft w:val="0"/>
      <w:marRight w:val="0"/>
      <w:marTop w:val="0"/>
      <w:marBottom w:val="0"/>
      <w:divBdr>
        <w:top w:val="none" w:sz="0" w:space="0" w:color="auto"/>
        <w:left w:val="none" w:sz="0" w:space="0" w:color="auto"/>
        <w:bottom w:val="none" w:sz="0" w:space="0" w:color="auto"/>
        <w:right w:val="none" w:sz="0" w:space="0" w:color="auto"/>
      </w:divBdr>
    </w:div>
    <w:div w:id="1875803607">
      <w:bodyDiv w:val="1"/>
      <w:marLeft w:val="0"/>
      <w:marRight w:val="0"/>
      <w:marTop w:val="0"/>
      <w:marBottom w:val="0"/>
      <w:divBdr>
        <w:top w:val="none" w:sz="0" w:space="0" w:color="auto"/>
        <w:left w:val="none" w:sz="0" w:space="0" w:color="auto"/>
        <w:bottom w:val="none" w:sz="0" w:space="0" w:color="auto"/>
        <w:right w:val="none" w:sz="0" w:space="0" w:color="auto"/>
      </w:divBdr>
    </w:div>
    <w:div w:id="1881551486">
      <w:bodyDiv w:val="1"/>
      <w:marLeft w:val="0"/>
      <w:marRight w:val="0"/>
      <w:marTop w:val="0"/>
      <w:marBottom w:val="0"/>
      <w:divBdr>
        <w:top w:val="none" w:sz="0" w:space="0" w:color="auto"/>
        <w:left w:val="none" w:sz="0" w:space="0" w:color="auto"/>
        <w:bottom w:val="none" w:sz="0" w:space="0" w:color="auto"/>
        <w:right w:val="none" w:sz="0" w:space="0" w:color="auto"/>
      </w:divBdr>
    </w:div>
    <w:div w:id="1909263965">
      <w:bodyDiv w:val="1"/>
      <w:marLeft w:val="0"/>
      <w:marRight w:val="0"/>
      <w:marTop w:val="0"/>
      <w:marBottom w:val="0"/>
      <w:divBdr>
        <w:top w:val="none" w:sz="0" w:space="0" w:color="auto"/>
        <w:left w:val="none" w:sz="0" w:space="0" w:color="auto"/>
        <w:bottom w:val="none" w:sz="0" w:space="0" w:color="auto"/>
        <w:right w:val="none" w:sz="0" w:space="0" w:color="auto"/>
      </w:divBdr>
    </w:div>
    <w:div w:id="2122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6213</Words>
  <Characters>35000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Eastern Research Group, Inc.</Company>
  <LinksUpToDate>false</LinksUpToDate>
  <CharactersWithSpaces>41131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OnlineHealthSupply</dc:creator>
  <cp:lastModifiedBy>wwrigley</cp:lastModifiedBy>
  <cp:revision>2</cp:revision>
  <cp:lastPrinted>2008-10-15T14:58:00Z</cp:lastPrinted>
  <dcterms:created xsi:type="dcterms:W3CDTF">2012-04-04T15:36:00Z</dcterms:created>
  <dcterms:modified xsi:type="dcterms:W3CDTF">2012-04-04T15:36:00Z</dcterms:modified>
</cp:coreProperties>
</file>