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27" w:rsidRDefault="005A2127" w:rsidP="005A2127">
      <w:pPr>
        <w:jc w:val="center"/>
        <w:rPr>
          <w:b/>
          <w:bCs/>
          <w:sz w:val="32"/>
          <w:szCs w:val="32"/>
        </w:rPr>
      </w:pPr>
      <w:r>
        <w:rPr>
          <w:b/>
          <w:bCs/>
          <w:sz w:val="32"/>
          <w:szCs w:val="32"/>
        </w:rPr>
        <w:t>Supporting Statement: Part A</w:t>
      </w:r>
    </w:p>
    <w:p w:rsidR="00F20726" w:rsidRDefault="00F20726" w:rsidP="005A2127">
      <w:pPr>
        <w:jc w:val="center"/>
        <w:rPr>
          <w:b/>
          <w:bCs/>
          <w:sz w:val="32"/>
          <w:szCs w:val="32"/>
        </w:rPr>
      </w:pPr>
    </w:p>
    <w:p w:rsidR="00F20726" w:rsidRDefault="00F20726" w:rsidP="005A2127">
      <w:pPr>
        <w:jc w:val="center"/>
        <w:rPr>
          <w:b/>
          <w:bCs/>
          <w:sz w:val="32"/>
          <w:szCs w:val="32"/>
        </w:rPr>
      </w:pPr>
    </w:p>
    <w:p w:rsidR="005A2127" w:rsidRDefault="005A2127" w:rsidP="005A2127">
      <w:pPr>
        <w:tabs>
          <w:tab w:val="center" w:pos="4680"/>
        </w:tabs>
        <w:jc w:val="center"/>
        <w:rPr>
          <w:b/>
          <w:bCs/>
          <w:sz w:val="24"/>
          <w:szCs w:val="32"/>
        </w:rPr>
      </w:pPr>
    </w:p>
    <w:p w:rsidR="005A2127" w:rsidRDefault="005A2127" w:rsidP="005A2127">
      <w:pPr>
        <w:tabs>
          <w:tab w:val="center" w:pos="4680"/>
        </w:tabs>
        <w:jc w:val="center"/>
        <w:rPr>
          <w:b/>
          <w:bCs/>
          <w:sz w:val="28"/>
          <w:szCs w:val="28"/>
        </w:rPr>
      </w:pPr>
      <w:r w:rsidRPr="005A2127">
        <w:rPr>
          <w:b/>
          <w:bCs/>
          <w:sz w:val="28"/>
          <w:szCs w:val="28"/>
        </w:rPr>
        <w:t xml:space="preserve">Evaluation of the Consumer Education Campaign </w:t>
      </w:r>
      <w:r w:rsidRPr="005A2127">
        <w:rPr>
          <w:b/>
          <w:bCs/>
          <w:sz w:val="28"/>
          <w:szCs w:val="28"/>
        </w:rPr>
        <w:br/>
        <w:t xml:space="preserve">"Make the Call - Don't Miss a Beat" </w:t>
      </w:r>
    </w:p>
    <w:p w:rsidR="005A2127" w:rsidRPr="005A2127" w:rsidRDefault="005A2127" w:rsidP="005A2127">
      <w:pPr>
        <w:tabs>
          <w:tab w:val="center" w:pos="4680"/>
        </w:tabs>
        <w:jc w:val="center"/>
        <w:rPr>
          <w:b/>
          <w:bCs/>
          <w:sz w:val="28"/>
          <w:szCs w:val="28"/>
        </w:rPr>
      </w:pPr>
      <w:proofErr w:type="gramStart"/>
      <w:r w:rsidRPr="005A2127">
        <w:rPr>
          <w:b/>
          <w:bCs/>
          <w:sz w:val="28"/>
          <w:szCs w:val="28"/>
        </w:rPr>
        <w:t xml:space="preserve">Office of Women's Health (OWH), </w:t>
      </w:r>
      <w:r w:rsidRPr="005A2127">
        <w:rPr>
          <w:b/>
          <w:bCs/>
          <w:sz w:val="28"/>
          <w:szCs w:val="28"/>
        </w:rPr>
        <w:br/>
        <w:t>U.S.</w:t>
      </w:r>
      <w:proofErr w:type="gramEnd"/>
      <w:r w:rsidRPr="005A2127">
        <w:rPr>
          <w:b/>
          <w:bCs/>
          <w:sz w:val="28"/>
          <w:szCs w:val="28"/>
        </w:rPr>
        <w:t xml:space="preserve">  Department of Health and Human Services (HHS) </w:t>
      </w:r>
    </w:p>
    <w:p w:rsidR="005A2127" w:rsidRDefault="005A2127" w:rsidP="005A2127">
      <w:pPr>
        <w:jc w:val="center"/>
        <w:rPr>
          <w:b/>
          <w:bCs/>
          <w:sz w:val="24"/>
        </w:rPr>
      </w:pPr>
    </w:p>
    <w:p w:rsidR="005A2127" w:rsidRDefault="005A2127" w:rsidP="005A2127">
      <w:pPr>
        <w:jc w:val="center"/>
        <w:rPr>
          <w:b/>
          <w:bCs/>
        </w:rPr>
      </w:pPr>
    </w:p>
    <w:p w:rsidR="00F20726" w:rsidRDefault="00F20726" w:rsidP="005A2127">
      <w:pPr>
        <w:jc w:val="center"/>
        <w:rPr>
          <w:b/>
          <w:bCs/>
        </w:rPr>
      </w:pPr>
    </w:p>
    <w:p w:rsidR="00F20726" w:rsidRDefault="00F20726" w:rsidP="005A2127">
      <w:pPr>
        <w:jc w:val="center"/>
        <w:rPr>
          <w:b/>
          <w:bCs/>
        </w:rPr>
      </w:pPr>
    </w:p>
    <w:p w:rsidR="00F20726" w:rsidRDefault="00F20726" w:rsidP="005A2127">
      <w:pPr>
        <w:jc w:val="center"/>
        <w:rPr>
          <w:b/>
          <w:bCs/>
        </w:rPr>
      </w:pPr>
    </w:p>
    <w:p w:rsidR="00F20726" w:rsidRDefault="00F20726" w:rsidP="005A2127">
      <w:pPr>
        <w:jc w:val="center"/>
        <w:rPr>
          <w:b/>
          <w:bCs/>
        </w:rPr>
      </w:pPr>
    </w:p>
    <w:p w:rsidR="005A2127" w:rsidRDefault="005A2127" w:rsidP="005A2127">
      <w:pPr>
        <w:jc w:val="center"/>
        <w:rPr>
          <w:b/>
          <w:bCs/>
          <w:sz w:val="28"/>
          <w:szCs w:val="28"/>
        </w:rPr>
      </w:pPr>
      <w:r>
        <w:rPr>
          <w:b/>
          <w:bCs/>
          <w:sz w:val="28"/>
          <w:szCs w:val="28"/>
        </w:rPr>
        <w:t>Submitted by:</w:t>
      </w:r>
    </w:p>
    <w:p w:rsidR="005A2127" w:rsidRDefault="005A2127" w:rsidP="005A2127">
      <w:pPr>
        <w:jc w:val="center"/>
        <w:rPr>
          <w:b/>
          <w:bCs/>
          <w:sz w:val="28"/>
          <w:szCs w:val="28"/>
        </w:rPr>
      </w:pPr>
      <w:r>
        <w:rPr>
          <w:b/>
          <w:bCs/>
          <w:sz w:val="28"/>
          <w:szCs w:val="28"/>
        </w:rPr>
        <w:t>Judith Labiner-Wolfe, PhD</w:t>
      </w:r>
    </w:p>
    <w:p w:rsidR="005A2127" w:rsidRDefault="005A2127" w:rsidP="005A2127">
      <w:pPr>
        <w:jc w:val="center"/>
        <w:rPr>
          <w:sz w:val="24"/>
        </w:rPr>
      </w:pPr>
      <w:r>
        <w:t>Office on Women’s Health</w:t>
      </w:r>
    </w:p>
    <w:p w:rsidR="005A2127" w:rsidRDefault="005A2127" w:rsidP="005A2127">
      <w:pPr>
        <w:jc w:val="center"/>
      </w:pPr>
      <w:r>
        <w:t>Office of the Assistant Secretary for Health</w:t>
      </w:r>
    </w:p>
    <w:p w:rsidR="005A2127" w:rsidRDefault="005A2127" w:rsidP="005A2127">
      <w:pPr>
        <w:jc w:val="center"/>
      </w:pPr>
      <w:r>
        <w:t>Department of Health and Human Services</w:t>
      </w:r>
    </w:p>
    <w:p w:rsidR="005A2127" w:rsidRDefault="005A2127" w:rsidP="005A2127">
      <w:pPr>
        <w:jc w:val="center"/>
      </w:pPr>
      <w:r>
        <w:t xml:space="preserve">Email: </w:t>
      </w:r>
      <w:hyperlink r:id="rId7" w:history="1">
        <w:r>
          <w:rPr>
            <w:rStyle w:val="Hyperlink"/>
          </w:rPr>
          <w:t>Judith.Labiner-Wolfe@hhs.gov</w:t>
        </w:r>
      </w:hyperlink>
    </w:p>
    <w:p w:rsidR="005A2127" w:rsidRDefault="005A2127" w:rsidP="005A2127">
      <w:pPr>
        <w:jc w:val="center"/>
      </w:pPr>
      <w:r>
        <w:t>Phone: (202) 260-0904</w:t>
      </w:r>
    </w:p>
    <w:p w:rsidR="005A2127" w:rsidRDefault="005A2127" w:rsidP="005A2127">
      <w:pPr>
        <w:jc w:val="center"/>
      </w:pPr>
    </w:p>
    <w:p w:rsidR="005A2127" w:rsidRDefault="005A2127"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F20726" w:rsidRDefault="00F20726" w:rsidP="005A2127"/>
    <w:p w:rsidR="005A2127" w:rsidRDefault="005A2127" w:rsidP="005A2127">
      <w:pPr>
        <w:jc w:val="center"/>
        <w:rPr>
          <w:b/>
          <w:bCs/>
        </w:rPr>
      </w:pPr>
      <w:r>
        <w:br/>
      </w:r>
      <w:r w:rsidR="00174269">
        <w:rPr>
          <w:b/>
          <w:bCs/>
        </w:rPr>
        <w:t xml:space="preserve">February </w:t>
      </w:r>
      <w:r w:rsidR="004A34D2">
        <w:rPr>
          <w:b/>
          <w:bCs/>
        </w:rPr>
        <w:t>14</w:t>
      </w:r>
      <w:r>
        <w:rPr>
          <w:b/>
          <w:bCs/>
        </w:rPr>
        <w:t>, 2012</w:t>
      </w:r>
    </w:p>
    <w:p w:rsidR="005A2127" w:rsidRDefault="005A2127" w:rsidP="005A2127">
      <w:pPr>
        <w:tabs>
          <w:tab w:val="center" w:pos="4680"/>
        </w:tabs>
        <w:jc w:val="center"/>
        <w:rPr>
          <w:b/>
          <w:bCs/>
          <w:sz w:val="24"/>
          <w:szCs w:val="32"/>
        </w:rPr>
      </w:pPr>
      <w:r>
        <w:rPr>
          <w:b/>
          <w:bCs/>
        </w:rPr>
        <w:br w:type="page"/>
      </w:r>
    </w:p>
    <w:p w:rsidR="00F80C9B" w:rsidRDefault="00F80C9B" w:rsidP="00F80C9B">
      <w:pPr>
        <w:rPr>
          <w:b/>
          <w:bCs/>
          <w:sz w:val="24"/>
        </w:rPr>
      </w:pPr>
    </w:p>
    <w:p w:rsidR="00F80C9B" w:rsidRDefault="00F80C9B" w:rsidP="00F80C9B">
      <w:pPr>
        <w:rPr>
          <w:b/>
          <w:bCs/>
          <w:sz w:val="24"/>
        </w:rPr>
      </w:pPr>
    </w:p>
    <w:p w:rsidR="00F80C9B" w:rsidRDefault="00F80C9B" w:rsidP="00F80C9B">
      <w:pPr>
        <w:rPr>
          <w:b/>
          <w:bCs/>
          <w:sz w:val="24"/>
        </w:rPr>
      </w:pPr>
      <w:r>
        <w:rPr>
          <w:b/>
          <w:bCs/>
          <w:sz w:val="24"/>
        </w:rPr>
        <w:t>A.</w:t>
      </w:r>
      <w:r>
        <w:rPr>
          <w:b/>
          <w:bCs/>
          <w:sz w:val="24"/>
        </w:rPr>
        <w:tab/>
        <w:t>Justification</w:t>
      </w:r>
    </w:p>
    <w:p w:rsidR="00F80C9B" w:rsidRDefault="00F80C9B" w:rsidP="00F80C9B">
      <w:pPr>
        <w:rPr>
          <w:sz w:val="24"/>
        </w:rPr>
      </w:pPr>
    </w:p>
    <w:p w:rsidR="00F80C9B" w:rsidRDefault="00F80C9B" w:rsidP="00F80C9B">
      <w:pPr>
        <w:numPr>
          <w:ilvl w:val="0"/>
          <w:numId w:val="1"/>
        </w:numPr>
        <w:rPr>
          <w:b/>
          <w:sz w:val="24"/>
        </w:rPr>
      </w:pPr>
      <w:r>
        <w:rPr>
          <w:b/>
          <w:sz w:val="24"/>
          <w:u w:val="single"/>
        </w:rPr>
        <w:t>Circumstances Making the Collection of Information Necessary</w:t>
      </w:r>
    </w:p>
    <w:p w:rsidR="00853936" w:rsidRDefault="00F80C9B" w:rsidP="00F80C9B">
      <w:pPr>
        <w:ind w:left="1080"/>
        <w:rPr>
          <w:sz w:val="24"/>
        </w:rPr>
      </w:pPr>
      <w:r w:rsidRPr="00A61CD7">
        <w:rPr>
          <w:sz w:val="24"/>
        </w:rPr>
        <w:t>The "Make the Call. Don't Miss a Beat" campaign is a national Public Service Announcement</w:t>
      </w:r>
      <w:r>
        <w:rPr>
          <w:sz w:val="24"/>
        </w:rPr>
        <w:t xml:space="preserve"> </w:t>
      </w:r>
      <w:r w:rsidRPr="00A61CD7">
        <w:rPr>
          <w:sz w:val="24"/>
        </w:rPr>
        <w:t xml:space="preserve">(PSA) campaign that aims to educate, engage and empower women and their families to learn the seven most common symptoms of a heart attack and </w:t>
      </w:r>
      <w:r>
        <w:rPr>
          <w:sz w:val="24"/>
        </w:rPr>
        <w:t>to call 91</w:t>
      </w:r>
      <w:r w:rsidRPr="00A61CD7">
        <w:rPr>
          <w:sz w:val="24"/>
        </w:rPr>
        <w:t>1 as soon as those symptoms arise. A woman suffers a heart attack every minute in the United States. Yet according to a 2009 American Heart Association (AHA) survey only half of wo</w:t>
      </w:r>
      <w:r>
        <w:rPr>
          <w:sz w:val="24"/>
        </w:rPr>
        <w:t>men indicated they would call 91</w:t>
      </w:r>
      <w:r w:rsidRPr="00A61CD7">
        <w:rPr>
          <w:sz w:val="24"/>
        </w:rPr>
        <w:t>1 if they thought they were having a heart attack and few were aware of the most common heart attack symptoms. The "Make the Call. Don't Miss a Beat" campaign, developed by the U.S. Department of</w:t>
      </w:r>
      <w:r>
        <w:rPr>
          <w:sz w:val="24"/>
        </w:rPr>
        <w:t xml:space="preserve"> </w:t>
      </w:r>
      <w:r w:rsidRPr="00A61CD7">
        <w:rPr>
          <w:sz w:val="24"/>
        </w:rPr>
        <w:t>Health and Human Services' Office on Women's Health (OWH), encourage</w:t>
      </w:r>
      <w:r>
        <w:rPr>
          <w:sz w:val="24"/>
        </w:rPr>
        <w:t>s women to make the call to 91</w:t>
      </w:r>
      <w:r w:rsidRPr="00A61CD7">
        <w:rPr>
          <w:sz w:val="24"/>
        </w:rPr>
        <w:t>1 immediately if they experience one or more key heart attack symptoms.</w:t>
      </w:r>
      <w:r>
        <w:rPr>
          <w:sz w:val="24"/>
        </w:rPr>
        <w:t xml:space="preserve"> </w:t>
      </w:r>
      <w:r w:rsidRPr="00A61CD7">
        <w:rPr>
          <w:sz w:val="24"/>
        </w:rPr>
        <w:t>The campaign launched in February, 2011 and includes TV, radio, print and social media PSA</w:t>
      </w:r>
      <w:r>
        <w:rPr>
          <w:sz w:val="24"/>
        </w:rPr>
        <w:t>. The purpose of this study is to</w:t>
      </w:r>
      <w:r w:rsidRPr="00A61CD7">
        <w:rPr>
          <w:sz w:val="24"/>
        </w:rPr>
        <w:t xml:space="preserve"> conduct evaluative research to assess the likely effectiveness of </w:t>
      </w:r>
      <w:r>
        <w:rPr>
          <w:sz w:val="24"/>
        </w:rPr>
        <w:t xml:space="preserve">this </w:t>
      </w:r>
      <w:r w:rsidRPr="00A61CD7">
        <w:rPr>
          <w:sz w:val="24"/>
        </w:rPr>
        <w:t>consum</w:t>
      </w:r>
      <w:r>
        <w:rPr>
          <w:sz w:val="24"/>
        </w:rPr>
        <w:t>er communication, particularly with women over 50</w:t>
      </w:r>
      <w:r w:rsidRPr="00A61CD7">
        <w:rPr>
          <w:sz w:val="24"/>
        </w:rPr>
        <w:t xml:space="preserve">. </w:t>
      </w:r>
      <w:r w:rsidR="00853936">
        <w:rPr>
          <w:sz w:val="24"/>
        </w:rPr>
        <w:t xml:space="preserve"> </w:t>
      </w:r>
    </w:p>
    <w:p w:rsidR="00853936" w:rsidRDefault="00853936" w:rsidP="00F80C9B">
      <w:pPr>
        <w:ind w:left="1080"/>
        <w:rPr>
          <w:sz w:val="24"/>
        </w:rPr>
      </w:pPr>
    </w:p>
    <w:p w:rsidR="00F80C9B" w:rsidRPr="00853936" w:rsidRDefault="00853936" w:rsidP="00F80C9B">
      <w:pPr>
        <w:ind w:left="1080"/>
        <w:rPr>
          <w:sz w:val="24"/>
        </w:rPr>
      </w:pPr>
      <w:r w:rsidRPr="00853936">
        <w:rPr>
          <w:sz w:val="24"/>
        </w:rPr>
        <w:t xml:space="preserve">Section 301 of the Public Health Services Act (42 U.S.C. 241) authorizes the collection of this data.  </w:t>
      </w:r>
    </w:p>
    <w:p w:rsidR="00F80C9B" w:rsidRPr="00853936" w:rsidRDefault="00F80C9B" w:rsidP="00F80C9B">
      <w:pPr>
        <w:ind w:left="360"/>
        <w:rPr>
          <w:sz w:val="24"/>
        </w:rPr>
      </w:pPr>
    </w:p>
    <w:p w:rsidR="00B04841" w:rsidRDefault="00F80C9B" w:rsidP="00B04841">
      <w:pPr>
        <w:numPr>
          <w:ilvl w:val="0"/>
          <w:numId w:val="1"/>
        </w:numPr>
        <w:rPr>
          <w:b/>
          <w:sz w:val="24"/>
        </w:rPr>
      </w:pPr>
      <w:r>
        <w:rPr>
          <w:b/>
          <w:sz w:val="24"/>
          <w:u w:val="single"/>
        </w:rPr>
        <w:t>Purpose and Use of Information Collection</w:t>
      </w:r>
    </w:p>
    <w:p w:rsidR="00F80C9B" w:rsidRPr="00B04841" w:rsidRDefault="00751750" w:rsidP="00B04841">
      <w:pPr>
        <w:ind w:left="1080"/>
        <w:rPr>
          <w:b/>
          <w:sz w:val="24"/>
        </w:rPr>
      </w:pPr>
      <w:r>
        <w:rPr>
          <w:sz w:val="24"/>
        </w:rPr>
        <w:t>This data collection will add questions to an exi</w:t>
      </w:r>
      <w:r w:rsidR="00A10642">
        <w:rPr>
          <w:sz w:val="24"/>
        </w:rPr>
        <w:t>sting survey from the American H</w:t>
      </w:r>
      <w:r>
        <w:rPr>
          <w:sz w:val="24"/>
        </w:rPr>
        <w:t>eart Association (AHA) to</w:t>
      </w:r>
      <w:r w:rsidR="00031165">
        <w:rPr>
          <w:sz w:val="24"/>
        </w:rPr>
        <w:t>:</w:t>
      </w:r>
    </w:p>
    <w:p w:rsidR="00F80C9B" w:rsidRPr="00453EC8" w:rsidRDefault="00F80C9B" w:rsidP="00F80C9B">
      <w:pPr>
        <w:widowControl/>
        <w:numPr>
          <w:ilvl w:val="0"/>
          <w:numId w:val="4"/>
        </w:numPr>
        <w:autoSpaceDE/>
        <w:autoSpaceDN/>
        <w:adjustRightInd/>
        <w:spacing w:before="100" w:beforeAutospacing="1" w:after="100" w:afterAutospacing="1"/>
        <w:rPr>
          <w:sz w:val="24"/>
        </w:rPr>
      </w:pPr>
      <w:r w:rsidRPr="00453EC8">
        <w:rPr>
          <w:sz w:val="24"/>
        </w:rPr>
        <w:t xml:space="preserve">Determine awareness to the </w:t>
      </w:r>
      <w:r w:rsidR="00FC2F4C">
        <w:rPr>
          <w:sz w:val="24"/>
        </w:rPr>
        <w:t>“</w:t>
      </w:r>
      <w:r w:rsidRPr="00453EC8">
        <w:rPr>
          <w:sz w:val="24"/>
        </w:rPr>
        <w:t>Make the Call - Don't Miss a Beat</w:t>
      </w:r>
      <w:r w:rsidR="00FC2F4C">
        <w:rPr>
          <w:sz w:val="24"/>
        </w:rPr>
        <w:t>”</w:t>
      </w:r>
      <w:r w:rsidRPr="00453EC8">
        <w:rPr>
          <w:sz w:val="24"/>
        </w:rPr>
        <w:t xml:space="preserve"> campaign overall, by age (younger than 50 vs. 50 and older), race/ethnicity, income, education, and knowledge about heart disease, and risk status.</w:t>
      </w:r>
    </w:p>
    <w:p w:rsidR="00F80C9B" w:rsidRPr="00453EC8" w:rsidRDefault="00F80C9B" w:rsidP="00F80C9B">
      <w:pPr>
        <w:widowControl/>
        <w:numPr>
          <w:ilvl w:val="0"/>
          <w:numId w:val="4"/>
        </w:numPr>
        <w:autoSpaceDE/>
        <w:autoSpaceDN/>
        <w:adjustRightInd/>
        <w:spacing w:before="100" w:beforeAutospacing="1" w:after="100" w:afterAutospacing="1"/>
        <w:rPr>
          <w:sz w:val="24"/>
        </w:rPr>
      </w:pPr>
      <w:r w:rsidRPr="00453EC8">
        <w:rPr>
          <w:sz w:val="24"/>
        </w:rPr>
        <w:t xml:space="preserve">Determine whether awareness </w:t>
      </w:r>
      <w:r w:rsidR="007F5C1F">
        <w:rPr>
          <w:sz w:val="24"/>
        </w:rPr>
        <w:t>to</w:t>
      </w:r>
      <w:r w:rsidRPr="00453EC8">
        <w:rPr>
          <w:sz w:val="24"/>
        </w:rPr>
        <w:t xml:space="preserve"> the campaign is associated with the likelihood of calling 911 as the first response and 'other response' to the symptoms of a heart attack for women overall and the subset of women 50 years and older.</w:t>
      </w:r>
    </w:p>
    <w:p w:rsidR="00F80C9B" w:rsidRPr="00453EC8" w:rsidRDefault="00F80C9B" w:rsidP="00F80C9B">
      <w:pPr>
        <w:widowControl/>
        <w:numPr>
          <w:ilvl w:val="0"/>
          <w:numId w:val="4"/>
        </w:numPr>
        <w:autoSpaceDE/>
        <w:autoSpaceDN/>
        <w:adjustRightInd/>
        <w:spacing w:before="100" w:beforeAutospacing="1" w:after="100" w:afterAutospacing="1"/>
        <w:rPr>
          <w:sz w:val="24"/>
        </w:rPr>
      </w:pPr>
      <w:r w:rsidRPr="00453EC8">
        <w:rPr>
          <w:sz w:val="24"/>
        </w:rPr>
        <w:t>Determine whether awareness of the campaign is associated with identification of the warning signs of a heart attack for women overall and the subset of women 50 years and older.</w:t>
      </w:r>
    </w:p>
    <w:p w:rsidR="00F80C9B" w:rsidRDefault="00F80C9B" w:rsidP="007454A3">
      <w:pPr>
        <w:ind w:left="1080"/>
        <w:rPr>
          <w:sz w:val="24"/>
        </w:rPr>
      </w:pPr>
      <w:r>
        <w:rPr>
          <w:sz w:val="24"/>
        </w:rPr>
        <w:t xml:space="preserve">If this study is not performed, OWH will not know whether the </w:t>
      </w:r>
      <w:r w:rsidRPr="00453EC8">
        <w:rPr>
          <w:sz w:val="24"/>
        </w:rPr>
        <w:t>"Make the Call. Don't Miss a Beat" campaign</w:t>
      </w:r>
      <w:r>
        <w:rPr>
          <w:sz w:val="24"/>
        </w:rPr>
        <w:t xml:space="preserve"> is properly reaching its target</w:t>
      </w:r>
      <w:r w:rsidR="00FC2F4C">
        <w:rPr>
          <w:sz w:val="24"/>
        </w:rPr>
        <w:t xml:space="preserve">. </w:t>
      </w:r>
      <w:r>
        <w:rPr>
          <w:sz w:val="24"/>
        </w:rPr>
        <w:t xml:space="preserve">The results </w:t>
      </w:r>
      <w:r w:rsidRPr="008C5DC0">
        <w:rPr>
          <w:sz w:val="24"/>
        </w:rPr>
        <w:t xml:space="preserve">may inform future </w:t>
      </w:r>
      <w:r>
        <w:rPr>
          <w:sz w:val="24"/>
        </w:rPr>
        <w:t xml:space="preserve">campaigns </w:t>
      </w:r>
      <w:r w:rsidRPr="008C5DC0">
        <w:rPr>
          <w:sz w:val="24"/>
        </w:rPr>
        <w:t xml:space="preserve">designed for similar </w:t>
      </w:r>
      <w:r>
        <w:rPr>
          <w:sz w:val="24"/>
        </w:rPr>
        <w:t>segments</w:t>
      </w:r>
      <w:r w:rsidRPr="008C5DC0">
        <w:rPr>
          <w:sz w:val="24"/>
        </w:rPr>
        <w:t>.</w:t>
      </w:r>
      <w:r>
        <w:rPr>
          <w:sz w:val="24"/>
        </w:rPr>
        <w:t xml:space="preserve">   If this analysis is not performed, and the campaign is not performing in an optimal way, women are not getting the important and life-saving message of calling 911 as the first response.</w:t>
      </w:r>
      <w:r>
        <w:rPr>
          <w:sz w:val="24"/>
        </w:rPr>
        <w:br/>
      </w:r>
    </w:p>
    <w:p w:rsidR="00F80C9B" w:rsidRDefault="00F80C9B" w:rsidP="00F80C9B">
      <w:pPr>
        <w:rPr>
          <w:sz w:val="24"/>
        </w:rPr>
      </w:pPr>
    </w:p>
    <w:p w:rsidR="00A03D62" w:rsidRDefault="00A03D62" w:rsidP="00F80C9B">
      <w:pPr>
        <w:rPr>
          <w:sz w:val="24"/>
        </w:rPr>
      </w:pPr>
    </w:p>
    <w:p w:rsidR="00A03D62" w:rsidRDefault="00A03D62" w:rsidP="00F80C9B">
      <w:pPr>
        <w:rPr>
          <w:sz w:val="24"/>
        </w:rPr>
      </w:pPr>
    </w:p>
    <w:p w:rsidR="00F80C9B" w:rsidRDefault="00F80C9B" w:rsidP="00F80C9B">
      <w:pPr>
        <w:numPr>
          <w:ilvl w:val="0"/>
          <w:numId w:val="1"/>
        </w:numPr>
        <w:rPr>
          <w:sz w:val="24"/>
        </w:rPr>
      </w:pPr>
      <w:r>
        <w:rPr>
          <w:b/>
          <w:sz w:val="24"/>
          <w:u w:val="single"/>
        </w:rPr>
        <w:lastRenderedPageBreak/>
        <w:t>Use of Improved Information Technology and Burden Reduction</w:t>
      </w:r>
    </w:p>
    <w:p w:rsidR="00F80C9B" w:rsidRDefault="00F80C9B" w:rsidP="007454A3">
      <w:pPr>
        <w:widowControl/>
        <w:ind w:left="1080"/>
        <w:rPr>
          <w:sz w:val="24"/>
        </w:rPr>
      </w:pPr>
      <w:r>
        <w:rPr>
          <w:sz w:val="24"/>
        </w:rPr>
        <w:t>T</w:t>
      </w:r>
      <w:r w:rsidRPr="0049138A">
        <w:rPr>
          <w:sz w:val="24"/>
        </w:rPr>
        <w:t>his I</w:t>
      </w:r>
      <w:r w:rsidR="006F6AC9">
        <w:rPr>
          <w:sz w:val="24"/>
        </w:rPr>
        <w:t xml:space="preserve">nformation </w:t>
      </w:r>
      <w:r w:rsidRPr="0049138A">
        <w:rPr>
          <w:sz w:val="24"/>
        </w:rPr>
        <w:t>C</w:t>
      </w:r>
      <w:r w:rsidR="006F6AC9">
        <w:rPr>
          <w:sz w:val="24"/>
        </w:rPr>
        <w:t xml:space="preserve">ollection </w:t>
      </w:r>
      <w:r w:rsidRPr="0049138A">
        <w:rPr>
          <w:sz w:val="24"/>
        </w:rPr>
        <w:t>R</w:t>
      </w:r>
      <w:r w:rsidR="006F6AC9">
        <w:rPr>
          <w:sz w:val="24"/>
        </w:rPr>
        <w:t>equest</w:t>
      </w:r>
      <w:r w:rsidRPr="0049138A">
        <w:rPr>
          <w:sz w:val="24"/>
        </w:rPr>
        <w:t xml:space="preserve"> </w:t>
      </w:r>
      <w:r w:rsidR="003348F6">
        <w:rPr>
          <w:sz w:val="24"/>
        </w:rPr>
        <w:t xml:space="preserve">(ICR) </w:t>
      </w:r>
      <w:r w:rsidRPr="0049138A">
        <w:rPr>
          <w:sz w:val="24"/>
        </w:rPr>
        <w:t xml:space="preserve">will use advanced technology to collect and process data in order to reduce respondent burden and to make data processing and reporting maximally efficient.  Particular emphasis will be placed on compliance with the Government Paperwork Elimination Act (GPEA), Public Law 105-277, title XVII.  </w:t>
      </w:r>
      <w:r>
        <w:rPr>
          <w:sz w:val="24"/>
        </w:rPr>
        <w:t xml:space="preserve">The survey will </w:t>
      </w:r>
      <w:r w:rsidRPr="0049138A">
        <w:rPr>
          <w:sz w:val="24"/>
        </w:rPr>
        <w:t xml:space="preserve">rely on Computer Assisted Telephone Interviewing (CATI) strategies.  </w:t>
      </w:r>
      <w:r w:rsidR="00365463">
        <w:rPr>
          <w:sz w:val="24"/>
        </w:rPr>
        <w:t xml:space="preserve">The </w:t>
      </w:r>
      <w:r w:rsidRPr="0049138A">
        <w:rPr>
          <w:sz w:val="24"/>
        </w:rPr>
        <w:t>number of questions will be held to the absolute minimum required for the intended use of the data.</w:t>
      </w:r>
      <w:r>
        <w:rPr>
          <w:sz w:val="24"/>
        </w:rPr>
        <w:t xml:space="preserve">  </w:t>
      </w:r>
      <w:r w:rsidRPr="0049138A">
        <w:rPr>
          <w:sz w:val="24"/>
        </w:rPr>
        <w:t xml:space="preserve">CATI will be utilized to help phone interviewers move quickly and accurately through items and skip patterns.  The CATI system will not accept entry of illegal response values, and thus avoids lost data and the need to contact the respondent again for clarification.  This system also allows for both on-site and remote quality assurance monitoring of interviewers. </w:t>
      </w:r>
    </w:p>
    <w:p w:rsidR="00F80C9B" w:rsidRDefault="00F80C9B" w:rsidP="00F80C9B">
      <w:pPr>
        <w:widowControl/>
        <w:rPr>
          <w:sz w:val="24"/>
        </w:rPr>
      </w:pPr>
      <w:r>
        <w:rPr>
          <w:sz w:val="24"/>
        </w:rPr>
        <w:tab/>
      </w:r>
    </w:p>
    <w:p w:rsidR="00F80C9B" w:rsidRDefault="00F80C9B" w:rsidP="00F80C9B">
      <w:pPr>
        <w:numPr>
          <w:ilvl w:val="0"/>
          <w:numId w:val="1"/>
        </w:numPr>
        <w:rPr>
          <w:b/>
          <w:sz w:val="24"/>
        </w:rPr>
      </w:pPr>
      <w:r>
        <w:rPr>
          <w:b/>
          <w:sz w:val="24"/>
          <w:u w:val="single"/>
        </w:rPr>
        <w:t>Efforts to  Identify Duplication and Use of Similar Information</w:t>
      </w:r>
    </w:p>
    <w:p w:rsidR="00F80C9B" w:rsidRPr="002F1689" w:rsidRDefault="00F80C9B" w:rsidP="007C2523">
      <w:pPr>
        <w:ind w:left="1080"/>
        <w:rPr>
          <w:sz w:val="24"/>
        </w:rPr>
      </w:pPr>
      <w:r>
        <w:rPr>
          <w:sz w:val="24"/>
        </w:rPr>
        <w:t>OWH is collaborating with the American Heart Association (AHA) to dovetail the OWH “Make the Call” campaign evaluation questionnaire with t</w:t>
      </w:r>
      <w:r w:rsidRPr="002F1689">
        <w:rPr>
          <w:sz w:val="24"/>
        </w:rPr>
        <w:t>he AHA Women and Heart Disease Survey</w:t>
      </w:r>
      <w:r>
        <w:rPr>
          <w:sz w:val="24"/>
        </w:rPr>
        <w:t xml:space="preserve">, performed </w:t>
      </w:r>
      <w:r w:rsidR="00365463">
        <w:rPr>
          <w:sz w:val="24"/>
        </w:rPr>
        <w:t>every three years</w:t>
      </w:r>
      <w:r>
        <w:rPr>
          <w:sz w:val="24"/>
        </w:rPr>
        <w:t xml:space="preserve"> since 1997 on a cross-sectional sample</w:t>
      </w:r>
      <w:r w:rsidR="006F6AC9">
        <w:rPr>
          <w:sz w:val="24"/>
        </w:rPr>
        <w:t xml:space="preserve"> (Appendix A)</w:t>
      </w:r>
      <w:r>
        <w:rPr>
          <w:sz w:val="24"/>
        </w:rPr>
        <w:t xml:space="preserve">.  </w:t>
      </w:r>
      <w:r w:rsidR="007C2523">
        <w:rPr>
          <w:sz w:val="24"/>
        </w:rPr>
        <w:t xml:space="preserve">The next </w:t>
      </w:r>
      <w:r w:rsidR="007C2523" w:rsidRPr="002F1689">
        <w:rPr>
          <w:sz w:val="24"/>
        </w:rPr>
        <w:t>AHA Women and Heart Disease Survey</w:t>
      </w:r>
      <w:r w:rsidR="007C2523">
        <w:rPr>
          <w:sz w:val="24"/>
        </w:rPr>
        <w:t xml:space="preserve"> </w:t>
      </w:r>
      <w:proofErr w:type="gramStart"/>
      <w:r w:rsidR="007C2523">
        <w:rPr>
          <w:sz w:val="24"/>
        </w:rPr>
        <w:t>is</w:t>
      </w:r>
      <w:proofErr w:type="gramEnd"/>
      <w:r w:rsidR="007C2523">
        <w:rPr>
          <w:sz w:val="24"/>
        </w:rPr>
        <w:t xml:space="preserve"> scheduled for fielding in summer 2012.  </w:t>
      </w:r>
      <w:r>
        <w:rPr>
          <w:sz w:val="24"/>
        </w:rPr>
        <w:t>The AHA survey</w:t>
      </w:r>
      <w:r w:rsidRPr="002F1689">
        <w:rPr>
          <w:sz w:val="24"/>
        </w:rPr>
        <w:t xml:space="preserve"> draws a nationally representative sample of women</w:t>
      </w:r>
      <w:r>
        <w:rPr>
          <w:sz w:val="24"/>
        </w:rPr>
        <w:t xml:space="preserve"> </w:t>
      </w:r>
      <w:r w:rsidRPr="002F1689">
        <w:rPr>
          <w:sz w:val="24"/>
        </w:rPr>
        <w:t>25 years and older to document women’s knowledge and awareness of heart disease and stroke.</w:t>
      </w:r>
      <w:r>
        <w:rPr>
          <w:sz w:val="24"/>
        </w:rPr>
        <w:t xml:space="preserve">  OWH will </w:t>
      </w:r>
      <w:r w:rsidR="00A65038">
        <w:rPr>
          <w:sz w:val="24"/>
        </w:rPr>
        <w:t xml:space="preserve">add its questions to the AHA </w:t>
      </w:r>
      <w:r w:rsidR="007C2523">
        <w:rPr>
          <w:sz w:val="24"/>
        </w:rPr>
        <w:t>RDD telephone study</w:t>
      </w:r>
      <w:r w:rsidR="00A65038">
        <w:rPr>
          <w:sz w:val="24"/>
        </w:rPr>
        <w:t xml:space="preserve">.  </w:t>
      </w:r>
      <w:r>
        <w:rPr>
          <w:sz w:val="24"/>
        </w:rPr>
        <w:t xml:space="preserve">This coordination with AHA will </w:t>
      </w:r>
      <w:r w:rsidRPr="002F1689">
        <w:rPr>
          <w:sz w:val="24"/>
        </w:rPr>
        <w:t>help prevent redundancy.</w:t>
      </w:r>
      <w:r w:rsidR="00A65038">
        <w:rPr>
          <w:sz w:val="24"/>
        </w:rPr>
        <w:t xml:space="preserve"> AHA and OWH will share data for their respective analyses.  </w:t>
      </w:r>
    </w:p>
    <w:p w:rsidR="00F80C9B" w:rsidRDefault="00F80C9B" w:rsidP="00F80C9B">
      <w:pPr>
        <w:ind w:left="1008"/>
        <w:rPr>
          <w:sz w:val="24"/>
        </w:rPr>
      </w:pPr>
    </w:p>
    <w:p w:rsidR="00F80C9B" w:rsidRDefault="00F80C9B" w:rsidP="00F80C9B">
      <w:pPr>
        <w:numPr>
          <w:ilvl w:val="0"/>
          <w:numId w:val="1"/>
        </w:numPr>
        <w:rPr>
          <w:color w:val="000000"/>
          <w:sz w:val="24"/>
        </w:rPr>
      </w:pPr>
      <w:r>
        <w:rPr>
          <w:b/>
          <w:sz w:val="24"/>
          <w:u w:val="single"/>
        </w:rPr>
        <w:t>Impact on Small Businesses or Other Small Entities</w:t>
      </w:r>
    </w:p>
    <w:p w:rsidR="00F80C9B" w:rsidRPr="008E7F2C" w:rsidRDefault="00F80C9B" w:rsidP="00F80C9B">
      <w:pPr>
        <w:ind w:left="1080"/>
        <w:rPr>
          <w:color w:val="000000"/>
          <w:sz w:val="24"/>
        </w:rPr>
      </w:pPr>
      <w:r w:rsidRPr="008E7F2C">
        <w:rPr>
          <w:color w:val="000000"/>
          <w:sz w:val="24"/>
        </w:rPr>
        <w:t>No small businesses will be involved in this study.</w:t>
      </w:r>
    </w:p>
    <w:p w:rsidR="00F80C9B" w:rsidRDefault="00F80C9B" w:rsidP="00F80C9B">
      <w:pPr>
        <w:ind w:left="360"/>
        <w:rPr>
          <w:sz w:val="24"/>
        </w:rPr>
      </w:pPr>
    </w:p>
    <w:p w:rsidR="00292BCD" w:rsidRDefault="00F80C9B" w:rsidP="00292BCD">
      <w:pPr>
        <w:numPr>
          <w:ilvl w:val="0"/>
          <w:numId w:val="1"/>
        </w:numPr>
        <w:rPr>
          <w:b/>
          <w:sz w:val="24"/>
        </w:rPr>
      </w:pPr>
      <w:r>
        <w:rPr>
          <w:b/>
          <w:sz w:val="24"/>
          <w:u w:val="single"/>
        </w:rPr>
        <w:t>Consequences of Collecting the Information Less Frequent Collection</w:t>
      </w:r>
    </w:p>
    <w:p w:rsidR="00F80C9B" w:rsidRPr="00B04841" w:rsidRDefault="00F80C9B" w:rsidP="00B04841">
      <w:pPr>
        <w:ind w:left="1080"/>
        <w:rPr>
          <w:b/>
          <w:sz w:val="24"/>
        </w:rPr>
      </w:pPr>
      <w:r w:rsidRPr="00292BCD">
        <w:rPr>
          <w:sz w:val="24"/>
        </w:rPr>
        <w:t>If this analysis is not performed, and the campaign is not performing in an optimal way, women are not getting the important and life-saving message of calling 9</w:t>
      </w:r>
      <w:r w:rsidR="003348F6">
        <w:rPr>
          <w:sz w:val="24"/>
        </w:rPr>
        <w:t>-</w:t>
      </w:r>
      <w:r w:rsidRPr="00292BCD">
        <w:rPr>
          <w:sz w:val="24"/>
        </w:rPr>
        <w:t>1</w:t>
      </w:r>
      <w:r w:rsidR="003348F6">
        <w:rPr>
          <w:sz w:val="24"/>
        </w:rPr>
        <w:t>-</w:t>
      </w:r>
      <w:r w:rsidRPr="00292BCD">
        <w:rPr>
          <w:sz w:val="24"/>
        </w:rPr>
        <w:t xml:space="preserve">1 as the first response.  </w:t>
      </w:r>
      <w:r>
        <w:rPr>
          <w:color w:val="000000"/>
          <w:sz w:val="24"/>
        </w:rPr>
        <w:t>Respondents will respond to the data collection as a one-time only request</w:t>
      </w:r>
      <w:r w:rsidR="004A2620">
        <w:rPr>
          <w:color w:val="000000"/>
          <w:sz w:val="24"/>
        </w:rPr>
        <w:t xml:space="preserve">.  </w:t>
      </w:r>
      <w:r>
        <w:rPr>
          <w:color w:val="000000"/>
          <w:sz w:val="24"/>
        </w:rPr>
        <w:t>There are no legal obstacles to reduce the burden.</w:t>
      </w:r>
    </w:p>
    <w:p w:rsidR="00F80C9B" w:rsidRDefault="00F80C9B" w:rsidP="00F80C9B">
      <w:pPr>
        <w:ind w:left="1080"/>
        <w:rPr>
          <w:sz w:val="24"/>
        </w:rPr>
      </w:pPr>
      <w:r>
        <w:rPr>
          <w:sz w:val="24"/>
        </w:rPr>
        <w:tab/>
      </w:r>
    </w:p>
    <w:p w:rsidR="00F80C9B" w:rsidRDefault="00F80C9B" w:rsidP="00F80C9B">
      <w:pPr>
        <w:numPr>
          <w:ilvl w:val="0"/>
          <w:numId w:val="1"/>
        </w:numPr>
        <w:rPr>
          <w:b/>
          <w:sz w:val="24"/>
        </w:rPr>
      </w:pPr>
      <w:r>
        <w:rPr>
          <w:b/>
          <w:sz w:val="24"/>
          <w:u w:val="single"/>
        </w:rPr>
        <w:t>Special Circumstances Relating to the Guidelines of 5 CFR 1320.5</w:t>
      </w:r>
    </w:p>
    <w:p w:rsidR="00F80C9B" w:rsidRDefault="00F80C9B" w:rsidP="00F80C9B">
      <w:pPr>
        <w:ind w:left="1080"/>
        <w:rPr>
          <w:sz w:val="24"/>
        </w:rPr>
      </w:pPr>
      <w:r w:rsidRPr="008E7F2C">
        <w:rPr>
          <w:sz w:val="24"/>
        </w:rPr>
        <w:t xml:space="preserve">There are no special circumstances. </w:t>
      </w:r>
      <w:r w:rsidR="007454A3">
        <w:rPr>
          <w:sz w:val="24"/>
        </w:rPr>
        <w:t>This request fully complies</w:t>
      </w:r>
      <w:r w:rsidRPr="008E7F2C">
        <w:rPr>
          <w:sz w:val="24"/>
        </w:rPr>
        <w:t xml:space="preserve"> with the regulations and guidelines in 5 CFR 1320.5.</w:t>
      </w:r>
      <w:r>
        <w:rPr>
          <w:sz w:val="24"/>
        </w:rPr>
        <w:br/>
      </w:r>
    </w:p>
    <w:p w:rsidR="00F80C9B" w:rsidRPr="007B5F2D" w:rsidRDefault="00F80C9B" w:rsidP="007B5F2D">
      <w:pPr>
        <w:numPr>
          <w:ilvl w:val="0"/>
          <w:numId w:val="1"/>
        </w:numPr>
        <w:rPr>
          <w:b/>
          <w:sz w:val="24"/>
        </w:rPr>
      </w:pPr>
      <w:r>
        <w:rPr>
          <w:b/>
          <w:iCs/>
          <w:sz w:val="24"/>
          <w:u w:val="single"/>
        </w:rPr>
        <w:t>Comments in Response to the Federal Register</w:t>
      </w:r>
      <w:r>
        <w:rPr>
          <w:b/>
          <w:sz w:val="24"/>
          <w:u w:val="single"/>
        </w:rPr>
        <w:t xml:space="preserve"> Notice/Outside Consultation</w:t>
      </w:r>
    </w:p>
    <w:p w:rsidR="00F80C9B" w:rsidRPr="00AA6E2A" w:rsidRDefault="00F80C9B" w:rsidP="00B04841">
      <w:pPr>
        <w:ind w:left="1080"/>
        <w:rPr>
          <w:sz w:val="24"/>
        </w:rPr>
      </w:pPr>
      <w:r w:rsidRPr="00AA6E2A">
        <w:rPr>
          <w:sz w:val="24"/>
        </w:rPr>
        <w:t xml:space="preserve">A 60-day Federal Register Notice was published in the Federal Register on </w:t>
      </w:r>
      <w:r w:rsidR="00292BCD">
        <w:rPr>
          <w:sz w:val="24"/>
        </w:rPr>
        <w:t>Tuesday, December 6, 2011</w:t>
      </w:r>
      <w:r w:rsidRPr="00AA6E2A">
        <w:rPr>
          <w:sz w:val="24"/>
        </w:rPr>
        <w:t xml:space="preserve">, </w:t>
      </w:r>
      <w:r w:rsidR="00292BCD">
        <w:rPr>
          <w:sz w:val="24"/>
        </w:rPr>
        <w:t>Vol. 76, No. 234, Page 76165 (</w:t>
      </w:r>
      <w:r w:rsidR="007C2523">
        <w:rPr>
          <w:sz w:val="24"/>
        </w:rPr>
        <w:t>Appendix B</w:t>
      </w:r>
      <w:r w:rsidR="00292BCD">
        <w:rPr>
          <w:sz w:val="24"/>
        </w:rPr>
        <w:t xml:space="preserve">).  </w:t>
      </w:r>
      <w:r w:rsidR="007B5F2D">
        <w:rPr>
          <w:sz w:val="24"/>
        </w:rPr>
        <w:t>No c</w:t>
      </w:r>
      <w:r w:rsidRPr="00AA6E2A">
        <w:rPr>
          <w:sz w:val="24"/>
        </w:rPr>
        <w:t xml:space="preserve">omments </w:t>
      </w:r>
      <w:r w:rsidR="007B5F2D">
        <w:rPr>
          <w:sz w:val="24"/>
        </w:rPr>
        <w:t xml:space="preserve">were </w:t>
      </w:r>
      <w:r w:rsidRPr="00AA6E2A">
        <w:rPr>
          <w:sz w:val="24"/>
        </w:rPr>
        <w:t>received from the public during this notice period.</w:t>
      </w:r>
    </w:p>
    <w:p w:rsidR="00F80C9B" w:rsidRDefault="00F80C9B" w:rsidP="00F80C9B">
      <w:pPr>
        <w:ind w:left="1440"/>
        <w:rPr>
          <w:sz w:val="24"/>
        </w:rPr>
      </w:pPr>
    </w:p>
    <w:p w:rsidR="00F80C9B" w:rsidRDefault="00327F26" w:rsidP="007B5F2D">
      <w:pPr>
        <w:ind w:left="1080"/>
        <w:rPr>
          <w:sz w:val="24"/>
        </w:rPr>
      </w:pPr>
      <w:r>
        <w:rPr>
          <w:sz w:val="24"/>
        </w:rPr>
        <w:t xml:space="preserve">Since initiating the design of this ICR and until results are published (2011-2013),  </w:t>
      </w:r>
      <w:r w:rsidR="00F80C9B" w:rsidRPr="008E7F2C">
        <w:rPr>
          <w:sz w:val="24"/>
        </w:rPr>
        <w:t xml:space="preserve">OWH </w:t>
      </w:r>
      <w:r w:rsidR="00F80C9B">
        <w:rPr>
          <w:sz w:val="24"/>
        </w:rPr>
        <w:t>is</w:t>
      </w:r>
      <w:r w:rsidR="00F80C9B" w:rsidRPr="008E7F2C">
        <w:rPr>
          <w:sz w:val="24"/>
        </w:rPr>
        <w:t xml:space="preserve"> collaborating with the American Heart Association (AHA) </w:t>
      </w:r>
      <w:r w:rsidR="00292BCD">
        <w:rPr>
          <w:sz w:val="24"/>
        </w:rPr>
        <w:t xml:space="preserve">and Columbia University </w:t>
      </w:r>
      <w:r w:rsidR="00F80C9B" w:rsidRPr="008E7F2C">
        <w:rPr>
          <w:sz w:val="24"/>
        </w:rPr>
        <w:t>to dovetail the OWH "Make the Call" campaign</w:t>
      </w:r>
      <w:r w:rsidR="00F80C9B">
        <w:rPr>
          <w:sz w:val="24"/>
        </w:rPr>
        <w:t xml:space="preserve"> evaluation questionnaire with t</w:t>
      </w:r>
      <w:r w:rsidR="00F80C9B" w:rsidRPr="008E7F2C">
        <w:rPr>
          <w:sz w:val="24"/>
        </w:rPr>
        <w:t xml:space="preserve">he </w:t>
      </w:r>
      <w:r w:rsidR="003348F6">
        <w:rPr>
          <w:sz w:val="24"/>
        </w:rPr>
        <w:t xml:space="preserve">2012 </w:t>
      </w:r>
      <w:r w:rsidR="00F80C9B" w:rsidRPr="008E7F2C">
        <w:rPr>
          <w:sz w:val="24"/>
        </w:rPr>
        <w:t xml:space="preserve">AHA Women and Heart Disease Survey, performed </w:t>
      </w:r>
      <w:r w:rsidR="00292BCD">
        <w:rPr>
          <w:sz w:val="24"/>
        </w:rPr>
        <w:t xml:space="preserve">every three years </w:t>
      </w:r>
      <w:r w:rsidR="00292BCD">
        <w:rPr>
          <w:sz w:val="24"/>
        </w:rPr>
        <w:lastRenderedPageBreak/>
        <w:t>since 1997</w:t>
      </w:r>
      <w:r w:rsidR="00F80C9B">
        <w:rPr>
          <w:sz w:val="24"/>
        </w:rPr>
        <w:t xml:space="preserve">.  </w:t>
      </w:r>
      <w:r w:rsidR="000E0915">
        <w:rPr>
          <w:sz w:val="24"/>
        </w:rPr>
        <w:t>Lead collaborators at each organization are:</w:t>
      </w:r>
    </w:p>
    <w:p w:rsidR="00327F26" w:rsidRDefault="00327F26" w:rsidP="007B5F2D">
      <w:pPr>
        <w:ind w:left="1080"/>
        <w:rPr>
          <w:sz w:val="24"/>
        </w:rPr>
      </w:pPr>
    </w:p>
    <w:p w:rsidR="00327F26" w:rsidRDefault="00327F26" w:rsidP="00327F26">
      <w:pPr>
        <w:ind w:left="1440"/>
        <w:rPr>
          <w:bCs/>
          <w:sz w:val="24"/>
        </w:rPr>
      </w:pPr>
      <w:r>
        <w:rPr>
          <w:bCs/>
          <w:sz w:val="24"/>
        </w:rPr>
        <w:t xml:space="preserve">Dr. Lori </w:t>
      </w:r>
      <w:proofErr w:type="spellStart"/>
      <w:r>
        <w:rPr>
          <w:bCs/>
          <w:sz w:val="24"/>
        </w:rPr>
        <w:t>Mosca</w:t>
      </w:r>
      <w:proofErr w:type="spellEnd"/>
    </w:p>
    <w:p w:rsidR="00327F26" w:rsidRPr="007D495F" w:rsidRDefault="00327F26" w:rsidP="00327F26">
      <w:pPr>
        <w:ind w:left="1440"/>
        <w:rPr>
          <w:bCs/>
          <w:sz w:val="24"/>
        </w:rPr>
      </w:pPr>
      <w:r w:rsidRPr="007D495F">
        <w:rPr>
          <w:bCs/>
          <w:sz w:val="24"/>
        </w:rPr>
        <w:t>Director, Preventive Cardiology</w:t>
      </w:r>
    </w:p>
    <w:p w:rsidR="00327F26" w:rsidRPr="007D495F" w:rsidRDefault="00327F26" w:rsidP="00327F26">
      <w:pPr>
        <w:ind w:left="1440"/>
        <w:rPr>
          <w:bCs/>
          <w:sz w:val="24"/>
        </w:rPr>
      </w:pPr>
      <w:r w:rsidRPr="007D495F">
        <w:rPr>
          <w:bCs/>
          <w:sz w:val="24"/>
        </w:rPr>
        <w:t xml:space="preserve">Preventive Cardiology </w:t>
      </w:r>
    </w:p>
    <w:p w:rsidR="00327F26" w:rsidRPr="007D495F" w:rsidRDefault="00327F26" w:rsidP="00327F26">
      <w:pPr>
        <w:ind w:left="1440"/>
        <w:rPr>
          <w:bCs/>
          <w:sz w:val="24"/>
        </w:rPr>
      </w:pPr>
      <w:r w:rsidRPr="007D495F">
        <w:rPr>
          <w:bCs/>
          <w:sz w:val="24"/>
        </w:rPr>
        <w:t>Columbia University Medical Center</w:t>
      </w:r>
    </w:p>
    <w:p w:rsidR="00327F26" w:rsidRPr="007D495F" w:rsidRDefault="00327F26" w:rsidP="00327F26">
      <w:pPr>
        <w:ind w:left="1440"/>
        <w:rPr>
          <w:bCs/>
          <w:sz w:val="24"/>
        </w:rPr>
      </w:pPr>
      <w:r w:rsidRPr="007D495F">
        <w:rPr>
          <w:bCs/>
          <w:sz w:val="24"/>
        </w:rPr>
        <w:t>601 West 168th Street, Suite 43</w:t>
      </w:r>
    </w:p>
    <w:p w:rsidR="00327F26" w:rsidRDefault="00327F26" w:rsidP="00327F26">
      <w:pPr>
        <w:ind w:left="1440"/>
        <w:rPr>
          <w:bCs/>
          <w:sz w:val="24"/>
        </w:rPr>
      </w:pPr>
      <w:r w:rsidRPr="007D495F">
        <w:rPr>
          <w:bCs/>
          <w:sz w:val="24"/>
        </w:rPr>
        <w:t xml:space="preserve">New York, </w:t>
      </w:r>
      <w:r>
        <w:rPr>
          <w:bCs/>
          <w:sz w:val="24"/>
        </w:rPr>
        <w:t>NY</w:t>
      </w:r>
      <w:r w:rsidRPr="007D495F">
        <w:rPr>
          <w:bCs/>
          <w:sz w:val="24"/>
        </w:rPr>
        <w:t xml:space="preserve"> 10032</w:t>
      </w:r>
    </w:p>
    <w:p w:rsidR="00327F26" w:rsidRDefault="00450060" w:rsidP="00327F26">
      <w:pPr>
        <w:ind w:left="1440"/>
        <w:rPr>
          <w:bCs/>
          <w:sz w:val="24"/>
        </w:rPr>
      </w:pPr>
      <w:hyperlink r:id="rId8" w:history="1">
        <w:r w:rsidR="00327F26" w:rsidRPr="006A7EDD">
          <w:rPr>
            <w:rStyle w:val="Hyperlink"/>
            <w:bCs/>
            <w:sz w:val="24"/>
          </w:rPr>
          <w:t>lmr2@columbia.edu</w:t>
        </w:r>
      </w:hyperlink>
    </w:p>
    <w:p w:rsidR="00327F26" w:rsidRDefault="00327F26" w:rsidP="00327F26">
      <w:pPr>
        <w:ind w:left="1440"/>
        <w:rPr>
          <w:bCs/>
          <w:sz w:val="24"/>
        </w:rPr>
      </w:pPr>
    </w:p>
    <w:p w:rsidR="00327F26" w:rsidRPr="007D495F" w:rsidRDefault="00327F26" w:rsidP="00327F26">
      <w:pPr>
        <w:ind w:left="1440"/>
        <w:rPr>
          <w:bCs/>
          <w:sz w:val="24"/>
        </w:rPr>
      </w:pPr>
      <w:r w:rsidRPr="007D495F">
        <w:rPr>
          <w:bCs/>
          <w:sz w:val="24"/>
        </w:rPr>
        <w:t xml:space="preserve">Julie Robertson </w:t>
      </w:r>
    </w:p>
    <w:p w:rsidR="00327F26" w:rsidRPr="007D495F" w:rsidRDefault="00327F26" w:rsidP="00327F26">
      <w:pPr>
        <w:ind w:left="1440"/>
        <w:rPr>
          <w:bCs/>
          <w:sz w:val="24"/>
        </w:rPr>
      </w:pPr>
      <w:r w:rsidRPr="007D495F">
        <w:rPr>
          <w:bCs/>
          <w:sz w:val="24"/>
        </w:rPr>
        <w:t xml:space="preserve">National Cause Director, Go Red </w:t>
      </w:r>
      <w:proofErr w:type="gramStart"/>
      <w:r w:rsidRPr="007D495F">
        <w:rPr>
          <w:bCs/>
          <w:sz w:val="24"/>
        </w:rPr>
        <w:t>For</w:t>
      </w:r>
      <w:proofErr w:type="gramEnd"/>
      <w:r w:rsidRPr="007D495F">
        <w:rPr>
          <w:bCs/>
          <w:sz w:val="24"/>
        </w:rPr>
        <w:t xml:space="preserve"> Women </w:t>
      </w:r>
    </w:p>
    <w:p w:rsidR="00327F26" w:rsidRPr="007D495F" w:rsidRDefault="00327F26" w:rsidP="00327F26">
      <w:pPr>
        <w:ind w:left="1440"/>
        <w:rPr>
          <w:bCs/>
          <w:sz w:val="24"/>
        </w:rPr>
      </w:pPr>
      <w:r w:rsidRPr="007D495F">
        <w:rPr>
          <w:bCs/>
          <w:sz w:val="24"/>
        </w:rPr>
        <w:t xml:space="preserve">American Heart Association </w:t>
      </w:r>
    </w:p>
    <w:p w:rsidR="00327F26" w:rsidRDefault="00327F26" w:rsidP="00327F26">
      <w:pPr>
        <w:ind w:left="1440"/>
        <w:rPr>
          <w:bCs/>
          <w:sz w:val="24"/>
        </w:rPr>
      </w:pPr>
      <w:r w:rsidRPr="007D495F">
        <w:rPr>
          <w:bCs/>
          <w:sz w:val="24"/>
        </w:rPr>
        <w:t>National Center</w:t>
      </w:r>
    </w:p>
    <w:p w:rsidR="00327F26" w:rsidRPr="007D495F" w:rsidRDefault="00327F26" w:rsidP="00327F26">
      <w:pPr>
        <w:ind w:left="1440"/>
        <w:rPr>
          <w:bCs/>
          <w:sz w:val="24"/>
        </w:rPr>
      </w:pPr>
      <w:r w:rsidRPr="007D495F">
        <w:rPr>
          <w:bCs/>
          <w:sz w:val="24"/>
        </w:rPr>
        <w:t>7272 Greenville Avenue</w:t>
      </w:r>
    </w:p>
    <w:p w:rsidR="00327F26" w:rsidRDefault="00327F26" w:rsidP="00327F26">
      <w:pPr>
        <w:ind w:left="1440"/>
        <w:rPr>
          <w:bCs/>
          <w:sz w:val="24"/>
        </w:rPr>
      </w:pPr>
      <w:r w:rsidRPr="007D495F">
        <w:rPr>
          <w:bCs/>
          <w:sz w:val="24"/>
        </w:rPr>
        <w:t>Dallas</w:t>
      </w:r>
      <w:r>
        <w:rPr>
          <w:bCs/>
          <w:sz w:val="24"/>
        </w:rPr>
        <w:t xml:space="preserve">, TX </w:t>
      </w:r>
      <w:r w:rsidRPr="007D495F">
        <w:rPr>
          <w:bCs/>
          <w:sz w:val="24"/>
        </w:rPr>
        <w:t>75231</w:t>
      </w:r>
    </w:p>
    <w:p w:rsidR="00327F26" w:rsidRDefault="00450060" w:rsidP="00327F26">
      <w:pPr>
        <w:ind w:left="1440"/>
        <w:rPr>
          <w:bCs/>
          <w:sz w:val="24"/>
        </w:rPr>
      </w:pPr>
      <w:hyperlink r:id="rId9" w:history="1">
        <w:r w:rsidR="00327F26" w:rsidRPr="006A7EDD">
          <w:rPr>
            <w:rStyle w:val="Hyperlink"/>
            <w:bCs/>
            <w:sz w:val="24"/>
          </w:rPr>
          <w:t>Julie.Robertson@heart.org</w:t>
        </w:r>
      </w:hyperlink>
    </w:p>
    <w:p w:rsidR="00327F26" w:rsidRDefault="00327F26" w:rsidP="007B5F2D">
      <w:pPr>
        <w:ind w:left="1080"/>
        <w:rPr>
          <w:sz w:val="24"/>
        </w:rPr>
      </w:pPr>
    </w:p>
    <w:p w:rsidR="00F80C9B" w:rsidRDefault="00F80C9B" w:rsidP="00F80C9B">
      <w:pPr>
        <w:ind w:left="1800"/>
        <w:rPr>
          <w:sz w:val="24"/>
        </w:rPr>
      </w:pPr>
    </w:p>
    <w:p w:rsidR="00F80C9B" w:rsidRDefault="00F80C9B" w:rsidP="00F80C9B">
      <w:pPr>
        <w:ind w:left="360"/>
        <w:rPr>
          <w:sz w:val="24"/>
        </w:rPr>
      </w:pPr>
    </w:p>
    <w:p w:rsidR="00F80C9B" w:rsidRDefault="00F80C9B" w:rsidP="00F80C9B">
      <w:pPr>
        <w:numPr>
          <w:ilvl w:val="0"/>
          <w:numId w:val="1"/>
        </w:numPr>
        <w:rPr>
          <w:b/>
          <w:sz w:val="24"/>
        </w:rPr>
      </w:pPr>
      <w:r>
        <w:rPr>
          <w:b/>
          <w:sz w:val="24"/>
          <w:u w:val="single"/>
        </w:rPr>
        <w:t>Explanation of any Payment/Gift to Respondents</w:t>
      </w:r>
    </w:p>
    <w:p w:rsidR="00F80C9B" w:rsidRDefault="00F80C9B" w:rsidP="00F80C9B">
      <w:pPr>
        <w:ind w:left="1080"/>
        <w:rPr>
          <w:sz w:val="24"/>
        </w:rPr>
      </w:pPr>
      <w:r>
        <w:rPr>
          <w:sz w:val="24"/>
        </w:rPr>
        <w:t>T</w:t>
      </w:r>
      <w:r w:rsidRPr="00291F2C">
        <w:rPr>
          <w:sz w:val="24"/>
        </w:rPr>
        <w:t xml:space="preserve">here will be no remuneration </w:t>
      </w:r>
      <w:r>
        <w:rPr>
          <w:sz w:val="24"/>
        </w:rPr>
        <w:t xml:space="preserve">to the respondents </w:t>
      </w:r>
      <w:r w:rsidRPr="00291F2C">
        <w:rPr>
          <w:sz w:val="24"/>
        </w:rPr>
        <w:t xml:space="preserve">for participation in </w:t>
      </w:r>
      <w:r>
        <w:rPr>
          <w:sz w:val="24"/>
        </w:rPr>
        <w:t xml:space="preserve">the “Make the Call” evaluation </w:t>
      </w:r>
      <w:r w:rsidRPr="00291F2C">
        <w:rPr>
          <w:sz w:val="24"/>
        </w:rPr>
        <w:t>phone interviews.</w:t>
      </w:r>
      <w:r>
        <w:rPr>
          <w:sz w:val="24"/>
        </w:rPr>
        <w:br/>
      </w:r>
    </w:p>
    <w:p w:rsidR="00F80C9B" w:rsidRDefault="00F80C9B" w:rsidP="00F80C9B">
      <w:pPr>
        <w:numPr>
          <w:ilvl w:val="0"/>
          <w:numId w:val="1"/>
        </w:numPr>
        <w:rPr>
          <w:b/>
          <w:sz w:val="24"/>
        </w:rPr>
      </w:pPr>
      <w:r>
        <w:rPr>
          <w:b/>
          <w:sz w:val="24"/>
          <w:u w:val="single"/>
        </w:rPr>
        <w:t>Assurance of Confidentiality Provided to Respondents</w:t>
      </w:r>
    </w:p>
    <w:p w:rsidR="00F80C9B" w:rsidRDefault="00F80C9B" w:rsidP="00066259">
      <w:pPr>
        <w:widowControl/>
        <w:ind w:left="1080"/>
        <w:rPr>
          <w:sz w:val="24"/>
        </w:rPr>
      </w:pPr>
      <w:r w:rsidRPr="00291F2C">
        <w:rPr>
          <w:sz w:val="24"/>
        </w:rPr>
        <w:t xml:space="preserve">Although personal information (e.g., gender, age, and race) will be gathered in </w:t>
      </w:r>
      <w:r>
        <w:rPr>
          <w:sz w:val="24"/>
        </w:rPr>
        <w:t xml:space="preserve">evaluation </w:t>
      </w:r>
      <w:r w:rsidRPr="00291F2C">
        <w:rPr>
          <w:sz w:val="24"/>
        </w:rPr>
        <w:t>activities</w:t>
      </w:r>
      <w:r w:rsidR="008E6297">
        <w:rPr>
          <w:sz w:val="24"/>
        </w:rPr>
        <w:t xml:space="preserve"> as part of the AHA questions</w:t>
      </w:r>
      <w:r w:rsidRPr="00291F2C">
        <w:rPr>
          <w:sz w:val="24"/>
        </w:rPr>
        <w:t>, no personal identifiers (e.g., full name, address or phone number, social security number, etc.) will be collected or maintained.</w:t>
      </w:r>
      <w:r>
        <w:rPr>
          <w:sz w:val="24"/>
        </w:rPr>
        <w:t xml:space="preserve">  </w:t>
      </w:r>
      <w:r w:rsidRPr="00291F2C">
        <w:rPr>
          <w:sz w:val="24"/>
        </w:rPr>
        <w:t>Respondents will be advised of the nature of the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w:t>
      </w:r>
      <w:r>
        <w:rPr>
          <w:sz w:val="24"/>
        </w:rPr>
        <w:t xml:space="preserve">  </w:t>
      </w:r>
      <w:r w:rsidRPr="00291F2C">
        <w:rPr>
          <w:sz w:val="24"/>
        </w:rPr>
        <w:t>Phone interviews will employ a CATI system; no names or other information that could identify the respondent will be recorded.  A code number will be assigned to an individual's responses.  It will not be possible to link these code numbers to respondents' phone numbers.</w:t>
      </w:r>
      <w:r>
        <w:rPr>
          <w:sz w:val="24"/>
        </w:rPr>
        <w:br/>
      </w:r>
    </w:p>
    <w:p w:rsidR="00F80C9B" w:rsidRDefault="00F80C9B" w:rsidP="00F80C9B">
      <w:pPr>
        <w:numPr>
          <w:ilvl w:val="0"/>
          <w:numId w:val="1"/>
        </w:numPr>
        <w:rPr>
          <w:b/>
          <w:sz w:val="24"/>
        </w:rPr>
      </w:pPr>
      <w:r>
        <w:rPr>
          <w:b/>
          <w:sz w:val="24"/>
          <w:u w:val="single"/>
        </w:rPr>
        <w:t>Justification for Sensitive Questions</w:t>
      </w:r>
    </w:p>
    <w:p w:rsidR="00F80C9B" w:rsidRPr="00291F2C" w:rsidRDefault="00F80C9B" w:rsidP="00F80C9B">
      <w:pPr>
        <w:widowControl/>
        <w:ind w:left="1080"/>
        <w:rPr>
          <w:sz w:val="24"/>
        </w:rPr>
      </w:pPr>
      <w:r w:rsidRPr="00291F2C">
        <w:rPr>
          <w:sz w:val="24"/>
        </w:rPr>
        <w:t>The majority of questions asked will not be of a sensitive nature</w:t>
      </w:r>
      <w:r w:rsidR="004B6082">
        <w:rPr>
          <w:sz w:val="24"/>
        </w:rPr>
        <w:t xml:space="preserve"> (Appendix C)</w:t>
      </w:r>
      <w:r w:rsidRPr="00291F2C">
        <w:rPr>
          <w:sz w:val="24"/>
        </w:rPr>
        <w:t>.  There will be no request for a resp</w:t>
      </w:r>
      <w:r w:rsidR="00AA4F1C">
        <w:rPr>
          <w:sz w:val="24"/>
        </w:rPr>
        <w:t xml:space="preserve">ondent's Social Security Number.  </w:t>
      </w:r>
      <w:r w:rsidRPr="00291F2C">
        <w:rPr>
          <w:sz w:val="24"/>
        </w:rPr>
        <w:t>It will</w:t>
      </w:r>
      <w:r>
        <w:rPr>
          <w:sz w:val="24"/>
        </w:rPr>
        <w:t xml:space="preserve"> </w:t>
      </w:r>
      <w:r w:rsidRPr="00291F2C">
        <w:rPr>
          <w:sz w:val="24"/>
        </w:rPr>
        <w:t xml:space="preserve">be necessary to ask </w:t>
      </w:r>
      <w:r>
        <w:rPr>
          <w:sz w:val="24"/>
        </w:rPr>
        <w:t xml:space="preserve">a few </w:t>
      </w:r>
      <w:r w:rsidR="00D00F5A">
        <w:rPr>
          <w:sz w:val="24"/>
        </w:rPr>
        <w:t xml:space="preserve">demographic </w:t>
      </w:r>
      <w:r w:rsidRPr="00291F2C">
        <w:rPr>
          <w:sz w:val="24"/>
        </w:rPr>
        <w:t xml:space="preserve">questions </w:t>
      </w:r>
      <w:r w:rsidR="00D00F5A">
        <w:rPr>
          <w:sz w:val="24"/>
        </w:rPr>
        <w:t xml:space="preserve">that could be </w:t>
      </w:r>
      <w:r w:rsidRPr="00291F2C">
        <w:rPr>
          <w:sz w:val="24"/>
        </w:rPr>
        <w:t xml:space="preserve">considered to be of a sensitive nature </w:t>
      </w:r>
      <w:r w:rsidR="00B2494A">
        <w:rPr>
          <w:sz w:val="24"/>
        </w:rPr>
        <w:t xml:space="preserve">to understand the impact of the campaign on different groups of women.  </w:t>
      </w:r>
      <w:r w:rsidRPr="00291F2C">
        <w:rPr>
          <w:sz w:val="24"/>
        </w:rPr>
        <w:t xml:space="preserve">To avoid fear of disclosure of sensitive information, respondents will be told that all data provided by respondents will be treated in a secure manner and will not be disclosed, unless otherwise compelled by law. </w:t>
      </w:r>
    </w:p>
    <w:p w:rsidR="00F80C9B" w:rsidRPr="00291F2C" w:rsidRDefault="00F80C9B" w:rsidP="00F80C9B">
      <w:pPr>
        <w:widowControl/>
        <w:ind w:left="1080"/>
        <w:rPr>
          <w:sz w:val="24"/>
        </w:rPr>
      </w:pPr>
    </w:p>
    <w:p w:rsidR="00F80C9B" w:rsidRPr="00291F2C" w:rsidRDefault="00F80C9B" w:rsidP="00F80C9B">
      <w:pPr>
        <w:widowControl/>
        <w:ind w:left="1080"/>
        <w:rPr>
          <w:sz w:val="24"/>
        </w:rPr>
      </w:pPr>
      <w:r w:rsidRPr="00291F2C">
        <w:rPr>
          <w:sz w:val="24"/>
        </w:rPr>
        <w:t>To avoid negative reactions to these questions, several steps will be taken:</w:t>
      </w:r>
    </w:p>
    <w:p w:rsidR="00F80C9B" w:rsidRPr="00291F2C" w:rsidRDefault="00F80C9B" w:rsidP="00F80C9B">
      <w:pPr>
        <w:widowControl/>
        <w:ind w:left="1080"/>
        <w:rPr>
          <w:sz w:val="24"/>
        </w:rPr>
      </w:pPr>
    </w:p>
    <w:p w:rsidR="00F80C9B" w:rsidRDefault="00F80C9B" w:rsidP="00F80C9B">
      <w:pPr>
        <w:widowControl/>
        <w:numPr>
          <w:ilvl w:val="0"/>
          <w:numId w:val="3"/>
        </w:numPr>
        <w:rPr>
          <w:sz w:val="24"/>
        </w:rPr>
      </w:pPr>
      <w:r w:rsidRPr="00291F2C">
        <w:rPr>
          <w:sz w:val="24"/>
        </w:rPr>
        <w:t xml:space="preserve">Respondents will be informed that they need not answer any question that makes them feel uncomfortable or that they simply do not wish to answer.  </w:t>
      </w:r>
    </w:p>
    <w:p w:rsidR="00F80C9B" w:rsidRPr="006B4470" w:rsidRDefault="006E380A" w:rsidP="006B4470">
      <w:pPr>
        <w:widowControl/>
        <w:numPr>
          <w:ilvl w:val="0"/>
          <w:numId w:val="3"/>
        </w:numPr>
        <w:rPr>
          <w:sz w:val="24"/>
        </w:rPr>
      </w:pPr>
      <w:r>
        <w:rPr>
          <w:sz w:val="24"/>
        </w:rPr>
        <w:t>Respondents will be informed that their responses will be reported in the aggregate only and that their personal information will not be used to identify them.</w:t>
      </w:r>
    </w:p>
    <w:p w:rsidR="00F80C9B" w:rsidRPr="00291F2C" w:rsidRDefault="00F80C9B" w:rsidP="00F80C9B">
      <w:pPr>
        <w:widowControl/>
        <w:numPr>
          <w:ilvl w:val="0"/>
          <w:numId w:val="3"/>
        </w:numPr>
        <w:rPr>
          <w:sz w:val="24"/>
        </w:rPr>
      </w:pPr>
      <w:r w:rsidRPr="00291F2C">
        <w:rPr>
          <w:sz w:val="24"/>
        </w:rPr>
        <w:t xml:space="preserve">Interviewers will be trained to ask questions in a sensitive manner and to handle any subsequent discussion skillfully.  </w:t>
      </w:r>
    </w:p>
    <w:p w:rsidR="000E147E" w:rsidRDefault="000E147E" w:rsidP="000E147E">
      <w:pPr>
        <w:rPr>
          <w:sz w:val="24"/>
        </w:rPr>
      </w:pPr>
    </w:p>
    <w:p w:rsidR="000E147E" w:rsidRDefault="000E147E" w:rsidP="000E147E">
      <w:pPr>
        <w:rPr>
          <w:sz w:val="24"/>
        </w:rPr>
      </w:pPr>
    </w:p>
    <w:p w:rsidR="00F80C9B" w:rsidRPr="000E147E" w:rsidRDefault="00F80C9B" w:rsidP="000E147E">
      <w:pPr>
        <w:pStyle w:val="ListParagraph"/>
        <w:numPr>
          <w:ilvl w:val="0"/>
          <w:numId w:val="1"/>
        </w:numPr>
        <w:rPr>
          <w:sz w:val="24"/>
        </w:rPr>
      </w:pPr>
      <w:r w:rsidRPr="000E147E">
        <w:rPr>
          <w:b/>
          <w:sz w:val="24"/>
          <w:u w:val="single"/>
        </w:rPr>
        <w:t xml:space="preserve">Estimates of Annualized Hour and Cost Burden  </w:t>
      </w:r>
    </w:p>
    <w:p w:rsidR="00F80C9B" w:rsidRDefault="00F80C9B" w:rsidP="00F80C9B">
      <w:pPr>
        <w:ind w:left="1080"/>
        <w:rPr>
          <w:sz w:val="24"/>
        </w:rPr>
      </w:pPr>
      <w:r>
        <w:rPr>
          <w:sz w:val="24"/>
        </w:rPr>
        <w:t xml:space="preserve">This section summarizes the total burden hours for this information collection in addition to the cost associated with those hours. </w:t>
      </w:r>
    </w:p>
    <w:p w:rsidR="00F80C9B" w:rsidRDefault="00F80C9B" w:rsidP="00F80C9B">
      <w:pPr>
        <w:ind w:left="1800"/>
        <w:rPr>
          <w:sz w:val="24"/>
        </w:rPr>
      </w:pPr>
    </w:p>
    <w:p w:rsidR="00F80C9B" w:rsidRDefault="00F80C9B" w:rsidP="00F80C9B">
      <w:pPr>
        <w:widowControl/>
        <w:ind w:left="2880"/>
        <w:rPr>
          <w:sz w:val="24"/>
        </w:rPr>
      </w:pPr>
    </w:p>
    <w:p w:rsidR="00F80C9B" w:rsidRPr="00291F2C" w:rsidRDefault="00F80C9B" w:rsidP="00F80C9B">
      <w:pPr>
        <w:widowControl/>
        <w:ind w:left="1440"/>
        <w:rPr>
          <w:b/>
        </w:rPr>
      </w:pPr>
      <w:r>
        <w:rPr>
          <w:b/>
          <w:sz w:val="24"/>
        </w:rPr>
        <w:t>12A.</w:t>
      </w:r>
      <w:r>
        <w:rPr>
          <w:sz w:val="24"/>
        </w:rPr>
        <w:t xml:space="preserve">        </w:t>
      </w:r>
      <w:r>
        <w:rPr>
          <w:b/>
          <w:sz w:val="24"/>
        </w:rPr>
        <w:t>Estimated Annualized Burden Hours</w:t>
      </w:r>
      <w:r>
        <w:rPr>
          <w:b/>
          <w:sz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6"/>
        <w:gridCol w:w="1583"/>
        <w:gridCol w:w="1570"/>
        <w:gridCol w:w="1588"/>
        <w:gridCol w:w="1562"/>
        <w:gridCol w:w="1537"/>
      </w:tblGrid>
      <w:tr w:rsidR="00F80C9B" w:rsidRPr="00286CC4" w:rsidTr="00292BCD">
        <w:trPr>
          <w:trHeight w:val="285"/>
        </w:trPr>
        <w:tc>
          <w:tcPr>
            <w:tcW w:w="1736" w:type="dxa"/>
            <w:shd w:val="clear" w:color="auto" w:fill="auto"/>
            <w:vAlign w:val="bottom"/>
          </w:tcPr>
          <w:p w:rsidR="00F80C9B" w:rsidRPr="00286CC4" w:rsidRDefault="00F80C9B" w:rsidP="00292BCD">
            <w:pPr>
              <w:jc w:val="center"/>
            </w:pPr>
            <w:r w:rsidRPr="00286CC4">
              <w:t>Forms</w:t>
            </w:r>
          </w:p>
          <w:p w:rsidR="00F80C9B" w:rsidRPr="00286CC4" w:rsidRDefault="00F80C9B" w:rsidP="00292BCD">
            <w:pPr>
              <w:jc w:val="center"/>
            </w:pPr>
          </w:p>
        </w:tc>
        <w:tc>
          <w:tcPr>
            <w:tcW w:w="1583" w:type="dxa"/>
            <w:shd w:val="clear" w:color="auto" w:fill="auto"/>
            <w:vAlign w:val="bottom"/>
          </w:tcPr>
          <w:p w:rsidR="00F80C9B" w:rsidRPr="00286CC4" w:rsidRDefault="00F80C9B" w:rsidP="00292BCD">
            <w:pPr>
              <w:jc w:val="center"/>
            </w:pPr>
            <w:r w:rsidRPr="00286CC4">
              <w:t>Type of Respondent</w:t>
            </w:r>
          </w:p>
        </w:tc>
        <w:tc>
          <w:tcPr>
            <w:tcW w:w="1570" w:type="dxa"/>
            <w:shd w:val="clear" w:color="auto" w:fill="auto"/>
            <w:vAlign w:val="bottom"/>
          </w:tcPr>
          <w:p w:rsidR="00F80C9B" w:rsidRPr="00286CC4" w:rsidRDefault="00F80C9B" w:rsidP="00292BCD">
            <w:pPr>
              <w:jc w:val="center"/>
            </w:pPr>
            <w:r w:rsidRPr="00286CC4">
              <w:t>Number of  Respondents</w:t>
            </w:r>
          </w:p>
        </w:tc>
        <w:tc>
          <w:tcPr>
            <w:tcW w:w="1588" w:type="dxa"/>
            <w:shd w:val="clear" w:color="auto" w:fill="auto"/>
            <w:vAlign w:val="bottom"/>
          </w:tcPr>
          <w:p w:rsidR="00F80C9B" w:rsidRPr="00286CC4" w:rsidRDefault="00F80C9B" w:rsidP="00292BCD">
            <w:pPr>
              <w:jc w:val="center"/>
            </w:pPr>
            <w:r w:rsidRPr="00286CC4">
              <w:t>Number of Responses per  Respondent</w:t>
            </w:r>
          </w:p>
        </w:tc>
        <w:tc>
          <w:tcPr>
            <w:tcW w:w="1562" w:type="dxa"/>
            <w:shd w:val="clear" w:color="auto" w:fill="auto"/>
            <w:vAlign w:val="bottom"/>
          </w:tcPr>
          <w:p w:rsidR="00F80C9B" w:rsidRPr="00286CC4" w:rsidRDefault="00F80C9B" w:rsidP="00292BCD">
            <w:pPr>
              <w:jc w:val="center"/>
            </w:pPr>
            <w:r w:rsidRPr="00286CC4">
              <w:t>Average Burden hours per Response</w:t>
            </w:r>
          </w:p>
        </w:tc>
        <w:tc>
          <w:tcPr>
            <w:tcW w:w="1537" w:type="dxa"/>
            <w:shd w:val="clear" w:color="auto" w:fill="auto"/>
            <w:vAlign w:val="bottom"/>
          </w:tcPr>
          <w:p w:rsidR="00F80C9B" w:rsidRPr="00286CC4" w:rsidRDefault="00F80C9B" w:rsidP="00292BCD">
            <w:pPr>
              <w:jc w:val="center"/>
            </w:pPr>
            <w:r w:rsidRPr="00286CC4">
              <w:t>Total Burden Hours</w:t>
            </w:r>
          </w:p>
        </w:tc>
      </w:tr>
      <w:tr w:rsidR="00F80C9B" w:rsidRPr="00286CC4" w:rsidTr="00292BCD">
        <w:trPr>
          <w:trHeight w:val="285"/>
        </w:trPr>
        <w:tc>
          <w:tcPr>
            <w:tcW w:w="1736" w:type="dxa"/>
            <w:shd w:val="clear" w:color="auto" w:fill="auto"/>
            <w:vAlign w:val="center"/>
          </w:tcPr>
          <w:p w:rsidR="00F80C9B" w:rsidRPr="00286CC4" w:rsidRDefault="00F80C9B" w:rsidP="00292BCD">
            <w:pPr>
              <w:jc w:val="center"/>
            </w:pPr>
            <w:r w:rsidRPr="00286CC4">
              <w:t>Screener</w:t>
            </w:r>
          </w:p>
        </w:tc>
        <w:tc>
          <w:tcPr>
            <w:tcW w:w="1583" w:type="dxa"/>
            <w:shd w:val="clear" w:color="auto" w:fill="auto"/>
            <w:vAlign w:val="center"/>
          </w:tcPr>
          <w:p w:rsidR="00F80C9B" w:rsidRPr="00286CC4" w:rsidRDefault="00F80C9B" w:rsidP="00292BCD">
            <w:pPr>
              <w:jc w:val="center"/>
            </w:pPr>
            <w:r w:rsidRPr="00286CC4">
              <w:t>General Population, Adult Women, 25+</w:t>
            </w:r>
          </w:p>
        </w:tc>
        <w:tc>
          <w:tcPr>
            <w:tcW w:w="1570" w:type="dxa"/>
            <w:shd w:val="clear" w:color="auto" w:fill="auto"/>
            <w:vAlign w:val="center"/>
          </w:tcPr>
          <w:p w:rsidR="00F80C9B" w:rsidRPr="00286CC4" w:rsidRDefault="00F80C9B" w:rsidP="00292BCD">
            <w:pPr>
              <w:jc w:val="center"/>
            </w:pPr>
            <w:r>
              <w:t>4300</w:t>
            </w:r>
          </w:p>
        </w:tc>
        <w:tc>
          <w:tcPr>
            <w:tcW w:w="1588" w:type="dxa"/>
            <w:shd w:val="clear" w:color="auto" w:fill="auto"/>
            <w:vAlign w:val="center"/>
          </w:tcPr>
          <w:p w:rsidR="00F80C9B" w:rsidRPr="00286CC4" w:rsidRDefault="00F80C9B" w:rsidP="00292BCD">
            <w:pPr>
              <w:jc w:val="center"/>
            </w:pPr>
            <w:r w:rsidRPr="00286CC4">
              <w:t>1</w:t>
            </w:r>
          </w:p>
        </w:tc>
        <w:tc>
          <w:tcPr>
            <w:tcW w:w="1562" w:type="dxa"/>
            <w:shd w:val="clear" w:color="auto" w:fill="auto"/>
            <w:vAlign w:val="center"/>
          </w:tcPr>
          <w:p w:rsidR="00F80C9B" w:rsidRPr="00286CC4" w:rsidRDefault="00A5554B" w:rsidP="00292BCD">
            <w:pPr>
              <w:jc w:val="center"/>
            </w:pPr>
            <w:r>
              <w:t>2</w:t>
            </w:r>
            <w:r w:rsidR="00F80C9B">
              <w:t>/60</w:t>
            </w:r>
          </w:p>
        </w:tc>
        <w:tc>
          <w:tcPr>
            <w:tcW w:w="1537" w:type="dxa"/>
            <w:shd w:val="clear" w:color="auto" w:fill="auto"/>
            <w:vAlign w:val="center"/>
          </w:tcPr>
          <w:p w:rsidR="00F80C9B" w:rsidRPr="00286CC4" w:rsidRDefault="00A5554B" w:rsidP="00292BCD">
            <w:pPr>
              <w:jc w:val="center"/>
            </w:pPr>
            <w:r>
              <w:t>143</w:t>
            </w:r>
          </w:p>
        </w:tc>
      </w:tr>
      <w:tr w:rsidR="00F80C9B" w:rsidRPr="00286CC4" w:rsidTr="00292BCD">
        <w:trPr>
          <w:trHeight w:val="285"/>
        </w:trPr>
        <w:tc>
          <w:tcPr>
            <w:tcW w:w="1736" w:type="dxa"/>
            <w:shd w:val="clear" w:color="auto" w:fill="auto"/>
            <w:vAlign w:val="center"/>
          </w:tcPr>
          <w:p w:rsidR="00F80C9B" w:rsidRPr="00286CC4" w:rsidRDefault="00F80C9B" w:rsidP="00292BCD">
            <w:pPr>
              <w:jc w:val="center"/>
            </w:pPr>
            <w:r w:rsidRPr="00286CC4">
              <w:t>Main instrument</w:t>
            </w:r>
          </w:p>
        </w:tc>
        <w:tc>
          <w:tcPr>
            <w:tcW w:w="1583" w:type="dxa"/>
            <w:tcBorders>
              <w:bottom w:val="single" w:sz="4" w:space="0" w:color="auto"/>
            </w:tcBorders>
            <w:shd w:val="clear" w:color="auto" w:fill="auto"/>
            <w:vAlign w:val="center"/>
          </w:tcPr>
          <w:p w:rsidR="00F80C9B" w:rsidRPr="00286CC4" w:rsidRDefault="00F80C9B" w:rsidP="00292BCD">
            <w:pPr>
              <w:jc w:val="center"/>
            </w:pPr>
            <w:r w:rsidRPr="00286CC4">
              <w:t>General Population, Adult Women, 25+</w:t>
            </w:r>
          </w:p>
        </w:tc>
        <w:tc>
          <w:tcPr>
            <w:tcW w:w="1570" w:type="dxa"/>
            <w:tcBorders>
              <w:bottom w:val="single" w:sz="4" w:space="0" w:color="auto"/>
            </w:tcBorders>
            <w:shd w:val="clear" w:color="auto" w:fill="auto"/>
            <w:vAlign w:val="center"/>
          </w:tcPr>
          <w:p w:rsidR="00F80C9B" w:rsidRPr="00286CC4" w:rsidRDefault="00F80C9B" w:rsidP="00292BCD">
            <w:pPr>
              <w:jc w:val="center"/>
            </w:pPr>
            <w:r w:rsidRPr="00286CC4">
              <w:t>1200</w:t>
            </w:r>
          </w:p>
        </w:tc>
        <w:tc>
          <w:tcPr>
            <w:tcW w:w="1588" w:type="dxa"/>
            <w:tcBorders>
              <w:bottom w:val="single" w:sz="4" w:space="0" w:color="auto"/>
            </w:tcBorders>
            <w:shd w:val="clear" w:color="auto" w:fill="auto"/>
            <w:vAlign w:val="center"/>
          </w:tcPr>
          <w:p w:rsidR="00F80C9B" w:rsidRPr="00286CC4" w:rsidRDefault="00F80C9B" w:rsidP="00292BCD">
            <w:pPr>
              <w:jc w:val="center"/>
            </w:pPr>
            <w:r w:rsidRPr="00286CC4">
              <w:t>1</w:t>
            </w:r>
          </w:p>
        </w:tc>
        <w:tc>
          <w:tcPr>
            <w:tcW w:w="1562" w:type="dxa"/>
            <w:tcBorders>
              <w:bottom w:val="single" w:sz="4" w:space="0" w:color="auto"/>
            </w:tcBorders>
            <w:shd w:val="clear" w:color="auto" w:fill="auto"/>
            <w:vAlign w:val="center"/>
          </w:tcPr>
          <w:p w:rsidR="00F80C9B" w:rsidRPr="00286CC4" w:rsidRDefault="00A5554B" w:rsidP="00292BCD">
            <w:pPr>
              <w:jc w:val="center"/>
            </w:pPr>
            <w:r>
              <w:t>4</w:t>
            </w:r>
            <w:r w:rsidR="00F80C9B">
              <w:t>/60</w:t>
            </w:r>
          </w:p>
        </w:tc>
        <w:tc>
          <w:tcPr>
            <w:tcW w:w="1537" w:type="dxa"/>
            <w:shd w:val="clear" w:color="auto" w:fill="auto"/>
            <w:vAlign w:val="center"/>
          </w:tcPr>
          <w:p w:rsidR="00F80C9B" w:rsidRPr="00286CC4" w:rsidRDefault="00A5554B" w:rsidP="00292BCD">
            <w:pPr>
              <w:jc w:val="center"/>
            </w:pPr>
            <w:r>
              <w:t>80</w:t>
            </w:r>
          </w:p>
        </w:tc>
      </w:tr>
      <w:tr w:rsidR="00F80C9B" w:rsidRPr="00286CC4" w:rsidTr="00292BCD">
        <w:trPr>
          <w:trHeight w:val="285"/>
        </w:trPr>
        <w:tc>
          <w:tcPr>
            <w:tcW w:w="8039" w:type="dxa"/>
            <w:gridSpan w:val="5"/>
            <w:shd w:val="clear" w:color="auto" w:fill="auto"/>
            <w:vAlign w:val="center"/>
          </w:tcPr>
          <w:p w:rsidR="00F80C9B" w:rsidRPr="00286CC4" w:rsidRDefault="00F80C9B" w:rsidP="00292BCD">
            <w:pPr>
              <w:jc w:val="right"/>
            </w:pPr>
            <w:r w:rsidRPr="00286CC4">
              <w:t>Total</w:t>
            </w:r>
          </w:p>
        </w:tc>
        <w:tc>
          <w:tcPr>
            <w:tcW w:w="1537" w:type="dxa"/>
            <w:shd w:val="clear" w:color="auto" w:fill="auto"/>
            <w:vAlign w:val="center"/>
          </w:tcPr>
          <w:p w:rsidR="00F80C9B" w:rsidRPr="00286CC4" w:rsidRDefault="00A5554B" w:rsidP="00292BCD">
            <w:pPr>
              <w:jc w:val="center"/>
            </w:pPr>
            <w:r>
              <w:t>223</w:t>
            </w:r>
          </w:p>
        </w:tc>
      </w:tr>
    </w:tbl>
    <w:p w:rsidR="00F80C9B" w:rsidRDefault="00F80C9B" w:rsidP="00F80C9B">
      <w:pPr>
        <w:spacing w:line="480" w:lineRule="auto"/>
      </w:pPr>
    </w:p>
    <w:p w:rsidR="00F80C9B" w:rsidRDefault="00F80C9B" w:rsidP="00F80C9B">
      <w:pPr>
        <w:pStyle w:val="BodyTextIndent"/>
        <w:ind w:left="1080"/>
        <w:rPr>
          <w:rFonts w:ascii="Times New Roman" w:hAnsi="Times New Roman"/>
        </w:rPr>
      </w:pPr>
      <w:r>
        <w:rPr>
          <w:rFonts w:ascii="Times New Roman" w:hAnsi="Times New Roman"/>
        </w:rPr>
        <w:t>No costs on behalf of the respondent are required except for the time it takes for the respondent to answer the survey.</w:t>
      </w:r>
    </w:p>
    <w:p w:rsidR="00F80C9B" w:rsidRDefault="00F80C9B" w:rsidP="00F80C9B">
      <w:pPr>
        <w:ind w:left="360"/>
        <w:rPr>
          <w:sz w:val="24"/>
        </w:rPr>
      </w:pPr>
    </w:p>
    <w:p w:rsidR="00F80C9B" w:rsidRDefault="00F80C9B" w:rsidP="00F80C9B">
      <w:pPr>
        <w:numPr>
          <w:ilvl w:val="0"/>
          <w:numId w:val="1"/>
        </w:numPr>
        <w:rPr>
          <w:b/>
          <w:sz w:val="24"/>
        </w:rPr>
      </w:pPr>
      <w:r>
        <w:rPr>
          <w:b/>
          <w:sz w:val="24"/>
          <w:u w:val="single"/>
        </w:rPr>
        <w:t xml:space="preserve">Estimates of other Total Annual Cost Burden to Respondents or </w:t>
      </w:r>
      <w:proofErr w:type="spellStart"/>
      <w:r>
        <w:rPr>
          <w:b/>
          <w:sz w:val="24"/>
          <w:u w:val="single"/>
        </w:rPr>
        <w:t>Recordkeepers</w:t>
      </w:r>
      <w:proofErr w:type="spellEnd"/>
      <w:r>
        <w:rPr>
          <w:b/>
          <w:sz w:val="24"/>
          <w:u w:val="single"/>
        </w:rPr>
        <w:t>/Capital Costs</w:t>
      </w:r>
    </w:p>
    <w:p w:rsidR="00F80C9B" w:rsidRPr="00EA4CB6" w:rsidRDefault="00F80C9B" w:rsidP="00F80C9B">
      <w:pPr>
        <w:ind w:left="1080"/>
        <w:rPr>
          <w:sz w:val="24"/>
        </w:rPr>
      </w:pPr>
      <w:proofErr w:type="gramStart"/>
      <w:r w:rsidRPr="00EA4CB6">
        <w:rPr>
          <w:sz w:val="24"/>
        </w:rPr>
        <w:t>None.</w:t>
      </w:r>
      <w:proofErr w:type="gramEnd"/>
    </w:p>
    <w:p w:rsidR="00F80C9B" w:rsidRDefault="00F80C9B" w:rsidP="00F80C9B">
      <w:pPr>
        <w:ind w:left="360"/>
        <w:rPr>
          <w:sz w:val="24"/>
        </w:rPr>
      </w:pPr>
    </w:p>
    <w:p w:rsidR="00F80C9B" w:rsidRDefault="00F80C9B" w:rsidP="00F80C9B">
      <w:pPr>
        <w:numPr>
          <w:ilvl w:val="0"/>
          <w:numId w:val="1"/>
        </w:numPr>
        <w:rPr>
          <w:b/>
          <w:sz w:val="24"/>
        </w:rPr>
      </w:pPr>
      <w:r>
        <w:rPr>
          <w:b/>
          <w:sz w:val="24"/>
          <w:u w:val="single"/>
        </w:rPr>
        <w:t>Annualized Cost to Federal Government</w:t>
      </w:r>
    </w:p>
    <w:p w:rsidR="00F80C9B" w:rsidRPr="00EA4CB6" w:rsidRDefault="00F80C9B" w:rsidP="00F80C9B">
      <w:pPr>
        <w:ind w:left="1080"/>
        <w:rPr>
          <w:sz w:val="24"/>
        </w:rPr>
      </w:pPr>
      <w:r w:rsidRPr="00FF695F">
        <w:rPr>
          <w:sz w:val="24"/>
        </w:rPr>
        <w:t>The averag</w:t>
      </w:r>
      <w:r>
        <w:rPr>
          <w:sz w:val="24"/>
        </w:rPr>
        <w:t>e estimated annual cost to the f</w:t>
      </w:r>
      <w:r w:rsidRPr="00FF695F">
        <w:rPr>
          <w:sz w:val="24"/>
        </w:rPr>
        <w:t xml:space="preserve">ederal government for conducting </w:t>
      </w:r>
      <w:r>
        <w:rPr>
          <w:sz w:val="24"/>
        </w:rPr>
        <w:t xml:space="preserve">this data collection is </w:t>
      </w:r>
      <w:r w:rsidRPr="00FF695F">
        <w:rPr>
          <w:sz w:val="24"/>
        </w:rPr>
        <w:t>$</w:t>
      </w:r>
      <w:r>
        <w:rPr>
          <w:sz w:val="24"/>
        </w:rPr>
        <w:t>118,000</w:t>
      </w:r>
      <w:r w:rsidRPr="00FF695F">
        <w:rPr>
          <w:sz w:val="24"/>
        </w:rPr>
        <w:t xml:space="preserve">.  </w:t>
      </w:r>
      <w:r>
        <w:rPr>
          <w:sz w:val="24"/>
        </w:rPr>
        <w:t>This figure includes costs for a contract with a research firm and OWH staff time.  OWH has a 15-month contract with the research firm Harris Interactive for instrument</w:t>
      </w:r>
      <w:r w:rsidRPr="00FF695F">
        <w:rPr>
          <w:sz w:val="24"/>
        </w:rPr>
        <w:t xml:space="preserve"> design, data collection, analysis, and reporting</w:t>
      </w:r>
      <w:r>
        <w:rPr>
          <w:sz w:val="24"/>
        </w:rPr>
        <w:t xml:space="preserve">. The annual cost of that contract is $95,000.  In addition, two OWH staff </w:t>
      </w:r>
      <w:proofErr w:type="gramStart"/>
      <w:r>
        <w:rPr>
          <w:sz w:val="24"/>
        </w:rPr>
        <w:t>oversee</w:t>
      </w:r>
      <w:proofErr w:type="gramEnd"/>
      <w:r>
        <w:rPr>
          <w:sz w:val="24"/>
        </w:rPr>
        <w:t xml:space="preserve"> the project, each using 10% of an FTE (a total of 20% of an FTE, approximately $23,000). </w:t>
      </w:r>
    </w:p>
    <w:p w:rsidR="00F80C9B" w:rsidRPr="00EA4CB6" w:rsidRDefault="00F80C9B" w:rsidP="00F80C9B">
      <w:pPr>
        <w:ind w:left="1080"/>
        <w:rPr>
          <w:sz w:val="24"/>
        </w:rPr>
      </w:pPr>
    </w:p>
    <w:p w:rsidR="00024CD4" w:rsidRDefault="00024CD4" w:rsidP="00F80C9B">
      <w:pPr>
        <w:ind w:left="1080" w:firstLine="360"/>
        <w:rPr>
          <w:b/>
          <w:sz w:val="24"/>
        </w:rPr>
      </w:pPr>
    </w:p>
    <w:p w:rsidR="00F80C9B" w:rsidRPr="0020409B" w:rsidRDefault="00F80C9B" w:rsidP="00F80C9B">
      <w:pPr>
        <w:ind w:left="1080" w:firstLine="360"/>
        <w:rPr>
          <w:b/>
          <w:sz w:val="24"/>
        </w:rPr>
      </w:pPr>
      <w:r w:rsidRPr="0020409B">
        <w:rPr>
          <w:b/>
          <w:sz w:val="24"/>
        </w:rPr>
        <w:t>14A. Annualized Cost to Federal Government</w:t>
      </w:r>
    </w:p>
    <w:p w:rsidR="00F80C9B" w:rsidRDefault="00F80C9B" w:rsidP="00F80C9B">
      <w:pPr>
        <w:ind w:left="360"/>
        <w:rPr>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4608"/>
      </w:tblGrid>
      <w:tr w:rsidR="00F80C9B" w:rsidRPr="003F1756" w:rsidTr="00292BCD">
        <w:tc>
          <w:tcPr>
            <w:tcW w:w="3780" w:type="dxa"/>
          </w:tcPr>
          <w:p w:rsidR="00F80C9B" w:rsidRPr="003F1756" w:rsidRDefault="00F80C9B" w:rsidP="00292BCD">
            <w:pPr>
              <w:jc w:val="center"/>
              <w:rPr>
                <w:sz w:val="24"/>
              </w:rPr>
            </w:pPr>
            <w:r w:rsidRPr="003F1756">
              <w:rPr>
                <w:sz w:val="24"/>
              </w:rPr>
              <w:t>Contract with Harris Interactive</w:t>
            </w:r>
          </w:p>
        </w:tc>
        <w:tc>
          <w:tcPr>
            <w:tcW w:w="4608" w:type="dxa"/>
          </w:tcPr>
          <w:p w:rsidR="00F80C9B" w:rsidRPr="003F1756" w:rsidRDefault="00F80C9B" w:rsidP="00292BCD">
            <w:pPr>
              <w:rPr>
                <w:sz w:val="24"/>
              </w:rPr>
            </w:pPr>
            <w:r w:rsidRPr="003F1756">
              <w:rPr>
                <w:sz w:val="24"/>
              </w:rPr>
              <w:t>$95,000</w:t>
            </w:r>
          </w:p>
        </w:tc>
      </w:tr>
      <w:tr w:rsidR="00F80C9B" w:rsidRPr="003F1756" w:rsidTr="00292BCD">
        <w:tc>
          <w:tcPr>
            <w:tcW w:w="3780" w:type="dxa"/>
          </w:tcPr>
          <w:p w:rsidR="00F80C9B" w:rsidRPr="003F1756" w:rsidRDefault="00F80C9B" w:rsidP="00292BCD">
            <w:pPr>
              <w:jc w:val="center"/>
              <w:rPr>
                <w:sz w:val="24"/>
              </w:rPr>
            </w:pPr>
            <w:r w:rsidRPr="003F1756">
              <w:rPr>
                <w:sz w:val="24"/>
              </w:rPr>
              <w:t xml:space="preserve">Federal staff oversight </w:t>
            </w:r>
          </w:p>
        </w:tc>
        <w:tc>
          <w:tcPr>
            <w:tcW w:w="4608" w:type="dxa"/>
          </w:tcPr>
          <w:p w:rsidR="00F80C9B" w:rsidRPr="003F1756" w:rsidRDefault="00F80C9B" w:rsidP="00292BCD">
            <w:pPr>
              <w:rPr>
                <w:sz w:val="24"/>
              </w:rPr>
            </w:pPr>
            <w:r w:rsidRPr="003F1756">
              <w:rPr>
                <w:sz w:val="24"/>
              </w:rPr>
              <w:t>$23,000</w:t>
            </w:r>
          </w:p>
        </w:tc>
      </w:tr>
      <w:tr w:rsidR="00F80C9B" w:rsidRPr="003F1756" w:rsidTr="00292BCD">
        <w:tc>
          <w:tcPr>
            <w:tcW w:w="3780" w:type="dxa"/>
          </w:tcPr>
          <w:p w:rsidR="00F80C9B" w:rsidRPr="003F1756" w:rsidRDefault="00F80C9B" w:rsidP="00292BCD">
            <w:pPr>
              <w:jc w:val="center"/>
              <w:rPr>
                <w:b/>
                <w:sz w:val="24"/>
              </w:rPr>
            </w:pPr>
            <w:r w:rsidRPr="003F1756">
              <w:rPr>
                <w:b/>
                <w:sz w:val="24"/>
              </w:rPr>
              <w:t>TOTAL</w:t>
            </w:r>
          </w:p>
        </w:tc>
        <w:tc>
          <w:tcPr>
            <w:tcW w:w="4608" w:type="dxa"/>
          </w:tcPr>
          <w:p w:rsidR="00F80C9B" w:rsidRPr="003F1756" w:rsidRDefault="00F80C9B" w:rsidP="00292BCD">
            <w:pPr>
              <w:rPr>
                <w:b/>
                <w:sz w:val="24"/>
              </w:rPr>
            </w:pPr>
            <w:r w:rsidRPr="003F1756">
              <w:rPr>
                <w:b/>
                <w:sz w:val="24"/>
              </w:rPr>
              <w:t>$118,000</w:t>
            </w:r>
          </w:p>
        </w:tc>
      </w:tr>
    </w:tbl>
    <w:p w:rsidR="00F80C9B" w:rsidRDefault="00F80C9B" w:rsidP="00F80C9B">
      <w:pPr>
        <w:ind w:left="360"/>
        <w:rPr>
          <w:sz w:val="24"/>
        </w:rPr>
      </w:pPr>
    </w:p>
    <w:p w:rsidR="00F80C9B" w:rsidRDefault="00F80C9B" w:rsidP="00F80C9B">
      <w:pPr>
        <w:ind w:left="360"/>
        <w:rPr>
          <w:sz w:val="24"/>
        </w:rPr>
      </w:pPr>
    </w:p>
    <w:p w:rsidR="00F80C9B" w:rsidRDefault="00F80C9B" w:rsidP="00F80C9B">
      <w:pPr>
        <w:numPr>
          <w:ilvl w:val="0"/>
          <w:numId w:val="1"/>
        </w:numPr>
        <w:rPr>
          <w:b/>
          <w:sz w:val="24"/>
        </w:rPr>
      </w:pPr>
      <w:r>
        <w:rPr>
          <w:b/>
          <w:sz w:val="24"/>
          <w:u w:val="single"/>
        </w:rPr>
        <w:t>Explanation for Program Changes or Adjustments</w:t>
      </w:r>
    </w:p>
    <w:p w:rsidR="00F80C9B" w:rsidRDefault="00F80C9B" w:rsidP="003A3AB8">
      <w:pPr>
        <w:pStyle w:val="BodyTextIndent"/>
        <w:ind w:left="360" w:firstLine="720"/>
        <w:rPr>
          <w:rFonts w:ascii="Times New Roman" w:hAnsi="Times New Roman"/>
        </w:rPr>
      </w:pPr>
      <w:r>
        <w:rPr>
          <w:rFonts w:ascii="Times New Roman" w:hAnsi="Times New Roman"/>
        </w:rPr>
        <w:t>This is a new data collection.</w:t>
      </w:r>
    </w:p>
    <w:p w:rsidR="00F80C9B" w:rsidRDefault="00F80C9B" w:rsidP="00F80C9B">
      <w:pPr>
        <w:pStyle w:val="BodyTextIndent"/>
        <w:ind w:left="1080"/>
        <w:rPr>
          <w:rFonts w:ascii="Times New Roman" w:hAnsi="Times New Roman"/>
        </w:rPr>
      </w:pPr>
    </w:p>
    <w:p w:rsidR="00F80C9B" w:rsidRDefault="00F80C9B" w:rsidP="00F80C9B">
      <w:pPr>
        <w:ind w:left="360" w:firstLine="720"/>
        <w:rPr>
          <w:sz w:val="24"/>
        </w:rPr>
      </w:pPr>
    </w:p>
    <w:p w:rsidR="003B797A" w:rsidRDefault="00F80C9B" w:rsidP="003B797A">
      <w:pPr>
        <w:numPr>
          <w:ilvl w:val="0"/>
          <w:numId w:val="1"/>
        </w:numPr>
        <w:rPr>
          <w:b/>
          <w:sz w:val="24"/>
        </w:rPr>
      </w:pPr>
      <w:r>
        <w:rPr>
          <w:b/>
          <w:sz w:val="24"/>
          <w:u w:val="single"/>
        </w:rPr>
        <w:t>Plans for Tabulation and Publication and Project Time Schedule</w:t>
      </w:r>
    </w:p>
    <w:p w:rsidR="004202DE" w:rsidRPr="003B797A" w:rsidRDefault="00F80C9B" w:rsidP="003B797A">
      <w:pPr>
        <w:ind w:left="1080"/>
        <w:rPr>
          <w:b/>
          <w:sz w:val="24"/>
        </w:rPr>
      </w:pPr>
      <w:r w:rsidRPr="003B797A">
        <w:rPr>
          <w:sz w:val="24"/>
        </w:rPr>
        <w:t xml:space="preserve">The results of evaluation activities in this ICR will be shared with HHS officials responsible for health communications and published in a peer-review journal.  The information will be used to inform future health communication activities across OWH, as well as other public health media campaigns.  </w:t>
      </w:r>
    </w:p>
    <w:p w:rsidR="004202DE" w:rsidRDefault="004202DE" w:rsidP="00F80C9B">
      <w:pPr>
        <w:ind w:left="1080"/>
        <w:rPr>
          <w:sz w:val="24"/>
        </w:rPr>
      </w:pPr>
    </w:p>
    <w:p w:rsidR="00F80C9B" w:rsidRDefault="004202DE" w:rsidP="00F80C9B">
      <w:pPr>
        <w:ind w:left="1080"/>
        <w:rPr>
          <w:sz w:val="24"/>
        </w:rPr>
      </w:pPr>
      <w:r>
        <w:rPr>
          <w:sz w:val="24"/>
        </w:rPr>
        <w:t>This data collection will be administered in conjunction with AHA’s data collection on women and heart disease. To ensure that AHA’s regular data collection will launch in</w:t>
      </w:r>
      <w:r w:rsidR="003B797A">
        <w:rPr>
          <w:sz w:val="24"/>
        </w:rPr>
        <w:t xml:space="preserve"> summer</w:t>
      </w:r>
      <w:r>
        <w:rPr>
          <w:sz w:val="24"/>
        </w:rPr>
        <w:t xml:space="preserve"> </w:t>
      </w:r>
      <w:r w:rsidR="00024CD4">
        <w:rPr>
          <w:sz w:val="24"/>
        </w:rPr>
        <w:t>as it has each three years since</w:t>
      </w:r>
      <w:r>
        <w:rPr>
          <w:sz w:val="24"/>
        </w:rPr>
        <w:t xml:space="preserve"> 1997, we hope to have OM</w:t>
      </w:r>
      <w:r w:rsidR="00A52CD1">
        <w:rPr>
          <w:sz w:val="24"/>
        </w:rPr>
        <w:t>B clearance by April 15</w:t>
      </w:r>
      <w:r w:rsidR="00F87760">
        <w:rPr>
          <w:sz w:val="24"/>
        </w:rPr>
        <w:t>, 2012.</w:t>
      </w:r>
      <w:r w:rsidR="00A52CD1">
        <w:rPr>
          <w:sz w:val="24"/>
        </w:rPr>
        <w:t xml:space="preserve"> </w:t>
      </w:r>
      <w:r w:rsidR="00F80C9B">
        <w:rPr>
          <w:sz w:val="24"/>
        </w:rPr>
        <w:t>This</w:t>
      </w:r>
      <w:r w:rsidR="00A52CD1">
        <w:rPr>
          <w:sz w:val="24"/>
        </w:rPr>
        <w:t xml:space="preserve"> survey</w:t>
      </w:r>
      <w:r w:rsidR="00F80C9B">
        <w:rPr>
          <w:sz w:val="24"/>
        </w:rPr>
        <w:t xml:space="preserve"> is anticipated to take </w:t>
      </w:r>
      <w:r w:rsidR="00F80C9B" w:rsidRPr="00EA4CB6">
        <w:rPr>
          <w:sz w:val="24"/>
        </w:rPr>
        <w:t xml:space="preserve">at least </w:t>
      </w:r>
      <w:r w:rsidR="00F80C9B">
        <w:rPr>
          <w:sz w:val="24"/>
        </w:rPr>
        <w:t xml:space="preserve">eight </w:t>
      </w:r>
      <w:r w:rsidR="00F80C9B" w:rsidRPr="00EA4CB6">
        <w:rPr>
          <w:sz w:val="24"/>
        </w:rPr>
        <w:t xml:space="preserve">weeks to </w:t>
      </w:r>
      <w:r w:rsidR="00F80C9B">
        <w:rPr>
          <w:sz w:val="24"/>
        </w:rPr>
        <w:t>field, and field da</w:t>
      </w:r>
      <w:r w:rsidR="00F87760">
        <w:rPr>
          <w:sz w:val="24"/>
        </w:rPr>
        <w:t>te is expected to be May 1-July 1, 2012</w:t>
      </w:r>
      <w:r w:rsidR="00F80C9B">
        <w:rPr>
          <w:sz w:val="24"/>
        </w:rPr>
        <w:t>.  Analysis is anticip</w:t>
      </w:r>
      <w:r w:rsidR="00F87760">
        <w:rPr>
          <w:sz w:val="24"/>
        </w:rPr>
        <w:t>ated to begin July 2</w:t>
      </w:r>
      <w:r w:rsidR="00F80C9B">
        <w:rPr>
          <w:sz w:val="24"/>
        </w:rPr>
        <w:t>, 2012, and reporting is anticipated to start on August 1, 2012.</w:t>
      </w:r>
      <w:r>
        <w:rPr>
          <w:sz w:val="24"/>
        </w:rPr>
        <w:t xml:space="preserve">  We plan to have results available to the public by February, 2013 in conjunction with Heart </w:t>
      </w:r>
      <w:r w:rsidR="00F87760">
        <w:rPr>
          <w:sz w:val="24"/>
        </w:rPr>
        <w:t>month</w:t>
      </w:r>
      <w:r>
        <w:rPr>
          <w:sz w:val="24"/>
        </w:rPr>
        <w:t xml:space="preserve">.  </w:t>
      </w:r>
      <w:r w:rsidR="00F80C9B">
        <w:rPr>
          <w:sz w:val="24"/>
        </w:rPr>
        <w:br/>
      </w:r>
    </w:p>
    <w:p w:rsidR="00F80C9B" w:rsidRDefault="00F80C9B" w:rsidP="00F80C9B">
      <w:pPr>
        <w:numPr>
          <w:ilvl w:val="0"/>
          <w:numId w:val="1"/>
        </w:numPr>
        <w:rPr>
          <w:b/>
          <w:sz w:val="24"/>
        </w:rPr>
      </w:pPr>
      <w:r>
        <w:rPr>
          <w:b/>
          <w:sz w:val="24"/>
          <w:u w:val="single"/>
        </w:rPr>
        <w:t>Reason(s) Display of OMB Expiration Date is Inappropriate</w:t>
      </w:r>
    </w:p>
    <w:p w:rsidR="00F80C9B" w:rsidRDefault="00F80C9B" w:rsidP="00F80C9B">
      <w:pPr>
        <w:ind w:left="1080"/>
        <w:rPr>
          <w:sz w:val="24"/>
        </w:rPr>
      </w:pPr>
      <w:r w:rsidRPr="00EA4CB6">
        <w:rPr>
          <w:sz w:val="24"/>
        </w:rPr>
        <w:t xml:space="preserve">Not applicable.  </w:t>
      </w:r>
      <w:r>
        <w:rPr>
          <w:sz w:val="24"/>
        </w:rPr>
        <w:br/>
      </w:r>
    </w:p>
    <w:p w:rsidR="00F80C9B" w:rsidRDefault="00F80C9B" w:rsidP="00F80C9B">
      <w:pPr>
        <w:numPr>
          <w:ilvl w:val="0"/>
          <w:numId w:val="1"/>
        </w:numPr>
        <w:rPr>
          <w:b/>
          <w:sz w:val="24"/>
        </w:rPr>
      </w:pPr>
      <w:r>
        <w:rPr>
          <w:b/>
          <w:sz w:val="24"/>
          <w:u w:val="single"/>
        </w:rPr>
        <w:t>Exceptions to Certification for Paperwork Reduction Act Submissions</w:t>
      </w:r>
    </w:p>
    <w:p w:rsidR="00F80C9B" w:rsidRDefault="00F80C9B" w:rsidP="00F80C9B">
      <w:pPr>
        <w:pStyle w:val="BodyTextIndent"/>
        <w:ind w:left="1080"/>
        <w:rPr>
          <w:rFonts w:ascii="Times New Roman" w:hAnsi="Times New Roman"/>
        </w:rPr>
      </w:pPr>
      <w:r>
        <w:rPr>
          <w:rFonts w:ascii="Times New Roman" w:hAnsi="Times New Roman"/>
        </w:rPr>
        <w:t>There are no exceptions to the certification.</w:t>
      </w:r>
    </w:p>
    <w:p w:rsidR="00F80C9B" w:rsidRDefault="00F80C9B" w:rsidP="00F80C9B">
      <w:pPr>
        <w:pStyle w:val="BodyTextIndent"/>
        <w:ind w:left="1080"/>
        <w:rPr>
          <w:rFonts w:ascii="Times New Roman" w:hAnsi="Times New Roman"/>
        </w:rPr>
      </w:pPr>
    </w:p>
    <w:p w:rsidR="00F80C9B" w:rsidRDefault="00F80C9B" w:rsidP="00F80C9B">
      <w:pPr>
        <w:rPr>
          <w:sz w:val="24"/>
        </w:rPr>
      </w:pPr>
    </w:p>
    <w:p w:rsidR="0063517E" w:rsidRDefault="0063517E"/>
    <w:sectPr w:rsidR="0063517E" w:rsidSect="0063517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8F6" w:rsidRDefault="003348F6" w:rsidP="00F80C9B">
      <w:r>
        <w:separator/>
      </w:r>
    </w:p>
  </w:endnote>
  <w:endnote w:type="continuationSeparator" w:id="0">
    <w:p w:rsidR="003348F6" w:rsidRDefault="003348F6" w:rsidP="00F80C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8F6" w:rsidRDefault="003348F6" w:rsidP="00F80C9B">
      <w:r>
        <w:separator/>
      </w:r>
    </w:p>
  </w:footnote>
  <w:footnote w:type="continuationSeparator" w:id="0">
    <w:p w:rsidR="003348F6" w:rsidRDefault="003348F6" w:rsidP="00F80C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7A5F5AD7"/>
    <w:multiLevelType w:val="hybridMultilevel"/>
    <w:tmpl w:val="58065F0C"/>
    <w:lvl w:ilvl="0" w:tplc="3FAC2B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80C9B"/>
    <w:rsid w:val="00001AF9"/>
    <w:rsid w:val="00002066"/>
    <w:rsid w:val="000058DA"/>
    <w:rsid w:val="00006341"/>
    <w:rsid w:val="00012088"/>
    <w:rsid w:val="00015B86"/>
    <w:rsid w:val="00017D80"/>
    <w:rsid w:val="00020422"/>
    <w:rsid w:val="00020592"/>
    <w:rsid w:val="000222E9"/>
    <w:rsid w:val="0002273A"/>
    <w:rsid w:val="00023E5B"/>
    <w:rsid w:val="00024A85"/>
    <w:rsid w:val="00024CD4"/>
    <w:rsid w:val="0002621D"/>
    <w:rsid w:val="00026509"/>
    <w:rsid w:val="00027891"/>
    <w:rsid w:val="00031165"/>
    <w:rsid w:val="0003308C"/>
    <w:rsid w:val="00036004"/>
    <w:rsid w:val="00040B68"/>
    <w:rsid w:val="00043C2F"/>
    <w:rsid w:val="0004471A"/>
    <w:rsid w:val="00045522"/>
    <w:rsid w:val="00045D76"/>
    <w:rsid w:val="00050387"/>
    <w:rsid w:val="00053F7D"/>
    <w:rsid w:val="00054863"/>
    <w:rsid w:val="00055625"/>
    <w:rsid w:val="00060226"/>
    <w:rsid w:val="00063314"/>
    <w:rsid w:val="00063772"/>
    <w:rsid w:val="00066259"/>
    <w:rsid w:val="00072201"/>
    <w:rsid w:val="0007360E"/>
    <w:rsid w:val="00073DC2"/>
    <w:rsid w:val="00074553"/>
    <w:rsid w:val="00075D09"/>
    <w:rsid w:val="000811B7"/>
    <w:rsid w:val="00082219"/>
    <w:rsid w:val="000846E2"/>
    <w:rsid w:val="000851BD"/>
    <w:rsid w:val="00090C74"/>
    <w:rsid w:val="0009106D"/>
    <w:rsid w:val="00097B4F"/>
    <w:rsid w:val="000A0799"/>
    <w:rsid w:val="000A69C7"/>
    <w:rsid w:val="000B55BF"/>
    <w:rsid w:val="000B78D3"/>
    <w:rsid w:val="000C0228"/>
    <w:rsid w:val="000C387A"/>
    <w:rsid w:val="000C5592"/>
    <w:rsid w:val="000D3277"/>
    <w:rsid w:val="000E0915"/>
    <w:rsid w:val="000E147E"/>
    <w:rsid w:val="000E2E00"/>
    <w:rsid w:val="000E44F3"/>
    <w:rsid w:val="000E4EC2"/>
    <w:rsid w:val="000E5154"/>
    <w:rsid w:val="000F5417"/>
    <w:rsid w:val="000F7142"/>
    <w:rsid w:val="00101D30"/>
    <w:rsid w:val="00103F6D"/>
    <w:rsid w:val="00111D1D"/>
    <w:rsid w:val="001140B7"/>
    <w:rsid w:val="001160D7"/>
    <w:rsid w:val="00124938"/>
    <w:rsid w:val="00125C23"/>
    <w:rsid w:val="0012749C"/>
    <w:rsid w:val="001314FD"/>
    <w:rsid w:val="001319EE"/>
    <w:rsid w:val="001358E7"/>
    <w:rsid w:val="001371C3"/>
    <w:rsid w:val="00142E57"/>
    <w:rsid w:val="001456EF"/>
    <w:rsid w:val="00146C84"/>
    <w:rsid w:val="00146F9C"/>
    <w:rsid w:val="00147EC0"/>
    <w:rsid w:val="001569A0"/>
    <w:rsid w:val="00157423"/>
    <w:rsid w:val="001575B1"/>
    <w:rsid w:val="00160E24"/>
    <w:rsid w:val="00160FBB"/>
    <w:rsid w:val="00163EDF"/>
    <w:rsid w:val="00165E24"/>
    <w:rsid w:val="001722B2"/>
    <w:rsid w:val="00173738"/>
    <w:rsid w:val="00174269"/>
    <w:rsid w:val="00174890"/>
    <w:rsid w:val="001767A9"/>
    <w:rsid w:val="00177BDF"/>
    <w:rsid w:val="00180743"/>
    <w:rsid w:val="00182C58"/>
    <w:rsid w:val="001867EF"/>
    <w:rsid w:val="0019452A"/>
    <w:rsid w:val="0019460B"/>
    <w:rsid w:val="00194ED0"/>
    <w:rsid w:val="001A06DE"/>
    <w:rsid w:val="001A265B"/>
    <w:rsid w:val="001A75BA"/>
    <w:rsid w:val="001A7CB2"/>
    <w:rsid w:val="001B1EFD"/>
    <w:rsid w:val="001B380C"/>
    <w:rsid w:val="001B587C"/>
    <w:rsid w:val="001B781D"/>
    <w:rsid w:val="001C05D3"/>
    <w:rsid w:val="001C5703"/>
    <w:rsid w:val="001D3756"/>
    <w:rsid w:val="001D40B9"/>
    <w:rsid w:val="001D4D69"/>
    <w:rsid w:val="001D4E6A"/>
    <w:rsid w:val="001E1387"/>
    <w:rsid w:val="001E28A8"/>
    <w:rsid w:val="001E4180"/>
    <w:rsid w:val="001E5138"/>
    <w:rsid w:val="001E79DF"/>
    <w:rsid w:val="001F053A"/>
    <w:rsid w:val="001F0637"/>
    <w:rsid w:val="001F4866"/>
    <w:rsid w:val="001F66C1"/>
    <w:rsid w:val="001F6FBB"/>
    <w:rsid w:val="002023FE"/>
    <w:rsid w:val="00204B34"/>
    <w:rsid w:val="00206864"/>
    <w:rsid w:val="002225FA"/>
    <w:rsid w:val="002249F8"/>
    <w:rsid w:val="00227ADF"/>
    <w:rsid w:val="00230AC1"/>
    <w:rsid w:val="00231971"/>
    <w:rsid w:val="00237F74"/>
    <w:rsid w:val="00244F48"/>
    <w:rsid w:val="00247424"/>
    <w:rsid w:val="00255842"/>
    <w:rsid w:val="00256E27"/>
    <w:rsid w:val="002604E4"/>
    <w:rsid w:val="00262FC2"/>
    <w:rsid w:val="0026324B"/>
    <w:rsid w:val="00263BC3"/>
    <w:rsid w:val="00264D3F"/>
    <w:rsid w:val="0026680B"/>
    <w:rsid w:val="0027223B"/>
    <w:rsid w:val="0027660C"/>
    <w:rsid w:val="002812EF"/>
    <w:rsid w:val="002819D5"/>
    <w:rsid w:val="0028365C"/>
    <w:rsid w:val="0028392A"/>
    <w:rsid w:val="00283D4D"/>
    <w:rsid w:val="00284D60"/>
    <w:rsid w:val="00287E2C"/>
    <w:rsid w:val="00292BCD"/>
    <w:rsid w:val="002930B1"/>
    <w:rsid w:val="0029692C"/>
    <w:rsid w:val="00296D8E"/>
    <w:rsid w:val="002A06EE"/>
    <w:rsid w:val="002A1A90"/>
    <w:rsid w:val="002A3055"/>
    <w:rsid w:val="002A4BF0"/>
    <w:rsid w:val="002A5634"/>
    <w:rsid w:val="002A7310"/>
    <w:rsid w:val="002B60CE"/>
    <w:rsid w:val="002B75AF"/>
    <w:rsid w:val="002B7C4F"/>
    <w:rsid w:val="002B7DD3"/>
    <w:rsid w:val="002B7F29"/>
    <w:rsid w:val="002C4424"/>
    <w:rsid w:val="002C71AC"/>
    <w:rsid w:val="002D2F7A"/>
    <w:rsid w:val="002D5895"/>
    <w:rsid w:val="002E3B38"/>
    <w:rsid w:val="002E4682"/>
    <w:rsid w:val="002E515E"/>
    <w:rsid w:val="002E5EB9"/>
    <w:rsid w:val="002F2C59"/>
    <w:rsid w:val="002F2D4F"/>
    <w:rsid w:val="002F2E29"/>
    <w:rsid w:val="002F397E"/>
    <w:rsid w:val="002F5993"/>
    <w:rsid w:val="002F5E48"/>
    <w:rsid w:val="00302B2C"/>
    <w:rsid w:val="00304002"/>
    <w:rsid w:val="0030488F"/>
    <w:rsid w:val="00306002"/>
    <w:rsid w:val="00306518"/>
    <w:rsid w:val="003105AB"/>
    <w:rsid w:val="00312485"/>
    <w:rsid w:val="0031655C"/>
    <w:rsid w:val="00316D1E"/>
    <w:rsid w:val="00317D32"/>
    <w:rsid w:val="0032029F"/>
    <w:rsid w:val="00323C1E"/>
    <w:rsid w:val="00325432"/>
    <w:rsid w:val="00327F26"/>
    <w:rsid w:val="00330A8C"/>
    <w:rsid w:val="0033221A"/>
    <w:rsid w:val="003342E6"/>
    <w:rsid w:val="003348F6"/>
    <w:rsid w:val="003353FB"/>
    <w:rsid w:val="00337770"/>
    <w:rsid w:val="00340FFD"/>
    <w:rsid w:val="0034402E"/>
    <w:rsid w:val="0034598B"/>
    <w:rsid w:val="00352524"/>
    <w:rsid w:val="00352ED8"/>
    <w:rsid w:val="00356EA0"/>
    <w:rsid w:val="003608DC"/>
    <w:rsid w:val="00365463"/>
    <w:rsid w:val="00367E5E"/>
    <w:rsid w:val="003711B9"/>
    <w:rsid w:val="00383449"/>
    <w:rsid w:val="003844DD"/>
    <w:rsid w:val="00387018"/>
    <w:rsid w:val="00397283"/>
    <w:rsid w:val="003A0687"/>
    <w:rsid w:val="003A073F"/>
    <w:rsid w:val="003A2600"/>
    <w:rsid w:val="003A37F4"/>
    <w:rsid w:val="003A3AB8"/>
    <w:rsid w:val="003B164F"/>
    <w:rsid w:val="003B20D9"/>
    <w:rsid w:val="003B5E43"/>
    <w:rsid w:val="003B64FF"/>
    <w:rsid w:val="003B754B"/>
    <w:rsid w:val="003B7708"/>
    <w:rsid w:val="003B797A"/>
    <w:rsid w:val="003B7F45"/>
    <w:rsid w:val="003C3883"/>
    <w:rsid w:val="003C5613"/>
    <w:rsid w:val="003C5B5A"/>
    <w:rsid w:val="003C7328"/>
    <w:rsid w:val="003D1E44"/>
    <w:rsid w:val="003D68FB"/>
    <w:rsid w:val="003E018A"/>
    <w:rsid w:val="003E3529"/>
    <w:rsid w:val="003E3E23"/>
    <w:rsid w:val="003E4F86"/>
    <w:rsid w:val="003E553A"/>
    <w:rsid w:val="003E6203"/>
    <w:rsid w:val="003F277B"/>
    <w:rsid w:val="003F3767"/>
    <w:rsid w:val="003F6B63"/>
    <w:rsid w:val="003F6F4C"/>
    <w:rsid w:val="004008F6"/>
    <w:rsid w:val="00403FB5"/>
    <w:rsid w:val="00405086"/>
    <w:rsid w:val="00405D5F"/>
    <w:rsid w:val="004126C8"/>
    <w:rsid w:val="00412E1D"/>
    <w:rsid w:val="004202DE"/>
    <w:rsid w:val="00420E0F"/>
    <w:rsid w:val="004236D1"/>
    <w:rsid w:val="00425756"/>
    <w:rsid w:val="00426CB1"/>
    <w:rsid w:val="00432FE9"/>
    <w:rsid w:val="00433154"/>
    <w:rsid w:val="00436ABF"/>
    <w:rsid w:val="004405B7"/>
    <w:rsid w:val="00440A90"/>
    <w:rsid w:val="00440DCD"/>
    <w:rsid w:val="00442B69"/>
    <w:rsid w:val="00443AFF"/>
    <w:rsid w:val="00444415"/>
    <w:rsid w:val="004467E7"/>
    <w:rsid w:val="00446843"/>
    <w:rsid w:val="00447512"/>
    <w:rsid w:val="00450060"/>
    <w:rsid w:val="004525CC"/>
    <w:rsid w:val="00452FB4"/>
    <w:rsid w:val="00454540"/>
    <w:rsid w:val="0045524C"/>
    <w:rsid w:val="00456D87"/>
    <w:rsid w:val="004571D8"/>
    <w:rsid w:val="00462032"/>
    <w:rsid w:val="00466715"/>
    <w:rsid w:val="00466719"/>
    <w:rsid w:val="00466A9E"/>
    <w:rsid w:val="0047183B"/>
    <w:rsid w:val="0047295C"/>
    <w:rsid w:val="00472B04"/>
    <w:rsid w:val="00474A98"/>
    <w:rsid w:val="00480613"/>
    <w:rsid w:val="0048392C"/>
    <w:rsid w:val="00484162"/>
    <w:rsid w:val="00484CAF"/>
    <w:rsid w:val="0049031C"/>
    <w:rsid w:val="00491A9F"/>
    <w:rsid w:val="00492315"/>
    <w:rsid w:val="004934BC"/>
    <w:rsid w:val="00496538"/>
    <w:rsid w:val="004A0203"/>
    <w:rsid w:val="004A2620"/>
    <w:rsid w:val="004A34D2"/>
    <w:rsid w:val="004A3DEE"/>
    <w:rsid w:val="004A4A20"/>
    <w:rsid w:val="004A5670"/>
    <w:rsid w:val="004A71A2"/>
    <w:rsid w:val="004B6082"/>
    <w:rsid w:val="004B7999"/>
    <w:rsid w:val="004D0B1C"/>
    <w:rsid w:val="004D1809"/>
    <w:rsid w:val="004D30A6"/>
    <w:rsid w:val="004D30CE"/>
    <w:rsid w:val="004D5B57"/>
    <w:rsid w:val="004E2D57"/>
    <w:rsid w:val="004E3874"/>
    <w:rsid w:val="004E5F79"/>
    <w:rsid w:val="004E6D3F"/>
    <w:rsid w:val="004F0EFD"/>
    <w:rsid w:val="004F3299"/>
    <w:rsid w:val="004F36CC"/>
    <w:rsid w:val="00501F34"/>
    <w:rsid w:val="00504E44"/>
    <w:rsid w:val="00505BEE"/>
    <w:rsid w:val="00506BD6"/>
    <w:rsid w:val="00506FCD"/>
    <w:rsid w:val="00511CC9"/>
    <w:rsid w:val="00511D5D"/>
    <w:rsid w:val="00516367"/>
    <w:rsid w:val="00526B8F"/>
    <w:rsid w:val="00530CA8"/>
    <w:rsid w:val="00550CB2"/>
    <w:rsid w:val="0055256B"/>
    <w:rsid w:val="00553164"/>
    <w:rsid w:val="00554D62"/>
    <w:rsid w:val="00555D9B"/>
    <w:rsid w:val="00563332"/>
    <w:rsid w:val="00564F13"/>
    <w:rsid w:val="005675A3"/>
    <w:rsid w:val="00574A32"/>
    <w:rsid w:val="00577040"/>
    <w:rsid w:val="00581D4B"/>
    <w:rsid w:val="0058375B"/>
    <w:rsid w:val="00592A40"/>
    <w:rsid w:val="005A2127"/>
    <w:rsid w:val="005A7C3D"/>
    <w:rsid w:val="005B71CE"/>
    <w:rsid w:val="005C0E09"/>
    <w:rsid w:val="005C1BE4"/>
    <w:rsid w:val="005D59C4"/>
    <w:rsid w:val="005D5EE8"/>
    <w:rsid w:val="005E5753"/>
    <w:rsid w:val="005E5CC3"/>
    <w:rsid w:val="005F204E"/>
    <w:rsid w:val="006026DD"/>
    <w:rsid w:val="006055FD"/>
    <w:rsid w:val="00605660"/>
    <w:rsid w:val="00606E62"/>
    <w:rsid w:val="00614354"/>
    <w:rsid w:val="006247BD"/>
    <w:rsid w:val="00627C6C"/>
    <w:rsid w:val="006300CF"/>
    <w:rsid w:val="0063517E"/>
    <w:rsid w:val="0063554F"/>
    <w:rsid w:val="00642E7F"/>
    <w:rsid w:val="0064578D"/>
    <w:rsid w:val="00651810"/>
    <w:rsid w:val="00651F57"/>
    <w:rsid w:val="006526E3"/>
    <w:rsid w:val="0065473B"/>
    <w:rsid w:val="00656F04"/>
    <w:rsid w:val="00660FE8"/>
    <w:rsid w:val="006611C1"/>
    <w:rsid w:val="006621FB"/>
    <w:rsid w:val="006632A3"/>
    <w:rsid w:val="00663A4C"/>
    <w:rsid w:val="006667EF"/>
    <w:rsid w:val="00676301"/>
    <w:rsid w:val="006811A4"/>
    <w:rsid w:val="006835A0"/>
    <w:rsid w:val="00683E93"/>
    <w:rsid w:val="00686B3F"/>
    <w:rsid w:val="00686EC0"/>
    <w:rsid w:val="00687271"/>
    <w:rsid w:val="006877AC"/>
    <w:rsid w:val="006A1332"/>
    <w:rsid w:val="006A2DD6"/>
    <w:rsid w:val="006A63CA"/>
    <w:rsid w:val="006B0E6A"/>
    <w:rsid w:val="006B300E"/>
    <w:rsid w:val="006B4470"/>
    <w:rsid w:val="006B5974"/>
    <w:rsid w:val="006B625C"/>
    <w:rsid w:val="006B6A2C"/>
    <w:rsid w:val="006C05D5"/>
    <w:rsid w:val="006C0CF3"/>
    <w:rsid w:val="006C17CF"/>
    <w:rsid w:val="006C75E2"/>
    <w:rsid w:val="006D0467"/>
    <w:rsid w:val="006D0922"/>
    <w:rsid w:val="006D0F50"/>
    <w:rsid w:val="006D3DAF"/>
    <w:rsid w:val="006D4609"/>
    <w:rsid w:val="006D6E9E"/>
    <w:rsid w:val="006E0789"/>
    <w:rsid w:val="006E380A"/>
    <w:rsid w:val="006E3957"/>
    <w:rsid w:val="006E3CC6"/>
    <w:rsid w:val="006E3F85"/>
    <w:rsid w:val="006E6087"/>
    <w:rsid w:val="006E7EA1"/>
    <w:rsid w:val="006F03E4"/>
    <w:rsid w:val="006F35FA"/>
    <w:rsid w:val="006F411D"/>
    <w:rsid w:val="006F6AC9"/>
    <w:rsid w:val="006F7A04"/>
    <w:rsid w:val="0070136A"/>
    <w:rsid w:val="00701F8A"/>
    <w:rsid w:val="00702738"/>
    <w:rsid w:val="00702E2B"/>
    <w:rsid w:val="0070407D"/>
    <w:rsid w:val="00704960"/>
    <w:rsid w:val="00707234"/>
    <w:rsid w:val="00712B7C"/>
    <w:rsid w:val="00713B56"/>
    <w:rsid w:val="00715ECE"/>
    <w:rsid w:val="00716BD6"/>
    <w:rsid w:val="00725667"/>
    <w:rsid w:val="00733028"/>
    <w:rsid w:val="007360C8"/>
    <w:rsid w:val="007361B5"/>
    <w:rsid w:val="0073717C"/>
    <w:rsid w:val="007377E9"/>
    <w:rsid w:val="00741AB0"/>
    <w:rsid w:val="007452A2"/>
    <w:rsid w:val="007454A3"/>
    <w:rsid w:val="007454FE"/>
    <w:rsid w:val="00745AB3"/>
    <w:rsid w:val="00751750"/>
    <w:rsid w:val="007524E6"/>
    <w:rsid w:val="00752E11"/>
    <w:rsid w:val="00754AF7"/>
    <w:rsid w:val="00756D78"/>
    <w:rsid w:val="00761AB2"/>
    <w:rsid w:val="00762B57"/>
    <w:rsid w:val="00763BEF"/>
    <w:rsid w:val="007736C4"/>
    <w:rsid w:val="007747D8"/>
    <w:rsid w:val="00777147"/>
    <w:rsid w:val="00785911"/>
    <w:rsid w:val="00792A49"/>
    <w:rsid w:val="007A3C18"/>
    <w:rsid w:val="007A4982"/>
    <w:rsid w:val="007A6CC6"/>
    <w:rsid w:val="007A6ED6"/>
    <w:rsid w:val="007A7B04"/>
    <w:rsid w:val="007A7C1E"/>
    <w:rsid w:val="007B3B47"/>
    <w:rsid w:val="007B5F2D"/>
    <w:rsid w:val="007C1ABF"/>
    <w:rsid w:val="007C2523"/>
    <w:rsid w:val="007C34B9"/>
    <w:rsid w:val="007C3CCF"/>
    <w:rsid w:val="007C4FFE"/>
    <w:rsid w:val="007D2687"/>
    <w:rsid w:val="007E0126"/>
    <w:rsid w:val="007E1813"/>
    <w:rsid w:val="007E3552"/>
    <w:rsid w:val="007E52D9"/>
    <w:rsid w:val="007E5904"/>
    <w:rsid w:val="007F0AA8"/>
    <w:rsid w:val="007F2ACA"/>
    <w:rsid w:val="007F5C1F"/>
    <w:rsid w:val="00801BCF"/>
    <w:rsid w:val="00802B92"/>
    <w:rsid w:val="008037EE"/>
    <w:rsid w:val="00804637"/>
    <w:rsid w:val="00806D90"/>
    <w:rsid w:val="00811855"/>
    <w:rsid w:val="00812CBA"/>
    <w:rsid w:val="008150B1"/>
    <w:rsid w:val="00823AA8"/>
    <w:rsid w:val="00831093"/>
    <w:rsid w:val="0083155B"/>
    <w:rsid w:val="008344EB"/>
    <w:rsid w:val="00835094"/>
    <w:rsid w:val="00835958"/>
    <w:rsid w:val="00842560"/>
    <w:rsid w:val="00853936"/>
    <w:rsid w:val="00857142"/>
    <w:rsid w:val="00862696"/>
    <w:rsid w:val="00870E3E"/>
    <w:rsid w:val="008858D2"/>
    <w:rsid w:val="008867F8"/>
    <w:rsid w:val="00891EE1"/>
    <w:rsid w:val="008924E1"/>
    <w:rsid w:val="00894A7A"/>
    <w:rsid w:val="008968A8"/>
    <w:rsid w:val="008972D4"/>
    <w:rsid w:val="008A0F0E"/>
    <w:rsid w:val="008A0F56"/>
    <w:rsid w:val="008A14F6"/>
    <w:rsid w:val="008A5F73"/>
    <w:rsid w:val="008B1CF2"/>
    <w:rsid w:val="008B2AFA"/>
    <w:rsid w:val="008B2BA8"/>
    <w:rsid w:val="008B310B"/>
    <w:rsid w:val="008B31CE"/>
    <w:rsid w:val="008B3A73"/>
    <w:rsid w:val="008B3E7B"/>
    <w:rsid w:val="008B4A4A"/>
    <w:rsid w:val="008B672B"/>
    <w:rsid w:val="008B69D2"/>
    <w:rsid w:val="008B7F3F"/>
    <w:rsid w:val="008C0339"/>
    <w:rsid w:val="008C107B"/>
    <w:rsid w:val="008C43B3"/>
    <w:rsid w:val="008C4736"/>
    <w:rsid w:val="008C6EE9"/>
    <w:rsid w:val="008C7B84"/>
    <w:rsid w:val="008D003B"/>
    <w:rsid w:val="008E1F92"/>
    <w:rsid w:val="008E294D"/>
    <w:rsid w:val="008E4C3A"/>
    <w:rsid w:val="008E6297"/>
    <w:rsid w:val="008F010D"/>
    <w:rsid w:val="008F42D6"/>
    <w:rsid w:val="00902102"/>
    <w:rsid w:val="0090240D"/>
    <w:rsid w:val="009056AF"/>
    <w:rsid w:val="009072DE"/>
    <w:rsid w:val="00910346"/>
    <w:rsid w:val="009178D8"/>
    <w:rsid w:val="00920A84"/>
    <w:rsid w:val="00922788"/>
    <w:rsid w:val="00923042"/>
    <w:rsid w:val="009257D8"/>
    <w:rsid w:val="009264D4"/>
    <w:rsid w:val="0093099F"/>
    <w:rsid w:val="00934094"/>
    <w:rsid w:val="00943F95"/>
    <w:rsid w:val="0095428C"/>
    <w:rsid w:val="00954F1F"/>
    <w:rsid w:val="009568B5"/>
    <w:rsid w:val="009622FB"/>
    <w:rsid w:val="0096441F"/>
    <w:rsid w:val="0096467C"/>
    <w:rsid w:val="00970690"/>
    <w:rsid w:val="00984F91"/>
    <w:rsid w:val="00984FFA"/>
    <w:rsid w:val="00985A50"/>
    <w:rsid w:val="009866C5"/>
    <w:rsid w:val="0099301C"/>
    <w:rsid w:val="00993449"/>
    <w:rsid w:val="00995694"/>
    <w:rsid w:val="009A1830"/>
    <w:rsid w:val="009A2A88"/>
    <w:rsid w:val="009A3784"/>
    <w:rsid w:val="009A4651"/>
    <w:rsid w:val="009A7C1F"/>
    <w:rsid w:val="009B23EB"/>
    <w:rsid w:val="009B4919"/>
    <w:rsid w:val="009B4950"/>
    <w:rsid w:val="009B61A2"/>
    <w:rsid w:val="009C00B2"/>
    <w:rsid w:val="009C333E"/>
    <w:rsid w:val="009C4298"/>
    <w:rsid w:val="009C6EB3"/>
    <w:rsid w:val="009D3270"/>
    <w:rsid w:val="009D4B4B"/>
    <w:rsid w:val="009D7A74"/>
    <w:rsid w:val="009E1E45"/>
    <w:rsid w:val="009F6C76"/>
    <w:rsid w:val="009F7B94"/>
    <w:rsid w:val="00A03D62"/>
    <w:rsid w:val="00A07998"/>
    <w:rsid w:val="00A10642"/>
    <w:rsid w:val="00A1072F"/>
    <w:rsid w:val="00A15854"/>
    <w:rsid w:val="00A2246B"/>
    <w:rsid w:val="00A2330B"/>
    <w:rsid w:val="00A24506"/>
    <w:rsid w:val="00A26AF8"/>
    <w:rsid w:val="00A272A6"/>
    <w:rsid w:val="00A30EE0"/>
    <w:rsid w:val="00A318B6"/>
    <w:rsid w:val="00A32045"/>
    <w:rsid w:val="00A41D19"/>
    <w:rsid w:val="00A46A30"/>
    <w:rsid w:val="00A505EF"/>
    <w:rsid w:val="00A508C8"/>
    <w:rsid w:val="00A52614"/>
    <w:rsid w:val="00A52CD1"/>
    <w:rsid w:val="00A5554B"/>
    <w:rsid w:val="00A633C3"/>
    <w:rsid w:val="00A65038"/>
    <w:rsid w:val="00A66718"/>
    <w:rsid w:val="00A67773"/>
    <w:rsid w:val="00A75735"/>
    <w:rsid w:val="00A765A8"/>
    <w:rsid w:val="00A8076D"/>
    <w:rsid w:val="00A81170"/>
    <w:rsid w:val="00A86B07"/>
    <w:rsid w:val="00A94439"/>
    <w:rsid w:val="00AA0C73"/>
    <w:rsid w:val="00AA4F1C"/>
    <w:rsid w:val="00AB07EC"/>
    <w:rsid w:val="00AB17AB"/>
    <w:rsid w:val="00AB1AB8"/>
    <w:rsid w:val="00AB29CC"/>
    <w:rsid w:val="00AB2FB4"/>
    <w:rsid w:val="00AB3C2E"/>
    <w:rsid w:val="00AB502E"/>
    <w:rsid w:val="00AC12DE"/>
    <w:rsid w:val="00AC1B80"/>
    <w:rsid w:val="00AC2D54"/>
    <w:rsid w:val="00AC3D23"/>
    <w:rsid w:val="00AD1857"/>
    <w:rsid w:val="00AD1CE7"/>
    <w:rsid w:val="00AD5C0E"/>
    <w:rsid w:val="00AE507D"/>
    <w:rsid w:val="00AE6C6C"/>
    <w:rsid w:val="00AF453A"/>
    <w:rsid w:val="00AF4D05"/>
    <w:rsid w:val="00AF5991"/>
    <w:rsid w:val="00B00D1C"/>
    <w:rsid w:val="00B020FB"/>
    <w:rsid w:val="00B0339B"/>
    <w:rsid w:val="00B03510"/>
    <w:rsid w:val="00B04841"/>
    <w:rsid w:val="00B04D42"/>
    <w:rsid w:val="00B103FC"/>
    <w:rsid w:val="00B123F8"/>
    <w:rsid w:val="00B138E6"/>
    <w:rsid w:val="00B16DD2"/>
    <w:rsid w:val="00B178EA"/>
    <w:rsid w:val="00B17CC1"/>
    <w:rsid w:val="00B17F4F"/>
    <w:rsid w:val="00B21FC2"/>
    <w:rsid w:val="00B2494A"/>
    <w:rsid w:val="00B25AC8"/>
    <w:rsid w:val="00B2728F"/>
    <w:rsid w:val="00B322FB"/>
    <w:rsid w:val="00B334C5"/>
    <w:rsid w:val="00B37068"/>
    <w:rsid w:val="00B402AC"/>
    <w:rsid w:val="00B40A17"/>
    <w:rsid w:val="00B427F9"/>
    <w:rsid w:val="00B42CFE"/>
    <w:rsid w:val="00B43499"/>
    <w:rsid w:val="00B442EF"/>
    <w:rsid w:val="00B45ABA"/>
    <w:rsid w:val="00B55810"/>
    <w:rsid w:val="00B74037"/>
    <w:rsid w:val="00B74F19"/>
    <w:rsid w:val="00B757DA"/>
    <w:rsid w:val="00B761D6"/>
    <w:rsid w:val="00B77F5E"/>
    <w:rsid w:val="00B84A43"/>
    <w:rsid w:val="00B84A4C"/>
    <w:rsid w:val="00B84D38"/>
    <w:rsid w:val="00B879E7"/>
    <w:rsid w:val="00B90EB5"/>
    <w:rsid w:val="00B93D19"/>
    <w:rsid w:val="00B95535"/>
    <w:rsid w:val="00B97367"/>
    <w:rsid w:val="00BA0C71"/>
    <w:rsid w:val="00BA1EFF"/>
    <w:rsid w:val="00BA206F"/>
    <w:rsid w:val="00BB47D9"/>
    <w:rsid w:val="00BB6539"/>
    <w:rsid w:val="00BC05C1"/>
    <w:rsid w:val="00BC0B43"/>
    <w:rsid w:val="00BC59AC"/>
    <w:rsid w:val="00BC6607"/>
    <w:rsid w:val="00BC77CF"/>
    <w:rsid w:val="00BD0573"/>
    <w:rsid w:val="00BD14BC"/>
    <w:rsid w:val="00BD1855"/>
    <w:rsid w:val="00BD24D6"/>
    <w:rsid w:val="00BD5B16"/>
    <w:rsid w:val="00BD7F12"/>
    <w:rsid w:val="00BE1D45"/>
    <w:rsid w:val="00BE46CD"/>
    <w:rsid w:val="00BE687D"/>
    <w:rsid w:val="00BF2CD7"/>
    <w:rsid w:val="00BF794F"/>
    <w:rsid w:val="00C05007"/>
    <w:rsid w:val="00C071FA"/>
    <w:rsid w:val="00C115A6"/>
    <w:rsid w:val="00C12810"/>
    <w:rsid w:val="00C20469"/>
    <w:rsid w:val="00C21142"/>
    <w:rsid w:val="00C22DB1"/>
    <w:rsid w:val="00C2390A"/>
    <w:rsid w:val="00C23EE1"/>
    <w:rsid w:val="00C30BAC"/>
    <w:rsid w:val="00C31FD8"/>
    <w:rsid w:val="00C36D1B"/>
    <w:rsid w:val="00C43FDD"/>
    <w:rsid w:val="00C440A6"/>
    <w:rsid w:val="00C46BF9"/>
    <w:rsid w:val="00C47622"/>
    <w:rsid w:val="00C518DD"/>
    <w:rsid w:val="00C53B6A"/>
    <w:rsid w:val="00C54A03"/>
    <w:rsid w:val="00C54EAB"/>
    <w:rsid w:val="00C574F3"/>
    <w:rsid w:val="00C5791A"/>
    <w:rsid w:val="00C62E6C"/>
    <w:rsid w:val="00C649C9"/>
    <w:rsid w:val="00C71E90"/>
    <w:rsid w:val="00C72722"/>
    <w:rsid w:val="00C72DA1"/>
    <w:rsid w:val="00C73AF4"/>
    <w:rsid w:val="00C7439D"/>
    <w:rsid w:val="00C82CE3"/>
    <w:rsid w:val="00C84EAE"/>
    <w:rsid w:val="00C86AD7"/>
    <w:rsid w:val="00C958E2"/>
    <w:rsid w:val="00C9751B"/>
    <w:rsid w:val="00CA0861"/>
    <w:rsid w:val="00CA60B9"/>
    <w:rsid w:val="00CA6307"/>
    <w:rsid w:val="00CA7FE9"/>
    <w:rsid w:val="00CC0827"/>
    <w:rsid w:val="00CC697C"/>
    <w:rsid w:val="00CD3F0C"/>
    <w:rsid w:val="00CD4F20"/>
    <w:rsid w:val="00CD6598"/>
    <w:rsid w:val="00CD75C7"/>
    <w:rsid w:val="00CE1C17"/>
    <w:rsid w:val="00CE4370"/>
    <w:rsid w:val="00CE59DD"/>
    <w:rsid w:val="00CE699C"/>
    <w:rsid w:val="00CE716C"/>
    <w:rsid w:val="00CF33B2"/>
    <w:rsid w:val="00CF37DE"/>
    <w:rsid w:val="00CF4543"/>
    <w:rsid w:val="00CF5A35"/>
    <w:rsid w:val="00D00F5A"/>
    <w:rsid w:val="00D01B69"/>
    <w:rsid w:val="00D02AEE"/>
    <w:rsid w:val="00D031E6"/>
    <w:rsid w:val="00D156DA"/>
    <w:rsid w:val="00D23877"/>
    <w:rsid w:val="00D2427A"/>
    <w:rsid w:val="00D259BE"/>
    <w:rsid w:val="00D32347"/>
    <w:rsid w:val="00D32FE8"/>
    <w:rsid w:val="00D350E7"/>
    <w:rsid w:val="00D42261"/>
    <w:rsid w:val="00D45119"/>
    <w:rsid w:val="00D4534E"/>
    <w:rsid w:val="00D5668D"/>
    <w:rsid w:val="00D610EA"/>
    <w:rsid w:val="00D626FC"/>
    <w:rsid w:val="00D63F5A"/>
    <w:rsid w:val="00D66035"/>
    <w:rsid w:val="00D7151D"/>
    <w:rsid w:val="00D72139"/>
    <w:rsid w:val="00D74A21"/>
    <w:rsid w:val="00D752B7"/>
    <w:rsid w:val="00D81380"/>
    <w:rsid w:val="00D847F4"/>
    <w:rsid w:val="00D84DBC"/>
    <w:rsid w:val="00D84E7D"/>
    <w:rsid w:val="00D92EE3"/>
    <w:rsid w:val="00D936F3"/>
    <w:rsid w:val="00DA0B9B"/>
    <w:rsid w:val="00DA259D"/>
    <w:rsid w:val="00DA3FBC"/>
    <w:rsid w:val="00DB131B"/>
    <w:rsid w:val="00DB1B25"/>
    <w:rsid w:val="00DB2EFC"/>
    <w:rsid w:val="00DC1A57"/>
    <w:rsid w:val="00DC41D0"/>
    <w:rsid w:val="00DC603E"/>
    <w:rsid w:val="00DD0D22"/>
    <w:rsid w:val="00DE0D0E"/>
    <w:rsid w:val="00DF1B89"/>
    <w:rsid w:val="00DF3F40"/>
    <w:rsid w:val="00DF66C8"/>
    <w:rsid w:val="00E015BB"/>
    <w:rsid w:val="00E06542"/>
    <w:rsid w:val="00E06734"/>
    <w:rsid w:val="00E07E7E"/>
    <w:rsid w:val="00E15BC2"/>
    <w:rsid w:val="00E2017D"/>
    <w:rsid w:val="00E21AB3"/>
    <w:rsid w:val="00E23FA8"/>
    <w:rsid w:val="00E24F17"/>
    <w:rsid w:val="00E27AF7"/>
    <w:rsid w:val="00E31A01"/>
    <w:rsid w:val="00E323D4"/>
    <w:rsid w:val="00E32B69"/>
    <w:rsid w:val="00E337AB"/>
    <w:rsid w:val="00E35614"/>
    <w:rsid w:val="00E358C5"/>
    <w:rsid w:val="00E440BF"/>
    <w:rsid w:val="00E4426E"/>
    <w:rsid w:val="00E448DE"/>
    <w:rsid w:val="00E46CC5"/>
    <w:rsid w:val="00E50056"/>
    <w:rsid w:val="00E61A1B"/>
    <w:rsid w:val="00E64A9F"/>
    <w:rsid w:val="00E67D06"/>
    <w:rsid w:val="00E74DD4"/>
    <w:rsid w:val="00E751C2"/>
    <w:rsid w:val="00E7537F"/>
    <w:rsid w:val="00E76313"/>
    <w:rsid w:val="00E80630"/>
    <w:rsid w:val="00E82E92"/>
    <w:rsid w:val="00E83F89"/>
    <w:rsid w:val="00E85EE5"/>
    <w:rsid w:val="00E86FD1"/>
    <w:rsid w:val="00E90DC5"/>
    <w:rsid w:val="00E90DF5"/>
    <w:rsid w:val="00E95EF3"/>
    <w:rsid w:val="00EA7372"/>
    <w:rsid w:val="00EB100D"/>
    <w:rsid w:val="00EB10F5"/>
    <w:rsid w:val="00EB33F9"/>
    <w:rsid w:val="00EB5572"/>
    <w:rsid w:val="00EC1252"/>
    <w:rsid w:val="00EC3705"/>
    <w:rsid w:val="00EC4142"/>
    <w:rsid w:val="00EC7705"/>
    <w:rsid w:val="00ED2AB1"/>
    <w:rsid w:val="00ED32CF"/>
    <w:rsid w:val="00ED347E"/>
    <w:rsid w:val="00ED389D"/>
    <w:rsid w:val="00ED3BEF"/>
    <w:rsid w:val="00ED47A4"/>
    <w:rsid w:val="00ED5937"/>
    <w:rsid w:val="00ED74A0"/>
    <w:rsid w:val="00EE1ADA"/>
    <w:rsid w:val="00EE35DD"/>
    <w:rsid w:val="00EF02BD"/>
    <w:rsid w:val="00EF0DDC"/>
    <w:rsid w:val="00EF127B"/>
    <w:rsid w:val="00EF351A"/>
    <w:rsid w:val="00EF3FF0"/>
    <w:rsid w:val="00EF7A40"/>
    <w:rsid w:val="00F02683"/>
    <w:rsid w:val="00F02EFE"/>
    <w:rsid w:val="00F02F93"/>
    <w:rsid w:val="00F05975"/>
    <w:rsid w:val="00F05F8C"/>
    <w:rsid w:val="00F1453B"/>
    <w:rsid w:val="00F146D7"/>
    <w:rsid w:val="00F16105"/>
    <w:rsid w:val="00F1666C"/>
    <w:rsid w:val="00F20726"/>
    <w:rsid w:val="00F212D8"/>
    <w:rsid w:val="00F22B3C"/>
    <w:rsid w:val="00F2323B"/>
    <w:rsid w:val="00F24426"/>
    <w:rsid w:val="00F25379"/>
    <w:rsid w:val="00F2571A"/>
    <w:rsid w:val="00F26378"/>
    <w:rsid w:val="00F2685D"/>
    <w:rsid w:val="00F31DAE"/>
    <w:rsid w:val="00F343A4"/>
    <w:rsid w:val="00F35A79"/>
    <w:rsid w:val="00F4427E"/>
    <w:rsid w:val="00F45382"/>
    <w:rsid w:val="00F4623D"/>
    <w:rsid w:val="00F46D1A"/>
    <w:rsid w:val="00F505CD"/>
    <w:rsid w:val="00F52367"/>
    <w:rsid w:val="00F5249B"/>
    <w:rsid w:val="00F53F93"/>
    <w:rsid w:val="00F61057"/>
    <w:rsid w:val="00F6265F"/>
    <w:rsid w:val="00F63057"/>
    <w:rsid w:val="00F631DE"/>
    <w:rsid w:val="00F67E9F"/>
    <w:rsid w:val="00F70FA2"/>
    <w:rsid w:val="00F71525"/>
    <w:rsid w:val="00F71EC4"/>
    <w:rsid w:val="00F73EDB"/>
    <w:rsid w:val="00F740AE"/>
    <w:rsid w:val="00F80C9B"/>
    <w:rsid w:val="00F80EFF"/>
    <w:rsid w:val="00F839E5"/>
    <w:rsid w:val="00F87760"/>
    <w:rsid w:val="00F87ABA"/>
    <w:rsid w:val="00F90552"/>
    <w:rsid w:val="00F92792"/>
    <w:rsid w:val="00F94851"/>
    <w:rsid w:val="00FB2446"/>
    <w:rsid w:val="00FC2F4C"/>
    <w:rsid w:val="00FC74F4"/>
    <w:rsid w:val="00FD2C43"/>
    <w:rsid w:val="00FD2F6B"/>
    <w:rsid w:val="00FD59ED"/>
    <w:rsid w:val="00FD68C8"/>
    <w:rsid w:val="00FE0195"/>
    <w:rsid w:val="00FE1959"/>
    <w:rsid w:val="00FF44E3"/>
    <w:rsid w:val="00FF6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9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80C9B"/>
  </w:style>
  <w:style w:type="paragraph" w:styleId="BodyTextIndent">
    <w:name w:val="Body Text Indent"/>
    <w:basedOn w:val="Normal"/>
    <w:link w:val="BodyTextIndentChar"/>
    <w:rsid w:val="00F80C9B"/>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F80C9B"/>
    <w:rPr>
      <w:rFonts w:ascii="Baskerville Old Face" w:eastAsia="Times New Roman" w:hAnsi="Baskerville Old Face" w:cs="Times New Roman"/>
      <w:sz w:val="24"/>
      <w:szCs w:val="24"/>
    </w:rPr>
  </w:style>
  <w:style w:type="paragraph" w:styleId="FootnoteText">
    <w:name w:val="footnote text"/>
    <w:basedOn w:val="Normal"/>
    <w:link w:val="FootnoteTextChar"/>
    <w:rsid w:val="00F80C9B"/>
    <w:rPr>
      <w:szCs w:val="20"/>
    </w:rPr>
  </w:style>
  <w:style w:type="character" w:customStyle="1" w:styleId="FootnoteTextChar">
    <w:name w:val="Footnote Text Char"/>
    <w:basedOn w:val="DefaultParagraphFont"/>
    <w:link w:val="FootnoteText"/>
    <w:rsid w:val="00F80C9B"/>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5A2127"/>
    <w:rPr>
      <w:color w:val="0000FF"/>
      <w:u w:val="single"/>
    </w:rPr>
  </w:style>
  <w:style w:type="paragraph" w:styleId="ListParagraph">
    <w:name w:val="List Paragraph"/>
    <w:basedOn w:val="Normal"/>
    <w:uiPriority w:val="34"/>
    <w:qFormat/>
    <w:rsid w:val="000E14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mr2@columbia.edu" TargetMode="External"/><Relationship Id="rId3" Type="http://schemas.openxmlformats.org/officeDocument/2006/relationships/settings" Target="settings.xml"/><Relationship Id="rId7" Type="http://schemas.openxmlformats.org/officeDocument/2006/relationships/hyperlink" Target="mailto:Judith.Labiner-Wolfe@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lie.Robertson@he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25</cp:revision>
  <dcterms:created xsi:type="dcterms:W3CDTF">2012-02-14T15:17:00Z</dcterms:created>
  <dcterms:modified xsi:type="dcterms:W3CDTF">2012-02-16T20:00:00Z</dcterms:modified>
</cp:coreProperties>
</file>