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A3" w:rsidRDefault="00C606A3" w:rsidP="001D3147">
      <w:pPr>
        <w:spacing w:line="276" w:lineRule="auto"/>
      </w:pPr>
    </w:p>
    <w:p w:rsidR="00C606A3" w:rsidRDefault="00703407" w:rsidP="001D3147">
      <w:pPr>
        <w:tabs>
          <w:tab w:val="left" w:pos="1080"/>
        </w:tabs>
        <w:spacing w:line="276" w:lineRule="auto"/>
      </w:pPr>
      <w:r>
        <w:rPr>
          <w:noProof/>
          <w:sz w:val="20"/>
        </w:rPr>
        <w:drawing>
          <wp:anchor distT="0" distB="0" distL="114300" distR="114300" simplePos="0" relativeHeight="251657728" behindDoc="0" locked="1" layoutInCell="1" allowOverlap="1">
            <wp:simplePos x="0" y="0"/>
            <wp:positionH relativeFrom="page">
              <wp:posOffset>457200</wp:posOffset>
            </wp:positionH>
            <wp:positionV relativeFrom="page">
              <wp:posOffset>228600</wp:posOffset>
            </wp:positionV>
            <wp:extent cx="6677025" cy="904875"/>
            <wp:effectExtent l="19050" t="0" r="9525" b="0"/>
            <wp:wrapSquare wrapText="bothSides"/>
            <wp:docPr id="6" name="Picture 6" descr="Logo_mem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memo1"/>
                    <pic:cNvPicPr>
                      <a:picLocks noChangeAspect="1" noChangeArrowheads="1"/>
                    </pic:cNvPicPr>
                  </pic:nvPicPr>
                  <pic:blipFill>
                    <a:blip r:embed="rId11" cstate="print"/>
                    <a:srcRect/>
                    <a:stretch>
                      <a:fillRect/>
                    </a:stretch>
                  </pic:blipFill>
                  <pic:spPr bwMode="auto">
                    <a:xfrm>
                      <a:off x="0" y="0"/>
                      <a:ext cx="6677025" cy="904875"/>
                    </a:xfrm>
                    <a:prstGeom prst="rect">
                      <a:avLst/>
                    </a:prstGeom>
                    <a:noFill/>
                  </pic:spPr>
                </pic:pic>
              </a:graphicData>
            </a:graphic>
          </wp:anchor>
        </w:drawing>
      </w:r>
      <w:r w:rsidR="00C606A3">
        <w:rPr>
          <w:rFonts w:ascii="ScalaSans-Regular" w:hAnsi="ScalaSans-Regular" w:cs="Arial"/>
          <w:b/>
          <w:bCs/>
          <w:color w:val="003D6E"/>
        </w:rPr>
        <w:t>To:</w:t>
      </w:r>
      <w:r w:rsidR="00C606A3">
        <w:tab/>
      </w:r>
      <w:r w:rsidR="00A22D4A">
        <w:t>Lauren Supplee, Head Start CARES Project Officer</w:t>
      </w:r>
      <w:r w:rsidR="00517ECE">
        <w:tab/>
      </w:r>
      <w:r w:rsidR="0091705E">
        <w:rPr>
          <w:sz w:val="22"/>
        </w:rPr>
        <w:fldChar w:fldCharType="begin">
          <w:ffData>
            <w:name w:val="Text1"/>
            <w:enabled/>
            <w:calcOnExit w:val="0"/>
            <w:statusText w:type="text" w:val="click here to enter name"/>
            <w:textInput/>
          </w:ffData>
        </w:fldChar>
      </w:r>
      <w:bookmarkStart w:id="0" w:name="Text1"/>
      <w:r w:rsidR="00C606A3">
        <w:rPr>
          <w:sz w:val="22"/>
        </w:rPr>
        <w:instrText xml:space="preserve"> FORMTEXT </w:instrText>
      </w:r>
      <w:r w:rsidR="0091705E">
        <w:rPr>
          <w:sz w:val="22"/>
        </w:rPr>
      </w:r>
      <w:r w:rsidR="0091705E">
        <w:rPr>
          <w:sz w:val="22"/>
        </w:rPr>
        <w:fldChar w:fldCharType="separate"/>
      </w:r>
      <w:r w:rsidR="00C606A3">
        <w:rPr>
          <w:noProof/>
          <w:sz w:val="22"/>
        </w:rPr>
        <w:t> </w:t>
      </w:r>
      <w:r w:rsidR="00C606A3">
        <w:rPr>
          <w:noProof/>
          <w:sz w:val="22"/>
        </w:rPr>
        <w:t> </w:t>
      </w:r>
      <w:r w:rsidR="00C606A3">
        <w:rPr>
          <w:noProof/>
          <w:sz w:val="22"/>
        </w:rPr>
        <w:t> </w:t>
      </w:r>
      <w:r w:rsidR="00C606A3">
        <w:rPr>
          <w:noProof/>
          <w:sz w:val="22"/>
        </w:rPr>
        <w:t> </w:t>
      </w:r>
      <w:r w:rsidR="00C606A3">
        <w:rPr>
          <w:noProof/>
          <w:sz w:val="22"/>
        </w:rPr>
        <w:t> </w:t>
      </w:r>
      <w:r w:rsidR="0091705E">
        <w:rPr>
          <w:sz w:val="22"/>
        </w:rPr>
        <w:fldChar w:fldCharType="end"/>
      </w:r>
      <w:bookmarkEnd w:id="0"/>
    </w:p>
    <w:p w:rsidR="00C606A3" w:rsidRDefault="00C606A3" w:rsidP="001D3147">
      <w:pPr>
        <w:tabs>
          <w:tab w:val="left" w:pos="1080"/>
        </w:tabs>
        <w:spacing w:line="276" w:lineRule="auto"/>
      </w:pPr>
      <w:r>
        <w:rPr>
          <w:rFonts w:ascii="ScalaSans-Regular" w:hAnsi="ScalaSans-Regular" w:cs="Arial"/>
          <w:b/>
          <w:bCs/>
          <w:color w:val="003D6E"/>
        </w:rPr>
        <w:t>From:</w:t>
      </w:r>
      <w:r>
        <w:tab/>
      </w:r>
      <w:r w:rsidR="003A48C5">
        <w:t xml:space="preserve">Head Start </w:t>
      </w:r>
      <w:r w:rsidR="00517ECE">
        <w:t>CARES</w:t>
      </w:r>
      <w:r w:rsidR="003A48C5">
        <w:t xml:space="preserve"> Project Team</w:t>
      </w:r>
      <w:r w:rsidR="0091705E">
        <w:rPr>
          <w:sz w:val="22"/>
        </w:rPr>
        <w:fldChar w:fldCharType="begin">
          <w:ffData>
            <w:name w:val="Text2"/>
            <w:enabled/>
            <w:calcOnExit w:val="0"/>
            <w:textInput/>
          </w:ffData>
        </w:fldChar>
      </w:r>
      <w:bookmarkStart w:id="1" w:name="Text2"/>
      <w:r>
        <w:rPr>
          <w:sz w:val="22"/>
        </w:rPr>
        <w:instrText xml:space="preserve"> FORMTEXT </w:instrText>
      </w:r>
      <w:r w:rsidR="0091705E">
        <w:rPr>
          <w:sz w:val="22"/>
        </w:rPr>
      </w:r>
      <w:r w:rsidR="0091705E">
        <w:rPr>
          <w:sz w:val="22"/>
        </w:rPr>
        <w:fldChar w:fldCharType="separate"/>
      </w:r>
      <w:r>
        <w:rPr>
          <w:noProof/>
          <w:sz w:val="22"/>
        </w:rPr>
        <w:t> </w:t>
      </w:r>
      <w:r>
        <w:rPr>
          <w:noProof/>
          <w:sz w:val="22"/>
        </w:rPr>
        <w:t> </w:t>
      </w:r>
      <w:r>
        <w:rPr>
          <w:noProof/>
          <w:sz w:val="22"/>
        </w:rPr>
        <w:t> </w:t>
      </w:r>
      <w:r>
        <w:rPr>
          <w:noProof/>
          <w:sz w:val="22"/>
        </w:rPr>
        <w:t> </w:t>
      </w:r>
      <w:r>
        <w:rPr>
          <w:noProof/>
          <w:sz w:val="22"/>
        </w:rPr>
        <w:t> </w:t>
      </w:r>
      <w:r w:rsidR="0091705E">
        <w:rPr>
          <w:sz w:val="22"/>
        </w:rPr>
        <w:fldChar w:fldCharType="end"/>
      </w:r>
      <w:bookmarkEnd w:id="1"/>
    </w:p>
    <w:p w:rsidR="00C606A3" w:rsidRDefault="00C606A3" w:rsidP="001D3147">
      <w:pPr>
        <w:tabs>
          <w:tab w:val="left" w:pos="1080"/>
        </w:tabs>
        <w:spacing w:line="276" w:lineRule="auto"/>
      </w:pPr>
      <w:r>
        <w:rPr>
          <w:rFonts w:ascii="ScalaSans-Regular" w:hAnsi="ScalaSans-Regular" w:cs="Arial"/>
          <w:b/>
          <w:bCs/>
          <w:color w:val="003D6E"/>
        </w:rPr>
        <w:t>Date:</w:t>
      </w:r>
      <w:r w:rsidR="00091A64">
        <w:rPr>
          <w:rFonts w:ascii="ScalaSans-Regular" w:hAnsi="ScalaSans-Regular" w:cs="Arial"/>
          <w:b/>
          <w:bCs/>
          <w:color w:val="003D6E"/>
        </w:rPr>
        <w:tab/>
      </w:r>
      <w:r w:rsidR="00A40A63">
        <w:t xml:space="preserve">March </w:t>
      </w:r>
      <w:r w:rsidR="004F16BC">
        <w:t>29</w:t>
      </w:r>
      <w:r w:rsidR="00517ECE">
        <w:t>,</w:t>
      </w:r>
      <w:r w:rsidR="00091A64" w:rsidRPr="00091A64">
        <w:t xml:space="preserve"> 201</w:t>
      </w:r>
      <w:r w:rsidR="00E00661">
        <w:t>2</w:t>
      </w:r>
      <w:r w:rsidR="0091705E">
        <w:rPr>
          <w:sz w:val="22"/>
        </w:rPr>
        <w:fldChar w:fldCharType="begin">
          <w:ffData>
            <w:name w:val="Text3"/>
            <w:enabled/>
            <w:calcOnExit w:val="0"/>
            <w:textInput/>
          </w:ffData>
        </w:fldChar>
      </w:r>
      <w:bookmarkStart w:id="2" w:name="Text3"/>
      <w:r>
        <w:rPr>
          <w:sz w:val="22"/>
        </w:rPr>
        <w:instrText xml:space="preserve"> FORMTEXT </w:instrText>
      </w:r>
      <w:r w:rsidR="0091705E">
        <w:rPr>
          <w:sz w:val="22"/>
        </w:rPr>
      </w:r>
      <w:r w:rsidR="0091705E">
        <w:rPr>
          <w:sz w:val="22"/>
        </w:rPr>
        <w:fldChar w:fldCharType="separate"/>
      </w:r>
      <w:r>
        <w:rPr>
          <w:noProof/>
          <w:sz w:val="22"/>
        </w:rPr>
        <w:t> </w:t>
      </w:r>
      <w:r>
        <w:rPr>
          <w:noProof/>
          <w:sz w:val="22"/>
        </w:rPr>
        <w:t> </w:t>
      </w:r>
      <w:r>
        <w:rPr>
          <w:noProof/>
          <w:sz w:val="22"/>
        </w:rPr>
        <w:t> </w:t>
      </w:r>
      <w:r>
        <w:rPr>
          <w:noProof/>
          <w:sz w:val="22"/>
        </w:rPr>
        <w:t> </w:t>
      </w:r>
      <w:r>
        <w:rPr>
          <w:noProof/>
          <w:sz w:val="22"/>
        </w:rPr>
        <w:t> </w:t>
      </w:r>
      <w:r w:rsidR="0091705E">
        <w:rPr>
          <w:sz w:val="22"/>
        </w:rPr>
        <w:fldChar w:fldCharType="end"/>
      </w:r>
      <w:bookmarkEnd w:id="2"/>
    </w:p>
    <w:p w:rsidR="00C606A3" w:rsidRDefault="00C606A3" w:rsidP="001D3147">
      <w:pPr>
        <w:tabs>
          <w:tab w:val="left" w:pos="1080"/>
        </w:tabs>
        <w:spacing w:line="276" w:lineRule="auto"/>
        <w:rPr>
          <w:sz w:val="22"/>
        </w:rPr>
      </w:pPr>
      <w:r>
        <w:rPr>
          <w:rFonts w:ascii="ScalaSans-Regular" w:hAnsi="ScalaSans-Regular" w:cs="Arial"/>
          <w:b/>
          <w:bCs/>
          <w:color w:val="003D6E"/>
        </w:rPr>
        <w:t>Subject:</w:t>
      </w:r>
      <w:r>
        <w:tab/>
      </w:r>
      <w:r w:rsidR="00517ECE">
        <w:t>Head Start CARES Incentive Study</w:t>
      </w:r>
    </w:p>
    <w:p w:rsidR="00763E3D" w:rsidRDefault="00763E3D" w:rsidP="00B35E01">
      <w:pPr>
        <w:tabs>
          <w:tab w:val="left" w:pos="1080"/>
        </w:tabs>
      </w:pPr>
    </w:p>
    <w:p w:rsidR="004C0FDD" w:rsidRPr="00B35E01" w:rsidRDefault="004C0FDD" w:rsidP="00B35E01">
      <w:pPr>
        <w:tabs>
          <w:tab w:val="left" w:pos="1080"/>
        </w:tabs>
      </w:pPr>
    </w:p>
    <w:p w:rsidR="00517ECE" w:rsidRPr="00B35E01" w:rsidRDefault="0023209D" w:rsidP="00B35E01">
      <w:pPr>
        <w:contextualSpacing/>
      </w:pPr>
      <w:r w:rsidRPr="00B35E01">
        <w:t xml:space="preserve">This memo </w:t>
      </w:r>
      <w:r w:rsidR="00517ECE" w:rsidRPr="00B35E01">
        <w:t xml:space="preserve">describes the results of </w:t>
      </w:r>
      <w:r w:rsidR="00BD0367" w:rsidRPr="00B35E01">
        <w:t xml:space="preserve">a study built into the data collection process of the Head Start CARES project </w:t>
      </w:r>
      <w:r w:rsidR="00F65BC3">
        <w:t>by OMB request.  The study</w:t>
      </w:r>
      <w:r w:rsidR="00BD0367" w:rsidRPr="00B35E01">
        <w:t xml:space="preserve"> assesses </w:t>
      </w:r>
      <w:r w:rsidR="00A975D8">
        <w:t xml:space="preserve">whether the </w:t>
      </w:r>
      <w:r w:rsidR="00EE6570">
        <w:t>payment amount</w:t>
      </w:r>
      <w:r w:rsidR="00BD0367" w:rsidRPr="00B35E01">
        <w:t xml:space="preserve"> provided to teachers for completion of the teacher self survey</w:t>
      </w:r>
      <w:r w:rsidR="00EE6570">
        <w:t xml:space="preserve"> affects</w:t>
      </w:r>
      <w:r w:rsidR="00EE6570" w:rsidRPr="00B35E01">
        <w:t xml:space="preserve"> teacher response rates</w:t>
      </w:r>
      <w:r w:rsidR="00BD0367" w:rsidRPr="00B35E01">
        <w:t>.</w:t>
      </w:r>
      <w:r w:rsidR="008C2605" w:rsidRPr="00B35E01">
        <w:t xml:space="preserve"> </w:t>
      </w:r>
      <w:r w:rsidR="00517ECE" w:rsidRPr="00B35E01">
        <w:t xml:space="preserve"> </w:t>
      </w:r>
    </w:p>
    <w:p w:rsidR="008C2605" w:rsidRPr="00B35E01" w:rsidRDefault="008C2605" w:rsidP="00B35E01">
      <w:pPr>
        <w:contextualSpacing/>
      </w:pPr>
    </w:p>
    <w:p w:rsidR="008C2605" w:rsidRPr="00B35E01" w:rsidRDefault="008C2605" w:rsidP="00B35E01">
      <w:pPr>
        <w:contextualSpacing/>
      </w:pPr>
      <w:r w:rsidRPr="00B35E01">
        <w:rPr>
          <w:u w:val="single"/>
        </w:rPr>
        <w:t>Background</w:t>
      </w:r>
    </w:p>
    <w:p w:rsidR="00DA0D21" w:rsidRDefault="007B2FFC" w:rsidP="00DA0D21">
      <w:r>
        <w:t xml:space="preserve">Teacher self surveys were collected in the Head Start CARES study in order to collect information about teachers’ demographics, psychosocial variables, and background characteristics.  </w:t>
      </w:r>
      <w:r w:rsidR="004454F3">
        <w:t>Teacher self</w:t>
      </w:r>
      <w:r w:rsidR="00A975D8">
        <w:t xml:space="preserve"> </w:t>
      </w:r>
      <w:r w:rsidR="004454F3">
        <w:t xml:space="preserve">surveys </w:t>
      </w:r>
      <w:r>
        <w:t xml:space="preserve">were </w:t>
      </w:r>
      <w:r w:rsidR="004454F3">
        <w:t>collected twice in the CARES project</w:t>
      </w:r>
      <w:r w:rsidR="00821B98">
        <w:t>: 1) a</w:t>
      </w:r>
      <w:r w:rsidR="004454F3">
        <w:t>t baseline</w:t>
      </w:r>
      <w:r w:rsidR="00A975D8">
        <w:t xml:space="preserve">, during </w:t>
      </w:r>
      <w:r w:rsidR="004454F3">
        <w:t xml:space="preserve">the spring prior to the school year that the enhancements </w:t>
      </w:r>
      <w:r w:rsidR="00290532">
        <w:t>were</w:t>
      </w:r>
      <w:r w:rsidR="004454F3">
        <w:t xml:space="preserve"> implemented</w:t>
      </w:r>
      <w:r w:rsidR="00821B98">
        <w:t xml:space="preserve">, and 2) </w:t>
      </w:r>
      <w:r w:rsidR="004454F3">
        <w:t xml:space="preserve">at follow-up during the spring of the implementation year.  </w:t>
      </w:r>
      <w:r w:rsidR="0080018E">
        <w:t xml:space="preserve">At baseline, classroom observations were also being collected, and observers dropped the teacher surveys off to the teachers when they came to the classroom for the observation, and teachers were asked to mail the surveys back to the survey firm.  </w:t>
      </w:r>
      <w:r w:rsidR="00DA0D21">
        <w:t xml:space="preserve">Incentives were mailed to teachers after surveys were received.  </w:t>
      </w:r>
    </w:p>
    <w:p w:rsidR="004454F3" w:rsidRDefault="0080018E" w:rsidP="004454F3">
      <w:r>
        <w:t>At follow-up, the project was also collecting child assessments, and assessors dropped off the surveys during their first day of assessments and collected them from the teacher on their last day of assessments.</w:t>
      </w:r>
      <w:r w:rsidR="005A68B0">
        <w:t xml:space="preserve">  </w:t>
      </w:r>
      <w:r w:rsidR="004454F3">
        <w:t xml:space="preserve">Any teachers who </w:t>
      </w:r>
      <w:r w:rsidR="00F65BC3">
        <w:t xml:space="preserve">did not </w:t>
      </w:r>
      <w:r w:rsidR="004454F3">
        <w:t>return the surveys to the assessor were asked to mail them to the survey firm</w:t>
      </w:r>
      <w:r w:rsidR="00F65BC3">
        <w:t>, and incentives were again mailed to teachers after surveys were received</w:t>
      </w:r>
      <w:r w:rsidR="004454F3">
        <w:t xml:space="preserve">.  </w:t>
      </w:r>
    </w:p>
    <w:p w:rsidR="004454F3" w:rsidRDefault="004454F3" w:rsidP="00B35E01">
      <w:pPr>
        <w:tabs>
          <w:tab w:val="left" w:pos="1080"/>
        </w:tabs>
      </w:pPr>
    </w:p>
    <w:p w:rsidR="008C2605" w:rsidRDefault="008C2605" w:rsidP="00B35E01">
      <w:pPr>
        <w:tabs>
          <w:tab w:val="left" w:pos="1080"/>
        </w:tabs>
      </w:pPr>
      <w:r w:rsidRPr="00B35E01">
        <w:t>The CARES project was approved by OMB with a $15 incentive for the completion of the teache</w:t>
      </w:r>
      <w:r w:rsidR="00E75DBF">
        <w:t>r self</w:t>
      </w:r>
      <w:r w:rsidR="00A975D8">
        <w:t xml:space="preserve"> </w:t>
      </w:r>
      <w:r w:rsidRPr="00B35E01">
        <w:t xml:space="preserve">survey for </w:t>
      </w:r>
      <w:r w:rsidR="00443B43">
        <w:t>a subset of sites</w:t>
      </w:r>
      <w:r w:rsidRPr="00B35E01">
        <w:t xml:space="preserve"> (OMB Control Number: </w:t>
      </w:r>
      <w:r w:rsidRPr="00B35E01">
        <w:rPr>
          <w:bCs/>
        </w:rPr>
        <w:t>0970-0364</w:t>
      </w:r>
      <w:r w:rsidRPr="00B35E01">
        <w:t xml:space="preserve">). This amount </w:t>
      </w:r>
      <w:r w:rsidR="00C54F12" w:rsidRPr="00B35E01">
        <w:t>was</w:t>
      </w:r>
      <w:r w:rsidRPr="00B35E01">
        <w:t xml:space="preserve"> consistent with MDRC’s and the survey firm’s prior experience interviewing similar populations. For </w:t>
      </w:r>
      <w:r w:rsidR="00443B43">
        <w:t>a second subset of sites</w:t>
      </w:r>
      <w:r w:rsidRPr="00B35E01">
        <w:t xml:space="preserve">, OMB </w:t>
      </w:r>
      <w:r w:rsidR="00314805">
        <w:t xml:space="preserve">required </w:t>
      </w:r>
      <w:r w:rsidRPr="00B35E01">
        <w:t xml:space="preserve">including a planned variation study. This memo </w:t>
      </w:r>
      <w:r w:rsidR="00C54F12" w:rsidRPr="00B35E01">
        <w:t xml:space="preserve">describes the results of </w:t>
      </w:r>
      <w:r w:rsidR="00F65BC3">
        <w:t>that variation</w:t>
      </w:r>
      <w:r w:rsidR="00F65BC3" w:rsidRPr="00B35E01">
        <w:t xml:space="preserve"> </w:t>
      </w:r>
      <w:r w:rsidRPr="00B35E01">
        <w:t>study.</w:t>
      </w:r>
    </w:p>
    <w:p w:rsidR="00A54A37" w:rsidRPr="00B35E01" w:rsidRDefault="00A54A37" w:rsidP="00B35E01">
      <w:pPr>
        <w:tabs>
          <w:tab w:val="left" w:pos="1080"/>
        </w:tabs>
      </w:pPr>
    </w:p>
    <w:p w:rsidR="00A54A37" w:rsidRPr="00B35E01" w:rsidRDefault="00A54A37" w:rsidP="00B35E01">
      <w:pPr>
        <w:tabs>
          <w:tab w:val="left" w:pos="1080"/>
        </w:tabs>
        <w:rPr>
          <w:u w:val="single"/>
        </w:rPr>
      </w:pPr>
      <w:r w:rsidRPr="00B35E01">
        <w:rPr>
          <w:u w:val="single"/>
        </w:rPr>
        <w:t>Research Question</w:t>
      </w:r>
    </w:p>
    <w:p w:rsidR="00A54A37" w:rsidRPr="00B35E01" w:rsidRDefault="00DD42EA" w:rsidP="00B35E01">
      <w:pPr>
        <w:tabs>
          <w:tab w:val="left" w:pos="1080"/>
        </w:tabs>
      </w:pPr>
      <w:r>
        <w:t>The</w:t>
      </w:r>
      <w:r w:rsidR="00A54A37" w:rsidRPr="00B35E01">
        <w:t xml:space="preserve"> study addresses the following research question:</w:t>
      </w:r>
      <w:r w:rsidR="00916886" w:rsidRPr="00B35E01">
        <w:t xml:space="preserve">  </w:t>
      </w:r>
      <w:r w:rsidR="005C702F">
        <w:t>Does the amount of payment provided to teachers for completion of the teacher self survey affect response rates?</w:t>
      </w:r>
      <w:r w:rsidR="00916886" w:rsidRPr="00B35E01">
        <w:t xml:space="preserve">  Specifically, we assess </w:t>
      </w:r>
      <w:r w:rsidR="00A975D8">
        <w:t>whether a</w:t>
      </w:r>
      <w:r w:rsidR="00A54A37" w:rsidRPr="00B35E01">
        <w:t xml:space="preserve"> $5 </w:t>
      </w:r>
      <w:r w:rsidR="00A975D8">
        <w:t xml:space="preserve">difference </w:t>
      </w:r>
      <w:r w:rsidR="00A54A37" w:rsidRPr="00B35E01">
        <w:t xml:space="preserve">in incentive payment amount </w:t>
      </w:r>
      <w:r w:rsidR="00A975D8">
        <w:t>affects</w:t>
      </w:r>
      <w:r w:rsidR="00A03358">
        <w:t xml:space="preserve"> response rates for</w:t>
      </w:r>
      <w:r w:rsidR="00A975D8">
        <w:t xml:space="preserve"> the teacher self </w:t>
      </w:r>
      <w:r w:rsidR="00A54A37" w:rsidRPr="00B35E01">
        <w:t>survey.</w:t>
      </w:r>
    </w:p>
    <w:p w:rsidR="00A54A37" w:rsidRPr="00B35E01" w:rsidRDefault="00A54A37" w:rsidP="00B35E01">
      <w:pPr>
        <w:tabs>
          <w:tab w:val="left" w:pos="1080"/>
        </w:tabs>
      </w:pPr>
    </w:p>
    <w:p w:rsidR="008C2605" w:rsidRPr="00B35E01" w:rsidRDefault="00B10770" w:rsidP="00B35E01">
      <w:pPr>
        <w:tabs>
          <w:tab w:val="left" w:pos="1080"/>
        </w:tabs>
      </w:pPr>
      <w:r w:rsidRPr="00B35E01">
        <w:rPr>
          <w:u w:val="single"/>
        </w:rPr>
        <w:t>Description of the Study</w:t>
      </w:r>
    </w:p>
    <w:p w:rsidR="00170732" w:rsidRPr="00B35E01" w:rsidRDefault="00453AA9" w:rsidP="00B35E01">
      <w:r w:rsidRPr="00B35E01">
        <w:t xml:space="preserve">The study includes 12 grantees in </w:t>
      </w:r>
      <w:r w:rsidR="00FD17B2">
        <w:t>eight</w:t>
      </w:r>
      <w:r w:rsidRPr="00B35E01">
        <w:t xml:space="preserve"> regional hubs.</w:t>
      </w:r>
      <w:r w:rsidR="00170732" w:rsidRPr="00B35E01">
        <w:t xml:space="preserve">  We randomly assi</w:t>
      </w:r>
      <w:r w:rsidR="00897606">
        <w:t xml:space="preserve">gned each hub to one of the </w:t>
      </w:r>
      <w:r w:rsidR="00170732" w:rsidRPr="00B35E01">
        <w:t>following</w:t>
      </w:r>
      <w:r w:rsidR="00897606">
        <w:t xml:space="preserve"> two</w:t>
      </w:r>
      <w:r w:rsidR="00170732" w:rsidRPr="00B35E01">
        <w:t xml:space="preserve"> groups:</w:t>
      </w:r>
    </w:p>
    <w:p w:rsidR="00170732" w:rsidRPr="00B35E01" w:rsidRDefault="00170732" w:rsidP="00B35E01">
      <w:pPr>
        <w:numPr>
          <w:ilvl w:val="0"/>
          <w:numId w:val="38"/>
        </w:numPr>
      </w:pPr>
      <w:r w:rsidRPr="00B35E01">
        <w:t>Group A: Teachers receive a $15 payment if</w:t>
      </w:r>
      <w:r w:rsidR="00897606">
        <w:t xml:space="preserve"> they complete the teacher self </w:t>
      </w:r>
      <w:r w:rsidRPr="00B35E01">
        <w:t>survey at baseline and a $15 payment if they complete the survey at follow-up.</w:t>
      </w:r>
    </w:p>
    <w:p w:rsidR="00170732" w:rsidRPr="00B35E01" w:rsidRDefault="00170732" w:rsidP="00B35E01">
      <w:pPr>
        <w:numPr>
          <w:ilvl w:val="0"/>
          <w:numId w:val="38"/>
        </w:numPr>
      </w:pPr>
      <w:r w:rsidRPr="00B35E01">
        <w:lastRenderedPageBreak/>
        <w:t>Group B: Teachers receive a $10 payment if</w:t>
      </w:r>
      <w:r w:rsidR="00897606">
        <w:t xml:space="preserve"> they complete the teacher self </w:t>
      </w:r>
      <w:r w:rsidRPr="00B35E01">
        <w:t xml:space="preserve">survey at baseline and a $20 payment if they complete the survey at follow-up. </w:t>
      </w:r>
    </w:p>
    <w:p w:rsidR="00C90828" w:rsidRPr="00B35E01" w:rsidRDefault="00C90828" w:rsidP="00B35E01"/>
    <w:p w:rsidR="00453AA9" w:rsidRPr="00B35E01" w:rsidRDefault="00170732" w:rsidP="00B35E01">
      <w:r w:rsidRPr="00B35E01">
        <w:t>Teachers in both groups are eligible to receive the same total incentive amount over the two data collection periods ($30).</w:t>
      </w:r>
      <w:r w:rsidR="007F245E" w:rsidRPr="00B35E01">
        <w:t xml:space="preserve">  </w:t>
      </w:r>
      <w:r w:rsidRPr="00B35E01">
        <w:t xml:space="preserve">Four </w:t>
      </w:r>
      <w:r w:rsidR="00453AA9" w:rsidRPr="00B35E01">
        <w:t xml:space="preserve">hubs (containing </w:t>
      </w:r>
      <w:r w:rsidRPr="00B35E01">
        <w:t>six</w:t>
      </w:r>
      <w:r w:rsidR="00453AA9" w:rsidRPr="00B35E01">
        <w:t xml:space="preserve"> grantees) were randomly assigned</w:t>
      </w:r>
      <w:r w:rsidRPr="00B35E01">
        <w:t xml:space="preserve"> to Group A</w:t>
      </w:r>
      <w:r w:rsidR="007B2FFC">
        <w:t>,</w:t>
      </w:r>
      <w:r w:rsidRPr="00B35E01">
        <w:t xml:space="preserve"> and four</w:t>
      </w:r>
      <w:r w:rsidR="00453AA9" w:rsidRPr="00B35E01">
        <w:t xml:space="preserve"> hubs (cont</w:t>
      </w:r>
      <w:r w:rsidRPr="00B35E01">
        <w:t>aining six</w:t>
      </w:r>
      <w:r w:rsidR="00453AA9" w:rsidRPr="00B35E01">
        <w:t xml:space="preserve"> </w:t>
      </w:r>
      <w:r w:rsidR="00453AA9" w:rsidRPr="005810AF">
        <w:t xml:space="preserve">grantees) were randomly assigned </w:t>
      </w:r>
      <w:r w:rsidRPr="005810AF">
        <w:t>to Group B.</w:t>
      </w:r>
      <w:r w:rsidR="002C51B8" w:rsidRPr="005810AF">
        <w:t xml:space="preserve">  Random assignment results are shown in Table 1.</w:t>
      </w:r>
    </w:p>
    <w:p w:rsidR="00B10770" w:rsidRPr="00B35E01" w:rsidRDefault="00B10770" w:rsidP="00B35E01">
      <w:pPr>
        <w:tabs>
          <w:tab w:val="left" w:pos="1080"/>
        </w:tabs>
      </w:pPr>
    </w:p>
    <w:p w:rsidR="00F86A3A" w:rsidRDefault="00897606" w:rsidP="00F86A3A">
      <w:pPr>
        <w:tabs>
          <w:tab w:val="left" w:pos="1080"/>
        </w:tabs>
      </w:pPr>
      <w:r>
        <w:t>To assess whether a $5 difference</w:t>
      </w:r>
      <w:r w:rsidR="00C90828" w:rsidRPr="00B35E01">
        <w:t xml:space="preserve"> in incentive payments make</w:t>
      </w:r>
      <w:r w:rsidR="00F86A3A">
        <w:t xml:space="preserve">s a difference for response rates, we compare </w:t>
      </w:r>
      <w:r w:rsidR="008E6D45" w:rsidRPr="00DA0D21">
        <w:rPr>
          <w:u w:val="single"/>
        </w:rPr>
        <w:t xml:space="preserve">grantee-level </w:t>
      </w:r>
      <w:r w:rsidR="00F86A3A" w:rsidRPr="00DA0D21">
        <w:rPr>
          <w:u w:val="single"/>
        </w:rPr>
        <w:t>response rates</w:t>
      </w:r>
      <w:r w:rsidR="00F86A3A">
        <w:t xml:space="preserve"> of Groups A and B at baseline ($10 vs. $15) and the response rates of the two groups at follow-up ($15 vs. $20).</w:t>
      </w:r>
    </w:p>
    <w:p w:rsidR="004C0FDD" w:rsidRDefault="004C0FDD" w:rsidP="00F86A3A">
      <w:pPr>
        <w:tabs>
          <w:tab w:val="left" w:pos="1080"/>
        </w:tabs>
      </w:pPr>
    </w:p>
    <w:p w:rsidR="00F86A3A" w:rsidRDefault="00F86A3A" w:rsidP="00F86A3A">
      <w:pPr>
        <w:tabs>
          <w:tab w:val="left" w:pos="1080"/>
        </w:tabs>
        <w:rPr>
          <w:u w:val="single"/>
        </w:rPr>
      </w:pPr>
      <w:r>
        <w:rPr>
          <w:u w:val="single"/>
        </w:rPr>
        <w:t>Results</w:t>
      </w:r>
    </w:p>
    <w:p w:rsidR="00FD17B2" w:rsidRDefault="002336AC" w:rsidP="00404324">
      <w:pPr>
        <w:tabs>
          <w:tab w:val="left" w:pos="1080"/>
        </w:tabs>
      </w:pPr>
      <w:r w:rsidRPr="005810AF">
        <w:t xml:space="preserve">Tables 2 and 3 </w:t>
      </w:r>
      <w:r w:rsidR="002C6F9D">
        <w:t>show</w:t>
      </w:r>
      <w:r>
        <w:t xml:space="preserve"> the response rates in each grantee at baseline and follow-up, respectively.  </w:t>
      </w:r>
      <w:r w:rsidR="00FD17B2">
        <w:t xml:space="preserve">There was only a difference between the two groups at baseline.  </w:t>
      </w:r>
      <w:r w:rsidR="005E0618">
        <w:t>At baseline</w:t>
      </w:r>
      <w:r w:rsidR="005810AF">
        <w:t>,</w:t>
      </w:r>
      <w:r w:rsidR="005E0618">
        <w:t xml:space="preserve"> </w:t>
      </w:r>
      <w:r w:rsidR="00F54C95">
        <w:t>Group A, who received</w:t>
      </w:r>
      <w:r w:rsidR="00FD17B2">
        <w:t xml:space="preserve"> </w:t>
      </w:r>
      <w:r w:rsidR="00F54C95">
        <w:t>$15, had an overall response rate of</w:t>
      </w:r>
      <w:r w:rsidR="005810AF">
        <w:t xml:space="preserve"> 100%, and </w:t>
      </w:r>
      <w:r w:rsidR="00F54C95">
        <w:t xml:space="preserve">Group B, who received $10, had an overall response rate of 93%.  </w:t>
      </w:r>
      <w:r>
        <w:t>At follow-up, both the $15 group and the $20 group had response rates of 100%.</w:t>
      </w:r>
      <w:r w:rsidR="00876AA6">
        <w:t xml:space="preserve"> </w:t>
      </w:r>
    </w:p>
    <w:p w:rsidR="00A66764" w:rsidRDefault="00A66764" w:rsidP="00B35E01"/>
    <w:p w:rsidR="00ED789E" w:rsidRPr="00ED789E" w:rsidRDefault="00ED789E" w:rsidP="00B35E01">
      <w:pPr>
        <w:rPr>
          <w:u w:val="single"/>
        </w:rPr>
      </w:pPr>
      <w:r>
        <w:rPr>
          <w:u w:val="single"/>
        </w:rPr>
        <w:t>Conclusion</w:t>
      </w:r>
    </w:p>
    <w:p w:rsidR="00FD17B2" w:rsidRDefault="00A66764" w:rsidP="00B35E01">
      <w:r>
        <w:t>The</w:t>
      </w:r>
      <w:r w:rsidR="00FD17B2">
        <w:t xml:space="preserve"> seven percentage poi</w:t>
      </w:r>
      <w:r w:rsidR="00404324">
        <w:t xml:space="preserve">nt difference at baseline </w:t>
      </w:r>
      <w:r w:rsidR="00FD17B2">
        <w:t>suggest</w:t>
      </w:r>
      <w:r w:rsidR="00404324">
        <w:t>s</w:t>
      </w:r>
      <w:r w:rsidR="00FD17B2">
        <w:t xml:space="preserve"> that</w:t>
      </w:r>
      <w:r w:rsidR="00DA0D21">
        <w:t>,</w:t>
      </w:r>
      <w:r w:rsidR="00FD17B2">
        <w:t xml:space="preserve"> at a</w:t>
      </w:r>
      <w:r w:rsidR="00C3479F">
        <w:t>n</w:t>
      </w:r>
      <w:r w:rsidR="00FD17B2">
        <w:t xml:space="preserve"> incentive level of $10, a $5 increase may make a difference for improving response rates.  However, </w:t>
      </w:r>
      <w:r w:rsidR="007B2FFC">
        <w:t xml:space="preserve">because </w:t>
      </w:r>
      <w:r w:rsidR="00FD17B2">
        <w:t xml:space="preserve">we randomly assigned eight hubs, </w:t>
      </w:r>
      <w:r w:rsidR="007B2FFC">
        <w:t>there is not sufficient</w:t>
      </w:r>
      <w:r w:rsidR="00FD17B2">
        <w:t xml:space="preserve"> statistical power to perform a t-test to formally test whether this seven percentage point difference is statistically significant.</w:t>
      </w:r>
      <w:r w:rsidR="00111EC8">
        <w:t xml:space="preserve">  Our results do not show evidence</w:t>
      </w:r>
      <w:r w:rsidR="0000794B">
        <w:t xml:space="preserve"> that a $5 increase in payment amount at the $15 level improves response rates.</w:t>
      </w:r>
    </w:p>
    <w:p w:rsidR="001C4BC6" w:rsidRPr="004F16BC" w:rsidRDefault="001C4BC6" w:rsidP="00850A98"/>
    <w:p w:rsidR="004F16BC" w:rsidRPr="004F16BC" w:rsidRDefault="00850A98" w:rsidP="00017223">
      <w:r w:rsidRPr="004F16BC">
        <w:t>When interpreting the results of these comparisons</w:t>
      </w:r>
      <w:r w:rsidR="004F16BC">
        <w:t xml:space="preserve"> and considering incentive levels for other projects</w:t>
      </w:r>
      <w:r w:rsidRPr="004F16BC">
        <w:t xml:space="preserve">, it is </w:t>
      </w:r>
      <w:r w:rsidR="004F16BC">
        <w:t>useful</w:t>
      </w:r>
      <w:r w:rsidR="004F16BC" w:rsidRPr="004F16BC">
        <w:t xml:space="preserve"> </w:t>
      </w:r>
      <w:r w:rsidRPr="004F16BC">
        <w:t xml:space="preserve">to keep in mind </w:t>
      </w:r>
      <w:r w:rsidR="004F16BC">
        <w:t>two factors specific to the CARES project that may largely explain the v</w:t>
      </w:r>
      <w:r w:rsidR="00514E8D">
        <w:t>ery high response rates overall</w:t>
      </w:r>
      <w:r w:rsidR="004F16BC">
        <w:t>:</w:t>
      </w:r>
    </w:p>
    <w:p w:rsidR="004F16BC" w:rsidRDefault="004F16BC" w:rsidP="004F16BC">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The project’s </w:t>
      </w:r>
      <w:r w:rsidR="00850A98" w:rsidRPr="004F16BC">
        <w:rPr>
          <w:rFonts w:ascii="Times New Roman" w:hAnsi="Times New Roman" w:cs="Times New Roman"/>
          <w:sz w:val="24"/>
          <w:szCs w:val="24"/>
        </w:rPr>
        <w:t xml:space="preserve">data collection process allowed for multiple contacts with the teachers in the study, both in person and over the phone.  </w:t>
      </w:r>
      <w:r w:rsidR="001C4BC6" w:rsidRPr="004F16BC">
        <w:rPr>
          <w:rFonts w:ascii="Times New Roman" w:hAnsi="Times New Roman" w:cs="Times New Roman"/>
          <w:sz w:val="24"/>
          <w:szCs w:val="24"/>
        </w:rPr>
        <w:t>In fact, the</w:t>
      </w:r>
      <w:r w:rsidR="00017223" w:rsidRPr="004F16BC">
        <w:rPr>
          <w:rFonts w:ascii="Times New Roman" w:hAnsi="Times New Roman" w:cs="Times New Roman"/>
          <w:sz w:val="24"/>
          <w:szCs w:val="24"/>
        </w:rPr>
        <w:t xml:space="preserve"> higher response rates at follow-up compared to baseline may be in part due to the fact that assessors came to the classrooms at follow-up to pick up the surveys in person, rather than having the teachers </w:t>
      </w:r>
      <w:bookmarkStart w:id="3" w:name="_GoBack"/>
      <w:bookmarkEnd w:id="3"/>
      <w:r w:rsidR="00017223" w:rsidRPr="004F16BC">
        <w:rPr>
          <w:rFonts w:ascii="Times New Roman" w:hAnsi="Times New Roman" w:cs="Times New Roman"/>
          <w:sz w:val="24"/>
          <w:szCs w:val="24"/>
        </w:rPr>
        <w:t>send them back by mail</w:t>
      </w:r>
      <w:r w:rsidR="00244D79" w:rsidRPr="004F16BC">
        <w:rPr>
          <w:rFonts w:ascii="Times New Roman" w:hAnsi="Times New Roman" w:cs="Times New Roman"/>
          <w:sz w:val="24"/>
          <w:szCs w:val="24"/>
        </w:rPr>
        <w:t xml:space="preserve"> as </w:t>
      </w:r>
      <w:r w:rsidR="00FD0FCD" w:rsidRPr="004F16BC">
        <w:rPr>
          <w:rFonts w:ascii="Times New Roman" w:hAnsi="Times New Roman" w:cs="Times New Roman"/>
          <w:sz w:val="24"/>
          <w:szCs w:val="24"/>
        </w:rPr>
        <w:t>was done</w:t>
      </w:r>
      <w:r w:rsidR="00244D79" w:rsidRPr="004F16BC">
        <w:rPr>
          <w:rFonts w:ascii="Times New Roman" w:hAnsi="Times New Roman" w:cs="Times New Roman"/>
          <w:sz w:val="24"/>
          <w:szCs w:val="24"/>
        </w:rPr>
        <w:t xml:space="preserve"> at baseline</w:t>
      </w:r>
      <w:r w:rsidR="00017223" w:rsidRPr="004F16BC">
        <w:rPr>
          <w:rFonts w:ascii="Times New Roman" w:hAnsi="Times New Roman" w:cs="Times New Roman"/>
          <w:sz w:val="24"/>
          <w:szCs w:val="24"/>
        </w:rPr>
        <w:t>.</w:t>
      </w:r>
    </w:p>
    <w:p w:rsidR="00850A98" w:rsidRPr="004F16BC" w:rsidRDefault="004F16BC" w:rsidP="004F16BC">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T</w:t>
      </w:r>
      <w:r w:rsidR="00017223" w:rsidRPr="004F16BC">
        <w:rPr>
          <w:rFonts w:ascii="Times New Roman" w:hAnsi="Times New Roman" w:cs="Times New Roman"/>
          <w:sz w:val="24"/>
          <w:szCs w:val="24"/>
        </w:rPr>
        <w:t xml:space="preserve">he </w:t>
      </w:r>
      <w:r>
        <w:rPr>
          <w:rFonts w:ascii="Times New Roman" w:hAnsi="Times New Roman" w:cs="Times New Roman"/>
          <w:sz w:val="24"/>
          <w:szCs w:val="24"/>
        </w:rPr>
        <w:t xml:space="preserve">project’s </w:t>
      </w:r>
      <w:r w:rsidR="00017223" w:rsidRPr="004F16BC">
        <w:rPr>
          <w:rFonts w:ascii="Times New Roman" w:hAnsi="Times New Roman" w:cs="Times New Roman"/>
          <w:sz w:val="24"/>
          <w:szCs w:val="24"/>
        </w:rPr>
        <w:t>survey firm</w:t>
      </w:r>
      <w:r>
        <w:rPr>
          <w:rFonts w:ascii="Times New Roman" w:hAnsi="Times New Roman" w:cs="Times New Roman"/>
          <w:sz w:val="24"/>
          <w:szCs w:val="24"/>
        </w:rPr>
        <w:t xml:space="preserve"> had a strong</w:t>
      </w:r>
      <w:r w:rsidR="00017223" w:rsidRPr="004F16BC">
        <w:rPr>
          <w:rFonts w:ascii="Times New Roman" w:hAnsi="Times New Roman" w:cs="Times New Roman"/>
          <w:sz w:val="24"/>
          <w:szCs w:val="24"/>
        </w:rPr>
        <w:t xml:space="preserve"> commitment to achieving high response rates</w:t>
      </w:r>
      <w:r>
        <w:rPr>
          <w:rFonts w:ascii="Times New Roman" w:hAnsi="Times New Roman" w:cs="Times New Roman"/>
          <w:sz w:val="24"/>
          <w:szCs w:val="24"/>
        </w:rPr>
        <w:t xml:space="preserve"> and had the flexibility to invest additional resources in pursuing</w:t>
      </w:r>
      <w:r w:rsidR="009B75AB">
        <w:rPr>
          <w:rFonts w:ascii="Times New Roman" w:hAnsi="Times New Roman" w:cs="Times New Roman"/>
          <w:sz w:val="24"/>
          <w:szCs w:val="24"/>
        </w:rPr>
        <w:t xml:space="preserve"> non-respondents when needed</w:t>
      </w:r>
      <w:r>
        <w:rPr>
          <w:rFonts w:ascii="Times New Roman" w:hAnsi="Times New Roman" w:cs="Times New Roman"/>
          <w:sz w:val="24"/>
          <w:szCs w:val="24"/>
        </w:rPr>
        <w:t>.</w:t>
      </w:r>
    </w:p>
    <w:p w:rsidR="001A603E" w:rsidRDefault="001A603E" w:rsidP="00B35E01">
      <w:pPr>
        <w:contextualSpacing/>
        <w:sectPr w:rsidR="001A603E" w:rsidSect="001A603E">
          <w:pgSz w:w="12240" w:h="15840" w:code="1"/>
          <w:pgMar w:top="1440" w:right="1440" w:bottom="1440" w:left="1440" w:header="720" w:footer="720" w:gutter="0"/>
          <w:cols w:space="720"/>
          <w:docGrid w:linePitch="360"/>
        </w:sectPr>
      </w:pPr>
    </w:p>
    <w:tbl>
      <w:tblPr>
        <w:tblW w:w="12880" w:type="dxa"/>
        <w:tblInd w:w="93" w:type="dxa"/>
        <w:tblLook w:val="04A0"/>
      </w:tblPr>
      <w:tblGrid>
        <w:gridCol w:w="915"/>
        <w:gridCol w:w="1785"/>
        <w:gridCol w:w="4400"/>
        <w:gridCol w:w="1740"/>
        <w:gridCol w:w="1540"/>
        <w:gridCol w:w="1540"/>
        <w:gridCol w:w="960"/>
      </w:tblGrid>
      <w:tr w:rsidR="001A603E" w:rsidRPr="00D16907" w:rsidTr="009B7A30">
        <w:trPr>
          <w:trHeight w:val="300"/>
        </w:trPr>
        <w:tc>
          <w:tcPr>
            <w:tcW w:w="7100" w:type="dxa"/>
            <w:gridSpan w:val="3"/>
            <w:tcBorders>
              <w:top w:val="nil"/>
              <w:left w:val="nil"/>
              <w:bottom w:val="nil"/>
              <w:right w:val="nil"/>
            </w:tcBorders>
            <w:shd w:val="clear" w:color="auto" w:fill="auto"/>
            <w:noWrap/>
            <w:vAlign w:val="bottom"/>
            <w:hideMark/>
          </w:tcPr>
          <w:p w:rsidR="001A603E" w:rsidRPr="00D16907" w:rsidRDefault="001A603E" w:rsidP="009B7A30">
            <w:pPr>
              <w:rPr>
                <w:b/>
                <w:bCs/>
                <w:color w:val="000000"/>
                <w:sz w:val="22"/>
                <w:szCs w:val="22"/>
              </w:rPr>
            </w:pPr>
            <w:r w:rsidRPr="0018442A">
              <w:rPr>
                <w:b/>
                <w:bCs/>
                <w:color w:val="000000"/>
                <w:sz w:val="22"/>
                <w:szCs w:val="22"/>
              </w:rPr>
              <w:lastRenderedPageBreak/>
              <w:t xml:space="preserve">Table 1.  </w:t>
            </w:r>
            <w:r w:rsidRPr="00D16907">
              <w:rPr>
                <w:b/>
                <w:bCs/>
                <w:color w:val="000000"/>
                <w:sz w:val="22"/>
                <w:szCs w:val="22"/>
              </w:rPr>
              <w:t>Random Assignment Results</w:t>
            </w:r>
          </w:p>
        </w:tc>
        <w:tc>
          <w:tcPr>
            <w:tcW w:w="1740" w:type="dxa"/>
            <w:tcBorders>
              <w:top w:val="nil"/>
              <w:left w:val="nil"/>
              <w:bottom w:val="nil"/>
              <w:right w:val="nil"/>
            </w:tcBorders>
            <w:shd w:val="clear" w:color="auto" w:fill="auto"/>
            <w:noWrap/>
            <w:vAlign w:val="bottom"/>
            <w:hideMark/>
          </w:tcPr>
          <w:p w:rsidR="001A603E" w:rsidRPr="00D16907" w:rsidRDefault="001A603E" w:rsidP="009B7A30">
            <w:pPr>
              <w:rPr>
                <w:b/>
                <w:bCs/>
                <w:color w:val="000000"/>
                <w:sz w:val="22"/>
                <w:szCs w:val="22"/>
              </w:rPr>
            </w:pPr>
          </w:p>
        </w:tc>
        <w:tc>
          <w:tcPr>
            <w:tcW w:w="1540" w:type="dxa"/>
            <w:tcBorders>
              <w:top w:val="nil"/>
              <w:left w:val="nil"/>
              <w:bottom w:val="nil"/>
              <w:right w:val="nil"/>
            </w:tcBorders>
            <w:shd w:val="clear" w:color="auto" w:fill="auto"/>
            <w:noWrap/>
            <w:vAlign w:val="bottom"/>
            <w:hideMark/>
          </w:tcPr>
          <w:p w:rsidR="001A603E" w:rsidRPr="00D16907" w:rsidRDefault="001A603E" w:rsidP="009B7A30">
            <w:pPr>
              <w:jc w:val="center"/>
              <w:rPr>
                <w:b/>
                <w:bCs/>
                <w:color w:val="000000"/>
                <w:sz w:val="22"/>
                <w:szCs w:val="22"/>
              </w:rPr>
            </w:pPr>
          </w:p>
        </w:tc>
        <w:tc>
          <w:tcPr>
            <w:tcW w:w="1540" w:type="dxa"/>
            <w:tcBorders>
              <w:top w:val="nil"/>
              <w:left w:val="nil"/>
              <w:bottom w:val="nil"/>
              <w:right w:val="nil"/>
            </w:tcBorders>
            <w:shd w:val="clear" w:color="auto" w:fill="auto"/>
            <w:noWrap/>
            <w:vAlign w:val="bottom"/>
            <w:hideMark/>
          </w:tcPr>
          <w:p w:rsidR="001A603E" w:rsidRPr="00D16907" w:rsidRDefault="001A603E" w:rsidP="009B7A30">
            <w:pPr>
              <w:jc w:val="center"/>
              <w:rPr>
                <w:b/>
                <w:bCs/>
                <w:color w:val="000000"/>
                <w:sz w:val="22"/>
                <w:szCs w:val="22"/>
              </w:rPr>
            </w:pPr>
          </w:p>
        </w:tc>
        <w:tc>
          <w:tcPr>
            <w:tcW w:w="960" w:type="dxa"/>
            <w:tcBorders>
              <w:top w:val="nil"/>
              <w:left w:val="nil"/>
              <w:bottom w:val="nil"/>
              <w:right w:val="nil"/>
            </w:tcBorders>
            <w:shd w:val="clear" w:color="auto" w:fill="auto"/>
            <w:noWrap/>
            <w:vAlign w:val="bottom"/>
            <w:hideMark/>
          </w:tcPr>
          <w:p w:rsidR="001A603E" w:rsidRPr="00D16907" w:rsidRDefault="001A603E" w:rsidP="009B7A30">
            <w:pPr>
              <w:rPr>
                <w:color w:val="000000"/>
                <w:sz w:val="22"/>
                <w:szCs w:val="22"/>
              </w:rPr>
            </w:pPr>
          </w:p>
        </w:tc>
      </w:tr>
      <w:tr w:rsidR="001A603E" w:rsidRPr="00D16907" w:rsidTr="009B7A30">
        <w:trPr>
          <w:trHeight w:val="300"/>
        </w:trPr>
        <w:tc>
          <w:tcPr>
            <w:tcW w:w="7100" w:type="dxa"/>
            <w:gridSpan w:val="3"/>
            <w:tcBorders>
              <w:top w:val="nil"/>
              <w:left w:val="nil"/>
              <w:bottom w:val="nil"/>
              <w:right w:val="nil"/>
            </w:tcBorders>
            <w:shd w:val="clear" w:color="auto" w:fill="auto"/>
            <w:noWrap/>
            <w:vAlign w:val="bottom"/>
            <w:hideMark/>
          </w:tcPr>
          <w:p w:rsidR="001A603E" w:rsidRPr="00D16907" w:rsidRDefault="001A603E" w:rsidP="009B7A30">
            <w:pPr>
              <w:rPr>
                <w:color w:val="000000"/>
                <w:sz w:val="22"/>
                <w:szCs w:val="22"/>
              </w:rPr>
            </w:pPr>
          </w:p>
        </w:tc>
        <w:tc>
          <w:tcPr>
            <w:tcW w:w="1740" w:type="dxa"/>
            <w:tcBorders>
              <w:top w:val="nil"/>
              <w:left w:val="nil"/>
              <w:bottom w:val="nil"/>
              <w:right w:val="nil"/>
            </w:tcBorders>
            <w:shd w:val="clear" w:color="auto" w:fill="auto"/>
            <w:noWrap/>
            <w:vAlign w:val="bottom"/>
            <w:hideMark/>
          </w:tcPr>
          <w:p w:rsidR="001A603E" w:rsidRPr="00D16907" w:rsidRDefault="001A603E" w:rsidP="009B7A30">
            <w:pPr>
              <w:rPr>
                <w:color w:val="000000"/>
                <w:sz w:val="22"/>
                <w:szCs w:val="22"/>
              </w:rPr>
            </w:pPr>
          </w:p>
        </w:tc>
        <w:tc>
          <w:tcPr>
            <w:tcW w:w="1540" w:type="dxa"/>
            <w:tcBorders>
              <w:top w:val="nil"/>
              <w:left w:val="nil"/>
              <w:bottom w:val="nil"/>
              <w:right w:val="nil"/>
            </w:tcBorders>
            <w:shd w:val="clear" w:color="auto" w:fill="auto"/>
            <w:noWrap/>
            <w:vAlign w:val="bottom"/>
            <w:hideMark/>
          </w:tcPr>
          <w:p w:rsidR="001A603E" w:rsidRPr="00D16907" w:rsidRDefault="001A603E" w:rsidP="009B7A30">
            <w:pPr>
              <w:jc w:val="center"/>
              <w:rPr>
                <w:color w:val="000000"/>
                <w:sz w:val="22"/>
                <w:szCs w:val="22"/>
              </w:rPr>
            </w:pPr>
          </w:p>
        </w:tc>
        <w:tc>
          <w:tcPr>
            <w:tcW w:w="1540" w:type="dxa"/>
            <w:tcBorders>
              <w:top w:val="nil"/>
              <w:left w:val="nil"/>
              <w:bottom w:val="nil"/>
              <w:right w:val="nil"/>
            </w:tcBorders>
            <w:shd w:val="clear" w:color="auto" w:fill="auto"/>
            <w:noWrap/>
            <w:vAlign w:val="bottom"/>
            <w:hideMark/>
          </w:tcPr>
          <w:p w:rsidR="001A603E" w:rsidRPr="00D16907" w:rsidRDefault="001A603E" w:rsidP="009B7A30">
            <w:pPr>
              <w:jc w:val="center"/>
              <w:rPr>
                <w:color w:val="000000"/>
                <w:sz w:val="22"/>
                <w:szCs w:val="22"/>
              </w:rPr>
            </w:pPr>
          </w:p>
        </w:tc>
        <w:tc>
          <w:tcPr>
            <w:tcW w:w="960" w:type="dxa"/>
            <w:tcBorders>
              <w:top w:val="nil"/>
              <w:left w:val="nil"/>
              <w:bottom w:val="nil"/>
              <w:right w:val="nil"/>
            </w:tcBorders>
            <w:shd w:val="clear" w:color="auto" w:fill="auto"/>
            <w:noWrap/>
            <w:vAlign w:val="bottom"/>
            <w:hideMark/>
          </w:tcPr>
          <w:p w:rsidR="001A603E" w:rsidRPr="00D16907" w:rsidRDefault="001A603E" w:rsidP="009B7A30">
            <w:pPr>
              <w:rPr>
                <w:color w:val="000000"/>
                <w:sz w:val="22"/>
                <w:szCs w:val="22"/>
              </w:rPr>
            </w:pPr>
          </w:p>
        </w:tc>
      </w:tr>
      <w:tr w:rsidR="001A603E" w:rsidRPr="00D16907" w:rsidTr="009B7A30">
        <w:trPr>
          <w:trHeight w:val="615"/>
        </w:trPr>
        <w:tc>
          <w:tcPr>
            <w:tcW w:w="915" w:type="dxa"/>
            <w:tcBorders>
              <w:top w:val="single" w:sz="8" w:space="0" w:color="auto"/>
              <w:left w:val="nil"/>
              <w:bottom w:val="single" w:sz="8" w:space="0" w:color="auto"/>
              <w:right w:val="nil"/>
            </w:tcBorders>
            <w:shd w:val="clear" w:color="auto" w:fill="auto"/>
            <w:noWrap/>
            <w:vAlign w:val="center"/>
            <w:hideMark/>
          </w:tcPr>
          <w:p w:rsidR="001A603E" w:rsidRPr="00D16907" w:rsidRDefault="001A603E" w:rsidP="009B7A30">
            <w:pPr>
              <w:jc w:val="center"/>
              <w:rPr>
                <w:b/>
                <w:bCs/>
                <w:color w:val="000000"/>
                <w:sz w:val="22"/>
                <w:szCs w:val="22"/>
              </w:rPr>
            </w:pPr>
            <w:r w:rsidRPr="00D16907">
              <w:rPr>
                <w:b/>
                <w:bCs/>
                <w:color w:val="000000"/>
                <w:sz w:val="22"/>
                <w:szCs w:val="22"/>
              </w:rPr>
              <w:t>Hub #</w:t>
            </w:r>
          </w:p>
        </w:tc>
        <w:tc>
          <w:tcPr>
            <w:tcW w:w="1785" w:type="dxa"/>
            <w:tcBorders>
              <w:top w:val="single" w:sz="8" w:space="0" w:color="auto"/>
              <w:left w:val="nil"/>
              <w:bottom w:val="single" w:sz="8" w:space="0" w:color="auto"/>
              <w:right w:val="nil"/>
            </w:tcBorders>
            <w:shd w:val="clear" w:color="auto" w:fill="auto"/>
            <w:noWrap/>
            <w:vAlign w:val="center"/>
            <w:hideMark/>
          </w:tcPr>
          <w:p w:rsidR="001A603E" w:rsidRPr="00D16907" w:rsidRDefault="001A603E" w:rsidP="009B7A30">
            <w:pPr>
              <w:jc w:val="center"/>
              <w:rPr>
                <w:b/>
                <w:bCs/>
                <w:color w:val="000000"/>
                <w:sz w:val="22"/>
                <w:szCs w:val="22"/>
              </w:rPr>
            </w:pPr>
            <w:r w:rsidRPr="00D16907">
              <w:rPr>
                <w:b/>
                <w:bCs/>
                <w:color w:val="000000"/>
                <w:sz w:val="22"/>
                <w:szCs w:val="22"/>
              </w:rPr>
              <w:t>Hub</w:t>
            </w:r>
          </w:p>
        </w:tc>
        <w:tc>
          <w:tcPr>
            <w:tcW w:w="4400" w:type="dxa"/>
            <w:tcBorders>
              <w:top w:val="single" w:sz="8" w:space="0" w:color="auto"/>
              <w:left w:val="nil"/>
              <w:bottom w:val="single" w:sz="8" w:space="0" w:color="auto"/>
              <w:right w:val="nil"/>
            </w:tcBorders>
            <w:shd w:val="clear" w:color="auto" w:fill="auto"/>
            <w:noWrap/>
            <w:vAlign w:val="center"/>
            <w:hideMark/>
          </w:tcPr>
          <w:p w:rsidR="001A603E" w:rsidRPr="00D16907" w:rsidRDefault="001A603E" w:rsidP="009B7A30">
            <w:pPr>
              <w:jc w:val="center"/>
              <w:rPr>
                <w:b/>
                <w:bCs/>
                <w:color w:val="000000"/>
                <w:sz w:val="22"/>
                <w:szCs w:val="22"/>
              </w:rPr>
            </w:pPr>
            <w:r w:rsidRPr="00D16907">
              <w:rPr>
                <w:b/>
                <w:bCs/>
                <w:color w:val="000000"/>
                <w:sz w:val="22"/>
                <w:szCs w:val="22"/>
              </w:rPr>
              <w:t>Name of Grantee/Delegate Agency</w:t>
            </w:r>
          </w:p>
        </w:tc>
        <w:tc>
          <w:tcPr>
            <w:tcW w:w="1740" w:type="dxa"/>
            <w:tcBorders>
              <w:top w:val="single" w:sz="8" w:space="0" w:color="auto"/>
              <w:left w:val="nil"/>
              <w:bottom w:val="single" w:sz="8" w:space="0" w:color="auto"/>
              <w:right w:val="nil"/>
            </w:tcBorders>
            <w:shd w:val="clear" w:color="auto" w:fill="auto"/>
            <w:noWrap/>
            <w:vAlign w:val="center"/>
            <w:hideMark/>
          </w:tcPr>
          <w:p w:rsidR="001A603E" w:rsidRPr="00D16907" w:rsidRDefault="001A603E" w:rsidP="009B7A30">
            <w:pPr>
              <w:jc w:val="center"/>
              <w:rPr>
                <w:b/>
                <w:bCs/>
                <w:color w:val="000000"/>
                <w:sz w:val="22"/>
                <w:szCs w:val="22"/>
              </w:rPr>
            </w:pPr>
            <w:r w:rsidRPr="00D16907">
              <w:rPr>
                <w:b/>
                <w:bCs/>
                <w:color w:val="000000"/>
                <w:sz w:val="22"/>
                <w:szCs w:val="22"/>
              </w:rPr>
              <w:t>Location</w:t>
            </w:r>
          </w:p>
        </w:tc>
        <w:tc>
          <w:tcPr>
            <w:tcW w:w="1540" w:type="dxa"/>
            <w:tcBorders>
              <w:top w:val="single" w:sz="8" w:space="0" w:color="auto"/>
              <w:left w:val="nil"/>
              <w:bottom w:val="single" w:sz="8" w:space="0" w:color="auto"/>
              <w:right w:val="nil"/>
            </w:tcBorders>
            <w:shd w:val="clear" w:color="auto" w:fill="auto"/>
            <w:vAlign w:val="center"/>
            <w:hideMark/>
          </w:tcPr>
          <w:p w:rsidR="001A603E" w:rsidRPr="00D16907" w:rsidRDefault="001A603E" w:rsidP="009B7A30">
            <w:pPr>
              <w:jc w:val="center"/>
              <w:rPr>
                <w:b/>
                <w:bCs/>
                <w:color w:val="000000"/>
                <w:sz w:val="22"/>
                <w:szCs w:val="22"/>
              </w:rPr>
            </w:pPr>
            <w:r w:rsidRPr="00D16907">
              <w:rPr>
                <w:b/>
                <w:bCs/>
                <w:color w:val="000000"/>
                <w:sz w:val="22"/>
                <w:szCs w:val="22"/>
              </w:rPr>
              <w:t>Spring Baseline Incentive</w:t>
            </w:r>
          </w:p>
        </w:tc>
        <w:tc>
          <w:tcPr>
            <w:tcW w:w="1540" w:type="dxa"/>
            <w:tcBorders>
              <w:top w:val="single" w:sz="8" w:space="0" w:color="auto"/>
              <w:left w:val="nil"/>
              <w:bottom w:val="single" w:sz="8" w:space="0" w:color="auto"/>
              <w:right w:val="nil"/>
            </w:tcBorders>
            <w:shd w:val="clear" w:color="auto" w:fill="auto"/>
            <w:vAlign w:val="center"/>
            <w:hideMark/>
          </w:tcPr>
          <w:p w:rsidR="001A603E" w:rsidRPr="00D16907" w:rsidRDefault="001A603E" w:rsidP="009B7A30">
            <w:pPr>
              <w:jc w:val="center"/>
              <w:rPr>
                <w:b/>
                <w:bCs/>
                <w:color w:val="000000"/>
                <w:sz w:val="22"/>
                <w:szCs w:val="22"/>
              </w:rPr>
            </w:pPr>
            <w:r w:rsidRPr="00D16907">
              <w:rPr>
                <w:b/>
                <w:bCs/>
                <w:color w:val="000000"/>
                <w:sz w:val="22"/>
                <w:szCs w:val="22"/>
              </w:rPr>
              <w:t xml:space="preserve">Spring Follow up Incentive </w:t>
            </w:r>
          </w:p>
        </w:tc>
        <w:tc>
          <w:tcPr>
            <w:tcW w:w="960" w:type="dxa"/>
            <w:tcBorders>
              <w:top w:val="single" w:sz="8" w:space="0" w:color="auto"/>
              <w:left w:val="nil"/>
              <w:bottom w:val="single" w:sz="8" w:space="0" w:color="auto"/>
              <w:right w:val="nil"/>
            </w:tcBorders>
            <w:shd w:val="clear" w:color="auto" w:fill="auto"/>
            <w:vAlign w:val="center"/>
            <w:hideMark/>
          </w:tcPr>
          <w:p w:rsidR="001A603E" w:rsidRPr="00D16907" w:rsidRDefault="001A603E" w:rsidP="009B7A30">
            <w:pPr>
              <w:jc w:val="center"/>
              <w:rPr>
                <w:b/>
                <w:bCs/>
                <w:color w:val="000000"/>
                <w:sz w:val="22"/>
                <w:szCs w:val="22"/>
              </w:rPr>
            </w:pPr>
            <w:r w:rsidRPr="00D16907">
              <w:rPr>
                <w:b/>
                <w:bCs/>
                <w:color w:val="000000"/>
                <w:sz w:val="22"/>
                <w:szCs w:val="22"/>
              </w:rPr>
              <w:t xml:space="preserve">Total </w:t>
            </w:r>
          </w:p>
        </w:tc>
      </w:tr>
      <w:tr w:rsidR="001A603E" w:rsidRPr="00D16907" w:rsidTr="009B7A30">
        <w:trPr>
          <w:trHeight w:val="120"/>
        </w:trPr>
        <w:tc>
          <w:tcPr>
            <w:tcW w:w="915" w:type="dxa"/>
            <w:tcBorders>
              <w:top w:val="nil"/>
              <w:left w:val="nil"/>
              <w:bottom w:val="nil"/>
              <w:right w:val="nil"/>
            </w:tcBorders>
            <w:shd w:val="clear" w:color="auto" w:fill="auto"/>
            <w:noWrap/>
            <w:vAlign w:val="center"/>
            <w:hideMark/>
          </w:tcPr>
          <w:p w:rsidR="001A603E" w:rsidRPr="00D16907" w:rsidRDefault="001A603E" w:rsidP="009B7A30">
            <w:pPr>
              <w:rPr>
                <w:color w:val="000000"/>
                <w:sz w:val="22"/>
                <w:szCs w:val="22"/>
              </w:rPr>
            </w:pPr>
          </w:p>
        </w:tc>
        <w:tc>
          <w:tcPr>
            <w:tcW w:w="1785" w:type="dxa"/>
            <w:tcBorders>
              <w:top w:val="nil"/>
              <w:left w:val="nil"/>
              <w:bottom w:val="nil"/>
              <w:right w:val="nil"/>
            </w:tcBorders>
            <w:shd w:val="clear" w:color="auto" w:fill="auto"/>
            <w:noWrap/>
            <w:vAlign w:val="center"/>
            <w:hideMark/>
          </w:tcPr>
          <w:p w:rsidR="001A603E" w:rsidRPr="00D16907" w:rsidRDefault="001A603E" w:rsidP="009B7A30">
            <w:pPr>
              <w:rPr>
                <w:color w:val="000000"/>
                <w:sz w:val="22"/>
                <w:szCs w:val="22"/>
              </w:rPr>
            </w:pPr>
          </w:p>
        </w:tc>
        <w:tc>
          <w:tcPr>
            <w:tcW w:w="4400" w:type="dxa"/>
            <w:tcBorders>
              <w:top w:val="nil"/>
              <w:left w:val="nil"/>
              <w:bottom w:val="nil"/>
              <w:right w:val="nil"/>
            </w:tcBorders>
            <w:shd w:val="clear" w:color="auto" w:fill="auto"/>
            <w:noWrap/>
            <w:vAlign w:val="center"/>
            <w:hideMark/>
          </w:tcPr>
          <w:p w:rsidR="001A603E" w:rsidRPr="00D16907" w:rsidRDefault="001A603E" w:rsidP="009B7A30">
            <w:pPr>
              <w:rPr>
                <w:color w:val="000000"/>
                <w:sz w:val="22"/>
                <w:szCs w:val="22"/>
              </w:rPr>
            </w:pPr>
          </w:p>
        </w:tc>
        <w:tc>
          <w:tcPr>
            <w:tcW w:w="1740" w:type="dxa"/>
            <w:tcBorders>
              <w:top w:val="nil"/>
              <w:left w:val="nil"/>
              <w:bottom w:val="nil"/>
              <w:right w:val="nil"/>
            </w:tcBorders>
            <w:shd w:val="clear" w:color="auto" w:fill="auto"/>
            <w:noWrap/>
            <w:vAlign w:val="center"/>
            <w:hideMark/>
          </w:tcPr>
          <w:p w:rsidR="001A603E" w:rsidRPr="00D16907" w:rsidRDefault="001A603E" w:rsidP="009B7A30">
            <w:pPr>
              <w:rPr>
                <w:color w:val="000000"/>
                <w:sz w:val="22"/>
                <w:szCs w:val="22"/>
              </w:rPr>
            </w:pPr>
          </w:p>
        </w:tc>
        <w:tc>
          <w:tcPr>
            <w:tcW w:w="1540" w:type="dxa"/>
            <w:tcBorders>
              <w:top w:val="nil"/>
              <w:left w:val="nil"/>
              <w:bottom w:val="nil"/>
              <w:right w:val="nil"/>
            </w:tcBorders>
            <w:shd w:val="clear" w:color="auto" w:fill="auto"/>
            <w:noWrap/>
            <w:vAlign w:val="center"/>
            <w:hideMark/>
          </w:tcPr>
          <w:p w:rsidR="001A603E" w:rsidRPr="00D16907" w:rsidRDefault="001A603E" w:rsidP="009B7A30">
            <w:pPr>
              <w:jc w:val="center"/>
              <w:rPr>
                <w:color w:val="000000"/>
                <w:sz w:val="22"/>
                <w:szCs w:val="22"/>
              </w:rPr>
            </w:pPr>
          </w:p>
        </w:tc>
        <w:tc>
          <w:tcPr>
            <w:tcW w:w="1540" w:type="dxa"/>
            <w:tcBorders>
              <w:top w:val="nil"/>
              <w:left w:val="nil"/>
              <w:bottom w:val="nil"/>
              <w:right w:val="nil"/>
            </w:tcBorders>
            <w:shd w:val="clear" w:color="auto" w:fill="auto"/>
            <w:noWrap/>
            <w:vAlign w:val="center"/>
            <w:hideMark/>
          </w:tcPr>
          <w:p w:rsidR="001A603E" w:rsidRPr="00D16907" w:rsidRDefault="001A603E" w:rsidP="009B7A30">
            <w:pPr>
              <w:jc w:val="center"/>
              <w:rPr>
                <w:color w:val="000000"/>
                <w:sz w:val="22"/>
                <w:szCs w:val="22"/>
              </w:rPr>
            </w:pPr>
          </w:p>
        </w:tc>
        <w:tc>
          <w:tcPr>
            <w:tcW w:w="960" w:type="dxa"/>
            <w:tcBorders>
              <w:top w:val="nil"/>
              <w:left w:val="nil"/>
              <w:bottom w:val="nil"/>
              <w:right w:val="nil"/>
            </w:tcBorders>
            <w:shd w:val="clear" w:color="auto" w:fill="auto"/>
            <w:noWrap/>
            <w:vAlign w:val="bottom"/>
            <w:hideMark/>
          </w:tcPr>
          <w:p w:rsidR="001A603E" w:rsidRPr="00D16907" w:rsidRDefault="001A603E" w:rsidP="009B7A30">
            <w:pPr>
              <w:rPr>
                <w:color w:val="000000"/>
                <w:sz w:val="22"/>
                <w:szCs w:val="22"/>
              </w:rPr>
            </w:pPr>
          </w:p>
        </w:tc>
      </w:tr>
      <w:tr w:rsidR="001A603E" w:rsidRPr="00D16907" w:rsidTr="009B7A30">
        <w:trPr>
          <w:trHeight w:val="300"/>
        </w:trPr>
        <w:tc>
          <w:tcPr>
            <w:tcW w:w="915" w:type="dxa"/>
            <w:tcBorders>
              <w:top w:val="single" w:sz="4" w:space="0" w:color="auto"/>
              <w:left w:val="nil"/>
              <w:bottom w:val="single" w:sz="4" w:space="0" w:color="auto"/>
              <w:right w:val="nil"/>
            </w:tcBorders>
            <w:shd w:val="clear" w:color="auto" w:fill="auto"/>
            <w:noWrap/>
            <w:vAlign w:val="bottom"/>
            <w:hideMark/>
          </w:tcPr>
          <w:p w:rsidR="001A603E" w:rsidRPr="00D16907" w:rsidRDefault="001A603E" w:rsidP="009B7A30">
            <w:pPr>
              <w:jc w:val="center"/>
              <w:rPr>
                <w:b/>
                <w:bCs/>
                <w:sz w:val="22"/>
                <w:szCs w:val="22"/>
              </w:rPr>
            </w:pPr>
            <w:r w:rsidRPr="00D16907">
              <w:rPr>
                <w:b/>
                <w:bCs/>
                <w:sz w:val="22"/>
                <w:szCs w:val="22"/>
              </w:rPr>
              <w:t>5</w:t>
            </w:r>
          </w:p>
        </w:tc>
        <w:tc>
          <w:tcPr>
            <w:tcW w:w="1785" w:type="dxa"/>
            <w:tcBorders>
              <w:top w:val="single" w:sz="4" w:space="0" w:color="auto"/>
              <w:left w:val="nil"/>
              <w:bottom w:val="single" w:sz="4" w:space="0" w:color="auto"/>
              <w:right w:val="nil"/>
            </w:tcBorders>
            <w:shd w:val="clear" w:color="auto" w:fill="auto"/>
            <w:vAlign w:val="center"/>
            <w:hideMark/>
          </w:tcPr>
          <w:p w:rsidR="001A603E" w:rsidRPr="00D16907" w:rsidRDefault="001A603E" w:rsidP="009B7A30">
            <w:pPr>
              <w:rPr>
                <w:b/>
                <w:bCs/>
                <w:sz w:val="22"/>
                <w:szCs w:val="22"/>
              </w:rPr>
            </w:pPr>
            <w:r w:rsidRPr="00D16907">
              <w:rPr>
                <w:b/>
                <w:bCs/>
                <w:sz w:val="22"/>
                <w:szCs w:val="22"/>
              </w:rPr>
              <w:t>Winona, MS</w:t>
            </w:r>
          </w:p>
        </w:tc>
        <w:tc>
          <w:tcPr>
            <w:tcW w:w="4400" w:type="dxa"/>
            <w:tcBorders>
              <w:top w:val="single" w:sz="4" w:space="0" w:color="auto"/>
              <w:left w:val="nil"/>
              <w:bottom w:val="single" w:sz="4" w:space="0" w:color="auto"/>
              <w:right w:val="nil"/>
            </w:tcBorders>
            <w:shd w:val="clear" w:color="auto" w:fill="auto"/>
            <w:noWrap/>
            <w:vAlign w:val="center"/>
            <w:hideMark/>
          </w:tcPr>
          <w:p w:rsidR="001A603E" w:rsidRPr="00D16907" w:rsidRDefault="001A603E" w:rsidP="009B7A30">
            <w:pPr>
              <w:rPr>
                <w:sz w:val="22"/>
                <w:szCs w:val="22"/>
              </w:rPr>
            </w:pPr>
            <w:r w:rsidRPr="00D16907">
              <w:rPr>
                <w:sz w:val="22"/>
                <w:szCs w:val="22"/>
              </w:rPr>
              <w:t>Central Mississippi, Inc.</w:t>
            </w:r>
          </w:p>
        </w:tc>
        <w:tc>
          <w:tcPr>
            <w:tcW w:w="1740" w:type="dxa"/>
            <w:tcBorders>
              <w:top w:val="single" w:sz="4" w:space="0" w:color="auto"/>
              <w:left w:val="nil"/>
              <w:bottom w:val="single" w:sz="4" w:space="0" w:color="auto"/>
              <w:right w:val="nil"/>
            </w:tcBorders>
            <w:shd w:val="clear" w:color="auto" w:fill="auto"/>
            <w:noWrap/>
            <w:vAlign w:val="center"/>
            <w:hideMark/>
          </w:tcPr>
          <w:p w:rsidR="001A603E" w:rsidRPr="00D16907" w:rsidRDefault="001A603E" w:rsidP="009B7A30">
            <w:pPr>
              <w:rPr>
                <w:sz w:val="22"/>
                <w:szCs w:val="22"/>
              </w:rPr>
            </w:pPr>
            <w:r w:rsidRPr="00D16907">
              <w:rPr>
                <w:sz w:val="22"/>
                <w:szCs w:val="22"/>
              </w:rPr>
              <w:t>Winona, MS</w:t>
            </w:r>
          </w:p>
        </w:tc>
        <w:tc>
          <w:tcPr>
            <w:tcW w:w="1540" w:type="dxa"/>
            <w:tcBorders>
              <w:top w:val="single" w:sz="4" w:space="0" w:color="auto"/>
              <w:left w:val="nil"/>
              <w:bottom w:val="single" w:sz="4" w:space="0" w:color="auto"/>
              <w:right w:val="nil"/>
            </w:tcBorders>
            <w:shd w:val="clear" w:color="auto" w:fill="auto"/>
            <w:noWrap/>
            <w:vAlign w:val="center"/>
            <w:hideMark/>
          </w:tcPr>
          <w:p w:rsidR="001A603E" w:rsidRPr="00D16907" w:rsidRDefault="001A603E" w:rsidP="009B7A30">
            <w:pPr>
              <w:jc w:val="center"/>
              <w:rPr>
                <w:sz w:val="22"/>
                <w:szCs w:val="22"/>
              </w:rPr>
            </w:pPr>
            <w:r w:rsidRPr="00D16907">
              <w:rPr>
                <w:sz w:val="22"/>
                <w:szCs w:val="22"/>
              </w:rPr>
              <w:t xml:space="preserve">$10 </w:t>
            </w:r>
          </w:p>
        </w:tc>
        <w:tc>
          <w:tcPr>
            <w:tcW w:w="1540" w:type="dxa"/>
            <w:tcBorders>
              <w:top w:val="single" w:sz="4" w:space="0" w:color="auto"/>
              <w:left w:val="nil"/>
              <w:bottom w:val="single" w:sz="4" w:space="0" w:color="auto"/>
              <w:right w:val="nil"/>
            </w:tcBorders>
            <w:shd w:val="clear" w:color="auto" w:fill="auto"/>
            <w:noWrap/>
            <w:vAlign w:val="center"/>
            <w:hideMark/>
          </w:tcPr>
          <w:p w:rsidR="001A603E" w:rsidRPr="00D16907" w:rsidRDefault="001A603E" w:rsidP="009B7A30">
            <w:pPr>
              <w:jc w:val="center"/>
              <w:rPr>
                <w:sz w:val="22"/>
                <w:szCs w:val="22"/>
              </w:rPr>
            </w:pPr>
            <w:r w:rsidRPr="00D16907">
              <w:rPr>
                <w:sz w:val="22"/>
                <w:szCs w:val="22"/>
              </w:rPr>
              <w:t xml:space="preserve">$20 </w:t>
            </w:r>
          </w:p>
        </w:tc>
        <w:tc>
          <w:tcPr>
            <w:tcW w:w="960" w:type="dxa"/>
            <w:tcBorders>
              <w:top w:val="single" w:sz="4" w:space="0" w:color="auto"/>
              <w:left w:val="nil"/>
              <w:bottom w:val="single" w:sz="4" w:space="0" w:color="auto"/>
              <w:right w:val="nil"/>
            </w:tcBorders>
            <w:shd w:val="clear" w:color="auto" w:fill="auto"/>
            <w:noWrap/>
            <w:vAlign w:val="bottom"/>
            <w:hideMark/>
          </w:tcPr>
          <w:p w:rsidR="001A603E" w:rsidRPr="00D16907" w:rsidRDefault="001A603E" w:rsidP="009B7A30">
            <w:pPr>
              <w:jc w:val="center"/>
              <w:rPr>
                <w:color w:val="000000"/>
                <w:sz w:val="22"/>
                <w:szCs w:val="22"/>
              </w:rPr>
            </w:pPr>
            <w:r w:rsidRPr="00D16907">
              <w:rPr>
                <w:color w:val="000000"/>
                <w:sz w:val="22"/>
                <w:szCs w:val="22"/>
              </w:rPr>
              <w:t xml:space="preserve">$30 </w:t>
            </w:r>
          </w:p>
        </w:tc>
      </w:tr>
      <w:tr w:rsidR="001A603E" w:rsidRPr="00D16907" w:rsidTr="009B7A30">
        <w:trPr>
          <w:trHeight w:val="300"/>
        </w:trPr>
        <w:tc>
          <w:tcPr>
            <w:tcW w:w="915" w:type="dxa"/>
            <w:tcBorders>
              <w:top w:val="nil"/>
              <w:left w:val="nil"/>
              <w:bottom w:val="single" w:sz="4" w:space="0" w:color="auto"/>
              <w:right w:val="nil"/>
            </w:tcBorders>
            <w:shd w:val="clear" w:color="auto" w:fill="auto"/>
            <w:noWrap/>
            <w:vAlign w:val="bottom"/>
            <w:hideMark/>
          </w:tcPr>
          <w:p w:rsidR="001A603E" w:rsidRPr="00D16907" w:rsidRDefault="001A603E" w:rsidP="009B7A30">
            <w:pPr>
              <w:jc w:val="center"/>
              <w:rPr>
                <w:b/>
                <w:bCs/>
                <w:sz w:val="22"/>
                <w:szCs w:val="22"/>
              </w:rPr>
            </w:pPr>
            <w:r w:rsidRPr="00D16907">
              <w:rPr>
                <w:b/>
                <w:bCs/>
                <w:sz w:val="22"/>
                <w:szCs w:val="22"/>
              </w:rPr>
              <w:t>6</w:t>
            </w:r>
          </w:p>
        </w:tc>
        <w:tc>
          <w:tcPr>
            <w:tcW w:w="1785" w:type="dxa"/>
            <w:tcBorders>
              <w:top w:val="nil"/>
              <w:left w:val="nil"/>
              <w:bottom w:val="single" w:sz="4" w:space="0" w:color="auto"/>
              <w:right w:val="nil"/>
            </w:tcBorders>
            <w:shd w:val="clear" w:color="auto" w:fill="auto"/>
            <w:vAlign w:val="center"/>
            <w:hideMark/>
          </w:tcPr>
          <w:p w:rsidR="001A603E" w:rsidRPr="00D16907" w:rsidRDefault="001A603E" w:rsidP="009B7A30">
            <w:pPr>
              <w:rPr>
                <w:b/>
                <w:bCs/>
                <w:sz w:val="22"/>
                <w:szCs w:val="22"/>
              </w:rPr>
            </w:pPr>
            <w:r w:rsidRPr="00D16907">
              <w:rPr>
                <w:b/>
                <w:bCs/>
                <w:sz w:val="22"/>
                <w:szCs w:val="22"/>
              </w:rPr>
              <w:t>San Diego, CA</w:t>
            </w:r>
          </w:p>
        </w:tc>
        <w:tc>
          <w:tcPr>
            <w:tcW w:w="4400" w:type="dxa"/>
            <w:tcBorders>
              <w:top w:val="nil"/>
              <w:left w:val="nil"/>
              <w:bottom w:val="single" w:sz="4" w:space="0" w:color="auto"/>
              <w:right w:val="nil"/>
            </w:tcBorders>
            <w:shd w:val="clear" w:color="auto" w:fill="auto"/>
            <w:noWrap/>
            <w:vAlign w:val="center"/>
            <w:hideMark/>
          </w:tcPr>
          <w:p w:rsidR="001A603E" w:rsidRPr="00D16907" w:rsidRDefault="001A603E" w:rsidP="009B7A30">
            <w:pPr>
              <w:rPr>
                <w:sz w:val="22"/>
                <w:szCs w:val="22"/>
              </w:rPr>
            </w:pPr>
            <w:r w:rsidRPr="00D16907">
              <w:rPr>
                <w:sz w:val="22"/>
                <w:szCs w:val="22"/>
              </w:rPr>
              <w:t>Episcopal Community Services</w:t>
            </w:r>
          </w:p>
        </w:tc>
        <w:tc>
          <w:tcPr>
            <w:tcW w:w="1740" w:type="dxa"/>
            <w:tcBorders>
              <w:top w:val="nil"/>
              <w:left w:val="nil"/>
              <w:bottom w:val="single" w:sz="4" w:space="0" w:color="auto"/>
              <w:right w:val="nil"/>
            </w:tcBorders>
            <w:shd w:val="clear" w:color="auto" w:fill="auto"/>
            <w:noWrap/>
            <w:vAlign w:val="center"/>
            <w:hideMark/>
          </w:tcPr>
          <w:p w:rsidR="001A603E" w:rsidRPr="00D16907" w:rsidRDefault="001A603E" w:rsidP="009B7A30">
            <w:pPr>
              <w:rPr>
                <w:sz w:val="22"/>
                <w:szCs w:val="22"/>
              </w:rPr>
            </w:pPr>
            <w:r w:rsidRPr="00D16907">
              <w:rPr>
                <w:sz w:val="22"/>
                <w:szCs w:val="22"/>
              </w:rPr>
              <w:t>Chula Vista, CA</w:t>
            </w:r>
          </w:p>
        </w:tc>
        <w:tc>
          <w:tcPr>
            <w:tcW w:w="1540" w:type="dxa"/>
            <w:tcBorders>
              <w:top w:val="nil"/>
              <w:left w:val="nil"/>
              <w:bottom w:val="single" w:sz="4" w:space="0" w:color="auto"/>
              <w:right w:val="nil"/>
            </w:tcBorders>
            <w:shd w:val="clear" w:color="auto" w:fill="auto"/>
            <w:noWrap/>
            <w:vAlign w:val="center"/>
            <w:hideMark/>
          </w:tcPr>
          <w:p w:rsidR="001A603E" w:rsidRPr="00D16907" w:rsidRDefault="001A603E" w:rsidP="009B7A30">
            <w:pPr>
              <w:jc w:val="center"/>
              <w:rPr>
                <w:sz w:val="22"/>
                <w:szCs w:val="22"/>
              </w:rPr>
            </w:pPr>
            <w:r w:rsidRPr="00D16907">
              <w:rPr>
                <w:sz w:val="22"/>
                <w:szCs w:val="22"/>
              </w:rPr>
              <w:t xml:space="preserve">$10 </w:t>
            </w:r>
          </w:p>
        </w:tc>
        <w:tc>
          <w:tcPr>
            <w:tcW w:w="1540" w:type="dxa"/>
            <w:tcBorders>
              <w:top w:val="nil"/>
              <w:left w:val="nil"/>
              <w:bottom w:val="single" w:sz="4" w:space="0" w:color="auto"/>
              <w:right w:val="nil"/>
            </w:tcBorders>
            <w:shd w:val="clear" w:color="auto" w:fill="auto"/>
            <w:noWrap/>
            <w:vAlign w:val="center"/>
            <w:hideMark/>
          </w:tcPr>
          <w:p w:rsidR="001A603E" w:rsidRPr="00D16907" w:rsidRDefault="001A603E" w:rsidP="009B7A30">
            <w:pPr>
              <w:jc w:val="center"/>
              <w:rPr>
                <w:sz w:val="22"/>
                <w:szCs w:val="22"/>
              </w:rPr>
            </w:pPr>
            <w:r w:rsidRPr="00D16907">
              <w:rPr>
                <w:sz w:val="22"/>
                <w:szCs w:val="22"/>
              </w:rPr>
              <w:t xml:space="preserve">$20 </w:t>
            </w:r>
          </w:p>
        </w:tc>
        <w:tc>
          <w:tcPr>
            <w:tcW w:w="960" w:type="dxa"/>
            <w:tcBorders>
              <w:top w:val="nil"/>
              <w:left w:val="nil"/>
              <w:bottom w:val="single" w:sz="4" w:space="0" w:color="auto"/>
              <w:right w:val="nil"/>
            </w:tcBorders>
            <w:shd w:val="clear" w:color="auto" w:fill="auto"/>
            <w:noWrap/>
            <w:vAlign w:val="bottom"/>
            <w:hideMark/>
          </w:tcPr>
          <w:p w:rsidR="001A603E" w:rsidRPr="00D16907" w:rsidRDefault="001A603E" w:rsidP="009B7A30">
            <w:pPr>
              <w:jc w:val="center"/>
              <w:rPr>
                <w:color w:val="000000"/>
                <w:sz w:val="22"/>
                <w:szCs w:val="22"/>
              </w:rPr>
            </w:pPr>
            <w:r w:rsidRPr="00D16907">
              <w:rPr>
                <w:color w:val="000000"/>
                <w:sz w:val="22"/>
                <w:szCs w:val="22"/>
              </w:rPr>
              <w:t xml:space="preserve">$30 </w:t>
            </w:r>
          </w:p>
        </w:tc>
      </w:tr>
      <w:tr w:rsidR="001A603E" w:rsidRPr="00D16907" w:rsidTr="009B7A30">
        <w:trPr>
          <w:trHeight w:val="300"/>
        </w:trPr>
        <w:tc>
          <w:tcPr>
            <w:tcW w:w="915" w:type="dxa"/>
            <w:vMerge w:val="restart"/>
            <w:tcBorders>
              <w:top w:val="nil"/>
              <w:left w:val="nil"/>
              <w:bottom w:val="single" w:sz="4" w:space="0" w:color="000000"/>
              <w:right w:val="nil"/>
            </w:tcBorders>
            <w:shd w:val="clear" w:color="auto" w:fill="auto"/>
            <w:noWrap/>
            <w:vAlign w:val="center"/>
            <w:hideMark/>
          </w:tcPr>
          <w:p w:rsidR="001A603E" w:rsidRPr="00D16907" w:rsidRDefault="001A603E" w:rsidP="009B7A30">
            <w:pPr>
              <w:jc w:val="center"/>
              <w:rPr>
                <w:b/>
                <w:bCs/>
                <w:color w:val="000000"/>
                <w:sz w:val="22"/>
                <w:szCs w:val="22"/>
              </w:rPr>
            </w:pPr>
            <w:r w:rsidRPr="00D16907">
              <w:rPr>
                <w:b/>
                <w:bCs/>
                <w:color w:val="000000"/>
                <w:sz w:val="22"/>
                <w:szCs w:val="22"/>
              </w:rPr>
              <w:t>7</w:t>
            </w:r>
          </w:p>
        </w:tc>
        <w:tc>
          <w:tcPr>
            <w:tcW w:w="1785" w:type="dxa"/>
            <w:vMerge w:val="restart"/>
            <w:tcBorders>
              <w:top w:val="nil"/>
              <w:left w:val="nil"/>
              <w:bottom w:val="single" w:sz="4" w:space="0" w:color="000000"/>
              <w:right w:val="nil"/>
            </w:tcBorders>
            <w:shd w:val="clear" w:color="auto" w:fill="auto"/>
            <w:noWrap/>
            <w:vAlign w:val="center"/>
            <w:hideMark/>
          </w:tcPr>
          <w:p w:rsidR="001A603E" w:rsidRPr="00D16907" w:rsidRDefault="001A603E" w:rsidP="009B7A30">
            <w:pPr>
              <w:rPr>
                <w:b/>
                <w:bCs/>
                <w:color w:val="000000"/>
                <w:sz w:val="22"/>
                <w:szCs w:val="22"/>
              </w:rPr>
            </w:pPr>
            <w:r w:rsidRPr="00D16907">
              <w:rPr>
                <w:b/>
                <w:bCs/>
                <w:color w:val="000000"/>
                <w:sz w:val="22"/>
                <w:szCs w:val="22"/>
              </w:rPr>
              <w:t>East Texas</w:t>
            </w:r>
          </w:p>
        </w:tc>
        <w:tc>
          <w:tcPr>
            <w:tcW w:w="4400" w:type="dxa"/>
            <w:tcBorders>
              <w:top w:val="nil"/>
              <w:left w:val="nil"/>
              <w:bottom w:val="nil"/>
              <w:right w:val="nil"/>
            </w:tcBorders>
            <w:shd w:val="clear" w:color="auto" w:fill="auto"/>
            <w:noWrap/>
            <w:vAlign w:val="center"/>
            <w:hideMark/>
          </w:tcPr>
          <w:p w:rsidR="001A603E" w:rsidRPr="00D16907" w:rsidRDefault="001A603E" w:rsidP="009B7A30">
            <w:pPr>
              <w:rPr>
                <w:color w:val="000000"/>
                <w:sz w:val="22"/>
                <w:szCs w:val="22"/>
              </w:rPr>
            </w:pPr>
            <w:r w:rsidRPr="00D16907">
              <w:rPr>
                <w:color w:val="000000"/>
                <w:sz w:val="22"/>
                <w:szCs w:val="22"/>
              </w:rPr>
              <w:t>Region 7 Education Service Center </w:t>
            </w:r>
          </w:p>
        </w:tc>
        <w:tc>
          <w:tcPr>
            <w:tcW w:w="1740" w:type="dxa"/>
            <w:tcBorders>
              <w:top w:val="nil"/>
              <w:left w:val="nil"/>
              <w:bottom w:val="nil"/>
              <w:right w:val="nil"/>
            </w:tcBorders>
            <w:shd w:val="clear" w:color="auto" w:fill="auto"/>
            <w:noWrap/>
            <w:vAlign w:val="center"/>
            <w:hideMark/>
          </w:tcPr>
          <w:p w:rsidR="001A603E" w:rsidRPr="00D16907" w:rsidRDefault="001A603E" w:rsidP="009B7A30">
            <w:pPr>
              <w:rPr>
                <w:color w:val="000000"/>
                <w:sz w:val="22"/>
                <w:szCs w:val="22"/>
              </w:rPr>
            </w:pPr>
            <w:r w:rsidRPr="00D16907">
              <w:rPr>
                <w:color w:val="000000"/>
                <w:sz w:val="22"/>
                <w:szCs w:val="22"/>
              </w:rPr>
              <w:t>Kilgore, TX</w:t>
            </w:r>
          </w:p>
        </w:tc>
        <w:tc>
          <w:tcPr>
            <w:tcW w:w="1540" w:type="dxa"/>
            <w:tcBorders>
              <w:top w:val="nil"/>
              <w:left w:val="nil"/>
              <w:bottom w:val="nil"/>
              <w:right w:val="nil"/>
            </w:tcBorders>
            <w:shd w:val="clear" w:color="auto" w:fill="auto"/>
            <w:noWrap/>
            <w:vAlign w:val="center"/>
            <w:hideMark/>
          </w:tcPr>
          <w:p w:rsidR="001A603E" w:rsidRPr="00D16907" w:rsidRDefault="001A603E" w:rsidP="009B7A30">
            <w:pPr>
              <w:jc w:val="center"/>
              <w:rPr>
                <w:color w:val="000000"/>
                <w:sz w:val="22"/>
                <w:szCs w:val="22"/>
              </w:rPr>
            </w:pPr>
            <w:r w:rsidRPr="00D16907">
              <w:rPr>
                <w:color w:val="000000"/>
                <w:sz w:val="22"/>
                <w:szCs w:val="22"/>
              </w:rPr>
              <w:t xml:space="preserve">$10 </w:t>
            </w:r>
          </w:p>
        </w:tc>
        <w:tc>
          <w:tcPr>
            <w:tcW w:w="1540" w:type="dxa"/>
            <w:tcBorders>
              <w:top w:val="nil"/>
              <w:left w:val="nil"/>
              <w:bottom w:val="nil"/>
              <w:right w:val="nil"/>
            </w:tcBorders>
            <w:shd w:val="clear" w:color="auto" w:fill="auto"/>
            <w:noWrap/>
            <w:vAlign w:val="center"/>
            <w:hideMark/>
          </w:tcPr>
          <w:p w:rsidR="001A603E" w:rsidRPr="00D16907" w:rsidRDefault="001A603E" w:rsidP="009B7A30">
            <w:pPr>
              <w:jc w:val="center"/>
              <w:rPr>
                <w:color w:val="000000"/>
                <w:sz w:val="22"/>
                <w:szCs w:val="22"/>
              </w:rPr>
            </w:pPr>
            <w:r w:rsidRPr="00D16907">
              <w:rPr>
                <w:color w:val="000000"/>
                <w:sz w:val="22"/>
                <w:szCs w:val="22"/>
              </w:rPr>
              <w:t xml:space="preserve">$20 </w:t>
            </w:r>
          </w:p>
        </w:tc>
        <w:tc>
          <w:tcPr>
            <w:tcW w:w="960" w:type="dxa"/>
            <w:tcBorders>
              <w:top w:val="nil"/>
              <w:left w:val="nil"/>
              <w:bottom w:val="nil"/>
              <w:right w:val="nil"/>
            </w:tcBorders>
            <w:shd w:val="clear" w:color="auto" w:fill="auto"/>
            <w:noWrap/>
            <w:vAlign w:val="bottom"/>
            <w:hideMark/>
          </w:tcPr>
          <w:p w:rsidR="001A603E" w:rsidRPr="00D16907" w:rsidRDefault="001A603E" w:rsidP="009B7A30">
            <w:pPr>
              <w:jc w:val="center"/>
              <w:rPr>
                <w:color w:val="000000"/>
                <w:sz w:val="22"/>
                <w:szCs w:val="22"/>
              </w:rPr>
            </w:pPr>
            <w:r w:rsidRPr="00D16907">
              <w:rPr>
                <w:color w:val="000000"/>
                <w:sz w:val="22"/>
                <w:szCs w:val="22"/>
              </w:rPr>
              <w:t xml:space="preserve">$30 </w:t>
            </w:r>
          </w:p>
        </w:tc>
      </w:tr>
      <w:tr w:rsidR="001A603E" w:rsidRPr="00D16907" w:rsidTr="009B7A30">
        <w:trPr>
          <w:trHeight w:val="300"/>
        </w:trPr>
        <w:tc>
          <w:tcPr>
            <w:tcW w:w="915" w:type="dxa"/>
            <w:vMerge/>
            <w:tcBorders>
              <w:top w:val="nil"/>
              <w:left w:val="nil"/>
              <w:bottom w:val="single" w:sz="4" w:space="0" w:color="000000"/>
              <w:right w:val="nil"/>
            </w:tcBorders>
            <w:vAlign w:val="center"/>
            <w:hideMark/>
          </w:tcPr>
          <w:p w:rsidR="001A603E" w:rsidRPr="00D16907" w:rsidRDefault="001A603E" w:rsidP="009B7A30">
            <w:pPr>
              <w:rPr>
                <w:b/>
                <w:bCs/>
                <w:color w:val="000000"/>
                <w:sz w:val="22"/>
                <w:szCs w:val="22"/>
              </w:rPr>
            </w:pPr>
          </w:p>
        </w:tc>
        <w:tc>
          <w:tcPr>
            <w:tcW w:w="1785" w:type="dxa"/>
            <w:vMerge/>
            <w:tcBorders>
              <w:top w:val="nil"/>
              <w:left w:val="nil"/>
              <w:bottom w:val="single" w:sz="4" w:space="0" w:color="000000"/>
              <w:right w:val="nil"/>
            </w:tcBorders>
            <w:vAlign w:val="center"/>
            <w:hideMark/>
          </w:tcPr>
          <w:p w:rsidR="001A603E" w:rsidRPr="00D16907" w:rsidRDefault="001A603E" w:rsidP="009B7A30">
            <w:pPr>
              <w:rPr>
                <w:b/>
                <w:bCs/>
                <w:color w:val="000000"/>
                <w:sz w:val="22"/>
                <w:szCs w:val="22"/>
              </w:rPr>
            </w:pPr>
          </w:p>
        </w:tc>
        <w:tc>
          <w:tcPr>
            <w:tcW w:w="4400" w:type="dxa"/>
            <w:tcBorders>
              <w:top w:val="nil"/>
              <w:left w:val="nil"/>
              <w:bottom w:val="single" w:sz="4" w:space="0" w:color="auto"/>
              <w:right w:val="nil"/>
            </w:tcBorders>
            <w:shd w:val="clear" w:color="auto" w:fill="auto"/>
            <w:noWrap/>
            <w:vAlign w:val="center"/>
            <w:hideMark/>
          </w:tcPr>
          <w:p w:rsidR="001A603E" w:rsidRPr="00D16907" w:rsidRDefault="001A603E" w:rsidP="009B7A30">
            <w:pPr>
              <w:rPr>
                <w:color w:val="000000"/>
                <w:sz w:val="22"/>
                <w:szCs w:val="22"/>
              </w:rPr>
            </w:pPr>
            <w:r w:rsidRPr="00D16907">
              <w:rPr>
                <w:color w:val="000000"/>
                <w:sz w:val="22"/>
                <w:szCs w:val="22"/>
              </w:rPr>
              <w:t>Tyler ISD</w:t>
            </w:r>
          </w:p>
        </w:tc>
        <w:tc>
          <w:tcPr>
            <w:tcW w:w="1740" w:type="dxa"/>
            <w:tcBorders>
              <w:top w:val="nil"/>
              <w:left w:val="nil"/>
              <w:bottom w:val="single" w:sz="4" w:space="0" w:color="auto"/>
              <w:right w:val="nil"/>
            </w:tcBorders>
            <w:shd w:val="clear" w:color="auto" w:fill="auto"/>
            <w:noWrap/>
            <w:vAlign w:val="center"/>
            <w:hideMark/>
          </w:tcPr>
          <w:p w:rsidR="001A603E" w:rsidRPr="00D16907" w:rsidRDefault="001A603E" w:rsidP="009B7A30">
            <w:pPr>
              <w:rPr>
                <w:color w:val="000000"/>
                <w:sz w:val="22"/>
                <w:szCs w:val="22"/>
              </w:rPr>
            </w:pPr>
            <w:r w:rsidRPr="00D16907">
              <w:rPr>
                <w:color w:val="000000"/>
                <w:sz w:val="22"/>
                <w:szCs w:val="22"/>
              </w:rPr>
              <w:t>Tyler, TX</w:t>
            </w:r>
          </w:p>
        </w:tc>
        <w:tc>
          <w:tcPr>
            <w:tcW w:w="1540" w:type="dxa"/>
            <w:tcBorders>
              <w:top w:val="nil"/>
              <w:left w:val="nil"/>
              <w:bottom w:val="single" w:sz="4" w:space="0" w:color="auto"/>
              <w:right w:val="nil"/>
            </w:tcBorders>
            <w:shd w:val="clear" w:color="auto" w:fill="auto"/>
            <w:noWrap/>
            <w:vAlign w:val="center"/>
            <w:hideMark/>
          </w:tcPr>
          <w:p w:rsidR="001A603E" w:rsidRPr="00D16907" w:rsidRDefault="001A603E" w:rsidP="009B7A30">
            <w:pPr>
              <w:jc w:val="center"/>
              <w:rPr>
                <w:color w:val="000000"/>
                <w:sz w:val="22"/>
                <w:szCs w:val="22"/>
              </w:rPr>
            </w:pPr>
            <w:r w:rsidRPr="00D16907">
              <w:rPr>
                <w:color w:val="000000"/>
                <w:sz w:val="22"/>
                <w:szCs w:val="22"/>
              </w:rPr>
              <w:t xml:space="preserve">$10 </w:t>
            </w:r>
          </w:p>
        </w:tc>
        <w:tc>
          <w:tcPr>
            <w:tcW w:w="1540" w:type="dxa"/>
            <w:tcBorders>
              <w:top w:val="nil"/>
              <w:left w:val="nil"/>
              <w:bottom w:val="single" w:sz="4" w:space="0" w:color="auto"/>
              <w:right w:val="nil"/>
            </w:tcBorders>
            <w:shd w:val="clear" w:color="auto" w:fill="auto"/>
            <w:noWrap/>
            <w:vAlign w:val="center"/>
            <w:hideMark/>
          </w:tcPr>
          <w:p w:rsidR="001A603E" w:rsidRPr="00D16907" w:rsidRDefault="001A603E" w:rsidP="009B7A30">
            <w:pPr>
              <w:jc w:val="center"/>
              <w:rPr>
                <w:color w:val="000000"/>
                <w:sz w:val="22"/>
                <w:szCs w:val="22"/>
              </w:rPr>
            </w:pPr>
            <w:r w:rsidRPr="00D16907">
              <w:rPr>
                <w:color w:val="000000"/>
                <w:sz w:val="22"/>
                <w:szCs w:val="22"/>
              </w:rPr>
              <w:t xml:space="preserve">$20 </w:t>
            </w:r>
          </w:p>
        </w:tc>
        <w:tc>
          <w:tcPr>
            <w:tcW w:w="960" w:type="dxa"/>
            <w:tcBorders>
              <w:top w:val="nil"/>
              <w:left w:val="nil"/>
              <w:bottom w:val="single" w:sz="4" w:space="0" w:color="auto"/>
              <w:right w:val="nil"/>
            </w:tcBorders>
            <w:shd w:val="clear" w:color="auto" w:fill="auto"/>
            <w:noWrap/>
            <w:vAlign w:val="bottom"/>
            <w:hideMark/>
          </w:tcPr>
          <w:p w:rsidR="001A603E" w:rsidRPr="00D16907" w:rsidRDefault="001A603E" w:rsidP="009B7A30">
            <w:pPr>
              <w:jc w:val="center"/>
              <w:rPr>
                <w:color w:val="000000"/>
                <w:sz w:val="22"/>
                <w:szCs w:val="22"/>
              </w:rPr>
            </w:pPr>
            <w:r w:rsidRPr="00D16907">
              <w:rPr>
                <w:color w:val="000000"/>
                <w:sz w:val="22"/>
                <w:szCs w:val="22"/>
              </w:rPr>
              <w:t xml:space="preserve">$30 </w:t>
            </w:r>
          </w:p>
        </w:tc>
      </w:tr>
      <w:tr w:rsidR="00EE2A9A" w:rsidRPr="00D16907" w:rsidTr="00EE2A9A">
        <w:trPr>
          <w:trHeight w:val="300"/>
        </w:trPr>
        <w:tc>
          <w:tcPr>
            <w:tcW w:w="915" w:type="dxa"/>
            <w:tcBorders>
              <w:top w:val="nil"/>
              <w:left w:val="nil"/>
              <w:bottom w:val="single" w:sz="4" w:space="0" w:color="000000"/>
              <w:right w:val="nil"/>
            </w:tcBorders>
            <w:vAlign w:val="center"/>
            <w:hideMark/>
          </w:tcPr>
          <w:p w:rsidR="00EE2A9A" w:rsidRPr="00D16907" w:rsidRDefault="00EE2A9A" w:rsidP="00EE2A9A">
            <w:pPr>
              <w:jc w:val="center"/>
              <w:rPr>
                <w:b/>
                <w:bCs/>
                <w:color w:val="000000"/>
                <w:sz w:val="22"/>
                <w:szCs w:val="22"/>
              </w:rPr>
            </w:pPr>
            <w:r>
              <w:rPr>
                <w:b/>
                <w:bCs/>
                <w:color w:val="000000"/>
                <w:sz w:val="22"/>
                <w:szCs w:val="22"/>
              </w:rPr>
              <w:t>8</w:t>
            </w:r>
          </w:p>
        </w:tc>
        <w:tc>
          <w:tcPr>
            <w:tcW w:w="1785" w:type="dxa"/>
            <w:tcBorders>
              <w:top w:val="nil"/>
              <w:left w:val="nil"/>
              <w:bottom w:val="single" w:sz="4" w:space="0" w:color="000000"/>
              <w:right w:val="nil"/>
            </w:tcBorders>
            <w:vAlign w:val="center"/>
            <w:hideMark/>
          </w:tcPr>
          <w:p w:rsidR="00EE2A9A" w:rsidRPr="00D16907" w:rsidRDefault="00EE2A9A" w:rsidP="009B7A30">
            <w:pPr>
              <w:rPr>
                <w:b/>
                <w:bCs/>
                <w:color w:val="000000"/>
                <w:sz w:val="22"/>
                <w:szCs w:val="22"/>
              </w:rPr>
            </w:pPr>
            <w:r>
              <w:rPr>
                <w:b/>
                <w:bCs/>
                <w:color w:val="000000"/>
                <w:sz w:val="22"/>
                <w:szCs w:val="22"/>
              </w:rPr>
              <w:t>Chicago, IL</w:t>
            </w:r>
          </w:p>
        </w:tc>
        <w:tc>
          <w:tcPr>
            <w:tcW w:w="4400" w:type="dxa"/>
            <w:tcBorders>
              <w:top w:val="nil"/>
              <w:left w:val="nil"/>
              <w:bottom w:val="single" w:sz="4" w:space="0" w:color="auto"/>
              <w:right w:val="nil"/>
            </w:tcBorders>
            <w:shd w:val="clear" w:color="auto" w:fill="auto"/>
            <w:noWrap/>
            <w:vAlign w:val="center"/>
            <w:hideMark/>
          </w:tcPr>
          <w:p w:rsidR="00EE2A9A" w:rsidRPr="00D16907" w:rsidRDefault="00EE2A9A" w:rsidP="00961E4D">
            <w:pPr>
              <w:rPr>
                <w:color w:val="000000"/>
                <w:sz w:val="22"/>
                <w:szCs w:val="22"/>
              </w:rPr>
            </w:pPr>
            <w:r w:rsidRPr="00D16907">
              <w:rPr>
                <w:color w:val="000000"/>
                <w:sz w:val="22"/>
                <w:szCs w:val="22"/>
              </w:rPr>
              <w:t>Chicago Youth Centers </w:t>
            </w:r>
          </w:p>
        </w:tc>
        <w:tc>
          <w:tcPr>
            <w:tcW w:w="1740" w:type="dxa"/>
            <w:tcBorders>
              <w:top w:val="nil"/>
              <w:left w:val="nil"/>
              <w:bottom w:val="single" w:sz="4" w:space="0" w:color="auto"/>
              <w:right w:val="nil"/>
            </w:tcBorders>
            <w:shd w:val="clear" w:color="auto" w:fill="auto"/>
            <w:noWrap/>
            <w:vAlign w:val="center"/>
            <w:hideMark/>
          </w:tcPr>
          <w:p w:rsidR="00EE2A9A" w:rsidRPr="00D16907" w:rsidRDefault="00EE2A9A" w:rsidP="00961E4D">
            <w:pPr>
              <w:rPr>
                <w:color w:val="000000"/>
                <w:sz w:val="22"/>
                <w:szCs w:val="22"/>
              </w:rPr>
            </w:pPr>
            <w:r w:rsidRPr="00D16907">
              <w:rPr>
                <w:color w:val="000000"/>
                <w:sz w:val="22"/>
                <w:szCs w:val="22"/>
              </w:rPr>
              <w:t>Chicago, IL</w:t>
            </w:r>
          </w:p>
        </w:tc>
        <w:tc>
          <w:tcPr>
            <w:tcW w:w="1540" w:type="dxa"/>
            <w:tcBorders>
              <w:top w:val="nil"/>
              <w:left w:val="nil"/>
              <w:bottom w:val="single" w:sz="4" w:space="0" w:color="auto"/>
              <w:right w:val="nil"/>
            </w:tcBorders>
            <w:shd w:val="clear" w:color="auto" w:fill="auto"/>
            <w:noWrap/>
            <w:vAlign w:val="center"/>
            <w:hideMark/>
          </w:tcPr>
          <w:p w:rsidR="00EE2A9A" w:rsidRPr="00D16907" w:rsidRDefault="00EE2A9A" w:rsidP="00961E4D">
            <w:pPr>
              <w:jc w:val="center"/>
              <w:rPr>
                <w:color w:val="000000"/>
                <w:sz w:val="22"/>
                <w:szCs w:val="22"/>
              </w:rPr>
            </w:pPr>
            <w:r w:rsidRPr="00D16907">
              <w:rPr>
                <w:color w:val="000000"/>
                <w:sz w:val="22"/>
                <w:szCs w:val="22"/>
              </w:rPr>
              <w:t xml:space="preserve">$15 </w:t>
            </w:r>
          </w:p>
        </w:tc>
        <w:tc>
          <w:tcPr>
            <w:tcW w:w="1540" w:type="dxa"/>
            <w:tcBorders>
              <w:top w:val="nil"/>
              <w:left w:val="nil"/>
              <w:bottom w:val="single" w:sz="4" w:space="0" w:color="auto"/>
              <w:right w:val="nil"/>
            </w:tcBorders>
            <w:shd w:val="clear" w:color="auto" w:fill="auto"/>
            <w:noWrap/>
            <w:vAlign w:val="center"/>
            <w:hideMark/>
          </w:tcPr>
          <w:p w:rsidR="00EE2A9A" w:rsidRPr="00D16907" w:rsidRDefault="00EE2A9A" w:rsidP="00961E4D">
            <w:pPr>
              <w:jc w:val="center"/>
              <w:rPr>
                <w:color w:val="000000"/>
                <w:sz w:val="22"/>
                <w:szCs w:val="22"/>
              </w:rPr>
            </w:pPr>
            <w:r w:rsidRPr="00D16907">
              <w:rPr>
                <w:color w:val="000000"/>
                <w:sz w:val="22"/>
                <w:szCs w:val="22"/>
              </w:rPr>
              <w:t xml:space="preserve">$15 </w:t>
            </w:r>
          </w:p>
        </w:tc>
        <w:tc>
          <w:tcPr>
            <w:tcW w:w="960" w:type="dxa"/>
            <w:tcBorders>
              <w:top w:val="nil"/>
              <w:left w:val="nil"/>
              <w:bottom w:val="single" w:sz="4" w:space="0" w:color="auto"/>
              <w:right w:val="nil"/>
            </w:tcBorders>
            <w:shd w:val="clear" w:color="auto" w:fill="auto"/>
            <w:noWrap/>
            <w:vAlign w:val="bottom"/>
            <w:hideMark/>
          </w:tcPr>
          <w:p w:rsidR="00EE2A9A" w:rsidRPr="00D16907" w:rsidRDefault="00EE2A9A" w:rsidP="00961E4D">
            <w:pPr>
              <w:jc w:val="center"/>
              <w:rPr>
                <w:color w:val="000000"/>
                <w:sz w:val="22"/>
                <w:szCs w:val="22"/>
              </w:rPr>
            </w:pPr>
            <w:r w:rsidRPr="00D16907">
              <w:rPr>
                <w:color w:val="000000"/>
                <w:sz w:val="22"/>
                <w:szCs w:val="22"/>
              </w:rPr>
              <w:t xml:space="preserve">$30 </w:t>
            </w:r>
          </w:p>
        </w:tc>
      </w:tr>
      <w:tr w:rsidR="00EE2A9A" w:rsidRPr="00D16907" w:rsidTr="009B7A30">
        <w:trPr>
          <w:trHeight w:val="300"/>
        </w:trPr>
        <w:tc>
          <w:tcPr>
            <w:tcW w:w="915" w:type="dxa"/>
            <w:vMerge w:val="restart"/>
            <w:tcBorders>
              <w:top w:val="nil"/>
              <w:left w:val="nil"/>
              <w:bottom w:val="nil"/>
              <w:right w:val="nil"/>
            </w:tcBorders>
            <w:shd w:val="clear" w:color="auto" w:fill="auto"/>
            <w:vAlign w:val="center"/>
            <w:hideMark/>
          </w:tcPr>
          <w:p w:rsidR="00EE2A9A" w:rsidRPr="00D16907" w:rsidRDefault="00EE2A9A" w:rsidP="009B7A30">
            <w:pPr>
              <w:jc w:val="center"/>
              <w:rPr>
                <w:b/>
                <w:bCs/>
                <w:color w:val="000000"/>
                <w:sz w:val="22"/>
                <w:szCs w:val="22"/>
              </w:rPr>
            </w:pPr>
            <w:r w:rsidRPr="00D16907">
              <w:rPr>
                <w:b/>
                <w:bCs/>
                <w:color w:val="000000"/>
                <w:sz w:val="22"/>
                <w:szCs w:val="22"/>
              </w:rPr>
              <w:t>9</w:t>
            </w:r>
          </w:p>
        </w:tc>
        <w:tc>
          <w:tcPr>
            <w:tcW w:w="1785" w:type="dxa"/>
            <w:vMerge w:val="restart"/>
            <w:tcBorders>
              <w:top w:val="nil"/>
              <w:left w:val="nil"/>
              <w:bottom w:val="nil"/>
              <w:right w:val="nil"/>
            </w:tcBorders>
            <w:shd w:val="clear" w:color="auto" w:fill="auto"/>
            <w:noWrap/>
            <w:vAlign w:val="center"/>
            <w:hideMark/>
          </w:tcPr>
          <w:p w:rsidR="00EE2A9A" w:rsidRPr="00D16907" w:rsidRDefault="00EE2A9A" w:rsidP="009B7A30">
            <w:pPr>
              <w:rPr>
                <w:b/>
                <w:bCs/>
                <w:color w:val="000000"/>
                <w:sz w:val="22"/>
                <w:szCs w:val="22"/>
              </w:rPr>
            </w:pPr>
            <w:r w:rsidRPr="00D16907">
              <w:rPr>
                <w:b/>
                <w:bCs/>
                <w:color w:val="000000"/>
                <w:sz w:val="22"/>
                <w:szCs w:val="22"/>
              </w:rPr>
              <w:t>Central Ohio</w:t>
            </w:r>
          </w:p>
        </w:tc>
        <w:tc>
          <w:tcPr>
            <w:tcW w:w="4400" w:type="dxa"/>
            <w:tcBorders>
              <w:top w:val="nil"/>
              <w:left w:val="nil"/>
              <w:bottom w:val="nil"/>
              <w:right w:val="nil"/>
            </w:tcBorders>
            <w:shd w:val="clear" w:color="auto" w:fill="auto"/>
            <w:noWrap/>
            <w:vAlign w:val="center"/>
            <w:hideMark/>
          </w:tcPr>
          <w:p w:rsidR="00EE2A9A" w:rsidRPr="00D16907" w:rsidRDefault="00EE2A9A" w:rsidP="009B7A30">
            <w:pPr>
              <w:rPr>
                <w:color w:val="000000"/>
                <w:sz w:val="22"/>
                <w:szCs w:val="22"/>
              </w:rPr>
            </w:pPr>
            <w:r w:rsidRPr="00D16907">
              <w:rPr>
                <w:color w:val="000000"/>
                <w:sz w:val="22"/>
                <w:szCs w:val="22"/>
              </w:rPr>
              <w:t>Child Development Council of Franklin County</w:t>
            </w:r>
          </w:p>
        </w:tc>
        <w:tc>
          <w:tcPr>
            <w:tcW w:w="1740" w:type="dxa"/>
            <w:tcBorders>
              <w:top w:val="nil"/>
              <w:left w:val="nil"/>
              <w:bottom w:val="nil"/>
              <w:right w:val="nil"/>
            </w:tcBorders>
            <w:shd w:val="clear" w:color="auto" w:fill="auto"/>
            <w:noWrap/>
            <w:vAlign w:val="center"/>
            <w:hideMark/>
          </w:tcPr>
          <w:p w:rsidR="00EE2A9A" w:rsidRPr="00D16907" w:rsidRDefault="00EE2A9A" w:rsidP="009B7A30">
            <w:pPr>
              <w:rPr>
                <w:color w:val="000000"/>
                <w:sz w:val="22"/>
                <w:szCs w:val="22"/>
              </w:rPr>
            </w:pPr>
            <w:r w:rsidRPr="00D16907">
              <w:rPr>
                <w:color w:val="000000"/>
                <w:sz w:val="22"/>
                <w:szCs w:val="22"/>
              </w:rPr>
              <w:t>Columbus, OH</w:t>
            </w:r>
          </w:p>
        </w:tc>
        <w:tc>
          <w:tcPr>
            <w:tcW w:w="1540" w:type="dxa"/>
            <w:tcBorders>
              <w:top w:val="nil"/>
              <w:left w:val="nil"/>
              <w:bottom w:val="nil"/>
              <w:right w:val="nil"/>
            </w:tcBorders>
            <w:shd w:val="clear" w:color="auto" w:fill="auto"/>
            <w:noWrap/>
            <w:vAlign w:val="center"/>
            <w:hideMark/>
          </w:tcPr>
          <w:p w:rsidR="00EE2A9A" w:rsidRPr="00D16907" w:rsidRDefault="00EE2A9A" w:rsidP="009B7A30">
            <w:pPr>
              <w:jc w:val="center"/>
              <w:rPr>
                <w:color w:val="000000"/>
                <w:sz w:val="22"/>
                <w:szCs w:val="22"/>
              </w:rPr>
            </w:pPr>
            <w:r w:rsidRPr="00D16907">
              <w:rPr>
                <w:color w:val="000000"/>
                <w:sz w:val="22"/>
                <w:szCs w:val="22"/>
              </w:rPr>
              <w:t xml:space="preserve">$15 </w:t>
            </w:r>
          </w:p>
        </w:tc>
        <w:tc>
          <w:tcPr>
            <w:tcW w:w="1540" w:type="dxa"/>
            <w:tcBorders>
              <w:top w:val="nil"/>
              <w:left w:val="nil"/>
              <w:bottom w:val="nil"/>
              <w:right w:val="nil"/>
            </w:tcBorders>
            <w:shd w:val="clear" w:color="auto" w:fill="auto"/>
            <w:noWrap/>
            <w:vAlign w:val="center"/>
            <w:hideMark/>
          </w:tcPr>
          <w:p w:rsidR="00EE2A9A" w:rsidRPr="00D16907" w:rsidRDefault="00EE2A9A" w:rsidP="009B7A30">
            <w:pPr>
              <w:jc w:val="center"/>
              <w:rPr>
                <w:color w:val="000000"/>
                <w:sz w:val="22"/>
                <w:szCs w:val="22"/>
              </w:rPr>
            </w:pPr>
            <w:r w:rsidRPr="00D16907">
              <w:rPr>
                <w:color w:val="000000"/>
                <w:sz w:val="22"/>
                <w:szCs w:val="22"/>
              </w:rPr>
              <w:t xml:space="preserve">$15 </w:t>
            </w:r>
          </w:p>
        </w:tc>
        <w:tc>
          <w:tcPr>
            <w:tcW w:w="960" w:type="dxa"/>
            <w:tcBorders>
              <w:top w:val="nil"/>
              <w:left w:val="nil"/>
              <w:bottom w:val="nil"/>
              <w:right w:val="nil"/>
            </w:tcBorders>
            <w:shd w:val="clear" w:color="auto" w:fill="auto"/>
            <w:noWrap/>
            <w:vAlign w:val="bottom"/>
            <w:hideMark/>
          </w:tcPr>
          <w:p w:rsidR="00EE2A9A" w:rsidRPr="00D16907" w:rsidRDefault="00EE2A9A" w:rsidP="009B7A30">
            <w:pPr>
              <w:jc w:val="center"/>
              <w:rPr>
                <w:color w:val="000000"/>
                <w:sz w:val="22"/>
                <w:szCs w:val="22"/>
              </w:rPr>
            </w:pPr>
            <w:r w:rsidRPr="00D16907">
              <w:rPr>
                <w:color w:val="000000"/>
                <w:sz w:val="22"/>
                <w:szCs w:val="22"/>
              </w:rPr>
              <w:t xml:space="preserve">$30 </w:t>
            </w:r>
          </w:p>
        </w:tc>
      </w:tr>
      <w:tr w:rsidR="00EE2A9A" w:rsidRPr="00D16907" w:rsidTr="009B7A30">
        <w:trPr>
          <w:trHeight w:val="300"/>
        </w:trPr>
        <w:tc>
          <w:tcPr>
            <w:tcW w:w="915" w:type="dxa"/>
            <w:vMerge/>
            <w:tcBorders>
              <w:top w:val="nil"/>
              <w:left w:val="nil"/>
              <w:bottom w:val="nil"/>
              <w:right w:val="nil"/>
            </w:tcBorders>
            <w:vAlign w:val="center"/>
            <w:hideMark/>
          </w:tcPr>
          <w:p w:rsidR="00EE2A9A" w:rsidRPr="00D16907" w:rsidRDefault="00EE2A9A" w:rsidP="009B7A30">
            <w:pPr>
              <w:rPr>
                <w:b/>
                <w:bCs/>
                <w:color w:val="000000"/>
                <w:sz w:val="22"/>
                <w:szCs w:val="22"/>
              </w:rPr>
            </w:pPr>
          </w:p>
        </w:tc>
        <w:tc>
          <w:tcPr>
            <w:tcW w:w="1785" w:type="dxa"/>
            <w:vMerge/>
            <w:tcBorders>
              <w:top w:val="nil"/>
              <w:left w:val="nil"/>
              <w:bottom w:val="nil"/>
              <w:right w:val="nil"/>
            </w:tcBorders>
            <w:vAlign w:val="center"/>
            <w:hideMark/>
          </w:tcPr>
          <w:p w:rsidR="00EE2A9A" w:rsidRPr="00D16907" w:rsidRDefault="00EE2A9A" w:rsidP="009B7A30">
            <w:pPr>
              <w:rPr>
                <w:b/>
                <w:bCs/>
                <w:color w:val="000000"/>
                <w:sz w:val="22"/>
                <w:szCs w:val="22"/>
              </w:rPr>
            </w:pPr>
          </w:p>
        </w:tc>
        <w:tc>
          <w:tcPr>
            <w:tcW w:w="4400" w:type="dxa"/>
            <w:tcBorders>
              <w:top w:val="nil"/>
              <w:left w:val="nil"/>
              <w:bottom w:val="nil"/>
              <w:right w:val="nil"/>
            </w:tcBorders>
            <w:shd w:val="clear" w:color="auto" w:fill="auto"/>
            <w:noWrap/>
            <w:vAlign w:val="center"/>
            <w:hideMark/>
          </w:tcPr>
          <w:p w:rsidR="00EE2A9A" w:rsidRPr="00D16907" w:rsidRDefault="00EE2A9A" w:rsidP="009B7A30">
            <w:pPr>
              <w:rPr>
                <w:color w:val="000000"/>
                <w:sz w:val="22"/>
                <w:szCs w:val="22"/>
              </w:rPr>
            </w:pPr>
            <w:r w:rsidRPr="00D16907">
              <w:rPr>
                <w:color w:val="000000"/>
                <w:sz w:val="22"/>
                <w:szCs w:val="22"/>
              </w:rPr>
              <w:t>LEADS Head Start</w:t>
            </w:r>
          </w:p>
        </w:tc>
        <w:tc>
          <w:tcPr>
            <w:tcW w:w="1740" w:type="dxa"/>
            <w:tcBorders>
              <w:top w:val="nil"/>
              <w:left w:val="nil"/>
              <w:bottom w:val="nil"/>
              <w:right w:val="nil"/>
            </w:tcBorders>
            <w:shd w:val="clear" w:color="auto" w:fill="auto"/>
            <w:noWrap/>
            <w:vAlign w:val="center"/>
            <w:hideMark/>
          </w:tcPr>
          <w:p w:rsidR="00EE2A9A" w:rsidRPr="00D16907" w:rsidRDefault="00EE2A9A" w:rsidP="009B7A30">
            <w:pPr>
              <w:rPr>
                <w:color w:val="000000"/>
                <w:sz w:val="22"/>
                <w:szCs w:val="22"/>
              </w:rPr>
            </w:pPr>
            <w:r w:rsidRPr="00D16907">
              <w:rPr>
                <w:color w:val="000000"/>
                <w:sz w:val="22"/>
                <w:szCs w:val="22"/>
              </w:rPr>
              <w:t>Newark, OH</w:t>
            </w:r>
          </w:p>
        </w:tc>
        <w:tc>
          <w:tcPr>
            <w:tcW w:w="1540" w:type="dxa"/>
            <w:tcBorders>
              <w:top w:val="nil"/>
              <w:left w:val="nil"/>
              <w:bottom w:val="nil"/>
              <w:right w:val="nil"/>
            </w:tcBorders>
            <w:shd w:val="clear" w:color="auto" w:fill="auto"/>
            <w:noWrap/>
            <w:vAlign w:val="center"/>
            <w:hideMark/>
          </w:tcPr>
          <w:p w:rsidR="00EE2A9A" w:rsidRPr="00D16907" w:rsidRDefault="00EE2A9A" w:rsidP="009B7A30">
            <w:pPr>
              <w:jc w:val="center"/>
              <w:rPr>
                <w:color w:val="000000"/>
                <w:sz w:val="22"/>
                <w:szCs w:val="22"/>
              </w:rPr>
            </w:pPr>
            <w:r w:rsidRPr="00D16907">
              <w:rPr>
                <w:color w:val="000000"/>
                <w:sz w:val="22"/>
                <w:szCs w:val="22"/>
              </w:rPr>
              <w:t xml:space="preserve">$15 </w:t>
            </w:r>
          </w:p>
        </w:tc>
        <w:tc>
          <w:tcPr>
            <w:tcW w:w="1540" w:type="dxa"/>
            <w:tcBorders>
              <w:top w:val="nil"/>
              <w:left w:val="nil"/>
              <w:bottom w:val="nil"/>
              <w:right w:val="nil"/>
            </w:tcBorders>
            <w:shd w:val="clear" w:color="auto" w:fill="auto"/>
            <w:noWrap/>
            <w:vAlign w:val="center"/>
            <w:hideMark/>
          </w:tcPr>
          <w:p w:rsidR="00EE2A9A" w:rsidRPr="00D16907" w:rsidRDefault="00EE2A9A" w:rsidP="009B7A30">
            <w:pPr>
              <w:jc w:val="center"/>
              <w:rPr>
                <w:color w:val="000000"/>
                <w:sz w:val="22"/>
                <w:szCs w:val="22"/>
              </w:rPr>
            </w:pPr>
            <w:r w:rsidRPr="00D16907">
              <w:rPr>
                <w:color w:val="000000"/>
                <w:sz w:val="22"/>
                <w:szCs w:val="22"/>
              </w:rPr>
              <w:t xml:space="preserve">$15 </w:t>
            </w:r>
          </w:p>
        </w:tc>
        <w:tc>
          <w:tcPr>
            <w:tcW w:w="960" w:type="dxa"/>
            <w:tcBorders>
              <w:top w:val="nil"/>
              <w:left w:val="nil"/>
              <w:bottom w:val="nil"/>
              <w:right w:val="nil"/>
            </w:tcBorders>
            <w:shd w:val="clear" w:color="auto" w:fill="auto"/>
            <w:noWrap/>
            <w:vAlign w:val="bottom"/>
            <w:hideMark/>
          </w:tcPr>
          <w:p w:rsidR="00EE2A9A" w:rsidRPr="00D16907" w:rsidRDefault="00EE2A9A" w:rsidP="009B7A30">
            <w:pPr>
              <w:jc w:val="center"/>
              <w:rPr>
                <w:color w:val="000000"/>
                <w:sz w:val="22"/>
                <w:szCs w:val="22"/>
              </w:rPr>
            </w:pPr>
            <w:r w:rsidRPr="00D16907">
              <w:rPr>
                <w:color w:val="000000"/>
                <w:sz w:val="22"/>
                <w:szCs w:val="22"/>
              </w:rPr>
              <w:t xml:space="preserve">$30 </w:t>
            </w:r>
          </w:p>
        </w:tc>
      </w:tr>
      <w:tr w:rsidR="00EE2A9A" w:rsidRPr="00D16907" w:rsidTr="009B7A30">
        <w:trPr>
          <w:trHeight w:val="300"/>
        </w:trPr>
        <w:tc>
          <w:tcPr>
            <w:tcW w:w="915" w:type="dxa"/>
            <w:vMerge/>
            <w:tcBorders>
              <w:top w:val="nil"/>
              <w:left w:val="nil"/>
              <w:bottom w:val="nil"/>
              <w:right w:val="nil"/>
            </w:tcBorders>
            <w:vAlign w:val="center"/>
            <w:hideMark/>
          </w:tcPr>
          <w:p w:rsidR="00EE2A9A" w:rsidRPr="00D16907" w:rsidRDefault="00EE2A9A" w:rsidP="009B7A30">
            <w:pPr>
              <w:rPr>
                <w:b/>
                <w:bCs/>
                <w:color w:val="000000"/>
                <w:sz w:val="22"/>
                <w:szCs w:val="22"/>
              </w:rPr>
            </w:pPr>
          </w:p>
        </w:tc>
        <w:tc>
          <w:tcPr>
            <w:tcW w:w="1785" w:type="dxa"/>
            <w:vMerge/>
            <w:tcBorders>
              <w:top w:val="nil"/>
              <w:left w:val="nil"/>
              <w:bottom w:val="nil"/>
              <w:right w:val="nil"/>
            </w:tcBorders>
            <w:vAlign w:val="center"/>
            <w:hideMark/>
          </w:tcPr>
          <w:p w:rsidR="00EE2A9A" w:rsidRPr="00D16907" w:rsidRDefault="00EE2A9A" w:rsidP="009B7A30">
            <w:pPr>
              <w:rPr>
                <w:b/>
                <w:bCs/>
                <w:color w:val="000000"/>
                <w:sz w:val="22"/>
                <w:szCs w:val="22"/>
              </w:rPr>
            </w:pPr>
          </w:p>
        </w:tc>
        <w:tc>
          <w:tcPr>
            <w:tcW w:w="4400" w:type="dxa"/>
            <w:tcBorders>
              <w:top w:val="nil"/>
              <w:left w:val="nil"/>
              <w:bottom w:val="single" w:sz="4" w:space="0" w:color="auto"/>
              <w:right w:val="nil"/>
            </w:tcBorders>
            <w:shd w:val="clear" w:color="auto" w:fill="auto"/>
            <w:noWrap/>
            <w:vAlign w:val="center"/>
            <w:hideMark/>
          </w:tcPr>
          <w:p w:rsidR="00EE2A9A" w:rsidRPr="00D16907" w:rsidRDefault="00EE2A9A" w:rsidP="009B7A30">
            <w:pPr>
              <w:rPr>
                <w:color w:val="000000"/>
                <w:sz w:val="22"/>
                <w:szCs w:val="22"/>
              </w:rPr>
            </w:pPr>
            <w:r w:rsidRPr="00D16907">
              <w:rPr>
                <w:color w:val="000000"/>
                <w:sz w:val="22"/>
                <w:szCs w:val="22"/>
              </w:rPr>
              <w:t>WSOS Community Action Commission, Inc.</w:t>
            </w:r>
          </w:p>
        </w:tc>
        <w:tc>
          <w:tcPr>
            <w:tcW w:w="1740" w:type="dxa"/>
            <w:tcBorders>
              <w:top w:val="nil"/>
              <w:left w:val="nil"/>
              <w:bottom w:val="single" w:sz="4" w:space="0" w:color="auto"/>
              <w:right w:val="nil"/>
            </w:tcBorders>
            <w:shd w:val="clear" w:color="auto" w:fill="auto"/>
            <w:noWrap/>
            <w:vAlign w:val="center"/>
            <w:hideMark/>
          </w:tcPr>
          <w:p w:rsidR="00EE2A9A" w:rsidRPr="00D16907" w:rsidRDefault="00EE2A9A" w:rsidP="009B7A30">
            <w:pPr>
              <w:rPr>
                <w:color w:val="000000"/>
                <w:sz w:val="22"/>
                <w:szCs w:val="22"/>
              </w:rPr>
            </w:pPr>
            <w:r w:rsidRPr="00D16907">
              <w:rPr>
                <w:color w:val="000000"/>
                <w:sz w:val="22"/>
                <w:szCs w:val="22"/>
              </w:rPr>
              <w:t>Fremont, OH*</w:t>
            </w:r>
          </w:p>
        </w:tc>
        <w:tc>
          <w:tcPr>
            <w:tcW w:w="1540" w:type="dxa"/>
            <w:tcBorders>
              <w:top w:val="nil"/>
              <w:left w:val="nil"/>
              <w:bottom w:val="single" w:sz="4" w:space="0" w:color="auto"/>
              <w:right w:val="nil"/>
            </w:tcBorders>
            <w:shd w:val="clear" w:color="auto" w:fill="auto"/>
            <w:noWrap/>
            <w:vAlign w:val="center"/>
            <w:hideMark/>
          </w:tcPr>
          <w:p w:rsidR="00EE2A9A" w:rsidRPr="00D16907" w:rsidRDefault="00EE2A9A" w:rsidP="009B7A30">
            <w:pPr>
              <w:jc w:val="center"/>
              <w:rPr>
                <w:color w:val="000000"/>
                <w:sz w:val="22"/>
                <w:szCs w:val="22"/>
              </w:rPr>
            </w:pPr>
            <w:r w:rsidRPr="00D16907">
              <w:rPr>
                <w:color w:val="000000"/>
                <w:sz w:val="22"/>
                <w:szCs w:val="22"/>
              </w:rPr>
              <w:t xml:space="preserve">$15 </w:t>
            </w:r>
          </w:p>
        </w:tc>
        <w:tc>
          <w:tcPr>
            <w:tcW w:w="1540" w:type="dxa"/>
            <w:tcBorders>
              <w:top w:val="nil"/>
              <w:left w:val="nil"/>
              <w:bottom w:val="single" w:sz="4" w:space="0" w:color="auto"/>
              <w:right w:val="nil"/>
            </w:tcBorders>
            <w:shd w:val="clear" w:color="auto" w:fill="auto"/>
            <w:noWrap/>
            <w:vAlign w:val="center"/>
            <w:hideMark/>
          </w:tcPr>
          <w:p w:rsidR="00EE2A9A" w:rsidRPr="00D16907" w:rsidRDefault="00EE2A9A" w:rsidP="009B7A30">
            <w:pPr>
              <w:jc w:val="center"/>
              <w:rPr>
                <w:color w:val="000000"/>
                <w:sz w:val="22"/>
                <w:szCs w:val="22"/>
              </w:rPr>
            </w:pPr>
            <w:r w:rsidRPr="00D16907">
              <w:rPr>
                <w:color w:val="000000"/>
                <w:sz w:val="22"/>
                <w:szCs w:val="22"/>
              </w:rPr>
              <w:t xml:space="preserve">$15 </w:t>
            </w:r>
          </w:p>
        </w:tc>
        <w:tc>
          <w:tcPr>
            <w:tcW w:w="960" w:type="dxa"/>
            <w:tcBorders>
              <w:top w:val="nil"/>
              <w:left w:val="nil"/>
              <w:bottom w:val="single" w:sz="4" w:space="0" w:color="auto"/>
              <w:right w:val="nil"/>
            </w:tcBorders>
            <w:shd w:val="clear" w:color="auto" w:fill="auto"/>
            <w:noWrap/>
            <w:vAlign w:val="bottom"/>
            <w:hideMark/>
          </w:tcPr>
          <w:p w:rsidR="00EE2A9A" w:rsidRPr="00D16907" w:rsidRDefault="00EE2A9A" w:rsidP="009B7A30">
            <w:pPr>
              <w:jc w:val="center"/>
              <w:rPr>
                <w:color w:val="000000"/>
                <w:sz w:val="22"/>
                <w:szCs w:val="22"/>
              </w:rPr>
            </w:pPr>
            <w:r w:rsidRPr="00D16907">
              <w:rPr>
                <w:color w:val="000000"/>
                <w:sz w:val="22"/>
                <w:szCs w:val="22"/>
              </w:rPr>
              <w:t xml:space="preserve">$30 </w:t>
            </w:r>
          </w:p>
        </w:tc>
      </w:tr>
      <w:tr w:rsidR="00EE2A9A" w:rsidRPr="00D16907" w:rsidTr="009B7A30">
        <w:trPr>
          <w:trHeight w:val="300"/>
        </w:trPr>
        <w:tc>
          <w:tcPr>
            <w:tcW w:w="915" w:type="dxa"/>
            <w:vMerge w:val="restart"/>
            <w:tcBorders>
              <w:top w:val="single" w:sz="4" w:space="0" w:color="auto"/>
              <w:left w:val="nil"/>
              <w:bottom w:val="single" w:sz="4" w:space="0" w:color="000000"/>
              <w:right w:val="nil"/>
            </w:tcBorders>
            <w:shd w:val="clear" w:color="auto" w:fill="auto"/>
            <w:noWrap/>
            <w:vAlign w:val="center"/>
            <w:hideMark/>
          </w:tcPr>
          <w:p w:rsidR="00EE2A9A" w:rsidRPr="00D16907" w:rsidRDefault="00EE2A9A" w:rsidP="009B7A30">
            <w:pPr>
              <w:jc w:val="center"/>
              <w:rPr>
                <w:b/>
                <w:bCs/>
                <w:color w:val="000000"/>
                <w:sz w:val="22"/>
                <w:szCs w:val="22"/>
              </w:rPr>
            </w:pPr>
            <w:r w:rsidRPr="00D16907">
              <w:rPr>
                <w:b/>
                <w:bCs/>
                <w:color w:val="000000"/>
                <w:sz w:val="22"/>
                <w:szCs w:val="22"/>
              </w:rPr>
              <w:t>10</w:t>
            </w:r>
          </w:p>
        </w:tc>
        <w:tc>
          <w:tcPr>
            <w:tcW w:w="1785" w:type="dxa"/>
            <w:vMerge w:val="restart"/>
            <w:tcBorders>
              <w:top w:val="single" w:sz="4" w:space="0" w:color="auto"/>
              <w:left w:val="nil"/>
              <w:bottom w:val="single" w:sz="4" w:space="0" w:color="000000"/>
              <w:right w:val="nil"/>
            </w:tcBorders>
            <w:shd w:val="clear" w:color="auto" w:fill="auto"/>
            <w:noWrap/>
            <w:vAlign w:val="center"/>
            <w:hideMark/>
          </w:tcPr>
          <w:p w:rsidR="00EE2A9A" w:rsidRPr="00D16907" w:rsidRDefault="00EE2A9A" w:rsidP="009B7A30">
            <w:pPr>
              <w:rPr>
                <w:b/>
                <w:bCs/>
                <w:color w:val="000000"/>
                <w:sz w:val="22"/>
                <w:szCs w:val="22"/>
              </w:rPr>
            </w:pPr>
            <w:r w:rsidRPr="00D16907">
              <w:rPr>
                <w:b/>
                <w:bCs/>
                <w:color w:val="000000"/>
                <w:sz w:val="22"/>
                <w:szCs w:val="22"/>
              </w:rPr>
              <w:t>Bay Area, CA</w:t>
            </w:r>
          </w:p>
        </w:tc>
        <w:tc>
          <w:tcPr>
            <w:tcW w:w="4400" w:type="dxa"/>
            <w:tcBorders>
              <w:top w:val="nil"/>
              <w:left w:val="nil"/>
              <w:bottom w:val="nil"/>
              <w:right w:val="nil"/>
            </w:tcBorders>
            <w:shd w:val="clear" w:color="auto" w:fill="auto"/>
            <w:noWrap/>
            <w:vAlign w:val="center"/>
            <w:hideMark/>
          </w:tcPr>
          <w:p w:rsidR="00EE2A9A" w:rsidRPr="00D16907" w:rsidRDefault="00EE2A9A" w:rsidP="009B7A30">
            <w:pPr>
              <w:rPr>
                <w:color w:val="000000"/>
                <w:sz w:val="22"/>
                <w:szCs w:val="22"/>
              </w:rPr>
            </w:pPr>
            <w:r w:rsidRPr="00D16907">
              <w:rPr>
                <w:color w:val="000000"/>
                <w:sz w:val="22"/>
                <w:szCs w:val="22"/>
              </w:rPr>
              <w:t>Santa Clara County Office of Education</w:t>
            </w:r>
          </w:p>
        </w:tc>
        <w:tc>
          <w:tcPr>
            <w:tcW w:w="1740" w:type="dxa"/>
            <w:tcBorders>
              <w:top w:val="nil"/>
              <w:left w:val="nil"/>
              <w:bottom w:val="nil"/>
              <w:right w:val="nil"/>
            </w:tcBorders>
            <w:shd w:val="clear" w:color="auto" w:fill="auto"/>
            <w:noWrap/>
            <w:vAlign w:val="center"/>
            <w:hideMark/>
          </w:tcPr>
          <w:p w:rsidR="00EE2A9A" w:rsidRPr="00D16907" w:rsidRDefault="00EE2A9A" w:rsidP="009B7A30">
            <w:pPr>
              <w:rPr>
                <w:color w:val="000000"/>
                <w:sz w:val="22"/>
                <w:szCs w:val="22"/>
              </w:rPr>
            </w:pPr>
            <w:r w:rsidRPr="00D16907">
              <w:rPr>
                <w:color w:val="000000"/>
                <w:sz w:val="22"/>
                <w:szCs w:val="22"/>
              </w:rPr>
              <w:t>San Jose, CA</w:t>
            </w:r>
          </w:p>
        </w:tc>
        <w:tc>
          <w:tcPr>
            <w:tcW w:w="1540" w:type="dxa"/>
            <w:tcBorders>
              <w:top w:val="nil"/>
              <w:left w:val="nil"/>
              <w:bottom w:val="nil"/>
              <w:right w:val="nil"/>
            </w:tcBorders>
            <w:shd w:val="clear" w:color="auto" w:fill="auto"/>
            <w:noWrap/>
            <w:vAlign w:val="center"/>
            <w:hideMark/>
          </w:tcPr>
          <w:p w:rsidR="00EE2A9A" w:rsidRPr="00D16907" w:rsidRDefault="00EE2A9A" w:rsidP="009B7A30">
            <w:pPr>
              <w:jc w:val="center"/>
              <w:rPr>
                <w:color w:val="000000"/>
                <w:sz w:val="22"/>
                <w:szCs w:val="22"/>
              </w:rPr>
            </w:pPr>
            <w:r w:rsidRPr="00D16907">
              <w:rPr>
                <w:color w:val="000000"/>
                <w:sz w:val="22"/>
                <w:szCs w:val="22"/>
              </w:rPr>
              <w:t xml:space="preserve">$10 </w:t>
            </w:r>
          </w:p>
        </w:tc>
        <w:tc>
          <w:tcPr>
            <w:tcW w:w="1540" w:type="dxa"/>
            <w:tcBorders>
              <w:top w:val="nil"/>
              <w:left w:val="nil"/>
              <w:bottom w:val="nil"/>
              <w:right w:val="nil"/>
            </w:tcBorders>
            <w:shd w:val="clear" w:color="auto" w:fill="auto"/>
            <w:noWrap/>
            <w:vAlign w:val="center"/>
            <w:hideMark/>
          </w:tcPr>
          <w:p w:rsidR="00EE2A9A" w:rsidRPr="00D16907" w:rsidRDefault="00EE2A9A" w:rsidP="009B7A30">
            <w:pPr>
              <w:jc w:val="center"/>
              <w:rPr>
                <w:color w:val="000000"/>
                <w:sz w:val="22"/>
                <w:szCs w:val="22"/>
              </w:rPr>
            </w:pPr>
            <w:r w:rsidRPr="00D16907">
              <w:rPr>
                <w:color w:val="000000"/>
                <w:sz w:val="22"/>
                <w:szCs w:val="22"/>
              </w:rPr>
              <w:t xml:space="preserve">$20 </w:t>
            </w:r>
          </w:p>
        </w:tc>
        <w:tc>
          <w:tcPr>
            <w:tcW w:w="960" w:type="dxa"/>
            <w:tcBorders>
              <w:top w:val="nil"/>
              <w:left w:val="nil"/>
              <w:bottom w:val="nil"/>
              <w:right w:val="nil"/>
            </w:tcBorders>
            <w:shd w:val="clear" w:color="auto" w:fill="auto"/>
            <w:noWrap/>
            <w:vAlign w:val="bottom"/>
            <w:hideMark/>
          </w:tcPr>
          <w:p w:rsidR="00EE2A9A" w:rsidRPr="00D16907" w:rsidRDefault="00EE2A9A" w:rsidP="009B7A30">
            <w:pPr>
              <w:jc w:val="center"/>
              <w:rPr>
                <w:color w:val="000000"/>
                <w:sz w:val="22"/>
                <w:szCs w:val="22"/>
              </w:rPr>
            </w:pPr>
            <w:r w:rsidRPr="00D16907">
              <w:rPr>
                <w:color w:val="000000"/>
                <w:sz w:val="22"/>
                <w:szCs w:val="22"/>
              </w:rPr>
              <w:t xml:space="preserve">$30 </w:t>
            </w:r>
          </w:p>
        </w:tc>
      </w:tr>
      <w:tr w:rsidR="00EE2A9A" w:rsidRPr="00D16907" w:rsidTr="009B7A30">
        <w:trPr>
          <w:trHeight w:val="300"/>
        </w:trPr>
        <w:tc>
          <w:tcPr>
            <w:tcW w:w="915" w:type="dxa"/>
            <w:vMerge/>
            <w:tcBorders>
              <w:top w:val="single" w:sz="4" w:space="0" w:color="auto"/>
              <w:left w:val="nil"/>
              <w:bottom w:val="single" w:sz="4" w:space="0" w:color="000000"/>
              <w:right w:val="nil"/>
            </w:tcBorders>
            <w:vAlign w:val="center"/>
            <w:hideMark/>
          </w:tcPr>
          <w:p w:rsidR="00EE2A9A" w:rsidRPr="00D16907" w:rsidRDefault="00EE2A9A" w:rsidP="009B7A30">
            <w:pPr>
              <w:rPr>
                <w:b/>
                <w:bCs/>
                <w:color w:val="000000"/>
                <w:sz w:val="22"/>
                <w:szCs w:val="22"/>
              </w:rPr>
            </w:pPr>
          </w:p>
        </w:tc>
        <w:tc>
          <w:tcPr>
            <w:tcW w:w="1785" w:type="dxa"/>
            <w:vMerge/>
            <w:tcBorders>
              <w:top w:val="single" w:sz="4" w:space="0" w:color="auto"/>
              <w:left w:val="nil"/>
              <w:bottom w:val="single" w:sz="4" w:space="0" w:color="000000"/>
              <w:right w:val="nil"/>
            </w:tcBorders>
            <w:vAlign w:val="center"/>
            <w:hideMark/>
          </w:tcPr>
          <w:p w:rsidR="00EE2A9A" w:rsidRPr="00D16907" w:rsidRDefault="00EE2A9A" w:rsidP="009B7A30">
            <w:pPr>
              <w:rPr>
                <w:b/>
                <w:bCs/>
                <w:color w:val="000000"/>
                <w:sz w:val="22"/>
                <w:szCs w:val="22"/>
              </w:rPr>
            </w:pPr>
          </w:p>
        </w:tc>
        <w:tc>
          <w:tcPr>
            <w:tcW w:w="4400" w:type="dxa"/>
            <w:tcBorders>
              <w:top w:val="nil"/>
              <w:left w:val="nil"/>
              <w:bottom w:val="single" w:sz="4" w:space="0" w:color="auto"/>
              <w:right w:val="nil"/>
            </w:tcBorders>
            <w:shd w:val="clear" w:color="auto" w:fill="auto"/>
            <w:noWrap/>
            <w:vAlign w:val="center"/>
            <w:hideMark/>
          </w:tcPr>
          <w:p w:rsidR="00EE2A9A" w:rsidRPr="00D16907" w:rsidRDefault="00EE2A9A" w:rsidP="009B7A30">
            <w:pPr>
              <w:rPr>
                <w:color w:val="000000"/>
                <w:sz w:val="22"/>
                <w:szCs w:val="22"/>
              </w:rPr>
            </w:pPr>
            <w:r w:rsidRPr="00D16907">
              <w:rPr>
                <w:color w:val="000000"/>
                <w:sz w:val="22"/>
                <w:szCs w:val="22"/>
              </w:rPr>
              <w:t>Berkeley-Albany YMCA Head Start </w:t>
            </w:r>
          </w:p>
        </w:tc>
        <w:tc>
          <w:tcPr>
            <w:tcW w:w="1740" w:type="dxa"/>
            <w:tcBorders>
              <w:top w:val="nil"/>
              <w:left w:val="nil"/>
              <w:bottom w:val="single" w:sz="4" w:space="0" w:color="auto"/>
              <w:right w:val="nil"/>
            </w:tcBorders>
            <w:shd w:val="clear" w:color="auto" w:fill="auto"/>
            <w:noWrap/>
            <w:vAlign w:val="center"/>
            <w:hideMark/>
          </w:tcPr>
          <w:p w:rsidR="00EE2A9A" w:rsidRPr="00D16907" w:rsidRDefault="00EE2A9A" w:rsidP="009B7A30">
            <w:pPr>
              <w:rPr>
                <w:color w:val="000000"/>
                <w:sz w:val="22"/>
                <w:szCs w:val="22"/>
              </w:rPr>
            </w:pPr>
            <w:r w:rsidRPr="00D16907">
              <w:rPr>
                <w:color w:val="000000"/>
                <w:sz w:val="22"/>
                <w:szCs w:val="22"/>
              </w:rPr>
              <w:t>Berkeley, CA</w:t>
            </w:r>
          </w:p>
        </w:tc>
        <w:tc>
          <w:tcPr>
            <w:tcW w:w="1540" w:type="dxa"/>
            <w:tcBorders>
              <w:top w:val="nil"/>
              <w:left w:val="nil"/>
              <w:bottom w:val="single" w:sz="4" w:space="0" w:color="auto"/>
              <w:right w:val="nil"/>
            </w:tcBorders>
            <w:shd w:val="clear" w:color="auto" w:fill="auto"/>
            <w:noWrap/>
            <w:vAlign w:val="center"/>
            <w:hideMark/>
          </w:tcPr>
          <w:p w:rsidR="00EE2A9A" w:rsidRPr="00D16907" w:rsidRDefault="00EE2A9A" w:rsidP="009B7A30">
            <w:pPr>
              <w:jc w:val="center"/>
              <w:rPr>
                <w:color w:val="000000"/>
                <w:sz w:val="22"/>
                <w:szCs w:val="22"/>
              </w:rPr>
            </w:pPr>
            <w:r w:rsidRPr="00D16907">
              <w:rPr>
                <w:color w:val="000000"/>
                <w:sz w:val="22"/>
                <w:szCs w:val="22"/>
              </w:rPr>
              <w:t xml:space="preserve">$10 </w:t>
            </w:r>
          </w:p>
        </w:tc>
        <w:tc>
          <w:tcPr>
            <w:tcW w:w="1540" w:type="dxa"/>
            <w:tcBorders>
              <w:top w:val="nil"/>
              <w:left w:val="nil"/>
              <w:bottom w:val="single" w:sz="4" w:space="0" w:color="auto"/>
              <w:right w:val="nil"/>
            </w:tcBorders>
            <w:shd w:val="clear" w:color="auto" w:fill="auto"/>
            <w:noWrap/>
            <w:vAlign w:val="center"/>
            <w:hideMark/>
          </w:tcPr>
          <w:p w:rsidR="00EE2A9A" w:rsidRPr="00D16907" w:rsidRDefault="00EE2A9A" w:rsidP="009B7A30">
            <w:pPr>
              <w:jc w:val="center"/>
              <w:rPr>
                <w:color w:val="000000"/>
                <w:sz w:val="22"/>
                <w:szCs w:val="22"/>
              </w:rPr>
            </w:pPr>
            <w:r w:rsidRPr="00D16907">
              <w:rPr>
                <w:color w:val="000000"/>
                <w:sz w:val="22"/>
                <w:szCs w:val="22"/>
              </w:rPr>
              <w:t xml:space="preserve">$20 </w:t>
            </w:r>
          </w:p>
        </w:tc>
        <w:tc>
          <w:tcPr>
            <w:tcW w:w="960" w:type="dxa"/>
            <w:tcBorders>
              <w:top w:val="nil"/>
              <w:left w:val="nil"/>
              <w:bottom w:val="single" w:sz="4" w:space="0" w:color="auto"/>
              <w:right w:val="nil"/>
            </w:tcBorders>
            <w:shd w:val="clear" w:color="auto" w:fill="auto"/>
            <w:noWrap/>
            <w:vAlign w:val="bottom"/>
            <w:hideMark/>
          </w:tcPr>
          <w:p w:rsidR="00EE2A9A" w:rsidRPr="00D16907" w:rsidRDefault="00EE2A9A" w:rsidP="009B7A30">
            <w:pPr>
              <w:jc w:val="center"/>
              <w:rPr>
                <w:color w:val="000000"/>
                <w:sz w:val="22"/>
                <w:szCs w:val="22"/>
              </w:rPr>
            </w:pPr>
            <w:r w:rsidRPr="00D16907">
              <w:rPr>
                <w:color w:val="000000"/>
                <w:sz w:val="22"/>
                <w:szCs w:val="22"/>
              </w:rPr>
              <w:t xml:space="preserve">$30 </w:t>
            </w:r>
          </w:p>
        </w:tc>
      </w:tr>
      <w:tr w:rsidR="00EE2A9A" w:rsidRPr="00D16907" w:rsidTr="009B7A30">
        <w:trPr>
          <w:trHeight w:val="300"/>
        </w:trPr>
        <w:tc>
          <w:tcPr>
            <w:tcW w:w="915" w:type="dxa"/>
            <w:tcBorders>
              <w:top w:val="nil"/>
              <w:left w:val="nil"/>
              <w:bottom w:val="single" w:sz="4" w:space="0" w:color="auto"/>
              <w:right w:val="nil"/>
            </w:tcBorders>
            <w:shd w:val="clear" w:color="auto" w:fill="auto"/>
            <w:noWrap/>
            <w:vAlign w:val="bottom"/>
            <w:hideMark/>
          </w:tcPr>
          <w:p w:rsidR="00EE2A9A" w:rsidRPr="00D16907" w:rsidRDefault="00EE2A9A" w:rsidP="009B7A30">
            <w:pPr>
              <w:jc w:val="center"/>
              <w:rPr>
                <w:b/>
                <w:bCs/>
                <w:sz w:val="22"/>
                <w:szCs w:val="22"/>
              </w:rPr>
            </w:pPr>
            <w:r w:rsidRPr="00D16907">
              <w:rPr>
                <w:b/>
                <w:bCs/>
                <w:sz w:val="22"/>
                <w:szCs w:val="22"/>
              </w:rPr>
              <w:t>11</w:t>
            </w:r>
          </w:p>
        </w:tc>
        <w:tc>
          <w:tcPr>
            <w:tcW w:w="1785" w:type="dxa"/>
            <w:tcBorders>
              <w:top w:val="nil"/>
              <w:left w:val="nil"/>
              <w:bottom w:val="single" w:sz="4" w:space="0" w:color="auto"/>
              <w:right w:val="nil"/>
            </w:tcBorders>
            <w:shd w:val="clear" w:color="auto" w:fill="auto"/>
            <w:noWrap/>
            <w:vAlign w:val="center"/>
            <w:hideMark/>
          </w:tcPr>
          <w:p w:rsidR="00EE2A9A" w:rsidRPr="00D16907" w:rsidRDefault="00EE2A9A" w:rsidP="009B7A30">
            <w:pPr>
              <w:rPr>
                <w:b/>
                <w:bCs/>
                <w:sz w:val="22"/>
                <w:szCs w:val="22"/>
              </w:rPr>
            </w:pPr>
            <w:r w:rsidRPr="00D16907">
              <w:rPr>
                <w:b/>
                <w:bCs/>
                <w:sz w:val="22"/>
                <w:szCs w:val="22"/>
              </w:rPr>
              <w:t>Los Angeles, CA</w:t>
            </w:r>
          </w:p>
        </w:tc>
        <w:tc>
          <w:tcPr>
            <w:tcW w:w="4400" w:type="dxa"/>
            <w:tcBorders>
              <w:top w:val="nil"/>
              <w:left w:val="nil"/>
              <w:bottom w:val="single" w:sz="4" w:space="0" w:color="auto"/>
              <w:right w:val="nil"/>
            </w:tcBorders>
            <w:shd w:val="clear" w:color="auto" w:fill="auto"/>
            <w:noWrap/>
            <w:vAlign w:val="center"/>
            <w:hideMark/>
          </w:tcPr>
          <w:p w:rsidR="00EE2A9A" w:rsidRPr="00D16907" w:rsidRDefault="00EE2A9A" w:rsidP="009B7A30">
            <w:pPr>
              <w:rPr>
                <w:sz w:val="22"/>
                <w:szCs w:val="22"/>
              </w:rPr>
            </w:pPr>
            <w:r w:rsidRPr="00D16907">
              <w:rPr>
                <w:sz w:val="22"/>
                <w:szCs w:val="22"/>
              </w:rPr>
              <w:t>Pacific Asian Consortium In Employment </w:t>
            </w:r>
          </w:p>
        </w:tc>
        <w:tc>
          <w:tcPr>
            <w:tcW w:w="1740" w:type="dxa"/>
            <w:tcBorders>
              <w:top w:val="nil"/>
              <w:left w:val="nil"/>
              <w:bottom w:val="single" w:sz="4" w:space="0" w:color="auto"/>
              <w:right w:val="nil"/>
            </w:tcBorders>
            <w:shd w:val="clear" w:color="auto" w:fill="auto"/>
            <w:noWrap/>
            <w:vAlign w:val="center"/>
            <w:hideMark/>
          </w:tcPr>
          <w:p w:rsidR="00EE2A9A" w:rsidRPr="00D16907" w:rsidRDefault="00EE2A9A" w:rsidP="009B7A30">
            <w:pPr>
              <w:rPr>
                <w:sz w:val="22"/>
                <w:szCs w:val="22"/>
              </w:rPr>
            </w:pPr>
            <w:r w:rsidRPr="00D16907">
              <w:rPr>
                <w:sz w:val="22"/>
                <w:szCs w:val="22"/>
              </w:rPr>
              <w:t>Los Angeles, CA</w:t>
            </w:r>
          </w:p>
        </w:tc>
        <w:tc>
          <w:tcPr>
            <w:tcW w:w="1540" w:type="dxa"/>
            <w:tcBorders>
              <w:top w:val="nil"/>
              <w:left w:val="nil"/>
              <w:bottom w:val="single" w:sz="4" w:space="0" w:color="auto"/>
              <w:right w:val="nil"/>
            </w:tcBorders>
            <w:shd w:val="clear" w:color="auto" w:fill="auto"/>
            <w:noWrap/>
            <w:vAlign w:val="center"/>
            <w:hideMark/>
          </w:tcPr>
          <w:p w:rsidR="00EE2A9A" w:rsidRPr="00D16907" w:rsidRDefault="00EE2A9A" w:rsidP="009B7A30">
            <w:pPr>
              <w:jc w:val="center"/>
              <w:rPr>
                <w:sz w:val="22"/>
                <w:szCs w:val="22"/>
              </w:rPr>
            </w:pPr>
            <w:r w:rsidRPr="00D16907">
              <w:rPr>
                <w:sz w:val="22"/>
                <w:szCs w:val="22"/>
              </w:rPr>
              <w:t xml:space="preserve">$15 </w:t>
            </w:r>
          </w:p>
        </w:tc>
        <w:tc>
          <w:tcPr>
            <w:tcW w:w="1540" w:type="dxa"/>
            <w:tcBorders>
              <w:top w:val="nil"/>
              <w:left w:val="nil"/>
              <w:bottom w:val="single" w:sz="4" w:space="0" w:color="auto"/>
              <w:right w:val="nil"/>
            </w:tcBorders>
            <w:shd w:val="clear" w:color="auto" w:fill="auto"/>
            <w:noWrap/>
            <w:vAlign w:val="center"/>
            <w:hideMark/>
          </w:tcPr>
          <w:p w:rsidR="00EE2A9A" w:rsidRPr="00D16907" w:rsidRDefault="00EE2A9A" w:rsidP="009B7A30">
            <w:pPr>
              <w:jc w:val="center"/>
              <w:rPr>
                <w:sz w:val="22"/>
                <w:szCs w:val="22"/>
              </w:rPr>
            </w:pPr>
            <w:r w:rsidRPr="00D16907">
              <w:rPr>
                <w:sz w:val="22"/>
                <w:szCs w:val="22"/>
              </w:rPr>
              <w:t xml:space="preserve">$15 </w:t>
            </w:r>
          </w:p>
        </w:tc>
        <w:tc>
          <w:tcPr>
            <w:tcW w:w="960" w:type="dxa"/>
            <w:tcBorders>
              <w:top w:val="nil"/>
              <w:left w:val="nil"/>
              <w:bottom w:val="single" w:sz="4" w:space="0" w:color="auto"/>
              <w:right w:val="nil"/>
            </w:tcBorders>
            <w:shd w:val="clear" w:color="auto" w:fill="auto"/>
            <w:noWrap/>
            <w:vAlign w:val="bottom"/>
            <w:hideMark/>
          </w:tcPr>
          <w:p w:rsidR="00EE2A9A" w:rsidRPr="00D16907" w:rsidRDefault="00EE2A9A" w:rsidP="009B7A30">
            <w:pPr>
              <w:jc w:val="center"/>
              <w:rPr>
                <w:color w:val="000000"/>
                <w:sz w:val="22"/>
                <w:szCs w:val="22"/>
              </w:rPr>
            </w:pPr>
            <w:r w:rsidRPr="00D16907">
              <w:rPr>
                <w:color w:val="000000"/>
                <w:sz w:val="22"/>
                <w:szCs w:val="22"/>
              </w:rPr>
              <w:t xml:space="preserve">$30 </w:t>
            </w:r>
          </w:p>
        </w:tc>
      </w:tr>
      <w:tr w:rsidR="00EE2A9A" w:rsidRPr="00D16907" w:rsidTr="009B7A30">
        <w:trPr>
          <w:trHeight w:val="300"/>
        </w:trPr>
        <w:tc>
          <w:tcPr>
            <w:tcW w:w="915" w:type="dxa"/>
            <w:tcBorders>
              <w:top w:val="nil"/>
              <w:left w:val="nil"/>
              <w:bottom w:val="single" w:sz="4" w:space="0" w:color="auto"/>
              <w:right w:val="nil"/>
            </w:tcBorders>
            <w:shd w:val="clear" w:color="auto" w:fill="auto"/>
            <w:noWrap/>
            <w:vAlign w:val="bottom"/>
            <w:hideMark/>
          </w:tcPr>
          <w:p w:rsidR="00EE2A9A" w:rsidRPr="00D16907" w:rsidRDefault="00EE2A9A" w:rsidP="009B7A30">
            <w:pPr>
              <w:jc w:val="center"/>
              <w:rPr>
                <w:b/>
                <w:bCs/>
                <w:sz w:val="22"/>
                <w:szCs w:val="22"/>
              </w:rPr>
            </w:pPr>
            <w:r w:rsidRPr="00D16907">
              <w:rPr>
                <w:b/>
                <w:bCs/>
                <w:sz w:val="22"/>
                <w:szCs w:val="22"/>
              </w:rPr>
              <w:t>12</w:t>
            </w:r>
          </w:p>
        </w:tc>
        <w:tc>
          <w:tcPr>
            <w:tcW w:w="1785" w:type="dxa"/>
            <w:tcBorders>
              <w:top w:val="nil"/>
              <w:left w:val="nil"/>
              <w:bottom w:val="single" w:sz="4" w:space="0" w:color="auto"/>
              <w:right w:val="nil"/>
            </w:tcBorders>
            <w:shd w:val="clear" w:color="auto" w:fill="auto"/>
            <w:noWrap/>
            <w:vAlign w:val="center"/>
            <w:hideMark/>
          </w:tcPr>
          <w:p w:rsidR="00EE2A9A" w:rsidRPr="00D16907" w:rsidRDefault="00EE2A9A" w:rsidP="009B7A30">
            <w:pPr>
              <w:rPr>
                <w:b/>
                <w:bCs/>
                <w:sz w:val="22"/>
                <w:szCs w:val="22"/>
              </w:rPr>
            </w:pPr>
            <w:r w:rsidRPr="00D16907">
              <w:rPr>
                <w:b/>
                <w:bCs/>
                <w:sz w:val="22"/>
                <w:szCs w:val="22"/>
              </w:rPr>
              <w:t>Denver, CO</w:t>
            </w:r>
          </w:p>
        </w:tc>
        <w:tc>
          <w:tcPr>
            <w:tcW w:w="4400" w:type="dxa"/>
            <w:tcBorders>
              <w:top w:val="nil"/>
              <w:left w:val="nil"/>
              <w:bottom w:val="single" w:sz="4" w:space="0" w:color="auto"/>
              <w:right w:val="nil"/>
            </w:tcBorders>
            <w:shd w:val="clear" w:color="auto" w:fill="auto"/>
            <w:noWrap/>
            <w:vAlign w:val="center"/>
            <w:hideMark/>
          </w:tcPr>
          <w:p w:rsidR="00EE2A9A" w:rsidRPr="00D16907" w:rsidRDefault="00EE2A9A" w:rsidP="009B7A30">
            <w:pPr>
              <w:rPr>
                <w:sz w:val="22"/>
                <w:szCs w:val="22"/>
              </w:rPr>
            </w:pPr>
            <w:r w:rsidRPr="00D16907">
              <w:rPr>
                <w:sz w:val="22"/>
                <w:szCs w:val="22"/>
              </w:rPr>
              <w:t>Rocky Mountain SER Head Start</w:t>
            </w:r>
          </w:p>
        </w:tc>
        <w:tc>
          <w:tcPr>
            <w:tcW w:w="1740" w:type="dxa"/>
            <w:tcBorders>
              <w:top w:val="nil"/>
              <w:left w:val="nil"/>
              <w:bottom w:val="single" w:sz="4" w:space="0" w:color="auto"/>
              <w:right w:val="nil"/>
            </w:tcBorders>
            <w:shd w:val="clear" w:color="auto" w:fill="auto"/>
            <w:noWrap/>
            <w:vAlign w:val="center"/>
            <w:hideMark/>
          </w:tcPr>
          <w:p w:rsidR="00EE2A9A" w:rsidRPr="00D16907" w:rsidRDefault="00EE2A9A" w:rsidP="009B7A30">
            <w:pPr>
              <w:rPr>
                <w:sz w:val="22"/>
                <w:szCs w:val="22"/>
              </w:rPr>
            </w:pPr>
            <w:r w:rsidRPr="00D16907">
              <w:rPr>
                <w:sz w:val="22"/>
                <w:szCs w:val="22"/>
              </w:rPr>
              <w:t>Denver, CO</w:t>
            </w:r>
          </w:p>
        </w:tc>
        <w:tc>
          <w:tcPr>
            <w:tcW w:w="1540" w:type="dxa"/>
            <w:tcBorders>
              <w:top w:val="nil"/>
              <w:left w:val="nil"/>
              <w:bottom w:val="single" w:sz="4" w:space="0" w:color="auto"/>
              <w:right w:val="nil"/>
            </w:tcBorders>
            <w:shd w:val="clear" w:color="auto" w:fill="auto"/>
            <w:noWrap/>
            <w:vAlign w:val="center"/>
            <w:hideMark/>
          </w:tcPr>
          <w:p w:rsidR="00EE2A9A" w:rsidRPr="00D16907" w:rsidRDefault="00EE2A9A" w:rsidP="009B7A30">
            <w:pPr>
              <w:jc w:val="center"/>
              <w:rPr>
                <w:sz w:val="22"/>
                <w:szCs w:val="22"/>
              </w:rPr>
            </w:pPr>
            <w:r w:rsidRPr="00D16907">
              <w:rPr>
                <w:sz w:val="22"/>
                <w:szCs w:val="22"/>
              </w:rPr>
              <w:t xml:space="preserve">$15 </w:t>
            </w:r>
          </w:p>
        </w:tc>
        <w:tc>
          <w:tcPr>
            <w:tcW w:w="1540" w:type="dxa"/>
            <w:tcBorders>
              <w:top w:val="nil"/>
              <w:left w:val="nil"/>
              <w:bottom w:val="single" w:sz="4" w:space="0" w:color="auto"/>
              <w:right w:val="nil"/>
            </w:tcBorders>
            <w:shd w:val="clear" w:color="auto" w:fill="auto"/>
            <w:noWrap/>
            <w:vAlign w:val="center"/>
            <w:hideMark/>
          </w:tcPr>
          <w:p w:rsidR="00EE2A9A" w:rsidRPr="00D16907" w:rsidRDefault="00EE2A9A" w:rsidP="009B7A30">
            <w:pPr>
              <w:jc w:val="center"/>
              <w:rPr>
                <w:sz w:val="22"/>
                <w:szCs w:val="22"/>
              </w:rPr>
            </w:pPr>
            <w:r w:rsidRPr="00D16907">
              <w:rPr>
                <w:sz w:val="22"/>
                <w:szCs w:val="22"/>
              </w:rPr>
              <w:t xml:space="preserve">$15 </w:t>
            </w:r>
          </w:p>
        </w:tc>
        <w:tc>
          <w:tcPr>
            <w:tcW w:w="960" w:type="dxa"/>
            <w:tcBorders>
              <w:top w:val="nil"/>
              <w:left w:val="nil"/>
              <w:bottom w:val="single" w:sz="4" w:space="0" w:color="auto"/>
              <w:right w:val="nil"/>
            </w:tcBorders>
            <w:shd w:val="clear" w:color="auto" w:fill="auto"/>
            <w:noWrap/>
            <w:vAlign w:val="bottom"/>
            <w:hideMark/>
          </w:tcPr>
          <w:p w:rsidR="00EE2A9A" w:rsidRPr="00D16907" w:rsidRDefault="00EE2A9A" w:rsidP="009B7A30">
            <w:pPr>
              <w:jc w:val="center"/>
              <w:rPr>
                <w:color w:val="000000"/>
                <w:sz w:val="22"/>
                <w:szCs w:val="22"/>
              </w:rPr>
            </w:pPr>
            <w:r w:rsidRPr="00D16907">
              <w:rPr>
                <w:color w:val="000000"/>
                <w:sz w:val="22"/>
                <w:szCs w:val="22"/>
              </w:rPr>
              <w:t xml:space="preserve">$30 </w:t>
            </w:r>
          </w:p>
        </w:tc>
      </w:tr>
    </w:tbl>
    <w:p w:rsidR="001A603E" w:rsidRDefault="001A603E" w:rsidP="001A603E">
      <w:pPr>
        <w:contextualSpacing/>
      </w:pPr>
    </w:p>
    <w:p w:rsidR="001A603E" w:rsidRDefault="001A603E" w:rsidP="001A603E">
      <w:pPr>
        <w:contextualSpacing/>
      </w:pPr>
    </w:p>
    <w:p w:rsidR="001A603E" w:rsidRDefault="001A603E" w:rsidP="001A603E">
      <w:pPr>
        <w:contextualSpacing/>
      </w:pPr>
    </w:p>
    <w:p w:rsidR="001A603E" w:rsidRDefault="001A603E" w:rsidP="001A603E">
      <w:pPr>
        <w:contextualSpacing/>
      </w:pPr>
    </w:p>
    <w:p w:rsidR="001A603E" w:rsidRDefault="001A603E" w:rsidP="001A603E">
      <w:pPr>
        <w:contextualSpacing/>
      </w:pPr>
    </w:p>
    <w:p w:rsidR="001A603E" w:rsidRDefault="001A603E" w:rsidP="001A603E">
      <w:pPr>
        <w:contextualSpacing/>
      </w:pPr>
    </w:p>
    <w:p w:rsidR="001A603E" w:rsidRDefault="001A603E" w:rsidP="001A603E">
      <w:pPr>
        <w:contextualSpacing/>
      </w:pPr>
    </w:p>
    <w:p w:rsidR="001A603E" w:rsidRDefault="001A603E" w:rsidP="001A603E">
      <w:pPr>
        <w:contextualSpacing/>
      </w:pPr>
    </w:p>
    <w:p w:rsidR="001A603E" w:rsidRDefault="001A603E" w:rsidP="001A603E">
      <w:pPr>
        <w:rPr>
          <w:b/>
          <w:bCs/>
          <w:sz w:val="22"/>
          <w:szCs w:val="22"/>
        </w:rPr>
        <w:sectPr w:rsidR="001A603E" w:rsidSect="00D16907">
          <w:pgSz w:w="15840" w:h="12240" w:orient="landscape" w:code="1"/>
          <w:pgMar w:top="1440" w:right="1440" w:bottom="1440" w:left="1440" w:header="720" w:footer="720" w:gutter="0"/>
          <w:cols w:space="720"/>
          <w:docGrid w:linePitch="360"/>
        </w:sectPr>
      </w:pPr>
    </w:p>
    <w:tbl>
      <w:tblPr>
        <w:tblW w:w="9192" w:type="dxa"/>
        <w:tblInd w:w="108" w:type="dxa"/>
        <w:tblLook w:val="04A0"/>
      </w:tblPr>
      <w:tblGrid>
        <w:gridCol w:w="5016"/>
        <w:gridCol w:w="36"/>
        <w:gridCol w:w="1382"/>
        <w:gridCol w:w="1376"/>
        <w:gridCol w:w="1382"/>
      </w:tblGrid>
      <w:tr w:rsidR="001A603E" w:rsidRPr="00C871C3" w:rsidTr="009B7A30">
        <w:trPr>
          <w:trHeight w:val="300"/>
        </w:trPr>
        <w:tc>
          <w:tcPr>
            <w:tcW w:w="6434" w:type="dxa"/>
            <w:gridSpan w:val="3"/>
            <w:tcBorders>
              <w:top w:val="nil"/>
              <w:left w:val="nil"/>
              <w:bottom w:val="nil"/>
              <w:right w:val="nil"/>
            </w:tcBorders>
            <w:shd w:val="clear" w:color="auto" w:fill="auto"/>
            <w:noWrap/>
            <w:vAlign w:val="bottom"/>
            <w:hideMark/>
          </w:tcPr>
          <w:p w:rsidR="001A603E" w:rsidRPr="00C871C3" w:rsidRDefault="001A603E" w:rsidP="009B7A30">
            <w:pPr>
              <w:rPr>
                <w:b/>
                <w:bCs/>
                <w:sz w:val="22"/>
                <w:szCs w:val="22"/>
              </w:rPr>
            </w:pPr>
            <w:r w:rsidRPr="00C871C3">
              <w:rPr>
                <w:b/>
                <w:bCs/>
                <w:sz w:val="22"/>
                <w:szCs w:val="22"/>
              </w:rPr>
              <w:lastRenderedPageBreak/>
              <w:t>Table 2.  Baseline Teacher Self-Survey Response Rates</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rPr>
                <w:b/>
                <w:bCs/>
                <w:sz w:val="22"/>
                <w:szCs w:val="22"/>
              </w:rPr>
            </w:pPr>
          </w:p>
        </w:tc>
        <w:tc>
          <w:tcPr>
            <w:tcW w:w="1382" w:type="dxa"/>
            <w:tcBorders>
              <w:top w:val="nil"/>
              <w:left w:val="nil"/>
              <w:bottom w:val="nil"/>
              <w:right w:val="nil"/>
            </w:tcBorders>
            <w:shd w:val="clear" w:color="auto" w:fill="auto"/>
            <w:noWrap/>
            <w:vAlign w:val="bottom"/>
            <w:hideMark/>
          </w:tcPr>
          <w:p w:rsidR="001A603E" w:rsidRPr="00C871C3" w:rsidRDefault="001A603E" w:rsidP="009B7A30">
            <w:pPr>
              <w:rPr>
                <w:b/>
                <w:bCs/>
                <w:sz w:val="22"/>
                <w:szCs w:val="22"/>
              </w:rPr>
            </w:pPr>
          </w:p>
        </w:tc>
      </w:tr>
      <w:tr w:rsidR="001A603E" w:rsidRPr="00C871C3" w:rsidTr="009B7A30">
        <w:trPr>
          <w:trHeight w:val="300"/>
        </w:trPr>
        <w:tc>
          <w:tcPr>
            <w:tcW w:w="5052"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r>
      <w:tr w:rsidR="001A603E" w:rsidRPr="00C871C3" w:rsidTr="009B7A30">
        <w:trPr>
          <w:trHeight w:val="615"/>
        </w:trPr>
        <w:tc>
          <w:tcPr>
            <w:tcW w:w="5052" w:type="dxa"/>
            <w:gridSpan w:val="2"/>
            <w:tcBorders>
              <w:top w:val="single" w:sz="4" w:space="0" w:color="auto"/>
              <w:left w:val="single" w:sz="4" w:space="0" w:color="auto"/>
              <w:bottom w:val="single" w:sz="8" w:space="0" w:color="auto"/>
              <w:right w:val="single" w:sz="4" w:space="0" w:color="auto"/>
            </w:tcBorders>
            <w:shd w:val="clear" w:color="auto" w:fill="auto"/>
            <w:noWrap/>
            <w:vAlign w:val="bottom"/>
            <w:hideMark/>
          </w:tcPr>
          <w:p w:rsidR="001A603E" w:rsidRPr="00C871C3" w:rsidRDefault="001A603E" w:rsidP="009B7A30">
            <w:pPr>
              <w:rPr>
                <w:b/>
                <w:bCs/>
                <w:color w:val="000000"/>
                <w:sz w:val="22"/>
                <w:szCs w:val="22"/>
              </w:rPr>
            </w:pPr>
            <w:r w:rsidRPr="00C871C3">
              <w:rPr>
                <w:b/>
                <w:bCs/>
                <w:color w:val="000000"/>
                <w:sz w:val="22"/>
                <w:szCs w:val="22"/>
              </w:rPr>
              <w:t> </w:t>
            </w:r>
          </w:p>
        </w:tc>
        <w:tc>
          <w:tcPr>
            <w:tcW w:w="1382" w:type="dxa"/>
            <w:tcBorders>
              <w:top w:val="single" w:sz="4" w:space="0" w:color="auto"/>
              <w:left w:val="nil"/>
              <w:bottom w:val="single" w:sz="8" w:space="0" w:color="auto"/>
              <w:right w:val="nil"/>
            </w:tcBorders>
            <w:shd w:val="clear" w:color="auto" w:fill="auto"/>
            <w:vAlign w:val="bottom"/>
            <w:hideMark/>
          </w:tcPr>
          <w:p w:rsidR="001A603E" w:rsidRPr="00C871C3" w:rsidRDefault="001A603E" w:rsidP="009B7A30">
            <w:pPr>
              <w:jc w:val="center"/>
              <w:rPr>
                <w:b/>
                <w:bCs/>
                <w:color w:val="000000"/>
                <w:sz w:val="22"/>
                <w:szCs w:val="22"/>
              </w:rPr>
            </w:pPr>
            <w:r w:rsidRPr="00C871C3">
              <w:rPr>
                <w:b/>
                <w:bCs/>
                <w:color w:val="000000"/>
                <w:sz w:val="22"/>
                <w:szCs w:val="22"/>
              </w:rPr>
              <w:t>Total Teachers</w:t>
            </w:r>
          </w:p>
        </w:tc>
        <w:tc>
          <w:tcPr>
            <w:tcW w:w="1376" w:type="dxa"/>
            <w:tcBorders>
              <w:top w:val="single" w:sz="4" w:space="0" w:color="auto"/>
              <w:left w:val="nil"/>
              <w:bottom w:val="single" w:sz="8" w:space="0" w:color="auto"/>
              <w:right w:val="nil"/>
            </w:tcBorders>
            <w:shd w:val="clear" w:color="auto" w:fill="auto"/>
            <w:vAlign w:val="bottom"/>
            <w:hideMark/>
          </w:tcPr>
          <w:p w:rsidR="001A603E" w:rsidRPr="00C871C3" w:rsidRDefault="001A603E" w:rsidP="009B7A30">
            <w:pPr>
              <w:jc w:val="center"/>
              <w:rPr>
                <w:b/>
                <w:bCs/>
                <w:color w:val="000000"/>
                <w:sz w:val="22"/>
                <w:szCs w:val="22"/>
              </w:rPr>
            </w:pPr>
            <w:r w:rsidRPr="00C871C3">
              <w:rPr>
                <w:b/>
                <w:bCs/>
                <w:color w:val="000000"/>
                <w:sz w:val="22"/>
                <w:szCs w:val="22"/>
              </w:rPr>
              <w:t>Total Completed</w:t>
            </w:r>
          </w:p>
        </w:tc>
        <w:tc>
          <w:tcPr>
            <w:tcW w:w="1382" w:type="dxa"/>
            <w:tcBorders>
              <w:top w:val="single" w:sz="4" w:space="0" w:color="auto"/>
              <w:left w:val="nil"/>
              <w:bottom w:val="single" w:sz="8" w:space="0" w:color="auto"/>
              <w:right w:val="single" w:sz="4" w:space="0" w:color="auto"/>
            </w:tcBorders>
            <w:shd w:val="clear" w:color="auto" w:fill="auto"/>
            <w:vAlign w:val="bottom"/>
            <w:hideMark/>
          </w:tcPr>
          <w:p w:rsidR="001A603E" w:rsidRPr="00C871C3" w:rsidRDefault="001A603E" w:rsidP="009B7A30">
            <w:pPr>
              <w:jc w:val="center"/>
              <w:rPr>
                <w:b/>
                <w:bCs/>
                <w:color w:val="000000"/>
                <w:sz w:val="22"/>
                <w:szCs w:val="22"/>
              </w:rPr>
            </w:pPr>
            <w:r w:rsidRPr="00C871C3">
              <w:rPr>
                <w:b/>
                <w:bCs/>
                <w:color w:val="000000"/>
                <w:sz w:val="22"/>
                <w:szCs w:val="22"/>
              </w:rPr>
              <w:t>% Complete</w:t>
            </w:r>
          </w:p>
        </w:tc>
      </w:tr>
      <w:tr w:rsidR="001A603E" w:rsidRPr="00C871C3" w:rsidTr="009B7A30">
        <w:trPr>
          <w:trHeight w:val="135"/>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color w:val="000000"/>
                <w:sz w:val="22"/>
                <w:szCs w:val="22"/>
              </w:rPr>
            </w:pPr>
            <w:r w:rsidRPr="00C871C3">
              <w:rPr>
                <w:b/>
                <w:bCs/>
                <w:color w:val="000000"/>
                <w:sz w:val="22"/>
                <w:szCs w:val="22"/>
              </w:rPr>
              <w:t> </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i/>
                <w:iCs/>
                <w:color w:val="000000"/>
                <w:sz w:val="22"/>
                <w:szCs w:val="22"/>
              </w:rPr>
            </w:pPr>
            <w:r w:rsidRPr="00C871C3">
              <w:rPr>
                <w:i/>
                <w:iCs/>
                <w:color w:val="000000"/>
                <w:sz w:val="22"/>
                <w:szCs w:val="22"/>
              </w:rPr>
              <w:t> </w:t>
            </w:r>
          </w:p>
        </w:tc>
        <w:tc>
          <w:tcPr>
            <w:tcW w:w="4140" w:type="dxa"/>
            <w:gridSpan w:val="3"/>
            <w:tcBorders>
              <w:top w:val="nil"/>
              <w:left w:val="nil"/>
              <w:bottom w:val="nil"/>
              <w:right w:val="single" w:sz="4" w:space="0" w:color="000000"/>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Group A: $15 incentive</w:t>
            </w:r>
          </w:p>
        </w:tc>
      </w:tr>
      <w:tr w:rsidR="001A603E" w:rsidRPr="00C871C3" w:rsidTr="009B7A30">
        <w:trPr>
          <w:trHeight w:val="135"/>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 </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Central Ohio</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Child Dev. Council of Franklin County (Columbus)</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16</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16</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LEADS Head Start (Newark)</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8</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8</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WSOS Comm. Action Commission, Inc. (Fremont)</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14</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14</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 </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Los Angeles, CA</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Pacific Asian Consortium in Employment (LA)</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40</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40</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 </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Denver, CO</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Rocky Mountain SER Head Start (Denver)</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12</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12</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 </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Chicago, IL</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Chicago Youth Centers (CYC)</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17</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17</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52" w:type="dxa"/>
            <w:gridSpan w:val="2"/>
            <w:tcBorders>
              <w:top w:val="nil"/>
              <w:left w:val="single" w:sz="4" w:space="0" w:color="auto"/>
              <w:bottom w:val="nil"/>
              <w:right w:val="nil"/>
            </w:tcBorders>
            <w:shd w:val="clear" w:color="auto" w:fill="auto"/>
            <w:noWrap/>
            <w:vAlign w:val="bottom"/>
            <w:hideMark/>
          </w:tcPr>
          <w:p w:rsidR="001A603E" w:rsidRPr="00C871C3" w:rsidRDefault="001A603E" w:rsidP="009B7A30">
            <w:pPr>
              <w:rPr>
                <w:sz w:val="22"/>
                <w:szCs w:val="22"/>
              </w:rPr>
            </w:pPr>
            <w:r w:rsidRPr="00C871C3">
              <w:rPr>
                <w:sz w:val="22"/>
                <w:szCs w:val="22"/>
              </w:rPr>
              <w:t> </w:t>
            </w:r>
          </w:p>
        </w:tc>
        <w:tc>
          <w:tcPr>
            <w:tcW w:w="1382" w:type="dxa"/>
            <w:tcBorders>
              <w:top w:val="nil"/>
              <w:left w:val="single" w:sz="4" w:space="0" w:color="auto"/>
              <w:bottom w:val="single" w:sz="8" w:space="0" w:color="auto"/>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single" w:sz="8" w:space="0" w:color="auto"/>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82" w:type="dxa"/>
            <w:tcBorders>
              <w:top w:val="nil"/>
              <w:left w:val="nil"/>
              <w:bottom w:val="single" w:sz="8" w:space="0" w:color="auto"/>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15"/>
        </w:trPr>
        <w:tc>
          <w:tcPr>
            <w:tcW w:w="5052" w:type="dxa"/>
            <w:gridSpan w:val="2"/>
            <w:tcBorders>
              <w:top w:val="single" w:sz="8" w:space="0" w:color="auto"/>
              <w:left w:val="single" w:sz="4" w:space="0" w:color="auto"/>
              <w:bottom w:val="single" w:sz="12" w:space="0" w:color="auto"/>
              <w:right w:val="nil"/>
            </w:tcBorders>
            <w:shd w:val="clear" w:color="auto" w:fill="auto"/>
            <w:noWrap/>
            <w:vAlign w:val="bottom"/>
            <w:hideMark/>
          </w:tcPr>
          <w:p w:rsidR="001A603E" w:rsidRPr="00C871C3" w:rsidRDefault="001A603E" w:rsidP="009B7A30">
            <w:pPr>
              <w:rPr>
                <w:b/>
                <w:bCs/>
                <w:sz w:val="22"/>
                <w:szCs w:val="22"/>
              </w:rPr>
            </w:pPr>
            <w:r w:rsidRPr="00C871C3">
              <w:rPr>
                <w:b/>
                <w:bCs/>
                <w:sz w:val="22"/>
                <w:szCs w:val="22"/>
              </w:rPr>
              <w:t>Total</w:t>
            </w:r>
          </w:p>
        </w:tc>
        <w:tc>
          <w:tcPr>
            <w:tcW w:w="1382" w:type="dxa"/>
            <w:tcBorders>
              <w:top w:val="nil"/>
              <w:left w:val="single" w:sz="4" w:space="0" w:color="auto"/>
              <w:bottom w:val="single" w:sz="12" w:space="0" w:color="auto"/>
              <w:right w:val="nil"/>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107</w:t>
            </w:r>
          </w:p>
        </w:tc>
        <w:tc>
          <w:tcPr>
            <w:tcW w:w="1376" w:type="dxa"/>
            <w:tcBorders>
              <w:top w:val="nil"/>
              <w:left w:val="nil"/>
              <w:bottom w:val="single" w:sz="12" w:space="0" w:color="auto"/>
              <w:right w:val="nil"/>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107</w:t>
            </w:r>
          </w:p>
        </w:tc>
        <w:tc>
          <w:tcPr>
            <w:tcW w:w="1382" w:type="dxa"/>
            <w:tcBorders>
              <w:top w:val="nil"/>
              <w:left w:val="nil"/>
              <w:bottom w:val="single" w:sz="12" w:space="0" w:color="auto"/>
              <w:right w:val="single" w:sz="4" w:space="0" w:color="auto"/>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100%</w:t>
            </w:r>
          </w:p>
        </w:tc>
      </w:tr>
      <w:tr w:rsidR="001A603E" w:rsidRPr="00C871C3" w:rsidTr="009B7A30">
        <w:trPr>
          <w:trHeight w:val="135"/>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 </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i/>
                <w:iCs/>
                <w:color w:val="000000"/>
                <w:sz w:val="22"/>
                <w:szCs w:val="22"/>
              </w:rPr>
            </w:pPr>
            <w:r w:rsidRPr="00C871C3">
              <w:rPr>
                <w:i/>
                <w:iCs/>
                <w:color w:val="000000"/>
                <w:sz w:val="22"/>
                <w:szCs w:val="22"/>
              </w:rPr>
              <w:t> </w:t>
            </w:r>
          </w:p>
        </w:tc>
        <w:tc>
          <w:tcPr>
            <w:tcW w:w="4140" w:type="dxa"/>
            <w:gridSpan w:val="3"/>
            <w:tcBorders>
              <w:top w:val="nil"/>
              <w:left w:val="nil"/>
              <w:bottom w:val="nil"/>
              <w:right w:val="single" w:sz="4" w:space="0" w:color="000000"/>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Group B: $10 incentive</w:t>
            </w:r>
          </w:p>
        </w:tc>
      </w:tr>
      <w:tr w:rsidR="001A603E" w:rsidRPr="00C871C3" w:rsidTr="009B7A30">
        <w:trPr>
          <w:trHeight w:val="135"/>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color w:val="000000"/>
                <w:sz w:val="22"/>
                <w:szCs w:val="22"/>
              </w:rPr>
            </w:pPr>
            <w:r w:rsidRPr="00C871C3">
              <w:rPr>
                <w:color w:val="000000"/>
                <w:sz w:val="22"/>
                <w:szCs w:val="22"/>
              </w:rPr>
              <w:t> </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Winona, MS</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Central Mississippi, Inc. (Winona)</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38</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36</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95%</w:t>
            </w:r>
          </w:p>
        </w:tc>
      </w:tr>
      <w:tr w:rsidR="001A603E" w:rsidRPr="00C871C3" w:rsidTr="009B7A30">
        <w:trPr>
          <w:trHeight w:val="135"/>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 </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San Diego, CA</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Episcopal Community Services (Chula Vista)</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23</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23</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 </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East Texas</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 xml:space="preserve">Region 7 </w:t>
            </w:r>
            <w:proofErr w:type="spellStart"/>
            <w:r w:rsidRPr="00C871C3">
              <w:rPr>
                <w:sz w:val="22"/>
                <w:szCs w:val="22"/>
              </w:rPr>
              <w:t>Edu</w:t>
            </w:r>
            <w:proofErr w:type="spellEnd"/>
            <w:r w:rsidRPr="00C871C3">
              <w:rPr>
                <w:sz w:val="22"/>
                <w:szCs w:val="22"/>
              </w:rPr>
              <w:t>. Service Center (Kilgore)</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31</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26</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84%</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Tyler ISD (Tyler)</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11</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11</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 </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Bay Area, CA</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Santa Clara County Office of Education (San Jose)</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9</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90%</w:t>
            </w:r>
          </w:p>
        </w:tc>
      </w:tr>
      <w:tr w:rsidR="001A603E" w:rsidRPr="00C871C3" w:rsidTr="009B7A30">
        <w:trPr>
          <w:trHeight w:val="300"/>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Berkeley-Albany YMCA Head Start (Berkeley)</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8</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8</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52" w:type="dxa"/>
            <w:gridSpan w:val="2"/>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 </w:t>
            </w: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15"/>
        </w:trPr>
        <w:tc>
          <w:tcPr>
            <w:tcW w:w="5052" w:type="dxa"/>
            <w:gridSpan w:val="2"/>
            <w:tcBorders>
              <w:top w:val="single" w:sz="8" w:space="0" w:color="auto"/>
              <w:left w:val="single" w:sz="4" w:space="0" w:color="auto"/>
              <w:bottom w:val="single" w:sz="12" w:space="0" w:color="auto"/>
              <w:right w:val="single" w:sz="4" w:space="0" w:color="auto"/>
            </w:tcBorders>
            <w:shd w:val="clear" w:color="auto" w:fill="auto"/>
            <w:noWrap/>
            <w:vAlign w:val="bottom"/>
            <w:hideMark/>
          </w:tcPr>
          <w:p w:rsidR="001A603E" w:rsidRPr="00C871C3" w:rsidRDefault="001A603E" w:rsidP="009B7A30">
            <w:pPr>
              <w:rPr>
                <w:b/>
                <w:bCs/>
                <w:color w:val="000000"/>
                <w:sz w:val="22"/>
                <w:szCs w:val="22"/>
              </w:rPr>
            </w:pPr>
            <w:r w:rsidRPr="00C871C3">
              <w:rPr>
                <w:b/>
                <w:bCs/>
                <w:color w:val="000000"/>
                <w:sz w:val="22"/>
                <w:szCs w:val="22"/>
              </w:rPr>
              <w:t>Total</w:t>
            </w:r>
          </w:p>
        </w:tc>
        <w:tc>
          <w:tcPr>
            <w:tcW w:w="1382" w:type="dxa"/>
            <w:tcBorders>
              <w:top w:val="single" w:sz="8" w:space="0" w:color="auto"/>
              <w:left w:val="single" w:sz="4" w:space="0" w:color="auto"/>
              <w:bottom w:val="single" w:sz="12" w:space="0" w:color="auto"/>
              <w:right w:val="nil"/>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121</w:t>
            </w:r>
          </w:p>
        </w:tc>
        <w:tc>
          <w:tcPr>
            <w:tcW w:w="1376" w:type="dxa"/>
            <w:tcBorders>
              <w:top w:val="single" w:sz="8" w:space="0" w:color="auto"/>
              <w:left w:val="nil"/>
              <w:bottom w:val="single" w:sz="12" w:space="0" w:color="auto"/>
              <w:right w:val="nil"/>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113</w:t>
            </w:r>
          </w:p>
        </w:tc>
        <w:tc>
          <w:tcPr>
            <w:tcW w:w="1382" w:type="dxa"/>
            <w:tcBorders>
              <w:top w:val="single" w:sz="8" w:space="0" w:color="auto"/>
              <w:left w:val="nil"/>
              <w:bottom w:val="single" w:sz="12" w:space="0" w:color="auto"/>
              <w:right w:val="single" w:sz="4" w:space="0" w:color="auto"/>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93%</w:t>
            </w:r>
          </w:p>
        </w:tc>
      </w:tr>
      <w:tr w:rsidR="001A603E" w:rsidRPr="00C871C3" w:rsidTr="009B7A30">
        <w:trPr>
          <w:trHeight w:val="300"/>
        </w:trPr>
        <w:tc>
          <w:tcPr>
            <w:tcW w:w="9192" w:type="dxa"/>
            <w:gridSpan w:val="5"/>
            <w:tcBorders>
              <w:top w:val="nil"/>
              <w:left w:val="nil"/>
              <w:bottom w:val="nil"/>
              <w:right w:val="nil"/>
            </w:tcBorders>
            <w:shd w:val="clear" w:color="auto" w:fill="auto"/>
            <w:noWrap/>
            <w:vAlign w:val="bottom"/>
            <w:hideMark/>
          </w:tcPr>
          <w:p w:rsidR="001A603E" w:rsidRDefault="001A603E" w:rsidP="009B7A30">
            <w:pPr>
              <w:rPr>
                <w:b/>
                <w:bCs/>
                <w:sz w:val="22"/>
                <w:szCs w:val="22"/>
              </w:rPr>
            </w:pPr>
          </w:p>
          <w:p w:rsidR="00EE2A9A" w:rsidRDefault="00EE2A9A" w:rsidP="009B7A30">
            <w:pPr>
              <w:rPr>
                <w:b/>
                <w:bCs/>
                <w:sz w:val="22"/>
                <w:szCs w:val="22"/>
              </w:rPr>
            </w:pPr>
          </w:p>
          <w:p w:rsidR="00EE2A9A" w:rsidRDefault="00EE2A9A" w:rsidP="009B7A30">
            <w:pPr>
              <w:rPr>
                <w:b/>
                <w:bCs/>
                <w:sz w:val="22"/>
                <w:szCs w:val="22"/>
              </w:rPr>
            </w:pPr>
          </w:p>
          <w:p w:rsidR="001A603E" w:rsidRDefault="001A603E" w:rsidP="009B7A30">
            <w:pPr>
              <w:rPr>
                <w:b/>
                <w:bCs/>
                <w:sz w:val="22"/>
                <w:szCs w:val="22"/>
              </w:rPr>
            </w:pPr>
          </w:p>
          <w:p w:rsidR="001A603E" w:rsidRDefault="001A603E" w:rsidP="009B7A30">
            <w:pPr>
              <w:rPr>
                <w:b/>
                <w:bCs/>
                <w:sz w:val="22"/>
                <w:szCs w:val="22"/>
              </w:rPr>
            </w:pPr>
          </w:p>
          <w:p w:rsidR="001A603E" w:rsidRPr="00C871C3" w:rsidRDefault="001A603E" w:rsidP="009B7A30">
            <w:pPr>
              <w:rPr>
                <w:b/>
                <w:bCs/>
                <w:sz w:val="22"/>
                <w:szCs w:val="22"/>
              </w:rPr>
            </w:pPr>
            <w:r w:rsidRPr="00C871C3">
              <w:rPr>
                <w:b/>
                <w:bCs/>
                <w:sz w:val="22"/>
                <w:szCs w:val="22"/>
              </w:rPr>
              <w:lastRenderedPageBreak/>
              <w:t>Table 3.  Follow-Up Teacher Self-Survey Response Rates</w:t>
            </w:r>
          </w:p>
        </w:tc>
      </w:tr>
      <w:tr w:rsidR="001A603E" w:rsidRPr="00C871C3" w:rsidTr="009B7A30">
        <w:trPr>
          <w:trHeight w:val="300"/>
        </w:trPr>
        <w:tc>
          <w:tcPr>
            <w:tcW w:w="501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r>
      <w:tr w:rsidR="001A603E" w:rsidRPr="00C871C3" w:rsidTr="009B7A30">
        <w:trPr>
          <w:trHeight w:val="615"/>
        </w:trPr>
        <w:tc>
          <w:tcPr>
            <w:tcW w:w="5016"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1A603E" w:rsidRPr="00C871C3" w:rsidRDefault="001A603E" w:rsidP="009B7A30">
            <w:pPr>
              <w:rPr>
                <w:b/>
                <w:bCs/>
                <w:color w:val="000000"/>
                <w:sz w:val="22"/>
                <w:szCs w:val="22"/>
              </w:rPr>
            </w:pPr>
            <w:r w:rsidRPr="00C871C3">
              <w:rPr>
                <w:b/>
                <w:bCs/>
                <w:color w:val="000000"/>
                <w:sz w:val="22"/>
                <w:szCs w:val="22"/>
              </w:rPr>
              <w:t> </w:t>
            </w:r>
          </w:p>
        </w:tc>
        <w:tc>
          <w:tcPr>
            <w:tcW w:w="1418" w:type="dxa"/>
            <w:gridSpan w:val="2"/>
            <w:tcBorders>
              <w:top w:val="single" w:sz="4" w:space="0" w:color="auto"/>
              <w:left w:val="nil"/>
              <w:bottom w:val="single" w:sz="8" w:space="0" w:color="auto"/>
              <w:right w:val="nil"/>
            </w:tcBorders>
            <w:shd w:val="clear" w:color="auto" w:fill="auto"/>
            <w:vAlign w:val="bottom"/>
            <w:hideMark/>
          </w:tcPr>
          <w:p w:rsidR="001A603E" w:rsidRPr="00C871C3" w:rsidRDefault="001A603E" w:rsidP="009B7A30">
            <w:pPr>
              <w:jc w:val="center"/>
              <w:rPr>
                <w:b/>
                <w:bCs/>
                <w:color w:val="000000"/>
                <w:sz w:val="22"/>
                <w:szCs w:val="22"/>
              </w:rPr>
            </w:pPr>
            <w:r w:rsidRPr="00C871C3">
              <w:rPr>
                <w:b/>
                <w:bCs/>
                <w:color w:val="000000"/>
                <w:sz w:val="22"/>
                <w:szCs w:val="22"/>
              </w:rPr>
              <w:t>Total Teachers</w:t>
            </w:r>
          </w:p>
        </w:tc>
        <w:tc>
          <w:tcPr>
            <w:tcW w:w="1376" w:type="dxa"/>
            <w:tcBorders>
              <w:top w:val="single" w:sz="4" w:space="0" w:color="auto"/>
              <w:left w:val="nil"/>
              <w:bottom w:val="single" w:sz="8" w:space="0" w:color="auto"/>
              <w:right w:val="nil"/>
            </w:tcBorders>
            <w:shd w:val="clear" w:color="auto" w:fill="auto"/>
            <w:vAlign w:val="bottom"/>
            <w:hideMark/>
          </w:tcPr>
          <w:p w:rsidR="001A603E" w:rsidRPr="00C871C3" w:rsidRDefault="001A603E" w:rsidP="009B7A30">
            <w:pPr>
              <w:jc w:val="center"/>
              <w:rPr>
                <w:b/>
                <w:bCs/>
                <w:color w:val="000000"/>
                <w:sz w:val="22"/>
                <w:szCs w:val="22"/>
              </w:rPr>
            </w:pPr>
            <w:r w:rsidRPr="00C871C3">
              <w:rPr>
                <w:b/>
                <w:bCs/>
                <w:color w:val="000000"/>
                <w:sz w:val="22"/>
                <w:szCs w:val="22"/>
              </w:rPr>
              <w:t>Total Completed</w:t>
            </w:r>
          </w:p>
        </w:tc>
        <w:tc>
          <w:tcPr>
            <w:tcW w:w="1382" w:type="dxa"/>
            <w:tcBorders>
              <w:top w:val="single" w:sz="4" w:space="0" w:color="auto"/>
              <w:left w:val="nil"/>
              <w:bottom w:val="single" w:sz="8" w:space="0" w:color="auto"/>
              <w:right w:val="single" w:sz="4" w:space="0" w:color="auto"/>
            </w:tcBorders>
            <w:shd w:val="clear" w:color="auto" w:fill="auto"/>
            <w:vAlign w:val="bottom"/>
            <w:hideMark/>
          </w:tcPr>
          <w:p w:rsidR="001A603E" w:rsidRPr="00C871C3" w:rsidRDefault="001A603E" w:rsidP="009B7A30">
            <w:pPr>
              <w:jc w:val="center"/>
              <w:rPr>
                <w:b/>
                <w:bCs/>
                <w:color w:val="000000"/>
                <w:sz w:val="22"/>
                <w:szCs w:val="22"/>
              </w:rPr>
            </w:pPr>
            <w:r w:rsidRPr="00C871C3">
              <w:rPr>
                <w:b/>
                <w:bCs/>
                <w:color w:val="000000"/>
                <w:sz w:val="22"/>
                <w:szCs w:val="22"/>
              </w:rPr>
              <w:t>% Complete</w:t>
            </w:r>
          </w:p>
        </w:tc>
      </w:tr>
      <w:tr w:rsidR="001A603E" w:rsidRPr="00C871C3" w:rsidTr="009B7A30">
        <w:trPr>
          <w:trHeight w:val="135"/>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color w:val="000000"/>
                <w:sz w:val="22"/>
                <w:szCs w:val="22"/>
              </w:rPr>
            </w:pPr>
            <w:r w:rsidRPr="00C871C3">
              <w:rPr>
                <w:b/>
                <w:bCs/>
                <w:color w:val="000000"/>
                <w:sz w:val="22"/>
                <w:szCs w:val="22"/>
              </w:rPr>
              <w:t> </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i/>
                <w:iCs/>
                <w:color w:val="000000"/>
                <w:sz w:val="22"/>
                <w:szCs w:val="22"/>
              </w:rPr>
            </w:pPr>
            <w:r w:rsidRPr="00C871C3">
              <w:rPr>
                <w:i/>
                <w:iCs/>
                <w:color w:val="000000"/>
                <w:sz w:val="22"/>
                <w:szCs w:val="22"/>
              </w:rPr>
              <w:t> </w:t>
            </w:r>
          </w:p>
        </w:tc>
        <w:tc>
          <w:tcPr>
            <w:tcW w:w="4176" w:type="dxa"/>
            <w:gridSpan w:val="4"/>
            <w:tcBorders>
              <w:top w:val="nil"/>
              <w:left w:val="nil"/>
              <w:bottom w:val="nil"/>
              <w:right w:val="single" w:sz="4" w:space="0" w:color="000000"/>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Group A: $15 incentive</w:t>
            </w:r>
          </w:p>
        </w:tc>
      </w:tr>
      <w:tr w:rsidR="001A603E" w:rsidRPr="00C871C3" w:rsidTr="009B7A30">
        <w:trPr>
          <w:trHeight w:val="135"/>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 </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Central Ohio</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Child Dev. Council of Franklin County (Columbus)</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15</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15</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LEADS Head Start (Newark)</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8</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8</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WSOS Comm. Action Commission, Inc. (Fremont)</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14</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14</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 </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Los Angeles, CA</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Pacific Asian Consortium in Employment (LA)</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39</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39</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 </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Denver, CO</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Rocky Mountain SER Head Start (Denver)</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11</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11</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 </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Chicago, IL</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Chicago Youth Centers (CYC)</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16</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16</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16" w:type="dxa"/>
            <w:tcBorders>
              <w:top w:val="nil"/>
              <w:left w:val="single" w:sz="4" w:space="0" w:color="auto"/>
              <w:bottom w:val="nil"/>
              <w:right w:val="nil"/>
            </w:tcBorders>
            <w:shd w:val="clear" w:color="auto" w:fill="auto"/>
            <w:noWrap/>
            <w:vAlign w:val="bottom"/>
            <w:hideMark/>
          </w:tcPr>
          <w:p w:rsidR="001A603E" w:rsidRPr="00C871C3" w:rsidRDefault="001A603E" w:rsidP="009B7A30">
            <w:pPr>
              <w:rPr>
                <w:sz w:val="22"/>
                <w:szCs w:val="22"/>
              </w:rPr>
            </w:pPr>
            <w:r w:rsidRPr="00C871C3">
              <w:rPr>
                <w:sz w:val="22"/>
                <w:szCs w:val="22"/>
              </w:rPr>
              <w:t> </w:t>
            </w:r>
          </w:p>
        </w:tc>
        <w:tc>
          <w:tcPr>
            <w:tcW w:w="1418" w:type="dxa"/>
            <w:gridSpan w:val="2"/>
            <w:tcBorders>
              <w:top w:val="nil"/>
              <w:left w:val="single" w:sz="4" w:space="0" w:color="auto"/>
              <w:bottom w:val="single" w:sz="8" w:space="0" w:color="auto"/>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15"/>
        </w:trPr>
        <w:tc>
          <w:tcPr>
            <w:tcW w:w="5016" w:type="dxa"/>
            <w:tcBorders>
              <w:top w:val="single" w:sz="8" w:space="0" w:color="auto"/>
              <w:left w:val="single" w:sz="4" w:space="0" w:color="auto"/>
              <w:bottom w:val="single" w:sz="12" w:space="0" w:color="auto"/>
              <w:right w:val="nil"/>
            </w:tcBorders>
            <w:shd w:val="clear" w:color="auto" w:fill="auto"/>
            <w:noWrap/>
            <w:vAlign w:val="bottom"/>
            <w:hideMark/>
          </w:tcPr>
          <w:p w:rsidR="001A603E" w:rsidRPr="00C871C3" w:rsidRDefault="001A603E" w:rsidP="009B7A30">
            <w:pPr>
              <w:rPr>
                <w:b/>
                <w:bCs/>
                <w:sz w:val="22"/>
                <w:szCs w:val="22"/>
              </w:rPr>
            </w:pPr>
            <w:r w:rsidRPr="00C871C3">
              <w:rPr>
                <w:b/>
                <w:bCs/>
                <w:sz w:val="22"/>
                <w:szCs w:val="22"/>
              </w:rPr>
              <w:t>Total</w:t>
            </w:r>
          </w:p>
        </w:tc>
        <w:tc>
          <w:tcPr>
            <w:tcW w:w="1418" w:type="dxa"/>
            <w:gridSpan w:val="2"/>
            <w:tcBorders>
              <w:top w:val="nil"/>
              <w:left w:val="single" w:sz="4" w:space="0" w:color="auto"/>
              <w:bottom w:val="single" w:sz="12" w:space="0" w:color="auto"/>
              <w:right w:val="nil"/>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103</w:t>
            </w:r>
          </w:p>
        </w:tc>
        <w:tc>
          <w:tcPr>
            <w:tcW w:w="1376" w:type="dxa"/>
            <w:tcBorders>
              <w:top w:val="single" w:sz="8" w:space="0" w:color="auto"/>
              <w:left w:val="nil"/>
              <w:bottom w:val="single" w:sz="12" w:space="0" w:color="auto"/>
              <w:right w:val="nil"/>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103</w:t>
            </w:r>
          </w:p>
        </w:tc>
        <w:tc>
          <w:tcPr>
            <w:tcW w:w="1382" w:type="dxa"/>
            <w:tcBorders>
              <w:top w:val="single" w:sz="8" w:space="0" w:color="auto"/>
              <w:left w:val="nil"/>
              <w:bottom w:val="single" w:sz="12" w:space="0" w:color="auto"/>
              <w:right w:val="single" w:sz="4" w:space="0" w:color="auto"/>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100%</w:t>
            </w:r>
          </w:p>
        </w:tc>
      </w:tr>
      <w:tr w:rsidR="001A603E" w:rsidRPr="00C871C3" w:rsidTr="009B7A30">
        <w:trPr>
          <w:trHeight w:val="135"/>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 </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i/>
                <w:iCs/>
                <w:color w:val="000000"/>
                <w:sz w:val="22"/>
                <w:szCs w:val="22"/>
              </w:rPr>
            </w:pPr>
            <w:r w:rsidRPr="00C871C3">
              <w:rPr>
                <w:i/>
                <w:iCs/>
                <w:color w:val="000000"/>
                <w:sz w:val="22"/>
                <w:szCs w:val="22"/>
              </w:rPr>
              <w:t> </w:t>
            </w:r>
          </w:p>
        </w:tc>
        <w:tc>
          <w:tcPr>
            <w:tcW w:w="4176" w:type="dxa"/>
            <w:gridSpan w:val="4"/>
            <w:tcBorders>
              <w:top w:val="nil"/>
              <w:left w:val="nil"/>
              <w:bottom w:val="nil"/>
              <w:right w:val="single" w:sz="4" w:space="0" w:color="000000"/>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Group B: $20 incentive</w:t>
            </w:r>
          </w:p>
        </w:tc>
      </w:tr>
      <w:tr w:rsidR="001A603E" w:rsidRPr="00C871C3" w:rsidTr="009B7A30">
        <w:trPr>
          <w:trHeight w:val="135"/>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color w:val="000000"/>
                <w:sz w:val="22"/>
                <w:szCs w:val="22"/>
              </w:rPr>
            </w:pPr>
            <w:r w:rsidRPr="00C871C3">
              <w:rPr>
                <w:color w:val="000000"/>
                <w:sz w:val="22"/>
                <w:szCs w:val="22"/>
              </w:rPr>
              <w:t> </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Winona, MS</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Central Mississippi, Inc. (Winona)</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38</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38</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 </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San Diego, CA</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Episcopal Community Services (Chula Vista)</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21</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21</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 </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East Texas</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 xml:space="preserve">Region 7 </w:t>
            </w:r>
            <w:proofErr w:type="spellStart"/>
            <w:r w:rsidRPr="00C871C3">
              <w:rPr>
                <w:sz w:val="22"/>
                <w:szCs w:val="22"/>
              </w:rPr>
              <w:t>Edu</w:t>
            </w:r>
            <w:proofErr w:type="spellEnd"/>
            <w:r w:rsidRPr="00C871C3">
              <w:rPr>
                <w:sz w:val="22"/>
                <w:szCs w:val="22"/>
              </w:rPr>
              <w:t>. Service Center (Kilgore)</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30</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30</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Tyler ISD (Tyler)</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8</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8</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 </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Bay Area, CA</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Santa Clara County Office of Education (San Jose)</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300"/>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sz w:val="22"/>
                <w:szCs w:val="22"/>
              </w:rPr>
            </w:pPr>
            <w:r w:rsidRPr="00C871C3">
              <w:rPr>
                <w:sz w:val="22"/>
                <w:szCs w:val="22"/>
              </w:rPr>
              <w:t>Berkeley-Albany YMCA Head Start (Berkeley)</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8</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8</w:t>
            </w: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100%</w:t>
            </w:r>
          </w:p>
        </w:tc>
      </w:tr>
      <w:tr w:rsidR="001A603E" w:rsidRPr="00C871C3" w:rsidTr="009B7A30">
        <w:trPr>
          <w:trHeight w:val="135"/>
        </w:trPr>
        <w:tc>
          <w:tcPr>
            <w:tcW w:w="5016" w:type="dxa"/>
            <w:tcBorders>
              <w:top w:val="nil"/>
              <w:left w:val="single" w:sz="4" w:space="0" w:color="auto"/>
              <w:bottom w:val="nil"/>
              <w:right w:val="single" w:sz="4" w:space="0" w:color="auto"/>
            </w:tcBorders>
            <w:shd w:val="clear" w:color="auto" w:fill="auto"/>
            <w:noWrap/>
            <w:vAlign w:val="bottom"/>
            <w:hideMark/>
          </w:tcPr>
          <w:p w:rsidR="001A603E" w:rsidRPr="00C871C3" w:rsidRDefault="001A603E" w:rsidP="009B7A30">
            <w:pPr>
              <w:rPr>
                <w:b/>
                <w:bCs/>
                <w:sz w:val="22"/>
                <w:szCs w:val="22"/>
              </w:rPr>
            </w:pPr>
            <w:r w:rsidRPr="00C871C3">
              <w:rPr>
                <w:b/>
                <w:bCs/>
                <w:sz w:val="22"/>
                <w:szCs w:val="22"/>
              </w:rPr>
              <w:t> </w:t>
            </w:r>
          </w:p>
        </w:tc>
        <w:tc>
          <w:tcPr>
            <w:tcW w:w="1418" w:type="dxa"/>
            <w:gridSpan w:val="2"/>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c>
          <w:tcPr>
            <w:tcW w:w="1376" w:type="dxa"/>
            <w:tcBorders>
              <w:top w:val="nil"/>
              <w:left w:val="nil"/>
              <w:bottom w:val="nil"/>
              <w:right w:val="nil"/>
            </w:tcBorders>
            <w:shd w:val="clear" w:color="auto" w:fill="auto"/>
            <w:noWrap/>
            <w:vAlign w:val="bottom"/>
            <w:hideMark/>
          </w:tcPr>
          <w:p w:rsidR="001A603E" w:rsidRPr="00C871C3" w:rsidRDefault="001A603E" w:rsidP="009B7A30">
            <w:pPr>
              <w:jc w:val="center"/>
              <w:rPr>
                <w:color w:val="000000"/>
                <w:sz w:val="22"/>
                <w:szCs w:val="22"/>
              </w:rPr>
            </w:pPr>
          </w:p>
        </w:tc>
        <w:tc>
          <w:tcPr>
            <w:tcW w:w="1382" w:type="dxa"/>
            <w:tcBorders>
              <w:top w:val="nil"/>
              <w:left w:val="nil"/>
              <w:bottom w:val="nil"/>
              <w:right w:val="single" w:sz="4" w:space="0" w:color="auto"/>
            </w:tcBorders>
            <w:shd w:val="clear" w:color="auto" w:fill="auto"/>
            <w:noWrap/>
            <w:vAlign w:val="bottom"/>
            <w:hideMark/>
          </w:tcPr>
          <w:p w:rsidR="001A603E" w:rsidRPr="00C871C3" w:rsidRDefault="001A603E" w:rsidP="009B7A30">
            <w:pPr>
              <w:jc w:val="center"/>
              <w:rPr>
                <w:color w:val="000000"/>
                <w:sz w:val="22"/>
                <w:szCs w:val="22"/>
              </w:rPr>
            </w:pPr>
            <w:r w:rsidRPr="00C871C3">
              <w:rPr>
                <w:color w:val="000000"/>
                <w:sz w:val="22"/>
                <w:szCs w:val="22"/>
              </w:rPr>
              <w:t> </w:t>
            </w:r>
          </w:p>
        </w:tc>
      </w:tr>
      <w:tr w:rsidR="001A603E" w:rsidRPr="00C871C3" w:rsidTr="009B7A30">
        <w:trPr>
          <w:trHeight w:val="315"/>
        </w:trPr>
        <w:tc>
          <w:tcPr>
            <w:tcW w:w="5016" w:type="dxa"/>
            <w:tcBorders>
              <w:top w:val="single" w:sz="8" w:space="0" w:color="auto"/>
              <w:left w:val="single" w:sz="4" w:space="0" w:color="auto"/>
              <w:bottom w:val="single" w:sz="12" w:space="0" w:color="auto"/>
              <w:right w:val="single" w:sz="4" w:space="0" w:color="auto"/>
            </w:tcBorders>
            <w:shd w:val="clear" w:color="auto" w:fill="auto"/>
            <w:noWrap/>
            <w:vAlign w:val="bottom"/>
            <w:hideMark/>
          </w:tcPr>
          <w:p w:rsidR="001A603E" w:rsidRPr="00C871C3" w:rsidRDefault="001A603E" w:rsidP="009B7A30">
            <w:pPr>
              <w:rPr>
                <w:b/>
                <w:bCs/>
                <w:color w:val="000000"/>
                <w:sz w:val="22"/>
                <w:szCs w:val="22"/>
              </w:rPr>
            </w:pPr>
            <w:r w:rsidRPr="00C871C3">
              <w:rPr>
                <w:b/>
                <w:bCs/>
                <w:color w:val="000000"/>
                <w:sz w:val="22"/>
                <w:szCs w:val="22"/>
              </w:rPr>
              <w:t>Total</w:t>
            </w:r>
          </w:p>
        </w:tc>
        <w:tc>
          <w:tcPr>
            <w:tcW w:w="1418" w:type="dxa"/>
            <w:gridSpan w:val="2"/>
            <w:tcBorders>
              <w:top w:val="single" w:sz="8" w:space="0" w:color="auto"/>
              <w:left w:val="single" w:sz="4" w:space="0" w:color="auto"/>
              <w:bottom w:val="single" w:sz="12" w:space="0" w:color="auto"/>
              <w:right w:val="nil"/>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115</w:t>
            </w:r>
          </w:p>
        </w:tc>
        <w:tc>
          <w:tcPr>
            <w:tcW w:w="1376" w:type="dxa"/>
            <w:tcBorders>
              <w:top w:val="single" w:sz="8" w:space="0" w:color="auto"/>
              <w:left w:val="nil"/>
              <w:bottom w:val="single" w:sz="12" w:space="0" w:color="auto"/>
              <w:right w:val="nil"/>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115</w:t>
            </w:r>
          </w:p>
        </w:tc>
        <w:tc>
          <w:tcPr>
            <w:tcW w:w="1382" w:type="dxa"/>
            <w:tcBorders>
              <w:top w:val="single" w:sz="8" w:space="0" w:color="auto"/>
              <w:left w:val="nil"/>
              <w:bottom w:val="single" w:sz="12" w:space="0" w:color="auto"/>
              <w:right w:val="single" w:sz="4" w:space="0" w:color="auto"/>
            </w:tcBorders>
            <w:shd w:val="clear" w:color="auto" w:fill="auto"/>
            <w:noWrap/>
            <w:vAlign w:val="bottom"/>
            <w:hideMark/>
          </w:tcPr>
          <w:p w:rsidR="001A603E" w:rsidRPr="00C871C3" w:rsidRDefault="001A603E" w:rsidP="009B7A30">
            <w:pPr>
              <w:jc w:val="center"/>
              <w:rPr>
                <w:b/>
                <w:bCs/>
                <w:color w:val="000000"/>
                <w:sz w:val="22"/>
                <w:szCs w:val="22"/>
              </w:rPr>
            </w:pPr>
            <w:r w:rsidRPr="00C871C3">
              <w:rPr>
                <w:b/>
                <w:bCs/>
                <w:color w:val="000000"/>
                <w:sz w:val="22"/>
                <w:szCs w:val="22"/>
              </w:rPr>
              <w:t>100%</w:t>
            </w:r>
          </w:p>
        </w:tc>
      </w:tr>
    </w:tbl>
    <w:p w:rsidR="00D16907" w:rsidRDefault="00D16907" w:rsidP="00B35E01">
      <w:pPr>
        <w:contextualSpacing/>
        <w:rPr>
          <w:sz w:val="20"/>
          <w:szCs w:val="20"/>
        </w:rPr>
      </w:pPr>
    </w:p>
    <w:p w:rsidR="00EE2A9A" w:rsidRDefault="00EE2A9A" w:rsidP="00B35E01">
      <w:pPr>
        <w:contextualSpacing/>
      </w:pPr>
    </w:p>
    <w:p w:rsidR="005C702F" w:rsidRPr="00B35E01" w:rsidRDefault="005C702F" w:rsidP="00127B0A">
      <w:pPr>
        <w:contextualSpacing/>
      </w:pPr>
    </w:p>
    <w:sectPr w:rsidR="005C702F" w:rsidRPr="00B35E01" w:rsidSect="0018442A">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56E" w:rsidRDefault="00DD756E" w:rsidP="0036658A">
      <w:r>
        <w:separator/>
      </w:r>
    </w:p>
  </w:endnote>
  <w:endnote w:type="continuationSeparator" w:id="0">
    <w:p w:rsidR="00DD756E" w:rsidRDefault="00DD756E" w:rsidP="00366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calaSans-Regular">
    <w:altName w:val="Cambria"/>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483095"/>
      <w:docPartObj>
        <w:docPartGallery w:val="Page Numbers (Bottom of Page)"/>
        <w:docPartUnique/>
      </w:docPartObj>
    </w:sdtPr>
    <w:sdtContent>
      <w:p w:rsidR="00821B98" w:rsidRDefault="0091705E">
        <w:pPr>
          <w:pStyle w:val="Footer"/>
        </w:pPr>
        <w:r>
          <w:fldChar w:fldCharType="begin"/>
        </w:r>
        <w:r w:rsidR="00821B98">
          <w:instrText xml:space="preserve"> PAGE   \* MERGEFORMAT </w:instrText>
        </w:r>
        <w:r>
          <w:fldChar w:fldCharType="separate"/>
        </w:r>
        <w:r w:rsidR="00FB6091">
          <w:rPr>
            <w:noProof/>
          </w:rPr>
          <w:t>4</w:t>
        </w:r>
        <w:r>
          <w:rPr>
            <w:noProof/>
          </w:rPr>
          <w:fldChar w:fldCharType="end"/>
        </w:r>
      </w:p>
    </w:sdtContent>
  </w:sdt>
  <w:p w:rsidR="00821B98" w:rsidRDefault="00821B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483094"/>
      <w:docPartObj>
        <w:docPartGallery w:val="Page Numbers (Bottom of Page)"/>
        <w:docPartUnique/>
      </w:docPartObj>
    </w:sdtPr>
    <w:sdtContent>
      <w:p w:rsidR="00821B98" w:rsidRDefault="0091705E">
        <w:pPr>
          <w:pStyle w:val="Footer"/>
          <w:jc w:val="right"/>
        </w:pPr>
        <w:r>
          <w:fldChar w:fldCharType="begin"/>
        </w:r>
        <w:r w:rsidR="00821B98">
          <w:instrText xml:space="preserve"> PAGE   \* MERGEFORMAT </w:instrText>
        </w:r>
        <w:r>
          <w:fldChar w:fldCharType="separate"/>
        </w:r>
        <w:r w:rsidR="00FB6091">
          <w:rPr>
            <w:noProof/>
          </w:rPr>
          <w:t>5</w:t>
        </w:r>
        <w:r>
          <w:rPr>
            <w:noProof/>
          </w:rPr>
          <w:fldChar w:fldCharType="end"/>
        </w:r>
      </w:p>
    </w:sdtContent>
  </w:sdt>
  <w:p w:rsidR="00821B98" w:rsidRDefault="00821B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56E" w:rsidRDefault="00DD756E" w:rsidP="0036658A">
      <w:r>
        <w:separator/>
      </w:r>
    </w:p>
  </w:footnote>
  <w:footnote w:type="continuationSeparator" w:id="0">
    <w:p w:rsidR="00DD756E" w:rsidRDefault="00DD756E" w:rsidP="0036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438A"/>
    <w:multiLevelType w:val="hybridMultilevel"/>
    <w:tmpl w:val="8AEE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820F0"/>
    <w:multiLevelType w:val="hybridMultilevel"/>
    <w:tmpl w:val="5DC832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ED2D87"/>
    <w:multiLevelType w:val="hybridMultilevel"/>
    <w:tmpl w:val="C4C6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A2F68"/>
    <w:multiLevelType w:val="hybridMultilevel"/>
    <w:tmpl w:val="4E965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870E8"/>
    <w:multiLevelType w:val="hybridMultilevel"/>
    <w:tmpl w:val="910C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F3A0D"/>
    <w:multiLevelType w:val="hybridMultilevel"/>
    <w:tmpl w:val="A50A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F0E80"/>
    <w:multiLevelType w:val="hybridMultilevel"/>
    <w:tmpl w:val="EE0E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66076"/>
    <w:multiLevelType w:val="hybridMultilevel"/>
    <w:tmpl w:val="D540A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134B6"/>
    <w:multiLevelType w:val="hybridMultilevel"/>
    <w:tmpl w:val="C1C4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0835C9"/>
    <w:multiLevelType w:val="hybridMultilevel"/>
    <w:tmpl w:val="5E42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0354D"/>
    <w:multiLevelType w:val="hybridMultilevel"/>
    <w:tmpl w:val="EFD450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A1B7EBF"/>
    <w:multiLevelType w:val="hybridMultilevel"/>
    <w:tmpl w:val="77E8A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C06235"/>
    <w:multiLevelType w:val="hybridMultilevel"/>
    <w:tmpl w:val="A20A0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C495F"/>
    <w:multiLevelType w:val="hybridMultilevel"/>
    <w:tmpl w:val="F1EC7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4C94D36"/>
    <w:multiLevelType w:val="hybridMultilevel"/>
    <w:tmpl w:val="52B8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CA7791"/>
    <w:multiLevelType w:val="hybridMultilevel"/>
    <w:tmpl w:val="7C94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20B49"/>
    <w:multiLevelType w:val="hybridMultilevel"/>
    <w:tmpl w:val="1E7E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5E767D"/>
    <w:multiLevelType w:val="hybridMultilevel"/>
    <w:tmpl w:val="C6B00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373191"/>
    <w:multiLevelType w:val="hybridMultilevel"/>
    <w:tmpl w:val="9BF80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CD11A4"/>
    <w:multiLevelType w:val="hybridMultilevel"/>
    <w:tmpl w:val="A13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926FA2"/>
    <w:multiLevelType w:val="hybridMultilevel"/>
    <w:tmpl w:val="CC5ECAA4"/>
    <w:lvl w:ilvl="0" w:tplc="6EAAD7A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565306"/>
    <w:multiLevelType w:val="hybridMultilevel"/>
    <w:tmpl w:val="B9FE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6F27B0"/>
    <w:multiLevelType w:val="hybridMultilevel"/>
    <w:tmpl w:val="6A48C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A84780"/>
    <w:multiLevelType w:val="hybridMultilevel"/>
    <w:tmpl w:val="5B2C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3B24AE"/>
    <w:multiLevelType w:val="hybridMultilevel"/>
    <w:tmpl w:val="CAF6E570"/>
    <w:lvl w:ilvl="0" w:tplc="6EAAD7A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635BC1"/>
    <w:multiLevelType w:val="hybridMultilevel"/>
    <w:tmpl w:val="67CC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122B0"/>
    <w:multiLevelType w:val="hybridMultilevel"/>
    <w:tmpl w:val="C520F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0D4CDC"/>
    <w:multiLevelType w:val="hybridMultilevel"/>
    <w:tmpl w:val="F9E2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90725C"/>
    <w:multiLevelType w:val="hybridMultilevel"/>
    <w:tmpl w:val="0DD27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A35882"/>
    <w:multiLevelType w:val="hybridMultilevel"/>
    <w:tmpl w:val="5B0EC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014CBF"/>
    <w:multiLevelType w:val="hybridMultilevel"/>
    <w:tmpl w:val="183A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424145"/>
    <w:multiLevelType w:val="hybridMultilevel"/>
    <w:tmpl w:val="6902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1D1A52"/>
    <w:multiLevelType w:val="hybridMultilevel"/>
    <w:tmpl w:val="A0045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ED3E8A"/>
    <w:multiLevelType w:val="hybridMultilevel"/>
    <w:tmpl w:val="CB26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7D5B3D"/>
    <w:multiLevelType w:val="hybridMultilevel"/>
    <w:tmpl w:val="1D4A2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22"/>
  </w:num>
  <w:num w:numId="4">
    <w:abstractNumId w:val="1"/>
  </w:num>
  <w:num w:numId="5">
    <w:abstractNumId w:val="12"/>
  </w:num>
  <w:num w:numId="6">
    <w:abstractNumId w:val="13"/>
  </w:num>
  <w:num w:numId="7">
    <w:abstractNumId w:val="14"/>
  </w:num>
  <w:num w:numId="8">
    <w:abstractNumId w:val="11"/>
  </w:num>
  <w:num w:numId="9">
    <w:abstractNumId w:val="28"/>
  </w:num>
  <w:num w:numId="10">
    <w:abstractNumId w:val="30"/>
  </w:num>
  <w:num w:numId="11">
    <w:abstractNumId w:val="18"/>
  </w:num>
  <w:num w:numId="12">
    <w:abstractNumId w:val="0"/>
  </w:num>
  <w:num w:numId="13">
    <w:abstractNumId w:val="15"/>
  </w:num>
  <w:num w:numId="14">
    <w:abstractNumId w:val="33"/>
  </w:num>
  <w:num w:numId="15">
    <w:abstractNumId w:val="25"/>
  </w:num>
  <w:num w:numId="16">
    <w:abstractNumId w:val="31"/>
  </w:num>
  <w:num w:numId="17">
    <w:abstractNumId w:val="34"/>
  </w:num>
  <w:num w:numId="18">
    <w:abstractNumId w:val="5"/>
  </w:num>
  <w:num w:numId="19">
    <w:abstractNumId w:val="6"/>
  </w:num>
  <w:num w:numId="20">
    <w:abstractNumId w:val="23"/>
  </w:num>
  <w:num w:numId="21">
    <w:abstractNumId w:val="29"/>
  </w:num>
  <w:num w:numId="22">
    <w:abstractNumId w:val="27"/>
  </w:num>
  <w:num w:numId="23">
    <w:abstractNumId w:val="19"/>
  </w:num>
  <w:num w:numId="24">
    <w:abstractNumId w:val="7"/>
  </w:num>
  <w:num w:numId="25">
    <w:abstractNumId w:val="21"/>
  </w:num>
  <w:num w:numId="26">
    <w:abstractNumId w:val="32"/>
  </w:num>
  <w:num w:numId="27">
    <w:abstractNumId w:val="17"/>
  </w:num>
  <w:num w:numId="28">
    <w:abstractNumId w:val="3"/>
  </w:num>
  <w:num w:numId="29">
    <w:abstractNumId w:val="8"/>
  </w:num>
  <w:num w:numId="30">
    <w:abstractNumId w:val="16"/>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0"/>
  </w:num>
  <w:num w:numId="38">
    <w:abstractNumId w:val="2"/>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evenAndOddHeaders/>
  <w:drawingGridHorizontalSpacing w:val="12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rsids>
    <w:rsidRoot w:val="00D5102D"/>
    <w:rsid w:val="0000794B"/>
    <w:rsid w:val="00017223"/>
    <w:rsid w:val="00017AA1"/>
    <w:rsid w:val="00021D54"/>
    <w:rsid w:val="00024AC9"/>
    <w:rsid w:val="000336E7"/>
    <w:rsid w:val="00033BF2"/>
    <w:rsid w:val="000364D6"/>
    <w:rsid w:val="00042333"/>
    <w:rsid w:val="00043996"/>
    <w:rsid w:val="00053951"/>
    <w:rsid w:val="00054571"/>
    <w:rsid w:val="00062DCA"/>
    <w:rsid w:val="00065942"/>
    <w:rsid w:val="00072D15"/>
    <w:rsid w:val="00073F61"/>
    <w:rsid w:val="000849C0"/>
    <w:rsid w:val="00091A64"/>
    <w:rsid w:val="0009280E"/>
    <w:rsid w:val="00092EE8"/>
    <w:rsid w:val="000934A8"/>
    <w:rsid w:val="000A7652"/>
    <w:rsid w:val="000B4BA7"/>
    <w:rsid w:val="000B61CB"/>
    <w:rsid w:val="000C211A"/>
    <w:rsid w:val="000C3D14"/>
    <w:rsid w:val="000D25F3"/>
    <w:rsid w:val="000D3498"/>
    <w:rsid w:val="000E19C1"/>
    <w:rsid w:val="000E2D0D"/>
    <w:rsid w:val="000F342E"/>
    <w:rsid w:val="00103544"/>
    <w:rsid w:val="00111EC8"/>
    <w:rsid w:val="0012777E"/>
    <w:rsid w:val="00127B0A"/>
    <w:rsid w:val="00144435"/>
    <w:rsid w:val="00162EA2"/>
    <w:rsid w:val="00166865"/>
    <w:rsid w:val="00170732"/>
    <w:rsid w:val="00176CB9"/>
    <w:rsid w:val="00177D1B"/>
    <w:rsid w:val="001800BB"/>
    <w:rsid w:val="0018442A"/>
    <w:rsid w:val="0019370E"/>
    <w:rsid w:val="001A44A4"/>
    <w:rsid w:val="001A603E"/>
    <w:rsid w:val="001B0573"/>
    <w:rsid w:val="001C4BC6"/>
    <w:rsid w:val="001D0D74"/>
    <w:rsid w:val="001D2B80"/>
    <w:rsid w:val="001D3147"/>
    <w:rsid w:val="001D78FC"/>
    <w:rsid w:val="001F2C85"/>
    <w:rsid w:val="001F40C9"/>
    <w:rsid w:val="001F517F"/>
    <w:rsid w:val="001F714A"/>
    <w:rsid w:val="0020540F"/>
    <w:rsid w:val="00213B47"/>
    <w:rsid w:val="00220B2C"/>
    <w:rsid w:val="0022641F"/>
    <w:rsid w:val="0022729B"/>
    <w:rsid w:val="0023209D"/>
    <w:rsid w:val="002336AC"/>
    <w:rsid w:val="00241517"/>
    <w:rsid w:val="00242F19"/>
    <w:rsid w:val="00244D79"/>
    <w:rsid w:val="00247E98"/>
    <w:rsid w:val="002556B0"/>
    <w:rsid w:val="00262D12"/>
    <w:rsid w:val="00287B3B"/>
    <w:rsid w:val="00290532"/>
    <w:rsid w:val="0029512F"/>
    <w:rsid w:val="00297BD0"/>
    <w:rsid w:val="002A1547"/>
    <w:rsid w:val="002A1BDD"/>
    <w:rsid w:val="002C51B8"/>
    <w:rsid w:val="002C544D"/>
    <w:rsid w:val="002C6F9D"/>
    <w:rsid w:val="002C74BB"/>
    <w:rsid w:val="002D22F2"/>
    <w:rsid w:val="002D2EA5"/>
    <w:rsid w:val="002D4B9D"/>
    <w:rsid w:val="002D5C37"/>
    <w:rsid w:val="002D63EA"/>
    <w:rsid w:val="002D67EA"/>
    <w:rsid w:val="002E4A1C"/>
    <w:rsid w:val="002E6B0F"/>
    <w:rsid w:val="00314805"/>
    <w:rsid w:val="00317666"/>
    <w:rsid w:val="00332D12"/>
    <w:rsid w:val="00333637"/>
    <w:rsid w:val="00334367"/>
    <w:rsid w:val="00334A46"/>
    <w:rsid w:val="00356688"/>
    <w:rsid w:val="0036658A"/>
    <w:rsid w:val="003757B1"/>
    <w:rsid w:val="00380F11"/>
    <w:rsid w:val="0038707F"/>
    <w:rsid w:val="003A48C5"/>
    <w:rsid w:val="003C1A63"/>
    <w:rsid w:val="003C7EA1"/>
    <w:rsid w:val="003F1F21"/>
    <w:rsid w:val="00401ADD"/>
    <w:rsid w:val="004028BD"/>
    <w:rsid w:val="00404324"/>
    <w:rsid w:val="00413A35"/>
    <w:rsid w:val="00420D70"/>
    <w:rsid w:val="004415F8"/>
    <w:rsid w:val="00443B43"/>
    <w:rsid w:val="004454F3"/>
    <w:rsid w:val="00453AA9"/>
    <w:rsid w:val="00466CF6"/>
    <w:rsid w:val="00471995"/>
    <w:rsid w:val="004868CC"/>
    <w:rsid w:val="004A6850"/>
    <w:rsid w:val="004B1F4B"/>
    <w:rsid w:val="004B679B"/>
    <w:rsid w:val="004C0FDD"/>
    <w:rsid w:val="004C5816"/>
    <w:rsid w:val="004D5E1B"/>
    <w:rsid w:val="004E3AE0"/>
    <w:rsid w:val="004F16BC"/>
    <w:rsid w:val="005019B7"/>
    <w:rsid w:val="00512675"/>
    <w:rsid w:val="00514E8D"/>
    <w:rsid w:val="00517A85"/>
    <w:rsid w:val="00517ECE"/>
    <w:rsid w:val="00522BD1"/>
    <w:rsid w:val="00523860"/>
    <w:rsid w:val="0054410A"/>
    <w:rsid w:val="00546979"/>
    <w:rsid w:val="00547623"/>
    <w:rsid w:val="00547E43"/>
    <w:rsid w:val="0055068E"/>
    <w:rsid w:val="005568ED"/>
    <w:rsid w:val="00566FF9"/>
    <w:rsid w:val="0057147A"/>
    <w:rsid w:val="005776E6"/>
    <w:rsid w:val="005810AF"/>
    <w:rsid w:val="0058708B"/>
    <w:rsid w:val="00592D6D"/>
    <w:rsid w:val="00596599"/>
    <w:rsid w:val="005A4544"/>
    <w:rsid w:val="005A68B0"/>
    <w:rsid w:val="005A79A4"/>
    <w:rsid w:val="005A7C23"/>
    <w:rsid w:val="005B5917"/>
    <w:rsid w:val="005C3DFA"/>
    <w:rsid w:val="005C650E"/>
    <w:rsid w:val="005C702F"/>
    <w:rsid w:val="005D298A"/>
    <w:rsid w:val="005D6962"/>
    <w:rsid w:val="005E0618"/>
    <w:rsid w:val="005E0E6E"/>
    <w:rsid w:val="005E3F4A"/>
    <w:rsid w:val="005E51FE"/>
    <w:rsid w:val="005F7780"/>
    <w:rsid w:val="006055B4"/>
    <w:rsid w:val="00606E7C"/>
    <w:rsid w:val="00607919"/>
    <w:rsid w:val="00633ED7"/>
    <w:rsid w:val="00634AC4"/>
    <w:rsid w:val="006362F8"/>
    <w:rsid w:val="0064233E"/>
    <w:rsid w:val="00643CE1"/>
    <w:rsid w:val="00676B99"/>
    <w:rsid w:val="00686C2F"/>
    <w:rsid w:val="00695D32"/>
    <w:rsid w:val="006A18EA"/>
    <w:rsid w:val="006A4629"/>
    <w:rsid w:val="006B5DFD"/>
    <w:rsid w:val="006C6828"/>
    <w:rsid w:val="006C7EBC"/>
    <w:rsid w:val="006D3BA3"/>
    <w:rsid w:val="006D574C"/>
    <w:rsid w:val="006E41A1"/>
    <w:rsid w:val="006E4AEE"/>
    <w:rsid w:val="006E628A"/>
    <w:rsid w:val="006E7912"/>
    <w:rsid w:val="006F571C"/>
    <w:rsid w:val="00703407"/>
    <w:rsid w:val="00706429"/>
    <w:rsid w:val="00716984"/>
    <w:rsid w:val="00724026"/>
    <w:rsid w:val="007247D1"/>
    <w:rsid w:val="00746677"/>
    <w:rsid w:val="00761AA8"/>
    <w:rsid w:val="00763E3D"/>
    <w:rsid w:val="00765B1D"/>
    <w:rsid w:val="007857F9"/>
    <w:rsid w:val="00786D32"/>
    <w:rsid w:val="00794784"/>
    <w:rsid w:val="00797233"/>
    <w:rsid w:val="007A36DA"/>
    <w:rsid w:val="007B2FFC"/>
    <w:rsid w:val="007D3645"/>
    <w:rsid w:val="007E1639"/>
    <w:rsid w:val="007E720E"/>
    <w:rsid w:val="007F245E"/>
    <w:rsid w:val="0080018E"/>
    <w:rsid w:val="0080168A"/>
    <w:rsid w:val="0080695F"/>
    <w:rsid w:val="00821B98"/>
    <w:rsid w:val="00822927"/>
    <w:rsid w:val="0082550B"/>
    <w:rsid w:val="00830366"/>
    <w:rsid w:val="00834A3F"/>
    <w:rsid w:val="008370B8"/>
    <w:rsid w:val="00850A98"/>
    <w:rsid w:val="00863982"/>
    <w:rsid w:val="0087172E"/>
    <w:rsid w:val="00876AA6"/>
    <w:rsid w:val="00890AD2"/>
    <w:rsid w:val="0089631D"/>
    <w:rsid w:val="00897606"/>
    <w:rsid w:val="008A3836"/>
    <w:rsid w:val="008B01BD"/>
    <w:rsid w:val="008B3422"/>
    <w:rsid w:val="008C2605"/>
    <w:rsid w:val="008C35E4"/>
    <w:rsid w:val="008C3AA4"/>
    <w:rsid w:val="008D084C"/>
    <w:rsid w:val="008D2E18"/>
    <w:rsid w:val="008D4925"/>
    <w:rsid w:val="008E6D45"/>
    <w:rsid w:val="008F6041"/>
    <w:rsid w:val="00902CD0"/>
    <w:rsid w:val="009058A5"/>
    <w:rsid w:val="0091384D"/>
    <w:rsid w:val="00914A11"/>
    <w:rsid w:val="00916886"/>
    <w:rsid w:val="0091705E"/>
    <w:rsid w:val="00917501"/>
    <w:rsid w:val="00921689"/>
    <w:rsid w:val="009345D6"/>
    <w:rsid w:val="00941C49"/>
    <w:rsid w:val="009473D0"/>
    <w:rsid w:val="00952B85"/>
    <w:rsid w:val="00953F17"/>
    <w:rsid w:val="00967FF7"/>
    <w:rsid w:val="009710E7"/>
    <w:rsid w:val="009723BD"/>
    <w:rsid w:val="00976A06"/>
    <w:rsid w:val="00981961"/>
    <w:rsid w:val="00982C23"/>
    <w:rsid w:val="009849BF"/>
    <w:rsid w:val="00986E32"/>
    <w:rsid w:val="00991DE7"/>
    <w:rsid w:val="009941D2"/>
    <w:rsid w:val="009B504E"/>
    <w:rsid w:val="009B75AB"/>
    <w:rsid w:val="009C6CF9"/>
    <w:rsid w:val="009D04E3"/>
    <w:rsid w:val="009D26FA"/>
    <w:rsid w:val="009D4656"/>
    <w:rsid w:val="009E5EEE"/>
    <w:rsid w:val="009F6F7F"/>
    <w:rsid w:val="00A03358"/>
    <w:rsid w:val="00A0499A"/>
    <w:rsid w:val="00A055C0"/>
    <w:rsid w:val="00A11326"/>
    <w:rsid w:val="00A17D98"/>
    <w:rsid w:val="00A22D4A"/>
    <w:rsid w:val="00A3606C"/>
    <w:rsid w:val="00A40A63"/>
    <w:rsid w:val="00A41B47"/>
    <w:rsid w:val="00A54A37"/>
    <w:rsid w:val="00A66764"/>
    <w:rsid w:val="00A70916"/>
    <w:rsid w:val="00A80706"/>
    <w:rsid w:val="00A80939"/>
    <w:rsid w:val="00A80DF0"/>
    <w:rsid w:val="00A92A27"/>
    <w:rsid w:val="00A975D8"/>
    <w:rsid w:val="00AB28C3"/>
    <w:rsid w:val="00AC1639"/>
    <w:rsid w:val="00AC4B13"/>
    <w:rsid w:val="00AC5862"/>
    <w:rsid w:val="00AE5F44"/>
    <w:rsid w:val="00B01D46"/>
    <w:rsid w:val="00B0769F"/>
    <w:rsid w:val="00B10770"/>
    <w:rsid w:val="00B12CAB"/>
    <w:rsid w:val="00B17F6C"/>
    <w:rsid w:val="00B25638"/>
    <w:rsid w:val="00B346F5"/>
    <w:rsid w:val="00B35E01"/>
    <w:rsid w:val="00B377BF"/>
    <w:rsid w:val="00B41B06"/>
    <w:rsid w:val="00B47A07"/>
    <w:rsid w:val="00B70216"/>
    <w:rsid w:val="00B74F94"/>
    <w:rsid w:val="00B76E7D"/>
    <w:rsid w:val="00B87397"/>
    <w:rsid w:val="00BA3BF8"/>
    <w:rsid w:val="00BB4BF9"/>
    <w:rsid w:val="00BB50AD"/>
    <w:rsid w:val="00BB6848"/>
    <w:rsid w:val="00BB7030"/>
    <w:rsid w:val="00BC13C3"/>
    <w:rsid w:val="00BC4D78"/>
    <w:rsid w:val="00BD0367"/>
    <w:rsid w:val="00BD490D"/>
    <w:rsid w:val="00BF0E61"/>
    <w:rsid w:val="00BF3D3A"/>
    <w:rsid w:val="00C018CA"/>
    <w:rsid w:val="00C033EF"/>
    <w:rsid w:val="00C05737"/>
    <w:rsid w:val="00C078B1"/>
    <w:rsid w:val="00C15315"/>
    <w:rsid w:val="00C21E9B"/>
    <w:rsid w:val="00C259A0"/>
    <w:rsid w:val="00C32E28"/>
    <w:rsid w:val="00C335A4"/>
    <w:rsid w:val="00C3479F"/>
    <w:rsid w:val="00C54F12"/>
    <w:rsid w:val="00C606A3"/>
    <w:rsid w:val="00C75ABD"/>
    <w:rsid w:val="00C840A8"/>
    <w:rsid w:val="00C87B45"/>
    <w:rsid w:val="00C90828"/>
    <w:rsid w:val="00C914C0"/>
    <w:rsid w:val="00C94C80"/>
    <w:rsid w:val="00CB19CF"/>
    <w:rsid w:val="00CB638B"/>
    <w:rsid w:val="00CC74F4"/>
    <w:rsid w:val="00CE4174"/>
    <w:rsid w:val="00CE452D"/>
    <w:rsid w:val="00CF0D12"/>
    <w:rsid w:val="00D16907"/>
    <w:rsid w:val="00D23AE4"/>
    <w:rsid w:val="00D25007"/>
    <w:rsid w:val="00D27772"/>
    <w:rsid w:val="00D36016"/>
    <w:rsid w:val="00D46DB7"/>
    <w:rsid w:val="00D50ABA"/>
    <w:rsid w:val="00D5102D"/>
    <w:rsid w:val="00D548AD"/>
    <w:rsid w:val="00D54B7B"/>
    <w:rsid w:val="00D650A7"/>
    <w:rsid w:val="00D66CB6"/>
    <w:rsid w:val="00D67778"/>
    <w:rsid w:val="00D67C81"/>
    <w:rsid w:val="00D709BD"/>
    <w:rsid w:val="00D71165"/>
    <w:rsid w:val="00D77122"/>
    <w:rsid w:val="00D85E41"/>
    <w:rsid w:val="00DA0D04"/>
    <w:rsid w:val="00DA0D21"/>
    <w:rsid w:val="00DB3885"/>
    <w:rsid w:val="00DC173F"/>
    <w:rsid w:val="00DC696A"/>
    <w:rsid w:val="00DC6FED"/>
    <w:rsid w:val="00DD0365"/>
    <w:rsid w:val="00DD42EA"/>
    <w:rsid w:val="00DD5436"/>
    <w:rsid w:val="00DD756E"/>
    <w:rsid w:val="00DE2A3B"/>
    <w:rsid w:val="00DF225B"/>
    <w:rsid w:val="00DF3FD2"/>
    <w:rsid w:val="00DF7AB5"/>
    <w:rsid w:val="00E00661"/>
    <w:rsid w:val="00E05C67"/>
    <w:rsid w:val="00E124B0"/>
    <w:rsid w:val="00E14C47"/>
    <w:rsid w:val="00E32210"/>
    <w:rsid w:val="00E46738"/>
    <w:rsid w:val="00E46BB9"/>
    <w:rsid w:val="00E51FDC"/>
    <w:rsid w:val="00E541F1"/>
    <w:rsid w:val="00E735FD"/>
    <w:rsid w:val="00E75DBF"/>
    <w:rsid w:val="00E879E0"/>
    <w:rsid w:val="00E94C62"/>
    <w:rsid w:val="00E97266"/>
    <w:rsid w:val="00EA2CCB"/>
    <w:rsid w:val="00EA453C"/>
    <w:rsid w:val="00EA6DF6"/>
    <w:rsid w:val="00EB2DAA"/>
    <w:rsid w:val="00EB4467"/>
    <w:rsid w:val="00EB5F33"/>
    <w:rsid w:val="00EC1213"/>
    <w:rsid w:val="00EC1C75"/>
    <w:rsid w:val="00ED05A4"/>
    <w:rsid w:val="00ED5A9A"/>
    <w:rsid w:val="00ED789E"/>
    <w:rsid w:val="00EE2A9A"/>
    <w:rsid w:val="00EE2B36"/>
    <w:rsid w:val="00EE3289"/>
    <w:rsid w:val="00EE3B00"/>
    <w:rsid w:val="00EE3E82"/>
    <w:rsid w:val="00EE6570"/>
    <w:rsid w:val="00F170BB"/>
    <w:rsid w:val="00F2333B"/>
    <w:rsid w:val="00F512FC"/>
    <w:rsid w:val="00F526BB"/>
    <w:rsid w:val="00F52F5C"/>
    <w:rsid w:val="00F548FC"/>
    <w:rsid w:val="00F54C95"/>
    <w:rsid w:val="00F63E42"/>
    <w:rsid w:val="00F6425A"/>
    <w:rsid w:val="00F65874"/>
    <w:rsid w:val="00F65BC3"/>
    <w:rsid w:val="00F674E7"/>
    <w:rsid w:val="00F806CF"/>
    <w:rsid w:val="00F81CB8"/>
    <w:rsid w:val="00F83D2C"/>
    <w:rsid w:val="00F84795"/>
    <w:rsid w:val="00F86A3A"/>
    <w:rsid w:val="00F93D3E"/>
    <w:rsid w:val="00FA0044"/>
    <w:rsid w:val="00FB11ED"/>
    <w:rsid w:val="00FB1BA4"/>
    <w:rsid w:val="00FB39E8"/>
    <w:rsid w:val="00FB6091"/>
    <w:rsid w:val="00FD0FCD"/>
    <w:rsid w:val="00FD17B2"/>
    <w:rsid w:val="00FD3777"/>
    <w:rsid w:val="00FE3394"/>
    <w:rsid w:val="00FF456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CD0"/>
    <w:rPr>
      <w:sz w:val="24"/>
      <w:szCs w:val="24"/>
    </w:rPr>
  </w:style>
  <w:style w:type="paragraph" w:styleId="Heading2">
    <w:name w:val="heading 2"/>
    <w:basedOn w:val="Normal"/>
    <w:next w:val="Normal"/>
    <w:link w:val="Heading2Char"/>
    <w:uiPriority w:val="9"/>
    <w:unhideWhenUsed/>
    <w:qFormat/>
    <w:rsid w:val="00F52F5C"/>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6FA"/>
    <w:pPr>
      <w:spacing w:after="200"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semiHidden/>
    <w:unhideWhenUsed/>
    <w:rsid w:val="009D26F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D26F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D26FA"/>
    <w:rPr>
      <w:b/>
      <w:bCs/>
    </w:rPr>
  </w:style>
  <w:style w:type="character" w:customStyle="1" w:styleId="CommentSubjectChar">
    <w:name w:val="Comment Subject Char"/>
    <w:basedOn w:val="CommentTextChar"/>
    <w:link w:val="CommentSubject"/>
    <w:uiPriority w:val="99"/>
    <w:semiHidden/>
    <w:rsid w:val="009D26FA"/>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9D26F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26FA"/>
    <w:rPr>
      <w:rFonts w:ascii="Tahoma" w:eastAsiaTheme="minorHAnsi" w:hAnsi="Tahoma" w:cs="Tahoma"/>
      <w:sz w:val="16"/>
      <w:szCs w:val="16"/>
    </w:rPr>
  </w:style>
  <w:style w:type="table" w:styleId="TableGrid">
    <w:name w:val="Table Grid"/>
    <w:basedOn w:val="TableNormal"/>
    <w:uiPriority w:val="59"/>
    <w:rsid w:val="009D26F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52F5C"/>
    <w:rPr>
      <w:sz w:val="24"/>
      <w:szCs w:val="24"/>
      <w:u w:val="single"/>
    </w:rPr>
  </w:style>
  <w:style w:type="character" w:styleId="FootnoteReference">
    <w:name w:val="footnote reference"/>
    <w:basedOn w:val="DefaultParagraphFont"/>
    <w:unhideWhenUsed/>
    <w:rsid w:val="0036658A"/>
    <w:rPr>
      <w:vertAlign w:val="superscript"/>
    </w:rPr>
  </w:style>
  <w:style w:type="paragraph" w:styleId="Header">
    <w:name w:val="header"/>
    <w:basedOn w:val="Normal"/>
    <w:link w:val="HeaderChar"/>
    <w:uiPriority w:val="99"/>
    <w:semiHidden/>
    <w:unhideWhenUsed/>
    <w:rsid w:val="00E00661"/>
    <w:pPr>
      <w:tabs>
        <w:tab w:val="center" w:pos="4680"/>
        <w:tab w:val="right" w:pos="9360"/>
      </w:tabs>
    </w:pPr>
  </w:style>
  <w:style w:type="character" w:customStyle="1" w:styleId="HeaderChar">
    <w:name w:val="Header Char"/>
    <w:basedOn w:val="DefaultParagraphFont"/>
    <w:link w:val="Header"/>
    <w:uiPriority w:val="99"/>
    <w:semiHidden/>
    <w:rsid w:val="00E00661"/>
    <w:rPr>
      <w:sz w:val="24"/>
      <w:szCs w:val="24"/>
    </w:rPr>
  </w:style>
  <w:style w:type="paragraph" w:styleId="Footer">
    <w:name w:val="footer"/>
    <w:basedOn w:val="Normal"/>
    <w:link w:val="FooterChar"/>
    <w:uiPriority w:val="99"/>
    <w:unhideWhenUsed/>
    <w:rsid w:val="00E00661"/>
    <w:pPr>
      <w:tabs>
        <w:tab w:val="center" w:pos="4680"/>
        <w:tab w:val="right" w:pos="9360"/>
      </w:tabs>
    </w:pPr>
  </w:style>
  <w:style w:type="character" w:customStyle="1" w:styleId="FooterChar">
    <w:name w:val="Footer Char"/>
    <w:basedOn w:val="DefaultParagraphFont"/>
    <w:link w:val="Footer"/>
    <w:uiPriority w:val="99"/>
    <w:rsid w:val="00E00661"/>
    <w:rPr>
      <w:sz w:val="24"/>
      <w:szCs w:val="24"/>
    </w:rPr>
  </w:style>
  <w:style w:type="character" w:styleId="CommentReference">
    <w:name w:val="annotation reference"/>
    <w:basedOn w:val="DefaultParagraphFont"/>
    <w:uiPriority w:val="99"/>
    <w:semiHidden/>
    <w:unhideWhenUsed/>
    <w:rsid w:val="00E00661"/>
    <w:rPr>
      <w:sz w:val="16"/>
      <w:szCs w:val="16"/>
    </w:rPr>
  </w:style>
  <w:style w:type="paragraph" w:styleId="Revision">
    <w:name w:val="Revision"/>
    <w:hidden/>
    <w:uiPriority w:val="99"/>
    <w:semiHidden/>
    <w:rsid w:val="009C6CF9"/>
    <w:rPr>
      <w:sz w:val="24"/>
      <w:szCs w:val="24"/>
    </w:rPr>
  </w:style>
  <w:style w:type="paragraph" w:styleId="NoSpacing">
    <w:name w:val="No Spacing"/>
    <w:uiPriority w:val="1"/>
    <w:qFormat/>
    <w:rsid w:val="0080168A"/>
    <w:rPr>
      <w:sz w:val="24"/>
      <w:szCs w:val="24"/>
    </w:rPr>
  </w:style>
  <w:style w:type="paragraph" w:customStyle="1" w:styleId="HQues">
    <w:name w:val="HQues"/>
    <w:basedOn w:val="Normal"/>
    <w:next w:val="Normal"/>
    <w:link w:val="HQuesChar"/>
    <w:rsid w:val="00241517"/>
    <w:pPr>
      <w:tabs>
        <w:tab w:val="num" w:pos="720"/>
      </w:tabs>
      <w:spacing w:line="264" w:lineRule="auto"/>
      <w:ind w:left="720" w:hanging="720"/>
    </w:pPr>
    <w:rPr>
      <w:sz w:val="22"/>
    </w:rPr>
  </w:style>
  <w:style w:type="character" w:customStyle="1" w:styleId="HQuesChar">
    <w:name w:val="HQues Char"/>
    <w:basedOn w:val="DefaultParagraphFont"/>
    <w:link w:val="HQues"/>
    <w:locked/>
    <w:rsid w:val="00241517"/>
    <w:rPr>
      <w:sz w:val="22"/>
      <w:szCs w:val="24"/>
    </w:rPr>
  </w:style>
  <w:style w:type="character" w:styleId="Hyperlink">
    <w:name w:val="Hyperlink"/>
    <w:basedOn w:val="DefaultParagraphFont"/>
    <w:uiPriority w:val="99"/>
    <w:unhideWhenUsed/>
    <w:rsid w:val="00F548FC"/>
    <w:rPr>
      <w:color w:val="0000FF" w:themeColor="hyperlink"/>
      <w:u w:val="single"/>
    </w:rPr>
  </w:style>
  <w:style w:type="paragraph" w:styleId="FootnoteText">
    <w:name w:val="footnote text"/>
    <w:basedOn w:val="Normal"/>
    <w:link w:val="FootnoteTextChar"/>
    <w:unhideWhenUsed/>
    <w:rsid w:val="008C260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8C2605"/>
    <w:rPr>
      <w:rFonts w:asciiTheme="minorHAnsi" w:eastAsia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CD0"/>
    <w:rPr>
      <w:sz w:val="24"/>
      <w:szCs w:val="24"/>
    </w:rPr>
  </w:style>
  <w:style w:type="paragraph" w:styleId="Heading2">
    <w:name w:val="heading 2"/>
    <w:basedOn w:val="Normal"/>
    <w:next w:val="Normal"/>
    <w:link w:val="Heading2Char"/>
    <w:uiPriority w:val="9"/>
    <w:unhideWhenUsed/>
    <w:qFormat/>
    <w:rsid w:val="00F52F5C"/>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6FA"/>
    <w:pPr>
      <w:spacing w:after="200"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semiHidden/>
    <w:unhideWhenUsed/>
    <w:rsid w:val="009D26FA"/>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D26F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9D26FA"/>
    <w:rPr>
      <w:b/>
      <w:bCs/>
    </w:rPr>
  </w:style>
  <w:style w:type="character" w:customStyle="1" w:styleId="CommentSubjectChar">
    <w:name w:val="Comment Subject Char"/>
    <w:basedOn w:val="CommentTextChar"/>
    <w:link w:val="CommentSubject"/>
    <w:uiPriority w:val="99"/>
    <w:semiHidden/>
    <w:rsid w:val="009D26FA"/>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9D26F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26FA"/>
    <w:rPr>
      <w:rFonts w:ascii="Tahoma" w:eastAsiaTheme="minorHAnsi" w:hAnsi="Tahoma" w:cs="Tahoma"/>
      <w:sz w:val="16"/>
      <w:szCs w:val="16"/>
    </w:rPr>
  </w:style>
  <w:style w:type="table" w:styleId="TableGrid">
    <w:name w:val="Table Grid"/>
    <w:basedOn w:val="TableNormal"/>
    <w:uiPriority w:val="59"/>
    <w:rsid w:val="009D26F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52F5C"/>
    <w:rPr>
      <w:sz w:val="24"/>
      <w:szCs w:val="24"/>
      <w:u w:val="single"/>
    </w:rPr>
  </w:style>
  <w:style w:type="character" w:styleId="FootnoteReference">
    <w:name w:val="footnote reference"/>
    <w:basedOn w:val="DefaultParagraphFont"/>
    <w:unhideWhenUsed/>
    <w:rsid w:val="0036658A"/>
    <w:rPr>
      <w:vertAlign w:val="superscript"/>
    </w:rPr>
  </w:style>
  <w:style w:type="paragraph" w:styleId="Header">
    <w:name w:val="header"/>
    <w:basedOn w:val="Normal"/>
    <w:link w:val="HeaderChar"/>
    <w:uiPriority w:val="99"/>
    <w:semiHidden/>
    <w:unhideWhenUsed/>
    <w:rsid w:val="00E00661"/>
    <w:pPr>
      <w:tabs>
        <w:tab w:val="center" w:pos="4680"/>
        <w:tab w:val="right" w:pos="9360"/>
      </w:tabs>
    </w:pPr>
  </w:style>
  <w:style w:type="character" w:customStyle="1" w:styleId="HeaderChar">
    <w:name w:val="Header Char"/>
    <w:basedOn w:val="DefaultParagraphFont"/>
    <w:link w:val="Header"/>
    <w:uiPriority w:val="99"/>
    <w:semiHidden/>
    <w:rsid w:val="00E00661"/>
    <w:rPr>
      <w:sz w:val="24"/>
      <w:szCs w:val="24"/>
    </w:rPr>
  </w:style>
  <w:style w:type="paragraph" w:styleId="Footer">
    <w:name w:val="footer"/>
    <w:basedOn w:val="Normal"/>
    <w:link w:val="FooterChar"/>
    <w:uiPriority w:val="99"/>
    <w:unhideWhenUsed/>
    <w:rsid w:val="00E00661"/>
    <w:pPr>
      <w:tabs>
        <w:tab w:val="center" w:pos="4680"/>
        <w:tab w:val="right" w:pos="9360"/>
      </w:tabs>
    </w:pPr>
  </w:style>
  <w:style w:type="character" w:customStyle="1" w:styleId="FooterChar">
    <w:name w:val="Footer Char"/>
    <w:basedOn w:val="DefaultParagraphFont"/>
    <w:link w:val="Footer"/>
    <w:uiPriority w:val="99"/>
    <w:rsid w:val="00E00661"/>
    <w:rPr>
      <w:sz w:val="24"/>
      <w:szCs w:val="24"/>
    </w:rPr>
  </w:style>
  <w:style w:type="character" w:styleId="CommentReference">
    <w:name w:val="annotation reference"/>
    <w:basedOn w:val="DefaultParagraphFont"/>
    <w:uiPriority w:val="99"/>
    <w:semiHidden/>
    <w:unhideWhenUsed/>
    <w:rsid w:val="00E00661"/>
    <w:rPr>
      <w:sz w:val="16"/>
      <w:szCs w:val="16"/>
    </w:rPr>
  </w:style>
  <w:style w:type="paragraph" w:styleId="Revision">
    <w:name w:val="Revision"/>
    <w:hidden/>
    <w:uiPriority w:val="99"/>
    <w:semiHidden/>
    <w:rsid w:val="009C6CF9"/>
    <w:rPr>
      <w:sz w:val="24"/>
      <w:szCs w:val="24"/>
    </w:rPr>
  </w:style>
  <w:style w:type="paragraph" w:styleId="NoSpacing">
    <w:name w:val="No Spacing"/>
    <w:uiPriority w:val="1"/>
    <w:qFormat/>
    <w:rsid w:val="0080168A"/>
    <w:rPr>
      <w:sz w:val="24"/>
      <w:szCs w:val="24"/>
    </w:rPr>
  </w:style>
  <w:style w:type="paragraph" w:customStyle="1" w:styleId="HQues">
    <w:name w:val="HQues"/>
    <w:basedOn w:val="Normal"/>
    <w:next w:val="Normal"/>
    <w:link w:val="HQuesChar"/>
    <w:rsid w:val="00241517"/>
    <w:pPr>
      <w:tabs>
        <w:tab w:val="num" w:pos="720"/>
      </w:tabs>
      <w:spacing w:line="264" w:lineRule="auto"/>
      <w:ind w:left="720" w:hanging="720"/>
    </w:pPr>
    <w:rPr>
      <w:sz w:val="22"/>
    </w:rPr>
  </w:style>
  <w:style w:type="character" w:customStyle="1" w:styleId="HQuesChar">
    <w:name w:val="HQues Char"/>
    <w:basedOn w:val="DefaultParagraphFont"/>
    <w:link w:val="HQues"/>
    <w:locked/>
    <w:rsid w:val="00241517"/>
    <w:rPr>
      <w:sz w:val="22"/>
      <w:szCs w:val="24"/>
    </w:rPr>
  </w:style>
  <w:style w:type="character" w:styleId="Hyperlink">
    <w:name w:val="Hyperlink"/>
    <w:basedOn w:val="DefaultParagraphFont"/>
    <w:uiPriority w:val="99"/>
    <w:unhideWhenUsed/>
    <w:rsid w:val="00F548FC"/>
    <w:rPr>
      <w:color w:val="0000FF" w:themeColor="hyperlink"/>
      <w:u w:val="single"/>
    </w:rPr>
  </w:style>
  <w:style w:type="paragraph" w:styleId="FootnoteText">
    <w:name w:val="footnote text"/>
    <w:basedOn w:val="Normal"/>
    <w:link w:val="FootnoteTextChar"/>
    <w:unhideWhenUsed/>
    <w:rsid w:val="008C260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8C2605"/>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48460704">
      <w:bodyDiv w:val="1"/>
      <w:marLeft w:val="0"/>
      <w:marRight w:val="0"/>
      <w:marTop w:val="0"/>
      <w:marBottom w:val="0"/>
      <w:divBdr>
        <w:top w:val="none" w:sz="0" w:space="0" w:color="auto"/>
        <w:left w:val="none" w:sz="0" w:space="0" w:color="auto"/>
        <w:bottom w:val="none" w:sz="0" w:space="0" w:color="auto"/>
        <w:right w:val="none" w:sz="0" w:space="0" w:color="auto"/>
      </w:divBdr>
    </w:div>
    <w:div w:id="49504046">
      <w:bodyDiv w:val="1"/>
      <w:marLeft w:val="0"/>
      <w:marRight w:val="0"/>
      <w:marTop w:val="0"/>
      <w:marBottom w:val="0"/>
      <w:divBdr>
        <w:top w:val="none" w:sz="0" w:space="0" w:color="auto"/>
        <w:left w:val="none" w:sz="0" w:space="0" w:color="auto"/>
        <w:bottom w:val="none" w:sz="0" w:space="0" w:color="auto"/>
        <w:right w:val="none" w:sz="0" w:space="0" w:color="auto"/>
      </w:divBdr>
    </w:div>
    <w:div w:id="116145785">
      <w:bodyDiv w:val="1"/>
      <w:marLeft w:val="0"/>
      <w:marRight w:val="0"/>
      <w:marTop w:val="0"/>
      <w:marBottom w:val="0"/>
      <w:divBdr>
        <w:top w:val="none" w:sz="0" w:space="0" w:color="auto"/>
        <w:left w:val="none" w:sz="0" w:space="0" w:color="auto"/>
        <w:bottom w:val="none" w:sz="0" w:space="0" w:color="auto"/>
        <w:right w:val="none" w:sz="0" w:space="0" w:color="auto"/>
      </w:divBdr>
    </w:div>
    <w:div w:id="140121695">
      <w:bodyDiv w:val="1"/>
      <w:marLeft w:val="0"/>
      <w:marRight w:val="0"/>
      <w:marTop w:val="0"/>
      <w:marBottom w:val="0"/>
      <w:divBdr>
        <w:top w:val="none" w:sz="0" w:space="0" w:color="auto"/>
        <w:left w:val="none" w:sz="0" w:space="0" w:color="auto"/>
        <w:bottom w:val="none" w:sz="0" w:space="0" w:color="auto"/>
        <w:right w:val="none" w:sz="0" w:space="0" w:color="auto"/>
      </w:divBdr>
    </w:div>
    <w:div w:id="198980609">
      <w:bodyDiv w:val="1"/>
      <w:marLeft w:val="0"/>
      <w:marRight w:val="0"/>
      <w:marTop w:val="0"/>
      <w:marBottom w:val="0"/>
      <w:divBdr>
        <w:top w:val="none" w:sz="0" w:space="0" w:color="auto"/>
        <w:left w:val="none" w:sz="0" w:space="0" w:color="auto"/>
        <w:bottom w:val="none" w:sz="0" w:space="0" w:color="auto"/>
        <w:right w:val="none" w:sz="0" w:space="0" w:color="auto"/>
      </w:divBdr>
    </w:div>
    <w:div w:id="204605535">
      <w:bodyDiv w:val="1"/>
      <w:marLeft w:val="0"/>
      <w:marRight w:val="0"/>
      <w:marTop w:val="0"/>
      <w:marBottom w:val="0"/>
      <w:divBdr>
        <w:top w:val="none" w:sz="0" w:space="0" w:color="auto"/>
        <w:left w:val="none" w:sz="0" w:space="0" w:color="auto"/>
        <w:bottom w:val="none" w:sz="0" w:space="0" w:color="auto"/>
        <w:right w:val="none" w:sz="0" w:space="0" w:color="auto"/>
      </w:divBdr>
    </w:div>
    <w:div w:id="235021050">
      <w:bodyDiv w:val="1"/>
      <w:marLeft w:val="0"/>
      <w:marRight w:val="0"/>
      <w:marTop w:val="0"/>
      <w:marBottom w:val="0"/>
      <w:divBdr>
        <w:top w:val="none" w:sz="0" w:space="0" w:color="auto"/>
        <w:left w:val="none" w:sz="0" w:space="0" w:color="auto"/>
        <w:bottom w:val="none" w:sz="0" w:space="0" w:color="auto"/>
        <w:right w:val="none" w:sz="0" w:space="0" w:color="auto"/>
      </w:divBdr>
    </w:div>
    <w:div w:id="246618825">
      <w:bodyDiv w:val="1"/>
      <w:marLeft w:val="0"/>
      <w:marRight w:val="0"/>
      <w:marTop w:val="0"/>
      <w:marBottom w:val="0"/>
      <w:divBdr>
        <w:top w:val="none" w:sz="0" w:space="0" w:color="auto"/>
        <w:left w:val="none" w:sz="0" w:space="0" w:color="auto"/>
        <w:bottom w:val="none" w:sz="0" w:space="0" w:color="auto"/>
        <w:right w:val="none" w:sz="0" w:space="0" w:color="auto"/>
      </w:divBdr>
    </w:div>
    <w:div w:id="282735780">
      <w:bodyDiv w:val="1"/>
      <w:marLeft w:val="0"/>
      <w:marRight w:val="0"/>
      <w:marTop w:val="0"/>
      <w:marBottom w:val="0"/>
      <w:divBdr>
        <w:top w:val="none" w:sz="0" w:space="0" w:color="auto"/>
        <w:left w:val="none" w:sz="0" w:space="0" w:color="auto"/>
        <w:bottom w:val="none" w:sz="0" w:space="0" w:color="auto"/>
        <w:right w:val="none" w:sz="0" w:space="0" w:color="auto"/>
      </w:divBdr>
    </w:div>
    <w:div w:id="289944678">
      <w:bodyDiv w:val="1"/>
      <w:marLeft w:val="0"/>
      <w:marRight w:val="0"/>
      <w:marTop w:val="0"/>
      <w:marBottom w:val="0"/>
      <w:divBdr>
        <w:top w:val="none" w:sz="0" w:space="0" w:color="auto"/>
        <w:left w:val="none" w:sz="0" w:space="0" w:color="auto"/>
        <w:bottom w:val="none" w:sz="0" w:space="0" w:color="auto"/>
        <w:right w:val="none" w:sz="0" w:space="0" w:color="auto"/>
      </w:divBdr>
    </w:div>
    <w:div w:id="296299230">
      <w:bodyDiv w:val="1"/>
      <w:marLeft w:val="0"/>
      <w:marRight w:val="0"/>
      <w:marTop w:val="0"/>
      <w:marBottom w:val="0"/>
      <w:divBdr>
        <w:top w:val="none" w:sz="0" w:space="0" w:color="auto"/>
        <w:left w:val="none" w:sz="0" w:space="0" w:color="auto"/>
        <w:bottom w:val="none" w:sz="0" w:space="0" w:color="auto"/>
        <w:right w:val="none" w:sz="0" w:space="0" w:color="auto"/>
      </w:divBdr>
    </w:div>
    <w:div w:id="313989964">
      <w:bodyDiv w:val="1"/>
      <w:marLeft w:val="0"/>
      <w:marRight w:val="0"/>
      <w:marTop w:val="0"/>
      <w:marBottom w:val="0"/>
      <w:divBdr>
        <w:top w:val="none" w:sz="0" w:space="0" w:color="auto"/>
        <w:left w:val="none" w:sz="0" w:space="0" w:color="auto"/>
        <w:bottom w:val="none" w:sz="0" w:space="0" w:color="auto"/>
        <w:right w:val="none" w:sz="0" w:space="0" w:color="auto"/>
      </w:divBdr>
    </w:div>
    <w:div w:id="403725986">
      <w:bodyDiv w:val="1"/>
      <w:marLeft w:val="0"/>
      <w:marRight w:val="0"/>
      <w:marTop w:val="0"/>
      <w:marBottom w:val="0"/>
      <w:divBdr>
        <w:top w:val="none" w:sz="0" w:space="0" w:color="auto"/>
        <w:left w:val="none" w:sz="0" w:space="0" w:color="auto"/>
        <w:bottom w:val="none" w:sz="0" w:space="0" w:color="auto"/>
        <w:right w:val="none" w:sz="0" w:space="0" w:color="auto"/>
      </w:divBdr>
    </w:div>
    <w:div w:id="421610933">
      <w:bodyDiv w:val="1"/>
      <w:marLeft w:val="0"/>
      <w:marRight w:val="0"/>
      <w:marTop w:val="0"/>
      <w:marBottom w:val="0"/>
      <w:divBdr>
        <w:top w:val="none" w:sz="0" w:space="0" w:color="auto"/>
        <w:left w:val="none" w:sz="0" w:space="0" w:color="auto"/>
        <w:bottom w:val="none" w:sz="0" w:space="0" w:color="auto"/>
        <w:right w:val="none" w:sz="0" w:space="0" w:color="auto"/>
      </w:divBdr>
    </w:div>
    <w:div w:id="437716960">
      <w:bodyDiv w:val="1"/>
      <w:marLeft w:val="0"/>
      <w:marRight w:val="0"/>
      <w:marTop w:val="0"/>
      <w:marBottom w:val="0"/>
      <w:divBdr>
        <w:top w:val="none" w:sz="0" w:space="0" w:color="auto"/>
        <w:left w:val="none" w:sz="0" w:space="0" w:color="auto"/>
        <w:bottom w:val="none" w:sz="0" w:space="0" w:color="auto"/>
        <w:right w:val="none" w:sz="0" w:space="0" w:color="auto"/>
      </w:divBdr>
    </w:div>
    <w:div w:id="441195857">
      <w:bodyDiv w:val="1"/>
      <w:marLeft w:val="0"/>
      <w:marRight w:val="0"/>
      <w:marTop w:val="0"/>
      <w:marBottom w:val="0"/>
      <w:divBdr>
        <w:top w:val="none" w:sz="0" w:space="0" w:color="auto"/>
        <w:left w:val="none" w:sz="0" w:space="0" w:color="auto"/>
        <w:bottom w:val="none" w:sz="0" w:space="0" w:color="auto"/>
        <w:right w:val="none" w:sz="0" w:space="0" w:color="auto"/>
      </w:divBdr>
    </w:div>
    <w:div w:id="525362924">
      <w:bodyDiv w:val="1"/>
      <w:marLeft w:val="0"/>
      <w:marRight w:val="0"/>
      <w:marTop w:val="0"/>
      <w:marBottom w:val="0"/>
      <w:divBdr>
        <w:top w:val="none" w:sz="0" w:space="0" w:color="auto"/>
        <w:left w:val="none" w:sz="0" w:space="0" w:color="auto"/>
        <w:bottom w:val="none" w:sz="0" w:space="0" w:color="auto"/>
        <w:right w:val="none" w:sz="0" w:space="0" w:color="auto"/>
      </w:divBdr>
    </w:div>
    <w:div w:id="526531495">
      <w:bodyDiv w:val="1"/>
      <w:marLeft w:val="0"/>
      <w:marRight w:val="0"/>
      <w:marTop w:val="0"/>
      <w:marBottom w:val="0"/>
      <w:divBdr>
        <w:top w:val="none" w:sz="0" w:space="0" w:color="auto"/>
        <w:left w:val="none" w:sz="0" w:space="0" w:color="auto"/>
        <w:bottom w:val="none" w:sz="0" w:space="0" w:color="auto"/>
        <w:right w:val="none" w:sz="0" w:space="0" w:color="auto"/>
      </w:divBdr>
    </w:div>
    <w:div w:id="537356733">
      <w:bodyDiv w:val="1"/>
      <w:marLeft w:val="0"/>
      <w:marRight w:val="0"/>
      <w:marTop w:val="0"/>
      <w:marBottom w:val="0"/>
      <w:divBdr>
        <w:top w:val="none" w:sz="0" w:space="0" w:color="auto"/>
        <w:left w:val="none" w:sz="0" w:space="0" w:color="auto"/>
        <w:bottom w:val="none" w:sz="0" w:space="0" w:color="auto"/>
        <w:right w:val="none" w:sz="0" w:space="0" w:color="auto"/>
      </w:divBdr>
    </w:div>
    <w:div w:id="554051146">
      <w:bodyDiv w:val="1"/>
      <w:marLeft w:val="0"/>
      <w:marRight w:val="0"/>
      <w:marTop w:val="0"/>
      <w:marBottom w:val="0"/>
      <w:divBdr>
        <w:top w:val="none" w:sz="0" w:space="0" w:color="auto"/>
        <w:left w:val="none" w:sz="0" w:space="0" w:color="auto"/>
        <w:bottom w:val="none" w:sz="0" w:space="0" w:color="auto"/>
        <w:right w:val="none" w:sz="0" w:space="0" w:color="auto"/>
      </w:divBdr>
    </w:div>
    <w:div w:id="569191285">
      <w:bodyDiv w:val="1"/>
      <w:marLeft w:val="0"/>
      <w:marRight w:val="0"/>
      <w:marTop w:val="0"/>
      <w:marBottom w:val="0"/>
      <w:divBdr>
        <w:top w:val="none" w:sz="0" w:space="0" w:color="auto"/>
        <w:left w:val="none" w:sz="0" w:space="0" w:color="auto"/>
        <w:bottom w:val="none" w:sz="0" w:space="0" w:color="auto"/>
        <w:right w:val="none" w:sz="0" w:space="0" w:color="auto"/>
      </w:divBdr>
    </w:div>
    <w:div w:id="584266399">
      <w:bodyDiv w:val="1"/>
      <w:marLeft w:val="0"/>
      <w:marRight w:val="0"/>
      <w:marTop w:val="0"/>
      <w:marBottom w:val="0"/>
      <w:divBdr>
        <w:top w:val="none" w:sz="0" w:space="0" w:color="auto"/>
        <w:left w:val="none" w:sz="0" w:space="0" w:color="auto"/>
        <w:bottom w:val="none" w:sz="0" w:space="0" w:color="auto"/>
        <w:right w:val="none" w:sz="0" w:space="0" w:color="auto"/>
      </w:divBdr>
    </w:div>
    <w:div w:id="609239315">
      <w:bodyDiv w:val="1"/>
      <w:marLeft w:val="0"/>
      <w:marRight w:val="0"/>
      <w:marTop w:val="0"/>
      <w:marBottom w:val="0"/>
      <w:divBdr>
        <w:top w:val="none" w:sz="0" w:space="0" w:color="auto"/>
        <w:left w:val="none" w:sz="0" w:space="0" w:color="auto"/>
        <w:bottom w:val="none" w:sz="0" w:space="0" w:color="auto"/>
        <w:right w:val="none" w:sz="0" w:space="0" w:color="auto"/>
      </w:divBdr>
    </w:div>
    <w:div w:id="628898324">
      <w:bodyDiv w:val="1"/>
      <w:marLeft w:val="0"/>
      <w:marRight w:val="0"/>
      <w:marTop w:val="0"/>
      <w:marBottom w:val="0"/>
      <w:divBdr>
        <w:top w:val="none" w:sz="0" w:space="0" w:color="auto"/>
        <w:left w:val="none" w:sz="0" w:space="0" w:color="auto"/>
        <w:bottom w:val="none" w:sz="0" w:space="0" w:color="auto"/>
        <w:right w:val="none" w:sz="0" w:space="0" w:color="auto"/>
      </w:divBdr>
    </w:div>
    <w:div w:id="648174529">
      <w:bodyDiv w:val="1"/>
      <w:marLeft w:val="0"/>
      <w:marRight w:val="0"/>
      <w:marTop w:val="0"/>
      <w:marBottom w:val="0"/>
      <w:divBdr>
        <w:top w:val="none" w:sz="0" w:space="0" w:color="auto"/>
        <w:left w:val="none" w:sz="0" w:space="0" w:color="auto"/>
        <w:bottom w:val="none" w:sz="0" w:space="0" w:color="auto"/>
        <w:right w:val="none" w:sz="0" w:space="0" w:color="auto"/>
      </w:divBdr>
    </w:div>
    <w:div w:id="649557133">
      <w:bodyDiv w:val="1"/>
      <w:marLeft w:val="0"/>
      <w:marRight w:val="0"/>
      <w:marTop w:val="0"/>
      <w:marBottom w:val="0"/>
      <w:divBdr>
        <w:top w:val="none" w:sz="0" w:space="0" w:color="auto"/>
        <w:left w:val="none" w:sz="0" w:space="0" w:color="auto"/>
        <w:bottom w:val="none" w:sz="0" w:space="0" w:color="auto"/>
        <w:right w:val="none" w:sz="0" w:space="0" w:color="auto"/>
      </w:divBdr>
    </w:div>
    <w:div w:id="652762860">
      <w:bodyDiv w:val="1"/>
      <w:marLeft w:val="0"/>
      <w:marRight w:val="0"/>
      <w:marTop w:val="0"/>
      <w:marBottom w:val="0"/>
      <w:divBdr>
        <w:top w:val="none" w:sz="0" w:space="0" w:color="auto"/>
        <w:left w:val="none" w:sz="0" w:space="0" w:color="auto"/>
        <w:bottom w:val="none" w:sz="0" w:space="0" w:color="auto"/>
        <w:right w:val="none" w:sz="0" w:space="0" w:color="auto"/>
      </w:divBdr>
    </w:div>
    <w:div w:id="663125693">
      <w:bodyDiv w:val="1"/>
      <w:marLeft w:val="0"/>
      <w:marRight w:val="0"/>
      <w:marTop w:val="0"/>
      <w:marBottom w:val="0"/>
      <w:divBdr>
        <w:top w:val="none" w:sz="0" w:space="0" w:color="auto"/>
        <w:left w:val="none" w:sz="0" w:space="0" w:color="auto"/>
        <w:bottom w:val="none" w:sz="0" w:space="0" w:color="auto"/>
        <w:right w:val="none" w:sz="0" w:space="0" w:color="auto"/>
      </w:divBdr>
    </w:div>
    <w:div w:id="716465742">
      <w:bodyDiv w:val="1"/>
      <w:marLeft w:val="0"/>
      <w:marRight w:val="0"/>
      <w:marTop w:val="0"/>
      <w:marBottom w:val="0"/>
      <w:divBdr>
        <w:top w:val="none" w:sz="0" w:space="0" w:color="auto"/>
        <w:left w:val="none" w:sz="0" w:space="0" w:color="auto"/>
        <w:bottom w:val="none" w:sz="0" w:space="0" w:color="auto"/>
        <w:right w:val="none" w:sz="0" w:space="0" w:color="auto"/>
      </w:divBdr>
    </w:div>
    <w:div w:id="750395009">
      <w:bodyDiv w:val="1"/>
      <w:marLeft w:val="0"/>
      <w:marRight w:val="0"/>
      <w:marTop w:val="0"/>
      <w:marBottom w:val="0"/>
      <w:divBdr>
        <w:top w:val="none" w:sz="0" w:space="0" w:color="auto"/>
        <w:left w:val="none" w:sz="0" w:space="0" w:color="auto"/>
        <w:bottom w:val="none" w:sz="0" w:space="0" w:color="auto"/>
        <w:right w:val="none" w:sz="0" w:space="0" w:color="auto"/>
      </w:divBdr>
    </w:div>
    <w:div w:id="834339723">
      <w:bodyDiv w:val="1"/>
      <w:marLeft w:val="0"/>
      <w:marRight w:val="0"/>
      <w:marTop w:val="0"/>
      <w:marBottom w:val="0"/>
      <w:divBdr>
        <w:top w:val="none" w:sz="0" w:space="0" w:color="auto"/>
        <w:left w:val="none" w:sz="0" w:space="0" w:color="auto"/>
        <w:bottom w:val="none" w:sz="0" w:space="0" w:color="auto"/>
        <w:right w:val="none" w:sz="0" w:space="0" w:color="auto"/>
      </w:divBdr>
    </w:div>
    <w:div w:id="873737528">
      <w:bodyDiv w:val="1"/>
      <w:marLeft w:val="0"/>
      <w:marRight w:val="0"/>
      <w:marTop w:val="0"/>
      <w:marBottom w:val="0"/>
      <w:divBdr>
        <w:top w:val="none" w:sz="0" w:space="0" w:color="auto"/>
        <w:left w:val="none" w:sz="0" w:space="0" w:color="auto"/>
        <w:bottom w:val="none" w:sz="0" w:space="0" w:color="auto"/>
        <w:right w:val="none" w:sz="0" w:space="0" w:color="auto"/>
      </w:divBdr>
    </w:div>
    <w:div w:id="877857277">
      <w:bodyDiv w:val="1"/>
      <w:marLeft w:val="0"/>
      <w:marRight w:val="0"/>
      <w:marTop w:val="0"/>
      <w:marBottom w:val="0"/>
      <w:divBdr>
        <w:top w:val="none" w:sz="0" w:space="0" w:color="auto"/>
        <w:left w:val="none" w:sz="0" w:space="0" w:color="auto"/>
        <w:bottom w:val="none" w:sz="0" w:space="0" w:color="auto"/>
        <w:right w:val="none" w:sz="0" w:space="0" w:color="auto"/>
      </w:divBdr>
    </w:div>
    <w:div w:id="883828459">
      <w:bodyDiv w:val="1"/>
      <w:marLeft w:val="0"/>
      <w:marRight w:val="0"/>
      <w:marTop w:val="0"/>
      <w:marBottom w:val="0"/>
      <w:divBdr>
        <w:top w:val="none" w:sz="0" w:space="0" w:color="auto"/>
        <w:left w:val="none" w:sz="0" w:space="0" w:color="auto"/>
        <w:bottom w:val="none" w:sz="0" w:space="0" w:color="auto"/>
        <w:right w:val="none" w:sz="0" w:space="0" w:color="auto"/>
      </w:divBdr>
    </w:div>
    <w:div w:id="922564647">
      <w:bodyDiv w:val="1"/>
      <w:marLeft w:val="0"/>
      <w:marRight w:val="0"/>
      <w:marTop w:val="0"/>
      <w:marBottom w:val="0"/>
      <w:divBdr>
        <w:top w:val="none" w:sz="0" w:space="0" w:color="auto"/>
        <w:left w:val="none" w:sz="0" w:space="0" w:color="auto"/>
        <w:bottom w:val="none" w:sz="0" w:space="0" w:color="auto"/>
        <w:right w:val="none" w:sz="0" w:space="0" w:color="auto"/>
      </w:divBdr>
    </w:div>
    <w:div w:id="977340007">
      <w:bodyDiv w:val="1"/>
      <w:marLeft w:val="0"/>
      <w:marRight w:val="0"/>
      <w:marTop w:val="0"/>
      <w:marBottom w:val="0"/>
      <w:divBdr>
        <w:top w:val="none" w:sz="0" w:space="0" w:color="auto"/>
        <w:left w:val="none" w:sz="0" w:space="0" w:color="auto"/>
        <w:bottom w:val="none" w:sz="0" w:space="0" w:color="auto"/>
        <w:right w:val="none" w:sz="0" w:space="0" w:color="auto"/>
      </w:divBdr>
    </w:div>
    <w:div w:id="979724532">
      <w:bodyDiv w:val="1"/>
      <w:marLeft w:val="0"/>
      <w:marRight w:val="0"/>
      <w:marTop w:val="0"/>
      <w:marBottom w:val="0"/>
      <w:divBdr>
        <w:top w:val="none" w:sz="0" w:space="0" w:color="auto"/>
        <w:left w:val="none" w:sz="0" w:space="0" w:color="auto"/>
        <w:bottom w:val="none" w:sz="0" w:space="0" w:color="auto"/>
        <w:right w:val="none" w:sz="0" w:space="0" w:color="auto"/>
      </w:divBdr>
    </w:div>
    <w:div w:id="1025713639">
      <w:bodyDiv w:val="1"/>
      <w:marLeft w:val="0"/>
      <w:marRight w:val="0"/>
      <w:marTop w:val="0"/>
      <w:marBottom w:val="0"/>
      <w:divBdr>
        <w:top w:val="none" w:sz="0" w:space="0" w:color="auto"/>
        <w:left w:val="none" w:sz="0" w:space="0" w:color="auto"/>
        <w:bottom w:val="none" w:sz="0" w:space="0" w:color="auto"/>
        <w:right w:val="none" w:sz="0" w:space="0" w:color="auto"/>
      </w:divBdr>
    </w:div>
    <w:div w:id="1026490948">
      <w:bodyDiv w:val="1"/>
      <w:marLeft w:val="0"/>
      <w:marRight w:val="0"/>
      <w:marTop w:val="0"/>
      <w:marBottom w:val="0"/>
      <w:divBdr>
        <w:top w:val="none" w:sz="0" w:space="0" w:color="auto"/>
        <w:left w:val="none" w:sz="0" w:space="0" w:color="auto"/>
        <w:bottom w:val="none" w:sz="0" w:space="0" w:color="auto"/>
        <w:right w:val="none" w:sz="0" w:space="0" w:color="auto"/>
      </w:divBdr>
    </w:div>
    <w:div w:id="1081414954">
      <w:bodyDiv w:val="1"/>
      <w:marLeft w:val="0"/>
      <w:marRight w:val="0"/>
      <w:marTop w:val="0"/>
      <w:marBottom w:val="0"/>
      <w:divBdr>
        <w:top w:val="none" w:sz="0" w:space="0" w:color="auto"/>
        <w:left w:val="none" w:sz="0" w:space="0" w:color="auto"/>
        <w:bottom w:val="none" w:sz="0" w:space="0" w:color="auto"/>
        <w:right w:val="none" w:sz="0" w:space="0" w:color="auto"/>
      </w:divBdr>
    </w:div>
    <w:div w:id="1082027739">
      <w:bodyDiv w:val="1"/>
      <w:marLeft w:val="0"/>
      <w:marRight w:val="0"/>
      <w:marTop w:val="0"/>
      <w:marBottom w:val="0"/>
      <w:divBdr>
        <w:top w:val="none" w:sz="0" w:space="0" w:color="auto"/>
        <w:left w:val="none" w:sz="0" w:space="0" w:color="auto"/>
        <w:bottom w:val="none" w:sz="0" w:space="0" w:color="auto"/>
        <w:right w:val="none" w:sz="0" w:space="0" w:color="auto"/>
      </w:divBdr>
    </w:div>
    <w:div w:id="1096288552">
      <w:bodyDiv w:val="1"/>
      <w:marLeft w:val="0"/>
      <w:marRight w:val="0"/>
      <w:marTop w:val="0"/>
      <w:marBottom w:val="0"/>
      <w:divBdr>
        <w:top w:val="none" w:sz="0" w:space="0" w:color="auto"/>
        <w:left w:val="none" w:sz="0" w:space="0" w:color="auto"/>
        <w:bottom w:val="none" w:sz="0" w:space="0" w:color="auto"/>
        <w:right w:val="none" w:sz="0" w:space="0" w:color="auto"/>
      </w:divBdr>
    </w:div>
    <w:div w:id="1117867069">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
    <w:div w:id="1157262412">
      <w:bodyDiv w:val="1"/>
      <w:marLeft w:val="0"/>
      <w:marRight w:val="0"/>
      <w:marTop w:val="0"/>
      <w:marBottom w:val="0"/>
      <w:divBdr>
        <w:top w:val="none" w:sz="0" w:space="0" w:color="auto"/>
        <w:left w:val="none" w:sz="0" w:space="0" w:color="auto"/>
        <w:bottom w:val="none" w:sz="0" w:space="0" w:color="auto"/>
        <w:right w:val="none" w:sz="0" w:space="0" w:color="auto"/>
      </w:divBdr>
    </w:div>
    <w:div w:id="1178302120">
      <w:bodyDiv w:val="1"/>
      <w:marLeft w:val="0"/>
      <w:marRight w:val="0"/>
      <w:marTop w:val="0"/>
      <w:marBottom w:val="0"/>
      <w:divBdr>
        <w:top w:val="none" w:sz="0" w:space="0" w:color="auto"/>
        <w:left w:val="none" w:sz="0" w:space="0" w:color="auto"/>
        <w:bottom w:val="none" w:sz="0" w:space="0" w:color="auto"/>
        <w:right w:val="none" w:sz="0" w:space="0" w:color="auto"/>
      </w:divBdr>
    </w:div>
    <w:div w:id="1194148122">
      <w:bodyDiv w:val="1"/>
      <w:marLeft w:val="0"/>
      <w:marRight w:val="0"/>
      <w:marTop w:val="0"/>
      <w:marBottom w:val="0"/>
      <w:divBdr>
        <w:top w:val="none" w:sz="0" w:space="0" w:color="auto"/>
        <w:left w:val="none" w:sz="0" w:space="0" w:color="auto"/>
        <w:bottom w:val="none" w:sz="0" w:space="0" w:color="auto"/>
        <w:right w:val="none" w:sz="0" w:space="0" w:color="auto"/>
      </w:divBdr>
    </w:div>
    <w:div w:id="1235820451">
      <w:bodyDiv w:val="1"/>
      <w:marLeft w:val="0"/>
      <w:marRight w:val="0"/>
      <w:marTop w:val="0"/>
      <w:marBottom w:val="0"/>
      <w:divBdr>
        <w:top w:val="none" w:sz="0" w:space="0" w:color="auto"/>
        <w:left w:val="none" w:sz="0" w:space="0" w:color="auto"/>
        <w:bottom w:val="none" w:sz="0" w:space="0" w:color="auto"/>
        <w:right w:val="none" w:sz="0" w:space="0" w:color="auto"/>
      </w:divBdr>
    </w:div>
    <w:div w:id="1263804688">
      <w:bodyDiv w:val="1"/>
      <w:marLeft w:val="0"/>
      <w:marRight w:val="0"/>
      <w:marTop w:val="0"/>
      <w:marBottom w:val="0"/>
      <w:divBdr>
        <w:top w:val="none" w:sz="0" w:space="0" w:color="auto"/>
        <w:left w:val="none" w:sz="0" w:space="0" w:color="auto"/>
        <w:bottom w:val="none" w:sz="0" w:space="0" w:color="auto"/>
        <w:right w:val="none" w:sz="0" w:space="0" w:color="auto"/>
      </w:divBdr>
    </w:div>
    <w:div w:id="1292444790">
      <w:bodyDiv w:val="1"/>
      <w:marLeft w:val="0"/>
      <w:marRight w:val="0"/>
      <w:marTop w:val="0"/>
      <w:marBottom w:val="0"/>
      <w:divBdr>
        <w:top w:val="none" w:sz="0" w:space="0" w:color="auto"/>
        <w:left w:val="none" w:sz="0" w:space="0" w:color="auto"/>
        <w:bottom w:val="none" w:sz="0" w:space="0" w:color="auto"/>
        <w:right w:val="none" w:sz="0" w:space="0" w:color="auto"/>
      </w:divBdr>
    </w:div>
    <w:div w:id="1312519234">
      <w:bodyDiv w:val="1"/>
      <w:marLeft w:val="0"/>
      <w:marRight w:val="0"/>
      <w:marTop w:val="0"/>
      <w:marBottom w:val="0"/>
      <w:divBdr>
        <w:top w:val="none" w:sz="0" w:space="0" w:color="auto"/>
        <w:left w:val="none" w:sz="0" w:space="0" w:color="auto"/>
        <w:bottom w:val="none" w:sz="0" w:space="0" w:color="auto"/>
        <w:right w:val="none" w:sz="0" w:space="0" w:color="auto"/>
      </w:divBdr>
    </w:div>
    <w:div w:id="1333097422">
      <w:bodyDiv w:val="1"/>
      <w:marLeft w:val="0"/>
      <w:marRight w:val="0"/>
      <w:marTop w:val="0"/>
      <w:marBottom w:val="0"/>
      <w:divBdr>
        <w:top w:val="none" w:sz="0" w:space="0" w:color="auto"/>
        <w:left w:val="none" w:sz="0" w:space="0" w:color="auto"/>
        <w:bottom w:val="none" w:sz="0" w:space="0" w:color="auto"/>
        <w:right w:val="none" w:sz="0" w:space="0" w:color="auto"/>
      </w:divBdr>
    </w:div>
    <w:div w:id="1362783535">
      <w:bodyDiv w:val="1"/>
      <w:marLeft w:val="0"/>
      <w:marRight w:val="0"/>
      <w:marTop w:val="0"/>
      <w:marBottom w:val="0"/>
      <w:divBdr>
        <w:top w:val="none" w:sz="0" w:space="0" w:color="auto"/>
        <w:left w:val="none" w:sz="0" w:space="0" w:color="auto"/>
        <w:bottom w:val="none" w:sz="0" w:space="0" w:color="auto"/>
        <w:right w:val="none" w:sz="0" w:space="0" w:color="auto"/>
      </w:divBdr>
    </w:div>
    <w:div w:id="1465153039">
      <w:bodyDiv w:val="1"/>
      <w:marLeft w:val="0"/>
      <w:marRight w:val="0"/>
      <w:marTop w:val="0"/>
      <w:marBottom w:val="0"/>
      <w:divBdr>
        <w:top w:val="none" w:sz="0" w:space="0" w:color="auto"/>
        <w:left w:val="none" w:sz="0" w:space="0" w:color="auto"/>
        <w:bottom w:val="none" w:sz="0" w:space="0" w:color="auto"/>
        <w:right w:val="none" w:sz="0" w:space="0" w:color="auto"/>
      </w:divBdr>
    </w:div>
    <w:div w:id="1468812119">
      <w:bodyDiv w:val="1"/>
      <w:marLeft w:val="0"/>
      <w:marRight w:val="0"/>
      <w:marTop w:val="0"/>
      <w:marBottom w:val="0"/>
      <w:divBdr>
        <w:top w:val="none" w:sz="0" w:space="0" w:color="auto"/>
        <w:left w:val="none" w:sz="0" w:space="0" w:color="auto"/>
        <w:bottom w:val="none" w:sz="0" w:space="0" w:color="auto"/>
        <w:right w:val="none" w:sz="0" w:space="0" w:color="auto"/>
      </w:divBdr>
    </w:div>
    <w:div w:id="1502357313">
      <w:bodyDiv w:val="1"/>
      <w:marLeft w:val="0"/>
      <w:marRight w:val="0"/>
      <w:marTop w:val="0"/>
      <w:marBottom w:val="0"/>
      <w:divBdr>
        <w:top w:val="none" w:sz="0" w:space="0" w:color="auto"/>
        <w:left w:val="none" w:sz="0" w:space="0" w:color="auto"/>
        <w:bottom w:val="none" w:sz="0" w:space="0" w:color="auto"/>
        <w:right w:val="none" w:sz="0" w:space="0" w:color="auto"/>
      </w:divBdr>
    </w:div>
    <w:div w:id="1547108569">
      <w:bodyDiv w:val="1"/>
      <w:marLeft w:val="0"/>
      <w:marRight w:val="0"/>
      <w:marTop w:val="0"/>
      <w:marBottom w:val="0"/>
      <w:divBdr>
        <w:top w:val="none" w:sz="0" w:space="0" w:color="auto"/>
        <w:left w:val="none" w:sz="0" w:space="0" w:color="auto"/>
        <w:bottom w:val="none" w:sz="0" w:space="0" w:color="auto"/>
        <w:right w:val="none" w:sz="0" w:space="0" w:color="auto"/>
      </w:divBdr>
    </w:div>
    <w:div w:id="1567645142">
      <w:bodyDiv w:val="1"/>
      <w:marLeft w:val="0"/>
      <w:marRight w:val="0"/>
      <w:marTop w:val="0"/>
      <w:marBottom w:val="0"/>
      <w:divBdr>
        <w:top w:val="none" w:sz="0" w:space="0" w:color="auto"/>
        <w:left w:val="none" w:sz="0" w:space="0" w:color="auto"/>
        <w:bottom w:val="none" w:sz="0" w:space="0" w:color="auto"/>
        <w:right w:val="none" w:sz="0" w:space="0" w:color="auto"/>
      </w:divBdr>
    </w:div>
    <w:div w:id="1581449555">
      <w:bodyDiv w:val="1"/>
      <w:marLeft w:val="0"/>
      <w:marRight w:val="0"/>
      <w:marTop w:val="0"/>
      <w:marBottom w:val="0"/>
      <w:divBdr>
        <w:top w:val="none" w:sz="0" w:space="0" w:color="auto"/>
        <w:left w:val="none" w:sz="0" w:space="0" w:color="auto"/>
        <w:bottom w:val="none" w:sz="0" w:space="0" w:color="auto"/>
        <w:right w:val="none" w:sz="0" w:space="0" w:color="auto"/>
      </w:divBdr>
    </w:div>
    <w:div w:id="1623266558">
      <w:bodyDiv w:val="1"/>
      <w:marLeft w:val="0"/>
      <w:marRight w:val="0"/>
      <w:marTop w:val="0"/>
      <w:marBottom w:val="0"/>
      <w:divBdr>
        <w:top w:val="none" w:sz="0" w:space="0" w:color="auto"/>
        <w:left w:val="none" w:sz="0" w:space="0" w:color="auto"/>
        <w:bottom w:val="none" w:sz="0" w:space="0" w:color="auto"/>
        <w:right w:val="none" w:sz="0" w:space="0" w:color="auto"/>
      </w:divBdr>
    </w:div>
    <w:div w:id="1645502820">
      <w:bodyDiv w:val="1"/>
      <w:marLeft w:val="0"/>
      <w:marRight w:val="0"/>
      <w:marTop w:val="0"/>
      <w:marBottom w:val="0"/>
      <w:divBdr>
        <w:top w:val="none" w:sz="0" w:space="0" w:color="auto"/>
        <w:left w:val="none" w:sz="0" w:space="0" w:color="auto"/>
        <w:bottom w:val="none" w:sz="0" w:space="0" w:color="auto"/>
        <w:right w:val="none" w:sz="0" w:space="0" w:color="auto"/>
      </w:divBdr>
    </w:div>
    <w:div w:id="1649165275">
      <w:bodyDiv w:val="1"/>
      <w:marLeft w:val="0"/>
      <w:marRight w:val="0"/>
      <w:marTop w:val="0"/>
      <w:marBottom w:val="0"/>
      <w:divBdr>
        <w:top w:val="none" w:sz="0" w:space="0" w:color="auto"/>
        <w:left w:val="none" w:sz="0" w:space="0" w:color="auto"/>
        <w:bottom w:val="none" w:sz="0" w:space="0" w:color="auto"/>
        <w:right w:val="none" w:sz="0" w:space="0" w:color="auto"/>
      </w:divBdr>
    </w:div>
    <w:div w:id="1659310166">
      <w:bodyDiv w:val="1"/>
      <w:marLeft w:val="0"/>
      <w:marRight w:val="0"/>
      <w:marTop w:val="0"/>
      <w:marBottom w:val="0"/>
      <w:divBdr>
        <w:top w:val="none" w:sz="0" w:space="0" w:color="auto"/>
        <w:left w:val="none" w:sz="0" w:space="0" w:color="auto"/>
        <w:bottom w:val="none" w:sz="0" w:space="0" w:color="auto"/>
        <w:right w:val="none" w:sz="0" w:space="0" w:color="auto"/>
      </w:divBdr>
    </w:div>
    <w:div w:id="1721319214">
      <w:bodyDiv w:val="1"/>
      <w:marLeft w:val="0"/>
      <w:marRight w:val="0"/>
      <w:marTop w:val="0"/>
      <w:marBottom w:val="0"/>
      <w:divBdr>
        <w:top w:val="none" w:sz="0" w:space="0" w:color="auto"/>
        <w:left w:val="none" w:sz="0" w:space="0" w:color="auto"/>
        <w:bottom w:val="none" w:sz="0" w:space="0" w:color="auto"/>
        <w:right w:val="none" w:sz="0" w:space="0" w:color="auto"/>
      </w:divBdr>
    </w:div>
    <w:div w:id="1774665325">
      <w:bodyDiv w:val="1"/>
      <w:marLeft w:val="0"/>
      <w:marRight w:val="0"/>
      <w:marTop w:val="0"/>
      <w:marBottom w:val="0"/>
      <w:divBdr>
        <w:top w:val="none" w:sz="0" w:space="0" w:color="auto"/>
        <w:left w:val="none" w:sz="0" w:space="0" w:color="auto"/>
        <w:bottom w:val="none" w:sz="0" w:space="0" w:color="auto"/>
        <w:right w:val="none" w:sz="0" w:space="0" w:color="auto"/>
      </w:divBdr>
    </w:div>
    <w:div w:id="1777093824">
      <w:bodyDiv w:val="1"/>
      <w:marLeft w:val="0"/>
      <w:marRight w:val="0"/>
      <w:marTop w:val="0"/>
      <w:marBottom w:val="0"/>
      <w:divBdr>
        <w:top w:val="none" w:sz="0" w:space="0" w:color="auto"/>
        <w:left w:val="none" w:sz="0" w:space="0" w:color="auto"/>
        <w:bottom w:val="none" w:sz="0" w:space="0" w:color="auto"/>
        <w:right w:val="none" w:sz="0" w:space="0" w:color="auto"/>
      </w:divBdr>
    </w:div>
    <w:div w:id="1826816378">
      <w:bodyDiv w:val="1"/>
      <w:marLeft w:val="0"/>
      <w:marRight w:val="0"/>
      <w:marTop w:val="0"/>
      <w:marBottom w:val="0"/>
      <w:divBdr>
        <w:top w:val="none" w:sz="0" w:space="0" w:color="auto"/>
        <w:left w:val="none" w:sz="0" w:space="0" w:color="auto"/>
        <w:bottom w:val="none" w:sz="0" w:space="0" w:color="auto"/>
        <w:right w:val="none" w:sz="0" w:space="0" w:color="auto"/>
      </w:divBdr>
    </w:div>
    <w:div w:id="1894582040">
      <w:bodyDiv w:val="1"/>
      <w:marLeft w:val="0"/>
      <w:marRight w:val="0"/>
      <w:marTop w:val="0"/>
      <w:marBottom w:val="0"/>
      <w:divBdr>
        <w:top w:val="none" w:sz="0" w:space="0" w:color="auto"/>
        <w:left w:val="none" w:sz="0" w:space="0" w:color="auto"/>
        <w:bottom w:val="none" w:sz="0" w:space="0" w:color="auto"/>
        <w:right w:val="none" w:sz="0" w:space="0" w:color="auto"/>
      </w:divBdr>
    </w:div>
    <w:div w:id="1906715841">
      <w:bodyDiv w:val="1"/>
      <w:marLeft w:val="0"/>
      <w:marRight w:val="0"/>
      <w:marTop w:val="0"/>
      <w:marBottom w:val="0"/>
      <w:divBdr>
        <w:top w:val="none" w:sz="0" w:space="0" w:color="auto"/>
        <w:left w:val="none" w:sz="0" w:space="0" w:color="auto"/>
        <w:bottom w:val="none" w:sz="0" w:space="0" w:color="auto"/>
        <w:right w:val="none" w:sz="0" w:space="0" w:color="auto"/>
      </w:divBdr>
    </w:div>
    <w:div w:id="1935168813">
      <w:bodyDiv w:val="1"/>
      <w:marLeft w:val="0"/>
      <w:marRight w:val="0"/>
      <w:marTop w:val="0"/>
      <w:marBottom w:val="0"/>
      <w:divBdr>
        <w:top w:val="none" w:sz="0" w:space="0" w:color="auto"/>
        <w:left w:val="none" w:sz="0" w:space="0" w:color="auto"/>
        <w:bottom w:val="none" w:sz="0" w:space="0" w:color="auto"/>
        <w:right w:val="none" w:sz="0" w:space="0" w:color="auto"/>
      </w:divBdr>
    </w:div>
    <w:div w:id="2046826722">
      <w:bodyDiv w:val="1"/>
      <w:marLeft w:val="0"/>
      <w:marRight w:val="0"/>
      <w:marTop w:val="0"/>
      <w:marBottom w:val="0"/>
      <w:divBdr>
        <w:top w:val="none" w:sz="0" w:space="0" w:color="auto"/>
        <w:left w:val="none" w:sz="0" w:space="0" w:color="auto"/>
        <w:bottom w:val="none" w:sz="0" w:space="0" w:color="auto"/>
        <w:right w:val="none" w:sz="0" w:space="0" w:color="auto"/>
      </w:divBdr>
    </w:div>
    <w:div w:id="2089645426">
      <w:bodyDiv w:val="1"/>
      <w:marLeft w:val="0"/>
      <w:marRight w:val="0"/>
      <w:marTop w:val="0"/>
      <w:marBottom w:val="0"/>
      <w:divBdr>
        <w:top w:val="none" w:sz="0" w:space="0" w:color="auto"/>
        <w:left w:val="none" w:sz="0" w:space="0" w:color="auto"/>
        <w:bottom w:val="none" w:sz="0" w:space="0" w:color="auto"/>
        <w:right w:val="none" w:sz="0" w:space="0" w:color="auto"/>
      </w:divBdr>
    </w:div>
    <w:div w:id="2097550282">
      <w:bodyDiv w:val="1"/>
      <w:marLeft w:val="0"/>
      <w:marRight w:val="0"/>
      <w:marTop w:val="0"/>
      <w:marBottom w:val="0"/>
      <w:divBdr>
        <w:top w:val="none" w:sz="0" w:space="0" w:color="auto"/>
        <w:left w:val="none" w:sz="0" w:space="0" w:color="auto"/>
        <w:bottom w:val="none" w:sz="0" w:space="0" w:color="auto"/>
        <w:right w:val="none" w:sz="0" w:space="0" w:color="auto"/>
      </w:divBdr>
    </w:div>
    <w:div w:id="2106531711">
      <w:bodyDiv w:val="1"/>
      <w:marLeft w:val="0"/>
      <w:marRight w:val="0"/>
      <w:marTop w:val="0"/>
      <w:marBottom w:val="0"/>
      <w:divBdr>
        <w:top w:val="none" w:sz="0" w:space="0" w:color="auto"/>
        <w:left w:val="none" w:sz="0" w:space="0" w:color="auto"/>
        <w:bottom w:val="none" w:sz="0" w:space="0" w:color="auto"/>
        <w:right w:val="none" w:sz="0" w:space="0" w:color="auto"/>
      </w:divBdr>
    </w:div>
    <w:div w:id="2126927545">
      <w:bodyDiv w:val="1"/>
      <w:marLeft w:val="0"/>
      <w:marRight w:val="0"/>
      <w:marTop w:val="0"/>
      <w:marBottom w:val="0"/>
      <w:divBdr>
        <w:top w:val="none" w:sz="0" w:space="0" w:color="auto"/>
        <w:left w:val="none" w:sz="0" w:space="0" w:color="auto"/>
        <w:bottom w:val="none" w:sz="0" w:space="0" w:color="auto"/>
        <w:right w:val="none" w:sz="0" w:space="0" w:color="auto"/>
      </w:divBdr>
    </w:div>
    <w:div w:id="214322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EBF8558D4C1478480F84718974AE1" ma:contentTypeVersion="1" ma:contentTypeDescription="Create a new document." ma:contentTypeScope="" ma:versionID="7feeafc5b1fabb013b858f91d2f8780c">
  <xsd:schema xmlns:xsd="http://www.w3.org/2001/XMLSchema" xmlns:p="http://schemas.microsoft.com/office/2006/metadata/properties" xmlns:ns2="a58b86fa-2c86-422d-85d4-8c8983b81155" targetNamespace="http://schemas.microsoft.com/office/2006/metadata/properties" ma:root="true" ma:fieldsID="d3cbcf706115b8b94ec292711f1b6d28" ns2:_="">
    <xsd:import namespace="a58b86fa-2c86-422d-85d4-8c8983b81155"/>
    <xsd:element name="properties">
      <xsd:complexType>
        <xsd:sequence>
          <xsd:element name="documentManagement">
            <xsd:complexType>
              <xsd:all>
                <xsd:element ref="ns2:Category"/>
              </xsd:all>
            </xsd:complexType>
          </xsd:element>
        </xsd:sequence>
      </xsd:complexType>
    </xsd:element>
  </xsd:schema>
  <xsd:schema xmlns:xsd="http://www.w3.org/2001/XMLSchema" xmlns:dms="http://schemas.microsoft.com/office/2006/documentManagement/types" targetNamespace="a58b86fa-2c86-422d-85d4-8c8983b81155" elementFormDefault="qualified">
    <xsd:import namespace="http://schemas.microsoft.com/office/2006/documentManagement/types"/>
    <xsd:element name="Category" ma:index="8" ma:displayName="Category" ma:default="Word" ma:format="Dropdown" ma:internalName="Category">
      <xsd:simpleType>
        <xsd:restriction base="dms:Choice">
          <xsd:enumeration value="Word"/>
          <xsd:enumeration value="Excel"/>
          <xsd:enumeration value="PowerPoint"/>
          <xsd:enumeration value="Visio"/>
          <xsd:enumeration value="Archiv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ategory xmlns="a58b86fa-2c86-422d-85d4-8c8983b81155">Word</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684D6-5228-48F8-9498-519E356FA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b86fa-2c86-422d-85d4-8c8983b8115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CA43DDE-836B-47E9-A861-5A9715B5E1B4}">
  <ds:schemaRefs>
    <ds:schemaRef ds:uri="http://schemas.microsoft.com/office/2006/metadata/properties"/>
    <ds:schemaRef ds:uri="a58b86fa-2c86-422d-85d4-8c8983b81155"/>
  </ds:schemaRefs>
</ds:datastoreItem>
</file>

<file path=customXml/itemProps3.xml><?xml version="1.0" encoding="utf-8"?>
<ds:datastoreItem xmlns:ds="http://schemas.openxmlformats.org/officeDocument/2006/customXml" ds:itemID="{78B95E24-7965-4349-8F81-44A7BAF3A6C7}">
  <ds:schemaRefs>
    <ds:schemaRef ds:uri="http://schemas.microsoft.com/sharepoint/v3/contenttype/forms"/>
  </ds:schemaRefs>
</ds:datastoreItem>
</file>

<file path=customXml/itemProps4.xml><?xml version="1.0" encoding="utf-8"?>
<ds:datastoreItem xmlns:ds="http://schemas.openxmlformats.org/officeDocument/2006/customXml" ds:itemID="{3B561351-5AEC-46CC-9378-A2FC6E63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MDRC Memo Template</vt:lpstr>
    </vt:vector>
  </TitlesOfParts>
  <Company>MDRC</Company>
  <LinksUpToDate>false</LinksUpToDate>
  <CharactersWithSpaces>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MDRC Memo Template</dc:title>
  <dc:creator>Nellie Ng</dc:creator>
  <cp:lastModifiedBy>Shira Mattera</cp:lastModifiedBy>
  <cp:revision>3</cp:revision>
  <cp:lastPrinted>2012-03-15T17:30:00Z</cp:lastPrinted>
  <dcterms:created xsi:type="dcterms:W3CDTF">2012-04-04T14:02:00Z</dcterms:created>
  <dcterms:modified xsi:type="dcterms:W3CDTF">2012-04-04T14:02:00Z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0x010100B58EBF8558D4C1478480F84718974AE1</vt:lpwstr>
  </property>
</Properties>
</file>