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51B" w:rsidRPr="000E39BC" w:rsidRDefault="00036D94" w:rsidP="003149D0">
      <w:pPr>
        <w:spacing w:line="276" w:lineRule="auto"/>
        <w:jc w:val="center"/>
        <w:rPr>
          <w:sz w:val="24"/>
          <w:szCs w:val="24"/>
        </w:rPr>
      </w:pPr>
      <w:bookmarkStart w:id="0" w:name="_GoBack"/>
      <w:bookmarkEnd w:id="0"/>
      <w:r>
        <w:rPr>
          <w:sz w:val="24"/>
          <w:szCs w:val="24"/>
        </w:rPr>
        <w:t xml:space="preserve">Health Professions Student Loans (HPSL), Primary Care Loans (PCL), Loans for Disadvantaged Students (LDS), and Nursing Student Loans (NSL) </w:t>
      </w:r>
      <w:r w:rsidR="0009751B" w:rsidRPr="000E39BC">
        <w:rPr>
          <w:sz w:val="24"/>
          <w:szCs w:val="24"/>
        </w:rPr>
        <w:t>Programs - Forms</w:t>
      </w:r>
    </w:p>
    <w:p w:rsidR="0009751B" w:rsidRPr="000E39BC" w:rsidRDefault="0009751B" w:rsidP="003149D0">
      <w:pPr>
        <w:spacing w:before="280" w:line="276" w:lineRule="auto"/>
        <w:rPr>
          <w:sz w:val="24"/>
          <w:szCs w:val="24"/>
        </w:rPr>
      </w:pPr>
      <w:r w:rsidRPr="000E39BC">
        <w:rPr>
          <w:sz w:val="24"/>
          <w:szCs w:val="24"/>
        </w:rPr>
        <w:t xml:space="preserve">                                         SUPPORTING STATEMENT</w:t>
      </w:r>
    </w:p>
    <w:p w:rsidR="0009751B" w:rsidRDefault="0009751B" w:rsidP="003149D0">
      <w:pPr>
        <w:spacing w:before="260" w:line="276" w:lineRule="auto"/>
        <w:ind w:right="5000"/>
        <w:rPr>
          <w:sz w:val="24"/>
          <w:szCs w:val="24"/>
        </w:rPr>
      </w:pPr>
      <w:r w:rsidRPr="000E39BC">
        <w:rPr>
          <w:sz w:val="24"/>
          <w:szCs w:val="24"/>
        </w:rPr>
        <w:t>A. Justi</w:t>
      </w:r>
      <w:r w:rsidRPr="001918C0">
        <w:rPr>
          <w:sz w:val="24"/>
          <w:szCs w:val="24"/>
        </w:rPr>
        <w:t>fi</w:t>
      </w:r>
      <w:r w:rsidRPr="000E39BC">
        <w:rPr>
          <w:sz w:val="24"/>
          <w:szCs w:val="24"/>
        </w:rPr>
        <w:t xml:space="preserve">cation </w:t>
      </w:r>
    </w:p>
    <w:p w:rsidR="0009751B" w:rsidRPr="000E39BC" w:rsidRDefault="0009751B" w:rsidP="003149D0">
      <w:pPr>
        <w:spacing w:before="260" w:line="276" w:lineRule="auto"/>
        <w:ind w:right="5000"/>
        <w:rPr>
          <w:sz w:val="24"/>
          <w:szCs w:val="24"/>
        </w:rPr>
      </w:pPr>
      <w:r w:rsidRPr="000E39BC">
        <w:rPr>
          <w:sz w:val="24"/>
          <w:szCs w:val="24"/>
        </w:rPr>
        <w:t xml:space="preserve">1. </w:t>
      </w:r>
      <w:r w:rsidRPr="000E39BC">
        <w:rPr>
          <w:sz w:val="24"/>
          <w:szCs w:val="24"/>
          <w:u w:val="single"/>
        </w:rPr>
        <w:t>Circumstances of Information Collection</w:t>
      </w:r>
    </w:p>
    <w:p w:rsidR="0009751B" w:rsidRPr="000E39BC" w:rsidRDefault="0009751B" w:rsidP="003149D0">
      <w:pPr>
        <w:spacing w:line="276" w:lineRule="auto"/>
        <w:rPr>
          <w:sz w:val="24"/>
          <w:szCs w:val="24"/>
        </w:rPr>
      </w:pPr>
      <w:r w:rsidRPr="000E39BC">
        <w:rPr>
          <w:sz w:val="24"/>
          <w:szCs w:val="24"/>
        </w:rPr>
        <w:t xml:space="preserve">This is a request </w:t>
      </w:r>
      <w:r w:rsidR="000F620F">
        <w:rPr>
          <w:sz w:val="24"/>
          <w:szCs w:val="24"/>
        </w:rPr>
        <w:t>for a</w:t>
      </w:r>
      <w:r>
        <w:rPr>
          <w:sz w:val="24"/>
          <w:szCs w:val="24"/>
        </w:rPr>
        <w:t xml:space="preserve"> </w:t>
      </w:r>
      <w:r w:rsidR="007E521A">
        <w:rPr>
          <w:sz w:val="24"/>
          <w:szCs w:val="24"/>
        </w:rPr>
        <w:t xml:space="preserve">revision </w:t>
      </w:r>
      <w:r>
        <w:rPr>
          <w:sz w:val="24"/>
          <w:szCs w:val="24"/>
        </w:rPr>
        <w:t>of</w:t>
      </w:r>
      <w:r w:rsidRPr="000E39BC">
        <w:rPr>
          <w:sz w:val="24"/>
          <w:szCs w:val="24"/>
        </w:rPr>
        <w:t xml:space="preserve"> OMB approval for the administrative forms used by the Health Professions Student Loan (HPSL)</w:t>
      </w:r>
      <w:r w:rsidR="001923B8">
        <w:rPr>
          <w:sz w:val="24"/>
          <w:szCs w:val="24"/>
        </w:rPr>
        <w:t>,</w:t>
      </w:r>
      <w:r w:rsidRPr="000E39BC">
        <w:rPr>
          <w:sz w:val="24"/>
          <w:szCs w:val="24"/>
        </w:rPr>
        <w:t xml:space="preserve"> </w:t>
      </w:r>
      <w:r w:rsidR="009E61C6">
        <w:rPr>
          <w:sz w:val="24"/>
          <w:szCs w:val="24"/>
        </w:rPr>
        <w:t xml:space="preserve">Primary Care Loans (PCL), Loans for Disadvantaged Students (LDS), and the </w:t>
      </w:r>
      <w:r w:rsidRPr="000E39BC">
        <w:rPr>
          <w:sz w:val="24"/>
          <w:szCs w:val="24"/>
        </w:rPr>
        <w:t>Nursing Student Loan (NSL) Programs of the Health</w:t>
      </w:r>
      <w:r w:rsidRPr="000E39BC">
        <w:rPr>
          <w:color w:val="007F00"/>
          <w:sz w:val="24"/>
          <w:szCs w:val="24"/>
        </w:rPr>
        <w:t xml:space="preserve"> </w:t>
      </w:r>
      <w:r w:rsidRPr="000E39BC">
        <w:rPr>
          <w:sz w:val="24"/>
          <w:szCs w:val="24"/>
        </w:rPr>
        <w:t>Resources and Services Administration</w:t>
      </w:r>
      <w:r w:rsidR="003B2945">
        <w:rPr>
          <w:sz w:val="24"/>
          <w:szCs w:val="24"/>
        </w:rPr>
        <w:t xml:space="preserve"> (HRSA)</w:t>
      </w:r>
      <w:r w:rsidRPr="000E39BC">
        <w:rPr>
          <w:sz w:val="24"/>
          <w:szCs w:val="24"/>
        </w:rPr>
        <w:t>. The forms are cleared under 0MB No. 0915-0044</w:t>
      </w:r>
      <w:r>
        <w:rPr>
          <w:sz w:val="24"/>
          <w:szCs w:val="24"/>
        </w:rPr>
        <w:t xml:space="preserve"> and are provided </w:t>
      </w:r>
      <w:r w:rsidR="0035271F">
        <w:rPr>
          <w:sz w:val="24"/>
          <w:szCs w:val="24"/>
        </w:rPr>
        <w:t>as attachments</w:t>
      </w:r>
      <w:r w:rsidRPr="000E39BC">
        <w:rPr>
          <w:sz w:val="24"/>
          <w:szCs w:val="24"/>
        </w:rPr>
        <w:t>. The expiration date for the current approval is 0</w:t>
      </w:r>
      <w:r w:rsidR="002D28D9">
        <w:rPr>
          <w:sz w:val="24"/>
          <w:szCs w:val="24"/>
        </w:rPr>
        <w:t>5/31/12</w:t>
      </w:r>
      <w:r w:rsidRPr="000E39BC">
        <w:rPr>
          <w:sz w:val="24"/>
          <w:szCs w:val="24"/>
        </w:rPr>
        <w:t>.</w:t>
      </w:r>
      <w:r>
        <w:rPr>
          <w:sz w:val="24"/>
          <w:szCs w:val="24"/>
        </w:rPr>
        <w:t xml:space="preserve">  There </w:t>
      </w:r>
      <w:r w:rsidR="00E20E24" w:rsidRPr="00B15AA4">
        <w:rPr>
          <w:sz w:val="24"/>
          <w:szCs w:val="24"/>
        </w:rPr>
        <w:t xml:space="preserve">have been </w:t>
      </w:r>
      <w:r w:rsidR="008F223D">
        <w:rPr>
          <w:sz w:val="24"/>
          <w:szCs w:val="24"/>
        </w:rPr>
        <w:t xml:space="preserve">no </w:t>
      </w:r>
      <w:r w:rsidR="00E20E24" w:rsidRPr="00B15AA4">
        <w:rPr>
          <w:sz w:val="24"/>
          <w:szCs w:val="24"/>
        </w:rPr>
        <w:t>changes</w:t>
      </w:r>
      <w:r w:rsidR="00E20E24">
        <w:rPr>
          <w:b/>
          <w:sz w:val="24"/>
          <w:szCs w:val="24"/>
        </w:rPr>
        <w:t xml:space="preserve"> </w:t>
      </w:r>
      <w:r>
        <w:rPr>
          <w:sz w:val="24"/>
          <w:szCs w:val="24"/>
        </w:rPr>
        <w:t xml:space="preserve">to the </w:t>
      </w:r>
      <w:r w:rsidR="008F223D">
        <w:rPr>
          <w:sz w:val="24"/>
          <w:szCs w:val="24"/>
        </w:rPr>
        <w:t xml:space="preserve">financial accounting part of the </w:t>
      </w:r>
      <w:r>
        <w:rPr>
          <w:sz w:val="24"/>
          <w:szCs w:val="24"/>
        </w:rPr>
        <w:t>forms</w:t>
      </w:r>
      <w:r w:rsidR="008F223D">
        <w:rPr>
          <w:sz w:val="24"/>
          <w:szCs w:val="24"/>
        </w:rPr>
        <w:t xml:space="preserve"> (pages 2 – 6), but the first section (Page 1) has </w:t>
      </w:r>
      <w:r w:rsidR="00557246">
        <w:rPr>
          <w:sz w:val="24"/>
          <w:szCs w:val="24"/>
        </w:rPr>
        <w:t xml:space="preserve">not only the questions from the last approved AOR, but has also </w:t>
      </w:r>
      <w:r w:rsidR="008F223D">
        <w:rPr>
          <w:sz w:val="24"/>
          <w:szCs w:val="24"/>
        </w:rPr>
        <w:t xml:space="preserve">incorporated some questions that had been asked previously on a PPR form and added </w:t>
      </w:r>
      <w:r w:rsidR="00557246">
        <w:rPr>
          <w:sz w:val="24"/>
          <w:szCs w:val="24"/>
        </w:rPr>
        <w:t xml:space="preserve">a few </w:t>
      </w:r>
      <w:r w:rsidR="008F223D">
        <w:rPr>
          <w:sz w:val="24"/>
          <w:szCs w:val="24"/>
        </w:rPr>
        <w:t xml:space="preserve">new </w:t>
      </w:r>
      <w:r w:rsidR="000957D2">
        <w:rPr>
          <w:sz w:val="24"/>
          <w:szCs w:val="24"/>
        </w:rPr>
        <w:t xml:space="preserve">performance </w:t>
      </w:r>
      <w:r w:rsidR="008F223D">
        <w:rPr>
          <w:sz w:val="24"/>
          <w:szCs w:val="24"/>
        </w:rPr>
        <w:t>questions regarding students’ and the schools’ success</w:t>
      </w:r>
      <w:r>
        <w:rPr>
          <w:sz w:val="24"/>
          <w:szCs w:val="24"/>
        </w:rPr>
        <w:t>.</w:t>
      </w:r>
      <w:r w:rsidR="00557246">
        <w:rPr>
          <w:sz w:val="24"/>
          <w:szCs w:val="24"/>
        </w:rPr>
        <w:t xml:space="preserve"> </w:t>
      </w:r>
    </w:p>
    <w:p w:rsidR="0009751B" w:rsidRPr="000E39BC" w:rsidRDefault="0009751B" w:rsidP="003149D0">
      <w:pPr>
        <w:spacing w:line="276" w:lineRule="auto"/>
        <w:rPr>
          <w:sz w:val="24"/>
          <w:szCs w:val="24"/>
        </w:rPr>
      </w:pPr>
      <w:r w:rsidRPr="000E39BC">
        <w:rPr>
          <w:sz w:val="24"/>
          <w:szCs w:val="24"/>
        </w:rPr>
        <w:t xml:space="preserve">The </w:t>
      </w:r>
      <w:r w:rsidR="000305DF" w:rsidRPr="000E39BC">
        <w:rPr>
          <w:sz w:val="24"/>
          <w:szCs w:val="24"/>
        </w:rPr>
        <w:t xml:space="preserve">Health Professions Student </w:t>
      </w:r>
      <w:r w:rsidR="000305DF" w:rsidRPr="00AA1AD0">
        <w:rPr>
          <w:sz w:val="24"/>
          <w:szCs w:val="24"/>
        </w:rPr>
        <w:t>Loan (</w:t>
      </w:r>
      <w:r w:rsidRPr="00AA1AD0">
        <w:rPr>
          <w:sz w:val="24"/>
          <w:szCs w:val="24"/>
        </w:rPr>
        <w:t>HPSL</w:t>
      </w:r>
      <w:r w:rsidR="000305DF" w:rsidRPr="00AA1AD0">
        <w:rPr>
          <w:sz w:val="24"/>
          <w:szCs w:val="24"/>
        </w:rPr>
        <w:t>)</w:t>
      </w:r>
      <w:r w:rsidRPr="00AA1AD0">
        <w:rPr>
          <w:sz w:val="24"/>
          <w:szCs w:val="24"/>
        </w:rPr>
        <w:t xml:space="preserve"> program,</w:t>
      </w:r>
      <w:r w:rsidRPr="000E39BC">
        <w:rPr>
          <w:sz w:val="24"/>
          <w:szCs w:val="24"/>
        </w:rPr>
        <w:t xml:space="preserve"> authorized by sections 721-735 of the Public Health Service (PHS) Act, 42 U.S.C</w:t>
      </w:r>
      <w:r w:rsidRPr="000E39BC">
        <w:rPr>
          <w:color w:val="007F00"/>
          <w:sz w:val="24"/>
          <w:szCs w:val="24"/>
        </w:rPr>
        <w:t>.</w:t>
      </w:r>
      <w:r w:rsidRPr="000E39BC">
        <w:rPr>
          <w:sz w:val="24"/>
          <w:szCs w:val="24"/>
        </w:rPr>
        <w:t xml:space="preserve"> 292q-292y, provides funds to schools for long-term, low-interest loans to student</w:t>
      </w:r>
      <w:r w:rsidRPr="003D42FD">
        <w:rPr>
          <w:sz w:val="24"/>
          <w:szCs w:val="24"/>
        </w:rPr>
        <w:t>s</w:t>
      </w:r>
      <w:r w:rsidRPr="000E39BC">
        <w:rPr>
          <w:color w:val="007F00"/>
          <w:sz w:val="24"/>
          <w:szCs w:val="24"/>
        </w:rPr>
        <w:t xml:space="preserve"> </w:t>
      </w:r>
      <w:r w:rsidRPr="000E39BC">
        <w:rPr>
          <w:sz w:val="24"/>
          <w:szCs w:val="24"/>
        </w:rPr>
        <w:t xml:space="preserve">attending schools of medicine, osteopathic medicine, dentistry, veterinary medicine, optometry, pediatric medicine, and pharmacy. The </w:t>
      </w:r>
      <w:r w:rsidRPr="00AA1AD0">
        <w:rPr>
          <w:sz w:val="24"/>
          <w:szCs w:val="24"/>
        </w:rPr>
        <w:t>Loans for Disadvantaged</w:t>
      </w:r>
      <w:r w:rsidRPr="000E39BC">
        <w:rPr>
          <w:sz w:val="24"/>
          <w:szCs w:val="24"/>
          <w:u w:val="single"/>
        </w:rPr>
        <w:t xml:space="preserve"> </w:t>
      </w:r>
      <w:r w:rsidRPr="00AA1AD0">
        <w:rPr>
          <w:sz w:val="24"/>
          <w:szCs w:val="24"/>
        </w:rPr>
        <w:t>Students (LDS)</w:t>
      </w:r>
      <w:r w:rsidRPr="000E39BC">
        <w:rPr>
          <w:sz w:val="24"/>
          <w:szCs w:val="24"/>
        </w:rPr>
        <w:t xml:space="preserve"> program, authorized by section 724</w:t>
      </w:r>
      <w:r w:rsidR="00656B0C">
        <w:rPr>
          <w:sz w:val="24"/>
          <w:szCs w:val="24"/>
        </w:rPr>
        <w:t xml:space="preserve"> </w:t>
      </w:r>
      <w:r w:rsidRPr="000E39BC">
        <w:rPr>
          <w:sz w:val="24"/>
          <w:szCs w:val="24"/>
        </w:rPr>
        <w:t xml:space="preserve">of the PHS Act, 42 U.S.C. 292t, gives HPSL schools access to funds for loans to students </w:t>
      </w:r>
      <w:r w:rsidR="009C60C2">
        <w:rPr>
          <w:sz w:val="24"/>
          <w:szCs w:val="24"/>
        </w:rPr>
        <w:t>with financial need</w:t>
      </w:r>
      <w:r w:rsidR="009C60C2" w:rsidRPr="000E39BC">
        <w:rPr>
          <w:sz w:val="24"/>
          <w:szCs w:val="24"/>
        </w:rPr>
        <w:t xml:space="preserve"> </w:t>
      </w:r>
      <w:r w:rsidRPr="000E39BC">
        <w:rPr>
          <w:sz w:val="24"/>
          <w:szCs w:val="24"/>
        </w:rPr>
        <w:t xml:space="preserve">from disadvantaged backgrounds. </w:t>
      </w:r>
      <w:r w:rsidRPr="00AA1AD0">
        <w:rPr>
          <w:sz w:val="24"/>
          <w:szCs w:val="24"/>
        </w:rPr>
        <w:t xml:space="preserve">The Primary Care Loan </w:t>
      </w:r>
      <w:r w:rsidRPr="000E39BC">
        <w:rPr>
          <w:sz w:val="24"/>
          <w:szCs w:val="24"/>
        </w:rPr>
        <w:t xml:space="preserve">(PCL) program, authorized by section 723 of the PHS Act, 42 U.S.C. 292s, </w:t>
      </w:r>
      <w:r w:rsidR="00205998">
        <w:rPr>
          <w:sz w:val="24"/>
          <w:szCs w:val="24"/>
        </w:rPr>
        <w:t xml:space="preserve">as amended by P.L. 111-148, </w:t>
      </w:r>
      <w:r w:rsidRPr="000E39BC">
        <w:rPr>
          <w:sz w:val="24"/>
          <w:szCs w:val="24"/>
        </w:rPr>
        <w:t>provides funds</w:t>
      </w:r>
      <w:r w:rsidRPr="000E39BC">
        <w:rPr>
          <w:color w:val="007F00"/>
          <w:sz w:val="24"/>
          <w:szCs w:val="24"/>
        </w:rPr>
        <w:t xml:space="preserve"> </w:t>
      </w:r>
      <w:r w:rsidRPr="000E39BC">
        <w:rPr>
          <w:sz w:val="24"/>
          <w:szCs w:val="24"/>
        </w:rPr>
        <w:t xml:space="preserve">to HPSL schools for long-term, low-interest loans to students pursuing a degree only in </w:t>
      </w:r>
      <w:r w:rsidR="009C60C2">
        <w:rPr>
          <w:sz w:val="24"/>
          <w:szCs w:val="24"/>
        </w:rPr>
        <w:t>allopathic</w:t>
      </w:r>
      <w:r w:rsidR="006A0CDC">
        <w:rPr>
          <w:sz w:val="24"/>
          <w:szCs w:val="24"/>
        </w:rPr>
        <w:t xml:space="preserve"> </w:t>
      </w:r>
      <w:r w:rsidRPr="000E39BC">
        <w:rPr>
          <w:sz w:val="24"/>
          <w:szCs w:val="24"/>
        </w:rPr>
        <w:t>medicine or osteopathic medicine</w:t>
      </w:r>
      <w:r w:rsidR="009C60C2">
        <w:rPr>
          <w:sz w:val="24"/>
          <w:szCs w:val="24"/>
        </w:rPr>
        <w:t>.</w:t>
      </w:r>
      <w:r w:rsidRPr="000E39BC">
        <w:rPr>
          <w:sz w:val="24"/>
          <w:szCs w:val="24"/>
        </w:rPr>
        <w:t xml:space="preserve"> Borrowers must agree to practice in primary care until the loan is repaid</w:t>
      </w:r>
      <w:r w:rsidR="002F13B5">
        <w:rPr>
          <w:sz w:val="24"/>
          <w:szCs w:val="24"/>
        </w:rPr>
        <w:t xml:space="preserve"> or for a period of 10 years, whichever comes first</w:t>
      </w:r>
      <w:r w:rsidRPr="000E39BC">
        <w:rPr>
          <w:sz w:val="24"/>
          <w:szCs w:val="24"/>
        </w:rPr>
        <w:t xml:space="preserve">. The statute provides for a gradual redistribution of medical and osteopathic HPSL funds to schools that demonstrate a commitment to training primary care practitioners. The LDS and PCL programs are funded separately from the HPSL program but are governed by relevant requirements associated with the </w:t>
      </w:r>
      <w:r w:rsidRPr="00AA1AD0">
        <w:rPr>
          <w:sz w:val="24"/>
          <w:szCs w:val="24"/>
        </w:rPr>
        <w:t>HPSL program</w:t>
      </w:r>
      <w:r w:rsidRPr="000E39BC">
        <w:rPr>
          <w:sz w:val="24"/>
          <w:szCs w:val="24"/>
        </w:rPr>
        <w:t xml:space="preserve"> including due diligence requirements, institutional contributions, reporting, etc. The </w:t>
      </w:r>
      <w:r w:rsidR="001A2CA6" w:rsidRPr="000E39BC">
        <w:rPr>
          <w:sz w:val="24"/>
          <w:szCs w:val="24"/>
        </w:rPr>
        <w:t xml:space="preserve">Nursing Student Loan </w:t>
      </w:r>
      <w:r w:rsidR="001A2CA6" w:rsidRPr="00AA1AD0">
        <w:rPr>
          <w:sz w:val="24"/>
          <w:szCs w:val="24"/>
        </w:rPr>
        <w:t>(</w:t>
      </w:r>
      <w:r w:rsidRPr="00AA1AD0">
        <w:rPr>
          <w:sz w:val="24"/>
          <w:szCs w:val="24"/>
        </w:rPr>
        <w:t>NSL</w:t>
      </w:r>
      <w:r w:rsidR="001A2CA6" w:rsidRPr="00AA1AD0">
        <w:rPr>
          <w:sz w:val="24"/>
          <w:szCs w:val="24"/>
        </w:rPr>
        <w:t>)</w:t>
      </w:r>
      <w:r w:rsidRPr="00AA1AD0">
        <w:rPr>
          <w:sz w:val="24"/>
          <w:szCs w:val="24"/>
        </w:rPr>
        <w:t xml:space="preserve"> program,</w:t>
      </w:r>
      <w:r w:rsidRPr="000E39BC">
        <w:rPr>
          <w:sz w:val="24"/>
          <w:szCs w:val="24"/>
        </w:rPr>
        <w:t xml:space="preserve"> authorized by section 835-842 of the PHS Act (42 U.S.C. 297a-i), provides funds to schools of nursing for long term, low interest loans to students in programs leading to a diploma in nursing, an associate degree, a baccalaureate degree, or a graduate degree in nursing.</w:t>
      </w:r>
    </w:p>
    <w:p w:rsidR="0009751B" w:rsidRPr="000E39BC" w:rsidRDefault="0009751B" w:rsidP="003149D0">
      <w:pPr>
        <w:spacing w:before="260" w:line="276" w:lineRule="auto"/>
        <w:rPr>
          <w:sz w:val="24"/>
          <w:szCs w:val="24"/>
        </w:rPr>
      </w:pPr>
      <w:r w:rsidRPr="000E39BC">
        <w:rPr>
          <w:sz w:val="24"/>
          <w:szCs w:val="24"/>
        </w:rPr>
        <w:t>Participating HPSL</w:t>
      </w:r>
      <w:r w:rsidR="009E61C6">
        <w:rPr>
          <w:sz w:val="24"/>
          <w:szCs w:val="24"/>
        </w:rPr>
        <w:t>, PCL, LDS,</w:t>
      </w:r>
      <w:r w:rsidRPr="000E39BC">
        <w:rPr>
          <w:sz w:val="24"/>
          <w:szCs w:val="24"/>
        </w:rPr>
        <w:t xml:space="preserve"> and NSL schools are responsible for determining eligibility of applicants, making loans, and collecting monies owed by borrowers on their outstanding loans. Schools are required to: (1) invest their HPSL</w:t>
      </w:r>
      <w:r w:rsidR="009E61C6">
        <w:rPr>
          <w:sz w:val="24"/>
          <w:szCs w:val="24"/>
        </w:rPr>
        <w:t>, PCL, LDS,</w:t>
      </w:r>
      <w:r w:rsidRPr="000E39BC">
        <w:rPr>
          <w:sz w:val="24"/>
          <w:szCs w:val="24"/>
        </w:rPr>
        <w:t xml:space="preserve"> and NSL funds; (2) identify and return to the Department exces</w:t>
      </w:r>
      <w:r w:rsidR="00066381" w:rsidRPr="00066381">
        <w:rPr>
          <w:sz w:val="24"/>
          <w:szCs w:val="24"/>
        </w:rPr>
        <w:t>s</w:t>
      </w:r>
      <w:r w:rsidRPr="000E39BC">
        <w:rPr>
          <w:color w:val="007F00"/>
          <w:sz w:val="24"/>
          <w:szCs w:val="24"/>
        </w:rPr>
        <w:t xml:space="preserve"> </w:t>
      </w:r>
      <w:r w:rsidRPr="000E39BC">
        <w:rPr>
          <w:sz w:val="24"/>
          <w:szCs w:val="24"/>
        </w:rPr>
        <w:t>cash from the HPSL</w:t>
      </w:r>
      <w:r w:rsidR="009E61C6">
        <w:rPr>
          <w:sz w:val="24"/>
          <w:szCs w:val="24"/>
        </w:rPr>
        <w:t>, PCL, LDS,</w:t>
      </w:r>
      <w:r w:rsidRPr="000E39BC">
        <w:rPr>
          <w:sz w:val="24"/>
          <w:szCs w:val="24"/>
        </w:rPr>
        <w:t xml:space="preserve"> and N</w:t>
      </w:r>
      <w:r w:rsidR="00D32A42">
        <w:rPr>
          <w:sz w:val="24"/>
          <w:szCs w:val="24"/>
        </w:rPr>
        <w:t xml:space="preserve">SL funds; and, (3) determine the </w:t>
      </w:r>
      <w:r w:rsidR="00D32A42" w:rsidRPr="000E39BC">
        <w:rPr>
          <w:sz w:val="24"/>
          <w:szCs w:val="24"/>
        </w:rPr>
        <w:t>collectability</w:t>
      </w:r>
      <w:r w:rsidRPr="000E39BC">
        <w:rPr>
          <w:sz w:val="24"/>
          <w:szCs w:val="24"/>
        </w:rPr>
        <w:t xml:space="preserve"> of defaulted loans and, for</w:t>
      </w:r>
      <w:r w:rsidRPr="000E39BC">
        <w:rPr>
          <w:color w:val="007F00"/>
          <w:sz w:val="24"/>
          <w:szCs w:val="24"/>
        </w:rPr>
        <w:t xml:space="preserve"> </w:t>
      </w:r>
      <w:r w:rsidRPr="000E39BC">
        <w:rPr>
          <w:sz w:val="24"/>
          <w:szCs w:val="24"/>
        </w:rPr>
        <w:t xml:space="preserve">loans determined to </w:t>
      </w:r>
      <w:r w:rsidR="00D32A42">
        <w:rPr>
          <w:sz w:val="24"/>
          <w:szCs w:val="24"/>
        </w:rPr>
        <w:t xml:space="preserve">be uncollectible, either obtain </w:t>
      </w:r>
      <w:r w:rsidR="000B5AC0" w:rsidRPr="000E39BC">
        <w:rPr>
          <w:sz w:val="24"/>
          <w:szCs w:val="24"/>
        </w:rPr>
        <w:lastRenderedPageBreak/>
        <w:t xml:space="preserve">approval </w:t>
      </w:r>
      <w:r w:rsidR="000B5AC0">
        <w:rPr>
          <w:sz w:val="24"/>
          <w:szCs w:val="24"/>
        </w:rPr>
        <w:t>to</w:t>
      </w:r>
      <w:r w:rsidRPr="000E39BC">
        <w:rPr>
          <w:sz w:val="24"/>
          <w:szCs w:val="24"/>
        </w:rPr>
        <w:t xml:space="preserve"> write off the loans or reimburse the fund</w:t>
      </w:r>
      <w:r w:rsidRPr="000E39BC">
        <w:rPr>
          <w:color w:val="007F00"/>
          <w:sz w:val="24"/>
          <w:szCs w:val="24"/>
        </w:rPr>
        <w:t xml:space="preserve"> </w:t>
      </w:r>
      <w:r w:rsidRPr="000E39BC">
        <w:rPr>
          <w:sz w:val="24"/>
          <w:szCs w:val="24"/>
        </w:rPr>
        <w:t xml:space="preserve">for the amount that remains uncollected on the loans. The governing regulations for the HPSL program (§§ 57.201-57.218) and the NSL program (§§ 57-301-57.318) are </w:t>
      </w:r>
      <w:r w:rsidR="000305DF">
        <w:rPr>
          <w:sz w:val="24"/>
          <w:szCs w:val="24"/>
        </w:rPr>
        <w:t>included in 42</w:t>
      </w:r>
      <w:r w:rsidR="00C334D6">
        <w:rPr>
          <w:sz w:val="24"/>
          <w:szCs w:val="24"/>
        </w:rPr>
        <w:t xml:space="preserve"> </w:t>
      </w:r>
      <w:r w:rsidR="000305DF">
        <w:rPr>
          <w:sz w:val="24"/>
          <w:szCs w:val="24"/>
        </w:rPr>
        <w:t>CFR</w:t>
      </w:r>
      <w:r w:rsidR="00C334D6">
        <w:rPr>
          <w:sz w:val="24"/>
          <w:szCs w:val="24"/>
        </w:rPr>
        <w:t xml:space="preserve"> </w:t>
      </w:r>
      <w:r w:rsidR="000305DF">
        <w:rPr>
          <w:sz w:val="24"/>
          <w:szCs w:val="24"/>
        </w:rPr>
        <w:t>57, Subpart C</w:t>
      </w:r>
      <w:r w:rsidR="006A0CDC">
        <w:rPr>
          <w:sz w:val="24"/>
          <w:szCs w:val="24"/>
        </w:rPr>
        <w:t xml:space="preserve"> </w:t>
      </w:r>
      <w:r w:rsidR="000305DF">
        <w:rPr>
          <w:sz w:val="24"/>
          <w:szCs w:val="24"/>
        </w:rPr>
        <w:t xml:space="preserve">- Health Professions Student </w:t>
      </w:r>
      <w:r w:rsidR="00C334D6">
        <w:rPr>
          <w:sz w:val="24"/>
          <w:szCs w:val="24"/>
        </w:rPr>
        <w:t xml:space="preserve">  </w:t>
      </w:r>
      <w:r w:rsidR="000305DF">
        <w:rPr>
          <w:sz w:val="24"/>
          <w:szCs w:val="24"/>
        </w:rPr>
        <w:t>Loans</w:t>
      </w:r>
      <w:r w:rsidR="006A0CDC">
        <w:rPr>
          <w:sz w:val="24"/>
          <w:szCs w:val="24"/>
        </w:rPr>
        <w:t xml:space="preserve"> and Subpart D – Nursing Student Loans</w:t>
      </w:r>
      <w:r w:rsidR="000305DF">
        <w:rPr>
          <w:sz w:val="24"/>
          <w:szCs w:val="24"/>
        </w:rPr>
        <w:t>.</w:t>
      </w:r>
    </w:p>
    <w:p w:rsidR="0009751B" w:rsidRPr="000E39BC" w:rsidRDefault="0009751B" w:rsidP="003149D0">
      <w:pPr>
        <w:spacing w:line="276" w:lineRule="auto"/>
        <w:rPr>
          <w:sz w:val="24"/>
          <w:szCs w:val="24"/>
        </w:rPr>
      </w:pPr>
      <w:r w:rsidRPr="000E39BC">
        <w:rPr>
          <w:sz w:val="24"/>
          <w:szCs w:val="24"/>
        </w:rPr>
        <w:t>Approval</w:t>
      </w:r>
      <w:r>
        <w:rPr>
          <w:sz w:val="24"/>
          <w:szCs w:val="24"/>
        </w:rPr>
        <w:t xml:space="preserve"> – with </w:t>
      </w:r>
      <w:r w:rsidRPr="00B15AA4">
        <w:rPr>
          <w:sz w:val="24"/>
          <w:szCs w:val="24"/>
        </w:rPr>
        <w:t>change</w:t>
      </w:r>
      <w:r w:rsidR="00B15AA4" w:rsidRPr="00B15AA4">
        <w:rPr>
          <w:sz w:val="24"/>
          <w:szCs w:val="24"/>
        </w:rPr>
        <w:t>s</w:t>
      </w:r>
      <w:r w:rsidRPr="00B15AA4">
        <w:rPr>
          <w:sz w:val="24"/>
          <w:szCs w:val="24"/>
        </w:rPr>
        <w:t xml:space="preserve"> is requested for HRSA-519, Certification of Deferment Status and approval with change</w:t>
      </w:r>
      <w:r w:rsidR="00B15AA4" w:rsidRPr="00B15AA4">
        <w:rPr>
          <w:sz w:val="24"/>
          <w:szCs w:val="24"/>
        </w:rPr>
        <w:t>s</w:t>
      </w:r>
      <w:r w:rsidRPr="00B15AA4">
        <w:rPr>
          <w:sz w:val="24"/>
          <w:szCs w:val="24"/>
        </w:rPr>
        <w:t xml:space="preserve"> </w:t>
      </w:r>
      <w:r>
        <w:rPr>
          <w:sz w:val="24"/>
          <w:szCs w:val="24"/>
        </w:rPr>
        <w:t>is requested for HRSA-501, HPSL</w:t>
      </w:r>
      <w:r w:rsidR="009E61C6">
        <w:rPr>
          <w:sz w:val="24"/>
          <w:szCs w:val="24"/>
        </w:rPr>
        <w:t>, PCL, LDS</w:t>
      </w:r>
      <w:r>
        <w:rPr>
          <w:sz w:val="24"/>
          <w:szCs w:val="24"/>
        </w:rPr>
        <w:t xml:space="preserve"> &amp; NSL Annual Operating Report (AOR)</w:t>
      </w:r>
      <w:r w:rsidRPr="000E39BC">
        <w:rPr>
          <w:sz w:val="24"/>
          <w:szCs w:val="24"/>
        </w:rPr>
        <w:t xml:space="preserve"> for the following administrative forms</w:t>
      </w:r>
      <w:r w:rsidR="000305DF">
        <w:rPr>
          <w:sz w:val="24"/>
          <w:szCs w:val="24"/>
        </w:rPr>
        <w:t>, which are included as attachments</w:t>
      </w:r>
      <w:r w:rsidRPr="000E39BC">
        <w:rPr>
          <w:sz w:val="24"/>
          <w:szCs w:val="24"/>
        </w:rPr>
        <w:t>.</w:t>
      </w:r>
    </w:p>
    <w:p w:rsidR="0009751B" w:rsidRPr="000E39BC" w:rsidRDefault="0009751B" w:rsidP="003149D0">
      <w:pPr>
        <w:spacing w:line="276" w:lineRule="auto"/>
        <w:rPr>
          <w:b/>
          <w:bCs/>
          <w:sz w:val="24"/>
          <w:szCs w:val="24"/>
        </w:rPr>
      </w:pPr>
      <w:r w:rsidRPr="000E39BC">
        <w:rPr>
          <w:sz w:val="24"/>
          <w:szCs w:val="24"/>
          <w:u w:val="single"/>
        </w:rPr>
        <w:t xml:space="preserve">HRSA-519. Certification of Deferment </w:t>
      </w:r>
      <w:r w:rsidR="00710E40" w:rsidRPr="00DC6232">
        <w:rPr>
          <w:sz w:val="24"/>
          <w:szCs w:val="24"/>
          <w:u w:val="single"/>
        </w:rPr>
        <w:t>Status</w:t>
      </w:r>
      <w:r w:rsidR="00710E40" w:rsidRPr="00DC6232">
        <w:rPr>
          <w:b/>
          <w:bCs/>
          <w:sz w:val="24"/>
          <w:szCs w:val="24"/>
        </w:rPr>
        <w:t xml:space="preserve"> </w:t>
      </w:r>
      <w:r w:rsidR="00710E40" w:rsidRPr="00DC6232">
        <w:rPr>
          <w:sz w:val="24"/>
          <w:szCs w:val="24"/>
        </w:rPr>
        <w:t>is</w:t>
      </w:r>
      <w:r w:rsidRPr="00DC6232">
        <w:rPr>
          <w:sz w:val="24"/>
          <w:szCs w:val="24"/>
        </w:rPr>
        <w:t xml:space="preserve"> authorized by sections 722(c</w:t>
      </w:r>
      <w:r w:rsidRPr="00DC6232">
        <w:rPr>
          <w:i/>
          <w:iCs/>
          <w:sz w:val="24"/>
          <w:szCs w:val="24"/>
        </w:rPr>
        <w:t xml:space="preserve">) </w:t>
      </w:r>
      <w:r w:rsidRPr="00DC6232">
        <w:rPr>
          <w:sz w:val="24"/>
          <w:szCs w:val="24"/>
        </w:rPr>
        <w:t>(HPSL) and 836(b)(2) (NSL) of the PHS Act, and §§ 57.210 (HPSL) and 57.310 (NSL) of the regulations</w:t>
      </w:r>
      <w:r w:rsidR="000305DF" w:rsidRPr="00DC6232">
        <w:rPr>
          <w:b/>
          <w:bCs/>
          <w:sz w:val="24"/>
          <w:szCs w:val="24"/>
        </w:rPr>
        <w:t xml:space="preserve">. </w:t>
      </w:r>
      <w:r w:rsidRPr="00DC6232">
        <w:rPr>
          <w:sz w:val="24"/>
          <w:szCs w:val="24"/>
        </w:rPr>
        <w:t>The deferment form provides the school with documentation</w:t>
      </w:r>
      <w:r w:rsidRPr="000E39BC">
        <w:rPr>
          <w:sz w:val="24"/>
          <w:szCs w:val="24"/>
        </w:rPr>
        <w:t xml:space="preserve"> of a borrower's eligibility for deferment. </w:t>
      </w:r>
    </w:p>
    <w:p w:rsidR="0009751B" w:rsidRPr="000E39BC" w:rsidRDefault="0009751B" w:rsidP="003149D0">
      <w:pPr>
        <w:spacing w:before="0" w:line="276" w:lineRule="auto"/>
        <w:rPr>
          <w:sz w:val="24"/>
          <w:szCs w:val="24"/>
        </w:rPr>
      </w:pPr>
    </w:p>
    <w:p w:rsidR="0009751B" w:rsidRPr="000E39BC" w:rsidRDefault="0009751B" w:rsidP="003149D0">
      <w:pPr>
        <w:spacing w:before="0" w:line="276" w:lineRule="auto"/>
        <w:rPr>
          <w:b/>
          <w:bCs/>
          <w:sz w:val="24"/>
          <w:szCs w:val="24"/>
        </w:rPr>
      </w:pPr>
      <w:r w:rsidRPr="000E39BC">
        <w:rPr>
          <w:sz w:val="24"/>
          <w:szCs w:val="24"/>
          <w:u w:val="single"/>
        </w:rPr>
        <w:t>HRSA-501. HPSL</w:t>
      </w:r>
      <w:r w:rsidR="009E61C6">
        <w:rPr>
          <w:sz w:val="24"/>
          <w:szCs w:val="24"/>
          <w:u w:val="single"/>
        </w:rPr>
        <w:t>, PCL, LDS</w:t>
      </w:r>
      <w:r w:rsidRPr="000E39BC">
        <w:rPr>
          <w:sz w:val="24"/>
          <w:szCs w:val="24"/>
          <w:u w:val="single"/>
        </w:rPr>
        <w:t xml:space="preserve"> &amp; NSL Annual Operating Report (AOR)</w:t>
      </w:r>
      <w:r w:rsidRPr="000E39BC">
        <w:rPr>
          <w:sz w:val="24"/>
          <w:szCs w:val="24"/>
        </w:rPr>
        <w:t xml:space="preserve"> is authorized by section 79</w:t>
      </w:r>
      <w:r w:rsidR="006A0CDC">
        <w:rPr>
          <w:sz w:val="24"/>
          <w:szCs w:val="24"/>
        </w:rPr>
        <w:t>9</w:t>
      </w:r>
      <w:r w:rsidRPr="000E39BC">
        <w:rPr>
          <w:sz w:val="24"/>
          <w:szCs w:val="24"/>
        </w:rPr>
        <w:t>(e)</w:t>
      </w:r>
      <w:r w:rsidR="006A0CDC">
        <w:rPr>
          <w:sz w:val="24"/>
          <w:szCs w:val="24"/>
        </w:rPr>
        <w:t xml:space="preserve"> and (h)</w:t>
      </w:r>
      <w:r w:rsidRPr="000E39BC">
        <w:rPr>
          <w:sz w:val="24"/>
          <w:szCs w:val="24"/>
        </w:rPr>
        <w:t xml:space="preserve"> of the PHS Act (42 USC 295o</w:t>
      </w:r>
      <w:r w:rsidR="000305DF">
        <w:rPr>
          <w:sz w:val="24"/>
          <w:szCs w:val="24"/>
        </w:rPr>
        <w:t>)</w:t>
      </w:r>
      <w:r w:rsidRPr="000E39BC">
        <w:rPr>
          <w:sz w:val="24"/>
          <w:szCs w:val="24"/>
        </w:rPr>
        <w:t>, and §§ 57.215 (HPSL) and 57.315 (NSL) of the regulations</w:t>
      </w:r>
      <w:r w:rsidR="000305DF">
        <w:rPr>
          <w:sz w:val="24"/>
          <w:szCs w:val="24"/>
        </w:rPr>
        <w:t xml:space="preserve">. </w:t>
      </w:r>
      <w:r w:rsidRPr="000E39BC">
        <w:rPr>
          <w:sz w:val="24"/>
          <w:szCs w:val="24"/>
        </w:rPr>
        <w:t>The AOR provides the Federal Government with information from participating schools relating to HPSL</w:t>
      </w:r>
      <w:r w:rsidR="009E61C6">
        <w:rPr>
          <w:sz w:val="24"/>
          <w:szCs w:val="24"/>
        </w:rPr>
        <w:t>, PCL, LDS</w:t>
      </w:r>
      <w:r w:rsidRPr="000E39BC">
        <w:rPr>
          <w:sz w:val="24"/>
          <w:szCs w:val="24"/>
        </w:rPr>
        <w:t xml:space="preserve"> &amp; NSL program operations</w:t>
      </w:r>
      <w:r w:rsidRPr="000E39BC">
        <w:rPr>
          <w:color w:val="007F00"/>
          <w:sz w:val="24"/>
          <w:szCs w:val="24"/>
        </w:rPr>
        <w:t xml:space="preserve"> </w:t>
      </w:r>
      <w:r w:rsidRPr="000E39BC">
        <w:rPr>
          <w:sz w:val="24"/>
          <w:szCs w:val="24"/>
        </w:rPr>
        <w:t>and f</w:t>
      </w:r>
      <w:r w:rsidRPr="00AA2E2B">
        <w:rPr>
          <w:sz w:val="24"/>
          <w:szCs w:val="24"/>
        </w:rPr>
        <w:t>i</w:t>
      </w:r>
      <w:r>
        <w:rPr>
          <w:sz w:val="24"/>
          <w:szCs w:val="24"/>
        </w:rPr>
        <w:t xml:space="preserve">nancial activities. </w:t>
      </w:r>
    </w:p>
    <w:p w:rsidR="0009751B" w:rsidRPr="000E39BC" w:rsidRDefault="0009751B" w:rsidP="003149D0">
      <w:pPr>
        <w:spacing w:before="0" w:line="276" w:lineRule="auto"/>
        <w:rPr>
          <w:sz w:val="24"/>
          <w:szCs w:val="24"/>
        </w:rPr>
      </w:pPr>
    </w:p>
    <w:p w:rsidR="0009751B" w:rsidRPr="000E39BC" w:rsidRDefault="0009751B" w:rsidP="003149D0">
      <w:pPr>
        <w:spacing w:before="0" w:line="276" w:lineRule="auto"/>
        <w:rPr>
          <w:sz w:val="24"/>
          <w:szCs w:val="24"/>
          <w:u w:val="single"/>
        </w:rPr>
      </w:pPr>
      <w:r w:rsidRPr="000E39BC">
        <w:rPr>
          <w:sz w:val="24"/>
          <w:szCs w:val="24"/>
        </w:rPr>
        <w:t xml:space="preserve">2. </w:t>
      </w:r>
      <w:r w:rsidRPr="000E39BC">
        <w:rPr>
          <w:sz w:val="24"/>
          <w:szCs w:val="24"/>
          <w:u w:val="single"/>
        </w:rPr>
        <w:t>Purpose and Use of Information</w:t>
      </w:r>
    </w:p>
    <w:p w:rsidR="0009751B" w:rsidRPr="000E39BC" w:rsidRDefault="0009751B" w:rsidP="003149D0">
      <w:pPr>
        <w:spacing w:before="0" w:line="276" w:lineRule="auto"/>
        <w:rPr>
          <w:sz w:val="24"/>
          <w:szCs w:val="24"/>
        </w:rPr>
      </w:pPr>
    </w:p>
    <w:p w:rsidR="0009751B" w:rsidRPr="000E39BC" w:rsidRDefault="0009751B" w:rsidP="003149D0">
      <w:pPr>
        <w:spacing w:before="0" w:line="276" w:lineRule="auto"/>
        <w:rPr>
          <w:sz w:val="24"/>
          <w:szCs w:val="24"/>
        </w:rPr>
      </w:pPr>
      <w:r w:rsidRPr="000E39BC">
        <w:rPr>
          <w:sz w:val="24"/>
          <w:szCs w:val="24"/>
        </w:rPr>
        <w:t>The following information collections are essential for reporting and retaining inform</w:t>
      </w:r>
      <w:r>
        <w:rPr>
          <w:sz w:val="24"/>
          <w:szCs w:val="24"/>
        </w:rPr>
        <w:t>ation</w:t>
      </w:r>
      <w:r w:rsidRPr="000E39BC">
        <w:rPr>
          <w:sz w:val="24"/>
          <w:szCs w:val="24"/>
        </w:rPr>
        <w:t xml:space="preserve">, </w:t>
      </w:r>
      <w:r>
        <w:rPr>
          <w:sz w:val="24"/>
          <w:szCs w:val="24"/>
        </w:rPr>
        <w:t xml:space="preserve">and </w:t>
      </w:r>
      <w:r w:rsidRPr="000E39BC">
        <w:rPr>
          <w:sz w:val="24"/>
          <w:szCs w:val="24"/>
        </w:rPr>
        <w:t>for proper administration of the HPSL</w:t>
      </w:r>
      <w:r w:rsidR="009E61C6">
        <w:rPr>
          <w:sz w:val="24"/>
          <w:szCs w:val="24"/>
        </w:rPr>
        <w:t>, PCL, LDS,</w:t>
      </w:r>
      <w:r w:rsidRPr="000E39BC">
        <w:rPr>
          <w:sz w:val="24"/>
          <w:szCs w:val="24"/>
        </w:rPr>
        <w:t xml:space="preserve"> and NSL programs:</w:t>
      </w:r>
    </w:p>
    <w:p w:rsidR="0009751B" w:rsidRPr="000E39BC" w:rsidRDefault="0009751B" w:rsidP="003149D0">
      <w:pPr>
        <w:spacing w:before="0" w:line="276" w:lineRule="auto"/>
        <w:rPr>
          <w:sz w:val="24"/>
          <w:szCs w:val="24"/>
        </w:rPr>
      </w:pPr>
    </w:p>
    <w:p w:rsidR="0009751B" w:rsidRPr="000E39BC" w:rsidRDefault="0009751B" w:rsidP="003149D0">
      <w:pPr>
        <w:spacing w:before="0" w:line="276" w:lineRule="auto"/>
        <w:rPr>
          <w:sz w:val="24"/>
          <w:szCs w:val="24"/>
        </w:rPr>
      </w:pPr>
      <w:r w:rsidRPr="000E39BC">
        <w:rPr>
          <w:sz w:val="24"/>
          <w:szCs w:val="24"/>
          <w:u w:val="single"/>
        </w:rPr>
        <w:t>HRSA-519. Certi</w:t>
      </w:r>
      <w:r w:rsidRPr="001918C0">
        <w:rPr>
          <w:sz w:val="24"/>
          <w:szCs w:val="24"/>
          <w:u w:val="single"/>
        </w:rPr>
        <w:t>fi</w:t>
      </w:r>
      <w:r w:rsidRPr="000E39BC">
        <w:rPr>
          <w:sz w:val="24"/>
          <w:szCs w:val="24"/>
          <w:u w:val="single"/>
        </w:rPr>
        <w:t>cation of Deferment Status:</w:t>
      </w:r>
      <w:r w:rsidRPr="000E39BC">
        <w:rPr>
          <w:sz w:val="24"/>
          <w:szCs w:val="24"/>
        </w:rPr>
        <w:t xml:space="preserve"> The HPSL</w:t>
      </w:r>
      <w:r w:rsidR="009E61C6">
        <w:rPr>
          <w:sz w:val="24"/>
          <w:szCs w:val="24"/>
        </w:rPr>
        <w:t>, PCL, LDS</w:t>
      </w:r>
      <w:r w:rsidRPr="000E39BC">
        <w:rPr>
          <w:sz w:val="24"/>
          <w:szCs w:val="24"/>
        </w:rPr>
        <w:t xml:space="preserve"> or NSL borrower complete</w:t>
      </w:r>
      <w:r>
        <w:rPr>
          <w:sz w:val="24"/>
          <w:szCs w:val="24"/>
        </w:rPr>
        <w:t>s</w:t>
      </w:r>
      <w:r w:rsidRPr="000E39BC">
        <w:rPr>
          <w:sz w:val="24"/>
          <w:szCs w:val="24"/>
        </w:rPr>
        <w:t xml:space="preserve"> the form and files it at the following intervals with the school which made the loan: (1</w:t>
      </w:r>
      <w:r>
        <w:rPr>
          <w:sz w:val="24"/>
          <w:szCs w:val="24"/>
        </w:rPr>
        <w:t>)</w:t>
      </w:r>
      <w:r w:rsidRPr="000E39BC">
        <w:rPr>
          <w:sz w:val="24"/>
          <w:szCs w:val="24"/>
        </w:rPr>
        <w:t xml:space="preserve"> when the first payment falls due during the</w:t>
      </w:r>
      <w:r w:rsidR="00E8366C">
        <w:rPr>
          <w:sz w:val="24"/>
          <w:szCs w:val="24"/>
        </w:rPr>
        <w:t xml:space="preserve"> deferment period, (2) annually </w:t>
      </w:r>
      <w:r w:rsidRPr="000E39BC">
        <w:rPr>
          <w:sz w:val="24"/>
          <w:szCs w:val="24"/>
        </w:rPr>
        <w:t>thereafter a</w:t>
      </w:r>
      <w:r w:rsidR="00D32A42">
        <w:rPr>
          <w:sz w:val="24"/>
          <w:szCs w:val="24"/>
        </w:rPr>
        <w:t>s</w:t>
      </w:r>
      <w:r w:rsidRPr="000E39BC">
        <w:rPr>
          <w:sz w:val="24"/>
          <w:szCs w:val="24"/>
        </w:rPr>
        <w:t xml:space="preserve"> long as the borrower's deferment status is in effect, and</w:t>
      </w:r>
      <w:r w:rsidR="00D32A42">
        <w:rPr>
          <w:sz w:val="24"/>
          <w:szCs w:val="24"/>
        </w:rPr>
        <w:t>,</w:t>
      </w:r>
      <w:r w:rsidRPr="000E39BC">
        <w:rPr>
          <w:sz w:val="24"/>
          <w:szCs w:val="24"/>
        </w:rPr>
        <w:t xml:space="preserve"> (3) upon termination </w:t>
      </w:r>
      <w:r w:rsidR="00D32A42">
        <w:rPr>
          <w:sz w:val="24"/>
          <w:szCs w:val="24"/>
        </w:rPr>
        <w:t xml:space="preserve">of </w:t>
      </w:r>
      <w:r w:rsidRPr="000E39BC">
        <w:rPr>
          <w:sz w:val="24"/>
          <w:szCs w:val="24"/>
        </w:rPr>
        <w:t>deferment</w:t>
      </w:r>
      <w:r w:rsidRPr="000E39BC">
        <w:rPr>
          <w:color w:val="007F00"/>
          <w:sz w:val="24"/>
          <w:szCs w:val="24"/>
        </w:rPr>
        <w:t xml:space="preserve"> </w:t>
      </w:r>
      <w:r w:rsidRPr="000E39BC">
        <w:rPr>
          <w:sz w:val="24"/>
          <w:szCs w:val="24"/>
        </w:rPr>
        <w:t>status. The school uses the information to determine the eligibility of the borrower fo</w:t>
      </w:r>
      <w:r w:rsidR="00066381" w:rsidRPr="00066381">
        <w:rPr>
          <w:sz w:val="24"/>
          <w:szCs w:val="24"/>
        </w:rPr>
        <w:t>r</w:t>
      </w:r>
      <w:r w:rsidRPr="000E39BC">
        <w:rPr>
          <w:color w:val="007F00"/>
          <w:sz w:val="24"/>
          <w:szCs w:val="24"/>
        </w:rPr>
        <w:t xml:space="preserve"> </w:t>
      </w:r>
      <w:r w:rsidR="00D32A42">
        <w:rPr>
          <w:sz w:val="24"/>
          <w:szCs w:val="24"/>
        </w:rPr>
        <w:t>deferment</w:t>
      </w:r>
      <w:r w:rsidRPr="000E39BC">
        <w:rPr>
          <w:sz w:val="24"/>
          <w:szCs w:val="24"/>
        </w:rPr>
        <w:t xml:space="preserve"> and is able to temporarily suspend loan payments for an eligible borrower during the repayment period.</w:t>
      </w:r>
      <w:r>
        <w:rPr>
          <w:sz w:val="24"/>
          <w:szCs w:val="24"/>
        </w:rPr>
        <w:t xml:space="preserve">  </w:t>
      </w:r>
    </w:p>
    <w:p w:rsidR="0009751B" w:rsidRPr="000E39BC" w:rsidRDefault="0009751B" w:rsidP="003149D0">
      <w:pPr>
        <w:spacing w:before="0" w:line="276" w:lineRule="auto"/>
        <w:rPr>
          <w:sz w:val="24"/>
          <w:szCs w:val="24"/>
        </w:rPr>
      </w:pPr>
    </w:p>
    <w:p w:rsidR="0009751B" w:rsidRPr="00235EA0" w:rsidRDefault="00235EA0" w:rsidP="003149D0">
      <w:pPr>
        <w:spacing w:before="0" w:line="276" w:lineRule="auto"/>
        <w:rPr>
          <w:sz w:val="24"/>
          <w:szCs w:val="24"/>
        </w:rPr>
      </w:pPr>
      <w:r w:rsidRPr="00235EA0">
        <w:rPr>
          <w:sz w:val="24"/>
          <w:szCs w:val="24"/>
        </w:rPr>
        <w:t xml:space="preserve">There have been </w:t>
      </w:r>
      <w:r w:rsidR="008F223D">
        <w:rPr>
          <w:sz w:val="24"/>
          <w:szCs w:val="24"/>
        </w:rPr>
        <w:t xml:space="preserve">minor </w:t>
      </w:r>
      <w:r w:rsidRPr="00235EA0">
        <w:rPr>
          <w:sz w:val="24"/>
          <w:szCs w:val="24"/>
        </w:rPr>
        <w:t xml:space="preserve">changes to this form. The content contained within this form is close to that of the previous form. In the new form, all the instructions have been consolidated onto a single sheet that is </w:t>
      </w:r>
      <w:r w:rsidR="00D32A42">
        <w:rPr>
          <w:sz w:val="24"/>
          <w:szCs w:val="24"/>
        </w:rPr>
        <w:t xml:space="preserve">located </w:t>
      </w:r>
      <w:r w:rsidRPr="00235EA0">
        <w:rPr>
          <w:sz w:val="24"/>
          <w:szCs w:val="24"/>
        </w:rPr>
        <w:t>at the beginning of the document</w:t>
      </w:r>
      <w:r w:rsidR="008F223D">
        <w:rPr>
          <w:sz w:val="24"/>
          <w:szCs w:val="24"/>
        </w:rPr>
        <w:t xml:space="preserve"> and clear labeling and formatting is used</w:t>
      </w:r>
      <w:r w:rsidRPr="00235EA0">
        <w:rPr>
          <w:sz w:val="24"/>
          <w:szCs w:val="24"/>
        </w:rPr>
        <w:t xml:space="preserve">. </w:t>
      </w:r>
    </w:p>
    <w:p w:rsidR="00235EA0" w:rsidRPr="000E39BC" w:rsidRDefault="00235EA0" w:rsidP="003149D0">
      <w:pPr>
        <w:spacing w:before="0" w:line="276" w:lineRule="auto"/>
        <w:rPr>
          <w:sz w:val="24"/>
          <w:szCs w:val="24"/>
        </w:rPr>
      </w:pPr>
    </w:p>
    <w:p w:rsidR="0009751B" w:rsidRPr="000E39BC" w:rsidRDefault="0009751B" w:rsidP="003149D0">
      <w:pPr>
        <w:spacing w:before="0" w:line="276" w:lineRule="auto"/>
        <w:rPr>
          <w:sz w:val="24"/>
          <w:szCs w:val="24"/>
        </w:rPr>
      </w:pPr>
      <w:r w:rsidRPr="000E39BC">
        <w:rPr>
          <w:sz w:val="24"/>
          <w:szCs w:val="24"/>
          <w:u w:val="single"/>
        </w:rPr>
        <w:t>HRSA-501. Annual Operating Report (AOR):</w:t>
      </w:r>
      <w:r w:rsidRPr="000E39BC">
        <w:rPr>
          <w:sz w:val="24"/>
          <w:szCs w:val="24"/>
        </w:rPr>
        <w:t xml:space="preserve"> The AOR is the basic instrument available</w:t>
      </w:r>
      <w:r w:rsidRPr="000E39BC">
        <w:rPr>
          <w:color w:val="007F00"/>
          <w:sz w:val="24"/>
          <w:szCs w:val="24"/>
        </w:rPr>
        <w:t xml:space="preserve"> </w:t>
      </w:r>
      <w:r w:rsidRPr="000E39BC">
        <w:rPr>
          <w:sz w:val="24"/>
          <w:szCs w:val="24"/>
        </w:rPr>
        <w:t xml:space="preserve">to the HPSL, LDS, PCL, and NSL programs for collecting essential program data and monitoring financial activities, including proper debt management. The Department requires a lending school to file an AOR at the end of each school year in order to assist the participating institutions and the Federal Government to better manage the loan programs. The Federal Government uses this report to determine the fiscal soundness </w:t>
      </w:r>
      <w:r w:rsidR="00010CAA">
        <w:rPr>
          <w:sz w:val="24"/>
          <w:szCs w:val="24"/>
        </w:rPr>
        <w:t xml:space="preserve">of </w:t>
      </w:r>
      <w:r w:rsidRPr="000E39BC">
        <w:rPr>
          <w:sz w:val="24"/>
          <w:szCs w:val="24"/>
        </w:rPr>
        <w:t>the institution's loan program</w:t>
      </w:r>
      <w:r w:rsidR="00010CAA">
        <w:rPr>
          <w:sz w:val="24"/>
          <w:szCs w:val="24"/>
        </w:rPr>
        <w:t>s</w:t>
      </w:r>
      <w:r w:rsidRPr="000E39BC">
        <w:rPr>
          <w:sz w:val="24"/>
          <w:szCs w:val="24"/>
        </w:rPr>
        <w:t>.</w:t>
      </w:r>
      <w:r w:rsidR="008F223D">
        <w:rPr>
          <w:sz w:val="24"/>
          <w:szCs w:val="24"/>
        </w:rPr>
        <w:t xml:space="preserve">  This report is also being used to determine how well the schools are </w:t>
      </w:r>
      <w:r w:rsidR="000957D2">
        <w:rPr>
          <w:sz w:val="24"/>
          <w:szCs w:val="24"/>
        </w:rPr>
        <w:t xml:space="preserve">increasing diversity in the health professions and </w:t>
      </w:r>
      <w:r w:rsidR="008F223D">
        <w:rPr>
          <w:sz w:val="24"/>
          <w:szCs w:val="24"/>
        </w:rPr>
        <w:t xml:space="preserve">managing </w:t>
      </w:r>
      <w:r w:rsidR="000957D2">
        <w:rPr>
          <w:sz w:val="24"/>
          <w:szCs w:val="24"/>
        </w:rPr>
        <w:t>the loan program in terms of their ability to recruit, retain, train, and graduate the students and the graduates’ service in medically underserved areas and rural areas and in primary care.</w:t>
      </w:r>
    </w:p>
    <w:p w:rsidR="0009751B" w:rsidRPr="000E39BC" w:rsidRDefault="0009751B" w:rsidP="003149D0">
      <w:pPr>
        <w:spacing w:before="0" w:line="276" w:lineRule="auto"/>
        <w:rPr>
          <w:color w:val="007F00"/>
          <w:sz w:val="24"/>
          <w:szCs w:val="24"/>
        </w:rPr>
      </w:pPr>
    </w:p>
    <w:p w:rsidR="0009751B" w:rsidRPr="008E58D3" w:rsidRDefault="0009751B" w:rsidP="003149D0">
      <w:pPr>
        <w:spacing w:before="0" w:line="276" w:lineRule="auto"/>
        <w:ind w:hanging="700"/>
        <w:rPr>
          <w:sz w:val="24"/>
          <w:szCs w:val="24"/>
        </w:rPr>
      </w:pPr>
      <w:r w:rsidRPr="000E39BC">
        <w:rPr>
          <w:sz w:val="24"/>
          <w:szCs w:val="24"/>
        </w:rPr>
        <w:tab/>
      </w:r>
      <w:r w:rsidR="000957D2">
        <w:rPr>
          <w:sz w:val="24"/>
          <w:szCs w:val="24"/>
        </w:rPr>
        <w:t>The majority of the form (Pages 2 – 6) are the same.  A</w:t>
      </w:r>
      <w:r w:rsidR="00684EF2">
        <w:rPr>
          <w:sz w:val="24"/>
          <w:szCs w:val="24"/>
        </w:rPr>
        <w:t>dditional questions were adde</w:t>
      </w:r>
      <w:r w:rsidR="00126347">
        <w:rPr>
          <w:sz w:val="24"/>
          <w:szCs w:val="24"/>
        </w:rPr>
        <w:t xml:space="preserve">d </w:t>
      </w:r>
      <w:r w:rsidR="000957D2">
        <w:rPr>
          <w:sz w:val="24"/>
          <w:szCs w:val="24"/>
        </w:rPr>
        <w:t xml:space="preserve">to Page 1 </w:t>
      </w:r>
      <w:r w:rsidR="00126347">
        <w:rPr>
          <w:sz w:val="24"/>
          <w:szCs w:val="24"/>
        </w:rPr>
        <w:t>for this renewal package</w:t>
      </w:r>
      <w:r w:rsidR="00D763DF">
        <w:rPr>
          <w:sz w:val="24"/>
          <w:szCs w:val="24"/>
        </w:rPr>
        <w:t xml:space="preserve">—some </w:t>
      </w:r>
      <w:r w:rsidR="000957D2">
        <w:rPr>
          <w:sz w:val="24"/>
          <w:szCs w:val="24"/>
        </w:rPr>
        <w:t xml:space="preserve">questions </w:t>
      </w:r>
      <w:r w:rsidR="00D763DF">
        <w:rPr>
          <w:sz w:val="24"/>
          <w:szCs w:val="24"/>
        </w:rPr>
        <w:t>from a previous PPR form that these programs had used and other</w:t>
      </w:r>
      <w:r w:rsidR="000957D2">
        <w:rPr>
          <w:sz w:val="24"/>
          <w:szCs w:val="24"/>
        </w:rPr>
        <w:t xml:space="preserve"> questions</w:t>
      </w:r>
      <w:r w:rsidR="00D763DF">
        <w:rPr>
          <w:sz w:val="24"/>
          <w:szCs w:val="24"/>
        </w:rPr>
        <w:t xml:space="preserve"> that were developed from questions the programs had received from the Department, OMB, and Congress</w:t>
      </w:r>
      <w:r w:rsidR="00126347">
        <w:rPr>
          <w:sz w:val="24"/>
          <w:szCs w:val="24"/>
        </w:rPr>
        <w:t xml:space="preserve">. </w:t>
      </w:r>
      <w:r w:rsidR="00010CAA">
        <w:rPr>
          <w:sz w:val="24"/>
          <w:szCs w:val="24"/>
        </w:rPr>
        <w:t xml:space="preserve">These </w:t>
      </w:r>
      <w:r w:rsidR="00993498">
        <w:rPr>
          <w:sz w:val="24"/>
          <w:szCs w:val="24"/>
        </w:rPr>
        <w:t xml:space="preserve">questions </w:t>
      </w:r>
      <w:r w:rsidR="00126347">
        <w:rPr>
          <w:sz w:val="24"/>
          <w:szCs w:val="24"/>
        </w:rPr>
        <w:t xml:space="preserve">were added to </w:t>
      </w:r>
      <w:r w:rsidR="00993498">
        <w:rPr>
          <w:sz w:val="24"/>
          <w:szCs w:val="24"/>
        </w:rPr>
        <w:t xml:space="preserve">collect information necessary to adequately answer program questions from </w:t>
      </w:r>
      <w:r w:rsidR="00D763DF">
        <w:rPr>
          <w:sz w:val="24"/>
          <w:szCs w:val="24"/>
        </w:rPr>
        <w:t>these entities and to better evaluate and manage the programs</w:t>
      </w:r>
      <w:r w:rsidR="00993498">
        <w:rPr>
          <w:sz w:val="24"/>
          <w:szCs w:val="24"/>
        </w:rPr>
        <w:t xml:space="preserve">. </w:t>
      </w:r>
      <w:r w:rsidR="000957D2">
        <w:rPr>
          <w:sz w:val="24"/>
          <w:szCs w:val="24"/>
        </w:rPr>
        <w:t xml:space="preserve"> The questions are similar to other Bureau of Health Profession performance report questions so that performance data may be aggregated across the Bureau.  </w:t>
      </w:r>
    </w:p>
    <w:p w:rsidR="0009751B" w:rsidRPr="000E39BC" w:rsidRDefault="0009751B" w:rsidP="003149D0">
      <w:pPr>
        <w:spacing w:before="260" w:line="276" w:lineRule="auto"/>
        <w:rPr>
          <w:sz w:val="24"/>
          <w:szCs w:val="24"/>
        </w:rPr>
      </w:pPr>
      <w:r w:rsidRPr="000E39BC">
        <w:rPr>
          <w:sz w:val="24"/>
          <w:szCs w:val="24"/>
        </w:rPr>
        <w:t xml:space="preserve">3. </w:t>
      </w:r>
      <w:r w:rsidRPr="000E39BC">
        <w:rPr>
          <w:sz w:val="24"/>
          <w:szCs w:val="24"/>
          <w:u w:val="single"/>
        </w:rPr>
        <w:t>Use of Improved Information Technolog</w:t>
      </w:r>
      <w:r w:rsidRPr="00DC6232">
        <w:rPr>
          <w:sz w:val="24"/>
          <w:szCs w:val="24"/>
          <w:u w:val="single"/>
        </w:rPr>
        <w:t>y</w:t>
      </w:r>
    </w:p>
    <w:p w:rsidR="00830900" w:rsidRDefault="00286F20" w:rsidP="003149D0">
      <w:pPr>
        <w:spacing w:before="200" w:line="276" w:lineRule="auto"/>
        <w:rPr>
          <w:bCs/>
          <w:sz w:val="24"/>
          <w:szCs w:val="24"/>
        </w:rPr>
      </w:pPr>
      <w:r>
        <w:rPr>
          <w:sz w:val="24"/>
          <w:szCs w:val="24"/>
        </w:rPr>
        <w:t xml:space="preserve">Annual Operating Report (AOR):  </w:t>
      </w:r>
      <w:r w:rsidR="00010CAA">
        <w:rPr>
          <w:sz w:val="24"/>
          <w:szCs w:val="24"/>
        </w:rPr>
        <w:t>All institutions for the l</w:t>
      </w:r>
      <w:r w:rsidR="00635118" w:rsidRPr="000305DF">
        <w:rPr>
          <w:sz w:val="24"/>
          <w:szCs w:val="24"/>
        </w:rPr>
        <w:t>oan programs are required to submit an AOR that includes legislatively mandated data to support program performance and monitoring functions.  The data is</w:t>
      </w:r>
      <w:r w:rsidR="0009751B" w:rsidRPr="000305DF">
        <w:rPr>
          <w:sz w:val="24"/>
          <w:szCs w:val="24"/>
        </w:rPr>
        <w:t xml:space="preserve"> </w:t>
      </w:r>
      <w:r w:rsidR="009A63B7" w:rsidRPr="000305DF">
        <w:rPr>
          <w:sz w:val="24"/>
          <w:szCs w:val="24"/>
        </w:rPr>
        <w:t xml:space="preserve">currently </w:t>
      </w:r>
      <w:r w:rsidR="00635118" w:rsidRPr="000305DF">
        <w:rPr>
          <w:sz w:val="24"/>
          <w:szCs w:val="24"/>
        </w:rPr>
        <w:t xml:space="preserve">collected using a web-based system </w:t>
      </w:r>
      <w:r w:rsidR="00010CAA">
        <w:rPr>
          <w:sz w:val="24"/>
          <w:szCs w:val="24"/>
        </w:rPr>
        <w:t xml:space="preserve">through the use of </w:t>
      </w:r>
      <w:r w:rsidR="000B5AC0">
        <w:rPr>
          <w:sz w:val="24"/>
          <w:szCs w:val="24"/>
        </w:rPr>
        <w:t>an</w:t>
      </w:r>
      <w:r w:rsidR="000F36F1">
        <w:rPr>
          <w:sz w:val="24"/>
          <w:szCs w:val="24"/>
        </w:rPr>
        <w:t xml:space="preserve"> Electronic Handbook</w:t>
      </w:r>
      <w:r w:rsidR="00044D6B">
        <w:rPr>
          <w:sz w:val="24"/>
          <w:szCs w:val="24"/>
        </w:rPr>
        <w:t xml:space="preserve"> (EHB)</w:t>
      </w:r>
      <w:r w:rsidR="0009751B" w:rsidRPr="000305DF">
        <w:rPr>
          <w:sz w:val="24"/>
          <w:szCs w:val="24"/>
        </w:rPr>
        <w:t>. The schools must enter accounting information by personal computer, but all calculations based on the information (e.g. default rates) and all cumulative</w:t>
      </w:r>
      <w:r>
        <w:rPr>
          <w:sz w:val="24"/>
          <w:szCs w:val="24"/>
        </w:rPr>
        <w:t xml:space="preserve"> numbers</w:t>
      </w:r>
      <w:r w:rsidR="0009751B" w:rsidRPr="000305DF">
        <w:rPr>
          <w:sz w:val="24"/>
          <w:szCs w:val="24"/>
        </w:rPr>
        <w:t xml:space="preserve"> are calculated automatically. (For</w:t>
      </w:r>
      <w:r w:rsidR="009A63B7" w:rsidRPr="000305DF">
        <w:rPr>
          <w:sz w:val="24"/>
          <w:szCs w:val="24"/>
        </w:rPr>
        <w:t xml:space="preserve"> </w:t>
      </w:r>
      <w:r>
        <w:rPr>
          <w:sz w:val="24"/>
          <w:szCs w:val="24"/>
        </w:rPr>
        <w:t xml:space="preserve">most of </w:t>
      </w:r>
      <w:r w:rsidR="0009751B" w:rsidRPr="000305DF">
        <w:rPr>
          <w:bCs/>
          <w:sz w:val="24"/>
          <w:szCs w:val="24"/>
        </w:rPr>
        <w:t>the cumulative figures, the program provides the schools</w:t>
      </w:r>
      <w:r w:rsidR="00010CAA">
        <w:rPr>
          <w:bCs/>
          <w:sz w:val="24"/>
          <w:szCs w:val="24"/>
        </w:rPr>
        <w:t xml:space="preserve"> with their previous data in an</w:t>
      </w:r>
      <w:r w:rsidR="0009751B" w:rsidRPr="000305DF">
        <w:rPr>
          <w:bCs/>
          <w:sz w:val="24"/>
          <w:szCs w:val="24"/>
        </w:rPr>
        <w:t xml:space="preserve"> electronic</w:t>
      </w:r>
      <w:r w:rsidR="00635118" w:rsidRPr="000305DF">
        <w:rPr>
          <w:bCs/>
          <w:sz w:val="24"/>
          <w:szCs w:val="24"/>
        </w:rPr>
        <w:t xml:space="preserve"> </w:t>
      </w:r>
      <w:r w:rsidR="0009751B" w:rsidRPr="000305DF">
        <w:rPr>
          <w:bCs/>
          <w:sz w:val="24"/>
          <w:szCs w:val="24"/>
        </w:rPr>
        <w:t>report format; the schools enter only the current f</w:t>
      </w:r>
      <w:r w:rsidR="00066381" w:rsidRPr="00066381">
        <w:rPr>
          <w:bCs/>
          <w:sz w:val="24"/>
          <w:szCs w:val="24"/>
        </w:rPr>
        <w:t>i</w:t>
      </w:r>
      <w:r w:rsidR="0009751B" w:rsidRPr="000305DF">
        <w:rPr>
          <w:bCs/>
          <w:sz w:val="24"/>
          <w:szCs w:val="24"/>
        </w:rPr>
        <w:t xml:space="preserve">gures.) </w:t>
      </w:r>
      <w:r w:rsidR="00830900">
        <w:rPr>
          <w:bCs/>
          <w:sz w:val="24"/>
          <w:szCs w:val="24"/>
        </w:rPr>
        <w:t xml:space="preserve">The AOR is submitted </w:t>
      </w:r>
      <w:r w:rsidR="004D72B0">
        <w:rPr>
          <w:bCs/>
          <w:sz w:val="24"/>
          <w:szCs w:val="24"/>
        </w:rPr>
        <w:t xml:space="preserve">by the institutional </w:t>
      </w:r>
      <w:r w:rsidR="001F65C9">
        <w:rPr>
          <w:bCs/>
          <w:sz w:val="24"/>
          <w:szCs w:val="24"/>
        </w:rPr>
        <w:t>grantee</w:t>
      </w:r>
      <w:r w:rsidR="004D72B0">
        <w:rPr>
          <w:bCs/>
          <w:sz w:val="24"/>
          <w:szCs w:val="24"/>
        </w:rPr>
        <w:t xml:space="preserve"> </w:t>
      </w:r>
      <w:r w:rsidR="00830900">
        <w:rPr>
          <w:bCs/>
          <w:sz w:val="24"/>
          <w:szCs w:val="24"/>
        </w:rPr>
        <w:t>through the use of HRSA’s</w:t>
      </w:r>
      <w:r w:rsidR="006478B6">
        <w:rPr>
          <w:bCs/>
          <w:sz w:val="24"/>
          <w:szCs w:val="24"/>
        </w:rPr>
        <w:t xml:space="preserve"> EHB</w:t>
      </w:r>
      <w:r w:rsidR="00830900">
        <w:rPr>
          <w:bCs/>
          <w:sz w:val="24"/>
          <w:szCs w:val="24"/>
        </w:rPr>
        <w:t>, which is used by all of HRSA’s grantees.</w:t>
      </w:r>
      <w:r w:rsidR="00635118" w:rsidRPr="000305DF">
        <w:rPr>
          <w:bCs/>
          <w:sz w:val="24"/>
          <w:szCs w:val="24"/>
        </w:rPr>
        <w:t xml:space="preserve">  </w:t>
      </w:r>
    </w:p>
    <w:p w:rsidR="0009751B" w:rsidRPr="000305DF" w:rsidRDefault="00286F20" w:rsidP="003149D0">
      <w:pPr>
        <w:spacing w:before="200" w:line="276" w:lineRule="auto"/>
        <w:rPr>
          <w:sz w:val="24"/>
          <w:szCs w:val="24"/>
        </w:rPr>
      </w:pPr>
      <w:r>
        <w:rPr>
          <w:sz w:val="24"/>
          <w:szCs w:val="24"/>
        </w:rPr>
        <w:t xml:space="preserve">Deferment Form:  </w:t>
      </w:r>
      <w:r w:rsidR="0009751B" w:rsidRPr="000305DF">
        <w:rPr>
          <w:sz w:val="24"/>
          <w:szCs w:val="24"/>
        </w:rPr>
        <w:t>The Certif</w:t>
      </w:r>
      <w:r w:rsidR="0009751B" w:rsidRPr="000305DF">
        <w:rPr>
          <w:color w:val="007F00"/>
          <w:sz w:val="24"/>
          <w:szCs w:val="24"/>
        </w:rPr>
        <w:t>i</w:t>
      </w:r>
      <w:r w:rsidR="0009751B" w:rsidRPr="000305DF">
        <w:rPr>
          <w:sz w:val="24"/>
          <w:szCs w:val="24"/>
        </w:rPr>
        <w:t xml:space="preserve">cation of Deferment Status </w:t>
      </w:r>
      <w:r w:rsidR="00D763DF">
        <w:rPr>
          <w:sz w:val="24"/>
          <w:szCs w:val="24"/>
        </w:rPr>
        <w:t xml:space="preserve">form </w:t>
      </w:r>
      <w:r w:rsidR="0009751B" w:rsidRPr="000305DF">
        <w:rPr>
          <w:sz w:val="24"/>
          <w:szCs w:val="24"/>
        </w:rPr>
        <w:t xml:space="preserve">is </w:t>
      </w:r>
      <w:r w:rsidR="00040C3A">
        <w:rPr>
          <w:sz w:val="24"/>
          <w:szCs w:val="24"/>
        </w:rPr>
        <w:t>available as an example that grantees</w:t>
      </w:r>
      <w:r w:rsidR="0009751B" w:rsidRPr="000305DF">
        <w:rPr>
          <w:sz w:val="24"/>
          <w:szCs w:val="24"/>
        </w:rPr>
        <w:t xml:space="preserve"> </w:t>
      </w:r>
      <w:r w:rsidR="00040C3A">
        <w:rPr>
          <w:sz w:val="24"/>
          <w:szCs w:val="24"/>
        </w:rPr>
        <w:t xml:space="preserve">may use.  It is determined by the grantee whether to utilize this example of the Certification of Deferment status </w:t>
      </w:r>
      <w:r w:rsidR="0009751B" w:rsidRPr="000305DF">
        <w:rPr>
          <w:sz w:val="24"/>
          <w:szCs w:val="24"/>
        </w:rPr>
        <w:t xml:space="preserve">electronically </w:t>
      </w:r>
      <w:r w:rsidR="00040C3A">
        <w:rPr>
          <w:sz w:val="24"/>
          <w:szCs w:val="24"/>
        </w:rPr>
        <w:t>or as a paper form</w:t>
      </w:r>
      <w:r w:rsidR="00D763DF">
        <w:rPr>
          <w:sz w:val="24"/>
          <w:szCs w:val="24"/>
        </w:rPr>
        <w:t xml:space="preserve"> should they chose to use the form</w:t>
      </w:r>
      <w:r w:rsidR="00040C3A">
        <w:rPr>
          <w:sz w:val="24"/>
          <w:szCs w:val="24"/>
        </w:rPr>
        <w:t>.</w:t>
      </w:r>
      <w:r w:rsidR="00D763DF">
        <w:rPr>
          <w:sz w:val="24"/>
          <w:szCs w:val="24"/>
        </w:rPr>
        <w:t xml:space="preserve">  Grantees may use another form for their students to request deferment, but some form is necessary to document the deferment request.</w:t>
      </w:r>
    </w:p>
    <w:p w:rsidR="005238BC" w:rsidRDefault="005238BC" w:rsidP="003149D0">
      <w:pPr>
        <w:pStyle w:val="FR1"/>
        <w:spacing w:line="276" w:lineRule="auto"/>
        <w:rPr>
          <w:rFonts w:ascii="Times New Roman" w:hAnsi="Times New Roman" w:cs="Times New Roman"/>
          <w:b w:val="0"/>
          <w:sz w:val="24"/>
          <w:szCs w:val="24"/>
        </w:rPr>
      </w:pPr>
    </w:p>
    <w:p w:rsidR="0009751B" w:rsidRPr="0087458C" w:rsidRDefault="0009751B" w:rsidP="003149D0">
      <w:pPr>
        <w:pStyle w:val="FR1"/>
        <w:spacing w:line="276" w:lineRule="auto"/>
        <w:rPr>
          <w:rFonts w:ascii="Times New Roman" w:hAnsi="Times New Roman" w:cs="Times New Roman"/>
          <w:b w:val="0"/>
          <w:sz w:val="24"/>
          <w:szCs w:val="24"/>
        </w:rPr>
      </w:pPr>
      <w:r w:rsidRPr="0087458C">
        <w:rPr>
          <w:rFonts w:ascii="Times New Roman" w:hAnsi="Times New Roman" w:cs="Times New Roman"/>
          <w:b w:val="0"/>
          <w:sz w:val="24"/>
          <w:szCs w:val="24"/>
        </w:rPr>
        <w:t xml:space="preserve">4. </w:t>
      </w:r>
      <w:r w:rsidRPr="00FE1339">
        <w:rPr>
          <w:rFonts w:ascii="Times New Roman" w:hAnsi="Times New Roman" w:cs="Times New Roman"/>
          <w:b w:val="0"/>
          <w:sz w:val="24"/>
          <w:szCs w:val="24"/>
          <w:u w:val="single"/>
        </w:rPr>
        <w:t>Efforts to Identify Duplication</w:t>
      </w:r>
    </w:p>
    <w:p w:rsidR="0009751B" w:rsidRPr="000E39BC" w:rsidRDefault="0009751B" w:rsidP="003149D0">
      <w:pPr>
        <w:spacing w:before="320" w:line="276" w:lineRule="auto"/>
        <w:rPr>
          <w:sz w:val="24"/>
          <w:szCs w:val="24"/>
        </w:rPr>
      </w:pPr>
      <w:r w:rsidRPr="000E39BC">
        <w:rPr>
          <w:sz w:val="24"/>
          <w:szCs w:val="24"/>
        </w:rPr>
        <w:t xml:space="preserve">These requirements will not result in duplication since schools and borrowers would not be reporting </w:t>
      </w:r>
      <w:r w:rsidR="003845A5">
        <w:rPr>
          <w:sz w:val="24"/>
          <w:szCs w:val="24"/>
        </w:rPr>
        <w:t>loan program</w:t>
      </w:r>
      <w:r w:rsidRPr="000E39BC">
        <w:rPr>
          <w:sz w:val="24"/>
          <w:szCs w:val="24"/>
        </w:rPr>
        <w:t xml:space="preserve"> information elsewhere.</w:t>
      </w:r>
    </w:p>
    <w:p w:rsidR="0009751B" w:rsidRPr="000E39BC" w:rsidRDefault="0009751B" w:rsidP="003149D0">
      <w:pPr>
        <w:spacing w:before="280" w:line="276" w:lineRule="auto"/>
        <w:rPr>
          <w:sz w:val="24"/>
          <w:szCs w:val="24"/>
        </w:rPr>
      </w:pPr>
      <w:r w:rsidRPr="000E39BC">
        <w:rPr>
          <w:sz w:val="24"/>
          <w:szCs w:val="24"/>
        </w:rPr>
        <w:t xml:space="preserve">5. </w:t>
      </w:r>
      <w:r w:rsidRPr="000E39BC">
        <w:rPr>
          <w:sz w:val="24"/>
          <w:szCs w:val="24"/>
          <w:u w:val="single"/>
        </w:rPr>
        <w:t>Involvement of Small Entities</w:t>
      </w:r>
    </w:p>
    <w:p w:rsidR="0009751B" w:rsidRPr="000E39BC" w:rsidRDefault="0009751B" w:rsidP="003149D0">
      <w:pPr>
        <w:spacing w:line="276" w:lineRule="auto"/>
        <w:rPr>
          <w:sz w:val="24"/>
          <w:szCs w:val="24"/>
        </w:rPr>
      </w:pPr>
      <w:r w:rsidRPr="000E39BC">
        <w:rPr>
          <w:sz w:val="24"/>
          <w:szCs w:val="24"/>
        </w:rPr>
        <w:t>The information collection does not involve small businesses or other small entities.</w:t>
      </w:r>
    </w:p>
    <w:p w:rsidR="0009751B" w:rsidRPr="000E39BC" w:rsidRDefault="0009751B" w:rsidP="003149D0">
      <w:pPr>
        <w:spacing w:before="280" w:line="276" w:lineRule="auto"/>
        <w:rPr>
          <w:sz w:val="24"/>
          <w:szCs w:val="24"/>
        </w:rPr>
      </w:pPr>
      <w:r w:rsidRPr="000E39BC">
        <w:rPr>
          <w:sz w:val="24"/>
          <w:szCs w:val="24"/>
        </w:rPr>
        <w:t xml:space="preserve">6. </w:t>
      </w:r>
      <w:r w:rsidRPr="000E39BC">
        <w:rPr>
          <w:sz w:val="24"/>
          <w:szCs w:val="24"/>
          <w:u w:val="single"/>
        </w:rPr>
        <w:t>Consistency if Information Collected Less Frequently</w:t>
      </w:r>
    </w:p>
    <w:p w:rsidR="0009751B" w:rsidRPr="000E39BC" w:rsidRDefault="0009751B" w:rsidP="003149D0">
      <w:pPr>
        <w:spacing w:before="180" w:line="276" w:lineRule="auto"/>
        <w:rPr>
          <w:sz w:val="24"/>
          <w:szCs w:val="24"/>
        </w:rPr>
      </w:pPr>
      <w:r w:rsidRPr="000E39BC">
        <w:rPr>
          <w:sz w:val="24"/>
          <w:szCs w:val="24"/>
        </w:rPr>
        <w:t xml:space="preserve">It is necessary to collect this information </w:t>
      </w:r>
      <w:r w:rsidR="00040C3A" w:rsidRPr="00FA6D34">
        <w:rPr>
          <w:sz w:val="24"/>
          <w:szCs w:val="24"/>
        </w:rPr>
        <w:t xml:space="preserve">annually </w:t>
      </w:r>
      <w:r w:rsidRPr="000E39BC">
        <w:rPr>
          <w:sz w:val="24"/>
          <w:szCs w:val="24"/>
        </w:rPr>
        <w:t xml:space="preserve">for proper </w:t>
      </w:r>
      <w:r w:rsidR="00040C3A">
        <w:rPr>
          <w:sz w:val="24"/>
          <w:szCs w:val="24"/>
        </w:rPr>
        <w:t xml:space="preserve">financial oversight and </w:t>
      </w:r>
      <w:r w:rsidRPr="000E39BC">
        <w:rPr>
          <w:sz w:val="24"/>
          <w:szCs w:val="24"/>
        </w:rPr>
        <w:t>administration of the HPSL/</w:t>
      </w:r>
      <w:r w:rsidR="009E61C6">
        <w:rPr>
          <w:sz w:val="24"/>
          <w:szCs w:val="24"/>
        </w:rPr>
        <w:t>PCL/LDS/</w:t>
      </w:r>
      <w:r w:rsidRPr="000E39BC">
        <w:rPr>
          <w:sz w:val="24"/>
          <w:szCs w:val="24"/>
        </w:rPr>
        <w:t>NSL programs</w:t>
      </w:r>
      <w:r w:rsidR="003845A5">
        <w:rPr>
          <w:sz w:val="24"/>
          <w:szCs w:val="24"/>
        </w:rPr>
        <w:t>’</w:t>
      </w:r>
      <w:r w:rsidR="00391EF6">
        <w:rPr>
          <w:sz w:val="24"/>
          <w:szCs w:val="24"/>
        </w:rPr>
        <w:t xml:space="preserve"> revolving loan funds</w:t>
      </w:r>
      <w:r w:rsidR="00D93A54">
        <w:rPr>
          <w:sz w:val="24"/>
          <w:szCs w:val="24"/>
        </w:rPr>
        <w:t>.</w:t>
      </w:r>
      <w:r w:rsidR="00391EF6">
        <w:rPr>
          <w:sz w:val="24"/>
          <w:szCs w:val="24"/>
        </w:rPr>
        <w:t xml:space="preserve"> </w:t>
      </w:r>
      <w:r w:rsidR="003845A5">
        <w:rPr>
          <w:sz w:val="24"/>
          <w:szCs w:val="24"/>
        </w:rPr>
        <w:t xml:space="preserve"> </w:t>
      </w:r>
      <w:r w:rsidR="00040C3A">
        <w:rPr>
          <w:sz w:val="24"/>
          <w:szCs w:val="24"/>
        </w:rPr>
        <w:t>D</w:t>
      </w:r>
      <w:r w:rsidRPr="000E39BC">
        <w:rPr>
          <w:sz w:val="24"/>
          <w:szCs w:val="24"/>
        </w:rPr>
        <w:t>eferment form</w:t>
      </w:r>
      <w:r w:rsidR="00040C3A">
        <w:rPr>
          <w:sz w:val="24"/>
          <w:szCs w:val="24"/>
        </w:rPr>
        <w:t>s are submitted by the student to the institution when a deferment is needed by the student. This</w:t>
      </w:r>
      <w:r w:rsidRPr="000E39BC">
        <w:rPr>
          <w:sz w:val="24"/>
          <w:szCs w:val="24"/>
        </w:rPr>
        <w:t xml:space="preserve"> allows th</w:t>
      </w:r>
      <w:r w:rsidRPr="003B2945">
        <w:rPr>
          <w:sz w:val="24"/>
          <w:szCs w:val="24"/>
        </w:rPr>
        <w:t>e</w:t>
      </w:r>
      <w:r w:rsidRPr="000E39BC">
        <w:rPr>
          <w:color w:val="007F00"/>
          <w:sz w:val="24"/>
          <w:szCs w:val="24"/>
        </w:rPr>
        <w:t xml:space="preserve"> </w:t>
      </w:r>
      <w:r w:rsidRPr="000E39BC">
        <w:rPr>
          <w:sz w:val="24"/>
          <w:szCs w:val="24"/>
        </w:rPr>
        <w:t>school to temporarily suspend loan payments to assure that the borrower does not go</w:t>
      </w:r>
      <w:r w:rsidRPr="000E39BC">
        <w:rPr>
          <w:color w:val="007F00"/>
          <w:sz w:val="24"/>
          <w:szCs w:val="24"/>
        </w:rPr>
        <w:t xml:space="preserve"> </w:t>
      </w:r>
      <w:r w:rsidR="007E6E62">
        <w:rPr>
          <w:sz w:val="24"/>
          <w:szCs w:val="24"/>
        </w:rPr>
        <w:t>into default</w:t>
      </w:r>
      <w:r w:rsidRPr="000E39BC">
        <w:rPr>
          <w:sz w:val="24"/>
          <w:szCs w:val="24"/>
        </w:rPr>
        <w:t>.</w:t>
      </w:r>
      <w:r w:rsidR="00040C3A">
        <w:rPr>
          <w:sz w:val="24"/>
          <w:szCs w:val="24"/>
        </w:rPr>
        <w:t xml:space="preserve">  No individual data is being collected by the government on this form.  Institutions provide aggregate data on the number of deferments granted for that Annual Operating Report period.</w:t>
      </w:r>
    </w:p>
    <w:p w:rsidR="0009751B" w:rsidRPr="000E39BC" w:rsidRDefault="0009751B" w:rsidP="003149D0">
      <w:pPr>
        <w:spacing w:before="280" w:line="276" w:lineRule="auto"/>
        <w:rPr>
          <w:sz w:val="24"/>
          <w:szCs w:val="24"/>
        </w:rPr>
      </w:pPr>
      <w:r w:rsidRPr="000E39BC">
        <w:rPr>
          <w:sz w:val="24"/>
          <w:szCs w:val="24"/>
        </w:rPr>
        <w:lastRenderedPageBreak/>
        <w:t xml:space="preserve">7. </w:t>
      </w:r>
      <w:r w:rsidRPr="000E39BC">
        <w:rPr>
          <w:sz w:val="24"/>
          <w:szCs w:val="24"/>
          <w:u w:val="single"/>
        </w:rPr>
        <w:t>Consistenc</w:t>
      </w:r>
      <w:r w:rsidRPr="003B2945">
        <w:rPr>
          <w:sz w:val="24"/>
          <w:szCs w:val="24"/>
          <w:u w:val="single"/>
        </w:rPr>
        <w:t>y</w:t>
      </w:r>
      <w:r w:rsidRPr="000E39BC">
        <w:rPr>
          <w:sz w:val="24"/>
          <w:szCs w:val="24"/>
          <w:u w:val="single"/>
        </w:rPr>
        <w:t xml:space="preserve"> with the Guidelines in 5 C</w:t>
      </w:r>
      <w:r w:rsidR="00126347">
        <w:rPr>
          <w:sz w:val="24"/>
          <w:szCs w:val="24"/>
          <w:u w:val="single"/>
        </w:rPr>
        <w:t>F</w:t>
      </w:r>
      <w:r w:rsidRPr="000E39BC">
        <w:rPr>
          <w:sz w:val="24"/>
          <w:szCs w:val="24"/>
          <w:u w:val="single"/>
        </w:rPr>
        <w:t>R 1320.5</w:t>
      </w:r>
    </w:p>
    <w:p w:rsidR="0009751B" w:rsidRPr="000E39BC" w:rsidRDefault="00010CAA" w:rsidP="003149D0">
      <w:pPr>
        <w:spacing w:line="276" w:lineRule="auto"/>
        <w:rPr>
          <w:sz w:val="24"/>
          <w:szCs w:val="24"/>
        </w:rPr>
      </w:pPr>
      <w:r>
        <w:rPr>
          <w:sz w:val="24"/>
          <w:szCs w:val="24"/>
        </w:rPr>
        <w:t>Data is</w:t>
      </w:r>
      <w:r w:rsidR="003B2945">
        <w:rPr>
          <w:sz w:val="24"/>
          <w:szCs w:val="24"/>
        </w:rPr>
        <w:t xml:space="preserve"> collected in a manner consistent with guidelines contained in </w:t>
      </w:r>
      <w:r w:rsidR="003B2945" w:rsidRPr="00093A29">
        <w:rPr>
          <w:sz w:val="24"/>
          <w:szCs w:val="24"/>
        </w:rPr>
        <w:t>5 C</w:t>
      </w:r>
      <w:r w:rsidR="00126347">
        <w:rPr>
          <w:sz w:val="24"/>
          <w:szCs w:val="24"/>
        </w:rPr>
        <w:t>F</w:t>
      </w:r>
      <w:r w:rsidR="003B2945" w:rsidRPr="00093A29">
        <w:rPr>
          <w:sz w:val="24"/>
          <w:szCs w:val="24"/>
        </w:rPr>
        <w:t>R 1320.5.</w:t>
      </w:r>
      <w:r w:rsidR="003B2945">
        <w:rPr>
          <w:sz w:val="24"/>
          <w:szCs w:val="24"/>
        </w:rPr>
        <w:t xml:space="preserve"> </w:t>
      </w:r>
    </w:p>
    <w:p w:rsidR="0009751B" w:rsidRPr="000E39BC" w:rsidRDefault="0009751B" w:rsidP="003149D0">
      <w:pPr>
        <w:spacing w:before="260" w:line="276" w:lineRule="auto"/>
        <w:rPr>
          <w:sz w:val="24"/>
          <w:szCs w:val="24"/>
        </w:rPr>
      </w:pPr>
      <w:r w:rsidRPr="000E39BC">
        <w:rPr>
          <w:sz w:val="24"/>
          <w:szCs w:val="24"/>
        </w:rPr>
        <w:t xml:space="preserve">8. </w:t>
      </w:r>
      <w:r w:rsidRPr="000E39BC">
        <w:rPr>
          <w:sz w:val="24"/>
          <w:szCs w:val="24"/>
          <w:u w:val="single"/>
        </w:rPr>
        <w:t>Consultations Outside the Agency:</w:t>
      </w:r>
    </w:p>
    <w:p w:rsidR="005B5BA7" w:rsidRPr="005B5BA7" w:rsidRDefault="005B5BA7" w:rsidP="003149D0">
      <w:pPr>
        <w:spacing w:line="276" w:lineRule="auto"/>
        <w:rPr>
          <w:rFonts w:cs="Courier New"/>
          <w:sz w:val="24"/>
          <w:szCs w:val="24"/>
        </w:rPr>
      </w:pPr>
      <w:r w:rsidRPr="005B5BA7">
        <w:rPr>
          <w:rFonts w:cs="Courier New"/>
          <w:sz w:val="24"/>
          <w:szCs w:val="24"/>
        </w:rPr>
        <w:t xml:space="preserve">The notice required by 5 CFR 1320.8(d) was published in the </w:t>
      </w:r>
      <w:r w:rsidRPr="005B5BA7">
        <w:rPr>
          <w:rFonts w:cs="Courier New"/>
          <w:i/>
          <w:sz w:val="24"/>
          <w:szCs w:val="24"/>
        </w:rPr>
        <w:t xml:space="preserve">Federal Register </w:t>
      </w:r>
      <w:r w:rsidRPr="005B5BA7">
        <w:rPr>
          <w:rFonts w:cs="Courier New"/>
          <w:sz w:val="24"/>
          <w:szCs w:val="24"/>
        </w:rPr>
        <w:t xml:space="preserve">on </w:t>
      </w:r>
      <w:r w:rsidR="00830900">
        <w:rPr>
          <w:rFonts w:cs="Courier New"/>
          <w:sz w:val="24"/>
          <w:szCs w:val="24"/>
        </w:rPr>
        <w:t>January 25, 2012 (77</w:t>
      </w:r>
      <w:r w:rsidRPr="005B5BA7">
        <w:rPr>
          <w:rFonts w:cs="Courier New"/>
          <w:sz w:val="24"/>
          <w:szCs w:val="24"/>
        </w:rPr>
        <w:t xml:space="preserve"> FR</w:t>
      </w:r>
      <w:r w:rsidR="00830900">
        <w:rPr>
          <w:rFonts w:cs="Courier New"/>
          <w:sz w:val="24"/>
          <w:szCs w:val="24"/>
        </w:rPr>
        <w:t xml:space="preserve"> 3782-3783</w:t>
      </w:r>
      <w:r w:rsidRPr="005B5BA7">
        <w:rPr>
          <w:rFonts w:cs="Courier New"/>
          <w:sz w:val="24"/>
          <w:szCs w:val="24"/>
        </w:rPr>
        <w:t xml:space="preserve">).  </w:t>
      </w:r>
      <w:r w:rsidR="00830900">
        <w:rPr>
          <w:rFonts w:cs="Courier New"/>
          <w:sz w:val="24"/>
          <w:szCs w:val="24"/>
        </w:rPr>
        <w:t>One comment was received</w:t>
      </w:r>
      <w:r w:rsidR="00286F20">
        <w:rPr>
          <w:rFonts w:cs="Courier New"/>
          <w:sz w:val="24"/>
          <w:szCs w:val="24"/>
        </w:rPr>
        <w:t>,</w:t>
      </w:r>
      <w:r w:rsidR="00830900">
        <w:rPr>
          <w:rFonts w:cs="Courier New"/>
          <w:sz w:val="24"/>
          <w:szCs w:val="24"/>
        </w:rPr>
        <w:t xml:space="preserve"> considered</w:t>
      </w:r>
      <w:r w:rsidR="00286F20">
        <w:rPr>
          <w:rFonts w:cs="Courier New"/>
          <w:sz w:val="24"/>
          <w:szCs w:val="24"/>
        </w:rPr>
        <w:t>, and almost all changes requested (format and labeling) were incorporated into the Deferment Form</w:t>
      </w:r>
      <w:r w:rsidR="00830900">
        <w:rPr>
          <w:rFonts w:cs="Courier New"/>
          <w:sz w:val="24"/>
          <w:szCs w:val="24"/>
        </w:rPr>
        <w:t>.</w:t>
      </w:r>
      <w:r w:rsidR="00286F20">
        <w:rPr>
          <w:rFonts w:cs="Courier New"/>
          <w:sz w:val="24"/>
          <w:szCs w:val="24"/>
        </w:rPr>
        <w:t xml:space="preserve">  No comments were received on the AOR.</w:t>
      </w:r>
    </w:p>
    <w:p w:rsidR="00D630B3" w:rsidRDefault="005B5BA7" w:rsidP="003149D0">
      <w:pPr>
        <w:spacing w:line="276" w:lineRule="auto"/>
        <w:rPr>
          <w:rFonts w:cs="Courier New"/>
          <w:sz w:val="24"/>
          <w:szCs w:val="24"/>
        </w:rPr>
      </w:pPr>
      <w:r w:rsidRPr="005B5BA7">
        <w:rPr>
          <w:rFonts w:cs="Courier New"/>
          <w:sz w:val="24"/>
          <w:szCs w:val="24"/>
        </w:rPr>
        <w:t xml:space="preserve">The following HPSL and </w:t>
      </w:r>
      <w:r w:rsidR="0039005D">
        <w:rPr>
          <w:rFonts w:cs="Courier New"/>
          <w:sz w:val="24"/>
          <w:szCs w:val="24"/>
        </w:rPr>
        <w:t xml:space="preserve">PCL </w:t>
      </w:r>
      <w:r w:rsidRPr="005B5BA7">
        <w:rPr>
          <w:rFonts w:cs="Courier New"/>
          <w:sz w:val="24"/>
          <w:szCs w:val="24"/>
        </w:rPr>
        <w:t xml:space="preserve">schools were contacted by program staff regarding various aspects of the HPSL and </w:t>
      </w:r>
      <w:r w:rsidR="00DB0B2D">
        <w:rPr>
          <w:rFonts w:cs="Courier New"/>
          <w:sz w:val="24"/>
          <w:szCs w:val="24"/>
        </w:rPr>
        <w:t xml:space="preserve">PCL </w:t>
      </w:r>
      <w:r w:rsidRPr="005B5BA7">
        <w:rPr>
          <w:rFonts w:cs="Courier New"/>
          <w:sz w:val="24"/>
          <w:szCs w:val="24"/>
        </w:rPr>
        <w:t>programs.  They report</w:t>
      </w:r>
      <w:r w:rsidR="004D1CDF">
        <w:rPr>
          <w:rFonts w:cs="Courier New"/>
          <w:sz w:val="24"/>
          <w:szCs w:val="24"/>
        </w:rPr>
        <w:t>ed</w:t>
      </w:r>
      <w:r w:rsidRPr="005B5BA7">
        <w:rPr>
          <w:rFonts w:cs="Courier New"/>
          <w:sz w:val="24"/>
          <w:szCs w:val="24"/>
        </w:rPr>
        <w:t xml:space="preserve"> no problems and there are no unresolved issues.</w:t>
      </w:r>
    </w:p>
    <w:p w:rsidR="005B5BA7" w:rsidRPr="005B5BA7" w:rsidRDefault="005B5BA7" w:rsidP="003149D0">
      <w:pPr>
        <w:spacing w:line="276" w:lineRule="auto"/>
        <w:rPr>
          <w:rFonts w:cs="Courier New"/>
          <w:sz w:val="24"/>
          <w:szCs w:val="24"/>
        </w:rPr>
      </w:pPr>
      <w:r w:rsidRPr="005B5BA7">
        <w:rPr>
          <w:rFonts w:cs="Courier New"/>
          <w:sz w:val="24"/>
          <w:szCs w:val="24"/>
          <w:u w:val="single"/>
        </w:rPr>
        <w:t>Health Professions Student Loan Contacts</w:t>
      </w:r>
    </w:p>
    <w:p w:rsidR="00066381" w:rsidRDefault="005A00CC" w:rsidP="00066381">
      <w:pPr>
        <w:spacing w:before="0" w:line="240" w:lineRule="auto"/>
        <w:rPr>
          <w:rFonts w:cs="Courier New"/>
          <w:sz w:val="24"/>
          <w:szCs w:val="24"/>
        </w:rPr>
      </w:pPr>
      <w:r w:rsidRPr="000C06BE">
        <w:rPr>
          <w:rFonts w:cs="Courier New"/>
          <w:sz w:val="24"/>
          <w:szCs w:val="24"/>
        </w:rPr>
        <w:t>Judith Archambault</w:t>
      </w:r>
    </w:p>
    <w:p w:rsidR="00066381" w:rsidRDefault="001F2E48" w:rsidP="00066381">
      <w:pPr>
        <w:spacing w:before="0" w:line="240" w:lineRule="auto"/>
        <w:rPr>
          <w:rFonts w:cs="Courier New"/>
          <w:sz w:val="24"/>
          <w:szCs w:val="24"/>
        </w:rPr>
      </w:pPr>
      <w:r w:rsidRPr="000C06BE">
        <w:rPr>
          <w:rFonts w:cs="Courier New"/>
          <w:sz w:val="24"/>
          <w:szCs w:val="24"/>
        </w:rPr>
        <w:t>Bursar</w:t>
      </w:r>
    </w:p>
    <w:p w:rsidR="00066381" w:rsidRDefault="00507980" w:rsidP="00066381">
      <w:pPr>
        <w:spacing w:before="0" w:line="240" w:lineRule="auto"/>
        <w:rPr>
          <w:sz w:val="24"/>
          <w:szCs w:val="24"/>
        </w:rPr>
      </w:pPr>
      <w:r w:rsidRPr="000C06BE">
        <w:rPr>
          <w:sz w:val="24"/>
          <w:szCs w:val="24"/>
        </w:rPr>
        <w:t>University of Maryland</w:t>
      </w:r>
    </w:p>
    <w:p w:rsidR="00066381" w:rsidRDefault="000C06BE" w:rsidP="00066381">
      <w:pPr>
        <w:spacing w:before="0" w:line="240" w:lineRule="auto"/>
        <w:rPr>
          <w:rStyle w:val="Strong"/>
          <w:b w:val="0"/>
          <w:color w:val="333333"/>
          <w:sz w:val="24"/>
          <w:szCs w:val="24"/>
        </w:rPr>
      </w:pPr>
      <w:r w:rsidRPr="000C06BE">
        <w:rPr>
          <w:rStyle w:val="Strong"/>
          <w:b w:val="0"/>
          <w:color w:val="333333"/>
          <w:sz w:val="24"/>
          <w:szCs w:val="24"/>
        </w:rPr>
        <w:t>Student Accounting</w:t>
      </w:r>
    </w:p>
    <w:p w:rsidR="00066381" w:rsidRDefault="000C06BE" w:rsidP="00066381">
      <w:pPr>
        <w:spacing w:before="0" w:line="240" w:lineRule="auto"/>
        <w:rPr>
          <w:color w:val="333333"/>
          <w:sz w:val="24"/>
          <w:szCs w:val="24"/>
        </w:rPr>
      </w:pPr>
      <w:r w:rsidRPr="000C06BE">
        <w:rPr>
          <w:color w:val="333333"/>
          <w:sz w:val="24"/>
          <w:szCs w:val="24"/>
        </w:rPr>
        <w:t>601 W. Lombard Street</w:t>
      </w:r>
    </w:p>
    <w:p w:rsidR="00066381" w:rsidRDefault="000C06BE" w:rsidP="00066381">
      <w:pPr>
        <w:spacing w:before="0" w:line="240" w:lineRule="auto"/>
        <w:rPr>
          <w:color w:val="333333"/>
          <w:sz w:val="24"/>
          <w:szCs w:val="24"/>
        </w:rPr>
      </w:pPr>
      <w:r w:rsidRPr="000C06BE">
        <w:rPr>
          <w:color w:val="333333"/>
          <w:sz w:val="24"/>
          <w:szCs w:val="24"/>
        </w:rPr>
        <w:t>Suite 206</w:t>
      </w:r>
    </w:p>
    <w:p w:rsidR="00066381" w:rsidRDefault="000C06BE" w:rsidP="00066381">
      <w:pPr>
        <w:spacing w:before="0" w:line="240" w:lineRule="auto"/>
        <w:rPr>
          <w:color w:val="333333"/>
          <w:sz w:val="24"/>
          <w:szCs w:val="24"/>
        </w:rPr>
      </w:pPr>
      <w:r w:rsidRPr="000C06BE">
        <w:rPr>
          <w:color w:val="333333"/>
          <w:sz w:val="24"/>
          <w:szCs w:val="24"/>
        </w:rPr>
        <w:t>Baltimore, MD 21201</w:t>
      </w:r>
    </w:p>
    <w:p w:rsidR="00066381" w:rsidRDefault="000C06BE" w:rsidP="00066381">
      <w:pPr>
        <w:spacing w:before="0" w:line="240" w:lineRule="auto"/>
        <w:rPr>
          <w:sz w:val="24"/>
          <w:szCs w:val="24"/>
        </w:rPr>
      </w:pPr>
      <w:r w:rsidRPr="000C06BE">
        <w:rPr>
          <w:rStyle w:val="normal1"/>
          <w:color w:val="333333"/>
          <w:sz w:val="24"/>
          <w:szCs w:val="24"/>
        </w:rPr>
        <w:t>410-706-2929</w:t>
      </w:r>
    </w:p>
    <w:p w:rsidR="001F2E48" w:rsidRDefault="001F2E48" w:rsidP="001F2E48">
      <w:pPr>
        <w:spacing w:before="100" w:beforeAutospacing="1" w:line="276" w:lineRule="auto"/>
        <w:rPr>
          <w:rFonts w:cs="Courier New"/>
          <w:sz w:val="24"/>
          <w:szCs w:val="24"/>
        </w:rPr>
      </w:pPr>
    </w:p>
    <w:p w:rsidR="00066381" w:rsidRDefault="005A00CC" w:rsidP="00066381">
      <w:pPr>
        <w:spacing w:before="0" w:line="240" w:lineRule="auto"/>
        <w:rPr>
          <w:rFonts w:cs="Courier New"/>
          <w:sz w:val="24"/>
          <w:szCs w:val="24"/>
        </w:rPr>
      </w:pPr>
      <w:r w:rsidRPr="000C06BE">
        <w:rPr>
          <w:rFonts w:cs="Courier New"/>
          <w:sz w:val="24"/>
          <w:szCs w:val="24"/>
        </w:rPr>
        <w:t>Ruth Hoch</w:t>
      </w:r>
    </w:p>
    <w:p w:rsidR="00066381" w:rsidRDefault="005A00CC" w:rsidP="00066381">
      <w:pPr>
        <w:spacing w:before="0" w:line="240" w:lineRule="auto"/>
        <w:rPr>
          <w:rFonts w:cs="Courier New"/>
          <w:sz w:val="24"/>
          <w:szCs w:val="24"/>
        </w:rPr>
      </w:pPr>
      <w:r w:rsidRPr="000C06BE">
        <w:rPr>
          <w:rFonts w:cs="Courier New"/>
          <w:sz w:val="24"/>
          <w:szCs w:val="24"/>
        </w:rPr>
        <w:t>Associate Director</w:t>
      </w:r>
    </w:p>
    <w:p w:rsidR="00066381" w:rsidRDefault="005A00CC" w:rsidP="00066381">
      <w:pPr>
        <w:spacing w:before="0" w:line="240" w:lineRule="auto"/>
        <w:rPr>
          <w:rFonts w:cs="Courier New"/>
          <w:sz w:val="24"/>
          <w:szCs w:val="24"/>
        </w:rPr>
      </w:pPr>
      <w:r w:rsidRPr="000C06BE">
        <w:rPr>
          <w:rFonts w:cs="Courier New"/>
          <w:sz w:val="24"/>
          <w:szCs w:val="24"/>
        </w:rPr>
        <w:t>Student Financial Assistance</w:t>
      </w:r>
    </w:p>
    <w:p w:rsidR="00066381" w:rsidRDefault="005A00CC" w:rsidP="00066381">
      <w:pPr>
        <w:spacing w:before="0" w:line="240" w:lineRule="auto"/>
        <w:rPr>
          <w:rFonts w:cs="Courier New"/>
          <w:sz w:val="24"/>
          <w:szCs w:val="24"/>
        </w:rPr>
      </w:pPr>
      <w:r w:rsidRPr="000C06BE">
        <w:rPr>
          <w:rFonts w:cs="Courier New"/>
          <w:sz w:val="24"/>
          <w:szCs w:val="24"/>
        </w:rPr>
        <w:t>The George Washington University</w:t>
      </w:r>
    </w:p>
    <w:p w:rsidR="00066381" w:rsidRDefault="005A00CC" w:rsidP="00066381">
      <w:pPr>
        <w:spacing w:before="0" w:line="240" w:lineRule="auto"/>
        <w:rPr>
          <w:rFonts w:cs="Courier New"/>
          <w:sz w:val="24"/>
          <w:szCs w:val="24"/>
        </w:rPr>
      </w:pPr>
      <w:r w:rsidRPr="000C06BE">
        <w:rPr>
          <w:rFonts w:cs="Courier New"/>
          <w:sz w:val="24"/>
          <w:szCs w:val="24"/>
        </w:rPr>
        <w:t>2121 I St. NW #301</w:t>
      </w:r>
    </w:p>
    <w:p w:rsidR="00066381" w:rsidRDefault="00595F25" w:rsidP="00066381">
      <w:pPr>
        <w:spacing w:before="0" w:line="240" w:lineRule="auto"/>
        <w:rPr>
          <w:rFonts w:cs="Courier New"/>
          <w:sz w:val="24"/>
          <w:szCs w:val="24"/>
        </w:rPr>
      </w:pPr>
      <w:r>
        <w:rPr>
          <w:rFonts w:cs="Courier New"/>
          <w:sz w:val="24"/>
          <w:szCs w:val="24"/>
        </w:rPr>
        <w:t>Washington, DC 200</w:t>
      </w:r>
      <w:r w:rsidR="005A00CC" w:rsidRPr="000C06BE">
        <w:rPr>
          <w:rFonts w:cs="Courier New"/>
          <w:sz w:val="24"/>
          <w:szCs w:val="24"/>
        </w:rPr>
        <w:t>5</w:t>
      </w:r>
      <w:r>
        <w:rPr>
          <w:rFonts w:cs="Courier New"/>
          <w:sz w:val="24"/>
          <w:szCs w:val="24"/>
        </w:rPr>
        <w:t>2</w:t>
      </w:r>
    </w:p>
    <w:p w:rsidR="00066381" w:rsidRDefault="000C06BE" w:rsidP="00066381">
      <w:pPr>
        <w:spacing w:before="0" w:line="240" w:lineRule="auto"/>
        <w:rPr>
          <w:sz w:val="24"/>
          <w:szCs w:val="24"/>
        </w:rPr>
      </w:pPr>
      <w:r w:rsidRPr="000C06BE">
        <w:rPr>
          <w:sz w:val="24"/>
          <w:szCs w:val="24"/>
        </w:rPr>
        <w:t>202-994-1577</w:t>
      </w:r>
    </w:p>
    <w:p w:rsidR="00066381" w:rsidRDefault="00066381" w:rsidP="00066381">
      <w:pPr>
        <w:spacing w:before="0" w:line="240" w:lineRule="auto"/>
        <w:rPr>
          <w:sz w:val="24"/>
          <w:szCs w:val="24"/>
        </w:rPr>
      </w:pPr>
    </w:p>
    <w:p w:rsidR="00066381" w:rsidRDefault="00066381" w:rsidP="00066381">
      <w:pPr>
        <w:spacing w:before="0" w:line="240" w:lineRule="auto"/>
        <w:rPr>
          <w:sz w:val="24"/>
          <w:szCs w:val="24"/>
        </w:rPr>
      </w:pPr>
    </w:p>
    <w:p w:rsidR="00066381" w:rsidRDefault="00066381" w:rsidP="00066381">
      <w:pPr>
        <w:spacing w:before="0" w:line="240" w:lineRule="auto"/>
        <w:rPr>
          <w:sz w:val="24"/>
          <w:szCs w:val="24"/>
        </w:rPr>
      </w:pPr>
    </w:p>
    <w:p w:rsidR="00066381" w:rsidRDefault="00066381" w:rsidP="00066381">
      <w:pPr>
        <w:spacing w:before="0" w:line="240" w:lineRule="auto"/>
        <w:rPr>
          <w:sz w:val="24"/>
          <w:szCs w:val="24"/>
        </w:rPr>
      </w:pPr>
    </w:p>
    <w:p w:rsidR="005B5BA7" w:rsidRPr="005B5BA7" w:rsidRDefault="005A00CC" w:rsidP="00D630B3">
      <w:pPr>
        <w:spacing w:before="100" w:beforeAutospacing="1" w:line="276" w:lineRule="auto"/>
        <w:rPr>
          <w:rFonts w:cs="Courier New"/>
          <w:sz w:val="24"/>
          <w:szCs w:val="24"/>
        </w:rPr>
      </w:pPr>
      <w:r>
        <w:rPr>
          <w:rFonts w:cs="Courier New"/>
          <w:sz w:val="24"/>
          <w:szCs w:val="24"/>
          <w:u w:val="single"/>
        </w:rPr>
        <w:t xml:space="preserve">Primary Care </w:t>
      </w:r>
      <w:r w:rsidR="005B5BA7" w:rsidRPr="005B5BA7">
        <w:rPr>
          <w:rFonts w:cs="Courier New"/>
          <w:sz w:val="24"/>
          <w:szCs w:val="24"/>
          <w:u w:val="single"/>
        </w:rPr>
        <w:t>Loan Contacts</w:t>
      </w:r>
    </w:p>
    <w:p w:rsidR="00066381" w:rsidRDefault="000C06BE" w:rsidP="00066381">
      <w:pPr>
        <w:spacing w:before="0" w:line="240" w:lineRule="auto"/>
        <w:rPr>
          <w:rFonts w:cs="Courier New"/>
          <w:sz w:val="24"/>
          <w:szCs w:val="24"/>
        </w:rPr>
      </w:pPr>
      <w:r w:rsidRPr="000C06BE">
        <w:rPr>
          <w:rFonts w:cs="Courier New"/>
          <w:sz w:val="24"/>
          <w:szCs w:val="24"/>
        </w:rPr>
        <w:t>Judith Archambault</w:t>
      </w:r>
    </w:p>
    <w:p w:rsidR="00066381" w:rsidRDefault="001F2E48" w:rsidP="00066381">
      <w:pPr>
        <w:spacing w:before="0" w:line="240" w:lineRule="auto"/>
        <w:rPr>
          <w:rFonts w:cs="Courier New"/>
          <w:sz w:val="24"/>
          <w:szCs w:val="24"/>
        </w:rPr>
      </w:pPr>
      <w:r>
        <w:rPr>
          <w:rFonts w:cs="Courier New"/>
          <w:sz w:val="24"/>
          <w:szCs w:val="24"/>
        </w:rPr>
        <w:t>Bursa</w:t>
      </w:r>
      <w:r w:rsidR="000C06BE" w:rsidRPr="000C06BE">
        <w:rPr>
          <w:rFonts w:cs="Courier New"/>
          <w:sz w:val="24"/>
          <w:szCs w:val="24"/>
        </w:rPr>
        <w:t>r</w:t>
      </w:r>
    </w:p>
    <w:p w:rsidR="00066381" w:rsidRDefault="000C06BE" w:rsidP="00066381">
      <w:pPr>
        <w:spacing w:before="0" w:line="240" w:lineRule="auto"/>
        <w:rPr>
          <w:rFonts w:cs="Courier New"/>
          <w:sz w:val="24"/>
          <w:szCs w:val="24"/>
        </w:rPr>
      </w:pPr>
      <w:r w:rsidRPr="000C06BE">
        <w:rPr>
          <w:sz w:val="24"/>
          <w:szCs w:val="24"/>
        </w:rPr>
        <w:t>University of Maryland</w:t>
      </w:r>
    </w:p>
    <w:p w:rsidR="00066381" w:rsidRDefault="000C06BE" w:rsidP="00066381">
      <w:pPr>
        <w:spacing w:before="0" w:line="240" w:lineRule="auto"/>
        <w:rPr>
          <w:rStyle w:val="Strong"/>
          <w:b w:val="0"/>
          <w:color w:val="333333"/>
          <w:sz w:val="24"/>
          <w:szCs w:val="24"/>
        </w:rPr>
      </w:pPr>
      <w:r w:rsidRPr="003149D0">
        <w:rPr>
          <w:rStyle w:val="Strong"/>
          <w:b w:val="0"/>
          <w:color w:val="333333"/>
          <w:sz w:val="24"/>
          <w:szCs w:val="24"/>
        </w:rPr>
        <w:t>Student Accounting</w:t>
      </w:r>
    </w:p>
    <w:p w:rsidR="00066381" w:rsidRDefault="000C06BE" w:rsidP="00066381">
      <w:pPr>
        <w:spacing w:before="0" w:line="240" w:lineRule="auto"/>
        <w:rPr>
          <w:color w:val="333333"/>
          <w:sz w:val="24"/>
          <w:szCs w:val="24"/>
        </w:rPr>
      </w:pPr>
      <w:r w:rsidRPr="003149D0">
        <w:rPr>
          <w:color w:val="333333"/>
          <w:sz w:val="24"/>
          <w:szCs w:val="24"/>
        </w:rPr>
        <w:t>601 W. Lombard Street</w:t>
      </w:r>
    </w:p>
    <w:p w:rsidR="00066381" w:rsidRDefault="001F2E48" w:rsidP="00066381">
      <w:pPr>
        <w:spacing w:before="0" w:line="240" w:lineRule="auto"/>
        <w:rPr>
          <w:color w:val="333333"/>
          <w:sz w:val="24"/>
          <w:szCs w:val="24"/>
        </w:rPr>
      </w:pPr>
      <w:r>
        <w:rPr>
          <w:color w:val="333333"/>
          <w:sz w:val="24"/>
          <w:szCs w:val="24"/>
        </w:rPr>
        <w:t>Suite 206</w:t>
      </w:r>
    </w:p>
    <w:p w:rsidR="00066381" w:rsidRDefault="000C06BE" w:rsidP="00066381">
      <w:pPr>
        <w:spacing w:before="0" w:line="240" w:lineRule="auto"/>
        <w:rPr>
          <w:bCs/>
          <w:color w:val="333333"/>
          <w:sz w:val="24"/>
          <w:szCs w:val="24"/>
        </w:rPr>
      </w:pPr>
      <w:r w:rsidRPr="003149D0">
        <w:rPr>
          <w:color w:val="333333"/>
          <w:sz w:val="24"/>
          <w:szCs w:val="24"/>
        </w:rPr>
        <w:t>Baltimore, MD 21201</w:t>
      </w:r>
    </w:p>
    <w:p w:rsidR="00066381" w:rsidRDefault="000C06BE" w:rsidP="00066381">
      <w:pPr>
        <w:spacing w:before="0" w:line="240" w:lineRule="auto"/>
        <w:rPr>
          <w:rFonts w:cs="Courier New"/>
          <w:sz w:val="24"/>
          <w:szCs w:val="24"/>
        </w:rPr>
      </w:pPr>
      <w:r w:rsidRPr="003149D0">
        <w:rPr>
          <w:rStyle w:val="normal1"/>
          <w:color w:val="333333"/>
          <w:sz w:val="24"/>
          <w:szCs w:val="24"/>
        </w:rPr>
        <w:t>410-706-2929</w:t>
      </w:r>
    </w:p>
    <w:p w:rsidR="00507980" w:rsidRDefault="00507980" w:rsidP="003149D0">
      <w:pPr>
        <w:pStyle w:val="ListParagraph"/>
        <w:spacing w:line="276" w:lineRule="auto"/>
        <w:rPr>
          <w:rFonts w:cs="Courier New"/>
          <w:sz w:val="24"/>
          <w:szCs w:val="24"/>
        </w:rPr>
      </w:pPr>
    </w:p>
    <w:p w:rsidR="001F65C9" w:rsidRDefault="001F65C9" w:rsidP="003149D0">
      <w:pPr>
        <w:pStyle w:val="ListParagraph"/>
        <w:spacing w:line="276" w:lineRule="auto"/>
        <w:rPr>
          <w:rFonts w:cs="Courier New"/>
          <w:sz w:val="24"/>
          <w:szCs w:val="24"/>
        </w:rPr>
      </w:pPr>
    </w:p>
    <w:p w:rsidR="001F65C9" w:rsidRDefault="001F65C9" w:rsidP="003149D0">
      <w:pPr>
        <w:pStyle w:val="ListParagraph"/>
        <w:spacing w:line="276" w:lineRule="auto"/>
        <w:rPr>
          <w:rFonts w:cs="Courier New"/>
          <w:sz w:val="24"/>
          <w:szCs w:val="24"/>
        </w:rPr>
      </w:pPr>
    </w:p>
    <w:p w:rsidR="00066381" w:rsidRDefault="005A00CC" w:rsidP="00066381">
      <w:pPr>
        <w:spacing w:before="0" w:line="240" w:lineRule="auto"/>
        <w:rPr>
          <w:rFonts w:cs="Courier New"/>
          <w:sz w:val="24"/>
          <w:szCs w:val="24"/>
        </w:rPr>
      </w:pPr>
      <w:r w:rsidRPr="003149D0">
        <w:rPr>
          <w:rFonts w:cs="Courier New"/>
          <w:sz w:val="24"/>
          <w:szCs w:val="24"/>
        </w:rPr>
        <w:t>Ruth Hoch</w:t>
      </w:r>
    </w:p>
    <w:p w:rsidR="00066381" w:rsidRDefault="005A00CC" w:rsidP="00066381">
      <w:pPr>
        <w:spacing w:before="0" w:line="240" w:lineRule="auto"/>
        <w:rPr>
          <w:rFonts w:cs="Courier New"/>
          <w:sz w:val="24"/>
          <w:szCs w:val="24"/>
        </w:rPr>
      </w:pPr>
      <w:r w:rsidRPr="003149D0">
        <w:rPr>
          <w:rFonts w:cs="Courier New"/>
          <w:sz w:val="24"/>
          <w:szCs w:val="24"/>
        </w:rPr>
        <w:t>Associate Director</w:t>
      </w:r>
    </w:p>
    <w:p w:rsidR="00066381" w:rsidRDefault="005A00CC" w:rsidP="00066381">
      <w:pPr>
        <w:spacing w:before="0" w:line="240" w:lineRule="auto"/>
        <w:rPr>
          <w:rFonts w:cs="Courier New"/>
          <w:sz w:val="24"/>
          <w:szCs w:val="24"/>
        </w:rPr>
      </w:pPr>
      <w:r w:rsidRPr="003149D0">
        <w:rPr>
          <w:rFonts w:cs="Courier New"/>
          <w:sz w:val="24"/>
          <w:szCs w:val="24"/>
        </w:rPr>
        <w:t>Student Financial Assistance</w:t>
      </w:r>
    </w:p>
    <w:p w:rsidR="00066381" w:rsidRDefault="005A00CC" w:rsidP="00066381">
      <w:pPr>
        <w:spacing w:before="0" w:line="240" w:lineRule="auto"/>
        <w:rPr>
          <w:rFonts w:cs="Courier New"/>
          <w:sz w:val="24"/>
          <w:szCs w:val="24"/>
        </w:rPr>
      </w:pPr>
      <w:r w:rsidRPr="003149D0">
        <w:rPr>
          <w:rFonts w:cs="Courier New"/>
          <w:sz w:val="24"/>
          <w:szCs w:val="24"/>
        </w:rPr>
        <w:t>The George Washington University</w:t>
      </w:r>
    </w:p>
    <w:p w:rsidR="00066381" w:rsidRDefault="005A00CC" w:rsidP="00066381">
      <w:pPr>
        <w:spacing w:before="0" w:line="240" w:lineRule="auto"/>
        <w:rPr>
          <w:rFonts w:cs="Courier New"/>
          <w:sz w:val="24"/>
          <w:szCs w:val="24"/>
        </w:rPr>
      </w:pPr>
      <w:r w:rsidRPr="003149D0">
        <w:rPr>
          <w:rFonts w:cs="Courier New"/>
          <w:sz w:val="24"/>
          <w:szCs w:val="24"/>
        </w:rPr>
        <w:t>2121 I St. NW #301</w:t>
      </w:r>
    </w:p>
    <w:p w:rsidR="00066381" w:rsidRDefault="005A00CC" w:rsidP="00066381">
      <w:pPr>
        <w:spacing w:before="0" w:line="240" w:lineRule="auto"/>
        <w:rPr>
          <w:rFonts w:cs="Courier New"/>
          <w:sz w:val="24"/>
          <w:szCs w:val="24"/>
        </w:rPr>
      </w:pPr>
      <w:r w:rsidRPr="003149D0">
        <w:rPr>
          <w:rFonts w:cs="Courier New"/>
          <w:sz w:val="24"/>
          <w:szCs w:val="24"/>
        </w:rPr>
        <w:t xml:space="preserve">Washington, DC </w:t>
      </w:r>
      <w:r w:rsidR="008866A9">
        <w:rPr>
          <w:rFonts w:cs="Courier New"/>
          <w:sz w:val="24"/>
          <w:szCs w:val="24"/>
        </w:rPr>
        <w:t>200</w:t>
      </w:r>
      <w:r w:rsidRPr="003149D0">
        <w:rPr>
          <w:rFonts w:cs="Courier New"/>
          <w:sz w:val="24"/>
          <w:szCs w:val="24"/>
        </w:rPr>
        <w:t>5</w:t>
      </w:r>
      <w:r w:rsidR="008866A9">
        <w:rPr>
          <w:rFonts w:cs="Courier New"/>
          <w:sz w:val="24"/>
          <w:szCs w:val="24"/>
        </w:rPr>
        <w:t>2</w:t>
      </w:r>
    </w:p>
    <w:p w:rsidR="00066381" w:rsidRDefault="000C06BE" w:rsidP="00066381">
      <w:pPr>
        <w:spacing w:before="0" w:line="240" w:lineRule="auto"/>
        <w:rPr>
          <w:sz w:val="24"/>
          <w:szCs w:val="24"/>
        </w:rPr>
      </w:pPr>
      <w:r w:rsidRPr="003149D0">
        <w:rPr>
          <w:sz w:val="24"/>
          <w:szCs w:val="24"/>
        </w:rPr>
        <w:t>202-994-1577</w:t>
      </w:r>
    </w:p>
    <w:p w:rsidR="005B5BA7" w:rsidRPr="005B5BA7" w:rsidRDefault="005B5BA7" w:rsidP="003149D0">
      <w:pPr>
        <w:spacing w:line="276" w:lineRule="auto"/>
        <w:rPr>
          <w:rFonts w:cs="Courier New"/>
          <w:sz w:val="24"/>
          <w:szCs w:val="24"/>
        </w:rPr>
      </w:pPr>
    </w:p>
    <w:p w:rsidR="0009751B" w:rsidRPr="000E39BC" w:rsidRDefault="0009751B" w:rsidP="003149D0">
      <w:pPr>
        <w:spacing w:before="0" w:line="276" w:lineRule="auto"/>
        <w:ind w:right="1200"/>
        <w:rPr>
          <w:sz w:val="24"/>
          <w:szCs w:val="24"/>
          <w:u w:val="single"/>
        </w:rPr>
      </w:pPr>
      <w:r w:rsidRPr="000E39BC">
        <w:rPr>
          <w:sz w:val="24"/>
          <w:szCs w:val="24"/>
        </w:rPr>
        <w:t xml:space="preserve">9. </w:t>
      </w:r>
      <w:r w:rsidRPr="000E39BC">
        <w:rPr>
          <w:sz w:val="24"/>
          <w:szCs w:val="24"/>
          <w:u w:val="single"/>
        </w:rPr>
        <w:t xml:space="preserve">Remuneration of Respondents </w:t>
      </w:r>
    </w:p>
    <w:p w:rsidR="0009751B" w:rsidRPr="000E39BC" w:rsidRDefault="0009751B" w:rsidP="003149D0">
      <w:pPr>
        <w:spacing w:before="0" w:line="276" w:lineRule="auto"/>
        <w:ind w:right="1200"/>
        <w:rPr>
          <w:sz w:val="24"/>
          <w:szCs w:val="24"/>
          <w:u w:val="single"/>
        </w:rPr>
      </w:pPr>
    </w:p>
    <w:p w:rsidR="0009751B" w:rsidRPr="000E39BC" w:rsidRDefault="0009751B" w:rsidP="003149D0">
      <w:pPr>
        <w:spacing w:before="0" w:line="276" w:lineRule="auto"/>
        <w:ind w:right="1200"/>
        <w:rPr>
          <w:sz w:val="24"/>
          <w:szCs w:val="24"/>
        </w:rPr>
      </w:pPr>
      <w:r w:rsidRPr="000E39BC">
        <w:rPr>
          <w:sz w:val="24"/>
          <w:szCs w:val="24"/>
        </w:rPr>
        <w:t>Respondents will not be remunerated.</w:t>
      </w:r>
    </w:p>
    <w:p w:rsidR="0009751B" w:rsidRPr="000E39BC" w:rsidRDefault="0009751B" w:rsidP="003149D0">
      <w:pPr>
        <w:spacing w:before="320" w:line="276" w:lineRule="auto"/>
        <w:rPr>
          <w:sz w:val="24"/>
          <w:szCs w:val="24"/>
        </w:rPr>
      </w:pPr>
      <w:r w:rsidRPr="000E39BC">
        <w:rPr>
          <w:sz w:val="24"/>
          <w:szCs w:val="24"/>
        </w:rPr>
        <w:t xml:space="preserve">10. </w:t>
      </w:r>
      <w:r w:rsidRPr="000E39BC">
        <w:rPr>
          <w:sz w:val="24"/>
          <w:szCs w:val="24"/>
          <w:u w:val="single"/>
        </w:rPr>
        <w:t>Assurance of Confidentialit</w:t>
      </w:r>
      <w:r w:rsidRPr="003B2945">
        <w:rPr>
          <w:sz w:val="24"/>
          <w:szCs w:val="24"/>
          <w:u w:val="single"/>
        </w:rPr>
        <w:t>y</w:t>
      </w:r>
    </w:p>
    <w:p w:rsidR="0009751B" w:rsidRPr="000E39BC" w:rsidRDefault="0009751B" w:rsidP="003149D0">
      <w:pPr>
        <w:spacing w:line="276" w:lineRule="auto"/>
        <w:rPr>
          <w:sz w:val="24"/>
          <w:szCs w:val="24"/>
        </w:rPr>
      </w:pPr>
      <w:r w:rsidRPr="000E39BC">
        <w:rPr>
          <w:sz w:val="24"/>
          <w:szCs w:val="24"/>
        </w:rPr>
        <w:t xml:space="preserve">The student records associated with these requirements are protected by the Family Educational Rights (FERPA) and the Privacy Act. The </w:t>
      </w:r>
      <w:smartTag w:uri="urn:schemas-microsoft-com:office:smarttags" w:element="PersonName">
        <w:r w:rsidRPr="000E39BC">
          <w:rPr>
            <w:sz w:val="24"/>
            <w:szCs w:val="24"/>
          </w:rPr>
          <w:t>HRSA</w:t>
        </w:r>
      </w:smartTag>
      <w:r w:rsidRPr="000E39BC">
        <w:rPr>
          <w:sz w:val="24"/>
          <w:szCs w:val="24"/>
        </w:rPr>
        <w:t xml:space="preserve"> Privacy Act Off</w:t>
      </w:r>
      <w:r w:rsidRPr="00AF6459">
        <w:rPr>
          <w:sz w:val="24"/>
          <w:szCs w:val="24"/>
        </w:rPr>
        <w:t>i</w:t>
      </w:r>
      <w:r w:rsidRPr="000E39BC">
        <w:rPr>
          <w:sz w:val="24"/>
          <w:szCs w:val="24"/>
        </w:rPr>
        <w:t>cer has determined that a system of records is not needed for the information collections included in this request because all information on individual students is maintained by the schools</w:t>
      </w:r>
      <w:r>
        <w:rPr>
          <w:sz w:val="24"/>
          <w:szCs w:val="24"/>
        </w:rPr>
        <w:t>.</w:t>
      </w:r>
    </w:p>
    <w:p w:rsidR="0009751B" w:rsidRPr="000E39BC" w:rsidRDefault="0009751B" w:rsidP="003149D0">
      <w:pPr>
        <w:spacing w:before="180" w:line="276" w:lineRule="auto"/>
        <w:ind w:right="4600"/>
        <w:rPr>
          <w:sz w:val="24"/>
          <w:szCs w:val="24"/>
          <w:u w:val="single"/>
        </w:rPr>
      </w:pPr>
      <w:r w:rsidRPr="000E39BC">
        <w:rPr>
          <w:sz w:val="24"/>
          <w:szCs w:val="24"/>
        </w:rPr>
        <w:t xml:space="preserve">11. </w:t>
      </w:r>
      <w:r w:rsidRPr="000E39BC">
        <w:rPr>
          <w:sz w:val="24"/>
          <w:szCs w:val="24"/>
          <w:u w:val="single"/>
        </w:rPr>
        <w:t xml:space="preserve">Questions of a Sensitive Nature </w:t>
      </w:r>
    </w:p>
    <w:p w:rsidR="0009751B" w:rsidRPr="000E39BC" w:rsidRDefault="0009751B" w:rsidP="003149D0">
      <w:pPr>
        <w:spacing w:before="180" w:line="276" w:lineRule="auto"/>
        <w:ind w:right="4600"/>
        <w:rPr>
          <w:sz w:val="24"/>
          <w:szCs w:val="24"/>
        </w:rPr>
      </w:pPr>
      <w:r w:rsidRPr="000E39BC">
        <w:rPr>
          <w:sz w:val="24"/>
          <w:szCs w:val="24"/>
        </w:rPr>
        <w:t>There are no questions of a sensitive nature.</w:t>
      </w:r>
    </w:p>
    <w:p w:rsidR="0009751B" w:rsidRDefault="0009751B" w:rsidP="003149D0">
      <w:pPr>
        <w:spacing w:before="180" w:line="276" w:lineRule="auto"/>
        <w:ind w:right="4600"/>
        <w:rPr>
          <w:sz w:val="24"/>
          <w:szCs w:val="24"/>
          <w:u w:val="single"/>
        </w:rPr>
      </w:pPr>
      <w:r w:rsidRPr="000E39BC">
        <w:rPr>
          <w:sz w:val="24"/>
          <w:szCs w:val="24"/>
        </w:rPr>
        <w:t xml:space="preserve">12. </w:t>
      </w:r>
      <w:r w:rsidRPr="000E39BC">
        <w:rPr>
          <w:sz w:val="24"/>
          <w:szCs w:val="24"/>
          <w:u w:val="single"/>
        </w:rPr>
        <w:t xml:space="preserve">Estimates of Annualized Hour Burden </w:t>
      </w:r>
    </w:p>
    <w:p w:rsidR="0094593B" w:rsidRDefault="0094593B" w:rsidP="003149D0">
      <w:pPr>
        <w:spacing w:before="0" w:line="276" w:lineRule="auto"/>
        <w:rPr>
          <w:sz w:val="24"/>
          <w:szCs w:val="24"/>
          <w:u w:val="single"/>
        </w:rPr>
      </w:pPr>
    </w:p>
    <w:p w:rsidR="0009751B" w:rsidRDefault="0009751B" w:rsidP="003149D0">
      <w:pPr>
        <w:spacing w:before="0" w:line="276" w:lineRule="auto"/>
        <w:rPr>
          <w:sz w:val="24"/>
          <w:szCs w:val="24"/>
        </w:rPr>
      </w:pPr>
      <w:r w:rsidRPr="000E39BC">
        <w:rPr>
          <w:sz w:val="24"/>
          <w:szCs w:val="24"/>
        </w:rPr>
        <w:t>The reporting burden is as follows:</w:t>
      </w:r>
    </w:p>
    <w:p w:rsidR="00507980" w:rsidRDefault="00507980" w:rsidP="003149D0">
      <w:pPr>
        <w:spacing w:before="0" w:line="276" w:lineRule="auto"/>
        <w:rPr>
          <w:sz w:val="24"/>
          <w:szCs w:val="24"/>
        </w:rPr>
      </w:pPr>
    </w:p>
    <w:p w:rsidR="00C63FD0" w:rsidRPr="000E39BC" w:rsidRDefault="00C63FD0" w:rsidP="003149D0">
      <w:pPr>
        <w:spacing w:before="0" w:line="276" w:lineRule="auto"/>
        <w:rPr>
          <w:sz w:val="24"/>
          <w:szCs w:val="24"/>
        </w:rPr>
      </w:pPr>
    </w:p>
    <w:tbl>
      <w:tblPr>
        <w:tblW w:w="10260" w:type="dxa"/>
        <w:tblInd w:w="40" w:type="dxa"/>
        <w:tblLayout w:type="fixed"/>
        <w:tblCellMar>
          <w:left w:w="40" w:type="dxa"/>
          <w:right w:w="40" w:type="dxa"/>
        </w:tblCellMar>
        <w:tblLook w:val="0000" w:firstRow="0" w:lastRow="0" w:firstColumn="0" w:lastColumn="0" w:noHBand="0" w:noVBand="0"/>
      </w:tblPr>
      <w:tblGrid>
        <w:gridCol w:w="1224"/>
        <w:gridCol w:w="1474"/>
        <w:gridCol w:w="1378"/>
        <w:gridCol w:w="1282"/>
        <w:gridCol w:w="1206"/>
        <w:gridCol w:w="1129"/>
        <w:gridCol w:w="1129"/>
        <w:gridCol w:w="1438"/>
      </w:tblGrid>
      <w:tr w:rsidR="0009751B" w:rsidRPr="000E39BC" w:rsidTr="00BA72D5">
        <w:trPr>
          <w:trHeight w:hRule="exact" w:val="267"/>
        </w:trPr>
        <w:tc>
          <w:tcPr>
            <w:tcW w:w="1224" w:type="dxa"/>
            <w:tcBorders>
              <w:top w:val="single" w:sz="6" w:space="0" w:color="auto"/>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Form</w:t>
            </w:r>
          </w:p>
          <w:p w:rsidR="0009751B" w:rsidRPr="006D40D2" w:rsidRDefault="0009751B" w:rsidP="003149D0">
            <w:pPr>
              <w:spacing w:before="0" w:line="276" w:lineRule="auto"/>
              <w:jc w:val="center"/>
              <w:rPr>
                <w:sz w:val="24"/>
                <w:szCs w:val="24"/>
              </w:rPr>
            </w:pPr>
          </w:p>
        </w:tc>
        <w:tc>
          <w:tcPr>
            <w:tcW w:w="1474" w:type="dxa"/>
            <w:tcBorders>
              <w:top w:val="single" w:sz="6" w:space="0" w:color="auto"/>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No of</w:t>
            </w:r>
          </w:p>
          <w:p w:rsidR="0009751B" w:rsidRPr="006D40D2" w:rsidRDefault="0009751B" w:rsidP="003149D0">
            <w:pPr>
              <w:spacing w:before="0" w:line="276" w:lineRule="auto"/>
              <w:jc w:val="center"/>
              <w:rPr>
                <w:sz w:val="24"/>
                <w:szCs w:val="24"/>
              </w:rPr>
            </w:pPr>
          </w:p>
        </w:tc>
        <w:tc>
          <w:tcPr>
            <w:tcW w:w="1378" w:type="dxa"/>
            <w:tcBorders>
              <w:top w:val="single" w:sz="6" w:space="0" w:color="auto"/>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Responses</w:t>
            </w:r>
          </w:p>
          <w:p w:rsidR="0009751B" w:rsidRPr="006D40D2" w:rsidRDefault="0009751B" w:rsidP="003149D0">
            <w:pPr>
              <w:spacing w:before="0" w:line="276" w:lineRule="auto"/>
              <w:jc w:val="center"/>
              <w:rPr>
                <w:sz w:val="24"/>
                <w:szCs w:val="24"/>
              </w:rPr>
            </w:pPr>
          </w:p>
        </w:tc>
        <w:tc>
          <w:tcPr>
            <w:tcW w:w="1282" w:type="dxa"/>
            <w:tcBorders>
              <w:top w:val="single" w:sz="6" w:space="0" w:color="auto"/>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Total</w:t>
            </w:r>
          </w:p>
          <w:p w:rsidR="0009751B" w:rsidRPr="006D40D2" w:rsidRDefault="0009751B" w:rsidP="003149D0">
            <w:pPr>
              <w:spacing w:before="0" w:line="276" w:lineRule="auto"/>
              <w:jc w:val="center"/>
              <w:rPr>
                <w:sz w:val="24"/>
                <w:szCs w:val="24"/>
              </w:rPr>
            </w:pPr>
          </w:p>
        </w:tc>
        <w:tc>
          <w:tcPr>
            <w:tcW w:w="1206" w:type="dxa"/>
            <w:tcBorders>
              <w:top w:val="single" w:sz="6" w:space="0" w:color="auto"/>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Hours</w:t>
            </w:r>
          </w:p>
          <w:p w:rsidR="0009751B" w:rsidRPr="006D40D2" w:rsidRDefault="0009751B" w:rsidP="003149D0">
            <w:pPr>
              <w:spacing w:before="0" w:line="276" w:lineRule="auto"/>
              <w:jc w:val="center"/>
              <w:rPr>
                <w:sz w:val="24"/>
                <w:szCs w:val="24"/>
              </w:rPr>
            </w:pPr>
          </w:p>
        </w:tc>
        <w:tc>
          <w:tcPr>
            <w:tcW w:w="1129" w:type="dxa"/>
            <w:tcBorders>
              <w:top w:val="single" w:sz="6" w:space="0" w:color="auto"/>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Total</w:t>
            </w:r>
          </w:p>
          <w:p w:rsidR="0009751B" w:rsidRPr="006D40D2" w:rsidRDefault="0009751B" w:rsidP="003149D0">
            <w:pPr>
              <w:spacing w:before="0" w:line="276" w:lineRule="auto"/>
              <w:jc w:val="center"/>
              <w:rPr>
                <w:sz w:val="24"/>
                <w:szCs w:val="24"/>
              </w:rPr>
            </w:pPr>
          </w:p>
        </w:tc>
        <w:tc>
          <w:tcPr>
            <w:tcW w:w="1129" w:type="dxa"/>
            <w:tcBorders>
              <w:top w:val="single" w:sz="6" w:space="0" w:color="auto"/>
              <w:left w:val="single" w:sz="6" w:space="0" w:color="auto"/>
              <w:bottom w:val="nil"/>
              <w:right w:val="single" w:sz="4" w:space="0" w:color="auto"/>
            </w:tcBorders>
          </w:tcPr>
          <w:p w:rsidR="0009751B" w:rsidRPr="006D40D2" w:rsidRDefault="0009751B" w:rsidP="003149D0">
            <w:pPr>
              <w:spacing w:before="0" w:line="276" w:lineRule="auto"/>
              <w:jc w:val="center"/>
              <w:rPr>
                <w:sz w:val="24"/>
                <w:szCs w:val="24"/>
              </w:rPr>
            </w:pPr>
            <w:r w:rsidRPr="006D40D2">
              <w:rPr>
                <w:sz w:val="24"/>
                <w:szCs w:val="24"/>
              </w:rPr>
              <w:t>Dollar</w:t>
            </w:r>
          </w:p>
          <w:p w:rsidR="0009751B" w:rsidRPr="006D40D2" w:rsidRDefault="0009751B" w:rsidP="003149D0">
            <w:pPr>
              <w:spacing w:before="0" w:line="276" w:lineRule="auto"/>
              <w:jc w:val="center"/>
              <w:rPr>
                <w:sz w:val="24"/>
                <w:szCs w:val="24"/>
              </w:rPr>
            </w:pPr>
          </w:p>
        </w:tc>
        <w:tc>
          <w:tcPr>
            <w:tcW w:w="1438" w:type="dxa"/>
            <w:tcBorders>
              <w:top w:val="single" w:sz="4" w:space="0" w:color="auto"/>
              <w:left w:val="single" w:sz="4" w:space="0" w:color="auto"/>
              <w:bottom w:val="nil"/>
              <w:right w:val="single" w:sz="4" w:space="0" w:color="auto"/>
            </w:tcBorders>
          </w:tcPr>
          <w:p w:rsidR="0009751B" w:rsidRPr="006D40D2" w:rsidRDefault="0009751B" w:rsidP="003149D0">
            <w:pPr>
              <w:spacing w:before="0" w:line="276" w:lineRule="auto"/>
              <w:jc w:val="center"/>
              <w:rPr>
                <w:sz w:val="24"/>
                <w:szCs w:val="24"/>
              </w:rPr>
            </w:pPr>
            <w:r w:rsidRPr="006D40D2">
              <w:rPr>
                <w:sz w:val="24"/>
                <w:szCs w:val="24"/>
              </w:rPr>
              <w:t>Total</w:t>
            </w:r>
          </w:p>
          <w:p w:rsidR="0009751B" w:rsidRPr="006D40D2" w:rsidRDefault="0009751B" w:rsidP="003149D0">
            <w:pPr>
              <w:spacing w:before="0" w:line="276" w:lineRule="auto"/>
              <w:jc w:val="center"/>
              <w:rPr>
                <w:sz w:val="24"/>
                <w:szCs w:val="24"/>
              </w:rPr>
            </w:pPr>
          </w:p>
        </w:tc>
      </w:tr>
      <w:tr w:rsidR="0009751B" w:rsidRPr="000E39BC" w:rsidTr="00BA72D5">
        <w:trPr>
          <w:trHeight w:hRule="exact" w:val="252"/>
        </w:trPr>
        <w:tc>
          <w:tcPr>
            <w:tcW w:w="1224"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Number</w:t>
            </w:r>
          </w:p>
          <w:p w:rsidR="0009751B" w:rsidRPr="006D40D2" w:rsidRDefault="0009751B" w:rsidP="003149D0">
            <w:pPr>
              <w:spacing w:before="0" w:line="276" w:lineRule="auto"/>
              <w:jc w:val="center"/>
              <w:rPr>
                <w:sz w:val="24"/>
                <w:szCs w:val="24"/>
              </w:rPr>
            </w:pPr>
          </w:p>
        </w:tc>
        <w:tc>
          <w:tcPr>
            <w:tcW w:w="1474"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Respondents</w:t>
            </w:r>
          </w:p>
          <w:p w:rsidR="0009751B" w:rsidRPr="006D40D2" w:rsidRDefault="0009751B" w:rsidP="003149D0">
            <w:pPr>
              <w:spacing w:before="0" w:line="276" w:lineRule="auto"/>
              <w:jc w:val="center"/>
              <w:rPr>
                <w:sz w:val="24"/>
                <w:szCs w:val="24"/>
              </w:rPr>
            </w:pPr>
          </w:p>
        </w:tc>
        <w:tc>
          <w:tcPr>
            <w:tcW w:w="1378"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 xml:space="preserve">per  </w:t>
            </w:r>
          </w:p>
          <w:p w:rsidR="0009751B" w:rsidRPr="006D40D2" w:rsidRDefault="0009751B" w:rsidP="003149D0">
            <w:pPr>
              <w:spacing w:before="0" w:line="276" w:lineRule="auto"/>
              <w:jc w:val="center"/>
              <w:rPr>
                <w:sz w:val="24"/>
                <w:szCs w:val="24"/>
              </w:rPr>
            </w:pPr>
            <w:r w:rsidRPr="006D40D2">
              <w:rPr>
                <w:sz w:val="24"/>
                <w:szCs w:val="24"/>
              </w:rPr>
              <w:t>re</w:t>
            </w:r>
            <w:r w:rsidRPr="006D40D2">
              <w:rPr>
                <w:sz w:val="24"/>
                <w:szCs w:val="24"/>
              </w:rPr>
              <w:softHyphen/>
            </w:r>
          </w:p>
          <w:p w:rsidR="0009751B" w:rsidRPr="006D40D2" w:rsidRDefault="0009751B" w:rsidP="003149D0">
            <w:pPr>
              <w:spacing w:before="0" w:line="276" w:lineRule="auto"/>
              <w:jc w:val="center"/>
              <w:rPr>
                <w:sz w:val="24"/>
                <w:szCs w:val="24"/>
              </w:rPr>
            </w:pPr>
          </w:p>
        </w:tc>
        <w:tc>
          <w:tcPr>
            <w:tcW w:w="1282"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Annual</w:t>
            </w:r>
          </w:p>
          <w:p w:rsidR="0009751B" w:rsidRPr="006D40D2" w:rsidRDefault="0009751B" w:rsidP="003149D0">
            <w:pPr>
              <w:spacing w:before="0" w:line="276" w:lineRule="auto"/>
              <w:jc w:val="center"/>
              <w:rPr>
                <w:sz w:val="24"/>
                <w:szCs w:val="24"/>
              </w:rPr>
            </w:pPr>
          </w:p>
        </w:tc>
        <w:tc>
          <w:tcPr>
            <w:tcW w:w="1206"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per</w:t>
            </w:r>
          </w:p>
          <w:p w:rsidR="0009751B" w:rsidRPr="006D40D2" w:rsidRDefault="0009751B" w:rsidP="003149D0">
            <w:pPr>
              <w:spacing w:before="0" w:line="276" w:lineRule="auto"/>
              <w:jc w:val="center"/>
              <w:rPr>
                <w:sz w:val="24"/>
                <w:szCs w:val="24"/>
              </w:rPr>
            </w:pPr>
          </w:p>
        </w:tc>
        <w:tc>
          <w:tcPr>
            <w:tcW w:w="1129"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Burden</w:t>
            </w:r>
          </w:p>
          <w:p w:rsidR="0009751B" w:rsidRPr="006D40D2" w:rsidRDefault="0009751B" w:rsidP="003149D0">
            <w:pPr>
              <w:spacing w:before="0" w:line="276" w:lineRule="auto"/>
              <w:jc w:val="center"/>
              <w:rPr>
                <w:sz w:val="24"/>
                <w:szCs w:val="24"/>
              </w:rPr>
            </w:pPr>
          </w:p>
        </w:tc>
        <w:tc>
          <w:tcPr>
            <w:tcW w:w="1129" w:type="dxa"/>
            <w:tcBorders>
              <w:top w:val="nil"/>
              <w:left w:val="single" w:sz="6" w:space="0" w:color="auto"/>
              <w:bottom w:val="nil"/>
              <w:right w:val="single" w:sz="4" w:space="0" w:color="auto"/>
            </w:tcBorders>
          </w:tcPr>
          <w:p w:rsidR="0009751B" w:rsidRPr="006D40D2" w:rsidRDefault="0009751B" w:rsidP="003149D0">
            <w:pPr>
              <w:spacing w:before="0" w:line="276" w:lineRule="auto"/>
              <w:jc w:val="center"/>
              <w:rPr>
                <w:sz w:val="24"/>
                <w:szCs w:val="24"/>
              </w:rPr>
            </w:pPr>
            <w:r w:rsidRPr="006D40D2">
              <w:rPr>
                <w:sz w:val="24"/>
                <w:szCs w:val="24"/>
              </w:rPr>
              <w:t>Wage</w:t>
            </w:r>
          </w:p>
          <w:p w:rsidR="0009751B" w:rsidRPr="006D40D2" w:rsidRDefault="0009751B" w:rsidP="003149D0">
            <w:pPr>
              <w:spacing w:before="0" w:line="276" w:lineRule="auto"/>
              <w:jc w:val="center"/>
              <w:rPr>
                <w:sz w:val="24"/>
                <w:szCs w:val="24"/>
              </w:rPr>
            </w:pPr>
          </w:p>
        </w:tc>
        <w:tc>
          <w:tcPr>
            <w:tcW w:w="1438" w:type="dxa"/>
            <w:tcBorders>
              <w:top w:val="nil"/>
              <w:left w:val="single" w:sz="4" w:space="0" w:color="auto"/>
              <w:bottom w:val="nil"/>
              <w:right w:val="single" w:sz="4" w:space="0" w:color="auto"/>
            </w:tcBorders>
          </w:tcPr>
          <w:p w:rsidR="0009751B" w:rsidRPr="006D40D2" w:rsidRDefault="0009751B" w:rsidP="003149D0">
            <w:pPr>
              <w:spacing w:before="0" w:line="276" w:lineRule="auto"/>
              <w:jc w:val="center"/>
              <w:rPr>
                <w:sz w:val="24"/>
                <w:szCs w:val="24"/>
              </w:rPr>
            </w:pPr>
            <w:r w:rsidRPr="006D40D2">
              <w:rPr>
                <w:sz w:val="24"/>
                <w:szCs w:val="24"/>
              </w:rPr>
              <w:t>Hour</w:t>
            </w:r>
          </w:p>
          <w:p w:rsidR="0009751B" w:rsidRPr="006D40D2" w:rsidRDefault="0009751B" w:rsidP="003149D0">
            <w:pPr>
              <w:spacing w:before="0" w:line="276" w:lineRule="auto"/>
              <w:jc w:val="center"/>
              <w:rPr>
                <w:sz w:val="24"/>
                <w:szCs w:val="24"/>
              </w:rPr>
            </w:pPr>
          </w:p>
        </w:tc>
      </w:tr>
      <w:tr w:rsidR="0009751B" w:rsidRPr="000E39BC" w:rsidTr="00BA72D5">
        <w:trPr>
          <w:trHeight w:hRule="exact" w:val="211"/>
        </w:trPr>
        <w:tc>
          <w:tcPr>
            <w:tcW w:w="1224"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p>
          <w:p w:rsidR="0009751B" w:rsidRPr="006D40D2" w:rsidRDefault="0009751B" w:rsidP="003149D0">
            <w:pPr>
              <w:spacing w:before="0" w:line="276" w:lineRule="auto"/>
              <w:jc w:val="center"/>
              <w:rPr>
                <w:sz w:val="24"/>
                <w:szCs w:val="24"/>
              </w:rPr>
            </w:pPr>
          </w:p>
        </w:tc>
        <w:tc>
          <w:tcPr>
            <w:tcW w:w="1474"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p>
          <w:p w:rsidR="0009751B" w:rsidRPr="006D40D2" w:rsidRDefault="0009751B" w:rsidP="003149D0">
            <w:pPr>
              <w:spacing w:before="0" w:line="276" w:lineRule="auto"/>
              <w:jc w:val="center"/>
              <w:rPr>
                <w:sz w:val="24"/>
                <w:szCs w:val="24"/>
              </w:rPr>
            </w:pPr>
          </w:p>
        </w:tc>
        <w:tc>
          <w:tcPr>
            <w:tcW w:w="1378"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Respondent</w:t>
            </w:r>
          </w:p>
          <w:p w:rsidR="0009751B" w:rsidRPr="006D40D2" w:rsidRDefault="0009751B" w:rsidP="003149D0">
            <w:pPr>
              <w:spacing w:before="0" w:line="276" w:lineRule="auto"/>
              <w:jc w:val="center"/>
              <w:rPr>
                <w:sz w:val="24"/>
                <w:szCs w:val="24"/>
              </w:rPr>
            </w:pPr>
          </w:p>
        </w:tc>
        <w:tc>
          <w:tcPr>
            <w:tcW w:w="1282"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Response</w:t>
            </w:r>
          </w:p>
          <w:p w:rsidR="0009751B" w:rsidRPr="006D40D2" w:rsidRDefault="0009751B" w:rsidP="003149D0">
            <w:pPr>
              <w:spacing w:before="0" w:line="276" w:lineRule="auto"/>
              <w:jc w:val="center"/>
              <w:rPr>
                <w:sz w:val="24"/>
                <w:szCs w:val="24"/>
              </w:rPr>
            </w:pPr>
          </w:p>
        </w:tc>
        <w:tc>
          <w:tcPr>
            <w:tcW w:w="1206"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Response</w:t>
            </w:r>
          </w:p>
          <w:p w:rsidR="0009751B" w:rsidRPr="006D40D2" w:rsidRDefault="0009751B" w:rsidP="003149D0">
            <w:pPr>
              <w:spacing w:before="0" w:line="276" w:lineRule="auto"/>
              <w:jc w:val="center"/>
              <w:rPr>
                <w:sz w:val="24"/>
                <w:szCs w:val="24"/>
              </w:rPr>
            </w:pPr>
          </w:p>
        </w:tc>
        <w:tc>
          <w:tcPr>
            <w:tcW w:w="1129"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Hours</w:t>
            </w:r>
          </w:p>
          <w:p w:rsidR="0009751B" w:rsidRPr="006D40D2" w:rsidRDefault="0009751B" w:rsidP="003149D0">
            <w:pPr>
              <w:spacing w:before="0" w:line="276" w:lineRule="auto"/>
              <w:jc w:val="center"/>
              <w:rPr>
                <w:sz w:val="24"/>
                <w:szCs w:val="24"/>
              </w:rPr>
            </w:pPr>
          </w:p>
        </w:tc>
        <w:tc>
          <w:tcPr>
            <w:tcW w:w="1129" w:type="dxa"/>
            <w:tcBorders>
              <w:top w:val="nil"/>
              <w:left w:val="single" w:sz="6" w:space="0" w:color="auto"/>
              <w:bottom w:val="nil"/>
              <w:right w:val="single" w:sz="4" w:space="0" w:color="auto"/>
            </w:tcBorders>
          </w:tcPr>
          <w:p w:rsidR="0009751B" w:rsidRPr="006D40D2" w:rsidRDefault="0009751B" w:rsidP="003149D0">
            <w:pPr>
              <w:spacing w:before="0" w:line="276" w:lineRule="auto"/>
              <w:jc w:val="center"/>
              <w:rPr>
                <w:sz w:val="24"/>
                <w:szCs w:val="24"/>
              </w:rPr>
            </w:pPr>
            <w:r w:rsidRPr="006D40D2">
              <w:rPr>
                <w:sz w:val="24"/>
                <w:szCs w:val="24"/>
              </w:rPr>
              <w:t>Rate</w:t>
            </w:r>
          </w:p>
          <w:p w:rsidR="0009751B" w:rsidRPr="006D40D2" w:rsidRDefault="0009751B" w:rsidP="003149D0">
            <w:pPr>
              <w:spacing w:before="0" w:line="276" w:lineRule="auto"/>
              <w:jc w:val="center"/>
              <w:rPr>
                <w:sz w:val="24"/>
                <w:szCs w:val="24"/>
              </w:rPr>
            </w:pPr>
          </w:p>
        </w:tc>
        <w:tc>
          <w:tcPr>
            <w:tcW w:w="1438" w:type="dxa"/>
            <w:tcBorders>
              <w:top w:val="nil"/>
              <w:left w:val="single" w:sz="4" w:space="0" w:color="auto"/>
              <w:bottom w:val="nil"/>
              <w:right w:val="single" w:sz="4" w:space="0" w:color="auto"/>
            </w:tcBorders>
          </w:tcPr>
          <w:p w:rsidR="0009751B" w:rsidRPr="006D40D2" w:rsidRDefault="0009751B" w:rsidP="003149D0">
            <w:pPr>
              <w:spacing w:before="0" w:line="276" w:lineRule="auto"/>
              <w:jc w:val="center"/>
              <w:rPr>
                <w:sz w:val="24"/>
                <w:szCs w:val="24"/>
              </w:rPr>
            </w:pPr>
            <w:r w:rsidRPr="006D40D2">
              <w:rPr>
                <w:sz w:val="24"/>
                <w:szCs w:val="24"/>
              </w:rPr>
              <w:t>Cost</w:t>
            </w:r>
          </w:p>
          <w:p w:rsidR="0009751B" w:rsidRPr="006D40D2" w:rsidRDefault="0009751B" w:rsidP="003149D0">
            <w:pPr>
              <w:spacing w:before="0" w:line="276" w:lineRule="auto"/>
              <w:jc w:val="center"/>
              <w:rPr>
                <w:sz w:val="24"/>
                <w:szCs w:val="24"/>
              </w:rPr>
            </w:pPr>
          </w:p>
        </w:tc>
      </w:tr>
      <w:tr w:rsidR="0009751B" w:rsidRPr="000E39BC" w:rsidTr="00BA72D5">
        <w:trPr>
          <w:trHeight w:hRule="exact" w:val="80"/>
        </w:trPr>
        <w:tc>
          <w:tcPr>
            <w:tcW w:w="1224" w:type="dxa"/>
            <w:tcBorders>
              <w:top w:val="nil"/>
              <w:left w:val="single" w:sz="6" w:space="0" w:color="auto"/>
              <w:bottom w:val="single" w:sz="6" w:space="0" w:color="auto"/>
              <w:right w:val="single" w:sz="6" w:space="0" w:color="auto"/>
            </w:tcBorders>
          </w:tcPr>
          <w:p w:rsidR="0009751B" w:rsidRPr="006D40D2" w:rsidRDefault="0009751B" w:rsidP="003149D0">
            <w:pPr>
              <w:spacing w:before="0" w:line="276" w:lineRule="auto"/>
              <w:jc w:val="center"/>
              <w:rPr>
                <w:sz w:val="24"/>
                <w:szCs w:val="24"/>
              </w:rPr>
            </w:pPr>
          </w:p>
          <w:p w:rsidR="0009751B" w:rsidRPr="006D40D2" w:rsidRDefault="0009751B" w:rsidP="003149D0">
            <w:pPr>
              <w:spacing w:before="0" w:line="276" w:lineRule="auto"/>
              <w:jc w:val="center"/>
              <w:rPr>
                <w:sz w:val="24"/>
                <w:szCs w:val="24"/>
              </w:rPr>
            </w:pPr>
          </w:p>
        </w:tc>
        <w:tc>
          <w:tcPr>
            <w:tcW w:w="1474" w:type="dxa"/>
            <w:tcBorders>
              <w:top w:val="nil"/>
              <w:left w:val="single" w:sz="6" w:space="0" w:color="auto"/>
              <w:bottom w:val="single" w:sz="6" w:space="0" w:color="auto"/>
              <w:right w:val="single" w:sz="6" w:space="0" w:color="auto"/>
            </w:tcBorders>
          </w:tcPr>
          <w:p w:rsidR="0009751B" w:rsidRPr="006D40D2" w:rsidRDefault="0009751B" w:rsidP="003149D0">
            <w:pPr>
              <w:spacing w:before="0" w:line="276" w:lineRule="auto"/>
              <w:jc w:val="center"/>
              <w:rPr>
                <w:sz w:val="24"/>
                <w:szCs w:val="24"/>
              </w:rPr>
            </w:pPr>
          </w:p>
          <w:p w:rsidR="0009751B" w:rsidRPr="006D40D2" w:rsidRDefault="0009751B" w:rsidP="003149D0">
            <w:pPr>
              <w:spacing w:before="0" w:line="276" w:lineRule="auto"/>
              <w:jc w:val="center"/>
              <w:rPr>
                <w:sz w:val="24"/>
                <w:szCs w:val="24"/>
              </w:rPr>
            </w:pPr>
          </w:p>
        </w:tc>
        <w:tc>
          <w:tcPr>
            <w:tcW w:w="1378" w:type="dxa"/>
            <w:tcBorders>
              <w:top w:val="nil"/>
              <w:left w:val="single" w:sz="6" w:space="0" w:color="auto"/>
              <w:bottom w:val="single" w:sz="6" w:space="0" w:color="auto"/>
              <w:right w:val="single" w:sz="6" w:space="0" w:color="auto"/>
            </w:tcBorders>
          </w:tcPr>
          <w:p w:rsidR="0009751B" w:rsidRPr="006D40D2" w:rsidRDefault="0009751B" w:rsidP="003149D0">
            <w:pPr>
              <w:spacing w:before="0" w:line="276" w:lineRule="auto"/>
              <w:jc w:val="center"/>
              <w:rPr>
                <w:sz w:val="24"/>
                <w:szCs w:val="24"/>
              </w:rPr>
            </w:pPr>
          </w:p>
          <w:p w:rsidR="0009751B" w:rsidRPr="006D40D2" w:rsidRDefault="0009751B" w:rsidP="003149D0">
            <w:pPr>
              <w:spacing w:before="0" w:line="276" w:lineRule="auto"/>
              <w:jc w:val="center"/>
              <w:rPr>
                <w:sz w:val="24"/>
                <w:szCs w:val="24"/>
              </w:rPr>
            </w:pPr>
          </w:p>
        </w:tc>
        <w:tc>
          <w:tcPr>
            <w:tcW w:w="1282" w:type="dxa"/>
            <w:tcBorders>
              <w:top w:val="nil"/>
              <w:left w:val="single" w:sz="6" w:space="0" w:color="auto"/>
              <w:bottom w:val="single" w:sz="6" w:space="0" w:color="auto"/>
              <w:right w:val="single" w:sz="6" w:space="0" w:color="auto"/>
            </w:tcBorders>
          </w:tcPr>
          <w:p w:rsidR="0009751B" w:rsidRPr="006D40D2" w:rsidRDefault="0009751B" w:rsidP="003149D0">
            <w:pPr>
              <w:spacing w:before="0" w:line="276" w:lineRule="auto"/>
              <w:jc w:val="center"/>
              <w:rPr>
                <w:sz w:val="24"/>
                <w:szCs w:val="24"/>
              </w:rPr>
            </w:pPr>
          </w:p>
          <w:p w:rsidR="0009751B" w:rsidRPr="006D40D2" w:rsidRDefault="0009751B" w:rsidP="003149D0">
            <w:pPr>
              <w:spacing w:before="0" w:line="276" w:lineRule="auto"/>
              <w:jc w:val="center"/>
              <w:rPr>
                <w:sz w:val="24"/>
                <w:szCs w:val="24"/>
              </w:rPr>
            </w:pPr>
          </w:p>
        </w:tc>
        <w:tc>
          <w:tcPr>
            <w:tcW w:w="1206" w:type="dxa"/>
            <w:tcBorders>
              <w:top w:val="nil"/>
              <w:left w:val="single" w:sz="6" w:space="0" w:color="auto"/>
              <w:bottom w:val="single" w:sz="6" w:space="0" w:color="auto"/>
              <w:right w:val="single" w:sz="6" w:space="0" w:color="auto"/>
            </w:tcBorders>
          </w:tcPr>
          <w:p w:rsidR="0009751B" w:rsidRPr="006D40D2" w:rsidRDefault="0009751B" w:rsidP="003149D0">
            <w:pPr>
              <w:spacing w:before="20" w:line="276" w:lineRule="auto"/>
              <w:jc w:val="center"/>
              <w:rPr>
                <w:sz w:val="24"/>
                <w:szCs w:val="24"/>
              </w:rPr>
            </w:pPr>
          </w:p>
        </w:tc>
        <w:tc>
          <w:tcPr>
            <w:tcW w:w="1129" w:type="dxa"/>
            <w:tcBorders>
              <w:top w:val="nil"/>
              <w:left w:val="single" w:sz="6" w:space="0" w:color="auto"/>
              <w:bottom w:val="single" w:sz="6" w:space="0" w:color="auto"/>
              <w:right w:val="single" w:sz="6" w:space="0" w:color="auto"/>
            </w:tcBorders>
          </w:tcPr>
          <w:p w:rsidR="0009751B" w:rsidRPr="006D40D2" w:rsidRDefault="0009751B" w:rsidP="003149D0">
            <w:pPr>
              <w:spacing w:before="0" w:line="276" w:lineRule="auto"/>
              <w:jc w:val="center"/>
              <w:rPr>
                <w:sz w:val="24"/>
                <w:szCs w:val="24"/>
              </w:rPr>
            </w:pPr>
          </w:p>
          <w:p w:rsidR="0009751B" w:rsidRPr="006D40D2" w:rsidRDefault="0009751B" w:rsidP="003149D0">
            <w:pPr>
              <w:spacing w:before="0" w:line="276" w:lineRule="auto"/>
              <w:jc w:val="center"/>
              <w:rPr>
                <w:sz w:val="24"/>
                <w:szCs w:val="24"/>
              </w:rPr>
            </w:pPr>
          </w:p>
        </w:tc>
        <w:tc>
          <w:tcPr>
            <w:tcW w:w="1129" w:type="dxa"/>
            <w:tcBorders>
              <w:top w:val="nil"/>
              <w:left w:val="single" w:sz="6" w:space="0" w:color="auto"/>
              <w:bottom w:val="single" w:sz="6" w:space="0" w:color="auto"/>
              <w:right w:val="single" w:sz="4" w:space="0" w:color="auto"/>
            </w:tcBorders>
          </w:tcPr>
          <w:p w:rsidR="0009751B" w:rsidRPr="006D40D2" w:rsidRDefault="0009751B" w:rsidP="003149D0">
            <w:pPr>
              <w:spacing w:before="0" w:line="276" w:lineRule="auto"/>
              <w:jc w:val="center"/>
              <w:rPr>
                <w:sz w:val="24"/>
                <w:szCs w:val="24"/>
              </w:rPr>
            </w:pPr>
          </w:p>
          <w:p w:rsidR="0009751B" w:rsidRPr="006D40D2" w:rsidRDefault="0009751B" w:rsidP="003149D0">
            <w:pPr>
              <w:spacing w:before="0" w:line="276" w:lineRule="auto"/>
              <w:jc w:val="center"/>
              <w:rPr>
                <w:sz w:val="24"/>
                <w:szCs w:val="24"/>
              </w:rPr>
            </w:pPr>
          </w:p>
        </w:tc>
        <w:tc>
          <w:tcPr>
            <w:tcW w:w="1438" w:type="dxa"/>
            <w:tcBorders>
              <w:top w:val="nil"/>
              <w:left w:val="single" w:sz="4" w:space="0" w:color="auto"/>
              <w:bottom w:val="single" w:sz="6" w:space="0" w:color="auto"/>
              <w:right w:val="single" w:sz="4" w:space="0" w:color="auto"/>
            </w:tcBorders>
          </w:tcPr>
          <w:p w:rsidR="0009751B" w:rsidRPr="006D40D2" w:rsidRDefault="0009751B" w:rsidP="003149D0">
            <w:pPr>
              <w:spacing w:before="0" w:line="276" w:lineRule="auto"/>
              <w:jc w:val="center"/>
              <w:rPr>
                <w:sz w:val="24"/>
                <w:szCs w:val="24"/>
              </w:rPr>
            </w:pPr>
          </w:p>
          <w:p w:rsidR="0009751B" w:rsidRPr="006D40D2" w:rsidRDefault="0009751B" w:rsidP="003149D0">
            <w:pPr>
              <w:spacing w:before="0" w:line="276" w:lineRule="auto"/>
              <w:jc w:val="center"/>
              <w:rPr>
                <w:sz w:val="24"/>
                <w:szCs w:val="24"/>
              </w:rPr>
            </w:pPr>
          </w:p>
        </w:tc>
      </w:tr>
      <w:tr w:rsidR="00507980" w:rsidRPr="000E39BC" w:rsidTr="00BA72D5">
        <w:trPr>
          <w:trHeight w:hRule="exact" w:val="317"/>
        </w:trPr>
        <w:tc>
          <w:tcPr>
            <w:tcW w:w="1224" w:type="dxa"/>
            <w:tcBorders>
              <w:top w:val="single" w:sz="6" w:space="0" w:color="auto"/>
              <w:left w:val="single" w:sz="6" w:space="0" w:color="auto"/>
              <w:bottom w:val="nil"/>
              <w:right w:val="single" w:sz="6" w:space="0" w:color="auto"/>
            </w:tcBorders>
          </w:tcPr>
          <w:p w:rsidR="00507980" w:rsidRPr="006D40D2" w:rsidRDefault="00507980" w:rsidP="003149D0">
            <w:pPr>
              <w:spacing w:before="20" w:line="276" w:lineRule="auto"/>
              <w:jc w:val="center"/>
              <w:rPr>
                <w:sz w:val="24"/>
                <w:szCs w:val="24"/>
              </w:rPr>
            </w:pPr>
            <w:r w:rsidRPr="006D40D2">
              <w:rPr>
                <w:sz w:val="24"/>
                <w:szCs w:val="24"/>
              </w:rPr>
              <w:t>Deferment</w:t>
            </w:r>
          </w:p>
          <w:p w:rsidR="00507980" w:rsidRPr="006D40D2" w:rsidRDefault="00507980" w:rsidP="003149D0">
            <w:pPr>
              <w:spacing w:before="20" w:line="276" w:lineRule="auto"/>
              <w:jc w:val="center"/>
              <w:rPr>
                <w:sz w:val="24"/>
                <w:szCs w:val="24"/>
              </w:rPr>
            </w:pPr>
          </w:p>
        </w:tc>
        <w:tc>
          <w:tcPr>
            <w:tcW w:w="1474" w:type="dxa"/>
            <w:tcBorders>
              <w:top w:val="single" w:sz="6" w:space="0" w:color="auto"/>
              <w:left w:val="single" w:sz="6" w:space="0" w:color="auto"/>
              <w:bottom w:val="nil"/>
              <w:right w:val="single" w:sz="6" w:space="0" w:color="auto"/>
            </w:tcBorders>
          </w:tcPr>
          <w:p w:rsidR="00507980" w:rsidRPr="006D40D2" w:rsidRDefault="00507980" w:rsidP="003149D0">
            <w:pPr>
              <w:spacing w:before="20" w:line="276" w:lineRule="auto"/>
              <w:jc w:val="center"/>
              <w:rPr>
                <w:sz w:val="24"/>
                <w:szCs w:val="24"/>
              </w:rPr>
            </w:pPr>
            <w:r>
              <w:rPr>
                <w:sz w:val="24"/>
                <w:szCs w:val="24"/>
              </w:rPr>
              <w:t>3234</w:t>
            </w:r>
          </w:p>
        </w:tc>
        <w:tc>
          <w:tcPr>
            <w:tcW w:w="1378" w:type="dxa"/>
            <w:tcBorders>
              <w:top w:val="single" w:sz="6" w:space="0" w:color="auto"/>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r w:rsidRPr="006D40D2">
              <w:rPr>
                <w:sz w:val="24"/>
                <w:szCs w:val="24"/>
              </w:rPr>
              <w:t>1</w:t>
            </w:r>
          </w:p>
          <w:p w:rsidR="00507980" w:rsidRPr="006D40D2" w:rsidRDefault="00507980" w:rsidP="003149D0">
            <w:pPr>
              <w:spacing w:before="0" w:line="276" w:lineRule="auto"/>
              <w:jc w:val="center"/>
              <w:rPr>
                <w:sz w:val="24"/>
                <w:szCs w:val="24"/>
              </w:rPr>
            </w:pPr>
          </w:p>
        </w:tc>
        <w:tc>
          <w:tcPr>
            <w:tcW w:w="1282" w:type="dxa"/>
            <w:tcBorders>
              <w:top w:val="single" w:sz="6" w:space="0" w:color="auto"/>
              <w:left w:val="single" w:sz="6" w:space="0" w:color="auto"/>
              <w:bottom w:val="nil"/>
              <w:right w:val="single" w:sz="6" w:space="0" w:color="auto"/>
            </w:tcBorders>
          </w:tcPr>
          <w:p w:rsidR="00507980" w:rsidRPr="006D40D2" w:rsidRDefault="00507980" w:rsidP="003149D0">
            <w:pPr>
              <w:spacing w:before="20" w:line="276" w:lineRule="auto"/>
              <w:jc w:val="center"/>
              <w:rPr>
                <w:sz w:val="24"/>
                <w:szCs w:val="24"/>
              </w:rPr>
            </w:pPr>
            <w:r>
              <w:rPr>
                <w:sz w:val="24"/>
                <w:szCs w:val="24"/>
              </w:rPr>
              <w:t>3</w:t>
            </w:r>
            <w:r w:rsidR="00C63FD0">
              <w:rPr>
                <w:sz w:val="24"/>
                <w:szCs w:val="24"/>
              </w:rPr>
              <w:t>,</w:t>
            </w:r>
            <w:r>
              <w:rPr>
                <w:sz w:val="24"/>
                <w:szCs w:val="24"/>
              </w:rPr>
              <w:t>234</w:t>
            </w:r>
          </w:p>
        </w:tc>
        <w:tc>
          <w:tcPr>
            <w:tcW w:w="1206" w:type="dxa"/>
            <w:tcBorders>
              <w:top w:val="single" w:sz="6" w:space="0" w:color="auto"/>
              <w:left w:val="single" w:sz="6" w:space="0" w:color="auto"/>
              <w:bottom w:val="nil"/>
              <w:right w:val="single" w:sz="6" w:space="0" w:color="auto"/>
            </w:tcBorders>
          </w:tcPr>
          <w:p w:rsidR="006260D6" w:rsidRDefault="006260D6" w:rsidP="003149D0">
            <w:pPr>
              <w:spacing w:before="20" w:line="276" w:lineRule="auto"/>
              <w:jc w:val="center"/>
              <w:rPr>
                <w:sz w:val="24"/>
                <w:szCs w:val="24"/>
              </w:rPr>
            </w:pPr>
            <w:r>
              <w:rPr>
                <w:sz w:val="24"/>
                <w:szCs w:val="24"/>
              </w:rPr>
              <w:t>0.533 hrs.  (32</w:t>
            </w:r>
          </w:p>
          <w:p w:rsidR="00507980" w:rsidRPr="006D40D2" w:rsidRDefault="006260D6" w:rsidP="003149D0">
            <w:pPr>
              <w:spacing w:before="20" w:line="276" w:lineRule="auto"/>
              <w:jc w:val="center"/>
              <w:rPr>
                <w:sz w:val="24"/>
                <w:szCs w:val="24"/>
              </w:rPr>
            </w:pPr>
            <w:r>
              <w:rPr>
                <w:sz w:val="24"/>
                <w:szCs w:val="24"/>
              </w:rPr>
              <w:t>32 minutes</w:t>
            </w:r>
          </w:p>
          <w:p w:rsidR="00507980" w:rsidRPr="006D40D2" w:rsidRDefault="00507980" w:rsidP="003149D0">
            <w:pPr>
              <w:spacing w:before="20" w:line="276" w:lineRule="auto"/>
              <w:jc w:val="center"/>
              <w:rPr>
                <w:sz w:val="24"/>
                <w:szCs w:val="24"/>
              </w:rPr>
            </w:pPr>
          </w:p>
        </w:tc>
        <w:tc>
          <w:tcPr>
            <w:tcW w:w="1129" w:type="dxa"/>
            <w:tcBorders>
              <w:top w:val="single" w:sz="6" w:space="0" w:color="auto"/>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r>
              <w:rPr>
                <w:sz w:val="24"/>
                <w:szCs w:val="24"/>
              </w:rPr>
              <w:t>1</w:t>
            </w:r>
            <w:r w:rsidR="00C63FD0">
              <w:rPr>
                <w:sz w:val="24"/>
                <w:szCs w:val="24"/>
              </w:rPr>
              <w:t>,</w:t>
            </w:r>
            <w:r w:rsidR="006A5790">
              <w:rPr>
                <w:sz w:val="24"/>
                <w:szCs w:val="24"/>
              </w:rPr>
              <w:t>72</w:t>
            </w:r>
            <w:r w:rsidR="006260D6">
              <w:rPr>
                <w:sz w:val="24"/>
                <w:szCs w:val="24"/>
              </w:rPr>
              <w:t>5</w:t>
            </w:r>
          </w:p>
          <w:p w:rsidR="00507980" w:rsidRPr="006D40D2" w:rsidRDefault="00507980" w:rsidP="003149D0">
            <w:pPr>
              <w:spacing w:before="0" w:line="276" w:lineRule="auto"/>
              <w:jc w:val="center"/>
              <w:rPr>
                <w:sz w:val="24"/>
                <w:szCs w:val="24"/>
              </w:rPr>
            </w:pPr>
          </w:p>
        </w:tc>
        <w:tc>
          <w:tcPr>
            <w:tcW w:w="1129" w:type="dxa"/>
            <w:tcBorders>
              <w:top w:val="single" w:sz="6" w:space="0" w:color="auto"/>
              <w:left w:val="single" w:sz="6" w:space="0" w:color="auto"/>
              <w:bottom w:val="nil"/>
              <w:right w:val="single" w:sz="4" w:space="0" w:color="auto"/>
            </w:tcBorders>
          </w:tcPr>
          <w:p w:rsidR="00507980" w:rsidRPr="006D40D2" w:rsidRDefault="00C63FD0" w:rsidP="006260D6">
            <w:pPr>
              <w:spacing w:before="20" w:line="276" w:lineRule="auto"/>
              <w:jc w:val="center"/>
              <w:rPr>
                <w:sz w:val="24"/>
                <w:szCs w:val="24"/>
              </w:rPr>
            </w:pPr>
            <w:r>
              <w:rPr>
                <w:sz w:val="24"/>
                <w:szCs w:val="24"/>
              </w:rPr>
              <w:t>$</w:t>
            </w:r>
            <w:r w:rsidR="006260D6">
              <w:rPr>
                <w:sz w:val="24"/>
                <w:szCs w:val="24"/>
              </w:rPr>
              <w:t>2</w:t>
            </w:r>
            <w:r w:rsidR="00B247C8">
              <w:rPr>
                <w:sz w:val="24"/>
                <w:szCs w:val="24"/>
              </w:rPr>
              <w:t>0</w:t>
            </w:r>
          </w:p>
        </w:tc>
        <w:tc>
          <w:tcPr>
            <w:tcW w:w="1438" w:type="dxa"/>
            <w:tcBorders>
              <w:top w:val="single" w:sz="6" w:space="0" w:color="auto"/>
              <w:left w:val="single" w:sz="4" w:space="0" w:color="auto"/>
              <w:bottom w:val="nil"/>
              <w:right w:val="single" w:sz="4" w:space="0" w:color="auto"/>
            </w:tcBorders>
          </w:tcPr>
          <w:p w:rsidR="00507980" w:rsidRPr="006D40D2" w:rsidRDefault="006A5790" w:rsidP="006260D6">
            <w:pPr>
              <w:spacing w:before="20" w:line="276" w:lineRule="auto"/>
              <w:jc w:val="center"/>
              <w:rPr>
                <w:sz w:val="24"/>
                <w:szCs w:val="24"/>
              </w:rPr>
            </w:pPr>
            <w:r>
              <w:rPr>
                <w:sz w:val="24"/>
                <w:szCs w:val="24"/>
              </w:rPr>
              <w:t>$</w:t>
            </w:r>
            <w:r w:rsidR="006260D6">
              <w:rPr>
                <w:sz w:val="24"/>
                <w:szCs w:val="24"/>
              </w:rPr>
              <w:t>34,500</w:t>
            </w:r>
          </w:p>
        </w:tc>
      </w:tr>
      <w:tr w:rsidR="00507980" w:rsidRPr="000E39BC" w:rsidTr="00BA72D5">
        <w:trPr>
          <w:trHeight w:hRule="exact" w:val="248"/>
        </w:trPr>
        <w:tc>
          <w:tcPr>
            <w:tcW w:w="1224" w:type="dxa"/>
            <w:tcBorders>
              <w:top w:val="nil"/>
              <w:left w:val="single" w:sz="6" w:space="0" w:color="auto"/>
              <w:bottom w:val="nil"/>
              <w:right w:val="single" w:sz="6" w:space="0" w:color="auto"/>
            </w:tcBorders>
          </w:tcPr>
          <w:p w:rsidR="00507980" w:rsidRPr="006D40D2" w:rsidRDefault="00507980" w:rsidP="003149D0">
            <w:pPr>
              <w:spacing w:before="0" w:line="276" w:lineRule="auto"/>
              <w:rPr>
                <w:sz w:val="24"/>
                <w:szCs w:val="24"/>
              </w:rPr>
            </w:pPr>
            <w:smartTag w:uri="urn:schemas-microsoft-com:office:smarttags" w:element="PersonName">
              <w:r w:rsidRPr="006D40D2">
                <w:rPr>
                  <w:sz w:val="24"/>
                  <w:szCs w:val="24"/>
                </w:rPr>
                <w:t>HRSA</w:t>
              </w:r>
            </w:smartTag>
            <w:r w:rsidRPr="006D40D2">
              <w:rPr>
                <w:sz w:val="24"/>
                <w:szCs w:val="24"/>
              </w:rPr>
              <w:t>- 519</w:t>
            </w:r>
          </w:p>
        </w:tc>
        <w:tc>
          <w:tcPr>
            <w:tcW w:w="1474"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378"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tc>
        <w:tc>
          <w:tcPr>
            <w:tcW w:w="1282"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206"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129"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tc>
        <w:tc>
          <w:tcPr>
            <w:tcW w:w="1129" w:type="dxa"/>
            <w:tcBorders>
              <w:top w:val="nil"/>
              <w:left w:val="single" w:sz="6" w:space="0" w:color="auto"/>
              <w:bottom w:val="nil"/>
              <w:right w:val="single" w:sz="4" w:space="0" w:color="auto"/>
            </w:tcBorders>
          </w:tcPr>
          <w:p w:rsidR="00507980" w:rsidRPr="006D40D2" w:rsidRDefault="00507980" w:rsidP="003149D0">
            <w:pPr>
              <w:spacing w:before="0" w:line="276" w:lineRule="auto"/>
              <w:jc w:val="center"/>
              <w:rPr>
                <w:sz w:val="24"/>
                <w:szCs w:val="24"/>
              </w:rPr>
            </w:pPr>
          </w:p>
        </w:tc>
        <w:tc>
          <w:tcPr>
            <w:tcW w:w="1438" w:type="dxa"/>
            <w:tcBorders>
              <w:top w:val="nil"/>
              <w:left w:val="single" w:sz="4" w:space="0" w:color="auto"/>
              <w:bottom w:val="nil"/>
              <w:right w:val="single" w:sz="4" w:space="0" w:color="auto"/>
            </w:tcBorders>
          </w:tcPr>
          <w:p w:rsidR="00507980" w:rsidRPr="006D40D2" w:rsidRDefault="00507980" w:rsidP="003149D0">
            <w:pPr>
              <w:spacing w:before="0" w:line="276" w:lineRule="auto"/>
              <w:jc w:val="center"/>
              <w:rPr>
                <w:sz w:val="24"/>
                <w:szCs w:val="24"/>
              </w:rPr>
            </w:pPr>
          </w:p>
        </w:tc>
      </w:tr>
      <w:tr w:rsidR="00507980" w:rsidRPr="000E39BC" w:rsidTr="00BA72D5">
        <w:trPr>
          <w:trHeight w:hRule="exact" w:val="80"/>
        </w:trPr>
        <w:tc>
          <w:tcPr>
            <w:tcW w:w="1224" w:type="dxa"/>
            <w:tcBorders>
              <w:top w:val="nil"/>
              <w:left w:val="single" w:sz="6" w:space="0" w:color="auto"/>
              <w:bottom w:val="single" w:sz="6" w:space="0" w:color="auto"/>
              <w:right w:val="single" w:sz="6" w:space="0" w:color="auto"/>
            </w:tcBorders>
          </w:tcPr>
          <w:p w:rsidR="00507980" w:rsidRPr="006D40D2" w:rsidRDefault="00507980" w:rsidP="003149D0">
            <w:pPr>
              <w:spacing w:before="20" w:line="276" w:lineRule="auto"/>
              <w:jc w:val="center"/>
              <w:rPr>
                <w:sz w:val="24"/>
                <w:szCs w:val="24"/>
              </w:rPr>
            </w:pPr>
          </w:p>
        </w:tc>
        <w:tc>
          <w:tcPr>
            <w:tcW w:w="1474"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378"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282"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206"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129"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129" w:type="dxa"/>
            <w:tcBorders>
              <w:top w:val="nil"/>
              <w:left w:val="single" w:sz="6" w:space="0" w:color="auto"/>
              <w:bottom w:val="single" w:sz="6" w:space="0" w:color="auto"/>
              <w:right w:val="single" w:sz="4"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438" w:type="dxa"/>
            <w:tcBorders>
              <w:top w:val="nil"/>
              <w:left w:val="single" w:sz="4" w:space="0" w:color="auto"/>
              <w:bottom w:val="single" w:sz="6" w:space="0" w:color="auto"/>
              <w:right w:val="single" w:sz="4"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r>
      <w:tr w:rsidR="00507980" w:rsidRPr="000E39BC" w:rsidTr="00BA72D5">
        <w:trPr>
          <w:trHeight w:hRule="exact" w:val="295"/>
        </w:trPr>
        <w:tc>
          <w:tcPr>
            <w:tcW w:w="1224" w:type="dxa"/>
            <w:tcBorders>
              <w:top w:val="single" w:sz="6" w:space="0" w:color="auto"/>
              <w:left w:val="single" w:sz="6" w:space="0" w:color="auto"/>
              <w:bottom w:val="nil"/>
              <w:right w:val="single" w:sz="6" w:space="0" w:color="auto"/>
            </w:tcBorders>
          </w:tcPr>
          <w:p w:rsidR="00507980" w:rsidRPr="006D40D2" w:rsidRDefault="00507980" w:rsidP="003149D0">
            <w:pPr>
              <w:spacing w:before="20" w:line="276" w:lineRule="auto"/>
              <w:jc w:val="center"/>
              <w:rPr>
                <w:sz w:val="24"/>
                <w:szCs w:val="24"/>
              </w:rPr>
            </w:pPr>
            <w:r w:rsidRPr="006D40D2">
              <w:rPr>
                <w:sz w:val="24"/>
                <w:szCs w:val="24"/>
              </w:rPr>
              <w:t>AOR</w:t>
            </w:r>
          </w:p>
          <w:p w:rsidR="00507980" w:rsidRPr="006D40D2" w:rsidRDefault="00507980" w:rsidP="003149D0">
            <w:pPr>
              <w:spacing w:before="20" w:line="276" w:lineRule="auto"/>
              <w:jc w:val="center"/>
              <w:rPr>
                <w:sz w:val="24"/>
                <w:szCs w:val="24"/>
              </w:rPr>
            </w:pPr>
          </w:p>
        </w:tc>
        <w:tc>
          <w:tcPr>
            <w:tcW w:w="1474" w:type="dxa"/>
            <w:tcBorders>
              <w:top w:val="single" w:sz="6" w:space="0" w:color="auto"/>
              <w:left w:val="single" w:sz="6" w:space="0" w:color="auto"/>
              <w:bottom w:val="nil"/>
              <w:right w:val="single" w:sz="6" w:space="0" w:color="auto"/>
            </w:tcBorders>
          </w:tcPr>
          <w:p w:rsidR="00507980" w:rsidRPr="006D40D2" w:rsidRDefault="00507980" w:rsidP="003149D0">
            <w:pPr>
              <w:spacing w:before="20" w:line="276" w:lineRule="auto"/>
              <w:jc w:val="center"/>
              <w:rPr>
                <w:sz w:val="24"/>
                <w:szCs w:val="24"/>
              </w:rPr>
            </w:pPr>
            <w:r>
              <w:rPr>
                <w:sz w:val="24"/>
                <w:szCs w:val="24"/>
              </w:rPr>
              <w:t>834</w:t>
            </w:r>
          </w:p>
        </w:tc>
        <w:tc>
          <w:tcPr>
            <w:tcW w:w="1378" w:type="dxa"/>
            <w:tcBorders>
              <w:top w:val="single" w:sz="6" w:space="0" w:color="auto"/>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r w:rsidRPr="006D40D2">
              <w:rPr>
                <w:sz w:val="24"/>
                <w:szCs w:val="24"/>
              </w:rPr>
              <w:t>1</w:t>
            </w:r>
          </w:p>
          <w:p w:rsidR="00507980" w:rsidRPr="006D40D2" w:rsidRDefault="00507980" w:rsidP="003149D0">
            <w:pPr>
              <w:spacing w:before="0" w:line="276" w:lineRule="auto"/>
              <w:jc w:val="center"/>
              <w:rPr>
                <w:sz w:val="24"/>
                <w:szCs w:val="24"/>
              </w:rPr>
            </w:pPr>
          </w:p>
        </w:tc>
        <w:tc>
          <w:tcPr>
            <w:tcW w:w="1282" w:type="dxa"/>
            <w:tcBorders>
              <w:top w:val="single" w:sz="6" w:space="0" w:color="auto"/>
              <w:left w:val="single" w:sz="6" w:space="0" w:color="auto"/>
              <w:bottom w:val="nil"/>
              <w:right w:val="single" w:sz="6" w:space="0" w:color="auto"/>
            </w:tcBorders>
          </w:tcPr>
          <w:p w:rsidR="00507980" w:rsidRPr="006D40D2" w:rsidRDefault="00507980" w:rsidP="003149D0">
            <w:pPr>
              <w:spacing w:before="20" w:line="276" w:lineRule="auto"/>
              <w:jc w:val="center"/>
              <w:rPr>
                <w:sz w:val="24"/>
                <w:szCs w:val="24"/>
              </w:rPr>
            </w:pPr>
            <w:r>
              <w:rPr>
                <w:sz w:val="24"/>
                <w:szCs w:val="24"/>
              </w:rPr>
              <w:t>834</w:t>
            </w:r>
          </w:p>
        </w:tc>
        <w:tc>
          <w:tcPr>
            <w:tcW w:w="1206" w:type="dxa"/>
            <w:tcBorders>
              <w:top w:val="single" w:sz="6" w:space="0" w:color="auto"/>
              <w:left w:val="single" w:sz="6" w:space="0" w:color="auto"/>
              <w:bottom w:val="nil"/>
              <w:right w:val="single" w:sz="6" w:space="0" w:color="auto"/>
            </w:tcBorders>
          </w:tcPr>
          <w:p w:rsidR="00507980" w:rsidRPr="006D40D2" w:rsidRDefault="00507980" w:rsidP="003149D0">
            <w:pPr>
              <w:spacing w:before="20" w:line="276" w:lineRule="auto"/>
              <w:jc w:val="center"/>
              <w:rPr>
                <w:sz w:val="24"/>
                <w:szCs w:val="24"/>
              </w:rPr>
            </w:pPr>
            <w:r>
              <w:rPr>
                <w:sz w:val="24"/>
                <w:szCs w:val="24"/>
              </w:rPr>
              <w:t>12 hrs</w:t>
            </w:r>
            <w:r w:rsidR="00D12FAB">
              <w:rPr>
                <w:sz w:val="24"/>
                <w:szCs w:val="24"/>
              </w:rPr>
              <w:t>*</w:t>
            </w:r>
          </w:p>
          <w:p w:rsidR="00507980" w:rsidRPr="006D40D2" w:rsidRDefault="00507980" w:rsidP="003149D0">
            <w:pPr>
              <w:spacing w:before="20" w:line="276" w:lineRule="auto"/>
              <w:jc w:val="center"/>
              <w:rPr>
                <w:sz w:val="24"/>
                <w:szCs w:val="24"/>
              </w:rPr>
            </w:pPr>
          </w:p>
        </w:tc>
        <w:tc>
          <w:tcPr>
            <w:tcW w:w="1129" w:type="dxa"/>
            <w:tcBorders>
              <w:top w:val="single" w:sz="6" w:space="0" w:color="auto"/>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r>
              <w:rPr>
                <w:sz w:val="24"/>
                <w:szCs w:val="24"/>
              </w:rPr>
              <w:t>10</w:t>
            </w:r>
            <w:r w:rsidR="00C63FD0">
              <w:rPr>
                <w:sz w:val="24"/>
                <w:szCs w:val="24"/>
              </w:rPr>
              <w:t>,</w:t>
            </w:r>
            <w:r>
              <w:rPr>
                <w:sz w:val="24"/>
                <w:szCs w:val="24"/>
              </w:rPr>
              <w:t>008</w:t>
            </w:r>
          </w:p>
        </w:tc>
        <w:tc>
          <w:tcPr>
            <w:tcW w:w="1129" w:type="dxa"/>
            <w:tcBorders>
              <w:top w:val="single" w:sz="6" w:space="0" w:color="auto"/>
              <w:left w:val="single" w:sz="6" w:space="0" w:color="auto"/>
              <w:bottom w:val="nil"/>
              <w:right w:val="single" w:sz="4" w:space="0" w:color="auto"/>
            </w:tcBorders>
          </w:tcPr>
          <w:p w:rsidR="00507980" w:rsidRPr="006D40D2" w:rsidRDefault="00C63FD0" w:rsidP="003149D0">
            <w:pPr>
              <w:spacing w:before="20" w:line="276" w:lineRule="auto"/>
              <w:jc w:val="center"/>
              <w:rPr>
                <w:sz w:val="24"/>
                <w:szCs w:val="24"/>
              </w:rPr>
            </w:pPr>
            <w:r>
              <w:rPr>
                <w:sz w:val="24"/>
                <w:szCs w:val="24"/>
              </w:rPr>
              <w:t>$37.50</w:t>
            </w:r>
          </w:p>
        </w:tc>
        <w:tc>
          <w:tcPr>
            <w:tcW w:w="1438" w:type="dxa"/>
            <w:tcBorders>
              <w:top w:val="single" w:sz="6" w:space="0" w:color="auto"/>
              <w:left w:val="single" w:sz="4" w:space="0" w:color="auto"/>
              <w:bottom w:val="nil"/>
              <w:right w:val="single" w:sz="4" w:space="0" w:color="auto"/>
            </w:tcBorders>
          </w:tcPr>
          <w:p w:rsidR="00507980" w:rsidRPr="006D40D2" w:rsidRDefault="00C63FD0" w:rsidP="003149D0">
            <w:pPr>
              <w:spacing w:before="20" w:line="276" w:lineRule="auto"/>
              <w:jc w:val="center"/>
              <w:rPr>
                <w:sz w:val="24"/>
                <w:szCs w:val="24"/>
              </w:rPr>
            </w:pPr>
            <w:r>
              <w:rPr>
                <w:sz w:val="24"/>
                <w:szCs w:val="24"/>
              </w:rPr>
              <w:t>$375,300</w:t>
            </w:r>
          </w:p>
        </w:tc>
      </w:tr>
      <w:tr w:rsidR="00507980" w:rsidRPr="000E39BC" w:rsidTr="00BA72D5">
        <w:trPr>
          <w:trHeight w:hRule="exact" w:val="248"/>
        </w:trPr>
        <w:tc>
          <w:tcPr>
            <w:tcW w:w="1224"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smartTag w:uri="urn:schemas-microsoft-com:office:smarttags" w:element="PersonName">
              <w:r w:rsidRPr="006D40D2">
                <w:rPr>
                  <w:sz w:val="24"/>
                  <w:szCs w:val="24"/>
                </w:rPr>
                <w:t>HRSA</w:t>
              </w:r>
            </w:smartTag>
            <w:r w:rsidRPr="006D40D2">
              <w:rPr>
                <w:sz w:val="24"/>
                <w:szCs w:val="24"/>
              </w:rPr>
              <w:t>-501</w:t>
            </w:r>
          </w:p>
          <w:p w:rsidR="00507980" w:rsidRPr="006D40D2" w:rsidRDefault="00507980" w:rsidP="003149D0">
            <w:pPr>
              <w:spacing w:before="0" w:line="276" w:lineRule="auto"/>
              <w:jc w:val="center"/>
              <w:rPr>
                <w:sz w:val="24"/>
                <w:szCs w:val="24"/>
              </w:rPr>
            </w:pPr>
          </w:p>
        </w:tc>
        <w:tc>
          <w:tcPr>
            <w:tcW w:w="1474"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378"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tc>
        <w:tc>
          <w:tcPr>
            <w:tcW w:w="1282"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206"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129"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tc>
        <w:tc>
          <w:tcPr>
            <w:tcW w:w="1129" w:type="dxa"/>
            <w:tcBorders>
              <w:top w:val="nil"/>
              <w:left w:val="single" w:sz="6" w:space="0" w:color="auto"/>
              <w:bottom w:val="nil"/>
              <w:right w:val="single" w:sz="4" w:space="0" w:color="auto"/>
            </w:tcBorders>
          </w:tcPr>
          <w:p w:rsidR="00507980" w:rsidRPr="006D40D2" w:rsidRDefault="00507980" w:rsidP="003149D0">
            <w:pPr>
              <w:spacing w:before="0" w:line="276" w:lineRule="auto"/>
              <w:jc w:val="center"/>
              <w:rPr>
                <w:sz w:val="24"/>
                <w:szCs w:val="24"/>
              </w:rPr>
            </w:pPr>
          </w:p>
        </w:tc>
        <w:tc>
          <w:tcPr>
            <w:tcW w:w="1438" w:type="dxa"/>
            <w:tcBorders>
              <w:top w:val="nil"/>
              <w:left w:val="single" w:sz="4" w:space="0" w:color="auto"/>
              <w:bottom w:val="nil"/>
              <w:right w:val="single" w:sz="4" w:space="0" w:color="auto"/>
            </w:tcBorders>
          </w:tcPr>
          <w:p w:rsidR="00507980" w:rsidRPr="006D40D2" w:rsidRDefault="00507980" w:rsidP="003149D0">
            <w:pPr>
              <w:spacing w:before="0" w:line="276" w:lineRule="auto"/>
              <w:jc w:val="center"/>
              <w:rPr>
                <w:sz w:val="24"/>
                <w:szCs w:val="24"/>
              </w:rPr>
            </w:pPr>
          </w:p>
        </w:tc>
      </w:tr>
      <w:tr w:rsidR="00507980" w:rsidRPr="000E39BC" w:rsidTr="00BA72D5">
        <w:trPr>
          <w:trHeight w:hRule="exact" w:val="253"/>
        </w:trPr>
        <w:tc>
          <w:tcPr>
            <w:tcW w:w="1224" w:type="dxa"/>
            <w:tcBorders>
              <w:top w:val="nil"/>
              <w:left w:val="single" w:sz="6" w:space="0" w:color="auto"/>
              <w:bottom w:val="single" w:sz="6" w:space="0" w:color="auto"/>
              <w:right w:val="single" w:sz="6" w:space="0" w:color="auto"/>
            </w:tcBorders>
          </w:tcPr>
          <w:p w:rsidR="00507980" w:rsidRPr="006D40D2" w:rsidRDefault="00507980" w:rsidP="003149D0">
            <w:pPr>
              <w:spacing w:before="20" w:line="276" w:lineRule="auto"/>
              <w:jc w:val="center"/>
              <w:rPr>
                <w:sz w:val="24"/>
                <w:szCs w:val="24"/>
              </w:rPr>
            </w:pPr>
          </w:p>
        </w:tc>
        <w:tc>
          <w:tcPr>
            <w:tcW w:w="1474"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378"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282"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206"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129"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129" w:type="dxa"/>
            <w:tcBorders>
              <w:top w:val="nil"/>
              <w:left w:val="single" w:sz="6" w:space="0" w:color="auto"/>
              <w:bottom w:val="single" w:sz="6" w:space="0" w:color="auto"/>
              <w:right w:val="single" w:sz="4"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438" w:type="dxa"/>
            <w:tcBorders>
              <w:top w:val="nil"/>
              <w:left w:val="single" w:sz="4" w:space="0" w:color="auto"/>
              <w:bottom w:val="single" w:sz="6" w:space="0" w:color="auto"/>
              <w:right w:val="single" w:sz="4"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r>
      <w:tr w:rsidR="00507980" w:rsidRPr="000E39BC" w:rsidTr="006260D6">
        <w:trPr>
          <w:trHeight w:hRule="exact" w:val="803"/>
        </w:trPr>
        <w:tc>
          <w:tcPr>
            <w:tcW w:w="1224" w:type="dxa"/>
            <w:tcBorders>
              <w:top w:val="single" w:sz="6" w:space="0" w:color="auto"/>
              <w:left w:val="single" w:sz="6" w:space="0" w:color="auto"/>
              <w:bottom w:val="nil"/>
              <w:right w:val="single" w:sz="6" w:space="0" w:color="auto"/>
            </w:tcBorders>
          </w:tcPr>
          <w:p w:rsidR="00507980" w:rsidRDefault="00507980" w:rsidP="003149D0">
            <w:pPr>
              <w:spacing w:before="20" w:line="276" w:lineRule="auto"/>
              <w:jc w:val="center"/>
              <w:rPr>
                <w:sz w:val="24"/>
                <w:szCs w:val="24"/>
              </w:rPr>
            </w:pPr>
            <w:r w:rsidRPr="006D40D2">
              <w:rPr>
                <w:sz w:val="24"/>
                <w:szCs w:val="24"/>
              </w:rPr>
              <w:t>Total</w:t>
            </w:r>
          </w:p>
          <w:p w:rsidR="00507980" w:rsidRPr="006D40D2" w:rsidRDefault="00507980" w:rsidP="003149D0">
            <w:pPr>
              <w:spacing w:before="20" w:line="276" w:lineRule="auto"/>
              <w:jc w:val="center"/>
              <w:rPr>
                <w:sz w:val="24"/>
                <w:szCs w:val="24"/>
              </w:rPr>
            </w:pPr>
            <w:r>
              <w:rPr>
                <w:sz w:val="24"/>
                <w:szCs w:val="24"/>
              </w:rPr>
              <w:t>Burden</w:t>
            </w:r>
          </w:p>
        </w:tc>
        <w:tc>
          <w:tcPr>
            <w:tcW w:w="1474" w:type="dxa"/>
            <w:tcBorders>
              <w:top w:val="single" w:sz="6" w:space="0" w:color="auto"/>
              <w:left w:val="single" w:sz="6" w:space="0" w:color="auto"/>
              <w:bottom w:val="nil"/>
              <w:right w:val="single" w:sz="6" w:space="0" w:color="auto"/>
            </w:tcBorders>
          </w:tcPr>
          <w:p w:rsidR="00507980" w:rsidRPr="006D40D2" w:rsidRDefault="00507980" w:rsidP="003149D0">
            <w:pPr>
              <w:spacing w:before="20" w:line="276" w:lineRule="auto"/>
              <w:jc w:val="center"/>
              <w:rPr>
                <w:sz w:val="24"/>
                <w:szCs w:val="24"/>
              </w:rPr>
            </w:pPr>
            <w:r>
              <w:rPr>
                <w:sz w:val="24"/>
                <w:szCs w:val="24"/>
              </w:rPr>
              <w:t>4</w:t>
            </w:r>
            <w:r w:rsidR="00C63FD0">
              <w:rPr>
                <w:sz w:val="24"/>
                <w:szCs w:val="24"/>
              </w:rPr>
              <w:t>,</w:t>
            </w:r>
            <w:r>
              <w:rPr>
                <w:sz w:val="24"/>
                <w:szCs w:val="24"/>
              </w:rPr>
              <w:t>068</w:t>
            </w:r>
          </w:p>
          <w:p w:rsidR="00507980" w:rsidRPr="006D40D2" w:rsidRDefault="00507980" w:rsidP="003149D0">
            <w:pPr>
              <w:spacing w:before="20" w:line="276" w:lineRule="auto"/>
              <w:jc w:val="center"/>
              <w:rPr>
                <w:sz w:val="24"/>
                <w:szCs w:val="24"/>
              </w:rPr>
            </w:pPr>
          </w:p>
        </w:tc>
        <w:tc>
          <w:tcPr>
            <w:tcW w:w="1378" w:type="dxa"/>
            <w:tcBorders>
              <w:top w:val="single" w:sz="6" w:space="0" w:color="auto"/>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282" w:type="dxa"/>
            <w:tcBorders>
              <w:top w:val="single" w:sz="6" w:space="0" w:color="auto"/>
              <w:left w:val="single" w:sz="6" w:space="0" w:color="auto"/>
              <w:bottom w:val="nil"/>
              <w:right w:val="single" w:sz="6" w:space="0" w:color="auto"/>
            </w:tcBorders>
          </w:tcPr>
          <w:p w:rsidR="00507980" w:rsidRPr="006D40D2" w:rsidRDefault="00507980" w:rsidP="003149D0">
            <w:pPr>
              <w:spacing w:before="20" w:line="276" w:lineRule="auto"/>
              <w:jc w:val="center"/>
              <w:rPr>
                <w:sz w:val="24"/>
                <w:szCs w:val="24"/>
              </w:rPr>
            </w:pPr>
            <w:r>
              <w:rPr>
                <w:sz w:val="24"/>
                <w:szCs w:val="24"/>
              </w:rPr>
              <w:t>4</w:t>
            </w:r>
            <w:r w:rsidR="00C63FD0">
              <w:rPr>
                <w:sz w:val="24"/>
                <w:szCs w:val="24"/>
              </w:rPr>
              <w:t>,</w:t>
            </w:r>
            <w:r>
              <w:rPr>
                <w:sz w:val="24"/>
                <w:szCs w:val="24"/>
              </w:rPr>
              <w:t>068</w:t>
            </w:r>
          </w:p>
          <w:p w:rsidR="00507980" w:rsidRPr="006D40D2" w:rsidRDefault="00507980" w:rsidP="003149D0">
            <w:pPr>
              <w:spacing w:before="20" w:line="276" w:lineRule="auto"/>
              <w:jc w:val="center"/>
              <w:rPr>
                <w:sz w:val="24"/>
                <w:szCs w:val="24"/>
              </w:rPr>
            </w:pPr>
          </w:p>
        </w:tc>
        <w:tc>
          <w:tcPr>
            <w:tcW w:w="1206" w:type="dxa"/>
            <w:tcBorders>
              <w:top w:val="single" w:sz="6" w:space="0" w:color="auto"/>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129" w:type="dxa"/>
            <w:tcBorders>
              <w:top w:val="single" w:sz="6" w:space="0" w:color="auto"/>
              <w:left w:val="single" w:sz="6" w:space="0" w:color="auto"/>
              <w:bottom w:val="nil"/>
              <w:right w:val="single" w:sz="6" w:space="0" w:color="auto"/>
            </w:tcBorders>
          </w:tcPr>
          <w:p w:rsidR="00507980" w:rsidRPr="006D40D2" w:rsidRDefault="00507980" w:rsidP="006260D6">
            <w:pPr>
              <w:spacing w:before="0" w:line="276" w:lineRule="auto"/>
              <w:jc w:val="center"/>
              <w:rPr>
                <w:sz w:val="24"/>
                <w:szCs w:val="24"/>
              </w:rPr>
            </w:pPr>
            <w:r>
              <w:rPr>
                <w:sz w:val="24"/>
                <w:szCs w:val="24"/>
              </w:rPr>
              <w:t>11</w:t>
            </w:r>
            <w:r w:rsidR="00C63FD0">
              <w:rPr>
                <w:sz w:val="24"/>
                <w:szCs w:val="24"/>
              </w:rPr>
              <w:t>,</w:t>
            </w:r>
            <w:r>
              <w:rPr>
                <w:sz w:val="24"/>
                <w:szCs w:val="24"/>
              </w:rPr>
              <w:t>73</w:t>
            </w:r>
            <w:r w:rsidR="006260D6">
              <w:rPr>
                <w:sz w:val="24"/>
                <w:szCs w:val="24"/>
              </w:rPr>
              <w:t>3</w:t>
            </w:r>
          </w:p>
        </w:tc>
        <w:tc>
          <w:tcPr>
            <w:tcW w:w="1129" w:type="dxa"/>
            <w:tcBorders>
              <w:top w:val="single" w:sz="6" w:space="0" w:color="auto"/>
              <w:left w:val="single" w:sz="6" w:space="0" w:color="auto"/>
              <w:bottom w:val="nil"/>
              <w:right w:val="single" w:sz="4"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438" w:type="dxa"/>
            <w:tcBorders>
              <w:top w:val="single" w:sz="6" w:space="0" w:color="auto"/>
              <w:left w:val="single" w:sz="4" w:space="0" w:color="auto"/>
              <w:bottom w:val="nil"/>
              <w:right w:val="single" w:sz="4" w:space="0" w:color="auto"/>
            </w:tcBorders>
          </w:tcPr>
          <w:p w:rsidR="00507980" w:rsidRPr="006D40D2" w:rsidRDefault="00C63FD0" w:rsidP="006260D6">
            <w:pPr>
              <w:spacing w:before="20" w:line="276" w:lineRule="auto"/>
              <w:jc w:val="center"/>
              <w:rPr>
                <w:sz w:val="24"/>
                <w:szCs w:val="24"/>
              </w:rPr>
            </w:pPr>
            <w:r>
              <w:rPr>
                <w:sz w:val="24"/>
                <w:szCs w:val="24"/>
              </w:rPr>
              <w:t>$</w:t>
            </w:r>
            <w:r w:rsidR="006260D6">
              <w:rPr>
                <w:sz w:val="24"/>
                <w:szCs w:val="24"/>
              </w:rPr>
              <w:t>409,800</w:t>
            </w:r>
          </w:p>
        </w:tc>
      </w:tr>
      <w:tr w:rsidR="00507980" w:rsidRPr="000E39BC" w:rsidTr="00BA72D5">
        <w:trPr>
          <w:trHeight w:hRule="exact" w:val="80"/>
        </w:trPr>
        <w:tc>
          <w:tcPr>
            <w:tcW w:w="1224" w:type="dxa"/>
            <w:tcBorders>
              <w:top w:val="nil"/>
              <w:left w:val="single" w:sz="6" w:space="0" w:color="auto"/>
              <w:bottom w:val="single" w:sz="6" w:space="0" w:color="auto"/>
              <w:right w:val="single" w:sz="6" w:space="0" w:color="auto"/>
            </w:tcBorders>
          </w:tcPr>
          <w:p w:rsidR="00507980" w:rsidRPr="006D40D2" w:rsidRDefault="00507980" w:rsidP="003149D0">
            <w:pPr>
              <w:spacing w:before="40" w:line="276" w:lineRule="auto"/>
              <w:jc w:val="center"/>
              <w:rPr>
                <w:sz w:val="24"/>
                <w:szCs w:val="24"/>
              </w:rPr>
            </w:pPr>
            <w:r w:rsidRPr="006D40D2">
              <w:rPr>
                <w:sz w:val="24"/>
                <w:szCs w:val="24"/>
              </w:rPr>
              <w:t>Burden</w:t>
            </w:r>
          </w:p>
          <w:p w:rsidR="00507980" w:rsidRPr="006D40D2" w:rsidRDefault="00507980" w:rsidP="003149D0">
            <w:pPr>
              <w:spacing w:before="40" w:line="276" w:lineRule="auto"/>
              <w:jc w:val="center"/>
              <w:rPr>
                <w:sz w:val="24"/>
                <w:szCs w:val="24"/>
              </w:rPr>
            </w:pPr>
          </w:p>
        </w:tc>
        <w:tc>
          <w:tcPr>
            <w:tcW w:w="1474"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378"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282"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206"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129" w:type="dxa"/>
            <w:tcBorders>
              <w:top w:val="nil"/>
              <w:left w:val="single" w:sz="6" w:space="0" w:color="auto"/>
              <w:bottom w:val="single" w:sz="6" w:space="0" w:color="auto"/>
              <w:right w:val="single" w:sz="6" w:space="0" w:color="auto"/>
            </w:tcBorders>
          </w:tcPr>
          <w:p w:rsidR="00507980" w:rsidRPr="006D40D2" w:rsidRDefault="00507980" w:rsidP="003149D0">
            <w:pPr>
              <w:spacing w:before="40" w:line="276" w:lineRule="auto"/>
              <w:jc w:val="center"/>
              <w:rPr>
                <w:sz w:val="24"/>
                <w:szCs w:val="24"/>
              </w:rPr>
            </w:pPr>
          </w:p>
        </w:tc>
        <w:tc>
          <w:tcPr>
            <w:tcW w:w="1129" w:type="dxa"/>
            <w:tcBorders>
              <w:top w:val="nil"/>
              <w:left w:val="single" w:sz="6" w:space="0" w:color="auto"/>
              <w:bottom w:val="single" w:sz="6" w:space="0" w:color="auto"/>
              <w:right w:val="single" w:sz="4"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438" w:type="dxa"/>
            <w:tcBorders>
              <w:top w:val="nil"/>
              <w:left w:val="single" w:sz="4" w:space="0" w:color="auto"/>
              <w:bottom w:val="single" w:sz="4" w:space="0" w:color="auto"/>
              <w:right w:val="single" w:sz="4"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r>
    </w:tbl>
    <w:p w:rsidR="00D12FAB" w:rsidRDefault="00D12FAB" w:rsidP="003149D0">
      <w:pPr>
        <w:spacing w:before="640" w:line="276" w:lineRule="auto"/>
        <w:rPr>
          <w:sz w:val="24"/>
          <w:szCs w:val="24"/>
        </w:rPr>
      </w:pPr>
      <w:r>
        <w:rPr>
          <w:sz w:val="24"/>
          <w:szCs w:val="24"/>
        </w:rPr>
        <w:t>*There may be slight variances depending upon different populations collecting data from different time periods.</w:t>
      </w:r>
    </w:p>
    <w:p w:rsidR="0009751B" w:rsidRPr="000E39BC" w:rsidRDefault="0009751B" w:rsidP="003149D0">
      <w:pPr>
        <w:spacing w:before="640" w:line="276" w:lineRule="auto"/>
        <w:rPr>
          <w:sz w:val="24"/>
          <w:szCs w:val="24"/>
        </w:rPr>
      </w:pPr>
      <w:r w:rsidRPr="000E39BC">
        <w:rPr>
          <w:sz w:val="24"/>
          <w:szCs w:val="24"/>
        </w:rPr>
        <w:lastRenderedPageBreak/>
        <w:t>Basis for Estimates:</w:t>
      </w:r>
    </w:p>
    <w:p w:rsidR="0009751B" w:rsidRPr="000E39BC" w:rsidRDefault="0009751B" w:rsidP="003149D0">
      <w:pPr>
        <w:spacing w:line="276" w:lineRule="auto"/>
        <w:jc w:val="both"/>
        <w:rPr>
          <w:sz w:val="24"/>
          <w:szCs w:val="24"/>
        </w:rPr>
      </w:pPr>
      <w:r w:rsidRPr="000E39BC">
        <w:rPr>
          <w:sz w:val="24"/>
          <w:szCs w:val="24"/>
          <w:u w:val="single"/>
        </w:rPr>
        <w:t>HRSA 519</w:t>
      </w:r>
      <w:r w:rsidRPr="000E39BC">
        <w:rPr>
          <w:sz w:val="24"/>
          <w:szCs w:val="24"/>
        </w:rPr>
        <w:t xml:space="preserve">: An average of </w:t>
      </w:r>
      <w:r w:rsidR="003B3850">
        <w:rPr>
          <w:sz w:val="24"/>
          <w:szCs w:val="24"/>
        </w:rPr>
        <w:t>3,234</w:t>
      </w:r>
      <w:r w:rsidRPr="000E39BC">
        <w:rPr>
          <w:sz w:val="24"/>
          <w:szCs w:val="24"/>
        </w:rPr>
        <w:t xml:space="preserve"> HPSL, NSL, LDS, and PCL borrowers are expected to file this form to request deferment of repayment of their loans. It is estimated that it will take a borrower </w:t>
      </w:r>
      <w:r w:rsidR="003B3850">
        <w:rPr>
          <w:sz w:val="24"/>
          <w:szCs w:val="24"/>
        </w:rPr>
        <w:t>32</w:t>
      </w:r>
      <w:r w:rsidR="008169B3">
        <w:rPr>
          <w:sz w:val="24"/>
          <w:szCs w:val="24"/>
        </w:rPr>
        <w:t xml:space="preserve"> </w:t>
      </w:r>
      <w:r w:rsidR="006260D6">
        <w:rPr>
          <w:sz w:val="24"/>
          <w:szCs w:val="24"/>
        </w:rPr>
        <w:t xml:space="preserve">minutes (or .533 </w:t>
      </w:r>
      <w:r w:rsidR="008169B3">
        <w:rPr>
          <w:sz w:val="24"/>
          <w:szCs w:val="24"/>
        </w:rPr>
        <w:t>hrs</w:t>
      </w:r>
      <w:r w:rsidR="006260D6">
        <w:rPr>
          <w:sz w:val="24"/>
          <w:szCs w:val="24"/>
        </w:rPr>
        <w:t>.)</w:t>
      </w:r>
      <w:r w:rsidR="008169B3">
        <w:rPr>
          <w:sz w:val="24"/>
          <w:szCs w:val="24"/>
        </w:rPr>
        <w:t xml:space="preserve"> </w:t>
      </w:r>
      <w:r w:rsidRPr="000E39BC">
        <w:rPr>
          <w:sz w:val="24"/>
          <w:szCs w:val="24"/>
        </w:rPr>
        <w:t>to complete this form (</w:t>
      </w:r>
      <w:r w:rsidR="003B3850">
        <w:rPr>
          <w:sz w:val="24"/>
          <w:szCs w:val="24"/>
        </w:rPr>
        <w:t xml:space="preserve">3,234 </w:t>
      </w:r>
      <w:r w:rsidRPr="000E39BC">
        <w:rPr>
          <w:sz w:val="24"/>
          <w:szCs w:val="24"/>
        </w:rPr>
        <w:t xml:space="preserve">borrowers x 1 annual response x </w:t>
      </w:r>
      <w:r w:rsidR="005676C2">
        <w:rPr>
          <w:sz w:val="24"/>
          <w:szCs w:val="24"/>
        </w:rPr>
        <w:t>0.</w:t>
      </w:r>
      <w:r w:rsidR="00825B40">
        <w:rPr>
          <w:sz w:val="24"/>
          <w:szCs w:val="24"/>
        </w:rPr>
        <w:t>533</w:t>
      </w:r>
      <w:r w:rsidRPr="000E39BC">
        <w:rPr>
          <w:sz w:val="24"/>
          <w:szCs w:val="24"/>
        </w:rPr>
        <w:t xml:space="preserve"> </w:t>
      </w:r>
      <w:r w:rsidR="008169B3">
        <w:rPr>
          <w:sz w:val="24"/>
          <w:szCs w:val="24"/>
        </w:rPr>
        <w:t>hours</w:t>
      </w:r>
      <w:r w:rsidR="008169B3" w:rsidRPr="000E39BC">
        <w:rPr>
          <w:sz w:val="24"/>
          <w:szCs w:val="24"/>
        </w:rPr>
        <w:t xml:space="preserve"> </w:t>
      </w:r>
      <w:r w:rsidRPr="000E39BC">
        <w:rPr>
          <w:sz w:val="24"/>
          <w:szCs w:val="24"/>
        </w:rPr>
        <w:t xml:space="preserve">= </w:t>
      </w:r>
      <w:r w:rsidR="00A93193">
        <w:rPr>
          <w:sz w:val="24"/>
          <w:szCs w:val="24"/>
        </w:rPr>
        <w:t>1,724.8</w:t>
      </w:r>
      <w:r w:rsidR="002107DD">
        <w:rPr>
          <w:sz w:val="24"/>
          <w:szCs w:val="24"/>
        </w:rPr>
        <w:t xml:space="preserve"> </w:t>
      </w:r>
      <w:r w:rsidRPr="000E39BC">
        <w:rPr>
          <w:sz w:val="24"/>
          <w:szCs w:val="24"/>
        </w:rPr>
        <w:t>hours</w:t>
      </w:r>
      <w:r w:rsidR="006260D6">
        <w:rPr>
          <w:sz w:val="24"/>
          <w:szCs w:val="24"/>
        </w:rPr>
        <w:t>, rounded to 1,725</w:t>
      </w:r>
      <w:r w:rsidRPr="000E39BC">
        <w:rPr>
          <w:sz w:val="24"/>
          <w:szCs w:val="24"/>
        </w:rPr>
        <w:t>).</w:t>
      </w:r>
    </w:p>
    <w:p w:rsidR="0009751B" w:rsidRPr="000E39BC" w:rsidRDefault="0009751B" w:rsidP="003149D0">
      <w:pPr>
        <w:spacing w:line="276" w:lineRule="auto"/>
        <w:rPr>
          <w:sz w:val="24"/>
          <w:szCs w:val="24"/>
        </w:rPr>
      </w:pPr>
      <w:r w:rsidRPr="000E39BC">
        <w:rPr>
          <w:sz w:val="24"/>
          <w:szCs w:val="24"/>
        </w:rPr>
        <w:t xml:space="preserve">The Deferment form cost to the public is estimated to be </w:t>
      </w:r>
      <w:r w:rsidR="008169B3" w:rsidRPr="006D40D2">
        <w:rPr>
          <w:sz w:val="24"/>
          <w:szCs w:val="24"/>
        </w:rPr>
        <w:t>$</w:t>
      </w:r>
      <w:r w:rsidR="006260D6">
        <w:rPr>
          <w:sz w:val="24"/>
          <w:szCs w:val="24"/>
        </w:rPr>
        <w:t>34,500</w:t>
      </w:r>
      <w:r w:rsidR="00373876" w:rsidRPr="000E39BC">
        <w:rPr>
          <w:sz w:val="24"/>
          <w:szCs w:val="24"/>
        </w:rPr>
        <w:t xml:space="preserve"> </w:t>
      </w:r>
      <w:r w:rsidRPr="000E39BC">
        <w:rPr>
          <w:sz w:val="24"/>
          <w:szCs w:val="24"/>
        </w:rPr>
        <w:t>(</w:t>
      </w:r>
      <w:r w:rsidR="006A5790">
        <w:rPr>
          <w:sz w:val="24"/>
          <w:szCs w:val="24"/>
        </w:rPr>
        <w:t>1,72</w:t>
      </w:r>
      <w:r w:rsidR="006260D6">
        <w:rPr>
          <w:sz w:val="24"/>
          <w:szCs w:val="24"/>
        </w:rPr>
        <w:t>5</w:t>
      </w:r>
      <w:r w:rsidR="00373876">
        <w:rPr>
          <w:sz w:val="24"/>
          <w:szCs w:val="24"/>
        </w:rPr>
        <w:t xml:space="preserve"> </w:t>
      </w:r>
      <w:r w:rsidRPr="000E39BC">
        <w:rPr>
          <w:sz w:val="24"/>
          <w:szCs w:val="24"/>
        </w:rPr>
        <w:t>burden hours x $</w:t>
      </w:r>
      <w:r w:rsidR="006260D6">
        <w:rPr>
          <w:sz w:val="24"/>
          <w:szCs w:val="24"/>
        </w:rPr>
        <w:t>20</w:t>
      </w:r>
      <w:r w:rsidRPr="000E39BC">
        <w:rPr>
          <w:sz w:val="24"/>
          <w:szCs w:val="24"/>
        </w:rPr>
        <w:t>/hour =</w:t>
      </w:r>
      <w:r w:rsidRPr="000E39BC">
        <w:rPr>
          <w:color w:val="007F00"/>
          <w:sz w:val="24"/>
          <w:szCs w:val="24"/>
        </w:rPr>
        <w:t xml:space="preserve"> </w:t>
      </w:r>
      <w:r w:rsidR="008169B3" w:rsidRPr="006D40D2">
        <w:rPr>
          <w:sz w:val="24"/>
          <w:szCs w:val="24"/>
        </w:rPr>
        <w:t>$</w:t>
      </w:r>
      <w:r w:rsidR="006260D6">
        <w:rPr>
          <w:sz w:val="24"/>
          <w:szCs w:val="24"/>
        </w:rPr>
        <w:t>34,500</w:t>
      </w:r>
      <w:r w:rsidRPr="000E39BC">
        <w:rPr>
          <w:sz w:val="24"/>
          <w:szCs w:val="24"/>
        </w:rPr>
        <w:t>). The variety of borrowers, and the corresponding variability in salaries, makes it diff</w:t>
      </w:r>
      <w:r w:rsidRPr="008169B3">
        <w:rPr>
          <w:sz w:val="24"/>
          <w:szCs w:val="24"/>
        </w:rPr>
        <w:t>i</w:t>
      </w:r>
      <w:r w:rsidRPr="000E39BC">
        <w:rPr>
          <w:sz w:val="24"/>
          <w:szCs w:val="24"/>
        </w:rPr>
        <w:t>cult to estimate an average hour cost. This amount ($</w:t>
      </w:r>
      <w:r w:rsidR="006260D6">
        <w:rPr>
          <w:sz w:val="24"/>
          <w:szCs w:val="24"/>
        </w:rPr>
        <w:t>20</w:t>
      </w:r>
      <w:r w:rsidRPr="000E39BC">
        <w:rPr>
          <w:sz w:val="24"/>
          <w:szCs w:val="24"/>
        </w:rPr>
        <w:t>) was selected as a reasonable estimate for health professionals still receiving training.</w:t>
      </w:r>
    </w:p>
    <w:p w:rsidR="0009751B" w:rsidRPr="000E39BC" w:rsidRDefault="0009751B" w:rsidP="003149D0">
      <w:pPr>
        <w:spacing w:line="276" w:lineRule="auto"/>
        <w:rPr>
          <w:sz w:val="24"/>
          <w:szCs w:val="24"/>
        </w:rPr>
      </w:pPr>
      <w:r w:rsidRPr="0035271F">
        <w:rPr>
          <w:sz w:val="24"/>
          <w:szCs w:val="24"/>
          <w:u w:val="single"/>
        </w:rPr>
        <w:t>HRSA 501</w:t>
      </w:r>
      <w:r w:rsidRPr="000E39BC">
        <w:rPr>
          <w:sz w:val="24"/>
          <w:szCs w:val="24"/>
        </w:rPr>
        <w:t>:</w:t>
      </w:r>
      <w:r w:rsidR="004D1CDF">
        <w:rPr>
          <w:sz w:val="24"/>
          <w:szCs w:val="24"/>
        </w:rPr>
        <w:t xml:space="preserve"> </w:t>
      </w:r>
      <w:r w:rsidRPr="000E39BC">
        <w:rPr>
          <w:sz w:val="24"/>
          <w:szCs w:val="24"/>
        </w:rPr>
        <w:t>T</w:t>
      </w:r>
      <w:r w:rsidRPr="008169B3">
        <w:rPr>
          <w:sz w:val="24"/>
          <w:szCs w:val="24"/>
        </w:rPr>
        <w:t>h</w:t>
      </w:r>
      <w:r w:rsidRPr="000E39BC">
        <w:rPr>
          <w:sz w:val="24"/>
          <w:szCs w:val="24"/>
        </w:rPr>
        <w:t>e HPSL, NSL, LDS, and PCL schools file an Annual Operating Report (AOR) with the Department at the close of the school year detailing their fiscal and program activ</w:t>
      </w:r>
      <w:r w:rsidR="004D719D">
        <w:rPr>
          <w:sz w:val="24"/>
          <w:szCs w:val="24"/>
        </w:rPr>
        <w:t xml:space="preserve">ities. It is estimated to take 12 </w:t>
      </w:r>
      <w:r w:rsidRPr="000E39BC">
        <w:rPr>
          <w:sz w:val="24"/>
          <w:szCs w:val="24"/>
        </w:rPr>
        <w:t>hours to complete this report (</w:t>
      </w:r>
      <w:r w:rsidR="004D719D">
        <w:rPr>
          <w:sz w:val="24"/>
          <w:szCs w:val="24"/>
        </w:rPr>
        <w:t xml:space="preserve">834 </w:t>
      </w:r>
      <w:r w:rsidR="00A44DF1">
        <w:rPr>
          <w:sz w:val="24"/>
          <w:szCs w:val="24"/>
        </w:rPr>
        <w:t>schools x 1 annual response x 12</w:t>
      </w:r>
      <w:r w:rsidRPr="000E39BC">
        <w:rPr>
          <w:sz w:val="24"/>
          <w:szCs w:val="24"/>
        </w:rPr>
        <w:t xml:space="preserve"> hours = </w:t>
      </w:r>
      <w:r w:rsidR="004D719D">
        <w:rPr>
          <w:sz w:val="24"/>
          <w:szCs w:val="24"/>
        </w:rPr>
        <w:t xml:space="preserve">10,008 </w:t>
      </w:r>
      <w:r w:rsidRPr="000E39BC">
        <w:rPr>
          <w:sz w:val="24"/>
          <w:szCs w:val="24"/>
        </w:rPr>
        <w:t>hours).</w:t>
      </w:r>
    </w:p>
    <w:p w:rsidR="008169B3" w:rsidRDefault="008169B3" w:rsidP="003149D0">
      <w:pPr>
        <w:spacing w:before="20" w:line="276" w:lineRule="auto"/>
        <w:rPr>
          <w:sz w:val="24"/>
          <w:szCs w:val="24"/>
        </w:rPr>
      </w:pPr>
    </w:p>
    <w:p w:rsidR="0009751B" w:rsidRDefault="0009751B" w:rsidP="003149D0">
      <w:pPr>
        <w:spacing w:before="20" w:line="276" w:lineRule="auto"/>
        <w:rPr>
          <w:sz w:val="24"/>
          <w:szCs w:val="24"/>
        </w:rPr>
      </w:pPr>
      <w:r w:rsidRPr="000E39BC">
        <w:rPr>
          <w:sz w:val="24"/>
          <w:szCs w:val="24"/>
        </w:rPr>
        <w:t xml:space="preserve">The </w:t>
      </w:r>
      <w:r w:rsidR="00AF6459">
        <w:rPr>
          <w:sz w:val="24"/>
          <w:szCs w:val="24"/>
        </w:rPr>
        <w:t xml:space="preserve">AOR </w:t>
      </w:r>
      <w:r w:rsidRPr="000E39BC">
        <w:rPr>
          <w:sz w:val="24"/>
          <w:szCs w:val="24"/>
        </w:rPr>
        <w:t xml:space="preserve">cost to the public is estimated to be </w:t>
      </w:r>
      <w:r w:rsidR="008169B3" w:rsidRPr="006D40D2">
        <w:rPr>
          <w:sz w:val="24"/>
          <w:szCs w:val="24"/>
        </w:rPr>
        <w:t>$</w:t>
      </w:r>
      <w:r w:rsidR="004D719D">
        <w:rPr>
          <w:sz w:val="24"/>
          <w:szCs w:val="24"/>
        </w:rPr>
        <w:t>375,300</w:t>
      </w:r>
      <w:r w:rsidR="008169B3">
        <w:rPr>
          <w:sz w:val="24"/>
          <w:szCs w:val="24"/>
        </w:rPr>
        <w:t xml:space="preserve"> </w:t>
      </w:r>
      <w:r w:rsidR="00C645EF">
        <w:rPr>
          <w:sz w:val="24"/>
          <w:szCs w:val="24"/>
        </w:rPr>
        <w:t>(</w:t>
      </w:r>
      <w:r w:rsidR="004D719D">
        <w:rPr>
          <w:sz w:val="24"/>
          <w:szCs w:val="24"/>
        </w:rPr>
        <w:t xml:space="preserve">10,008 </w:t>
      </w:r>
      <w:r w:rsidRPr="000E39BC">
        <w:rPr>
          <w:sz w:val="24"/>
          <w:szCs w:val="24"/>
        </w:rPr>
        <w:t>burden hours x $3</w:t>
      </w:r>
      <w:r w:rsidR="004D719D">
        <w:rPr>
          <w:sz w:val="24"/>
          <w:szCs w:val="24"/>
        </w:rPr>
        <w:t>7.50</w:t>
      </w:r>
      <w:r w:rsidRPr="000E39BC">
        <w:rPr>
          <w:sz w:val="24"/>
          <w:szCs w:val="24"/>
        </w:rPr>
        <w:t xml:space="preserve">/hour = </w:t>
      </w:r>
      <w:r w:rsidR="008169B3" w:rsidRPr="006D40D2">
        <w:rPr>
          <w:sz w:val="24"/>
          <w:szCs w:val="24"/>
        </w:rPr>
        <w:t>$</w:t>
      </w:r>
      <w:r w:rsidR="004D719D">
        <w:rPr>
          <w:sz w:val="24"/>
          <w:szCs w:val="24"/>
        </w:rPr>
        <w:t xml:space="preserve">375,300. </w:t>
      </w:r>
      <w:r w:rsidRPr="000E39BC">
        <w:rPr>
          <w:sz w:val="24"/>
          <w:szCs w:val="24"/>
        </w:rPr>
        <w:t>This amount ($3</w:t>
      </w:r>
      <w:r w:rsidR="004D719D">
        <w:rPr>
          <w:sz w:val="24"/>
          <w:szCs w:val="24"/>
        </w:rPr>
        <w:t>7.50</w:t>
      </w:r>
      <w:r w:rsidRPr="000E39BC">
        <w:rPr>
          <w:sz w:val="24"/>
          <w:szCs w:val="24"/>
        </w:rPr>
        <w:t>) is a generally accepted rate for school personnel responsible for completing the AOR.</w:t>
      </w:r>
    </w:p>
    <w:p w:rsidR="00AF6459" w:rsidRDefault="00AF6459" w:rsidP="003149D0">
      <w:pPr>
        <w:spacing w:before="20" w:line="276" w:lineRule="auto"/>
        <w:rPr>
          <w:sz w:val="24"/>
          <w:szCs w:val="24"/>
        </w:rPr>
      </w:pPr>
    </w:p>
    <w:p w:rsidR="0009751B" w:rsidRDefault="0009751B" w:rsidP="003149D0">
      <w:pPr>
        <w:spacing w:before="0" w:line="276" w:lineRule="auto"/>
        <w:rPr>
          <w:sz w:val="24"/>
          <w:szCs w:val="24"/>
          <w:u w:val="single"/>
        </w:rPr>
      </w:pPr>
      <w:r w:rsidRPr="000E39BC">
        <w:rPr>
          <w:sz w:val="24"/>
          <w:szCs w:val="24"/>
        </w:rPr>
        <w:t>13</w:t>
      </w:r>
      <w:r w:rsidRPr="000E39BC">
        <w:rPr>
          <w:color w:val="007F00"/>
          <w:sz w:val="24"/>
          <w:szCs w:val="24"/>
        </w:rPr>
        <w:t>.</w:t>
      </w:r>
      <w:r w:rsidRPr="000E39BC">
        <w:rPr>
          <w:sz w:val="24"/>
          <w:szCs w:val="24"/>
        </w:rPr>
        <w:t xml:space="preserve"> </w:t>
      </w:r>
      <w:r w:rsidRPr="000E39BC">
        <w:rPr>
          <w:sz w:val="24"/>
          <w:szCs w:val="24"/>
          <w:u w:val="single"/>
        </w:rPr>
        <w:t>Estimates of Annualized Cost Burden to Respondents</w:t>
      </w:r>
    </w:p>
    <w:p w:rsidR="0094593B" w:rsidRPr="000E39BC" w:rsidRDefault="0094593B" w:rsidP="003149D0">
      <w:pPr>
        <w:spacing w:before="0" w:line="276" w:lineRule="auto"/>
        <w:rPr>
          <w:sz w:val="24"/>
          <w:szCs w:val="24"/>
        </w:rPr>
      </w:pPr>
    </w:p>
    <w:p w:rsidR="0009751B" w:rsidRPr="000E39BC" w:rsidRDefault="0009751B" w:rsidP="003149D0">
      <w:pPr>
        <w:spacing w:before="0" w:line="276" w:lineRule="auto"/>
        <w:rPr>
          <w:sz w:val="24"/>
          <w:szCs w:val="24"/>
        </w:rPr>
      </w:pPr>
      <w:r w:rsidRPr="000E39BC">
        <w:rPr>
          <w:sz w:val="24"/>
          <w:szCs w:val="24"/>
        </w:rPr>
        <w:t>There are no capital and start-up cos</w:t>
      </w:r>
      <w:r>
        <w:rPr>
          <w:sz w:val="24"/>
          <w:szCs w:val="24"/>
        </w:rPr>
        <w:t>ts for the HPSL</w:t>
      </w:r>
      <w:r w:rsidR="00703395">
        <w:rPr>
          <w:sz w:val="24"/>
          <w:szCs w:val="24"/>
        </w:rPr>
        <w:t>/PCL/LDS</w:t>
      </w:r>
      <w:r>
        <w:rPr>
          <w:sz w:val="24"/>
          <w:szCs w:val="24"/>
        </w:rPr>
        <w:t>/NSL program forms</w:t>
      </w:r>
      <w:r w:rsidRPr="000E39BC">
        <w:rPr>
          <w:sz w:val="24"/>
          <w:szCs w:val="24"/>
        </w:rPr>
        <w:t>. There are no operatin</w:t>
      </w:r>
      <w:r w:rsidR="00AF6459">
        <w:rPr>
          <w:sz w:val="24"/>
          <w:szCs w:val="24"/>
        </w:rPr>
        <w:t xml:space="preserve">g or maintenance costs for the </w:t>
      </w:r>
      <w:r w:rsidR="00AF6459" w:rsidRPr="000E39BC">
        <w:rPr>
          <w:sz w:val="24"/>
          <w:szCs w:val="24"/>
        </w:rPr>
        <w:t>A</w:t>
      </w:r>
      <w:r w:rsidR="00AF6459">
        <w:rPr>
          <w:sz w:val="24"/>
          <w:szCs w:val="24"/>
        </w:rPr>
        <w:t xml:space="preserve">nnual </w:t>
      </w:r>
      <w:r w:rsidR="00AF6459" w:rsidRPr="000E39BC">
        <w:rPr>
          <w:sz w:val="24"/>
          <w:szCs w:val="24"/>
        </w:rPr>
        <w:t>O</w:t>
      </w:r>
      <w:r w:rsidR="00AF6459">
        <w:rPr>
          <w:sz w:val="24"/>
          <w:szCs w:val="24"/>
        </w:rPr>
        <w:t xml:space="preserve">perating </w:t>
      </w:r>
      <w:r w:rsidR="00AF6459" w:rsidRPr="000E39BC">
        <w:rPr>
          <w:sz w:val="24"/>
          <w:szCs w:val="24"/>
        </w:rPr>
        <w:t>R</w:t>
      </w:r>
      <w:r w:rsidR="00AF6459">
        <w:rPr>
          <w:sz w:val="24"/>
          <w:szCs w:val="24"/>
        </w:rPr>
        <w:t>eport (A</w:t>
      </w:r>
      <w:r w:rsidRPr="000E39BC">
        <w:rPr>
          <w:sz w:val="24"/>
          <w:szCs w:val="24"/>
        </w:rPr>
        <w:t>OR</w:t>
      </w:r>
      <w:r w:rsidR="00AF6459">
        <w:rPr>
          <w:sz w:val="24"/>
          <w:szCs w:val="24"/>
        </w:rPr>
        <w:t>)</w:t>
      </w:r>
      <w:r w:rsidRPr="000E39BC">
        <w:rPr>
          <w:sz w:val="24"/>
          <w:szCs w:val="24"/>
        </w:rPr>
        <w:t xml:space="preserve"> </w:t>
      </w:r>
      <w:r w:rsidR="007026C1">
        <w:rPr>
          <w:sz w:val="24"/>
          <w:szCs w:val="24"/>
        </w:rPr>
        <w:t>other than the hourly labor costs.  Most of the information is</w:t>
      </w:r>
      <w:r w:rsidRPr="000E39BC">
        <w:rPr>
          <w:sz w:val="24"/>
          <w:szCs w:val="24"/>
        </w:rPr>
        <w:t xml:space="preserve"> generated from data already maintained by the schools for their own </w:t>
      </w:r>
      <w:r w:rsidR="007026C1">
        <w:rPr>
          <w:sz w:val="24"/>
          <w:szCs w:val="24"/>
        </w:rPr>
        <w:t xml:space="preserve">monitoring </w:t>
      </w:r>
      <w:r w:rsidRPr="000E39BC">
        <w:rPr>
          <w:sz w:val="24"/>
          <w:szCs w:val="24"/>
        </w:rPr>
        <w:t xml:space="preserve">purposes. </w:t>
      </w:r>
    </w:p>
    <w:p w:rsidR="0009751B" w:rsidRPr="000E39BC" w:rsidRDefault="0009751B" w:rsidP="003149D0">
      <w:pPr>
        <w:spacing w:before="0" w:line="276" w:lineRule="auto"/>
        <w:rPr>
          <w:sz w:val="24"/>
          <w:szCs w:val="24"/>
        </w:rPr>
      </w:pPr>
    </w:p>
    <w:p w:rsidR="0009751B" w:rsidRPr="000E39BC" w:rsidRDefault="0009751B" w:rsidP="003149D0">
      <w:pPr>
        <w:spacing w:before="0" w:line="276" w:lineRule="auto"/>
        <w:rPr>
          <w:sz w:val="24"/>
          <w:szCs w:val="24"/>
        </w:rPr>
      </w:pPr>
      <w:r w:rsidRPr="000E39BC">
        <w:rPr>
          <w:sz w:val="24"/>
          <w:szCs w:val="24"/>
        </w:rPr>
        <w:t xml:space="preserve">14. </w:t>
      </w:r>
      <w:r w:rsidRPr="000E39BC">
        <w:rPr>
          <w:sz w:val="24"/>
          <w:szCs w:val="24"/>
          <w:u w:val="single"/>
        </w:rPr>
        <w:t>Estimates of Annualized Cost to the Government</w:t>
      </w:r>
    </w:p>
    <w:p w:rsidR="0009751B" w:rsidRPr="000E39BC" w:rsidRDefault="0009751B" w:rsidP="003149D0">
      <w:pPr>
        <w:spacing w:before="0" w:line="276" w:lineRule="auto"/>
        <w:rPr>
          <w:sz w:val="24"/>
          <w:szCs w:val="24"/>
        </w:rPr>
      </w:pPr>
    </w:p>
    <w:p w:rsidR="00930208" w:rsidRDefault="0009751B" w:rsidP="003149D0">
      <w:pPr>
        <w:spacing w:before="0" w:line="276" w:lineRule="auto"/>
        <w:rPr>
          <w:sz w:val="24"/>
          <w:szCs w:val="24"/>
        </w:rPr>
      </w:pPr>
      <w:r w:rsidRPr="000E39BC">
        <w:rPr>
          <w:sz w:val="24"/>
          <w:szCs w:val="24"/>
        </w:rPr>
        <w:t>Deferment forms</w:t>
      </w:r>
      <w:r w:rsidR="00930208">
        <w:rPr>
          <w:sz w:val="24"/>
          <w:szCs w:val="24"/>
        </w:rPr>
        <w:t xml:space="preserve"> (HRSA 519)</w:t>
      </w:r>
      <w:r w:rsidRPr="000E39BC">
        <w:rPr>
          <w:sz w:val="24"/>
          <w:szCs w:val="24"/>
        </w:rPr>
        <w:t xml:space="preserve">: </w:t>
      </w:r>
      <w:r w:rsidR="00A131F3">
        <w:rPr>
          <w:sz w:val="24"/>
          <w:szCs w:val="24"/>
        </w:rPr>
        <w:t xml:space="preserve"> Sample f</w:t>
      </w:r>
      <w:r w:rsidRPr="000E39BC">
        <w:rPr>
          <w:sz w:val="24"/>
          <w:szCs w:val="24"/>
        </w:rPr>
        <w:t xml:space="preserve">orms are </w:t>
      </w:r>
      <w:r w:rsidR="000E63DE">
        <w:rPr>
          <w:sz w:val="24"/>
          <w:szCs w:val="24"/>
        </w:rPr>
        <w:t>on-line and a</w:t>
      </w:r>
      <w:r w:rsidRPr="000E39BC">
        <w:rPr>
          <w:sz w:val="24"/>
          <w:szCs w:val="24"/>
        </w:rPr>
        <w:t>re printable</w:t>
      </w:r>
      <w:r w:rsidR="003845A5">
        <w:rPr>
          <w:sz w:val="24"/>
          <w:szCs w:val="24"/>
        </w:rPr>
        <w:t xml:space="preserve"> and downloadable</w:t>
      </w:r>
      <w:r w:rsidR="000E63DE">
        <w:rPr>
          <w:sz w:val="24"/>
          <w:szCs w:val="24"/>
        </w:rPr>
        <w:t>.</w:t>
      </w:r>
    </w:p>
    <w:p w:rsidR="00930208" w:rsidRDefault="00930208" w:rsidP="003149D0">
      <w:pPr>
        <w:spacing w:before="0" w:line="276" w:lineRule="auto"/>
        <w:rPr>
          <w:sz w:val="24"/>
          <w:szCs w:val="24"/>
        </w:rPr>
      </w:pPr>
    </w:p>
    <w:p w:rsidR="0009751B" w:rsidRPr="001F65C9" w:rsidRDefault="0009751B" w:rsidP="003149D0">
      <w:pPr>
        <w:spacing w:before="0" w:line="276" w:lineRule="auto"/>
        <w:rPr>
          <w:b/>
          <w:sz w:val="24"/>
          <w:szCs w:val="24"/>
        </w:rPr>
      </w:pPr>
      <w:r w:rsidRPr="000E39BC">
        <w:rPr>
          <w:sz w:val="24"/>
          <w:szCs w:val="24"/>
        </w:rPr>
        <w:t>A</w:t>
      </w:r>
      <w:r w:rsidR="00930208">
        <w:rPr>
          <w:sz w:val="24"/>
          <w:szCs w:val="24"/>
        </w:rPr>
        <w:t xml:space="preserve">nnual </w:t>
      </w:r>
      <w:r w:rsidRPr="000E39BC">
        <w:rPr>
          <w:sz w:val="24"/>
          <w:szCs w:val="24"/>
        </w:rPr>
        <w:t>O</w:t>
      </w:r>
      <w:r w:rsidR="00930208">
        <w:rPr>
          <w:sz w:val="24"/>
          <w:szCs w:val="24"/>
        </w:rPr>
        <w:t xml:space="preserve">perating </w:t>
      </w:r>
      <w:r w:rsidRPr="000E39BC">
        <w:rPr>
          <w:sz w:val="24"/>
          <w:szCs w:val="24"/>
        </w:rPr>
        <w:t>R</w:t>
      </w:r>
      <w:r w:rsidR="00930208">
        <w:rPr>
          <w:sz w:val="24"/>
          <w:szCs w:val="24"/>
        </w:rPr>
        <w:t>eport form (HRSA 501)</w:t>
      </w:r>
      <w:r w:rsidRPr="000E39BC">
        <w:rPr>
          <w:sz w:val="24"/>
          <w:szCs w:val="24"/>
        </w:rPr>
        <w:t xml:space="preserve">: </w:t>
      </w:r>
      <w:r w:rsidR="008169B3">
        <w:rPr>
          <w:sz w:val="24"/>
          <w:szCs w:val="24"/>
        </w:rPr>
        <w:t xml:space="preserve">This </w:t>
      </w:r>
      <w:r w:rsidRPr="000E39BC">
        <w:rPr>
          <w:sz w:val="24"/>
          <w:szCs w:val="24"/>
        </w:rPr>
        <w:t>report is submitted electronically via the internet. The following cost</w:t>
      </w:r>
      <w:r w:rsidR="00930208">
        <w:rPr>
          <w:sz w:val="24"/>
          <w:szCs w:val="24"/>
        </w:rPr>
        <w:t xml:space="preserve"> </w:t>
      </w:r>
      <w:r w:rsidRPr="000E39BC">
        <w:rPr>
          <w:sz w:val="24"/>
          <w:szCs w:val="24"/>
        </w:rPr>
        <w:t>is paid to the contractor for maintenance of the user guide, instructions, processing data and e-mail notif</w:t>
      </w:r>
      <w:r w:rsidRPr="00660D0A">
        <w:rPr>
          <w:sz w:val="24"/>
          <w:szCs w:val="24"/>
        </w:rPr>
        <w:t>i</w:t>
      </w:r>
      <w:r w:rsidRPr="000E39BC">
        <w:rPr>
          <w:sz w:val="24"/>
          <w:szCs w:val="24"/>
        </w:rPr>
        <w:t xml:space="preserve">cation to schools participating in the program.                                           </w:t>
      </w:r>
      <w:r w:rsidRPr="000E39BC">
        <w:rPr>
          <w:sz w:val="24"/>
          <w:szCs w:val="24"/>
        </w:rPr>
        <w:tab/>
      </w:r>
      <w:r w:rsidRPr="000E39BC">
        <w:rPr>
          <w:sz w:val="24"/>
          <w:szCs w:val="24"/>
        </w:rPr>
        <w:tab/>
      </w:r>
      <w:r w:rsidRPr="000E39BC">
        <w:rPr>
          <w:sz w:val="24"/>
          <w:szCs w:val="24"/>
        </w:rPr>
        <w:tab/>
      </w:r>
      <w:r w:rsidRPr="000E39BC">
        <w:rPr>
          <w:sz w:val="24"/>
          <w:szCs w:val="24"/>
        </w:rPr>
        <w:tab/>
      </w:r>
      <w:r w:rsidRPr="000E39BC">
        <w:rPr>
          <w:sz w:val="24"/>
          <w:szCs w:val="24"/>
        </w:rPr>
        <w:tab/>
      </w:r>
      <w:r w:rsidRPr="000E39BC">
        <w:rPr>
          <w:sz w:val="24"/>
          <w:szCs w:val="24"/>
        </w:rPr>
        <w:tab/>
      </w:r>
      <w:r w:rsidRPr="000E39BC">
        <w:rPr>
          <w:sz w:val="24"/>
          <w:szCs w:val="24"/>
        </w:rPr>
        <w:tab/>
      </w:r>
      <w:r w:rsidRPr="000E39BC">
        <w:rPr>
          <w:sz w:val="24"/>
          <w:szCs w:val="24"/>
        </w:rPr>
        <w:tab/>
      </w:r>
      <w:r w:rsidRPr="000E39BC">
        <w:rPr>
          <w:sz w:val="24"/>
          <w:szCs w:val="24"/>
        </w:rPr>
        <w:tab/>
      </w:r>
      <w:r w:rsidRPr="000E39BC">
        <w:rPr>
          <w:sz w:val="24"/>
          <w:szCs w:val="24"/>
        </w:rPr>
        <w:tab/>
      </w:r>
      <w:r w:rsidRPr="000E39BC">
        <w:rPr>
          <w:sz w:val="24"/>
          <w:szCs w:val="24"/>
        </w:rPr>
        <w:tab/>
      </w:r>
      <w:r w:rsidRPr="000E39BC">
        <w:rPr>
          <w:sz w:val="24"/>
          <w:szCs w:val="24"/>
        </w:rPr>
        <w:tab/>
        <w:t xml:space="preserve">    </w:t>
      </w:r>
      <w:r w:rsidRPr="000E39BC">
        <w:rPr>
          <w:sz w:val="24"/>
          <w:szCs w:val="24"/>
        </w:rPr>
        <w:tab/>
      </w:r>
      <w:r w:rsidR="00930208">
        <w:rPr>
          <w:sz w:val="24"/>
          <w:szCs w:val="24"/>
        </w:rPr>
        <w:tab/>
      </w:r>
      <w:r w:rsidR="00930208">
        <w:rPr>
          <w:sz w:val="24"/>
          <w:szCs w:val="24"/>
        </w:rPr>
        <w:tab/>
      </w:r>
      <w:r w:rsidR="00930208">
        <w:rPr>
          <w:sz w:val="24"/>
          <w:szCs w:val="24"/>
        </w:rPr>
        <w:tab/>
      </w:r>
      <w:r w:rsidR="00930208">
        <w:rPr>
          <w:sz w:val="24"/>
          <w:szCs w:val="24"/>
        </w:rPr>
        <w:tab/>
      </w:r>
      <w:r w:rsidR="00066381" w:rsidRPr="00066381">
        <w:rPr>
          <w:b/>
          <w:sz w:val="24"/>
          <w:szCs w:val="24"/>
        </w:rPr>
        <w:t>$ 10,800 (Task V)</w:t>
      </w:r>
      <w:r w:rsidR="001F65C9">
        <w:rPr>
          <w:b/>
          <w:sz w:val="24"/>
          <w:szCs w:val="24"/>
        </w:rPr>
        <w:t xml:space="preserve">  Annual Cost</w:t>
      </w:r>
    </w:p>
    <w:p w:rsidR="0009751B" w:rsidRPr="001F65C9" w:rsidRDefault="0009751B" w:rsidP="003149D0">
      <w:pPr>
        <w:spacing w:line="276" w:lineRule="auto"/>
        <w:ind w:left="640" w:right="1600" w:hanging="580"/>
        <w:rPr>
          <w:sz w:val="24"/>
          <w:szCs w:val="24"/>
        </w:rPr>
      </w:pPr>
      <w:r w:rsidRPr="000E39BC">
        <w:rPr>
          <w:sz w:val="24"/>
          <w:szCs w:val="24"/>
        </w:rPr>
        <w:tab/>
      </w:r>
      <w:r w:rsidRPr="000E39BC">
        <w:rPr>
          <w:sz w:val="24"/>
          <w:szCs w:val="24"/>
        </w:rPr>
        <w:tab/>
      </w:r>
      <w:r w:rsidRPr="000E39BC">
        <w:rPr>
          <w:sz w:val="24"/>
          <w:szCs w:val="24"/>
        </w:rPr>
        <w:tab/>
      </w:r>
      <w:r w:rsidRPr="000E39BC">
        <w:rPr>
          <w:sz w:val="24"/>
          <w:szCs w:val="24"/>
        </w:rPr>
        <w:tab/>
      </w:r>
      <w:r w:rsidRPr="000E39BC">
        <w:rPr>
          <w:sz w:val="24"/>
          <w:szCs w:val="24"/>
        </w:rPr>
        <w:tab/>
      </w:r>
    </w:p>
    <w:p w:rsidR="0009751B" w:rsidRPr="000E39BC" w:rsidRDefault="0009751B" w:rsidP="003149D0">
      <w:pPr>
        <w:spacing w:before="240" w:line="276" w:lineRule="auto"/>
        <w:ind w:left="40"/>
        <w:rPr>
          <w:sz w:val="24"/>
          <w:szCs w:val="24"/>
        </w:rPr>
      </w:pPr>
      <w:r w:rsidRPr="00AF6459">
        <w:rPr>
          <w:bCs/>
          <w:sz w:val="24"/>
          <w:szCs w:val="24"/>
        </w:rPr>
        <w:t>15.</w:t>
      </w:r>
      <w:r w:rsidRPr="000E39BC">
        <w:rPr>
          <w:sz w:val="24"/>
          <w:szCs w:val="24"/>
        </w:rPr>
        <w:t xml:space="preserve"> </w:t>
      </w:r>
      <w:r w:rsidRPr="000E39BC">
        <w:rPr>
          <w:sz w:val="24"/>
          <w:szCs w:val="24"/>
          <w:u w:val="single"/>
        </w:rPr>
        <w:t>Change in Burden</w:t>
      </w:r>
    </w:p>
    <w:p w:rsidR="00FC4BA6" w:rsidRDefault="00FC4BA6" w:rsidP="00FC4BA6">
      <w:pPr>
        <w:spacing w:before="280" w:line="276" w:lineRule="auto"/>
        <w:rPr>
          <w:sz w:val="24"/>
          <w:szCs w:val="24"/>
        </w:rPr>
      </w:pPr>
      <w:r>
        <w:rPr>
          <w:sz w:val="24"/>
          <w:szCs w:val="24"/>
        </w:rPr>
        <w:t xml:space="preserve">For the two forms (Deferment and AOR) in the OMB Inventory for 0915-0044, we are requesting </w:t>
      </w:r>
      <w:r>
        <w:rPr>
          <w:sz w:val="24"/>
          <w:szCs w:val="24"/>
        </w:rPr>
        <w:lastRenderedPageBreak/>
        <w:t xml:space="preserve">11,733 hours for an increase of approximately 7,325 burden hours.  The current inventory for this is 4,408 hours. </w:t>
      </w:r>
    </w:p>
    <w:p w:rsidR="00FC4BA6" w:rsidRDefault="00FC4BA6" w:rsidP="00FC4BA6">
      <w:pPr>
        <w:spacing w:before="280" w:line="276" w:lineRule="auto"/>
        <w:rPr>
          <w:sz w:val="24"/>
          <w:szCs w:val="24"/>
        </w:rPr>
      </w:pPr>
      <w:r>
        <w:rPr>
          <w:sz w:val="24"/>
          <w:szCs w:val="24"/>
        </w:rPr>
        <w:t>Specific form breakdown information follows.</w:t>
      </w:r>
    </w:p>
    <w:p w:rsidR="006E7631" w:rsidRDefault="00E734D3">
      <w:pPr>
        <w:spacing w:line="276" w:lineRule="auto"/>
        <w:ind w:left="720"/>
        <w:rPr>
          <w:i/>
          <w:sz w:val="24"/>
          <w:szCs w:val="24"/>
          <w:u w:val="single"/>
        </w:rPr>
      </w:pPr>
      <w:r w:rsidRPr="00E734D3">
        <w:rPr>
          <w:i/>
          <w:sz w:val="24"/>
          <w:szCs w:val="24"/>
          <w:u w:val="single"/>
        </w:rPr>
        <w:t xml:space="preserve">Deferment form (HRSA-519) </w:t>
      </w:r>
    </w:p>
    <w:p w:rsidR="006E7631" w:rsidRDefault="00AD2473">
      <w:pPr>
        <w:spacing w:line="276" w:lineRule="auto"/>
        <w:ind w:left="720"/>
        <w:rPr>
          <w:sz w:val="24"/>
          <w:szCs w:val="24"/>
        </w:rPr>
      </w:pPr>
      <w:r>
        <w:rPr>
          <w:sz w:val="24"/>
          <w:szCs w:val="24"/>
        </w:rPr>
        <w:t xml:space="preserve">We are requesting 1,725 total hours for the Deferment form </w:t>
      </w:r>
      <w:r w:rsidR="00E7657E">
        <w:rPr>
          <w:sz w:val="24"/>
          <w:szCs w:val="24"/>
        </w:rPr>
        <w:t>(</w:t>
      </w:r>
      <w:r w:rsidR="00D12FAB">
        <w:rPr>
          <w:sz w:val="24"/>
          <w:szCs w:val="24"/>
        </w:rPr>
        <w:t>HRSA-519</w:t>
      </w:r>
      <w:r w:rsidR="00E7657E">
        <w:rPr>
          <w:sz w:val="24"/>
          <w:szCs w:val="24"/>
        </w:rPr>
        <w:t>)</w:t>
      </w:r>
      <w:r w:rsidR="00D12FAB">
        <w:rPr>
          <w:sz w:val="24"/>
          <w:szCs w:val="24"/>
        </w:rPr>
        <w:t xml:space="preserve"> </w:t>
      </w:r>
      <w:r>
        <w:rPr>
          <w:sz w:val="24"/>
          <w:szCs w:val="24"/>
        </w:rPr>
        <w:t>which is</w:t>
      </w:r>
      <w:r w:rsidR="00D12FAB">
        <w:rPr>
          <w:sz w:val="24"/>
          <w:szCs w:val="24"/>
        </w:rPr>
        <w:t xml:space="preserve"> an increase of 1,391 hours.  Currently, there are 334 hours in the OMB Inventory for this form.  The increase is due to</w:t>
      </w:r>
      <w:r w:rsidR="00E7657E">
        <w:rPr>
          <w:sz w:val="24"/>
          <w:szCs w:val="24"/>
        </w:rPr>
        <w:t xml:space="preserve">: </w:t>
      </w:r>
    </w:p>
    <w:p w:rsidR="006E7631" w:rsidRDefault="00D12FAB">
      <w:pPr>
        <w:spacing w:line="276" w:lineRule="auto"/>
        <w:ind w:left="720"/>
        <w:rPr>
          <w:sz w:val="24"/>
          <w:szCs w:val="24"/>
        </w:rPr>
      </w:pPr>
      <w:r>
        <w:rPr>
          <w:sz w:val="24"/>
          <w:szCs w:val="24"/>
        </w:rPr>
        <w:t xml:space="preserve"> </w:t>
      </w:r>
      <w:r w:rsidR="00E7657E">
        <w:rPr>
          <w:sz w:val="24"/>
          <w:szCs w:val="24"/>
        </w:rPr>
        <w:t xml:space="preserve">(1) </w:t>
      </w:r>
      <w:r w:rsidR="009C1F56">
        <w:rPr>
          <w:sz w:val="24"/>
          <w:szCs w:val="24"/>
        </w:rPr>
        <w:t>T</w:t>
      </w:r>
      <w:r w:rsidR="00AD2473">
        <w:rPr>
          <w:sz w:val="24"/>
          <w:szCs w:val="24"/>
        </w:rPr>
        <w:t xml:space="preserve">he additional </w:t>
      </w:r>
      <w:r w:rsidR="00B37E52">
        <w:rPr>
          <w:sz w:val="24"/>
          <w:szCs w:val="24"/>
        </w:rPr>
        <w:t>1,223</w:t>
      </w:r>
      <w:r w:rsidR="00AD2473">
        <w:rPr>
          <w:sz w:val="24"/>
          <w:szCs w:val="24"/>
        </w:rPr>
        <w:t xml:space="preserve"> forms being filled out </w:t>
      </w:r>
      <w:r w:rsidR="00E7657E">
        <w:rPr>
          <w:sz w:val="24"/>
          <w:szCs w:val="24"/>
        </w:rPr>
        <w:t xml:space="preserve">(3,234 forms this time as opposed to </w:t>
      </w:r>
      <w:r w:rsidR="00B37E52">
        <w:rPr>
          <w:sz w:val="24"/>
          <w:szCs w:val="24"/>
        </w:rPr>
        <w:t>2,011</w:t>
      </w:r>
      <w:r w:rsidR="00E7657E">
        <w:rPr>
          <w:sz w:val="24"/>
          <w:szCs w:val="24"/>
        </w:rPr>
        <w:t xml:space="preserve"> last time) </w:t>
      </w:r>
      <w:r w:rsidR="00AD2473">
        <w:rPr>
          <w:sz w:val="24"/>
          <w:szCs w:val="24"/>
        </w:rPr>
        <w:t>and</w:t>
      </w:r>
    </w:p>
    <w:p w:rsidR="006E7631" w:rsidRDefault="00AD2473">
      <w:pPr>
        <w:spacing w:line="276" w:lineRule="auto"/>
        <w:ind w:left="720"/>
        <w:rPr>
          <w:sz w:val="24"/>
          <w:szCs w:val="24"/>
        </w:rPr>
      </w:pPr>
      <w:r>
        <w:rPr>
          <w:sz w:val="24"/>
          <w:szCs w:val="24"/>
        </w:rPr>
        <w:t xml:space="preserve"> </w:t>
      </w:r>
      <w:r w:rsidR="00E7657E">
        <w:rPr>
          <w:sz w:val="24"/>
          <w:szCs w:val="24"/>
        </w:rPr>
        <w:t xml:space="preserve">(2) </w:t>
      </w:r>
      <w:r w:rsidR="009C1F56">
        <w:rPr>
          <w:sz w:val="24"/>
          <w:szCs w:val="24"/>
        </w:rPr>
        <w:t>A</w:t>
      </w:r>
      <w:r>
        <w:rPr>
          <w:sz w:val="24"/>
          <w:szCs w:val="24"/>
        </w:rPr>
        <w:t>dding the university</w:t>
      </w:r>
      <w:r w:rsidR="00D12FAB">
        <w:rPr>
          <w:sz w:val="24"/>
          <w:szCs w:val="24"/>
        </w:rPr>
        <w:t xml:space="preserve"> </w:t>
      </w:r>
      <w:r>
        <w:rPr>
          <w:sz w:val="24"/>
          <w:szCs w:val="24"/>
        </w:rPr>
        <w:t xml:space="preserve">staff </w:t>
      </w:r>
      <w:r w:rsidR="00D12FAB">
        <w:rPr>
          <w:sz w:val="24"/>
          <w:szCs w:val="24"/>
        </w:rPr>
        <w:t xml:space="preserve">burden </w:t>
      </w:r>
      <w:r w:rsidR="00B37E52">
        <w:rPr>
          <w:sz w:val="24"/>
          <w:szCs w:val="24"/>
        </w:rPr>
        <w:t xml:space="preserve">(0.367 hr. per form) </w:t>
      </w:r>
      <w:r w:rsidR="00D12FAB">
        <w:rPr>
          <w:sz w:val="24"/>
          <w:szCs w:val="24"/>
        </w:rPr>
        <w:t>as well as the student burden</w:t>
      </w:r>
      <w:r w:rsidR="00B37E52">
        <w:rPr>
          <w:sz w:val="24"/>
          <w:szCs w:val="24"/>
        </w:rPr>
        <w:t xml:space="preserve"> (0.166 hr. per form)</w:t>
      </w:r>
      <w:r w:rsidR="00D12FAB">
        <w:rPr>
          <w:sz w:val="24"/>
          <w:szCs w:val="24"/>
        </w:rPr>
        <w:t xml:space="preserve">.  The last OMB submission included only the student burden.  </w:t>
      </w:r>
    </w:p>
    <w:p w:rsidR="006E7631" w:rsidRDefault="006E7631">
      <w:pPr>
        <w:spacing w:line="276" w:lineRule="auto"/>
        <w:ind w:left="720"/>
        <w:rPr>
          <w:sz w:val="24"/>
          <w:szCs w:val="24"/>
        </w:rPr>
      </w:pPr>
    </w:p>
    <w:p w:rsidR="006E7631" w:rsidRDefault="00E734D3">
      <w:pPr>
        <w:spacing w:line="276" w:lineRule="auto"/>
        <w:ind w:left="720"/>
        <w:rPr>
          <w:i/>
          <w:sz w:val="24"/>
          <w:szCs w:val="24"/>
          <w:u w:val="single"/>
        </w:rPr>
      </w:pPr>
      <w:r w:rsidRPr="00E734D3">
        <w:rPr>
          <w:i/>
          <w:sz w:val="24"/>
          <w:szCs w:val="24"/>
          <w:u w:val="single"/>
        </w:rPr>
        <w:t xml:space="preserve">AOR (HRSA-501) </w:t>
      </w:r>
    </w:p>
    <w:p w:rsidR="006E7631" w:rsidRDefault="00AD2473">
      <w:pPr>
        <w:spacing w:line="276" w:lineRule="auto"/>
        <w:ind w:left="720"/>
        <w:rPr>
          <w:sz w:val="24"/>
          <w:szCs w:val="24"/>
        </w:rPr>
      </w:pPr>
      <w:r w:rsidRPr="000E39BC">
        <w:rPr>
          <w:sz w:val="24"/>
          <w:szCs w:val="24"/>
        </w:rPr>
        <w:t xml:space="preserve">We are requesting </w:t>
      </w:r>
      <w:r>
        <w:rPr>
          <w:sz w:val="24"/>
          <w:szCs w:val="24"/>
        </w:rPr>
        <w:t xml:space="preserve">10,088 </w:t>
      </w:r>
      <w:r w:rsidRPr="000E39BC">
        <w:rPr>
          <w:sz w:val="24"/>
          <w:szCs w:val="24"/>
        </w:rPr>
        <w:t>hours</w:t>
      </w:r>
      <w:r>
        <w:rPr>
          <w:sz w:val="24"/>
          <w:szCs w:val="24"/>
        </w:rPr>
        <w:t xml:space="preserve"> total</w:t>
      </w:r>
      <w:r w:rsidRPr="000E39BC">
        <w:rPr>
          <w:sz w:val="24"/>
          <w:szCs w:val="24"/>
        </w:rPr>
        <w:t xml:space="preserve"> for </w:t>
      </w:r>
      <w:r>
        <w:rPr>
          <w:sz w:val="24"/>
          <w:szCs w:val="24"/>
        </w:rPr>
        <w:t>the AOR</w:t>
      </w:r>
      <w:r w:rsidRPr="00AD2473">
        <w:rPr>
          <w:sz w:val="24"/>
          <w:szCs w:val="24"/>
        </w:rPr>
        <w:t xml:space="preserve"> </w:t>
      </w:r>
      <w:r w:rsidR="00E7657E">
        <w:rPr>
          <w:sz w:val="24"/>
          <w:szCs w:val="24"/>
        </w:rPr>
        <w:t>(</w:t>
      </w:r>
      <w:r>
        <w:rPr>
          <w:sz w:val="24"/>
          <w:szCs w:val="24"/>
        </w:rPr>
        <w:t>HRSA-501</w:t>
      </w:r>
      <w:r w:rsidR="00E7657E">
        <w:rPr>
          <w:sz w:val="24"/>
          <w:szCs w:val="24"/>
        </w:rPr>
        <w:t>)</w:t>
      </w:r>
      <w:r w:rsidR="009C1F56">
        <w:rPr>
          <w:sz w:val="24"/>
          <w:szCs w:val="24"/>
        </w:rPr>
        <w:t xml:space="preserve"> which is an increas</w:t>
      </w:r>
      <w:r>
        <w:rPr>
          <w:sz w:val="24"/>
          <w:szCs w:val="24"/>
        </w:rPr>
        <w:t xml:space="preserve">e </w:t>
      </w:r>
      <w:r w:rsidR="00D12FAB">
        <w:rPr>
          <w:sz w:val="24"/>
          <w:szCs w:val="24"/>
        </w:rPr>
        <w:t xml:space="preserve">of 6,380 hours for the AOR.  </w:t>
      </w:r>
      <w:r w:rsidR="0009751B">
        <w:rPr>
          <w:sz w:val="24"/>
          <w:szCs w:val="24"/>
        </w:rPr>
        <w:t>There are</w:t>
      </w:r>
      <w:r w:rsidR="0009751B" w:rsidRPr="000E39BC">
        <w:rPr>
          <w:sz w:val="24"/>
          <w:szCs w:val="24"/>
        </w:rPr>
        <w:t xml:space="preserve"> </w:t>
      </w:r>
      <w:r>
        <w:rPr>
          <w:sz w:val="24"/>
          <w:szCs w:val="24"/>
        </w:rPr>
        <w:t>3,628</w:t>
      </w:r>
      <w:r w:rsidR="00C207E9">
        <w:rPr>
          <w:sz w:val="24"/>
          <w:szCs w:val="24"/>
        </w:rPr>
        <w:t xml:space="preserve"> </w:t>
      </w:r>
      <w:r w:rsidR="0009751B" w:rsidRPr="000E39BC">
        <w:rPr>
          <w:sz w:val="24"/>
          <w:szCs w:val="24"/>
        </w:rPr>
        <w:t xml:space="preserve">hours </w:t>
      </w:r>
      <w:r w:rsidR="0009751B">
        <w:rPr>
          <w:sz w:val="24"/>
          <w:szCs w:val="24"/>
        </w:rPr>
        <w:t xml:space="preserve">currently </w:t>
      </w:r>
      <w:r w:rsidR="004D1CDF">
        <w:rPr>
          <w:sz w:val="24"/>
          <w:szCs w:val="24"/>
        </w:rPr>
        <w:t>in the O</w:t>
      </w:r>
      <w:r w:rsidR="0009751B" w:rsidRPr="000E39BC">
        <w:rPr>
          <w:sz w:val="24"/>
          <w:szCs w:val="24"/>
        </w:rPr>
        <w:t xml:space="preserve">MB Inventory for </w:t>
      </w:r>
      <w:r>
        <w:rPr>
          <w:sz w:val="24"/>
          <w:szCs w:val="24"/>
        </w:rPr>
        <w:t>this form</w:t>
      </w:r>
      <w:r w:rsidR="0009751B" w:rsidRPr="000E39BC">
        <w:rPr>
          <w:sz w:val="24"/>
          <w:szCs w:val="24"/>
        </w:rPr>
        <w:t xml:space="preserve">. </w:t>
      </w:r>
    </w:p>
    <w:p w:rsidR="006E7631" w:rsidRDefault="0009751B">
      <w:pPr>
        <w:spacing w:before="240" w:line="276" w:lineRule="auto"/>
        <w:ind w:left="720"/>
        <w:rPr>
          <w:sz w:val="24"/>
          <w:szCs w:val="24"/>
        </w:rPr>
      </w:pPr>
      <w:r w:rsidRPr="000E39BC">
        <w:rPr>
          <w:sz w:val="24"/>
          <w:szCs w:val="24"/>
        </w:rPr>
        <w:t>This change is due to the following:</w:t>
      </w:r>
    </w:p>
    <w:p w:rsidR="006E7631" w:rsidRDefault="00066381">
      <w:pPr>
        <w:spacing w:before="280" w:line="276" w:lineRule="auto"/>
        <w:ind w:left="720"/>
        <w:rPr>
          <w:sz w:val="24"/>
          <w:szCs w:val="24"/>
        </w:rPr>
      </w:pPr>
      <w:r w:rsidRPr="00066381">
        <w:rPr>
          <w:sz w:val="24"/>
          <w:szCs w:val="24"/>
        </w:rPr>
        <w:t xml:space="preserve">There are more data to collect </w:t>
      </w:r>
      <w:r w:rsidR="007026C1">
        <w:rPr>
          <w:sz w:val="24"/>
          <w:szCs w:val="24"/>
        </w:rPr>
        <w:t xml:space="preserve">due to </w:t>
      </w:r>
      <w:r w:rsidRPr="00066381">
        <w:rPr>
          <w:sz w:val="24"/>
          <w:szCs w:val="24"/>
        </w:rPr>
        <w:t xml:space="preserve">an increase in </w:t>
      </w:r>
      <w:r w:rsidR="00286F20">
        <w:rPr>
          <w:sz w:val="24"/>
          <w:szCs w:val="24"/>
        </w:rPr>
        <w:t xml:space="preserve">program evaluation </w:t>
      </w:r>
      <w:r w:rsidRPr="00066381">
        <w:rPr>
          <w:sz w:val="24"/>
          <w:szCs w:val="24"/>
        </w:rPr>
        <w:t xml:space="preserve">questions not previously asked.  </w:t>
      </w:r>
      <w:r w:rsidR="00286F20">
        <w:rPr>
          <w:sz w:val="24"/>
          <w:szCs w:val="24"/>
        </w:rPr>
        <w:t>The former AOR was almost entirely financial</w:t>
      </w:r>
      <w:r w:rsidR="009C1F56">
        <w:rPr>
          <w:sz w:val="24"/>
          <w:szCs w:val="24"/>
        </w:rPr>
        <w:t xml:space="preserve"> with data easily provided</w:t>
      </w:r>
      <w:r w:rsidR="00286F20">
        <w:rPr>
          <w:sz w:val="24"/>
          <w:szCs w:val="24"/>
        </w:rPr>
        <w:t xml:space="preserve">.  This </w:t>
      </w:r>
      <w:r w:rsidR="009C1F56">
        <w:rPr>
          <w:sz w:val="24"/>
          <w:szCs w:val="24"/>
        </w:rPr>
        <w:t xml:space="preserve">new version of the </w:t>
      </w:r>
      <w:r w:rsidR="00286F20">
        <w:rPr>
          <w:sz w:val="24"/>
          <w:szCs w:val="24"/>
        </w:rPr>
        <w:t>report requests</w:t>
      </w:r>
      <w:r w:rsidR="001F65C9">
        <w:rPr>
          <w:sz w:val="24"/>
          <w:szCs w:val="24"/>
        </w:rPr>
        <w:t xml:space="preserve"> the financial data and also some</w:t>
      </w:r>
      <w:r w:rsidR="00286F20">
        <w:rPr>
          <w:sz w:val="24"/>
          <w:szCs w:val="24"/>
        </w:rPr>
        <w:t xml:space="preserve"> output information regarding the students</w:t>
      </w:r>
      <w:r w:rsidR="001F65C9">
        <w:rPr>
          <w:sz w:val="24"/>
          <w:szCs w:val="24"/>
        </w:rPr>
        <w:t>’</w:t>
      </w:r>
      <w:r w:rsidR="00286F20">
        <w:rPr>
          <w:sz w:val="24"/>
          <w:szCs w:val="24"/>
        </w:rPr>
        <w:t xml:space="preserve"> success and failure.</w:t>
      </w:r>
      <w:r w:rsidR="00E7657E">
        <w:rPr>
          <w:sz w:val="24"/>
          <w:szCs w:val="24"/>
        </w:rPr>
        <w:t xml:space="preserve">  The additional questions </w:t>
      </w:r>
      <w:r w:rsidR="009C1F56">
        <w:rPr>
          <w:sz w:val="24"/>
          <w:szCs w:val="24"/>
        </w:rPr>
        <w:t xml:space="preserve">which include the need for student tracking and data collection over </w:t>
      </w:r>
      <w:r w:rsidR="00EA230D">
        <w:rPr>
          <w:sz w:val="24"/>
          <w:szCs w:val="24"/>
        </w:rPr>
        <w:t>1 to</w:t>
      </w:r>
      <w:r w:rsidR="009C1F56">
        <w:rPr>
          <w:sz w:val="24"/>
          <w:szCs w:val="24"/>
        </w:rPr>
        <w:t xml:space="preserve"> 4 years may</w:t>
      </w:r>
      <w:r w:rsidR="00E7657E">
        <w:rPr>
          <w:sz w:val="24"/>
          <w:szCs w:val="24"/>
        </w:rPr>
        <w:t xml:space="preserve"> increase the burden by </w:t>
      </w:r>
      <w:r w:rsidR="009C1F56">
        <w:rPr>
          <w:sz w:val="24"/>
          <w:szCs w:val="24"/>
        </w:rPr>
        <w:t>8</w:t>
      </w:r>
      <w:r w:rsidR="00E7657E">
        <w:rPr>
          <w:sz w:val="24"/>
          <w:szCs w:val="24"/>
        </w:rPr>
        <w:t xml:space="preserve"> hours for each form</w:t>
      </w:r>
      <w:r w:rsidR="009C1F56">
        <w:rPr>
          <w:sz w:val="24"/>
          <w:szCs w:val="24"/>
        </w:rPr>
        <w:t xml:space="preserve"> for a total of 6,380 hours extra burden</w:t>
      </w:r>
      <w:r w:rsidR="00E7657E">
        <w:rPr>
          <w:sz w:val="24"/>
          <w:szCs w:val="24"/>
        </w:rPr>
        <w:t>.</w:t>
      </w:r>
      <w:r w:rsidR="00EA230D">
        <w:rPr>
          <w:sz w:val="24"/>
          <w:szCs w:val="24"/>
        </w:rPr>
        <w:t xml:space="preserve">  There may be slight variances in time due to some respondent populations collecting data back only 1 or 2 years.</w:t>
      </w:r>
    </w:p>
    <w:p w:rsidR="009C1F56" w:rsidRDefault="009C1F56"/>
    <w:p w:rsidR="00656B0C" w:rsidRDefault="0009751B">
      <w:r w:rsidRPr="00396BA5">
        <w:t xml:space="preserve">16. </w:t>
      </w:r>
      <w:r w:rsidRPr="00396BA5">
        <w:rPr>
          <w:u w:val="single"/>
        </w:rPr>
        <w:t>Time Schedule, Publication, and Analysis Plans</w:t>
      </w:r>
    </w:p>
    <w:p w:rsidR="0009751B" w:rsidRPr="003845A5" w:rsidRDefault="0009751B" w:rsidP="003149D0">
      <w:pPr>
        <w:spacing w:before="240" w:line="276" w:lineRule="auto"/>
        <w:rPr>
          <w:sz w:val="24"/>
          <w:szCs w:val="24"/>
          <w:u w:val="single"/>
        </w:rPr>
      </w:pPr>
      <w:r w:rsidRPr="00396BA5">
        <w:rPr>
          <w:sz w:val="24"/>
          <w:szCs w:val="24"/>
        </w:rPr>
        <w:t xml:space="preserve">There are no plans </w:t>
      </w:r>
      <w:r w:rsidR="00396BA5">
        <w:rPr>
          <w:sz w:val="24"/>
          <w:szCs w:val="24"/>
        </w:rPr>
        <w:t>for publication</w:t>
      </w:r>
      <w:r w:rsidRPr="00396BA5">
        <w:rPr>
          <w:sz w:val="24"/>
          <w:szCs w:val="24"/>
        </w:rPr>
        <w:t>.</w:t>
      </w:r>
      <w:r w:rsidR="00396BA5" w:rsidRPr="00396BA5">
        <w:rPr>
          <w:rFonts w:ascii="ArialMT" w:hAnsi="ArialMT" w:cs="ArialMT"/>
          <w:color w:val="1A1A1A"/>
          <w:sz w:val="26"/>
          <w:szCs w:val="26"/>
        </w:rPr>
        <w:t xml:space="preserve"> </w:t>
      </w:r>
      <w:r w:rsidR="00396BA5">
        <w:rPr>
          <w:rFonts w:ascii="ArialMT" w:hAnsi="ArialMT" w:cs="ArialMT"/>
          <w:color w:val="1A1A1A"/>
          <w:sz w:val="26"/>
          <w:szCs w:val="26"/>
        </w:rPr>
        <w:t xml:space="preserve"> </w:t>
      </w:r>
      <w:r w:rsidR="00066381" w:rsidRPr="00066381">
        <w:rPr>
          <w:color w:val="1A1A1A"/>
          <w:sz w:val="24"/>
          <w:szCs w:val="24"/>
        </w:rPr>
        <w:t xml:space="preserve">However, we do plan to do </w:t>
      </w:r>
      <w:r w:rsidR="00557246">
        <w:rPr>
          <w:color w:val="1A1A1A"/>
          <w:sz w:val="24"/>
          <w:szCs w:val="24"/>
        </w:rPr>
        <w:t>minor</w:t>
      </w:r>
      <w:r w:rsidR="00066381" w:rsidRPr="00066381">
        <w:rPr>
          <w:color w:val="1A1A1A"/>
          <w:sz w:val="24"/>
          <w:szCs w:val="24"/>
        </w:rPr>
        <w:t xml:space="preserve"> analyses</w:t>
      </w:r>
      <w:r w:rsidR="00557246">
        <w:rPr>
          <w:color w:val="1A1A1A"/>
          <w:sz w:val="24"/>
          <w:szCs w:val="24"/>
        </w:rPr>
        <w:t xml:space="preserve"> </w:t>
      </w:r>
      <w:r w:rsidR="00066381" w:rsidRPr="00066381">
        <w:rPr>
          <w:color w:val="1A1A1A"/>
          <w:sz w:val="24"/>
          <w:szCs w:val="24"/>
        </w:rPr>
        <w:t xml:space="preserve">of the </w:t>
      </w:r>
      <w:r w:rsidR="009337B7">
        <w:rPr>
          <w:color w:val="1A1A1A"/>
          <w:sz w:val="24"/>
          <w:szCs w:val="24"/>
        </w:rPr>
        <w:t xml:space="preserve">aggregate </w:t>
      </w:r>
      <w:r w:rsidR="00066381" w:rsidRPr="00066381">
        <w:rPr>
          <w:color w:val="1A1A1A"/>
          <w:sz w:val="24"/>
          <w:szCs w:val="24"/>
        </w:rPr>
        <w:t>data</w:t>
      </w:r>
      <w:r w:rsidR="00557246">
        <w:rPr>
          <w:color w:val="1A1A1A"/>
          <w:sz w:val="24"/>
          <w:szCs w:val="24"/>
        </w:rPr>
        <w:t xml:space="preserve"> (percentag</w:t>
      </w:r>
      <w:r w:rsidR="009337B7">
        <w:rPr>
          <w:color w:val="1A1A1A"/>
          <w:sz w:val="24"/>
          <w:szCs w:val="24"/>
        </w:rPr>
        <w:t xml:space="preserve">es and comparisons) </w:t>
      </w:r>
      <w:r w:rsidR="00066381" w:rsidRPr="00066381">
        <w:rPr>
          <w:color w:val="1A1A1A"/>
          <w:sz w:val="24"/>
          <w:szCs w:val="24"/>
        </w:rPr>
        <w:t xml:space="preserve">to better evaluate the program and help us to make changes </w:t>
      </w:r>
      <w:r w:rsidR="00286F20">
        <w:rPr>
          <w:color w:val="1A1A1A"/>
          <w:sz w:val="24"/>
          <w:szCs w:val="24"/>
        </w:rPr>
        <w:t xml:space="preserve">to the program </w:t>
      </w:r>
      <w:r w:rsidR="00066381" w:rsidRPr="00066381">
        <w:rPr>
          <w:color w:val="1A1A1A"/>
          <w:sz w:val="24"/>
          <w:szCs w:val="24"/>
        </w:rPr>
        <w:t xml:space="preserve">if necessary.  </w:t>
      </w:r>
      <w:r w:rsidR="009113C3">
        <w:rPr>
          <w:color w:val="1A1A1A"/>
          <w:sz w:val="24"/>
          <w:szCs w:val="24"/>
        </w:rPr>
        <w:t xml:space="preserve">Examples are comparing the program students’ drop-out rate against the school’s total drop-out rate, comparing </w:t>
      </w:r>
      <w:r w:rsidR="00191906">
        <w:rPr>
          <w:color w:val="1A1A1A"/>
          <w:sz w:val="24"/>
          <w:szCs w:val="24"/>
        </w:rPr>
        <w:t xml:space="preserve">the programs’ </w:t>
      </w:r>
      <w:r w:rsidR="009113C3">
        <w:rPr>
          <w:color w:val="1A1A1A"/>
          <w:sz w:val="24"/>
          <w:szCs w:val="24"/>
        </w:rPr>
        <w:t xml:space="preserve">drop-out rate </w:t>
      </w:r>
      <w:r w:rsidR="0018051E">
        <w:rPr>
          <w:color w:val="1A1A1A"/>
          <w:sz w:val="24"/>
          <w:szCs w:val="24"/>
        </w:rPr>
        <w:t>across the</w:t>
      </w:r>
      <w:r w:rsidR="009113C3">
        <w:rPr>
          <w:color w:val="1A1A1A"/>
          <w:sz w:val="24"/>
          <w:szCs w:val="24"/>
        </w:rPr>
        <w:t xml:space="preserve"> years, developing the graduation rate of program students and comparing it against the school’s graduation rate, comparing the graduates’ intent to serve in a medically underserved area, rural area or in primary care with the graduates’ actual service, etc.  </w:t>
      </w:r>
      <w:r w:rsidR="00E879C9">
        <w:rPr>
          <w:color w:val="1A1A1A"/>
          <w:sz w:val="24"/>
          <w:szCs w:val="24"/>
        </w:rPr>
        <w:t>Analysis of the actual recruitment and retention activities of successful schools are also of interest</w:t>
      </w:r>
      <w:r w:rsidR="00191906">
        <w:rPr>
          <w:color w:val="1A1A1A"/>
          <w:sz w:val="24"/>
          <w:szCs w:val="24"/>
        </w:rPr>
        <w:t xml:space="preserve"> and the data gathered for recruitment and retention is necessary in order to monitor this required activity of the Loans for Disadvantaged Student program</w:t>
      </w:r>
      <w:r w:rsidR="00E879C9">
        <w:rPr>
          <w:color w:val="1A1A1A"/>
          <w:sz w:val="24"/>
          <w:szCs w:val="24"/>
        </w:rPr>
        <w:t xml:space="preserve">.  </w:t>
      </w:r>
      <w:r w:rsidR="00191906">
        <w:rPr>
          <w:color w:val="1A1A1A"/>
          <w:sz w:val="24"/>
          <w:szCs w:val="24"/>
        </w:rPr>
        <w:t xml:space="preserve">HRSA has pipeline programs for disadvantaged students so it is important to know if we are providing finances to those pipeline program students so that they can graduate and enter the health professions.  The percentage of pipeline program students participating in the loan programs is a percentage that would also be done.  </w:t>
      </w:r>
      <w:r w:rsidR="00066381" w:rsidRPr="00066381">
        <w:rPr>
          <w:color w:val="1A1A1A"/>
          <w:sz w:val="24"/>
          <w:szCs w:val="24"/>
        </w:rPr>
        <w:t>Annual Operating reports are due annually between July 1 and August 15</w:t>
      </w:r>
      <w:r w:rsidR="00066381" w:rsidRPr="00066381">
        <w:rPr>
          <w:color w:val="1A1A1A"/>
          <w:sz w:val="24"/>
          <w:szCs w:val="24"/>
          <w:vertAlign w:val="superscript"/>
        </w:rPr>
        <w:t>th</w:t>
      </w:r>
      <w:r w:rsidR="00066381" w:rsidRPr="00066381">
        <w:rPr>
          <w:color w:val="1A1A1A"/>
          <w:sz w:val="24"/>
          <w:szCs w:val="24"/>
        </w:rPr>
        <w:t xml:space="preserve"> for the prior academic year reporting period.</w:t>
      </w:r>
    </w:p>
    <w:p w:rsidR="0009751B" w:rsidRPr="00396BA5" w:rsidRDefault="0009751B" w:rsidP="003149D0">
      <w:pPr>
        <w:spacing w:before="0" w:line="276" w:lineRule="auto"/>
        <w:ind w:right="1200" w:firstLine="20"/>
        <w:rPr>
          <w:sz w:val="24"/>
          <w:szCs w:val="24"/>
          <w:u w:val="single"/>
        </w:rPr>
      </w:pPr>
    </w:p>
    <w:p w:rsidR="0009751B" w:rsidRDefault="00314D87" w:rsidP="003149D0">
      <w:pPr>
        <w:spacing w:before="0" w:line="276" w:lineRule="auto"/>
        <w:ind w:right="1200" w:firstLine="20"/>
        <w:rPr>
          <w:sz w:val="24"/>
          <w:szCs w:val="24"/>
          <w:u w:val="single"/>
        </w:rPr>
      </w:pPr>
      <w:r w:rsidRPr="00314D87">
        <w:rPr>
          <w:sz w:val="24"/>
          <w:szCs w:val="24"/>
          <w:u w:val="single"/>
        </w:rPr>
        <w:t xml:space="preserve">17. Exception for Display of Expiration Date </w:t>
      </w:r>
    </w:p>
    <w:p w:rsidR="0009751B" w:rsidRDefault="0009751B" w:rsidP="003149D0">
      <w:pPr>
        <w:spacing w:before="0" w:line="276" w:lineRule="auto"/>
        <w:ind w:right="1200" w:firstLine="20"/>
        <w:rPr>
          <w:sz w:val="24"/>
          <w:szCs w:val="24"/>
        </w:rPr>
      </w:pPr>
      <w:r w:rsidRPr="000E39BC">
        <w:rPr>
          <w:sz w:val="24"/>
          <w:szCs w:val="24"/>
        </w:rPr>
        <w:t xml:space="preserve">Expiration date will be displayed </w:t>
      </w:r>
    </w:p>
    <w:p w:rsidR="00844D81" w:rsidRPr="000E39BC" w:rsidRDefault="00844D81" w:rsidP="003149D0">
      <w:pPr>
        <w:spacing w:before="0" w:line="276" w:lineRule="auto"/>
        <w:ind w:right="1200" w:firstLine="20"/>
        <w:rPr>
          <w:sz w:val="24"/>
          <w:szCs w:val="24"/>
        </w:rPr>
      </w:pPr>
    </w:p>
    <w:p w:rsidR="0009751B" w:rsidRDefault="0009751B" w:rsidP="003149D0">
      <w:pPr>
        <w:spacing w:before="0" w:line="276" w:lineRule="auto"/>
        <w:ind w:right="1200" w:firstLine="20"/>
        <w:rPr>
          <w:sz w:val="24"/>
          <w:szCs w:val="24"/>
          <w:u w:val="single"/>
        </w:rPr>
      </w:pPr>
      <w:r w:rsidRPr="000E39BC">
        <w:rPr>
          <w:sz w:val="24"/>
          <w:szCs w:val="24"/>
        </w:rPr>
        <w:t>18</w:t>
      </w:r>
      <w:r w:rsidRPr="000E39BC">
        <w:rPr>
          <w:color w:val="007F00"/>
          <w:sz w:val="24"/>
          <w:szCs w:val="24"/>
        </w:rPr>
        <w:t>.</w:t>
      </w:r>
      <w:r w:rsidRPr="000E39BC">
        <w:rPr>
          <w:sz w:val="24"/>
          <w:szCs w:val="24"/>
        </w:rPr>
        <w:t xml:space="preserve"> </w:t>
      </w:r>
      <w:r w:rsidRPr="000E39BC">
        <w:rPr>
          <w:sz w:val="24"/>
          <w:szCs w:val="24"/>
          <w:u w:val="single"/>
        </w:rPr>
        <w:t>Certif</w:t>
      </w:r>
      <w:r w:rsidRPr="001536CF">
        <w:rPr>
          <w:sz w:val="24"/>
          <w:szCs w:val="24"/>
          <w:u w:val="single"/>
        </w:rPr>
        <w:t>i</w:t>
      </w:r>
      <w:r w:rsidRPr="000E39BC">
        <w:rPr>
          <w:sz w:val="24"/>
          <w:szCs w:val="24"/>
          <w:u w:val="single"/>
        </w:rPr>
        <w:t>cations</w:t>
      </w:r>
    </w:p>
    <w:p w:rsidR="0094593B" w:rsidRPr="000E39BC" w:rsidRDefault="0094593B" w:rsidP="003149D0">
      <w:pPr>
        <w:spacing w:before="0" w:line="276" w:lineRule="auto"/>
        <w:ind w:right="1200" w:firstLine="20"/>
        <w:rPr>
          <w:sz w:val="24"/>
          <w:szCs w:val="24"/>
        </w:rPr>
      </w:pPr>
    </w:p>
    <w:p w:rsidR="001F61E1" w:rsidRPr="00AF6459" w:rsidRDefault="0009751B" w:rsidP="00656D31">
      <w:pPr>
        <w:spacing w:before="0" w:line="276" w:lineRule="auto"/>
        <w:rPr>
          <w:sz w:val="24"/>
          <w:szCs w:val="24"/>
        </w:rPr>
      </w:pPr>
      <w:r w:rsidRPr="000E39BC">
        <w:rPr>
          <w:sz w:val="24"/>
          <w:szCs w:val="24"/>
        </w:rPr>
        <w:t xml:space="preserve">This information collection fully complies with the guidelines set forth in 5 CFR 1320.9. The </w:t>
      </w:r>
      <w:r w:rsidRPr="001536CF">
        <w:rPr>
          <w:sz w:val="24"/>
          <w:szCs w:val="24"/>
        </w:rPr>
        <w:t>certifications are included</w:t>
      </w:r>
      <w:r w:rsidRPr="000E39BC">
        <w:rPr>
          <w:sz w:val="24"/>
          <w:szCs w:val="24"/>
        </w:rPr>
        <w:t xml:space="preserve"> in this package.</w:t>
      </w:r>
      <w:r w:rsidR="00187867">
        <w:rPr>
          <w:sz w:val="24"/>
          <w:szCs w:val="24"/>
        </w:rPr>
        <w:t xml:space="preserve"> </w:t>
      </w:r>
    </w:p>
    <w:p w:rsidR="0009751B" w:rsidRPr="000E39BC" w:rsidRDefault="0009751B" w:rsidP="003149D0">
      <w:pPr>
        <w:pStyle w:val="FR1"/>
        <w:spacing w:before="0" w:line="276" w:lineRule="auto"/>
        <w:rPr>
          <w:rFonts w:ascii="Times New Roman" w:hAnsi="Times New Roman" w:cs="Times New Roman"/>
          <w:b w:val="0"/>
          <w:bCs w:val="0"/>
          <w:sz w:val="24"/>
          <w:szCs w:val="24"/>
          <w:u w:val="single"/>
        </w:rPr>
      </w:pPr>
    </w:p>
    <w:p w:rsidR="0009751B" w:rsidRPr="000E39BC" w:rsidRDefault="0009751B" w:rsidP="003149D0">
      <w:pPr>
        <w:spacing w:line="276" w:lineRule="auto"/>
        <w:rPr>
          <w:sz w:val="24"/>
          <w:szCs w:val="24"/>
        </w:rPr>
      </w:pPr>
    </w:p>
    <w:p w:rsidR="0009751B" w:rsidRPr="0035611A" w:rsidRDefault="0009751B" w:rsidP="003149D0">
      <w:pPr>
        <w:spacing w:before="0" w:line="276" w:lineRule="auto"/>
        <w:ind w:right="1200"/>
        <w:jc w:val="center"/>
        <w:rPr>
          <w:u w:val="single"/>
        </w:rPr>
      </w:pPr>
    </w:p>
    <w:p w:rsidR="0009751B" w:rsidRDefault="0009751B" w:rsidP="003149D0">
      <w:pPr>
        <w:spacing w:line="276" w:lineRule="auto"/>
      </w:pPr>
    </w:p>
    <w:sectPr w:rsidR="0009751B" w:rsidSect="0009751B">
      <w:headerReference w:type="default" r:id="rId9"/>
      <w:pgSz w:w="11909" w:h="16834" w:code="9"/>
      <w:pgMar w:top="1714" w:right="1181" w:bottom="1656" w:left="118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9FE" w:rsidRDefault="001E09FE">
      <w:r>
        <w:separator/>
      </w:r>
    </w:p>
  </w:endnote>
  <w:endnote w:type="continuationSeparator" w:id="0">
    <w:p w:rsidR="001E09FE" w:rsidRDefault="001E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9FE" w:rsidRDefault="001E09FE">
      <w:r>
        <w:separator/>
      </w:r>
    </w:p>
  </w:footnote>
  <w:footnote w:type="continuationSeparator" w:id="0">
    <w:p w:rsidR="001E09FE" w:rsidRDefault="001E0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631" w:rsidRDefault="006E7631" w:rsidP="00715082">
    <w:pPr>
      <w:pStyle w:val="Header"/>
      <w:jc w:val="center"/>
    </w:pPr>
    <w:r>
      <w:rPr>
        <w:rStyle w:val="PageNumber"/>
      </w:rPr>
      <w:fldChar w:fldCharType="begin"/>
    </w:r>
    <w:r>
      <w:rPr>
        <w:rStyle w:val="PageNumber"/>
      </w:rPr>
      <w:instrText xml:space="preserve"> PAGE </w:instrText>
    </w:r>
    <w:r>
      <w:rPr>
        <w:rStyle w:val="PageNumber"/>
      </w:rPr>
      <w:fldChar w:fldCharType="separate"/>
    </w:r>
    <w:r w:rsidR="00E21364">
      <w:rPr>
        <w:rStyle w:val="PageNumber"/>
        <w:noProof/>
      </w:rPr>
      <w:t>7</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C1978"/>
    <w:multiLevelType w:val="hybridMultilevel"/>
    <w:tmpl w:val="24529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286A13"/>
    <w:multiLevelType w:val="hybridMultilevel"/>
    <w:tmpl w:val="C3AE77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C40A34"/>
    <w:multiLevelType w:val="hybridMultilevel"/>
    <w:tmpl w:val="66CAC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580E27"/>
    <w:multiLevelType w:val="hybridMultilevel"/>
    <w:tmpl w:val="24529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AE2C46"/>
    <w:multiLevelType w:val="hybridMultilevel"/>
    <w:tmpl w:val="D9C8678A"/>
    <w:lvl w:ilvl="0" w:tplc="28CEBA9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5793244"/>
    <w:multiLevelType w:val="hybridMultilevel"/>
    <w:tmpl w:val="24529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751B"/>
    <w:rsid w:val="00005461"/>
    <w:rsid w:val="00010CAA"/>
    <w:rsid w:val="000305DF"/>
    <w:rsid w:val="00036D94"/>
    <w:rsid w:val="00040C3A"/>
    <w:rsid w:val="00044D6B"/>
    <w:rsid w:val="000612B2"/>
    <w:rsid w:val="00066381"/>
    <w:rsid w:val="00093A29"/>
    <w:rsid w:val="000957D2"/>
    <w:rsid w:val="0009751B"/>
    <w:rsid w:val="000B4E46"/>
    <w:rsid w:val="000B5AC0"/>
    <w:rsid w:val="000C06BE"/>
    <w:rsid w:val="000D4390"/>
    <w:rsid w:val="000E63DE"/>
    <w:rsid w:val="000F36F1"/>
    <w:rsid w:val="000F465D"/>
    <w:rsid w:val="000F620F"/>
    <w:rsid w:val="00124A29"/>
    <w:rsid w:val="00126347"/>
    <w:rsid w:val="001536CF"/>
    <w:rsid w:val="00172054"/>
    <w:rsid w:val="00172BCF"/>
    <w:rsid w:val="00174D66"/>
    <w:rsid w:val="0018051E"/>
    <w:rsid w:val="00187867"/>
    <w:rsid w:val="001918C0"/>
    <w:rsid w:val="00191906"/>
    <w:rsid w:val="001923B8"/>
    <w:rsid w:val="001A2CA6"/>
    <w:rsid w:val="001E09FE"/>
    <w:rsid w:val="001F2E48"/>
    <w:rsid w:val="001F61E1"/>
    <w:rsid w:val="001F65C9"/>
    <w:rsid w:val="00203189"/>
    <w:rsid w:val="00205998"/>
    <w:rsid w:val="00207134"/>
    <w:rsid w:val="002107DD"/>
    <w:rsid w:val="00214923"/>
    <w:rsid w:val="00217C8D"/>
    <w:rsid w:val="002318C6"/>
    <w:rsid w:val="00235EA0"/>
    <w:rsid w:val="0025050E"/>
    <w:rsid w:val="00260F3E"/>
    <w:rsid w:val="00272CF8"/>
    <w:rsid w:val="00281D91"/>
    <w:rsid w:val="002857E0"/>
    <w:rsid w:val="00286F20"/>
    <w:rsid w:val="002A716E"/>
    <w:rsid w:val="002C2C2B"/>
    <w:rsid w:val="002D28D9"/>
    <w:rsid w:val="002F13B5"/>
    <w:rsid w:val="00305C25"/>
    <w:rsid w:val="003149D0"/>
    <w:rsid w:val="00314D87"/>
    <w:rsid w:val="0035116A"/>
    <w:rsid w:val="0035271F"/>
    <w:rsid w:val="00373876"/>
    <w:rsid w:val="003845A5"/>
    <w:rsid w:val="0039005D"/>
    <w:rsid w:val="00391EF6"/>
    <w:rsid w:val="00396BA5"/>
    <w:rsid w:val="003A4B20"/>
    <w:rsid w:val="003B2945"/>
    <w:rsid w:val="003B3850"/>
    <w:rsid w:val="003D42FD"/>
    <w:rsid w:val="003F4A5C"/>
    <w:rsid w:val="00401B03"/>
    <w:rsid w:val="00435C13"/>
    <w:rsid w:val="00486BAB"/>
    <w:rsid w:val="004D1CDF"/>
    <w:rsid w:val="004D719D"/>
    <w:rsid w:val="004D72B0"/>
    <w:rsid w:val="004F0BB2"/>
    <w:rsid w:val="005077D7"/>
    <w:rsid w:val="00507980"/>
    <w:rsid w:val="005238BC"/>
    <w:rsid w:val="00527BB4"/>
    <w:rsid w:val="00557246"/>
    <w:rsid w:val="005676C2"/>
    <w:rsid w:val="00577D9E"/>
    <w:rsid w:val="00595F25"/>
    <w:rsid w:val="005A00CC"/>
    <w:rsid w:val="005B0B54"/>
    <w:rsid w:val="005B5BA7"/>
    <w:rsid w:val="005B6E3F"/>
    <w:rsid w:val="005C5234"/>
    <w:rsid w:val="005E1CBA"/>
    <w:rsid w:val="0060056A"/>
    <w:rsid w:val="00606B8C"/>
    <w:rsid w:val="00611AC7"/>
    <w:rsid w:val="006132B0"/>
    <w:rsid w:val="006260D6"/>
    <w:rsid w:val="00635118"/>
    <w:rsid w:val="006478B6"/>
    <w:rsid w:val="00656B0C"/>
    <w:rsid w:val="00656D31"/>
    <w:rsid w:val="00660D0A"/>
    <w:rsid w:val="00684EF2"/>
    <w:rsid w:val="006A0CDC"/>
    <w:rsid w:val="006A5790"/>
    <w:rsid w:val="006E7631"/>
    <w:rsid w:val="007026C1"/>
    <w:rsid w:val="00703395"/>
    <w:rsid w:val="00710E40"/>
    <w:rsid w:val="00715082"/>
    <w:rsid w:val="00720CC2"/>
    <w:rsid w:val="00763966"/>
    <w:rsid w:val="00792E3D"/>
    <w:rsid w:val="007E521A"/>
    <w:rsid w:val="007E6E62"/>
    <w:rsid w:val="007F28A0"/>
    <w:rsid w:val="007F4767"/>
    <w:rsid w:val="008169B3"/>
    <w:rsid w:val="0082533B"/>
    <w:rsid w:val="00825B40"/>
    <w:rsid w:val="0082758D"/>
    <w:rsid w:val="00830900"/>
    <w:rsid w:val="00844D81"/>
    <w:rsid w:val="008504BB"/>
    <w:rsid w:val="00872F4D"/>
    <w:rsid w:val="008866A9"/>
    <w:rsid w:val="008E58D3"/>
    <w:rsid w:val="008F223D"/>
    <w:rsid w:val="009113C3"/>
    <w:rsid w:val="00913FFF"/>
    <w:rsid w:val="00922C29"/>
    <w:rsid w:val="00930208"/>
    <w:rsid w:val="009337B7"/>
    <w:rsid w:val="0094593B"/>
    <w:rsid w:val="00982FAC"/>
    <w:rsid w:val="009834EE"/>
    <w:rsid w:val="00984BD9"/>
    <w:rsid w:val="0099165F"/>
    <w:rsid w:val="00993498"/>
    <w:rsid w:val="009A63B7"/>
    <w:rsid w:val="009C1F56"/>
    <w:rsid w:val="009C60C2"/>
    <w:rsid w:val="009E61C6"/>
    <w:rsid w:val="00A0137C"/>
    <w:rsid w:val="00A131F3"/>
    <w:rsid w:val="00A44DF1"/>
    <w:rsid w:val="00A93193"/>
    <w:rsid w:val="00A93327"/>
    <w:rsid w:val="00AA1AD0"/>
    <w:rsid w:val="00AA2E2B"/>
    <w:rsid w:val="00AC1C92"/>
    <w:rsid w:val="00AD2473"/>
    <w:rsid w:val="00AF6459"/>
    <w:rsid w:val="00B00702"/>
    <w:rsid w:val="00B15AA4"/>
    <w:rsid w:val="00B247C8"/>
    <w:rsid w:val="00B37E52"/>
    <w:rsid w:val="00B64D6B"/>
    <w:rsid w:val="00B64DBC"/>
    <w:rsid w:val="00B70D73"/>
    <w:rsid w:val="00B7431B"/>
    <w:rsid w:val="00BA72D5"/>
    <w:rsid w:val="00C207E9"/>
    <w:rsid w:val="00C27EC0"/>
    <w:rsid w:val="00C334D6"/>
    <w:rsid w:val="00C63FD0"/>
    <w:rsid w:val="00C645EF"/>
    <w:rsid w:val="00C64B38"/>
    <w:rsid w:val="00CB3170"/>
    <w:rsid w:val="00D12FAB"/>
    <w:rsid w:val="00D1500F"/>
    <w:rsid w:val="00D3283B"/>
    <w:rsid w:val="00D32A42"/>
    <w:rsid w:val="00D630B3"/>
    <w:rsid w:val="00D763DF"/>
    <w:rsid w:val="00D93A54"/>
    <w:rsid w:val="00DA083A"/>
    <w:rsid w:val="00DA7F2A"/>
    <w:rsid w:val="00DB0B2D"/>
    <w:rsid w:val="00DB17C1"/>
    <w:rsid w:val="00DC6232"/>
    <w:rsid w:val="00E019C0"/>
    <w:rsid w:val="00E05C2D"/>
    <w:rsid w:val="00E07063"/>
    <w:rsid w:val="00E20E24"/>
    <w:rsid w:val="00E21364"/>
    <w:rsid w:val="00E216D8"/>
    <w:rsid w:val="00E5253A"/>
    <w:rsid w:val="00E53F53"/>
    <w:rsid w:val="00E70282"/>
    <w:rsid w:val="00E734D3"/>
    <w:rsid w:val="00E7551D"/>
    <w:rsid w:val="00E7657E"/>
    <w:rsid w:val="00E77DB0"/>
    <w:rsid w:val="00E8366C"/>
    <w:rsid w:val="00E879C9"/>
    <w:rsid w:val="00E95487"/>
    <w:rsid w:val="00EA1F29"/>
    <w:rsid w:val="00EA230D"/>
    <w:rsid w:val="00EB5B7F"/>
    <w:rsid w:val="00EB7C41"/>
    <w:rsid w:val="00EE34FA"/>
    <w:rsid w:val="00EE4282"/>
    <w:rsid w:val="00F23D5F"/>
    <w:rsid w:val="00F26217"/>
    <w:rsid w:val="00F51C48"/>
    <w:rsid w:val="00F8690F"/>
    <w:rsid w:val="00FA0DD8"/>
    <w:rsid w:val="00FA2FFB"/>
    <w:rsid w:val="00FA6D34"/>
    <w:rsid w:val="00FC22F3"/>
    <w:rsid w:val="00FC4BA6"/>
    <w:rsid w:val="00FF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751B"/>
    <w:pPr>
      <w:widowControl w:val="0"/>
      <w:autoSpaceDE w:val="0"/>
      <w:autoSpaceDN w:val="0"/>
      <w:adjustRightInd w:val="0"/>
      <w:spacing w:before="220" w:line="30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rsid w:val="0009751B"/>
    <w:pPr>
      <w:widowControl w:val="0"/>
      <w:autoSpaceDE w:val="0"/>
      <w:autoSpaceDN w:val="0"/>
      <w:adjustRightInd w:val="0"/>
      <w:spacing w:before="20"/>
      <w:jc w:val="both"/>
    </w:pPr>
    <w:rPr>
      <w:rFonts w:ascii="Arial" w:hAnsi="Arial" w:cs="Arial"/>
      <w:b/>
      <w:bCs/>
      <w:sz w:val="16"/>
      <w:szCs w:val="16"/>
    </w:rPr>
  </w:style>
  <w:style w:type="paragraph" w:styleId="Header">
    <w:name w:val="header"/>
    <w:basedOn w:val="Normal"/>
    <w:rsid w:val="0009751B"/>
    <w:pPr>
      <w:tabs>
        <w:tab w:val="center" w:pos="4320"/>
        <w:tab w:val="right" w:pos="8640"/>
      </w:tabs>
    </w:pPr>
  </w:style>
  <w:style w:type="character" w:styleId="PageNumber">
    <w:name w:val="page number"/>
    <w:basedOn w:val="DefaultParagraphFont"/>
    <w:rsid w:val="0009751B"/>
  </w:style>
  <w:style w:type="paragraph" w:styleId="BalloonText">
    <w:name w:val="Balloon Text"/>
    <w:basedOn w:val="Normal"/>
    <w:semiHidden/>
    <w:rsid w:val="003B2945"/>
    <w:rPr>
      <w:rFonts w:ascii="Tahoma" w:hAnsi="Tahoma" w:cs="Tahoma"/>
      <w:sz w:val="16"/>
      <w:szCs w:val="16"/>
    </w:rPr>
  </w:style>
  <w:style w:type="paragraph" w:styleId="ListParagraph">
    <w:name w:val="List Paragraph"/>
    <w:basedOn w:val="Normal"/>
    <w:uiPriority w:val="34"/>
    <w:qFormat/>
    <w:rsid w:val="005A00CC"/>
    <w:pPr>
      <w:ind w:left="720"/>
      <w:contextualSpacing/>
    </w:pPr>
  </w:style>
  <w:style w:type="character" w:styleId="Strong">
    <w:name w:val="Strong"/>
    <w:basedOn w:val="DefaultParagraphFont"/>
    <w:uiPriority w:val="22"/>
    <w:qFormat/>
    <w:rsid w:val="000C06BE"/>
    <w:rPr>
      <w:b/>
      <w:bCs/>
    </w:rPr>
  </w:style>
  <w:style w:type="character" w:customStyle="1" w:styleId="normal1">
    <w:name w:val="normal1"/>
    <w:basedOn w:val="DefaultParagraphFont"/>
    <w:rsid w:val="000C06BE"/>
    <w:rPr>
      <w:sz w:val="21"/>
      <w:szCs w:val="21"/>
    </w:rPr>
  </w:style>
  <w:style w:type="character" w:styleId="CommentReference">
    <w:name w:val="annotation reference"/>
    <w:basedOn w:val="DefaultParagraphFont"/>
    <w:rsid w:val="00B70D73"/>
    <w:rPr>
      <w:sz w:val="16"/>
      <w:szCs w:val="16"/>
    </w:rPr>
  </w:style>
  <w:style w:type="paragraph" w:styleId="CommentText">
    <w:name w:val="annotation text"/>
    <w:basedOn w:val="Normal"/>
    <w:link w:val="CommentTextChar"/>
    <w:rsid w:val="00B70D73"/>
    <w:pPr>
      <w:spacing w:line="240" w:lineRule="auto"/>
    </w:pPr>
    <w:rPr>
      <w:sz w:val="20"/>
      <w:szCs w:val="20"/>
    </w:rPr>
  </w:style>
  <w:style w:type="character" w:customStyle="1" w:styleId="CommentTextChar">
    <w:name w:val="Comment Text Char"/>
    <w:basedOn w:val="DefaultParagraphFont"/>
    <w:link w:val="CommentText"/>
    <w:rsid w:val="00B70D73"/>
  </w:style>
  <w:style w:type="paragraph" w:styleId="CommentSubject">
    <w:name w:val="annotation subject"/>
    <w:basedOn w:val="CommentText"/>
    <w:next w:val="CommentText"/>
    <w:link w:val="CommentSubjectChar"/>
    <w:rsid w:val="00B70D73"/>
    <w:rPr>
      <w:b/>
      <w:bCs/>
    </w:rPr>
  </w:style>
  <w:style w:type="character" w:customStyle="1" w:styleId="CommentSubjectChar">
    <w:name w:val="Comment Subject Char"/>
    <w:basedOn w:val="CommentTextChar"/>
    <w:link w:val="CommentSubject"/>
    <w:rsid w:val="00B70D73"/>
    <w:rPr>
      <w:b/>
      <w:bCs/>
    </w:rPr>
  </w:style>
  <w:style w:type="paragraph" w:styleId="Revision">
    <w:name w:val="Revision"/>
    <w:hidden/>
    <w:uiPriority w:val="99"/>
    <w:semiHidden/>
    <w:rsid w:val="007026C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743067-8DDF-4818-9149-7303150C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2537</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Health Professions Student Loan (HPSL)</vt:lpstr>
    </vt:vector>
  </TitlesOfParts>
  <Company>Hrsa</Company>
  <LinksUpToDate>false</LinksUpToDate>
  <CharactersWithSpaces>16971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Student Loan (HPSL)</dc:title>
  <dc:creator>Hrsa</dc:creator>
  <cp:lastModifiedBy>CTAC</cp:lastModifiedBy>
  <cp:revision>2</cp:revision>
  <cp:lastPrinted>2012-07-12T16:56:00Z</cp:lastPrinted>
  <dcterms:created xsi:type="dcterms:W3CDTF">2012-07-16T11:36:00Z</dcterms:created>
  <dcterms:modified xsi:type="dcterms:W3CDTF">2012-07-16T11:36:00Z</dcterms:modified>
</cp:coreProperties>
</file>