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46" w:rsidRDefault="00081C57" w:rsidP="00543743">
      <w:pPr>
        <w:jc w:val="center"/>
        <w:rPr>
          <w:b/>
          <w:bCs/>
        </w:rPr>
      </w:pPr>
      <w:r>
        <w:rPr>
          <w:b/>
          <w:bCs/>
        </w:rPr>
        <w:t>SUPPORT</w:t>
      </w:r>
      <w:r w:rsidR="00EA5982">
        <w:rPr>
          <w:b/>
          <w:bCs/>
        </w:rPr>
        <w:t>ING</w:t>
      </w:r>
      <w:r>
        <w:rPr>
          <w:b/>
          <w:bCs/>
        </w:rPr>
        <w:t xml:space="preserve"> STATEMENT</w:t>
      </w:r>
    </w:p>
    <w:p w:rsidR="008D4274" w:rsidRDefault="00543743" w:rsidP="00543743">
      <w:pPr>
        <w:jc w:val="center"/>
        <w:rPr>
          <w:b/>
          <w:bCs/>
        </w:rPr>
      </w:pPr>
      <w:r w:rsidRPr="00F30DEA">
        <w:rPr>
          <w:b/>
          <w:bCs/>
        </w:rPr>
        <w:t xml:space="preserve">ALASKA </w:t>
      </w:r>
      <w:r w:rsidR="003D57B7">
        <w:rPr>
          <w:b/>
          <w:bCs/>
        </w:rPr>
        <w:t xml:space="preserve">PACIFIC HALIBUT FISHERIES:  </w:t>
      </w:r>
      <w:r w:rsidR="003D57B7">
        <w:rPr>
          <w:b/>
        </w:rPr>
        <w:t xml:space="preserve">IFQ BUYER REPORT </w:t>
      </w:r>
    </w:p>
    <w:p w:rsidR="00543743" w:rsidRDefault="00543743" w:rsidP="00543743">
      <w:pPr>
        <w:jc w:val="center"/>
        <w:rPr>
          <w:b/>
          <w:bCs/>
        </w:rPr>
      </w:pPr>
      <w:proofErr w:type="gramStart"/>
      <w:r w:rsidRPr="00F30DEA">
        <w:rPr>
          <w:b/>
          <w:bCs/>
        </w:rPr>
        <w:t>OMB CONTROL NO.</w:t>
      </w:r>
      <w:proofErr w:type="gramEnd"/>
      <w:r w:rsidRPr="00F30DEA">
        <w:rPr>
          <w:b/>
          <w:bCs/>
        </w:rPr>
        <w:t xml:space="preserve"> 0648-</w:t>
      </w:r>
      <w:r w:rsidR="00247FCF">
        <w:rPr>
          <w:b/>
          <w:bCs/>
        </w:rPr>
        <w:t>XXXX</w:t>
      </w:r>
    </w:p>
    <w:p w:rsidR="000877A2" w:rsidRDefault="000877A2" w:rsidP="00543743">
      <w:pPr>
        <w:jc w:val="center"/>
        <w:rPr>
          <w:b/>
          <w:bCs/>
        </w:rPr>
      </w:pPr>
    </w:p>
    <w:p w:rsidR="008D4274" w:rsidRDefault="008D4274" w:rsidP="00543743">
      <w:pPr>
        <w:jc w:val="center"/>
        <w:rPr>
          <w:b/>
          <w:bCs/>
        </w:rPr>
      </w:pPr>
    </w:p>
    <w:p w:rsidR="008D4274" w:rsidRPr="004747EE" w:rsidRDefault="00D329B8" w:rsidP="008D4274">
      <w:pPr>
        <w:rPr>
          <w:b/>
        </w:rPr>
      </w:pPr>
      <w:r>
        <w:rPr>
          <w:b/>
        </w:rPr>
        <w:t xml:space="preserve">This request </w:t>
      </w:r>
      <w:r w:rsidR="003D57B7">
        <w:rPr>
          <w:b/>
        </w:rPr>
        <w:t xml:space="preserve">is for </w:t>
      </w:r>
      <w:r w:rsidR="00EA5982">
        <w:rPr>
          <w:b/>
        </w:rPr>
        <w:t xml:space="preserve">a temporary new information collection in lieu of a revision to OMB Control No. 0648-0398. </w:t>
      </w:r>
      <w:r>
        <w:rPr>
          <w:b/>
        </w:rPr>
        <w:t xml:space="preserve"> </w:t>
      </w:r>
      <w:r w:rsidR="00EA5982">
        <w:rPr>
          <w:b/>
        </w:rPr>
        <w:t xml:space="preserve">As the renewal request for OMB Control No. 0648-0398 is pending shortly, this request </w:t>
      </w:r>
      <w:r>
        <w:rPr>
          <w:b/>
        </w:rPr>
        <w:t>must be submitted as a new, temporary collection.  A</w:t>
      </w:r>
      <w:r w:rsidR="00530063">
        <w:rPr>
          <w:b/>
        </w:rPr>
        <w:t xml:space="preserve">ssociated </w:t>
      </w:r>
      <w:r w:rsidR="008D4274">
        <w:rPr>
          <w:b/>
        </w:rPr>
        <w:t>restructured observer</w:t>
      </w:r>
      <w:r w:rsidR="00412514">
        <w:rPr>
          <w:b/>
        </w:rPr>
        <w:t xml:space="preserve"> rule</w:t>
      </w:r>
      <w:r w:rsidR="008D4274" w:rsidRPr="004747EE">
        <w:rPr>
          <w:b/>
        </w:rPr>
        <w:t>, RIN 0648-BB42.</w:t>
      </w:r>
    </w:p>
    <w:p w:rsidR="008D4274" w:rsidRPr="004747EE" w:rsidRDefault="008D4274" w:rsidP="008D4274">
      <w:pPr>
        <w:rPr>
          <w:b/>
        </w:rPr>
      </w:pPr>
    </w:p>
    <w:p w:rsidR="008D4274" w:rsidRDefault="008D4274" w:rsidP="008D4274">
      <w:r w:rsidRPr="004747EE">
        <w:t xml:space="preserve">The North Pacific </w:t>
      </w:r>
      <w:proofErr w:type="spellStart"/>
      <w:r w:rsidRPr="004747EE">
        <w:t>Groundfish</w:t>
      </w:r>
      <w:proofErr w:type="spellEnd"/>
      <w:r w:rsidRPr="004747EE">
        <w:t xml:space="preserve"> Observer Program (Observer Program) provides the regulatory framework for </w:t>
      </w:r>
      <w:r w:rsidR="00247FCF">
        <w:t>National Marine Fisheries Service (</w:t>
      </w:r>
      <w:r w:rsidRPr="004747EE">
        <w:t>NMFS</w:t>
      </w:r>
      <w:r w:rsidR="00247FCF">
        <w:t>)</w:t>
      </w:r>
      <w:r w:rsidRPr="004747EE">
        <w:t xml:space="preserve">-certified observers (observers) to obtain information necessary for the conservation and management of the </w:t>
      </w:r>
      <w:proofErr w:type="spellStart"/>
      <w:r w:rsidRPr="004747EE">
        <w:t>groundfish</w:t>
      </w:r>
      <w:proofErr w:type="spellEnd"/>
      <w:r w:rsidRPr="004747EE">
        <w:t xml:space="preserve"> fisheries managed under the </w:t>
      </w:r>
      <w:r>
        <w:t>fishery management plans (</w:t>
      </w:r>
      <w:r w:rsidRPr="004747EE">
        <w:t>FMPs</w:t>
      </w:r>
      <w:r>
        <w:t>)</w:t>
      </w:r>
      <w:r w:rsidRPr="004747EE">
        <w:t xml:space="preserve">. </w:t>
      </w:r>
      <w:r>
        <w:t xml:space="preserve"> </w:t>
      </w:r>
      <w:r w:rsidRPr="004747EE">
        <w:t>The information collected by observers provides the best available scientific information</w:t>
      </w:r>
      <w:r>
        <w:t xml:space="preserve"> through </w:t>
      </w:r>
      <w:r w:rsidRPr="004747EE">
        <w:t>collect</w:t>
      </w:r>
      <w:r>
        <w:t>ion of</w:t>
      </w:r>
      <w:r w:rsidRPr="004747EE">
        <w:t xml:space="preserve"> biological samples and fishery-dependent information on total catch and interactions with protected species. </w:t>
      </w:r>
    </w:p>
    <w:p w:rsidR="008D4274" w:rsidRDefault="008D4274" w:rsidP="008D4274"/>
    <w:p w:rsidR="008D4274" w:rsidRDefault="00EE79B0" w:rsidP="008D4274">
      <w:r>
        <w:t xml:space="preserve">This action would </w:t>
      </w:r>
      <w:r w:rsidR="008D4274" w:rsidRPr="004747EE">
        <w:t xml:space="preserve">implement Amendment 86 to the </w:t>
      </w:r>
      <w:r w:rsidR="008D4274">
        <w:t>Bering Sea and Aleutian Islands Management Area (</w:t>
      </w:r>
      <w:r w:rsidR="008D4274" w:rsidRPr="004747EE">
        <w:t>BSAI</w:t>
      </w:r>
      <w:r w:rsidR="008D4274">
        <w:t>)</w:t>
      </w:r>
      <w:r w:rsidR="008D4274" w:rsidRPr="004747EE">
        <w:t xml:space="preserve"> FMP and Amendment 76 to the </w:t>
      </w:r>
      <w:r w:rsidR="008D4274">
        <w:t>Gulf of Alaska (</w:t>
      </w:r>
      <w:r w:rsidR="008D4274" w:rsidRPr="004747EE">
        <w:t>GOA</w:t>
      </w:r>
      <w:r w:rsidR="008D4274">
        <w:t>)</w:t>
      </w:r>
      <w:r w:rsidR="008D4274" w:rsidRPr="004747EE">
        <w:t xml:space="preserve"> FMP. </w:t>
      </w:r>
      <w:r w:rsidR="008D4274">
        <w:t xml:space="preserve"> </w:t>
      </w:r>
      <w:r w:rsidR="008D4274" w:rsidRPr="004747EE">
        <w:t>Amendments 86 and 76 would add a funding and deployment system for observer coverage</w:t>
      </w:r>
      <w:r w:rsidR="008D4274">
        <w:t xml:space="preserve"> (see OMB </w:t>
      </w:r>
      <w:r w:rsidR="004F7255">
        <w:t xml:space="preserve">Control </w:t>
      </w:r>
      <w:r w:rsidR="008D4274">
        <w:t>No. 0648-0318)</w:t>
      </w:r>
      <w:r w:rsidR="008D4274" w:rsidRPr="004747EE">
        <w:t xml:space="preserve"> to the </w:t>
      </w:r>
      <w:r w:rsidR="008D4274">
        <w:t>existing O</w:t>
      </w:r>
      <w:r w:rsidR="008D4274" w:rsidRPr="00F83377">
        <w:t xml:space="preserve">bserver </w:t>
      </w:r>
      <w:r w:rsidR="006007CB">
        <w:t xml:space="preserve">Program </w:t>
      </w:r>
      <w:r w:rsidR="008D4274">
        <w:t xml:space="preserve">and amend existing observer </w:t>
      </w:r>
      <w:r w:rsidR="008D4274" w:rsidRPr="00F83377">
        <w:t>coverage requirements for vessels and processing plants.</w:t>
      </w:r>
      <w:r w:rsidR="008D4274">
        <w:t xml:space="preserve">  </w:t>
      </w:r>
      <w:r w:rsidR="008D4274" w:rsidRPr="004747EE">
        <w:t xml:space="preserve">The new funding and deployment system would allow NMFS to determine when and where to deploy observers according to management and conservation needs, with funds provided through a system of fees based on the ex-vessel value of </w:t>
      </w:r>
      <w:proofErr w:type="spellStart"/>
      <w:r w:rsidR="008D4274" w:rsidRPr="004747EE">
        <w:t>groundfish</w:t>
      </w:r>
      <w:proofErr w:type="spellEnd"/>
      <w:r w:rsidR="008D4274" w:rsidRPr="004747EE">
        <w:t xml:space="preserve"> and halibut in fisheries covered by the new system.</w:t>
      </w:r>
    </w:p>
    <w:p w:rsidR="008D4274" w:rsidRDefault="008D4274" w:rsidP="008D4274"/>
    <w:p w:rsidR="00F80609" w:rsidRPr="005D1F35" w:rsidRDefault="00F80609" w:rsidP="00F80609">
      <w:r w:rsidRPr="005D1F35">
        <w:t xml:space="preserve">NMFS Alaska Region administers the Halibut and Sablefish Individual Fishing Quota (IFQ) Program (see OMB Control No. 0648-0272) in the North Pacific.  The IFQ Program is a limited access system authorized by section 303(b) of the </w:t>
      </w:r>
      <w:hyperlink r:id="rId6" w:history="1">
        <w:r w:rsidRPr="005A58CD">
          <w:rPr>
            <w:rStyle w:val="Hyperlink"/>
          </w:rPr>
          <w:t>Magnuson–Stevens Fishery Conservation and Management Act</w:t>
        </w:r>
      </w:hyperlink>
      <w:r w:rsidRPr="005D1F35">
        <w:t xml:space="preserve"> (Magnuson–Stevens Act) and the Northern Pacific Halibut Act of 1982.  IFQ cost recovery is mandated by Section 304(d</w:t>
      </w:r>
      <w:proofErr w:type="gramStart"/>
      <w:r w:rsidRPr="005D1F35">
        <w:t>)(</w:t>
      </w:r>
      <w:proofErr w:type="gramEnd"/>
      <w:r w:rsidRPr="005D1F35">
        <w:t xml:space="preserve">2) of the Magnuson-Stevens Act.  </w:t>
      </w:r>
    </w:p>
    <w:p w:rsidR="00F80609" w:rsidRDefault="00F80609" w:rsidP="008D4274"/>
    <w:p w:rsidR="00DF45E8" w:rsidRDefault="00600A69" w:rsidP="007D765C">
      <w:r>
        <w:t xml:space="preserve">NMFS collects </w:t>
      </w:r>
      <w:r w:rsidR="006007CB">
        <w:t xml:space="preserve">IFQ </w:t>
      </w:r>
      <w:r>
        <w:t xml:space="preserve">cost recovery fees </w:t>
      </w:r>
      <w:r w:rsidR="003D57B7">
        <w:t>(see OMB</w:t>
      </w:r>
      <w:r w:rsidR="00EA5982">
        <w:t xml:space="preserve"> Control No. </w:t>
      </w:r>
      <w:r w:rsidR="003D57B7">
        <w:t xml:space="preserve">0648-0398) </w:t>
      </w:r>
      <w:r>
        <w:t>at the end of a year to recover costs incurred by the</w:t>
      </w:r>
      <w:r w:rsidR="00F80609">
        <w:t xml:space="preserve"> </w:t>
      </w:r>
      <w:r>
        <w:t xml:space="preserve">agency for </w:t>
      </w:r>
      <w:r w:rsidR="00685DA8">
        <w:t xml:space="preserve">IFQ </w:t>
      </w:r>
      <w:r>
        <w:t xml:space="preserve">program management in that same year.  </w:t>
      </w:r>
      <w:r w:rsidR="0053175A">
        <w:t>With this action, v</w:t>
      </w:r>
      <w:r>
        <w:t>essels participating in halibut</w:t>
      </w:r>
      <w:r w:rsidRPr="009D41FD">
        <w:t xml:space="preserve"> </w:t>
      </w:r>
      <w:r>
        <w:t>Western Alaska Community Development Quota (</w:t>
      </w:r>
      <w:r w:rsidRPr="008B5B03">
        <w:t>CDQ</w:t>
      </w:r>
      <w:r>
        <w:t xml:space="preserve">) fisheries would be </w:t>
      </w:r>
      <w:r w:rsidR="00817763">
        <w:t xml:space="preserve">added </w:t>
      </w:r>
      <w:r>
        <w:t>in the partial observer coverage category</w:t>
      </w:r>
      <w:r w:rsidR="0053175A">
        <w:t xml:space="preserve">; </w:t>
      </w:r>
      <w:r>
        <w:t>landings of halibut CDQ by these vessels would be subject to the observer fee.</w:t>
      </w:r>
      <w:r w:rsidR="007D765C">
        <w:t xml:space="preserve">  </w:t>
      </w:r>
      <w:r w:rsidR="00DF45E8">
        <w:t xml:space="preserve">The halibut CDQ prices would be used in assessing fees and in estimating the total ex-vessel value of the fisheries for the coming year. </w:t>
      </w:r>
    </w:p>
    <w:p w:rsidR="00DF45E8" w:rsidRDefault="00DF45E8" w:rsidP="00675795">
      <w:pPr>
        <w:tabs>
          <w:tab w:val="left" w:pos="360"/>
          <w:tab w:val="left" w:pos="720"/>
        </w:tabs>
      </w:pPr>
    </w:p>
    <w:p w:rsidR="000877A2" w:rsidRDefault="000877A2" w:rsidP="000877A2">
      <w:pPr>
        <w:tabs>
          <w:tab w:val="left" w:pos="720"/>
        </w:tabs>
        <w:ind w:left="720" w:hanging="720"/>
        <w:rPr>
          <w:b/>
          <w:bCs/>
        </w:rPr>
      </w:pPr>
      <w:r>
        <w:rPr>
          <w:b/>
          <w:bCs/>
        </w:rPr>
        <w:t xml:space="preserve">A. </w:t>
      </w:r>
      <w:r>
        <w:rPr>
          <w:b/>
          <w:bCs/>
        </w:rPr>
        <w:tab/>
        <w:t>JUSTIFICATION</w:t>
      </w:r>
    </w:p>
    <w:p w:rsidR="005D1F35" w:rsidRDefault="005D1F35" w:rsidP="000877A2">
      <w:pPr>
        <w:tabs>
          <w:tab w:val="left" w:pos="720"/>
        </w:tabs>
        <w:ind w:left="720" w:hanging="720"/>
        <w:rPr>
          <w:b/>
          <w:bCs/>
        </w:rPr>
      </w:pPr>
    </w:p>
    <w:p w:rsidR="000877A2" w:rsidRDefault="000877A2" w:rsidP="000877A2">
      <w:r>
        <w:rPr>
          <w:b/>
          <w:bCs/>
        </w:rPr>
        <w:t xml:space="preserve">1.  </w:t>
      </w:r>
      <w:r>
        <w:rPr>
          <w:b/>
          <w:bCs/>
          <w:u w:val="single"/>
        </w:rPr>
        <w:t>Explain the circumstances that make the collection of information necessary.</w:t>
      </w:r>
    </w:p>
    <w:p w:rsidR="009F4E07" w:rsidRDefault="009F4E07" w:rsidP="009F4E07"/>
    <w:p w:rsidR="007D765C" w:rsidRDefault="007D765C" w:rsidP="000877A2">
      <w:r w:rsidRPr="007D765C">
        <w:t xml:space="preserve">Under the proposed rule, volume and value data collected on the IFQ Buyer’s report would be used to calculate the standard ex-vessel prices to determine the value in the following year for purposes of the observer fee for halibut IFQ and CDQ landings, sablefish IFQ landings, and </w:t>
      </w:r>
      <w:r w:rsidRPr="007D765C">
        <w:lastRenderedPageBreak/>
        <w:t>sablefish landings that accrue against the fixed gear sablefish CDQ allocation by catcher vessels in the partial coverage category. Observer fees would be assessed on all landings in a year to pay for observer coverage in the following year.</w:t>
      </w:r>
    </w:p>
    <w:p w:rsidR="00B15AF1" w:rsidRDefault="00B15AF1" w:rsidP="000877A2"/>
    <w:p w:rsidR="000877A2" w:rsidRDefault="000877A2" w:rsidP="004C52BB">
      <w:r>
        <w:rPr>
          <w:b/>
          <w:bCs/>
        </w:rPr>
        <w:t xml:space="preserve">2.  </w:t>
      </w:r>
      <w:r w:rsidR="001B501F">
        <w:rPr>
          <w:lang w:val="en-CA"/>
        </w:rPr>
        <w:fldChar w:fldCharType="begin"/>
      </w:r>
      <w:r>
        <w:rPr>
          <w:lang w:val="en-CA"/>
        </w:rPr>
        <w:instrText xml:space="preserve"> SEQ CHAPTER \h \r 1</w:instrText>
      </w:r>
      <w:r w:rsidR="001B501F">
        <w:rPr>
          <w:lang w:val="en-CA"/>
        </w:rPr>
        <w:fldChar w:fldCharType="end"/>
      </w:r>
      <w:r>
        <w:rPr>
          <w:b/>
          <w:bCs/>
          <w:u w:val="single"/>
        </w:rPr>
        <w:t xml:space="preserve">Explain how, by whom, how frequently, and for what purpose the information will be used.  </w:t>
      </w:r>
      <w:r w:rsidR="001B501F">
        <w:rPr>
          <w:lang w:val="en-CA"/>
        </w:rPr>
        <w:fldChar w:fldCharType="begin"/>
      </w:r>
      <w:r>
        <w:rPr>
          <w:lang w:val="en-CA"/>
        </w:rPr>
        <w:instrText xml:space="preserve"> SEQ CHAPTER \h \r 1</w:instrText>
      </w:r>
      <w:r w:rsidR="001B501F">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0877A2" w:rsidRDefault="000877A2" w:rsidP="004C52BB"/>
    <w:p w:rsidR="00B53D76" w:rsidRDefault="009464DC" w:rsidP="004C52BB">
      <w:pPr>
        <w:rPr>
          <w:b/>
        </w:rPr>
      </w:pPr>
      <w:r w:rsidRPr="009464DC">
        <w:rPr>
          <w:b/>
          <w:bCs/>
        </w:rPr>
        <w:t xml:space="preserve">IFQ/CDQ </w:t>
      </w:r>
      <w:r w:rsidR="004C52BB" w:rsidRPr="009464DC">
        <w:rPr>
          <w:b/>
        </w:rPr>
        <w:t>Value</w:t>
      </w:r>
      <w:r w:rsidR="004C52BB">
        <w:rPr>
          <w:b/>
        </w:rPr>
        <w:t xml:space="preserve"> and Volume Report</w:t>
      </w:r>
      <w:r w:rsidR="002143B5">
        <w:rPr>
          <w:b/>
        </w:rPr>
        <w:t xml:space="preserve"> (IFQ Buyer Report)</w:t>
      </w:r>
    </w:p>
    <w:p w:rsidR="004C52BB" w:rsidRDefault="004C52BB" w:rsidP="004C52BB"/>
    <w:p w:rsidR="00D611DA" w:rsidRDefault="00D611DA" w:rsidP="004C52BB">
      <w:r w:rsidRPr="00D611DA">
        <w:t xml:space="preserve">An IFQ Registered Buyer that operates as a </w:t>
      </w:r>
      <w:proofErr w:type="spellStart"/>
      <w:r w:rsidRPr="00D611DA">
        <w:t>shoreside</w:t>
      </w:r>
      <w:proofErr w:type="spellEnd"/>
      <w:r w:rsidRPr="00D611DA">
        <w:t xml:space="preserve"> processor and receives and purchases IFQ landings of sablefish or halibut or CDQ landings of halibut must submit annually to NMFS a complete IFQ Buyer Report as provided by NMFS for each reporting period, as described at </w:t>
      </w:r>
    </w:p>
    <w:p w:rsidR="00D611DA" w:rsidRDefault="00D611DA" w:rsidP="004C52BB">
      <w:r w:rsidRPr="00D611DA">
        <w:t>§ 679.5(1</w:t>
      </w:r>
      <w:proofErr w:type="gramStart"/>
      <w:r w:rsidRPr="00D611DA">
        <w:t>)(</w:t>
      </w:r>
      <w:proofErr w:type="gramEnd"/>
      <w:r w:rsidRPr="00D611DA">
        <w:t>7)(</w:t>
      </w:r>
      <w:proofErr w:type="spellStart"/>
      <w:r w:rsidRPr="00D611DA">
        <w:t>i</w:t>
      </w:r>
      <w:proofErr w:type="spellEnd"/>
      <w:r w:rsidRPr="00D611DA">
        <w:t>)(E), in which the Registered Buyer receives IFQ fish or CDQ halibut.</w:t>
      </w:r>
    </w:p>
    <w:p w:rsidR="00D611DA" w:rsidRDefault="00D611DA" w:rsidP="004C52BB"/>
    <w:p w:rsidR="00EA5982" w:rsidRDefault="00DF45E8" w:rsidP="00EA5982">
      <w:r>
        <w:t xml:space="preserve">The IFQ Buyer Report requests information on the pounds purchased and values paid (with price adjustments) for each IFQ species by port or port group and month.  </w:t>
      </w:r>
      <w:r w:rsidR="00EA5982">
        <w:t>A</w:t>
      </w:r>
      <w:r w:rsidR="00EA5982" w:rsidRPr="007C2AAE">
        <w:t xml:space="preserve"> reporting requirement </w:t>
      </w:r>
      <w:r w:rsidR="00EA5982">
        <w:t>is added for</w:t>
      </w:r>
      <w:r w:rsidR="00EA5982" w:rsidRPr="007C2AAE">
        <w:t xml:space="preserve"> IFQ Registered Buyers. Registered buyers who purchase CDQ halibut would be required to report annually, the monthly total weight of CDQ halibut landed and purchased by the Registered Buyer, the monthly total price paid for CDQ halibut purchased by the Registered Buyer, and the monthly total amount paid for any retro-payments of CDQ halibut. </w:t>
      </w:r>
    </w:p>
    <w:p w:rsidR="007C2AAE" w:rsidRDefault="00DF45E8" w:rsidP="00DF45E8">
      <w:r>
        <w:t xml:space="preserve">NMFS would add two columns </w:t>
      </w:r>
      <w:r w:rsidR="002B356F">
        <w:t xml:space="preserve">on the IFQ buyer report </w:t>
      </w:r>
      <w:r>
        <w:t>for Registered Buyers to report the pounds purchased and values paid for halibut CDQ.</w:t>
      </w:r>
    </w:p>
    <w:p w:rsidR="00B15AF1" w:rsidRDefault="00B15AF1" w:rsidP="00DF45E8"/>
    <w:p w:rsidR="00996A66" w:rsidRDefault="002B356F" w:rsidP="00996A66">
      <w:r>
        <w:t xml:space="preserve">The </w:t>
      </w:r>
      <w:r w:rsidR="00996A66">
        <w:t xml:space="preserve">annual notice of standard ex-vessel prices </w:t>
      </w:r>
      <w:r w:rsidRPr="002B356F">
        <w:t xml:space="preserve">will be published in the </w:t>
      </w:r>
      <w:r w:rsidRPr="0090383D">
        <w:rPr>
          <w:u w:val="single"/>
        </w:rPr>
        <w:t>Federal</w:t>
      </w:r>
      <w:r w:rsidRPr="002B356F">
        <w:t xml:space="preserve"> </w:t>
      </w:r>
      <w:r w:rsidRPr="0090383D">
        <w:rPr>
          <w:u w:val="single"/>
        </w:rPr>
        <w:t>Register</w:t>
      </w:r>
      <w:r w:rsidRPr="002B356F">
        <w:t xml:space="preserve"> </w:t>
      </w:r>
      <w:r w:rsidR="00996A66">
        <w:t xml:space="preserve">that will </w:t>
      </w:r>
      <w:r>
        <w:t>show</w:t>
      </w:r>
      <w:r w:rsidR="00996A66">
        <w:t xml:space="preserve"> </w:t>
      </w:r>
      <w:proofErr w:type="spellStart"/>
      <w:r w:rsidR="00996A66">
        <w:t>groundfish</w:t>
      </w:r>
      <w:proofErr w:type="spellEnd"/>
      <w:r w:rsidR="00996A66">
        <w:t xml:space="preserve"> and halibut landings subject to the observer fee.  As is the case with the standard ex-vessel prices for the IFQ cost recovery program, NMFS expects that much of the data submitted about the ex-vessel value of halibut CDQ will be confidential by individual port.  If that is the case, it is likely the observer fee standard ex-vessel price that will apply for most halibut CDQ landings will be the standard ex-vessel price calculated for the Bering Sea port-group as a whole.    </w:t>
      </w:r>
    </w:p>
    <w:p w:rsidR="00996A66" w:rsidRDefault="00996A66" w:rsidP="006E57CE">
      <w:pPr>
        <w:tabs>
          <w:tab w:val="left" w:pos="360"/>
          <w:tab w:val="left" w:pos="720"/>
          <w:tab w:val="left" w:pos="1080"/>
        </w:tabs>
      </w:pPr>
    </w:p>
    <w:p w:rsidR="00D215F6" w:rsidRPr="00083D90" w:rsidRDefault="00B53D76" w:rsidP="00D215F6">
      <w:pPr>
        <w:tabs>
          <w:tab w:val="left" w:pos="360"/>
          <w:tab w:val="left" w:pos="446"/>
          <w:tab w:val="left" w:pos="720"/>
          <w:tab w:val="left" w:pos="1080"/>
          <w:tab w:val="left" w:pos="1440"/>
        </w:tabs>
      </w:pPr>
      <w:r w:rsidRPr="00083D90">
        <w:t xml:space="preserve">A complete IFQ Buyer Report must be postmarked or received by the Regional Administrator not later than October 15 following the reporting period in which the IFQ </w:t>
      </w:r>
      <w:r w:rsidR="006E57CE">
        <w:t>R</w:t>
      </w:r>
      <w:r w:rsidRPr="00083D90">
        <w:t xml:space="preserve">egistered </w:t>
      </w:r>
      <w:r w:rsidR="006E57CE">
        <w:t>B</w:t>
      </w:r>
      <w:r w:rsidRPr="00083D90">
        <w:t>uyer receives the IFQ fish</w:t>
      </w:r>
      <w:r>
        <w:t xml:space="preserve"> or CDQ halibut</w:t>
      </w:r>
      <w:r w:rsidRPr="00083D90">
        <w:t xml:space="preserve">.  </w:t>
      </w:r>
      <w:r w:rsidR="00D215F6" w:rsidRPr="00083D90">
        <w:t>The reporting period of the IFQ Buyer Report shall extend from October 1 through September 30 of the following year, inclusive.</w:t>
      </w:r>
    </w:p>
    <w:p w:rsidR="00B53D76" w:rsidRDefault="00B53D76" w:rsidP="004C52BB">
      <w:pPr>
        <w:tabs>
          <w:tab w:val="left" w:pos="360"/>
          <w:tab w:val="left" w:pos="446"/>
          <w:tab w:val="left" w:pos="720"/>
          <w:tab w:val="left" w:pos="1080"/>
          <w:tab w:val="left" w:pos="1440"/>
        </w:tabs>
      </w:pPr>
    </w:p>
    <w:p w:rsidR="00D25B88" w:rsidRDefault="00D215F6" w:rsidP="00D215F6">
      <w:pPr>
        <w:tabs>
          <w:tab w:val="left" w:pos="360"/>
          <w:tab w:val="left" w:pos="446"/>
          <w:tab w:val="left" w:pos="720"/>
          <w:tab w:val="left" w:pos="1080"/>
          <w:tab w:val="left" w:pos="1440"/>
        </w:tabs>
      </w:pPr>
      <w:r w:rsidRPr="00083D90">
        <w:t xml:space="preserve">The </w:t>
      </w:r>
      <w:r>
        <w:t>R</w:t>
      </w:r>
      <w:r w:rsidRPr="00083D90">
        <w:t xml:space="preserve">egistered </w:t>
      </w:r>
      <w:r>
        <w:t>B</w:t>
      </w:r>
      <w:r w:rsidRPr="00083D90">
        <w:t xml:space="preserve">uyer must complete an IFQ Buyer Report and submit </w:t>
      </w:r>
    </w:p>
    <w:p w:rsidR="00D25B88" w:rsidRDefault="00D25B88" w:rsidP="00D215F6">
      <w:pPr>
        <w:tabs>
          <w:tab w:val="left" w:pos="360"/>
          <w:tab w:val="left" w:pos="446"/>
          <w:tab w:val="left" w:pos="720"/>
          <w:tab w:val="left" w:pos="1080"/>
          <w:tab w:val="left" w:pos="1440"/>
        </w:tabs>
      </w:pPr>
    </w:p>
    <w:p w:rsidR="00D215F6" w:rsidRPr="00083D90" w:rsidRDefault="00D25B88" w:rsidP="00D215F6">
      <w:pPr>
        <w:tabs>
          <w:tab w:val="left" w:pos="360"/>
          <w:tab w:val="left" w:pos="446"/>
          <w:tab w:val="left" w:pos="720"/>
          <w:tab w:val="left" w:pos="1080"/>
          <w:tab w:val="left" w:pos="1440"/>
        </w:tabs>
      </w:pPr>
      <w:r>
        <w:tab/>
      </w:r>
      <w:proofErr w:type="gramStart"/>
      <w:r w:rsidR="00D215F6" w:rsidRPr="00083D90">
        <w:t>by</w:t>
      </w:r>
      <w:proofErr w:type="gramEnd"/>
      <w:r w:rsidR="00D215F6" w:rsidRPr="00083D90">
        <w:t xml:space="preserve"> mail to:</w:t>
      </w:r>
      <w:r>
        <w:tab/>
      </w:r>
      <w:r>
        <w:tab/>
      </w:r>
      <w:r w:rsidR="00D215F6" w:rsidRPr="00083D90">
        <w:t>Administrator, Alaska Region, NMFS,</w:t>
      </w:r>
    </w:p>
    <w:p w:rsidR="00D215F6" w:rsidRPr="00083D90" w:rsidRDefault="00D215F6" w:rsidP="00D215F6">
      <w:pPr>
        <w:tabs>
          <w:tab w:val="left" w:pos="360"/>
          <w:tab w:val="left" w:pos="446"/>
          <w:tab w:val="left" w:pos="720"/>
          <w:tab w:val="left" w:pos="1080"/>
          <w:tab w:val="left" w:pos="1440"/>
        </w:tabs>
      </w:pPr>
      <w:r w:rsidRPr="00083D90">
        <w:t xml:space="preserve">    </w:t>
      </w:r>
      <w:r w:rsidR="00D25B88">
        <w:tab/>
      </w:r>
      <w:r w:rsidR="00D25B88">
        <w:tab/>
      </w:r>
      <w:r w:rsidR="00D25B88">
        <w:tab/>
      </w:r>
      <w:r w:rsidR="00D25B88">
        <w:tab/>
      </w:r>
      <w:r w:rsidR="00D25B88">
        <w:tab/>
      </w:r>
      <w:r w:rsidR="00D25B88">
        <w:tab/>
      </w:r>
      <w:r w:rsidRPr="00083D90">
        <w:t>Attn: RAM Program,</w:t>
      </w:r>
    </w:p>
    <w:p w:rsidR="00D215F6" w:rsidRPr="00083D90" w:rsidRDefault="00D215F6" w:rsidP="00D215F6">
      <w:pPr>
        <w:tabs>
          <w:tab w:val="left" w:pos="360"/>
          <w:tab w:val="left" w:pos="446"/>
          <w:tab w:val="left" w:pos="720"/>
          <w:tab w:val="left" w:pos="1080"/>
          <w:tab w:val="left" w:pos="1440"/>
        </w:tabs>
      </w:pPr>
      <w:r w:rsidRPr="00083D90">
        <w:t xml:space="preserve">    </w:t>
      </w:r>
      <w:r w:rsidR="00D25B88">
        <w:tab/>
      </w:r>
      <w:r w:rsidR="00D25B88">
        <w:tab/>
      </w:r>
      <w:r w:rsidR="00D25B88">
        <w:tab/>
      </w:r>
      <w:r w:rsidR="00D25B88">
        <w:tab/>
      </w:r>
      <w:r w:rsidR="00D25B88">
        <w:tab/>
      </w:r>
      <w:r w:rsidR="00D25B88">
        <w:tab/>
      </w:r>
      <w:r w:rsidRPr="00083D90">
        <w:t>P.O. Box 21668,</w:t>
      </w:r>
    </w:p>
    <w:p w:rsidR="00D215F6" w:rsidRPr="00083D90" w:rsidRDefault="00D215F6" w:rsidP="00D215F6">
      <w:pPr>
        <w:tabs>
          <w:tab w:val="left" w:pos="360"/>
          <w:tab w:val="left" w:pos="446"/>
          <w:tab w:val="left" w:pos="720"/>
          <w:tab w:val="left" w:pos="1080"/>
          <w:tab w:val="left" w:pos="1440"/>
        </w:tabs>
      </w:pPr>
      <w:r w:rsidRPr="00083D90">
        <w:t xml:space="preserve">    </w:t>
      </w:r>
      <w:r w:rsidR="00D25B88">
        <w:tab/>
      </w:r>
      <w:r w:rsidR="00D25B88">
        <w:tab/>
      </w:r>
      <w:r w:rsidR="00D25B88">
        <w:tab/>
      </w:r>
      <w:r w:rsidR="00D25B88">
        <w:tab/>
      </w:r>
      <w:r w:rsidR="00D25B88">
        <w:tab/>
      </w:r>
      <w:r w:rsidR="00D25B88">
        <w:tab/>
      </w:r>
      <w:r w:rsidRPr="00083D90">
        <w:t>Juneau, AK 99802 1668,</w:t>
      </w:r>
    </w:p>
    <w:p w:rsidR="00D215F6" w:rsidRDefault="00D215F6" w:rsidP="00D215F6">
      <w:pPr>
        <w:tabs>
          <w:tab w:val="left" w:pos="360"/>
          <w:tab w:val="left" w:pos="446"/>
          <w:tab w:val="left" w:pos="720"/>
          <w:tab w:val="left" w:pos="1080"/>
          <w:tab w:val="left" w:pos="1440"/>
        </w:tabs>
      </w:pPr>
    </w:p>
    <w:p w:rsidR="00D215F6" w:rsidRPr="00083D90" w:rsidRDefault="00D25B88" w:rsidP="00D215F6">
      <w:pPr>
        <w:tabs>
          <w:tab w:val="left" w:pos="360"/>
          <w:tab w:val="left" w:pos="446"/>
          <w:tab w:val="left" w:pos="720"/>
          <w:tab w:val="left" w:pos="1080"/>
          <w:tab w:val="left" w:pos="1440"/>
        </w:tabs>
      </w:pPr>
      <w:r>
        <w:tab/>
      </w:r>
      <w:proofErr w:type="gramStart"/>
      <w:r>
        <w:t>by</w:t>
      </w:r>
      <w:proofErr w:type="gramEnd"/>
      <w:r>
        <w:t xml:space="preserve"> fax to:</w:t>
      </w:r>
      <w:r>
        <w:tab/>
      </w:r>
      <w:r>
        <w:tab/>
        <w:t>907-</w:t>
      </w:r>
      <w:r w:rsidR="00D215F6" w:rsidRPr="00083D90">
        <w:t>586-7354</w:t>
      </w:r>
    </w:p>
    <w:p w:rsidR="00D215F6" w:rsidRDefault="00D215F6" w:rsidP="00D215F6">
      <w:pPr>
        <w:tabs>
          <w:tab w:val="left" w:pos="360"/>
          <w:tab w:val="left" w:pos="446"/>
          <w:tab w:val="left" w:pos="720"/>
          <w:tab w:val="left" w:pos="1080"/>
          <w:tab w:val="left" w:pos="1440"/>
        </w:tabs>
      </w:pPr>
    </w:p>
    <w:p w:rsidR="00D215F6" w:rsidRPr="00083D90" w:rsidRDefault="00D25B88" w:rsidP="00D25B88">
      <w:pPr>
        <w:tabs>
          <w:tab w:val="left" w:pos="360"/>
          <w:tab w:val="left" w:pos="446"/>
          <w:tab w:val="left" w:pos="720"/>
          <w:tab w:val="left" w:pos="1080"/>
          <w:tab w:val="left" w:pos="1440"/>
        </w:tabs>
      </w:pPr>
      <w:r>
        <w:tab/>
      </w:r>
      <w:proofErr w:type="gramStart"/>
      <w:r w:rsidR="00D215F6" w:rsidRPr="00083D90">
        <w:t>or</w:t>
      </w:r>
      <w:proofErr w:type="gramEnd"/>
      <w:r w:rsidR="00C3526F">
        <w:t>,</w:t>
      </w:r>
      <w:r w:rsidR="00D215F6" w:rsidRPr="00083D90">
        <w:t xml:space="preserve"> </w:t>
      </w:r>
      <w:r w:rsidR="005B6F64">
        <w:t>online</w:t>
      </w:r>
      <w:r w:rsidR="00D215F6" w:rsidRPr="00083D90">
        <w:t xml:space="preserve"> to</w:t>
      </w:r>
      <w:r>
        <w:t>:</w:t>
      </w:r>
      <w:r w:rsidR="005B6F64">
        <w:tab/>
      </w:r>
      <w:hyperlink r:id="rId7" w:history="1">
        <w:r w:rsidR="00C3526F" w:rsidRPr="00784B62">
          <w:rPr>
            <w:rStyle w:val="Hyperlink"/>
          </w:rPr>
          <w:t>http://www.alaskafisheries.noaa.gov/ram</w:t>
        </w:r>
      </w:hyperlink>
      <w:r w:rsidR="00D215F6" w:rsidRPr="00083D90">
        <w:t>.</w:t>
      </w:r>
    </w:p>
    <w:p w:rsidR="00D215F6" w:rsidRPr="00083D90" w:rsidRDefault="00D215F6" w:rsidP="00D215F6">
      <w:pPr>
        <w:tabs>
          <w:tab w:val="left" w:pos="360"/>
          <w:tab w:val="left" w:pos="446"/>
          <w:tab w:val="left" w:pos="720"/>
          <w:tab w:val="left" w:pos="1080"/>
          <w:tab w:val="left" w:pos="1440"/>
        </w:tabs>
      </w:pPr>
    </w:p>
    <w:p w:rsidR="00B53D76" w:rsidRPr="00083D90" w:rsidRDefault="00B53D76" w:rsidP="00066A38">
      <w:pPr>
        <w:tabs>
          <w:tab w:val="left" w:pos="360"/>
          <w:tab w:val="left" w:pos="446"/>
          <w:tab w:val="left" w:pos="720"/>
          <w:tab w:val="left" w:pos="1080"/>
          <w:tab w:val="left" w:pos="1440"/>
        </w:tabs>
      </w:pPr>
      <w:r w:rsidRPr="00083D90">
        <w:t>A complete IFQ Buyer Report must include the following information:</w:t>
      </w:r>
    </w:p>
    <w:p w:rsidR="00B53D76" w:rsidRPr="00083D90" w:rsidRDefault="00B53D76" w:rsidP="00066A38">
      <w:pPr>
        <w:tabs>
          <w:tab w:val="left" w:pos="360"/>
          <w:tab w:val="left" w:pos="446"/>
          <w:tab w:val="left" w:pos="720"/>
          <w:tab w:val="left" w:pos="1080"/>
          <w:tab w:val="left" w:pos="1440"/>
        </w:tabs>
      </w:pPr>
    </w:p>
    <w:p w:rsidR="00066A38" w:rsidRDefault="009464DC" w:rsidP="00066A38">
      <w:pPr>
        <w:tabs>
          <w:tab w:val="left" w:pos="360"/>
          <w:tab w:val="left" w:pos="446"/>
          <w:tab w:val="left" w:pos="720"/>
          <w:tab w:val="left" w:pos="1080"/>
          <w:tab w:val="left" w:pos="1440"/>
        </w:tabs>
        <w:rPr>
          <w:b/>
          <w:sz w:val="20"/>
          <w:szCs w:val="20"/>
        </w:rPr>
      </w:pPr>
      <w:r>
        <w:rPr>
          <w:b/>
          <w:bCs/>
          <w:sz w:val="20"/>
          <w:szCs w:val="20"/>
        </w:rPr>
        <w:t>IFQ/CDQ Value and Volume Report</w:t>
      </w:r>
    </w:p>
    <w:p w:rsidR="00B53D76" w:rsidRPr="00066A38" w:rsidRDefault="00B53D76" w:rsidP="00066A38">
      <w:pPr>
        <w:tabs>
          <w:tab w:val="left" w:pos="360"/>
          <w:tab w:val="left" w:pos="720"/>
          <w:tab w:val="left" w:pos="1080"/>
          <w:tab w:val="left" w:pos="1440"/>
        </w:tabs>
        <w:rPr>
          <w:sz w:val="20"/>
          <w:szCs w:val="20"/>
        </w:rPr>
      </w:pPr>
      <w:r w:rsidRPr="00066A38">
        <w:rPr>
          <w:sz w:val="20"/>
          <w:szCs w:val="20"/>
          <w:u w:val="single"/>
        </w:rPr>
        <w:t xml:space="preserve">IFQ </w:t>
      </w:r>
      <w:r w:rsidR="001A718C">
        <w:rPr>
          <w:sz w:val="20"/>
          <w:szCs w:val="20"/>
          <w:u w:val="single"/>
        </w:rPr>
        <w:t>R</w:t>
      </w:r>
      <w:r w:rsidRPr="00066A38">
        <w:rPr>
          <w:sz w:val="20"/>
          <w:szCs w:val="20"/>
          <w:u w:val="single"/>
        </w:rPr>
        <w:t xml:space="preserve">egistered </w:t>
      </w:r>
      <w:r w:rsidR="001A718C">
        <w:rPr>
          <w:sz w:val="20"/>
          <w:szCs w:val="20"/>
          <w:u w:val="single"/>
        </w:rPr>
        <w:t>B</w:t>
      </w:r>
      <w:r w:rsidRPr="00066A38">
        <w:rPr>
          <w:sz w:val="20"/>
          <w:szCs w:val="20"/>
          <w:u w:val="single"/>
        </w:rPr>
        <w:t>uyer identification</w:t>
      </w:r>
    </w:p>
    <w:p w:rsidR="0068565C" w:rsidRDefault="0068565C" w:rsidP="00066A38">
      <w:pPr>
        <w:tabs>
          <w:tab w:val="left" w:pos="360"/>
          <w:tab w:val="left" w:pos="720"/>
          <w:tab w:val="left" w:pos="1080"/>
          <w:tab w:val="left" w:pos="1440"/>
        </w:tabs>
        <w:rPr>
          <w:sz w:val="20"/>
          <w:szCs w:val="20"/>
        </w:rPr>
      </w:pPr>
      <w:r>
        <w:rPr>
          <w:sz w:val="20"/>
          <w:szCs w:val="20"/>
        </w:rPr>
        <w:tab/>
        <w:t xml:space="preserve">Indicate whether performed any </w:t>
      </w:r>
      <w:proofErr w:type="spellStart"/>
      <w:r>
        <w:rPr>
          <w:sz w:val="20"/>
          <w:szCs w:val="20"/>
        </w:rPr>
        <w:t>shoreside</w:t>
      </w:r>
      <w:proofErr w:type="spellEnd"/>
      <w:r>
        <w:rPr>
          <w:sz w:val="20"/>
          <w:szCs w:val="20"/>
        </w:rPr>
        <w:t xml:space="preserve"> activity this IFQ fishing year</w:t>
      </w:r>
    </w:p>
    <w:p w:rsidR="0068565C" w:rsidRDefault="0068565C" w:rsidP="00066A38">
      <w:pPr>
        <w:tabs>
          <w:tab w:val="left" w:pos="360"/>
          <w:tab w:val="left" w:pos="720"/>
          <w:tab w:val="left" w:pos="1080"/>
          <w:tab w:val="left" w:pos="1440"/>
        </w:tabs>
        <w:rPr>
          <w:sz w:val="20"/>
          <w:szCs w:val="20"/>
        </w:rPr>
      </w:pPr>
      <w:r>
        <w:rPr>
          <w:sz w:val="20"/>
          <w:szCs w:val="20"/>
        </w:rPr>
        <w:tab/>
      </w:r>
      <w:r>
        <w:rPr>
          <w:sz w:val="20"/>
          <w:szCs w:val="20"/>
        </w:rPr>
        <w:tab/>
      </w:r>
      <w:r w:rsidRPr="00D25B88">
        <w:rPr>
          <w:b/>
          <w:sz w:val="20"/>
          <w:szCs w:val="20"/>
        </w:rPr>
        <w:t>If YES</w:t>
      </w:r>
      <w:r>
        <w:rPr>
          <w:sz w:val="20"/>
          <w:szCs w:val="20"/>
        </w:rPr>
        <w:t xml:space="preserve">, continue.  </w:t>
      </w:r>
      <w:r w:rsidRPr="00DD20DF">
        <w:rPr>
          <w:b/>
          <w:sz w:val="20"/>
          <w:szCs w:val="20"/>
        </w:rPr>
        <w:t>If NO, STOP</w:t>
      </w:r>
      <w:r w:rsidR="00B53D76" w:rsidRPr="00066A38">
        <w:rPr>
          <w:sz w:val="20"/>
          <w:szCs w:val="20"/>
        </w:rPr>
        <w:tab/>
      </w:r>
    </w:p>
    <w:p w:rsidR="00B53D76" w:rsidRPr="00066A38" w:rsidRDefault="0068565C" w:rsidP="00066A38">
      <w:pPr>
        <w:tabs>
          <w:tab w:val="left" w:pos="360"/>
          <w:tab w:val="left" w:pos="720"/>
          <w:tab w:val="left" w:pos="1080"/>
          <w:tab w:val="left" w:pos="1440"/>
        </w:tabs>
        <w:rPr>
          <w:sz w:val="20"/>
          <w:szCs w:val="20"/>
        </w:rPr>
      </w:pPr>
      <w:r>
        <w:rPr>
          <w:sz w:val="20"/>
          <w:szCs w:val="20"/>
        </w:rPr>
        <w:tab/>
      </w:r>
      <w:r w:rsidR="00B53D76" w:rsidRPr="00066A38">
        <w:rPr>
          <w:sz w:val="20"/>
          <w:szCs w:val="20"/>
        </w:rPr>
        <w:t xml:space="preserve">Name </w:t>
      </w:r>
      <w:r w:rsidR="00F44F69">
        <w:rPr>
          <w:sz w:val="20"/>
          <w:szCs w:val="20"/>
        </w:rPr>
        <w:t>and NMFS person ID</w:t>
      </w:r>
      <w:r>
        <w:rPr>
          <w:sz w:val="20"/>
          <w:szCs w:val="20"/>
        </w:rPr>
        <w:t xml:space="preserve"> of Registered Buyer</w:t>
      </w:r>
    </w:p>
    <w:p w:rsidR="00F44F69" w:rsidRDefault="00B53D76" w:rsidP="00066A38">
      <w:pPr>
        <w:tabs>
          <w:tab w:val="left" w:pos="360"/>
          <w:tab w:val="left" w:pos="720"/>
          <w:tab w:val="left" w:pos="1080"/>
          <w:tab w:val="left" w:pos="1440"/>
        </w:tabs>
        <w:rPr>
          <w:sz w:val="20"/>
          <w:szCs w:val="20"/>
        </w:rPr>
      </w:pPr>
      <w:r w:rsidRPr="00066A38">
        <w:rPr>
          <w:sz w:val="20"/>
          <w:szCs w:val="20"/>
        </w:rPr>
        <w:tab/>
        <w:t xml:space="preserve">Registered </w:t>
      </w:r>
      <w:r w:rsidR="00F44F69">
        <w:rPr>
          <w:sz w:val="20"/>
          <w:szCs w:val="20"/>
        </w:rPr>
        <w:t>B</w:t>
      </w:r>
      <w:r w:rsidRPr="00066A38">
        <w:rPr>
          <w:sz w:val="20"/>
          <w:szCs w:val="20"/>
        </w:rPr>
        <w:t xml:space="preserve">uyer </w:t>
      </w:r>
      <w:r w:rsidR="0074201B">
        <w:rPr>
          <w:sz w:val="20"/>
          <w:szCs w:val="20"/>
        </w:rPr>
        <w:t xml:space="preserve">permit </w:t>
      </w:r>
      <w:r w:rsidRPr="00066A38">
        <w:rPr>
          <w:sz w:val="20"/>
          <w:szCs w:val="20"/>
        </w:rPr>
        <w:t>number</w:t>
      </w:r>
    </w:p>
    <w:p w:rsidR="0074201B" w:rsidRDefault="0074201B" w:rsidP="00066A38">
      <w:pPr>
        <w:tabs>
          <w:tab w:val="left" w:pos="360"/>
          <w:tab w:val="left" w:pos="720"/>
          <w:tab w:val="left" w:pos="1080"/>
          <w:tab w:val="left" w:pos="1440"/>
        </w:tabs>
        <w:rPr>
          <w:sz w:val="20"/>
          <w:szCs w:val="20"/>
        </w:rPr>
      </w:pPr>
      <w:r>
        <w:rPr>
          <w:sz w:val="20"/>
          <w:szCs w:val="20"/>
        </w:rPr>
        <w:tab/>
        <w:t>Facility or vessel location (port location)</w:t>
      </w:r>
    </w:p>
    <w:p w:rsidR="00B53D76" w:rsidRPr="006328F4" w:rsidRDefault="00F44F69" w:rsidP="00066A38">
      <w:pPr>
        <w:tabs>
          <w:tab w:val="left" w:pos="360"/>
          <w:tab w:val="left" w:pos="720"/>
          <w:tab w:val="left" w:pos="1080"/>
          <w:tab w:val="left" w:pos="1440"/>
        </w:tabs>
        <w:rPr>
          <w:color w:val="000000" w:themeColor="text1"/>
          <w:sz w:val="20"/>
          <w:szCs w:val="20"/>
        </w:rPr>
      </w:pPr>
      <w:r>
        <w:rPr>
          <w:sz w:val="20"/>
          <w:szCs w:val="20"/>
        </w:rPr>
        <w:tab/>
      </w:r>
      <w:r w:rsidR="0074201B" w:rsidRPr="006328F4">
        <w:rPr>
          <w:color w:val="000000" w:themeColor="text1"/>
          <w:sz w:val="20"/>
          <w:szCs w:val="20"/>
        </w:rPr>
        <w:t>Taxpayer ID number (EIN or SSN)</w:t>
      </w:r>
    </w:p>
    <w:p w:rsidR="0074201B" w:rsidRPr="006328F4" w:rsidRDefault="0074201B" w:rsidP="00066A38">
      <w:pPr>
        <w:tabs>
          <w:tab w:val="left" w:pos="360"/>
          <w:tab w:val="left" w:pos="720"/>
          <w:tab w:val="left" w:pos="1080"/>
          <w:tab w:val="left" w:pos="1440"/>
        </w:tabs>
        <w:rPr>
          <w:color w:val="000000" w:themeColor="text1"/>
          <w:sz w:val="20"/>
          <w:szCs w:val="20"/>
        </w:rPr>
      </w:pPr>
      <w:r w:rsidRPr="006328F4">
        <w:rPr>
          <w:color w:val="000000" w:themeColor="text1"/>
          <w:sz w:val="20"/>
          <w:szCs w:val="20"/>
        </w:rPr>
        <w:tab/>
        <w:t>Date of birth or date of incorporation</w:t>
      </w:r>
    </w:p>
    <w:p w:rsidR="00B53D76" w:rsidRPr="00066A38" w:rsidRDefault="00B53D76" w:rsidP="00066A38">
      <w:pPr>
        <w:tabs>
          <w:tab w:val="left" w:pos="360"/>
          <w:tab w:val="left" w:pos="720"/>
          <w:tab w:val="left" w:pos="1080"/>
          <w:tab w:val="left" w:pos="1440"/>
        </w:tabs>
        <w:rPr>
          <w:sz w:val="20"/>
          <w:szCs w:val="20"/>
        </w:rPr>
      </w:pPr>
      <w:r w:rsidRPr="00066A38">
        <w:rPr>
          <w:sz w:val="20"/>
          <w:szCs w:val="20"/>
        </w:rPr>
        <w:tab/>
        <w:t xml:space="preserve">Business </w:t>
      </w:r>
      <w:r w:rsidR="0074201B">
        <w:rPr>
          <w:sz w:val="20"/>
          <w:szCs w:val="20"/>
        </w:rPr>
        <w:t xml:space="preserve">mailing </w:t>
      </w:r>
      <w:r w:rsidRPr="00066A38">
        <w:rPr>
          <w:sz w:val="20"/>
          <w:szCs w:val="20"/>
        </w:rPr>
        <w:t>address</w:t>
      </w:r>
      <w:r w:rsidR="0074201B">
        <w:rPr>
          <w:sz w:val="20"/>
          <w:szCs w:val="20"/>
        </w:rPr>
        <w:t>, indicate whether permanent or temporary</w:t>
      </w:r>
    </w:p>
    <w:p w:rsidR="00B53D76" w:rsidRPr="00066A38" w:rsidRDefault="00F44F69" w:rsidP="00066A38">
      <w:pPr>
        <w:tabs>
          <w:tab w:val="left" w:pos="360"/>
          <w:tab w:val="left" w:pos="720"/>
          <w:tab w:val="left" w:pos="1080"/>
          <w:tab w:val="left" w:pos="1440"/>
        </w:tabs>
        <w:rPr>
          <w:sz w:val="20"/>
          <w:szCs w:val="20"/>
        </w:rPr>
      </w:pPr>
      <w:r>
        <w:rPr>
          <w:sz w:val="20"/>
          <w:szCs w:val="20"/>
        </w:rPr>
        <w:tab/>
        <w:t>Business t</w:t>
      </w:r>
      <w:r w:rsidR="00B53D76" w:rsidRPr="00066A38">
        <w:rPr>
          <w:sz w:val="20"/>
          <w:szCs w:val="20"/>
        </w:rPr>
        <w:t>elephone number,</w:t>
      </w:r>
      <w:r>
        <w:rPr>
          <w:sz w:val="20"/>
          <w:szCs w:val="20"/>
        </w:rPr>
        <w:t xml:space="preserve"> business fax number, and business e-mail </w:t>
      </w:r>
      <w:r w:rsidR="0074201B">
        <w:rPr>
          <w:sz w:val="20"/>
          <w:szCs w:val="20"/>
        </w:rPr>
        <w:t>address</w:t>
      </w:r>
    </w:p>
    <w:p w:rsidR="00B53D76" w:rsidRPr="006328F4" w:rsidRDefault="00B53D76" w:rsidP="00066A38">
      <w:pPr>
        <w:tabs>
          <w:tab w:val="left" w:pos="360"/>
          <w:tab w:val="left" w:pos="720"/>
          <w:tab w:val="left" w:pos="1080"/>
          <w:tab w:val="left" w:pos="1440"/>
        </w:tabs>
        <w:rPr>
          <w:color w:val="000000" w:themeColor="text1"/>
          <w:sz w:val="20"/>
          <w:szCs w:val="20"/>
        </w:rPr>
      </w:pPr>
      <w:r w:rsidRPr="00066A38">
        <w:rPr>
          <w:sz w:val="20"/>
          <w:szCs w:val="20"/>
          <w:u w:val="single"/>
        </w:rPr>
        <w:t xml:space="preserve">Pounds purchased and </w:t>
      </w:r>
      <w:r w:rsidRPr="006328F4">
        <w:rPr>
          <w:color w:val="000000" w:themeColor="text1"/>
          <w:sz w:val="20"/>
          <w:szCs w:val="20"/>
          <w:u w:val="single"/>
        </w:rPr>
        <w:t xml:space="preserve">values </w:t>
      </w:r>
      <w:r w:rsidR="002F4C7C" w:rsidRPr="006328F4">
        <w:rPr>
          <w:color w:val="000000" w:themeColor="text1"/>
          <w:sz w:val="20"/>
          <w:szCs w:val="20"/>
          <w:u w:val="single"/>
        </w:rPr>
        <w:t>report</w:t>
      </w:r>
      <w:r w:rsidRPr="006328F4">
        <w:rPr>
          <w:color w:val="000000" w:themeColor="text1"/>
          <w:sz w:val="20"/>
          <w:szCs w:val="20"/>
        </w:rPr>
        <w:t>.</w:t>
      </w:r>
    </w:p>
    <w:p w:rsidR="00B53D76" w:rsidRPr="00066A38" w:rsidRDefault="00080941" w:rsidP="00080941">
      <w:pPr>
        <w:tabs>
          <w:tab w:val="left" w:pos="360"/>
          <w:tab w:val="left" w:pos="720"/>
          <w:tab w:val="left" w:pos="1080"/>
          <w:tab w:val="left" w:pos="1440"/>
        </w:tabs>
        <w:ind w:left="720" w:hanging="720"/>
        <w:rPr>
          <w:sz w:val="20"/>
          <w:szCs w:val="20"/>
        </w:rPr>
      </w:pPr>
      <w:r>
        <w:rPr>
          <w:sz w:val="20"/>
          <w:szCs w:val="20"/>
        </w:rPr>
        <w:tab/>
        <w:t>M</w:t>
      </w:r>
      <w:r w:rsidR="005B6F64">
        <w:rPr>
          <w:sz w:val="20"/>
          <w:szCs w:val="20"/>
        </w:rPr>
        <w:t xml:space="preserve">onthly total </w:t>
      </w:r>
      <w:proofErr w:type="gramStart"/>
      <w:r w:rsidR="005B6F64">
        <w:rPr>
          <w:sz w:val="20"/>
          <w:szCs w:val="20"/>
        </w:rPr>
        <w:t>weight</w:t>
      </w:r>
      <w:r w:rsidR="00B53D76" w:rsidRPr="00066A38">
        <w:rPr>
          <w:sz w:val="20"/>
          <w:szCs w:val="20"/>
        </w:rPr>
        <w:t>,</w:t>
      </w:r>
      <w:proofErr w:type="gramEnd"/>
      <w:r w:rsidR="00B53D76" w:rsidRPr="00066A38">
        <w:rPr>
          <w:sz w:val="20"/>
          <w:szCs w:val="20"/>
        </w:rPr>
        <w:t xml:space="preserve"> represented in IFQ equivalent pounds by IFQ species or CDQ halibut, that were landed at the landing port location and purchased by the IFQ</w:t>
      </w:r>
      <w:r>
        <w:rPr>
          <w:sz w:val="20"/>
          <w:szCs w:val="20"/>
        </w:rPr>
        <w:t xml:space="preserve"> R</w:t>
      </w:r>
      <w:r w:rsidR="00B53D76" w:rsidRPr="00066A38">
        <w:rPr>
          <w:sz w:val="20"/>
          <w:szCs w:val="20"/>
        </w:rPr>
        <w:t xml:space="preserve">egistered </w:t>
      </w:r>
      <w:r>
        <w:rPr>
          <w:sz w:val="20"/>
          <w:szCs w:val="20"/>
        </w:rPr>
        <w:t>Buyer.</w:t>
      </w:r>
    </w:p>
    <w:p w:rsidR="00B53D76" w:rsidRDefault="00B53D76" w:rsidP="00080941">
      <w:pPr>
        <w:tabs>
          <w:tab w:val="left" w:pos="360"/>
          <w:tab w:val="left" w:pos="720"/>
          <w:tab w:val="left" w:pos="1080"/>
          <w:tab w:val="left" w:pos="1440"/>
        </w:tabs>
        <w:ind w:left="720" w:hanging="720"/>
        <w:rPr>
          <w:sz w:val="20"/>
          <w:szCs w:val="20"/>
        </w:rPr>
      </w:pPr>
      <w:r w:rsidRPr="00066A38">
        <w:rPr>
          <w:sz w:val="20"/>
          <w:szCs w:val="20"/>
        </w:rPr>
        <w:tab/>
      </w:r>
      <w:r w:rsidR="00080941">
        <w:rPr>
          <w:sz w:val="20"/>
          <w:szCs w:val="20"/>
        </w:rPr>
        <w:t>M</w:t>
      </w:r>
      <w:r w:rsidRPr="00066A38">
        <w:rPr>
          <w:sz w:val="20"/>
          <w:szCs w:val="20"/>
        </w:rPr>
        <w:t>onthly total gross ex-vessel value, in U.S. dollars, of IFQ pounds, by IFQ species or CDQ halibut that were landed at the landing port location and purcha</w:t>
      </w:r>
      <w:r w:rsidR="00080941">
        <w:rPr>
          <w:sz w:val="20"/>
          <w:szCs w:val="20"/>
        </w:rPr>
        <w:t>sed by the IFQ Registered Buyer</w:t>
      </w:r>
    </w:p>
    <w:p w:rsidR="000A33A3" w:rsidRPr="00066A38" w:rsidRDefault="000A33A3" w:rsidP="00080941">
      <w:pPr>
        <w:tabs>
          <w:tab w:val="left" w:pos="360"/>
          <w:tab w:val="left" w:pos="720"/>
          <w:tab w:val="left" w:pos="1080"/>
          <w:tab w:val="left" w:pos="1440"/>
        </w:tabs>
        <w:ind w:left="720" w:hanging="720"/>
        <w:rPr>
          <w:sz w:val="20"/>
          <w:szCs w:val="20"/>
        </w:rPr>
      </w:pPr>
      <w:r w:rsidRPr="00E52CA1">
        <w:rPr>
          <w:sz w:val="20"/>
          <w:szCs w:val="20"/>
          <w:u w:val="single"/>
        </w:rPr>
        <w:t>Value paid for price adjustments</w:t>
      </w:r>
    </w:p>
    <w:p w:rsidR="000A33A3" w:rsidRPr="00D55FCD" w:rsidRDefault="006328F4" w:rsidP="006328F4">
      <w:pPr>
        <w:tabs>
          <w:tab w:val="left" w:pos="360"/>
          <w:tab w:val="left" w:pos="720"/>
          <w:tab w:val="left" w:pos="1080"/>
          <w:tab w:val="left" w:pos="1440"/>
        </w:tabs>
        <w:ind w:left="720" w:hanging="720"/>
        <w:rPr>
          <w:sz w:val="20"/>
          <w:szCs w:val="20"/>
          <w:u w:val="single"/>
        </w:rPr>
      </w:pPr>
      <w:r>
        <w:rPr>
          <w:sz w:val="20"/>
          <w:szCs w:val="20"/>
        </w:rPr>
        <w:tab/>
        <w:t>M</w:t>
      </w:r>
      <w:r w:rsidR="00B53D76" w:rsidRPr="00066A38">
        <w:rPr>
          <w:sz w:val="20"/>
          <w:szCs w:val="20"/>
        </w:rPr>
        <w:t>onthly total U.S. dollar amount of any retro-payments (correlated by IFQ species or CDQ halibut, landing month(s), and month of payment) made in the current year to IFQ or CDQ halibut permit holders for landings made during the previous calendar yea</w:t>
      </w:r>
      <w:r>
        <w:rPr>
          <w:sz w:val="20"/>
          <w:szCs w:val="20"/>
        </w:rPr>
        <w:t>r</w:t>
      </w:r>
      <w:r w:rsidR="000A33A3">
        <w:rPr>
          <w:sz w:val="20"/>
          <w:szCs w:val="20"/>
        </w:rPr>
        <w:tab/>
      </w:r>
    </w:p>
    <w:p w:rsidR="00B53D76" w:rsidRPr="00D215F6" w:rsidRDefault="00B53D76" w:rsidP="006328F4">
      <w:pPr>
        <w:tabs>
          <w:tab w:val="left" w:pos="360"/>
          <w:tab w:val="left" w:pos="720"/>
          <w:tab w:val="left" w:pos="1080"/>
          <w:tab w:val="left" w:pos="1440"/>
        </w:tabs>
        <w:rPr>
          <w:sz w:val="20"/>
          <w:szCs w:val="20"/>
        </w:rPr>
      </w:pPr>
      <w:proofErr w:type="gramStart"/>
      <w:r w:rsidRPr="00D215F6">
        <w:rPr>
          <w:sz w:val="20"/>
          <w:szCs w:val="20"/>
          <w:u w:val="single"/>
        </w:rPr>
        <w:t xml:space="preserve">Electronic </w:t>
      </w:r>
      <w:r w:rsidR="000A33A3">
        <w:rPr>
          <w:sz w:val="20"/>
          <w:szCs w:val="20"/>
          <w:u w:val="single"/>
        </w:rPr>
        <w:t xml:space="preserve">certification </w:t>
      </w:r>
      <w:r w:rsidRPr="00D215F6">
        <w:rPr>
          <w:sz w:val="20"/>
          <w:szCs w:val="20"/>
          <w:u w:val="single"/>
        </w:rPr>
        <w:t>submittal</w:t>
      </w:r>
      <w:r w:rsidRPr="00D215F6">
        <w:rPr>
          <w:sz w:val="20"/>
          <w:szCs w:val="20"/>
        </w:rPr>
        <w:t>.</w:t>
      </w:r>
      <w:proofErr w:type="gramEnd"/>
      <w:r w:rsidRPr="00D215F6">
        <w:rPr>
          <w:sz w:val="20"/>
          <w:szCs w:val="20"/>
        </w:rPr>
        <w:t xml:space="preserve">  NMFS ID and password of the IFQ Registered Buyer; or</w:t>
      </w:r>
    </w:p>
    <w:p w:rsidR="00D55FCD" w:rsidRDefault="00B53D76" w:rsidP="00C3526F">
      <w:pPr>
        <w:tabs>
          <w:tab w:val="left" w:pos="360"/>
          <w:tab w:val="left" w:pos="720"/>
          <w:tab w:val="left" w:pos="1080"/>
          <w:tab w:val="left" w:pos="1440"/>
        </w:tabs>
        <w:rPr>
          <w:sz w:val="20"/>
          <w:szCs w:val="20"/>
        </w:rPr>
      </w:pPr>
      <w:proofErr w:type="gramStart"/>
      <w:r w:rsidRPr="00D215F6">
        <w:rPr>
          <w:sz w:val="20"/>
          <w:szCs w:val="20"/>
          <w:u w:val="single"/>
        </w:rPr>
        <w:t xml:space="preserve">Non-electronic </w:t>
      </w:r>
      <w:r w:rsidR="000A33A3">
        <w:rPr>
          <w:sz w:val="20"/>
          <w:szCs w:val="20"/>
          <w:u w:val="single"/>
        </w:rPr>
        <w:t xml:space="preserve">certification </w:t>
      </w:r>
      <w:r w:rsidRPr="00D215F6">
        <w:rPr>
          <w:sz w:val="20"/>
          <w:szCs w:val="20"/>
          <w:u w:val="single"/>
        </w:rPr>
        <w:t>submittal</w:t>
      </w:r>
      <w:r w:rsidRPr="00D215F6">
        <w:rPr>
          <w:sz w:val="20"/>
          <w:szCs w:val="20"/>
        </w:rPr>
        <w:t>.</w:t>
      </w:r>
      <w:proofErr w:type="gramEnd"/>
      <w:r w:rsidRPr="00D215F6">
        <w:rPr>
          <w:sz w:val="20"/>
          <w:szCs w:val="20"/>
        </w:rPr>
        <w:t xml:space="preserve">  </w:t>
      </w:r>
      <w:proofErr w:type="gramStart"/>
      <w:r w:rsidRPr="00D215F6">
        <w:rPr>
          <w:sz w:val="20"/>
          <w:szCs w:val="20"/>
        </w:rPr>
        <w:t>printed</w:t>
      </w:r>
      <w:proofErr w:type="gramEnd"/>
      <w:r w:rsidRPr="00D215F6">
        <w:rPr>
          <w:sz w:val="20"/>
          <w:szCs w:val="20"/>
        </w:rPr>
        <w:t xml:space="preserve"> name </w:t>
      </w:r>
      <w:r w:rsidR="00C3526F">
        <w:rPr>
          <w:sz w:val="20"/>
          <w:szCs w:val="20"/>
        </w:rPr>
        <w:t>and signature of the individual</w:t>
      </w:r>
      <w:r w:rsidR="0090383D">
        <w:rPr>
          <w:sz w:val="20"/>
          <w:szCs w:val="20"/>
        </w:rPr>
        <w:t xml:space="preserve"> </w:t>
      </w:r>
      <w:r w:rsidRPr="00D215F6">
        <w:rPr>
          <w:sz w:val="20"/>
          <w:szCs w:val="20"/>
        </w:rPr>
        <w:t>submitting the IFQ Buyer Report on behalf of the Registered Buyer, and date of signature.</w:t>
      </w:r>
      <w:r w:rsidR="0054626E">
        <w:rPr>
          <w:sz w:val="20"/>
          <w:szCs w:val="20"/>
        </w:rPr>
        <w:t xml:space="preserve"> If representative,</w:t>
      </w:r>
      <w:r w:rsidR="0090383D">
        <w:rPr>
          <w:sz w:val="20"/>
          <w:szCs w:val="20"/>
        </w:rPr>
        <w:t xml:space="preserve"> </w:t>
      </w:r>
      <w:r w:rsidR="0054626E">
        <w:rPr>
          <w:sz w:val="20"/>
          <w:szCs w:val="20"/>
        </w:rPr>
        <w:t>attach authorization</w:t>
      </w:r>
    </w:p>
    <w:p w:rsidR="0082015E" w:rsidRDefault="0082015E">
      <w:pPr>
        <w:spacing w:after="200" w:line="276" w:lineRule="auto"/>
        <w:rPr>
          <w:sz w:val="20"/>
          <w:szCs w:val="20"/>
        </w:rPr>
      </w:pPr>
    </w:p>
    <w:tbl>
      <w:tblPr>
        <w:tblW w:w="0" w:type="auto"/>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68"/>
        <w:gridCol w:w="967"/>
      </w:tblGrid>
      <w:tr w:rsidR="00996A66" w:rsidRPr="00D673D1" w:rsidTr="00996A66">
        <w:trPr>
          <w:jc w:val="center"/>
        </w:trPr>
        <w:tc>
          <w:tcPr>
            <w:tcW w:w="5535" w:type="dxa"/>
            <w:gridSpan w:val="2"/>
          </w:tcPr>
          <w:p w:rsidR="00996A66" w:rsidRPr="00482B34" w:rsidRDefault="0059529D" w:rsidP="005952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IFQ/CDQ Value and Volume Report</w:t>
            </w:r>
            <w:r w:rsidR="00996A66" w:rsidRPr="00482B34">
              <w:rPr>
                <w:b/>
                <w:bCs/>
                <w:sz w:val="20"/>
                <w:szCs w:val="20"/>
              </w:rPr>
              <w:t>, Respondent</w:t>
            </w:r>
          </w:p>
        </w:tc>
      </w:tr>
      <w:tr w:rsidR="00996A66" w:rsidRPr="00D673D1" w:rsidTr="00996A66">
        <w:trPr>
          <w:jc w:val="center"/>
        </w:trPr>
        <w:tc>
          <w:tcPr>
            <w:tcW w:w="4568" w:type="dxa"/>
          </w:tcPr>
          <w:p w:rsidR="00996A66" w:rsidRPr="00482B34" w:rsidRDefault="00996A66" w:rsidP="00996A66">
            <w:pPr>
              <w:rPr>
                <w:b/>
                <w:sz w:val="20"/>
                <w:szCs w:val="20"/>
              </w:rPr>
            </w:pPr>
            <w:r w:rsidRPr="00482B34">
              <w:rPr>
                <w:b/>
                <w:sz w:val="20"/>
                <w:szCs w:val="20"/>
              </w:rPr>
              <w:t>Estimated number of respondents</w:t>
            </w:r>
          </w:p>
          <w:p w:rsidR="00996A66" w:rsidRPr="00482B34" w:rsidRDefault="00996A66" w:rsidP="005B6F64">
            <w:pPr>
              <w:rPr>
                <w:sz w:val="20"/>
                <w:szCs w:val="20"/>
              </w:rPr>
            </w:pPr>
            <w:r w:rsidRPr="00482B34">
              <w:rPr>
                <w:sz w:val="20"/>
                <w:szCs w:val="20"/>
              </w:rPr>
              <w:t xml:space="preserve">   </w:t>
            </w:r>
            <w:r w:rsidR="00AE5239">
              <w:rPr>
                <w:sz w:val="20"/>
                <w:szCs w:val="20"/>
              </w:rPr>
              <w:t>125</w:t>
            </w:r>
            <w:r w:rsidRPr="00482B34">
              <w:rPr>
                <w:sz w:val="20"/>
                <w:szCs w:val="20"/>
              </w:rPr>
              <w:t xml:space="preserve"> IFQ Registered Buyer</w:t>
            </w:r>
          </w:p>
          <w:p w:rsidR="00996A66" w:rsidRPr="00482B34" w:rsidRDefault="00996A66" w:rsidP="00996A66">
            <w:pPr>
              <w:rPr>
                <w:sz w:val="20"/>
                <w:szCs w:val="20"/>
              </w:rPr>
            </w:pPr>
            <w:r w:rsidRPr="00482B34">
              <w:rPr>
                <w:b/>
                <w:sz w:val="20"/>
                <w:szCs w:val="20"/>
              </w:rPr>
              <w:t>Total annual responses</w:t>
            </w:r>
          </w:p>
          <w:p w:rsidR="00996A66" w:rsidRPr="00482B34" w:rsidRDefault="00996A66" w:rsidP="00996A66">
            <w:pPr>
              <w:rPr>
                <w:sz w:val="20"/>
                <w:szCs w:val="20"/>
              </w:rPr>
            </w:pPr>
            <w:r w:rsidRPr="00482B34">
              <w:rPr>
                <w:sz w:val="20"/>
                <w:szCs w:val="20"/>
              </w:rPr>
              <w:t xml:space="preserve">   Number of responses per year = 1</w:t>
            </w:r>
          </w:p>
          <w:p w:rsidR="00996A66" w:rsidRPr="00482B34" w:rsidRDefault="00996A66" w:rsidP="00996A66">
            <w:pPr>
              <w:rPr>
                <w:b/>
                <w:sz w:val="20"/>
                <w:szCs w:val="20"/>
              </w:rPr>
            </w:pPr>
            <w:r w:rsidRPr="00482B34">
              <w:rPr>
                <w:b/>
                <w:sz w:val="20"/>
                <w:szCs w:val="20"/>
              </w:rPr>
              <w:t>Total Time burden</w:t>
            </w:r>
          </w:p>
          <w:p w:rsidR="00996A66" w:rsidRPr="00482B34" w:rsidRDefault="00996A66" w:rsidP="00996A66">
            <w:pPr>
              <w:rPr>
                <w:sz w:val="20"/>
                <w:szCs w:val="20"/>
              </w:rPr>
            </w:pPr>
            <w:r w:rsidRPr="00482B34">
              <w:rPr>
                <w:sz w:val="20"/>
                <w:szCs w:val="20"/>
              </w:rPr>
              <w:t xml:space="preserve">   Time per response = </w:t>
            </w:r>
            <w:r>
              <w:rPr>
                <w:sz w:val="20"/>
                <w:szCs w:val="20"/>
              </w:rPr>
              <w:t>2 hr</w:t>
            </w:r>
          </w:p>
          <w:p w:rsidR="00996A66" w:rsidRPr="00482B34" w:rsidRDefault="00996A66" w:rsidP="00996A66">
            <w:pPr>
              <w:rPr>
                <w:sz w:val="20"/>
                <w:szCs w:val="20"/>
              </w:rPr>
            </w:pPr>
            <w:r w:rsidRPr="00482B34">
              <w:rPr>
                <w:b/>
                <w:sz w:val="20"/>
                <w:szCs w:val="20"/>
              </w:rPr>
              <w:t>Total personnel cost</w:t>
            </w:r>
            <w:r w:rsidRPr="00482B34">
              <w:rPr>
                <w:sz w:val="20"/>
                <w:szCs w:val="20"/>
              </w:rPr>
              <w:t xml:space="preserve">  (</w:t>
            </w:r>
            <w:r w:rsidR="00AE5239">
              <w:rPr>
                <w:sz w:val="20"/>
                <w:szCs w:val="20"/>
              </w:rPr>
              <w:t>250</w:t>
            </w:r>
            <w:r w:rsidRPr="00482B34">
              <w:rPr>
                <w:sz w:val="20"/>
                <w:szCs w:val="20"/>
              </w:rPr>
              <w:t xml:space="preserve"> x $25)</w:t>
            </w:r>
          </w:p>
          <w:p w:rsidR="00996A66" w:rsidRPr="00482B34" w:rsidRDefault="00996A66" w:rsidP="00996A66">
            <w:pPr>
              <w:rPr>
                <w:b/>
                <w:sz w:val="20"/>
                <w:szCs w:val="20"/>
              </w:rPr>
            </w:pPr>
            <w:r w:rsidRPr="00482B34">
              <w:rPr>
                <w:b/>
                <w:sz w:val="20"/>
                <w:szCs w:val="20"/>
              </w:rPr>
              <w:t xml:space="preserve">Total miscellaneous cost </w:t>
            </w:r>
            <w:r w:rsidRPr="00482B34">
              <w:rPr>
                <w:sz w:val="20"/>
                <w:szCs w:val="20"/>
              </w:rPr>
              <w:t>(</w:t>
            </w:r>
            <w:r w:rsidR="006231C6">
              <w:rPr>
                <w:sz w:val="20"/>
                <w:szCs w:val="20"/>
              </w:rPr>
              <w:t>$</w:t>
            </w:r>
            <w:r w:rsidR="00983689">
              <w:rPr>
                <w:sz w:val="20"/>
                <w:szCs w:val="20"/>
              </w:rPr>
              <w:t>82.25</w:t>
            </w:r>
            <w:r w:rsidRPr="00482B34">
              <w:rPr>
                <w:sz w:val="20"/>
                <w:szCs w:val="20"/>
              </w:rPr>
              <w:t>)</w:t>
            </w:r>
          </w:p>
          <w:p w:rsidR="00996A66" w:rsidRDefault="00996A66" w:rsidP="00996A66">
            <w:pPr>
              <w:rPr>
                <w:sz w:val="20"/>
                <w:szCs w:val="20"/>
              </w:rPr>
            </w:pPr>
            <w:r w:rsidRPr="00482B34">
              <w:rPr>
                <w:sz w:val="20"/>
                <w:szCs w:val="20"/>
              </w:rPr>
              <w:t xml:space="preserve">   Online (0.05 x </w:t>
            </w:r>
            <w:r w:rsidR="00983689">
              <w:rPr>
                <w:sz w:val="20"/>
                <w:szCs w:val="20"/>
              </w:rPr>
              <w:t>105</w:t>
            </w:r>
            <w:r w:rsidRPr="00482B34">
              <w:rPr>
                <w:sz w:val="20"/>
                <w:szCs w:val="20"/>
              </w:rPr>
              <w:t>=</w:t>
            </w:r>
            <w:r w:rsidR="00EA5982">
              <w:rPr>
                <w:sz w:val="20"/>
                <w:szCs w:val="20"/>
              </w:rPr>
              <w:t xml:space="preserve"> </w:t>
            </w:r>
            <w:r w:rsidR="006231C6">
              <w:rPr>
                <w:sz w:val="20"/>
                <w:szCs w:val="20"/>
              </w:rPr>
              <w:t>$</w:t>
            </w:r>
            <w:r w:rsidR="00983689">
              <w:rPr>
                <w:sz w:val="20"/>
                <w:szCs w:val="20"/>
              </w:rPr>
              <w:t>5.25</w:t>
            </w:r>
            <w:r w:rsidRPr="00482B34">
              <w:rPr>
                <w:sz w:val="20"/>
                <w:szCs w:val="20"/>
              </w:rPr>
              <w:t>)</w:t>
            </w:r>
          </w:p>
          <w:p w:rsidR="005B6F64" w:rsidRDefault="005B6F64" w:rsidP="00996A66">
            <w:pPr>
              <w:rPr>
                <w:sz w:val="20"/>
                <w:szCs w:val="20"/>
              </w:rPr>
            </w:pPr>
            <w:r>
              <w:rPr>
                <w:sz w:val="20"/>
                <w:szCs w:val="20"/>
              </w:rPr>
              <w:t xml:space="preserve">   Fax ($6 x </w:t>
            </w:r>
            <w:r w:rsidR="00983689">
              <w:rPr>
                <w:sz w:val="20"/>
                <w:szCs w:val="20"/>
              </w:rPr>
              <w:t xml:space="preserve">10 = </w:t>
            </w:r>
            <w:r w:rsidR="006231C6">
              <w:rPr>
                <w:sz w:val="20"/>
                <w:szCs w:val="20"/>
              </w:rPr>
              <w:t>$</w:t>
            </w:r>
            <w:r w:rsidR="00983689">
              <w:rPr>
                <w:sz w:val="20"/>
                <w:szCs w:val="20"/>
              </w:rPr>
              <w:t>6</w:t>
            </w:r>
            <w:r w:rsidR="006859AB">
              <w:rPr>
                <w:sz w:val="20"/>
                <w:szCs w:val="20"/>
              </w:rPr>
              <w:t>0)</w:t>
            </w:r>
          </w:p>
          <w:p w:rsidR="005B6F64" w:rsidRPr="00482B34" w:rsidRDefault="005B6F64" w:rsidP="00996A66">
            <w:pPr>
              <w:rPr>
                <w:sz w:val="20"/>
                <w:szCs w:val="20"/>
              </w:rPr>
            </w:pPr>
            <w:r>
              <w:rPr>
                <w:sz w:val="20"/>
                <w:szCs w:val="20"/>
              </w:rPr>
              <w:t xml:space="preserve">   Mail (0.4</w:t>
            </w:r>
            <w:r w:rsidR="00983689">
              <w:rPr>
                <w:sz w:val="20"/>
                <w:szCs w:val="20"/>
              </w:rPr>
              <w:t>5</w:t>
            </w:r>
            <w:r>
              <w:rPr>
                <w:sz w:val="20"/>
                <w:szCs w:val="20"/>
              </w:rPr>
              <w:t xml:space="preserve"> x </w:t>
            </w:r>
            <w:r w:rsidR="00983689">
              <w:rPr>
                <w:sz w:val="20"/>
                <w:szCs w:val="20"/>
              </w:rPr>
              <w:t>1</w:t>
            </w:r>
            <w:r>
              <w:rPr>
                <w:sz w:val="20"/>
                <w:szCs w:val="20"/>
              </w:rPr>
              <w:t>0</w:t>
            </w:r>
            <w:r w:rsidR="006859AB">
              <w:rPr>
                <w:sz w:val="20"/>
                <w:szCs w:val="20"/>
              </w:rPr>
              <w:t xml:space="preserve"> = </w:t>
            </w:r>
            <w:r w:rsidR="006231C6">
              <w:rPr>
                <w:sz w:val="20"/>
                <w:szCs w:val="20"/>
              </w:rPr>
              <w:t>$</w:t>
            </w:r>
            <w:r w:rsidR="00983689">
              <w:rPr>
                <w:sz w:val="20"/>
                <w:szCs w:val="20"/>
              </w:rPr>
              <w:t>4.50</w:t>
            </w:r>
            <w:r w:rsidR="006231C6">
              <w:rPr>
                <w:sz w:val="20"/>
                <w:szCs w:val="20"/>
              </w:rPr>
              <w:t>)</w:t>
            </w:r>
          </w:p>
          <w:p w:rsidR="00996A66" w:rsidRPr="00482B34" w:rsidRDefault="00996A66" w:rsidP="00983689">
            <w:pPr>
              <w:rPr>
                <w:sz w:val="20"/>
                <w:szCs w:val="20"/>
              </w:rPr>
            </w:pPr>
            <w:r w:rsidRPr="00482B34">
              <w:rPr>
                <w:sz w:val="20"/>
                <w:szCs w:val="20"/>
              </w:rPr>
              <w:t xml:space="preserve">   Photocopy (0.05 x 2pp  x </w:t>
            </w:r>
            <w:r w:rsidR="00983689">
              <w:rPr>
                <w:sz w:val="20"/>
                <w:szCs w:val="20"/>
              </w:rPr>
              <w:t>125</w:t>
            </w:r>
            <w:r w:rsidRPr="00482B34">
              <w:rPr>
                <w:sz w:val="20"/>
                <w:szCs w:val="20"/>
              </w:rPr>
              <w:t xml:space="preserve"> = </w:t>
            </w:r>
            <w:r w:rsidR="006231C6">
              <w:rPr>
                <w:sz w:val="20"/>
                <w:szCs w:val="20"/>
              </w:rPr>
              <w:t>$</w:t>
            </w:r>
            <w:r w:rsidR="00983689">
              <w:rPr>
                <w:sz w:val="20"/>
                <w:szCs w:val="20"/>
              </w:rPr>
              <w:t>12</w:t>
            </w:r>
            <w:r w:rsidR="005B6F64">
              <w:rPr>
                <w:sz w:val="20"/>
                <w:szCs w:val="20"/>
              </w:rPr>
              <w:t>.50</w:t>
            </w:r>
            <w:r w:rsidRPr="00482B34">
              <w:rPr>
                <w:sz w:val="20"/>
                <w:szCs w:val="20"/>
              </w:rPr>
              <w:t>)</w:t>
            </w:r>
          </w:p>
        </w:tc>
        <w:tc>
          <w:tcPr>
            <w:tcW w:w="967" w:type="dxa"/>
          </w:tcPr>
          <w:p w:rsidR="00996A66" w:rsidRPr="00482B34" w:rsidRDefault="00AE5239"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125</w:t>
            </w:r>
          </w:p>
          <w:p w:rsidR="00996A66" w:rsidRPr="00482B34" w:rsidRDefault="00996A66"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996A66" w:rsidRPr="00482B34" w:rsidRDefault="00AE5239"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125</w:t>
            </w:r>
          </w:p>
          <w:p w:rsidR="00996A66" w:rsidRPr="00482B34" w:rsidRDefault="00996A66"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996A66" w:rsidRDefault="00AE5239"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250</w:t>
            </w:r>
            <w:r w:rsidR="005B6F64">
              <w:rPr>
                <w:b/>
                <w:sz w:val="20"/>
                <w:szCs w:val="20"/>
              </w:rPr>
              <w:t xml:space="preserve"> hr</w:t>
            </w:r>
          </w:p>
          <w:p w:rsidR="006859AB" w:rsidRDefault="006859AB"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996A66" w:rsidRPr="00482B34" w:rsidRDefault="00996A66"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482B34">
              <w:rPr>
                <w:b/>
                <w:sz w:val="20"/>
                <w:szCs w:val="20"/>
              </w:rPr>
              <w:t>$</w:t>
            </w:r>
            <w:r w:rsidR="00AE5239">
              <w:rPr>
                <w:b/>
                <w:sz w:val="20"/>
                <w:szCs w:val="20"/>
              </w:rPr>
              <w:t>6</w:t>
            </w:r>
            <w:r w:rsidR="00336586">
              <w:rPr>
                <w:b/>
                <w:sz w:val="20"/>
                <w:szCs w:val="20"/>
              </w:rPr>
              <w:t>,250</w:t>
            </w:r>
          </w:p>
          <w:p w:rsidR="00996A66" w:rsidRPr="00482B34" w:rsidRDefault="00EA5982" w:rsidP="0098368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b/>
                <w:sz w:val="20"/>
                <w:szCs w:val="20"/>
              </w:rPr>
              <w:t xml:space="preserve">      $</w:t>
            </w:r>
            <w:r w:rsidR="00983689">
              <w:rPr>
                <w:b/>
                <w:sz w:val="20"/>
                <w:szCs w:val="20"/>
              </w:rPr>
              <w:t>82</w:t>
            </w:r>
          </w:p>
        </w:tc>
      </w:tr>
    </w:tbl>
    <w:p w:rsidR="00417150" w:rsidRDefault="00417150" w:rsidP="00996A66"/>
    <w:p w:rsidR="00996A66" w:rsidRDefault="00996A66" w:rsidP="00996A66"/>
    <w:tbl>
      <w:tblPr>
        <w:tblW w:w="0" w:type="auto"/>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0"/>
        <w:gridCol w:w="900"/>
      </w:tblGrid>
      <w:tr w:rsidR="00996A66" w:rsidRPr="00D673D1" w:rsidTr="00996A66">
        <w:trPr>
          <w:jc w:val="center"/>
        </w:trPr>
        <w:tc>
          <w:tcPr>
            <w:tcW w:w="5580" w:type="dxa"/>
            <w:gridSpan w:val="2"/>
          </w:tcPr>
          <w:p w:rsidR="00996A66" w:rsidRPr="00482B34" w:rsidRDefault="0059529D" w:rsidP="005952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IFQ/CDQ Value and Volume Report</w:t>
            </w:r>
            <w:r w:rsidR="00996A66" w:rsidRPr="00482B34">
              <w:rPr>
                <w:b/>
                <w:bCs/>
                <w:sz w:val="20"/>
                <w:szCs w:val="20"/>
              </w:rPr>
              <w:t>, Federal Government</w:t>
            </w:r>
          </w:p>
        </w:tc>
      </w:tr>
      <w:tr w:rsidR="00996A66" w:rsidRPr="00D673D1" w:rsidTr="00996A66">
        <w:trPr>
          <w:jc w:val="center"/>
        </w:trPr>
        <w:tc>
          <w:tcPr>
            <w:tcW w:w="4680" w:type="dxa"/>
          </w:tcPr>
          <w:p w:rsidR="00996A66" w:rsidRPr="00482B34" w:rsidRDefault="00996A66" w:rsidP="00996A66">
            <w:pPr>
              <w:rPr>
                <w:b/>
                <w:sz w:val="20"/>
                <w:szCs w:val="20"/>
              </w:rPr>
            </w:pPr>
            <w:r w:rsidRPr="00482B34">
              <w:rPr>
                <w:b/>
                <w:sz w:val="20"/>
                <w:szCs w:val="20"/>
              </w:rPr>
              <w:t>Total annual responses</w:t>
            </w:r>
          </w:p>
          <w:p w:rsidR="00996A66" w:rsidRPr="00482B34" w:rsidRDefault="00996A66" w:rsidP="00996A66">
            <w:pPr>
              <w:rPr>
                <w:sz w:val="20"/>
                <w:szCs w:val="20"/>
              </w:rPr>
            </w:pPr>
            <w:r w:rsidRPr="00482B34">
              <w:rPr>
                <w:b/>
                <w:sz w:val="20"/>
                <w:szCs w:val="20"/>
              </w:rPr>
              <w:t>Total Time burden</w:t>
            </w:r>
            <w:r w:rsidRPr="00482B34">
              <w:rPr>
                <w:sz w:val="20"/>
                <w:szCs w:val="20"/>
              </w:rPr>
              <w:t xml:space="preserve">  </w:t>
            </w:r>
            <w:r>
              <w:rPr>
                <w:sz w:val="20"/>
                <w:szCs w:val="20"/>
              </w:rPr>
              <w:t>(</w:t>
            </w:r>
            <w:r w:rsidR="00983689">
              <w:rPr>
                <w:sz w:val="20"/>
                <w:szCs w:val="20"/>
              </w:rPr>
              <w:t>3</w:t>
            </w:r>
            <w:r w:rsidR="006859AB">
              <w:rPr>
                <w:sz w:val="20"/>
                <w:szCs w:val="20"/>
              </w:rPr>
              <w:t>1.25</w:t>
            </w:r>
            <w:r>
              <w:rPr>
                <w:sz w:val="20"/>
                <w:szCs w:val="20"/>
              </w:rPr>
              <w:t>)</w:t>
            </w:r>
          </w:p>
          <w:p w:rsidR="00996A66" w:rsidRPr="00482B34" w:rsidRDefault="00996A66" w:rsidP="00996A66">
            <w:pPr>
              <w:rPr>
                <w:sz w:val="20"/>
                <w:szCs w:val="20"/>
              </w:rPr>
            </w:pPr>
            <w:r w:rsidRPr="00482B34">
              <w:rPr>
                <w:sz w:val="20"/>
                <w:szCs w:val="20"/>
              </w:rPr>
              <w:t xml:space="preserve">   Time per response = </w:t>
            </w:r>
            <w:r>
              <w:rPr>
                <w:sz w:val="20"/>
                <w:szCs w:val="20"/>
              </w:rPr>
              <w:t>15</w:t>
            </w:r>
            <w:r w:rsidRPr="00482B34">
              <w:rPr>
                <w:sz w:val="20"/>
                <w:szCs w:val="20"/>
              </w:rPr>
              <w:t xml:space="preserve"> min</w:t>
            </w:r>
          </w:p>
          <w:p w:rsidR="00996A66" w:rsidRPr="00482B34" w:rsidRDefault="00996A66" w:rsidP="00996A66">
            <w:pPr>
              <w:rPr>
                <w:sz w:val="20"/>
                <w:szCs w:val="20"/>
              </w:rPr>
            </w:pPr>
            <w:r w:rsidRPr="00482B34">
              <w:rPr>
                <w:b/>
                <w:sz w:val="20"/>
                <w:szCs w:val="20"/>
              </w:rPr>
              <w:t>Total personnel cost</w:t>
            </w:r>
            <w:r w:rsidRPr="00482B34">
              <w:rPr>
                <w:sz w:val="20"/>
                <w:szCs w:val="20"/>
              </w:rPr>
              <w:t xml:space="preserve">  (</w:t>
            </w:r>
            <w:r w:rsidR="00983689">
              <w:rPr>
                <w:sz w:val="20"/>
                <w:szCs w:val="20"/>
              </w:rPr>
              <w:t>3</w:t>
            </w:r>
            <w:r w:rsidR="006859AB">
              <w:rPr>
                <w:sz w:val="20"/>
                <w:szCs w:val="20"/>
              </w:rPr>
              <w:t>1</w:t>
            </w:r>
            <w:r w:rsidRPr="00482B34">
              <w:rPr>
                <w:sz w:val="20"/>
                <w:szCs w:val="20"/>
              </w:rPr>
              <w:t xml:space="preserve"> x$25)</w:t>
            </w:r>
          </w:p>
          <w:p w:rsidR="00996A66" w:rsidRPr="00482B34" w:rsidRDefault="00996A66" w:rsidP="00996A66">
            <w:pPr>
              <w:rPr>
                <w:b/>
                <w:sz w:val="20"/>
                <w:szCs w:val="20"/>
              </w:rPr>
            </w:pPr>
            <w:r w:rsidRPr="00482B34">
              <w:rPr>
                <w:b/>
                <w:sz w:val="20"/>
                <w:szCs w:val="20"/>
              </w:rPr>
              <w:t>Total miscellaneous cost</w:t>
            </w:r>
          </w:p>
        </w:tc>
        <w:tc>
          <w:tcPr>
            <w:tcW w:w="900" w:type="dxa"/>
          </w:tcPr>
          <w:p w:rsidR="00996A66" w:rsidRPr="00482B34" w:rsidRDefault="00983689" w:rsidP="00996A6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12</w:t>
            </w:r>
            <w:r w:rsidR="006859AB">
              <w:rPr>
                <w:b/>
                <w:sz w:val="20"/>
                <w:szCs w:val="20"/>
              </w:rPr>
              <w:t>5</w:t>
            </w:r>
          </w:p>
          <w:p w:rsidR="00996A66" w:rsidRPr="00482B34" w:rsidRDefault="00983689" w:rsidP="00996A6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3</w:t>
            </w:r>
            <w:r w:rsidR="006859AB">
              <w:rPr>
                <w:b/>
                <w:sz w:val="20"/>
                <w:szCs w:val="20"/>
              </w:rPr>
              <w:t>1</w:t>
            </w:r>
            <w:r w:rsidR="00996A66" w:rsidRPr="00482B34">
              <w:rPr>
                <w:b/>
                <w:sz w:val="20"/>
                <w:szCs w:val="20"/>
              </w:rPr>
              <w:t xml:space="preserve"> hr</w:t>
            </w:r>
          </w:p>
          <w:p w:rsidR="00996A66" w:rsidRPr="00482B34" w:rsidRDefault="00996A66" w:rsidP="00996A6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996A66" w:rsidRPr="00482B34" w:rsidRDefault="00996A66" w:rsidP="00996A6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482B34">
              <w:rPr>
                <w:b/>
                <w:sz w:val="20"/>
                <w:szCs w:val="20"/>
              </w:rPr>
              <w:t>$</w:t>
            </w:r>
            <w:r w:rsidR="006859AB">
              <w:rPr>
                <w:b/>
                <w:sz w:val="20"/>
                <w:szCs w:val="20"/>
              </w:rPr>
              <w:t>775</w:t>
            </w:r>
          </w:p>
          <w:p w:rsidR="00996A66" w:rsidRPr="00482B34" w:rsidRDefault="006231C6" w:rsidP="00996A6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w:t>
            </w:r>
            <w:bookmarkStart w:id="0" w:name="_GoBack"/>
            <w:bookmarkEnd w:id="0"/>
            <w:r w:rsidR="00996A66" w:rsidRPr="00482B34">
              <w:rPr>
                <w:b/>
                <w:sz w:val="20"/>
                <w:szCs w:val="20"/>
              </w:rPr>
              <w:t>0</w:t>
            </w:r>
          </w:p>
        </w:tc>
      </w:tr>
    </w:tbl>
    <w:p w:rsidR="00996A66" w:rsidRPr="00D215F6" w:rsidRDefault="00996A66" w:rsidP="00D215F6">
      <w:pPr>
        <w:tabs>
          <w:tab w:val="left" w:pos="360"/>
          <w:tab w:val="left" w:pos="720"/>
          <w:tab w:val="left" w:pos="1080"/>
          <w:tab w:val="left" w:pos="1440"/>
        </w:tabs>
        <w:ind w:left="720" w:hanging="720"/>
        <w:rPr>
          <w:sz w:val="20"/>
          <w:szCs w:val="20"/>
        </w:rPr>
      </w:pPr>
    </w:p>
    <w:p w:rsidR="00D55FCD" w:rsidRDefault="00D55FCD" w:rsidP="006859AB">
      <w:pPr>
        <w:tabs>
          <w:tab w:val="left" w:pos="360"/>
          <w:tab w:val="left" w:pos="720"/>
          <w:tab w:val="left" w:pos="1080"/>
          <w:tab w:val="left" w:pos="1440"/>
        </w:tabs>
      </w:pPr>
    </w:p>
    <w:p w:rsidR="006859AB" w:rsidRPr="00630DC3" w:rsidRDefault="006859AB" w:rsidP="006859AB">
      <w:pPr>
        <w:tabs>
          <w:tab w:val="left" w:pos="360"/>
          <w:tab w:val="left" w:pos="720"/>
          <w:tab w:val="left" w:pos="1080"/>
          <w:tab w:val="left" w:pos="1440"/>
        </w:tabs>
      </w:pPr>
      <w:r w:rsidRPr="00630DC3">
        <w:lastRenderedPageBreak/>
        <w:t xml:space="preserve">It is anticipated that the information collected will be disseminated to the public or used to support publicly disseminated information. </w:t>
      </w:r>
      <w:r w:rsidR="0016765C">
        <w:t xml:space="preserve"> </w:t>
      </w:r>
      <w:r w:rsidRPr="00630DC3">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history="1">
        <w:r w:rsidRPr="00630DC3">
          <w:rPr>
            <w:rStyle w:val="Hyperlink"/>
          </w:rPr>
          <w:t>Section 515 of Public Law 106-554</w:t>
        </w:r>
      </w:hyperlink>
      <w:r w:rsidRPr="00630DC3">
        <w:t>.</w:t>
      </w:r>
    </w:p>
    <w:p w:rsidR="005B6F64" w:rsidRPr="00ED3267" w:rsidRDefault="005B6F64" w:rsidP="005B6F64">
      <w:pPr>
        <w:tabs>
          <w:tab w:val="left" w:pos="288"/>
          <w:tab w:val="left" w:pos="576"/>
          <w:tab w:val="left" w:pos="864"/>
          <w:tab w:val="left" w:pos="1152"/>
        </w:tabs>
        <w:ind w:firstLine="360"/>
        <w:rPr>
          <w:color w:val="000000"/>
          <w:sz w:val="20"/>
          <w:szCs w:val="20"/>
        </w:rPr>
      </w:pPr>
    </w:p>
    <w:p w:rsidR="000877A2" w:rsidRDefault="000877A2" w:rsidP="004C52BB">
      <w:proofErr w:type="gramStart"/>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roofErr w:type="gramEnd"/>
    </w:p>
    <w:p w:rsidR="000877A2" w:rsidRDefault="000877A2" w:rsidP="004C52BB"/>
    <w:p w:rsidR="00F75296" w:rsidRDefault="00F75296" w:rsidP="00F75296">
      <w:pPr>
        <w:tabs>
          <w:tab w:val="left" w:pos="-1440"/>
          <w:tab w:val="left" w:pos="-720"/>
          <w:tab w:val="left" w:pos="0"/>
          <w:tab w:val="left" w:pos="360"/>
          <w:tab w:val="left" w:pos="720"/>
          <w:tab w:val="left" w:pos="1080"/>
        </w:tabs>
        <w:rPr>
          <w:color w:val="000000"/>
        </w:rPr>
      </w:pPr>
      <w:r w:rsidRPr="00976A16">
        <w:rPr>
          <w:color w:val="000000"/>
        </w:rPr>
        <w:t>A</w:t>
      </w:r>
      <w:r>
        <w:rPr>
          <w:color w:val="000000"/>
        </w:rPr>
        <w:t xml:space="preserve"> Registered Buyer </w:t>
      </w:r>
      <w:r w:rsidRPr="00976A16">
        <w:rPr>
          <w:color w:val="000000"/>
        </w:rPr>
        <w:t xml:space="preserve">may submit </w:t>
      </w:r>
      <w:r>
        <w:rPr>
          <w:color w:val="000000"/>
        </w:rPr>
        <w:t>the value and volume report</w:t>
      </w:r>
      <w:r w:rsidRPr="00976A16">
        <w:rPr>
          <w:color w:val="000000"/>
        </w:rPr>
        <w:t xml:space="preserve"> </w:t>
      </w:r>
      <w:r w:rsidR="00695ECF">
        <w:rPr>
          <w:color w:val="000000"/>
        </w:rPr>
        <w:t xml:space="preserve">by mail, courier, </w:t>
      </w:r>
      <w:r>
        <w:rPr>
          <w:color w:val="000000"/>
        </w:rPr>
        <w:t xml:space="preserve">or online at </w:t>
      </w:r>
      <w:hyperlink r:id="rId9" w:history="1">
        <w:r w:rsidRPr="000D698C">
          <w:rPr>
            <w:rStyle w:val="Hyperlink"/>
          </w:rPr>
          <w:t>https://alaskafisheries.noaa.gov/webapps/ifqaccounts</w:t>
        </w:r>
      </w:hyperlink>
      <w:r>
        <w:rPr>
          <w:color w:val="000000"/>
        </w:rPr>
        <w:t xml:space="preserve">. </w:t>
      </w:r>
      <w:r w:rsidR="00695ECF">
        <w:rPr>
          <w:color w:val="000000"/>
        </w:rPr>
        <w:t xml:space="preserve">Credit card payment may also be made over the telephone. </w:t>
      </w:r>
      <w:r w:rsidRPr="00976A16">
        <w:rPr>
          <w:color w:val="000000"/>
        </w:rPr>
        <w:t xml:space="preserve">Collecting information </w:t>
      </w:r>
      <w:r>
        <w:rPr>
          <w:color w:val="000000"/>
        </w:rPr>
        <w:t xml:space="preserve">and payment online </w:t>
      </w:r>
      <w:r w:rsidRPr="00976A16">
        <w:rPr>
          <w:color w:val="000000"/>
        </w:rPr>
        <w:t>benefit</w:t>
      </w:r>
      <w:r>
        <w:rPr>
          <w:color w:val="000000"/>
        </w:rPr>
        <w:t>s</w:t>
      </w:r>
      <w:r w:rsidRPr="00976A16">
        <w:rPr>
          <w:color w:val="000000"/>
        </w:rPr>
        <w:t xml:space="preserve"> both the IFQ Permit holder and </w:t>
      </w:r>
      <w:r>
        <w:rPr>
          <w:color w:val="000000"/>
        </w:rPr>
        <w:t xml:space="preserve">NMFS </w:t>
      </w:r>
      <w:r w:rsidRPr="00976A16">
        <w:rPr>
          <w:color w:val="000000"/>
        </w:rPr>
        <w:t xml:space="preserve">by providing </w:t>
      </w:r>
      <w:r>
        <w:rPr>
          <w:color w:val="000000"/>
        </w:rPr>
        <w:t xml:space="preserve">a more efficient and accurate method and by </w:t>
      </w:r>
      <w:r w:rsidRPr="00976A16">
        <w:rPr>
          <w:color w:val="000000"/>
        </w:rPr>
        <w:t>allowing NMFS to have the information entered directly into the database.</w:t>
      </w:r>
    </w:p>
    <w:p w:rsidR="000877A2" w:rsidRDefault="000877A2" w:rsidP="004C52BB"/>
    <w:p w:rsidR="000877A2" w:rsidRDefault="000877A2" w:rsidP="0016765C">
      <w:r>
        <w:rPr>
          <w:b/>
          <w:bCs/>
        </w:rPr>
        <w:t xml:space="preserve">4.  </w:t>
      </w:r>
      <w:r>
        <w:rPr>
          <w:b/>
          <w:bCs/>
          <w:u w:val="single"/>
        </w:rPr>
        <w:t>Describe efforts to identify duplication</w:t>
      </w:r>
      <w:r>
        <w:rPr>
          <w:b/>
          <w:bCs/>
        </w:rPr>
        <w:t>.</w:t>
      </w:r>
    </w:p>
    <w:p w:rsidR="000877A2" w:rsidRDefault="000877A2" w:rsidP="0016765C"/>
    <w:p w:rsidR="00F75296" w:rsidRDefault="00F75296" w:rsidP="00185E1C">
      <w:pPr>
        <w:tabs>
          <w:tab w:val="left" w:pos="-1440"/>
          <w:tab w:val="left" w:pos="-720"/>
          <w:tab w:val="left" w:pos="0"/>
          <w:tab w:val="left" w:pos="360"/>
          <w:tab w:val="left" w:pos="720"/>
          <w:tab w:val="left" w:pos="1080"/>
        </w:tabs>
        <w:rPr>
          <w:color w:val="000000"/>
        </w:rPr>
      </w:pPr>
      <w:r>
        <w:rPr>
          <w:color w:val="000000"/>
        </w:rPr>
        <w:t>N</w:t>
      </w:r>
      <w:r w:rsidR="00185E1C" w:rsidRPr="00185E1C">
        <w:rPr>
          <w:color w:val="000000"/>
        </w:rPr>
        <w:t>one of the information collected as part of this information collection duplicates other collections.  This information collection is part of a specialized and technical program that is not like any other.</w:t>
      </w:r>
    </w:p>
    <w:p w:rsidR="000877A2" w:rsidRDefault="000877A2" w:rsidP="0016765C"/>
    <w:p w:rsidR="000877A2" w:rsidRDefault="0016765C" w:rsidP="0016765C">
      <w:r>
        <w:rPr>
          <w:b/>
          <w:bCs/>
        </w:rPr>
        <w:t>5</w:t>
      </w:r>
      <w:r w:rsidR="000877A2">
        <w:rPr>
          <w:b/>
          <w:bCs/>
        </w:rPr>
        <w:t xml:space="preserve">.  </w:t>
      </w:r>
      <w:r w:rsidR="000877A2">
        <w:rPr>
          <w:b/>
          <w:bCs/>
          <w:u w:val="single"/>
        </w:rPr>
        <w:t>If the collection of information involves small businesses or other small entities, describe the methods used to minimize burden</w:t>
      </w:r>
      <w:r w:rsidR="000877A2">
        <w:rPr>
          <w:b/>
          <w:bCs/>
        </w:rPr>
        <w:t>.</w:t>
      </w:r>
      <w:r w:rsidR="000877A2">
        <w:t xml:space="preserve"> </w:t>
      </w:r>
    </w:p>
    <w:p w:rsidR="000877A2" w:rsidRDefault="000877A2" w:rsidP="0016765C"/>
    <w:p w:rsidR="005D6E8A" w:rsidRDefault="008B3EEA" w:rsidP="0016765C">
      <w:r>
        <w:t xml:space="preserve">This action would directly regulate </w:t>
      </w:r>
      <w:r w:rsidR="000137EE">
        <w:t xml:space="preserve">an estimated 125 </w:t>
      </w:r>
      <w:r w:rsidR="002D3DBC" w:rsidRPr="002D3DBC">
        <w:t>IFQ Registered Buyer</w:t>
      </w:r>
      <w:r w:rsidR="002D3DBC">
        <w:t>s</w:t>
      </w:r>
      <w:r w:rsidR="002D3DBC" w:rsidRPr="002D3DBC">
        <w:t xml:space="preserve"> that operate as a </w:t>
      </w:r>
      <w:proofErr w:type="spellStart"/>
      <w:r w:rsidR="002D3DBC" w:rsidRPr="002D3DBC">
        <w:t>shoreside</w:t>
      </w:r>
      <w:proofErr w:type="spellEnd"/>
      <w:r w:rsidR="002D3DBC" w:rsidRPr="002D3DBC">
        <w:t xml:space="preserve"> processor and receive and purchase IFQ landings of sablefish or halibut or CDQ landings of halibut</w:t>
      </w:r>
      <w:r w:rsidR="002D3DBC">
        <w:t>.</w:t>
      </w:r>
      <w:r w:rsidR="0002401F">
        <w:t xml:space="preserve">  </w:t>
      </w:r>
      <w:r w:rsidR="000137EE">
        <w:t xml:space="preserve">None of these entities are estimated to be small entities.  Therefore, this </w:t>
      </w:r>
      <w:r w:rsidR="00F75296">
        <w:t>collection of information does not impose a significant impact on small entities</w:t>
      </w:r>
      <w:r>
        <w:t>.</w:t>
      </w:r>
    </w:p>
    <w:p w:rsidR="00247FCF" w:rsidRDefault="00247FCF" w:rsidP="0016765C">
      <w:pPr>
        <w:rPr>
          <w:b/>
          <w:bCs/>
        </w:rPr>
      </w:pPr>
    </w:p>
    <w:p w:rsidR="000877A2" w:rsidRDefault="000877A2" w:rsidP="0016765C">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0877A2" w:rsidRDefault="000877A2" w:rsidP="000877A2"/>
    <w:p w:rsidR="000137EE" w:rsidRPr="00976A16" w:rsidRDefault="000137EE" w:rsidP="000137EE">
      <w:pPr>
        <w:tabs>
          <w:tab w:val="left" w:pos="-1440"/>
          <w:tab w:val="left" w:pos="-720"/>
          <w:tab w:val="left" w:pos="0"/>
          <w:tab w:val="left" w:pos="360"/>
          <w:tab w:val="left" w:pos="720"/>
          <w:tab w:val="left" w:pos="1080"/>
        </w:tabs>
        <w:rPr>
          <w:color w:val="000000"/>
        </w:rPr>
      </w:pPr>
      <w:r>
        <w:rPr>
          <w:color w:val="000000"/>
        </w:rPr>
        <w:t>If this information were not collected, the basis for the IFQ Fee Program would be removed.</w:t>
      </w:r>
    </w:p>
    <w:p w:rsidR="00F75296" w:rsidRPr="00976A16" w:rsidRDefault="000137EE" w:rsidP="00F75296">
      <w:pPr>
        <w:tabs>
          <w:tab w:val="left" w:pos="-1440"/>
          <w:tab w:val="left" w:pos="-720"/>
          <w:tab w:val="left" w:pos="0"/>
          <w:tab w:val="left" w:pos="360"/>
          <w:tab w:val="left" w:pos="720"/>
          <w:tab w:val="left" w:pos="1080"/>
        </w:tabs>
        <w:rPr>
          <w:color w:val="000000"/>
        </w:rPr>
      </w:pPr>
      <w:r>
        <w:rPr>
          <w:color w:val="000000"/>
        </w:rPr>
        <w:t xml:space="preserve">NMFS would be unable to </w:t>
      </w:r>
      <w:r w:rsidR="00F75296" w:rsidRPr="00976A16">
        <w:rPr>
          <w:color w:val="000000"/>
        </w:rPr>
        <w:t>calculate the most accurate and timely standard ex-vessel prices</w:t>
      </w:r>
      <w:r w:rsidR="0049624A">
        <w:rPr>
          <w:color w:val="000000"/>
        </w:rPr>
        <w:t xml:space="preserve"> for the IFQ Fee Program</w:t>
      </w:r>
      <w:r>
        <w:rPr>
          <w:color w:val="000000"/>
        </w:rPr>
        <w:t xml:space="preserve">.  </w:t>
      </w:r>
      <w:r w:rsidR="00F75296" w:rsidRPr="00976A16">
        <w:rPr>
          <w:color w:val="000000"/>
        </w:rPr>
        <w:t>NMFS must have landings/value information from the latest date possible</w:t>
      </w:r>
      <w:r w:rsidR="00F75296">
        <w:rPr>
          <w:color w:val="000000"/>
        </w:rPr>
        <w:t xml:space="preserve">.  The standard ex-vessel summary must be </w:t>
      </w:r>
      <w:r w:rsidR="00F75296" w:rsidRPr="00976A16">
        <w:rPr>
          <w:color w:val="000000"/>
        </w:rPr>
        <w:t xml:space="preserve">available to IFQ permit holders for fee calculation.  </w:t>
      </w:r>
    </w:p>
    <w:p w:rsidR="000877A2" w:rsidRDefault="000877A2" w:rsidP="000877A2"/>
    <w:p w:rsidR="000877A2" w:rsidRDefault="000877A2" w:rsidP="000877A2">
      <w:r>
        <w:rPr>
          <w:b/>
          <w:bCs/>
        </w:rPr>
        <w:t xml:space="preserve">7.  </w:t>
      </w:r>
      <w:r>
        <w:rPr>
          <w:b/>
          <w:bCs/>
          <w:u w:val="single"/>
        </w:rPr>
        <w:t>Explain any special circumstances that require the collection to be conducted in a manner inconsistent with OMB guidelines</w:t>
      </w:r>
      <w:r>
        <w:rPr>
          <w:b/>
          <w:bCs/>
        </w:rPr>
        <w:t xml:space="preserve">. </w:t>
      </w:r>
    </w:p>
    <w:p w:rsidR="000877A2" w:rsidRDefault="000877A2" w:rsidP="000877A2"/>
    <w:p w:rsidR="003C2C34" w:rsidRPr="002E4BD4" w:rsidRDefault="001B501F" w:rsidP="003C2C34">
      <w:r w:rsidRPr="002E4BD4">
        <w:rPr>
          <w:lang w:val="en-CA"/>
        </w:rPr>
        <w:fldChar w:fldCharType="begin"/>
      </w:r>
      <w:r w:rsidR="003C2C34" w:rsidRPr="002E4BD4">
        <w:rPr>
          <w:lang w:val="en-CA"/>
        </w:rPr>
        <w:instrText xml:space="preserve"> SEQ CHAPTER \h \r 1</w:instrText>
      </w:r>
      <w:r w:rsidRPr="002E4BD4">
        <w:rPr>
          <w:lang w:val="en-CA"/>
        </w:rPr>
        <w:fldChar w:fldCharType="end"/>
      </w:r>
      <w:r w:rsidR="003C2C34" w:rsidRPr="002E4BD4">
        <w:t>No inconsistencies occur in this collection.</w:t>
      </w:r>
    </w:p>
    <w:p w:rsidR="000877A2" w:rsidRDefault="000877A2" w:rsidP="000877A2">
      <w:pPr>
        <w:rPr>
          <w:b/>
          <w:bCs/>
        </w:rPr>
      </w:pPr>
    </w:p>
    <w:p w:rsidR="000877A2" w:rsidRDefault="000877A2" w:rsidP="000877A2">
      <w:r>
        <w:rPr>
          <w:b/>
          <w:bCs/>
        </w:rPr>
        <w:lastRenderedPageBreak/>
        <w:t xml:space="preserve">8.  </w:t>
      </w:r>
      <w:r>
        <w:rPr>
          <w:b/>
          <w:bCs/>
          <w:u w:val="single"/>
        </w:rPr>
        <w:t>Provide information on the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0877A2" w:rsidRDefault="000877A2" w:rsidP="000877A2"/>
    <w:p w:rsidR="00F21A8D" w:rsidRPr="003554F4" w:rsidRDefault="00F21A8D" w:rsidP="00F21A8D">
      <w:r w:rsidRPr="003554F4">
        <w:t>NMFS Alaska Region will submit a proposed rule (RIN 0648-B</w:t>
      </w:r>
      <w:r>
        <w:t>B42</w:t>
      </w:r>
      <w:r w:rsidRPr="003554F4">
        <w:t>) coincident with this submission, requesting comments from the public.</w:t>
      </w:r>
    </w:p>
    <w:p w:rsidR="00F21A8D" w:rsidRPr="00630DC3" w:rsidRDefault="00F21A8D" w:rsidP="00F21A8D"/>
    <w:p w:rsidR="000877A2" w:rsidRDefault="000877A2" w:rsidP="000877A2">
      <w:r>
        <w:rPr>
          <w:b/>
          <w:bCs/>
        </w:rPr>
        <w:t xml:space="preserve">9.  </w:t>
      </w:r>
      <w:r>
        <w:rPr>
          <w:b/>
          <w:bCs/>
          <w:u w:val="single"/>
        </w:rPr>
        <w:t>Explain any decisions to provide payments or gifts to respondents, other than remuneration of contractors or grantees</w:t>
      </w:r>
      <w:r>
        <w:rPr>
          <w:b/>
          <w:bCs/>
        </w:rPr>
        <w:t>.</w:t>
      </w:r>
    </w:p>
    <w:p w:rsidR="000877A2" w:rsidRDefault="000877A2" w:rsidP="000877A2"/>
    <w:p w:rsidR="000877A2" w:rsidRDefault="00F21A8D" w:rsidP="000877A2">
      <w:r w:rsidRPr="00630DC3">
        <w:t>No payment or gift to respondents is provided under this program</w:t>
      </w:r>
      <w:r>
        <w:t>.</w:t>
      </w:r>
    </w:p>
    <w:p w:rsidR="000877A2" w:rsidRDefault="000877A2" w:rsidP="000877A2"/>
    <w:p w:rsidR="000877A2" w:rsidRDefault="000877A2" w:rsidP="000877A2">
      <w:proofErr w:type="gramStart"/>
      <w:r>
        <w:rPr>
          <w:b/>
          <w:bCs/>
        </w:rPr>
        <w:t xml:space="preserve">10.  </w:t>
      </w:r>
      <w:r>
        <w:rPr>
          <w:b/>
          <w:bCs/>
          <w:u w:val="single"/>
        </w:rPr>
        <w:t>Describe any assurance of confidentiality provided to respondents and the basis for assurance in statute, regulation, or agency policy</w:t>
      </w:r>
      <w:r>
        <w:rPr>
          <w:b/>
          <w:bCs/>
        </w:rPr>
        <w:t>.</w:t>
      </w:r>
      <w:proofErr w:type="gramEnd"/>
    </w:p>
    <w:p w:rsidR="000877A2" w:rsidRDefault="000877A2" w:rsidP="000877A2"/>
    <w:p w:rsidR="00F21A8D" w:rsidRPr="00630DC3" w:rsidRDefault="00BE0512" w:rsidP="00F21A8D">
      <w:r>
        <w:t>As stated on the form, t</w:t>
      </w:r>
      <w:r w:rsidR="00F21A8D" w:rsidRPr="00630DC3">
        <w:t xml:space="preserve">he information collected is confidential under section 402(b) of the Magnuson-Stevens Act (16 U.S.C. 1801, </w:t>
      </w:r>
      <w:r w:rsidR="00F21A8D" w:rsidRPr="00630DC3">
        <w:rPr>
          <w:i/>
        </w:rPr>
        <w:t>et seq</w:t>
      </w:r>
      <w:r w:rsidR="00F21A8D" w:rsidRPr="00630DC3">
        <w:t xml:space="preserve">.).  The information is also confidential under </w:t>
      </w:r>
      <w:hyperlink r:id="rId10" w:history="1">
        <w:r w:rsidR="00F21A8D" w:rsidRPr="00630DC3">
          <w:rPr>
            <w:rStyle w:val="Hyperlink"/>
          </w:rPr>
          <w:t>NOAA Administrative Order 216-100</w:t>
        </w:r>
      </w:hyperlink>
      <w:r w:rsidR="00F21A8D" w:rsidRPr="00630DC3">
        <w:t xml:space="preserve">, which sets forth procedures to protect confidentiality of fishery statistics. </w:t>
      </w:r>
    </w:p>
    <w:p w:rsidR="00BE0512" w:rsidRDefault="00BE0512" w:rsidP="00F21A8D"/>
    <w:p w:rsidR="00F21A8D" w:rsidRPr="00630DC3" w:rsidRDefault="00F21A8D" w:rsidP="00F21A8D">
      <w:r w:rsidRPr="00095182">
        <w:t xml:space="preserve">All information collected is in a system of records: </w:t>
      </w:r>
      <w:r>
        <w:t xml:space="preserve"> NOAA #19, “</w:t>
      </w:r>
      <w:r w:rsidRPr="008E35F5">
        <w:t>Permits and Registrations for United States Federally Regulated Fisheries</w:t>
      </w:r>
      <w:r>
        <w:t xml:space="preserve">.” </w:t>
      </w:r>
    </w:p>
    <w:p w:rsidR="00B771DC" w:rsidRDefault="00B771DC" w:rsidP="000877A2">
      <w:pPr>
        <w:rPr>
          <w:b/>
          <w:bCs/>
        </w:rPr>
      </w:pPr>
    </w:p>
    <w:p w:rsidR="000877A2" w:rsidRDefault="000877A2" w:rsidP="000877A2">
      <w:proofErr w:type="gramStart"/>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roofErr w:type="gramEnd"/>
    </w:p>
    <w:p w:rsidR="000877A2" w:rsidRDefault="000877A2" w:rsidP="000877A2"/>
    <w:p w:rsidR="00F21A8D" w:rsidRDefault="00F21A8D" w:rsidP="00F21A8D">
      <w:r w:rsidRPr="00630DC3">
        <w:t>This information collection does not involve information of a sensitive nature.</w:t>
      </w:r>
    </w:p>
    <w:p w:rsidR="00F21A8D" w:rsidRDefault="00F21A8D" w:rsidP="00F21A8D"/>
    <w:p w:rsidR="000877A2" w:rsidRDefault="000877A2" w:rsidP="000877A2">
      <w:r>
        <w:rPr>
          <w:b/>
          <w:bCs/>
        </w:rPr>
        <w:t xml:space="preserve">12.  </w:t>
      </w:r>
      <w:r>
        <w:rPr>
          <w:b/>
          <w:bCs/>
          <w:u w:val="single"/>
        </w:rPr>
        <w:t>Provide an estimate in hours of the burden of the collection of information</w:t>
      </w:r>
      <w:r>
        <w:rPr>
          <w:b/>
          <w:bCs/>
        </w:rPr>
        <w:t>.</w:t>
      </w:r>
    </w:p>
    <w:p w:rsidR="000877A2" w:rsidRDefault="000877A2" w:rsidP="000877A2"/>
    <w:p w:rsidR="00F21A8D" w:rsidRDefault="005D6E8A" w:rsidP="00F21A8D">
      <w:r>
        <w:t xml:space="preserve">Estimated total respondents: </w:t>
      </w:r>
      <w:r w:rsidR="00C6496D">
        <w:t>125</w:t>
      </w:r>
      <w:r>
        <w:t xml:space="preserve">.  Estimated total responses: </w:t>
      </w:r>
      <w:r w:rsidR="00216A94">
        <w:t>12</w:t>
      </w:r>
      <w:r w:rsidR="00A81032">
        <w:t>5</w:t>
      </w:r>
      <w:r w:rsidR="00556C2A">
        <w:t>.  E</w:t>
      </w:r>
      <w:r w:rsidR="00F21A8D" w:rsidRPr="00630DC3">
        <w:t xml:space="preserve">stimated </w:t>
      </w:r>
      <w:r w:rsidR="00556C2A">
        <w:t xml:space="preserve">total </w:t>
      </w:r>
      <w:r w:rsidR="00F21A8D" w:rsidRPr="00630DC3">
        <w:t xml:space="preserve">burden hours:  </w:t>
      </w:r>
      <w:r w:rsidR="00216A94">
        <w:t>250</w:t>
      </w:r>
      <w:r w:rsidR="00695ECF">
        <w:t xml:space="preserve"> (125 x 2 hours)</w:t>
      </w:r>
      <w:r w:rsidR="00F21A8D" w:rsidRPr="00630DC3">
        <w:t>.  Estimated total personnel cost: $</w:t>
      </w:r>
      <w:r w:rsidR="00A81032">
        <w:t xml:space="preserve"> </w:t>
      </w:r>
      <w:r w:rsidR="00216A94">
        <w:t>6</w:t>
      </w:r>
      <w:r w:rsidR="00A81032">
        <w:t>,250</w:t>
      </w:r>
      <w:r w:rsidR="00F21A8D" w:rsidRPr="00630DC3">
        <w:t>.</w:t>
      </w:r>
    </w:p>
    <w:p w:rsidR="00A64E38" w:rsidRDefault="00A64E38" w:rsidP="00F21A8D"/>
    <w:p w:rsidR="000877A2" w:rsidRDefault="000877A2" w:rsidP="000877A2">
      <w:r>
        <w:rPr>
          <w:b/>
          <w:bCs/>
        </w:rPr>
        <w:t xml:space="preserve">13.  </w:t>
      </w:r>
      <w:r>
        <w:rPr>
          <w:b/>
          <w:bCs/>
          <w:u w:val="single"/>
        </w:rPr>
        <w:t>Provide an estimate of the total annual cost burden to the respondents or record-keepers resulting from the collection (excluding the value of the burden hours in Question 12 above)</w:t>
      </w:r>
      <w:r>
        <w:rPr>
          <w:b/>
          <w:bCs/>
        </w:rPr>
        <w:t>.</w:t>
      </w:r>
    </w:p>
    <w:p w:rsidR="000877A2" w:rsidRDefault="000877A2" w:rsidP="000877A2"/>
    <w:p w:rsidR="00F21A8D" w:rsidRDefault="00F21A8D" w:rsidP="00F21A8D">
      <w:r w:rsidRPr="00630DC3">
        <w:t>Estima</w:t>
      </w:r>
      <w:r w:rsidR="005D6E8A">
        <w:t xml:space="preserve">ted total miscellaneous costs: </w:t>
      </w:r>
      <w:r w:rsidRPr="00630DC3">
        <w:t>$</w:t>
      </w:r>
      <w:r w:rsidR="00216A94">
        <w:t>8</w:t>
      </w:r>
      <w:r w:rsidR="005D6E8A">
        <w:t>2</w:t>
      </w:r>
      <w:r w:rsidRPr="00630DC3">
        <w:t>.</w:t>
      </w:r>
    </w:p>
    <w:p w:rsidR="00A64E38" w:rsidRDefault="00A64E38" w:rsidP="00F21A8D"/>
    <w:p w:rsidR="00BE0512" w:rsidRDefault="00BE0512" w:rsidP="000877A2">
      <w:pPr>
        <w:rPr>
          <w:b/>
          <w:bCs/>
        </w:rPr>
      </w:pPr>
    </w:p>
    <w:p w:rsidR="00BE0512" w:rsidRDefault="00BE0512">
      <w:pPr>
        <w:spacing w:after="200" w:line="276" w:lineRule="auto"/>
        <w:rPr>
          <w:b/>
          <w:bCs/>
        </w:rPr>
      </w:pPr>
      <w:r>
        <w:rPr>
          <w:b/>
          <w:bCs/>
        </w:rPr>
        <w:br w:type="page"/>
      </w:r>
    </w:p>
    <w:p w:rsidR="000877A2" w:rsidRDefault="000877A2" w:rsidP="000877A2">
      <w:r>
        <w:rPr>
          <w:b/>
          <w:bCs/>
        </w:rPr>
        <w:lastRenderedPageBreak/>
        <w:t xml:space="preserve">14.  </w:t>
      </w:r>
      <w:r>
        <w:rPr>
          <w:b/>
          <w:bCs/>
          <w:u w:val="single"/>
        </w:rPr>
        <w:t>Provide estimates of annualized cost to the Federal government</w:t>
      </w:r>
      <w:r>
        <w:rPr>
          <w:b/>
          <w:bCs/>
        </w:rPr>
        <w:t>.</w:t>
      </w:r>
    </w:p>
    <w:p w:rsidR="001E3CEC" w:rsidRDefault="001E3CEC" w:rsidP="00F21A8D"/>
    <w:p w:rsidR="00F21A8D" w:rsidRPr="00630DC3" w:rsidRDefault="00A60F9B" w:rsidP="00F21A8D">
      <w:r>
        <w:t xml:space="preserve">Estimated total burden hours: </w:t>
      </w:r>
      <w:r w:rsidR="00216A94">
        <w:t>3</w:t>
      </w:r>
      <w:r w:rsidR="004C2412">
        <w:t>1</w:t>
      </w:r>
      <w:r w:rsidR="00F21A8D" w:rsidRPr="00630DC3">
        <w:t>.  Es</w:t>
      </w:r>
      <w:r>
        <w:t xml:space="preserve">timated total personnel cost: </w:t>
      </w:r>
      <w:r w:rsidR="00F21A8D" w:rsidRPr="00630DC3">
        <w:t>$</w:t>
      </w:r>
      <w:r w:rsidR="004C2412">
        <w:t>775</w:t>
      </w:r>
      <w:r w:rsidR="00B771DC">
        <w:t xml:space="preserve">. </w:t>
      </w:r>
    </w:p>
    <w:p w:rsidR="000877A2" w:rsidRDefault="000877A2" w:rsidP="000877A2"/>
    <w:p w:rsidR="000877A2" w:rsidRDefault="000877A2" w:rsidP="000877A2">
      <w:r>
        <w:rPr>
          <w:b/>
          <w:bCs/>
        </w:rPr>
        <w:t xml:space="preserve">15.  </w:t>
      </w:r>
      <w:r>
        <w:rPr>
          <w:b/>
          <w:bCs/>
          <w:u w:val="single"/>
        </w:rPr>
        <w:t>Explain the reasons for any program changes or adjustments</w:t>
      </w:r>
      <w:r>
        <w:rPr>
          <w:b/>
          <w:bCs/>
        </w:rPr>
        <w:t>.</w:t>
      </w:r>
    </w:p>
    <w:p w:rsidR="000877A2" w:rsidRDefault="000877A2" w:rsidP="000877A2"/>
    <w:p w:rsidR="003836BC" w:rsidRDefault="003836BC" w:rsidP="003836BC">
      <w:r w:rsidRPr="0083667D">
        <w:t>This action is a program change</w:t>
      </w:r>
      <w:r>
        <w:t xml:space="preserve"> </w:t>
      </w:r>
      <w:r w:rsidR="005D6E8A">
        <w:t>associated with adding</w:t>
      </w:r>
      <w:r w:rsidRPr="00177EA1">
        <w:t xml:space="preserve"> a funding and deployment system to the Alaska Observer Program and amend</w:t>
      </w:r>
      <w:r w:rsidR="00216A94">
        <w:t>ing</w:t>
      </w:r>
      <w:r w:rsidRPr="00177EA1">
        <w:t xml:space="preserve"> existing observer coverage requirements for vessels and processing plants</w:t>
      </w:r>
      <w:r>
        <w:t>.</w:t>
      </w:r>
      <w:r w:rsidR="003D4B03">
        <w:t xml:space="preserve">  A temporary new collection is added for the IFQ Buyer Report.</w:t>
      </w:r>
    </w:p>
    <w:p w:rsidR="003D4B03" w:rsidRDefault="003D4B03" w:rsidP="000877A2">
      <w:pPr>
        <w:rPr>
          <w:b/>
          <w:bCs/>
        </w:rPr>
      </w:pPr>
    </w:p>
    <w:p w:rsidR="000877A2" w:rsidRDefault="000877A2" w:rsidP="000877A2">
      <w:r>
        <w:rPr>
          <w:b/>
          <w:bCs/>
        </w:rPr>
        <w:t xml:space="preserve">16.  </w:t>
      </w:r>
      <w:r>
        <w:rPr>
          <w:b/>
          <w:bCs/>
          <w:u w:val="single"/>
        </w:rPr>
        <w:t>For collections whose results will be published, outline the plans for tabulation and publication</w:t>
      </w:r>
      <w:r>
        <w:rPr>
          <w:b/>
          <w:bCs/>
        </w:rPr>
        <w:t>.</w:t>
      </w:r>
    </w:p>
    <w:p w:rsidR="000877A2" w:rsidRDefault="000877A2" w:rsidP="000877A2"/>
    <w:p w:rsidR="003836BC" w:rsidRDefault="003836BC" w:rsidP="003836BC">
      <w:r w:rsidRPr="0073710B">
        <w:t xml:space="preserve">The standard ex-vessel prices used to determine the observer fee for halibut would be published in the </w:t>
      </w:r>
      <w:r w:rsidRPr="003C3BC0">
        <w:rPr>
          <w:i/>
        </w:rPr>
        <w:t>Federal Register</w:t>
      </w:r>
      <w:r w:rsidRPr="0073710B">
        <w:t xml:space="preserve"> in the annual notice of standard ex-vessel prices that will apply to </w:t>
      </w:r>
      <w:proofErr w:type="spellStart"/>
      <w:r w:rsidRPr="0073710B">
        <w:t>groundfish</w:t>
      </w:r>
      <w:proofErr w:type="spellEnd"/>
      <w:r w:rsidRPr="0073710B">
        <w:t xml:space="preserve"> and halibut landings subject to the observer fee. </w:t>
      </w:r>
    </w:p>
    <w:p w:rsidR="003836BC" w:rsidRDefault="003836BC" w:rsidP="003836BC"/>
    <w:p w:rsidR="003836BC" w:rsidRDefault="003836BC" w:rsidP="003836BC">
      <w:r w:rsidRPr="00006A9C">
        <w:t xml:space="preserve">NMFS would adhere to policies and procedures for protecting confidentiality of data submitted to or collected by NMFS as prescribed by a Reciprocal Data Access Agreement (1999) among the National Oceanic and Atmospheric Administration, the </w:t>
      </w:r>
      <w:r>
        <w:t>Ala</w:t>
      </w:r>
      <w:r w:rsidR="00DD20DF">
        <w:t>ska Department of Fish and Game</w:t>
      </w:r>
      <w:r w:rsidRPr="00006A9C">
        <w:t xml:space="preserve">, and the </w:t>
      </w:r>
      <w:r>
        <w:t xml:space="preserve">Alaska Commercial Fishery Entry Commission </w:t>
      </w:r>
      <w:r w:rsidRPr="00006A9C">
        <w:t xml:space="preserve">which are more stringent than the procedures prescribed by NOAA Administrative Order 216-100. Therefore, NMFS would not publish any price information that would permit the identification of an individual. </w:t>
      </w:r>
      <w:r>
        <w:t xml:space="preserve"> </w:t>
      </w:r>
      <w:r w:rsidRPr="00006A9C">
        <w:t>For example, at least four persons would need to make landings of a species with a particular gear type at each port in order for NMFS to publish that price information at the level of individual ports.</w:t>
      </w:r>
    </w:p>
    <w:p w:rsidR="003836BC" w:rsidRDefault="003836BC" w:rsidP="003836BC"/>
    <w:p w:rsidR="000877A2" w:rsidRDefault="000877A2" w:rsidP="000877A2">
      <w:r>
        <w:rPr>
          <w:b/>
          <w:bCs/>
        </w:rPr>
        <w:t xml:space="preserve">17.  </w:t>
      </w:r>
      <w:proofErr w:type="gramStart"/>
      <w:r>
        <w:rPr>
          <w:b/>
          <w:bCs/>
          <w:u w:val="single"/>
        </w:rPr>
        <w:t>If</w:t>
      </w:r>
      <w:proofErr w:type="gramEnd"/>
      <w:r>
        <w:rPr>
          <w:b/>
          <w:bCs/>
          <w:u w:val="single"/>
        </w:rPr>
        <w:t xml:space="preserve"> seeking approval to not display the expiration date for OMB approval of the information collection, explain the reasons why display would be inappropriate</w:t>
      </w:r>
      <w:r>
        <w:rPr>
          <w:b/>
          <w:bCs/>
        </w:rPr>
        <w:t>.</w:t>
      </w:r>
    </w:p>
    <w:p w:rsidR="000877A2" w:rsidRDefault="000877A2" w:rsidP="000877A2"/>
    <w:p w:rsidR="00B746BE" w:rsidRDefault="00247FCF" w:rsidP="000877A2">
      <w:r>
        <w:t>Not A</w:t>
      </w:r>
      <w:r w:rsidR="00B746BE">
        <w:t>pplicable.</w:t>
      </w:r>
    </w:p>
    <w:p w:rsidR="00B746BE" w:rsidRDefault="00B746BE" w:rsidP="000877A2"/>
    <w:p w:rsidR="000877A2" w:rsidRPr="00A52249" w:rsidRDefault="000877A2" w:rsidP="000877A2">
      <w:pPr>
        <w:rPr>
          <w:b/>
          <w:bCs/>
        </w:rPr>
      </w:pPr>
      <w:r>
        <w:rPr>
          <w:b/>
          <w:bCs/>
        </w:rPr>
        <w:t xml:space="preserve">18.  </w:t>
      </w:r>
      <w:r>
        <w:rPr>
          <w:b/>
          <w:bCs/>
          <w:u w:val="single"/>
        </w:rPr>
        <w:t>Explain each exception to the certification statement</w:t>
      </w:r>
      <w:r>
        <w:rPr>
          <w:b/>
          <w:bCs/>
        </w:rPr>
        <w:t>.</w:t>
      </w:r>
    </w:p>
    <w:p w:rsidR="000877A2" w:rsidRDefault="000877A2" w:rsidP="000877A2"/>
    <w:p w:rsidR="00247FCF" w:rsidRDefault="00247FCF" w:rsidP="00247FCF">
      <w:r>
        <w:t>Not Applicable.</w:t>
      </w:r>
    </w:p>
    <w:p w:rsidR="000877A2" w:rsidRDefault="000877A2" w:rsidP="000877A2"/>
    <w:p w:rsidR="00247FCF" w:rsidRDefault="00247FCF" w:rsidP="000877A2"/>
    <w:p w:rsidR="00F206C8" w:rsidRDefault="00F206C8" w:rsidP="000877A2"/>
    <w:p w:rsidR="000877A2" w:rsidRDefault="000877A2" w:rsidP="000877A2">
      <w:r>
        <w:rPr>
          <w:b/>
          <w:bCs/>
        </w:rPr>
        <w:t>B.  COLLECTIONS OF INFORMATION EMPLOYING STATISTICAL METHODS</w:t>
      </w:r>
    </w:p>
    <w:p w:rsidR="000877A2" w:rsidRDefault="000877A2" w:rsidP="000877A2"/>
    <w:p w:rsidR="00247FCF" w:rsidRDefault="00247FCF" w:rsidP="00247FCF">
      <w:r>
        <w:t>Not Applicable.</w:t>
      </w:r>
    </w:p>
    <w:p w:rsidR="00B746BE" w:rsidRDefault="00B746BE" w:rsidP="00247FCF"/>
    <w:sectPr w:rsidR="00B746BE" w:rsidSect="0054374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A25" w:rsidRDefault="00AA7A25">
      <w:r>
        <w:separator/>
      </w:r>
    </w:p>
  </w:endnote>
  <w:endnote w:type="continuationSeparator" w:id="0">
    <w:p w:rsidR="00AA7A25" w:rsidRDefault="00AA7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EE" w:rsidRDefault="001B501F">
    <w:pPr>
      <w:pStyle w:val="Footer"/>
      <w:framePr w:w="576" w:wrap="auto" w:vAnchor="page" w:hAnchor="page" w:x="5545" w:y="15121"/>
      <w:jc w:val="right"/>
      <w:rPr>
        <w:rStyle w:val="PageNumber"/>
        <w:sz w:val="24"/>
        <w:szCs w:val="24"/>
      </w:rPr>
    </w:pPr>
    <w:r>
      <w:rPr>
        <w:rStyle w:val="PageNumber"/>
        <w:sz w:val="24"/>
        <w:szCs w:val="24"/>
      </w:rPr>
      <w:fldChar w:fldCharType="begin"/>
    </w:r>
    <w:r w:rsidR="000137EE">
      <w:rPr>
        <w:rStyle w:val="PageNumber"/>
        <w:sz w:val="24"/>
        <w:szCs w:val="24"/>
      </w:rPr>
      <w:instrText xml:space="preserve">PAGE  </w:instrText>
    </w:r>
    <w:r>
      <w:rPr>
        <w:rStyle w:val="PageNumber"/>
        <w:sz w:val="24"/>
        <w:szCs w:val="24"/>
      </w:rPr>
      <w:fldChar w:fldCharType="separate"/>
    </w:r>
    <w:r w:rsidR="00695ECF">
      <w:rPr>
        <w:rStyle w:val="PageNumber"/>
        <w:noProof/>
        <w:sz w:val="24"/>
        <w:szCs w:val="24"/>
      </w:rPr>
      <w:t>6</w:t>
    </w:r>
    <w:r>
      <w:rPr>
        <w:rStyle w:val="PageNumber"/>
        <w:sz w:val="24"/>
        <w:szCs w:val="24"/>
      </w:rPr>
      <w:fldChar w:fldCharType="end"/>
    </w:r>
  </w:p>
  <w:p w:rsidR="000137EE" w:rsidRDefault="00013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A25" w:rsidRDefault="00AA7A25">
      <w:r>
        <w:separator/>
      </w:r>
    </w:p>
  </w:footnote>
  <w:footnote w:type="continuationSeparator" w:id="0">
    <w:p w:rsidR="00AA7A25" w:rsidRDefault="00AA7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6B4E"/>
    <w:rsid w:val="00010B26"/>
    <w:rsid w:val="0001203C"/>
    <w:rsid w:val="000137EE"/>
    <w:rsid w:val="00020996"/>
    <w:rsid w:val="0002401F"/>
    <w:rsid w:val="0003117C"/>
    <w:rsid w:val="00035524"/>
    <w:rsid w:val="00066A38"/>
    <w:rsid w:val="00080941"/>
    <w:rsid w:val="00081C57"/>
    <w:rsid w:val="000877A2"/>
    <w:rsid w:val="000A26B7"/>
    <w:rsid w:val="000A33A3"/>
    <w:rsid w:val="000C08CF"/>
    <w:rsid w:val="000E1B29"/>
    <w:rsid w:val="000F74F5"/>
    <w:rsid w:val="00100C25"/>
    <w:rsid w:val="001325EE"/>
    <w:rsid w:val="0015559A"/>
    <w:rsid w:val="0016765C"/>
    <w:rsid w:val="00185E1C"/>
    <w:rsid w:val="001A6816"/>
    <w:rsid w:val="001A718C"/>
    <w:rsid w:val="001B501F"/>
    <w:rsid w:val="001D154F"/>
    <w:rsid w:val="001D70E4"/>
    <w:rsid w:val="001E3CEC"/>
    <w:rsid w:val="0021270E"/>
    <w:rsid w:val="002143B5"/>
    <w:rsid w:val="00216A94"/>
    <w:rsid w:val="00241BE5"/>
    <w:rsid w:val="00247FCF"/>
    <w:rsid w:val="002548B4"/>
    <w:rsid w:val="002663AB"/>
    <w:rsid w:val="002B356F"/>
    <w:rsid w:val="002C6836"/>
    <w:rsid w:val="002D3DBC"/>
    <w:rsid w:val="002F3FA4"/>
    <w:rsid w:val="002F4C7C"/>
    <w:rsid w:val="00302A98"/>
    <w:rsid w:val="00336586"/>
    <w:rsid w:val="00346FFB"/>
    <w:rsid w:val="003728C6"/>
    <w:rsid w:val="003836BC"/>
    <w:rsid w:val="00392208"/>
    <w:rsid w:val="003A0AAA"/>
    <w:rsid w:val="003C2C34"/>
    <w:rsid w:val="003D4B03"/>
    <w:rsid w:val="003D57B7"/>
    <w:rsid w:val="00412514"/>
    <w:rsid w:val="00417150"/>
    <w:rsid w:val="00436CDD"/>
    <w:rsid w:val="0049624A"/>
    <w:rsid w:val="004C2412"/>
    <w:rsid w:val="004C52BB"/>
    <w:rsid w:val="004E3FF4"/>
    <w:rsid w:val="004E5268"/>
    <w:rsid w:val="004F7255"/>
    <w:rsid w:val="00510951"/>
    <w:rsid w:val="00530063"/>
    <w:rsid w:val="0053175A"/>
    <w:rsid w:val="00543743"/>
    <w:rsid w:val="00544DF9"/>
    <w:rsid w:val="0054626E"/>
    <w:rsid w:val="00556C2A"/>
    <w:rsid w:val="005910E2"/>
    <w:rsid w:val="0059529D"/>
    <w:rsid w:val="005A58CD"/>
    <w:rsid w:val="005B2C62"/>
    <w:rsid w:val="005B6F64"/>
    <w:rsid w:val="005D1F35"/>
    <w:rsid w:val="005D6E8A"/>
    <w:rsid w:val="005E3662"/>
    <w:rsid w:val="006007CB"/>
    <w:rsid w:val="00600A69"/>
    <w:rsid w:val="00612B85"/>
    <w:rsid w:val="0061359B"/>
    <w:rsid w:val="006231C6"/>
    <w:rsid w:val="006328F4"/>
    <w:rsid w:val="0064357B"/>
    <w:rsid w:val="00654311"/>
    <w:rsid w:val="00675795"/>
    <w:rsid w:val="0068565C"/>
    <w:rsid w:val="006859AB"/>
    <w:rsid w:val="00685DA8"/>
    <w:rsid w:val="00687CB6"/>
    <w:rsid w:val="00695ECF"/>
    <w:rsid w:val="006D4C7F"/>
    <w:rsid w:val="006E57CE"/>
    <w:rsid w:val="00715698"/>
    <w:rsid w:val="0074201B"/>
    <w:rsid w:val="00754708"/>
    <w:rsid w:val="00755467"/>
    <w:rsid w:val="00771DFD"/>
    <w:rsid w:val="00790994"/>
    <w:rsid w:val="007A5173"/>
    <w:rsid w:val="007C2AAE"/>
    <w:rsid w:val="007D765C"/>
    <w:rsid w:val="007F420C"/>
    <w:rsid w:val="00817763"/>
    <w:rsid w:val="0082015E"/>
    <w:rsid w:val="008273D8"/>
    <w:rsid w:val="00867B13"/>
    <w:rsid w:val="008B269D"/>
    <w:rsid w:val="008B3EEA"/>
    <w:rsid w:val="008D4274"/>
    <w:rsid w:val="008E4B52"/>
    <w:rsid w:val="0090061B"/>
    <w:rsid w:val="0090383D"/>
    <w:rsid w:val="00934D81"/>
    <w:rsid w:val="009464DC"/>
    <w:rsid w:val="009633DC"/>
    <w:rsid w:val="00963D74"/>
    <w:rsid w:val="00966246"/>
    <w:rsid w:val="00983689"/>
    <w:rsid w:val="009859CD"/>
    <w:rsid w:val="00996A66"/>
    <w:rsid w:val="009F4E07"/>
    <w:rsid w:val="009F64F4"/>
    <w:rsid w:val="00A203C2"/>
    <w:rsid w:val="00A60F9B"/>
    <w:rsid w:val="00A64E38"/>
    <w:rsid w:val="00A6671D"/>
    <w:rsid w:val="00A73284"/>
    <w:rsid w:val="00A754D6"/>
    <w:rsid w:val="00A81032"/>
    <w:rsid w:val="00AA1953"/>
    <w:rsid w:val="00AA5B29"/>
    <w:rsid w:val="00AA7A25"/>
    <w:rsid w:val="00AE5239"/>
    <w:rsid w:val="00B15AF1"/>
    <w:rsid w:val="00B44D92"/>
    <w:rsid w:val="00B53D76"/>
    <w:rsid w:val="00B746BE"/>
    <w:rsid w:val="00B771DC"/>
    <w:rsid w:val="00B95F13"/>
    <w:rsid w:val="00BC0A61"/>
    <w:rsid w:val="00BD2467"/>
    <w:rsid w:val="00BD3AE4"/>
    <w:rsid w:val="00BE0512"/>
    <w:rsid w:val="00BE14EC"/>
    <w:rsid w:val="00C016F1"/>
    <w:rsid w:val="00C06378"/>
    <w:rsid w:val="00C3526F"/>
    <w:rsid w:val="00C6496D"/>
    <w:rsid w:val="00CC031A"/>
    <w:rsid w:val="00CD14BB"/>
    <w:rsid w:val="00CE6D19"/>
    <w:rsid w:val="00CF049B"/>
    <w:rsid w:val="00D215F6"/>
    <w:rsid w:val="00D25B88"/>
    <w:rsid w:val="00D329B8"/>
    <w:rsid w:val="00D46271"/>
    <w:rsid w:val="00D55FCD"/>
    <w:rsid w:val="00D611DA"/>
    <w:rsid w:val="00D763DC"/>
    <w:rsid w:val="00D86D86"/>
    <w:rsid w:val="00DD20DF"/>
    <w:rsid w:val="00DD464A"/>
    <w:rsid w:val="00DF21B7"/>
    <w:rsid w:val="00DF45E8"/>
    <w:rsid w:val="00E56B4E"/>
    <w:rsid w:val="00E60E7C"/>
    <w:rsid w:val="00E63EA4"/>
    <w:rsid w:val="00E96E24"/>
    <w:rsid w:val="00EA4B4E"/>
    <w:rsid w:val="00EA5982"/>
    <w:rsid w:val="00EE357F"/>
    <w:rsid w:val="00EE79B0"/>
    <w:rsid w:val="00F000CF"/>
    <w:rsid w:val="00F206C8"/>
    <w:rsid w:val="00F21A8D"/>
    <w:rsid w:val="00F44F69"/>
    <w:rsid w:val="00F47ABD"/>
    <w:rsid w:val="00F50603"/>
    <w:rsid w:val="00F75296"/>
    <w:rsid w:val="00F80609"/>
    <w:rsid w:val="00F97183"/>
    <w:rsid w:val="00FD4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6B4E"/>
    <w:rPr>
      <w:color w:val="0000FF"/>
      <w:u w:val="single"/>
    </w:rPr>
  </w:style>
  <w:style w:type="paragraph" w:styleId="Footer">
    <w:name w:val="footer"/>
    <w:basedOn w:val="Normal"/>
    <w:link w:val="FooterChar"/>
    <w:rsid w:val="000877A2"/>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0877A2"/>
    <w:rPr>
      <w:rFonts w:ascii="Times New Roman" w:eastAsia="Times New Roman" w:hAnsi="Times New Roman" w:cs="Times New Roman"/>
      <w:sz w:val="20"/>
      <w:szCs w:val="20"/>
    </w:rPr>
  </w:style>
  <w:style w:type="character" w:styleId="PageNumber">
    <w:name w:val="page number"/>
    <w:basedOn w:val="DefaultParagraphFont"/>
    <w:rsid w:val="000877A2"/>
  </w:style>
  <w:style w:type="character" w:styleId="CommentReference">
    <w:name w:val="annotation reference"/>
    <w:basedOn w:val="DefaultParagraphFont"/>
    <w:uiPriority w:val="99"/>
    <w:semiHidden/>
    <w:unhideWhenUsed/>
    <w:rsid w:val="00687CB6"/>
    <w:rPr>
      <w:sz w:val="16"/>
      <w:szCs w:val="16"/>
    </w:rPr>
  </w:style>
  <w:style w:type="paragraph" w:styleId="CommentText">
    <w:name w:val="annotation text"/>
    <w:basedOn w:val="Normal"/>
    <w:link w:val="CommentTextChar"/>
    <w:uiPriority w:val="99"/>
    <w:semiHidden/>
    <w:unhideWhenUsed/>
    <w:rsid w:val="00687CB6"/>
    <w:rPr>
      <w:sz w:val="20"/>
      <w:szCs w:val="20"/>
    </w:rPr>
  </w:style>
  <w:style w:type="character" w:customStyle="1" w:styleId="CommentTextChar">
    <w:name w:val="Comment Text Char"/>
    <w:basedOn w:val="DefaultParagraphFont"/>
    <w:link w:val="CommentText"/>
    <w:uiPriority w:val="99"/>
    <w:semiHidden/>
    <w:rsid w:val="00687C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CB6"/>
    <w:rPr>
      <w:b/>
      <w:bCs/>
    </w:rPr>
  </w:style>
  <w:style w:type="character" w:customStyle="1" w:styleId="CommentSubjectChar">
    <w:name w:val="Comment Subject Char"/>
    <w:basedOn w:val="CommentTextChar"/>
    <w:link w:val="CommentSubject"/>
    <w:uiPriority w:val="99"/>
    <w:semiHidden/>
    <w:rsid w:val="00687C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7CB6"/>
    <w:rPr>
      <w:rFonts w:ascii="Tahoma" w:hAnsi="Tahoma" w:cs="Tahoma"/>
      <w:sz w:val="16"/>
      <w:szCs w:val="16"/>
    </w:rPr>
  </w:style>
  <w:style w:type="character" w:customStyle="1" w:styleId="BalloonTextChar">
    <w:name w:val="Balloon Text Char"/>
    <w:basedOn w:val="DefaultParagraphFont"/>
    <w:link w:val="BalloonText"/>
    <w:uiPriority w:val="99"/>
    <w:semiHidden/>
    <w:rsid w:val="00687C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6B4E"/>
    <w:rPr>
      <w:color w:val="0000FF"/>
      <w:u w:val="single"/>
    </w:rPr>
  </w:style>
  <w:style w:type="paragraph" w:styleId="Footer">
    <w:name w:val="footer"/>
    <w:basedOn w:val="Normal"/>
    <w:link w:val="FooterChar"/>
    <w:rsid w:val="000877A2"/>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0877A2"/>
    <w:rPr>
      <w:rFonts w:ascii="Times New Roman" w:eastAsia="Times New Roman" w:hAnsi="Times New Roman" w:cs="Times New Roman"/>
      <w:sz w:val="20"/>
      <w:szCs w:val="20"/>
    </w:rPr>
  </w:style>
  <w:style w:type="character" w:styleId="PageNumber">
    <w:name w:val="page number"/>
    <w:basedOn w:val="DefaultParagraphFont"/>
    <w:rsid w:val="000877A2"/>
  </w:style>
  <w:style w:type="character" w:styleId="CommentReference">
    <w:name w:val="annotation reference"/>
    <w:basedOn w:val="DefaultParagraphFont"/>
    <w:uiPriority w:val="99"/>
    <w:semiHidden/>
    <w:unhideWhenUsed/>
    <w:rsid w:val="00687CB6"/>
    <w:rPr>
      <w:sz w:val="16"/>
      <w:szCs w:val="16"/>
    </w:rPr>
  </w:style>
  <w:style w:type="paragraph" w:styleId="CommentText">
    <w:name w:val="annotation text"/>
    <w:basedOn w:val="Normal"/>
    <w:link w:val="CommentTextChar"/>
    <w:uiPriority w:val="99"/>
    <w:semiHidden/>
    <w:unhideWhenUsed/>
    <w:rsid w:val="00687CB6"/>
    <w:rPr>
      <w:sz w:val="20"/>
      <w:szCs w:val="20"/>
    </w:rPr>
  </w:style>
  <w:style w:type="character" w:customStyle="1" w:styleId="CommentTextChar">
    <w:name w:val="Comment Text Char"/>
    <w:basedOn w:val="DefaultParagraphFont"/>
    <w:link w:val="CommentText"/>
    <w:uiPriority w:val="99"/>
    <w:semiHidden/>
    <w:rsid w:val="00687C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CB6"/>
    <w:rPr>
      <w:b/>
      <w:bCs/>
    </w:rPr>
  </w:style>
  <w:style w:type="character" w:customStyle="1" w:styleId="CommentSubjectChar">
    <w:name w:val="Comment Subject Char"/>
    <w:basedOn w:val="CommentTextChar"/>
    <w:link w:val="CommentSubject"/>
    <w:uiPriority w:val="99"/>
    <w:semiHidden/>
    <w:rsid w:val="00687C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7CB6"/>
    <w:rPr>
      <w:rFonts w:ascii="Tahoma" w:hAnsi="Tahoma" w:cs="Tahoma"/>
      <w:sz w:val="16"/>
      <w:szCs w:val="16"/>
    </w:rPr>
  </w:style>
  <w:style w:type="character" w:customStyle="1" w:styleId="BalloonTextChar">
    <w:name w:val="Balloon Text Char"/>
    <w:basedOn w:val="DefaultParagraphFont"/>
    <w:link w:val="BalloonText"/>
    <w:uiPriority w:val="99"/>
    <w:semiHidden/>
    <w:rsid w:val="00687C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laskafisheries.noaa.gov/ra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file:///\\akr-j04\sf\user\pbearden\omb\2011\observer\0318%20Observer%20Prgm%20(includes%20fee)\NAO%20216-100" TargetMode="External"/><Relationship Id="rId4" Type="http://schemas.openxmlformats.org/officeDocument/2006/relationships/footnotes" Target="footnotes.xml"/><Relationship Id="rId9" Type="http://schemas.openxmlformats.org/officeDocument/2006/relationships/hyperlink" Target="https://alaskafisheries.noaa.gov/webapps/ifqaccount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sarah.brabson</cp:lastModifiedBy>
  <cp:revision>17</cp:revision>
  <cp:lastPrinted>2012-04-16T14:39:00Z</cp:lastPrinted>
  <dcterms:created xsi:type="dcterms:W3CDTF">2012-04-13T19:45:00Z</dcterms:created>
  <dcterms:modified xsi:type="dcterms:W3CDTF">2012-04-19T13:59:00Z</dcterms:modified>
</cp:coreProperties>
</file>