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9D" w:rsidRDefault="00470D61" w:rsidP="005D4E32">
      <w:pPr>
        <w:pStyle w:val="Heading1"/>
        <w:numPr>
          <w:ilvl w:val="0"/>
          <w:numId w:val="0"/>
        </w:numPr>
      </w:pPr>
      <w:r>
        <w:t xml:space="preserve">Appendix </w:t>
      </w:r>
      <w:r w:rsidR="000F0BCF">
        <w:t>A</w:t>
      </w:r>
      <w:r>
        <w:t>: Implementation Study Research Questions</w:t>
      </w:r>
    </w:p>
    <w:p w:rsidR="00470D61" w:rsidRDefault="00470D61" w:rsidP="00B3359D">
      <w:pPr>
        <w:pStyle w:val="BodyText"/>
      </w:pPr>
    </w:p>
    <w:p w:rsidR="00B3359D" w:rsidRDefault="00B3359D" w:rsidP="00B3359D">
      <w:pPr>
        <w:pStyle w:val="BodyText"/>
        <w:sectPr w:rsidR="00B3359D" w:rsidSect="00B4007E">
          <w:headerReference w:type="even" r:id="rId9"/>
          <w:headerReference w:type="default" r:id="rId10"/>
          <w:footerReference w:type="even" r:id="rId11"/>
          <w:footerReference w:type="default" r:id="rId12"/>
          <w:type w:val="oddPage"/>
          <w:pgSz w:w="12240" w:h="15840" w:code="1"/>
          <w:pgMar w:top="1440" w:right="1440" w:bottom="1440" w:left="1800" w:header="1080" w:footer="720" w:gutter="0"/>
          <w:cols w:space="720"/>
          <w:docGrid w:linePitch="299"/>
        </w:sectPr>
      </w:pPr>
    </w:p>
    <w:p w:rsidR="00B3359D" w:rsidRDefault="00B3359D" w:rsidP="00B3359D">
      <w:pPr>
        <w:pStyle w:val="Caption"/>
      </w:pPr>
      <w:r w:rsidRPr="00EB3B07">
        <w:lastRenderedPageBreak/>
        <w:t xml:space="preserve">Exhibit </w:t>
      </w:r>
      <w:r w:rsidR="000F0BCF">
        <w:t>A</w:t>
      </w:r>
      <w:r w:rsidRPr="00EB3B07">
        <w:t>.</w:t>
      </w:r>
      <w:r>
        <w:t>1:  State-</w:t>
      </w:r>
      <w:r w:rsidRPr="00EB3B07">
        <w:t>Level Research Questions</w:t>
      </w:r>
    </w:p>
    <w:p w:rsidR="00470D61" w:rsidRPr="00470D61" w:rsidRDefault="00470D61" w:rsidP="00470D61">
      <w:pPr>
        <w:rPr>
          <w:i/>
        </w:rPr>
      </w:pPr>
      <w:r w:rsidRPr="00470D61">
        <w:rPr>
          <w:i/>
        </w:rPr>
        <w:t>(Questions in italics added to expand on the specified research questions)</w:t>
      </w:r>
    </w:p>
    <w:tbl>
      <w:tblPr>
        <w:tblStyle w:val="COMELtable"/>
        <w:tblW w:w="12960" w:type="dxa"/>
        <w:tblInd w:w="115" w:type="dxa"/>
        <w:tblLayout w:type="fixed"/>
        <w:tblLook w:val="04A0" w:firstRow="1" w:lastRow="0" w:firstColumn="1" w:lastColumn="0" w:noHBand="0" w:noVBand="1"/>
      </w:tblPr>
      <w:tblGrid>
        <w:gridCol w:w="12960"/>
      </w:tblGrid>
      <w:tr w:rsidR="00B3359D" w:rsidTr="00470D61">
        <w:trPr>
          <w:cnfStyle w:val="100000000000" w:firstRow="1" w:lastRow="0" w:firstColumn="0" w:lastColumn="0" w:oddVBand="0" w:evenVBand="0" w:oddHBand="0" w:evenHBand="0" w:firstRowFirstColumn="0" w:firstRowLastColumn="0" w:lastRowFirstColumn="0" w:lastRowLastColumn="0"/>
        </w:trPr>
        <w:tc>
          <w:tcPr>
            <w:tcW w:w="12960" w:type="dxa"/>
            <w:tcBorders>
              <w:bottom w:val="nil"/>
            </w:tcBorders>
            <w:shd w:val="clear" w:color="auto" w:fill="FFFFFF" w:themeFill="background1"/>
          </w:tcPr>
          <w:p w:rsidR="00B3359D" w:rsidRDefault="00B3359D" w:rsidP="00470D61">
            <w:pPr>
              <w:pStyle w:val="ExhibitText"/>
              <w:tabs>
                <w:tab w:val="left" w:pos="720"/>
              </w:tabs>
              <w:jc w:val="left"/>
            </w:pPr>
            <w:r>
              <w:t xml:space="preserve">RQ1:  </w:t>
            </w:r>
            <w:r>
              <w:tab/>
              <w:t>How difficult is it to implement the Community Eligibility Option?</w:t>
            </w:r>
          </w:p>
        </w:tc>
      </w:tr>
      <w:tr w:rsidR="00B3359D" w:rsidRPr="00777B16" w:rsidTr="00B3359D">
        <w:tc>
          <w:tcPr>
            <w:tcW w:w="12960" w:type="dxa"/>
            <w:tcBorders>
              <w:top w:val="nil"/>
              <w:bottom w:val="nil"/>
            </w:tcBorders>
          </w:tcPr>
          <w:p w:rsidR="00B3359D" w:rsidRPr="00777B16" w:rsidRDefault="00B3359D" w:rsidP="00470D61">
            <w:pPr>
              <w:pStyle w:val="Exhibit"/>
              <w:widowControl w:val="0"/>
              <w:tabs>
                <w:tab w:val="left" w:pos="720"/>
              </w:tabs>
              <w:spacing w:after="100" w:afterAutospacing="1"/>
              <w:rPr>
                <w:i/>
              </w:rPr>
            </w:pPr>
            <w:r>
              <w:rPr>
                <w:i/>
              </w:rPr>
              <w:tab/>
            </w:r>
            <w:r w:rsidRPr="00777B16">
              <w:rPr>
                <w:i/>
              </w:rPr>
              <w:t>Why did you choose to implement it</w:t>
            </w:r>
            <w:r>
              <w:rPr>
                <w:i/>
              </w:rPr>
              <w:t>/apply for funding</w:t>
            </w:r>
            <w:r w:rsidRPr="00777B16">
              <w:rPr>
                <w:i/>
              </w:rPr>
              <w:t>?  Why not?</w:t>
            </w:r>
          </w:p>
        </w:tc>
      </w:tr>
      <w:tr w:rsidR="00B3359D" w:rsidRPr="00777B16" w:rsidTr="00B3359D">
        <w:tc>
          <w:tcPr>
            <w:tcW w:w="12960" w:type="dxa"/>
            <w:tcBorders>
              <w:top w:val="nil"/>
              <w:bottom w:val="single" w:sz="4" w:space="0" w:color="auto"/>
            </w:tcBorders>
          </w:tcPr>
          <w:p w:rsidR="00B3359D" w:rsidRPr="00777B16" w:rsidRDefault="00B3359D" w:rsidP="00470D61">
            <w:pPr>
              <w:pStyle w:val="Exhibit"/>
              <w:widowControl w:val="0"/>
              <w:tabs>
                <w:tab w:val="left" w:pos="720"/>
              </w:tabs>
              <w:spacing w:after="100" w:afterAutospacing="1"/>
              <w:rPr>
                <w:i/>
              </w:rPr>
            </w:pPr>
            <w:r>
              <w:rPr>
                <w:i/>
              </w:rPr>
              <w:tab/>
            </w:r>
            <w:r w:rsidRPr="00777B16">
              <w:rPr>
                <w:i/>
              </w:rPr>
              <w:t>What were the barriers to implementation?  What were the facilitators?</w:t>
            </w:r>
          </w:p>
        </w:tc>
      </w:tr>
      <w:tr w:rsidR="00B3359D" w:rsidTr="00B3359D">
        <w:tc>
          <w:tcPr>
            <w:tcW w:w="12960" w:type="dxa"/>
            <w:tcBorders>
              <w:bottom w:val="nil"/>
            </w:tcBorders>
          </w:tcPr>
          <w:p w:rsidR="00B3359D" w:rsidRDefault="00B3359D" w:rsidP="00470D61">
            <w:pPr>
              <w:pStyle w:val="Exhibit"/>
              <w:widowControl w:val="0"/>
              <w:tabs>
                <w:tab w:val="left" w:pos="720"/>
              </w:tabs>
              <w:spacing w:after="100" w:afterAutospacing="1"/>
            </w:pPr>
            <w:r w:rsidRPr="00777B16">
              <w:t>RQ2:</w:t>
            </w:r>
            <w:r>
              <w:t xml:space="preserve">  </w:t>
            </w:r>
            <w:r>
              <w:tab/>
            </w:r>
            <w:r w:rsidRPr="00777B16">
              <w:t>How are the notification and public reporting requirements for State agencies implemented?  Are these requirements difficult to meet?</w:t>
            </w:r>
          </w:p>
        </w:tc>
      </w:tr>
      <w:tr w:rsidR="00B3359D" w:rsidRPr="00E47BDC" w:rsidTr="00B3359D">
        <w:tc>
          <w:tcPr>
            <w:tcW w:w="12960" w:type="dxa"/>
            <w:tcBorders>
              <w:top w:val="nil"/>
              <w:bottom w:val="nil"/>
            </w:tcBorders>
          </w:tcPr>
          <w:p w:rsidR="00B3359D" w:rsidRPr="00E47BDC" w:rsidRDefault="00B3359D" w:rsidP="00470D61">
            <w:pPr>
              <w:pStyle w:val="Exhibit"/>
              <w:widowControl w:val="0"/>
              <w:tabs>
                <w:tab w:val="left" w:pos="720"/>
              </w:tabs>
              <w:spacing w:after="100" w:afterAutospacing="1"/>
              <w:rPr>
                <w:i/>
              </w:rPr>
            </w:pPr>
            <w:r>
              <w:rPr>
                <w:i/>
              </w:rPr>
              <w:tab/>
            </w:r>
            <w:r w:rsidRPr="00E47BDC">
              <w:rPr>
                <w:i/>
              </w:rPr>
              <w:t>How are the messages to the LEAs developed?</w:t>
            </w:r>
          </w:p>
        </w:tc>
      </w:tr>
      <w:tr w:rsidR="00B3359D" w:rsidRPr="00E47BDC" w:rsidTr="00B3359D">
        <w:tc>
          <w:tcPr>
            <w:tcW w:w="12960" w:type="dxa"/>
            <w:tcBorders>
              <w:top w:val="nil"/>
              <w:bottom w:val="single" w:sz="4" w:space="0" w:color="auto"/>
            </w:tcBorders>
          </w:tcPr>
          <w:p w:rsidR="00B3359D" w:rsidRPr="00E47BDC" w:rsidRDefault="00B3359D" w:rsidP="00470D61">
            <w:pPr>
              <w:pStyle w:val="Exhibit"/>
              <w:widowControl w:val="0"/>
              <w:tabs>
                <w:tab w:val="left" w:pos="720"/>
              </w:tabs>
              <w:spacing w:after="100" w:afterAutospacing="1"/>
              <w:rPr>
                <w:i/>
              </w:rPr>
            </w:pPr>
            <w:r>
              <w:rPr>
                <w:i/>
              </w:rPr>
              <w:tab/>
            </w:r>
            <w:r w:rsidRPr="00E47BDC">
              <w:rPr>
                <w:i/>
              </w:rPr>
              <w:t>How are the messages to the LEAs communicated?</w:t>
            </w:r>
          </w:p>
        </w:tc>
      </w:tr>
      <w:tr w:rsidR="00B3359D" w:rsidTr="00B3359D">
        <w:tc>
          <w:tcPr>
            <w:tcW w:w="12960" w:type="dxa"/>
            <w:tcBorders>
              <w:bottom w:val="nil"/>
            </w:tcBorders>
          </w:tcPr>
          <w:p w:rsidR="00B3359D" w:rsidRDefault="00B3359D" w:rsidP="00470D61">
            <w:pPr>
              <w:pStyle w:val="Exhibit"/>
              <w:widowControl w:val="0"/>
              <w:tabs>
                <w:tab w:val="left" w:pos="720"/>
              </w:tabs>
              <w:spacing w:after="100" w:afterAutospacing="1"/>
              <w:ind w:left="819" w:hanging="819"/>
            </w:pPr>
            <w:r w:rsidRPr="00E47BDC">
              <w:t xml:space="preserve">RQ3: </w:t>
            </w:r>
            <w:r>
              <w:tab/>
            </w:r>
            <w:r w:rsidRPr="00E47BDC">
              <w:t xml:space="preserve">For LEAs identified as eligible for the Community </w:t>
            </w:r>
            <w:r>
              <w:t>Eligibility O</w:t>
            </w:r>
            <w:r w:rsidRPr="00E47BDC">
              <w:t>ption, is there any effort on the part of State Agencies to verify that the enrollment and identified student data from either the Verification Summary Report (FNS-724) or direct certification system is accurate?</w:t>
            </w:r>
          </w:p>
        </w:tc>
      </w:tr>
      <w:tr w:rsidR="00B3359D" w:rsidRPr="00E47BDC" w:rsidTr="00B3359D">
        <w:tc>
          <w:tcPr>
            <w:tcW w:w="12960" w:type="dxa"/>
            <w:tcBorders>
              <w:top w:val="nil"/>
              <w:bottom w:val="nil"/>
            </w:tcBorders>
          </w:tcPr>
          <w:p w:rsidR="00B3359D" w:rsidRPr="00E47BDC" w:rsidRDefault="00B3359D" w:rsidP="00470D61">
            <w:pPr>
              <w:pStyle w:val="Exhibit"/>
              <w:widowControl w:val="0"/>
              <w:tabs>
                <w:tab w:val="left" w:pos="720"/>
              </w:tabs>
              <w:spacing w:after="100" w:afterAutospacing="1"/>
              <w:ind w:left="819"/>
              <w:rPr>
                <w:i/>
              </w:rPr>
            </w:pPr>
            <w:r w:rsidRPr="00E47BDC">
              <w:rPr>
                <w:i/>
              </w:rPr>
              <w:t xml:space="preserve">If so, how is this done?  What </w:t>
            </w:r>
            <w:r>
              <w:rPr>
                <w:i/>
              </w:rPr>
              <w:t>e</w:t>
            </w:r>
            <w:r w:rsidRPr="00E47BDC">
              <w:rPr>
                <w:i/>
              </w:rPr>
              <w:t>ffect, if any, does the verification process have on the administration of the Community Eligibility Option?</w:t>
            </w:r>
          </w:p>
        </w:tc>
      </w:tr>
      <w:tr w:rsidR="00B3359D" w:rsidRPr="00E47BDC" w:rsidTr="00B3359D">
        <w:tc>
          <w:tcPr>
            <w:tcW w:w="12960" w:type="dxa"/>
            <w:tcBorders>
              <w:top w:val="nil"/>
              <w:bottom w:val="nil"/>
            </w:tcBorders>
          </w:tcPr>
          <w:p w:rsidR="00B3359D" w:rsidRPr="00E47BDC" w:rsidRDefault="00B3359D" w:rsidP="00470D61">
            <w:pPr>
              <w:pStyle w:val="Exhibit"/>
              <w:widowControl w:val="0"/>
              <w:tabs>
                <w:tab w:val="left" w:pos="720"/>
              </w:tabs>
              <w:spacing w:after="100" w:afterAutospacing="1"/>
              <w:ind w:left="819"/>
              <w:rPr>
                <w:i/>
              </w:rPr>
            </w:pPr>
            <w:r w:rsidRPr="00E47BDC">
              <w:rPr>
                <w:i/>
              </w:rPr>
              <w:t>If there is a verification process, who is primarily responsible for the verification of data?</w:t>
            </w:r>
          </w:p>
        </w:tc>
      </w:tr>
      <w:tr w:rsidR="00B3359D" w:rsidRPr="00E47BDC" w:rsidTr="00B3359D">
        <w:tc>
          <w:tcPr>
            <w:tcW w:w="12960" w:type="dxa"/>
            <w:tcBorders>
              <w:top w:val="nil"/>
              <w:bottom w:val="single" w:sz="4" w:space="0" w:color="auto"/>
            </w:tcBorders>
          </w:tcPr>
          <w:p w:rsidR="00B3359D" w:rsidRPr="00E47BDC" w:rsidRDefault="00B3359D" w:rsidP="00470D61">
            <w:pPr>
              <w:pStyle w:val="Exhibit"/>
              <w:widowControl w:val="0"/>
              <w:tabs>
                <w:tab w:val="left" w:pos="720"/>
              </w:tabs>
              <w:spacing w:after="100" w:afterAutospacing="1"/>
              <w:ind w:left="819"/>
              <w:rPr>
                <w:i/>
              </w:rPr>
            </w:pPr>
            <w:r w:rsidRPr="00E47BDC">
              <w:rPr>
                <w:i/>
              </w:rPr>
              <w:t>If the verification process is not done, what are the primary reasons?</w:t>
            </w:r>
          </w:p>
        </w:tc>
      </w:tr>
      <w:tr w:rsidR="00B3359D" w:rsidTr="00B3359D">
        <w:tc>
          <w:tcPr>
            <w:tcW w:w="12960" w:type="dxa"/>
            <w:tcBorders>
              <w:bottom w:val="nil"/>
            </w:tcBorders>
          </w:tcPr>
          <w:p w:rsidR="00B3359D" w:rsidRDefault="00B3359D" w:rsidP="00470D61">
            <w:pPr>
              <w:pStyle w:val="Exhibit"/>
              <w:widowControl w:val="0"/>
              <w:tabs>
                <w:tab w:val="left" w:pos="720"/>
              </w:tabs>
              <w:spacing w:after="100" w:afterAutospacing="1"/>
              <w:ind w:left="819" w:hanging="819"/>
            </w:pPr>
            <w:r w:rsidRPr="00E47BDC">
              <w:t xml:space="preserve">RQ4: </w:t>
            </w:r>
            <w:r>
              <w:tab/>
            </w:r>
            <w:r w:rsidRPr="00E47BDC">
              <w:t>Do State Agencies receive timely information (e.g., lists of eligible and near-eligible schools, notification of desire to participate) from LEAs with one or more eligible schools?</w:t>
            </w:r>
          </w:p>
        </w:tc>
      </w:tr>
      <w:tr w:rsidR="00B3359D" w:rsidRPr="005C79D2" w:rsidTr="00B3359D">
        <w:tc>
          <w:tcPr>
            <w:tcW w:w="12960" w:type="dxa"/>
            <w:tcBorders>
              <w:top w:val="nil"/>
              <w:bottom w:val="single" w:sz="4" w:space="0" w:color="auto"/>
            </w:tcBorders>
          </w:tcPr>
          <w:p w:rsidR="00B3359D" w:rsidRPr="005C79D2" w:rsidRDefault="00B3359D" w:rsidP="00470D61">
            <w:pPr>
              <w:pStyle w:val="Exhibit"/>
              <w:widowControl w:val="0"/>
              <w:tabs>
                <w:tab w:val="left" w:pos="720"/>
              </w:tabs>
              <w:spacing w:after="100" w:afterAutospacing="1"/>
              <w:ind w:left="819"/>
              <w:rPr>
                <w:i/>
              </w:rPr>
            </w:pPr>
            <w:r w:rsidRPr="005C79D2">
              <w:rPr>
                <w:i/>
              </w:rPr>
              <w:t>How do the State Agencies receive this information from LEAs?  Is the format for the information developed by the LEA or dictated by the State Agency?</w:t>
            </w:r>
          </w:p>
        </w:tc>
      </w:tr>
      <w:tr w:rsidR="00B3359D" w:rsidTr="00B3359D">
        <w:tc>
          <w:tcPr>
            <w:tcW w:w="12960" w:type="dxa"/>
            <w:tcBorders>
              <w:bottom w:val="nil"/>
            </w:tcBorders>
          </w:tcPr>
          <w:p w:rsidR="00B3359D" w:rsidRDefault="00B3359D" w:rsidP="00470D61">
            <w:pPr>
              <w:pStyle w:val="Exhibit"/>
              <w:widowControl w:val="0"/>
              <w:tabs>
                <w:tab w:val="left" w:pos="720"/>
              </w:tabs>
              <w:spacing w:after="100" w:afterAutospacing="1"/>
              <w:ind w:left="819" w:hanging="819"/>
            </w:pPr>
            <w:r w:rsidRPr="00E47BDC">
              <w:t xml:space="preserve">RQ5:  </w:t>
            </w:r>
            <w:r>
              <w:tab/>
            </w:r>
            <w:r w:rsidRPr="00E47BDC">
              <w:t>What do State Agencies do to confirm that the enrollment and number of Identified Students in individual schools an LEA has identified as eligible are correct?</w:t>
            </w:r>
          </w:p>
        </w:tc>
      </w:tr>
      <w:tr w:rsidR="00B3359D" w:rsidRPr="005C79D2" w:rsidTr="00B3359D">
        <w:tc>
          <w:tcPr>
            <w:tcW w:w="12960" w:type="dxa"/>
            <w:tcBorders>
              <w:top w:val="nil"/>
              <w:bottom w:val="single" w:sz="4" w:space="0" w:color="auto"/>
            </w:tcBorders>
          </w:tcPr>
          <w:p w:rsidR="00B3359D" w:rsidRPr="005C79D2" w:rsidRDefault="00B3359D" w:rsidP="00470D61">
            <w:pPr>
              <w:pStyle w:val="Exhibit"/>
              <w:widowControl w:val="0"/>
              <w:tabs>
                <w:tab w:val="left" w:pos="720"/>
              </w:tabs>
              <w:spacing w:after="100" w:afterAutospacing="1"/>
              <w:ind w:left="819"/>
              <w:rPr>
                <w:i/>
              </w:rPr>
            </w:pPr>
            <w:r w:rsidRPr="005C79D2">
              <w:rPr>
                <w:i/>
              </w:rPr>
              <w:t>Are there any aspects of this process that have enhanced the State Agency’s data-tracking mechanisms?</w:t>
            </w:r>
          </w:p>
        </w:tc>
      </w:tr>
      <w:tr w:rsidR="00B3359D" w:rsidTr="00B3359D">
        <w:tc>
          <w:tcPr>
            <w:tcW w:w="12960" w:type="dxa"/>
            <w:tcBorders>
              <w:bottom w:val="nil"/>
            </w:tcBorders>
          </w:tcPr>
          <w:p w:rsidR="00B3359D" w:rsidRDefault="00B3359D" w:rsidP="00470D61">
            <w:pPr>
              <w:pStyle w:val="Exhibit"/>
              <w:widowControl w:val="0"/>
              <w:tabs>
                <w:tab w:val="left" w:pos="720"/>
              </w:tabs>
              <w:spacing w:after="100" w:afterAutospacing="1"/>
              <w:ind w:left="819" w:hanging="819"/>
            </w:pPr>
            <w:r w:rsidRPr="00E47BDC">
              <w:t xml:space="preserve">RQ6:  </w:t>
            </w:r>
            <w:r>
              <w:tab/>
            </w:r>
            <w:r w:rsidRPr="00E47BDC">
              <w:t>Have State Agencies had to alter their financial payment system to accommodate the meal reimbursement payments for schools/LEAs participatin</w:t>
            </w:r>
            <w:r>
              <w:t>g in the Community Eligibility O</w:t>
            </w:r>
            <w:r w:rsidRPr="00E47BDC">
              <w:t>ption?</w:t>
            </w:r>
          </w:p>
        </w:tc>
      </w:tr>
      <w:tr w:rsidR="00B3359D" w:rsidRPr="005C79D2" w:rsidTr="00B3359D">
        <w:tc>
          <w:tcPr>
            <w:tcW w:w="12960" w:type="dxa"/>
            <w:tcBorders>
              <w:top w:val="nil"/>
              <w:bottom w:val="nil"/>
            </w:tcBorders>
          </w:tcPr>
          <w:p w:rsidR="00B3359D" w:rsidRPr="005C79D2" w:rsidRDefault="00B3359D" w:rsidP="00470D61">
            <w:pPr>
              <w:pStyle w:val="Exhibit"/>
              <w:widowControl w:val="0"/>
              <w:tabs>
                <w:tab w:val="left" w:pos="720"/>
              </w:tabs>
              <w:spacing w:after="100" w:afterAutospacing="1"/>
              <w:ind w:left="819"/>
              <w:rPr>
                <w:i/>
              </w:rPr>
            </w:pPr>
            <w:r w:rsidRPr="005C79D2">
              <w:rPr>
                <w:i/>
              </w:rPr>
              <w:t>If so, how have the payment systems been altered?</w:t>
            </w:r>
          </w:p>
        </w:tc>
      </w:tr>
      <w:tr w:rsidR="00B3359D" w:rsidRPr="005C79D2" w:rsidTr="00B3359D">
        <w:tc>
          <w:tcPr>
            <w:tcW w:w="12960" w:type="dxa"/>
            <w:tcBorders>
              <w:top w:val="nil"/>
              <w:bottom w:val="nil"/>
            </w:tcBorders>
          </w:tcPr>
          <w:p w:rsidR="00B3359D" w:rsidRPr="005C79D2" w:rsidRDefault="00B3359D" w:rsidP="00470D61">
            <w:pPr>
              <w:pStyle w:val="Exhibit"/>
              <w:widowControl w:val="0"/>
              <w:tabs>
                <w:tab w:val="left" w:pos="720"/>
              </w:tabs>
              <w:spacing w:after="100" w:afterAutospacing="1"/>
              <w:ind w:left="819"/>
              <w:rPr>
                <w:i/>
              </w:rPr>
            </w:pPr>
            <w:r w:rsidRPr="005C79D2">
              <w:rPr>
                <w:i/>
              </w:rPr>
              <w:t xml:space="preserve">What have been the barriers to </w:t>
            </w:r>
            <w:r>
              <w:rPr>
                <w:i/>
              </w:rPr>
              <w:t>successful implementation of the financial payment system to accommodate the Community Eligibility Option? What have been the facilitators?</w:t>
            </w:r>
          </w:p>
        </w:tc>
      </w:tr>
      <w:tr w:rsidR="00B3359D" w:rsidRPr="005C79D2" w:rsidTr="00B3359D">
        <w:tc>
          <w:tcPr>
            <w:tcW w:w="12960" w:type="dxa"/>
            <w:tcBorders>
              <w:top w:val="nil"/>
              <w:bottom w:val="single" w:sz="4" w:space="0" w:color="auto"/>
            </w:tcBorders>
          </w:tcPr>
          <w:p w:rsidR="00B3359D" w:rsidRPr="005C79D2" w:rsidRDefault="00B3359D" w:rsidP="00470D61">
            <w:pPr>
              <w:pStyle w:val="Exhibit"/>
              <w:widowControl w:val="0"/>
              <w:tabs>
                <w:tab w:val="left" w:pos="720"/>
              </w:tabs>
              <w:spacing w:after="100" w:afterAutospacing="1"/>
              <w:ind w:left="819"/>
              <w:rPr>
                <w:i/>
              </w:rPr>
            </w:pPr>
            <w:r w:rsidRPr="005C79D2">
              <w:rPr>
                <w:i/>
              </w:rPr>
              <w:t xml:space="preserve">To what extent has it been </w:t>
            </w:r>
            <w:proofErr w:type="gramStart"/>
            <w:r w:rsidRPr="005C79D2">
              <w:rPr>
                <w:i/>
              </w:rPr>
              <w:t>an issue to have only select LEAs or schools participat</w:t>
            </w:r>
            <w:r>
              <w:rPr>
                <w:i/>
              </w:rPr>
              <w:t>e</w:t>
            </w:r>
            <w:proofErr w:type="gramEnd"/>
            <w:r>
              <w:rPr>
                <w:i/>
              </w:rPr>
              <w:t xml:space="preserve"> in the Community Eligibility O</w:t>
            </w:r>
            <w:r w:rsidRPr="005C79D2">
              <w:rPr>
                <w:i/>
              </w:rPr>
              <w:t>ption?</w:t>
            </w:r>
          </w:p>
        </w:tc>
      </w:tr>
      <w:tr w:rsidR="00B3359D" w:rsidRPr="005C79D2" w:rsidTr="00B3359D">
        <w:tc>
          <w:tcPr>
            <w:tcW w:w="12960" w:type="dxa"/>
            <w:tcBorders>
              <w:top w:val="single" w:sz="4" w:space="0" w:color="auto"/>
              <w:bottom w:val="single" w:sz="4" w:space="0" w:color="auto"/>
            </w:tcBorders>
          </w:tcPr>
          <w:p w:rsidR="00B3359D" w:rsidRPr="005C79D2" w:rsidRDefault="00B3359D" w:rsidP="00470D61">
            <w:pPr>
              <w:tabs>
                <w:tab w:val="left" w:pos="720"/>
              </w:tabs>
              <w:spacing w:after="0"/>
              <w:ind w:left="720" w:hanging="720"/>
              <w:rPr>
                <w:i/>
              </w:rPr>
            </w:pPr>
            <w:r w:rsidRPr="00737D63">
              <w:rPr>
                <w:rFonts w:ascii="Arial" w:hAnsi="Arial"/>
                <w:sz w:val="18"/>
              </w:rPr>
              <w:t>RQ7:</w:t>
            </w:r>
            <w:r w:rsidRPr="00737D63">
              <w:rPr>
                <w:rFonts w:ascii="Arial" w:hAnsi="Arial"/>
                <w:sz w:val="18"/>
                <w:vertAlign w:val="superscript"/>
              </w:rPr>
              <w:t>a</w:t>
            </w:r>
            <w:r w:rsidRPr="00E47BDC">
              <w:t xml:space="preserve">  </w:t>
            </w:r>
            <w:r>
              <w:tab/>
            </w:r>
            <w:r w:rsidRPr="00737D63">
              <w:rPr>
                <w:rFonts w:ascii="Arial" w:hAnsi="Arial" w:cs="Arial"/>
                <w:sz w:val="18"/>
                <w:szCs w:val="18"/>
              </w:rPr>
              <w:t>How many of the LEAs that choose the C</w:t>
            </w:r>
            <w:r>
              <w:rPr>
                <w:rFonts w:ascii="Arial" w:hAnsi="Arial" w:cs="Arial"/>
                <w:sz w:val="18"/>
                <w:szCs w:val="18"/>
              </w:rPr>
              <w:t xml:space="preserve">ommunity </w:t>
            </w:r>
            <w:r w:rsidRPr="00737D63">
              <w:rPr>
                <w:rFonts w:ascii="Arial" w:hAnsi="Arial" w:cs="Arial"/>
                <w:sz w:val="18"/>
                <w:szCs w:val="18"/>
              </w:rPr>
              <w:t>E</w:t>
            </w:r>
            <w:r>
              <w:rPr>
                <w:rFonts w:ascii="Arial" w:hAnsi="Arial" w:cs="Arial"/>
                <w:sz w:val="18"/>
                <w:szCs w:val="18"/>
              </w:rPr>
              <w:t>ligibility</w:t>
            </w:r>
            <w:r w:rsidRPr="00737D63">
              <w:rPr>
                <w:rFonts w:ascii="Arial" w:hAnsi="Arial" w:cs="Arial"/>
                <w:sz w:val="18"/>
                <w:szCs w:val="18"/>
              </w:rPr>
              <w:t xml:space="preserve"> Option previously offered free NSLP lunches, free SBP breakfasts, or both for all students in participating schools?</w:t>
            </w:r>
            <w:r>
              <w:rPr>
                <w:color w:val="1F497D"/>
              </w:rPr>
              <w:t xml:space="preserve">  </w:t>
            </w:r>
          </w:p>
        </w:tc>
      </w:tr>
      <w:tr w:rsidR="00B3359D" w:rsidRPr="005C79D2" w:rsidTr="00B3359D">
        <w:tc>
          <w:tcPr>
            <w:tcW w:w="12960" w:type="dxa"/>
            <w:tcBorders>
              <w:top w:val="single" w:sz="4" w:space="0" w:color="auto"/>
              <w:bottom w:val="single" w:sz="4" w:space="0" w:color="auto"/>
            </w:tcBorders>
          </w:tcPr>
          <w:p w:rsidR="00B3359D" w:rsidRPr="00E47BDC" w:rsidRDefault="00B3359D" w:rsidP="00470D61">
            <w:pPr>
              <w:pStyle w:val="Exhibit"/>
              <w:widowControl w:val="0"/>
              <w:tabs>
                <w:tab w:val="left" w:pos="720"/>
              </w:tabs>
              <w:spacing w:after="100" w:afterAutospacing="1"/>
              <w:ind w:left="819" w:hanging="819"/>
            </w:pPr>
            <w:r w:rsidRPr="00E47BDC">
              <w:t>RQ</w:t>
            </w:r>
            <w:r>
              <w:t>8</w:t>
            </w:r>
            <w:proofErr w:type="gramStart"/>
            <w:r w:rsidRPr="00E47BDC">
              <w:t>:</w:t>
            </w:r>
            <w:r>
              <w:rPr>
                <w:vertAlign w:val="superscript"/>
              </w:rPr>
              <w:t>a</w:t>
            </w:r>
            <w:proofErr w:type="gramEnd"/>
            <w:r w:rsidRPr="00E47BDC">
              <w:t xml:space="preserve">  </w:t>
            </w:r>
            <w:r>
              <w:tab/>
            </w:r>
            <w:r>
              <w:rPr>
                <w:rFonts w:cs="Arial"/>
                <w:szCs w:val="18"/>
              </w:rPr>
              <w:t>How many LEAs elect the O</w:t>
            </w:r>
            <w:r w:rsidRPr="00E33426">
              <w:rPr>
                <w:rFonts w:cs="Arial"/>
                <w:szCs w:val="18"/>
              </w:rPr>
              <w:t>ption district wide, for some sch</w:t>
            </w:r>
            <w:r>
              <w:rPr>
                <w:rFonts w:cs="Arial"/>
                <w:szCs w:val="18"/>
              </w:rPr>
              <w:t>ools, or by groups of schools?</w:t>
            </w:r>
          </w:p>
        </w:tc>
      </w:tr>
    </w:tbl>
    <w:p w:rsidR="00B3359D" w:rsidRDefault="00B3359D" w:rsidP="00B3359D">
      <w:pPr>
        <w:pStyle w:val="ExhibitSource"/>
      </w:pPr>
      <w:proofErr w:type="spellStart"/>
      <w:proofErr w:type="gramStart"/>
      <w:r w:rsidRPr="003763EC">
        <w:rPr>
          <w:vertAlign w:val="superscript"/>
        </w:rPr>
        <w:t>a</w:t>
      </w:r>
      <w:proofErr w:type="spellEnd"/>
      <w:r>
        <w:t xml:space="preserve">  In</w:t>
      </w:r>
      <w:proofErr w:type="gramEnd"/>
      <w:r>
        <w:t xml:space="preserve"> addition to the semi-structured State interviews, State administrative data, provided to the study team, will be used to answer these research questions.</w:t>
      </w:r>
    </w:p>
    <w:p w:rsidR="00470D61" w:rsidRDefault="00470D61">
      <w:pPr>
        <w:spacing w:after="0" w:line="240" w:lineRule="auto"/>
        <w:rPr>
          <w:rFonts w:ascii="Arial" w:hAnsi="Arial"/>
          <w:b/>
          <w:bCs/>
          <w:sz w:val="20"/>
        </w:rPr>
      </w:pPr>
      <w:r>
        <w:br w:type="page"/>
      </w:r>
    </w:p>
    <w:p w:rsidR="00B3359D" w:rsidRDefault="000F0BCF" w:rsidP="00B3359D">
      <w:pPr>
        <w:pStyle w:val="Caption"/>
      </w:pPr>
      <w:r>
        <w:lastRenderedPageBreak/>
        <w:t>Exhibit A</w:t>
      </w:r>
      <w:bookmarkStart w:id="0" w:name="_GoBack"/>
      <w:bookmarkEnd w:id="0"/>
      <w:r w:rsidR="00B3359D">
        <w:t>.2:  LEA-Level Research Questions</w:t>
      </w:r>
    </w:p>
    <w:p w:rsidR="00470D61" w:rsidRPr="00470D61" w:rsidRDefault="00470D61" w:rsidP="00470D61">
      <w:pPr>
        <w:rPr>
          <w:i/>
        </w:rPr>
      </w:pPr>
      <w:r w:rsidRPr="00470D61">
        <w:rPr>
          <w:i/>
        </w:rPr>
        <w:t>(Questions in italics added to expand on the specified research questions)</w:t>
      </w:r>
    </w:p>
    <w:tbl>
      <w:tblPr>
        <w:tblStyle w:val="COMELtable"/>
        <w:tblW w:w="12960" w:type="dxa"/>
        <w:tblLook w:val="04A0" w:firstRow="1" w:lastRow="0" w:firstColumn="1" w:lastColumn="0" w:noHBand="0" w:noVBand="1"/>
      </w:tblPr>
      <w:tblGrid>
        <w:gridCol w:w="12960"/>
      </w:tblGrid>
      <w:tr w:rsidR="00470D61" w:rsidRPr="00470D61" w:rsidTr="00470D61">
        <w:trPr>
          <w:cnfStyle w:val="100000000000" w:firstRow="1" w:lastRow="0" w:firstColumn="0" w:lastColumn="0" w:oddVBand="0" w:evenVBand="0" w:oddHBand="0" w:evenHBand="0" w:firstRowFirstColumn="0" w:firstRowLastColumn="0" w:lastRowFirstColumn="0" w:lastRowLastColumn="0"/>
        </w:trPr>
        <w:tc>
          <w:tcPr>
            <w:tcW w:w="12960" w:type="dxa"/>
            <w:shd w:val="clear" w:color="auto" w:fill="FFFFFF" w:themeFill="background1"/>
          </w:tcPr>
          <w:p w:rsidR="00470D61" w:rsidRPr="00E33426" w:rsidRDefault="00470D61" w:rsidP="00470D61">
            <w:pPr>
              <w:pStyle w:val="Exhibit"/>
              <w:widowControl w:val="0"/>
              <w:tabs>
                <w:tab w:val="left" w:pos="720"/>
              </w:tabs>
              <w:jc w:val="left"/>
              <w:rPr>
                <w:rFonts w:cs="Arial"/>
                <w:szCs w:val="18"/>
              </w:rPr>
            </w:pPr>
            <w:r w:rsidRPr="00E33426">
              <w:rPr>
                <w:rFonts w:cs="Arial"/>
                <w:szCs w:val="18"/>
              </w:rPr>
              <w:t>RQ1</w:t>
            </w:r>
            <w:r>
              <w:rPr>
                <w:rFonts w:cs="Arial"/>
                <w:szCs w:val="18"/>
              </w:rPr>
              <w:t>:</w:t>
            </w:r>
            <w:r>
              <w:rPr>
                <w:rFonts w:cs="Arial"/>
                <w:szCs w:val="18"/>
              </w:rPr>
              <w:tab/>
            </w:r>
            <w:r w:rsidRPr="00E33426">
              <w:rPr>
                <w:rFonts w:cs="Arial"/>
                <w:szCs w:val="18"/>
              </w:rPr>
              <w:t xml:space="preserve">How appealing is the Community Eligibility </w:t>
            </w:r>
            <w:r>
              <w:rPr>
                <w:rFonts w:cs="Arial"/>
                <w:szCs w:val="18"/>
              </w:rPr>
              <w:t>Option</w:t>
            </w:r>
            <w:r w:rsidRPr="00E33426">
              <w:rPr>
                <w:rFonts w:cs="Arial"/>
                <w:szCs w:val="18"/>
              </w:rPr>
              <w:t xml:space="preserve"> to high poverty LEAs?  To high poverty schools?</w:t>
            </w:r>
          </w:p>
          <w:p w:rsidR="00470D61" w:rsidRPr="00470D61" w:rsidRDefault="00470D61" w:rsidP="00470D61">
            <w:pPr>
              <w:pStyle w:val="Exhibit"/>
              <w:widowControl w:val="0"/>
              <w:tabs>
                <w:tab w:val="left" w:pos="720"/>
              </w:tabs>
              <w:ind w:left="720"/>
              <w:jc w:val="left"/>
              <w:rPr>
                <w:rFonts w:cs="Arial"/>
                <w:szCs w:val="18"/>
              </w:rPr>
            </w:pPr>
            <w:r w:rsidRPr="00470D61">
              <w:rPr>
                <w:rFonts w:cs="Arial"/>
                <w:szCs w:val="18"/>
              </w:rPr>
              <w:t>How many LEAs and schools implement the Option? What is the take-up rate (percentage of eligible)?</w:t>
            </w:r>
          </w:p>
          <w:p w:rsidR="00470D61" w:rsidRPr="00470D61" w:rsidRDefault="00470D61" w:rsidP="00470D61">
            <w:pPr>
              <w:pStyle w:val="Exhibit"/>
              <w:widowControl w:val="0"/>
              <w:tabs>
                <w:tab w:val="left" w:pos="720"/>
              </w:tabs>
              <w:ind w:left="720"/>
              <w:jc w:val="left"/>
              <w:rPr>
                <w:rFonts w:cs="Arial"/>
                <w:szCs w:val="18"/>
              </w:rPr>
            </w:pPr>
            <w:r w:rsidRPr="00470D61">
              <w:rPr>
                <w:rFonts w:cs="Arial"/>
                <w:szCs w:val="18"/>
              </w:rPr>
              <w:t xml:space="preserve">What aspects of the Option make it appealing?  What aspects make it unappealing? </w:t>
            </w:r>
          </w:p>
          <w:p w:rsidR="00470D61" w:rsidRPr="00E33426" w:rsidRDefault="00470D61" w:rsidP="00470D61">
            <w:pPr>
              <w:pStyle w:val="Exhibit"/>
              <w:widowControl w:val="0"/>
              <w:tabs>
                <w:tab w:val="left" w:pos="720"/>
              </w:tabs>
              <w:ind w:left="720"/>
              <w:jc w:val="left"/>
              <w:rPr>
                <w:rFonts w:cs="Arial"/>
                <w:szCs w:val="18"/>
              </w:rPr>
            </w:pPr>
            <w:r w:rsidRPr="00470D61">
              <w:rPr>
                <w:rFonts w:cs="Arial"/>
                <w:szCs w:val="18"/>
              </w:rPr>
              <w:t>What are the biggest perceived advantages of the Community Eligibility Option to other reimbursement approaches (traditional, Provisions 1</w:t>
            </w:r>
            <w:proofErr w:type="gramStart"/>
            <w:r w:rsidRPr="00470D61">
              <w:rPr>
                <w:rFonts w:cs="Arial"/>
                <w:szCs w:val="18"/>
              </w:rPr>
              <w:t>,2,3</w:t>
            </w:r>
            <w:proofErr w:type="gramEnd"/>
            <w:r w:rsidRPr="00470D61">
              <w:rPr>
                <w:rFonts w:cs="Arial"/>
                <w:szCs w:val="18"/>
              </w:rPr>
              <w:t>)? The biggest perceived disadvantages? For participating LEAs, what is the decision-making process for electing the Community Eligibility Option?</w:t>
            </w:r>
          </w:p>
        </w:tc>
      </w:tr>
      <w:tr w:rsidR="00470D61" w:rsidRPr="008226D4" w:rsidTr="00470D61">
        <w:tc>
          <w:tcPr>
            <w:tcW w:w="12960" w:type="dxa"/>
          </w:tcPr>
          <w:p w:rsidR="00470D61" w:rsidRPr="00E33426" w:rsidRDefault="00470D61" w:rsidP="00470D61">
            <w:pPr>
              <w:pStyle w:val="Exhibit"/>
              <w:widowControl w:val="0"/>
              <w:tabs>
                <w:tab w:val="left" w:pos="720"/>
              </w:tabs>
              <w:rPr>
                <w:rFonts w:cs="Arial"/>
                <w:szCs w:val="18"/>
              </w:rPr>
            </w:pPr>
            <w:r w:rsidRPr="00E33426">
              <w:rPr>
                <w:rFonts w:cs="Arial"/>
                <w:szCs w:val="18"/>
              </w:rPr>
              <w:t>RQ2</w:t>
            </w:r>
            <w:r>
              <w:rPr>
                <w:rFonts w:cs="Arial"/>
                <w:szCs w:val="18"/>
              </w:rPr>
              <w:t>:</w:t>
            </w:r>
            <w:r>
              <w:rPr>
                <w:rFonts w:cs="Arial"/>
                <w:szCs w:val="18"/>
              </w:rPr>
              <w:tab/>
            </w:r>
            <w:r w:rsidRPr="00E33426">
              <w:rPr>
                <w:rFonts w:cs="Arial"/>
                <w:szCs w:val="18"/>
              </w:rPr>
              <w:t xml:space="preserve">For those eligible schools/LEAs that do not elect the Community Eligibility </w:t>
            </w:r>
            <w:r>
              <w:rPr>
                <w:rFonts w:cs="Arial"/>
                <w:szCs w:val="18"/>
              </w:rPr>
              <w:t>Option</w:t>
            </w:r>
            <w:r w:rsidRPr="00E33426">
              <w:rPr>
                <w:rFonts w:cs="Arial"/>
                <w:szCs w:val="18"/>
              </w:rPr>
              <w:t>, what are the barriers to participation?</w:t>
            </w:r>
          </w:p>
          <w:p w:rsidR="00470D61" w:rsidRPr="00E33426" w:rsidRDefault="00470D61" w:rsidP="00470D61">
            <w:pPr>
              <w:pStyle w:val="Exhibit"/>
              <w:widowControl w:val="0"/>
              <w:tabs>
                <w:tab w:val="left" w:pos="720"/>
              </w:tabs>
              <w:ind w:left="720"/>
              <w:rPr>
                <w:rFonts w:cs="Arial"/>
                <w:szCs w:val="18"/>
              </w:rPr>
            </w:pPr>
            <w:r w:rsidRPr="00E33426">
              <w:rPr>
                <w:rFonts w:cs="Arial"/>
                <w:i/>
                <w:szCs w:val="18"/>
              </w:rPr>
              <w:t xml:space="preserve">What is the decision-making process for electing the Community Eligibility </w:t>
            </w:r>
            <w:r>
              <w:rPr>
                <w:rFonts w:cs="Arial"/>
                <w:i/>
                <w:szCs w:val="18"/>
              </w:rPr>
              <w:t xml:space="preserve">Option?  </w:t>
            </w:r>
            <w:r w:rsidRPr="00E33426">
              <w:rPr>
                <w:rFonts w:cs="Arial"/>
                <w:i/>
                <w:szCs w:val="18"/>
              </w:rPr>
              <w:t>Is the decision-making power with the individual school or the LEA? Who is tasked with making the final determination?</w:t>
            </w:r>
          </w:p>
        </w:tc>
      </w:tr>
      <w:tr w:rsidR="00470D61" w:rsidRPr="008226D4" w:rsidTr="00470D61">
        <w:tc>
          <w:tcPr>
            <w:tcW w:w="12960" w:type="dxa"/>
          </w:tcPr>
          <w:p w:rsidR="00470D61" w:rsidRPr="00E33426" w:rsidRDefault="00470D61" w:rsidP="00470D61">
            <w:pPr>
              <w:pStyle w:val="Exhibit"/>
              <w:widowControl w:val="0"/>
              <w:tabs>
                <w:tab w:val="left" w:pos="720"/>
              </w:tabs>
              <w:ind w:left="720" w:hanging="720"/>
              <w:rPr>
                <w:rFonts w:cs="Arial"/>
                <w:szCs w:val="18"/>
              </w:rPr>
            </w:pPr>
            <w:r w:rsidRPr="00E33426">
              <w:rPr>
                <w:rFonts w:cs="Arial"/>
                <w:szCs w:val="18"/>
              </w:rPr>
              <w:t>RQ3</w:t>
            </w:r>
            <w:r>
              <w:rPr>
                <w:rFonts w:cs="Arial"/>
                <w:szCs w:val="18"/>
              </w:rPr>
              <w:t>:</w:t>
            </w:r>
            <w:r>
              <w:rPr>
                <w:rFonts w:cs="Arial"/>
                <w:szCs w:val="18"/>
              </w:rPr>
              <w:tab/>
            </w:r>
            <w:r w:rsidRPr="00E33426">
              <w:rPr>
                <w:rFonts w:cs="Arial"/>
                <w:szCs w:val="18"/>
              </w:rPr>
              <w:t xml:space="preserve">For those eligible schools/LEAs that do not elect the Community Eligibility </w:t>
            </w:r>
            <w:r>
              <w:rPr>
                <w:rFonts w:cs="Arial"/>
                <w:szCs w:val="18"/>
              </w:rPr>
              <w:t>Option</w:t>
            </w:r>
            <w:r w:rsidRPr="00E33426">
              <w:rPr>
                <w:rFonts w:cs="Arial"/>
                <w:szCs w:val="18"/>
              </w:rPr>
              <w:t xml:space="preserve">, what changes could be made to the special assistance </w:t>
            </w:r>
            <w:r>
              <w:rPr>
                <w:rFonts w:cs="Arial"/>
                <w:szCs w:val="18"/>
              </w:rPr>
              <w:t>Option (e.g. CE Option)</w:t>
            </w:r>
            <w:r w:rsidRPr="00E33426">
              <w:rPr>
                <w:rFonts w:cs="Arial"/>
                <w:szCs w:val="18"/>
              </w:rPr>
              <w:t xml:space="preserve"> to make it more appealing?</w:t>
            </w:r>
          </w:p>
          <w:p w:rsidR="00470D61" w:rsidRDefault="00470D61" w:rsidP="00470D61">
            <w:pPr>
              <w:pStyle w:val="Exhibit"/>
              <w:widowControl w:val="0"/>
              <w:tabs>
                <w:tab w:val="left" w:pos="720"/>
              </w:tabs>
              <w:ind w:left="720"/>
              <w:rPr>
                <w:rFonts w:cs="Arial"/>
                <w:i/>
                <w:szCs w:val="18"/>
              </w:rPr>
            </w:pPr>
            <w:r w:rsidRPr="00E33426">
              <w:rPr>
                <w:rFonts w:cs="Arial"/>
                <w:i/>
                <w:szCs w:val="18"/>
              </w:rPr>
              <w:t>What other incentives or programmatic aspects could be offered that would increase participation?</w:t>
            </w:r>
          </w:p>
          <w:p w:rsidR="00470D61" w:rsidRPr="00E33426" w:rsidRDefault="00470D61" w:rsidP="00470D61">
            <w:pPr>
              <w:pStyle w:val="Exhibit"/>
              <w:widowControl w:val="0"/>
              <w:tabs>
                <w:tab w:val="left" w:pos="720"/>
              </w:tabs>
              <w:ind w:left="720"/>
              <w:rPr>
                <w:rFonts w:cs="Arial"/>
                <w:szCs w:val="18"/>
              </w:rPr>
            </w:pPr>
            <w:r w:rsidRPr="00E33426">
              <w:rPr>
                <w:rFonts w:cs="Arial"/>
                <w:i/>
                <w:szCs w:val="18"/>
              </w:rPr>
              <w:t>If these changes were made, would they elect it the next year?  If these changes were not made, would they elect it next year?</w:t>
            </w:r>
          </w:p>
        </w:tc>
      </w:tr>
      <w:tr w:rsidR="00470D61" w:rsidRPr="008226D4" w:rsidTr="00470D61">
        <w:tc>
          <w:tcPr>
            <w:tcW w:w="12960" w:type="dxa"/>
          </w:tcPr>
          <w:p w:rsidR="00470D61" w:rsidRPr="00E33426" w:rsidRDefault="00470D61" w:rsidP="00470D61">
            <w:pPr>
              <w:pStyle w:val="Exhibit"/>
              <w:widowControl w:val="0"/>
              <w:tabs>
                <w:tab w:val="left" w:pos="720"/>
              </w:tabs>
              <w:rPr>
                <w:rFonts w:cs="Arial"/>
                <w:szCs w:val="18"/>
              </w:rPr>
            </w:pPr>
            <w:r w:rsidRPr="00E33426">
              <w:rPr>
                <w:rFonts w:cs="Arial"/>
                <w:szCs w:val="18"/>
              </w:rPr>
              <w:t>RQ4</w:t>
            </w:r>
            <w:r>
              <w:rPr>
                <w:rFonts w:cs="Arial"/>
                <w:szCs w:val="18"/>
              </w:rPr>
              <w:t>:</w:t>
            </w:r>
            <w:r>
              <w:rPr>
                <w:rFonts w:cs="Arial"/>
                <w:szCs w:val="18"/>
              </w:rPr>
              <w:tab/>
            </w:r>
            <w:r w:rsidRPr="00E33426">
              <w:rPr>
                <w:rFonts w:cs="Arial"/>
                <w:szCs w:val="18"/>
              </w:rPr>
              <w:t xml:space="preserve">How are the LEAs educating and informing the public about the </w:t>
            </w:r>
            <w:r>
              <w:rPr>
                <w:rFonts w:cs="Arial"/>
                <w:szCs w:val="18"/>
              </w:rPr>
              <w:t>Option</w:t>
            </w:r>
            <w:r w:rsidRPr="00E33426">
              <w:rPr>
                <w:rFonts w:cs="Arial"/>
                <w:szCs w:val="18"/>
              </w:rPr>
              <w:t>?</w:t>
            </w:r>
          </w:p>
          <w:p w:rsidR="00470D61" w:rsidRPr="00E33426" w:rsidRDefault="00470D61" w:rsidP="00470D61">
            <w:pPr>
              <w:pStyle w:val="Exhibit"/>
              <w:widowControl w:val="0"/>
              <w:tabs>
                <w:tab w:val="left" w:pos="720"/>
              </w:tabs>
              <w:ind w:left="720"/>
              <w:rPr>
                <w:rFonts w:cs="Arial"/>
                <w:szCs w:val="18"/>
              </w:rPr>
            </w:pPr>
            <w:r w:rsidRPr="00E33426">
              <w:rPr>
                <w:rFonts w:cs="Arial"/>
                <w:i/>
                <w:szCs w:val="18"/>
              </w:rPr>
              <w:t xml:space="preserve">How is this being communicated to individual schools informing the public about the </w:t>
            </w:r>
            <w:r>
              <w:rPr>
                <w:rFonts w:cs="Arial"/>
                <w:i/>
                <w:szCs w:val="18"/>
              </w:rPr>
              <w:t>Option</w:t>
            </w:r>
            <w:r w:rsidRPr="00E33426">
              <w:rPr>
                <w:rFonts w:cs="Arial"/>
                <w:i/>
                <w:szCs w:val="18"/>
              </w:rPr>
              <w:t>?  With whom does the responsibility of delivering the messages lie?</w:t>
            </w:r>
          </w:p>
        </w:tc>
      </w:tr>
      <w:tr w:rsidR="00470D61" w:rsidRPr="008226D4" w:rsidTr="00470D61">
        <w:tc>
          <w:tcPr>
            <w:tcW w:w="12960" w:type="dxa"/>
          </w:tcPr>
          <w:p w:rsidR="00470D61" w:rsidRPr="00E33426" w:rsidRDefault="00470D61" w:rsidP="00470D61">
            <w:pPr>
              <w:pStyle w:val="Exhibit"/>
              <w:widowControl w:val="0"/>
              <w:tabs>
                <w:tab w:val="left" w:pos="720"/>
              </w:tabs>
              <w:ind w:left="720" w:hanging="720"/>
              <w:rPr>
                <w:rFonts w:cs="Arial"/>
                <w:szCs w:val="18"/>
              </w:rPr>
            </w:pPr>
            <w:r w:rsidRPr="00E33426">
              <w:rPr>
                <w:rFonts w:cs="Arial"/>
                <w:szCs w:val="18"/>
              </w:rPr>
              <w:t>RQ5</w:t>
            </w:r>
            <w:r>
              <w:rPr>
                <w:rFonts w:cs="Arial"/>
                <w:szCs w:val="18"/>
              </w:rPr>
              <w:t>:</w:t>
            </w:r>
            <w:r>
              <w:rPr>
                <w:rFonts w:cs="Arial"/>
                <w:szCs w:val="18"/>
              </w:rPr>
              <w:tab/>
            </w:r>
            <w:r w:rsidRPr="00E33426">
              <w:rPr>
                <w:rFonts w:cs="Arial"/>
                <w:szCs w:val="18"/>
              </w:rPr>
              <w:t xml:space="preserve">What are the characteristics of eligible LEAs/schools that elect this </w:t>
            </w:r>
            <w:r>
              <w:rPr>
                <w:rFonts w:cs="Arial"/>
                <w:szCs w:val="18"/>
              </w:rPr>
              <w:t>Option</w:t>
            </w:r>
            <w:r w:rsidRPr="00E33426">
              <w:rPr>
                <w:rFonts w:cs="Arial"/>
                <w:szCs w:val="18"/>
              </w:rPr>
              <w:t xml:space="preserve"> and those that do not elect this option?</w:t>
            </w:r>
          </w:p>
          <w:p w:rsidR="00470D61" w:rsidRPr="00E33426" w:rsidRDefault="00470D61" w:rsidP="00470D61">
            <w:pPr>
              <w:pStyle w:val="Exhibit"/>
              <w:widowControl w:val="0"/>
              <w:tabs>
                <w:tab w:val="left" w:pos="720"/>
              </w:tabs>
              <w:ind w:left="720"/>
              <w:rPr>
                <w:rFonts w:cs="Arial"/>
                <w:i/>
                <w:szCs w:val="18"/>
              </w:rPr>
            </w:pPr>
            <w:r w:rsidRPr="00E33426">
              <w:rPr>
                <w:rFonts w:cs="Arial"/>
                <w:i/>
                <w:szCs w:val="18"/>
              </w:rPr>
              <w:t>If there are differences, why?</w:t>
            </w:r>
          </w:p>
          <w:p w:rsidR="00470D61" w:rsidRPr="00E33426" w:rsidRDefault="00470D61" w:rsidP="00470D61">
            <w:pPr>
              <w:pStyle w:val="Exhibit"/>
              <w:widowControl w:val="0"/>
              <w:tabs>
                <w:tab w:val="left" w:pos="720"/>
              </w:tabs>
              <w:ind w:left="720"/>
              <w:rPr>
                <w:rFonts w:cs="Arial"/>
                <w:szCs w:val="18"/>
              </w:rPr>
            </w:pPr>
            <w:r w:rsidRPr="00E33426">
              <w:rPr>
                <w:rFonts w:cs="Arial"/>
                <w:i/>
                <w:szCs w:val="18"/>
              </w:rPr>
              <w:t>Characteristics include</w:t>
            </w:r>
            <w:r>
              <w:rPr>
                <w:rFonts w:cs="Arial"/>
                <w:i/>
                <w:szCs w:val="18"/>
              </w:rPr>
              <w:t xml:space="preserve">: </w:t>
            </w:r>
            <w:r w:rsidRPr="00E33426">
              <w:rPr>
                <w:rFonts w:cs="Arial"/>
                <w:i/>
                <w:szCs w:val="18"/>
              </w:rPr>
              <w:t xml:space="preserve">Size of LEA/school, staffing structure, staffing resources available, current FRP eligibility processes (annual household applications, participation in Provision 1, 2, or 3), parent involvement, school stakeholder buy-in, </w:t>
            </w:r>
            <w:proofErr w:type="gramStart"/>
            <w:r w:rsidRPr="00E33426">
              <w:rPr>
                <w:rFonts w:cs="Arial"/>
                <w:i/>
                <w:szCs w:val="18"/>
              </w:rPr>
              <w:t>other</w:t>
            </w:r>
            <w:proofErr w:type="gramEnd"/>
            <w:r w:rsidRPr="00E33426">
              <w:rPr>
                <w:rFonts w:cs="Arial"/>
                <w:i/>
                <w:szCs w:val="18"/>
              </w:rPr>
              <w:t xml:space="preserve"> assistance programs </w:t>
            </w:r>
            <w:r>
              <w:rPr>
                <w:rFonts w:cs="Arial"/>
                <w:i/>
                <w:szCs w:val="18"/>
              </w:rPr>
              <w:t>such as Summer Food Programs or After School Programs</w:t>
            </w:r>
            <w:r w:rsidRPr="00E33426">
              <w:rPr>
                <w:rFonts w:cs="Arial"/>
                <w:i/>
                <w:szCs w:val="18"/>
              </w:rPr>
              <w:t>.</w:t>
            </w:r>
          </w:p>
        </w:tc>
      </w:tr>
      <w:tr w:rsidR="00470D61" w:rsidRPr="008226D4" w:rsidTr="00470D61">
        <w:tc>
          <w:tcPr>
            <w:tcW w:w="12960" w:type="dxa"/>
          </w:tcPr>
          <w:p w:rsidR="00470D61" w:rsidRPr="00E33426" w:rsidRDefault="00470D61" w:rsidP="00470D61">
            <w:pPr>
              <w:pStyle w:val="Exhibit"/>
              <w:widowControl w:val="0"/>
              <w:tabs>
                <w:tab w:val="left" w:pos="720"/>
              </w:tabs>
              <w:rPr>
                <w:rFonts w:cs="Arial"/>
                <w:szCs w:val="18"/>
              </w:rPr>
            </w:pPr>
            <w:r w:rsidRPr="00E33426">
              <w:rPr>
                <w:rFonts w:cs="Arial"/>
                <w:szCs w:val="18"/>
              </w:rPr>
              <w:t>RQ6</w:t>
            </w:r>
            <w:r>
              <w:rPr>
                <w:rFonts w:cs="Arial"/>
                <w:szCs w:val="18"/>
              </w:rPr>
              <w:t>:</w:t>
            </w:r>
            <w:r>
              <w:rPr>
                <w:rFonts w:cs="Arial"/>
                <w:szCs w:val="18"/>
              </w:rPr>
              <w:tab/>
            </w:r>
            <w:r w:rsidRPr="00E33426">
              <w:rPr>
                <w:rFonts w:cs="Arial"/>
                <w:szCs w:val="18"/>
              </w:rPr>
              <w:t>What are the common misconceptions about the option in non</w:t>
            </w:r>
            <w:r>
              <w:rPr>
                <w:rFonts w:cs="Arial"/>
                <w:szCs w:val="18"/>
              </w:rPr>
              <w:t>-</w:t>
            </w:r>
            <w:r w:rsidRPr="00E33426">
              <w:rPr>
                <w:rFonts w:cs="Arial"/>
                <w:szCs w:val="18"/>
              </w:rPr>
              <w:t>participating LEAs?</w:t>
            </w:r>
          </w:p>
          <w:p w:rsidR="00470D61" w:rsidRPr="00E33426" w:rsidRDefault="00470D61" w:rsidP="00470D61">
            <w:pPr>
              <w:pStyle w:val="Exhibit"/>
              <w:widowControl w:val="0"/>
              <w:tabs>
                <w:tab w:val="left" w:pos="720"/>
              </w:tabs>
              <w:ind w:left="720"/>
              <w:rPr>
                <w:rFonts w:cs="Arial"/>
                <w:szCs w:val="18"/>
              </w:rPr>
            </w:pPr>
            <w:r w:rsidRPr="00E33426">
              <w:rPr>
                <w:rFonts w:cs="Arial"/>
                <w:i/>
                <w:szCs w:val="18"/>
              </w:rPr>
              <w:t>What are the root causes of these misconceptions?</w:t>
            </w:r>
          </w:p>
        </w:tc>
      </w:tr>
      <w:tr w:rsidR="00470D61" w:rsidRPr="008226D4" w:rsidTr="00470D61">
        <w:tc>
          <w:tcPr>
            <w:tcW w:w="12960" w:type="dxa"/>
          </w:tcPr>
          <w:p w:rsidR="00470D61" w:rsidRPr="00E33426" w:rsidRDefault="00470D61" w:rsidP="00470D61">
            <w:pPr>
              <w:pStyle w:val="Exhibit"/>
              <w:widowControl w:val="0"/>
              <w:tabs>
                <w:tab w:val="left" w:pos="720"/>
              </w:tabs>
              <w:rPr>
                <w:rFonts w:cs="Arial"/>
                <w:szCs w:val="18"/>
              </w:rPr>
            </w:pPr>
            <w:r w:rsidRPr="00E33426">
              <w:rPr>
                <w:rFonts w:cs="Arial"/>
                <w:szCs w:val="18"/>
              </w:rPr>
              <w:t>RQ7</w:t>
            </w:r>
            <w:r>
              <w:rPr>
                <w:rFonts w:cs="Arial"/>
                <w:szCs w:val="18"/>
              </w:rPr>
              <w:t>:</w:t>
            </w:r>
            <w:r>
              <w:rPr>
                <w:rFonts w:cs="Arial"/>
                <w:szCs w:val="18"/>
              </w:rPr>
              <w:tab/>
            </w:r>
            <w:r w:rsidRPr="00E33426">
              <w:rPr>
                <w:rFonts w:cs="Arial"/>
                <w:szCs w:val="18"/>
              </w:rPr>
              <w:t>Are LEAs/schools operating under Provision 2 or 3 more likely to switc</w:t>
            </w:r>
            <w:r>
              <w:rPr>
                <w:rFonts w:cs="Arial"/>
                <w:szCs w:val="18"/>
              </w:rPr>
              <w:t>h to the Community Eligibility O</w:t>
            </w:r>
            <w:r w:rsidRPr="00E33426">
              <w:rPr>
                <w:rFonts w:cs="Arial"/>
                <w:szCs w:val="18"/>
              </w:rPr>
              <w:t>ption or remain on Provision 2 or 3?</w:t>
            </w:r>
          </w:p>
          <w:p w:rsidR="00470D61" w:rsidRPr="00E33426" w:rsidRDefault="00470D61" w:rsidP="00470D61">
            <w:pPr>
              <w:pStyle w:val="Exhibit"/>
              <w:widowControl w:val="0"/>
              <w:tabs>
                <w:tab w:val="left" w:pos="720"/>
              </w:tabs>
              <w:ind w:left="720"/>
              <w:rPr>
                <w:rFonts w:cs="Arial"/>
                <w:szCs w:val="18"/>
              </w:rPr>
            </w:pPr>
            <w:r w:rsidRPr="00E33426">
              <w:rPr>
                <w:rFonts w:cs="Arial"/>
                <w:i/>
                <w:szCs w:val="18"/>
              </w:rPr>
              <w:t>If they do switch, what was the main motivator?  If they did not switch, what were the main reasons?</w:t>
            </w:r>
          </w:p>
        </w:tc>
      </w:tr>
      <w:tr w:rsidR="00470D61" w:rsidRPr="008226D4" w:rsidTr="00470D61">
        <w:tc>
          <w:tcPr>
            <w:tcW w:w="12960" w:type="dxa"/>
          </w:tcPr>
          <w:p w:rsidR="00470D61" w:rsidRPr="00E33426" w:rsidRDefault="00470D61" w:rsidP="00470D61">
            <w:pPr>
              <w:pStyle w:val="Exhibit"/>
              <w:widowControl w:val="0"/>
              <w:tabs>
                <w:tab w:val="left" w:pos="720"/>
              </w:tabs>
              <w:rPr>
                <w:rFonts w:cs="Arial"/>
                <w:szCs w:val="18"/>
              </w:rPr>
            </w:pPr>
            <w:r w:rsidRPr="00E33426">
              <w:rPr>
                <w:rFonts w:cs="Arial"/>
                <w:szCs w:val="18"/>
              </w:rPr>
              <w:t>RQ8</w:t>
            </w:r>
            <w:r>
              <w:rPr>
                <w:rFonts w:cs="Arial"/>
                <w:szCs w:val="18"/>
              </w:rPr>
              <w:t>:</w:t>
            </w:r>
            <w:r>
              <w:rPr>
                <w:rFonts w:cs="Arial"/>
                <w:szCs w:val="18"/>
              </w:rPr>
              <w:tab/>
            </w:r>
            <w:r w:rsidRPr="00E33426">
              <w:rPr>
                <w:rFonts w:cs="Arial"/>
                <w:szCs w:val="18"/>
              </w:rPr>
              <w:t xml:space="preserve">If the </w:t>
            </w:r>
            <w:proofErr w:type="spellStart"/>
            <w:proofErr w:type="gramStart"/>
            <w:r w:rsidRPr="00E33426">
              <w:rPr>
                <w:rFonts w:cs="Arial"/>
                <w:szCs w:val="18"/>
              </w:rPr>
              <w:t>multiplier</w:t>
            </w:r>
            <w:r>
              <w:rPr>
                <w:rFonts w:cs="Arial"/>
                <w:szCs w:val="18"/>
                <w:vertAlign w:val="superscript"/>
              </w:rPr>
              <w:t>a</w:t>
            </w:r>
            <w:proofErr w:type="spellEnd"/>
            <w:r>
              <w:rPr>
                <w:rFonts w:cs="Arial"/>
                <w:szCs w:val="18"/>
              </w:rPr>
              <w:t xml:space="preserve"> </w:t>
            </w:r>
            <w:r w:rsidRPr="00E33426">
              <w:rPr>
                <w:rFonts w:cs="Arial"/>
                <w:szCs w:val="18"/>
              </w:rPr>
              <w:t xml:space="preserve"> was</w:t>
            </w:r>
            <w:proofErr w:type="gramEnd"/>
            <w:r w:rsidRPr="00E33426">
              <w:rPr>
                <w:rFonts w:cs="Arial"/>
                <w:szCs w:val="18"/>
              </w:rPr>
              <w:t xml:space="preserve"> set at 1.3 instead of 1.6 would the Community Eligibility </w:t>
            </w:r>
            <w:r>
              <w:rPr>
                <w:rFonts w:cs="Arial"/>
                <w:szCs w:val="18"/>
              </w:rPr>
              <w:t xml:space="preserve">Option </w:t>
            </w:r>
            <w:r w:rsidRPr="00E33426">
              <w:rPr>
                <w:rFonts w:cs="Arial"/>
                <w:szCs w:val="18"/>
              </w:rPr>
              <w:t>still be appealing to high poverty LEAs/schools?</w:t>
            </w:r>
          </w:p>
          <w:p w:rsidR="00470D61" w:rsidRPr="00E33426" w:rsidRDefault="00470D61" w:rsidP="00470D61">
            <w:pPr>
              <w:pStyle w:val="Exhibit"/>
              <w:widowControl w:val="0"/>
              <w:tabs>
                <w:tab w:val="left" w:pos="720"/>
              </w:tabs>
              <w:ind w:left="720"/>
              <w:rPr>
                <w:rFonts w:cs="Arial"/>
                <w:szCs w:val="18"/>
              </w:rPr>
            </w:pPr>
            <w:r w:rsidRPr="00E33426">
              <w:rPr>
                <w:rFonts w:cs="Arial"/>
                <w:i/>
                <w:szCs w:val="18"/>
              </w:rPr>
              <w:t>If yes, at what point would it become unappealing?  If not, could it be any lower than 1.6?</w:t>
            </w:r>
          </w:p>
        </w:tc>
      </w:tr>
      <w:tr w:rsidR="00470D61" w:rsidRPr="008226D4" w:rsidTr="00470D61">
        <w:tc>
          <w:tcPr>
            <w:tcW w:w="12960" w:type="dxa"/>
          </w:tcPr>
          <w:p w:rsidR="00470D61" w:rsidRPr="00E33426" w:rsidRDefault="00470D61" w:rsidP="00470D61">
            <w:pPr>
              <w:pStyle w:val="Exhibit"/>
              <w:widowControl w:val="0"/>
              <w:tabs>
                <w:tab w:val="left" w:pos="720"/>
              </w:tabs>
              <w:ind w:left="720" w:hanging="720"/>
              <w:rPr>
                <w:rFonts w:cs="Arial"/>
                <w:szCs w:val="18"/>
              </w:rPr>
            </w:pPr>
            <w:r w:rsidRPr="00E33426">
              <w:rPr>
                <w:rFonts w:cs="Arial"/>
                <w:szCs w:val="18"/>
              </w:rPr>
              <w:t>RQ9</w:t>
            </w:r>
            <w:r>
              <w:rPr>
                <w:rFonts w:cs="Arial"/>
                <w:szCs w:val="18"/>
              </w:rPr>
              <w:t>:</w:t>
            </w:r>
            <w:r>
              <w:rPr>
                <w:rFonts w:cs="Arial"/>
                <w:szCs w:val="18"/>
              </w:rPr>
              <w:tab/>
            </w:r>
            <w:r w:rsidRPr="00E33426">
              <w:rPr>
                <w:rFonts w:cs="Arial"/>
                <w:szCs w:val="18"/>
              </w:rPr>
              <w:t xml:space="preserve">How much administrative burden has been reduced with the election of the Community Eligibility </w:t>
            </w:r>
            <w:r>
              <w:rPr>
                <w:rFonts w:cs="Arial"/>
                <w:szCs w:val="18"/>
              </w:rPr>
              <w:t>O</w:t>
            </w:r>
            <w:r w:rsidRPr="00E33426">
              <w:rPr>
                <w:rFonts w:cs="Arial"/>
                <w:szCs w:val="18"/>
              </w:rPr>
              <w:t>ption?  What is the associated cost savings to the LEA?</w:t>
            </w:r>
          </w:p>
          <w:p w:rsidR="00470D61" w:rsidRPr="00E33426" w:rsidRDefault="00470D61" w:rsidP="00307A9A">
            <w:pPr>
              <w:pStyle w:val="Exhibit"/>
              <w:widowControl w:val="0"/>
              <w:tabs>
                <w:tab w:val="left" w:pos="720"/>
              </w:tabs>
              <w:ind w:left="720"/>
              <w:rPr>
                <w:rFonts w:cs="Arial"/>
                <w:szCs w:val="18"/>
              </w:rPr>
            </w:pPr>
            <w:r w:rsidRPr="00E33426">
              <w:rPr>
                <w:rFonts w:cs="Arial"/>
                <w:i/>
                <w:szCs w:val="18"/>
              </w:rPr>
              <w:t>For whom has the burden been reduced?  Is the “cost savings” actual cost, time, resources, etc.?</w:t>
            </w:r>
          </w:p>
        </w:tc>
      </w:tr>
      <w:tr w:rsidR="00470D61" w:rsidRPr="008226D4" w:rsidTr="00470D61">
        <w:tc>
          <w:tcPr>
            <w:tcW w:w="12960" w:type="dxa"/>
          </w:tcPr>
          <w:p w:rsidR="00470D61" w:rsidRPr="00E33426" w:rsidRDefault="00470D61" w:rsidP="00470D61">
            <w:pPr>
              <w:pStyle w:val="Exhibit"/>
              <w:widowControl w:val="0"/>
              <w:tabs>
                <w:tab w:val="left" w:pos="720"/>
              </w:tabs>
              <w:rPr>
                <w:rFonts w:cs="Arial"/>
                <w:szCs w:val="18"/>
              </w:rPr>
            </w:pPr>
            <w:r w:rsidRPr="00E33426">
              <w:rPr>
                <w:rFonts w:cs="Arial"/>
                <w:szCs w:val="18"/>
              </w:rPr>
              <w:t>RQ10</w:t>
            </w:r>
            <w:r>
              <w:rPr>
                <w:rFonts w:cs="Arial"/>
                <w:szCs w:val="18"/>
              </w:rPr>
              <w:t>:</w:t>
            </w:r>
            <w:r>
              <w:rPr>
                <w:rFonts w:cs="Arial"/>
                <w:szCs w:val="18"/>
              </w:rPr>
              <w:tab/>
            </w:r>
            <w:r w:rsidRPr="00E33426">
              <w:rPr>
                <w:rFonts w:cs="Arial"/>
                <w:szCs w:val="18"/>
              </w:rPr>
              <w:t>Have LEAs been able to reallocate staff as a result of not having to take applications?</w:t>
            </w:r>
          </w:p>
          <w:p w:rsidR="00470D61" w:rsidRDefault="00470D61" w:rsidP="00470D61">
            <w:pPr>
              <w:pStyle w:val="Exhibit"/>
              <w:widowControl w:val="0"/>
              <w:tabs>
                <w:tab w:val="left" w:pos="720"/>
              </w:tabs>
              <w:ind w:left="720"/>
              <w:rPr>
                <w:rFonts w:cs="Arial"/>
                <w:i/>
                <w:szCs w:val="18"/>
              </w:rPr>
            </w:pPr>
            <w:r w:rsidRPr="00E33426">
              <w:rPr>
                <w:rFonts w:cs="Arial"/>
                <w:i/>
                <w:szCs w:val="18"/>
              </w:rPr>
              <w:t xml:space="preserve">If yes, what </w:t>
            </w:r>
            <w:proofErr w:type="gramStart"/>
            <w:r w:rsidRPr="00E33426">
              <w:rPr>
                <w:rFonts w:cs="Arial"/>
                <w:i/>
                <w:szCs w:val="18"/>
              </w:rPr>
              <w:t>are the staff</w:t>
            </w:r>
            <w:proofErr w:type="gramEnd"/>
            <w:r w:rsidRPr="00E33426">
              <w:rPr>
                <w:rFonts w:cs="Arial"/>
                <w:i/>
                <w:szCs w:val="18"/>
              </w:rPr>
              <w:t xml:space="preserve"> doing now that they weren’t previously?  If no, why not?</w:t>
            </w:r>
          </w:p>
          <w:p w:rsidR="00470D61" w:rsidRPr="00E33426" w:rsidRDefault="00470D61" w:rsidP="00470D61">
            <w:pPr>
              <w:pStyle w:val="Exhibit"/>
              <w:widowControl w:val="0"/>
              <w:tabs>
                <w:tab w:val="left" w:pos="720"/>
              </w:tabs>
              <w:ind w:left="720"/>
              <w:rPr>
                <w:rFonts w:cs="Arial"/>
                <w:szCs w:val="18"/>
              </w:rPr>
            </w:pPr>
            <w:r w:rsidRPr="00E33426">
              <w:rPr>
                <w:rFonts w:cs="Arial"/>
                <w:i/>
                <w:szCs w:val="18"/>
              </w:rPr>
              <w:t>How many LEAs have increased their meal offering du</w:t>
            </w:r>
            <w:r>
              <w:rPr>
                <w:rFonts w:cs="Arial"/>
                <w:i/>
                <w:szCs w:val="18"/>
              </w:rPr>
              <w:t>e to the Community Eligibility O</w:t>
            </w:r>
            <w:r w:rsidRPr="00E33426">
              <w:rPr>
                <w:rFonts w:cs="Arial"/>
                <w:i/>
                <w:szCs w:val="18"/>
              </w:rPr>
              <w:t>ption?  For example, how many now offer breakfast that did not offer breakfast previously?</w:t>
            </w:r>
          </w:p>
        </w:tc>
      </w:tr>
      <w:tr w:rsidR="00470D61" w:rsidRPr="008226D4" w:rsidTr="00470D61">
        <w:tc>
          <w:tcPr>
            <w:tcW w:w="12960" w:type="dxa"/>
          </w:tcPr>
          <w:p w:rsidR="00470D61" w:rsidRPr="00E33426" w:rsidRDefault="00470D61" w:rsidP="00470D61">
            <w:pPr>
              <w:pStyle w:val="Exhibit"/>
              <w:widowControl w:val="0"/>
              <w:tabs>
                <w:tab w:val="left" w:pos="720"/>
              </w:tabs>
              <w:ind w:left="720" w:hanging="720"/>
              <w:rPr>
                <w:rFonts w:cs="Arial"/>
                <w:szCs w:val="18"/>
              </w:rPr>
            </w:pPr>
            <w:r w:rsidRPr="00E33426">
              <w:rPr>
                <w:rFonts w:cs="Arial"/>
                <w:szCs w:val="18"/>
              </w:rPr>
              <w:t>RQ11</w:t>
            </w:r>
            <w:r>
              <w:rPr>
                <w:rFonts w:cs="Arial"/>
                <w:szCs w:val="18"/>
              </w:rPr>
              <w:t>:</w:t>
            </w:r>
            <w:r>
              <w:rPr>
                <w:rFonts w:cs="Arial"/>
                <w:szCs w:val="18"/>
              </w:rPr>
              <w:tab/>
            </w:r>
            <w:r w:rsidRPr="00E33426">
              <w:rPr>
                <w:rFonts w:cs="Arial"/>
                <w:szCs w:val="18"/>
              </w:rPr>
              <w:t>How does the total meal reimbursements from the blended rate</w:t>
            </w:r>
            <w:r>
              <w:rPr>
                <w:rFonts w:cs="Arial"/>
                <w:szCs w:val="18"/>
              </w:rPr>
              <w:t>s of the Community Eligibility O</w:t>
            </w:r>
            <w:r w:rsidRPr="00E33426">
              <w:rPr>
                <w:rFonts w:cs="Arial"/>
                <w:szCs w:val="18"/>
              </w:rPr>
              <w:t xml:space="preserve">ption compare with the total meal reimbursements received in prior years? </w:t>
            </w:r>
          </w:p>
        </w:tc>
      </w:tr>
      <w:tr w:rsidR="00470D61" w:rsidRPr="008226D4" w:rsidTr="00470D61">
        <w:tc>
          <w:tcPr>
            <w:tcW w:w="12960" w:type="dxa"/>
          </w:tcPr>
          <w:p w:rsidR="00470D61" w:rsidRPr="00E33426" w:rsidRDefault="00470D61" w:rsidP="00470D61">
            <w:pPr>
              <w:pStyle w:val="Exhibit"/>
              <w:pageBreakBefore/>
              <w:widowControl w:val="0"/>
              <w:tabs>
                <w:tab w:val="left" w:pos="720"/>
              </w:tabs>
              <w:ind w:left="720" w:hanging="720"/>
              <w:rPr>
                <w:rFonts w:cs="Arial"/>
                <w:szCs w:val="18"/>
              </w:rPr>
            </w:pPr>
            <w:r w:rsidRPr="00E33426">
              <w:rPr>
                <w:rFonts w:cs="Arial"/>
                <w:szCs w:val="18"/>
              </w:rPr>
              <w:lastRenderedPageBreak/>
              <w:t>RQ12</w:t>
            </w:r>
            <w:r>
              <w:rPr>
                <w:rFonts w:cs="Arial"/>
                <w:szCs w:val="18"/>
              </w:rPr>
              <w:t>:</w:t>
            </w:r>
            <w:r>
              <w:rPr>
                <w:rFonts w:cs="Arial"/>
                <w:szCs w:val="18"/>
              </w:rPr>
              <w:tab/>
            </w:r>
            <w:r w:rsidRPr="00E33426">
              <w:rPr>
                <w:rFonts w:cs="Arial"/>
                <w:szCs w:val="18"/>
              </w:rPr>
              <w:t>How much do the identified student percentages differ from year to year?</w:t>
            </w:r>
          </w:p>
          <w:p w:rsidR="00470D61" w:rsidRPr="00E33426" w:rsidRDefault="00470D61" w:rsidP="00470D61">
            <w:pPr>
              <w:pStyle w:val="Exhibit"/>
              <w:pageBreakBefore/>
              <w:widowControl w:val="0"/>
              <w:tabs>
                <w:tab w:val="left" w:pos="720"/>
              </w:tabs>
              <w:ind w:left="720"/>
              <w:rPr>
                <w:rFonts w:cs="Arial"/>
                <w:szCs w:val="18"/>
              </w:rPr>
            </w:pPr>
            <w:r w:rsidRPr="00E33426">
              <w:rPr>
                <w:rFonts w:cs="Arial"/>
                <w:i/>
                <w:szCs w:val="18"/>
              </w:rPr>
              <w:t xml:space="preserve">Is there concern about </w:t>
            </w:r>
            <w:r>
              <w:rPr>
                <w:rFonts w:cs="Arial"/>
                <w:i/>
                <w:szCs w:val="18"/>
              </w:rPr>
              <w:t>meeting eligibility after the 4-</w:t>
            </w:r>
            <w:r w:rsidRPr="00E33426">
              <w:rPr>
                <w:rFonts w:cs="Arial"/>
                <w:i/>
                <w:szCs w:val="18"/>
              </w:rPr>
              <w:t xml:space="preserve">year period?  Is the 4-year term </w:t>
            </w:r>
            <w:r>
              <w:rPr>
                <w:rFonts w:cs="Arial"/>
                <w:i/>
                <w:szCs w:val="18"/>
              </w:rPr>
              <w:t xml:space="preserve">a </w:t>
            </w:r>
            <w:r w:rsidRPr="00E33426">
              <w:rPr>
                <w:rFonts w:cs="Arial"/>
                <w:i/>
                <w:szCs w:val="18"/>
              </w:rPr>
              <w:t>sufficient</w:t>
            </w:r>
            <w:r>
              <w:rPr>
                <w:rFonts w:cs="Arial"/>
                <w:i/>
                <w:szCs w:val="18"/>
              </w:rPr>
              <w:t xml:space="preserve"> incentive to participate</w:t>
            </w:r>
            <w:r w:rsidRPr="00E33426">
              <w:rPr>
                <w:rFonts w:cs="Arial"/>
                <w:i/>
                <w:szCs w:val="18"/>
              </w:rPr>
              <w:t>?</w:t>
            </w:r>
          </w:p>
        </w:tc>
      </w:tr>
      <w:tr w:rsidR="00470D61" w:rsidRPr="008226D4" w:rsidTr="00470D61">
        <w:tc>
          <w:tcPr>
            <w:tcW w:w="12960" w:type="dxa"/>
          </w:tcPr>
          <w:p w:rsidR="00470D61" w:rsidRPr="00E33426" w:rsidRDefault="00470D61" w:rsidP="00470D61">
            <w:pPr>
              <w:pStyle w:val="Exhibit"/>
              <w:widowControl w:val="0"/>
              <w:tabs>
                <w:tab w:val="left" w:pos="720"/>
              </w:tabs>
              <w:ind w:left="720" w:hanging="720"/>
              <w:rPr>
                <w:rFonts w:cs="Arial"/>
                <w:szCs w:val="18"/>
              </w:rPr>
            </w:pPr>
            <w:r w:rsidRPr="00E33426">
              <w:rPr>
                <w:rFonts w:cs="Arial"/>
                <w:szCs w:val="18"/>
              </w:rPr>
              <w:t>RQ13</w:t>
            </w:r>
            <w:r>
              <w:rPr>
                <w:rFonts w:cs="Arial"/>
                <w:szCs w:val="18"/>
              </w:rPr>
              <w:t>:</w:t>
            </w:r>
            <w:r>
              <w:rPr>
                <w:rFonts w:cs="Arial"/>
                <w:szCs w:val="18"/>
              </w:rPr>
              <w:tab/>
            </w:r>
            <w:r w:rsidRPr="00E33426">
              <w:rPr>
                <w:rFonts w:cs="Arial"/>
                <w:szCs w:val="18"/>
              </w:rPr>
              <w:t xml:space="preserve">How often do LEAs use the first year identified student percentage (established in </w:t>
            </w:r>
            <w:r>
              <w:rPr>
                <w:rFonts w:cs="Arial"/>
                <w:szCs w:val="18"/>
              </w:rPr>
              <w:t>the year prior to electing the O</w:t>
            </w:r>
            <w:r w:rsidRPr="00E33426">
              <w:rPr>
                <w:rFonts w:cs="Arial"/>
                <w:szCs w:val="18"/>
              </w:rPr>
              <w:t>ption) instead of using more recently established percentages?</w:t>
            </w:r>
          </w:p>
        </w:tc>
      </w:tr>
      <w:tr w:rsidR="00470D61" w:rsidRPr="008226D4" w:rsidTr="00470D61">
        <w:tc>
          <w:tcPr>
            <w:tcW w:w="12960" w:type="dxa"/>
          </w:tcPr>
          <w:p w:rsidR="00470D61" w:rsidRPr="00877C56" w:rsidRDefault="00470D61" w:rsidP="00470D61">
            <w:pPr>
              <w:pStyle w:val="Exhibit"/>
              <w:widowControl w:val="0"/>
              <w:tabs>
                <w:tab w:val="left" w:pos="720"/>
              </w:tabs>
              <w:rPr>
                <w:rFonts w:cs="Arial"/>
                <w:szCs w:val="18"/>
              </w:rPr>
            </w:pPr>
            <w:r w:rsidRPr="00877C56">
              <w:rPr>
                <w:rFonts w:cs="Arial"/>
                <w:szCs w:val="18"/>
              </w:rPr>
              <w:t>RQ1</w:t>
            </w:r>
            <w:r>
              <w:rPr>
                <w:rFonts w:cs="Arial"/>
                <w:szCs w:val="18"/>
              </w:rPr>
              <w:t>4:</w:t>
            </w:r>
            <w:r>
              <w:rPr>
                <w:rFonts w:cs="Arial"/>
                <w:szCs w:val="18"/>
              </w:rPr>
              <w:tab/>
            </w:r>
            <w:r w:rsidRPr="00877C56">
              <w:rPr>
                <w:rFonts w:cs="Arial"/>
                <w:szCs w:val="18"/>
              </w:rPr>
              <w:t xml:space="preserve">Have any LEAs elected out of the </w:t>
            </w:r>
            <w:r>
              <w:rPr>
                <w:rFonts w:cs="Arial"/>
                <w:szCs w:val="18"/>
              </w:rPr>
              <w:t>O</w:t>
            </w:r>
            <w:r w:rsidRPr="00877C56">
              <w:rPr>
                <w:rFonts w:cs="Arial"/>
                <w:szCs w:val="18"/>
              </w:rPr>
              <w:t xml:space="preserve">ption?  If so, what were the reasons? </w:t>
            </w:r>
          </w:p>
          <w:p w:rsidR="00470D61" w:rsidRPr="00E33426" w:rsidRDefault="00470D61" w:rsidP="00470D61">
            <w:pPr>
              <w:pStyle w:val="Exhibit"/>
              <w:widowControl w:val="0"/>
              <w:tabs>
                <w:tab w:val="left" w:pos="720"/>
              </w:tabs>
              <w:ind w:left="720"/>
              <w:rPr>
                <w:rFonts w:cs="Arial"/>
                <w:i/>
                <w:szCs w:val="18"/>
              </w:rPr>
            </w:pPr>
            <w:r w:rsidRPr="00E33426">
              <w:rPr>
                <w:rFonts w:cs="Arial"/>
                <w:i/>
                <w:szCs w:val="18"/>
              </w:rPr>
              <w:t>How permanent or transient is the collection of eligible LEAs/schools that choose to participate over the 4 years?  Once an LEA/school chooses to participate, what are the perceived benefits to</w:t>
            </w:r>
            <w:r>
              <w:rPr>
                <w:rFonts w:cs="Arial"/>
                <w:i/>
                <w:szCs w:val="18"/>
              </w:rPr>
              <w:t xml:space="preserve"> the Community Eligibility O</w:t>
            </w:r>
            <w:r w:rsidRPr="00E33426">
              <w:rPr>
                <w:rFonts w:cs="Arial"/>
                <w:i/>
                <w:szCs w:val="18"/>
              </w:rPr>
              <w:t>ption that keep them participating?  What are reasons LEAs/schools choose to suspend participation even if they are eligible?</w:t>
            </w:r>
            <w:r w:rsidRPr="00E33426">
              <w:rPr>
                <w:rFonts w:cs="Arial"/>
                <w:szCs w:val="18"/>
              </w:rPr>
              <w:t xml:space="preserve">  </w:t>
            </w:r>
            <w:r w:rsidRPr="00877C56">
              <w:rPr>
                <w:rFonts w:cs="Arial"/>
                <w:i/>
                <w:szCs w:val="18"/>
              </w:rPr>
              <w:t>What are the reasons LEAs/schools who are eligible decide not to participate from the beginning?</w:t>
            </w:r>
          </w:p>
        </w:tc>
      </w:tr>
      <w:tr w:rsidR="00470D61" w:rsidRPr="008226D4" w:rsidTr="00470D61">
        <w:tc>
          <w:tcPr>
            <w:tcW w:w="12960" w:type="dxa"/>
          </w:tcPr>
          <w:p w:rsidR="00470D61" w:rsidRPr="00E33426" w:rsidRDefault="00470D61" w:rsidP="00470D61">
            <w:pPr>
              <w:pStyle w:val="Exhibit"/>
              <w:widowControl w:val="0"/>
              <w:tabs>
                <w:tab w:val="left" w:pos="720"/>
              </w:tabs>
              <w:rPr>
                <w:rFonts w:cs="Arial"/>
                <w:szCs w:val="18"/>
              </w:rPr>
            </w:pPr>
            <w:r w:rsidRPr="00E33426">
              <w:rPr>
                <w:rFonts w:cs="Arial"/>
                <w:szCs w:val="18"/>
              </w:rPr>
              <w:t>RQ15</w:t>
            </w:r>
            <w:r>
              <w:rPr>
                <w:rFonts w:cs="Arial"/>
                <w:szCs w:val="18"/>
              </w:rPr>
              <w:t>:</w:t>
            </w:r>
            <w:r>
              <w:rPr>
                <w:rFonts w:cs="Arial"/>
                <w:szCs w:val="18"/>
              </w:rPr>
              <w:tab/>
            </w:r>
            <w:r w:rsidRPr="00E33426">
              <w:rPr>
                <w:rFonts w:cs="Arial"/>
                <w:szCs w:val="18"/>
              </w:rPr>
              <w:t xml:space="preserve">What portion of the identified student percentage is from direct certification and what portion is from other students not subject to verification? </w:t>
            </w:r>
          </w:p>
          <w:p w:rsidR="00470D61" w:rsidRPr="00E33426" w:rsidRDefault="00470D61" w:rsidP="00470D61">
            <w:pPr>
              <w:pStyle w:val="Exhibit"/>
              <w:widowControl w:val="0"/>
              <w:tabs>
                <w:tab w:val="left" w:pos="720"/>
              </w:tabs>
              <w:ind w:left="720"/>
              <w:rPr>
                <w:rFonts w:cs="Arial"/>
                <w:szCs w:val="18"/>
              </w:rPr>
            </w:pPr>
            <w:r w:rsidRPr="00E33426">
              <w:rPr>
                <w:rFonts w:cs="Arial"/>
                <w:i/>
                <w:szCs w:val="18"/>
              </w:rPr>
              <w:t>To what extent do you think this would be consistent from year to year?</w:t>
            </w:r>
          </w:p>
        </w:tc>
      </w:tr>
      <w:tr w:rsidR="00470D61" w:rsidRPr="008226D4" w:rsidTr="00470D61">
        <w:tc>
          <w:tcPr>
            <w:tcW w:w="12960" w:type="dxa"/>
          </w:tcPr>
          <w:p w:rsidR="00470D61" w:rsidRPr="00E33426" w:rsidRDefault="00470D61" w:rsidP="00470D61">
            <w:pPr>
              <w:pStyle w:val="Exhibit"/>
              <w:widowControl w:val="0"/>
              <w:tabs>
                <w:tab w:val="left" w:pos="720"/>
              </w:tabs>
              <w:rPr>
                <w:rFonts w:cs="Arial"/>
                <w:i/>
                <w:szCs w:val="18"/>
              </w:rPr>
            </w:pPr>
            <w:r w:rsidRPr="00E33426">
              <w:rPr>
                <w:rFonts w:cs="Arial"/>
                <w:i/>
                <w:szCs w:val="18"/>
              </w:rPr>
              <w:t>RQ16</w:t>
            </w:r>
            <w:r>
              <w:rPr>
                <w:rFonts w:cs="Arial"/>
                <w:i/>
                <w:szCs w:val="18"/>
              </w:rPr>
              <w:t>:</w:t>
            </w:r>
            <w:r>
              <w:rPr>
                <w:rFonts w:cs="Arial"/>
                <w:i/>
                <w:szCs w:val="18"/>
              </w:rPr>
              <w:tab/>
            </w:r>
            <w:r w:rsidRPr="00E33426">
              <w:rPr>
                <w:rFonts w:cs="Arial"/>
                <w:i/>
                <w:szCs w:val="18"/>
              </w:rPr>
              <w:t>How did the LEA/school hear a</w:t>
            </w:r>
            <w:r>
              <w:rPr>
                <w:rFonts w:cs="Arial"/>
                <w:i/>
                <w:szCs w:val="18"/>
              </w:rPr>
              <w:t>bout the Community Eligibility O</w:t>
            </w:r>
            <w:r w:rsidRPr="00E33426">
              <w:rPr>
                <w:rFonts w:cs="Arial"/>
                <w:i/>
                <w:szCs w:val="18"/>
              </w:rPr>
              <w:t>ption?  How was it communicated by the State Agency?</w:t>
            </w:r>
          </w:p>
        </w:tc>
      </w:tr>
    </w:tbl>
    <w:p w:rsidR="00B3359D" w:rsidRDefault="00B3359D" w:rsidP="00B3359D">
      <w:pPr>
        <w:pStyle w:val="ExhibitSource"/>
        <w:spacing w:after="120"/>
      </w:pPr>
      <w:r w:rsidRPr="00610977">
        <w:t>Questions in</w:t>
      </w:r>
      <w:r w:rsidRPr="00225407">
        <w:rPr>
          <w:i/>
        </w:rPr>
        <w:t xml:space="preserve"> italics</w:t>
      </w:r>
      <w:r w:rsidRPr="00610977">
        <w:t xml:space="preserve"> are suggested additions.</w:t>
      </w:r>
    </w:p>
    <w:p w:rsidR="000E0647" w:rsidRPr="00D41DA4" w:rsidRDefault="00B3359D" w:rsidP="00470D61">
      <w:pPr>
        <w:pStyle w:val="ExhibitSource"/>
      </w:pPr>
      <w:proofErr w:type="spellStart"/>
      <w:proofErr w:type="gramStart"/>
      <w:r w:rsidRPr="00E31362">
        <w:rPr>
          <w:vertAlign w:val="superscript"/>
        </w:rPr>
        <w:t>a</w:t>
      </w:r>
      <w:proofErr w:type="spellEnd"/>
      <w:proofErr w:type="gramEnd"/>
      <w:r w:rsidRPr="00E31362">
        <w:rPr>
          <w:vertAlign w:val="superscript"/>
        </w:rPr>
        <w:t xml:space="preserve"> </w:t>
      </w:r>
      <w:r w:rsidRPr="00877C56">
        <w:t>The multiplier is the number used to determine the “number” of meals that will be reimbursed under the Community Eligibility Option, above the actual number of meals served. In this evaluation study of the Community Eligibility Option, the multiplier is set at 1.6. Therefore, if a school served 100 lunches, under the Community Eligibility Option, they would be reimbursed for 160 (100 x 1.6) lunches.</w:t>
      </w:r>
      <w:r w:rsidR="00470D61" w:rsidRPr="00D41DA4">
        <w:t xml:space="preserve"> </w:t>
      </w:r>
    </w:p>
    <w:p w:rsidR="005B795E" w:rsidRPr="005B795E" w:rsidRDefault="005B795E" w:rsidP="005B795E">
      <w:pPr>
        <w:pStyle w:val="BodyText"/>
      </w:pPr>
    </w:p>
    <w:sectPr w:rsidR="005B795E" w:rsidRPr="005B795E" w:rsidSect="00470D61">
      <w:footerReference w:type="even" r:id="rId13"/>
      <w:footerReference w:type="default" r:id="rId14"/>
      <w:pgSz w:w="15840" w:h="12240" w:orient="landscape" w:code="1"/>
      <w:pgMar w:top="1800" w:right="1440" w:bottom="1440" w:left="144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1CD" w:rsidRDefault="00AC31CD" w:rsidP="00D979EA">
      <w:r>
        <w:separator/>
      </w:r>
    </w:p>
  </w:endnote>
  <w:endnote w:type="continuationSeparator" w:id="0">
    <w:p w:rsidR="00AC31CD" w:rsidRDefault="00AC31C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CD" w:rsidRDefault="00AC31CD">
    <w:pPr>
      <w:pStyle w:val="Footer"/>
    </w:pP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70D61">
      <w:rPr>
        <w:rStyle w:val="PageNumber"/>
        <w:b/>
        <w:noProof/>
        <w:color w:val="DA291C"/>
      </w:rPr>
      <w:t>10</w:t>
    </w:r>
    <w:r w:rsidRPr="002064D3">
      <w:rPr>
        <w:rStyle w:val="PageNumber"/>
        <w:b/>
        <w:noProof/>
        <w:color w:val="DA291C"/>
      </w:rPr>
      <w:fldChar w:fldCharType="end"/>
    </w:r>
    <w:r>
      <w:rPr>
        <w:rStyle w:val="PageNumber"/>
        <w:b/>
      </w:rPr>
      <w:t> </w:t>
    </w:r>
    <w:r>
      <w:rPr>
        <w:rStyle w:val="PageNumber"/>
        <w:rFonts w:cs="Arial"/>
        <w:b/>
      </w:rPr>
      <w:t>▌</w:t>
    </w:r>
    <w:r>
      <w:rPr>
        <w:rStyle w:val="PageNumber"/>
        <w:b/>
      </w:rPr>
      <w:t>2. Implementation Study Design</w:t>
    </w:r>
    <w:r>
      <w:rPr>
        <w:rStyle w:val="PageNumber"/>
        <w:b/>
        <w:noProof/>
        <w:color w:val="DA291C"/>
      </w:rPr>
      <w:tab/>
    </w:r>
    <w:r>
      <w:rPr>
        <w:rStyle w:val="PageNumber"/>
        <w:b/>
        <w:noProof/>
        <w:color w:val="DA291C"/>
      </w:rPr>
      <w:tab/>
    </w:r>
    <w:proofErr w:type="spellStart"/>
    <w:r w:rsidRPr="00967D7C">
      <w:rPr>
        <w:color w:val="DA291C"/>
      </w:rPr>
      <w:t>Abt</w:t>
    </w:r>
    <w:proofErr w:type="spellEnd"/>
    <w:r w:rsidRPr="00967D7C">
      <w:rPr>
        <w:color w:val="DA291C"/>
      </w:rPr>
      <w:t xml:space="preserve"> Associates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CD" w:rsidRPr="0066134E" w:rsidRDefault="00AC31CD" w:rsidP="00D979EA">
    <w:pPr>
      <w:pStyle w:val="Footer"/>
    </w:pPr>
    <w:proofErr w:type="spellStart"/>
    <w:r w:rsidRPr="00967D7C">
      <w:rPr>
        <w:color w:val="DA291C"/>
      </w:rPr>
      <w:t>Abt</w:t>
    </w:r>
    <w:proofErr w:type="spellEnd"/>
    <w:r w:rsidRPr="00967D7C">
      <w:rPr>
        <w:color w:val="DA291C"/>
      </w:rPr>
      <w:t xml:space="preserve"> Associates</w:t>
    </w:r>
    <w:r w:rsidRPr="0066134E">
      <w:tab/>
    </w:r>
    <w:r w:rsidRPr="0066134E">
      <w:rPr>
        <w:rStyle w:val="PageNumber"/>
        <w:b/>
      </w:rPr>
      <w:tab/>
    </w:r>
    <w:r w:rsidR="00765AB1">
      <w:rPr>
        <w:rStyle w:val="PageNumber"/>
        <w:b/>
      </w:rPr>
      <w:t xml:space="preserve">Appendix </w:t>
    </w:r>
    <w:r w:rsidR="000F0BCF">
      <w:rPr>
        <w:rStyle w:val="PageNumber"/>
        <w:b/>
      </w:rPr>
      <w:t>A</w:t>
    </w:r>
    <w:r>
      <w:rPr>
        <w:rStyle w:val="PageNumber"/>
        <w:b/>
      </w:rPr>
      <w:t> </w:t>
    </w:r>
    <w:r>
      <w:rPr>
        <w:rStyle w:val="PageNumber"/>
        <w:rFonts w:cs="Arial"/>
        <w:b/>
      </w:rPr>
      <w:t>▌</w:t>
    </w:r>
    <w:r>
      <w:rPr>
        <w:rStyle w:val="PageNumber"/>
        <w:b/>
      </w:rPr>
      <w:t xml:space="preserve">pg. </w:t>
    </w:r>
    <w:r w:rsidR="000F0BCF">
      <w:rPr>
        <w:rStyle w:val="PageNumber"/>
        <w:b/>
      </w:rPr>
      <w:t>A</w:t>
    </w:r>
    <w:r w:rsidR="00B4007E" w:rsidRPr="00B4007E">
      <w:rPr>
        <w:rStyle w:val="PageNumber"/>
        <w:b/>
        <w:color w:val="DA291C" w:themeColor="text2"/>
      </w:rPr>
      <w:t>-</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F0BCF">
      <w:rPr>
        <w:rStyle w:val="PageNumber"/>
        <w:b/>
        <w:noProof/>
        <w:color w:val="DA291C"/>
      </w:rPr>
      <w:t>1</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CD" w:rsidRDefault="00AC31CD" w:rsidP="00765AB1">
    <w:pPr>
      <w:pStyle w:val="Footer"/>
      <w:tabs>
        <w:tab w:val="clear" w:pos="9000"/>
        <w:tab w:val="right" w:pos="12960"/>
      </w:tabs>
    </w:pPr>
    <w:r>
      <w:rPr>
        <w:rStyle w:val="PageNumber1"/>
      </w:rPr>
      <w:t xml:space="preserve">pg. </w:t>
    </w:r>
    <w:r w:rsidR="00765AB1" w:rsidRPr="00765AB1">
      <w:rPr>
        <w:rStyle w:val="PageNumber1"/>
        <w:b/>
        <w:color w:val="DA291C" w:themeColor="text2"/>
      </w:rPr>
      <w:t>B-</w:t>
    </w:r>
    <w:r w:rsidRPr="002064D3">
      <w:rPr>
        <w:rStyle w:val="PageNumber1"/>
        <w:b/>
        <w:color w:val="DA291C"/>
      </w:rPr>
      <w:fldChar w:fldCharType="begin"/>
    </w:r>
    <w:r w:rsidRPr="002064D3">
      <w:rPr>
        <w:rStyle w:val="PageNumber1"/>
        <w:color w:val="DA291C"/>
      </w:rPr>
      <w:instrText xml:space="preserve"> PAGE   \* MERGEFORMAT </w:instrText>
    </w:r>
    <w:r w:rsidRPr="002064D3">
      <w:rPr>
        <w:rStyle w:val="PageNumber1"/>
        <w:b/>
        <w:color w:val="DA291C"/>
      </w:rPr>
      <w:fldChar w:fldCharType="separate"/>
    </w:r>
    <w:r w:rsidR="00B4007E" w:rsidRPr="00B4007E">
      <w:rPr>
        <w:rStyle w:val="PageNumber1"/>
        <w:b/>
        <w:noProof/>
        <w:color w:val="DA291C"/>
      </w:rPr>
      <w:t>2</w:t>
    </w:r>
    <w:r w:rsidRPr="002064D3">
      <w:rPr>
        <w:rStyle w:val="PageNumber1"/>
        <w:b/>
        <w:noProof/>
        <w:color w:val="DA291C"/>
      </w:rPr>
      <w:fldChar w:fldCharType="end"/>
    </w:r>
    <w:r>
      <w:rPr>
        <w:rStyle w:val="PageNumber1"/>
      </w:rPr>
      <w:t> </w:t>
    </w:r>
    <w:r>
      <w:rPr>
        <w:rStyle w:val="PageNumber1"/>
        <w:rFonts w:cs="Arial"/>
      </w:rPr>
      <w:t>▌</w:t>
    </w:r>
    <w:r w:rsidR="00765AB1">
      <w:rPr>
        <w:rStyle w:val="PageNumber1"/>
        <w:b/>
      </w:rPr>
      <w:t>Appendix B</w:t>
    </w:r>
    <w:r>
      <w:rPr>
        <w:rStyle w:val="PageNumber1"/>
        <w:noProof/>
        <w:color w:val="DA291C"/>
      </w:rPr>
      <w:tab/>
    </w:r>
    <w:r>
      <w:rPr>
        <w:rStyle w:val="PageNumber1"/>
        <w:noProof/>
        <w:color w:val="DA291C"/>
      </w:rPr>
      <w:tab/>
    </w:r>
    <w:proofErr w:type="spellStart"/>
    <w:r w:rsidRPr="00967D7C">
      <w:rPr>
        <w:color w:val="DA291C"/>
      </w:rPr>
      <w:t>Abt</w:t>
    </w:r>
    <w:proofErr w:type="spellEnd"/>
    <w:r w:rsidRPr="00967D7C">
      <w:rPr>
        <w:color w:val="DA291C"/>
      </w:rPr>
      <w:t xml:space="preserve"> Associates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CD" w:rsidRDefault="00AC31CD" w:rsidP="00765AB1">
    <w:pPr>
      <w:pStyle w:val="Footer"/>
      <w:tabs>
        <w:tab w:val="clear" w:pos="9000"/>
        <w:tab w:val="right" w:pos="12960"/>
      </w:tabs>
    </w:pPr>
    <w:proofErr w:type="spellStart"/>
    <w:r w:rsidRPr="00967D7C">
      <w:rPr>
        <w:color w:val="DA291C"/>
      </w:rPr>
      <w:t>Abt</w:t>
    </w:r>
    <w:proofErr w:type="spellEnd"/>
    <w:r w:rsidRPr="00967D7C">
      <w:rPr>
        <w:color w:val="DA291C"/>
      </w:rPr>
      <w:t xml:space="preserve"> Associates</w:t>
    </w:r>
    <w:r w:rsidRPr="0066134E">
      <w:tab/>
    </w:r>
    <w:r w:rsidRPr="0066134E">
      <w:rPr>
        <w:rStyle w:val="PageNumber1"/>
      </w:rPr>
      <w:tab/>
    </w:r>
    <w:r w:rsidR="00765AB1">
      <w:rPr>
        <w:rStyle w:val="PageNumber1"/>
        <w:b/>
      </w:rPr>
      <w:t xml:space="preserve">Appendix </w:t>
    </w:r>
    <w:r w:rsidR="000F0BCF">
      <w:rPr>
        <w:rStyle w:val="PageNumber1"/>
        <w:b/>
      </w:rPr>
      <w:t>A</w:t>
    </w:r>
    <w:r>
      <w:rPr>
        <w:rStyle w:val="PageNumber1"/>
      </w:rPr>
      <w:t> </w:t>
    </w:r>
    <w:r>
      <w:rPr>
        <w:rStyle w:val="PageNumber1"/>
        <w:rFonts w:cs="Arial"/>
      </w:rPr>
      <w:t>▌</w:t>
    </w:r>
    <w:r>
      <w:rPr>
        <w:rStyle w:val="PageNumber1"/>
      </w:rPr>
      <w:t xml:space="preserve">pg. </w:t>
    </w:r>
    <w:r w:rsidR="000F0BCF" w:rsidRPr="000F0BCF">
      <w:rPr>
        <w:rStyle w:val="PageNumber1"/>
        <w:b/>
        <w:color w:val="DA291C" w:themeColor="text2"/>
      </w:rPr>
      <w:t>A</w:t>
    </w:r>
    <w:r w:rsidR="00765AB1" w:rsidRPr="00765AB1">
      <w:rPr>
        <w:rStyle w:val="PageNumber1"/>
        <w:b/>
        <w:color w:val="DA291C" w:themeColor="text2"/>
      </w:rPr>
      <w:t>-</w:t>
    </w:r>
    <w:r w:rsidRPr="002064D3">
      <w:rPr>
        <w:rStyle w:val="PageNumber1"/>
        <w:b/>
        <w:color w:val="DA291C"/>
      </w:rPr>
      <w:fldChar w:fldCharType="begin"/>
    </w:r>
    <w:r w:rsidRPr="002064D3">
      <w:rPr>
        <w:rStyle w:val="PageNumber1"/>
        <w:color w:val="DA291C"/>
      </w:rPr>
      <w:instrText xml:space="preserve"> PAGE   \* MERGEFORMAT </w:instrText>
    </w:r>
    <w:r w:rsidRPr="002064D3">
      <w:rPr>
        <w:rStyle w:val="PageNumber1"/>
        <w:b/>
        <w:color w:val="DA291C"/>
      </w:rPr>
      <w:fldChar w:fldCharType="separate"/>
    </w:r>
    <w:r w:rsidR="000F0BCF" w:rsidRPr="000F0BCF">
      <w:rPr>
        <w:rStyle w:val="PageNumber1"/>
        <w:b/>
        <w:noProof/>
        <w:color w:val="DA291C"/>
      </w:rPr>
      <w:t>4</w:t>
    </w:r>
    <w:r w:rsidRPr="002064D3">
      <w:rPr>
        <w:rStyle w:val="PageNumber1"/>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1CD" w:rsidRDefault="00AC31CD" w:rsidP="00D979EA">
      <w:r>
        <w:separator/>
      </w:r>
    </w:p>
  </w:footnote>
  <w:footnote w:type="continuationSeparator" w:id="0">
    <w:p w:rsidR="00AC31CD" w:rsidRDefault="00AC31C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B1" w:rsidRDefault="00765AB1" w:rsidP="00765AB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07E" w:rsidRDefault="00B4007E" w:rsidP="00B4007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73E"/>
    <w:multiLevelType w:val="hybridMultilevel"/>
    <w:tmpl w:val="2232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82F27"/>
    <w:multiLevelType w:val="hybridMultilevel"/>
    <w:tmpl w:val="2E420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62815"/>
    <w:multiLevelType w:val="multilevel"/>
    <w:tmpl w:val="C54A33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912F86"/>
    <w:multiLevelType w:val="hybridMultilevel"/>
    <w:tmpl w:val="A2784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96197"/>
    <w:multiLevelType w:val="hybridMultilevel"/>
    <w:tmpl w:val="5DCCC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13E91"/>
    <w:multiLevelType w:val="multilevel"/>
    <w:tmpl w:val="0D0E4F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613599"/>
    <w:multiLevelType w:val="hybridMultilevel"/>
    <w:tmpl w:val="D44C2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47496"/>
    <w:multiLevelType w:val="hybridMultilevel"/>
    <w:tmpl w:val="F352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6EF68BF"/>
    <w:multiLevelType w:val="hybridMultilevel"/>
    <w:tmpl w:val="03CE7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045B71"/>
    <w:multiLevelType w:val="hybridMultilevel"/>
    <w:tmpl w:val="6F06C4F2"/>
    <w:lvl w:ilvl="0" w:tplc="4D22625A">
      <w:start w:val="1"/>
      <w:numFmt w:val="bullet"/>
      <w:pStyle w:val="Bullet-exhibi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01D8B"/>
    <w:multiLevelType w:val="hybridMultilevel"/>
    <w:tmpl w:val="2D521A22"/>
    <w:lvl w:ilvl="0" w:tplc="D57460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9E8279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5E06BEA"/>
    <w:multiLevelType w:val="hybridMultilevel"/>
    <w:tmpl w:val="98021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77011C"/>
    <w:multiLevelType w:val="hybridMultilevel"/>
    <w:tmpl w:val="839685F4"/>
    <w:lvl w:ilvl="0" w:tplc="1EA293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25498"/>
    <w:multiLevelType w:val="hybridMultilevel"/>
    <w:tmpl w:val="24F06756"/>
    <w:lvl w:ilvl="0" w:tplc="A85A340E">
      <w:start w:val="1"/>
      <w:numFmt w:val="bullet"/>
      <w:pStyle w:val="Table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6">
    <w:nsid w:val="58EE74E2"/>
    <w:multiLevelType w:val="hybridMultilevel"/>
    <w:tmpl w:val="C87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95256"/>
    <w:multiLevelType w:val="hybridMultilevel"/>
    <w:tmpl w:val="EAECE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F34197"/>
    <w:multiLevelType w:val="hybridMultilevel"/>
    <w:tmpl w:val="B17684FC"/>
    <w:lvl w:ilvl="0" w:tplc="2A94D148">
      <w:start w:val="1"/>
      <w:numFmt w:val="bullet"/>
      <w:pStyle w:val="Bulletsexhib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9"/>
  </w:num>
  <w:num w:numId="3">
    <w:abstractNumId w:val="20"/>
  </w:num>
  <w:num w:numId="4">
    <w:abstractNumId w:val="12"/>
  </w:num>
  <w:num w:numId="5">
    <w:abstractNumId w:val="21"/>
  </w:num>
  <w:num w:numId="6">
    <w:abstractNumId w:val="10"/>
  </w:num>
  <w:num w:numId="7">
    <w:abstractNumId w:val="7"/>
  </w:num>
  <w:num w:numId="8">
    <w:abstractNumId w:val="11"/>
  </w:num>
  <w:num w:numId="9">
    <w:abstractNumId w:val="13"/>
  </w:num>
  <w:num w:numId="10">
    <w:abstractNumId w:val="9"/>
  </w:num>
  <w:num w:numId="11">
    <w:abstractNumId w:val="3"/>
  </w:num>
  <w:num w:numId="12">
    <w:abstractNumId w:val="17"/>
  </w:num>
  <w:num w:numId="13">
    <w:abstractNumId w:val="16"/>
  </w:num>
  <w:num w:numId="14">
    <w:abstractNumId w:val="0"/>
  </w:num>
  <w:num w:numId="15">
    <w:abstractNumId w:val="15"/>
  </w:num>
  <w:num w:numId="16">
    <w:abstractNumId w:val="18"/>
  </w:num>
  <w:num w:numId="17">
    <w:abstractNumId w:val="4"/>
  </w:num>
  <w:num w:numId="18">
    <w:abstractNumId w:val="1"/>
  </w:num>
  <w:num w:numId="19">
    <w:abstractNumId w:val="6"/>
  </w:num>
  <w:num w:numId="20">
    <w:abstractNumId w:val="14"/>
  </w:num>
  <w:num w:numId="21">
    <w:abstractNumId w:val="5"/>
  </w:num>
  <w:num w:numId="22">
    <w:abstractNumId w:val="2"/>
  </w:num>
  <w:num w:numId="23">
    <w:abstractNumId w:val="12"/>
  </w:num>
  <w:num w:numId="2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105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12"/>
    <w:rsid w:val="000027B9"/>
    <w:rsid w:val="00003A2C"/>
    <w:rsid w:val="00006B3A"/>
    <w:rsid w:val="000136F3"/>
    <w:rsid w:val="00016E17"/>
    <w:rsid w:val="0002216E"/>
    <w:rsid w:val="00022E3C"/>
    <w:rsid w:val="00032843"/>
    <w:rsid w:val="00040E00"/>
    <w:rsid w:val="00046728"/>
    <w:rsid w:val="000525E0"/>
    <w:rsid w:val="00053EEF"/>
    <w:rsid w:val="000543DC"/>
    <w:rsid w:val="00055022"/>
    <w:rsid w:val="00055A04"/>
    <w:rsid w:val="0005750B"/>
    <w:rsid w:val="0006045E"/>
    <w:rsid w:val="00064ACF"/>
    <w:rsid w:val="0006587B"/>
    <w:rsid w:val="00070322"/>
    <w:rsid w:val="00072740"/>
    <w:rsid w:val="00082D01"/>
    <w:rsid w:val="00087856"/>
    <w:rsid w:val="000902AA"/>
    <w:rsid w:val="00095D40"/>
    <w:rsid w:val="000A00A2"/>
    <w:rsid w:val="000A1C6D"/>
    <w:rsid w:val="000A7D69"/>
    <w:rsid w:val="000B33D1"/>
    <w:rsid w:val="000C0A39"/>
    <w:rsid w:val="000C1477"/>
    <w:rsid w:val="000C3040"/>
    <w:rsid w:val="000D101B"/>
    <w:rsid w:val="000D53F1"/>
    <w:rsid w:val="000D5777"/>
    <w:rsid w:val="000D6373"/>
    <w:rsid w:val="000E0647"/>
    <w:rsid w:val="000E6B75"/>
    <w:rsid w:val="000F0BCF"/>
    <w:rsid w:val="000F53F4"/>
    <w:rsid w:val="001034D7"/>
    <w:rsid w:val="00104F2A"/>
    <w:rsid w:val="00107A04"/>
    <w:rsid w:val="0011170B"/>
    <w:rsid w:val="001178CA"/>
    <w:rsid w:val="00120527"/>
    <w:rsid w:val="001307A5"/>
    <w:rsid w:val="00152153"/>
    <w:rsid w:val="00157E04"/>
    <w:rsid w:val="00160657"/>
    <w:rsid w:val="00160B87"/>
    <w:rsid w:val="001677DC"/>
    <w:rsid w:val="00172119"/>
    <w:rsid w:val="00183985"/>
    <w:rsid w:val="001A00CB"/>
    <w:rsid w:val="001A04CE"/>
    <w:rsid w:val="001A0E0A"/>
    <w:rsid w:val="001A23B5"/>
    <w:rsid w:val="001A403F"/>
    <w:rsid w:val="001A4633"/>
    <w:rsid w:val="001B4509"/>
    <w:rsid w:val="001C0891"/>
    <w:rsid w:val="001C10AF"/>
    <w:rsid w:val="001D0359"/>
    <w:rsid w:val="001D4FDD"/>
    <w:rsid w:val="001E2CF1"/>
    <w:rsid w:val="001E58B4"/>
    <w:rsid w:val="001E7427"/>
    <w:rsid w:val="001F10DB"/>
    <w:rsid w:val="00200E58"/>
    <w:rsid w:val="00202DE8"/>
    <w:rsid w:val="0020380C"/>
    <w:rsid w:val="002064D3"/>
    <w:rsid w:val="002106BF"/>
    <w:rsid w:val="00211DB8"/>
    <w:rsid w:val="002176B8"/>
    <w:rsid w:val="002216AD"/>
    <w:rsid w:val="00221D99"/>
    <w:rsid w:val="0022298C"/>
    <w:rsid w:val="00223A9F"/>
    <w:rsid w:val="00225407"/>
    <w:rsid w:val="0022674D"/>
    <w:rsid w:val="00227977"/>
    <w:rsid w:val="0023449A"/>
    <w:rsid w:val="00235F88"/>
    <w:rsid w:val="002447A9"/>
    <w:rsid w:val="002467BC"/>
    <w:rsid w:val="00253143"/>
    <w:rsid w:val="00255975"/>
    <w:rsid w:val="00265F08"/>
    <w:rsid w:val="002702F7"/>
    <w:rsid w:val="00273EAA"/>
    <w:rsid w:val="00276702"/>
    <w:rsid w:val="0028328D"/>
    <w:rsid w:val="002838F5"/>
    <w:rsid w:val="00285BB6"/>
    <w:rsid w:val="0029491C"/>
    <w:rsid w:val="002A4078"/>
    <w:rsid w:val="002A5CE0"/>
    <w:rsid w:val="002A749B"/>
    <w:rsid w:val="002B2F3C"/>
    <w:rsid w:val="002B41E5"/>
    <w:rsid w:val="002C32AB"/>
    <w:rsid w:val="002C41F9"/>
    <w:rsid w:val="002C4495"/>
    <w:rsid w:val="002C5AC8"/>
    <w:rsid w:val="002C76AB"/>
    <w:rsid w:val="002D1EB4"/>
    <w:rsid w:val="002D4536"/>
    <w:rsid w:val="002E5164"/>
    <w:rsid w:val="002F0EAB"/>
    <w:rsid w:val="002F1E7E"/>
    <w:rsid w:val="002F3E65"/>
    <w:rsid w:val="002F48C8"/>
    <w:rsid w:val="002F55CE"/>
    <w:rsid w:val="002F76F5"/>
    <w:rsid w:val="00300C8D"/>
    <w:rsid w:val="00304C59"/>
    <w:rsid w:val="00307A9A"/>
    <w:rsid w:val="00314A8A"/>
    <w:rsid w:val="00324EC2"/>
    <w:rsid w:val="003279F2"/>
    <w:rsid w:val="00342BA9"/>
    <w:rsid w:val="003455BC"/>
    <w:rsid w:val="00354503"/>
    <w:rsid w:val="003623F0"/>
    <w:rsid w:val="00364671"/>
    <w:rsid w:val="00370164"/>
    <w:rsid w:val="003711CD"/>
    <w:rsid w:val="003763EC"/>
    <w:rsid w:val="00380DB1"/>
    <w:rsid w:val="00383BFC"/>
    <w:rsid w:val="00384611"/>
    <w:rsid w:val="00384CA0"/>
    <w:rsid w:val="003870BA"/>
    <w:rsid w:val="003872CF"/>
    <w:rsid w:val="00387604"/>
    <w:rsid w:val="00393539"/>
    <w:rsid w:val="00395A89"/>
    <w:rsid w:val="003A2FA8"/>
    <w:rsid w:val="003A3403"/>
    <w:rsid w:val="003B168E"/>
    <w:rsid w:val="003B16C3"/>
    <w:rsid w:val="003B4770"/>
    <w:rsid w:val="003C20BF"/>
    <w:rsid w:val="003D5373"/>
    <w:rsid w:val="003D5616"/>
    <w:rsid w:val="003E666B"/>
    <w:rsid w:val="003F3E19"/>
    <w:rsid w:val="0041416E"/>
    <w:rsid w:val="00423092"/>
    <w:rsid w:val="004253E8"/>
    <w:rsid w:val="00427EA9"/>
    <w:rsid w:val="004319BC"/>
    <w:rsid w:val="004350B0"/>
    <w:rsid w:val="00436CE5"/>
    <w:rsid w:val="004507DF"/>
    <w:rsid w:val="00450C89"/>
    <w:rsid w:val="00470AB4"/>
    <w:rsid w:val="00470D61"/>
    <w:rsid w:val="00472E16"/>
    <w:rsid w:val="004734DF"/>
    <w:rsid w:val="00474244"/>
    <w:rsid w:val="00482D12"/>
    <w:rsid w:val="00486943"/>
    <w:rsid w:val="00495B91"/>
    <w:rsid w:val="004A3E78"/>
    <w:rsid w:val="004A5408"/>
    <w:rsid w:val="004A6DB3"/>
    <w:rsid w:val="004C18DF"/>
    <w:rsid w:val="004C29E5"/>
    <w:rsid w:val="004C2B46"/>
    <w:rsid w:val="004D4C6D"/>
    <w:rsid w:val="004E01A4"/>
    <w:rsid w:val="004F6742"/>
    <w:rsid w:val="004F709B"/>
    <w:rsid w:val="00503049"/>
    <w:rsid w:val="0051440E"/>
    <w:rsid w:val="0051591D"/>
    <w:rsid w:val="0052192B"/>
    <w:rsid w:val="00534B03"/>
    <w:rsid w:val="00534C33"/>
    <w:rsid w:val="00536DB4"/>
    <w:rsid w:val="0054025D"/>
    <w:rsid w:val="00545812"/>
    <w:rsid w:val="0055123E"/>
    <w:rsid w:val="0056660D"/>
    <w:rsid w:val="00574572"/>
    <w:rsid w:val="00583687"/>
    <w:rsid w:val="00585CA4"/>
    <w:rsid w:val="00594CB4"/>
    <w:rsid w:val="00597948"/>
    <w:rsid w:val="005A093B"/>
    <w:rsid w:val="005B1AC5"/>
    <w:rsid w:val="005B6A25"/>
    <w:rsid w:val="005B795E"/>
    <w:rsid w:val="005C2B68"/>
    <w:rsid w:val="005C38E7"/>
    <w:rsid w:val="005C4647"/>
    <w:rsid w:val="005C6B82"/>
    <w:rsid w:val="005D4E32"/>
    <w:rsid w:val="005E0CF2"/>
    <w:rsid w:val="005E2AEA"/>
    <w:rsid w:val="005E6B70"/>
    <w:rsid w:val="005F15AC"/>
    <w:rsid w:val="006029BB"/>
    <w:rsid w:val="006122D8"/>
    <w:rsid w:val="0061247A"/>
    <w:rsid w:val="00615938"/>
    <w:rsid w:val="006264A6"/>
    <w:rsid w:val="0063014E"/>
    <w:rsid w:val="006314D5"/>
    <w:rsid w:val="00647107"/>
    <w:rsid w:val="0065112D"/>
    <w:rsid w:val="00655186"/>
    <w:rsid w:val="0066134E"/>
    <w:rsid w:val="006747DD"/>
    <w:rsid w:val="00676793"/>
    <w:rsid w:val="006814BB"/>
    <w:rsid w:val="006840EB"/>
    <w:rsid w:val="0069342C"/>
    <w:rsid w:val="006A541C"/>
    <w:rsid w:val="006A5B3B"/>
    <w:rsid w:val="006A7E07"/>
    <w:rsid w:val="006B0ED6"/>
    <w:rsid w:val="006B1DA6"/>
    <w:rsid w:val="006C2D48"/>
    <w:rsid w:val="006C7A4C"/>
    <w:rsid w:val="006D406B"/>
    <w:rsid w:val="006E2B32"/>
    <w:rsid w:val="006F2B34"/>
    <w:rsid w:val="006F6F90"/>
    <w:rsid w:val="007057ED"/>
    <w:rsid w:val="0070672F"/>
    <w:rsid w:val="007105A6"/>
    <w:rsid w:val="00714FCE"/>
    <w:rsid w:val="00715417"/>
    <w:rsid w:val="00726DD4"/>
    <w:rsid w:val="00730F56"/>
    <w:rsid w:val="00744E2C"/>
    <w:rsid w:val="0074597D"/>
    <w:rsid w:val="00752119"/>
    <w:rsid w:val="00754408"/>
    <w:rsid w:val="00754AEF"/>
    <w:rsid w:val="007631C7"/>
    <w:rsid w:val="00763CCC"/>
    <w:rsid w:val="00765AB1"/>
    <w:rsid w:val="00776C72"/>
    <w:rsid w:val="00777D50"/>
    <w:rsid w:val="0078258F"/>
    <w:rsid w:val="007846BC"/>
    <w:rsid w:val="00785418"/>
    <w:rsid w:val="00794B6E"/>
    <w:rsid w:val="007969A4"/>
    <w:rsid w:val="00796E09"/>
    <w:rsid w:val="007A0114"/>
    <w:rsid w:val="007A66F9"/>
    <w:rsid w:val="007A7AE8"/>
    <w:rsid w:val="007B1321"/>
    <w:rsid w:val="007B1904"/>
    <w:rsid w:val="007B7BF1"/>
    <w:rsid w:val="007D6370"/>
    <w:rsid w:val="007E092F"/>
    <w:rsid w:val="007E5EC0"/>
    <w:rsid w:val="007F3218"/>
    <w:rsid w:val="0080098A"/>
    <w:rsid w:val="00801761"/>
    <w:rsid w:val="0080265C"/>
    <w:rsid w:val="008111EB"/>
    <w:rsid w:val="008130C9"/>
    <w:rsid w:val="00813D02"/>
    <w:rsid w:val="00814833"/>
    <w:rsid w:val="0082033D"/>
    <w:rsid w:val="008222AD"/>
    <w:rsid w:val="0083104D"/>
    <w:rsid w:val="008349AE"/>
    <w:rsid w:val="00835BBC"/>
    <w:rsid w:val="00846D77"/>
    <w:rsid w:val="00850CE9"/>
    <w:rsid w:val="00852480"/>
    <w:rsid w:val="00856632"/>
    <w:rsid w:val="00867308"/>
    <w:rsid w:val="00877C56"/>
    <w:rsid w:val="00892501"/>
    <w:rsid w:val="008B0543"/>
    <w:rsid w:val="008C0888"/>
    <w:rsid w:val="008C3505"/>
    <w:rsid w:val="008D30EA"/>
    <w:rsid w:val="008D55C8"/>
    <w:rsid w:val="008E20DE"/>
    <w:rsid w:val="008F1770"/>
    <w:rsid w:val="009013C5"/>
    <w:rsid w:val="009061A4"/>
    <w:rsid w:val="00911EFD"/>
    <w:rsid w:val="00912E02"/>
    <w:rsid w:val="00920A20"/>
    <w:rsid w:val="009413D6"/>
    <w:rsid w:val="00942024"/>
    <w:rsid w:val="00944550"/>
    <w:rsid w:val="009550AD"/>
    <w:rsid w:val="009565D4"/>
    <w:rsid w:val="009567A0"/>
    <w:rsid w:val="00965DBA"/>
    <w:rsid w:val="00967D7C"/>
    <w:rsid w:val="0097329C"/>
    <w:rsid w:val="00977D73"/>
    <w:rsid w:val="0099262A"/>
    <w:rsid w:val="009941AF"/>
    <w:rsid w:val="009A05F3"/>
    <w:rsid w:val="009A19FC"/>
    <w:rsid w:val="009B56DA"/>
    <w:rsid w:val="009D13BB"/>
    <w:rsid w:val="009D2A5B"/>
    <w:rsid w:val="009D50EB"/>
    <w:rsid w:val="009E32F5"/>
    <w:rsid w:val="009E6279"/>
    <w:rsid w:val="009E6E7B"/>
    <w:rsid w:val="009E7072"/>
    <w:rsid w:val="009F2649"/>
    <w:rsid w:val="009F5F80"/>
    <w:rsid w:val="009F704C"/>
    <w:rsid w:val="00A0215D"/>
    <w:rsid w:val="00A04CEE"/>
    <w:rsid w:val="00A05DD2"/>
    <w:rsid w:val="00A06666"/>
    <w:rsid w:val="00A105E0"/>
    <w:rsid w:val="00A2048E"/>
    <w:rsid w:val="00A226F1"/>
    <w:rsid w:val="00A24DC2"/>
    <w:rsid w:val="00A255DD"/>
    <w:rsid w:val="00A3018B"/>
    <w:rsid w:val="00A3128D"/>
    <w:rsid w:val="00A324EA"/>
    <w:rsid w:val="00A33A46"/>
    <w:rsid w:val="00A45B43"/>
    <w:rsid w:val="00A4794A"/>
    <w:rsid w:val="00A51C39"/>
    <w:rsid w:val="00A533DE"/>
    <w:rsid w:val="00A53E2B"/>
    <w:rsid w:val="00A55ABF"/>
    <w:rsid w:val="00A55E0F"/>
    <w:rsid w:val="00A6523D"/>
    <w:rsid w:val="00A7018F"/>
    <w:rsid w:val="00A817CE"/>
    <w:rsid w:val="00A91299"/>
    <w:rsid w:val="00A928FA"/>
    <w:rsid w:val="00A941FE"/>
    <w:rsid w:val="00A96B13"/>
    <w:rsid w:val="00A97DA5"/>
    <w:rsid w:val="00AA7B0B"/>
    <w:rsid w:val="00AB2A94"/>
    <w:rsid w:val="00AB32CF"/>
    <w:rsid w:val="00AB7666"/>
    <w:rsid w:val="00AC31CD"/>
    <w:rsid w:val="00AC59EB"/>
    <w:rsid w:val="00AD2235"/>
    <w:rsid w:val="00AD7F0B"/>
    <w:rsid w:val="00AE40FB"/>
    <w:rsid w:val="00AF0EB3"/>
    <w:rsid w:val="00B00922"/>
    <w:rsid w:val="00B02599"/>
    <w:rsid w:val="00B11A27"/>
    <w:rsid w:val="00B14060"/>
    <w:rsid w:val="00B16B3C"/>
    <w:rsid w:val="00B25EE3"/>
    <w:rsid w:val="00B269D4"/>
    <w:rsid w:val="00B3357C"/>
    <w:rsid w:val="00B3359D"/>
    <w:rsid w:val="00B4007E"/>
    <w:rsid w:val="00B43BC5"/>
    <w:rsid w:val="00B44D84"/>
    <w:rsid w:val="00B61C4A"/>
    <w:rsid w:val="00B61EC9"/>
    <w:rsid w:val="00B63030"/>
    <w:rsid w:val="00B679AD"/>
    <w:rsid w:val="00B7744A"/>
    <w:rsid w:val="00B82D4D"/>
    <w:rsid w:val="00B87EE6"/>
    <w:rsid w:val="00B9260A"/>
    <w:rsid w:val="00B93223"/>
    <w:rsid w:val="00B96ABD"/>
    <w:rsid w:val="00BC3B46"/>
    <w:rsid w:val="00BE69B3"/>
    <w:rsid w:val="00BF18DC"/>
    <w:rsid w:val="00C04B4F"/>
    <w:rsid w:val="00C13DE2"/>
    <w:rsid w:val="00C14408"/>
    <w:rsid w:val="00C14776"/>
    <w:rsid w:val="00C17F58"/>
    <w:rsid w:val="00C307E7"/>
    <w:rsid w:val="00C34A92"/>
    <w:rsid w:val="00C35829"/>
    <w:rsid w:val="00C370A7"/>
    <w:rsid w:val="00C4706D"/>
    <w:rsid w:val="00C544EB"/>
    <w:rsid w:val="00C57E90"/>
    <w:rsid w:val="00C60D63"/>
    <w:rsid w:val="00C62F1C"/>
    <w:rsid w:val="00C6380F"/>
    <w:rsid w:val="00C744A3"/>
    <w:rsid w:val="00C81DB5"/>
    <w:rsid w:val="00C900FF"/>
    <w:rsid w:val="00C961E4"/>
    <w:rsid w:val="00CA6607"/>
    <w:rsid w:val="00CB3FC8"/>
    <w:rsid w:val="00CB442A"/>
    <w:rsid w:val="00CC5031"/>
    <w:rsid w:val="00CD4B2E"/>
    <w:rsid w:val="00CD4DE4"/>
    <w:rsid w:val="00CD6527"/>
    <w:rsid w:val="00CD6B3F"/>
    <w:rsid w:val="00CF0253"/>
    <w:rsid w:val="00CF2F6E"/>
    <w:rsid w:val="00CF3E63"/>
    <w:rsid w:val="00CF561E"/>
    <w:rsid w:val="00D02BEC"/>
    <w:rsid w:val="00D11E77"/>
    <w:rsid w:val="00D143BA"/>
    <w:rsid w:val="00D20DD2"/>
    <w:rsid w:val="00D23CAC"/>
    <w:rsid w:val="00D24380"/>
    <w:rsid w:val="00D34EEE"/>
    <w:rsid w:val="00D37BAF"/>
    <w:rsid w:val="00D41DA4"/>
    <w:rsid w:val="00D51B1E"/>
    <w:rsid w:val="00D52366"/>
    <w:rsid w:val="00D537F0"/>
    <w:rsid w:val="00D661B1"/>
    <w:rsid w:val="00D92C0E"/>
    <w:rsid w:val="00D93FAE"/>
    <w:rsid w:val="00D96598"/>
    <w:rsid w:val="00D979EA"/>
    <w:rsid w:val="00DA02B9"/>
    <w:rsid w:val="00DA4102"/>
    <w:rsid w:val="00DA42EA"/>
    <w:rsid w:val="00DA7FEA"/>
    <w:rsid w:val="00DB269B"/>
    <w:rsid w:val="00DC02B5"/>
    <w:rsid w:val="00DD27D1"/>
    <w:rsid w:val="00DE0FCA"/>
    <w:rsid w:val="00DE221A"/>
    <w:rsid w:val="00DE2334"/>
    <w:rsid w:val="00DE3F5E"/>
    <w:rsid w:val="00DE5C1E"/>
    <w:rsid w:val="00DF68F0"/>
    <w:rsid w:val="00DF6CDE"/>
    <w:rsid w:val="00E0113D"/>
    <w:rsid w:val="00E039CB"/>
    <w:rsid w:val="00E1423B"/>
    <w:rsid w:val="00E253F8"/>
    <w:rsid w:val="00E31362"/>
    <w:rsid w:val="00E317E1"/>
    <w:rsid w:val="00E33231"/>
    <w:rsid w:val="00E603EF"/>
    <w:rsid w:val="00E6186E"/>
    <w:rsid w:val="00E62967"/>
    <w:rsid w:val="00E716D7"/>
    <w:rsid w:val="00E72F03"/>
    <w:rsid w:val="00E7429A"/>
    <w:rsid w:val="00E75D89"/>
    <w:rsid w:val="00E84434"/>
    <w:rsid w:val="00E956BB"/>
    <w:rsid w:val="00EA0512"/>
    <w:rsid w:val="00EA0543"/>
    <w:rsid w:val="00EB30F5"/>
    <w:rsid w:val="00EB5C8B"/>
    <w:rsid w:val="00EC3CC1"/>
    <w:rsid w:val="00EC47CA"/>
    <w:rsid w:val="00ED263C"/>
    <w:rsid w:val="00ED2A92"/>
    <w:rsid w:val="00ED503D"/>
    <w:rsid w:val="00EE11FD"/>
    <w:rsid w:val="00EE1D07"/>
    <w:rsid w:val="00F13235"/>
    <w:rsid w:val="00F1494E"/>
    <w:rsid w:val="00F14D52"/>
    <w:rsid w:val="00F23260"/>
    <w:rsid w:val="00F23798"/>
    <w:rsid w:val="00F260AC"/>
    <w:rsid w:val="00F26DFB"/>
    <w:rsid w:val="00F27043"/>
    <w:rsid w:val="00F32C54"/>
    <w:rsid w:val="00F32E6E"/>
    <w:rsid w:val="00F36526"/>
    <w:rsid w:val="00F418C6"/>
    <w:rsid w:val="00F4263A"/>
    <w:rsid w:val="00F47E96"/>
    <w:rsid w:val="00F50A3A"/>
    <w:rsid w:val="00F62A1E"/>
    <w:rsid w:val="00F64DB9"/>
    <w:rsid w:val="00F65513"/>
    <w:rsid w:val="00F82805"/>
    <w:rsid w:val="00F85399"/>
    <w:rsid w:val="00F93183"/>
    <w:rsid w:val="00F972EB"/>
    <w:rsid w:val="00FA035F"/>
    <w:rsid w:val="00FA686C"/>
    <w:rsid w:val="00FA6932"/>
    <w:rsid w:val="00FB3972"/>
    <w:rsid w:val="00FB3A41"/>
    <w:rsid w:val="00FB70DE"/>
    <w:rsid w:val="00FC2BD1"/>
    <w:rsid w:val="00FC3B16"/>
    <w:rsid w:val="00FD17C2"/>
    <w:rsid w:val="00FD4598"/>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B795E"/>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545812"/>
    <w:pPr>
      <w:spacing w:after="0" w:line="240" w:lineRule="auto"/>
    </w:pPr>
    <w:rPr>
      <w:rFonts w:ascii="Arial" w:hAnsi="Arial" w:cs="Arial"/>
      <w:b/>
      <w:sz w:val="18"/>
    </w:rPr>
  </w:style>
  <w:style w:type="paragraph" w:styleId="BodyText">
    <w:name w:val="Body Text"/>
    <w:basedOn w:val="Normal"/>
    <w:link w:val="BodyTextChar"/>
    <w:rsid w:val="00AB7666"/>
  </w:style>
  <w:style w:type="character" w:customStyle="1" w:styleId="BodyTextChar">
    <w:name w:val="Body Text Char"/>
    <w:basedOn w:val="DefaultParagraphFont"/>
    <w:link w:val="BodyText"/>
    <w:rsid w:val="00AB766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52192B"/>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253F8"/>
    <w:pPr>
      <w:tabs>
        <w:tab w:val="left" w:pos="576"/>
        <w:tab w:val="right" w:leader="dot" w:pos="8990"/>
      </w:tabs>
      <w:spacing w:before="240" w:after="0"/>
    </w:pPr>
    <w:rPr>
      <w:b/>
      <w:noProof/>
      <w:szCs w:val="22"/>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072740"/>
    <w:pPr>
      <w:tabs>
        <w:tab w:val="left" w:pos="1152"/>
        <w:tab w:val="right" w:leader="dot" w:pos="8990"/>
      </w:tabs>
      <w:spacing w:after="0"/>
      <w:ind w:left="576"/>
    </w:pPr>
    <w:rPr>
      <w:noProof/>
    </w:rPr>
  </w:style>
  <w:style w:type="paragraph" w:styleId="TOC3">
    <w:name w:val="toc 3"/>
    <w:basedOn w:val="BodyText"/>
    <w:next w:val="BodyText"/>
    <w:uiPriority w:val="39"/>
    <w:rsid w:val="00E253F8"/>
    <w:pPr>
      <w:tabs>
        <w:tab w:val="left" w:pos="1920"/>
        <w:tab w:val="right" w:leader="dot" w:pos="8990"/>
      </w:tabs>
      <w:spacing w:after="0"/>
      <w:ind w:left="1728" w:right="576" w:hanging="576"/>
    </w:pPr>
    <w:rPr>
      <w:noProof/>
      <w:szCs w:val="22"/>
    </w:rPr>
  </w:style>
  <w:style w:type="paragraph" w:styleId="TOC4">
    <w:name w:val="toc 4"/>
    <w:basedOn w:val="BodyText"/>
    <w:next w:val="BodyText"/>
    <w:uiPriority w:val="39"/>
    <w:pPr>
      <w:ind w:left="1728"/>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link w:val="ExhibitChar"/>
    <w:rsid w:val="00AD7F0B"/>
    <w:pPr>
      <w:spacing w:after="0" w:line="240" w:lineRule="auto"/>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393539"/>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45812"/>
    <w:pPr>
      <w:spacing w:before="0" w:after="0"/>
    </w:pPr>
    <w:rPr>
      <w:sz w:val="18"/>
    </w:rPr>
  </w:style>
  <w:style w:type="paragraph" w:customStyle="1" w:styleId="ExhibitColumnHeader">
    <w:name w:val="Exhibit Column Header"/>
    <w:basedOn w:val="ExhibitRowHeader"/>
    <w:qFormat/>
    <w:rsid w:val="00545812"/>
    <w:pPr>
      <w:keepNext/>
      <w:keepLines/>
    </w:pPr>
    <w:rPr>
      <w:color w:val="FFFFFF" w:themeColor="background1" w:themeTint="33"/>
      <w:sz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link w:val="ListParagraphChar"/>
    <w:uiPriority w:val="34"/>
    <w:qFormat/>
    <w:rsid w:val="00545812"/>
    <w:pPr>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45812"/>
    <w:pPr>
      <w:spacing w:after="120" w:line="480" w:lineRule="auto"/>
      <w:ind w:left="360"/>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45812"/>
    <w:rPr>
      <w:rFonts w:asciiTheme="minorHAnsi" w:eastAsiaTheme="minorHAnsi" w:hAnsiTheme="minorHAnsi" w:cstheme="minorBidi"/>
      <w:sz w:val="22"/>
      <w:szCs w:val="22"/>
    </w:rPr>
  </w:style>
  <w:style w:type="table" w:customStyle="1" w:styleId="COMELtable">
    <w:name w:val="COMEL table"/>
    <w:basedOn w:val="TableNormal"/>
    <w:uiPriority w:val="99"/>
    <w:rsid w:val="00120527"/>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cPr>
      <w:shd w:val="clear" w:color="auto" w:fill="FFFFFF" w:themeFill="background1" w:themeFillTint="33"/>
    </w:tcPr>
    <w:tblStylePr w:type="firstRow">
      <w:pPr>
        <w:jc w:val="center"/>
      </w:pPr>
      <w:tblPr/>
      <w:tcPr>
        <w:shd w:val="clear" w:color="auto" w:fill="898D8D" w:themeFill="background2"/>
        <w:vAlign w:val="bottom"/>
      </w:tcPr>
    </w:tblStylePr>
  </w:style>
  <w:style w:type="character" w:customStyle="1" w:styleId="ExhibitChar">
    <w:name w:val="Exhibit Char"/>
    <w:basedOn w:val="DefaultParagraphFont"/>
    <w:link w:val="Exhibit"/>
    <w:rsid w:val="00AD7F0B"/>
    <w:rPr>
      <w:rFonts w:ascii="Arial" w:hAnsi="Arial"/>
      <w:sz w:val="18"/>
    </w:rPr>
  </w:style>
  <w:style w:type="character" w:customStyle="1" w:styleId="CommentTextChar">
    <w:name w:val="Comment Text Char"/>
    <w:basedOn w:val="DefaultParagraphFont"/>
    <w:link w:val="CommentText"/>
    <w:uiPriority w:val="99"/>
    <w:rsid w:val="00545812"/>
  </w:style>
  <w:style w:type="paragraph" w:styleId="NoSpacing">
    <w:name w:val="No Spacing"/>
    <w:uiPriority w:val="1"/>
    <w:qFormat/>
    <w:rsid w:val="00545812"/>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7427"/>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1E7427"/>
    <w:rPr>
      <w:rFonts w:ascii="Arial" w:hAnsi="Arial"/>
      <w:b/>
      <w:color w:val="DA291C"/>
    </w:rPr>
  </w:style>
  <w:style w:type="character" w:styleId="HTMLCite">
    <w:name w:val="HTML Cite"/>
    <w:basedOn w:val="DefaultParagraphFont"/>
    <w:uiPriority w:val="99"/>
    <w:unhideWhenUsed/>
    <w:rsid w:val="001E7427"/>
    <w:rPr>
      <w:i/>
      <w:iCs/>
    </w:rPr>
  </w:style>
  <w:style w:type="paragraph" w:customStyle="1" w:styleId="ExhibitColumnHeads">
    <w:name w:val="Exhibit Column Heads"/>
    <w:basedOn w:val="BodyText"/>
    <w:rsid w:val="00D02BEC"/>
    <w:pPr>
      <w:spacing w:before="20" w:after="20" w:line="240" w:lineRule="auto"/>
      <w:jc w:val="center"/>
    </w:pPr>
    <w:rPr>
      <w:rFonts w:ascii="Arial" w:hAnsi="Arial" w:cs="Arial"/>
      <w:b/>
      <w:sz w:val="20"/>
    </w:rPr>
  </w:style>
  <w:style w:type="character" w:customStyle="1" w:styleId="HeaderChar">
    <w:name w:val="Header Char"/>
    <w:basedOn w:val="DefaultParagraphFont"/>
    <w:link w:val="Header"/>
    <w:rsid w:val="00D02BEC"/>
    <w:rPr>
      <w:rFonts w:ascii="Arial" w:hAnsi="Arial"/>
      <w:b/>
      <w:color w:val="595959" w:themeColor="text1" w:themeTint="A6"/>
      <w:sz w:val="18"/>
    </w:rPr>
  </w:style>
  <w:style w:type="paragraph" w:customStyle="1" w:styleId="ExhibitTitle">
    <w:name w:val="Exhibit Title"/>
    <w:basedOn w:val="Caption"/>
    <w:next w:val="BodyText"/>
    <w:rsid w:val="00D02BEC"/>
    <w:pPr>
      <w:tabs>
        <w:tab w:val="clear" w:pos="1440"/>
      </w:tabs>
      <w:spacing w:after="40" w:line="240" w:lineRule="auto"/>
      <w:ind w:left="0" w:firstLine="0"/>
    </w:pPr>
    <w:rPr>
      <w:color w:val="FFFFFF"/>
    </w:rPr>
  </w:style>
  <w:style w:type="character" w:customStyle="1" w:styleId="Heading2Char">
    <w:name w:val="Heading 2 Char"/>
    <w:basedOn w:val="DefaultParagraphFont"/>
    <w:link w:val="Heading2"/>
    <w:rsid w:val="005B795E"/>
    <w:rPr>
      <w:rFonts w:ascii="Arial" w:hAnsi="Arial" w:cs="Arial"/>
      <w:b/>
      <w:bCs/>
      <w:iCs/>
      <w:color w:val="000000" w:themeColor="text1"/>
      <w:sz w:val="24"/>
      <w:szCs w:val="28"/>
      <w:shd w:val="clear" w:color="auto" w:fill="D0D3D4"/>
    </w:rPr>
  </w:style>
  <w:style w:type="table" w:customStyle="1" w:styleId="TableGrid1">
    <w:name w:val="Table Grid1"/>
    <w:basedOn w:val="TableNormal"/>
    <w:next w:val="TableGrid"/>
    <w:uiPriority w:val="59"/>
    <w:rsid w:val="00064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xhibit">
    <w:name w:val="Bullet-exhibit"/>
    <w:basedOn w:val="ExhibitText"/>
    <w:qFormat/>
    <w:rsid w:val="00064ACF"/>
    <w:pPr>
      <w:numPr>
        <w:numId w:val="6"/>
      </w:numPr>
      <w:tabs>
        <w:tab w:val="left" w:pos="216"/>
      </w:tabs>
      <w:ind w:left="216" w:hanging="216"/>
    </w:pPr>
  </w:style>
  <w:style w:type="character" w:customStyle="1" w:styleId="ListParagraphChar">
    <w:name w:val="List Paragraph Char"/>
    <w:basedOn w:val="DefaultParagraphFont"/>
    <w:link w:val="ListParagraph"/>
    <w:uiPriority w:val="34"/>
    <w:locked/>
    <w:rsid w:val="00FB3A41"/>
    <w:rPr>
      <w:rFonts w:asciiTheme="minorHAnsi" w:eastAsiaTheme="minorHAnsi" w:hAnsiTheme="minorHAnsi" w:cstheme="minorBidi"/>
      <w:sz w:val="22"/>
      <w:szCs w:val="22"/>
    </w:rPr>
  </w:style>
  <w:style w:type="character" w:customStyle="1" w:styleId="PageNumber1">
    <w:name w:val="Page Number1"/>
    <w:basedOn w:val="DefaultParagraphFont"/>
    <w:rsid w:val="002F3E65"/>
    <w:rPr>
      <w:rFonts w:ascii="Arial" w:hAnsi="Arial"/>
      <w:b/>
      <w:dstrike w:val="0"/>
      <w:color w:val="595959"/>
      <w:sz w:val="18"/>
      <w:bdr w:val="none" w:sz="0" w:space="0" w:color="auto"/>
      <w:vertAlign w:val="baseline"/>
    </w:rPr>
  </w:style>
  <w:style w:type="character" w:customStyle="1" w:styleId="Heading4Char">
    <w:name w:val="Heading 4 Char"/>
    <w:basedOn w:val="DefaultParagraphFont"/>
    <w:link w:val="Heading4"/>
    <w:rsid w:val="002F3E65"/>
    <w:rPr>
      <w:rFonts w:ascii="Arial" w:hAnsi="Arial"/>
      <w:b/>
      <w:color w:val="DA291C"/>
    </w:rPr>
  </w:style>
  <w:style w:type="paragraph" w:styleId="EndnoteText">
    <w:name w:val="endnote text"/>
    <w:basedOn w:val="Normal"/>
    <w:link w:val="EndnoteTextChar"/>
    <w:rsid w:val="002F3E65"/>
    <w:pPr>
      <w:spacing w:after="0" w:line="240" w:lineRule="auto"/>
    </w:pPr>
    <w:rPr>
      <w:sz w:val="20"/>
    </w:rPr>
  </w:style>
  <w:style w:type="character" w:customStyle="1" w:styleId="EndnoteTextChar">
    <w:name w:val="Endnote Text Char"/>
    <w:basedOn w:val="DefaultParagraphFont"/>
    <w:link w:val="EndnoteText"/>
    <w:rsid w:val="002F3E65"/>
  </w:style>
  <w:style w:type="character" w:styleId="EndnoteReference">
    <w:name w:val="endnote reference"/>
    <w:basedOn w:val="DefaultParagraphFont"/>
    <w:rsid w:val="002F3E65"/>
    <w:rPr>
      <w:vertAlign w:val="superscript"/>
    </w:rPr>
  </w:style>
  <w:style w:type="paragraph" w:customStyle="1" w:styleId="PlainText1">
    <w:name w:val="Plain Text1"/>
    <w:basedOn w:val="Normal"/>
    <w:next w:val="PlainText"/>
    <w:link w:val="PlainTextChar"/>
    <w:uiPriority w:val="99"/>
    <w:unhideWhenUsed/>
    <w:rsid w:val="002F3E6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1"/>
    <w:uiPriority w:val="99"/>
    <w:rsid w:val="002F3E65"/>
    <w:rPr>
      <w:rFonts w:ascii="Calibri" w:eastAsia="Calibri" w:hAnsi="Calibri" w:cs="Consolas"/>
      <w:sz w:val="22"/>
      <w:szCs w:val="21"/>
    </w:rPr>
  </w:style>
  <w:style w:type="paragraph" w:customStyle="1" w:styleId="TableBullet">
    <w:name w:val="Table Bullet"/>
    <w:basedOn w:val="ExhibitText"/>
    <w:qFormat/>
    <w:rsid w:val="002F3E65"/>
    <w:pPr>
      <w:numPr>
        <w:numId w:val="15"/>
      </w:numPr>
      <w:tabs>
        <w:tab w:val="left" w:pos="216"/>
      </w:tabs>
      <w:ind w:left="216" w:hanging="216"/>
    </w:pPr>
  </w:style>
  <w:style w:type="paragraph" w:customStyle="1" w:styleId="Bulletsexhibit">
    <w:name w:val="Bullets exhibit"/>
    <w:basedOn w:val="Normal"/>
    <w:qFormat/>
    <w:rsid w:val="002F3E65"/>
    <w:pPr>
      <w:numPr>
        <w:numId w:val="16"/>
      </w:numPr>
      <w:tabs>
        <w:tab w:val="clear" w:pos="720"/>
        <w:tab w:val="num" w:pos="216"/>
      </w:tabs>
      <w:spacing w:after="0" w:line="240" w:lineRule="auto"/>
      <w:ind w:left="216" w:hanging="216"/>
    </w:pPr>
    <w:rPr>
      <w:rFonts w:ascii="Arial" w:hAnsi="Arial" w:cs="Arial"/>
      <w:sz w:val="18"/>
      <w:szCs w:val="18"/>
    </w:rPr>
  </w:style>
  <w:style w:type="paragraph" w:styleId="PlainText">
    <w:name w:val="Plain Text"/>
    <w:basedOn w:val="Normal"/>
    <w:link w:val="PlainTextChar1"/>
    <w:rsid w:val="002F3E65"/>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rsid w:val="002F3E65"/>
    <w:rPr>
      <w:rFonts w:ascii="Consolas" w:hAnsi="Consolas" w:cs="Consolas"/>
      <w:sz w:val="21"/>
      <w:szCs w:val="21"/>
    </w:rPr>
  </w:style>
  <w:style w:type="character" w:customStyle="1" w:styleId="BalloonTextChar">
    <w:name w:val="Balloon Text Char"/>
    <w:basedOn w:val="DefaultParagraphFont"/>
    <w:link w:val="BalloonText"/>
    <w:uiPriority w:val="99"/>
    <w:semiHidden/>
    <w:rsid w:val="002F3E65"/>
    <w:rPr>
      <w:rFonts w:ascii="Tahoma" w:hAnsi="Tahoma" w:cs="Tahoma"/>
      <w:sz w:val="16"/>
      <w:szCs w:val="16"/>
    </w:rPr>
  </w:style>
  <w:style w:type="character" w:customStyle="1" w:styleId="Heading5Char">
    <w:name w:val="Heading 5 Char"/>
    <w:basedOn w:val="DefaultParagraphFont"/>
    <w:link w:val="Heading5"/>
    <w:rsid w:val="002F3E65"/>
    <w:rPr>
      <w:b/>
      <w:i/>
      <w:color w:val="DA291C"/>
      <w:sz w:val="22"/>
    </w:rPr>
  </w:style>
  <w:style w:type="character" w:customStyle="1" w:styleId="Heading6Char">
    <w:name w:val="Heading 6 Char"/>
    <w:basedOn w:val="DefaultParagraphFont"/>
    <w:link w:val="Heading6"/>
    <w:rsid w:val="002F3E65"/>
    <w:rPr>
      <w:b/>
      <w:bCs/>
      <w:sz w:val="22"/>
      <w:szCs w:val="22"/>
    </w:rPr>
  </w:style>
  <w:style w:type="character" w:customStyle="1" w:styleId="Heading7Char">
    <w:name w:val="Heading 7 Char"/>
    <w:basedOn w:val="DefaultParagraphFont"/>
    <w:link w:val="Heading7"/>
    <w:rsid w:val="002F3E65"/>
    <w:rPr>
      <w:sz w:val="24"/>
      <w:szCs w:val="24"/>
    </w:rPr>
  </w:style>
  <w:style w:type="character" w:customStyle="1" w:styleId="Heading8Char">
    <w:name w:val="Heading 8 Char"/>
    <w:basedOn w:val="DefaultParagraphFont"/>
    <w:link w:val="Heading8"/>
    <w:rsid w:val="002F3E65"/>
    <w:rPr>
      <w:i/>
      <w:iCs/>
      <w:sz w:val="24"/>
      <w:szCs w:val="24"/>
    </w:rPr>
  </w:style>
  <w:style w:type="character" w:customStyle="1" w:styleId="Heading9Char">
    <w:name w:val="Heading 9 Char"/>
    <w:basedOn w:val="DefaultParagraphFont"/>
    <w:link w:val="Heading9"/>
    <w:rsid w:val="002F3E65"/>
    <w:rPr>
      <w:rFonts w:ascii="Arial" w:hAnsi="Arial" w:cs="Arial"/>
      <w:sz w:val="22"/>
      <w:szCs w:val="22"/>
    </w:rPr>
  </w:style>
  <w:style w:type="character" w:customStyle="1" w:styleId="CommentSubjectChar">
    <w:name w:val="Comment Subject Char"/>
    <w:basedOn w:val="CommentTextChar"/>
    <w:link w:val="CommentSubject"/>
    <w:uiPriority w:val="99"/>
    <w:semiHidden/>
    <w:rsid w:val="002F3E65"/>
    <w:rPr>
      <w:b/>
      <w:bCs/>
    </w:rPr>
  </w:style>
  <w:style w:type="paragraph" w:styleId="Revision">
    <w:name w:val="Revision"/>
    <w:hidden/>
    <w:uiPriority w:val="99"/>
    <w:semiHidden/>
    <w:rsid w:val="002F3E6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B795E"/>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545812"/>
    <w:pPr>
      <w:spacing w:after="0" w:line="240" w:lineRule="auto"/>
    </w:pPr>
    <w:rPr>
      <w:rFonts w:ascii="Arial" w:hAnsi="Arial" w:cs="Arial"/>
      <w:b/>
      <w:sz w:val="18"/>
    </w:rPr>
  </w:style>
  <w:style w:type="paragraph" w:styleId="BodyText">
    <w:name w:val="Body Text"/>
    <w:basedOn w:val="Normal"/>
    <w:link w:val="BodyTextChar"/>
    <w:rsid w:val="00AB7666"/>
  </w:style>
  <w:style w:type="character" w:customStyle="1" w:styleId="BodyTextChar">
    <w:name w:val="Body Text Char"/>
    <w:basedOn w:val="DefaultParagraphFont"/>
    <w:link w:val="BodyText"/>
    <w:rsid w:val="00AB766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52192B"/>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253F8"/>
    <w:pPr>
      <w:tabs>
        <w:tab w:val="left" w:pos="576"/>
        <w:tab w:val="right" w:leader="dot" w:pos="8990"/>
      </w:tabs>
      <w:spacing w:before="240" w:after="0"/>
    </w:pPr>
    <w:rPr>
      <w:b/>
      <w:noProof/>
      <w:szCs w:val="22"/>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072740"/>
    <w:pPr>
      <w:tabs>
        <w:tab w:val="left" w:pos="1152"/>
        <w:tab w:val="right" w:leader="dot" w:pos="8990"/>
      </w:tabs>
      <w:spacing w:after="0"/>
      <w:ind w:left="576"/>
    </w:pPr>
    <w:rPr>
      <w:noProof/>
    </w:rPr>
  </w:style>
  <w:style w:type="paragraph" w:styleId="TOC3">
    <w:name w:val="toc 3"/>
    <w:basedOn w:val="BodyText"/>
    <w:next w:val="BodyText"/>
    <w:uiPriority w:val="39"/>
    <w:rsid w:val="00E253F8"/>
    <w:pPr>
      <w:tabs>
        <w:tab w:val="left" w:pos="1920"/>
        <w:tab w:val="right" w:leader="dot" w:pos="8990"/>
      </w:tabs>
      <w:spacing w:after="0"/>
      <w:ind w:left="1728" w:right="576" w:hanging="576"/>
    </w:pPr>
    <w:rPr>
      <w:noProof/>
      <w:szCs w:val="22"/>
    </w:rPr>
  </w:style>
  <w:style w:type="paragraph" w:styleId="TOC4">
    <w:name w:val="toc 4"/>
    <w:basedOn w:val="BodyText"/>
    <w:next w:val="BodyText"/>
    <w:uiPriority w:val="39"/>
    <w:pPr>
      <w:ind w:left="1728"/>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link w:val="ExhibitChar"/>
    <w:rsid w:val="00AD7F0B"/>
    <w:pPr>
      <w:spacing w:after="0" w:line="240" w:lineRule="auto"/>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393539"/>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45812"/>
    <w:pPr>
      <w:spacing w:before="0" w:after="0"/>
    </w:pPr>
    <w:rPr>
      <w:sz w:val="18"/>
    </w:rPr>
  </w:style>
  <w:style w:type="paragraph" w:customStyle="1" w:styleId="ExhibitColumnHeader">
    <w:name w:val="Exhibit Column Header"/>
    <w:basedOn w:val="ExhibitRowHeader"/>
    <w:qFormat/>
    <w:rsid w:val="00545812"/>
    <w:pPr>
      <w:keepNext/>
      <w:keepLines/>
    </w:pPr>
    <w:rPr>
      <w:color w:val="FFFFFF" w:themeColor="background1" w:themeTint="33"/>
      <w:sz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link w:val="ListParagraphChar"/>
    <w:uiPriority w:val="34"/>
    <w:qFormat/>
    <w:rsid w:val="00545812"/>
    <w:pPr>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45812"/>
    <w:pPr>
      <w:spacing w:after="120" w:line="480" w:lineRule="auto"/>
      <w:ind w:left="360"/>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45812"/>
    <w:rPr>
      <w:rFonts w:asciiTheme="minorHAnsi" w:eastAsiaTheme="minorHAnsi" w:hAnsiTheme="minorHAnsi" w:cstheme="minorBidi"/>
      <w:sz w:val="22"/>
      <w:szCs w:val="22"/>
    </w:rPr>
  </w:style>
  <w:style w:type="table" w:customStyle="1" w:styleId="COMELtable">
    <w:name w:val="COMEL table"/>
    <w:basedOn w:val="TableNormal"/>
    <w:uiPriority w:val="99"/>
    <w:rsid w:val="00120527"/>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cPr>
      <w:shd w:val="clear" w:color="auto" w:fill="FFFFFF" w:themeFill="background1" w:themeFillTint="33"/>
    </w:tcPr>
    <w:tblStylePr w:type="firstRow">
      <w:pPr>
        <w:jc w:val="center"/>
      </w:pPr>
      <w:tblPr/>
      <w:tcPr>
        <w:shd w:val="clear" w:color="auto" w:fill="898D8D" w:themeFill="background2"/>
        <w:vAlign w:val="bottom"/>
      </w:tcPr>
    </w:tblStylePr>
  </w:style>
  <w:style w:type="character" w:customStyle="1" w:styleId="ExhibitChar">
    <w:name w:val="Exhibit Char"/>
    <w:basedOn w:val="DefaultParagraphFont"/>
    <w:link w:val="Exhibit"/>
    <w:rsid w:val="00AD7F0B"/>
    <w:rPr>
      <w:rFonts w:ascii="Arial" w:hAnsi="Arial"/>
      <w:sz w:val="18"/>
    </w:rPr>
  </w:style>
  <w:style w:type="character" w:customStyle="1" w:styleId="CommentTextChar">
    <w:name w:val="Comment Text Char"/>
    <w:basedOn w:val="DefaultParagraphFont"/>
    <w:link w:val="CommentText"/>
    <w:uiPriority w:val="99"/>
    <w:rsid w:val="00545812"/>
  </w:style>
  <w:style w:type="paragraph" w:styleId="NoSpacing">
    <w:name w:val="No Spacing"/>
    <w:uiPriority w:val="1"/>
    <w:qFormat/>
    <w:rsid w:val="00545812"/>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7427"/>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1E7427"/>
    <w:rPr>
      <w:rFonts w:ascii="Arial" w:hAnsi="Arial"/>
      <w:b/>
      <w:color w:val="DA291C"/>
    </w:rPr>
  </w:style>
  <w:style w:type="character" w:styleId="HTMLCite">
    <w:name w:val="HTML Cite"/>
    <w:basedOn w:val="DefaultParagraphFont"/>
    <w:uiPriority w:val="99"/>
    <w:unhideWhenUsed/>
    <w:rsid w:val="001E7427"/>
    <w:rPr>
      <w:i/>
      <w:iCs/>
    </w:rPr>
  </w:style>
  <w:style w:type="paragraph" w:customStyle="1" w:styleId="ExhibitColumnHeads">
    <w:name w:val="Exhibit Column Heads"/>
    <w:basedOn w:val="BodyText"/>
    <w:rsid w:val="00D02BEC"/>
    <w:pPr>
      <w:spacing w:before="20" w:after="20" w:line="240" w:lineRule="auto"/>
      <w:jc w:val="center"/>
    </w:pPr>
    <w:rPr>
      <w:rFonts w:ascii="Arial" w:hAnsi="Arial" w:cs="Arial"/>
      <w:b/>
      <w:sz w:val="20"/>
    </w:rPr>
  </w:style>
  <w:style w:type="character" w:customStyle="1" w:styleId="HeaderChar">
    <w:name w:val="Header Char"/>
    <w:basedOn w:val="DefaultParagraphFont"/>
    <w:link w:val="Header"/>
    <w:rsid w:val="00D02BEC"/>
    <w:rPr>
      <w:rFonts w:ascii="Arial" w:hAnsi="Arial"/>
      <w:b/>
      <w:color w:val="595959" w:themeColor="text1" w:themeTint="A6"/>
      <w:sz w:val="18"/>
    </w:rPr>
  </w:style>
  <w:style w:type="paragraph" w:customStyle="1" w:styleId="ExhibitTitle">
    <w:name w:val="Exhibit Title"/>
    <w:basedOn w:val="Caption"/>
    <w:next w:val="BodyText"/>
    <w:rsid w:val="00D02BEC"/>
    <w:pPr>
      <w:tabs>
        <w:tab w:val="clear" w:pos="1440"/>
      </w:tabs>
      <w:spacing w:after="40" w:line="240" w:lineRule="auto"/>
      <w:ind w:left="0" w:firstLine="0"/>
    </w:pPr>
    <w:rPr>
      <w:color w:val="FFFFFF"/>
    </w:rPr>
  </w:style>
  <w:style w:type="character" w:customStyle="1" w:styleId="Heading2Char">
    <w:name w:val="Heading 2 Char"/>
    <w:basedOn w:val="DefaultParagraphFont"/>
    <w:link w:val="Heading2"/>
    <w:rsid w:val="005B795E"/>
    <w:rPr>
      <w:rFonts w:ascii="Arial" w:hAnsi="Arial" w:cs="Arial"/>
      <w:b/>
      <w:bCs/>
      <w:iCs/>
      <w:color w:val="000000" w:themeColor="text1"/>
      <w:sz w:val="24"/>
      <w:szCs w:val="28"/>
      <w:shd w:val="clear" w:color="auto" w:fill="D0D3D4"/>
    </w:rPr>
  </w:style>
  <w:style w:type="table" w:customStyle="1" w:styleId="TableGrid1">
    <w:name w:val="Table Grid1"/>
    <w:basedOn w:val="TableNormal"/>
    <w:next w:val="TableGrid"/>
    <w:uiPriority w:val="59"/>
    <w:rsid w:val="00064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xhibit">
    <w:name w:val="Bullet-exhibit"/>
    <w:basedOn w:val="ExhibitText"/>
    <w:qFormat/>
    <w:rsid w:val="00064ACF"/>
    <w:pPr>
      <w:numPr>
        <w:numId w:val="6"/>
      </w:numPr>
      <w:tabs>
        <w:tab w:val="left" w:pos="216"/>
      </w:tabs>
      <w:ind w:left="216" w:hanging="216"/>
    </w:pPr>
  </w:style>
  <w:style w:type="character" w:customStyle="1" w:styleId="ListParagraphChar">
    <w:name w:val="List Paragraph Char"/>
    <w:basedOn w:val="DefaultParagraphFont"/>
    <w:link w:val="ListParagraph"/>
    <w:uiPriority w:val="34"/>
    <w:locked/>
    <w:rsid w:val="00FB3A41"/>
    <w:rPr>
      <w:rFonts w:asciiTheme="minorHAnsi" w:eastAsiaTheme="minorHAnsi" w:hAnsiTheme="minorHAnsi" w:cstheme="minorBidi"/>
      <w:sz w:val="22"/>
      <w:szCs w:val="22"/>
    </w:rPr>
  </w:style>
  <w:style w:type="character" w:customStyle="1" w:styleId="PageNumber1">
    <w:name w:val="Page Number1"/>
    <w:basedOn w:val="DefaultParagraphFont"/>
    <w:rsid w:val="002F3E65"/>
    <w:rPr>
      <w:rFonts w:ascii="Arial" w:hAnsi="Arial"/>
      <w:b/>
      <w:dstrike w:val="0"/>
      <w:color w:val="595959"/>
      <w:sz w:val="18"/>
      <w:bdr w:val="none" w:sz="0" w:space="0" w:color="auto"/>
      <w:vertAlign w:val="baseline"/>
    </w:rPr>
  </w:style>
  <w:style w:type="character" w:customStyle="1" w:styleId="Heading4Char">
    <w:name w:val="Heading 4 Char"/>
    <w:basedOn w:val="DefaultParagraphFont"/>
    <w:link w:val="Heading4"/>
    <w:rsid w:val="002F3E65"/>
    <w:rPr>
      <w:rFonts w:ascii="Arial" w:hAnsi="Arial"/>
      <w:b/>
      <w:color w:val="DA291C"/>
    </w:rPr>
  </w:style>
  <w:style w:type="paragraph" w:styleId="EndnoteText">
    <w:name w:val="endnote text"/>
    <w:basedOn w:val="Normal"/>
    <w:link w:val="EndnoteTextChar"/>
    <w:rsid w:val="002F3E65"/>
    <w:pPr>
      <w:spacing w:after="0" w:line="240" w:lineRule="auto"/>
    </w:pPr>
    <w:rPr>
      <w:sz w:val="20"/>
    </w:rPr>
  </w:style>
  <w:style w:type="character" w:customStyle="1" w:styleId="EndnoteTextChar">
    <w:name w:val="Endnote Text Char"/>
    <w:basedOn w:val="DefaultParagraphFont"/>
    <w:link w:val="EndnoteText"/>
    <w:rsid w:val="002F3E65"/>
  </w:style>
  <w:style w:type="character" w:styleId="EndnoteReference">
    <w:name w:val="endnote reference"/>
    <w:basedOn w:val="DefaultParagraphFont"/>
    <w:rsid w:val="002F3E65"/>
    <w:rPr>
      <w:vertAlign w:val="superscript"/>
    </w:rPr>
  </w:style>
  <w:style w:type="paragraph" w:customStyle="1" w:styleId="PlainText1">
    <w:name w:val="Plain Text1"/>
    <w:basedOn w:val="Normal"/>
    <w:next w:val="PlainText"/>
    <w:link w:val="PlainTextChar"/>
    <w:uiPriority w:val="99"/>
    <w:unhideWhenUsed/>
    <w:rsid w:val="002F3E6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1"/>
    <w:uiPriority w:val="99"/>
    <w:rsid w:val="002F3E65"/>
    <w:rPr>
      <w:rFonts w:ascii="Calibri" w:eastAsia="Calibri" w:hAnsi="Calibri" w:cs="Consolas"/>
      <w:sz w:val="22"/>
      <w:szCs w:val="21"/>
    </w:rPr>
  </w:style>
  <w:style w:type="paragraph" w:customStyle="1" w:styleId="TableBullet">
    <w:name w:val="Table Bullet"/>
    <w:basedOn w:val="ExhibitText"/>
    <w:qFormat/>
    <w:rsid w:val="002F3E65"/>
    <w:pPr>
      <w:numPr>
        <w:numId w:val="15"/>
      </w:numPr>
      <w:tabs>
        <w:tab w:val="left" w:pos="216"/>
      </w:tabs>
      <w:ind w:left="216" w:hanging="216"/>
    </w:pPr>
  </w:style>
  <w:style w:type="paragraph" w:customStyle="1" w:styleId="Bulletsexhibit">
    <w:name w:val="Bullets exhibit"/>
    <w:basedOn w:val="Normal"/>
    <w:qFormat/>
    <w:rsid w:val="002F3E65"/>
    <w:pPr>
      <w:numPr>
        <w:numId w:val="16"/>
      </w:numPr>
      <w:tabs>
        <w:tab w:val="clear" w:pos="720"/>
        <w:tab w:val="num" w:pos="216"/>
      </w:tabs>
      <w:spacing w:after="0" w:line="240" w:lineRule="auto"/>
      <w:ind w:left="216" w:hanging="216"/>
    </w:pPr>
    <w:rPr>
      <w:rFonts w:ascii="Arial" w:hAnsi="Arial" w:cs="Arial"/>
      <w:sz w:val="18"/>
      <w:szCs w:val="18"/>
    </w:rPr>
  </w:style>
  <w:style w:type="paragraph" w:styleId="PlainText">
    <w:name w:val="Plain Text"/>
    <w:basedOn w:val="Normal"/>
    <w:link w:val="PlainTextChar1"/>
    <w:rsid w:val="002F3E65"/>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rsid w:val="002F3E65"/>
    <w:rPr>
      <w:rFonts w:ascii="Consolas" w:hAnsi="Consolas" w:cs="Consolas"/>
      <w:sz w:val="21"/>
      <w:szCs w:val="21"/>
    </w:rPr>
  </w:style>
  <w:style w:type="character" w:customStyle="1" w:styleId="BalloonTextChar">
    <w:name w:val="Balloon Text Char"/>
    <w:basedOn w:val="DefaultParagraphFont"/>
    <w:link w:val="BalloonText"/>
    <w:uiPriority w:val="99"/>
    <w:semiHidden/>
    <w:rsid w:val="002F3E65"/>
    <w:rPr>
      <w:rFonts w:ascii="Tahoma" w:hAnsi="Tahoma" w:cs="Tahoma"/>
      <w:sz w:val="16"/>
      <w:szCs w:val="16"/>
    </w:rPr>
  </w:style>
  <w:style w:type="character" w:customStyle="1" w:styleId="Heading5Char">
    <w:name w:val="Heading 5 Char"/>
    <w:basedOn w:val="DefaultParagraphFont"/>
    <w:link w:val="Heading5"/>
    <w:rsid w:val="002F3E65"/>
    <w:rPr>
      <w:b/>
      <w:i/>
      <w:color w:val="DA291C"/>
      <w:sz w:val="22"/>
    </w:rPr>
  </w:style>
  <w:style w:type="character" w:customStyle="1" w:styleId="Heading6Char">
    <w:name w:val="Heading 6 Char"/>
    <w:basedOn w:val="DefaultParagraphFont"/>
    <w:link w:val="Heading6"/>
    <w:rsid w:val="002F3E65"/>
    <w:rPr>
      <w:b/>
      <w:bCs/>
      <w:sz w:val="22"/>
      <w:szCs w:val="22"/>
    </w:rPr>
  </w:style>
  <w:style w:type="character" w:customStyle="1" w:styleId="Heading7Char">
    <w:name w:val="Heading 7 Char"/>
    <w:basedOn w:val="DefaultParagraphFont"/>
    <w:link w:val="Heading7"/>
    <w:rsid w:val="002F3E65"/>
    <w:rPr>
      <w:sz w:val="24"/>
      <w:szCs w:val="24"/>
    </w:rPr>
  </w:style>
  <w:style w:type="character" w:customStyle="1" w:styleId="Heading8Char">
    <w:name w:val="Heading 8 Char"/>
    <w:basedOn w:val="DefaultParagraphFont"/>
    <w:link w:val="Heading8"/>
    <w:rsid w:val="002F3E65"/>
    <w:rPr>
      <w:i/>
      <w:iCs/>
      <w:sz w:val="24"/>
      <w:szCs w:val="24"/>
    </w:rPr>
  </w:style>
  <w:style w:type="character" w:customStyle="1" w:styleId="Heading9Char">
    <w:name w:val="Heading 9 Char"/>
    <w:basedOn w:val="DefaultParagraphFont"/>
    <w:link w:val="Heading9"/>
    <w:rsid w:val="002F3E65"/>
    <w:rPr>
      <w:rFonts w:ascii="Arial" w:hAnsi="Arial" w:cs="Arial"/>
      <w:sz w:val="22"/>
      <w:szCs w:val="22"/>
    </w:rPr>
  </w:style>
  <w:style w:type="character" w:customStyle="1" w:styleId="CommentSubjectChar">
    <w:name w:val="Comment Subject Char"/>
    <w:basedOn w:val="CommentTextChar"/>
    <w:link w:val="CommentSubject"/>
    <w:uiPriority w:val="99"/>
    <w:semiHidden/>
    <w:rsid w:val="002F3E65"/>
    <w:rPr>
      <w:b/>
      <w:bCs/>
    </w:rPr>
  </w:style>
  <w:style w:type="paragraph" w:styleId="Revision">
    <w:name w:val="Revision"/>
    <w:hidden/>
    <w:uiPriority w:val="99"/>
    <w:semiHidden/>
    <w:rsid w:val="002F3E6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61936">
      <w:bodyDiv w:val="1"/>
      <w:marLeft w:val="0"/>
      <w:marRight w:val="0"/>
      <w:marTop w:val="0"/>
      <w:marBottom w:val="0"/>
      <w:divBdr>
        <w:top w:val="none" w:sz="0" w:space="0" w:color="auto"/>
        <w:left w:val="none" w:sz="0" w:space="0" w:color="auto"/>
        <w:bottom w:val="none" w:sz="0" w:space="0" w:color="auto"/>
        <w:right w:val="none" w:sz="0" w:space="0" w:color="auto"/>
      </w:divBdr>
    </w:div>
    <w:div w:id="716243766">
      <w:bodyDiv w:val="1"/>
      <w:marLeft w:val="0"/>
      <w:marRight w:val="0"/>
      <w:marTop w:val="0"/>
      <w:marBottom w:val="0"/>
      <w:divBdr>
        <w:top w:val="none" w:sz="0" w:space="0" w:color="auto"/>
        <w:left w:val="none" w:sz="0" w:space="0" w:color="auto"/>
        <w:bottom w:val="none" w:sz="0" w:space="0" w:color="auto"/>
        <w:right w:val="none" w:sz="0" w:space="0" w:color="auto"/>
      </w:divBdr>
    </w:div>
    <w:div w:id="934821399">
      <w:bodyDiv w:val="1"/>
      <w:marLeft w:val="0"/>
      <w:marRight w:val="0"/>
      <w:marTop w:val="0"/>
      <w:marBottom w:val="0"/>
      <w:divBdr>
        <w:top w:val="none" w:sz="0" w:space="0" w:color="auto"/>
        <w:left w:val="none" w:sz="0" w:space="0" w:color="auto"/>
        <w:bottom w:val="none" w:sz="0" w:space="0" w:color="auto"/>
        <w:right w:val="none" w:sz="0" w:space="0" w:color="auto"/>
      </w:divBdr>
    </w:div>
    <w:div w:id="101911511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colors1">
      <a:dk1>
        <a:sysClr val="windowText" lastClr="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898D8D"/>
      </a:accent5>
      <a:accent6>
        <a:srgbClr val="7566A0"/>
      </a:accent6>
      <a:hlink>
        <a:srgbClr val="789D4A"/>
      </a:hlink>
      <a:folHlink>
        <a:srgbClr val="48A9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FACF3-853A-4675-9909-F811A59C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24</TotalTime>
  <Pages>4</Pages>
  <Words>1243</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8073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Jan Nicholson</cp:lastModifiedBy>
  <cp:revision>8</cp:revision>
  <cp:lastPrinted>2012-02-02T22:18:00Z</cp:lastPrinted>
  <dcterms:created xsi:type="dcterms:W3CDTF">2012-02-09T22:17:00Z</dcterms:created>
  <dcterms:modified xsi:type="dcterms:W3CDTF">2012-05-21T15:32:00Z</dcterms:modified>
  <cp:category>Templates</cp:category>
</cp:coreProperties>
</file>