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826" w:rsidRPr="007C69A6" w:rsidRDefault="008B7826" w:rsidP="004F4566">
      <w:pPr>
        <w:pStyle w:val="CoverTextRed16pt"/>
        <w:tabs>
          <w:tab w:val="clear" w:pos="6660"/>
          <w:tab w:val="left" w:pos="5580"/>
        </w:tabs>
        <w:ind w:left="5580" w:right="360"/>
        <w:rPr>
          <w:noProof/>
        </w:rPr>
      </w:pPr>
      <w:bookmarkStart w:id="0" w:name="_GoBack"/>
      <w:bookmarkEnd w:id="0"/>
      <w:r w:rsidRPr="007C69A6">
        <w:rPr>
          <w:noProof/>
        </w:rPr>
        <w:t>OMB Submission</w:t>
      </w:r>
    </w:p>
    <w:p w:rsidR="008B7826" w:rsidRPr="007C69A6" w:rsidRDefault="008B7826" w:rsidP="004F4566">
      <w:pPr>
        <w:pStyle w:val="CoverTextRed16pt"/>
        <w:tabs>
          <w:tab w:val="clear" w:pos="6660"/>
          <w:tab w:val="left" w:pos="5580"/>
        </w:tabs>
        <w:ind w:left="5580" w:right="360"/>
        <w:rPr>
          <w:noProof/>
        </w:rPr>
      </w:pPr>
      <w:r w:rsidRPr="007C69A6">
        <w:rPr>
          <w:noProof/>
        </w:rPr>
        <w:t>(Part B)</w:t>
      </w:r>
    </w:p>
    <w:p w:rsidR="008B7826" w:rsidRPr="007C69A6" w:rsidRDefault="008B7826" w:rsidP="002069B7">
      <w:pPr>
        <w:pStyle w:val="CoverText-Address"/>
        <w:ind w:right="270"/>
        <w:rPr>
          <w:noProof/>
        </w:rPr>
      </w:pPr>
    </w:p>
    <w:p w:rsidR="008B7826" w:rsidRPr="007C69A6" w:rsidRDefault="008B7826" w:rsidP="002069B7">
      <w:pPr>
        <w:pStyle w:val="CoverText-Address"/>
        <w:ind w:right="270"/>
        <w:rPr>
          <w:noProof/>
        </w:rPr>
      </w:pPr>
    </w:p>
    <w:p w:rsidR="008B7826" w:rsidRPr="007C69A6" w:rsidRDefault="008B7826" w:rsidP="002069B7">
      <w:pPr>
        <w:pStyle w:val="CoverText-Address"/>
        <w:ind w:right="270"/>
        <w:rPr>
          <w:noProof/>
        </w:rPr>
      </w:pPr>
    </w:p>
    <w:p w:rsidR="008B7826" w:rsidRPr="007C69A6" w:rsidRDefault="008B7826" w:rsidP="004F4566">
      <w:pPr>
        <w:pStyle w:val="CoverTextRed16pt"/>
        <w:ind w:left="5580" w:right="360"/>
        <w:rPr>
          <w:noProof/>
        </w:rPr>
      </w:pPr>
      <w:r>
        <w:rPr>
          <w:noProof/>
        </w:rPr>
        <w:t>Community Eligibility Option Evaluation</w:t>
      </w:r>
    </w:p>
    <w:p w:rsidR="008B7826" w:rsidRPr="007C69A6" w:rsidRDefault="008B7826" w:rsidP="00447223">
      <w:pPr>
        <w:pStyle w:val="CoverTextRed16pt"/>
        <w:ind w:right="360"/>
      </w:pPr>
    </w:p>
    <w:p w:rsidR="008B7826" w:rsidRPr="007C69A6" w:rsidRDefault="008B7826" w:rsidP="00447223">
      <w:pPr>
        <w:pStyle w:val="CoverText-Address"/>
        <w:ind w:right="360"/>
      </w:pPr>
    </w:p>
    <w:p w:rsidR="00FF026F" w:rsidRDefault="00FF026F" w:rsidP="00FF026F">
      <w:pPr>
        <w:pStyle w:val="CoverTextGreyBold"/>
        <w:ind w:right="360"/>
      </w:pPr>
      <w:r>
        <w:t xml:space="preserve">Contract #: </w:t>
      </w:r>
      <w:r>
        <w:br/>
        <w:t>GS-10F-00086K</w:t>
      </w:r>
    </w:p>
    <w:p w:rsidR="00FF026F" w:rsidRDefault="00FF026F" w:rsidP="00FF026F">
      <w:pPr>
        <w:pStyle w:val="CoverTextGreyBold"/>
        <w:ind w:right="360"/>
      </w:pPr>
      <w:r>
        <w:t xml:space="preserve">Order #: </w:t>
      </w:r>
      <w:r>
        <w:br/>
        <w:t>AG-3198-D-11-0074</w:t>
      </w:r>
    </w:p>
    <w:p w:rsidR="00FF026F" w:rsidRPr="007C69A6" w:rsidRDefault="00FF026F" w:rsidP="00FF026F">
      <w:pPr>
        <w:pStyle w:val="CoverText-Address"/>
        <w:ind w:right="360"/>
      </w:pPr>
    </w:p>
    <w:p w:rsidR="00FF026F" w:rsidRPr="007C69A6" w:rsidRDefault="00FF026F" w:rsidP="00FF026F">
      <w:pPr>
        <w:pStyle w:val="CoverText-Address"/>
        <w:ind w:right="360"/>
      </w:pPr>
    </w:p>
    <w:p w:rsidR="00FF026F" w:rsidRPr="007C69A6" w:rsidRDefault="00FF026F" w:rsidP="00FF026F">
      <w:pPr>
        <w:pStyle w:val="CoverText-Address"/>
        <w:ind w:right="360"/>
      </w:pPr>
    </w:p>
    <w:p w:rsidR="00FF026F" w:rsidRPr="007C69A6" w:rsidRDefault="00FF026F" w:rsidP="00FF026F">
      <w:pPr>
        <w:pStyle w:val="CoverText-Address"/>
        <w:ind w:left="6494" w:right="360"/>
      </w:pPr>
      <w:r>
        <w:t>Revised</w:t>
      </w:r>
    </w:p>
    <w:p w:rsidR="00FF026F" w:rsidRPr="007C69A6" w:rsidRDefault="00FF026F" w:rsidP="00FF026F">
      <w:pPr>
        <w:pStyle w:val="CoverText-Address"/>
        <w:ind w:right="360"/>
      </w:pPr>
    </w:p>
    <w:p w:rsidR="00FF026F" w:rsidRPr="007C69A6" w:rsidRDefault="00FF026F" w:rsidP="00FF026F">
      <w:pPr>
        <w:pStyle w:val="CoverText-Address"/>
        <w:ind w:right="360"/>
      </w:pPr>
    </w:p>
    <w:p w:rsidR="00FF026F" w:rsidRPr="007C69A6" w:rsidRDefault="00FF026F" w:rsidP="00FF026F">
      <w:pPr>
        <w:pStyle w:val="CoverText-Address"/>
        <w:ind w:right="360"/>
      </w:pPr>
    </w:p>
    <w:p w:rsidR="00FF026F" w:rsidRPr="007C69A6" w:rsidRDefault="005758E8" w:rsidP="00FF026F">
      <w:pPr>
        <w:pStyle w:val="CoverText-Address"/>
        <w:ind w:right="360"/>
      </w:pPr>
      <w:r>
        <w:t>July 26</w:t>
      </w:r>
      <w:r w:rsidR="00FF026F">
        <w:t>, 2012</w:t>
      </w:r>
    </w:p>
    <w:p w:rsidR="008B7826" w:rsidRPr="007C69A6" w:rsidRDefault="008B7826" w:rsidP="00447223">
      <w:pPr>
        <w:pStyle w:val="CoverText-Address"/>
        <w:ind w:right="360"/>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447223">
      <w:pPr>
        <w:tabs>
          <w:tab w:val="left" w:pos="720"/>
          <w:tab w:val="left" w:pos="1080"/>
          <w:tab w:val="left" w:pos="1440"/>
          <w:tab w:val="left" w:pos="1800"/>
          <w:tab w:val="left" w:pos="6660"/>
        </w:tabs>
        <w:ind w:left="6490" w:right="360"/>
        <w:jc w:val="right"/>
        <w:rPr>
          <w:rFonts w:ascii="Arial" w:hAnsi="Arial"/>
          <w:szCs w:val="24"/>
        </w:rPr>
      </w:pPr>
    </w:p>
    <w:p w:rsidR="008B7826" w:rsidRPr="007C69A6" w:rsidRDefault="008B7826" w:rsidP="00EC7DCF">
      <w:pPr>
        <w:pStyle w:val="CoverText11pt"/>
        <w:ind w:right="360"/>
      </w:pPr>
      <w:r w:rsidRPr="007C69A6">
        <w:t>Prepared for:</w:t>
      </w:r>
    </w:p>
    <w:p w:rsidR="008B7826" w:rsidRPr="007C69A6" w:rsidRDefault="008B7826" w:rsidP="00EC7DCF">
      <w:pPr>
        <w:pStyle w:val="CoverText11pt"/>
        <w:ind w:right="360"/>
        <w:rPr>
          <w:i w:val="0"/>
        </w:rPr>
      </w:pPr>
      <w:r w:rsidRPr="007C69A6">
        <w:rPr>
          <w:i w:val="0"/>
        </w:rPr>
        <w:t xml:space="preserve">John </w:t>
      </w:r>
      <w:proofErr w:type="spellStart"/>
      <w:r w:rsidRPr="007C69A6">
        <w:rPr>
          <w:i w:val="0"/>
        </w:rPr>
        <w:t>Endahl</w:t>
      </w:r>
      <w:proofErr w:type="spellEnd"/>
    </w:p>
    <w:p w:rsidR="008B7826" w:rsidRPr="007C69A6" w:rsidRDefault="008B7826" w:rsidP="00EC7DCF">
      <w:pPr>
        <w:pStyle w:val="CoverText-Address"/>
        <w:ind w:left="5580" w:right="360"/>
        <w:rPr>
          <w:b/>
          <w:color w:val="DA291C"/>
        </w:rPr>
      </w:pPr>
      <w:r w:rsidRPr="007C69A6">
        <w:rPr>
          <w:b/>
          <w:color w:val="DA291C"/>
        </w:rPr>
        <w:t>Office of Research and Analysis</w:t>
      </w:r>
    </w:p>
    <w:p w:rsidR="008B7826" w:rsidRPr="007C69A6" w:rsidRDefault="008B7826" w:rsidP="002069B7">
      <w:pPr>
        <w:pStyle w:val="CoverText-Address"/>
        <w:ind w:left="5490" w:right="360"/>
      </w:pPr>
      <w:r w:rsidRPr="007C69A6">
        <w:rPr>
          <w:b/>
          <w:color w:val="DA291C"/>
        </w:rPr>
        <w:t>Food and Nutrition Service/USDA</w:t>
      </w:r>
    </w:p>
    <w:p w:rsidR="008B7826" w:rsidRPr="007C69A6" w:rsidRDefault="008B7826" w:rsidP="00EC7DCF">
      <w:pPr>
        <w:pStyle w:val="CoverText-Address"/>
        <w:ind w:left="5580" w:right="360"/>
      </w:pPr>
      <w:smartTag w:uri="urn:schemas-microsoft-com:office:smarttags" w:element="address">
        <w:smartTag w:uri="urn:schemas-microsoft-com:office:smarttags" w:element="Street">
          <w:r w:rsidRPr="007C69A6">
            <w:t xml:space="preserve">3101 Park Center </w:t>
          </w:r>
          <w:proofErr w:type="spellStart"/>
          <w:r w:rsidRPr="007C69A6">
            <w:t>Dr</w:t>
          </w:r>
        </w:smartTag>
      </w:smartTag>
      <w:proofErr w:type="spellEnd"/>
      <w:r w:rsidRPr="007C69A6">
        <w:t xml:space="preserve">, </w:t>
      </w:r>
      <w:proofErr w:type="spellStart"/>
      <w:r w:rsidRPr="007C69A6">
        <w:t>Rm</w:t>
      </w:r>
      <w:proofErr w:type="spellEnd"/>
      <w:r w:rsidRPr="007C69A6">
        <w:t xml:space="preserve"> 1004</w:t>
      </w:r>
    </w:p>
    <w:p w:rsidR="008B7826" w:rsidRPr="007C69A6" w:rsidRDefault="008B7826" w:rsidP="00EC7DCF">
      <w:pPr>
        <w:pStyle w:val="CoverText-Address"/>
        <w:ind w:left="6390" w:right="360"/>
      </w:pPr>
      <w:smartTag w:uri="urn:schemas-microsoft-com:office:smarttags" w:element="place">
        <w:smartTag w:uri="urn:schemas-microsoft-com:office:smarttags" w:element="City">
          <w:r w:rsidRPr="007C69A6">
            <w:t>Alexandria</w:t>
          </w:r>
        </w:smartTag>
        <w:r w:rsidRPr="007C69A6">
          <w:t xml:space="preserve">, </w:t>
        </w:r>
        <w:smartTag w:uri="urn:schemas-microsoft-com:office:smarttags" w:element="State">
          <w:r w:rsidRPr="007C69A6">
            <w:t>VA</w:t>
          </w:r>
        </w:smartTag>
        <w:r w:rsidRPr="007C69A6">
          <w:t xml:space="preserve"> </w:t>
        </w:r>
        <w:smartTag w:uri="urn:schemas-microsoft-com:office:smarttags" w:element="PostalCode">
          <w:r w:rsidRPr="007C69A6">
            <w:t>22302</w:t>
          </w:r>
        </w:smartTag>
      </w:smartTag>
    </w:p>
    <w:p w:rsidR="008B7826" w:rsidRPr="007C69A6" w:rsidRDefault="008B7826" w:rsidP="00447223">
      <w:pPr>
        <w:pStyle w:val="CoverText-Address"/>
        <w:ind w:right="360"/>
      </w:pPr>
    </w:p>
    <w:p w:rsidR="008B7826" w:rsidRPr="007C69A6" w:rsidRDefault="008B7826" w:rsidP="00447223">
      <w:pPr>
        <w:pStyle w:val="CoverText-Address"/>
        <w:ind w:right="360"/>
      </w:pPr>
    </w:p>
    <w:p w:rsidR="008B7826" w:rsidRPr="007C69A6" w:rsidRDefault="008B7826" w:rsidP="00447223">
      <w:pPr>
        <w:pStyle w:val="CoverText-Address"/>
        <w:ind w:right="360"/>
      </w:pPr>
    </w:p>
    <w:p w:rsidR="008B7826" w:rsidRPr="007C69A6" w:rsidRDefault="008B7826" w:rsidP="00447223">
      <w:pPr>
        <w:pStyle w:val="CoverText11pt"/>
        <w:ind w:right="360"/>
      </w:pPr>
      <w:r w:rsidRPr="007C69A6">
        <w:t>Prepared by:</w:t>
      </w:r>
    </w:p>
    <w:p w:rsidR="008B7826" w:rsidRPr="007C69A6" w:rsidRDefault="008B7826" w:rsidP="00447223">
      <w:pPr>
        <w:pStyle w:val="CoverText-Address"/>
        <w:ind w:right="360"/>
        <w:rPr>
          <w:b/>
          <w:color w:val="DA291C"/>
        </w:rPr>
      </w:pPr>
      <w:r w:rsidRPr="007C69A6">
        <w:rPr>
          <w:b/>
          <w:color w:val="DA291C"/>
        </w:rPr>
        <w:t>Abt Associates Inc.</w:t>
      </w:r>
    </w:p>
    <w:p w:rsidR="008B7826" w:rsidRPr="007C69A6" w:rsidRDefault="008B7826" w:rsidP="00447223">
      <w:pPr>
        <w:pStyle w:val="CoverText-Address"/>
        <w:ind w:right="360"/>
      </w:pPr>
      <w:smartTag w:uri="urn:schemas-microsoft-com:office:smarttags" w:element="address">
        <w:smartTag w:uri="urn:schemas-microsoft-com:office:smarttags" w:element="Street">
          <w:r w:rsidRPr="007C69A6">
            <w:t>55 Wheeler Street</w:t>
          </w:r>
        </w:smartTag>
      </w:smartTag>
    </w:p>
    <w:p w:rsidR="008B7826" w:rsidRPr="007C69A6" w:rsidRDefault="008B7826" w:rsidP="00447223">
      <w:pPr>
        <w:pStyle w:val="CoverText-Address"/>
        <w:ind w:right="360"/>
      </w:pPr>
      <w:smartTag w:uri="urn:schemas-microsoft-com:office:smarttags" w:element="place">
        <w:smartTag w:uri="urn:schemas-microsoft-com:office:smarttags" w:element="City">
          <w:r w:rsidRPr="007C69A6">
            <w:t>Cambridge</w:t>
          </w:r>
        </w:smartTag>
        <w:r w:rsidRPr="007C69A6">
          <w:t xml:space="preserve">, </w:t>
        </w:r>
        <w:smartTag w:uri="urn:schemas-microsoft-com:office:smarttags" w:element="State">
          <w:r w:rsidRPr="007C69A6">
            <w:t>MA</w:t>
          </w:r>
        </w:smartTag>
        <w:r w:rsidRPr="007C69A6">
          <w:t xml:space="preserve"> </w:t>
        </w:r>
        <w:smartTag w:uri="urn:schemas-microsoft-com:office:smarttags" w:element="PostalCode">
          <w:r w:rsidRPr="007C69A6">
            <w:t>02138</w:t>
          </w:r>
        </w:smartTag>
      </w:smartTag>
    </w:p>
    <w:p w:rsidR="008B7826" w:rsidRPr="007C69A6" w:rsidRDefault="008B7826" w:rsidP="00447223">
      <w:pPr>
        <w:pStyle w:val="CoverText-Address"/>
        <w:ind w:right="360"/>
      </w:pPr>
    </w:p>
    <w:p w:rsidR="008B7826" w:rsidRPr="00FF026F" w:rsidRDefault="008B7826" w:rsidP="002069B7">
      <w:pPr>
        <w:pStyle w:val="CoverText-Address"/>
        <w:ind w:left="5670" w:right="360"/>
        <w:rPr>
          <w:b/>
          <w:color w:val="auto"/>
        </w:rPr>
      </w:pPr>
    </w:p>
    <w:p w:rsidR="008B7826" w:rsidRPr="007C69A6" w:rsidRDefault="008B7826" w:rsidP="00447223">
      <w:pPr>
        <w:ind w:right="360"/>
        <w:sectPr w:rsidR="008B7826" w:rsidRPr="007C69A6" w:rsidSect="0021312C">
          <w:headerReference w:type="default" r:id="rId9"/>
          <w:footerReference w:type="even" r:id="rId10"/>
          <w:footerReference w:type="default" r:id="rId11"/>
          <w:pgSz w:w="12240" w:h="15840" w:code="1"/>
          <w:pgMar w:top="1440" w:right="1440" w:bottom="1008" w:left="1440" w:header="720" w:footer="720" w:gutter="0"/>
          <w:pgNumType w:fmt="lowerRoman" w:start="1"/>
          <w:cols w:space="720"/>
          <w:docGrid w:linePitch="299"/>
        </w:sectPr>
      </w:pPr>
    </w:p>
    <w:p w:rsidR="008B7826" w:rsidRPr="007C69A6" w:rsidRDefault="008B7826" w:rsidP="006B1DA6">
      <w:pPr>
        <w:pStyle w:val="ReportTitle-TOCPage"/>
      </w:pPr>
      <w:r>
        <w:lastRenderedPageBreak/>
        <w:t>Community Eligibility Option Evaluation</w:t>
      </w:r>
      <w:r w:rsidR="0025089B">
        <w:t>—</w:t>
      </w:r>
      <w:r w:rsidRPr="007C69A6">
        <w:t xml:space="preserve">OMB </w:t>
      </w:r>
      <w:r w:rsidRPr="007C69A6">
        <w:rPr>
          <w:color w:val="F0F4F6"/>
        </w:rPr>
        <w:t>Clearance Package</w:t>
      </w:r>
      <w:r w:rsidR="007C0112">
        <w:rPr>
          <w:color w:val="F0F4F6"/>
        </w:rPr>
        <w:t xml:space="preserve"> (Part B)</w:t>
      </w:r>
    </w:p>
    <w:p w:rsidR="008B7826" w:rsidRPr="007C69A6" w:rsidRDefault="008B7826" w:rsidP="00D979EA">
      <w:pPr>
        <w:pStyle w:val="TOCHeader"/>
      </w:pPr>
      <w:r w:rsidRPr="007C69A6">
        <w:t>Table of Contents</w:t>
      </w:r>
    </w:p>
    <w:p w:rsidR="00D91D66" w:rsidRDefault="00D91D66">
      <w:pPr>
        <w:pStyle w:val="TOC1"/>
        <w:rPr>
          <w:rFonts w:asciiTheme="minorHAnsi" w:eastAsiaTheme="minorEastAsia" w:hAnsiTheme="minorHAnsi" w:cstheme="minorBidi"/>
          <w:b w:val="0"/>
          <w:szCs w:val="22"/>
        </w:rPr>
      </w:pPr>
      <w:r>
        <w:rPr>
          <w:b w:val="0"/>
        </w:rPr>
        <w:fldChar w:fldCharType="begin"/>
      </w:r>
      <w:r>
        <w:rPr>
          <w:b w:val="0"/>
        </w:rPr>
        <w:instrText xml:space="preserve"> TOC \o "1-3" \h \z \u </w:instrText>
      </w:r>
      <w:r>
        <w:rPr>
          <w:b w:val="0"/>
        </w:rPr>
        <w:fldChar w:fldCharType="separate"/>
      </w:r>
      <w:hyperlink w:anchor="_Toc325550962" w:history="1">
        <w:r w:rsidRPr="00E8037D">
          <w:rPr>
            <w:rStyle w:val="Hyperlink"/>
          </w:rPr>
          <w:t>Part B.</w:t>
        </w:r>
        <w:r>
          <w:rPr>
            <w:rFonts w:asciiTheme="minorHAnsi" w:eastAsiaTheme="minorEastAsia" w:hAnsiTheme="minorHAnsi" w:cstheme="minorBidi"/>
            <w:b w:val="0"/>
            <w:szCs w:val="22"/>
          </w:rPr>
          <w:tab/>
        </w:r>
        <w:r w:rsidRPr="00E8037D">
          <w:rPr>
            <w:rStyle w:val="Hyperlink"/>
          </w:rPr>
          <w:t>Statistical Methods</w:t>
        </w:r>
        <w:r>
          <w:rPr>
            <w:webHidden/>
          </w:rPr>
          <w:tab/>
        </w:r>
        <w:r>
          <w:rPr>
            <w:webHidden/>
          </w:rPr>
          <w:fldChar w:fldCharType="begin"/>
        </w:r>
        <w:r>
          <w:rPr>
            <w:webHidden/>
          </w:rPr>
          <w:instrText xml:space="preserve"> PAGEREF _Toc325550962 \h </w:instrText>
        </w:r>
        <w:r>
          <w:rPr>
            <w:webHidden/>
          </w:rPr>
        </w:r>
        <w:r>
          <w:rPr>
            <w:webHidden/>
          </w:rPr>
          <w:fldChar w:fldCharType="separate"/>
        </w:r>
        <w:r w:rsidR="00D96A55">
          <w:rPr>
            <w:webHidden/>
          </w:rPr>
          <w:t>1</w:t>
        </w:r>
        <w:r>
          <w:rPr>
            <w:webHidden/>
          </w:rPr>
          <w:fldChar w:fldCharType="end"/>
        </w:r>
      </w:hyperlink>
    </w:p>
    <w:p w:rsidR="00D91D66" w:rsidRDefault="00D96A55">
      <w:pPr>
        <w:pStyle w:val="TOC2"/>
        <w:rPr>
          <w:rFonts w:asciiTheme="minorHAnsi" w:eastAsiaTheme="minorEastAsia" w:hAnsiTheme="minorHAnsi" w:cstheme="minorBidi"/>
          <w:szCs w:val="22"/>
        </w:rPr>
      </w:pPr>
      <w:hyperlink w:anchor="_Toc325550963" w:history="1">
        <w:r w:rsidR="00D91D66" w:rsidRPr="00E8037D">
          <w:rPr>
            <w:rStyle w:val="Hyperlink"/>
          </w:rPr>
          <w:t>B.1</w:t>
        </w:r>
        <w:r w:rsidR="00D91D66">
          <w:rPr>
            <w:rFonts w:asciiTheme="minorHAnsi" w:eastAsiaTheme="minorEastAsia" w:hAnsiTheme="minorHAnsi" w:cstheme="minorBidi"/>
            <w:szCs w:val="22"/>
          </w:rPr>
          <w:tab/>
        </w:r>
        <w:r w:rsidR="00D91D66">
          <w:rPr>
            <w:rStyle w:val="Hyperlink"/>
          </w:rPr>
          <w:t>Respondent Universe and Sampling Methods</w:t>
        </w:r>
        <w:r w:rsidR="00D91D66">
          <w:rPr>
            <w:webHidden/>
          </w:rPr>
          <w:tab/>
        </w:r>
        <w:r w:rsidR="00D91D66">
          <w:rPr>
            <w:webHidden/>
          </w:rPr>
          <w:fldChar w:fldCharType="begin"/>
        </w:r>
        <w:r w:rsidR="00D91D66">
          <w:rPr>
            <w:webHidden/>
          </w:rPr>
          <w:instrText xml:space="preserve"> PAGEREF _Toc325550963 \h </w:instrText>
        </w:r>
        <w:r w:rsidR="00D91D66">
          <w:rPr>
            <w:webHidden/>
          </w:rPr>
        </w:r>
        <w:r w:rsidR="00D91D66">
          <w:rPr>
            <w:webHidden/>
          </w:rPr>
          <w:fldChar w:fldCharType="separate"/>
        </w:r>
        <w:r>
          <w:rPr>
            <w:webHidden/>
          </w:rPr>
          <w:t>1</w:t>
        </w:r>
        <w:r w:rsidR="00D91D66">
          <w:rPr>
            <w:webHidden/>
          </w:rPr>
          <w:fldChar w:fldCharType="end"/>
        </w:r>
      </w:hyperlink>
    </w:p>
    <w:p w:rsidR="00D91D66" w:rsidRDefault="00D96A55">
      <w:pPr>
        <w:pStyle w:val="TOC3"/>
        <w:rPr>
          <w:rFonts w:asciiTheme="minorHAnsi" w:eastAsiaTheme="minorEastAsia" w:hAnsiTheme="minorHAnsi" w:cstheme="minorBidi"/>
          <w:szCs w:val="22"/>
        </w:rPr>
      </w:pPr>
      <w:hyperlink w:anchor="_Toc325550964" w:history="1">
        <w:r w:rsidR="00D91D66" w:rsidRPr="00E8037D">
          <w:rPr>
            <w:rStyle w:val="Hyperlink"/>
          </w:rPr>
          <w:t>Sampling Frame</w:t>
        </w:r>
        <w:r w:rsidR="00D91D66">
          <w:rPr>
            <w:webHidden/>
          </w:rPr>
          <w:tab/>
        </w:r>
        <w:r w:rsidR="00D91D66">
          <w:rPr>
            <w:webHidden/>
          </w:rPr>
          <w:fldChar w:fldCharType="begin"/>
        </w:r>
        <w:r w:rsidR="00D91D66">
          <w:rPr>
            <w:webHidden/>
          </w:rPr>
          <w:instrText xml:space="preserve"> PAGEREF _Toc325550964 \h </w:instrText>
        </w:r>
        <w:r w:rsidR="00D91D66">
          <w:rPr>
            <w:webHidden/>
          </w:rPr>
        </w:r>
        <w:r w:rsidR="00D91D66">
          <w:rPr>
            <w:webHidden/>
          </w:rPr>
          <w:fldChar w:fldCharType="separate"/>
        </w:r>
        <w:r>
          <w:rPr>
            <w:webHidden/>
          </w:rPr>
          <w:t>1</w:t>
        </w:r>
        <w:r w:rsidR="00D91D66">
          <w:rPr>
            <w:webHidden/>
          </w:rPr>
          <w:fldChar w:fldCharType="end"/>
        </w:r>
      </w:hyperlink>
    </w:p>
    <w:p w:rsidR="00D91D66" w:rsidRDefault="00D96A55">
      <w:pPr>
        <w:pStyle w:val="TOC3"/>
        <w:rPr>
          <w:rFonts w:asciiTheme="minorHAnsi" w:eastAsiaTheme="minorEastAsia" w:hAnsiTheme="minorHAnsi" w:cstheme="minorBidi"/>
          <w:szCs w:val="22"/>
        </w:rPr>
      </w:pPr>
      <w:hyperlink w:anchor="_Toc325550965" w:history="1">
        <w:r w:rsidR="00D91D66" w:rsidRPr="00E8037D">
          <w:rPr>
            <w:rStyle w:val="Hyperlink"/>
          </w:rPr>
          <w:t>Sample Selection</w:t>
        </w:r>
        <w:r w:rsidR="00D91D66">
          <w:rPr>
            <w:webHidden/>
          </w:rPr>
          <w:tab/>
        </w:r>
        <w:r w:rsidR="00D91D66">
          <w:rPr>
            <w:webHidden/>
          </w:rPr>
          <w:fldChar w:fldCharType="begin"/>
        </w:r>
        <w:r w:rsidR="00D91D66">
          <w:rPr>
            <w:webHidden/>
          </w:rPr>
          <w:instrText xml:space="preserve"> PAGEREF _Toc325550965 \h </w:instrText>
        </w:r>
        <w:r w:rsidR="00D91D66">
          <w:rPr>
            <w:webHidden/>
          </w:rPr>
        </w:r>
        <w:r w:rsidR="00D91D66">
          <w:rPr>
            <w:webHidden/>
          </w:rPr>
          <w:fldChar w:fldCharType="separate"/>
        </w:r>
        <w:r>
          <w:rPr>
            <w:webHidden/>
          </w:rPr>
          <w:t>2</w:t>
        </w:r>
        <w:r w:rsidR="00D91D66">
          <w:rPr>
            <w:webHidden/>
          </w:rPr>
          <w:fldChar w:fldCharType="end"/>
        </w:r>
      </w:hyperlink>
    </w:p>
    <w:p w:rsidR="00D91D66" w:rsidRPr="002955E1" w:rsidRDefault="00D96A55">
      <w:pPr>
        <w:pStyle w:val="TOC2"/>
        <w:rPr>
          <w:rFonts w:eastAsiaTheme="minorEastAsia"/>
          <w:szCs w:val="22"/>
        </w:rPr>
      </w:pPr>
      <w:hyperlink w:anchor="_Toc325550966" w:history="1">
        <w:r w:rsidR="00D91D66" w:rsidRPr="002955E1">
          <w:rPr>
            <w:rStyle w:val="Hyperlink"/>
          </w:rPr>
          <w:t>B.2</w:t>
        </w:r>
        <w:r w:rsidR="00D91D66" w:rsidRPr="002955E1">
          <w:rPr>
            <w:rFonts w:eastAsiaTheme="minorEastAsia"/>
            <w:szCs w:val="22"/>
          </w:rPr>
          <w:tab/>
          <w:t>Procedure for the Collection of Information</w:t>
        </w:r>
        <w:r w:rsidR="00D91D66" w:rsidRPr="002955E1">
          <w:rPr>
            <w:webHidden/>
          </w:rPr>
          <w:tab/>
        </w:r>
        <w:r w:rsidR="00D91D66" w:rsidRPr="002955E1">
          <w:rPr>
            <w:webHidden/>
          </w:rPr>
          <w:fldChar w:fldCharType="begin"/>
        </w:r>
        <w:r w:rsidR="00D91D66" w:rsidRPr="002955E1">
          <w:rPr>
            <w:webHidden/>
          </w:rPr>
          <w:instrText xml:space="preserve"> PAGEREF _Toc325550966 \h </w:instrText>
        </w:r>
        <w:r w:rsidR="00D91D66" w:rsidRPr="002955E1">
          <w:rPr>
            <w:webHidden/>
          </w:rPr>
        </w:r>
        <w:r w:rsidR="00D91D66" w:rsidRPr="002955E1">
          <w:rPr>
            <w:webHidden/>
          </w:rPr>
          <w:fldChar w:fldCharType="separate"/>
        </w:r>
        <w:r>
          <w:rPr>
            <w:webHidden/>
          </w:rPr>
          <w:t>4</w:t>
        </w:r>
        <w:r w:rsidR="00D91D66" w:rsidRPr="002955E1">
          <w:rPr>
            <w:webHidden/>
          </w:rPr>
          <w:fldChar w:fldCharType="end"/>
        </w:r>
      </w:hyperlink>
    </w:p>
    <w:p w:rsidR="00D91D66" w:rsidRDefault="00D96A55">
      <w:pPr>
        <w:pStyle w:val="TOC3"/>
        <w:rPr>
          <w:rFonts w:asciiTheme="minorHAnsi" w:eastAsiaTheme="minorEastAsia" w:hAnsiTheme="minorHAnsi" w:cstheme="minorBidi"/>
          <w:szCs w:val="22"/>
        </w:rPr>
      </w:pPr>
      <w:hyperlink w:anchor="_Toc325550972" w:history="1">
        <w:r w:rsidR="00D91D66" w:rsidRPr="00E8037D">
          <w:rPr>
            <w:rStyle w:val="Hyperlink"/>
          </w:rPr>
          <w:t>Estimation Procedures</w:t>
        </w:r>
        <w:r w:rsidR="00D91D66">
          <w:rPr>
            <w:webHidden/>
          </w:rPr>
          <w:tab/>
        </w:r>
        <w:r w:rsidR="00D91D66">
          <w:rPr>
            <w:webHidden/>
          </w:rPr>
          <w:fldChar w:fldCharType="begin"/>
        </w:r>
        <w:r w:rsidR="00D91D66">
          <w:rPr>
            <w:webHidden/>
          </w:rPr>
          <w:instrText xml:space="preserve"> PAGEREF _Toc325550972 \h </w:instrText>
        </w:r>
        <w:r w:rsidR="00D91D66">
          <w:rPr>
            <w:webHidden/>
          </w:rPr>
        </w:r>
        <w:r w:rsidR="00D91D66">
          <w:rPr>
            <w:webHidden/>
          </w:rPr>
          <w:fldChar w:fldCharType="separate"/>
        </w:r>
        <w:r>
          <w:rPr>
            <w:webHidden/>
          </w:rPr>
          <w:t>4</w:t>
        </w:r>
        <w:r w:rsidR="00D91D66">
          <w:rPr>
            <w:webHidden/>
          </w:rPr>
          <w:fldChar w:fldCharType="end"/>
        </w:r>
      </w:hyperlink>
    </w:p>
    <w:p w:rsidR="00D91D66" w:rsidRDefault="00D96A55">
      <w:pPr>
        <w:pStyle w:val="TOC3"/>
        <w:rPr>
          <w:rFonts w:asciiTheme="minorHAnsi" w:eastAsiaTheme="minorEastAsia" w:hAnsiTheme="minorHAnsi" w:cstheme="minorBidi"/>
          <w:szCs w:val="22"/>
        </w:rPr>
      </w:pPr>
      <w:hyperlink w:anchor="_Toc325550973" w:history="1">
        <w:r w:rsidR="00D91D66" w:rsidRPr="00E8037D">
          <w:rPr>
            <w:rStyle w:val="Hyperlink"/>
          </w:rPr>
          <w:t>Degree of Accuracy Needed: Precision, Statistical Power, and Minimum Detectable Differences</w:t>
        </w:r>
        <w:r w:rsidR="00D91D66">
          <w:rPr>
            <w:webHidden/>
          </w:rPr>
          <w:tab/>
        </w:r>
        <w:r w:rsidR="00D91D66">
          <w:rPr>
            <w:webHidden/>
          </w:rPr>
          <w:fldChar w:fldCharType="begin"/>
        </w:r>
        <w:r w:rsidR="00D91D66">
          <w:rPr>
            <w:webHidden/>
          </w:rPr>
          <w:instrText xml:space="preserve"> PAGEREF _Toc325550973 \h </w:instrText>
        </w:r>
        <w:r w:rsidR="00D91D66">
          <w:rPr>
            <w:webHidden/>
          </w:rPr>
        </w:r>
        <w:r w:rsidR="00D91D66">
          <w:rPr>
            <w:webHidden/>
          </w:rPr>
          <w:fldChar w:fldCharType="separate"/>
        </w:r>
        <w:r>
          <w:rPr>
            <w:webHidden/>
          </w:rPr>
          <w:t>5</w:t>
        </w:r>
        <w:r w:rsidR="00D91D66">
          <w:rPr>
            <w:webHidden/>
          </w:rPr>
          <w:fldChar w:fldCharType="end"/>
        </w:r>
      </w:hyperlink>
    </w:p>
    <w:p w:rsidR="00D91D66" w:rsidRDefault="00D96A55">
      <w:pPr>
        <w:pStyle w:val="TOC2"/>
        <w:rPr>
          <w:rFonts w:asciiTheme="minorHAnsi" w:eastAsiaTheme="minorEastAsia" w:hAnsiTheme="minorHAnsi" w:cstheme="minorBidi"/>
          <w:szCs w:val="22"/>
        </w:rPr>
      </w:pPr>
      <w:hyperlink w:anchor="_Toc325550974" w:history="1">
        <w:r w:rsidR="00D91D66" w:rsidRPr="00E8037D">
          <w:rPr>
            <w:rStyle w:val="Hyperlink"/>
          </w:rPr>
          <w:t>B.3</w:t>
        </w:r>
        <w:r w:rsidR="00D91D66">
          <w:rPr>
            <w:rFonts w:asciiTheme="minorHAnsi" w:eastAsiaTheme="minorEastAsia" w:hAnsiTheme="minorHAnsi" w:cstheme="minorBidi"/>
            <w:szCs w:val="22"/>
          </w:rPr>
          <w:tab/>
        </w:r>
        <w:r w:rsidR="00D91D66">
          <w:rPr>
            <w:rStyle w:val="Hyperlink"/>
          </w:rPr>
          <w:t>Methods to Maximize the Response Rates and to Deal with Nonreponse</w:t>
        </w:r>
        <w:r w:rsidR="00D91D66" w:rsidRPr="00E8037D">
          <w:rPr>
            <w:rStyle w:val="Hyperlink"/>
          </w:rPr>
          <w:t>.</w:t>
        </w:r>
        <w:r w:rsidR="00D91D66">
          <w:rPr>
            <w:webHidden/>
          </w:rPr>
          <w:tab/>
        </w:r>
        <w:r w:rsidR="00D91D66">
          <w:rPr>
            <w:webHidden/>
          </w:rPr>
          <w:fldChar w:fldCharType="begin"/>
        </w:r>
        <w:r w:rsidR="00D91D66">
          <w:rPr>
            <w:webHidden/>
          </w:rPr>
          <w:instrText xml:space="preserve"> PAGEREF _Toc325550974 \h </w:instrText>
        </w:r>
        <w:r w:rsidR="00D91D66">
          <w:rPr>
            <w:webHidden/>
          </w:rPr>
        </w:r>
        <w:r w:rsidR="00D91D66">
          <w:rPr>
            <w:webHidden/>
          </w:rPr>
          <w:fldChar w:fldCharType="separate"/>
        </w:r>
        <w:r>
          <w:rPr>
            <w:webHidden/>
          </w:rPr>
          <w:t>5</w:t>
        </w:r>
        <w:r w:rsidR="00D91D66">
          <w:rPr>
            <w:webHidden/>
          </w:rPr>
          <w:fldChar w:fldCharType="end"/>
        </w:r>
      </w:hyperlink>
    </w:p>
    <w:p w:rsidR="00D91D66" w:rsidRDefault="00D96A55">
      <w:pPr>
        <w:pStyle w:val="TOC2"/>
        <w:rPr>
          <w:rFonts w:asciiTheme="minorHAnsi" w:eastAsiaTheme="minorEastAsia" w:hAnsiTheme="minorHAnsi" w:cstheme="minorBidi"/>
          <w:szCs w:val="22"/>
        </w:rPr>
      </w:pPr>
      <w:hyperlink w:anchor="_Toc325550975" w:history="1">
        <w:r w:rsidR="00D91D66" w:rsidRPr="00E8037D">
          <w:rPr>
            <w:rStyle w:val="Hyperlink"/>
          </w:rPr>
          <w:t>B.4</w:t>
        </w:r>
        <w:r w:rsidR="00D91D66">
          <w:rPr>
            <w:rFonts w:asciiTheme="minorHAnsi" w:eastAsiaTheme="minorEastAsia" w:hAnsiTheme="minorHAnsi" w:cstheme="minorBidi"/>
            <w:szCs w:val="22"/>
          </w:rPr>
          <w:tab/>
        </w:r>
        <w:r w:rsidR="00D91D66">
          <w:rPr>
            <w:rStyle w:val="Hyperlink"/>
          </w:rPr>
          <w:t>Test of Procedures or Methods to be Undertaken</w:t>
        </w:r>
        <w:r w:rsidR="00D91D66">
          <w:rPr>
            <w:webHidden/>
          </w:rPr>
          <w:tab/>
        </w:r>
        <w:r w:rsidR="00D91D66">
          <w:rPr>
            <w:webHidden/>
          </w:rPr>
          <w:fldChar w:fldCharType="begin"/>
        </w:r>
        <w:r w:rsidR="00D91D66">
          <w:rPr>
            <w:webHidden/>
          </w:rPr>
          <w:instrText xml:space="preserve"> PAGEREF _Toc325550975 \h </w:instrText>
        </w:r>
        <w:r w:rsidR="00D91D66">
          <w:rPr>
            <w:webHidden/>
          </w:rPr>
        </w:r>
        <w:r w:rsidR="00D91D66">
          <w:rPr>
            <w:webHidden/>
          </w:rPr>
          <w:fldChar w:fldCharType="separate"/>
        </w:r>
        <w:r>
          <w:rPr>
            <w:webHidden/>
          </w:rPr>
          <w:t>6</w:t>
        </w:r>
        <w:r w:rsidR="00D91D66">
          <w:rPr>
            <w:webHidden/>
          </w:rPr>
          <w:fldChar w:fldCharType="end"/>
        </w:r>
      </w:hyperlink>
    </w:p>
    <w:p w:rsidR="00D91D66" w:rsidRDefault="00D96A55">
      <w:pPr>
        <w:pStyle w:val="TOC2"/>
        <w:rPr>
          <w:rFonts w:asciiTheme="minorHAnsi" w:eastAsiaTheme="minorEastAsia" w:hAnsiTheme="minorHAnsi" w:cstheme="minorBidi"/>
          <w:szCs w:val="22"/>
        </w:rPr>
      </w:pPr>
      <w:hyperlink w:anchor="_Toc325550976" w:history="1">
        <w:r w:rsidR="00D91D66" w:rsidRPr="00E8037D">
          <w:rPr>
            <w:rStyle w:val="Hyperlink"/>
          </w:rPr>
          <w:t>B.5</w:t>
        </w:r>
        <w:r w:rsidR="00D91D66">
          <w:rPr>
            <w:rFonts w:asciiTheme="minorHAnsi" w:eastAsiaTheme="minorEastAsia" w:hAnsiTheme="minorHAnsi" w:cstheme="minorBidi"/>
            <w:szCs w:val="22"/>
          </w:rPr>
          <w:tab/>
        </w:r>
        <w:r w:rsidR="00D91D66">
          <w:rPr>
            <w:rStyle w:val="Hyperlink"/>
          </w:rPr>
          <w:t>Individuals Consulted on Statistical Aspects and Individuals Collecting and/or Analyzing Dat</w:t>
        </w:r>
        <w:r w:rsidR="002955E1">
          <w:rPr>
            <w:rStyle w:val="Hyperlink"/>
          </w:rPr>
          <w:t>a</w:t>
        </w:r>
        <w:r w:rsidR="00D91D66" w:rsidRPr="00E8037D">
          <w:rPr>
            <w:rStyle w:val="Hyperlink"/>
          </w:rPr>
          <w:t>.</w:t>
        </w:r>
        <w:r w:rsidR="00D91D66">
          <w:rPr>
            <w:webHidden/>
          </w:rPr>
          <w:tab/>
        </w:r>
        <w:r w:rsidR="00D91D66">
          <w:rPr>
            <w:webHidden/>
          </w:rPr>
          <w:fldChar w:fldCharType="begin"/>
        </w:r>
        <w:r w:rsidR="00D91D66">
          <w:rPr>
            <w:webHidden/>
          </w:rPr>
          <w:instrText xml:space="preserve"> PAGEREF _Toc325550976 \h </w:instrText>
        </w:r>
        <w:r w:rsidR="00D91D66">
          <w:rPr>
            <w:webHidden/>
          </w:rPr>
        </w:r>
        <w:r w:rsidR="00D91D66">
          <w:rPr>
            <w:webHidden/>
          </w:rPr>
          <w:fldChar w:fldCharType="separate"/>
        </w:r>
        <w:r>
          <w:rPr>
            <w:webHidden/>
          </w:rPr>
          <w:t>7</w:t>
        </w:r>
        <w:r w:rsidR="00D91D66">
          <w:rPr>
            <w:webHidden/>
          </w:rPr>
          <w:fldChar w:fldCharType="end"/>
        </w:r>
      </w:hyperlink>
    </w:p>
    <w:p w:rsidR="001948EF" w:rsidRDefault="00D91D66" w:rsidP="00FF026F">
      <w:pPr>
        <w:pStyle w:val="BodyText"/>
        <w:tabs>
          <w:tab w:val="left" w:pos="900"/>
        </w:tabs>
        <w:spacing w:line="240" w:lineRule="auto"/>
        <w:ind w:firstLine="0"/>
      </w:pPr>
      <w:r>
        <w:rPr>
          <w:b/>
          <w:noProof/>
        </w:rPr>
        <w:fldChar w:fldCharType="end"/>
      </w:r>
    </w:p>
    <w:p w:rsidR="00A1068B" w:rsidRDefault="00A1068B" w:rsidP="002E5929">
      <w:pPr>
        <w:pStyle w:val="BodyText"/>
      </w:pPr>
    </w:p>
    <w:p w:rsidR="00A1068B" w:rsidRPr="007C69A6" w:rsidRDefault="00A1068B" w:rsidP="002E5929">
      <w:pPr>
        <w:pStyle w:val="BodyText"/>
        <w:sectPr w:rsidR="00A1068B" w:rsidRPr="007C69A6" w:rsidSect="003475B8">
          <w:headerReference w:type="default" r:id="rId12"/>
          <w:footerReference w:type="default" r:id="rId13"/>
          <w:pgSz w:w="12240" w:h="15840" w:code="1"/>
          <w:pgMar w:top="720" w:right="720" w:bottom="720" w:left="720" w:header="360" w:footer="360" w:gutter="0"/>
          <w:pgNumType w:fmt="lowerRoman" w:start="1"/>
          <w:cols w:space="720"/>
          <w:docGrid w:linePitch="299"/>
        </w:sectPr>
      </w:pPr>
    </w:p>
    <w:p w:rsidR="00D72814" w:rsidRPr="007C69A6" w:rsidRDefault="00D72814" w:rsidP="00D72814">
      <w:pPr>
        <w:pStyle w:val="Heading1"/>
        <w:pageBreakBefore w:val="0"/>
      </w:pPr>
      <w:bookmarkStart w:id="1" w:name="_Toc310342872"/>
      <w:bookmarkStart w:id="2" w:name="_Toc316652504"/>
      <w:bookmarkStart w:id="3" w:name="_Toc325550962"/>
      <w:r w:rsidRPr="007C69A6">
        <w:lastRenderedPageBreak/>
        <w:t>Part B.</w:t>
      </w:r>
      <w:r w:rsidRPr="007C69A6">
        <w:tab/>
        <w:t>Statistical Methods</w:t>
      </w:r>
      <w:bookmarkEnd w:id="1"/>
      <w:bookmarkEnd w:id="2"/>
      <w:bookmarkEnd w:id="3"/>
    </w:p>
    <w:p w:rsidR="00D72814" w:rsidRPr="007C69A6" w:rsidRDefault="00D72814" w:rsidP="00D72814">
      <w:pPr>
        <w:pStyle w:val="Heading2"/>
      </w:pPr>
      <w:bookmarkStart w:id="4" w:name="_Toc310342873"/>
      <w:bookmarkStart w:id="5" w:name="_Toc316652505"/>
      <w:bookmarkStart w:id="6" w:name="_Toc325550963"/>
      <w:r w:rsidRPr="007C69A6">
        <w:t>B.1</w:t>
      </w:r>
      <w:r w:rsidRPr="007C69A6">
        <w:tab/>
      </w:r>
      <w:bookmarkEnd w:id="4"/>
      <w:r w:rsidRPr="007C69A6">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5"/>
      <w:bookmarkEnd w:id="6"/>
    </w:p>
    <w:p w:rsidR="00D72814" w:rsidRDefault="003A641D" w:rsidP="00D72814">
      <w:pPr>
        <w:pStyle w:val="BodyText"/>
        <w:rPr>
          <w:b/>
        </w:rPr>
      </w:pPr>
      <w:bookmarkStart w:id="7" w:name="_Toc310342874"/>
      <w:r>
        <w:t xml:space="preserve">FNS anticipates an overall response rate of 83.4 percent. </w:t>
      </w:r>
      <w:r w:rsidR="00D72814">
        <w:t xml:space="preserve">The respondent universe for the </w:t>
      </w:r>
      <w:r w:rsidR="00D72814" w:rsidRPr="008C47F9">
        <w:rPr>
          <w:i/>
        </w:rPr>
        <w:t>Community Eligibility Option Evaluation</w:t>
      </w:r>
      <w:r w:rsidR="00D72814">
        <w:t xml:space="preserve"> will include.</w:t>
      </w:r>
    </w:p>
    <w:p w:rsidR="00D72814" w:rsidRPr="007C69A6" w:rsidRDefault="003A1ECE" w:rsidP="00D72814">
      <w:pPr>
        <w:pStyle w:val="Bullets"/>
      </w:pPr>
      <w:r>
        <w:t xml:space="preserve">11 </w:t>
      </w:r>
      <w:r w:rsidR="00D72814" w:rsidRPr="007C69A6">
        <w:t>State Child Nutrition Directors;</w:t>
      </w:r>
    </w:p>
    <w:p w:rsidR="00D72814" w:rsidRPr="007C69A6" w:rsidRDefault="00D72814" w:rsidP="00D72814">
      <w:pPr>
        <w:pStyle w:val="Bullets"/>
      </w:pPr>
      <w:r w:rsidRPr="007C69A6">
        <w:t xml:space="preserve">51 State Department of Education Staff </w:t>
      </w:r>
      <w:r>
        <w:t>familiar with how NSLP eligibility data are used in addition to specific purpose of qualifying students for the NSLP</w:t>
      </w:r>
      <w:r w:rsidRPr="007C69A6">
        <w:t>;</w:t>
      </w:r>
    </w:p>
    <w:p w:rsidR="00D72814" w:rsidRDefault="00D72814" w:rsidP="00D72814">
      <w:pPr>
        <w:pStyle w:val="Bullets"/>
      </w:pPr>
      <w:r>
        <w:t xml:space="preserve">An estimated 3,500 LEA Food Service Directors in 7 </w:t>
      </w:r>
      <w:r w:rsidR="00FF026F">
        <w:t>State</w:t>
      </w:r>
      <w:r>
        <w:t xml:space="preserve">s; </w:t>
      </w:r>
    </w:p>
    <w:p w:rsidR="00D72814" w:rsidRDefault="00D72814" w:rsidP="00D72814">
      <w:pPr>
        <w:pStyle w:val="Bullets"/>
      </w:pPr>
      <w:r>
        <w:t xml:space="preserve">An estimated 3,621 School Administrators in 7 </w:t>
      </w:r>
      <w:r w:rsidR="00FF026F">
        <w:t>State</w:t>
      </w:r>
      <w:r>
        <w:t>s; and</w:t>
      </w:r>
    </w:p>
    <w:p w:rsidR="00D72814" w:rsidRDefault="00D72814" w:rsidP="00D72814">
      <w:pPr>
        <w:pStyle w:val="Bullets"/>
      </w:pPr>
      <w:r>
        <w:t xml:space="preserve">An estimated 10,863 school cafeteria managers in 7 </w:t>
      </w:r>
      <w:r w:rsidR="00FF026F">
        <w:t>State</w:t>
      </w:r>
      <w:r>
        <w:t>s.</w:t>
      </w:r>
    </w:p>
    <w:p w:rsidR="00D72814" w:rsidRPr="00763064" w:rsidRDefault="00D72814" w:rsidP="00D72814">
      <w:pPr>
        <w:pStyle w:val="BodyText"/>
      </w:pPr>
      <w:r>
        <w:t xml:space="preserve">Several of these numbers are estimates; the </w:t>
      </w:r>
      <w:r w:rsidR="003A1ECE">
        <w:t xml:space="preserve">sampling frame </w:t>
      </w:r>
      <w:r>
        <w:t xml:space="preserve">data from the participating </w:t>
      </w:r>
      <w:r w:rsidR="00FF026F">
        <w:t>State</w:t>
      </w:r>
      <w:r>
        <w:t xml:space="preserve">s are not final and complete. </w:t>
      </w:r>
    </w:p>
    <w:p w:rsidR="00D72814" w:rsidRDefault="00D72814" w:rsidP="00D72814">
      <w:pPr>
        <w:pStyle w:val="BodyText"/>
      </w:pPr>
      <w:r w:rsidRPr="00763064">
        <w:t>This evaluation entails multiple data collections at various jurisdictional levels.</w:t>
      </w:r>
      <w:r w:rsidR="003475B8">
        <w:t xml:space="preserve"> </w:t>
      </w:r>
      <w:r w:rsidRPr="00763064">
        <w:t xml:space="preserve">Samples for some components of the data collection are nested. </w:t>
      </w:r>
      <w:r w:rsidR="003475B8">
        <w:t xml:space="preserve">Exhibit </w:t>
      </w:r>
      <w:r w:rsidRPr="00763064">
        <w:t>B.1 displays estimates for the size of the universe, the sampled portion, and the response rate for</w:t>
      </w:r>
      <w:r w:rsidRPr="00954A32">
        <w:t xml:space="preserve"> each data collection component.</w:t>
      </w:r>
      <w:r w:rsidR="003475B8">
        <w:t xml:space="preserve"> </w:t>
      </w:r>
    </w:p>
    <w:p w:rsidR="00D72814" w:rsidRDefault="00D72814" w:rsidP="00D72814">
      <w:pPr>
        <w:pStyle w:val="Heading3"/>
      </w:pPr>
      <w:bookmarkStart w:id="8" w:name="_Toc316652506"/>
      <w:bookmarkStart w:id="9" w:name="_Toc325550964"/>
      <w:r w:rsidRPr="007C69A6">
        <w:t>Sampling Frame</w:t>
      </w:r>
      <w:bookmarkEnd w:id="8"/>
      <w:bookmarkEnd w:id="9"/>
    </w:p>
    <w:p w:rsidR="00D72814" w:rsidRDefault="00D72814" w:rsidP="00D72814">
      <w:pPr>
        <w:pStyle w:val="BodyText"/>
      </w:pPr>
      <w:r>
        <w:t xml:space="preserve">The sampling frame for LEAs will consist of those LEAs in </w:t>
      </w:r>
      <w:r w:rsidR="00F077C2">
        <w:t xml:space="preserve">the 7 </w:t>
      </w:r>
      <w:r>
        <w:t xml:space="preserve">participating </w:t>
      </w:r>
      <w:r w:rsidR="00FF026F">
        <w:t>State</w:t>
      </w:r>
      <w:r>
        <w:t xml:space="preserve">s that are either eligible and </w:t>
      </w:r>
      <w:r w:rsidRPr="0062079E">
        <w:t>partici</w:t>
      </w:r>
      <w:r>
        <w:t xml:space="preserve">pating, eligible and not participating, or </w:t>
      </w:r>
      <w:r w:rsidRPr="0062079E">
        <w:t>nearly eligible to participat</w:t>
      </w:r>
      <w:r>
        <w:t>e in the CE O</w:t>
      </w:r>
      <w:r w:rsidRPr="0062079E">
        <w:t>ption.</w:t>
      </w:r>
      <w:r w:rsidR="003475B8">
        <w:t xml:space="preserve"> </w:t>
      </w:r>
      <w:r w:rsidRPr="0062079E">
        <w:t xml:space="preserve">These three groups are defined by FNS, and participating </w:t>
      </w:r>
      <w:r w:rsidR="00FF026F">
        <w:t>State</w:t>
      </w:r>
      <w:r w:rsidRPr="0062079E">
        <w:t>s are required to report these data to FNS by July each year.</w:t>
      </w:r>
      <w:r w:rsidR="003475B8">
        <w:t xml:space="preserve"> </w:t>
      </w:r>
      <w:r>
        <w:t>We will use these data to construct the sampling frame.</w:t>
      </w:r>
      <w:r w:rsidR="003475B8">
        <w:t xml:space="preserve"> </w:t>
      </w:r>
      <w:r>
        <w:t>S</w:t>
      </w:r>
      <w:r w:rsidRPr="0062079E">
        <w:t xml:space="preserve">chools within these LEAs constitute the </w:t>
      </w:r>
      <w:r>
        <w:t xml:space="preserve">universe </w:t>
      </w:r>
      <w:r w:rsidRPr="0062079E">
        <w:t>of schools.</w:t>
      </w:r>
      <w:r w:rsidR="003475B8">
        <w:t xml:space="preserve"> </w:t>
      </w:r>
      <w:r>
        <w:t>The sampling frame for schools will be constructed from lists of participating, eligible non-participating, and near-eligible schools that the participating States are required to provide to FNS under program guidance.</w:t>
      </w:r>
    </w:p>
    <w:p w:rsidR="00D72814" w:rsidRDefault="00D72814" w:rsidP="00D72814">
      <w:pPr>
        <w:pStyle w:val="Heading3"/>
      </w:pPr>
      <w:bookmarkStart w:id="10" w:name="_Toc316652507"/>
      <w:bookmarkStart w:id="11" w:name="_Toc325550965"/>
      <w:r>
        <w:lastRenderedPageBreak/>
        <w:t>Sample Selection</w:t>
      </w:r>
      <w:bookmarkEnd w:id="10"/>
      <w:bookmarkEnd w:id="11"/>
    </w:p>
    <w:p w:rsidR="00D72814" w:rsidRDefault="00D72814" w:rsidP="00D72814">
      <w:pPr>
        <w:pStyle w:val="BodyText"/>
      </w:pPr>
      <w:r w:rsidRPr="00D72814">
        <w:rPr>
          <w:b/>
          <w:i/>
        </w:rPr>
        <w:t>Implementation study.</w:t>
      </w:r>
      <w:r w:rsidR="003475B8">
        <w:rPr>
          <w:i/>
        </w:rPr>
        <w:t xml:space="preserve"> </w:t>
      </w:r>
      <w:r w:rsidRPr="00FA0336">
        <w:t xml:space="preserve">A total of 1400 LEAs will be invited to participate in the web </w:t>
      </w:r>
      <w:r w:rsidRPr="00EB5549">
        <w:t>survey.</w:t>
      </w:r>
      <w:r w:rsidR="003475B8">
        <w:t xml:space="preserve"> </w:t>
      </w:r>
      <w:r w:rsidRPr="00EB5549">
        <w:t xml:space="preserve">All LEAs that </w:t>
      </w:r>
      <w:r>
        <w:t xml:space="preserve">use </w:t>
      </w:r>
      <w:r w:rsidRPr="00EB5549">
        <w:t xml:space="preserve">the CE Option </w:t>
      </w:r>
      <w:r>
        <w:t xml:space="preserve">in School Year 2012-2013 </w:t>
      </w:r>
      <w:r w:rsidRPr="00EB5549">
        <w:t>will be invited to participate.</w:t>
      </w:r>
      <w:r w:rsidR="003475B8">
        <w:t xml:space="preserve"> </w:t>
      </w:r>
      <w:r w:rsidRPr="00EB5549">
        <w:t>Eligible non-participating and near-eligible LEAs will be invited to participate in proportion to their representation in the universe of LEAs.</w:t>
      </w:r>
      <w:r w:rsidR="003475B8">
        <w:t xml:space="preserve"> </w:t>
      </w:r>
      <w:r w:rsidRPr="00EB5549">
        <w:t xml:space="preserve">If the total number </w:t>
      </w:r>
      <w:r>
        <w:t xml:space="preserve">across all three groups </w:t>
      </w:r>
      <w:r w:rsidRPr="00EB5549">
        <w:t>exceeds 1400, eligible non-participating and near-eligible LEAs will be systematically sampled with sorting by the number of enrolled students to achieve a sample size of 1400.</w:t>
      </w:r>
    </w:p>
    <w:p w:rsidR="00D72814" w:rsidRPr="00DD0F80" w:rsidRDefault="00D72814" w:rsidP="00D72814">
      <w:pPr>
        <w:pStyle w:val="BodyText"/>
        <w:rPr>
          <w:color w:val="000000"/>
          <w:szCs w:val="22"/>
        </w:rPr>
      </w:pPr>
      <w:r w:rsidRPr="00D72814">
        <w:rPr>
          <w:b/>
          <w:i/>
          <w:szCs w:val="22"/>
        </w:rPr>
        <w:t>Impact study.</w:t>
      </w:r>
      <w:r w:rsidR="003475B8">
        <w:rPr>
          <w:b/>
          <w:szCs w:val="22"/>
        </w:rPr>
        <w:t xml:space="preserve"> </w:t>
      </w:r>
      <w:r>
        <w:rPr>
          <w:szCs w:val="22"/>
        </w:rPr>
        <w:t>The impact study will use a multi-stage design with several samples of LEAs and schools.</w:t>
      </w:r>
      <w:r w:rsidR="003475B8">
        <w:rPr>
          <w:szCs w:val="22"/>
        </w:rPr>
        <w:t xml:space="preserve"> </w:t>
      </w:r>
      <w:r>
        <w:rPr>
          <w:szCs w:val="22"/>
        </w:rPr>
        <w:t xml:space="preserve">The first stage will be the selection of LEAs for the </w:t>
      </w:r>
      <w:r w:rsidRPr="00EB5549">
        <w:rPr>
          <w:i/>
          <w:color w:val="000000"/>
          <w:szCs w:val="22"/>
        </w:rPr>
        <w:t>Participation, Enrollment, Attendance, and Revenue (PEAR)</w:t>
      </w:r>
      <w:r>
        <w:rPr>
          <w:color w:val="000000"/>
          <w:szCs w:val="22"/>
        </w:rPr>
        <w:t xml:space="preserve"> component of the impact study.</w:t>
      </w:r>
      <w:r w:rsidR="003475B8">
        <w:rPr>
          <w:color w:val="000000"/>
          <w:szCs w:val="22"/>
        </w:rPr>
        <w:t xml:space="preserve"> </w:t>
      </w:r>
      <w:r>
        <w:rPr>
          <w:color w:val="000000"/>
          <w:szCs w:val="22"/>
        </w:rPr>
        <w:t xml:space="preserve">The second and third stage samples of LEAs for other components of the impact </w:t>
      </w:r>
      <w:r w:rsidRPr="00DD0F80">
        <w:rPr>
          <w:color w:val="000000"/>
          <w:szCs w:val="22"/>
        </w:rPr>
        <w:t xml:space="preserve">study will be subsamples of this PEAR sample, and samples of schools will be </w:t>
      </w:r>
      <w:r>
        <w:rPr>
          <w:color w:val="000000"/>
          <w:szCs w:val="22"/>
        </w:rPr>
        <w:t xml:space="preserve">taken from </w:t>
      </w:r>
      <w:r w:rsidRPr="00DD0F80">
        <w:rPr>
          <w:color w:val="000000"/>
          <w:szCs w:val="22"/>
        </w:rPr>
        <w:t>these LEAs.</w:t>
      </w:r>
    </w:p>
    <w:p w:rsidR="00D72814" w:rsidRDefault="00D72814" w:rsidP="00D72814">
      <w:pPr>
        <w:pStyle w:val="BodyText"/>
      </w:pPr>
      <w:r>
        <w:t xml:space="preserve">For the </w:t>
      </w:r>
      <w:r w:rsidRPr="00DD0F80">
        <w:t xml:space="preserve">PEAR </w:t>
      </w:r>
      <w:r>
        <w:t>survey, we will select a representative sample of LEAs participating in the CE Option (the treatment group) and a matched comparison sample of non-participating LEAs.</w:t>
      </w:r>
      <w:r w:rsidR="003475B8">
        <w:t xml:space="preserve"> </w:t>
      </w:r>
      <w:r>
        <w:t>Thus, the selection of the comparison group</w:t>
      </w:r>
      <w:r w:rsidRPr="00DD0F80">
        <w:t xml:space="preserve"> </w:t>
      </w:r>
      <w:r>
        <w:t xml:space="preserve">from the population of non-participating LEAs </w:t>
      </w:r>
      <w:r w:rsidRPr="00DD0F80">
        <w:t>will be purposive</w:t>
      </w:r>
      <w:r>
        <w:t>.</w:t>
      </w:r>
      <w:r w:rsidR="003475B8">
        <w:t xml:space="preserve"> </w:t>
      </w:r>
      <w:r w:rsidRPr="00C44845">
        <w:t>The goal of the impact study is to estimate the causal effects of the Community Eligibility Option on participating LEAs.</w:t>
      </w:r>
      <w:r w:rsidR="003475B8">
        <w:t xml:space="preserve"> </w:t>
      </w:r>
      <w:r w:rsidRPr="00C44845">
        <w:t>To achieve this, we need a comparison sample of non-participating LEAs.</w:t>
      </w:r>
      <w:r w:rsidR="003475B8">
        <w:t xml:space="preserve"> </w:t>
      </w:r>
      <w:r w:rsidRPr="00C44845">
        <w:t>Ideally, we would randomly assign LEAs to participate in the option, but this is not feasible.</w:t>
      </w:r>
      <w:r w:rsidR="003475B8">
        <w:t xml:space="preserve"> </w:t>
      </w:r>
      <w:r w:rsidRPr="00C44845">
        <w:t>An alternative would be to select a representative sample of eligible non-participating LEAs, but this could result in a comparison sample that differed substantially from the sample of participants, in which case we would have to completely rely on statistical multivariate regression methods to control for differences between groups.</w:t>
      </w:r>
      <w:r w:rsidR="003475B8">
        <w:t xml:space="preserve"> </w:t>
      </w:r>
    </w:p>
    <w:p w:rsidR="00D72814" w:rsidRDefault="00D72814" w:rsidP="00D72814">
      <w:pPr>
        <w:pStyle w:val="BodyText"/>
      </w:pPr>
      <w:r w:rsidRPr="00C44845">
        <w:t>Instead, our strategy in this evaluation is to select a comparison sample closely matched to the sample of participants.</w:t>
      </w:r>
      <w:r w:rsidR="003475B8">
        <w:t xml:space="preserve"> </w:t>
      </w:r>
      <w:r w:rsidR="00F077C2">
        <w:t>W</w:t>
      </w:r>
      <w:r w:rsidRPr="00C44845">
        <w:t xml:space="preserve">e will </w:t>
      </w:r>
      <w:r>
        <w:t xml:space="preserve">use </w:t>
      </w:r>
      <w:r w:rsidRPr="00C44845">
        <w:t>propensity score matching to select a sample of non-participating LEAs.</w:t>
      </w:r>
      <w:r w:rsidR="003475B8">
        <w:t xml:space="preserve"> </w:t>
      </w:r>
      <w:r>
        <w:t xml:space="preserve">The participating LEAs along with their best matched eligible nonparticipating LEAs will form the PEAR sample. It is possible that no sufficiently close matches may be identified for some participating LEAs, in which case these LEAs would have to be excluded from the </w:t>
      </w:r>
      <w:r w:rsidRPr="00473719">
        <w:t>PEAR sample.</w:t>
      </w:r>
      <w:r w:rsidR="003475B8">
        <w:t xml:space="preserve"> </w:t>
      </w:r>
      <w:r w:rsidRPr="00473719">
        <w:t xml:space="preserve">If the matched sample of participating and eligible non-participating LEAs exceeds </w:t>
      </w:r>
      <w:r>
        <w:t xml:space="preserve">the specified sample </w:t>
      </w:r>
      <w:r w:rsidRPr="00473719">
        <w:t>for data collection, a systematic sample will be selected with sorting by the number of enrolled students.</w:t>
      </w:r>
      <w:r w:rsidR="00F077C2">
        <w:t xml:space="preserve"> Private schools will be excluded from the impact study because we are unlikely to find suitable matches given the more limited data available on their characteristics.</w:t>
      </w:r>
    </w:p>
    <w:p w:rsidR="00D72814" w:rsidRPr="008C24A6" w:rsidRDefault="00D72814" w:rsidP="00D72814">
      <w:pPr>
        <w:pStyle w:val="BodyText"/>
      </w:pPr>
      <w:r>
        <w:lastRenderedPageBreak/>
        <w:t>At the second stage, t</w:t>
      </w:r>
      <w:r w:rsidRPr="008C24A6">
        <w:t xml:space="preserve">he sample of LEAs for the </w:t>
      </w:r>
      <w:r w:rsidRPr="008C24A6">
        <w:rPr>
          <w:i/>
        </w:rPr>
        <w:t>Costs and Staffing</w:t>
      </w:r>
      <w:r w:rsidRPr="008C24A6">
        <w:t xml:space="preserve"> </w:t>
      </w:r>
      <w:r w:rsidR="00DF414E">
        <w:t xml:space="preserve">and </w:t>
      </w:r>
      <w:r w:rsidR="00DF414E">
        <w:rPr>
          <w:i/>
        </w:rPr>
        <w:t xml:space="preserve">Certification Record Review </w:t>
      </w:r>
      <w:r w:rsidRPr="008C24A6">
        <w:t>data collection will be an approximate 50 percent systematic subsample of the PEAR sample.</w:t>
      </w:r>
      <w:r w:rsidR="003475B8">
        <w:t xml:space="preserve"> </w:t>
      </w:r>
      <w:r>
        <w:t>P</w:t>
      </w:r>
      <w:r w:rsidRPr="008C24A6">
        <w:t xml:space="preserve">articipating LEAs with </w:t>
      </w:r>
      <w:r w:rsidR="00F077C2">
        <w:t>less than 70</w:t>
      </w:r>
      <w:r w:rsidR="00FF026F">
        <w:t xml:space="preserve"> percent</w:t>
      </w:r>
      <w:r w:rsidR="00F077C2">
        <w:t xml:space="preserve"> </w:t>
      </w:r>
      <w:r w:rsidRPr="008C24A6">
        <w:t xml:space="preserve">of schools </w:t>
      </w:r>
      <w:r w:rsidR="00F077C2">
        <w:t xml:space="preserve">participating in the </w:t>
      </w:r>
      <w:r w:rsidR="00417A2D">
        <w:t xml:space="preserve">CE </w:t>
      </w:r>
      <w:r w:rsidR="00F077C2">
        <w:t xml:space="preserve">Option will </w:t>
      </w:r>
      <w:r w:rsidRPr="008C24A6">
        <w:t>be excluded from this sample</w:t>
      </w:r>
      <w:r>
        <w:t>, in order to focus resources on estimating impacts in participating schools</w:t>
      </w:r>
      <w:r w:rsidRPr="008C24A6">
        <w:t>.</w:t>
      </w:r>
      <w:r w:rsidR="003475B8">
        <w:t xml:space="preserve"> </w:t>
      </w:r>
      <w:r w:rsidR="00417A2D">
        <w:t>We have chosen the 70</w:t>
      </w:r>
      <w:r w:rsidR="00FF026F">
        <w:t xml:space="preserve"> percent</w:t>
      </w:r>
      <w:r w:rsidR="00417A2D">
        <w:t xml:space="preserve"> threshold to minimize spillover effects on participating schools, while allowing inclusion of sufficient numbers of LEAs in </w:t>
      </w:r>
      <w:r w:rsidR="00FF026F">
        <w:t>State</w:t>
      </w:r>
      <w:r w:rsidR="00417A2D">
        <w:t xml:space="preserve">s where there are relatively few LEAs where all schools participate in the CE Option. In addition, the sample for the </w:t>
      </w:r>
      <w:r w:rsidR="00417A2D">
        <w:rPr>
          <w:i/>
        </w:rPr>
        <w:t xml:space="preserve">Costs and Staffing </w:t>
      </w:r>
      <w:r w:rsidR="00417A2D">
        <w:t xml:space="preserve">data collection will exclude LEAs with fewer than 300 students, because such LEAs will not have enough certification records to meet the data collection requirements. </w:t>
      </w:r>
      <w:r>
        <w:t xml:space="preserve">Thus estimates from the second and third stages will be representative of </w:t>
      </w:r>
      <w:r w:rsidR="00417A2D">
        <w:t xml:space="preserve">the subset of </w:t>
      </w:r>
      <w:r>
        <w:t xml:space="preserve">LEAs </w:t>
      </w:r>
      <w:r w:rsidR="00417A2D">
        <w:t>meeting two criteria: at least 300 students and (for participating LEAs) at least 70</w:t>
      </w:r>
      <w:r w:rsidR="00FF026F">
        <w:t xml:space="preserve"> percent</w:t>
      </w:r>
      <w:r w:rsidR="00417A2D">
        <w:t xml:space="preserve"> of schools </w:t>
      </w:r>
      <w:r>
        <w:t xml:space="preserve">participating in the CE Option. </w:t>
      </w:r>
      <w:r w:rsidRPr="008C24A6">
        <w:t>Schools for</w:t>
      </w:r>
      <w:r>
        <w:t xml:space="preserve"> </w:t>
      </w:r>
      <w:r>
        <w:rPr>
          <w:i/>
        </w:rPr>
        <w:t xml:space="preserve">Costs and Staffing </w:t>
      </w:r>
      <w:r>
        <w:t>interviews and for the</w:t>
      </w:r>
      <w:r w:rsidRPr="008C24A6">
        <w:t xml:space="preserve"> </w:t>
      </w:r>
      <w:r w:rsidRPr="008C24A6">
        <w:rPr>
          <w:i/>
        </w:rPr>
        <w:t>Certification Record Review</w:t>
      </w:r>
      <w:r w:rsidRPr="008C24A6">
        <w:t xml:space="preserve"> will be drawn from the </w:t>
      </w:r>
      <w:r w:rsidRPr="009E4C47">
        <w:rPr>
          <w:i/>
        </w:rPr>
        <w:t>Costs and Staffing</w:t>
      </w:r>
      <w:r w:rsidRPr="008C24A6">
        <w:t xml:space="preserve"> subsample of LEAs.</w:t>
      </w:r>
      <w:r w:rsidR="003475B8">
        <w:t xml:space="preserve"> </w:t>
      </w:r>
      <w:r w:rsidRPr="008C24A6">
        <w:t xml:space="preserve">Within LEAs, schools will be stratified by grade level (elementary, middle, and high), with random selection of </w:t>
      </w:r>
      <w:r>
        <w:t>one</w:t>
      </w:r>
      <w:r w:rsidRPr="008C24A6">
        <w:t xml:space="preserve"> school per stratum</w:t>
      </w:r>
      <w:r w:rsidR="00417A2D">
        <w:t xml:space="preserve"> present in the LEA</w:t>
      </w:r>
      <w:r w:rsidRPr="008C24A6">
        <w:t>.</w:t>
      </w:r>
      <w:r w:rsidR="003475B8">
        <w:t xml:space="preserve"> </w:t>
      </w:r>
      <w:r>
        <w:t>Approximately one-third of sampled schools will have School Administrator Cost Interviews.</w:t>
      </w:r>
      <w:r w:rsidR="003475B8">
        <w:t xml:space="preserve"> </w:t>
      </w:r>
      <w:r w:rsidRPr="008C24A6">
        <w:t xml:space="preserve">Within schools thus selected, </w:t>
      </w:r>
      <w:r>
        <w:t xml:space="preserve">certification </w:t>
      </w:r>
      <w:r w:rsidRPr="008C24A6">
        <w:t>records will be systematically sampled for review.</w:t>
      </w:r>
    </w:p>
    <w:p w:rsidR="00D72814" w:rsidRDefault="00D72814" w:rsidP="00D72814">
      <w:pPr>
        <w:pStyle w:val="BodyText"/>
      </w:pPr>
      <w:r>
        <w:t>At the third stage, t</w:t>
      </w:r>
      <w:r w:rsidRPr="008C24A6">
        <w:t xml:space="preserve">he sample of LEAs for the </w:t>
      </w:r>
      <w:r w:rsidRPr="008C24A6">
        <w:rPr>
          <w:i/>
        </w:rPr>
        <w:t>Meal Counting and Claiming</w:t>
      </w:r>
      <w:r w:rsidRPr="008C24A6">
        <w:t xml:space="preserve"> data collection will be an approximate 50 percent systematic subsample of the </w:t>
      </w:r>
      <w:r w:rsidRPr="009E4C47">
        <w:rPr>
          <w:i/>
        </w:rPr>
        <w:t>Costs and Staffing</w:t>
      </w:r>
      <w:r w:rsidRPr="008C24A6">
        <w:t xml:space="preserve"> sample</w:t>
      </w:r>
      <w:r w:rsidR="00DF414E">
        <w:t xml:space="preserve">, after excluding LEAs with less than one school in each of the three grade ranges. </w:t>
      </w:r>
      <w:r w:rsidRPr="008C24A6">
        <w:t xml:space="preserve">Schools for the </w:t>
      </w:r>
      <w:r w:rsidRPr="008C24A6">
        <w:rPr>
          <w:i/>
        </w:rPr>
        <w:t xml:space="preserve">Menu Survey, Cashier Observations, </w:t>
      </w:r>
      <w:r w:rsidRPr="00904DDE">
        <w:t>and</w:t>
      </w:r>
      <w:r>
        <w:rPr>
          <w:i/>
        </w:rPr>
        <w:t xml:space="preserve"> </w:t>
      </w:r>
      <w:r w:rsidRPr="008C24A6">
        <w:rPr>
          <w:i/>
        </w:rPr>
        <w:t>Meal Counting and Claiming</w:t>
      </w:r>
      <w:r w:rsidRPr="008C24A6">
        <w:t xml:space="preserve"> data collections will be drawn from the </w:t>
      </w:r>
      <w:r w:rsidRPr="00FF026F">
        <w:rPr>
          <w:i/>
        </w:rPr>
        <w:t xml:space="preserve">Meal Counting </w:t>
      </w:r>
      <w:r w:rsidR="003475B8" w:rsidRPr="00FF026F">
        <w:rPr>
          <w:i/>
        </w:rPr>
        <w:t>and Claiming</w:t>
      </w:r>
      <w:r w:rsidR="003475B8">
        <w:t xml:space="preserve"> subsample of LEAs</w:t>
      </w:r>
      <w:r w:rsidR="00DF414E">
        <w:t xml:space="preserve">, using the same stratification and sampling </w:t>
      </w:r>
      <w:r w:rsidRPr="008C24A6">
        <w:t xml:space="preserve">procedure </w:t>
      </w:r>
      <w:r w:rsidR="00DF414E">
        <w:t xml:space="preserve">as </w:t>
      </w:r>
      <w:r w:rsidRPr="008C24A6">
        <w:t>for the selection of schools for</w:t>
      </w:r>
      <w:r w:rsidR="00DF414E">
        <w:t xml:space="preserve"> the </w:t>
      </w:r>
      <w:r w:rsidR="00DF414E" w:rsidRPr="008C24A6">
        <w:rPr>
          <w:i/>
        </w:rPr>
        <w:t>Costs and Staffing</w:t>
      </w:r>
      <w:r w:rsidR="00DF414E" w:rsidRPr="008C24A6">
        <w:t xml:space="preserve"> </w:t>
      </w:r>
      <w:r w:rsidR="00DF414E">
        <w:t xml:space="preserve">and </w:t>
      </w:r>
      <w:r w:rsidR="00DF414E">
        <w:rPr>
          <w:i/>
        </w:rPr>
        <w:t xml:space="preserve">Certification Record Review </w:t>
      </w:r>
      <w:r w:rsidR="00DF414E">
        <w:t>data collection</w:t>
      </w:r>
      <w:r w:rsidRPr="008C24A6">
        <w:t>.</w:t>
      </w:r>
      <w:bookmarkEnd w:id="7"/>
    </w:p>
    <w:p w:rsidR="00D72814" w:rsidRPr="001054AB" w:rsidRDefault="003475B8" w:rsidP="00D72814">
      <w:pPr>
        <w:pStyle w:val="Caption"/>
        <w:ind w:left="0" w:firstLine="0"/>
      </w:pPr>
      <w:r>
        <w:t xml:space="preserve">Exhibit </w:t>
      </w:r>
      <w:r w:rsidR="00D72814" w:rsidRPr="001054AB">
        <w:t>B.1.</w:t>
      </w:r>
      <w:r>
        <w:t xml:space="preserve"> </w:t>
      </w:r>
      <w:r w:rsidR="00D72814" w:rsidRPr="001054AB">
        <w:t>Estimated Sizes of Universes, Sampled Portions, and Expected Response Rates for Im</w:t>
      </w:r>
      <w:r w:rsidR="00D72814">
        <w:t xml:space="preserve">plementation Survey and Impact </w:t>
      </w:r>
      <w:r w:rsidR="00D72814" w:rsidRPr="001054AB">
        <w:t>Study Components</w:t>
      </w:r>
    </w:p>
    <w:tbl>
      <w:tblPr>
        <w:tblW w:w="10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06"/>
        <w:gridCol w:w="1094"/>
        <w:gridCol w:w="1055"/>
        <w:gridCol w:w="1569"/>
        <w:gridCol w:w="1569"/>
        <w:gridCol w:w="1569"/>
        <w:gridCol w:w="1569"/>
        <w:gridCol w:w="1569"/>
      </w:tblGrid>
      <w:tr w:rsidR="00D72814" w:rsidRPr="001054AB" w:rsidTr="003475B8">
        <w:trPr>
          <w:cantSplit/>
          <w:tblHeader/>
        </w:trPr>
        <w:tc>
          <w:tcPr>
            <w:tcW w:w="753" w:type="dxa"/>
            <w:shd w:val="clear" w:color="auto" w:fill="C3C6A8"/>
            <w:vAlign w:val="bottom"/>
            <w:hideMark/>
          </w:tcPr>
          <w:p w:rsidR="00D72814" w:rsidRPr="001054AB" w:rsidRDefault="00D72814" w:rsidP="0068677C">
            <w:pPr>
              <w:pStyle w:val="ExhibitColumnHeads"/>
            </w:pPr>
            <w:r w:rsidRPr="001054AB">
              <w:t>Level</w:t>
            </w:r>
          </w:p>
        </w:tc>
        <w:tc>
          <w:tcPr>
            <w:tcW w:w="1022" w:type="dxa"/>
            <w:shd w:val="clear" w:color="auto" w:fill="C3C6A8"/>
            <w:vAlign w:val="bottom"/>
            <w:hideMark/>
          </w:tcPr>
          <w:p w:rsidR="00D72814" w:rsidRPr="001054AB" w:rsidRDefault="00D72814" w:rsidP="0068677C">
            <w:pPr>
              <w:pStyle w:val="ExhibitColumnHeads"/>
            </w:pPr>
            <w:r w:rsidRPr="001054AB">
              <w:t>Data Collected</w:t>
            </w:r>
          </w:p>
        </w:tc>
        <w:tc>
          <w:tcPr>
            <w:tcW w:w="985" w:type="dxa"/>
            <w:shd w:val="clear" w:color="auto" w:fill="C3C6A8"/>
            <w:noWrap/>
            <w:vAlign w:val="bottom"/>
            <w:hideMark/>
          </w:tcPr>
          <w:p w:rsidR="00D72814" w:rsidRPr="001054AB" w:rsidRDefault="00D72814" w:rsidP="0068677C">
            <w:pPr>
              <w:pStyle w:val="ExhibitColumnHeads"/>
            </w:pPr>
            <w:proofErr w:type="spellStart"/>
            <w:r w:rsidRPr="001054AB">
              <w:t>Stratum</w:t>
            </w:r>
            <w:r>
              <w:rPr>
                <w:vertAlign w:val="superscript"/>
              </w:rPr>
              <w:t>a</w:t>
            </w:r>
            <w:proofErr w:type="spellEnd"/>
          </w:p>
        </w:tc>
        <w:tc>
          <w:tcPr>
            <w:tcW w:w="1464" w:type="dxa"/>
            <w:shd w:val="clear" w:color="auto" w:fill="C3C6A8"/>
            <w:vAlign w:val="bottom"/>
            <w:hideMark/>
          </w:tcPr>
          <w:p w:rsidR="00D72814" w:rsidRPr="001054AB" w:rsidRDefault="00D72814" w:rsidP="0068677C">
            <w:pPr>
              <w:pStyle w:val="ExhibitColumnHeads"/>
            </w:pPr>
            <w:r w:rsidRPr="001054AB">
              <w:t>Number in Universe</w:t>
            </w:r>
          </w:p>
        </w:tc>
        <w:tc>
          <w:tcPr>
            <w:tcW w:w="1464" w:type="dxa"/>
            <w:shd w:val="clear" w:color="auto" w:fill="C3C6A8"/>
            <w:vAlign w:val="bottom"/>
            <w:hideMark/>
          </w:tcPr>
          <w:p w:rsidR="00D72814" w:rsidRPr="001054AB" w:rsidRDefault="00D72814" w:rsidP="0068677C">
            <w:pPr>
              <w:pStyle w:val="ExhibitColumnHeads"/>
            </w:pPr>
            <w:r w:rsidRPr="001054AB">
              <w:t>Number Sampled</w:t>
            </w:r>
          </w:p>
        </w:tc>
        <w:tc>
          <w:tcPr>
            <w:tcW w:w="1464" w:type="dxa"/>
            <w:shd w:val="clear" w:color="auto" w:fill="C3C6A8"/>
            <w:vAlign w:val="bottom"/>
            <w:hideMark/>
          </w:tcPr>
          <w:p w:rsidR="00D72814" w:rsidRPr="001054AB" w:rsidRDefault="00D72814" w:rsidP="0068677C">
            <w:pPr>
              <w:pStyle w:val="ExhibitColumnHeads"/>
            </w:pPr>
            <w:r w:rsidRPr="001054AB">
              <w:t>Percent Sampled</w:t>
            </w:r>
          </w:p>
        </w:tc>
        <w:tc>
          <w:tcPr>
            <w:tcW w:w="1464" w:type="dxa"/>
            <w:shd w:val="clear" w:color="auto" w:fill="C3C6A8"/>
            <w:vAlign w:val="bottom"/>
            <w:hideMark/>
          </w:tcPr>
          <w:p w:rsidR="00D72814" w:rsidRPr="001054AB" w:rsidRDefault="00D72814" w:rsidP="0068677C">
            <w:pPr>
              <w:pStyle w:val="ExhibitColumnHeads"/>
            </w:pPr>
            <w:r>
              <w:t xml:space="preserve">Expected </w:t>
            </w:r>
            <w:r w:rsidRPr="001054AB">
              <w:t>Number Responding</w:t>
            </w:r>
          </w:p>
        </w:tc>
        <w:tc>
          <w:tcPr>
            <w:tcW w:w="1464" w:type="dxa"/>
            <w:shd w:val="clear" w:color="auto" w:fill="C3C6A8"/>
            <w:vAlign w:val="bottom"/>
            <w:hideMark/>
          </w:tcPr>
          <w:p w:rsidR="00D72814" w:rsidRPr="001054AB" w:rsidRDefault="00D72814" w:rsidP="0068677C">
            <w:pPr>
              <w:pStyle w:val="ExhibitColumnHeads"/>
            </w:pPr>
            <w:r>
              <w:t xml:space="preserve">Expected </w:t>
            </w:r>
            <w:r w:rsidRPr="001054AB">
              <w:t>Response Rate</w:t>
            </w:r>
          </w:p>
        </w:tc>
      </w:tr>
      <w:tr w:rsidR="00D72814" w:rsidRPr="003475B8" w:rsidTr="003475B8">
        <w:trPr>
          <w:cantSplit/>
        </w:trPr>
        <w:tc>
          <w:tcPr>
            <w:tcW w:w="753" w:type="dxa"/>
            <w:shd w:val="clear" w:color="000000" w:fill="D9D9D9"/>
            <w:noWrap/>
            <w:vAlign w:val="bottom"/>
            <w:hideMark/>
          </w:tcPr>
          <w:p w:rsidR="00D72814" w:rsidRPr="003475B8" w:rsidRDefault="00D72814" w:rsidP="0068677C">
            <w:pPr>
              <w:pStyle w:val="ExhibitText"/>
              <w:rPr>
                <w:b/>
                <w:sz w:val="16"/>
                <w:szCs w:val="16"/>
              </w:rPr>
            </w:pPr>
            <w:r w:rsidRPr="003475B8">
              <w:rPr>
                <w:b/>
                <w:sz w:val="16"/>
                <w:szCs w:val="16"/>
              </w:rPr>
              <w:t>States</w:t>
            </w:r>
          </w:p>
        </w:tc>
        <w:tc>
          <w:tcPr>
            <w:tcW w:w="1022"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985"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2007" w:type="dxa"/>
            <w:gridSpan w:val="2"/>
            <w:shd w:val="clear" w:color="auto" w:fill="auto"/>
            <w:noWrap/>
            <w:vAlign w:val="bottom"/>
            <w:hideMark/>
          </w:tcPr>
          <w:p w:rsidR="00D72814" w:rsidRPr="003475B8" w:rsidRDefault="00D72814" w:rsidP="0068677C">
            <w:pPr>
              <w:pStyle w:val="ExhibitText"/>
              <w:rPr>
                <w:sz w:val="16"/>
                <w:szCs w:val="16"/>
              </w:rPr>
            </w:pPr>
            <w:r w:rsidRPr="003475B8">
              <w:rPr>
                <w:sz w:val="16"/>
                <w:szCs w:val="16"/>
              </w:rPr>
              <w:t>State survey</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51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51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100.0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88.2</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2007" w:type="dxa"/>
            <w:gridSpan w:val="2"/>
            <w:shd w:val="clear" w:color="auto" w:fill="auto"/>
            <w:noWrap/>
            <w:vAlign w:val="bottom"/>
            <w:hideMark/>
          </w:tcPr>
          <w:p w:rsidR="00D72814" w:rsidRPr="003475B8" w:rsidRDefault="00D72814" w:rsidP="0068677C">
            <w:pPr>
              <w:pStyle w:val="ExhibitText"/>
              <w:rPr>
                <w:sz w:val="16"/>
                <w:szCs w:val="16"/>
              </w:rPr>
            </w:pPr>
            <w:r w:rsidRPr="003475B8">
              <w:rPr>
                <w:sz w:val="16"/>
                <w:szCs w:val="16"/>
              </w:rPr>
              <w:t>Implementation</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100.0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100.0</w:t>
            </w:r>
          </w:p>
        </w:tc>
      </w:tr>
      <w:tr w:rsidR="00D72814" w:rsidRPr="003475B8" w:rsidTr="003475B8">
        <w:trPr>
          <w:cantSplit/>
        </w:trPr>
        <w:tc>
          <w:tcPr>
            <w:tcW w:w="753" w:type="dxa"/>
            <w:shd w:val="clear" w:color="000000" w:fill="D9D9D9"/>
            <w:noWrap/>
            <w:vAlign w:val="bottom"/>
            <w:hideMark/>
          </w:tcPr>
          <w:p w:rsidR="00D72814" w:rsidRPr="003475B8" w:rsidRDefault="00D72814" w:rsidP="0068677C">
            <w:pPr>
              <w:pStyle w:val="ExhibitText"/>
              <w:rPr>
                <w:b/>
                <w:sz w:val="16"/>
                <w:szCs w:val="16"/>
              </w:rPr>
            </w:pPr>
            <w:r w:rsidRPr="003475B8">
              <w:rPr>
                <w:b/>
                <w:sz w:val="16"/>
                <w:szCs w:val="16"/>
              </w:rPr>
              <w:t>LEAs</w:t>
            </w:r>
          </w:p>
        </w:tc>
        <w:tc>
          <w:tcPr>
            <w:tcW w:w="1022"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985"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jc w:val="center"/>
              <w:rPr>
                <w:sz w:val="16"/>
                <w:szCs w:val="16"/>
              </w:rPr>
            </w:pPr>
          </w:p>
        </w:tc>
        <w:tc>
          <w:tcPr>
            <w:tcW w:w="1464" w:type="dxa"/>
            <w:shd w:val="clear" w:color="000000" w:fill="D9D9D9"/>
            <w:noWrap/>
            <w:vAlign w:val="bottom"/>
            <w:hideMark/>
          </w:tcPr>
          <w:p w:rsidR="00D72814" w:rsidRPr="003475B8" w:rsidRDefault="00D72814" w:rsidP="0068677C">
            <w:pPr>
              <w:pStyle w:val="ExhibitText"/>
              <w:jc w:val="center"/>
              <w:rPr>
                <w:sz w:val="16"/>
                <w:szCs w:val="16"/>
              </w:rPr>
            </w:pPr>
          </w:p>
        </w:tc>
        <w:tc>
          <w:tcPr>
            <w:tcW w:w="1464" w:type="dxa"/>
            <w:shd w:val="clear" w:color="000000" w:fill="D9D9D9"/>
            <w:noWrap/>
            <w:vAlign w:val="bottom"/>
            <w:hideMark/>
          </w:tcPr>
          <w:p w:rsidR="00D72814" w:rsidRPr="003475B8" w:rsidRDefault="00D72814" w:rsidP="0068677C">
            <w:pPr>
              <w:pStyle w:val="ExhibitText"/>
              <w:jc w:val="center"/>
              <w:rPr>
                <w:sz w:val="16"/>
                <w:szCs w:val="16"/>
              </w:rPr>
            </w:pPr>
          </w:p>
        </w:tc>
        <w:tc>
          <w:tcPr>
            <w:tcW w:w="1464" w:type="dxa"/>
            <w:shd w:val="clear" w:color="000000" w:fill="D9D9D9"/>
            <w:noWrap/>
            <w:vAlign w:val="bottom"/>
            <w:hideMark/>
          </w:tcPr>
          <w:p w:rsidR="00D72814" w:rsidRPr="003475B8" w:rsidRDefault="00D72814" w:rsidP="0068677C">
            <w:pPr>
              <w:pStyle w:val="ExhibitText"/>
              <w:jc w:val="center"/>
              <w:rPr>
                <w:sz w:val="16"/>
                <w:szCs w:val="16"/>
              </w:rPr>
            </w:pPr>
          </w:p>
        </w:tc>
        <w:tc>
          <w:tcPr>
            <w:tcW w:w="1464" w:type="dxa"/>
            <w:shd w:val="clear" w:color="000000" w:fill="D9D9D9"/>
            <w:noWrap/>
            <w:vAlign w:val="bottom"/>
            <w:hideMark/>
          </w:tcPr>
          <w:p w:rsidR="00D72814" w:rsidRPr="003475B8" w:rsidRDefault="00D72814" w:rsidP="0068677C">
            <w:pPr>
              <w:pStyle w:val="ExhibitText"/>
              <w:jc w:val="center"/>
              <w:rPr>
                <w:sz w:val="16"/>
                <w:szCs w:val="16"/>
              </w:rPr>
            </w:pPr>
          </w:p>
        </w:tc>
      </w:tr>
      <w:tr w:rsidR="00D72814" w:rsidRPr="003475B8" w:rsidTr="003475B8">
        <w:trPr>
          <w:cantSplit/>
        </w:trPr>
        <w:tc>
          <w:tcPr>
            <w:tcW w:w="753"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2007" w:type="dxa"/>
            <w:gridSpan w:val="2"/>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Implementation</w:t>
            </w:r>
          </w:p>
        </w:tc>
        <w:tc>
          <w:tcPr>
            <w:tcW w:w="1464" w:type="dxa"/>
            <w:shd w:val="clear" w:color="000000" w:fill="F2F2F2"/>
            <w:noWrap/>
            <w:vAlign w:val="bottom"/>
            <w:hideMark/>
          </w:tcPr>
          <w:p w:rsidR="00D72814" w:rsidRPr="003475B8" w:rsidRDefault="00D72814" w:rsidP="0068677C">
            <w:pPr>
              <w:pStyle w:val="ExhibitText"/>
              <w:jc w:val="center"/>
              <w:rPr>
                <w:sz w:val="16"/>
                <w:szCs w:val="16"/>
              </w:rPr>
            </w:pPr>
          </w:p>
        </w:tc>
        <w:tc>
          <w:tcPr>
            <w:tcW w:w="1464" w:type="dxa"/>
            <w:shd w:val="clear" w:color="000000" w:fill="F2F2F2"/>
            <w:noWrap/>
            <w:vAlign w:val="bottom"/>
            <w:hideMark/>
          </w:tcPr>
          <w:p w:rsidR="00D72814" w:rsidRPr="003475B8" w:rsidRDefault="00D72814" w:rsidP="0068677C">
            <w:pPr>
              <w:pStyle w:val="ExhibitText"/>
              <w:jc w:val="center"/>
              <w:rPr>
                <w:sz w:val="16"/>
                <w:szCs w:val="16"/>
              </w:rPr>
            </w:pPr>
          </w:p>
        </w:tc>
        <w:tc>
          <w:tcPr>
            <w:tcW w:w="1464" w:type="dxa"/>
            <w:shd w:val="clear" w:color="000000" w:fill="F2F2F2"/>
            <w:noWrap/>
            <w:vAlign w:val="bottom"/>
            <w:hideMark/>
          </w:tcPr>
          <w:p w:rsidR="00D72814" w:rsidRPr="003475B8" w:rsidRDefault="00D72814" w:rsidP="0068677C">
            <w:pPr>
              <w:pStyle w:val="ExhibitText"/>
              <w:jc w:val="center"/>
              <w:rPr>
                <w:sz w:val="16"/>
                <w:szCs w:val="16"/>
              </w:rPr>
            </w:pPr>
          </w:p>
        </w:tc>
        <w:tc>
          <w:tcPr>
            <w:tcW w:w="1464" w:type="dxa"/>
            <w:shd w:val="clear" w:color="000000" w:fill="F2F2F2"/>
            <w:noWrap/>
            <w:vAlign w:val="bottom"/>
            <w:hideMark/>
          </w:tcPr>
          <w:p w:rsidR="00D72814" w:rsidRPr="003475B8" w:rsidRDefault="00D72814" w:rsidP="0068677C">
            <w:pPr>
              <w:pStyle w:val="ExhibitText"/>
              <w:jc w:val="center"/>
              <w:rPr>
                <w:sz w:val="16"/>
                <w:szCs w:val="16"/>
              </w:rPr>
            </w:pPr>
          </w:p>
        </w:tc>
        <w:tc>
          <w:tcPr>
            <w:tcW w:w="1464" w:type="dxa"/>
            <w:shd w:val="clear" w:color="000000" w:fill="F2F2F2"/>
            <w:noWrap/>
            <w:vAlign w:val="bottom"/>
            <w:hideMark/>
          </w:tcPr>
          <w:p w:rsidR="00D72814" w:rsidRPr="003475B8" w:rsidRDefault="00D72814" w:rsidP="0068677C">
            <w:pPr>
              <w:pStyle w:val="ExhibitText"/>
              <w:jc w:val="center"/>
              <w:rPr>
                <w:sz w:val="16"/>
                <w:szCs w:val="16"/>
              </w:rPr>
            </w:pP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EP</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450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450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100.0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360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80.0</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EN</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1525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475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31.1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380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80.0</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NE</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1525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475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31.1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380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80.0</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Total</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3500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1400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40.0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1120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80.0</w:t>
            </w:r>
          </w:p>
        </w:tc>
      </w:tr>
      <w:tr w:rsidR="00D72814" w:rsidRPr="003475B8" w:rsidTr="003475B8">
        <w:trPr>
          <w:cantSplit/>
        </w:trPr>
        <w:tc>
          <w:tcPr>
            <w:tcW w:w="753" w:type="dxa"/>
            <w:shd w:val="clear" w:color="000000" w:fill="F2F2F2"/>
            <w:vAlign w:val="bottom"/>
            <w:hideMark/>
          </w:tcPr>
          <w:p w:rsidR="00D72814" w:rsidRPr="003475B8" w:rsidRDefault="00D72814" w:rsidP="0068677C">
            <w:pPr>
              <w:pStyle w:val="ExhibitText"/>
              <w:rPr>
                <w:sz w:val="16"/>
                <w:szCs w:val="16"/>
              </w:rPr>
            </w:pPr>
            <w:r w:rsidRPr="003475B8">
              <w:rPr>
                <w:sz w:val="16"/>
                <w:szCs w:val="16"/>
              </w:rPr>
              <w:t> </w:t>
            </w:r>
          </w:p>
        </w:tc>
        <w:tc>
          <w:tcPr>
            <w:tcW w:w="9327" w:type="dxa"/>
            <w:gridSpan w:val="7"/>
            <w:shd w:val="clear" w:color="000000" w:fill="F2F2F2"/>
            <w:hideMark/>
          </w:tcPr>
          <w:p w:rsidR="00D72814" w:rsidRPr="003475B8" w:rsidRDefault="00D72814" w:rsidP="0068677C">
            <w:pPr>
              <w:pStyle w:val="ExhibitText"/>
              <w:rPr>
                <w:sz w:val="16"/>
                <w:szCs w:val="16"/>
              </w:rPr>
            </w:pPr>
            <w:r w:rsidRPr="003475B8">
              <w:rPr>
                <w:sz w:val="16"/>
                <w:szCs w:val="16"/>
              </w:rPr>
              <w:t xml:space="preserve">Participation, Enrollment, Attendance, and Revenue </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EP</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450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33.3</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120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80.0</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EN</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1525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9.8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120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80.0</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Total</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1975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300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15.2</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240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80.0</w:t>
            </w:r>
          </w:p>
        </w:tc>
      </w:tr>
      <w:tr w:rsidR="00D72814" w:rsidRPr="003475B8" w:rsidTr="003475B8">
        <w:trPr>
          <w:cantSplit/>
        </w:trPr>
        <w:tc>
          <w:tcPr>
            <w:tcW w:w="753" w:type="dxa"/>
            <w:shd w:val="clear" w:color="000000" w:fill="F2F2F2"/>
            <w:vAlign w:val="bottom"/>
            <w:hideMark/>
          </w:tcPr>
          <w:p w:rsidR="00D72814" w:rsidRPr="003475B8" w:rsidRDefault="00D72814" w:rsidP="0068677C">
            <w:pPr>
              <w:pStyle w:val="ExhibitText"/>
              <w:rPr>
                <w:sz w:val="16"/>
                <w:szCs w:val="16"/>
              </w:rPr>
            </w:pPr>
            <w:r w:rsidRPr="003475B8">
              <w:rPr>
                <w:sz w:val="16"/>
                <w:szCs w:val="16"/>
              </w:rPr>
              <w:lastRenderedPageBreak/>
              <w:t> </w:t>
            </w:r>
          </w:p>
        </w:tc>
        <w:tc>
          <w:tcPr>
            <w:tcW w:w="2007" w:type="dxa"/>
            <w:gridSpan w:val="2"/>
            <w:shd w:val="clear" w:color="000000" w:fill="F2F2F2"/>
            <w:hideMark/>
          </w:tcPr>
          <w:p w:rsidR="00D72814" w:rsidRPr="003475B8" w:rsidRDefault="00D72814" w:rsidP="0068677C">
            <w:pPr>
              <w:pStyle w:val="ExhibitText"/>
              <w:rPr>
                <w:sz w:val="16"/>
                <w:szCs w:val="16"/>
              </w:rPr>
            </w:pPr>
            <w:r w:rsidRPr="003475B8">
              <w:rPr>
                <w:sz w:val="16"/>
                <w:szCs w:val="16"/>
              </w:rPr>
              <w:t>Costs and Staffing (LEA level)</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EP</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450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66</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14.7</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53</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80.3</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EN</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1525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66</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4.3</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53</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80.3</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Total</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1975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132</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6.7</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106</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80.3</w:t>
            </w:r>
          </w:p>
        </w:tc>
      </w:tr>
      <w:tr w:rsidR="00D72814" w:rsidRPr="003475B8" w:rsidTr="003475B8">
        <w:trPr>
          <w:cantSplit/>
        </w:trPr>
        <w:tc>
          <w:tcPr>
            <w:tcW w:w="753" w:type="dxa"/>
            <w:shd w:val="clear" w:color="000000" w:fill="F2F2F2"/>
            <w:vAlign w:val="bottom"/>
            <w:hideMark/>
          </w:tcPr>
          <w:p w:rsidR="00D72814" w:rsidRPr="003475B8" w:rsidRDefault="00D72814" w:rsidP="0068677C">
            <w:pPr>
              <w:pStyle w:val="ExhibitText"/>
              <w:rPr>
                <w:sz w:val="16"/>
                <w:szCs w:val="16"/>
              </w:rPr>
            </w:pPr>
            <w:r w:rsidRPr="003475B8">
              <w:rPr>
                <w:sz w:val="16"/>
                <w:szCs w:val="16"/>
              </w:rPr>
              <w:t> </w:t>
            </w:r>
          </w:p>
        </w:tc>
        <w:tc>
          <w:tcPr>
            <w:tcW w:w="3471" w:type="dxa"/>
            <w:gridSpan w:val="3"/>
            <w:shd w:val="clear" w:color="000000" w:fill="F2F2F2"/>
            <w:hideMark/>
          </w:tcPr>
          <w:p w:rsidR="00D72814" w:rsidRPr="003475B8" w:rsidRDefault="00D72814" w:rsidP="0068677C">
            <w:pPr>
              <w:pStyle w:val="ExhibitText"/>
              <w:rPr>
                <w:sz w:val="16"/>
                <w:szCs w:val="16"/>
              </w:rPr>
            </w:pPr>
            <w:r w:rsidRPr="003475B8">
              <w:rPr>
                <w:sz w:val="16"/>
                <w:szCs w:val="16"/>
              </w:rPr>
              <w:t>Meal Counting and Claiming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EP</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450</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32</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7.1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26</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81.3</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EN</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1525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32</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2.1</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26</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81.3</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Total</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1975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64</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3.2</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52</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81.3</w:t>
            </w:r>
          </w:p>
        </w:tc>
      </w:tr>
      <w:tr w:rsidR="00D72814" w:rsidRPr="003475B8" w:rsidTr="003475B8">
        <w:trPr>
          <w:cantSplit/>
        </w:trPr>
        <w:tc>
          <w:tcPr>
            <w:tcW w:w="1775" w:type="dxa"/>
            <w:gridSpan w:val="2"/>
            <w:shd w:val="clear" w:color="000000" w:fill="D9D9D9"/>
            <w:noWrap/>
            <w:vAlign w:val="bottom"/>
            <w:hideMark/>
          </w:tcPr>
          <w:p w:rsidR="00D72814" w:rsidRPr="003475B8" w:rsidRDefault="00D72814" w:rsidP="0068677C">
            <w:pPr>
              <w:pStyle w:val="ExhibitText"/>
              <w:rPr>
                <w:b/>
                <w:sz w:val="16"/>
                <w:szCs w:val="16"/>
              </w:rPr>
            </w:pPr>
            <w:r w:rsidRPr="003475B8">
              <w:rPr>
                <w:b/>
                <w:sz w:val="16"/>
                <w:szCs w:val="16"/>
              </w:rPr>
              <w:t>Schools</w:t>
            </w:r>
          </w:p>
        </w:tc>
        <w:tc>
          <w:tcPr>
            <w:tcW w:w="985"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D9D9D9"/>
            <w:noWrap/>
            <w:vAlign w:val="bottom"/>
            <w:hideMark/>
          </w:tcPr>
          <w:p w:rsidR="00D72814" w:rsidRPr="003475B8" w:rsidRDefault="00D72814" w:rsidP="0068677C">
            <w:pPr>
              <w:pStyle w:val="ExhibitText"/>
              <w:rPr>
                <w:sz w:val="16"/>
                <w:szCs w:val="16"/>
              </w:rPr>
            </w:pPr>
            <w:r w:rsidRPr="003475B8">
              <w:rPr>
                <w:sz w:val="16"/>
                <w:szCs w:val="16"/>
              </w:rPr>
              <w:t> </w:t>
            </w:r>
          </w:p>
        </w:tc>
      </w:tr>
      <w:tr w:rsidR="00D72814" w:rsidRPr="003475B8" w:rsidTr="003475B8">
        <w:trPr>
          <w:cantSplit/>
        </w:trPr>
        <w:tc>
          <w:tcPr>
            <w:tcW w:w="753"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3471" w:type="dxa"/>
            <w:gridSpan w:val="3"/>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xml:space="preserve">Costs and Staffing Interviews (School Food Service Manager), and Certification Record </w:t>
            </w:r>
            <w:proofErr w:type="spellStart"/>
            <w:r w:rsidRPr="003475B8">
              <w:rPr>
                <w:sz w:val="16"/>
                <w:szCs w:val="16"/>
              </w:rPr>
              <w:t>Review</w:t>
            </w:r>
            <w:r w:rsidRPr="003475B8">
              <w:rPr>
                <w:sz w:val="16"/>
                <w:szCs w:val="16"/>
                <w:vertAlign w:val="superscript"/>
              </w:rPr>
              <w:t>b</w:t>
            </w:r>
            <w:proofErr w:type="spellEnd"/>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EP</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2475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159</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6.4</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159</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100.0</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EN</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8388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159</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1.9</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159</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100.0</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Total</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10863</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318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2.9</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318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100.0</w:t>
            </w:r>
          </w:p>
        </w:tc>
      </w:tr>
      <w:tr w:rsidR="00D72814" w:rsidRPr="003475B8" w:rsidTr="003475B8">
        <w:trPr>
          <w:cantSplit/>
        </w:trPr>
        <w:tc>
          <w:tcPr>
            <w:tcW w:w="753" w:type="dxa"/>
            <w:shd w:val="clear" w:color="auto" w:fill="auto"/>
            <w:noWrap/>
            <w:vAlign w:val="bottom"/>
          </w:tcPr>
          <w:p w:rsidR="00D72814" w:rsidRPr="003475B8" w:rsidRDefault="00D72814" w:rsidP="0068677C">
            <w:pPr>
              <w:pStyle w:val="ExhibitText"/>
              <w:rPr>
                <w:sz w:val="16"/>
                <w:szCs w:val="16"/>
              </w:rPr>
            </w:pPr>
          </w:p>
        </w:tc>
        <w:tc>
          <w:tcPr>
            <w:tcW w:w="3471" w:type="dxa"/>
            <w:gridSpan w:val="3"/>
            <w:shd w:val="clear" w:color="auto" w:fill="auto"/>
            <w:noWrap/>
            <w:vAlign w:val="bottom"/>
          </w:tcPr>
          <w:p w:rsidR="00D72814" w:rsidRPr="003475B8" w:rsidRDefault="00D72814" w:rsidP="0068677C">
            <w:pPr>
              <w:pStyle w:val="ExhibitText"/>
              <w:rPr>
                <w:b/>
                <w:smallCaps/>
                <w:sz w:val="16"/>
                <w:szCs w:val="16"/>
              </w:rPr>
            </w:pPr>
            <w:r w:rsidRPr="003475B8">
              <w:rPr>
                <w:sz w:val="16"/>
                <w:szCs w:val="16"/>
              </w:rPr>
              <w:t xml:space="preserve">Cost and Staffing Interview for School Administrator </w:t>
            </w:r>
            <w:r w:rsidRPr="003475B8">
              <w:rPr>
                <w:sz w:val="16"/>
                <w:szCs w:val="16"/>
                <w:vertAlign w:val="superscript"/>
              </w:rPr>
              <w:t>c</w:t>
            </w:r>
          </w:p>
        </w:tc>
        <w:tc>
          <w:tcPr>
            <w:tcW w:w="1464" w:type="dxa"/>
            <w:shd w:val="clear" w:color="auto" w:fill="auto"/>
            <w:noWrap/>
            <w:vAlign w:val="bottom"/>
          </w:tcPr>
          <w:p w:rsidR="00D72814" w:rsidRPr="003475B8" w:rsidRDefault="00D72814" w:rsidP="0068677C">
            <w:pPr>
              <w:pStyle w:val="ExhibitText"/>
              <w:jc w:val="center"/>
              <w:rPr>
                <w:sz w:val="16"/>
                <w:szCs w:val="16"/>
              </w:rPr>
            </w:pPr>
          </w:p>
        </w:tc>
        <w:tc>
          <w:tcPr>
            <w:tcW w:w="1464" w:type="dxa"/>
            <w:shd w:val="clear" w:color="auto" w:fill="auto"/>
            <w:noWrap/>
            <w:vAlign w:val="bottom"/>
          </w:tcPr>
          <w:p w:rsidR="00D72814" w:rsidRPr="003475B8" w:rsidRDefault="00D72814" w:rsidP="0068677C">
            <w:pPr>
              <w:pStyle w:val="ExhibitText"/>
              <w:jc w:val="center"/>
              <w:rPr>
                <w:sz w:val="16"/>
                <w:szCs w:val="16"/>
              </w:rPr>
            </w:pPr>
          </w:p>
        </w:tc>
        <w:tc>
          <w:tcPr>
            <w:tcW w:w="1464" w:type="dxa"/>
            <w:shd w:val="clear" w:color="auto" w:fill="auto"/>
            <w:noWrap/>
            <w:vAlign w:val="bottom"/>
          </w:tcPr>
          <w:p w:rsidR="00D72814" w:rsidRPr="003475B8" w:rsidRDefault="00D72814" w:rsidP="0068677C">
            <w:pPr>
              <w:pStyle w:val="ExhibitText"/>
              <w:jc w:val="center"/>
              <w:rPr>
                <w:sz w:val="16"/>
                <w:szCs w:val="16"/>
              </w:rPr>
            </w:pPr>
          </w:p>
        </w:tc>
        <w:tc>
          <w:tcPr>
            <w:tcW w:w="1464" w:type="dxa"/>
            <w:shd w:val="clear" w:color="auto" w:fill="auto"/>
            <w:noWrap/>
            <w:vAlign w:val="bottom"/>
          </w:tcPr>
          <w:p w:rsidR="00D72814" w:rsidRPr="003475B8" w:rsidRDefault="00D72814" w:rsidP="0068677C">
            <w:pPr>
              <w:pStyle w:val="ExhibitText"/>
              <w:jc w:val="center"/>
              <w:rPr>
                <w:sz w:val="16"/>
                <w:szCs w:val="16"/>
              </w:rPr>
            </w:pPr>
          </w:p>
        </w:tc>
      </w:tr>
      <w:tr w:rsidR="00D72814" w:rsidRPr="003475B8" w:rsidTr="003475B8">
        <w:trPr>
          <w:cantSplit/>
        </w:trPr>
        <w:tc>
          <w:tcPr>
            <w:tcW w:w="753" w:type="dxa"/>
            <w:shd w:val="clear" w:color="auto" w:fill="auto"/>
            <w:noWrap/>
            <w:vAlign w:val="bottom"/>
          </w:tcPr>
          <w:p w:rsidR="00D72814" w:rsidRPr="003475B8" w:rsidRDefault="00D72814" w:rsidP="0068677C">
            <w:pPr>
              <w:pStyle w:val="ExhibitText"/>
              <w:rPr>
                <w:sz w:val="16"/>
                <w:szCs w:val="16"/>
              </w:rPr>
            </w:pPr>
          </w:p>
        </w:tc>
        <w:tc>
          <w:tcPr>
            <w:tcW w:w="1022" w:type="dxa"/>
            <w:shd w:val="clear" w:color="auto" w:fill="auto"/>
            <w:noWrap/>
            <w:vAlign w:val="bottom"/>
          </w:tcPr>
          <w:p w:rsidR="00D72814" w:rsidRPr="003475B8" w:rsidRDefault="00D72814" w:rsidP="0068677C">
            <w:pPr>
              <w:pStyle w:val="ExhibitText"/>
              <w:rPr>
                <w:sz w:val="16"/>
                <w:szCs w:val="16"/>
              </w:rPr>
            </w:pPr>
          </w:p>
        </w:tc>
        <w:tc>
          <w:tcPr>
            <w:tcW w:w="985" w:type="dxa"/>
            <w:shd w:val="clear" w:color="auto" w:fill="auto"/>
            <w:noWrap/>
            <w:vAlign w:val="bottom"/>
          </w:tcPr>
          <w:p w:rsidR="00D72814" w:rsidRPr="003475B8" w:rsidRDefault="00D72814" w:rsidP="0068677C">
            <w:pPr>
              <w:pStyle w:val="ExhibitText"/>
              <w:rPr>
                <w:sz w:val="16"/>
                <w:szCs w:val="16"/>
              </w:rPr>
            </w:pPr>
            <w:r w:rsidRPr="003475B8">
              <w:rPr>
                <w:sz w:val="16"/>
                <w:szCs w:val="16"/>
              </w:rPr>
              <w:t>EP</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825</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50</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6.0</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50</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100.0</w:t>
            </w:r>
          </w:p>
        </w:tc>
      </w:tr>
      <w:tr w:rsidR="00D72814" w:rsidRPr="003475B8" w:rsidTr="003475B8">
        <w:trPr>
          <w:cantSplit/>
        </w:trPr>
        <w:tc>
          <w:tcPr>
            <w:tcW w:w="753" w:type="dxa"/>
            <w:shd w:val="clear" w:color="auto" w:fill="auto"/>
            <w:noWrap/>
            <w:vAlign w:val="bottom"/>
          </w:tcPr>
          <w:p w:rsidR="00D72814" w:rsidRPr="003475B8" w:rsidRDefault="00D72814" w:rsidP="0068677C">
            <w:pPr>
              <w:pStyle w:val="ExhibitText"/>
              <w:rPr>
                <w:sz w:val="16"/>
                <w:szCs w:val="16"/>
              </w:rPr>
            </w:pPr>
          </w:p>
        </w:tc>
        <w:tc>
          <w:tcPr>
            <w:tcW w:w="1022" w:type="dxa"/>
            <w:shd w:val="clear" w:color="auto" w:fill="auto"/>
            <w:noWrap/>
            <w:vAlign w:val="bottom"/>
          </w:tcPr>
          <w:p w:rsidR="00D72814" w:rsidRPr="003475B8" w:rsidRDefault="00D72814" w:rsidP="0068677C">
            <w:pPr>
              <w:pStyle w:val="ExhibitText"/>
              <w:rPr>
                <w:sz w:val="16"/>
                <w:szCs w:val="16"/>
              </w:rPr>
            </w:pPr>
          </w:p>
        </w:tc>
        <w:tc>
          <w:tcPr>
            <w:tcW w:w="985" w:type="dxa"/>
            <w:shd w:val="clear" w:color="auto" w:fill="auto"/>
            <w:noWrap/>
            <w:vAlign w:val="bottom"/>
          </w:tcPr>
          <w:p w:rsidR="00D72814" w:rsidRPr="003475B8" w:rsidRDefault="00D72814" w:rsidP="0068677C">
            <w:pPr>
              <w:pStyle w:val="ExhibitText"/>
              <w:rPr>
                <w:sz w:val="16"/>
                <w:szCs w:val="16"/>
              </w:rPr>
            </w:pPr>
            <w:r w:rsidRPr="003475B8">
              <w:rPr>
                <w:sz w:val="16"/>
                <w:szCs w:val="16"/>
              </w:rPr>
              <w:t>EN</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2796</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50</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1.8</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50</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100.0</w:t>
            </w:r>
          </w:p>
        </w:tc>
      </w:tr>
      <w:tr w:rsidR="00D72814" w:rsidRPr="003475B8" w:rsidTr="003475B8">
        <w:trPr>
          <w:cantSplit/>
        </w:trPr>
        <w:tc>
          <w:tcPr>
            <w:tcW w:w="753" w:type="dxa"/>
            <w:shd w:val="clear" w:color="auto" w:fill="auto"/>
            <w:noWrap/>
            <w:vAlign w:val="bottom"/>
          </w:tcPr>
          <w:p w:rsidR="00D72814" w:rsidRPr="003475B8" w:rsidRDefault="00D72814" w:rsidP="0068677C">
            <w:pPr>
              <w:pStyle w:val="ExhibitText"/>
              <w:rPr>
                <w:sz w:val="16"/>
                <w:szCs w:val="16"/>
              </w:rPr>
            </w:pPr>
          </w:p>
        </w:tc>
        <w:tc>
          <w:tcPr>
            <w:tcW w:w="1022" w:type="dxa"/>
            <w:shd w:val="clear" w:color="auto" w:fill="auto"/>
            <w:noWrap/>
            <w:vAlign w:val="bottom"/>
          </w:tcPr>
          <w:p w:rsidR="00D72814" w:rsidRPr="003475B8" w:rsidRDefault="00D72814" w:rsidP="0068677C">
            <w:pPr>
              <w:pStyle w:val="ExhibitText"/>
              <w:rPr>
                <w:sz w:val="16"/>
                <w:szCs w:val="16"/>
              </w:rPr>
            </w:pPr>
          </w:p>
        </w:tc>
        <w:tc>
          <w:tcPr>
            <w:tcW w:w="985" w:type="dxa"/>
            <w:shd w:val="clear" w:color="auto" w:fill="auto"/>
            <w:noWrap/>
            <w:vAlign w:val="bottom"/>
          </w:tcPr>
          <w:p w:rsidR="00D72814" w:rsidRPr="003475B8" w:rsidRDefault="00D72814" w:rsidP="0068677C">
            <w:pPr>
              <w:pStyle w:val="ExhibitText"/>
              <w:rPr>
                <w:sz w:val="16"/>
                <w:szCs w:val="16"/>
              </w:rPr>
            </w:pPr>
            <w:r w:rsidRPr="003475B8">
              <w:rPr>
                <w:sz w:val="16"/>
                <w:szCs w:val="16"/>
              </w:rPr>
              <w:t>Total</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3621</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100</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2.8</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100</w:t>
            </w:r>
          </w:p>
        </w:tc>
        <w:tc>
          <w:tcPr>
            <w:tcW w:w="1464" w:type="dxa"/>
            <w:shd w:val="clear" w:color="auto" w:fill="auto"/>
            <w:noWrap/>
            <w:vAlign w:val="bottom"/>
          </w:tcPr>
          <w:p w:rsidR="00D72814" w:rsidRPr="003475B8" w:rsidRDefault="00D72814" w:rsidP="0068677C">
            <w:pPr>
              <w:pStyle w:val="ExhibitText"/>
              <w:jc w:val="center"/>
              <w:rPr>
                <w:sz w:val="16"/>
                <w:szCs w:val="16"/>
              </w:rPr>
            </w:pPr>
            <w:r w:rsidRPr="003475B8">
              <w:rPr>
                <w:sz w:val="16"/>
                <w:szCs w:val="16"/>
              </w:rPr>
              <w:t>100.0</w:t>
            </w:r>
          </w:p>
        </w:tc>
      </w:tr>
      <w:tr w:rsidR="00D72814" w:rsidRPr="003475B8" w:rsidTr="003475B8">
        <w:trPr>
          <w:cantSplit/>
        </w:trPr>
        <w:tc>
          <w:tcPr>
            <w:tcW w:w="753"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4935" w:type="dxa"/>
            <w:gridSpan w:val="4"/>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xml:space="preserve">Menu Surveys and Cashier </w:t>
            </w:r>
            <w:proofErr w:type="spellStart"/>
            <w:r w:rsidRPr="003475B8">
              <w:rPr>
                <w:sz w:val="16"/>
                <w:szCs w:val="16"/>
              </w:rPr>
              <w:t>Observations</w:t>
            </w:r>
            <w:r w:rsidRPr="003475B8">
              <w:rPr>
                <w:sz w:val="16"/>
                <w:szCs w:val="16"/>
                <w:vertAlign w:val="superscript"/>
              </w:rPr>
              <w:t>d</w:t>
            </w:r>
            <w:proofErr w:type="spellEnd"/>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EP</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2475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97</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3.9</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78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80.4</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EN</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8388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97</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1.2</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78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80.4</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Total</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10863</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194</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156</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80.4</w:t>
            </w:r>
          </w:p>
        </w:tc>
      </w:tr>
      <w:tr w:rsidR="00D72814" w:rsidRPr="003475B8" w:rsidTr="003475B8">
        <w:trPr>
          <w:cantSplit/>
        </w:trPr>
        <w:tc>
          <w:tcPr>
            <w:tcW w:w="753" w:type="dxa"/>
            <w:shd w:val="clear" w:color="000000" w:fill="F2F2F2"/>
            <w:vAlign w:val="bottom"/>
            <w:hideMark/>
          </w:tcPr>
          <w:p w:rsidR="00D72814" w:rsidRPr="003475B8" w:rsidRDefault="00D72814" w:rsidP="0068677C">
            <w:pPr>
              <w:pStyle w:val="ExhibitText"/>
              <w:rPr>
                <w:sz w:val="16"/>
                <w:szCs w:val="16"/>
              </w:rPr>
            </w:pPr>
            <w:r w:rsidRPr="003475B8">
              <w:rPr>
                <w:sz w:val="16"/>
                <w:szCs w:val="16"/>
              </w:rPr>
              <w:t> </w:t>
            </w:r>
          </w:p>
        </w:tc>
        <w:tc>
          <w:tcPr>
            <w:tcW w:w="3471" w:type="dxa"/>
            <w:gridSpan w:val="3"/>
            <w:shd w:val="clear" w:color="000000" w:fill="F2F2F2"/>
            <w:hideMark/>
          </w:tcPr>
          <w:p w:rsidR="00D72814" w:rsidRPr="003475B8" w:rsidRDefault="00D72814" w:rsidP="0068677C">
            <w:pPr>
              <w:pStyle w:val="ExhibitText"/>
              <w:rPr>
                <w:sz w:val="16"/>
                <w:szCs w:val="16"/>
              </w:rPr>
            </w:pPr>
            <w:r w:rsidRPr="003475B8">
              <w:rPr>
                <w:sz w:val="16"/>
                <w:szCs w:val="16"/>
              </w:rPr>
              <w:t>Meal Counting and Claiming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c>
          <w:tcPr>
            <w:tcW w:w="1464" w:type="dxa"/>
            <w:shd w:val="clear" w:color="000000" w:fill="F2F2F2"/>
            <w:noWrap/>
            <w:vAlign w:val="bottom"/>
            <w:hideMark/>
          </w:tcPr>
          <w:p w:rsidR="00D72814" w:rsidRPr="003475B8" w:rsidRDefault="00D72814" w:rsidP="0068677C">
            <w:pPr>
              <w:pStyle w:val="ExhibitText"/>
              <w:rPr>
                <w:sz w:val="16"/>
                <w:szCs w:val="16"/>
              </w:rPr>
            </w:pPr>
            <w:r w:rsidRPr="003475B8">
              <w:rPr>
                <w:sz w:val="16"/>
                <w:szCs w:val="16"/>
              </w:rPr>
              <w:t> </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EP</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2475</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97</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3.9</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78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80.4</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p>
        </w:tc>
        <w:tc>
          <w:tcPr>
            <w:tcW w:w="1022" w:type="dxa"/>
            <w:shd w:val="clear" w:color="auto" w:fill="auto"/>
            <w:noWrap/>
            <w:vAlign w:val="bottom"/>
            <w:hideMark/>
          </w:tcPr>
          <w:p w:rsidR="00D72814" w:rsidRPr="003475B8" w:rsidRDefault="00D72814" w:rsidP="0068677C">
            <w:pPr>
              <w:pStyle w:val="ExhibitText"/>
              <w:rPr>
                <w:sz w:val="16"/>
                <w:szCs w:val="16"/>
              </w:rPr>
            </w:pP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EN</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8388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97</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1.2</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78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80.4</w:t>
            </w:r>
          </w:p>
        </w:tc>
      </w:tr>
      <w:tr w:rsidR="00D72814" w:rsidRPr="003475B8" w:rsidTr="003475B8">
        <w:trPr>
          <w:cantSplit/>
        </w:trPr>
        <w:tc>
          <w:tcPr>
            <w:tcW w:w="753"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 </w:t>
            </w:r>
          </w:p>
        </w:tc>
        <w:tc>
          <w:tcPr>
            <w:tcW w:w="1022"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 </w:t>
            </w:r>
          </w:p>
        </w:tc>
        <w:tc>
          <w:tcPr>
            <w:tcW w:w="985"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Total</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10863</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194</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1.8</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156</w:t>
            </w:r>
          </w:p>
        </w:tc>
        <w:tc>
          <w:tcPr>
            <w:tcW w:w="1464"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80.4</w:t>
            </w:r>
          </w:p>
        </w:tc>
      </w:tr>
    </w:tbl>
    <w:p w:rsidR="00D72814" w:rsidRDefault="00D72814" w:rsidP="00D72814">
      <w:pPr>
        <w:pStyle w:val="ExhibitSource"/>
        <w:spacing w:after="60"/>
      </w:pPr>
      <w:r w:rsidRPr="008F091A">
        <w:rPr>
          <w:vertAlign w:val="superscript"/>
        </w:rPr>
        <w:t>a</w:t>
      </w:r>
      <w:r>
        <w:t xml:space="preserve"> </w:t>
      </w:r>
      <w:r w:rsidRPr="001054AB">
        <w:t>Strata are defined as: "</w:t>
      </w:r>
      <w:r>
        <w:t>EP</w:t>
      </w:r>
      <w:r w:rsidRPr="001054AB">
        <w:t xml:space="preserve">"= </w:t>
      </w:r>
      <w:r>
        <w:t xml:space="preserve">eligible, </w:t>
      </w:r>
      <w:r w:rsidRPr="001054AB">
        <w:t>participating LEA, "</w:t>
      </w:r>
      <w:r>
        <w:t>EN</w:t>
      </w:r>
      <w:r w:rsidRPr="001054AB">
        <w:t>"=eligible</w:t>
      </w:r>
      <w:r>
        <w:t>,</w:t>
      </w:r>
      <w:r w:rsidRPr="001054AB">
        <w:t xml:space="preserve"> non-participating LEA, "NE"=</w:t>
      </w:r>
      <w:r>
        <w:t>near-</w:t>
      </w:r>
      <w:r w:rsidRPr="001054AB">
        <w:t xml:space="preserve"> eligible LEA.</w:t>
      </w:r>
    </w:p>
    <w:p w:rsidR="00D72814" w:rsidRDefault="00D72814" w:rsidP="00D72814">
      <w:pPr>
        <w:pStyle w:val="ExhibitSource"/>
        <w:spacing w:after="60"/>
      </w:pPr>
      <w:r w:rsidRPr="001C52AB">
        <w:rPr>
          <w:vertAlign w:val="superscript"/>
        </w:rPr>
        <w:t>b</w:t>
      </w:r>
      <w:r>
        <w:t xml:space="preserve"> Certification record sample in each school will include 38 students approved for free/reduced-price meals in both EP and EN schools, and 12 denied students in EN schools.</w:t>
      </w:r>
      <w:r w:rsidR="003475B8">
        <w:t xml:space="preserve"> </w:t>
      </w:r>
    </w:p>
    <w:p w:rsidR="00D72814" w:rsidRDefault="00D72814" w:rsidP="00D72814">
      <w:pPr>
        <w:pStyle w:val="ExhibitSource"/>
        <w:spacing w:after="60"/>
      </w:pPr>
      <w:r>
        <w:t>c We estimate that one in three schools has a role for school administrators in activities affected by implementation of the CE Option, so the universe and the sample for these interviews are approximately one-third of the universe and sample for the Cost and Staffing Interviews for School Food Service Managers.</w:t>
      </w:r>
    </w:p>
    <w:p w:rsidR="00D72814" w:rsidRPr="001054AB" w:rsidRDefault="00D72814" w:rsidP="00D72814">
      <w:pPr>
        <w:pStyle w:val="ExhibitSource"/>
      </w:pPr>
      <w:r>
        <w:rPr>
          <w:vertAlign w:val="superscript"/>
        </w:rPr>
        <w:t>d</w:t>
      </w:r>
      <w:r>
        <w:t xml:space="preserve"> In each school, 60 lunches and 40 breakfasts will be observed.</w:t>
      </w:r>
    </w:p>
    <w:p w:rsidR="00D72814" w:rsidRPr="007C69A6" w:rsidRDefault="00D72814" w:rsidP="00D72814">
      <w:pPr>
        <w:pStyle w:val="Heading2"/>
        <w:spacing w:after="0"/>
        <w:rPr>
          <w:noProof/>
        </w:rPr>
      </w:pPr>
      <w:bookmarkStart w:id="12" w:name="_Toc244928787"/>
      <w:bookmarkStart w:id="13" w:name="_Toc310342879"/>
      <w:bookmarkStart w:id="14" w:name="_Toc316652508"/>
      <w:bookmarkStart w:id="15" w:name="_Toc325550966"/>
      <w:r w:rsidRPr="007C69A6">
        <w:rPr>
          <w:noProof/>
        </w:rPr>
        <w:t>B.2</w:t>
      </w:r>
      <w:r w:rsidRPr="007C69A6">
        <w:rPr>
          <w:noProof/>
        </w:rPr>
        <w:tab/>
      </w:r>
      <w:bookmarkEnd w:id="12"/>
      <w:bookmarkEnd w:id="13"/>
      <w:r w:rsidRPr="007C69A6">
        <w:rPr>
          <w:noProof/>
        </w:rPr>
        <w:t>Describe the procedures for the collection of information including:</w:t>
      </w:r>
      <w:bookmarkEnd w:id="14"/>
      <w:bookmarkEnd w:id="15"/>
    </w:p>
    <w:p w:rsidR="00D72814" w:rsidRPr="007C69A6" w:rsidRDefault="00D72814" w:rsidP="00D72814">
      <w:pPr>
        <w:pStyle w:val="Heading2"/>
        <w:keepNext w:val="0"/>
        <w:tabs>
          <w:tab w:val="left" w:pos="1080"/>
        </w:tabs>
        <w:spacing w:after="0"/>
        <w:ind w:left="1080" w:hanging="360"/>
        <w:rPr>
          <w:noProof/>
        </w:rPr>
      </w:pPr>
      <w:bookmarkStart w:id="16" w:name="_Toc316652509"/>
      <w:bookmarkStart w:id="17" w:name="_Toc325550967"/>
      <w:r w:rsidRPr="007C69A6">
        <w:rPr>
          <w:noProof/>
        </w:rPr>
        <w:t>•</w:t>
      </w:r>
      <w:r w:rsidRPr="007C69A6">
        <w:rPr>
          <w:noProof/>
        </w:rPr>
        <w:tab/>
        <w:t>Statistical methodology for stratification and sample selection,</w:t>
      </w:r>
      <w:bookmarkEnd w:id="16"/>
      <w:bookmarkEnd w:id="17"/>
    </w:p>
    <w:p w:rsidR="00D72814" w:rsidRPr="007C69A6" w:rsidRDefault="00D72814" w:rsidP="00D72814">
      <w:pPr>
        <w:pStyle w:val="Heading2"/>
        <w:keepNext w:val="0"/>
        <w:tabs>
          <w:tab w:val="left" w:pos="1080"/>
        </w:tabs>
        <w:spacing w:after="0"/>
        <w:ind w:left="1080" w:hanging="360"/>
        <w:rPr>
          <w:noProof/>
        </w:rPr>
      </w:pPr>
      <w:bookmarkStart w:id="18" w:name="_Toc316652510"/>
      <w:bookmarkStart w:id="19" w:name="_Toc325550968"/>
      <w:r w:rsidRPr="007C69A6">
        <w:rPr>
          <w:noProof/>
        </w:rPr>
        <w:t>•</w:t>
      </w:r>
      <w:r w:rsidRPr="007C69A6">
        <w:rPr>
          <w:noProof/>
        </w:rPr>
        <w:tab/>
        <w:t>Estimation procedure,</w:t>
      </w:r>
      <w:bookmarkEnd w:id="18"/>
      <w:bookmarkEnd w:id="19"/>
    </w:p>
    <w:p w:rsidR="00D72814" w:rsidRPr="007C69A6" w:rsidRDefault="00D72814" w:rsidP="00D72814">
      <w:pPr>
        <w:pStyle w:val="Heading2"/>
        <w:keepNext w:val="0"/>
        <w:tabs>
          <w:tab w:val="left" w:pos="1080"/>
        </w:tabs>
        <w:spacing w:after="0"/>
        <w:ind w:left="1080" w:hanging="360"/>
        <w:rPr>
          <w:noProof/>
        </w:rPr>
      </w:pPr>
      <w:bookmarkStart w:id="20" w:name="_Toc316652511"/>
      <w:bookmarkStart w:id="21" w:name="_Toc325550969"/>
      <w:r w:rsidRPr="007C69A6">
        <w:rPr>
          <w:noProof/>
        </w:rPr>
        <w:t>•</w:t>
      </w:r>
      <w:r w:rsidRPr="007C69A6">
        <w:rPr>
          <w:noProof/>
        </w:rPr>
        <w:tab/>
        <w:t>Degree of accuracy needed for the pur¬pose described in the justification,</w:t>
      </w:r>
      <w:bookmarkEnd w:id="20"/>
      <w:bookmarkEnd w:id="21"/>
    </w:p>
    <w:p w:rsidR="00D72814" w:rsidRPr="007C69A6" w:rsidRDefault="00D72814" w:rsidP="00D72814">
      <w:pPr>
        <w:pStyle w:val="Heading2"/>
        <w:keepNext w:val="0"/>
        <w:tabs>
          <w:tab w:val="left" w:pos="1080"/>
        </w:tabs>
        <w:spacing w:after="0"/>
        <w:ind w:left="1080" w:hanging="360"/>
        <w:rPr>
          <w:noProof/>
        </w:rPr>
      </w:pPr>
      <w:bookmarkStart w:id="22" w:name="_Toc316652512"/>
      <w:bookmarkStart w:id="23" w:name="_Toc325550970"/>
      <w:r w:rsidRPr="007C69A6">
        <w:rPr>
          <w:noProof/>
        </w:rPr>
        <w:t>•</w:t>
      </w:r>
      <w:r w:rsidRPr="007C69A6">
        <w:rPr>
          <w:noProof/>
        </w:rPr>
        <w:tab/>
        <w:t>Unusual problems requiring specialized sampling procedures, and</w:t>
      </w:r>
      <w:bookmarkEnd w:id="22"/>
      <w:bookmarkEnd w:id="23"/>
    </w:p>
    <w:p w:rsidR="00D72814" w:rsidRPr="007C69A6" w:rsidRDefault="00D72814" w:rsidP="00D72814">
      <w:pPr>
        <w:pStyle w:val="Heading2"/>
        <w:keepNext w:val="0"/>
        <w:tabs>
          <w:tab w:val="left" w:pos="1080"/>
        </w:tabs>
        <w:ind w:left="1080" w:hanging="360"/>
      </w:pPr>
      <w:bookmarkStart w:id="24" w:name="_Toc316652513"/>
      <w:bookmarkStart w:id="25" w:name="_Toc325550971"/>
      <w:r w:rsidRPr="007C69A6">
        <w:rPr>
          <w:noProof/>
        </w:rPr>
        <w:t>•</w:t>
      </w:r>
      <w:r w:rsidRPr="007C69A6">
        <w:rPr>
          <w:noProof/>
        </w:rPr>
        <w:tab/>
        <w:t>Any use of periodic (less frequent than annual) data collection cycles to reduce burden.</w:t>
      </w:r>
      <w:bookmarkEnd w:id="24"/>
      <w:bookmarkEnd w:id="25"/>
    </w:p>
    <w:p w:rsidR="00D72814" w:rsidRDefault="00D72814" w:rsidP="00D72814">
      <w:pPr>
        <w:pStyle w:val="BodyText"/>
      </w:pPr>
      <w:r w:rsidRPr="007C69A6">
        <w:t xml:space="preserve">This is a one-time data collection effort with no unusual problems that require specialized sampling procedures. </w:t>
      </w:r>
      <w:r>
        <w:t>All respondents will be sent advance letters notifying them of the data collection activity and interviews will be conducted by trained project staff (see Section A.2. for more details).</w:t>
      </w:r>
      <w:r w:rsidR="003475B8">
        <w:t xml:space="preserve"> </w:t>
      </w:r>
      <w:r>
        <w:t>S</w:t>
      </w:r>
      <w:r w:rsidRPr="007C69A6">
        <w:t>tatistical methodology for stratification and sample selection was discussed in Section B.1.</w:t>
      </w:r>
      <w:r w:rsidR="003475B8">
        <w:t xml:space="preserve"> </w:t>
      </w:r>
      <w:r>
        <w:t>Estimation procedures and the degree of accuracy attainable with impact estimates are discussed below.</w:t>
      </w:r>
      <w:bookmarkStart w:id="26" w:name="_Toc310342881"/>
      <w:r w:rsidR="009E74A0">
        <w:t xml:space="preserve"> (See Section A.16 for a discussion on estimates from the implementation study.) </w:t>
      </w:r>
    </w:p>
    <w:p w:rsidR="00D72814" w:rsidRDefault="00D72814" w:rsidP="00D72814">
      <w:pPr>
        <w:pStyle w:val="Heading3"/>
      </w:pPr>
      <w:bookmarkStart w:id="27" w:name="_Toc316652514"/>
      <w:bookmarkStart w:id="28" w:name="_Toc325550972"/>
      <w:r w:rsidRPr="007C69A6">
        <w:t>Estimation Procedures</w:t>
      </w:r>
      <w:bookmarkEnd w:id="26"/>
      <w:bookmarkEnd w:id="27"/>
      <w:bookmarkEnd w:id="28"/>
      <w:r w:rsidRPr="007C69A6">
        <w:t xml:space="preserve"> </w:t>
      </w:r>
    </w:p>
    <w:p w:rsidR="00D72814" w:rsidRPr="00712470" w:rsidRDefault="00D72814" w:rsidP="00D72814">
      <w:pPr>
        <w:pStyle w:val="BodyText"/>
      </w:pPr>
      <w:bookmarkStart w:id="29" w:name="_Toc275446168"/>
      <w:bookmarkStart w:id="30" w:name="_Toc275702757"/>
      <w:bookmarkStart w:id="31" w:name="_Toc310342882"/>
      <w:r w:rsidRPr="00712470">
        <w:t xml:space="preserve">The estimation procedures used in this evaluation are focused on estimating the impact of the </w:t>
      </w:r>
      <w:r>
        <w:t>CE</w:t>
      </w:r>
      <w:r w:rsidRPr="00712470">
        <w:t xml:space="preserve"> Option on participating </w:t>
      </w:r>
      <w:r>
        <w:t>LEAs and schools</w:t>
      </w:r>
      <w:r w:rsidRPr="00712470">
        <w:t>.</w:t>
      </w:r>
      <w:r w:rsidR="003475B8">
        <w:t xml:space="preserve"> </w:t>
      </w:r>
      <w:r w:rsidRPr="00712470">
        <w:t xml:space="preserve">This will be accomplished by comparing outcomes at either a single point in time or across time between participating </w:t>
      </w:r>
      <w:r>
        <w:t xml:space="preserve">LEAs </w:t>
      </w:r>
      <w:r w:rsidRPr="00712470">
        <w:t>and a matched set of eligible nonparticipating LEA</w:t>
      </w:r>
      <w:r>
        <w:t>s</w:t>
      </w:r>
      <w:r w:rsidRPr="00712470">
        <w:t>.</w:t>
      </w:r>
      <w:r w:rsidR="003475B8">
        <w:t xml:space="preserve"> </w:t>
      </w:r>
      <w:r w:rsidRPr="00712470">
        <w:t xml:space="preserve">This is distinct from </w:t>
      </w:r>
      <w:r w:rsidRPr="00712470">
        <w:lastRenderedPageBreak/>
        <w:t>attempting to estimate the characteristics of an underlying population from a sample.</w:t>
      </w:r>
      <w:r w:rsidR="003475B8">
        <w:t xml:space="preserve"> </w:t>
      </w:r>
      <w:r w:rsidRPr="00712470">
        <w:t xml:space="preserve">(See the discussion of </w:t>
      </w:r>
      <w:r>
        <w:t xml:space="preserve">the matched comparison design </w:t>
      </w:r>
      <w:r w:rsidRPr="00712470">
        <w:t>in Section B.1.)</w:t>
      </w:r>
    </w:p>
    <w:p w:rsidR="00D72814" w:rsidRDefault="00D72814" w:rsidP="00D72814">
      <w:pPr>
        <w:pStyle w:val="BodyText"/>
      </w:pPr>
      <w:r w:rsidRPr="00712470">
        <w:t xml:space="preserve">For all outcomes, the primary procedure for comparing outcomes between participating and eligible nonparticipating LEAs will </w:t>
      </w:r>
      <w:r>
        <w:t xml:space="preserve">use regression models to separate the impact of participation from the effects of LEA or school characteristics. Models will be appropriate to the data structure, which will include pretest and posttest data for participation, revenues, and presence of the SBP, but posttest data alone for other outcomes. Standard errors of estimates will be adjusted </w:t>
      </w:r>
      <w:r w:rsidRPr="00712470">
        <w:t>to account for clustering of observations (i.e., schools within LEA, records within schools).</w:t>
      </w:r>
      <w:r w:rsidR="003475B8">
        <w:t xml:space="preserve"> </w:t>
      </w:r>
    </w:p>
    <w:p w:rsidR="00D72814" w:rsidRPr="007C69A6" w:rsidRDefault="00D72814" w:rsidP="00D72814">
      <w:pPr>
        <w:pStyle w:val="Heading3"/>
      </w:pPr>
      <w:bookmarkStart w:id="32" w:name="_Toc316652515"/>
      <w:bookmarkStart w:id="33" w:name="_Toc325550973"/>
      <w:r w:rsidRPr="007C69A6">
        <w:t>Degree of Accuracy Needed: Precision, Statistical Power, and Minimum Detectable Differences</w:t>
      </w:r>
      <w:bookmarkEnd w:id="29"/>
      <w:bookmarkEnd w:id="30"/>
      <w:bookmarkEnd w:id="31"/>
      <w:bookmarkEnd w:id="32"/>
      <w:bookmarkEnd w:id="33"/>
    </w:p>
    <w:p w:rsidR="00D72814" w:rsidRDefault="00D72814" w:rsidP="00D72814">
      <w:pPr>
        <w:pStyle w:val="BodyText"/>
      </w:pPr>
      <w:r>
        <w:t>The evaluation has been designed to meet FNS’ expectations for detection of differences in outcomes between participating and eligible non-participating LEAs at widely accepted levels of statistical significance and power.</w:t>
      </w:r>
      <w:r w:rsidR="003475B8">
        <w:t xml:space="preserve"> Exhibit </w:t>
      </w:r>
      <w:r>
        <w:t>B.2 shows the minimal detectable differences (MDDs) between groups at a 5 percent significance level and 80 percent power for selected outcome measures.</w:t>
      </w:r>
      <w:r w:rsidR="003475B8">
        <w:t xml:space="preserve"> </w:t>
      </w:r>
      <w:r>
        <w:t>These MDDs are estimated for t-tests to detect differences in means between participating and eligible non-participating LEAs.</w:t>
      </w:r>
      <w:r w:rsidR="003475B8">
        <w:t xml:space="preserve"> </w:t>
      </w:r>
      <w:r>
        <w:t>The planned regression models are expected to reduce the MDDs by 10 to 20 percent.</w:t>
      </w:r>
      <w:r w:rsidR="003475B8">
        <w:t xml:space="preserve"> </w:t>
      </w:r>
    </w:p>
    <w:p w:rsidR="00D72814" w:rsidRPr="00904DDE" w:rsidRDefault="003475B8" w:rsidP="00D72814">
      <w:pPr>
        <w:pStyle w:val="Caption"/>
        <w:ind w:left="0" w:firstLine="0"/>
      </w:pPr>
      <w:r>
        <w:t xml:space="preserve">Exhibit </w:t>
      </w:r>
      <w:r w:rsidR="00D72814" w:rsidRPr="00904DDE">
        <w:t>B.2.</w:t>
      </w:r>
      <w:r>
        <w:t xml:space="preserve"> </w:t>
      </w:r>
      <w:r w:rsidR="00D72814" w:rsidRPr="00904DDE">
        <w:t>Minimal detectable differences between participating and eligible non-participating LEAs at a 5 percent significance level and 80 percent</w:t>
      </w:r>
    </w:p>
    <w:tbl>
      <w:tblPr>
        <w:tblW w:w="10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30"/>
        <w:gridCol w:w="2457"/>
        <w:gridCol w:w="3113"/>
      </w:tblGrid>
      <w:tr w:rsidR="00D72814" w:rsidRPr="00904DDE" w:rsidTr="003475B8">
        <w:trPr>
          <w:cantSplit/>
          <w:tblHeader/>
        </w:trPr>
        <w:tc>
          <w:tcPr>
            <w:tcW w:w="4882" w:type="dxa"/>
            <w:shd w:val="clear" w:color="auto" w:fill="C3C6A8"/>
            <w:noWrap/>
            <w:vAlign w:val="bottom"/>
            <w:hideMark/>
          </w:tcPr>
          <w:p w:rsidR="00D72814" w:rsidRPr="00904DDE" w:rsidRDefault="00D72814" w:rsidP="0068677C">
            <w:pPr>
              <w:pStyle w:val="ExhibitColumnHeads"/>
            </w:pPr>
            <w:r w:rsidRPr="00904DDE">
              <w:t>Measure</w:t>
            </w:r>
          </w:p>
        </w:tc>
        <w:tc>
          <w:tcPr>
            <w:tcW w:w="2293" w:type="dxa"/>
            <w:shd w:val="clear" w:color="auto" w:fill="C3C6A8"/>
            <w:vAlign w:val="bottom"/>
            <w:hideMark/>
          </w:tcPr>
          <w:p w:rsidR="00D72814" w:rsidRPr="00904DDE" w:rsidRDefault="00D72814" w:rsidP="0068677C">
            <w:pPr>
              <w:pStyle w:val="ExhibitColumnHeads"/>
            </w:pPr>
            <w:r w:rsidRPr="00904DDE">
              <w:t>Estimated average for nonparticipating schools</w:t>
            </w:r>
          </w:p>
        </w:tc>
        <w:tc>
          <w:tcPr>
            <w:tcW w:w="2905" w:type="dxa"/>
            <w:shd w:val="clear" w:color="auto" w:fill="C3C6A8"/>
            <w:vAlign w:val="bottom"/>
            <w:hideMark/>
          </w:tcPr>
          <w:p w:rsidR="00D72814" w:rsidRPr="00904DDE" w:rsidRDefault="00D72814" w:rsidP="0068677C">
            <w:pPr>
              <w:pStyle w:val="ExhibitColumnHeads"/>
            </w:pPr>
            <w:r w:rsidRPr="00904DDE">
              <w:t>MDD at 5 percent significance level with 80 percent power</w:t>
            </w:r>
          </w:p>
        </w:tc>
      </w:tr>
      <w:tr w:rsidR="00D72814" w:rsidRPr="003475B8" w:rsidTr="003475B8">
        <w:trPr>
          <w:cantSplit/>
        </w:trPr>
        <w:tc>
          <w:tcPr>
            <w:tcW w:w="4882"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Participation</w:t>
            </w:r>
          </w:p>
        </w:tc>
        <w:tc>
          <w:tcPr>
            <w:tcW w:w="2293"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75 percent</w:t>
            </w:r>
          </w:p>
        </w:tc>
        <w:tc>
          <w:tcPr>
            <w:tcW w:w="2905"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5.4 percentage points</w:t>
            </w:r>
          </w:p>
        </w:tc>
      </w:tr>
      <w:tr w:rsidR="00D72814" w:rsidRPr="003475B8" w:rsidTr="003475B8">
        <w:trPr>
          <w:cantSplit/>
        </w:trPr>
        <w:tc>
          <w:tcPr>
            <w:tcW w:w="4882" w:type="dxa"/>
            <w:shd w:val="clear" w:color="auto" w:fill="auto"/>
            <w:hideMark/>
          </w:tcPr>
          <w:p w:rsidR="00D72814" w:rsidRPr="003475B8" w:rsidRDefault="00D72814" w:rsidP="0068677C">
            <w:pPr>
              <w:pStyle w:val="ExhibitText"/>
              <w:rPr>
                <w:sz w:val="16"/>
                <w:szCs w:val="16"/>
              </w:rPr>
            </w:pPr>
            <w:r w:rsidRPr="003475B8">
              <w:rPr>
                <w:sz w:val="16"/>
                <w:szCs w:val="16"/>
              </w:rPr>
              <w:t>Administrative Costs (as percentage of total foodservice costs)</w:t>
            </w:r>
          </w:p>
        </w:tc>
        <w:tc>
          <w:tcPr>
            <w:tcW w:w="2293" w:type="dxa"/>
            <w:shd w:val="clear" w:color="auto" w:fill="auto"/>
            <w:noWrap/>
            <w:hideMark/>
          </w:tcPr>
          <w:p w:rsidR="00D72814" w:rsidRPr="003475B8" w:rsidRDefault="00D72814" w:rsidP="0068677C">
            <w:pPr>
              <w:pStyle w:val="ExhibitText"/>
              <w:jc w:val="center"/>
              <w:rPr>
                <w:sz w:val="16"/>
                <w:szCs w:val="16"/>
              </w:rPr>
            </w:pPr>
            <w:r w:rsidRPr="003475B8">
              <w:rPr>
                <w:sz w:val="16"/>
                <w:szCs w:val="16"/>
              </w:rPr>
              <w:t>8.2 percent</w:t>
            </w:r>
          </w:p>
        </w:tc>
        <w:tc>
          <w:tcPr>
            <w:tcW w:w="2905" w:type="dxa"/>
            <w:shd w:val="clear" w:color="auto" w:fill="auto"/>
            <w:noWrap/>
            <w:hideMark/>
          </w:tcPr>
          <w:p w:rsidR="00D72814" w:rsidRPr="003475B8" w:rsidRDefault="00D72814" w:rsidP="0068677C">
            <w:pPr>
              <w:pStyle w:val="ExhibitText"/>
              <w:jc w:val="center"/>
              <w:rPr>
                <w:sz w:val="16"/>
                <w:szCs w:val="16"/>
              </w:rPr>
            </w:pPr>
            <w:r w:rsidRPr="003475B8">
              <w:rPr>
                <w:sz w:val="16"/>
                <w:szCs w:val="16"/>
              </w:rPr>
              <w:t>3 percentage points</w:t>
            </w:r>
          </w:p>
        </w:tc>
      </w:tr>
      <w:tr w:rsidR="00D72814" w:rsidRPr="003475B8" w:rsidTr="003475B8">
        <w:trPr>
          <w:cantSplit/>
        </w:trPr>
        <w:tc>
          <w:tcPr>
            <w:tcW w:w="4882"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Certification error</w:t>
            </w:r>
          </w:p>
        </w:tc>
        <w:tc>
          <w:tcPr>
            <w:tcW w:w="2293" w:type="dxa"/>
            <w:shd w:val="clear" w:color="auto" w:fill="auto"/>
            <w:noWrap/>
            <w:hideMark/>
          </w:tcPr>
          <w:p w:rsidR="00D72814" w:rsidRPr="003475B8" w:rsidRDefault="00D72814" w:rsidP="0068677C">
            <w:pPr>
              <w:pStyle w:val="ExhibitText"/>
              <w:jc w:val="center"/>
              <w:rPr>
                <w:sz w:val="16"/>
                <w:szCs w:val="16"/>
              </w:rPr>
            </w:pPr>
            <w:r w:rsidRPr="003475B8">
              <w:rPr>
                <w:sz w:val="16"/>
                <w:szCs w:val="16"/>
              </w:rPr>
              <w:t>8.2 percent</w:t>
            </w:r>
          </w:p>
        </w:tc>
        <w:tc>
          <w:tcPr>
            <w:tcW w:w="2905" w:type="dxa"/>
            <w:shd w:val="clear" w:color="auto" w:fill="auto"/>
            <w:noWrap/>
            <w:hideMark/>
          </w:tcPr>
          <w:p w:rsidR="00D72814" w:rsidRPr="003475B8" w:rsidRDefault="00D72814" w:rsidP="0068677C">
            <w:pPr>
              <w:pStyle w:val="ExhibitText"/>
              <w:jc w:val="center"/>
              <w:rPr>
                <w:sz w:val="16"/>
                <w:szCs w:val="16"/>
              </w:rPr>
            </w:pPr>
            <w:r w:rsidRPr="003475B8">
              <w:rPr>
                <w:sz w:val="16"/>
                <w:szCs w:val="16"/>
              </w:rPr>
              <w:t>1.75 percentage points</w:t>
            </w:r>
          </w:p>
        </w:tc>
      </w:tr>
      <w:tr w:rsidR="00D72814" w:rsidRPr="003475B8" w:rsidTr="003475B8">
        <w:trPr>
          <w:cantSplit/>
        </w:trPr>
        <w:tc>
          <w:tcPr>
            <w:tcW w:w="4882" w:type="dxa"/>
            <w:shd w:val="clear" w:color="auto" w:fill="auto"/>
            <w:hideMark/>
          </w:tcPr>
          <w:p w:rsidR="00D72814" w:rsidRPr="003475B8" w:rsidRDefault="00D72814" w:rsidP="0068677C">
            <w:pPr>
              <w:pStyle w:val="ExhibitText"/>
              <w:rPr>
                <w:sz w:val="16"/>
                <w:szCs w:val="16"/>
              </w:rPr>
            </w:pPr>
            <w:r w:rsidRPr="003475B8">
              <w:rPr>
                <w:sz w:val="16"/>
                <w:szCs w:val="16"/>
              </w:rPr>
              <w:t>Percentage of food energy from saturated fat (a measure of nutritional quality)</w:t>
            </w:r>
          </w:p>
        </w:tc>
        <w:tc>
          <w:tcPr>
            <w:tcW w:w="2293" w:type="dxa"/>
            <w:shd w:val="clear" w:color="auto" w:fill="auto"/>
            <w:noWrap/>
            <w:hideMark/>
          </w:tcPr>
          <w:p w:rsidR="00D72814" w:rsidRPr="003475B8" w:rsidRDefault="00D72814" w:rsidP="0068677C">
            <w:pPr>
              <w:pStyle w:val="ExhibitText"/>
              <w:jc w:val="center"/>
              <w:rPr>
                <w:sz w:val="16"/>
                <w:szCs w:val="16"/>
              </w:rPr>
            </w:pPr>
            <w:r w:rsidRPr="003475B8">
              <w:rPr>
                <w:sz w:val="16"/>
                <w:szCs w:val="16"/>
              </w:rPr>
              <w:t>10.8 percent</w:t>
            </w:r>
          </w:p>
        </w:tc>
        <w:tc>
          <w:tcPr>
            <w:tcW w:w="2905" w:type="dxa"/>
            <w:shd w:val="clear" w:color="auto" w:fill="auto"/>
            <w:noWrap/>
            <w:hideMark/>
          </w:tcPr>
          <w:p w:rsidR="00D72814" w:rsidRPr="003475B8" w:rsidRDefault="00D72814" w:rsidP="0068677C">
            <w:pPr>
              <w:pStyle w:val="ExhibitText"/>
              <w:jc w:val="center"/>
              <w:rPr>
                <w:sz w:val="16"/>
                <w:szCs w:val="16"/>
              </w:rPr>
            </w:pPr>
            <w:r w:rsidRPr="003475B8">
              <w:rPr>
                <w:sz w:val="16"/>
                <w:szCs w:val="16"/>
              </w:rPr>
              <w:t>1 percentage point</w:t>
            </w:r>
          </w:p>
        </w:tc>
      </w:tr>
      <w:tr w:rsidR="00D72814" w:rsidRPr="003475B8" w:rsidTr="003475B8">
        <w:trPr>
          <w:cantSplit/>
        </w:trPr>
        <w:tc>
          <w:tcPr>
            <w:tcW w:w="4882" w:type="dxa"/>
            <w:shd w:val="clear" w:color="auto" w:fill="auto"/>
            <w:noWrap/>
            <w:vAlign w:val="bottom"/>
            <w:hideMark/>
          </w:tcPr>
          <w:p w:rsidR="00D72814" w:rsidRPr="003475B8" w:rsidRDefault="00D72814" w:rsidP="0068677C">
            <w:pPr>
              <w:pStyle w:val="ExhibitText"/>
              <w:rPr>
                <w:sz w:val="16"/>
                <w:szCs w:val="16"/>
              </w:rPr>
            </w:pPr>
            <w:r w:rsidRPr="003475B8">
              <w:rPr>
                <w:sz w:val="16"/>
                <w:szCs w:val="16"/>
              </w:rPr>
              <w:t>Cashier error rate</w:t>
            </w:r>
          </w:p>
        </w:tc>
        <w:tc>
          <w:tcPr>
            <w:tcW w:w="2293"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3.1 percent</w:t>
            </w:r>
          </w:p>
        </w:tc>
        <w:tc>
          <w:tcPr>
            <w:tcW w:w="2905" w:type="dxa"/>
            <w:shd w:val="clear" w:color="auto" w:fill="auto"/>
            <w:noWrap/>
            <w:vAlign w:val="bottom"/>
            <w:hideMark/>
          </w:tcPr>
          <w:p w:rsidR="00D72814" w:rsidRPr="003475B8" w:rsidRDefault="00D72814" w:rsidP="0068677C">
            <w:pPr>
              <w:pStyle w:val="ExhibitText"/>
              <w:jc w:val="center"/>
              <w:rPr>
                <w:sz w:val="16"/>
                <w:szCs w:val="16"/>
              </w:rPr>
            </w:pPr>
            <w:r w:rsidRPr="003475B8">
              <w:rPr>
                <w:sz w:val="16"/>
                <w:szCs w:val="16"/>
              </w:rPr>
              <w:t>1.5 percentage points</w:t>
            </w:r>
          </w:p>
        </w:tc>
      </w:tr>
    </w:tbl>
    <w:p w:rsidR="00D72814" w:rsidRPr="00904DDE" w:rsidRDefault="00D72814" w:rsidP="00D72814">
      <w:pPr>
        <w:rPr>
          <w:szCs w:val="22"/>
        </w:rPr>
      </w:pPr>
    </w:p>
    <w:p w:rsidR="00D72814" w:rsidRPr="007C69A6" w:rsidRDefault="00D72814" w:rsidP="00D72814">
      <w:pPr>
        <w:pStyle w:val="Heading2"/>
      </w:pPr>
      <w:bookmarkStart w:id="34" w:name="_Toc287257054"/>
      <w:bookmarkStart w:id="35" w:name="_Toc287257091"/>
      <w:bookmarkStart w:id="36" w:name="_Toc310342885"/>
      <w:bookmarkStart w:id="37" w:name="_Toc316652516"/>
      <w:bookmarkStart w:id="38" w:name="_Toc325550974"/>
      <w:r w:rsidRPr="007C69A6">
        <w:t>B.3</w:t>
      </w:r>
      <w:r w:rsidRPr="007C69A6">
        <w:tab/>
      </w:r>
      <w:bookmarkEnd w:id="34"/>
      <w:bookmarkEnd w:id="35"/>
      <w:bookmarkEnd w:id="36"/>
      <w:r w:rsidRPr="007C69A6">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37"/>
      <w:bookmarkEnd w:id="38"/>
    </w:p>
    <w:p w:rsidR="00D72814" w:rsidRDefault="00D72814" w:rsidP="00D72814">
      <w:pPr>
        <w:pStyle w:val="BodyText"/>
      </w:pPr>
      <w:bookmarkStart w:id="39" w:name="_Toc287257055"/>
      <w:bookmarkStart w:id="40" w:name="_Toc287257092"/>
      <w:bookmarkStart w:id="41" w:name="_Toc310342886"/>
      <w:r w:rsidRPr="007C69A6">
        <w:t xml:space="preserve">We do not anticipate a problem obtaining the necessary response rates. The major factor ensuring high response rates is that </w:t>
      </w:r>
      <w:r>
        <w:t>participation of States, LEAs, and schools</w:t>
      </w:r>
      <w:r w:rsidRPr="007C69A6">
        <w:t xml:space="preserve"> in the </w:t>
      </w:r>
      <w:r>
        <w:t xml:space="preserve">evaluation is </w:t>
      </w:r>
      <w:r w:rsidRPr="007C69A6">
        <w:t>not voluntary. HHFK stipulates that “</w:t>
      </w:r>
      <w:r w:rsidRPr="007C69A6">
        <w:rPr>
          <w:rFonts w:cs="Times"/>
        </w:rPr>
        <w:t xml:space="preserve">States, State educational agencies, local educational agencies, schools, institutions, facilities, and contractors participating in programs authorized under this Act and the Child Nutrition </w:t>
      </w:r>
      <w:r w:rsidRPr="007C69A6">
        <w:t>Act</w:t>
      </w:r>
      <w:r w:rsidRPr="007C69A6">
        <w:rPr>
          <w:rFonts w:cs="Times"/>
        </w:rPr>
        <w:t xml:space="preserve"> of 1966 (42 U.S.C. 1771 et seq.) shall cooperate with officials and contractors acting on behalf of the Secretary, in the conduct of evaluations and studies under those Acts</w:t>
      </w:r>
      <w:r w:rsidRPr="007C69A6">
        <w:rPr>
          <w:rFonts w:ascii="Times" w:hAnsi="Times" w:cs="Times"/>
          <w:sz w:val="20"/>
        </w:rPr>
        <w:t xml:space="preserve">” </w:t>
      </w:r>
      <w:r w:rsidRPr="007C69A6">
        <w:t>as a condition of receiving funding.</w:t>
      </w:r>
      <w:r>
        <w:t>”</w:t>
      </w:r>
      <w:r w:rsidRPr="007C69A6">
        <w:t xml:space="preserve"> We plan to reference HHFK in the </w:t>
      </w:r>
      <w:r>
        <w:rPr>
          <w:rFonts w:cs="Helvetica"/>
        </w:rPr>
        <w:t xml:space="preserve">advance letters that will be sent to States and LEAs before any data </w:t>
      </w:r>
      <w:r>
        <w:rPr>
          <w:rFonts w:cs="Helvetica"/>
        </w:rPr>
        <w:lastRenderedPageBreak/>
        <w:t>collection activity. We will ask States to send messages to LEAs advising them of the requirement to cooperate. Project staff will follow-up with phone calls and emails as needed to recruit respondents.</w:t>
      </w:r>
      <w:r w:rsidR="003475B8">
        <w:rPr>
          <w:rFonts w:cs="Helvetica"/>
        </w:rPr>
        <w:t xml:space="preserve"> </w:t>
      </w:r>
      <w:r>
        <w:rPr>
          <w:rFonts w:cs="Helvetica"/>
        </w:rPr>
        <w:t xml:space="preserve">For LEAs that are non-responsive, we will ask the State CN directors to send </w:t>
      </w:r>
      <w:r w:rsidRPr="002F3E65">
        <w:t>follow-up emails to non-respondents to remind them of the requirement to cooperate with the study</w:t>
      </w:r>
      <w:r>
        <w:t>.</w:t>
      </w:r>
      <w:r w:rsidR="003475B8">
        <w:t xml:space="preserve"> </w:t>
      </w:r>
      <w:r w:rsidR="00B52149">
        <w:t>The cooperation of the LEA subsequently ensures the cooperation of the sampled school</w:t>
      </w:r>
      <w:r w:rsidR="00DF414E">
        <w:t>s</w:t>
      </w:r>
      <w:r w:rsidR="00B52149">
        <w:t xml:space="preserve"> within the LEA. </w:t>
      </w:r>
    </w:p>
    <w:p w:rsidR="00D72814" w:rsidRDefault="00D72814" w:rsidP="00D72814">
      <w:pPr>
        <w:pStyle w:val="BodyText"/>
      </w:pPr>
      <w:r>
        <w:t>E</w:t>
      </w:r>
      <w:r w:rsidRPr="007C69A6">
        <w:rPr>
          <w:rFonts w:cs="Helvetica"/>
        </w:rPr>
        <w:t>very effort will be made to minimize the burden placed on web-survey respondents</w:t>
      </w:r>
      <w:r>
        <w:rPr>
          <w:rFonts w:cs="Helvetica"/>
        </w:rPr>
        <w:t xml:space="preserve"> and during on-site data collection activities</w:t>
      </w:r>
      <w:r w:rsidRPr="007C69A6">
        <w:rPr>
          <w:rFonts w:cs="Helvetica"/>
        </w:rPr>
        <w:t>. The</w:t>
      </w:r>
      <w:r w:rsidRPr="007C69A6">
        <w:t xml:space="preserve"> web survey</w:t>
      </w:r>
      <w:r>
        <w:t>s</w:t>
      </w:r>
      <w:r w:rsidRPr="007C69A6">
        <w:t xml:space="preserve"> allow respondents to work within their schedule by starting and stopping completion of the survey as often as they need.</w:t>
      </w:r>
      <w:r w:rsidR="003475B8">
        <w:t xml:space="preserve"> </w:t>
      </w:r>
      <w:r>
        <w:t>Telephone survey interviews and on-site data collection activities will be conducted at a time convenient for the respondents.</w:t>
      </w:r>
    </w:p>
    <w:p w:rsidR="006C1A86" w:rsidRPr="007C69A6" w:rsidRDefault="006C1A86" w:rsidP="00D72814">
      <w:pPr>
        <w:pStyle w:val="BodyText"/>
      </w:pPr>
      <w:r>
        <w:t xml:space="preserve">We will recruit LEAs and schools for </w:t>
      </w:r>
      <w:r w:rsidR="00D241C8">
        <w:t xml:space="preserve">the on-site data collection, prioritizing the third stage, </w:t>
      </w:r>
      <w:r>
        <w:t>which is the most intrusive</w:t>
      </w:r>
      <w:r w:rsidR="00D241C8">
        <w:t>.</w:t>
      </w:r>
      <w:r>
        <w:t xml:space="preserve"> If one of a pair refuses to participate, we will go back to the pool for the next best candidate.</w:t>
      </w:r>
      <w:r w:rsidR="00D241C8">
        <w:t xml:space="preserve"> LEAs that do not participate in on-site data collection will still be included in the PEAR survey when possible.</w:t>
      </w:r>
    </w:p>
    <w:p w:rsidR="00D72814" w:rsidRPr="007C69A6" w:rsidRDefault="00D72814" w:rsidP="00D72814">
      <w:pPr>
        <w:pStyle w:val="Heading2"/>
      </w:pPr>
      <w:bookmarkStart w:id="42" w:name="_Toc316652517"/>
      <w:bookmarkStart w:id="43" w:name="_Toc325550975"/>
      <w:r w:rsidRPr="007C69A6">
        <w:t>B.4</w:t>
      </w:r>
      <w:r w:rsidRPr="007C69A6">
        <w:tab/>
      </w:r>
      <w:bookmarkEnd w:id="39"/>
      <w:bookmarkEnd w:id="40"/>
      <w:bookmarkEnd w:id="41"/>
      <w:r w:rsidRPr="007C69A6">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42"/>
      <w:bookmarkEnd w:id="43"/>
    </w:p>
    <w:p w:rsidR="00D72814" w:rsidRDefault="00D72814" w:rsidP="00D72814">
      <w:pPr>
        <w:pStyle w:val="BodyText"/>
      </w:pPr>
      <w:bookmarkStart w:id="44" w:name="_Toc287257056"/>
      <w:bookmarkStart w:id="45" w:name="_Toc287257093"/>
      <w:bookmarkStart w:id="46" w:name="_Toc310342887"/>
      <w:r>
        <w:t>We conducted pretests of all data collection instruments for which OMB clearance is being requested.</w:t>
      </w:r>
      <w:r w:rsidR="003475B8">
        <w:t xml:space="preserve"> </w:t>
      </w:r>
      <w:r>
        <w:t>The objectives of the pretest were to evaluate: the ability of respondents to understand and respond to questions; methods of administering the survey instruments; appropriateness of response categories; and, length of time required to administer the survey instruments.</w:t>
      </w:r>
      <w:r w:rsidR="003475B8">
        <w:t xml:space="preserve"> </w:t>
      </w:r>
      <w:r>
        <w:t xml:space="preserve">All pretests were conducted with no more </w:t>
      </w:r>
      <w:r w:rsidRPr="004637E7">
        <w:t xml:space="preserve">than 9 respondents per instrument. </w:t>
      </w:r>
      <w:r w:rsidR="00D241C8">
        <w:t>T</w:t>
      </w:r>
      <w:r w:rsidR="00F51B33">
        <w:t>he three versions of the LEA Foodservice Directors Survey for implementation, (1) participating LEAs, (2) eligible but nonparticipating LEAs, and (3) near eligible LEAs, contained some of the same questions</w:t>
      </w:r>
      <w:r w:rsidR="00D241C8">
        <w:t xml:space="preserve">.  Therefore, </w:t>
      </w:r>
      <w:r w:rsidR="00F51B33">
        <w:t xml:space="preserve">shortened versions of the first two surveys, </w:t>
      </w:r>
      <w:r w:rsidR="00D241C8">
        <w:t xml:space="preserve">including </w:t>
      </w:r>
      <w:r w:rsidR="00F51B33">
        <w:t>only those questions unique to that survey</w:t>
      </w:r>
      <w:r w:rsidR="00D241C8">
        <w:t>,</w:t>
      </w:r>
      <w:r w:rsidR="00F51B33">
        <w:t xml:space="preserve"> were administered to some pretest respondents so that no more than 9 pretest participants answered any one question. </w:t>
      </w:r>
      <w:r w:rsidRPr="004637E7">
        <w:t xml:space="preserve">Pre-test summaries of each instrument are included in Appendix </w:t>
      </w:r>
      <w:r w:rsidR="00E6664A">
        <w:t>K</w:t>
      </w:r>
      <w:r w:rsidRPr="004637E7">
        <w:t>.</w:t>
      </w:r>
    </w:p>
    <w:p w:rsidR="00D72814" w:rsidRDefault="00D72814" w:rsidP="00D72814">
      <w:pPr>
        <w:pStyle w:val="BodyText"/>
      </w:pPr>
      <w:r>
        <w:t>Field procedures and testing of on-site school instruments were conducted by Abt staff at 6 LEAs and 6 schools in Massachusetts in early February 2012.</w:t>
      </w:r>
      <w:r w:rsidR="003475B8">
        <w:t xml:space="preserve"> </w:t>
      </w:r>
      <w:r>
        <w:t xml:space="preserve">The instruments tested included: Pre-Visit LEA Questionnaire (by telephone before site visits); Cost and Staffing Interview (including preparation forms); Certification Records Abstraction Form; </w:t>
      </w:r>
      <w:r>
        <w:lastRenderedPageBreak/>
        <w:t xml:space="preserve">Application Data Form; </w:t>
      </w:r>
      <w:r w:rsidR="0068677C">
        <w:t xml:space="preserve">Pre-Visit School Information Questionnaire (by telephone before site visits when possible); </w:t>
      </w:r>
      <w:r>
        <w:t xml:space="preserve">Menu Survey; Meal and Cashier Observations; LEA Meal Count Verification Form, and School Meal Count Verification Form. The pretests included debriefings with respondents on burden and any questions they had difficulty answering. </w:t>
      </w:r>
    </w:p>
    <w:p w:rsidR="00D72814" w:rsidRDefault="00D72814" w:rsidP="00D72814">
      <w:pPr>
        <w:pStyle w:val="BodyText"/>
      </w:pPr>
      <w:r>
        <w:t>We conducted paper-version pretests of the web-based surveys for the Implementation Study (EP, EN, and NE surveys) and Impact Study (PEAR survey) in early February 2012. These surveys were sent to respondents by Federal Express with pre-addressed, pre-paid materials for returning surveys to Abt Associates.</w:t>
      </w:r>
      <w:r w:rsidR="003475B8">
        <w:t xml:space="preserve"> </w:t>
      </w:r>
      <w:r>
        <w:t>Respondents were also provided with instructions for recording the time they spent completing the surveys and making note of questions and instructions that were unclear, and response options that were inadequate.</w:t>
      </w:r>
      <w:r w:rsidR="003475B8">
        <w:t xml:space="preserve"> </w:t>
      </w:r>
      <w:r>
        <w:t xml:space="preserve">After receiving completed surveys, project staff followed up with each respondent to discuss their experience </w:t>
      </w:r>
      <w:r w:rsidR="00D241C8">
        <w:t xml:space="preserve">completing </w:t>
      </w:r>
      <w:r>
        <w:t>the survey and noted any comments received on the draft instrument. The instruments were revised based on feedback obtained from respondents, including clarification of instructions, changing some of the questions, and modifications to question wording. In addition some questions were deleted or simplified to reduce the overall survey burden.</w:t>
      </w:r>
    </w:p>
    <w:p w:rsidR="0007590D" w:rsidRDefault="0007590D" w:rsidP="00D72814">
      <w:pPr>
        <w:pStyle w:val="BodyText"/>
      </w:pPr>
      <w:r>
        <w:t xml:space="preserve">We conducted a State Education Agency (SEA) survey by telephone with eight </w:t>
      </w:r>
      <w:r w:rsidR="00D241C8">
        <w:t>S</w:t>
      </w:r>
      <w:r>
        <w:t xml:space="preserve">tates, two each in the West, Southwest, </w:t>
      </w:r>
      <w:r w:rsidR="000E190F">
        <w:t>M</w:t>
      </w:r>
      <w:r>
        <w:t>id Atlant</w:t>
      </w:r>
      <w:r w:rsidR="000E190F">
        <w:t>i</w:t>
      </w:r>
      <w:r>
        <w:t>c, and Mountain Plains regions</w:t>
      </w:r>
      <w:r w:rsidR="000E190F">
        <w:t xml:space="preserve">. An initial contact was made with each </w:t>
      </w:r>
      <w:r w:rsidR="00D241C8">
        <w:t>S</w:t>
      </w:r>
      <w:r w:rsidR="000E190F">
        <w:t>tate to determine the appropriate respondent. Subsequently, the survey</w:t>
      </w:r>
      <w:r>
        <w:t xml:space="preserve"> </w:t>
      </w:r>
      <w:r w:rsidR="000E190F">
        <w:t>was conducted with Directors of Child Nutrition, directors associated with financial departments, a Director of the Department of Education, and an Operations Director at the Department of Education. The survey and procedures were revised based on the pre-test experience.</w:t>
      </w:r>
    </w:p>
    <w:p w:rsidR="006F4B7E" w:rsidRDefault="006F4B7E" w:rsidP="00D72814">
      <w:pPr>
        <w:pStyle w:val="BodyText"/>
      </w:pPr>
      <w:r>
        <w:t xml:space="preserve">Respondent burden was adjusted for data collection instruments based on the results of the pretest, if necessary. Respondent burden </w:t>
      </w:r>
      <w:r w:rsidR="00FE7E14">
        <w:t>for each data collection instrument as pretested as well as for the final version</w:t>
      </w:r>
      <w:r>
        <w:t xml:space="preserve"> is presented in Exhibit A.1.</w:t>
      </w:r>
    </w:p>
    <w:p w:rsidR="00D72814" w:rsidRPr="007C69A6" w:rsidRDefault="00D72814" w:rsidP="00D72814">
      <w:pPr>
        <w:pStyle w:val="Heading2"/>
      </w:pPr>
      <w:bookmarkStart w:id="47" w:name="_Toc316652518"/>
      <w:bookmarkStart w:id="48" w:name="_Toc325550976"/>
      <w:r w:rsidRPr="007C69A6">
        <w:t>B.5</w:t>
      </w:r>
      <w:r w:rsidRPr="007C69A6">
        <w:tab/>
      </w:r>
      <w:bookmarkEnd w:id="44"/>
      <w:bookmarkEnd w:id="45"/>
      <w:bookmarkEnd w:id="46"/>
      <w:r w:rsidRPr="007C69A6">
        <w:t>Provide the name and telephone number of individuals consulted on statistical aspects of the design and the name of the agency unit, contractor(s), grantee(s), or other person(s) who will actually collect and/or analyze the information for the agency.</w:t>
      </w:r>
      <w:bookmarkEnd w:id="47"/>
      <w:bookmarkEnd w:id="48"/>
    </w:p>
    <w:tbl>
      <w:tblPr>
        <w:tblW w:w="10800"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1E0" w:firstRow="1" w:lastRow="1" w:firstColumn="1" w:lastColumn="1" w:noHBand="0" w:noVBand="0"/>
      </w:tblPr>
      <w:tblGrid>
        <w:gridCol w:w="2053"/>
        <w:gridCol w:w="3258"/>
        <w:gridCol w:w="1817"/>
        <w:gridCol w:w="3672"/>
      </w:tblGrid>
      <w:tr w:rsidR="00D72814" w:rsidRPr="007C69A6" w:rsidTr="00710617">
        <w:trPr>
          <w:cantSplit/>
          <w:tblHeader/>
        </w:trPr>
        <w:tc>
          <w:tcPr>
            <w:tcW w:w="2053" w:type="dxa"/>
            <w:shd w:val="clear" w:color="auto" w:fill="C3C6A8"/>
            <w:vAlign w:val="bottom"/>
          </w:tcPr>
          <w:p w:rsidR="00D72814" w:rsidRPr="007C69A6" w:rsidRDefault="00D72814" w:rsidP="0068677C">
            <w:pPr>
              <w:pStyle w:val="ExhibitColumnHeads"/>
              <w:jc w:val="left"/>
            </w:pPr>
            <w:bookmarkStart w:id="49" w:name="_Toc287257057"/>
            <w:r w:rsidRPr="007C69A6">
              <w:t>Name</w:t>
            </w:r>
            <w:bookmarkEnd w:id="49"/>
          </w:p>
        </w:tc>
        <w:tc>
          <w:tcPr>
            <w:tcW w:w="3258" w:type="dxa"/>
            <w:shd w:val="clear" w:color="auto" w:fill="C3C6A8"/>
            <w:vAlign w:val="bottom"/>
          </w:tcPr>
          <w:p w:rsidR="00D72814" w:rsidRPr="007C69A6" w:rsidRDefault="00D72814" w:rsidP="0068677C">
            <w:pPr>
              <w:pStyle w:val="ExhibitColumnHeads"/>
              <w:jc w:val="left"/>
            </w:pPr>
            <w:bookmarkStart w:id="50" w:name="_Toc287257058"/>
            <w:r w:rsidRPr="007C69A6">
              <w:t>Affiliation</w:t>
            </w:r>
            <w:bookmarkEnd w:id="50"/>
          </w:p>
        </w:tc>
        <w:tc>
          <w:tcPr>
            <w:tcW w:w="1817" w:type="dxa"/>
            <w:shd w:val="clear" w:color="auto" w:fill="C3C6A8"/>
            <w:vAlign w:val="bottom"/>
          </w:tcPr>
          <w:p w:rsidR="00D72814" w:rsidRPr="007C69A6" w:rsidRDefault="00D72814" w:rsidP="0068677C">
            <w:pPr>
              <w:pStyle w:val="ExhibitColumnHeads"/>
              <w:jc w:val="left"/>
            </w:pPr>
            <w:bookmarkStart w:id="51" w:name="_Toc287257059"/>
            <w:r w:rsidRPr="007C69A6">
              <w:t>Telephone Number</w:t>
            </w:r>
            <w:bookmarkEnd w:id="51"/>
          </w:p>
        </w:tc>
        <w:tc>
          <w:tcPr>
            <w:tcW w:w="3672" w:type="dxa"/>
            <w:shd w:val="clear" w:color="auto" w:fill="C3C6A8"/>
            <w:vAlign w:val="bottom"/>
          </w:tcPr>
          <w:p w:rsidR="00D72814" w:rsidRPr="007C69A6" w:rsidRDefault="00D72814" w:rsidP="0068677C">
            <w:pPr>
              <w:pStyle w:val="ExhibitColumnHeads"/>
              <w:jc w:val="left"/>
            </w:pPr>
            <w:bookmarkStart w:id="52" w:name="_Toc287257060"/>
            <w:r w:rsidRPr="007C69A6">
              <w:t>e-mail</w:t>
            </w:r>
            <w:bookmarkEnd w:id="52"/>
          </w:p>
        </w:tc>
      </w:tr>
      <w:tr w:rsidR="00D72814" w:rsidRPr="007C69A6" w:rsidTr="00710617">
        <w:trPr>
          <w:cantSplit/>
        </w:trPr>
        <w:tc>
          <w:tcPr>
            <w:tcW w:w="2053" w:type="dxa"/>
            <w:vAlign w:val="center"/>
          </w:tcPr>
          <w:p w:rsidR="00D72814" w:rsidRPr="007C69A6" w:rsidRDefault="00D72814" w:rsidP="0068677C">
            <w:pPr>
              <w:pStyle w:val="ExhibitText"/>
            </w:pPr>
            <w:r w:rsidRPr="007C69A6">
              <w:t>Chris Logan</w:t>
            </w:r>
          </w:p>
        </w:tc>
        <w:tc>
          <w:tcPr>
            <w:tcW w:w="3258" w:type="dxa"/>
            <w:vAlign w:val="center"/>
          </w:tcPr>
          <w:p w:rsidR="00D72814" w:rsidRPr="007C69A6" w:rsidRDefault="00D72814" w:rsidP="0068677C">
            <w:pPr>
              <w:pStyle w:val="ExhibitText"/>
            </w:pPr>
            <w:r w:rsidRPr="007C69A6">
              <w:t>Senior Associate, Abt Associates Inc.</w:t>
            </w:r>
          </w:p>
        </w:tc>
        <w:tc>
          <w:tcPr>
            <w:tcW w:w="1817" w:type="dxa"/>
            <w:vAlign w:val="center"/>
          </w:tcPr>
          <w:p w:rsidR="00D72814" w:rsidRPr="007C69A6" w:rsidRDefault="00D72814" w:rsidP="0068677C">
            <w:pPr>
              <w:pStyle w:val="ExhibitText"/>
            </w:pPr>
            <w:r w:rsidRPr="007C69A6">
              <w:t>617.349.28</w:t>
            </w:r>
            <w:r>
              <w:t>21</w:t>
            </w:r>
          </w:p>
        </w:tc>
        <w:tc>
          <w:tcPr>
            <w:tcW w:w="3672" w:type="dxa"/>
            <w:vAlign w:val="center"/>
          </w:tcPr>
          <w:p w:rsidR="00D72814" w:rsidRPr="007C69A6" w:rsidRDefault="00D72814" w:rsidP="0068677C">
            <w:pPr>
              <w:pStyle w:val="ExhibitText"/>
            </w:pPr>
            <w:r w:rsidRPr="007C69A6">
              <w:t>Chris_Logan@abtassoc.com</w:t>
            </w:r>
          </w:p>
        </w:tc>
      </w:tr>
      <w:tr w:rsidR="00D72814" w:rsidRPr="007C69A6" w:rsidTr="00710617">
        <w:trPr>
          <w:cantSplit/>
        </w:trPr>
        <w:tc>
          <w:tcPr>
            <w:tcW w:w="2053" w:type="dxa"/>
            <w:vAlign w:val="center"/>
          </w:tcPr>
          <w:p w:rsidR="00D72814" w:rsidRPr="007C69A6" w:rsidRDefault="00D72814" w:rsidP="0068677C">
            <w:pPr>
              <w:pStyle w:val="ExhibitText"/>
            </w:pPr>
            <w:r w:rsidRPr="007C69A6">
              <w:t>K.P. Srinath</w:t>
            </w:r>
          </w:p>
        </w:tc>
        <w:tc>
          <w:tcPr>
            <w:tcW w:w="3258" w:type="dxa"/>
            <w:vAlign w:val="center"/>
          </w:tcPr>
          <w:p w:rsidR="00D72814" w:rsidRPr="007C69A6" w:rsidRDefault="00D72814" w:rsidP="0068677C">
            <w:pPr>
              <w:pStyle w:val="ExhibitText"/>
            </w:pPr>
            <w:r w:rsidRPr="007C69A6">
              <w:t>Sampling Statistician, Abt Associates Inc.</w:t>
            </w:r>
          </w:p>
        </w:tc>
        <w:tc>
          <w:tcPr>
            <w:tcW w:w="1817" w:type="dxa"/>
            <w:vAlign w:val="center"/>
          </w:tcPr>
          <w:p w:rsidR="00D72814" w:rsidRPr="007C69A6" w:rsidRDefault="00D72814" w:rsidP="0068677C">
            <w:pPr>
              <w:pStyle w:val="ExhibitText"/>
            </w:pPr>
            <w:r>
              <w:t>301.634.</w:t>
            </w:r>
            <w:r w:rsidRPr="007C69A6">
              <w:t>1836</w:t>
            </w:r>
          </w:p>
        </w:tc>
        <w:tc>
          <w:tcPr>
            <w:tcW w:w="3672" w:type="dxa"/>
            <w:vAlign w:val="center"/>
          </w:tcPr>
          <w:p w:rsidR="00D72814" w:rsidRPr="007C69A6" w:rsidRDefault="00D72814" w:rsidP="0068677C">
            <w:pPr>
              <w:pStyle w:val="ExhibitText"/>
            </w:pPr>
            <w:r w:rsidRPr="007C69A6">
              <w:t>KP_Srinath@abtassoc.com</w:t>
            </w:r>
          </w:p>
        </w:tc>
      </w:tr>
      <w:tr w:rsidR="00D72814" w:rsidRPr="007C69A6" w:rsidTr="00710617">
        <w:trPr>
          <w:cantSplit/>
        </w:trPr>
        <w:tc>
          <w:tcPr>
            <w:tcW w:w="2053" w:type="dxa"/>
            <w:vAlign w:val="center"/>
          </w:tcPr>
          <w:p w:rsidR="00D72814" w:rsidRPr="007C69A6" w:rsidRDefault="00D72814" w:rsidP="0068677C">
            <w:pPr>
              <w:pStyle w:val="ExhibitText"/>
            </w:pPr>
            <w:r>
              <w:t>Joseph Harkness</w:t>
            </w:r>
          </w:p>
        </w:tc>
        <w:tc>
          <w:tcPr>
            <w:tcW w:w="3258" w:type="dxa"/>
            <w:vAlign w:val="center"/>
          </w:tcPr>
          <w:p w:rsidR="00D72814" w:rsidRPr="007C69A6" w:rsidRDefault="00D72814" w:rsidP="0068677C">
            <w:pPr>
              <w:pStyle w:val="ExhibitText"/>
            </w:pPr>
            <w:r>
              <w:t>Associate Scientist, Abt Associates Inc</w:t>
            </w:r>
          </w:p>
        </w:tc>
        <w:tc>
          <w:tcPr>
            <w:tcW w:w="1817" w:type="dxa"/>
            <w:vAlign w:val="center"/>
          </w:tcPr>
          <w:p w:rsidR="00D72814" w:rsidRPr="007C69A6" w:rsidRDefault="00D72814" w:rsidP="0068677C">
            <w:pPr>
              <w:pStyle w:val="ExhibitText"/>
            </w:pPr>
            <w:r>
              <w:t>301.347.5890</w:t>
            </w:r>
          </w:p>
        </w:tc>
        <w:tc>
          <w:tcPr>
            <w:tcW w:w="3672" w:type="dxa"/>
            <w:vAlign w:val="center"/>
          </w:tcPr>
          <w:p w:rsidR="00D72814" w:rsidRPr="007C69A6" w:rsidRDefault="00D72814" w:rsidP="0068677C">
            <w:pPr>
              <w:pStyle w:val="ExhibitText"/>
            </w:pPr>
            <w:r>
              <w:t>Joseph_Harkness@abtassoc.com</w:t>
            </w:r>
          </w:p>
        </w:tc>
      </w:tr>
      <w:tr w:rsidR="00D72814" w:rsidRPr="007C69A6" w:rsidTr="00710617">
        <w:trPr>
          <w:cantSplit/>
        </w:trPr>
        <w:tc>
          <w:tcPr>
            <w:tcW w:w="2053" w:type="dxa"/>
            <w:vAlign w:val="center"/>
          </w:tcPr>
          <w:p w:rsidR="00D72814" w:rsidRPr="007C69A6" w:rsidRDefault="00D72814" w:rsidP="0068677C">
            <w:pPr>
              <w:pStyle w:val="ExhibitText"/>
            </w:pPr>
            <w:r>
              <w:t>Laura Peck</w:t>
            </w:r>
          </w:p>
        </w:tc>
        <w:tc>
          <w:tcPr>
            <w:tcW w:w="3258" w:type="dxa"/>
            <w:vAlign w:val="center"/>
          </w:tcPr>
          <w:p w:rsidR="00D72814" w:rsidRPr="007C69A6" w:rsidRDefault="00D72814" w:rsidP="0068677C">
            <w:pPr>
              <w:pStyle w:val="ExhibitText"/>
            </w:pPr>
            <w:r>
              <w:t>Principal</w:t>
            </w:r>
            <w:r w:rsidRPr="007C69A6">
              <w:t xml:space="preserve"> Associate, Abt Associates Inc.</w:t>
            </w:r>
          </w:p>
        </w:tc>
        <w:tc>
          <w:tcPr>
            <w:tcW w:w="1817" w:type="dxa"/>
            <w:vAlign w:val="center"/>
          </w:tcPr>
          <w:p w:rsidR="00D72814" w:rsidRPr="007C69A6" w:rsidRDefault="00D72814" w:rsidP="0068677C">
            <w:pPr>
              <w:pStyle w:val="ExhibitText"/>
            </w:pPr>
            <w:r>
              <w:t>301.347.</w:t>
            </w:r>
            <w:r w:rsidRPr="002263C0">
              <w:t>5537</w:t>
            </w:r>
          </w:p>
        </w:tc>
        <w:tc>
          <w:tcPr>
            <w:tcW w:w="3672" w:type="dxa"/>
            <w:vAlign w:val="center"/>
          </w:tcPr>
          <w:p w:rsidR="00D72814" w:rsidRPr="007C69A6" w:rsidRDefault="00D72814" w:rsidP="0068677C">
            <w:pPr>
              <w:pStyle w:val="ExhibitText"/>
            </w:pPr>
            <w:r>
              <w:t>Laura_Peck@abtassoc.com</w:t>
            </w:r>
          </w:p>
        </w:tc>
      </w:tr>
      <w:tr w:rsidR="00D72814" w:rsidRPr="00085A28" w:rsidTr="00710617">
        <w:trPr>
          <w:cantSplit/>
        </w:trPr>
        <w:tc>
          <w:tcPr>
            <w:tcW w:w="2053" w:type="dxa"/>
            <w:vAlign w:val="center"/>
          </w:tcPr>
          <w:p w:rsidR="00D72814" w:rsidRPr="007C69A6" w:rsidRDefault="00D72814" w:rsidP="0068677C">
            <w:pPr>
              <w:pStyle w:val="ExhibitText"/>
            </w:pPr>
            <w:r>
              <w:t>Eleanor Harvill</w:t>
            </w:r>
          </w:p>
        </w:tc>
        <w:tc>
          <w:tcPr>
            <w:tcW w:w="3258" w:type="dxa"/>
            <w:vAlign w:val="center"/>
          </w:tcPr>
          <w:p w:rsidR="00D72814" w:rsidRPr="000851E0" w:rsidRDefault="00D72814" w:rsidP="0068677C">
            <w:pPr>
              <w:pStyle w:val="ExhibitText"/>
            </w:pPr>
            <w:r>
              <w:t>Senior Analyst</w:t>
            </w:r>
            <w:r w:rsidRPr="007C69A6">
              <w:t>, Abt Associates Inc.</w:t>
            </w:r>
          </w:p>
        </w:tc>
        <w:tc>
          <w:tcPr>
            <w:tcW w:w="1817" w:type="dxa"/>
            <w:vAlign w:val="center"/>
          </w:tcPr>
          <w:p w:rsidR="00D72814" w:rsidRPr="000851E0" w:rsidRDefault="00D72814" w:rsidP="0068677C">
            <w:pPr>
              <w:pStyle w:val="ExhibitText"/>
            </w:pPr>
            <w:r>
              <w:t>301.347.</w:t>
            </w:r>
            <w:r w:rsidRPr="002263C0">
              <w:t>5638</w:t>
            </w:r>
          </w:p>
        </w:tc>
        <w:tc>
          <w:tcPr>
            <w:tcW w:w="3672" w:type="dxa"/>
            <w:vAlign w:val="center"/>
          </w:tcPr>
          <w:p w:rsidR="00D72814" w:rsidRPr="000851E0" w:rsidRDefault="00D72814" w:rsidP="0068677C">
            <w:pPr>
              <w:pStyle w:val="ExhibitText"/>
            </w:pPr>
            <w:r>
              <w:t>Eleanor_Harvill@abtassoc.com</w:t>
            </w:r>
          </w:p>
        </w:tc>
      </w:tr>
      <w:tr w:rsidR="00710617" w:rsidTr="00710617">
        <w:trPr>
          <w:cantSplit/>
        </w:trPr>
        <w:tc>
          <w:tcPr>
            <w:tcW w:w="2053" w:type="dxa"/>
            <w:tcBorders>
              <w:top w:val="single" w:sz="4" w:space="0" w:color="666969"/>
              <w:left w:val="single" w:sz="4" w:space="0" w:color="666969"/>
              <w:bottom w:val="single" w:sz="4" w:space="0" w:color="666969"/>
              <w:right w:val="single" w:sz="4" w:space="0" w:color="666969"/>
            </w:tcBorders>
            <w:vAlign w:val="center"/>
            <w:hideMark/>
          </w:tcPr>
          <w:p w:rsidR="00710617" w:rsidRDefault="00710617">
            <w:pPr>
              <w:pStyle w:val="ExhibitText"/>
              <w:rPr>
                <w:szCs w:val="18"/>
              </w:rPr>
            </w:pPr>
            <w:r>
              <w:rPr>
                <w:szCs w:val="18"/>
              </w:rPr>
              <w:t>Matthew Gregg</w:t>
            </w:r>
          </w:p>
        </w:tc>
        <w:tc>
          <w:tcPr>
            <w:tcW w:w="3258" w:type="dxa"/>
            <w:tcBorders>
              <w:top w:val="single" w:sz="4" w:space="0" w:color="666969"/>
              <w:left w:val="single" w:sz="4" w:space="0" w:color="666969"/>
              <w:bottom w:val="single" w:sz="4" w:space="0" w:color="666969"/>
              <w:right w:val="single" w:sz="4" w:space="0" w:color="666969"/>
            </w:tcBorders>
            <w:vAlign w:val="center"/>
            <w:hideMark/>
          </w:tcPr>
          <w:p w:rsidR="00710617" w:rsidRDefault="00710617">
            <w:pPr>
              <w:pStyle w:val="ExhibitText"/>
              <w:rPr>
                <w:szCs w:val="18"/>
              </w:rPr>
            </w:pPr>
            <w:r>
              <w:rPr>
                <w:szCs w:val="18"/>
              </w:rPr>
              <w:t>Statistician, USDA/National Agricultural Statistics Service</w:t>
            </w:r>
          </w:p>
        </w:tc>
        <w:tc>
          <w:tcPr>
            <w:tcW w:w="1817" w:type="dxa"/>
            <w:tcBorders>
              <w:top w:val="single" w:sz="4" w:space="0" w:color="666969"/>
              <w:left w:val="single" w:sz="4" w:space="0" w:color="666969"/>
              <w:bottom w:val="single" w:sz="4" w:space="0" w:color="666969"/>
              <w:right w:val="single" w:sz="4" w:space="0" w:color="666969"/>
            </w:tcBorders>
            <w:vAlign w:val="center"/>
            <w:hideMark/>
          </w:tcPr>
          <w:p w:rsidR="00710617" w:rsidRDefault="00710617">
            <w:pPr>
              <w:pStyle w:val="ExhibitText"/>
              <w:rPr>
                <w:szCs w:val="18"/>
              </w:rPr>
            </w:pPr>
            <w:r>
              <w:rPr>
                <w:szCs w:val="18"/>
              </w:rPr>
              <w:t>202-720-3388</w:t>
            </w:r>
          </w:p>
        </w:tc>
        <w:tc>
          <w:tcPr>
            <w:tcW w:w="3672" w:type="dxa"/>
            <w:tcBorders>
              <w:top w:val="single" w:sz="4" w:space="0" w:color="666969"/>
              <w:left w:val="single" w:sz="4" w:space="0" w:color="666969"/>
              <w:bottom w:val="single" w:sz="4" w:space="0" w:color="666969"/>
              <w:right w:val="single" w:sz="4" w:space="0" w:color="666969"/>
            </w:tcBorders>
            <w:vAlign w:val="center"/>
            <w:hideMark/>
          </w:tcPr>
          <w:p w:rsidR="00710617" w:rsidRDefault="00710617">
            <w:pPr>
              <w:pStyle w:val="ExhibitText"/>
              <w:rPr>
                <w:szCs w:val="18"/>
              </w:rPr>
            </w:pPr>
            <w:r>
              <w:rPr>
                <w:szCs w:val="18"/>
              </w:rPr>
              <w:t>Matthew.Gregg@nass.usda.gov</w:t>
            </w:r>
          </w:p>
        </w:tc>
      </w:tr>
    </w:tbl>
    <w:p w:rsidR="00D72814" w:rsidRDefault="00D72814" w:rsidP="00D72814">
      <w:pPr>
        <w:spacing w:line="240" w:lineRule="auto"/>
      </w:pPr>
    </w:p>
    <w:p w:rsidR="004A0A6D" w:rsidRDefault="004A0A6D" w:rsidP="00D52D90">
      <w:pPr>
        <w:pStyle w:val="BodyText"/>
      </w:pPr>
    </w:p>
    <w:sectPr w:rsidR="004A0A6D" w:rsidSect="00D91D66">
      <w:footerReference w:type="default" r:id="rId14"/>
      <w:pgSz w:w="12240" w:h="15840" w:code="1"/>
      <w:pgMar w:top="1080" w:right="720" w:bottom="1080" w:left="720" w:header="504" w:footer="36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D4" w:rsidRDefault="001813D4" w:rsidP="00D979EA">
      <w:r>
        <w:separator/>
      </w:r>
    </w:p>
  </w:endnote>
  <w:endnote w:type="continuationSeparator" w:id="0">
    <w:p w:rsidR="001813D4" w:rsidRDefault="001813D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D4" w:rsidRDefault="001813D4" w:rsidP="00167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13D4" w:rsidRDefault="001813D4" w:rsidP="00D405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D4" w:rsidRDefault="001813D4" w:rsidP="00744E2C">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D4" w:rsidRPr="0066134E" w:rsidRDefault="001813D4" w:rsidP="003475B8">
    <w:pPr>
      <w:pStyle w:val="Footer"/>
      <w:tabs>
        <w:tab w:val="clear" w:pos="9000"/>
        <w:tab w:val="right" w:pos="10800"/>
        <w:tab w:val="right" w:pos="15120"/>
      </w:tabs>
    </w:pPr>
    <w:r w:rsidRPr="00967D7C">
      <w:rPr>
        <w:color w:val="DA291C"/>
      </w:rPr>
      <w:t>Abt Associates Inc.</w:t>
    </w:r>
    <w:r w:rsidRPr="0066134E">
      <w:tab/>
    </w:r>
    <w:r w:rsidRPr="0066134E">
      <w:rPr>
        <w:rStyle w:val="PageNumber"/>
        <w:b/>
      </w:rPr>
      <w:tab/>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96A55">
      <w:rPr>
        <w:rStyle w:val="PageNumber"/>
        <w:b/>
        <w:noProof/>
        <w:color w:val="DA291C"/>
      </w:rPr>
      <w:t>i</w:t>
    </w:r>
    <w:r w:rsidRPr="002064D3">
      <w:rPr>
        <w:rStyle w:val="PageNumber"/>
        <w:b/>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D4" w:rsidRPr="0066134E" w:rsidRDefault="001813D4" w:rsidP="003475B8">
    <w:pPr>
      <w:pStyle w:val="Footer"/>
      <w:tabs>
        <w:tab w:val="clear" w:pos="9000"/>
        <w:tab w:val="right" w:pos="10800"/>
      </w:tabs>
    </w:pPr>
    <w:r w:rsidRPr="00967D7C">
      <w:rPr>
        <w:color w:val="DA291C"/>
      </w:rPr>
      <w:t>Abt Associates Inc.</w:t>
    </w:r>
    <w:r w:rsidRPr="0066134E">
      <w:tab/>
    </w:r>
    <w:r w:rsidRPr="0066134E">
      <w:rPr>
        <w:rStyle w:val="PageNumber"/>
        <w:b/>
      </w:rPr>
      <w:tab/>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D96A55">
      <w:rPr>
        <w:rStyle w:val="PageNumber"/>
        <w:b/>
        <w:noProof/>
        <w:color w:val="DA291C"/>
      </w:rPr>
      <w:t>7</w:t>
    </w:r>
    <w:r w:rsidRPr="002064D3">
      <w:rPr>
        <w:rStyle w:val="PageNumber"/>
        <w:b/>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D4" w:rsidRDefault="001813D4" w:rsidP="00D979EA">
      <w:r>
        <w:separator/>
      </w:r>
    </w:p>
  </w:footnote>
  <w:footnote w:type="continuationSeparator" w:id="0">
    <w:p w:rsidR="001813D4" w:rsidRDefault="001813D4"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D4" w:rsidRPr="0005750B" w:rsidRDefault="001813D4"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D4" w:rsidRDefault="001813D4" w:rsidP="00883197">
    <w:pPr>
      <w:pStyle w:val="Header"/>
    </w:pPr>
    <w:r>
      <w:t>Community Eligibility Option Evaluation—</w:t>
    </w:r>
    <w:r w:rsidRPr="00883197">
      <w:t>OMB</w:t>
    </w:r>
    <w:r>
      <w:t xml:space="preserve"> Submission </w:t>
    </w:r>
    <w:r w:rsidR="007C0112">
      <w:t>(</w:t>
    </w:r>
    <w:r>
      <w:t>Part B</w:t>
    </w:r>
    <w:r w:rsidR="007C0112">
      <w:t>)</w:t>
    </w:r>
    <w:r>
      <w:t xml:space="preserve"> (Revised)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
    <w:nsid w:val="3EAD33C4"/>
    <w:multiLevelType w:val="multilevel"/>
    <w:tmpl w:val="2C8E9D5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
    <w:nsid w:val="58FD25F9"/>
    <w:multiLevelType w:val="singleLevel"/>
    <w:tmpl w:val="2640B866"/>
    <w:lvl w:ilvl="0">
      <w:start w:val="1"/>
      <w:numFmt w:val="bullet"/>
      <w:pStyle w:val="TOCTitle"/>
      <w:lvlText w:val=""/>
      <w:lvlJc w:val="left"/>
      <w:pPr>
        <w:tabs>
          <w:tab w:val="num" w:pos="1080"/>
        </w:tabs>
        <w:ind w:left="1080" w:hanging="360"/>
      </w:pPr>
      <w:rPr>
        <w:rFonts w:ascii="Symbol" w:hAnsi="Symbol" w:hint="default"/>
      </w:rPr>
    </w:lvl>
  </w:abstractNum>
  <w:abstractNum w:abstractNumId="3">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4">
    <w:nsid w:val="7AD63DA6"/>
    <w:multiLevelType w:val="singleLevel"/>
    <w:tmpl w:val="C3F62AEE"/>
    <w:lvl w:ilvl="0">
      <w:start w:val="1"/>
      <w:numFmt w:val="bullet"/>
      <w:pStyle w:val="Bullets"/>
      <w:lvlText w:val=""/>
      <w:lvlJc w:val="left"/>
      <w:pPr>
        <w:ind w:left="360" w:hanging="360"/>
      </w:pPr>
      <w:rPr>
        <w:rFonts w:ascii="Symbol" w:hAnsi="Symbol" w:hint="default"/>
        <w:color w:val="DA291C"/>
        <w:sz w:val="22"/>
      </w:rPr>
    </w:lvl>
  </w:abstractNum>
  <w:abstractNum w:abstractNumId="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02"/>
    <w:rsid w:val="00003A2C"/>
    <w:rsid w:val="00004EE6"/>
    <w:rsid w:val="00006B3A"/>
    <w:rsid w:val="00011237"/>
    <w:rsid w:val="00012B18"/>
    <w:rsid w:val="00013696"/>
    <w:rsid w:val="000136F3"/>
    <w:rsid w:val="000152F9"/>
    <w:rsid w:val="00015B37"/>
    <w:rsid w:val="00016E17"/>
    <w:rsid w:val="00021FAB"/>
    <w:rsid w:val="0002216E"/>
    <w:rsid w:val="00031A50"/>
    <w:rsid w:val="00040E00"/>
    <w:rsid w:val="00046728"/>
    <w:rsid w:val="00047373"/>
    <w:rsid w:val="000525E0"/>
    <w:rsid w:val="00053EEF"/>
    <w:rsid w:val="000543DC"/>
    <w:rsid w:val="00055022"/>
    <w:rsid w:val="00056FCA"/>
    <w:rsid w:val="0005750B"/>
    <w:rsid w:val="0006045E"/>
    <w:rsid w:val="00062EE1"/>
    <w:rsid w:val="0006587B"/>
    <w:rsid w:val="00070322"/>
    <w:rsid w:val="00071679"/>
    <w:rsid w:val="0007590D"/>
    <w:rsid w:val="000804A7"/>
    <w:rsid w:val="00082D01"/>
    <w:rsid w:val="000851E0"/>
    <w:rsid w:val="00085A28"/>
    <w:rsid w:val="00086BCD"/>
    <w:rsid w:val="00087856"/>
    <w:rsid w:val="000902AA"/>
    <w:rsid w:val="0009483E"/>
    <w:rsid w:val="00095D40"/>
    <w:rsid w:val="000A00A2"/>
    <w:rsid w:val="000A1C6D"/>
    <w:rsid w:val="000A1F8F"/>
    <w:rsid w:val="000A7D69"/>
    <w:rsid w:val="000B0AB0"/>
    <w:rsid w:val="000B2923"/>
    <w:rsid w:val="000B33D1"/>
    <w:rsid w:val="000C0A39"/>
    <w:rsid w:val="000C3040"/>
    <w:rsid w:val="000C4737"/>
    <w:rsid w:val="000C573E"/>
    <w:rsid w:val="000D0D50"/>
    <w:rsid w:val="000D53F1"/>
    <w:rsid w:val="000D5777"/>
    <w:rsid w:val="000E190F"/>
    <w:rsid w:val="000E2C15"/>
    <w:rsid w:val="000E6B75"/>
    <w:rsid w:val="000E7F41"/>
    <w:rsid w:val="000F4E09"/>
    <w:rsid w:val="000F53F4"/>
    <w:rsid w:val="000F6DAD"/>
    <w:rsid w:val="001034D7"/>
    <w:rsid w:val="00104CE9"/>
    <w:rsid w:val="00104F2A"/>
    <w:rsid w:val="00107A04"/>
    <w:rsid w:val="00107C8E"/>
    <w:rsid w:val="0011170B"/>
    <w:rsid w:val="001178CA"/>
    <w:rsid w:val="0012128E"/>
    <w:rsid w:val="00124D87"/>
    <w:rsid w:val="00127A71"/>
    <w:rsid w:val="00127C15"/>
    <w:rsid w:val="00130288"/>
    <w:rsid w:val="001307A5"/>
    <w:rsid w:val="00131182"/>
    <w:rsid w:val="001329ED"/>
    <w:rsid w:val="001407A3"/>
    <w:rsid w:val="00140845"/>
    <w:rsid w:val="00152153"/>
    <w:rsid w:val="00157E04"/>
    <w:rsid w:val="00160657"/>
    <w:rsid w:val="00160B87"/>
    <w:rsid w:val="00162532"/>
    <w:rsid w:val="00163417"/>
    <w:rsid w:val="001672C9"/>
    <w:rsid w:val="001677DC"/>
    <w:rsid w:val="00172119"/>
    <w:rsid w:val="0017282D"/>
    <w:rsid w:val="00180641"/>
    <w:rsid w:val="001813D4"/>
    <w:rsid w:val="00183122"/>
    <w:rsid w:val="00186DF1"/>
    <w:rsid w:val="001948EF"/>
    <w:rsid w:val="00194F39"/>
    <w:rsid w:val="00195879"/>
    <w:rsid w:val="00196B40"/>
    <w:rsid w:val="001A04CE"/>
    <w:rsid w:val="001A0E0A"/>
    <w:rsid w:val="001A1C76"/>
    <w:rsid w:val="001A23B5"/>
    <w:rsid w:val="001A403F"/>
    <w:rsid w:val="001A4633"/>
    <w:rsid w:val="001A7084"/>
    <w:rsid w:val="001A7ADC"/>
    <w:rsid w:val="001A7BE0"/>
    <w:rsid w:val="001B4509"/>
    <w:rsid w:val="001C0891"/>
    <w:rsid w:val="001C0EC2"/>
    <w:rsid w:val="001C10AF"/>
    <w:rsid w:val="001C17D5"/>
    <w:rsid w:val="001C2EC8"/>
    <w:rsid w:val="001C52AB"/>
    <w:rsid w:val="001D4FDD"/>
    <w:rsid w:val="001E2CF1"/>
    <w:rsid w:val="001E2DFD"/>
    <w:rsid w:val="001E7427"/>
    <w:rsid w:val="001F40F5"/>
    <w:rsid w:val="001F5CE8"/>
    <w:rsid w:val="002006CC"/>
    <w:rsid w:val="00200E58"/>
    <w:rsid w:val="002064D3"/>
    <w:rsid w:val="002069B7"/>
    <w:rsid w:val="002106BF"/>
    <w:rsid w:val="0021312C"/>
    <w:rsid w:val="002176B8"/>
    <w:rsid w:val="002216AD"/>
    <w:rsid w:val="00221D99"/>
    <w:rsid w:val="00223A9F"/>
    <w:rsid w:val="0022674D"/>
    <w:rsid w:val="00227977"/>
    <w:rsid w:val="002333E4"/>
    <w:rsid w:val="0023449A"/>
    <w:rsid w:val="00235F88"/>
    <w:rsid w:val="0024141F"/>
    <w:rsid w:val="002448FE"/>
    <w:rsid w:val="00245542"/>
    <w:rsid w:val="00250017"/>
    <w:rsid w:val="0025089B"/>
    <w:rsid w:val="00251159"/>
    <w:rsid w:val="002553AE"/>
    <w:rsid w:val="00255975"/>
    <w:rsid w:val="00255FAA"/>
    <w:rsid w:val="00262CDE"/>
    <w:rsid w:val="002702F7"/>
    <w:rsid w:val="00273EAA"/>
    <w:rsid w:val="00276702"/>
    <w:rsid w:val="002807B6"/>
    <w:rsid w:val="0028328D"/>
    <w:rsid w:val="002838F5"/>
    <w:rsid w:val="00285630"/>
    <w:rsid w:val="00285BB6"/>
    <w:rsid w:val="00291E68"/>
    <w:rsid w:val="0029491C"/>
    <w:rsid w:val="002952B1"/>
    <w:rsid w:val="002955E1"/>
    <w:rsid w:val="0029702F"/>
    <w:rsid w:val="002976F0"/>
    <w:rsid w:val="002A09E4"/>
    <w:rsid w:val="002A2050"/>
    <w:rsid w:val="002A3B2D"/>
    <w:rsid w:val="002A4078"/>
    <w:rsid w:val="002A5095"/>
    <w:rsid w:val="002A5CE0"/>
    <w:rsid w:val="002B1EBA"/>
    <w:rsid w:val="002B2F3C"/>
    <w:rsid w:val="002C0467"/>
    <w:rsid w:val="002C1D5F"/>
    <w:rsid w:val="002C2326"/>
    <w:rsid w:val="002C32AB"/>
    <w:rsid w:val="002C3D44"/>
    <w:rsid w:val="002C41F9"/>
    <w:rsid w:val="002C4495"/>
    <w:rsid w:val="002C5AC8"/>
    <w:rsid w:val="002C76AB"/>
    <w:rsid w:val="002D16ED"/>
    <w:rsid w:val="002D4536"/>
    <w:rsid w:val="002D77EC"/>
    <w:rsid w:val="002E2A6F"/>
    <w:rsid w:val="002E5929"/>
    <w:rsid w:val="002F3E65"/>
    <w:rsid w:val="002F421C"/>
    <w:rsid w:val="002F48C8"/>
    <w:rsid w:val="002F55CE"/>
    <w:rsid w:val="002F76F5"/>
    <w:rsid w:val="00306F63"/>
    <w:rsid w:val="00311707"/>
    <w:rsid w:val="0031437E"/>
    <w:rsid w:val="00314A8A"/>
    <w:rsid w:val="0031555E"/>
    <w:rsid w:val="003237ED"/>
    <w:rsid w:val="00324EC2"/>
    <w:rsid w:val="003279F2"/>
    <w:rsid w:val="00340B93"/>
    <w:rsid w:val="00342BA9"/>
    <w:rsid w:val="003452AA"/>
    <w:rsid w:val="003455BC"/>
    <w:rsid w:val="00345C51"/>
    <w:rsid w:val="0034608B"/>
    <w:rsid w:val="0034721D"/>
    <w:rsid w:val="003475B8"/>
    <w:rsid w:val="00354488"/>
    <w:rsid w:val="00354503"/>
    <w:rsid w:val="003623F0"/>
    <w:rsid w:val="003669AE"/>
    <w:rsid w:val="00367182"/>
    <w:rsid w:val="00370164"/>
    <w:rsid w:val="003711CD"/>
    <w:rsid w:val="00373224"/>
    <w:rsid w:val="00380DB1"/>
    <w:rsid w:val="00383BFC"/>
    <w:rsid w:val="00384611"/>
    <w:rsid w:val="00384CA0"/>
    <w:rsid w:val="003850EB"/>
    <w:rsid w:val="003864D5"/>
    <w:rsid w:val="00386A22"/>
    <w:rsid w:val="003870BA"/>
    <w:rsid w:val="003874A9"/>
    <w:rsid w:val="003921E3"/>
    <w:rsid w:val="00395A89"/>
    <w:rsid w:val="003A0991"/>
    <w:rsid w:val="003A1ECE"/>
    <w:rsid w:val="003A2FA8"/>
    <w:rsid w:val="003A3403"/>
    <w:rsid w:val="003A641D"/>
    <w:rsid w:val="003A77FF"/>
    <w:rsid w:val="003B4770"/>
    <w:rsid w:val="003B47F7"/>
    <w:rsid w:val="003B572D"/>
    <w:rsid w:val="003B5B87"/>
    <w:rsid w:val="003B5BC1"/>
    <w:rsid w:val="003B764E"/>
    <w:rsid w:val="003C20BF"/>
    <w:rsid w:val="003D5616"/>
    <w:rsid w:val="003E666B"/>
    <w:rsid w:val="003F3E19"/>
    <w:rsid w:val="004019D2"/>
    <w:rsid w:val="0040260B"/>
    <w:rsid w:val="00404B01"/>
    <w:rsid w:val="004052AC"/>
    <w:rsid w:val="00410D3B"/>
    <w:rsid w:val="00411386"/>
    <w:rsid w:val="00417A2D"/>
    <w:rsid w:val="00423092"/>
    <w:rsid w:val="004253E8"/>
    <w:rsid w:val="00427EA9"/>
    <w:rsid w:val="004319BC"/>
    <w:rsid w:val="004350B0"/>
    <w:rsid w:val="00436CE5"/>
    <w:rsid w:val="00437624"/>
    <w:rsid w:val="00447223"/>
    <w:rsid w:val="00450FDE"/>
    <w:rsid w:val="004637E7"/>
    <w:rsid w:val="00466AB9"/>
    <w:rsid w:val="00467873"/>
    <w:rsid w:val="00467B10"/>
    <w:rsid w:val="00470AB4"/>
    <w:rsid w:val="00472E16"/>
    <w:rsid w:val="00472EA8"/>
    <w:rsid w:val="004734DF"/>
    <w:rsid w:val="0048618C"/>
    <w:rsid w:val="00486943"/>
    <w:rsid w:val="00495B91"/>
    <w:rsid w:val="004A0354"/>
    <w:rsid w:val="004A0A6D"/>
    <w:rsid w:val="004A5232"/>
    <w:rsid w:val="004A5408"/>
    <w:rsid w:val="004A5760"/>
    <w:rsid w:val="004B1702"/>
    <w:rsid w:val="004C18DF"/>
    <w:rsid w:val="004C29E5"/>
    <w:rsid w:val="004C2B46"/>
    <w:rsid w:val="004C5CC6"/>
    <w:rsid w:val="004C72B5"/>
    <w:rsid w:val="004D4C6D"/>
    <w:rsid w:val="004D5A9F"/>
    <w:rsid w:val="004E01A4"/>
    <w:rsid w:val="004F2D83"/>
    <w:rsid w:val="004F4566"/>
    <w:rsid w:val="004F6742"/>
    <w:rsid w:val="004F709B"/>
    <w:rsid w:val="00502A8D"/>
    <w:rsid w:val="00502DF7"/>
    <w:rsid w:val="00503049"/>
    <w:rsid w:val="00503969"/>
    <w:rsid w:val="00512E9B"/>
    <w:rsid w:val="0051467B"/>
    <w:rsid w:val="00523051"/>
    <w:rsid w:val="00534B03"/>
    <w:rsid w:val="00534C33"/>
    <w:rsid w:val="00535E00"/>
    <w:rsid w:val="00536DB4"/>
    <w:rsid w:val="0053770E"/>
    <w:rsid w:val="0054025D"/>
    <w:rsid w:val="00541A2C"/>
    <w:rsid w:val="00543B60"/>
    <w:rsid w:val="0054668E"/>
    <w:rsid w:val="0055123E"/>
    <w:rsid w:val="0056261A"/>
    <w:rsid w:val="00564BA1"/>
    <w:rsid w:val="005667A1"/>
    <w:rsid w:val="00567780"/>
    <w:rsid w:val="005720B7"/>
    <w:rsid w:val="00573B71"/>
    <w:rsid w:val="00574572"/>
    <w:rsid w:val="005758E8"/>
    <w:rsid w:val="00582909"/>
    <w:rsid w:val="00585CA4"/>
    <w:rsid w:val="00597948"/>
    <w:rsid w:val="005A2823"/>
    <w:rsid w:val="005B1AC5"/>
    <w:rsid w:val="005B2E19"/>
    <w:rsid w:val="005B59A1"/>
    <w:rsid w:val="005B5AA9"/>
    <w:rsid w:val="005B6A25"/>
    <w:rsid w:val="005C0A91"/>
    <w:rsid w:val="005C4647"/>
    <w:rsid w:val="005C492E"/>
    <w:rsid w:val="005C6C16"/>
    <w:rsid w:val="005C7674"/>
    <w:rsid w:val="005D6935"/>
    <w:rsid w:val="005D6AA1"/>
    <w:rsid w:val="005D6B63"/>
    <w:rsid w:val="005D7E1D"/>
    <w:rsid w:val="005E0CF2"/>
    <w:rsid w:val="005E2AEA"/>
    <w:rsid w:val="005E3E7F"/>
    <w:rsid w:val="005E6B70"/>
    <w:rsid w:val="005F0195"/>
    <w:rsid w:val="005F748E"/>
    <w:rsid w:val="005F7A6F"/>
    <w:rsid w:val="006000F2"/>
    <w:rsid w:val="00601D62"/>
    <w:rsid w:val="0060597B"/>
    <w:rsid w:val="006119E7"/>
    <w:rsid w:val="006122D8"/>
    <w:rsid w:val="0061247A"/>
    <w:rsid w:val="006135EC"/>
    <w:rsid w:val="006141F2"/>
    <w:rsid w:val="00615325"/>
    <w:rsid w:val="00615938"/>
    <w:rsid w:val="00622052"/>
    <w:rsid w:val="0063014E"/>
    <w:rsid w:val="0064787A"/>
    <w:rsid w:val="006478D6"/>
    <w:rsid w:val="0065112D"/>
    <w:rsid w:val="006517AF"/>
    <w:rsid w:val="006548E0"/>
    <w:rsid w:val="0066134E"/>
    <w:rsid w:val="00662C81"/>
    <w:rsid w:val="00680967"/>
    <w:rsid w:val="006814BB"/>
    <w:rsid w:val="0068350E"/>
    <w:rsid w:val="006840EB"/>
    <w:rsid w:val="0068677C"/>
    <w:rsid w:val="0069342C"/>
    <w:rsid w:val="006936EC"/>
    <w:rsid w:val="00694620"/>
    <w:rsid w:val="006A541C"/>
    <w:rsid w:val="006A56A2"/>
    <w:rsid w:val="006A5B3B"/>
    <w:rsid w:val="006B0FBC"/>
    <w:rsid w:val="006B1DA6"/>
    <w:rsid w:val="006B4A35"/>
    <w:rsid w:val="006B59FE"/>
    <w:rsid w:val="006C0715"/>
    <w:rsid w:val="006C1A86"/>
    <w:rsid w:val="006C4B60"/>
    <w:rsid w:val="006C7A4C"/>
    <w:rsid w:val="006D406B"/>
    <w:rsid w:val="006E2B32"/>
    <w:rsid w:val="006F2B34"/>
    <w:rsid w:val="006F4B7E"/>
    <w:rsid w:val="0070172E"/>
    <w:rsid w:val="007057ED"/>
    <w:rsid w:val="007063E2"/>
    <w:rsid w:val="0070672F"/>
    <w:rsid w:val="00706870"/>
    <w:rsid w:val="007105A6"/>
    <w:rsid w:val="00710617"/>
    <w:rsid w:val="00710ECB"/>
    <w:rsid w:val="00712470"/>
    <w:rsid w:val="00715417"/>
    <w:rsid w:val="0072355D"/>
    <w:rsid w:val="00723F1B"/>
    <w:rsid w:val="00726DD4"/>
    <w:rsid w:val="00730F56"/>
    <w:rsid w:val="00734DA1"/>
    <w:rsid w:val="0073641C"/>
    <w:rsid w:val="00744E2C"/>
    <w:rsid w:val="00750C48"/>
    <w:rsid w:val="00752119"/>
    <w:rsid w:val="00754408"/>
    <w:rsid w:val="00755456"/>
    <w:rsid w:val="00761172"/>
    <w:rsid w:val="007631C7"/>
    <w:rsid w:val="00763CCC"/>
    <w:rsid w:val="00770A9B"/>
    <w:rsid w:val="00771967"/>
    <w:rsid w:val="00776C72"/>
    <w:rsid w:val="0078258F"/>
    <w:rsid w:val="0078375B"/>
    <w:rsid w:val="007846BC"/>
    <w:rsid w:val="0079114D"/>
    <w:rsid w:val="00791C1E"/>
    <w:rsid w:val="00794B6E"/>
    <w:rsid w:val="0079637F"/>
    <w:rsid w:val="007963C4"/>
    <w:rsid w:val="007969A4"/>
    <w:rsid w:val="007A0114"/>
    <w:rsid w:val="007A0B7E"/>
    <w:rsid w:val="007A739C"/>
    <w:rsid w:val="007B1321"/>
    <w:rsid w:val="007B1904"/>
    <w:rsid w:val="007B4329"/>
    <w:rsid w:val="007C0112"/>
    <w:rsid w:val="007C2A13"/>
    <w:rsid w:val="007C69A6"/>
    <w:rsid w:val="007D14CA"/>
    <w:rsid w:val="007D565C"/>
    <w:rsid w:val="007D6370"/>
    <w:rsid w:val="007E092F"/>
    <w:rsid w:val="007E5EC0"/>
    <w:rsid w:val="007E6DD8"/>
    <w:rsid w:val="0080098A"/>
    <w:rsid w:val="00801761"/>
    <w:rsid w:val="008111EB"/>
    <w:rsid w:val="00812236"/>
    <w:rsid w:val="008125BB"/>
    <w:rsid w:val="008130C9"/>
    <w:rsid w:val="00813D02"/>
    <w:rsid w:val="00814833"/>
    <w:rsid w:val="0082033D"/>
    <w:rsid w:val="008222AD"/>
    <w:rsid w:val="008242A7"/>
    <w:rsid w:val="00830609"/>
    <w:rsid w:val="0083104D"/>
    <w:rsid w:val="00834952"/>
    <w:rsid w:val="008349AE"/>
    <w:rsid w:val="0083544C"/>
    <w:rsid w:val="0084025F"/>
    <w:rsid w:val="008422A5"/>
    <w:rsid w:val="00845DC8"/>
    <w:rsid w:val="00846D77"/>
    <w:rsid w:val="00852480"/>
    <w:rsid w:val="00856632"/>
    <w:rsid w:val="008629FD"/>
    <w:rsid w:val="0086468C"/>
    <w:rsid w:val="0086643C"/>
    <w:rsid w:val="00867308"/>
    <w:rsid w:val="00880700"/>
    <w:rsid w:val="00883197"/>
    <w:rsid w:val="008864FE"/>
    <w:rsid w:val="00887278"/>
    <w:rsid w:val="00896919"/>
    <w:rsid w:val="008A5CE2"/>
    <w:rsid w:val="008A7D96"/>
    <w:rsid w:val="008B0543"/>
    <w:rsid w:val="008B1B87"/>
    <w:rsid w:val="008B7826"/>
    <w:rsid w:val="008C072C"/>
    <w:rsid w:val="008C0888"/>
    <w:rsid w:val="008C3505"/>
    <w:rsid w:val="008D25DD"/>
    <w:rsid w:val="008D30EA"/>
    <w:rsid w:val="008D55C8"/>
    <w:rsid w:val="008E20DE"/>
    <w:rsid w:val="008E5811"/>
    <w:rsid w:val="008F091A"/>
    <w:rsid w:val="008F1770"/>
    <w:rsid w:val="008F3674"/>
    <w:rsid w:val="008F5F6D"/>
    <w:rsid w:val="009013C5"/>
    <w:rsid w:val="00902EE4"/>
    <w:rsid w:val="00904F73"/>
    <w:rsid w:val="00906066"/>
    <w:rsid w:val="009061A4"/>
    <w:rsid w:val="00912E02"/>
    <w:rsid w:val="00920B5B"/>
    <w:rsid w:val="0092104C"/>
    <w:rsid w:val="00924231"/>
    <w:rsid w:val="009273A1"/>
    <w:rsid w:val="00932EE2"/>
    <w:rsid w:val="00933C12"/>
    <w:rsid w:val="00942024"/>
    <w:rsid w:val="00944550"/>
    <w:rsid w:val="00944E39"/>
    <w:rsid w:val="00953883"/>
    <w:rsid w:val="009550AD"/>
    <w:rsid w:val="009565D4"/>
    <w:rsid w:val="00957A5B"/>
    <w:rsid w:val="00967D7C"/>
    <w:rsid w:val="00977D73"/>
    <w:rsid w:val="00980E9C"/>
    <w:rsid w:val="0098411F"/>
    <w:rsid w:val="00985B93"/>
    <w:rsid w:val="0099262A"/>
    <w:rsid w:val="00994F51"/>
    <w:rsid w:val="009A05F3"/>
    <w:rsid w:val="009B18E4"/>
    <w:rsid w:val="009B53A8"/>
    <w:rsid w:val="009B56DA"/>
    <w:rsid w:val="009B727F"/>
    <w:rsid w:val="009C05F7"/>
    <w:rsid w:val="009C21DF"/>
    <w:rsid w:val="009D0892"/>
    <w:rsid w:val="009D13BB"/>
    <w:rsid w:val="009D5028"/>
    <w:rsid w:val="009D50EB"/>
    <w:rsid w:val="009D6BB1"/>
    <w:rsid w:val="009E1ADD"/>
    <w:rsid w:val="009E32F5"/>
    <w:rsid w:val="009E3C77"/>
    <w:rsid w:val="009E3D98"/>
    <w:rsid w:val="009E6279"/>
    <w:rsid w:val="009E74A0"/>
    <w:rsid w:val="009F0E3C"/>
    <w:rsid w:val="009F238B"/>
    <w:rsid w:val="009F2649"/>
    <w:rsid w:val="009F704C"/>
    <w:rsid w:val="009F7FE3"/>
    <w:rsid w:val="00A0215D"/>
    <w:rsid w:val="00A02178"/>
    <w:rsid w:val="00A06666"/>
    <w:rsid w:val="00A105E0"/>
    <w:rsid w:val="00A1068B"/>
    <w:rsid w:val="00A2053B"/>
    <w:rsid w:val="00A3018B"/>
    <w:rsid w:val="00A3128D"/>
    <w:rsid w:val="00A324EA"/>
    <w:rsid w:val="00A33A46"/>
    <w:rsid w:val="00A37079"/>
    <w:rsid w:val="00A37F2D"/>
    <w:rsid w:val="00A444E2"/>
    <w:rsid w:val="00A45B43"/>
    <w:rsid w:val="00A4794A"/>
    <w:rsid w:val="00A533DE"/>
    <w:rsid w:val="00A53E2B"/>
    <w:rsid w:val="00A60957"/>
    <w:rsid w:val="00A6307F"/>
    <w:rsid w:val="00A6706F"/>
    <w:rsid w:val="00A70707"/>
    <w:rsid w:val="00A815A4"/>
    <w:rsid w:val="00A816FE"/>
    <w:rsid w:val="00A817CE"/>
    <w:rsid w:val="00A84EFF"/>
    <w:rsid w:val="00A87187"/>
    <w:rsid w:val="00A9148C"/>
    <w:rsid w:val="00A928FA"/>
    <w:rsid w:val="00A93E47"/>
    <w:rsid w:val="00A961A7"/>
    <w:rsid w:val="00A97B51"/>
    <w:rsid w:val="00AA3A7F"/>
    <w:rsid w:val="00AA7B0B"/>
    <w:rsid w:val="00AB32CF"/>
    <w:rsid w:val="00AB4519"/>
    <w:rsid w:val="00AC59EB"/>
    <w:rsid w:val="00AC6613"/>
    <w:rsid w:val="00AD2235"/>
    <w:rsid w:val="00AD44C7"/>
    <w:rsid w:val="00AD5556"/>
    <w:rsid w:val="00AE30C2"/>
    <w:rsid w:val="00AE3816"/>
    <w:rsid w:val="00AE4DB9"/>
    <w:rsid w:val="00AF40AA"/>
    <w:rsid w:val="00B02599"/>
    <w:rsid w:val="00B07BB8"/>
    <w:rsid w:val="00B13EF4"/>
    <w:rsid w:val="00B14060"/>
    <w:rsid w:val="00B16B3C"/>
    <w:rsid w:val="00B24D86"/>
    <w:rsid w:val="00B25EE3"/>
    <w:rsid w:val="00B269D4"/>
    <w:rsid w:val="00B3357C"/>
    <w:rsid w:val="00B336DF"/>
    <w:rsid w:val="00B4028B"/>
    <w:rsid w:val="00B46B9D"/>
    <w:rsid w:val="00B51376"/>
    <w:rsid w:val="00B52149"/>
    <w:rsid w:val="00B54EAE"/>
    <w:rsid w:val="00B607A6"/>
    <w:rsid w:val="00B61C4A"/>
    <w:rsid w:val="00B61EC9"/>
    <w:rsid w:val="00B64C24"/>
    <w:rsid w:val="00B679AD"/>
    <w:rsid w:val="00B72683"/>
    <w:rsid w:val="00B7744A"/>
    <w:rsid w:val="00B77DA5"/>
    <w:rsid w:val="00B81610"/>
    <w:rsid w:val="00B82D4D"/>
    <w:rsid w:val="00B87EE6"/>
    <w:rsid w:val="00B9260A"/>
    <w:rsid w:val="00B96ABD"/>
    <w:rsid w:val="00BA20C7"/>
    <w:rsid w:val="00BB43BF"/>
    <w:rsid w:val="00BB5ACD"/>
    <w:rsid w:val="00BC05D6"/>
    <w:rsid w:val="00BC1050"/>
    <w:rsid w:val="00BC5DA7"/>
    <w:rsid w:val="00BD4B83"/>
    <w:rsid w:val="00BF18DC"/>
    <w:rsid w:val="00BF1D6A"/>
    <w:rsid w:val="00C04B4F"/>
    <w:rsid w:val="00C10B23"/>
    <w:rsid w:val="00C13DE2"/>
    <w:rsid w:val="00C14408"/>
    <w:rsid w:val="00C14776"/>
    <w:rsid w:val="00C17F58"/>
    <w:rsid w:val="00C21C50"/>
    <w:rsid w:val="00C2229B"/>
    <w:rsid w:val="00C22E0F"/>
    <w:rsid w:val="00C269C3"/>
    <w:rsid w:val="00C306C4"/>
    <w:rsid w:val="00C307E7"/>
    <w:rsid w:val="00C344BC"/>
    <w:rsid w:val="00C34A92"/>
    <w:rsid w:val="00C35829"/>
    <w:rsid w:val="00C3621D"/>
    <w:rsid w:val="00C370A7"/>
    <w:rsid w:val="00C418C1"/>
    <w:rsid w:val="00C44845"/>
    <w:rsid w:val="00C53442"/>
    <w:rsid w:val="00C57E90"/>
    <w:rsid w:val="00C62F1C"/>
    <w:rsid w:val="00C6380F"/>
    <w:rsid w:val="00C65C3F"/>
    <w:rsid w:val="00C71FCB"/>
    <w:rsid w:val="00C744A3"/>
    <w:rsid w:val="00C81DB5"/>
    <w:rsid w:val="00C900FF"/>
    <w:rsid w:val="00C93B95"/>
    <w:rsid w:val="00CA2A1A"/>
    <w:rsid w:val="00CA4D0B"/>
    <w:rsid w:val="00CB2B27"/>
    <w:rsid w:val="00CB382E"/>
    <w:rsid w:val="00CB3FC8"/>
    <w:rsid w:val="00CB442A"/>
    <w:rsid w:val="00CB7523"/>
    <w:rsid w:val="00CB7977"/>
    <w:rsid w:val="00CC3F89"/>
    <w:rsid w:val="00CD45D0"/>
    <w:rsid w:val="00CD4B2E"/>
    <w:rsid w:val="00CD4DE4"/>
    <w:rsid w:val="00CD6527"/>
    <w:rsid w:val="00CD6B3F"/>
    <w:rsid w:val="00CF3E63"/>
    <w:rsid w:val="00CF561E"/>
    <w:rsid w:val="00D02BEC"/>
    <w:rsid w:val="00D074DF"/>
    <w:rsid w:val="00D10D24"/>
    <w:rsid w:val="00D143BA"/>
    <w:rsid w:val="00D20DD2"/>
    <w:rsid w:val="00D241C8"/>
    <w:rsid w:val="00D34EEE"/>
    <w:rsid w:val="00D37BAF"/>
    <w:rsid w:val="00D405A9"/>
    <w:rsid w:val="00D51B1E"/>
    <w:rsid w:val="00D529A6"/>
    <w:rsid w:val="00D52D90"/>
    <w:rsid w:val="00D53F84"/>
    <w:rsid w:val="00D551F9"/>
    <w:rsid w:val="00D57752"/>
    <w:rsid w:val="00D618CD"/>
    <w:rsid w:val="00D63838"/>
    <w:rsid w:val="00D70D74"/>
    <w:rsid w:val="00D72814"/>
    <w:rsid w:val="00D758EE"/>
    <w:rsid w:val="00D8085E"/>
    <w:rsid w:val="00D82417"/>
    <w:rsid w:val="00D84DBC"/>
    <w:rsid w:val="00D84F00"/>
    <w:rsid w:val="00D91D66"/>
    <w:rsid w:val="00D94957"/>
    <w:rsid w:val="00D96598"/>
    <w:rsid w:val="00D96A55"/>
    <w:rsid w:val="00D979EA"/>
    <w:rsid w:val="00D97EAC"/>
    <w:rsid w:val="00DA02B9"/>
    <w:rsid w:val="00DA42EA"/>
    <w:rsid w:val="00DA544B"/>
    <w:rsid w:val="00DA677E"/>
    <w:rsid w:val="00DA7FEA"/>
    <w:rsid w:val="00DB0BF5"/>
    <w:rsid w:val="00DB269B"/>
    <w:rsid w:val="00DC02B5"/>
    <w:rsid w:val="00DC2F37"/>
    <w:rsid w:val="00DC5BE0"/>
    <w:rsid w:val="00DD1702"/>
    <w:rsid w:val="00DD27D1"/>
    <w:rsid w:val="00DD4A2E"/>
    <w:rsid w:val="00DD737B"/>
    <w:rsid w:val="00DE221A"/>
    <w:rsid w:val="00DE2334"/>
    <w:rsid w:val="00DE5385"/>
    <w:rsid w:val="00DE5BC0"/>
    <w:rsid w:val="00DE5C1E"/>
    <w:rsid w:val="00DE5D97"/>
    <w:rsid w:val="00DF2954"/>
    <w:rsid w:val="00DF414E"/>
    <w:rsid w:val="00DF68F0"/>
    <w:rsid w:val="00DF6CDE"/>
    <w:rsid w:val="00E0113D"/>
    <w:rsid w:val="00E039CB"/>
    <w:rsid w:val="00E073B6"/>
    <w:rsid w:val="00E10F16"/>
    <w:rsid w:val="00E1423B"/>
    <w:rsid w:val="00E237E8"/>
    <w:rsid w:val="00E317E1"/>
    <w:rsid w:val="00E33231"/>
    <w:rsid w:val="00E34DC0"/>
    <w:rsid w:val="00E363B4"/>
    <w:rsid w:val="00E36C5C"/>
    <w:rsid w:val="00E41D25"/>
    <w:rsid w:val="00E43148"/>
    <w:rsid w:val="00E438B7"/>
    <w:rsid w:val="00E51E7D"/>
    <w:rsid w:val="00E567DA"/>
    <w:rsid w:val="00E61805"/>
    <w:rsid w:val="00E6186E"/>
    <w:rsid w:val="00E61BEE"/>
    <w:rsid w:val="00E62A63"/>
    <w:rsid w:val="00E6664A"/>
    <w:rsid w:val="00E72F03"/>
    <w:rsid w:val="00E7429A"/>
    <w:rsid w:val="00E75D89"/>
    <w:rsid w:val="00E84434"/>
    <w:rsid w:val="00E85491"/>
    <w:rsid w:val="00E86EFF"/>
    <w:rsid w:val="00E87675"/>
    <w:rsid w:val="00E9223F"/>
    <w:rsid w:val="00E94A49"/>
    <w:rsid w:val="00E97BC9"/>
    <w:rsid w:val="00EA0512"/>
    <w:rsid w:val="00EB10F7"/>
    <w:rsid w:val="00EB30F5"/>
    <w:rsid w:val="00EB5549"/>
    <w:rsid w:val="00EB5C8B"/>
    <w:rsid w:val="00EC3CC1"/>
    <w:rsid w:val="00EC47CA"/>
    <w:rsid w:val="00EC5EDE"/>
    <w:rsid w:val="00EC7DCF"/>
    <w:rsid w:val="00EC7EBB"/>
    <w:rsid w:val="00ED14D1"/>
    <w:rsid w:val="00ED263C"/>
    <w:rsid w:val="00ED2A92"/>
    <w:rsid w:val="00ED503D"/>
    <w:rsid w:val="00ED7C50"/>
    <w:rsid w:val="00EE11FD"/>
    <w:rsid w:val="00EE1D07"/>
    <w:rsid w:val="00EE275A"/>
    <w:rsid w:val="00EF5183"/>
    <w:rsid w:val="00EF68DE"/>
    <w:rsid w:val="00F00306"/>
    <w:rsid w:val="00F06972"/>
    <w:rsid w:val="00F077C2"/>
    <w:rsid w:val="00F12022"/>
    <w:rsid w:val="00F13235"/>
    <w:rsid w:val="00F135EA"/>
    <w:rsid w:val="00F1494E"/>
    <w:rsid w:val="00F23798"/>
    <w:rsid w:val="00F260AC"/>
    <w:rsid w:val="00F26DFB"/>
    <w:rsid w:val="00F27043"/>
    <w:rsid w:val="00F32C54"/>
    <w:rsid w:val="00F32E6E"/>
    <w:rsid w:val="00F32FC5"/>
    <w:rsid w:val="00F37BB1"/>
    <w:rsid w:val="00F4263A"/>
    <w:rsid w:val="00F44CBD"/>
    <w:rsid w:val="00F47CBF"/>
    <w:rsid w:val="00F47E96"/>
    <w:rsid w:val="00F50A3A"/>
    <w:rsid w:val="00F51B33"/>
    <w:rsid w:val="00F57BC7"/>
    <w:rsid w:val="00F60BBB"/>
    <w:rsid w:val="00F62A1E"/>
    <w:rsid w:val="00F64DB9"/>
    <w:rsid w:val="00F65513"/>
    <w:rsid w:val="00F6645A"/>
    <w:rsid w:val="00F6656B"/>
    <w:rsid w:val="00F7249B"/>
    <w:rsid w:val="00F74331"/>
    <w:rsid w:val="00F77187"/>
    <w:rsid w:val="00F849B5"/>
    <w:rsid w:val="00F85399"/>
    <w:rsid w:val="00F93183"/>
    <w:rsid w:val="00F94DC2"/>
    <w:rsid w:val="00F9672A"/>
    <w:rsid w:val="00F9770C"/>
    <w:rsid w:val="00FA035F"/>
    <w:rsid w:val="00FA2CB1"/>
    <w:rsid w:val="00FA2FFB"/>
    <w:rsid w:val="00FA686C"/>
    <w:rsid w:val="00FA6932"/>
    <w:rsid w:val="00FB3972"/>
    <w:rsid w:val="00FB4276"/>
    <w:rsid w:val="00FB6980"/>
    <w:rsid w:val="00FB6E74"/>
    <w:rsid w:val="00FB70DE"/>
    <w:rsid w:val="00FC2BD1"/>
    <w:rsid w:val="00FC34B5"/>
    <w:rsid w:val="00FC6258"/>
    <w:rsid w:val="00FD17C2"/>
    <w:rsid w:val="00FD20F5"/>
    <w:rsid w:val="00FD634F"/>
    <w:rsid w:val="00FD6B90"/>
    <w:rsid w:val="00FE0A7C"/>
    <w:rsid w:val="00FE1385"/>
    <w:rsid w:val="00FE2611"/>
    <w:rsid w:val="00FE3706"/>
    <w:rsid w:val="00FE7E14"/>
    <w:rsid w:val="00FF026F"/>
    <w:rsid w:val="00FF2067"/>
    <w:rsid w:val="00FF3FFA"/>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nhideWhenUsed="0"/>
    <w:lsdException w:name="caption" w:locked="1" w:semiHidden="0" w:unhideWhenUsed="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02"/>
    <w:pPr>
      <w:spacing w:line="264" w:lineRule="auto"/>
    </w:pPr>
    <w:rPr>
      <w:szCs w:val="20"/>
    </w:rPr>
  </w:style>
  <w:style w:type="paragraph" w:styleId="Heading1">
    <w:name w:val="heading 1"/>
    <w:basedOn w:val="Normal"/>
    <w:next w:val="BodyText"/>
    <w:link w:val="Heading1Char"/>
    <w:uiPriority w:val="99"/>
    <w:qFormat/>
    <w:rsid w:val="00D52D90"/>
    <w:pPr>
      <w:keepNext/>
      <w:keepLines/>
      <w:pageBreakBefore/>
      <w:pBdr>
        <w:top w:val="single" w:sz="6" w:space="3" w:color="DA291C"/>
        <w:bottom w:val="single" w:sz="6" w:space="3" w:color="DA291C"/>
      </w:pBdr>
      <w:shd w:val="clear" w:color="auto" w:fill="DA291C"/>
      <w:spacing w:after="240" w:line="240" w:lineRule="auto"/>
      <w:outlineLvl w:val="0"/>
    </w:pPr>
    <w:rPr>
      <w:rFonts w:ascii="Arial" w:hAnsi="Arial"/>
      <w:b/>
      <w:color w:val="FFFFFF"/>
      <w:kern w:val="28"/>
    </w:rPr>
  </w:style>
  <w:style w:type="paragraph" w:styleId="Heading2">
    <w:name w:val="heading 2"/>
    <w:basedOn w:val="Normal"/>
    <w:next w:val="BodyText"/>
    <w:link w:val="Heading2Char"/>
    <w:uiPriority w:val="99"/>
    <w:qFormat/>
    <w:rsid w:val="004A0A6D"/>
    <w:pPr>
      <w:keepNext/>
      <w:pBdr>
        <w:top w:val="single" w:sz="6" w:space="1" w:color="D0D3D4"/>
        <w:bottom w:val="single" w:sz="6" w:space="1" w:color="D0D3D4"/>
      </w:pBdr>
      <w:shd w:val="clear" w:color="auto" w:fill="D0D3D4"/>
      <w:spacing w:after="240" w:line="240" w:lineRule="auto"/>
      <w:ind w:left="720" w:hanging="720"/>
      <w:outlineLvl w:val="1"/>
    </w:pPr>
    <w:rPr>
      <w:rFonts w:ascii="Arial" w:hAnsi="Arial" w:cs="Arial"/>
      <w:b/>
      <w:bCs/>
      <w:iCs/>
      <w:color w:val="000000"/>
      <w:sz w:val="20"/>
      <w:szCs w:val="28"/>
    </w:rPr>
  </w:style>
  <w:style w:type="paragraph" w:styleId="Heading3">
    <w:name w:val="heading 3"/>
    <w:basedOn w:val="Normal"/>
    <w:next w:val="BodyText"/>
    <w:link w:val="Heading3Char"/>
    <w:uiPriority w:val="99"/>
    <w:qFormat/>
    <w:rsid w:val="00D52D90"/>
    <w:pPr>
      <w:keepNext/>
      <w:spacing w:after="240" w:line="240" w:lineRule="auto"/>
      <w:outlineLvl w:val="2"/>
    </w:pPr>
    <w:rPr>
      <w:rFonts w:ascii="Arial" w:hAnsi="Arial"/>
      <w:b/>
      <w:color w:val="DA291C"/>
      <w:sz w:val="20"/>
    </w:rPr>
  </w:style>
  <w:style w:type="paragraph" w:styleId="Heading4">
    <w:name w:val="heading 4"/>
    <w:basedOn w:val="Normal"/>
    <w:next w:val="BodyText"/>
    <w:link w:val="Heading4Char"/>
    <w:uiPriority w:val="99"/>
    <w:qFormat/>
    <w:rsid w:val="00D52D90"/>
    <w:pPr>
      <w:keepNext/>
      <w:numPr>
        <w:ilvl w:val="3"/>
        <w:numId w:val="4"/>
      </w:numPr>
      <w:spacing w:after="240" w:line="240" w:lineRule="auto"/>
      <w:outlineLvl w:val="3"/>
    </w:pPr>
    <w:rPr>
      <w:rFonts w:ascii="Arial" w:hAnsi="Arial"/>
      <w:b/>
      <w:i/>
      <w:color w:val="DA291C" w:themeColor="text2"/>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2D90"/>
    <w:rPr>
      <w:rFonts w:ascii="Arial" w:hAnsi="Arial"/>
      <w:b/>
      <w:color w:val="FFFFFF"/>
      <w:kern w:val="28"/>
      <w:szCs w:val="20"/>
      <w:shd w:val="clear" w:color="auto" w:fill="DA291C"/>
    </w:rPr>
  </w:style>
  <w:style w:type="character" w:customStyle="1" w:styleId="Heading2Char">
    <w:name w:val="Heading 2 Char"/>
    <w:basedOn w:val="DefaultParagraphFont"/>
    <w:link w:val="Heading2"/>
    <w:uiPriority w:val="99"/>
    <w:locked/>
    <w:rsid w:val="004A0A6D"/>
    <w:rPr>
      <w:rFonts w:ascii="Arial" w:hAnsi="Arial" w:cs="Arial"/>
      <w:b/>
      <w:bCs/>
      <w:iCs/>
      <w:color w:val="000000"/>
      <w:sz w:val="20"/>
      <w:szCs w:val="28"/>
      <w:shd w:val="clear" w:color="auto" w:fill="D0D3D4"/>
    </w:rPr>
  </w:style>
  <w:style w:type="character" w:customStyle="1" w:styleId="Heading3Char">
    <w:name w:val="Heading 3 Char"/>
    <w:basedOn w:val="DefaultParagraphFont"/>
    <w:link w:val="Heading3"/>
    <w:uiPriority w:val="99"/>
    <w:rsid w:val="00D52D90"/>
    <w:rPr>
      <w:rFonts w:ascii="Arial" w:hAnsi="Arial"/>
      <w:b/>
      <w:color w:val="DA291C"/>
      <w:sz w:val="20"/>
      <w:szCs w:val="20"/>
    </w:rPr>
  </w:style>
  <w:style w:type="character" w:customStyle="1" w:styleId="Heading4Char">
    <w:name w:val="Heading 4 Char"/>
    <w:basedOn w:val="DefaultParagraphFont"/>
    <w:link w:val="Heading4"/>
    <w:uiPriority w:val="99"/>
    <w:rsid w:val="00D52D90"/>
    <w:rPr>
      <w:rFonts w:ascii="Arial" w:hAnsi="Arial"/>
      <w:b/>
      <w:i/>
      <w:color w:val="DA291C" w:themeColor="text2"/>
      <w:sz w:val="20"/>
      <w:szCs w:val="20"/>
    </w:rPr>
  </w:style>
  <w:style w:type="character" w:customStyle="1" w:styleId="Heading5Char">
    <w:name w:val="Heading 5 Char"/>
    <w:basedOn w:val="DefaultParagraphFont"/>
    <w:link w:val="Heading5"/>
    <w:uiPriority w:val="9"/>
    <w:semiHidden/>
    <w:rsid w:val="00772B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72BD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772BD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72B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72BDC"/>
    <w:rPr>
      <w:rFonts w:asciiTheme="majorHAnsi" w:eastAsiaTheme="majorEastAsia" w:hAnsiTheme="majorHAnsi" w:cstheme="majorBidi"/>
    </w:rPr>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sz w:val="18"/>
    </w:rPr>
  </w:style>
  <w:style w:type="character" w:customStyle="1" w:styleId="FooterChar">
    <w:name w:val="Footer Char"/>
    <w:basedOn w:val="DefaultParagraphFont"/>
    <w:link w:val="Footer"/>
    <w:uiPriority w:val="99"/>
    <w:locked/>
    <w:rsid w:val="00967D7C"/>
    <w:rPr>
      <w:rFonts w:ascii="Arial" w:hAnsi="Arial" w:cs="Times New Roman"/>
      <w:b/>
      <w:color w:val="595959"/>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2E5929"/>
    <w:pPr>
      <w:spacing w:line="480" w:lineRule="auto"/>
      <w:ind w:firstLine="360"/>
    </w:pPr>
  </w:style>
  <w:style w:type="character" w:customStyle="1" w:styleId="BodyTextChar">
    <w:name w:val="Body Text Char"/>
    <w:basedOn w:val="DefaultParagraphFont"/>
    <w:link w:val="BodyText"/>
    <w:uiPriority w:val="99"/>
    <w:locked/>
    <w:rsid w:val="002E5929"/>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4B1702"/>
  </w:style>
  <w:style w:type="paragraph" w:customStyle="1" w:styleId="Bullets">
    <w:name w:val="Bullets"/>
    <w:basedOn w:val="BodyText"/>
    <w:link w:val="BulletsCharChar"/>
    <w:uiPriority w:val="99"/>
    <w:rsid w:val="00D52D90"/>
    <w:pPr>
      <w:numPr>
        <w:numId w:val="3"/>
      </w:numPr>
    </w:pPr>
  </w:style>
  <w:style w:type="paragraph" w:customStyle="1" w:styleId="RefNumbers">
    <w:name w:val="Ref Numbers"/>
    <w:basedOn w:val="BodyText"/>
    <w:uiPriority w:val="99"/>
    <w:rsid w:val="008422A5"/>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semiHidden/>
    <w:rsid w:val="00772BDC"/>
    <w:rPr>
      <w:szCs w:val="20"/>
    </w:rPr>
  </w:style>
  <w:style w:type="paragraph" w:styleId="TOC1">
    <w:name w:val="toc 1"/>
    <w:basedOn w:val="BodyText"/>
    <w:next w:val="BodyText"/>
    <w:uiPriority w:val="39"/>
    <w:rsid w:val="002D16ED"/>
    <w:pPr>
      <w:tabs>
        <w:tab w:val="left" w:pos="720"/>
        <w:tab w:val="right" w:leader="dot" w:pos="10790"/>
      </w:tabs>
      <w:spacing w:before="240" w:line="240" w:lineRule="auto"/>
      <w:ind w:firstLine="0"/>
    </w:pPr>
    <w:rPr>
      <w:b/>
      <w:noProof/>
    </w:rPr>
  </w:style>
  <w:style w:type="character" w:styleId="CommentReference">
    <w:name w:val="annotation reference"/>
    <w:basedOn w:val="DefaultParagraphFont"/>
    <w:uiPriority w:val="99"/>
    <w:semiHidden/>
    <w:rsid w:val="008422A5"/>
    <w:rPr>
      <w:rFonts w:cs="Times New Roman"/>
      <w:sz w:val="16"/>
    </w:rPr>
  </w:style>
  <w:style w:type="paragraph" w:styleId="TOC2">
    <w:name w:val="toc 2"/>
    <w:basedOn w:val="BodyText"/>
    <w:next w:val="BodyText"/>
    <w:uiPriority w:val="39"/>
    <w:rsid w:val="000B2923"/>
    <w:pPr>
      <w:tabs>
        <w:tab w:val="left" w:pos="1260"/>
        <w:tab w:val="right" w:leader="dot" w:pos="10800"/>
      </w:tabs>
      <w:spacing w:line="240" w:lineRule="auto"/>
      <w:ind w:left="720" w:right="360" w:hanging="720"/>
    </w:pPr>
    <w:rPr>
      <w:noProof/>
    </w:rPr>
  </w:style>
  <w:style w:type="paragraph" w:styleId="TOC3">
    <w:name w:val="toc 3"/>
    <w:basedOn w:val="BodyText"/>
    <w:next w:val="BodyText"/>
    <w:uiPriority w:val="39"/>
    <w:rsid w:val="002D16ED"/>
    <w:pPr>
      <w:tabs>
        <w:tab w:val="right" w:leader="dot" w:pos="10800"/>
      </w:tabs>
      <w:spacing w:line="240" w:lineRule="auto"/>
      <w:ind w:left="720" w:firstLine="0"/>
    </w:pPr>
    <w:rPr>
      <w:noProof/>
    </w:rPr>
  </w:style>
  <w:style w:type="paragraph" w:styleId="TOC4">
    <w:name w:val="toc 4"/>
    <w:basedOn w:val="BodyText"/>
    <w:next w:val="BodyText"/>
    <w:uiPriority w:val="99"/>
    <w:semiHidden/>
    <w:rsid w:val="008422A5"/>
    <w:pPr>
      <w:ind w:left="1728"/>
    </w:pPr>
  </w:style>
  <w:style w:type="paragraph" w:styleId="TOC5">
    <w:name w:val="toc 5"/>
    <w:basedOn w:val="Normal"/>
    <w:next w:val="Normal"/>
    <w:autoRedefine/>
    <w:uiPriority w:val="99"/>
    <w:semiHidden/>
    <w:rsid w:val="008422A5"/>
    <w:pPr>
      <w:ind w:left="960"/>
    </w:pPr>
  </w:style>
  <w:style w:type="paragraph" w:styleId="TOC6">
    <w:name w:val="toc 6"/>
    <w:basedOn w:val="Normal"/>
    <w:next w:val="Normal"/>
    <w:autoRedefine/>
    <w:uiPriority w:val="99"/>
    <w:semiHidden/>
    <w:rsid w:val="008422A5"/>
    <w:pPr>
      <w:ind w:left="1200"/>
    </w:pPr>
  </w:style>
  <w:style w:type="paragraph" w:styleId="TOC7">
    <w:name w:val="toc 7"/>
    <w:basedOn w:val="Normal"/>
    <w:next w:val="Normal"/>
    <w:autoRedefine/>
    <w:uiPriority w:val="99"/>
    <w:semiHidden/>
    <w:rsid w:val="008422A5"/>
    <w:pPr>
      <w:ind w:left="1440"/>
    </w:pPr>
  </w:style>
  <w:style w:type="paragraph" w:styleId="TOC8">
    <w:name w:val="toc 8"/>
    <w:basedOn w:val="Normal"/>
    <w:next w:val="Normal"/>
    <w:autoRedefine/>
    <w:uiPriority w:val="99"/>
    <w:semiHidden/>
    <w:rsid w:val="008422A5"/>
    <w:pPr>
      <w:ind w:left="1680"/>
    </w:pPr>
  </w:style>
  <w:style w:type="paragraph" w:styleId="TOC9">
    <w:name w:val="toc 9"/>
    <w:basedOn w:val="Normal"/>
    <w:next w:val="Normal"/>
    <w:autoRedefine/>
    <w:uiPriority w:val="99"/>
    <w:semiHidden/>
    <w:rsid w:val="008422A5"/>
    <w:pPr>
      <w:ind w:left="1920"/>
    </w:pPr>
  </w:style>
  <w:style w:type="character" w:styleId="FootnoteReference">
    <w:name w:val="footnote reference"/>
    <w:basedOn w:val="DefaultParagraphFont"/>
    <w:uiPriority w:val="99"/>
    <w:rsid w:val="007B1904"/>
    <w:rPr>
      <w:rFonts w:cs="Times New Roman"/>
      <w:vertAlign w:val="superscript"/>
    </w:rPr>
  </w:style>
  <w:style w:type="paragraph" w:customStyle="1" w:styleId="Exhibit">
    <w:name w:val="Exhibit"/>
    <w:basedOn w:val="Normal"/>
    <w:uiPriority w:val="99"/>
    <w:rsid w:val="00223A9F"/>
    <w:rPr>
      <w:rFonts w:ascii="Arial" w:hAnsi="Arial"/>
      <w:sz w:val="18"/>
    </w:rPr>
  </w:style>
  <w:style w:type="paragraph" w:styleId="FootnoteText">
    <w:name w:val="footnote text"/>
    <w:aliases w:val="F1"/>
    <w:basedOn w:val="Normal"/>
    <w:link w:val="FootnoteTextChar"/>
    <w:uiPriority w:val="99"/>
    <w:rsid w:val="00D52D90"/>
    <w:pPr>
      <w:spacing w:line="240" w:lineRule="auto"/>
      <w:ind w:left="360" w:hanging="360"/>
    </w:pPr>
    <w:rPr>
      <w:sz w:val="20"/>
    </w:rPr>
  </w:style>
  <w:style w:type="character" w:customStyle="1" w:styleId="FootnoteTextChar">
    <w:name w:val="Footnote Text Char"/>
    <w:aliases w:val="F1 Char"/>
    <w:basedOn w:val="DefaultParagraphFont"/>
    <w:link w:val="FootnoteText"/>
    <w:uiPriority w:val="99"/>
    <w:locked/>
    <w:rsid w:val="00D52D90"/>
    <w:rPr>
      <w:sz w:val="20"/>
      <w:szCs w:val="20"/>
    </w:rPr>
  </w:style>
  <w:style w:type="paragraph" w:styleId="Index1">
    <w:name w:val="index 1"/>
    <w:basedOn w:val="Normal"/>
    <w:next w:val="Normal"/>
    <w:autoRedefine/>
    <w:uiPriority w:val="99"/>
    <w:semiHidden/>
    <w:rsid w:val="008422A5"/>
    <w:pPr>
      <w:ind w:left="220" w:hanging="220"/>
    </w:pPr>
    <w:rPr>
      <w:sz w:val="20"/>
    </w:rPr>
  </w:style>
  <w:style w:type="paragraph" w:styleId="Index2">
    <w:name w:val="index 2"/>
    <w:basedOn w:val="Normal"/>
    <w:next w:val="Normal"/>
    <w:autoRedefine/>
    <w:uiPriority w:val="99"/>
    <w:semiHidden/>
    <w:rsid w:val="008422A5"/>
    <w:pPr>
      <w:ind w:left="440" w:hanging="220"/>
    </w:pPr>
    <w:rPr>
      <w:sz w:val="20"/>
    </w:rPr>
  </w:style>
  <w:style w:type="paragraph" w:styleId="Index3">
    <w:name w:val="index 3"/>
    <w:basedOn w:val="Normal"/>
    <w:next w:val="Normal"/>
    <w:autoRedefine/>
    <w:uiPriority w:val="99"/>
    <w:semiHidden/>
    <w:rsid w:val="008422A5"/>
    <w:pPr>
      <w:ind w:left="660" w:hanging="220"/>
    </w:pPr>
    <w:rPr>
      <w:sz w:val="20"/>
    </w:rPr>
  </w:style>
  <w:style w:type="paragraph" w:customStyle="1" w:styleId="Numbers">
    <w:name w:val="Numbers"/>
    <w:basedOn w:val="BodyText"/>
    <w:uiPriority w:val="99"/>
    <w:rsid w:val="008422A5"/>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locked/>
    <w:rsid w:val="001329ED"/>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772BDC"/>
    <w:rPr>
      <w:rFonts w:cs="Times New Roman"/>
      <w:b/>
      <w:bCs/>
      <w:sz w:val="20"/>
      <w:szCs w:val="20"/>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772BDC"/>
    <w:rPr>
      <w:sz w:val="0"/>
      <w:szCs w:val="0"/>
    </w:rPr>
  </w:style>
  <w:style w:type="table" w:styleId="TableGrid">
    <w:name w:val="Table Grid"/>
    <w:basedOn w:val="TableNormal"/>
    <w:uiPriority w:val="99"/>
    <w:rsid w:val="005B1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7C2A13"/>
    <w:pPr>
      <w:spacing w:before="240"/>
    </w:pPr>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52D90"/>
    <w:pPr>
      <w:keepNext/>
      <w:keepLines/>
      <w:widowControl w:val="0"/>
      <w:tabs>
        <w:tab w:val="left" w:pos="1440"/>
      </w:tabs>
      <w:spacing w:after="120"/>
      <w:ind w:left="1440" w:hanging="1440"/>
    </w:pPr>
    <w:rPr>
      <w:rFonts w:ascii="Arial" w:hAnsi="Arial"/>
      <w:b/>
      <w:bCs/>
      <w:sz w:val="18"/>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52D90"/>
    <w:pPr>
      <w:spacing w:after="240" w:line="240" w:lineRule="auto"/>
    </w:pPr>
    <w:rPr>
      <w:rFonts w:ascii="Arial" w:hAnsi="Arial" w:cs="Arial"/>
      <w:sz w:val="18"/>
    </w:rPr>
  </w:style>
  <w:style w:type="paragraph" w:customStyle="1" w:styleId="ExhibitText">
    <w:name w:val="Exhibit Text"/>
    <w:basedOn w:val="TableText"/>
    <w:uiPriority w:val="99"/>
    <w:rsid w:val="00D52D90"/>
    <w:pPr>
      <w:spacing w:before="0" w:after="0" w:line="240" w:lineRule="auto"/>
    </w:pPr>
    <w:rPr>
      <w:rFonts w:ascii="Arial Narrow" w:hAnsi="Arial Narrow"/>
      <w:sz w:val="18"/>
    </w:rPr>
  </w:style>
  <w:style w:type="paragraph" w:customStyle="1" w:styleId="ExhibitColumnHeader">
    <w:name w:val="Exhibit Column Header"/>
    <w:basedOn w:val="ExhibitRowHeader"/>
    <w:uiPriority w:val="99"/>
    <w:rsid w:val="00D52D90"/>
    <w:pPr>
      <w:spacing w:before="0" w:after="0"/>
    </w:pPr>
    <w:rPr>
      <w:rFonts w:ascii="Arial Narrow" w:hAnsi="Arial Narrow"/>
      <w:color w:val="000000"/>
      <w:sz w:val="18"/>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BodyText"/>
    <w:uiPriority w:val="99"/>
    <w:rsid w:val="004B1702"/>
    <w:pPr>
      <w:keepNext/>
      <w:keepLines/>
      <w:tabs>
        <w:tab w:val="left" w:pos="720"/>
        <w:tab w:val="left" w:pos="1080"/>
        <w:tab w:val="left" w:pos="1440"/>
        <w:tab w:val="left" w:pos="1800"/>
      </w:tabs>
      <w:spacing w:after="360"/>
      <w:outlineLvl w:val="0"/>
    </w:pPr>
    <w:rPr>
      <w:rFonts w:ascii="Arial Bold" w:hAnsi="Arial Bold"/>
      <w:b/>
      <w:smallCaps/>
      <w:sz w:val="28"/>
    </w:rPr>
  </w:style>
  <w:style w:type="paragraph" w:customStyle="1" w:styleId="full-govpro">
    <w:name w:val="full-govpro"/>
    <w:uiPriority w:val="99"/>
    <w:rsid w:val="004B1702"/>
    <w:pPr>
      <w:tabs>
        <w:tab w:val="left" w:pos="720"/>
        <w:tab w:val="left" w:pos="1080"/>
        <w:tab w:val="left" w:pos="1440"/>
        <w:tab w:val="left" w:pos="1800"/>
      </w:tabs>
      <w:spacing w:line="264" w:lineRule="auto"/>
    </w:pPr>
    <w:rPr>
      <w:szCs w:val="20"/>
    </w:rPr>
  </w:style>
  <w:style w:type="paragraph" w:customStyle="1" w:styleId="AbtHeadB">
    <w:name w:val="AbtHead B"/>
    <w:basedOn w:val="Normal"/>
    <w:next w:val="BodyText"/>
    <w:link w:val="AbtHeadBChar"/>
    <w:uiPriority w:val="99"/>
    <w:rsid w:val="004B1702"/>
    <w:pPr>
      <w:keepNext/>
      <w:keepLines/>
      <w:tabs>
        <w:tab w:val="left" w:pos="720"/>
        <w:tab w:val="left" w:pos="1080"/>
        <w:tab w:val="left" w:pos="1440"/>
        <w:tab w:val="left" w:pos="1800"/>
      </w:tabs>
      <w:spacing w:after="280"/>
      <w:outlineLvl w:val="1"/>
    </w:pPr>
    <w:rPr>
      <w:rFonts w:ascii="Arial" w:hAnsi="Arial"/>
      <w:b/>
      <w:sz w:val="24"/>
    </w:rPr>
  </w:style>
  <w:style w:type="character" w:customStyle="1" w:styleId="AbtHeadBChar">
    <w:name w:val="AbtHead B Char"/>
    <w:link w:val="AbtHeadB"/>
    <w:uiPriority w:val="99"/>
    <w:locked/>
    <w:rsid w:val="004B1702"/>
    <w:rPr>
      <w:rFonts w:ascii="Arial" w:hAnsi="Arial"/>
      <w:b/>
      <w:sz w:val="24"/>
    </w:rPr>
  </w:style>
  <w:style w:type="paragraph" w:customStyle="1" w:styleId="AbtHeadC">
    <w:name w:val="AbtHead C"/>
    <w:basedOn w:val="Normal"/>
    <w:next w:val="BodyText"/>
    <w:link w:val="AbtHeadCChar"/>
    <w:uiPriority w:val="99"/>
    <w:rsid w:val="004B1702"/>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link w:val="TableChar"/>
    <w:uiPriority w:val="99"/>
    <w:rsid w:val="004B1702"/>
    <w:pPr>
      <w:tabs>
        <w:tab w:val="left" w:pos="720"/>
        <w:tab w:val="left" w:pos="1080"/>
        <w:tab w:val="left" w:pos="1440"/>
        <w:tab w:val="left" w:pos="1800"/>
      </w:tabs>
    </w:pPr>
    <w:rPr>
      <w:rFonts w:ascii="Arial Narrow" w:hAnsi="Arial Narrow"/>
      <w:sz w:val="18"/>
    </w:rPr>
  </w:style>
  <w:style w:type="paragraph" w:customStyle="1" w:styleId="ExhibitColumnHeads">
    <w:name w:val="Exhibit Column Heads"/>
    <w:basedOn w:val="Normal"/>
    <w:uiPriority w:val="99"/>
    <w:rsid w:val="004B1702"/>
    <w:pPr>
      <w:tabs>
        <w:tab w:val="left" w:pos="432"/>
      </w:tabs>
      <w:spacing w:line="240" w:lineRule="auto"/>
      <w:jc w:val="center"/>
    </w:pPr>
    <w:rPr>
      <w:rFonts w:ascii="Arial Narrow" w:hAnsi="Arial Narrow" w:cs="Arial"/>
      <w:b/>
      <w:sz w:val="18"/>
      <w:szCs w:val="24"/>
    </w:rPr>
  </w:style>
  <w:style w:type="paragraph" w:customStyle="1" w:styleId="ExhibitTitle">
    <w:name w:val="Exhibit Title"/>
    <w:basedOn w:val="Caption"/>
    <w:next w:val="Normal"/>
    <w:uiPriority w:val="99"/>
    <w:rsid w:val="004B1702"/>
    <w:pPr>
      <w:tabs>
        <w:tab w:val="clear" w:pos="1440"/>
        <w:tab w:val="left" w:pos="432"/>
      </w:tabs>
      <w:spacing w:after="40" w:line="240" w:lineRule="auto"/>
      <w:ind w:left="0" w:firstLine="0"/>
    </w:pPr>
    <w:rPr>
      <w:color w:val="FFFFFF"/>
      <w:szCs w:val="24"/>
    </w:rPr>
  </w:style>
  <w:style w:type="character" w:customStyle="1" w:styleId="Head4">
    <w:name w:val="Head4"/>
    <w:uiPriority w:val="99"/>
    <w:rsid w:val="004B1702"/>
    <w:rPr>
      <w:rFonts w:ascii="Arial" w:hAnsi="Arial"/>
      <w:b/>
      <w:color w:val="006699"/>
      <w:sz w:val="20"/>
    </w:rPr>
  </w:style>
  <w:style w:type="character" w:customStyle="1" w:styleId="TableChar">
    <w:name w:val="Table Char"/>
    <w:link w:val="Table"/>
    <w:uiPriority w:val="99"/>
    <w:locked/>
    <w:rsid w:val="004B1702"/>
    <w:rPr>
      <w:rFonts w:ascii="Arial Narrow" w:hAnsi="Arial Narrow"/>
      <w:sz w:val="18"/>
    </w:rPr>
  </w:style>
  <w:style w:type="paragraph" w:customStyle="1" w:styleId="TOCTitle">
    <w:name w:val="TOC Title"/>
    <w:basedOn w:val="Normal"/>
    <w:next w:val="Normal"/>
    <w:uiPriority w:val="99"/>
    <w:rsid w:val="004B1702"/>
    <w:pPr>
      <w:numPr>
        <w:numId w:val="6"/>
      </w:numPr>
      <w:tabs>
        <w:tab w:val="clear" w:pos="1080"/>
      </w:tabs>
      <w:autoSpaceDE w:val="0"/>
      <w:autoSpaceDN w:val="0"/>
      <w:adjustRightInd w:val="0"/>
      <w:spacing w:line="240" w:lineRule="auto"/>
      <w:ind w:left="0" w:firstLine="0"/>
    </w:pPr>
    <w:rPr>
      <w:rFonts w:ascii="Garamond" w:hAnsi="Garamond"/>
      <w:color w:val="000000"/>
      <w:sz w:val="24"/>
      <w:szCs w:val="24"/>
    </w:rPr>
  </w:style>
  <w:style w:type="paragraph" w:customStyle="1" w:styleId="P1-StandPara">
    <w:name w:val="P1-Stand Para"/>
    <w:basedOn w:val="Normal"/>
    <w:uiPriority w:val="99"/>
    <w:rsid w:val="004B1702"/>
    <w:pPr>
      <w:spacing w:line="480" w:lineRule="auto"/>
      <w:ind w:firstLine="1152"/>
    </w:pPr>
    <w:rPr>
      <w:rFonts w:ascii="Garamond" w:hAnsi="Garamond" w:cs="Garamond"/>
      <w:sz w:val="24"/>
      <w:szCs w:val="24"/>
    </w:rPr>
  </w:style>
  <w:style w:type="paragraph" w:customStyle="1" w:styleId="TH-TableHeading">
    <w:name w:val="TH-Table Heading"/>
    <w:basedOn w:val="Heading1"/>
    <w:uiPriority w:val="99"/>
    <w:rsid w:val="004B1702"/>
    <w:pPr>
      <w:keepLines w:val="0"/>
      <w:pageBreakBefore w:val="0"/>
      <w:pBdr>
        <w:top w:val="none" w:sz="0" w:space="0" w:color="auto"/>
        <w:bottom w:val="none" w:sz="0" w:space="0" w:color="auto"/>
      </w:pBdr>
      <w:shd w:val="clear" w:color="auto" w:fill="auto"/>
      <w:tabs>
        <w:tab w:val="left" w:pos="1440"/>
      </w:tabs>
      <w:spacing w:line="240" w:lineRule="atLeast"/>
      <w:jc w:val="center"/>
    </w:pPr>
    <w:rPr>
      <w:rFonts w:ascii="Franklin Gothic Medium" w:hAnsi="Franklin Gothic Medium" w:cs="Franklin Gothic Medium"/>
      <w:bCs/>
      <w:color w:val="auto"/>
      <w:kern w:val="0"/>
      <w:sz w:val="20"/>
    </w:rPr>
  </w:style>
  <w:style w:type="paragraph" w:customStyle="1" w:styleId="TX-TableText">
    <w:name w:val="TX-Table Text"/>
    <w:basedOn w:val="Normal"/>
    <w:uiPriority w:val="99"/>
    <w:rsid w:val="004B1702"/>
    <w:pPr>
      <w:spacing w:line="240" w:lineRule="atLeast"/>
    </w:pPr>
    <w:rPr>
      <w:rFonts w:ascii="Franklin Gothic Medium" w:hAnsi="Franklin Gothic Medium" w:cs="Franklin Gothic Medium"/>
      <w:sz w:val="20"/>
    </w:rPr>
  </w:style>
  <w:style w:type="character" w:customStyle="1" w:styleId="BulletsCharChar">
    <w:name w:val="Bullets Char Char"/>
    <w:link w:val="Bullets"/>
    <w:uiPriority w:val="99"/>
    <w:locked/>
    <w:rsid w:val="00D52D90"/>
    <w:rPr>
      <w:szCs w:val="20"/>
    </w:rPr>
  </w:style>
  <w:style w:type="character" w:customStyle="1" w:styleId="AbtHeadCChar">
    <w:name w:val="AbtHead C Char"/>
    <w:link w:val="AbtHeadC"/>
    <w:uiPriority w:val="99"/>
    <w:locked/>
    <w:rsid w:val="004B1702"/>
    <w:rPr>
      <w:rFonts w:ascii="Arial" w:hAnsi="Arial"/>
      <w:b/>
    </w:rPr>
  </w:style>
  <w:style w:type="paragraph" w:styleId="Revision">
    <w:name w:val="Revision"/>
    <w:hidden/>
    <w:uiPriority w:val="99"/>
    <w:semiHidden/>
    <w:rsid w:val="002006CC"/>
    <w:rPr>
      <w:szCs w:val="20"/>
    </w:rPr>
  </w:style>
  <w:style w:type="table" w:customStyle="1" w:styleId="COMELtable">
    <w:name w:val="COMEL table"/>
    <w:uiPriority w:val="99"/>
    <w:rsid w:val="008F3674"/>
    <w:rPr>
      <w:sz w:val="20"/>
      <w:szCs w:val="20"/>
    </w:rPr>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0F4F6"/>
    </w:tcPr>
    <w:tblStylePr w:type="firstRow">
      <w:pPr>
        <w:jc w:val="center"/>
      </w:pPr>
      <w:rPr>
        <w:rFonts w:cs="Times New Roman"/>
      </w:rPr>
      <w:tblPr/>
      <w:tcPr>
        <w:shd w:val="clear" w:color="auto" w:fill="D0D3D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nhideWhenUsed="0"/>
    <w:lsdException w:name="caption" w:locked="1" w:semiHidden="0" w:unhideWhenUsed="0" w:qFormat="1"/>
    <w:lsdException w:name="annotation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702"/>
    <w:pPr>
      <w:spacing w:line="264" w:lineRule="auto"/>
    </w:pPr>
    <w:rPr>
      <w:szCs w:val="20"/>
    </w:rPr>
  </w:style>
  <w:style w:type="paragraph" w:styleId="Heading1">
    <w:name w:val="heading 1"/>
    <w:basedOn w:val="Normal"/>
    <w:next w:val="BodyText"/>
    <w:link w:val="Heading1Char"/>
    <w:uiPriority w:val="99"/>
    <w:qFormat/>
    <w:rsid w:val="00D52D90"/>
    <w:pPr>
      <w:keepNext/>
      <w:keepLines/>
      <w:pageBreakBefore/>
      <w:pBdr>
        <w:top w:val="single" w:sz="6" w:space="3" w:color="DA291C"/>
        <w:bottom w:val="single" w:sz="6" w:space="3" w:color="DA291C"/>
      </w:pBdr>
      <w:shd w:val="clear" w:color="auto" w:fill="DA291C"/>
      <w:spacing w:after="240" w:line="240" w:lineRule="auto"/>
      <w:outlineLvl w:val="0"/>
    </w:pPr>
    <w:rPr>
      <w:rFonts w:ascii="Arial" w:hAnsi="Arial"/>
      <w:b/>
      <w:color w:val="FFFFFF"/>
      <w:kern w:val="28"/>
    </w:rPr>
  </w:style>
  <w:style w:type="paragraph" w:styleId="Heading2">
    <w:name w:val="heading 2"/>
    <w:basedOn w:val="Normal"/>
    <w:next w:val="BodyText"/>
    <w:link w:val="Heading2Char"/>
    <w:uiPriority w:val="99"/>
    <w:qFormat/>
    <w:rsid w:val="004A0A6D"/>
    <w:pPr>
      <w:keepNext/>
      <w:pBdr>
        <w:top w:val="single" w:sz="6" w:space="1" w:color="D0D3D4"/>
        <w:bottom w:val="single" w:sz="6" w:space="1" w:color="D0D3D4"/>
      </w:pBdr>
      <w:shd w:val="clear" w:color="auto" w:fill="D0D3D4"/>
      <w:spacing w:after="240" w:line="240" w:lineRule="auto"/>
      <w:ind w:left="720" w:hanging="720"/>
      <w:outlineLvl w:val="1"/>
    </w:pPr>
    <w:rPr>
      <w:rFonts w:ascii="Arial" w:hAnsi="Arial" w:cs="Arial"/>
      <w:b/>
      <w:bCs/>
      <w:iCs/>
      <w:color w:val="000000"/>
      <w:sz w:val="20"/>
      <w:szCs w:val="28"/>
    </w:rPr>
  </w:style>
  <w:style w:type="paragraph" w:styleId="Heading3">
    <w:name w:val="heading 3"/>
    <w:basedOn w:val="Normal"/>
    <w:next w:val="BodyText"/>
    <w:link w:val="Heading3Char"/>
    <w:uiPriority w:val="99"/>
    <w:qFormat/>
    <w:rsid w:val="00D52D90"/>
    <w:pPr>
      <w:keepNext/>
      <w:spacing w:after="240" w:line="240" w:lineRule="auto"/>
      <w:outlineLvl w:val="2"/>
    </w:pPr>
    <w:rPr>
      <w:rFonts w:ascii="Arial" w:hAnsi="Arial"/>
      <w:b/>
      <w:color w:val="DA291C"/>
      <w:sz w:val="20"/>
    </w:rPr>
  </w:style>
  <w:style w:type="paragraph" w:styleId="Heading4">
    <w:name w:val="heading 4"/>
    <w:basedOn w:val="Normal"/>
    <w:next w:val="BodyText"/>
    <w:link w:val="Heading4Char"/>
    <w:uiPriority w:val="99"/>
    <w:qFormat/>
    <w:rsid w:val="00D52D90"/>
    <w:pPr>
      <w:keepNext/>
      <w:numPr>
        <w:ilvl w:val="3"/>
        <w:numId w:val="4"/>
      </w:numPr>
      <w:spacing w:after="240" w:line="240" w:lineRule="auto"/>
      <w:outlineLvl w:val="3"/>
    </w:pPr>
    <w:rPr>
      <w:rFonts w:ascii="Arial" w:hAnsi="Arial"/>
      <w:b/>
      <w:i/>
      <w:color w:val="DA291C" w:themeColor="text2"/>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2D90"/>
    <w:rPr>
      <w:rFonts w:ascii="Arial" w:hAnsi="Arial"/>
      <w:b/>
      <w:color w:val="FFFFFF"/>
      <w:kern w:val="28"/>
      <w:szCs w:val="20"/>
      <w:shd w:val="clear" w:color="auto" w:fill="DA291C"/>
    </w:rPr>
  </w:style>
  <w:style w:type="character" w:customStyle="1" w:styleId="Heading2Char">
    <w:name w:val="Heading 2 Char"/>
    <w:basedOn w:val="DefaultParagraphFont"/>
    <w:link w:val="Heading2"/>
    <w:uiPriority w:val="99"/>
    <w:locked/>
    <w:rsid w:val="004A0A6D"/>
    <w:rPr>
      <w:rFonts w:ascii="Arial" w:hAnsi="Arial" w:cs="Arial"/>
      <w:b/>
      <w:bCs/>
      <w:iCs/>
      <w:color w:val="000000"/>
      <w:sz w:val="20"/>
      <w:szCs w:val="28"/>
      <w:shd w:val="clear" w:color="auto" w:fill="D0D3D4"/>
    </w:rPr>
  </w:style>
  <w:style w:type="character" w:customStyle="1" w:styleId="Heading3Char">
    <w:name w:val="Heading 3 Char"/>
    <w:basedOn w:val="DefaultParagraphFont"/>
    <w:link w:val="Heading3"/>
    <w:uiPriority w:val="99"/>
    <w:rsid w:val="00D52D90"/>
    <w:rPr>
      <w:rFonts w:ascii="Arial" w:hAnsi="Arial"/>
      <w:b/>
      <w:color w:val="DA291C"/>
      <w:sz w:val="20"/>
      <w:szCs w:val="20"/>
    </w:rPr>
  </w:style>
  <w:style w:type="character" w:customStyle="1" w:styleId="Heading4Char">
    <w:name w:val="Heading 4 Char"/>
    <w:basedOn w:val="DefaultParagraphFont"/>
    <w:link w:val="Heading4"/>
    <w:uiPriority w:val="99"/>
    <w:rsid w:val="00D52D90"/>
    <w:rPr>
      <w:rFonts w:ascii="Arial" w:hAnsi="Arial"/>
      <w:b/>
      <w:i/>
      <w:color w:val="DA291C" w:themeColor="text2"/>
      <w:sz w:val="20"/>
      <w:szCs w:val="20"/>
    </w:rPr>
  </w:style>
  <w:style w:type="character" w:customStyle="1" w:styleId="Heading5Char">
    <w:name w:val="Heading 5 Char"/>
    <w:basedOn w:val="DefaultParagraphFont"/>
    <w:link w:val="Heading5"/>
    <w:uiPriority w:val="9"/>
    <w:semiHidden/>
    <w:rsid w:val="00772BD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72BD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772BD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72BD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72BDC"/>
    <w:rPr>
      <w:rFonts w:asciiTheme="majorHAnsi" w:eastAsiaTheme="majorEastAsia" w:hAnsiTheme="majorHAnsi" w:cstheme="majorBidi"/>
    </w:rPr>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sz w:val="18"/>
    </w:rPr>
  </w:style>
  <w:style w:type="character" w:customStyle="1" w:styleId="FooterChar">
    <w:name w:val="Footer Char"/>
    <w:basedOn w:val="DefaultParagraphFont"/>
    <w:link w:val="Footer"/>
    <w:uiPriority w:val="99"/>
    <w:locked/>
    <w:rsid w:val="00967D7C"/>
    <w:rPr>
      <w:rFonts w:ascii="Arial" w:hAnsi="Arial" w:cs="Times New Roman"/>
      <w:b/>
      <w:color w:val="595959"/>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2E5929"/>
    <w:pPr>
      <w:spacing w:line="480" w:lineRule="auto"/>
      <w:ind w:firstLine="360"/>
    </w:pPr>
  </w:style>
  <w:style w:type="character" w:customStyle="1" w:styleId="BodyTextChar">
    <w:name w:val="Body Text Char"/>
    <w:basedOn w:val="DefaultParagraphFont"/>
    <w:link w:val="BodyText"/>
    <w:uiPriority w:val="99"/>
    <w:locked/>
    <w:rsid w:val="002E5929"/>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4B1702"/>
  </w:style>
  <w:style w:type="paragraph" w:customStyle="1" w:styleId="Bullets">
    <w:name w:val="Bullets"/>
    <w:basedOn w:val="BodyText"/>
    <w:link w:val="BulletsCharChar"/>
    <w:uiPriority w:val="99"/>
    <w:rsid w:val="00D52D90"/>
    <w:pPr>
      <w:numPr>
        <w:numId w:val="3"/>
      </w:numPr>
    </w:pPr>
  </w:style>
  <w:style w:type="paragraph" w:customStyle="1" w:styleId="RefNumbers">
    <w:name w:val="Ref Numbers"/>
    <w:basedOn w:val="BodyText"/>
    <w:uiPriority w:val="99"/>
    <w:rsid w:val="008422A5"/>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semiHidden/>
    <w:rsid w:val="00772BDC"/>
    <w:rPr>
      <w:szCs w:val="20"/>
    </w:rPr>
  </w:style>
  <w:style w:type="paragraph" w:styleId="TOC1">
    <w:name w:val="toc 1"/>
    <w:basedOn w:val="BodyText"/>
    <w:next w:val="BodyText"/>
    <w:uiPriority w:val="39"/>
    <w:rsid w:val="002D16ED"/>
    <w:pPr>
      <w:tabs>
        <w:tab w:val="left" w:pos="720"/>
        <w:tab w:val="right" w:leader="dot" w:pos="10790"/>
      </w:tabs>
      <w:spacing w:before="240" w:line="240" w:lineRule="auto"/>
      <w:ind w:firstLine="0"/>
    </w:pPr>
    <w:rPr>
      <w:b/>
      <w:noProof/>
    </w:rPr>
  </w:style>
  <w:style w:type="character" w:styleId="CommentReference">
    <w:name w:val="annotation reference"/>
    <w:basedOn w:val="DefaultParagraphFont"/>
    <w:uiPriority w:val="99"/>
    <w:semiHidden/>
    <w:rsid w:val="008422A5"/>
    <w:rPr>
      <w:rFonts w:cs="Times New Roman"/>
      <w:sz w:val="16"/>
    </w:rPr>
  </w:style>
  <w:style w:type="paragraph" w:styleId="TOC2">
    <w:name w:val="toc 2"/>
    <w:basedOn w:val="BodyText"/>
    <w:next w:val="BodyText"/>
    <w:uiPriority w:val="39"/>
    <w:rsid w:val="000B2923"/>
    <w:pPr>
      <w:tabs>
        <w:tab w:val="left" w:pos="1260"/>
        <w:tab w:val="right" w:leader="dot" w:pos="10800"/>
      </w:tabs>
      <w:spacing w:line="240" w:lineRule="auto"/>
      <w:ind w:left="720" w:right="360" w:hanging="720"/>
    </w:pPr>
    <w:rPr>
      <w:noProof/>
    </w:rPr>
  </w:style>
  <w:style w:type="paragraph" w:styleId="TOC3">
    <w:name w:val="toc 3"/>
    <w:basedOn w:val="BodyText"/>
    <w:next w:val="BodyText"/>
    <w:uiPriority w:val="39"/>
    <w:rsid w:val="002D16ED"/>
    <w:pPr>
      <w:tabs>
        <w:tab w:val="right" w:leader="dot" w:pos="10800"/>
      </w:tabs>
      <w:spacing w:line="240" w:lineRule="auto"/>
      <w:ind w:left="720" w:firstLine="0"/>
    </w:pPr>
    <w:rPr>
      <w:noProof/>
    </w:rPr>
  </w:style>
  <w:style w:type="paragraph" w:styleId="TOC4">
    <w:name w:val="toc 4"/>
    <w:basedOn w:val="BodyText"/>
    <w:next w:val="BodyText"/>
    <w:uiPriority w:val="99"/>
    <w:semiHidden/>
    <w:rsid w:val="008422A5"/>
    <w:pPr>
      <w:ind w:left="1728"/>
    </w:pPr>
  </w:style>
  <w:style w:type="paragraph" w:styleId="TOC5">
    <w:name w:val="toc 5"/>
    <w:basedOn w:val="Normal"/>
    <w:next w:val="Normal"/>
    <w:autoRedefine/>
    <w:uiPriority w:val="99"/>
    <w:semiHidden/>
    <w:rsid w:val="008422A5"/>
    <w:pPr>
      <w:ind w:left="960"/>
    </w:pPr>
  </w:style>
  <w:style w:type="paragraph" w:styleId="TOC6">
    <w:name w:val="toc 6"/>
    <w:basedOn w:val="Normal"/>
    <w:next w:val="Normal"/>
    <w:autoRedefine/>
    <w:uiPriority w:val="99"/>
    <w:semiHidden/>
    <w:rsid w:val="008422A5"/>
    <w:pPr>
      <w:ind w:left="1200"/>
    </w:pPr>
  </w:style>
  <w:style w:type="paragraph" w:styleId="TOC7">
    <w:name w:val="toc 7"/>
    <w:basedOn w:val="Normal"/>
    <w:next w:val="Normal"/>
    <w:autoRedefine/>
    <w:uiPriority w:val="99"/>
    <w:semiHidden/>
    <w:rsid w:val="008422A5"/>
    <w:pPr>
      <w:ind w:left="1440"/>
    </w:pPr>
  </w:style>
  <w:style w:type="paragraph" w:styleId="TOC8">
    <w:name w:val="toc 8"/>
    <w:basedOn w:val="Normal"/>
    <w:next w:val="Normal"/>
    <w:autoRedefine/>
    <w:uiPriority w:val="99"/>
    <w:semiHidden/>
    <w:rsid w:val="008422A5"/>
    <w:pPr>
      <w:ind w:left="1680"/>
    </w:pPr>
  </w:style>
  <w:style w:type="paragraph" w:styleId="TOC9">
    <w:name w:val="toc 9"/>
    <w:basedOn w:val="Normal"/>
    <w:next w:val="Normal"/>
    <w:autoRedefine/>
    <w:uiPriority w:val="99"/>
    <w:semiHidden/>
    <w:rsid w:val="008422A5"/>
    <w:pPr>
      <w:ind w:left="1920"/>
    </w:pPr>
  </w:style>
  <w:style w:type="character" w:styleId="FootnoteReference">
    <w:name w:val="footnote reference"/>
    <w:basedOn w:val="DefaultParagraphFont"/>
    <w:uiPriority w:val="99"/>
    <w:rsid w:val="007B1904"/>
    <w:rPr>
      <w:rFonts w:cs="Times New Roman"/>
      <w:vertAlign w:val="superscript"/>
    </w:rPr>
  </w:style>
  <w:style w:type="paragraph" w:customStyle="1" w:styleId="Exhibit">
    <w:name w:val="Exhibit"/>
    <w:basedOn w:val="Normal"/>
    <w:uiPriority w:val="99"/>
    <w:rsid w:val="00223A9F"/>
    <w:rPr>
      <w:rFonts w:ascii="Arial" w:hAnsi="Arial"/>
      <w:sz w:val="18"/>
    </w:rPr>
  </w:style>
  <w:style w:type="paragraph" w:styleId="FootnoteText">
    <w:name w:val="footnote text"/>
    <w:aliases w:val="F1"/>
    <w:basedOn w:val="Normal"/>
    <w:link w:val="FootnoteTextChar"/>
    <w:uiPriority w:val="99"/>
    <w:rsid w:val="00D52D90"/>
    <w:pPr>
      <w:spacing w:line="240" w:lineRule="auto"/>
      <w:ind w:left="360" w:hanging="360"/>
    </w:pPr>
    <w:rPr>
      <w:sz w:val="20"/>
    </w:rPr>
  </w:style>
  <w:style w:type="character" w:customStyle="1" w:styleId="FootnoteTextChar">
    <w:name w:val="Footnote Text Char"/>
    <w:aliases w:val="F1 Char"/>
    <w:basedOn w:val="DefaultParagraphFont"/>
    <w:link w:val="FootnoteText"/>
    <w:uiPriority w:val="99"/>
    <w:locked/>
    <w:rsid w:val="00D52D90"/>
    <w:rPr>
      <w:sz w:val="20"/>
      <w:szCs w:val="20"/>
    </w:rPr>
  </w:style>
  <w:style w:type="paragraph" w:styleId="Index1">
    <w:name w:val="index 1"/>
    <w:basedOn w:val="Normal"/>
    <w:next w:val="Normal"/>
    <w:autoRedefine/>
    <w:uiPriority w:val="99"/>
    <w:semiHidden/>
    <w:rsid w:val="008422A5"/>
    <w:pPr>
      <w:ind w:left="220" w:hanging="220"/>
    </w:pPr>
    <w:rPr>
      <w:sz w:val="20"/>
    </w:rPr>
  </w:style>
  <w:style w:type="paragraph" w:styleId="Index2">
    <w:name w:val="index 2"/>
    <w:basedOn w:val="Normal"/>
    <w:next w:val="Normal"/>
    <w:autoRedefine/>
    <w:uiPriority w:val="99"/>
    <w:semiHidden/>
    <w:rsid w:val="008422A5"/>
    <w:pPr>
      <w:ind w:left="440" w:hanging="220"/>
    </w:pPr>
    <w:rPr>
      <w:sz w:val="20"/>
    </w:rPr>
  </w:style>
  <w:style w:type="paragraph" w:styleId="Index3">
    <w:name w:val="index 3"/>
    <w:basedOn w:val="Normal"/>
    <w:next w:val="Normal"/>
    <w:autoRedefine/>
    <w:uiPriority w:val="99"/>
    <w:semiHidden/>
    <w:rsid w:val="008422A5"/>
    <w:pPr>
      <w:ind w:left="660" w:hanging="220"/>
    </w:pPr>
    <w:rPr>
      <w:sz w:val="20"/>
    </w:rPr>
  </w:style>
  <w:style w:type="paragraph" w:customStyle="1" w:styleId="Numbers">
    <w:name w:val="Numbers"/>
    <w:basedOn w:val="BodyText"/>
    <w:uiPriority w:val="99"/>
    <w:rsid w:val="008422A5"/>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locked/>
    <w:rsid w:val="001329ED"/>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772BDC"/>
    <w:rPr>
      <w:rFonts w:cs="Times New Roman"/>
      <w:b/>
      <w:bCs/>
      <w:sz w:val="20"/>
      <w:szCs w:val="20"/>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772BDC"/>
    <w:rPr>
      <w:sz w:val="0"/>
      <w:szCs w:val="0"/>
    </w:rPr>
  </w:style>
  <w:style w:type="table" w:styleId="TableGrid">
    <w:name w:val="Table Grid"/>
    <w:basedOn w:val="TableNormal"/>
    <w:uiPriority w:val="99"/>
    <w:rsid w:val="005B1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7C2A13"/>
    <w:pPr>
      <w:spacing w:before="240"/>
    </w:pPr>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52D90"/>
    <w:pPr>
      <w:keepNext/>
      <w:keepLines/>
      <w:widowControl w:val="0"/>
      <w:tabs>
        <w:tab w:val="left" w:pos="1440"/>
      </w:tabs>
      <w:spacing w:after="120"/>
      <w:ind w:left="1440" w:hanging="1440"/>
    </w:pPr>
    <w:rPr>
      <w:rFonts w:ascii="Arial" w:hAnsi="Arial"/>
      <w:b/>
      <w:bCs/>
      <w:sz w:val="18"/>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52D90"/>
    <w:pPr>
      <w:spacing w:after="240" w:line="240" w:lineRule="auto"/>
    </w:pPr>
    <w:rPr>
      <w:rFonts w:ascii="Arial" w:hAnsi="Arial" w:cs="Arial"/>
      <w:sz w:val="18"/>
    </w:rPr>
  </w:style>
  <w:style w:type="paragraph" w:customStyle="1" w:styleId="ExhibitText">
    <w:name w:val="Exhibit Text"/>
    <w:basedOn w:val="TableText"/>
    <w:uiPriority w:val="99"/>
    <w:rsid w:val="00D52D90"/>
    <w:pPr>
      <w:spacing w:before="0" w:after="0" w:line="240" w:lineRule="auto"/>
    </w:pPr>
    <w:rPr>
      <w:rFonts w:ascii="Arial Narrow" w:hAnsi="Arial Narrow"/>
      <w:sz w:val="18"/>
    </w:rPr>
  </w:style>
  <w:style w:type="paragraph" w:customStyle="1" w:styleId="ExhibitColumnHeader">
    <w:name w:val="Exhibit Column Header"/>
    <w:basedOn w:val="ExhibitRowHeader"/>
    <w:uiPriority w:val="99"/>
    <w:rsid w:val="00D52D90"/>
    <w:pPr>
      <w:spacing w:before="0" w:after="0"/>
    </w:pPr>
    <w:rPr>
      <w:rFonts w:ascii="Arial Narrow" w:hAnsi="Arial Narrow"/>
      <w:color w:val="000000"/>
      <w:sz w:val="18"/>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BodyText"/>
    <w:uiPriority w:val="99"/>
    <w:rsid w:val="004B1702"/>
    <w:pPr>
      <w:keepNext/>
      <w:keepLines/>
      <w:tabs>
        <w:tab w:val="left" w:pos="720"/>
        <w:tab w:val="left" w:pos="1080"/>
        <w:tab w:val="left" w:pos="1440"/>
        <w:tab w:val="left" w:pos="1800"/>
      </w:tabs>
      <w:spacing w:after="360"/>
      <w:outlineLvl w:val="0"/>
    </w:pPr>
    <w:rPr>
      <w:rFonts w:ascii="Arial Bold" w:hAnsi="Arial Bold"/>
      <w:b/>
      <w:smallCaps/>
      <w:sz w:val="28"/>
    </w:rPr>
  </w:style>
  <w:style w:type="paragraph" w:customStyle="1" w:styleId="full-govpro">
    <w:name w:val="full-govpro"/>
    <w:uiPriority w:val="99"/>
    <w:rsid w:val="004B1702"/>
    <w:pPr>
      <w:tabs>
        <w:tab w:val="left" w:pos="720"/>
        <w:tab w:val="left" w:pos="1080"/>
        <w:tab w:val="left" w:pos="1440"/>
        <w:tab w:val="left" w:pos="1800"/>
      </w:tabs>
      <w:spacing w:line="264" w:lineRule="auto"/>
    </w:pPr>
    <w:rPr>
      <w:szCs w:val="20"/>
    </w:rPr>
  </w:style>
  <w:style w:type="paragraph" w:customStyle="1" w:styleId="AbtHeadB">
    <w:name w:val="AbtHead B"/>
    <w:basedOn w:val="Normal"/>
    <w:next w:val="BodyText"/>
    <w:link w:val="AbtHeadBChar"/>
    <w:uiPriority w:val="99"/>
    <w:rsid w:val="004B1702"/>
    <w:pPr>
      <w:keepNext/>
      <w:keepLines/>
      <w:tabs>
        <w:tab w:val="left" w:pos="720"/>
        <w:tab w:val="left" w:pos="1080"/>
        <w:tab w:val="left" w:pos="1440"/>
        <w:tab w:val="left" w:pos="1800"/>
      </w:tabs>
      <w:spacing w:after="280"/>
      <w:outlineLvl w:val="1"/>
    </w:pPr>
    <w:rPr>
      <w:rFonts w:ascii="Arial" w:hAnsi="Arial"/>
      <w:b/>
      <w:sz w:val="24"/>
    </w:rPr>
  </w:style>
  <w:style w:type="character" w:customStyle="1" w:styleId="AbtHeadBChar">
    <w:name w:val="AbtHead B Char"/>
    <w:link w:val="AbtHeadB"/>
    <w:uiPriority w:val="99"/>
    <w:locked/>
    <w:rsid w:val="004B1702"/>
    <w:rPr>
      <w:rFonts w:ascii="Arial" w:hAnsi="Arial"/>
      <w:b/>
      <w:sz w:val="24"/>
    </w:rPr>
  </w:style>
  <w:style w:type="paragraph" w:customStyle="1" w:styleId="AbtHeadC">
    <w:name w:val="AbtHead C"/>
    <w:basedOn w:val="Normal"/>
    <w:next w:val="BodyText"/>
    <w:link w:val="AbtHeadCChar"/>
    <w:uiPriority w:val="99"/>
    <w:rsid w:val="004B1702"/>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link w:val="TableChar"/>
    <w:uiPriority w:val="99"/>
    <w:rsid w:val="004B1702"/>
    <w:pPr>
      <w:tabs>
        <w:tab w:val="left" w:pos="720"/>
        <w:tab w:val="left" w:pos="1080"/>
        <w:tab w:val="left" w:pos="1440"/>
        <w:tab w:val="left" w:pos="1800"/>
      </w:tabs>
    </w:pPr>
    <w:rPr>
      <w:rFonts w:ascii="Arial Narrow" w:hAnsi="Arial Narrow"/>
      <w:sz w:val="18"/>
    </w:rPr>
  </w:style>
  <w:style w:type="paragraph" w:customStyle="1" w:styleId="ExhibitColumnHeads">
    <w:name w:val="Exhibit Column Heads"/>
    <w:basedOn w:val="Normal"/>
    <w:uiPriority w:val="99"/>
    <w:rsid w:val="004B1702"/>
    <w:pPr>
      <w:tabs>
        <w:tab w:val="left" w:pos="432"/>
      </w:tabs>
      <w:spacing w:line="240" w:lineRule="auto"/>
      <w:jc w:val="center"/>
    </w:pPr>
    <w:rPr>
      <w:rFonts w:ascii="Arial Narrow" w:hAnsi="Arial Narrow" w:cs="Arial"/>
      <w:b/>
      <w:sz w:val="18"/>
      <w:szCs w:val="24"/>
    </w:rPr>
  </w:style>
  <w:style w:type="paragraph" w:customStyle="1" w:styleId="ExhibitTitle">
    <w:name w:val="Exhibit Title"/>
    <w:basedOn w:val="Caption"/>
    <w:next w:val="Normal"/>
    <w:uiPriority w:val="99"/>
    <w:rsid w:val="004B1702"/>
    <w:pPr>
      <w:tabs>
        <w:tab w:val="clear" w:pos="1440"/>
        <w:tab w:val="left" w:pos="432"/>
      </w:tabs>
      <w:spacing w:after="40" w:line="240" w:lineRule="auto"/>
      <w:ind w:left="0" w:firstLine="0"/>
    </w:pPr>
    <w:rPr>
      <w:color w:val="FFFFFF"/>
      <w:szCs w:val="24"/>
    </w:rPr>
  </w:style>
  <w:style w:type="character" w:customStyle="1" w:styleId="Head4">
    <w:name w:val="Head4"/>
    <w:uiPriority w:val="99"/>
    <w:rsid w:val="004B1702"/>
    <w:rPr>
      <w:rFonts w:ascii="Arial" w:hAnsi="Arial"/>
      <w:b/>
      <w:color w:val="006699"/>
      <w:sz w:val="20"/>
    </w:rPr>
  </w:style>
  <w:style w:type="character" w:customStyle="1" w:styleId="TableChar">
    <w:name w:val="Table Char"/>
    <w:link w:val="Table"/>
    <w:uiPriority w:val="99"/>
    <w:locked/>
    <w:rsid w:val="004B1702"/>
    <w:rPr>
      <w:rFonts w:ascii="Arial Narrow" w:hAnsi="Arial Narrow"/>
      <w:sz w:val="18"/>
    </w:rPr>
  </w:style>
  <w:style w:type="paragraph" w:customStyle="1" w:styleId="TOCTitle">
    <w:name w:val="TOC Title"/>
    <w:basedOn w:val="Normal"/>
    <w:next w:val="Normal"/>
    <w:uiPriority w:val="99"/>
    <w:rsid w:val="004B1702"/>
    <w:pPr>
      <w:numPr>
        <w:numId w:val="6"/>
      </w:numPr>
      <w:tabs>
        <w:tab w:val="clear" w:pos="1080"/>
      </w:tabs>
      <w:autoSpaceDE w:val="0"/>
      <w:autoSpaceDN w:val="0"/>
      <w:adjustRightInd w:val="0"/>
      <w:spacing w:line="240" w:lineRule="auto"/>
      <w:ind w:left="0" w:firstLine="0"/>
    </w:pPr>
    <w:rPr>
      <w:rFonts w:ascii="Garamond" w:hAnsi="Garamond"/>
      <w:color w:val="000000"/>
      <w:sz w:val="24"/>
      <w:szCs w:val="24"/>
    </w:rPr>
  </w:style>
  <w:style w:type="paragraph" w:customStyle="1" w:styleId="P1-StandPara">
    <w:name w:val="P1-Stand Para"/>
    <w:basedOn w:val="Normal"/>
    <w:uiPriority w:val="99"/>
    <w:rsid w:val="004B1702"/>
    <w:pPr>
      <w:spacing w:line="480" w:lineRule="auto"/>
      <w:ind w:firstLine="1152"/>
    </w:pPr>
    <w:rPr>
      <w:rFonts w:ascii="Garamond" w:hAnsi="Garamond" w:cs="Garamond"/>
      <w:sz w:val="24"/>
      <w:szCs w:val="24"/>
    </w:rPr>
  </w:style>
  <w:style w:type="paragraph" w:customStyle="1" w:styleId="TH-TableHeading">
    <w:name w:val="TH-Table Heading"/>
    <w:basedOn w:val="Heading1"/>
    <w:uiPriority w:val="99"/>
    <w:rsid w:val="004B1702"/>
    <w:pPr>
      <w:keepLines w:val="0"/>
      <w:pageBreakBefore w:val="0"/>
      <w:pBdr>
        <w:top w:val="none" w:sz="0" w:space="0" w:color="auto"/>
        <w:bottom w:val="none" w:sz="0" w:space="0" w:color="auto"/>
      </w:pBdr>
      <w:shd w:val="clear" w:color="auto" w:fill="auto"/>
      <w:tabs>
        <w:tab w:val="left" w:pos="1440"/>
      </w:tabs>
      <w:spacing w:line="240" w:lineRule="atLeast"/>
      <w:jc w:val="center"/>
    </w:pPr>
    <w:rPr>
      <w:rFonts w:ascii="Franklin Gothic Medium" w:hAnsi="Franklin Gothic Medium" w:cs="Franklin Gothic Medium"/>
      <w:bCs/>
      <w:color w:val="auto"/>
      <w:kern w:val="0"/>
      <w:sz w:val="20"/>
    </w:rPr>
  </w:style>
  <w:style w:type="paragraph" w:customStyle="1" w:styleId="TX-TableText">
    <w:name w:val="TX-Table Text"/>
    <w:basedOn w:val="Normal"/>
    <w:uiPriority w:val="99"/>
    <w:rsid w:val="004B1702"/>
    <w:pPr>
      <w:spacing w:line="240" w:lineRule="atLeast"/>
    </w:pPr>
    <w:rPr>
      <w:rFonts w:ascii="Franklin Gothic Medium" w:hAnsi="Franklin Gothic Medium" w:cs="Franklin Gothic Medium"/>
      <w:sz w:val="20"/>
    </w:rPr>
  </w:style>
  <w:style w:type="character" w:customStyle="1" w:styleId="BulletsCharChar">
    <w:name w:val="Bullets Char Char"/>
    <w:link w:val="Bullets"/>
    <w:uiPriority w:val="99"/>
    <w:locked/>
    <w:rsid w:val="00D52D90"/>
    <w:rPr>
      <w:szCs w:val="20"/>
    </w:rPr>
  </w:style>
  <w:style w:type="character" w:customStyle="1" w:styleId="AbtHeadCChar">
    <w:name w:val="AbtHead C Char"/>
    <w:link w:val="AbtHeadC"/>
    <w:uiPriority w:val="99"/>
    <w:locked/>
    <w:rsid w:val="004B1702"/>
    <w:rPr>
      <w:rFonts w:ascii="Arial" w:hAnsi="Arial"/>
      <w:b/>
    </w:rPr>
  </w:style>
  <w:style w:type="paragraph" w:styleId="Revision">
    <w:name w:val="Revision"/>
    <w:hidden/>
    <w:uiPriority w:val="99"/>
    <w:semiHidden/>
    <w:rsid w:val="002006CC"/>
    <w:rPr>
      <w:szCs w:val="20"/>
    </w:rPr>
  </w:style>
  <w:style w:type="table" w:customStyle="1" w:styleId="COMELtable">
    <w:name w:val="COMEL table"/>
    <w:uiPriority w:val="99"/>
    <w:rsid w:val="008F3674"/>
    <w:rPr>
      <w:sz w:val="20"/>
      <w:szCs w:val="20"/>
    </w:rPr>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0F4F6"/>
    </w:tcPr>
    <w:tblStylePr w:type="firstRow">
      <w:pPr>
        <w:jc w:val="center"/>
      </w:pPr>
      <w:rPr>
        <w:rFonts w:cs="Times New Roman"/>
      </w:rPr>
      <w:tblPr/>
      <w:tcPr>
        <w:shd w:val="clear" w:color="auto" w:fill="D0D3D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43557">
      <w:marLeft w:val="0"/>
      <w:marRight w:val="0"/>
      <w:marTop w:val="0"/>
      <w:marBottom w:val="0"/>
      <w:divBdr>
        <w:top w:val="none" w:sz="0" w:space="0" w:color="auto"/>
        <w:left w:val="none" w:sz="0" w:space="0" w:color="auto"/>
        <w:bottom w:val="none" w:sz="0" w:space="0" w:color="auto"/>
        <w:right w:val="none" w:sz="0" w:space="0" w:color="auto"/>
      </w:divBdr>
    </w:div>
    <w:div w:id="1183743558">
      <w:marLeft w:val="0"/>
      <w:marRight w:val="0"/>
      <w:marTop w:val="0"/>
      <w:marBottom w:val="0"/>
      <w:divBdr>
        <w:top w:val="none" w:sz="0" w:space="0" w:color="auto"/>
        <w:left w:val="none" w:sz="0" w:space="0" w:color="auto"/>
        <w:bottom w:val="none" w:sz="0" w:space="0" w:color="auto"/>
        <w:right w:val="none" w:sz="0" w:space="0" w:color="auto"/>
      </w:divBdr>
    </w:div>
    <w:div w:id="1183743560">
      <w:marLeft w:val="0"/>
      <w:marRight w:val="0"/>
      <w:marTop w:val="0"/>
      <w:marBottom w:val="0"/>
      <w:divBdr>
        <w:top w:val="none" w:sz="0" w:space="0" w:color="auto"/>
        <w:left w:val="none" w:sz="0" w:space="0" w:color="auto"/>
        <w:bottom w:val="none" w:sz="0" w:space="0" w:color="auto"/>
        <w:right w:val="none" w:sz="0" w:space="0" w:color="auto"/>
      </w:divBdr>
      <w:divsChild>
        <w:div w:id="1183743559">
          <w:marLeft w:val="0"/>
          <w:marRight w:val="0"/>
          <w:marTop w:val="0"/>
          <w:marBottom w:val="0"/>
          <w:divBdr>
            <w:top w:val="none" w:sz="0" w:space="0" w:color="auto"/>
            <w:left w:val="none" w:sz="0" w:space="0" w:color="auto"/>
            <w:bottom w:val="none" w:sz="0" w:space="0" w:color="auto"/>
            <w:right w:val="none" w:sz="0" w:space="0" w:color="auto"/>
          </w:divBdr>
          <w:divsChild>
            <w:div w:id="11837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9807">
      <w:bodyDiv w:val="1"/>
      <w:marLeft w:val="0"/>
      <w:marRight w:val="0"/>
      <w:marTop w:val="0"/>
      <w:marBottom w:val="0"/>
      <w:divBdr>
        <w:top w:val="none" w:sz="0" w:space="0" w:color="auto"/>
        <w:left w:val="none" w:sz="0" w:space="0" w:color="auto"/>
        <w:bottom w:val="none" w:sz="0" w:space="0" w:color="auto"/>
        <w:right w:val="none" w:sz="0" w:space="0" w:color="auto"/>
      </w:divBdr>
    </w:div>
    <w:div w:id="1348099767">
      <w:bodyDiv w:val="1"/>
      <w:marLeft w:val="0"/>
      <w:marRight w:val="0"/>
      <w:marTop w:val="0"/>
      <w:marBottom w:val="0"/>
      <w:divBdr>
        <w:top w:val="none" w:sz="0" w:space="0" w:color="auto"/>
        <w:left w:val="none" w:sz="0" w:space="0" w:color="auto"/>
        <w:bottom w:val="none" w:sz="0" w:space="0" w:color="auto"/>
        <w:right w:val="none" w:sz="0" w:space="0" w:color="auto"/>
      </w:divBdr>
    </w:div>
    <w:div w:id="1639143166">
      <w:bodyDiv w:val="1"/>
      <w:marLeft w:val="0"/>
      <w:marRight w:val="0"/>
      <w:marTop w:val="0"/>
      <w:marBottom w:val="0"/>
      <w:divBdr>
        <w:top w:val="none" w:sz="0" w:space="0" w:color="auto"/>
        <w:left w:val="none" w:sz="0" w:space="0" w:color="auto"/>
        <w:bottom w:val="none" w:sz="0" w:space="0" w:color="auto"/>
        <w:right w:val="none" w:sz="0" w:space="0" w:color="auto"/>
      </w:divBdr>
    </w:div>
    <w:div w:id="16960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tonk\AppData\Local\Microsoft\Windows\Temporary%20Internet%20Files\Content.Outlook\CX1NZZ7P\Abt%20Report%207-15-2011.dotm" TargetMode="Externa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898D8D"/>
      </a:accent5>
      <a:accent6>
        <a:srgbClr val="7566A0"/>
      </a:accent6>
      <a:hlink>
        <a:srgbClr val="0066FF"/>
      </a:hlink>
      <a:folHlink>
        <a:srgbClr val="6666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3D14-9592-4B2A-9E9A-6E206643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2</TotalTime>
  <Pages>9</Pages>
  <Words>3118</Words>
  <Characters>18345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Patty Connor</cp:lastModifiedBy>
  <cp:revision>4</cp:revision>
  <cp:lastPrinted>2012-07-26T19:41:00Z</cp:lastPrinted>
  <dcterms:created xsi:type="dcterms:W3CDTF">2012-07-26T18:56:00Z</dcterms:created>
  <dcterms:modified xsi:type="dcterms:W3CDTF">2012-07-26T19:41:00Z</dcterms:modified>
  <cp:category>Templates</cp:category>
</cp:coreProperties>
</file>