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9A7" w:rsidRPr="00B0150F" w:rsidRDefault="00F909A7" w:rsidP="00CF504E">
      <w:pPr>
        <w:jc w:val="center"/>
        <w:rPr>
          <w:rFonts w:ascii="Times New Roman" w:hAnsi="Times New Roman"/>
          <w:b/>
          <w:szCs w:val="24"/>
        </w:rPr>
      </w:pPr>
      <w:r w:rsidRPr="00B0150F">
        <w:rPr>
          <w:rFonts w:ascii="Times New Roman" w:hAnsi="Times New Roman"/>
          <w:b/>
          <w:szCs w:val="24"/>
        </w:rPr>
        <w:t>Supporting Statement for</w:t>
      </w:r>
    </w:p>
    <w:p w:rsidR="00F15388" w:rsidRDefault="00F15388" w:rsidP="00CF504E">
      <w:pPr>
        <w:pStyle w:val="Heading5"/>
        <w:jc w:val="center"/>
        <w:rPr>
          <w:szCs w:val="24"/>
        </w:rPr>
      </w:pPr>
      <w:r w:rsidRPr="00B370BE">
        <w:rPr>
          <w:szCs w:val="24"/>
        </w:rPr>
        <w:t>Bank Holding Company Regulatory Reports</w:t>
      </w:r>
    </w:p>
    <w:p w:rsidR="00F909A7" w:rsidRDefault="00F909A7" w:rsidP="00CF504E">
      <w:pPr>
        <w:pStyle w:val="Heading5"/>
        <w:jc w:val="center"/>
        <w:rPr>
          <w:szCs w:val="24"/>
        </w:rPr>
      </w:pPr>
      <w:r>
        <w:rPr>
          <w:szCs w:val="24"/>
        </w:rPr>
        <w:t>(FR Y-9C, FR Y-9LP,</w:t>
      </w:r>
      <w:r w:rsidRPr="00C97255">
        <w:rPr>
          <w:szCs w:val="24"/>
        </w:rPr>
        <w:t xml:space="preserve"> </w:t>
      </w:r>
      <w:r w:rsidRPr="00783208">
        <w:rPr>
          <w:szCs w:val="24"/>
        </w:rPr>
        <w:t>FR Y-9SP, FR Y-9CS and FR Y-9ES; OMB No. 7100-0128)</w:t>
      </w:r>
    </w:p>
    <w:p w:rsidR="00F15388" w:rsidRDefault="00F15388" w:rsidP="00CF504E">
      <w:pPr>
        <w:jc w:val="center"/>
        <w:rPr>
          <w:rFonts w:ascii="Times New Roman" w:hAnsi="Times New Roman"/>
          <w:b/>
          <w:szCs w:val="24"/>
        </w:rPr>
      </w:pPr>
      <w:r w:rsidRPr="00F15388">
        <w:rPr>
          <w:rFonts w:ascii="Times New Roman" w:hAnsi="Times New Roman"/>
          <w:b/>
          <w:szCs w:val="24"/>
        </w:rPr>
        <w:t>(FR Y-6</w:t>
      </w:r>
      <w:r>
        <w:rPr>
          <w:rFonts w:ascii="Times New Roman" w:hAnsi="Times New Roman"/>
          <w:b/>
          <w:szCs w:val="24"/>
        </w:rPr>
        <w:t xml:space="preserve"> and </w:t>
      </w:r>
      <w:r w:rsidRPr="00F15388">
        <w:rPr>
          <w:rFonts w:ascii="Times New Roman" w:hAnsi="Times New Roman"/>
          <w:b/>
          <w:szCs w:val="24"/>
        </w:rPr>
        <w:t>FR Y-7</w:t>
      </w:r>
      <w:r>
        <w:rPr>
          <w:rFonts w:ascii="Times New Roman" w:hAnsi="Times New Roman"/>
          <w:b/>
          <w:szCs w:val="24"/>
        </w:rPr>
        <w:t xml:space="preserve">; </w:t>
      </w:r>
      <w:r w:rsidRPr="00F15388">
        <w:rPr>
          <w:rFonts w:ascii="Times New Roman" w:hAnsi="Times New Roman"/>
          <w:b/>
          <w:szCs w:val="24"/>
        </w:rPr>
        <w:t>OMB No. 7100-0297)</w:t>
      </w:r>
    </w:p>
    <w:p w:rsidR="00F15388" w:rsidRPr="00F15388" w:rsidRDefault="00F15388" w:rsidP="00CF504E">
      <w:pPr>
        <w:jc w:val="center"/>
        <w:rPr>
          <w:rFonts w:ascii="Times New Roman" w:hAnsi="Times New Roman"/>
          <w:b/>
          <w:szCs w:val="24"/>
        </w:rPr>
      </w:pPr>
      <w:r w:rsidRPr="00F15388">
        <w:rPr>
          <w:rFonts w:ascii="Times New Roman" w:hAnsi="Times New Roman"/>
          <w:b/>
          <w:szCs w:val="24"/>
        </w:rPr>
        <w:t>FR Y-11 and FR Y-11S; OMB No. 7100-0244)</w:t>
      </w:r>
    </w:p>
    <w:p w:rsidR="00F15388" w:rsidRPr="00F15388" w:rsidRDefault="00F15388" w:rsidP="00CF504E">
      <w:pPr>
        <w:pStyle w:val="BodyTextIndent"/>
        <w:ind w:firstLine="0"/>
        <w:jc w:val="center"/>
        <w:rPr>
          <w:b/>
          <w:szCs w:val="24"/>
        </w:rPr>
      </w:pPr>
      <w:r w:rsidRPr="00F15388">
        <w:rPr>
          <w:b/>
          <w:szCs w:val="24"/>
        </w:rPr>
        <w:t>(FR</w:t>
      </w:r>
      <w:r w:rsidRPr="00F15388">
        <w:rPr>
          <w:b/>
          <w:szCs w:val="24"/>
        </w:rPr>
        <w:sym w:font="Symbol" w:char="F020"/>
      </w:r>
      <w:r w:rsidRPr="00F15388">
        <w:rPr>
          <w:b/>
          <w:szCs w:val="24"/>
        </w:rPr>
        <w:t>2314 and FR 2314S; OMB No. 7100-0073)</w:t>
      </w:r>
    </w:p>
    <w:p w:rsidR="00F15388" w:rsidRPr="00F15388" w:rsidRDefault="00F15388" w:rsidP="00CF504E">
      <w:pPr>
        <w:pStyle w:val="BodyTextIndent"/>
        <w:ind w:firstLine="0"/>
        <w:jc w:val="center"/>
        <w:rPr>
          <w:b/>
          <w:szCs w:val="24"/>
        </w:rPr>
      </w:pPr>
      <w:r w:rsidRPr="00F15388">
        <w:rPr>
          <w:b/>
          <w:szCs w:val="24"/>
        </w:rPr>
        <w:t>(FR Y-8; OMB No. 7100-0126)</w:t>
      </w:r>
    </w:p>
    <w:p w:rsidR="00F15388" w:rsidRPr="00F15388" w:rsidRDefault="00F15388" w:rsidP="00CF504E">
      <w:pPr>
        <w:pStyle w:val="BodyTextIndent"/>
        <w:ind w:firstLine="0"/>
        <w:jc w:val="center"/>
        <w:rPr>
          <w:b/>
          <w:szCs w:val="24"/>
        </w:rPr>
      </w:pPr>
      <w:r w:rsidRPr="00F15388">
        <w:rPr>
          <w:b/>
          <w:szCs w:val="24"/>
        </w:rPr>
        <w:t>(FR Y-12 and FR Y-12A</w:t>
      </w:r>
      <w:r>
        <w:rPr>
          <w:b/>
          <w:szCs w:val="24"/>
        </w:rPr>
        <w:t xml:space="preserve">; </w:t>
      </w:r>
      <w:r w:rsidRPr="00F15388">
        <w:rPr>
          <w:b/>
          <w:szCs w:val="24"/>
        </w:rPr>
        <w:t>OMB No. 7100-0300)</w:t>
      </w:r>
    </w:p>
    <w:p w:rsidR="00F15388" w:rsidRPr="00F15388" w:rsidRDefault="00F15388" w:rsidP="00CF504E">
      <w:pPr>
        <w:pStyle w:val="BodyTextIndent"/>
        <w:ind w:firstLine="0"/>
        <w:jc w:val="center"/>
        <w:rPr>
          <w:b/>
          <w:szCs w:val="24"/>
        </w:rPr>
      </w:pPr>
      <w:r w:rsidRPr="00F15388">
        <w:rPr>
          <w:b/>
          <w:szCs w:val="24"/>
        </w:rPr>
        <w:t>(FR Y-7Q</w:t>
      </w:r>
      <w:r>
        <w:rPr>
          <w:b/>
          <w:szCs w:val="24"/>
        </w:rPr>
        <w:t xml:space="preserve">, </w:t>
      </w:r>
      <w:r w:rsidRPr="00F15388">
        <w:rPr>
          <w:b/>
          <w:szCs w:val="24"/>
        </w:rPr>
        <w:t>FR Y-7N</w:t>
      </w:r>
      <w:r>
        <w:rPr>
          <w:b/>
          <w:szCs w:val="24"/>
        </w:rPr>
        <w:t>,</w:t>
      </w:r>
      <w:r w:rsidRPr="00F15388">
        <w:rPr>
          <w:b/>
          <w:szCs w:val="24"/>
        </w:rPr>
        <w:t xml:space="preserve"> and FR Y-7NS</w:t>
      </w:r>
      <w:r>
        <w:rPr>
          <w:b/>
          <w:szCs w:val="24"/>
        </w:rPr>
        <w:t xml:space="preserve">; </w:t>
      </w:r>
      <w:r w:rsidRPr="00F15388">
        <w:rPr>
          <w:b/>
          <w:szCs w:val="24"/>
        </w:rPr>
        <w:t>OMB No. 7100-0125)</w:t>
      </w:r>
    </w:p>
    <w:p w:rsidR="00F15388" w:rsidRPr="00F15388" w:rsidRDefault="00F15388" w:rsidP="00F15388">
      <w:pPr>
        <w:jc w:val="center"/>
        <w:rPr>
          <w:b/>
        </w:rPr>
      </w:pPr>
    </w:p>
    <w:p w:rsidR="00F909A7" w:rsidRDefault="00F909A7" w:rsidP="00F909A7">
      <w:pPr>
        <w:pStyle w:val="Heading5"/>
      </w:pPr>
      <w:r>
        <w:t>Summary</w:t>
      </w:r>
    </w:p>
    <w:p w:rsidR="00F909A7" w:rsidRPr="00311679" w:rsidRDefault="00F909A7" w:rsidP="00F909A7">
      <w:pPr>
        <w:widowControl/>
        <w:ind w:firstLine="720"/>
        <w:rPr>
          <w:rFonts w:ascii="Times New Roman" w:hAnsi="Times New Roman"/>
          <w:szCs w:val="24"/>
        </w:rPr>
      </w:pPr>
    </w:p>
    <w:p w:rsidR="00E4686E" w:rsidRPr="00311679" w:rsidRDefault="00F909A7" w:rsidP="00E30479">
      <w:pPr>
        <w:pStyle w:val="HTMLPreformatted"/>
        <w:widowControl/>
        <w:ind w:firstLine="720"/>
        <w:rPr>
          <w:rFonts w:ascii="Times New Roman" w:hAnsi="Times New Roman" w:cs="Times New Roman"/>
          <w:color w:val="000000"/>
          <w:sz w:val="24"/>
          <w:szCs w:val="24"/>
        </w:rPr>
      </w:pPr>
      <w:r w:rsidRPr="00311679">
        <w:rPr>
          <w:rFonts w:ascii="Times New Roman" w:hAnsi="Times New Roman" w:cs="Times New Roman"/>
          <w:sz w:val="24"/>
          <w:szCs w:val="24"/>
        </w:rPr>
        <w:t xml:space="preserve">The Board of Governors of the Federal Reserve System, under delegated authority from the Office of Management and Budget (OMB), proposes to </w:t>
      </w:r>
      <w:r w:rsidR="00F15388" w:rsidRPr="00311679">
        <w:rPr>
          <w:rFonts w:ascii="Times New Roman" w:hAnsi="Times New Roman" w:cs="Times New Roman"/>
          <w:sz w:val="24"/>
          <w:szCs w:val="24"/>
        </w:rPr>
        <w:t>revise</w:t>
      </w:r>
      <w:r w:rsidRPr="00311679">
        <w:rPr>
          <w:rFonts w:ascii="Times New Roman" w:hAnsi="Times New Roman" w:cs="Times New Roman"/>
          <w:sz w:val="24"/>
          <w:szCs w:val="24"/>
        </w:rPr>
        <w:t xml:space="preserve">, </w:t>
      </w:r>
      <w:r w:rsidR="00F15388" w:rsidRPr="00311679">
        <w:rPr>
          <w:rFonts w:ascii="Times New Roman" w:hAnsi="Times New Roman" w:cs="Times New Roman"/>
          <w:sz w:val="24"/>
          <w:szCs w:val="24"/>
        </w:rPr>
        <w:t>without extension</w:t>
      </w:r>
      <w:r w:rsidRPr="00311679">
        <w:rPr>
          <w:rFonts w:ascii="Times New Roman" w:hAnsi="Times New Roman" w:cs="Times New Roman"/>
          <w:sz w:val="24"/>
          <w:szCs w:val="24"/>
        </w:rPr>
        <w:t>,</w:t>
      </w:r>
      <w:r w:rsidR="00F15388" w:rsidRPr="00311679">
        <w:rPr>
          <w:rFonts w:ascii="Times New Roman" w:hAnsi="Times New Roman" w:cs="Times New Roman"/>
          <w:sz w:val="24"/>
          <w:szCs w:val="24"/>
        </w:rPr>
        <w:t xml:space="preserve"> several bank holding company </w:t>
      </w:r>
      <w:r w:rsidR="002E3E1A" w:rsidRPr="00311679">
        <w:rPr>
          <w:rFonts w:ascii="Times New Roman" w:hAnsi="Times New Roman" w:cs="Times New Roman"/>
          <w:sz w:val="24"/>
          <w:szCs w:val="24"/>
        </w:rPr>
        <w:t xml:space="preserve">(BHC) </w:t>
      </w:r>
      <w:r w:rsidR="00F15388" w:rsidRPr="00311679">
        <w:rPr>
          <w:rFonts w:ascii="Times New Roman" w:hAnsi="Times New Roman" w:cs="Times New Roman"/>
          <w:sz w:val="24"/>
          <w:szCs w:val="24"/>
        </w:rPr>
        <w:t>regulatory reports</w:t>
      </w:r>
      <w:r w:rsidR="00011C82" w:rsidRPr="00311679">
        <w:rPr>
          <w:rFonts w:ascii="Times New Roman" w:hAnsi="Times New Roman" w:cs="Times New Roman"/>
          <w:sz w:val="24"/>
          <w:szCs w:val="24"/>
        </w:rPr>
        <w:t xml:space="preserve"> to require savings and loan holding companies (SLHCs) to submit the same reports as </w:t>
      </w:r>
      <w:r w:rsidR="002E3E1A" w:rsidRPr="00311679">
        <w:rPr>
          <w:rFonts w:ascii="Times New Roman" w:hAnsi="Times New Roman" w:cs="Times New Roman"/>
          <w:sz w:val="24"/>
          <w:szCs w:val="24"/>
        </w:rPr>
        <w:t>BHCs</w:t>
      </w:r>
      <w:r w:rsidR="00011C82" w:rsidRPr="00311679">
        <w:rPr>
          <w:rFonts w:ascii="Times New Roman" w:hAnsi="Times New Roman" w:cs="Times New Roman"/>
          <w:sz w:val="24"/>
          <w:szCs w:val="24"/>
        </w:rPr>
        <w:t xml:space="preserve">, beginning with the March 31, 2012, </w:t>
      </w:r>
      <w:proofErr w:type="gramStart"/>
      <w:r w:rsidR="00011C82" w:rsidRPr="00311679">
        <w:rPr>
          <w:rFonts w:ascii="Times New Roman" w:hAnsi="Times New Roman" w:cs="Times New Roman"/>
          <w:sz w:val="24"/>
          <w:szCs w:val="24"/>
        </w:rPr>
        <w:t>reporting</w:t>
      </w:r>
      <w:proofErr w:type="gramEnd"/>
      <w:r w:rsidR="00011C82" w:rsidRPr="00311679">
        <w:rPr>
          <w:rFonts w:ascii="Times New Roman" w:hAnsi="Times New Roman" w:cs="Times New Roman"/>
          <w:sz w:val="24"/>
          <w:szCs w:val="24"/>
        </w:rPr>
        <w:t xml:space="preserve"> period</w:t>
      </w:r>
      <w:r w:rsidR="00F15388" w:rsidRPr="00311679">
        <w:rPr>
          <w:rFonts w:ascii="Times New Roman" w:hAnsi="Times New Roman" w:cs="Times New Roman"/>
          <w:sz w:val="24"/>
          <w:szCs w:val="24"/>
        </w:rPr>
        <w:t>.</w:t>
      </w:r>
      <w:r w:rsidR="00990FC9" w:rsidRPr="00311679">
        <w:rPr>
          <w:rFonts w:ascii="Times New Roman" w:hAnsi="Times New Roman" w:cs="Times New Roman"/>
          <w:sz w:val="24"/>
          <w:szCs w:val="24"/>
        </w:rPr>
        <w:t xml:space="preserve">  </w:t>
      </w:r>
      <w:r w:rsidR="00E30479" w:rsidRPr="00311679">
        <w:rPr>
          <w:rFonts w:ascii="Times New Roman" w:hAnsi="Times New Roman" w:cs="Times New Roman"/>
          <w:color w:val="000000"/>
          <w:sz w:val="24"/>
          <w:szCs w:val="24"/>
        </w:rPr>
        <w:t>Title III of the Dodd-Frank Wall Street Reform and Consumer Protection Act (the Dodd-Frank Act) transfers all former O</w:t>
      </w:r>
      <w:r w:rsidR="00540ED8" w:rsidRPr="00311679">
        <w:rPr>
          <w:rFonts w:ascii="Times New Roman" w:hAnsi="Times New Roman" w:cs="Times New Roman"/>
          <w:color w:val="000000"/>
          <w:sz w:val="24"/>
          <w:szCs w:val="24"/>
        </w:rPr>
        <w:t xml:space="preserve">ffice of </w:t>
      </w:r>
      <w:r w:rsidR="00E30479" w:rsidRPr="00311679">
        <w:rPr>
          <w:rFonts w:ascii="Times New Roman" w:hAnsi="Times New Roman" w:cs="Times New Roman"/>
          <w:color w:val="000000"/>
          <w:sz w:val="24"/>
          <w:szCs w:val="24"/>
        </w:rPr>
        <w:t>T</w:t>
      </w:r>
      <w:r w:rsidR="00540ED8" w:rsidRPr="00311679">
        <w:rPr>
          <w:rFonts w:ascii="Times New Roman" w:hAnsi="Times New Roman" w:cs="Times New Roman"/>
          <w:color w:val="000000"/>
          <w:sz w:val="24"/>
          <w:szCs w:val="24"/>
        </w:rPr>
        <w:t xml:space="preserve">hrift </w:t>
      </w:r>
      <w:r w:rsidR="00E30479" w:rsidRPr="00311679">
        <w:rPr>
          <w:rFonts w:ascii="Times New Roman" w:hAnsi="Times New Roman" w:cs="Times New Roman"/>
          <w:color w:val="000000"/>
          <w:sz w:val="24"/>
          <w:szCs w:val="24"/>
        </w:rPr>
        <w:t>S</w:t>
      </w:r>
      <w:r w:rsidR="00540ED8" w:rsidRPr="00311679">
        <w:rPr>
          <w:rFonts w:ascii="Times New Roman" w:hAnsi="Times New Roman" w:cs="Times New Roman"/>
          <w:color w:val="000000"/>
          <w:sz w:val="24"/>
          <w:szCs w:val="24"/>
        </w:rPr>
        <w:t>upervision (OTS)</w:t>
      </w:r>
      <w:r w:rsidR="00E30479" w:rsidRPr="00311679">
        <w:rPr>
          <w:rFonts w:ascii="Times New Roman" w:hAnsi="Times New Roman" w:cs="Times New Roman"/>
          <w:color w:val="000000"/>
          <w:sz w:val="24"/>
          <w:szCs w:val="24"/>
        </w:rPr>
        <w:t xml:space="preserve"> authorities (including rulemaking) related to SLHCs to the Federal Reserve on July 21, 2011.   </w:t>
      </w:r>
      <w:r w:rsidR="00DE1E53" w:rsidRPr="00311679">
        <w:rPr>
          <w:rFonts w:ascii="Times New Roman" w:hAnsi="Times New Roman" w:cs="Times New Roman"/>
          <w:sz w:val="24"/>
          <w:szCs w:val="24"/>
        </w:rPr>
        <w:t>T</w:t>
      </w:r>
      <w:r w:rsidR="00E30479" w:rsidRPr="00311679">
        <w:rPr>
          <w:rFonts w:ascii="Times New Roman" w:hAnsi="Times New Roman" w:cs="Times New Roman"/>
          <w:sz w:val="24"/>
          <w:szCs w:val="24"/>
        </w:rPr>
        <w:t xml:space="preserve">he reporting panels for the </w:t>
      </w:r>
      <w:r w:rsidR="00E4686E" w:rsidRPr="00311679">
        <w:rPr>
          <w:rFonts w:ascii="Times New Roman" w:hAnsi="Times New Roman" w:cs="Times New Roman"/>
          <w:sz w:val="24"/>
          <w:szCs w:val="24"/>
        </w:rPr>
        <w:t xml:space="preserve">following reports </w:t>
      </w:r>
      <w:r w:rsidR="00DE1E53" w:rsidRPr="00311679">
        <w:rPr>
          <w:rFonts w:ascii="Times New Roman" w:hAnsi="Times New Roman" w:cs="Times New Roman"/>
          <w:sz w:val="24"/>
          <w:szCs w:val="24"/>
        </w:rPr>
        <w:t xml:space="preserve">would be revised </w:t>
      </w:r>
      <w:r w:rsidR="00E30479" w:rsidRPr="00311679">
        <w:rPr>
          <w:rFonts w:ascii="Times New Roman" w:hAnsi="Times New Roman" w:cs="Times New Roman"/>
          <w:color w:val="000000"/>
          <w:sz w:val="24"/>
          <w:szCs w:val="24"/>
        </w:rPr>
        <w:t>to include SLHCs</w:t>
      </w:r>
      <w:r w:rsidR="00E4686E" w:rsidRPr="00311679">
        <w:rPr>
          <w:rFonts w:ascii="Times New Roman" w:hAnsi="Times New Roman" w:cs="Times New Roman"/>
          <w:color w:val="000000"/>
          <w:sz w:val="24"/>
          <w:szCs w:val="24"/>
        </w:rPr>
        <w:t xml:space="preserve">:   </w:t>
      </w:r>
    </w:p>
    <w:p w:rsidR="00E4686E" w:rsidRDefault="00E4686E" w:rsidP="00E4686E">
      <w:pPr>
        <w:widowControl/>
        <w:tabs>
          <w:tab w:val="left" w:pos="-1440"/>
        </w:tabs>
        <w:ind w:left="360"/>
        <w:rPr>
          <w:rFonts w:ascii="Times New Roman" w:hAnsi="Times New Roman"/>
          <w:szCs w:val="24"/>
        </w:rPr>
      </w:pPr>
    </w:p>
    <w:p w:rsidR="00E4686E" w:rsidRPr="00A75458" w:rsidRDefault="00272746" w:rsidP="00A75458">
      <w:pPr>
        <w:widowControl/>
        <w:numPr>
          <w:ilvl w:val="0"/>
          <w:numId w:val="8"/>
        </w:numPr>
        <w:tabs>
          <w:tab w:val="left" w:pos="-1440"/>
        </w:tabs>
        <w:rPr>
          <w:rFonts w:ascii="Times New Roman" w:hAnsi="Times New Roman"/>
          <w:szCs w:val="24"/>
          <w:lang w:val="es-ES"/>
        </w:rPr>
      </w:pPr>
      <w:r w:rsidRPr="00A75458">
        <w:rPr>
          <w:rFonts w:ascii="Times New Roman" w:hAnsi="Times New Roman"/>
          <w:szCs w:val="24"/>
        </w:rPr>
        <w:t>T</w:t>
      </w:r>
      <w:r w:rsidR="00E4686E" w:rsidRPr="00A75458">
        <w:rPr>
          <w:rFonts w:ascii="Times New Roman" w:hAnsi="Times New Roman"/>
          <w:szCs w:val="24"/>
        </w:rPr>
        <w:t xml:space="preserve">he Consolidated Financial Statements for Bank Holding Companies (FR Y-9C), the Parent Company Only Financial Statements for Large Bank Holding Companies </w:t>
      </w:r>
      <w:r w:rsidR="00E4686E" w:rsidRPr="00A75458">
        <w:rPr>
          <w:rFonts w:ascii="Times New Roman" w:hAnsi="Times New Roman"/>
          <w:szCs w:val="24"/>
          <w:lang w:val="es-ES"/>
        </w:rPr>
        <w:t>(FR</w:t>
      </w:r>
      <w:r w:rsidR="00E4686E" w:rsidRPr="00B370BE">
        <w:rPr>
          <w:rFonts w:ascii="Times New Roman" w:hAnsi="Times New Roman"/>
          <w:szCs w:val="24"/>
        </w:rPr>
        <w:sym w:font="Symbol" w:char="F020"/>
      </w:r>
      <w:r w:rsidR="00E4686E" w:rsidRPr="00A75458">
        <w:rPr>
          <w:rFonts w:ascii="Times New Roman" w:hAnsi="Times New Roman"/>
          <w:szCs w:val="24"/>
          <w:lang w:val="es-ES"/>
        </w:rPr>
        <w:t xml:space="preserve">Y-9LP), </w:t>
      </w:r>
      <w:r w:rsidR="00E4686E" w:rsidRPr="00A75458">
        <w:rPr>
          <w:rFonts w:ascii="Times New Roman" w:hAnsi="Times New Roman"/>
          <w:szCs w:val="24"/>
        </w:rPr>
        <w:t xml:space="preserve">the Parent Company Only Financial Statements for Small Bank Holding Companies </w:t>
      </w:r>
    </w:p>
    <w:p w:rsidR="00E4686E" w:rsidRPr="00B370BE" w:rsidRDefault="00E4686E" w:rsidP="00E4686E">
      <w:pPr>
        <w:widowControl/>
        <w:tabs>
          <w:tab w:val="left" w:pos="-1440"/>
          <w:tab w:val="left" w:pos="360"/>
        </w:tabs>
        <w:ind w:left="360" w:hanging="360"/>
        <w:rPr>
          <w:rFonts w:ascii="Times New Roman" w:hAnsi="Times New Roman"/>
          <w:szCs w:val="24"/>
          <w:lang w:val="es-ES"/>
        </w:rPr>
      </w:pPr>
      <w:r w:rsidRPr="00B370BE">
        <w:rPr>
          <w:rFonts w:ascii="Times New Roman" w:hAnsi="Times New Roman"/>
          <w:szCs w:val="24"/>
        </w:rPr>
        <w:tab/>
      </w:r>
      <w:r w:rsidRPr="00B370BE">
        <w:rPr>
          <w:rFonts w:ascii="Times New Roman" w:hAnsi="Times New Roman"/>
          <w:szCs w:val="24"/>
          <w:lang w:val="es-ES"/>
        </w:rPr>
        <w:t>(FR</w:t>
      </w:r>
      <w:r w:rsidRPr="00B370BE">
        <w:rPr>
          <w:rFonts w:ascii="Times New Roman" w:hAnsi="Times New Roman"/>
          <w:szCs w:val="24"/>
        </w:rPr>
        <w:sym w:font="Symbol" w:char="F020"/>
      </w:r>
      <w:r w:rsidRPr="00B370BE">
        <w:rPr>
          <w:rFonts w:ascii="Times New Roman" w:hAnsi="Times New Roman"/>
          <w:szCs w:val="24"/>
          <w:lang w:val="es-ES"/>
        </w:rPr>
        <w:t xml:space="preserve">Y-9SP), </w:t>
      </w:r>
      <w:r w:rsidRPr="00B370BE">
        <w:rPr>
          <w:rFonts w:ascii="Times New Roman" w:hAnsi="Times New Roman"/>
          <w:szCs w:val="24"/>
        </w:rPr>
        <w:t xml:space="preserve">the Financial Statements for Employee Stock Ownership Plan Bank Holding Companies </w:t>
      </w:r>
      <w:r w:rsidRPr="00B370BE">
        <w:rPr>
          <w:rFonts w:ascii="Times New Roman" w:hAnsi="Times New Roman"/>
          <w:szCs w:val="24"/>
          <w:lang w:val="es-ES"/>
        </w:rPr>
        <w:t xml:space="preserve">(FR Y-9ES), and </w:t>
      </w:r>
      <w:r w:rsidRPr="00B370BE">
        <w:rPr>
          <w:rFonts w:ascii="Times New Roman" w:hAnsi="Times New Roman"/>
          <w:szCs w:val="24"/>
        </w:rPr>
        <w:t xml:space="preserve">the Supplement to the Consolidated Financial Statements for Bank Holding Companies  </w:t>
      </w:r>
      <w:r w:rsidRPr="00B370BE">
        <w:rPr>
          <w:rFonts w:ascii="Times New Roman" w:hAnsi="Times New Roman"/>
          <w:szCs w:val="24"/>
          <w:lang w:val="es-ES"/>
        </w:rPr>
        <w:t xml:space="preserve">(FR Y-9CS) </w:t>
      </w:r>
      <w:r w:rsidRPr="00B370BE">
        <w:rPr>
          <w:rFonts w:ascii="Times New Roman" w:hAnsi="Times New Roman"/>
          <w:szCs w:val="24"/>
        </w:rPr>
        <w:t>(OMB No. 7100-0128);</w:t>
      </w:r>
    </w:p>
    <w:p w:rsidR="00272746" w:rsidRPr="006F588F" w:rsidRDefault="00272746" w:rsidP="00272746">
      <w:pPr>
        <w:widowControl/>
        <w:numPr>
          <w:ilvl w:val="0"/>
          <w:numId w:val="8"/>
        </w:numPr>
        <w:tabs>
          <w:tab w:val="left" w:pos="-1440"/>
        </w:tabs>
        <w:rPr>
          <w:rFonts w:ascii="Times New Roman" w:hAnsi="Times New Roman"/>
          <w:szCs w:val="24"/>
        </w:rPr>
      </w:pPr>
      <w:r>
        <w:rPr>
          <w:rFonts w:ascii="Times New Roman" w:hAnsi="Times New Roman"/>
          <w:szCs w:val="24"/>
        </w:rPr>
        <w:t>t</w:t>
      </w:r>
      <w:r w:rsidRPr="006F588F">
        <w:rPr>
          <w:rFonts w:ascii="Times New Roman" w:hAnsi="Times New Roman"/>
          <w:szCs w:val="24"/>
        </w:rPr>
        <w:t>he Annual Report of Bank Holding Companies (FR Y-6) and the Annual Report of Foreign Banking Organizations (FR Y-7) (OMB No. 7100-0297</w:t>
      </w:r>
      <w:r>
        <w:rPr>
          <w:rFonts w:ascii="Times New Roman" w:hAnsi="Times New Roman"/>
          <w:szCs w:val="24"/>
        </w:rPr>
        <w:t>);</w:t>
      </w:r>
    </w:p>
    <w:p w:rsidR="00E4686E" w:rsidRPr="00B370BE" w:rsidRDefault="00E4686E" w:rsidP="00E4686E">
      <w:pPr>
        <w:pStyle w:val="BodyTextIndent"/>
        <w:numPr>
          <w:ilvl w:val="0"/>
          <w:numId w:val="8"/>
        </w:numPr>
        <w:rPr>
          <w:szCs w:val="24"/>
        </w:rPr>
      </w:pPr>
      <w:r w:rsidRPr="00B370BE">
        <w:rPr>
          <w:szCs w:val="24"/>
        </w:rPr>
        <w:t xml:space="preserve">the Financial Statements of U.S. Nonbank Subsidiaries of U.S. Bank Holding Companies (FR Y-11 and FR Y-11S; OMB No. 7100-0244); </w:t>
      </w:r>
    </w:p>
    <w:p w:rsidR="00E4686E" w:rsidRPr="00B370BE" w:rsidRDefault="00E4686E" w:rsidP="00E4686E">
      <w:pPr>
        <w:pStyle w:val="BodyTextIndent"/>
        <w:numPr>
          <w:ilvl w:val="0"/>
          <w:numId w:val="8"/>
        </w:numPr>
        <w:rPr>
          <w:szCs w:val="24"/>
        </w:rPr>
      </w:pPr>
      <w:r w:rsidRPr="00B370BE">
        <w:rPr>
          <w:szCs w:val="24"/>
        </w:rPr>
        <w:t>the Financial Statements of Foreign Subsidiaries of U.S. Banking Organizations (FR</w:t>
      </w:r>
      <w:r w:rsidRPr="00B370BE">
        <w:rPr>
          <w:szCs w:val="24"/>
        </w:rPr>
        <w:sym w:font="Symbol" w:char="F020"/>
      </w:r>
      <w:r w:rsidRPr="00B370BE">
        <w:rPr>
          <w:szCs w:val="24"/>
        </w:rPr>
        <w:t xml:space="preserve">2314 and FR 2314S; OMB No. 7100-0073);   </w:t>
      </w:r>
    </w:p>
    <w:p w:rsidR="00E4686E" w:rsidRPr="00B370BE" w:rsidRDefault="00E4686E" w:rsidP="00E4686E">
      <w:pPr>
        <w:pStyle w:val="BodyTextIndent"/>
        <w:numPr>
          <w:ilvl w:val="0"/>
          <w:numId w:val="8"/>
        </w:numPr>
        <w:rPr>
          <w:szCs w:val="24"/>
        </w:rPr>
      </w:pPr>
      <w:r w:rsidRPr="00B370BE">
        <w:rPr>
          <w:szCs w:val="24"/>
        </w:rPr>
        <w:t xml:space="preserve">the  Bank Holding Company Report of Insured Depository Institutions’ Section 23A Transactions with Affiliates (FR Y-8; OMB No. 7100-0126);  </w:t>
      </w:r>
    </w:p>
    <w:p w:rsidR="00493F16" w:rsidRDefault="00E4686E" w:rsidP="00E4686E">
      <w:pPr>
        <w:pStyle w:val="BodyTextIndent"/>
        <w:numPr>
          <w:ilvl w:val="0"/>
          <w:numId w:val="8"/>
        </w:numPr>
        <w:rPr>
          <w:szCs w:val="24"/>
        </w:rPr>
      </w:pPr>
      <w:r w:rsidRPr="00B370BE">
        <w:rPr>
          <w:szCs w:val="24"/>
        </w:rPr>
        <w:t>the  Consolidated Bank Holding Company Report of Equity Investments in Nonfinancial Companies (FR Y-12) and the Annual Report of Merchant Banking Investments Held for an Extended Period (FR Y-12A) (OMB No. 7100-0300)</w:t>
      </w:r>
      <w:r w:rsidR="00493F16">
        <w:rPr>
          <w:szCs w:val="24"/>
        </w:rPr>
        <w:t>; and</w:t>
      </w:r>
    </w:p>
    <w:p w:rsidR="00990FC9" w:rsidRDefault="00493F16">
      <w:pPr>
        <w:pStyle w:val="BodyTextIndent"/>
        <w:numPr>
          <w:ilvl w:val="0"/>
          <w:numId w:val="8"/>
        </w:numPr>
        <w:rPr>
          <w:color w:val="000000"/>
          <w:szCs w:val="24"/>
        </w:rPr>
      </w:pPr>
      <w:r>
        <w:rPr>
          <w:szCs w:val="24"/>
        </w:rPr>
        <w:t>t</w:t>
      </w:r>
      <w:r w:rsidRPr="00F75807">
        <w:rPr>
          <w:szCs w:val="24"/>
        </w:rPr>
        <w:t>he Capital an</w:t>
      </w:r>
      <w:r>
        <w:rPr>
          <w:szCs w:val="24"/>
        </w:rPr>
        <w:t>d</w:t>
      </w:r>
      <w:r w:rsidRPr="00F75807">
        <w:rPr>
          <w:szCs w:val="24"/>
        </w:rPr>
        <w:t xml:space="preserve"> Asset Report of Foreign Banking Organizations (</w:t>
      </w:r>
      <w:r>
        <w:rPr>
          <w:szCs w:val="24"/>
        </w:rPr>
        <w:t>FR Y-7Q), and the Financial Statements of U.S. Nonbank Subsidiaries Held by Foreign Banking Organizations (FR Y-7N and FR Y-7NS) (OMB No. 7100-0125)</w:t>
      </w:r>
      <w:r w:rsidR="00E4686E" w:rsidRPr="00B370BE">
        <w:rPr>
          <w:szCs w:val="24"/>
        </w:rPr>
        <w:t>.</w:t>
      </w:r>
    </w:p>
    <w:p w:rsidR="00A75458" w:rsidRDefault="00A75458" w:rsidP="00A6275C">
      <w:pPr>
        <w:pStyle w:val="HTMLPreformatted"/>
        <w:widowControl/>
        <w:rPr>
          <w:rFonts w:ascii="Times New Roman" w:hAnsi="Times New Roman" w:cs="Times New Roman"/>
          <w:color w:val="000000"/>
          <w:sz w:val="24"/>
          <w:szCs w:val="24"/>
        </w:rPr>
      </w:pPr>
    </w:p>
    <w:p w:rsidR="002E3E1A" w:rsidRDefault="002E3E1A" w:rsidP="002E3E1A">
      <w:pPr>
        <w:widowControl/>
        <w:autoSpaceDE w:val="0"/>
        <w:autoSpaceDN w:val="0"/>
        <w:adjustRightInd w:val="0"/>
        <w:ind w:firstLine="720"/>
        <w:rPr>
          <w:rFonts w:ascii="Times New Roman" w:hAnsi="Times New Roman"/>
          <w:snapToGrid/>
          <w:szCs w:val="24"/>
        </w:rPr>
      </w:pPr>
      <w:r>
        <w:rPr>
          <w:rFonts w:ascii="Times New Roman" w:hAnsi="Times New Roman"/>
          <w:szCs w:val="24"/>
        </w:rPr>
        <w:lastRenderedPageBreak/>
        <w:t>T</w:t>
      </w:r>
      <w:r w:rsidRPr="00E4686E">
        <w:rPr>
          <w:rFonts w:ascii="Times New Roman" w:hAnsi="Times New Roman"/>
          <w:szCs w:val="24"/>
        </w:rPr>
        <w:t xml:space="preserve">he </w:t>
      </w:r>
      <w:r>
        <w:rPr>
          <w:rFonts w:ascii="Times New Roman" w:hAnsi="Times New Roman"/>
          <w:szCs w:val="24"/>
        </w:rPr>
        <w:t>Federal Reserve</w:t>
      </w:r>
      <w:r w:rsidRPr="00B370BE">
        <w:rPr>
          <w:rFonts w:ascii="Times New Roman" w:hAnsi="Times New Roman"/>
          <w:szCs w:val="24"/>
        </w:rPr>
        <w:t xml:space="preserve"> </w:t>
      </w:r>
      <w:r>
        <w:rPr>
          <w:rFonts w:ascii="Times New Roman" w:hAnsi="Times New Roman"/>
          <w:szCs w:val="24"/>
        </w:rPr>
        <w:t xml:space="preserve">proposes to exempt a limited number of SLHCs from initial regulatory reporting using the Federal Reserve existing regulatory reports and provide </w:t>
      </w:r>
      <w:r w:rsidRPr="00B370BE">
        <w:rPr>
          <w:rFonts w:ascii="Times New Roman" w:hAnsi="Times New Roman"/>
          <w:szCs w:val="24"/>
        </w:rPr>
        <w:t xml:space="preserve">a </w:t>
      </w:r>
      <w:r>
        <w:rPr>
          <w:rFonts w:ascii="Times New Roman" w:hAnsi="Times New Roman"/>
          <w:szCs w:val="24"/>
        </w:rPr>
        <w:t xml:space="preserve">two year </w:t>
      </w:r>
      <w:r w:rsidRPr="00B370BE">
        <w:rPr>
          <w:rFonts w:ascii="Times New Roman" w:hAnsi="Times New Roman"/>
          <w:szCs w:val="24"/>
        </w:rPr>
        <w:t xml:space="preserve">phase-in approach </w:t>
      </w:r>
      <w:r>
        <w:rPr>
          <w:rFonts w:ascii="Times New Roman" w:hAnsi="Times New Roman"/>
          <w:szCs w:val="24"/>
        </w:rPr>
        <w:t>for regulatory reporting for all other SLHCs.</w:t>
      </w:r>
      <w:r w:rsidRPr="005A256E">
        <w:rPr>
          <w:rStyle w:val="FootnoteReference"/>
          <w:szCs w:val="24"/>
          <w:vertAlign w:val="superscript"/>
        </w:rPr>
        <w:footnoteReference w:id="1"/>
      </w:r>
      <w:r w:rsidRPr="005A256E">
        <w:rPr>
          <w:rFonts w:ascii="Times New Roman" w:hAnsi="Times New Roman"/>
          <w:szCs w:val="24"/>
          <w:vertAlign w:val="superscript"/>
        </w:rPr>
        <w:t xml:space="preserve"> </w:t>
      </w:r>
      <w:r>
        <w:rPr>
          <w:rFonts w:ascii="Times New Roman" w:hAnsi="Times New Roman"/>
          <w:szCs w:val="24"/>
        </w:rPr>
        <w:t xml:space="preserve"> </w:t>
      </w:r>
    </w:p>
    <w:p w:rsidR="00A75458" w:rsidRPr="002A0D13" w:rsidRDefault="00A75458" w:rsidP="00A75458">
      <w:pPr>
        <w:autoSpaceDE w:val="0"/>
        <w:autoSpaceDN w:val="0"/>
        <w:adjustRightInd w:val="0"/>
        <w:ind w:firstLine="720"/>
        <w:rPr>
          <w:rFonts w:ascii="Times New Roman" w:hAnsi="Times New Roman"/>
          <w:b/>
          <w:color w:val="000000"/>
          <w:szCs w:val="24"/>
        </w:rPr>
      </w:pPr>
    </w:p>
    <w:p w:rsidR="000B289E" w:rsidRPr="00F651DE" w:rsidRDefault="000B289E" w:rsidP="000B289E">
      <w:pPr>
        <w:autoSpaceDE w:val="0"/>
        <w:autoSpaceDN w:val="0"/>
        <w:adjustRightInd w:val="0"/>
        <w:ind w:firstLine="720"/>
        <w:rPr>
          <w:rFonts w:ascii="Times New Roman" w:hAnsi="Times New Roman"/>
        </w:rPr>
      </w:pPr>
      <w:r w:rsidRPr="00F651DE">
        <w:rPr>
          <w:rFonts w:ascii="Times New Roman" w:hAnsi="Times New Roman"/>
        </w:rPr>
        <w:t xml:space="preserve">The </w:t>
      </w:r>
      <w:r>
        <w:rPr>
          <w:rFonts w:ascii="Times New Roman" w:hAnsi="Times New Roman"/>
          <w:bCs/>
        </w:rPr>
        <w:t>Federal Reserve</w:t>
      </w:r>
      <w:r w:rsidRPr="00F651DE">
        <w:rPr>
          <w:rFonts w:ascii="Times New Roman" w:hAnsi="Times New Roman"/>
        </w:rPr>
        <w:t xml:space="preserve"> recognizes institutions’ need for lead time to prepare for the new reporting requirements.  Thus, consistent with longstanding practice, SLHCs may provide reasonable estimates during the first reporting period.  The Federal Reserve Banks </w:t>
      </w:r>
      <w:r w:rsidR="002B4EDA">
        <w:rPr>
          <w:rFonts w:ascii="Times New Roman" w:hAnsi="Times New Roman"/>
        </w:rPr>
        <w:t>are</w:t>
      </w:r>
      <w:r w:rsidRPr="00F651DE">
        <w:rPr>
          <w:rFonts w:ascii="Times New Roman" w:hAnsi="Times New Roman"/>
        </w:rPr>
        <w:t xml:space="preserve"> provid</w:t>
      </w:r>
      <w:r w:rsidR="002B4EDA">
        <w:rPr>
          <w:rFonts w:ascii="Times New Roman" w:hAnsi="Times New Roman"/>
        </w:rPr>
        <w:t>ing</w:t>
      </w:r>
      <w:r w:rsidRPr="00F651DE">
        <w:rPr>
          <w:rFonts w:ascii="Times New Roman" w:hAnsi="Times New Roman"/>
        </w:rPr>
        <w:t xml:space="preserve"> training and guidance to SLHCs to assist with the completion and submission of the Federal Reserve’s regulatory reports.</w:t>
      </w:r>
    </w:p>
    <w:p w:rsidR="000B289E" w:rsidRDefault="000B289E" w:rsidP="00A6275C">
      <w:pPr>
        <w:pStyle w:val="HTMLPreformatted"/>
        <w:widowControl/>
        <w:rPr>
          <w:rFonts w:ascii="Times New Roman" w:hAnsi="Times New Roman" w:cs="Times New Roman"/>
          <w:color w:val="000000"/>
          <w:sz w:val="24"/>
          <w:szCs w:val="24"/>
        </w:rPr>
      </w:pPr>
    </w:p>
    <w:p w:rsidR="00DC374A" w:rsidRDefault="00E30479">
      <w:pPr>
        <w:pStyle w:val="HTMLPreformatted"/>
        <w:widowControl/>
        <w:ind w:firstLine="720"/>
        <w:rPr>
          <w:rFonts w:ascii="Times New Roman" w:hAnsi="Times New Roman" w:cs="Times New Roman"/>
          <w:sz w:val="24"/>
          <w:szCs w:val="24"/>
        </w:rPr>
      </w:pPr>
      <w:r w:rsidRPr="00B370BE">
        <w:rPr>
          <w:rFonts w:ascii="Times New Roman" w:hAnsi="Times New Roman" w:cs="Times New Roman"/>
          <w:color w:val="000000"/>
          <w:sz w:val="24"/>
          <w:szCs w:val="24"/>
        </w:rPr>
        <w:t xml:space="preserve">The proposed revisions </w:t>
      </w:r>
      <w:r>
        <w:rPr>
          <w:rFonts w:ascii="Times New Roman" w:hAnsi="Times New Roman" w:cs="Times New Roman"/>
          <w:color w:val="000000"/>
          <w:sz w:val="24"/>
          <w:szCs w:val="24"/>
        </w:rPr>
        <w:t>would</w:t>
      </w:r>
      <w:r w:rsidRPr="00B370BE">
        <w:rPr>
          <w:rFonts w:ascii="Times New Roman" w:hAnsi="Times New Roman" w:cs="Times New Roman"/>
          <w:color w:val="000000"/>
          <w:sz w:val="24"/>
          <w:szCs w:val="24"/>
        </w:rPr>
        <w:t xml:space="preserve"> provide data to analyze the overall financial condition of SLHCs to ensure safe and sound operations.  </w:t>
      </w:r>
      <w:r w:rsidR="004470B3">
        <w:rPr>
          <w:rFonts w:ascii="Times New Roman" w:hAnsi="Times New Roman" w:cs="Times New Roman"/>
          <w:color w:val="000000"/>
          <w:sz w:val="24"/>
          <w:szCs w:val="24"/>
        </w:rPr>
        <w:t xml:space="preserve">Reporting requirements for BHCs would not be </w:t>
      </w:r>
      <w:r w:rsidR="001D2EA4">
        <w:rPr>
          <w:rFonts w:ascii="Times New Roman" w:hAnsi="Times New Roman" w:cs="Times New Roman"/>
          <w:color w:val="000000"/>
          <w:sz w:val="24"/>
          <w:szCs w:val="24"/>
        </w:rPr>
        <w:t>a</w:t>
      </w:r>
      <w:r w:rsidR="004470B3">
        <w:rPr>
          <w:rFonts w:ascii="Times New Roman" w:hAnsi="Times New Roman" w:cs="Times New Roman"/>
          <w:color w:val="000000"/>
          <w:sz w:val="24"/>
          <w:szCs w:val="24"/>
        </w:rPr>
        <w:t xml:space="preserve">ffected by this proposal.  </w:t>
      </w:r>
      <w:r w:rsidR="00F15388">
        <w:rPr>
          <w:rFonts w:ascii="Times New Roman" w:hAnsi="Times New Roman" w:cs="Times New Roman"/>
          <w:color w:val="000000"/>
          <w:sz w:val="24"/>
          <w:szCs w:val="24"/>
        </w:rPr>
        <w:t xml:space="preserve">The Federal Reserve </w:t>
      </w:r>
      <w:r w:rsidR="00B51ADB">
        <w:rPr>
          <w:rFonts w:ascii="Times New Roman" w:hAnsi="Times New Roman" w:cs="Times New Roman"/>
          <w:color w:val="000000"/>
          <w:sz w:val="24"/>
          <w:szCs w:val="24"/>
        </w:rPr>
        <w:t>also proposes to</w:t>
      </w:r>
      <w:r w:rsidRPr="00B370BE">
        <w:rPr>
          <w:rFonts w:ascii="Times New Roman" w:hAnsi="Times New Roman" w:cs="Times New Roman"/>
          <w:color w:val="000000"/>
          <w:sz w:val="24"/>
          <w:szCs w:val="24"/>
        </w:rPr>
        <w:t xml:space="preserve"> revise other regulatory reports filed by BHCs to include SLHCs in the reporting panels going forward, as needed for supervisory purposes.</w:t>
      </w:r>
      <w:r w:rsidRPr="00B370BE">
        <w:rPr>
          <w:rStyle w:val="FootnoteReference"/>
          <w:rFonts w:cs="Times New Roman"/>
          <w:color w:val="000000"/>
          <w:sz w:val="24"/>
          <w:szCs w:val="24"/>
          <w:vertAlign w:val="superscript"/>
        </w:rPr>
        <w:footnoteReference w:id="2"/>
      </w:r>
      <w:r w:rsidRPr="00B370BE">
        <w:rPr>
          <w:rFonts w:ascii="Times New Roman" w:hAnsi="Times New Roman" w:cs="Times New Roman"/>
          <w:color w:val="000000"/>
          <w:sz w:val="24"/>
          <w:szCs w:val="24"/>
        </w:rPr>
        <w:t xml:space="preserve">  No other revisions are proposed for these information collections.</w:t>
      </w:r>
    </w:p>
    <w:p w:rsidR="00E30479" w:rsidRDefault="00E30479" w:rsidP="00D513C3">
      <w:pPr>
        <w:widowControl/>
        <w:tabs>
          <w:tab w:val="left" w:pos="-1440"/>
        </w:tabs>
        <w:ind w:firstLine="720"/>
        <w:rPr>
          <w:rFonts w:ascii="Times New Roman" w:hAnsi="Times New Roman"/>
          <w:szCs w:val="24"/>
        </w:rPr>
      </w:pPr>
    </w:p>
    <w:p w:rsidR="004368DA" w:rsidRPr="00B370BE" w:rsidRDefault="002A2FF7" w:rsidP="00A6275C">
      <w:pPr>
        <w:widowControl/>
        <w:tabs>
          <w:tab w:val="left" w:pos="720"/>
        </w:tabs>
        <w:rPr>
          <w:rFonts w:ascii="Times New Roman" w:hAnsi="Times New Roman"/>
          <w:szCs w:val="24"/>
        </w:rPr>
      </w:pPr>
      <w:r w:rsidRPr="00B370BE">
        <w:rPr>
          <w:rFonts w:ascii="Times New Roman" w:hAnsi="Times New Roman"/>
          <w:szCs w:val="24"/>
        </w:rPr>
        <w:tab/>
      </w:r>
      <w:r w:rsidR="004368DA" w:rsidRPr="00B370BE">
        <w:rPr>
          <w:rFonts w:ascii="Times New Roman" w:hAnsi="Times New Roman"/>
          <w:szCs w:val="24"/>
        </w:rPr>
        <w:t xml:space="preserve">The total current annual burden for all of these reports is estimated to increase by </w:t>
      </w:r>
      <w:r w:rsidR="0059368B">
        <w:rPr>
          <w:rFonts w:ascii="Times New Roman" w:hAnsi="Times New Roman"/>
          <w:szCs w:val="24"/>
        </w:rPr>
        <w:t>5</w:t>
      </w:r>
      <w:r w:rsidR="006D53E2">
        <w:rPr>
          <w:rFonts w:ascii="Times New Roman" w:hAnsi="Times New Roman"/>
          <w:szCs w:val="24"/>
        </w:rPr>
        <w:t>1,761</w:t>
      </w:r>
      <w:r w:rsidR="00E7246A">
        <w:rPr>
          <w:rFonts w:ascii="Times New Roman" w:hAnsi="Times New Roman"/>
          <w:szCs w:val="24"/>
        </w:rPr>
        <w:t xml:space="preserve"> </w:t>
      </w:r>
      <w:r w:rsidR="004368DA" w:rsidRPr="00B370BE">
        <w:rPr>
          <w:rFonts w:ascii="Times New Roman" w:hAnsi="Times New Roman"/>
          <w:szCs w:val="24"/>
        </w:rPr>
        <w:t xml:space="preserve">hours with the proposed revisions (as shown in the Estimates of Respondent Burden section below).   </w:t>
      </w:r>
    </w:p>
    <w:p w:rsidR="0069737A" w:rsidRPr="00B370BE" w:rsidRDefault="0069737A" w:rsidP="0069737A">
      <w:pPr>
        <w:widowControl/>
        <w:rPr>
          <w:rFonts w:ascii="Times New Roman" w:hAnsi="Times New Roman"/>
          <w:b/>
          <w:szCs w:val="24"/>
        </w:rPr>
      </w:pPr>
    </w:p>
    <w:p w:rsidR="0069737A" w:rsidRDefault="0069737A" w:rsidP="0069737A">
      <w:pPr>
        <w:widowControl/>
        <w:rPr>
          <w:rFonts w:ascii="Times New Roman" w:hAnsi="Times New Roman"/>
          <w:b/>
          <w:szCs w:val="24"/>
        </w:rPr>
      </w:pPr>
      <w:r w:rsidRPr="00B370BE">
        <w:rPr>
          <w:rFonts w:ascii="Times New Roman" w:hAnsi="Times New Roman"/>
          <w:b/>
          <w:szCs w:val="24"/>
        </w:rPr>
        <w:t xml:space="preserve">Background </w:t>
      </w:r>
      <w:r w:rsidR="0039746C">
        <w:rPr>
          <w:rFonts w:ascii="Times New Roman" w:hAnsi="Times New Roman"/>
          <w:b/>
          <w:szCs w:val="24"/>
        </w:rPr>
        <w:t>and Justification</w:t>
      </w:r>
    </w:p>
    <w:p w:rsidR="004B0082" w:rsidRPr="00B370BE" w:rsidRDefault="004B0082" w:rsidP="0069737A">
      <w:pPr>
        <w:widowControl/>
        <w:rPr>
          <w:rFonts w:ascii="Times New Roman" w:hAnsi="Times New Roman"/>
          <w:b/>
          <w:szCs w:val="24"/>
        </w:rPr>
      </w:pPr>
    </w:p>
    <w:p w:rsidR="00A6275C" w:rsidRDefault="0040627E" w:rsidP="00A6275C">
      <w:pPr>
        <w:autoSpaceDE w:val="0"/>
        <w:autoSpaceDN w:val="0"/>
        <w:adjustRightInd w:val="0"/>
        <w:rPr>
          <w:rFonts w:ascii="Times New Roman" w:hAnsi="Times New Roman"/>
          <w:color w:val="000000"/>
          <w:szCs w:val="24"/>
        </w:rPr>
      </w:pPr>
      <w:r>
        <w:rPr>
          <w:rFonts w:ascii="Times New Roman" w:hAnsi="Times New Roman"/>
          <w:color w:val="000000"/>
          <w:szCs w:val="24"/>
        </w:rPr>
        <w:tab/>
      </w:r>
      <w:r w:rsidR="00A6275C" w:rsidRPr="00B370BE">
        <w:rPr>
          <w:rFonts w:ascii="Times New Roman" w:hAnsi="Times New Roman"/>
          <w:color w:val="000000"/>
          <w:szCs w:val="24"/>
        </w:rPr>
        <w:t>The Dodd-Frank Act was enacted into law on July 21, 2010.  Title III of the Dodd-Frank Act abolishe</w:t>
      </w:r>
      <w:r w:rsidR="004A0F7C">
        <w:rPr>
          <w:rFonts w:ascii="Times New Roman" w:hAnsi="Times New Roman"/>
          <w:color w:val="000000"/>
          <w:szCs w:val="24"/>
        </w:rPr>
        <w:t>d</w:t>
      </w:r>
      <w:r w:rsidR="00A6275C" w:rsidRPr="00B370BE">
        <w:rPr>
          <w:rFonts w:ascii="Times New Roman" w:hAnsi="Times New Roman"/>
          <w:color w:val="000000"/>
          <w:szCs w:val="24"/>
        </w:rPr>
        <w:t xml:space="preserve"> the OTS and transfer</w:t>
      </w:r>
      <w:r w:rsidR="008013E5">
        <w:rPr>
          <w:rFonts w:ascii="Times New Roman" w:hAnsi="Times New Roman"/>
          <w:color w:val="000000"/>
          <w:szCs w:val="24"/>
        </w:rPr>
        <w:t>r</w:t>
      </w:r>
      <w:r w:rsidR="004A0F7C">
        <w:rPr>
          <w:rFonts w:ascii="Times New Roman" w:hAnsi="Times New Roman"/>
          <w:color w:val="000000"/>
          <w:szCs w:val="24"/>
        </w:rPr>
        <w:t>ed</w:t>
      </w:r>
      <w:r w:rsidR="00A6275C" w:rsidRPr="00B370BE">
        <w:rPr>
          <w:rFonts w:ascii="Times New Roman" w:hAnsi="Times New Roman"/>
          <w:color w:val="000000"/>
          <w:szCs w:val="24"/>
        </w:rPr>
        <w:t xml:space="preserve"> all former OTS authorities (including rulemaking) related to SLHCs to the Federal Reserve</w:t>
      </w:r>
      <w:r w:rsidR="00A6275C" w:rsidRPr="00A6275C">
        <w:rPr>
          <w:rFonts w:ascii="Times New Roman" w:hAnsi="Times New Roman"/>
          <w:color w:val="000000"/>
          <w:szCs w:val="24"/>
        </w:rPr>
        <w:t xml:space="preserve"> </w:t>
      </w:r>
      <w:r w:rsidR="00A6275C" w:rsidRPr="00B370BE">
        <w:rPr>
          <w:rFonts w:ascii="Times New Roman" w:hAnsi="Times New Roman"/>
          <w:color w:val="000000"/>
          <w:szCs w:val="24"/>
        </w:rPr>
        <w:t xml:space="preserve">effective as of July 21, 2011.  The Federal Reserve </w:t>
      </w:r>
      <w:r w:rsidR="002B4EDA">
        <w:rPr>
          <w:rFonts w:ascii="Times New Roman" w:hAnsi="Times New Roman"/>
          <w:color w:val="000000"/>
          <w:szCs w:val="24"/>
        </w:rPr>
        <w:t xml:space="preserve">also </w:t>
      </w:r>
      <w:r w:rsidR="004A0F7C">
        <w:rPr>
          <w:rFonts w:ascii="Times New Roman" w:hAnsi="Times New Roman"/>
          <w:color w:val="000000"/>
          <w:szCs w:val="24"/>
        </w:rPr>
        <w:t>became</w:t>
      </w:r>
      <w:r w:rsidR="00A6275C" w:rsidRPr="00B370BE">
        <w:rPr>
          <w:rFonts w:ascii="Times New Roman" w:hAnsi="Times New Roman"/>
          <w:color w:val="000000"/>
          <w:szCs w:val="24"/>
        </w:rPr>
        <w:t xml:space="preserve"> responsible for the consolidated supervision of SLHCs beginning July 21, 2011.  </w:t>
      </w:r>
    </w:p>
    <w:p w:rsidR="00A6275C" w:rsidRPr="00B370BE" w:rsidRDefault="00A6275C" w:rsidP="00A6275C">
      <w:pPr>
        <w:autoSpaceDE w:val="0"/>
        <w:autoSpaceDN w:val="0"/>
        <w:adjustRightInd w:val="0"/>
        <w:rPr>
          <w:rFonts w:ascii="Times New Roman" w:hAnsi="Times New Roman"/>
          <w:color w:val="000000"/>
          <w:szCs w:val="24"/>
        </w:rPr>
      </w:pPr>
    </w:p>
    <w:p w:rsidR="00A6275C" w:rsidRDefault="0040627E" w:rsidP="00A6275C">
      <w:pPr>
        <w:autoSpaceDE w:val="0"/>
        <w:autoSpaceDN w:val="0"/>
        <w:adjustRightInd w:val="0"/>
        <w:rPr>
          <w:rFonts w:ascii="Times New Roman" w:hAnsi="Times New Roman"/>
          <w:color w:val="000000"/>
          <w:szCs w:val="24"/>
        </w:rPr>
      </w:pPr>
      <w:r>
        <w:rPr>
          <w:rFonts w:ascii="Times New Roman" w:hAnsi="Times New Roman"/>
          <w:szCs w:val="24"/>
        </w:rPr>
        <w:tab/>
      </w:r>
      <w:r w:rsidR="0039746C">
        <w:rPr>
          <w:rFonts w:ascii="Times New Roman" w:hAnsi="Times New Roman"/>
          <w:szCs w:val="24"/>
        </w:rPr>
        <w:t>C</w:t>
      </w:r>
      <w:r w:rsidR="009B6862">
        <w:rPr>
          <w:rFonts w:ascii="Times New Roman" w:hAnsi="Times New Roman"/>
          <w:color w:val="000000"/>
          <w:szCs w:val="24"/>
        </w:rPr>
        <w:t xml:space="preserve">onsolidated data currently collected from BHCs </w:t>
      </w:r>
      <w:r w:rsidR="0039746C" w:rsidRPr="00B370BE">
        <w:rPr>
          <w:rFonts w:ascii="Times New Roman" w:hAnsi="Times New Roman"/>
          <w:color w:val="000000"/>
          <w:szCs w:val="24"/>
        </w:rPr>
        <w:t xml:space="preserve">assist </w:t>
      </w:r>
      <w:r w:rsidR="0039746C">
        <w:rPr>
          <w:rFonts w:ascii="Times New Roman" w:hAnsi="Times New Roman"/>
          <w:color w:val="000000"/>
          <w:szCs w:val="24"/>
        </w:rPr>
        <w:t xml:space="preserve">the </w:t>
      </w:r>
      <w:r w:rsidR="00B51ADB">
        <w:rPr>
          <w:rFonts w:ascii="Times New Roman" w:hAnsi="Times New Roman"/>
          <w:color w:val="000000"/>
          <w:szCs w:val="24"/>
        </w:rPr>
        <w:t>Federal Reserve</w:t>
      </w:r>
      <w:r w:rsidR="0039746C">
        <w:rPr>
          <w:rFonts w:ascii="Times New Roman" w:hAnsi="Times New Roman"/>
          <w:color w:val="000000"/>
          <w:szCs w:val="24"/>
        </w:rPr>
        <w:t xml:space="preserve"> </w:t>
      </w:r>
      <w:r w:rsidR="0039746C" w:rsidRPr="00B370BE">
        <w:rPr>
          <w:rFonts w:ascii="Times New Roman" w:hAnsi="Times New Roman"/>
          <w:color w:val="000000"/>
          <w:szCs w:val="24"/>
        </w:rPr>
        <w:t>in the identification and evaluation of significant risks that may exist in a diversified holding company.</w:t>
      </w:r>
      <w:r w:rsidR="0039746C">
        <w:rPr>
          <w:rFonts w:ascii="Times New Roman" w:hAnsi="Times New Roman"/>
          <w:color w:val="000000"/>
          <w:szCs w:val="24"/>
        </w:rPr>
        <w:t xml:space="preserve">  The data also assist the </w:t>
      </w:r>
      <w:r w:rsidR="00B51ADB">
        <w:rPr>
          <w:rFonts w:ascii="Times New Roman" w:hAnsi="Times New Roman"/>
          <w:color w:val="000000"/>
          <w:szCs w:val="24"/>
        </w:rPr>
        <w:t>Federal Reserve</w:t>
      </w:r>
      <w:r w:rsidR="0039746C">
        <w:rPr>
          <w:rFonts w:ascii="Times New Roman" w:hAnsi="Times New Roman"/>
          <w:color w:val="000000"/>
          <w:szCs w:val="24"/>
        </w:rPr>
        <w:t xml:space="preserve"> in determining whether an institution is in compliance with applicable laws and regulations.  </w:t>
      </w:r>
      <w:r w:rsidR="00A6275C" w:rsidRPr="00B370BE">
        <w:rPr>
          <w:rFonts w:ascii="Times New Roman" w:hAnsi="Times New Roman"/>
          <w:szCs w:val="24"/>
        </w:rPr>
        <w:t xml:space="preserve">The Federal Reserve believes that it is important that any company that owns and operates a depository institution be held to appropriate standards of </w:t>
      </w:r>
      <w:r w:rsidR="00A6275C" w:rsidRPr="00B370BE">
        <w:rPr>
          <w:rFonts w:ascii="Times New Roman" w:hAnsi="Times New Roman"/>
          <w:szCs w:val="24"/>
        </w:rPr>
        <w:lastRenderedPageBreak/>
        <w:t xml:space="preserve">capitalization, liquidity, and risk management. </w:t>
      </w:r>
      <w:r w:rsidR="002B4EDA">
        <w:rPr>
          <w:rFonts w:ascii="Times New Roman" w:hAnsi="Times New Roman"/>
          <w:szCs w:val="24"/>
        </w:rPr>
        <w:t xml:space="preserve"> </w:t>
      </w:r>
      <w:r w:rsidR="00A6275C" w:rsidRPr="00B370BE">
        <w:rPr>
          <w:rFonts w:ascii="Times New Roman" w:hAnsi="Times New Roman"/>
          <w:szCs w:val="24"/>
        </w:rPr>
        <w:t xml:space="preserve">Consequently, it </w:t>
      </w:r>
      <w:r w:rsidR="00A6275C">
        <w:rPr>
          <w:rFonts w:ascii="Times New Roman" w:hAnsi="Times New Roman"/>
          <w:szCs w:val="24"/>
        </w:rPr>
        <w:t>is</w:t>
      </w:r>
      <w:r w:rsidR="00A6275C" w:rsidRPr="00B370BE">
        <w:rPr>
          <w:rFonts w:ascii="Times New Roman" w:hAnsi="Times New Roman"/>
          <w:szCs w:val="24"/>
        </w:rPr>
        <w:t xml:space="preserve"> the Federal Reserve’s intention that, to the greatest extent possible, taking into account any unique characteristics of SLHCs and the requirements of the Home Owners</w:t>
      </w:r>
      <w:r w:rsidR="00A6275C">
        <w:rPr>
          <w:rFonts w:ascii="Times New Roman" w:hAnsi="Times New Roman"/>
          <w:szCs w:val="24"/>
        </w:rPr>
        <w:t>’</w:t>
      </w:r>
      <w:r w:rsidR="00A6275C" w:rsidRPr="00B370BE">
        <w:rPr>
          <w:rFonts w:ascii="Times New Roman" w:hAnsi="Times New Roman"/>
          <w:szCs w:val="24"/>
        </w:rPr>
        <w:t xml:space="preserve"> Loan Act (HOLA), supervisory oversight of SLHCs should be carried out on a comprehensive consolidated basis, consistent with the Federal Reserve’s established</w:t>
      </w:r>
      <w:r w:rsidR="00200A65">
        <w:rPr>
          <w:rFonts w:ascii="Times New Roman" w:hAnsi="Times New Roman"/>
          <w:szCs w:val="24"/>
        </w:rPr>
        <w:t xml:space="preserve"> </w:t>
      </w:r>
      <w:r w:rsidR="00A6275C">
        <w:rPr>
          <w:rFonts w:ascii="Times New Roman" w:hAnsi="Times New Roman"/>
          <w:szCs w:val="24"/>
        </w:rPr>
        <w:t>approach</w:t>
      </w:r>
      <w:r w:rsidR="00301732">
        <w:rPr>
          <w:rFonts w:ascii="Times New Roman" w:hAnsi="Times New Roman"/>
          <w:szCs w:val="24"/>
        </w:rPr>
        <w:t xml:space="preserve"> </w:t>
      </w:r>
      <w:r w:rsidR="00A6275C" w:rsidRPr="00B370BE">
        <w:rPr>
          <w:rFonts w:ascii="Times New Roman" w:hAnsi="Times New Roman"/>
          <w:szCs w:val="24"/>
        </w:rPr>
        <w:t>regarding BHC supervision.</w:t>
      </w:r>
      <w:r w:rsidR="00A6275C">
        <w:rPr>
          <w:rFonts w:ascii="Times New Roman" w:hAnsi="Times New Roman"/>
          <w:szCs w:val="24"/>
        </w:rPr>
        <w:t xml:space="preserve">  </w:t>
      </w:r>
      <w:r w:rsidR="009B6862" w:rsidRPr="00B370BE">
        <w:rPr>
          <w:rFonts w:ascii="Times New Roman" w:hAnsi="Times New Roman"/>
          <w:color w:val="000000"/>
          <w:szCs w:val="24"/>
        </w:rPr>
        <w:t>The proposed revision</w:t>
      </w:r>
      <w:r w:rsidR="009B6862">
        <w:rPr>
          <w:rFonts w:ascii="Times New Roman" w:hAnsi="Times New Roman"/>
          <w:color w:val="000000"/>
          <w:szCs w:val="24"/>
        </w:rPr>
        <w:t>s</w:t>
      </w:r>
      <w:r w:rsidR="009B6862" w:rsidRPr="00B370BE">
        <w:rPr>
          <w:rFonts w:ascii="Times New Roman" w:hAnsi="Times New Roman"/>
          <w:color w:val="000000"/>
          <w:szCs w:val="24"/>
        </w:rPr>
        <w:t xml:space="preserve"> would provide data to analyze the overall financial condition of </w:t>
      </w:r>
      <w:r w:rsidR="009B6862">
        <w:rPr>
          <w:rFonts w:ascii="Times New Roman" w:hAnsi="Times New Roman"/>
          <w:color w:val="000000"/>
          <w:szCs w:val="24"/>
        </w:rPr>
        <w:t xml:space="preserve">most </w:t>
      </w:r>
      <w:r w:rsidR="009B6862" w:rsidRPr="00B370BE">
        <w:rPr>
          <w:rFonts w:ascii="Times New Roman" w:hAnsi="Times New Roman"/>
          <w:color w:val="000000"/>
          <w:szCs w:val="24"/>
        </w:rPr>
        <w:t xml:space="preserve">SLHCs to ensure safe and sound operations.  </w:t>
      </w:r>
    </w:p>
    <w:p w:rsidR="00272746" w:rsidRDefault="00272746" w:rsidP="008E707D">
      <w:pPr>
        <w:widowControl/>
        <w:rPr>
          <w:rFonts w:ascii="Times New Roman" w:hAnsi="Times New Roman"/>
          <w:b/>
          <w:szCs w:val="24"/>
        </w:rPr>
      </w:pPr>
    </w:p>
    <w:p w:rsidR="008E707D" w:rsidRPr="00B370BE" w:rsidRDefault="008E707D" w:rsidP="008E707D">
      <w:pPr>
        <w:widowControl/>
        <w:rPr>
          <w:rFonts w:ascii="Times New Roman" w:hAnsi="Times New Roman"/>
          <w:b/>
          <w:szCs w:val="24"/>
        </w:rPr>
      </w:pPr>
      <w:r w:rsidRPr="00B370BE">
        <w:rPr>
          <w:rFonts w:ascii="Times New Roman" w:hAnsi="Times New Roman"/>
          <w:b/>
          <w:szCs w:val="24"/>
        </w:rPr>
        <w:t>Description of the Information Collection</w:t>
      </w:r>
    </w:p>
    <w:p w:rsidR="008E707D" w:rsidRDefault="008E707D" w:rsidP="008E707D">
      <w:pPr>
        <w:widowControl/>
        <w:rPr>
          <w:rFonts w:ascii="Times New Roman" w:hAnsi="Times New Roman"/>
          <w:b/>
          <w:szCs w:val="24"/>
        </w:rPr>
      </w:pPr>
    </w:p>
    <w:p w:rsidR="008E707D" w:rsidRPr="008E707D" w:rsidRDefault="008E707D" w:rsidP="00EA673E">
      <w:pPr>
        <w:widowControl/>
        <w:ind w:firstLine="720"/>
        <w:rPr>
          <w:rFonts w:ascii="Times New Roman" w:hAnsi="Times New Roman"/>
          <w:szCs w:val="24"/>
        </w:rPr>
      </w:pPr>
      <w:r w:rsidRPr="008E707D">
        <w:rPr>
          <w:rFonts w:ascii="Times New Roman" w:hAnsi="Times New Roman"/>
          <w:szCs w:val="24"/>
        </w:rPr>
        <w:t xml:space="preserve">Currently, the </w:t>
      </w:r>
      <w:r w:rsidR="00F15388">
        <w:rPr>
          <w:rFonts w:ascii="Times New Roman" w:hAnsi="Times New Roman"/>
          <w:szCs w:val="24"/>
        </w:rPr>
        <w:t xml:space="preserve">Federal Reserve </w:t>
      </w:r>
      <w:r w:rsidRPr="008E707D">
        <w:rPr>
          <w:rFonts w:ascii="Times New Roman" w:hAnsi="Times New Roman"/>
          <w:szCs w:val="24"/>
        </w:rPr>
        <w:t>collects certain consolidated information</w:t>
      </w:r>
      <w:r w:rsidR="00E25B02">
        <w:rPr>
          <w:rFonts w:ascii="Times New Roman" w:hAnsi="Times New Roman"/>
          <w:szCs w:val="24"/>
        </w:rPr>
        <w:t>, itemized below,</w:t>
      </w:r>
      <w:r w:rsidRPr="008E707D">
        <w:rPr>
          <w:rFonts w:ascii="Times New Roman" w:hAnsi="Times New Roman"/>
          <w:szCs w:val="24"/>
        </w:rPr>
        <w:t xml:space="preserve"> from BHCs and qualifying </w:t>
      </w:r>
      <w:r w:rsidR="0040627E">
        <w:rPr>
          <w:rFonts w:ascii="Times New Roman" w:hAnsi="Times New Roman"/>
          <w:szCs w:val="24"/>
        </w:rPr>
        <w:t>foreign banking organizations (</w:t>
      </w:r>
      <w:r w:rsidRPr="008E707D">
        <w:rPr>
          <w:rFonts w:ascii="Times New Roman" w:hAnsi="Times New Roman"/>
          <w:szCs w:val="24"/>
        </w:rPr>
        <w:t>FBOs</w:t>
      </w:r>
      <w:r w:rsidR="0040627E">
        <w:rPr>
          <w:rFonts w:ascii="Times New Roman" w:hAnsi="Times New Roman"/>
          <w:szCs w:val="24"/>
        </w:rPr>
        <w:t>)</w:t>
      </w:r>
      <w:r w:rsidRPr="008E707D">
        <w:rPr>
          <w:rFonts w:ascii="Times New Roman" w:hAnsi="Times New Roman"/>
          <w:szCs w:val="24"/>
        </w:rPr>
        <w:t xml:space="preserve">.  This proposal would </w:t>
      </w:r>
      <w:r>
        <w:rPr>
          <w:rFonts w:ascii="Times New Roman" w:hAnsi="Times New Roman"/>
          <w:szCs w:val="24"/>
        </w:rPr>
        <w:t xml:space="preserve">revise </w:t>
      </w:r>
      <w:r w:rsidRPr="008E707D">
        <w:rPr>
          <w:rFonts w:ascii="Times New Roman" w:hAnsi="Times New Roman"/>
          <w:szCs w:val="24"/>
        </w:rPr>
        <w:t>th</w:t>
      </w:r>
      <w:r>
        <w:rPr>
          <w:rFonts w:ascii="Times New Roman" w:hAnsi="Times New Roman"/>
          <w:szCs w:val="24"/>
        </w:rPr>
        <w:t>ese</w:t>
      </w:r>
      <w:r w:rsidRPr="008E707D">
        <w:rPr>
          <w:rFonts w:ascii="Times New Roman" w:hAnsi="Times New Roman"/>
          <w:szCs w:val="24"/>
        </w:rPr>
        <w:t xml:space="preserve"> reporting panel</w:t>
      </w:r>
      <w:r>
        <w:rPr>
          <w:rFonts w:ascii="Times New Roman" w:hAnsi="Times New Roman"/>
          <w:szCs w:val="24"/>
        </w:rPr>
        <w:t>s to include SLHCs in the same manner as BHCs.</w:t>
      </w:r>
      <w:r w:rsidR="00420C41">
        <w:rPr>
          <w:rFonts w:ascii="Times New Roman" w:hAnsi="Times New Roman"/>
          <w:szCs w:val="24"/>
        </w:rPr>
        <w:t xml:space="preserve">  Minor modifications to the reporting </w:t>
      </w:r>
      <w:r w:rsidR="00E25B02">
        <w:rPr>
          <w:rFonts w:ascii="Times New Roman" w:hAnsi="Times New Roman"/>
          <w:szCs w:val="24"/>
        </w:rPr>
        <w:t xml:space="preserve">instructions </w:t>
      </w:r>
      <w:r w:rsidR="00420C41">
        <w:rPr>
          <w:rFonts w:ascii="Times New Roman" w:hAnsi="Times New Roman"/>
          <w:szCs w:val="24"/>
        </w:rPr>
        <w:t>may be necessary to accommodate SLHCs and HOLA.</w:t>
      </w:r>
    </w:p>
    <w:p w:rsidR="008E707D" w:rsidRPr="008E707D" w:rsidRDefault="008E707D" w:rsidP="008E707D">
      <w:pPr>
        <w:widowControl/>
        <w:rPr>
          <w:rFonts w:ascii="Times New Roman" w:hAnsi="Times New Roman"/>
          <w:szCs w:val="24"/>
        </w:rPr>
      </w:pPr>
    </w:p>
    <w:p w:rsidR="00990FC9" w:rsidRDefault="00E617F3">
      <w:pPr>
        <w:pStyle w:val="ListParagraph"/>
        <w:widowControl/>
        <w:numPr>
          <w:ilvl w:val="0"/>
          <w:numId w:val="21"/>
        </w:numPr>
        <w:tabs>
          <w:tab w:val="left" w:pos="-1440"/>
        </w:tabs>
        <w:rPr>
          <w:rFonts w:ascii="Times New Roman" w:hAnsi="Times New Roman"/>
          <w:szCs w:val="24"/>
          <w:lang w:val="es-ES"/>
        </w:rPr>
      </w:pPr>
      <w:r w:rsidRPr="00E617F3">
        <w:rPr>
          <w:rFonts w:ascii="Times New Roman" w:hAnsi="Times New Roman"/>
          <w:szCs w:val="24"/>
        </w:rPr>
        <w:t xml:space="preserve">The Consolidated Financial Statements for Bank Holding Companies (FR Y-9C), the Parent Company Only Financial Statements for Large Bank Holding Companies </w:t>
      </w:r>
      <w:r w:rsidRPr="00E617F3">
        <w:rPr>
          <w:rFonts w:ascii="Times New Roman" w:hAnsi="Times New Roman"/>
          <w:szCs w:val="24"/>
          <w:lang w:val="es-ES"/>
        </w:rPr>
        <w:t>(FR</w:t>
      </w:r>
      <w:r w:rsidR="0039746C" w:rsidRPr="00B370BE">
        <w:sym w:font="Symbol" w:char="F020"/>
      </w:r>
      <w:r w:rsidRPr="00E617F3">
        <w:rPr>
          <w:rFonts w:ascii="Times New Roman" w:hAnsi="Times New Roman"/>
          <w:szCs w:val="24"/>
          <w:lang w:val="es-ES"/>
        </w:rPr>
        <w:t xml:space="preserve">Y-9LP), </w:t>
      </w:r>
      <w:r w:rsidRPr="00E617F3">
        <w:rPr>
          <w:rFonts w:ascii="Times New Roman" w:hAnsi="Times New Roman"/>
          <w:szCs w:val="24"/>
        </w:rPr>
        <w:t>the Parent Company Only Financial Statements for Small Bank Holding Companies</w:t>
      </w:r>
      <w:r w:rsidRPr="00E617F3">
        <w:rPr>
          <w:rFonts w:ascii="Times New Roman" w:hAnsi="Times New Roman"/>
          <w:szCs w:val="24"/>
          <w:lang w:val="es-ES"/>
        </w:rPr>
        <w:t xml:space="preserve"> (FR</w:t>
      </w:r>
      <w:r w:rsidR="0039746C" w:rsidRPr="00B370BE">
        <w:sym w:font="Symbol" w:char="F020"/>
      </w:r>
      <w:r w:rsidRPr="00E617F3">
        <w:rPr>
          <w:rFonts w:ascii="Times New Roman" w:hAnsi="Times New Roman"/>
          <w:szCs w:val="24"/>
          <w:lang w:val="es-ES"/>
        </w:rPr>
        <w:t xml:space="preserve">Y-9SP), </w:t>
      </w:r>
      <w:r w:rsidRPr="00E617F3">
        <w:rPr>
          <w:rFonts w:ascii="Times New Roman" w:hAnsi="Times New Roman"/>
          <w:szCs w:val="24"/>
        </w:rPr>
        <w:t xml:space="preserve">the Financial Statements for Employee Stock Ownership Plan Bank Holding Companies </w:t>
      </w:r>
      <w:r w:rsidRPr="00E617F3">
        <w:rPr>
          <w:rFonts w:ascii="Times New Roman" w:hAnsi="Times New Roman"/>
          <w:szCs w:val="24"/>
          <w:lang w:val="es-ES"/>
        </w:rPr>
        <w:t xml:space="preserve">(FR Y-9ES), and </w:t>
      </w:r>
      <w:r w:rsidRPr="00E617F3">
        <w:rPr>
          <w:rFonts w:ascii="Times New Roman" w:hAnsi="Times New Roman"/>
          <w:szCs w:val="24"/>
        </w:rPr>
        <w:t xml:space="preserve">the Supplement to the Consolidated Financial Statements for Bank Holding Companies  </w:t>
      </w:r>
      <w:r w:rsidRPr="00E617F3">
        <w:rPr>
          <w:rFonts w:ascii="Times New Roman" w:hAnsi="Times New Roman"/>
          <w:szCs w:val="24"/>
          <w:lang w:val="es-ES"/>
        </w:rPr>
        <w:t xml:space="preserve">(FR Y-9CS) </w:t>
      </w:r>
      <w:r w:rsidRPr="00E617F3">
        <w:rPr>
          <w:rFonts w:ascii="Times New Roman" w:hAnsi="Times New Roman"/>
          <w:szCs w:val="24"/>
        </w:rPr>
        <w:t>(OMB No. 7100-0128);</w:t>
      </w:r>
    </w:p>
    <w:p w:rsidR="00990FC9" w:rsidRDefault="004C6302">
      <w:pPr>
        <w:pStyle w:val="ListParagraph"/>
        <w:widowControl/>
        <w:numPr>
          <w:ilvl w:val="0"/>
          <w:numId w:val="21"/>
        </w:numPr>
        <w:tabs>
          <w:tab w:val="left" w:pos="-1440"/>
        </w:tabs>
        <w:rPr>
          <w:rFonts w:ascii="Times New Roman" w:hAnsi="Times New Roman"/>
          <w:szCs w:val="24"/>
          <w:lang w:val="es-ES"/>
        </w:rPr>
      </w:pPr>
      <w:r>
        <w:rPr>
          <w:rFonts w:ascii="Times New Roman" w:hAnsi="Times New Roman"/>
          <w:szCs w:val="24"/>
        </w:rPr>
        <w:t>t</w:t>
      </w:r>
      <w:r w:rsidRPr="0039746C">
        <w:rPr>
          <w:rFonts w:ascii="Times New Roman" w:hAnsi="Times New Roman"/>
          <w:szCs w:val="24"/>
        </w:rPr>
        <w:t>he Annual Report of Bank Holding Companies (FR Y-6) and the Annual Report of Foreign Banking Organizations (FR Y-7) (OMB No. 7100-0297);</w:t>
      </w:r>
    </w:p>
    <w:p w:rsidR="0039746C" w:rsidRPr="00B370BE" w:rsidRDefault="0039746C" w:rsidP="0039746C">
      <w:pPr>
        <w:pStyle w:val="BodyTextIndent"/>
        <w:numPr>
          <w:ilvl w:val="0"/>
          <w:numId w:val="21"/>
        </w:numPr>
        <w:rPr>
          <w:szCs w:val="24"/>
        </w:rPr>
      </w:pPr>
      <w:r w:rsidRPr="00B370BE">
        <w:rPr>
          <w:szCs w:val="24"/>
        </w:rPr>
        <w:t xml:space="preserve">the Financial Statements of U.S. Nonbank Subsidiaries of U.S. Bank Holding Companies (FR Y-11 and FR Y-11S; OMB No. 7100-0244); </w:t>
      </w:r>
    </w:p>
    <w:p w:rsidR="0039746C" w:rsidRPr="00B370BE" w:rsidRDefault="0039746C" w:rsidP="0039746C">
      <w:pPr>
        <w:pStyle w:val="BodyTextIndent"/>
        <w:numPr>
          <w:ilvl w:val="0"/>
          <w:numId w:val="21"/>
        </w:numPr>
        <w:rPr>
          <w:szCs w:val="24"/>
        </w:rPr>
      </w:pPr>
      <w:r w:rsidRPr="00B370BE">
        <w:rPr>
          <w:szCs w:val="24"/>
        </w:rPr>
        <w:t>the Financial Statements of Foreign Subsidiaries of U.S. Banking Organizations (FR</w:t>
      </w:r>
      <w:r w:rsidRPr="00B370BE">
        <w:rPr>
          <w:szCs w:val="24"/>
        </w:rPr>
        <w:sym w:font="Symbol" w:char="F020"/>
      </w:r>
      <w:r w:rsidRPr="00B370BE">
        <w:rPr>
          <w:szCs w:val="24"/>
        </w:rPr>
        <w:t xml:space="preserve">2314 and FR 2314S; OMB No. 7100-0073);   </w:t>
      </w:r>
    </w:p>
    <w:p w:rsidR="0039746C" w:rsidRPr="00B370BE" w:rsidRDefault="0039746C" w:rsidP="0039746C">
      <w:pPr>
        <w:pStyle w:val="BodyTextIndent"/>
        <w:numPr>
          <w:ilvl w:val="0"/>
          <w:numId w:val="21"/>
        </w:numPr>
        <w:rPr>
          <w:szCs w:val="24"/>
        </w:rPr>
      </w:pPr>
      <w:r w:rsidRPr="00B370BE">
        <w:rPr>
          <w:szCs w:val="24"/>
        </w:rPr>
        <w:t xml:space="preserve">the  Bank Holding Company Report of Insured Depository Institutions’ Section 23A Transactions with Affiliates (FR Y-8; OMB No. 7100-0126);  </w:t>
      </w:r>
    </w:p>
    <w:p w:rsidR="0039746C" w:rsidRDefault="0039746C" w:rsidP="0039746C">
      <w:pPr>
        <w:pStyle w:val="BodyTextIndent"/>
        <w:numPr>
          <w:ilvl w:val="0"/>
          <w:numId w:val="21"/>
        </w:numPr>
        <w:rPr>
          <w:szCs w:val="24"/>
        </w:rPr>
      </w:pPr>
      <w:r w:rsidRPr="00B370BE">
        <w:rPr>
          <w:szCs w:val="24"/>
        </w:rPr>
        <w:t>the  Consolidated Bank Holding Company Report of Equity Investments in Nonfinancial Companies (FR Y-12) and the Annual Report of Merchant Banking Investments Held for an Extended Period (FR Y-12A) (OMB No. 7100-0300)</w:t>
      </w:r>
      <w:r>
        <w:rPr>
          <w:szCs w:val="24"/>
        </w:rPr>
        <w:t>; and</w:t>
      </w:r>
    </w:p>
    <w:p w:rsidR="0039746C" w:rsidRPr="00B370BE" w:rsidRDefault="0039746C" w:rsidP="0039746C">
      <w:pPr>
        <w:pStyle w:val="BodyTextIndent"/>
        <w:numPr>
          <w:ilvl w:val="0"/>
          <w:numId w:val="21"/>
        </w:numPr>
        <w:rPr>
          <w:szCs w:val="24"/>
        </w:rPr>
      </w:pPr>
      <w:r>
        <w:rPr>
          <w:szCs w:val="24"/>
        </w:rPr>
        <w:t>t</w:t>
      </w:r>
      <w:r w:rsidRPr="00F75807">
        <w:rPr>
          <w:szCs w:val="24"/>
        </w:rPr>
        <w:t>he Capital an</w:t>
      </w:r>
      <w:r>
        <w:rPr>
          <w:szCs w:val="24"/>
        </w:rPr>
        <w:t>d</w:t>
      </w:r>
      <w:r w:rsidRPr="00F75807">
        <w:rPr>
          <w:szCs w:val="24"/>
        </w:rPr>
        <w:t xml:space="preserve"> Asset Report of Foreign Banking Organizations (</w:t>
      </w:r>
      <w:r>
        <w:rPr>
          <w:szCs w:val="24"/>
        </w:rPr>
        <w:t>FR Y-7Q), and the Financial Statements of U.S. Nonbank Subsidiaries Held by Foreign Banking Organizations (FR Y-7N and FR Y-7NS) (OMB No. 7100-0125)</w:t>
      </w:r>
      <w:r w:rsidRPr="00B370BE">
        <w:rPr>
          <w:szCs w:val="24"/>
        </w:rPr>
        <w:t>.</w:t>
      </w:r>
      <w:r w:rsidRPr="00B370BE">
        <w:rPr>
          <w:rStyle w:val="FootnoteReference"/>
          <w:szCs w:val="24"/>
        </w:rPr>
        <w:t xml:space="preserve">  </w:t>
      </w:r>
    </w:p>
    <w:p w:rsidR="007837D1" w:rsidRDefault="008013E5" w:rsidP="00BD4962">
      <w:pPr>
        <w:keepNext/>
        <w:keepLines/>
        <w:rPr>
          <w:rFonts w:ascii="Times New Roman" w:hAnsi="Times New Roman"/>
          <w:b/>
          <w:szCs w:val="24"/>
        </w:rPr>
      </w:pPr>
      <w:r>
        <w:rPr>
          <w:rFonts w:ascii="Times New Roman" w:hAnsi="Times New Roman"/>
          <w:b/>
          <w:szCs w:val="24"/>
        </w:rPr>
        <w:tab/>
      </w:r>
    </w:p>
    <w:p w:rsidR="00BD4962" w:rsidRDefault="007837D1" w:rsidP="00BD4962">
      <w:pPr>
        <w:keepNext/>
        <w:keepLines/>
        <w:rPr>
          <w:rFonts w:ascii="Times New Roman" w:hAnsi="Times New Roman"/>
          <w:b/>
          <w:szCs w:val="24"/>
        </w:rPr>
      </w:pPr>
      <w:r>
        <w:rPr>
          <w:rFonts w:ascii="Times New Roman" w:hAnsi="Times New Roman"/>
          <w:b/>
          <w:szCs w:val="24"/>
        </w:rPr>
        <w:tab/>
      </w:r>
      <w:r w:rsidR="00BD4962" w:rsidRPr="006D2889">
        <w:rPr>
          <w:rFonts w:ascii="Times New Roman" w:hAnsi="Times New Roman"/>
          <w:b/>
          <w:szCs w:val="24"/>
        </w:rPr>
        <w:t>Ex</w:t>
      </w:r>
      <w:r w:rsidR="00BD4962">
        <w:rPr>
          <w:rFonts w:ascii="Times New Roman" w:hAnsi="Times New Roman"/>
          <w:b/>
          <w:szCs w:val="24"/>
        </w:rPr>
        <w:t>empt</w:t>
      </w:r>
      <w:r w:rsidR="00BD4962" w:rsidRPr="006D2889">
        <w:rPr>
          <w:rFonts w:ascii="Times New Roman" w:hAnsi="Times New Roman"/>
          <w:b/>
          <w:szCs w:val="24"/>
        </w:rPr>
        <w:t xml:space="preserve"> SLHCs</w:t>
      </w:r>
    </w:p>
    <w:p w:rsidR="00BD4962" w:rsidRDefault="00BD4962" w:rsidP="00BD4962">
      <w:pPr>
        <w:keepNext/>
        <w:keepLines/>
        <w:rPr>
          <w:rFonts w:ascii="Times New Roman" w:hAnsi="Times New Roman"/>
          <w:b/>
          <w:szCs w:val="24"/>
          <w:u w:val="single"/>
        </w:rPr>
      </w:pPr>
      <w:r w:rsidRPr="00B370BE">
        <w:rPr>
          <w:rFonts w:ascii="Times New Roman" w:hAnsi="Times New Roman"/>
          <w:b/>
          <w:szCs w:val="24"/>
          <w:u w:val="single"/>
        </w:rPr>
        <w:t xml:space="preserve">  </w:t>
      </w:r>
    </w:p>
    <w:p w:rsidR="00990FC9" w:rsidRDefault="00BD4962" w:rsidP="00BD4962">
      <w:pPr>
        <w:keepNext/>
        <w:keepLines/>
        <w:rPr>
          <w:rFonts w:ascii="Times New Roman" w:hAnsi="Times New Roman"/>
          <w:snapToGrid/>
          <w:szCs w:val="24"/>
        </w:rPr>
      </w:pPr>
      <w:r w:rsidRPr="00B370BE">
        <w:rPr>
          <w:rFonts w:ascii="Times New Roman" w:hAnsi="Times New Roman"/>
          <w:szCs w:val="24"/>
        </w:rPr>
        <w:tab/>
      </w:r>
      <w:r>
        <w:rPr>
          <w:rFonts w:ascii="Times New Roman" w:hAnsi="Times New Roman"/>
          <w:szCs w:val="24"/>
        </w:rPr>
        <w:t xml:space="preserve">The Federal Reserve believes that there are a limited number of SLHCs where immediate transition to BHC regulatory reports is not appropriate.  </w:t>
      </w:r>
      <w:r w:rsidR="008013E5" w:rsidRPr="00B370BE">
        <w:rPr>
          <w:rFonts w:ascii="Times New Roman" w:hAnsi="Times New Roman"/>
          <w:szCs w:val="24"/>
        </w:rPr>
        <w:t xml:space="preserve">In many cases, applying bank-centric reporting to these companies may provide little useful information to </w:t>
      </w:r>
      <w:r w:rsidR="008013E5">
        <w:rPr>
          <w:rFonts w:ascii="Times New Roman" w:hAnsi="Times New Roman"/>
          <w:szCs w:val="24"/>
        </w:rPr>
        <w:t xml:space="preserve">the </w:t>
      </w:r>
      <w:r w:rsidR="008013E5" w:rsidRPr="00B370BE">
        <w:rPr>
          <w:rFonts w:ascii="Times New Roman" w:hAnsi="Times New Roman"/>
          <w:szCs w:val="24"/>
        </w:rPr>
        <w:t xml:space="preserve">Federal Reserve.  </w:t>
      </w:r>
      <w:r>
        <w:rPr>
          <w:rFonts w:ascii="Times New Roman" w:hAnsi="Times New Roman"/>
          <w:szCs w:val="24"/>
        </w:rPr>
        <w:t xml:space="preserve">As a result, the Federal Reserve proposes that SLHCs in either of the following categories be initially exempt from reporting using the Federal Reserve’s BHC reports: </w:t>
      </w:r>
    </w:p>
    <w:p w:rsidR="00990FC9" w:rsidRDefault="00990FC9" w:rsidP="00990FC9">
      <w:pPr>
        <w:widowControl/>
        <w:autoSpaceDE w:val="0"/>
        <w:autoSpaceDN w:val="0"/>
        <w:adjustRightInd w:val="0"/>
        <w:ind w:firstLine="720"/>
        <w:rPr>
          <w:rFonts w:ascii="Times New Roman" w:hAnsi="Times New Roman"/>
          <w:snapToGrid/>
          <w:szCs w:val="24"/>
        </w:rPr>
      </w:pPr>
    </w:p>
    <w:p w:rsidR="00990FC9" w:rsidRDefault="00990FC9" w:rsidP="00990FC9">
      <w:pPr>
        <w:pStyle w:val="ListParagraph"/>
        <w:widowControl/>
        <w:numPr>
          <w:ilvl w:val="0"/>
          <w:numId w:val="22"/>
        </w:numPr>
        <w:autoSpaceDE w:val="0"/>
        <w:autoSpaceDN w:val="0"/>
        <w:adjustRightInd w:val="0"/>
        <w:rPr>
          <w:rFonts w:ascii="Times New Roman" w:hAnsi="Times New Roman"/>
          <w:snapToGrid/>
          <w:szCs w:val="24"/>
        </w:rPr>
      </w:pPr>
      <w:r w:rsidRPr="00185719">
        <w:rPr>
          <w:rFonts w:ascii="Times New Roman" w:hAnsi="Times New Roman"/>
          <w:snapToGrid/>
          <w:szCs w:val="24"/>
          <w:u w:val="single"/>
        </w:rPr>
        <w:lastRenderedPageBreak/>
        <w:t>Commercial SLHCs:</w:t>
      </w:r>
      <w:r w:rsidRPr="004D4C7F">
        <w:rPr>
          <w:rFonts w:ascii="Times New Roman" w:hAnsi="Times New Roman"/>
          <w:snapToGrid/>
          <w:szCs w:val="24"/>
        </w:rPr>
        <w:t xml:space="preserve"> The </w:t>
      </w:r>
      <w:r>
        <w:rPr>
          <w:rFonts w:ascii="Times New Roman" w:hAnsi="Times New Roman"/>
          <w:snapToGrid/>
          <w:szCs w:val="24"/>
        </w:rPr>
        <w:t>Federal Reserve</w:t>
      </w:r>
      <w:r w:rsidRPr="004D4C7F">
        <w:rPr>
          <w:rFonts w:ascii="Times New Roman" w:hAnsi="Times New Roman"/>
          <w:snapToGrid/>
          <w:szCs w:val="24"/>
        </w:rPr>
        <w:t xml:space="preserve"> will not require grandfathered SLHCs to initially transition to the Federal Reserve regulatory reports if (1) as calculated annually as of June 30</w:t>
      </w:r>
      <w:r>
        <w:rPr>
          <w:rFonts w:ascii="Times New Roman" w:hAnsi="Times New Roman"/>
          <w:snapToGrid/>
          <w:sz w:val="16"/>
          <w:szCs w:val="16"/>
        </w:rPr>
        <w:t>th</w:t>
      </w:r>
      <w:r w:rsidRPr="004D4C7F">
        <w:rPr>
          <w:rFonts w:ascii="Times New Roman" w:hAnsi="Times New Roman"/>
          <w:snapToGrid/>
          <w:szCs w:val="24"/>
        </w:rPr>
        <w:t>, using the four previous quarters (which includes the quarter-ended June 30</w:t>
      </w:r>
      <w:r>
        <w:rPr>
          <w:rFonts w:ascii="Times New Roman" w:hAnsi="Times New Roman"/>
          <w:snapToGrid/>
          <w:sz w:val="16"/>
          <w:szCs w:val="16"/>
        </w:rPr>
        <w:t xml:space="preserve">th </w:t>
      </w:r>
      <w:r w:rsidRPr="004D4C7F">
        <w:rPr>
          <w:rFonts w:ascii="Times New Roman" w:hAnsi="Times New Roman"/>
          <w:snapToGrid/>
          <w:szCs w:val="24"/>
        </w:rPr>
        <w:t xml:space="preserve">reporting period), its savings association subsidiaries’ consolidated assets make up less than 5 percent of the total consolidated assets of the grandfathered SLHC on an enterprise-wide basis for any of these four quarters; </w:t>
      </w:r>
      <w:r w:rsidRPr="004D4C7F">
        <w:rPr>
          <w:rFonts w:ascii="Times New Roman" w:hAnsi="Times New Roman"/>
          <w:i/>
          <w:iCs/>
          <w:snapToGrid/>
          <w:szCs w:val="24"/>
        </w:rPr>
        <w:t xml:space="preserve">and </w:t>
      </w:r>
      <w:r w:rsidRPr="008312A2">
        <w:rPr>
          <w:rFonts w:ascii="Times New Roman" w:hAnsi="Times New Roman"/>
          <w:snapToGrid/>
          <w:szCs w:val="24"/>
        </w:rPr>
        <w:t>(2) as calculated annually as of June 30</w:t>
      </w:r>
      <w:r>
        <w:rPr>
          <w:rFonts w:ascii="Times New Roman" w:hAnsi="Times New Roman"/>
          <w:snapToGrid/>
          <w:sz w:val="16"/>
          <w:szCs w:val="16"/>
        </w:rPr>
        <w:t>th</w:t>
      </w:r>
      <w:r w:rsidRPr="004D4C7F">
        <w:rPr>
          <w:rFonts w:ascii="Times New Roman" w:hAnsi="Times New Roman"/>
          <w:snapToGrid/>
          <w:szCs w:val="24"/>
        </w:rPr>
        <w:t>, using the assets  reported as of June 30</w:t>
      </w:r>
      <w:r>
        <w:rPr>
          <w:rFonts w:ascii="Times New Roman" w:hAnsi="Times New Roman"/>
          <w:snapToGrid/>
          <w:sz w:val="16"/>
          <w:szCs w:val="16"/>
        </w:rPr>
        <w:t>th</w:t>
      </w:r>
      <w:r w:rsidRPr="004D4C7F">
        <w:rPr>
          <w:rFonts w:ascii="Times New Roman" w:hAnsi="Times New Roman"/>
          <w:snapToGrid/>
          <w:szCs w:val="24"/>
        </w:rPr>
        <w:t>, where more than 50 percent of the assets of the grandfathered unitary SLHC are derived from activities that are not otherwise permissible under HOLA</w:t>
      </w:r>
      <w:r w:rsidRPr="00185719">
        <w:rPr>
          <w:rStyle w:val="FootnoteReference"/>
          <w:snapToGrid/>
          <w:szCs w:val="24"/>
          <w:vertAlign w:val="superscript"/>
        </w:rPr>
        <w:footnoteReference w:id="3"/>
      </w:r>
      <w:r w:rsidRPr="00185719">
        <w:rPr>
          <w:rFonts w:ascii="Times New Roman" w:hAnsi="Times New Roman"/>
          <w:snapToGrid/>
          <w:sz w:val="16"/>
          <w:szCs w:val="16"/>
          <w:vertAlign w:val="superscript"/>
        </w:rPr>
        <w:t xml:space="preserve"> </w:t>
      </w:r>
      <w:r w:rsidRPr="004D4C7F">
        <w:rPr>
          <w:rFonts w:ascii="Times New Roman" w:hAnsi="Times New Roman"/>
          <w:snapToGrid/>
          <w:szCs w:val="24"/>
        </w:rPr>
        <w:t>on an enterprise-wide basis.</w:t>
      </w:r>
      <w:r>
        <w:rPr>
          <w:rFonts w:ascii="Times New Roman" w:hAnsi="Times New Roman"/>
          <w:snapToGrid/>
          <w:szCs w:val="24"/>
        </w:rPr>
        <w:t xml:space="preserve"> </w:t>
      </w:r>
      <w:r w:rsidRPr="004D4C7F">
        <w:rPr>
          <w:rFonts w:ascii="Times New Roman" w:hAnsi="Times New Roman"/>
          <w:snapToGrid/>
          <w:szCs w:val="24"/>
        </w:rPr>
        <w:t xml:space="preserve"> The exemption for commercial SLHCs will be reviewed periodically and may be rescinded if the</w:t>
      </w:r>
    </w:p>
    <w:p w:rsidR="00990FC9" w:rsidRDefault="00990FC9" w:rsidP="00990FC9">
      <w:pPr>
        <w:widowControl/>
        <w:autoSpaceDE w:val="0"/>
        <w:autoSpaceDN w:val="0"/>
        <w:adjustRightInd w:val="0"/>
        <w:ind w:left="720"/>
        <w:rPr>
          <w:rFonts w:ascii="Times New Roman" w:hAnsi="Times New Roman"/>
          <w:snapToGrid/>
          <w:szCs w:val="24"/>
        </w:rPr>
      </w:pPr>
      <w:r>
        <w:rPr>
          <w:rFonts w:ascii="Times New Roman" w:hAnsi="Times New Roman"/>
          <w:snapToGrid/>
          <w:szCs w:val="24"/>
        </w:rPr>
        <w:t>Federal Reserve determines that FR Y-9 financial information and other regulatory reports are needed to effectively and consistently assess compliance with capital and other regulatory requirements.</w:t>
      </w:r>
    </w:p>
    <w:p w:rsidR="00990FC9" w:rsidRDefault="00990FC9" w:rsidP="00990FC9">
      <w:pPr>
        <w:widowControl/>
        <w:autoSpaceDE w:val="0"/>
        <w:autoSpaceDN w:val="0"/>
        <w:adjustRightInd w:val="0"/>
        <w:rPr>
          <w:rFonts w:ascii="Times New Roman" w:hAnsi="Times New Roman"/>
          <w:snapToGrid/>
          <w:szCs w:val="24"/>
        </w:rPr>
      </w:pPr>
    </w:p>
    <w:p w:rsidR="00990FC9" w:rsidRDefault="00990FC9" w:rsidP="00990FC9">
      <w:pPr>
        <w:pStyle w:val="ListParagraph"/>
        <w:widowControl/>
        <w:numPr>
          <w:ilvl w:val="0"/>
          <w:numId w:val="22"/>
        </w:numPr>
        <w:autoSpaceDE w:val="0"/>
        <w:autoSpaceDN w:val="0"/>
        <w:adjustRightInd w:val="0"/>
        <w:rPr>
          <w:rFonts w:ascii="Times New Roman" w:hAnsi="Times New Roman"/>
          <w:snapToGrid/>
          <w:szCs w:val="24"/>
        </w:rPr>
      </w:pPr>
      <w:r w:rsidRPr="00185719">
        <w:rPr>
          <w:rFonts w:ascii="Times New Roman" w:hAnsi="Times New Roman"/>
          <w:snapToGrid/>
          <w:szCs w:val="24"/>
          <w:u w:val="single"/>
        </w:rPr>
        <w:t>Certain Insurance SLHCs:</w:t>
      </w:r>
      <w:r w:rsidRPr="004D4C7F">
        <w:rPr>
          <w:rFonts w:ascii="Times New Roman" w:hAnsi="Times New Roman"/>
          <w:snapToGrid/>
          <w:szCs w:val="24"/>
        </w:rPr>
        <w:t xml:space="preserve"> The </w:t>
      </w:r>
      <w:r>
        <w:rPr>
          <w:rFonts w:ascii="Times New Roman" w:hAnsi="Times New Roman"/>
          <w:snapToGrid/>
          <w:szCs w:val="24"/>
        </w:rPr>
        <w:t xml:space="preserve">Federal Reserve </w:t>
      </w:r>
      <w:r w:rsidRPr="004D4C7F">
        <w:rPr>
          <w:rFonts w:ascii="Times New Roman" w:hAnsi="Times New Roman"/>
          <w:snapToGrid/>
          <w:szCs w:val="24"/>
        </w:rPr>
        <w:t>will not require SLHCs to initially transition to the Federal Reserve regulatory reports if: (1) as calculated annually as of June 30</w:t>
      </w:r>
      <w:r>
        <w:rPr>
          <w:rFonts w:ascii="Times New Roman" w:hAnsi="Times New Roman"/>
          <w:snapToGrid/>
          <w:sz w:val="16"/>
          <w:szCs w:val="16"/>
        </w:rPr>
        <w:t>th</w:t>
      </w:r>
      <w:r w:rsidRPr="004D4C7F">
        <w:rPr>
          <w:rFonts w:ascii="Times New Roman" w:hAnsi="Times New Roman"/>
          <w:snapToGrid/>
          <w:szCs w:val="24"/>
        </w:rPr>
        <w:t>, using the assets reported as of June 30</w:t>
      </w:r>
      <w:r>
        <w:rPr>
          <w:rFonts w:ascii="Times New Roman" w:hAnsi="Times New Roman"/>
          <w:snapToGrid/>
          <w:sz w:val="16"/>
          <w:szCs w:val="16"/>
        </w:rPr>
        <w:t>th</w:t>
      </w:r>
      <w:r w:rsidRPr="004D4C7F">
        <w:rPr>
          <w:rFonts w:ascii="Times New Roman" w:hAnsi="Times New Roman"/>
          <w:snapToGrid/>
          <w:szCs w:val="24"/>
        </w:rPr>
        <w:t xml:space="preserve">, where more than 50 percent of the assets of the SLHC are derived from the business of insurance on an enterprise-wide basis; </w:t>
      </w:r>
      <w:r w:rsidRPr="004D4C7F">
        <w:rPr>
          <w:rFonts w:ascii="Times New Roman" w:hAnsi="Times New Roman"/>
          <w:i/>
          <w:iCs/>
          <w:snapToGrid/>
          <w:szCs w:val="24"/>
        </w:rPr>
        <w:t xml:space="preserve">and </w:t>
      </w:r>
      <w:r w:rsidRPr="004D4C7F">
        <w:rPr>
          <w:rFonts w:ascii="Times New Roman" w:hAnsi="Times New Roman"/>
          <w:snapToGrid/>
          <w:szCs w:val="24"/>
        </w:rPr>
        <w:t xml:space="preserve">(2) the SLHC does not submit </w:t>
      </w:r>
      <w:r w:rsidRPr="008312A2">
        <w:rPr>
          <w:rFonts w:ascii="Times New Roman" w:hAnsi="Times New Roman"/>
          <w:snapToGrid/>
          <w:szCs w:val="24"/>
        </w:rPr>
        <w:t xml:space="preserve">reports to the </w:t>
      </w:r>
      <w:r>
        <w:rPr>
          <w:rFonts w:ascii="Times New Roman" w:hAnsi="Times New Roman"/>
          <w:snapToGrid/>
          <w:szCs w:val="24"/>
        </w:rPr>
        <w:t>Securities and Exchange Commission (</w:t>
      </w:r>
      <w:r w:rsidRPr="008312A2">
        <w:rPr>
          <w:rFonts w:ascii="Times New Roman" w:hAnsi="Times New Roman"/>
          <w:snapToGrid/>
          <w:szCs w:val="24"/>
        </w:rPr>
        <w:t>SEC</w:t>
      </w:r>
      <w:r>
        <w:rPr>
          <w:rFonts w:ascii="Times New Roman" w:hAnsi="Times New Roman"/>
          <w:snapToGrid/>
          <w:szCs w:val="24"/>
        </w:rPr>
        <w:t>)</w:t>
      </w:r>
      <w:r w:rsidRPr="008312A2">
        <w:rPr>
          <w:rFonts w:ascii="Times New Roman" w:hAnsi="Times New Roman"/>
          <w:snapToGrid/>
          <w:szCs w:val="24"/>
        </w:rPr>
        <w:t xml:space="preserve"> pursuant to Section 13 or 15(d) of the Securities Exchange Act of 1934. </w:t>
      </w:r>
      <w:r>
        <w:rPr>
          <w:rFonts w:ascii="Times New Roman" w:hAnsi="Times New Roman"/>
          <w:snapToGrid/>
          <w:szCs w:val="24"/>
        </w:rPr>
        <w:t xml:space="preserve"> </w:t>
      </w:r>
      <w:r w:rsidRPr="004D4C7F">
        <w:rPr>
          <w:rFonts w:ascii="Times New Roman" w:hAnsi="Times New Roman"/>
          <w:snapToGrid/>
          <w:szCs w:val="24"/>
        </w:rPr>
        <w:t>Insurance SLHCs will be exempt only until consolidated regulatory capital rules are finalized for SLHCs, at which time they may be</w:t>
      </w:r>
      <w:r w:rsidRPr="008312A2">
        <w:rPr>
          <w:rFonts w:ascii="Times New Roman" w:hAnsi="Times New Roman"/>
          <w:snapToGrid/>
          <w:szCs w:val="24"/>
        </w:rPr>
        <w:t xml:space="preserve"> required to file consolidated financial statements to demonstrate their compliance with the capital rules, and other Federal Reserve Reports.</w:t>
      </w:r>
    </w:p>
    <w:p w:rsidR="008979D0" w:rsidRDefault="008979D0" w:rsidP="002E3E1A">
      <w:pPr>
        <w:autoSpaceDE w:val="0"/>
        <w:autoSpaceDN w:val="0"/>
        <w:adjustRightInd w:val="0"/>
        <w:ind w:firstLine="720"/>
        <w:rPr>
          <w:rFonts w:ascii="Times New Roman" w:hAnsi="Times New Roman"/>
          <w:szCs w:val="24"/>
        </w:rPr>
      </w:pPr>
    </w:p>
    <w:p w:rsidR="001D3E2E" w:rsidRDefault="001D3E2E" w:rsidP="002E3E1A">
      <w:pPr>
        <w:autoSpaceDE w:val="0"/>
        <w:autoSpaceDN w:val="0"/>
        <w:adjustRightInd w:val="0"/>
        <w:ind w:firstLine="720"/>
        <w:rPr>
          <w:rFonts w:ascii="Times New Roman" w:hAnsi="Times New Roman"/>
          <w:szCs w:val="24"/>
        </w:rPr>
      </w:pPr>
      <w:r w:rsidRPr="001D3E2E">
        <w:rPr>
          <w:rFonts w:ascii="Times New Roman" w:hAnsi="Times New Roman"/>
          <w:szCs w:val="24"/>
        </w:rPr>
        <w:t>SLHCs that are initially exempt from reporting the Federal Reserve’s regulatory reports would be required to file t</w:t>
      </w:r>
      <w:r w:rsidRPr="001D3E2E">
        <w:rPr>
          <w:rFonts w:ascii="Times New Roman" w:hAnsi="Times New Roman"/>
          <w:snapToGrid/>
          <w:szCs w:val="24"/>
        </w:rPr>
        <w:t xml:space="preserve">he </w:t>
      </w:r>
      <w:r w:rsidRPr="001D3E2E">
        <w:rPr>
          <w:rFonts w:ascii="Times New Roman" w:hAnsi="Times New Roman"/>
          <w:iCs/>
          <w:snapToGrid/>
          <w:szCs w:val="24"/>
        </w:rPr>
        <w:t>Quarterly Savings and Loan Holding Company Report</w:t>
      </w:r>
      <w:r w:rsidRPr="001D3E2E">
        <w:rPr>
          <w:rFonts w:ascii="Times New Roman" w:hAnsi="Times New Roman"/>
          <w:i/>
          <w:iCs/>
          <w:snapToGrid/>
          <w:szCs w:val="24"/>
        </w:rPr>
        <w:t xml:space="preserve"> </w:t>
      </w:r>
      <w:r w:rsidRPr="001D3E2E">
        <w:rPr>
          <w:rFonts w:ascii="Times New Roman" w:hAnsi="Times New Roman"/>
          <w:snapToGrid/>
          <w:szCs w:val="24"/>
        </w:rPr>
        <w:t xml:space="preserve">(FR 2320) report, which replaces the </w:t>
      </w:r>
      <w:r w:rsidRPr="001D3E2E">
        <w:rPr>
          <w:rFonts w:ascii="Times New Roman" w:hAnsi="Times New Roman"/>
          <w:szCs w:val="24"/>
        </w:rPr>
        <w:t xml:space="preserve">Thrift Financial Report Schedule HC (OTS 1313; OMB No. 1557-0255).  </w:t>
      </w:r>
    </w:p>
    <w:p w:rsidR="001D3E2E" w:rsidRDefault="001D3E2E" w:rsidP="001D3E2E">
      <w:pPr>
        <w:autoSpaceDE w:val="0"/>
        <w:autoSpaceDN w:val="0"/>
        <w:adjustRightInd w:val="0"/>
        <w:ind w:firstLine="720"/>
        <w:rPr>
          <w:rFonts w:ascii="Times New Roman" w:hAnsi="Times New Roman"/>
          <w:szCs w:val="24"/>
        </w:rPr>
      </w:pPr>
    </w:p>
    <w:p w:rsidR="001D3E2E" w:rsidRDefault="002E3E1A" w:rsidP="001D3E2E">
      <w:pPr>
        <w:autoSpaceDE w:val="0"/>
        <w:autoSpaceDN w:val="0"/>
        <w:adjustRightInd w:val="0"/>
        <w:ind w:firstLine="720"/>
        <w:rPr>
          <w:rFonts w:ascii="Times New Roman" w:hAnsi="Times New Roman"/>
          <w:szCs w:val="24"/>
        </w:rPr>
      </w:pPr>
      <w:r w:rsidRPr="001D3E2E">
        <w:rPr>
          <w:rFonts w:ascii="Times New Roman" w:hAnsi="Times New Roman"/>
          <w:szCs w:val="24"/>
        </w:rPr>
        <w:t>For</w:t>
      </w:r>
      <w:r w:rsidR="008979D0" w:rsidRPr="001D3E2E">
        <w:rPr>
          <w:rFonts w:ascii="Times New Roman" w:hAnsi="Times New Roman"/>
          <w:szCs w:val="24"/>
        </w:rPr>
        <w:t xml:space="preserve"> all SLHCs that are not exempt</w:t>
      </w:r>
      <w:r w:rsidRPr="001D3E2E">
        <w:rPr>
          <w:rFonts w:ascii="Times New Roman" w:hAnsi="Times New Roman"/>
          <w:szCs w:val="24"/>
        </w:rPr>
        <w:t xml:space="preserve"> from reporting, the Federal Reserve believes a phased-in approach should allow the SLHCs to develop reporting systems over a period of time and would reduce the risk of data quality concerns.  The phased-in approach would take two years to implement and would begin </w:t>
      </w:r>
      <w:r w:rsidR="008979D0" w:rsidRPr="001D3E2E">
        <w:rPr>
          <w:rFonts w:ascii="Times New Roman" w:hAnsi="Times New Roman"/>
          <w:szCs w:val="24"/>
        </w:rPr>
        <w:t>with</w:t>
      </w:r>
      <w:r w:rsidRPr="001D3E2E">
        <w:rPr>
          <w:rFonts w:ascii="Times New Roman" w:hAnsi="Times New Roman"/>
          <w:szCs w:val="24"/>
        </w:rPr>
        <w:t xml:space="preserve"> the March 31, 2012, reporting period.  </w:t>
      </w:r>
      <w:r w:rsidRPr="00B370BE">
        <w:rPr>
          <w:rFonts w:ascii="Times New Roman" w:hAnsi="Times New Roman"/>
          <w:szCs w:val="24"/>
        </w:rPr>
        <w:t xml:space="preserve">During </w:t>
      </w:r>
      <w:r>
        <w:rPr>
          <w:rFonts w:ascii="Times New Roman" w:hAnsi="Times New Roman"/>
          <w:szCs w:val="24"/>
        </w:rPr>
        <w:t>2012</w:t>
      </w:r>
      <w:r w:rsidRPr="00B370BE">
        <w:rPr>
          <w:rFonts w:ascii="Times New Roman" w:hAnsi="Times New Roman"/>
          <w:szCs w:val="24"/>
        </w:rPr>
        <w:t xml:space="preserve">, </w:t>
      </w:r>
      <w:r>
        <w:rPr>
          <w:rFonts w:ascii="Times New Roman" w:hAnsi="Times New Roman"/>
          <w:szCs w:val="24"/>
        </w:rPr>
        <w:t xml:space="preserve">SLHCs that are not </w:t>
      </w:r>
      <w:r w:rsidR="008979D0">
        <w:rPr>
          <w:rFonts w:ascii="Times New Roman" w:hAnsi="Times New Roman"/>
          <w:szCs w:val="24"/>
        </w:rPr>
        <w:t>exempt</w:t>
      </w:r>
      <w:r>
        <w:rPr>
          <w:rFonts w:ascii="Times New Roman" w:hAnsi="Times New Roman"/>
          <w:szCs w:val="24"/>
        </w:rPr>
        <w:t xml:space="preserve"> </w:t>
      </w:r>
      <w:r w:rsidRPr="00B370BE">
        <w:rPr>
          <w:rFonts w:ascii="Times New Roman" w:hAnsi="Times New Roman"/>
          <w:szCs w:val="24"/>
        </w:rPr>
        <w:t>would be required to submit the FR Y-9 series of reports</w:t>
      </w:r>
      <w:r w:rsidRPr="00894BAB">
        <w:rPr>
          <w:rStyle w:val="FootnoteReference"/>
          <w:szCs w:val="24"/>
          <w:vertAlign w:val="superscript"/>
        </w:rPr>
        <w:footnoteReference w:id="4"/>
      </w:r>
      <w:r>
        <w:rPr>
          <w:rFonts w:ascii="Times New Roman" w:hAnsi="Times New Roman"/>
          <w:szCs w:val="24"/>
        </w:rPr>
        <w:t xml:space="preserve">.  </w:t>
      </w:r>
      <w:r w:rsidRPr="00B370BE">
        <w:rPr>
          <w:rFonts w:ascii="Times New Roman" w:hAnsi="Times New Roman"/>
          <w:szCs w:val="24"/>
        </w:rPr>
        <w:t xml:space="preserve">During </w:t>
      </w:r>
      <w:r>
        <w:rPr>
          <w:rFonts w:ascii="Times New Roman" w:hAnsi="Times New Roman"/>
          <w:szCs w:val="24"/>
        </w:rPr>
        <w:t>2013</w:t>
      </w:r>
      <w:r w:rsidRPr="00B370BE">
        <w:rPr>
          <w:rFonts w:ascii="Times New Roman" w:hAnsi="Times New Roman"/>
          <w:szCs w:val="24"/>
        </w:rPr>
        <w:t xml:space="preserve">, </w:t>
      </w:r>
      <w:r w:rsidRPr="00B370BE">
        <w:rPr>
          <w:rFonts w:ascii="Times New Roman" w:hAnsi="Times New Roman"/>
          <w:szCs w:val="24"/>
        </w:rPr>
        <w:lastRenderedPageBreak/>
        <w:t xml:space="preserve">these SLHCs would be required to submit all BHC regulatory reports that are applicable to the SLHC, depending on the size, complexity and nature of the holding company. </w:t>
      </w:r>
      <w:r>
        <w:rPr>
          <w:rFonts w:ascii="Times New Roman" w:hAnsi="Times New Roman"/>
          <w:szCs w:val="24"/>
        </w:rPr>
        <w:t xml:space="preserve"> </w:t>
      </w:r>
    </w:p>
    <w:p w:rsidR="00023563" w:rsidRDefault="00023563" w:rsidP="001D3E2E">
      <w:pPr>
        <w:autoSpaceDE w:val="0"/>
        <w:autoSpaceDN w:val="0"/>
        <w:adjustRightInd w:val="0"/>
        <w:ind w:firstLine="720"/>
        <w:rPr>
          <w:rFonts w:ascii="Times New Roman" w:hAnsi="Times New Roman"/>
          <w:szCs w:val="24"/>
        </w:rPr>
      </w:pPr>
    </w:p>
    <w:p w:rsidR="00023563" w:rsidRDefault="001D3E2E" w:rsidP="00023563">
      <w:pPr>
        <w:rPr>
          <w:rFonts w:ascii="Times New Roman" w:hAnsi="Times New Roman"/>
          <w:szCs w:val="24"/>
        </w:rPr>
      </w:pPr>
      <w:r>
        <w:tab/>
      </w:r>
      <w:r w:rsidR="00023563">
        <w:rPr>
          <w:rFonts w:ascii="Times New Roman" w:hAnsi="Times New Roman"/>
          <w:szCs w:val="24"/>
        </w:rPr>
        <w:t>The Federal Reserve understands that SLHCs that are not exempt from activity limitations pursuant to section 10(c</w:t>
      </w:r>
      <w:proofErr w:type="gramStart"/>
      <w:r w:rsidR="00023563">
        <w:rPr>
          <w:rFonts w:ascii="Times New Roman" w:hAnsi="Times New Roman"/>
          <w:szCs w:val="24"/>
        </w:rPr>
        <w:t>)(</w:t>
      </w:r>
      <w:proofErr w:type="gramEnd"/>
      <w:r w:rsidR="00023563">
        <w:rPr>
          <w:rFonts w:ascii="Times New Roman" w:hAnsi="Times New Roman"/>
          <w:szCs w:val="24"/>
        </w:rPr>
        <w:t>9)(C) of HOLA</w:t>
      </w:r>
      <w:r w:rsidR="00023563" w:rsidRPr="00B370BE">
        <w:rPr>
          <w:rFonts w:ascii="Times New Roman" w:hAnsi="Times New Roman"/>
          <w:szCs w:val="24"/>
        </w:rPr>
        <w:t xml:space="preserve"> are </w:t>
      </w:r>
      <w:r w:rsidR="00023563">
        <w:rPr>
          <w:rFonts w:ascii="Times New Roman" w:hAnsi="Times New Roman"/>
          <w:szCs w:val="24"/>
        </w:rPr>
        <w:t xml:space="preserve">typically </w:t>
      </w:r>
      <w:r w:rsidR="00023563" w:rsidRPr="00B370BE">
        <w:rPr>
          <w:rFonts w:ascii="Times New Roman" w:hAnsi="Times New Roman"/>
          <w:szCs w:val="24"/>
        </w:rPr>
        <w:t xml:space="preserve">traditional in the context of their structure and activities </w:t>
      </w:r>
      <w:r w:rsidR="00023563">
        <w:rPr>
          <w:rFonts w:ascii="Times New Roman" w:hAnsi="Times New Roman"/>
          <w:szCs w:val="24"/>
        </w:rPr>
        <w:t xml:space="preserve">and </w:t>
      </w:r>
      <w:r w:rsidR="00023563" w:rsidRPr="00B370BE">
        <w:rPr>
          <w:rFonts w:ascii="Times New Roman" w:hAnsi="Times New Roman"/>
          <w:szCs w:val="24"/>
        </w:rPr>
        <w:t>are very similar to BHCs</w:t>
      </w:r>
      <w:r w:rsidR="00023563">
        <w:rPr>
          <w:rFonts w:ascii="Times New Roman" w:hAnsi="Times New Roman"/>
          <w:szCs w:val="24"/>
        </w:rPr>
        <w:t xml:space="preserve">.  As a result, the Federal Reserve believes that these SLHCs </w:t>
      </w:r>
      <w:r w:rsidR="00023563" w:rsidRPr="00B370BE">
        <w:rPr>
          <w:rFonts w:ascii="Times New Roman" w:hAnsi="Times New Roman"/>
          <w:szCs w:val="24"/>
        </w:rPr>
        <w:t>should be able to develop the appropriate reporting systems</w:t>
      </w:r>
      <w:r w:rsidR="00023563">
        <w:rPr>
          <w:rFonts w:ascii="Times New Roman" w:hAnsi="Times New Roman"/>
          <w:szCs w:val="24"/>
        </w:rPr>
        <w:t>.  Also, i</w:t>
      </w:r>
      <w:r w:rsidR="00023563" w:rsidRPr="00E617F3">
        <w:rPr>
          <w:rFonts w:ascii="Times New Roman" w:hAnsi="Times New Roman"/>
          <w:szCs w:val="24"/>
        </w:rPr>
        <w:t>f a SLHC, including state-regulated insurance companies, is a reporting company with the SEC, it is required to prepare financial statements</w:t>
      </w:r>
      <w:r w:rsidR="00023563">
        <w:rPr>
          <w:rFonts w:ascii="Times New Roman" w:hAnsi="Times New Roman"/>
          <w:szCs w:val="24"/>
        </w:rPr>
        <w:t xml:space="preserve"> based on U.S. generally accepted accounting </w:t>
      </w:r>
      <w:r w:rsidR="0014131A">
        <w:rPr>
          <w:rFonts w:ascii="Times New Roman" w:hAnsi="Times New Roman"/>
          <w:szCs w:val="24"/>
        </w:rPr>
        <w:t>principles</w:t>
      </w:r>
      <w:r w:rsidR="00023563">
        <w:rPr>
          <w:rFonts w:ascii="Times New Roman" w:hAnsi="Times New Roman"/>
          <w:szCs w:val="24"/>
        </w:rPr>
        <w:t xml:space="preserve"> (GAAP)</w:t>
      </w:r>
      <w:r w:rsidR="00023563" w:rsidRPr="00E617F3">
        <w:rPr>
          <w:rFonts w:ascii="Times New Roman" w:hAnsi="Times New Roman"/>
          <w:szCs w:val="24"/>
        </w:rPr>
        <w:t xml:space="preserve"> and should be able to report to the Federal Reserve.</w:t>
      </w:r>
    </w:p>
    <w:p w:rsidR="00023563" w:rsidRPr="008979D0" w:rsidRDefault="00023563" w:rsidP="00023563">
      <w:pPr>
        <w:rPr>
          <w:rFonts w:ascii="Times New Roman" w:hAnsi="Times New Roman"/>
          <w:szCs w:val="24"/>
        </w:rPr>
      </w:pPr>
    </w:p>
    <w:p w:rsidR="002E3E1A" w:rsidRPr="00023563" w:rsidRDefault="00023563" w:rsidP="002E3E1A">
      <w:pPr>
        <w:rPr>
          <w:rFonts w:ascii="Times New Roman" w:hAnsi="Times New Roman"/>
          <w:snapToGrid/>
          <w:szCs w:val="24"/>
        </w:rPr>
      </w:pPr>
      <w:r>
        <w:rPr>
          <w:rFonts w:ascii="Times New Roman" w:hAnsi="Times New Roman"/>
          <w:szCs w:val="24"/>
        </w:rPr>
        <w:tab/>
      </w:r>
      <w:r w:rsidR="001D3E2E" w:rsidRPr="00023563">
        <w:rPr>
          <w:rFonts w:ascii="Times New Roman" w:hAnsi="Times New Roman"/>
          <w:szCs w:val="24"/>
        </w:rPr>
        <w:t>Finally, e</w:t>
      </w:r>
      <w:r w:rsidR="001D3E2E" w:rsidRPr="00023563">
        <w:rPr>
          <w:rFonts w:ascii="Times New Roman" w:hAnsi="Times New Roman"/>
          <w:color w:val="000000"/>
          <w:szCs w:val="24"/>
        </w:rPr>
        <w:t xml:space="preserve">ffective for </w:t>
      </w:r>
      <w:r w:rsidR="001D3E2E" w:rsidRPr="00023563">
        <w:rPr>
          <w:rFonts w:ascii="Times New Roman" w:hAnsi="Times New Roman"/>
          <w:color w:val="000000"/>
        </w:rPr>
        <w:t xml:space="preserve">March </w:t>
      </w:r>
      <w:r w:rsidR="001D3E2E" w:rsidRPr="00023563">
        <w:rPr>
          <w:rFonts w:ascii="Times New Roman" w:hAnsi="Times New Roman"/>
          <w:color w:val="000000"/>
          <w:szCs w:val="24"/>
        </w:rPr>
        <w:t xml:space="preserve">2012, all SLHCs will be required to file the </w:t>
      </w:r>
      <w:r w:rsidR="001D3E2E" w:rsidRPr="00023563">
        <w:rPr>
          <w:rFonts w:ascii="Times New Roman" w:hAnsi="Times New Roman"/>
          <w:szCs w:val="24"/>
        </w:rPr>
        <w:t>HOLA H-(b</w:t>
      </w:r>
      <w:proofErr w:type="gramStart"/>
      <w:r w:rsidR="001D3E2E" w:rsidRPr="00023563">
        <w:rPr>
          <w:rFonts w:ascii="Times New Roman" w:hAnsi="Times New Roman"/>
          <w:szCs w:val="24"/>
        </w:rPr>
        <w:t>)11</w:t>
      </w:r>
      <w:proofErr w:type="gramEnd"/>
      <w:r w:rsidR="001D3E2E" w:rsidRPr="00023563">
        <w:rPr>
          <w:rFonts w:ascii="Times New Roman" w:hAnsi="Times New Roman"/>
          <w:szCs w:val="24"/>
        </w:rPr>
        <w:t xml:space="preserve"> report (OMB No. 7100-0334) and either the FR Y-6 or FR Y-7 regulatory report</w:t>
      </w:r>
      <w:r w:rsidRPr="00023563">
        <w:rPr>
          <w:rFonts w:ascii="Times New Roman" w:hAnsi="Times New Roman"/>
        </w:rPr>
        <w:t xml:space="preserve"> with the Federal Reserve</w:t>
      </w:r>
      <w:r w:rsidR="001D3E2E" w:rsidRPr="00023563">
        <w:rPr>
          <w:rFonts w:ascii="Times New Roman" w:hAnsi="Times New Roman"/>
          <w:szCs w:val="24"/>
        </w:rPr>
        <w:t xml:space="preserve">.  </w:t>
      </w:r>
      <w:r w:rsidR="001D3E2E" w:rsidRPr="00023563">
        <w:rPr>
          <w:rFonts w:ascii="Times New Roman" w:hAnsi="Times New Roman"/>
          <w:snapToGrid/>
          <w:szCs w:val="24"/>
        </w:rPr>
        <w:t xml:space="preserve">SLHCs will be required to file the FR Y-6 or FR Y-7 with fiscal year ends beginning December 31, 2012. </w:t>
      </w:r>
    </w:p>
    <w:p w:rsidR="00990FC9" w:rsidRDefault="00990FC9"/>
    <w:p w:rsidR="00990FC9" w:rsidRDefault="007E0013">
      <w:pPr>
        <w:pStyle w:val="BodyTextIndent"/>
        <w:widowControl w:val="0"/>
        <w:rPr>
          <w:szCs w:val="24"/>
        </w:rPr>
      </w:pPr>
      <w:r w:rsidRPr="00B370BE">
        <w:rPr>
          <w:b/>
          <w:szCs w:val="24"/>
        </w:rPr>
        <w:t>Frequency</w:t>
      </w:r>
    </w:p>
    <w:p w:rsidR="007E0013" w:rsidRPr="00B370BE" w:rsidRDefault="007E0013" w:rsidP="007E0013">
      <w:pPr>
        <w:widowControl/>
        <w:rPr>
          <w:rFonts w:ascii="Times New Roman" w:hAnsi="Times New Roman"/>
          <w:szCs w:val="24"/>
        </w:rPr>
      </w:pPr>
    </w:p>
    <w:p w:rsidR="00C062E2" w:rsidRPr="00B370BE" w:rsidRDefault="0024791C" w:rsidP="000248A0">
      <w:pPr>
        <w:pStyle w:val="NormalWeb"/>
        <w:spacing w:before="0" w:beforeAutospacing="0" w:after="0" w:afterAutospacing="0"/>
        <w:ind w:firstLine="720"/>
      </w:pPr>
      <w:r>
        <w:t>The Federal Reserve</w:t>
      </w:r>
      <w:r w:rsidR="00435AE7" w:rsidRPr="00B370BE">
        <w:t xml:space="preserve"> </w:t>
      </w:r>
      <w:r w:rsidR="0021147C">
        <w:t>proposes</w:t>
      </w:r>
      <w:r w:rsidR="007E0013" w:rsidRPr="00B370BE">
        <w:t xml:space="preserve"> no changes to the reporting frequency of </w:t>
      </w:r>
      <w:r w:rsidR="00504CD0" w:rsidRPr="00B370BE">
        <w:t xml:space="preserve">the </w:t>
      </w:r>
      <w:r w:rsidR="004C6302" w:rsidRPr="00B370BE">
        <w:t>FR Y-9 family of reports</w:t>
      </w:r>
      <w:r w:rsidR="004C6302">
        <w:t xml:space="preserve">, the </w:t>
      </w:r>
      <w:r w:rsidR="00446596">
        <w:t>FR Y-6 and FR Y-7 reports</w:t>
      </w:r>
      <w:r w:rsidR="000248A0" w:rsidRPr="00B370BE">
        <w:t xml:space="preserve">, the FR Y-11/S and FR 2314/S reports, </w:t>
      </w:r>
      <w:r w:rsidR="009F67EF" w:rsidRPr="00B370BE">
        <w:t xml:space="preserve">the </w:t>
      </w:r>
      <w:r w:rsidR="000248A0" w:rsidRPr="00B370BE">
        <w:t xml:space="preserve">FR </w:t>
      </w:r>
      <w:r w:rsidR="00C12E3B" w:rsidRPr="00B370BE">
        <w:t>Y-8</w:t>
      </w:r>
      <w:r w:rsidR="000248A0" w:rsidRPr="00B370BE">
        <w:t xml:space="preserve"> report</w:t>
      </w:r>
      <w:r w:rsidR="009F67EF" w:rsidRPr="00B370BE">
        <w:t>, the FR Y-12/12A reports</w:t>
      </w:r>
      <w:r w:rsidR="00446596">
        <w:t>, the FR Y-7N/NS reports, or the FR Y-7Q</w:t>
      </w:r>
      <w:r w:rsidR="00F56A86">
        <w:t xml:space="preserve"> report</w:t>
      </w:r>
      <w:r w:rsidR="007E0013" w:rsidRPr="00B370BE">
        <w:t>. The current reporting frequencies provide adequate timely data to meet the analytical and supervisory needs of the Federal Reserve.</w:t>
      </w:r>
      <w:r w:rsidR="006D0D1A" w:rsidRPr="00B370BE">
        <w:t xml:space="preserve">  </w:t>
      </w:r>
    </w:p>
    <w:p w:rsidR="006D0D1A" w:rsidRPr="00B370BE" w:rsidRDefault="006D0D1A" w:rsidP="006D0D1A">
      <w:pPr>
        <w:pStyle w:val="NormalWeb"/>
        <w:spacing w:before="0" w:beforeAutospacing="0" w:after="0" w:afterAutospacing="0"/>
        <w:ind w:firstLine="720"/>
        <w:rPr>
          <w:b/>
        </w:rPr>
      </w:pPr>
    </w:p>
    <w:p w:rsidR="007E0013" w:rsidRPr="00B370BE" w:rsidRDefault="007E0013" w:rsidP="007E0013">
      <w:pPr>
        <w:widowControl/>
        <w:rPr>
          <w:rFonts w:ascii="Times New Roman" w:hAnsi="Times New Roman"/>
          <w:szCs w:val="24"/>
        </w:rPr>
      </w:pPr>
      <w:r w:rsidRPr="00B370BE">
        <w:rPr>
          <w:rFonts w:ascii="Times New Roman" w:hAnsi="Times New Roman"/>
          <w:b/>
          <w:szCs w:val="24"/>
        </w:rPr>
        <w:t>Time Schedule for Information Collection</w:t>
      </w:r>
    </w:p>
    <w:p w:rsidR="007E0013" w:rsidRPr="00B370BE" w:rsidRDefault="007E0013" w:rsidP="007E0013">
      <w:pPr>
        <w:widowControl/>
        <w:rPr>
          <w:rFonts w:ascii="Times New Roman" w:hAnsi="Times New Roman"/>
          <w:szCs w:val="24"/>
        </w:rPr>
      </w:pPr>
    </w:p>
    <w:p w:rsidR="00C12E3B" w:rsidRPr="00B370BE" w:rsidRDefault="0024791C" w:rsidP="00C12E3B">
      <w:pPr>
        <w:pStyle w:val="NormalWeb"/>
        <w:spacing w:before="0" w:beforeAutospacing="0" w:after="0" w:afterAutospacing="0"/>
        <w:ind w:firstLine="720"/>
      </w:pPr>
      <w:r>
        <w:t>The Federal Reserve</w:t>
      </w:r>
      <w:r w:rsidR="00C12E3B" w:rsidRPr="00B370BE">
        <w:t xml:space="preserve"> </w:t>
      </w:r>
      <w:r w:rsidR="0021147C">
        <w:t>proposes</w:t>
      </w:r>
      <w:r w:rsidR="00C12E3B" w:rsidRPr="00B370BE">
        <w:t xml:space="preserve"> no changes to the time schedule for the </w:t>
      </w:r>
      <w:r w:rsidR="004C6302" w:rsidRPr="00B370BE">
        <w:t xml:space="preserve">FR Y-9 family of reports, </w:t>
      </w:r>
      <w:r w:rsidR="004C6302">
        <w:t xml:space="preserve">the </w:t>
      </w:r>
      <w:r w:rsidR="00F56A86">
        <w:t xml:space="preserve">FR Y-6 and FR Y-7 reports, </w:t>
      </w:r>
      <w:r w:rsidR="00C12E3B" w:rsidRPr="00B370BE">
        <w:t xml:space="preserve">the FR Y-11/S and FR 2314/S reports, the FR </w:t>
      </w:r>
      <w:r w:rsidR="002D75C7" w:rsidRPr="00B370BE">
        <w:t>Y-8</w:t>
      </w:r>
      <w:r w:rsidR="009F67EF" w:rsidRPr="00B370BE">
        <w:t>, the FR Y-12/12A reports</w:t>
      </w:r>
      <w:r w:rsidR="00F56A86">
        <w:t>, the FR Y-7N/NS reports, or the FR Y-7Q</w:t>
      </w:r>
      <w:r w:rsidR="00C12E3B" w:rsidRPr="00B370BE">
        <w:t xml:space="preserve"> report. The current time schedule provides adequate timely data to meet the analytical and supervisory needs of the Federal Reserve.  </w:t>
      </w:r>
    </w:p>
    <w:p w:rsidR="006D0D1A" w:rsidRPr="00B370BE" w:rsidRDefault="006D0D1A" w:rsidP="008C18A4">
      <w:pPr>
        <w:widowControl/>
        <w:rPr>
          <w:rFonts w:ascii="Times New Roman" w:hAnsi="Times New Roman"/>
          <w:b/>
          <w:szCs w:val="24"/>
        </w:rPr>
      </w:pPr>
    </w:p>
    <w:p w:rsidR="00061552" w:rsidRPr="00B370BE" w:rsidRDefault="00061552" w:rsidP="008C18A4">
      <w:pPr>
        <w:widowControl/>
        <w:rPr>
          <w:rFonts w:ascii="Times New Roman" w:hAnsi="Times New Roman"/>
          <w:szCs w:val="24"/>
        </w:rPr>
      </w:pPr>
      <w:r w:rsidRPr="00B370BE">
        <w:rPr>
          <w:rFonts w:ascii="Times New Roman" w:hAnsi="Times New Roman"/>
          <w:b/>
          <w:szCs w:val="24"/>
        </w:rPr>
        <w:t>Legal Status</w:t>
      </w:r>
    </w:p>
    <w:p w:rsidR="00061552" w:rsidRPr="00B370BE" w:rsidRDefault="00061552">
      <w:pPr>
        <w:widowControl/>
        <w:rPr>
          <w:rFonts w:ascii="Times New Roman" w:hAnsi="Times New Roman"/>
          <w:szCs w:val="24"/>
        </w:rPr>
      </w:pPr>
    </w:p>
    <w:p w:rsidR="00504FFB" w:rsidRPr="00DE1E53" w:rsidRDefault="00061552" w:rsidP="00486789">
      <w:pPr>
        <w:widowControl/>
        <w:autoSpaceDE w:val="0"/>
        <w:autoSpaceDN w:val="0"/>
        <w:adjustRightInd w:val="0"/>
        <w:ind w:firstLine="720"/>
        <w:rPr>
          <w:rFonts w:ascii="Times New Roman" w:hAnsi="Times New Roman"/>
          <w:szCs w:val="24"/>
        </w:rPr>
      </w:pPr>
      <w:r w:rsidRPr="00504FFB">
        <w:rPr>
          <w:rFonts w:ascii="Times New Roman" w:hAnsi="Times New Roman"/>
          <w:szCs w:val="24"/>
        </w:rPr>
        <w:t xml:space="preserve">The Board’s Legal Division has </w:t>
      </w:r>
      <w:r w:rsidR="00491279" w:rsidRPr="00504FFB">
        <w:rPr>
          <w:rFonts w:ascii="Times New Roman" w:hAnsi="Times New Roman"/>
          <w:szCs w:val="24"/>
        </w:rPr>
        <w:t xml:space="preserve">determined that the </w:t>
      </w:r>
      <w:r w:rsidR="004C6302" w:rsidRPr="00504FFB">
        <w:rPr>
          <w:rFonts w:ascii="Times New Roman" w:hAnsi="Times New Roman"/>
          <w:szCs w:val="24"/>
        </w:rPr>
        <w:t>FR Y-9 family of reports</w:t>
      </w:r>
      <w:r w:rsidR="004C6302">
        <w:rPr>
          <w:rFonts w:ascii="Times New Roman" w:hAnsi="Times New Roman"/>
          <w:szCs w:val="24"/>
        </w:rPr>
        <w:t xml:space="preserve">, the </w:t>
      </w:r>
      <w:r w:rsidR="00504FFB">
        <w:rPr>
          <w:rFonts w:ascii="Times New Roman" w:hAnsi="Times New Roman"/>
          <w:szCs w:val="24"/>
        </w:rPr>
        <w:t>FR Y-6, the FR Y-11</w:t>
      </w:r>
      <w:r w:rsidR="002A0D13" w:rsidRPr="00504FFB">
        <w:rPr>
          <w:rFonts w:ascii="Times New Roman" w:hAnsi="Times New Roman"/>
          <w:szCs w:val="24"/>
        </w:rPr>
        <w:t>,</w:t>
      </w:r>
      <w:r w:rsidRPr="00504FFB">
        <w:rPr>
          <w:rFonts w:ascii="Times New Roman" w:hAnsi="Times New Roman"/>
          <w:szCs w:val="24"/>
        </w:rPr>
        <w:t xml:space="preserve"> </w:t>
      </w:r>
      <w:r w:rsidR="00504FFB">
        <w:rPr>
          <w:rFonts w:ascii="Times New Roman" w:hAnsi="Times New Roman"/>
          <w:szCs w:val="24"/>
        </w:rPr>
        <w:t>the FR Y-8</w:t>
      </w:r>
      <w:r w:rsidR="00504FFB" w:rsidRPr="00504FFB">
        <w:rPr>
          <w:rFonts w:ascii="Times New Roman" w:hAnsi="Times New Roman"/>
          <w:szCs w:val="24"/>
        </w:rPr>
        <w:t xml:space="preserve">, </w:t>
      </w:r>
      <w:r w:rsidR="00DE1E53">
        <w:rPr>
          <w:rFonts w:ascii="Times New Roman" w:hAnsi="Times New Roman"/>
          <w:szCs w:val="24"/>
        </w:rPr>
        <w:t>the FR Y-</w:t>
      </w:r>
      <w:r w:rsidR="002E44CA">
        <w:rPr>
          <w:rFonts w:ascii="Times New Roman" w:hAnsi="Times New Roman"/>
          <w:szCs w:val="24"/>
        </w:rPr>
        <w:t>7N</w:t>
      </w:r>
      <w:r w:rsidR="00DE1E53">
        <w:rPr>
          <w:rFonts w:ascii="Times New Roman" w:hAnsi="Times New Roman"/>
          <w:szCs w:val="24"/>
        </w:rPr>
        <w:t xml:space="preserve">, </w:t>
      </w:r>
      <w:r w:rsidR="0096551F">
        <w:rPr>
          <w:rFonts w:ascii="Times New Roman" w:hAnsi="Times New Roman"/>
          <w:szCs w:val="24"/>
        </w:rPr>
        <w:t>the FR Y-</w:t>
      </w:r>
      <w:r w:rsidR="002E44CA">
        <w:rPr>
          <w:rFonts w:ascii="Times New Roman" w:hAnsi="Times New Roman"/>
          <w:szCs w:val="24"/>
        </w:rPr>
        <w:t>7Q</w:t>
      </w:r>
      <w:r w:rsidR="0096551F">
        <w:rPr>
          <w:rFonts w:ascii="Times New Roman" w:hAnsi="Times New Roman"/>
          <w:szCs w:val="24"/>
        </w:rPr>
        <w:t xml:space="preserve">, </w:t>
      </w:r>
      <w:r w:rsidR="00504FFB">
        <w:rPr>
          <w:rFonts w:ascii="Times New Roman" w:hAnsi="Times New Roman"/>
          <w:szCs w:val="24"/>
        </w:rPr>
        <w:t>the FR Y-12</w:t>
      </w:r>
      <w:r w:rsidR="002E44CA">
        <w:rPr>
          <w:rFonts w:ascii="Times New Roman" w:hAnsi="Times New Roman"/>
          <w:szCs w:val="24"/>
        </w:rPr>
        <w:t>, and the FR 2314 reports</w:t>
      </w:r>
      <w:r w:rsidR="00504FFB" w:rsidRPr="00504FFB">
        <w:rPr>
          <w:rFonts w:ascii="Times New Roman" w:hAnsi="Times New Roman"/>
          <w:szCs w:val="24"/>
        </w:rPr>
        <w:t xml:space="preserve"> </w:t>
      </w:r>
      <w:r w:rsidR="00504FFB">
        <w:rPr>
          <w:rFonts w:ascii="Times New Roman" w:hAnsi="Times New Roman"/>
          <w:szCs w:val="24"/>
        </w:rPr>
        <w:t>are</w:t>
      </w:r>
      <w:r w:rsidR="00435AE7" w:rsidRPr="00504FFB">
        <w:rPr>
          <w:rFonts w:ascii="Times New Roman" w:hAnsi="Times New Roman"/>
          <w:szCs w:val="24"/>
        </w:rPr>
        <w:t xml:space="preserve"> </w:t>
      </w:r>
      <w:r w:rsidRPr="00504FFB">
        <w:rPr>
          <w:rFonts w:ascii="Times New Roman" w:hAnsi="Times New Roman"/>
          <w:szCs w:val="24"/>
        </w:rPr>
        <w:t xml:space="preserve">authorized by </w:t>
      </w:r>
      <w:r w:rsidR="00C51A6B" w:rsidRPr="00504FFB">
        <w:rPr>
          <w:rFonts w:ascii="Times New Roman" w:hAnsi="Times New Roman"/>
          <w:color w:val="000000"/>
          <w:szCs w:val="24"/>
        </w:rPr>
        <w:t xml:space="preserve">section 5(c) of the BHC Act (12 U.S.C. 1844(c)) and </w:t>
      </w:r>
      <w:r w:rsidR="001842CD" w:rsidRPr="00504FFB">
        <w:rPr>
          <w:rFonts w:ascii="Times New Roman" w:hAnsi="Times New Roman"/>
          <w:szCs w:val="24"/>
        </w:rPr>
        <w:t>s</w:t>
      </w:r>
      <w:r w:rsidRPr="00504FFB">
        <w:rPr>
          <w:rFonts w:ascii="Times New Roman" w:hAnsi="Times New Roman"/>
          <w:szCs w:val="24"/>
        </w:rPr>
        <w:t xml:space="preserve">ection </w:t>
      </w:r>
      <w:r w:rsidR="001842CD" w:rsidRPr="00504FFB">
        <w:rPr>
          <w:rFonts w:ascii="Times New Roman" w:hAnsi="Times New Roman"/>
          <w:szCs w:val="24"/>
        </w:rPr>
        <w:t>10(b)</w:t>
      </w:r>
      <w:r w:rsidRPr="00504FFB">
        <w:rPr>
          <w:rFonts w:ascii="Times New Roman" w:hAnsi="Times New Roman"/>
          <w:szCs w:val="24"/>
        </w:rPr>
        <w:t xml:space="preserve"> of </w:t>
      </w:r>
      <w:r w:rsidR="001842CD" w:rsidRPr="00504FFB">
        <w:rPr>
          <w:rFonts w:ascii="Times New Roman" w:hAnsi="Times New Roman"/>
          <w:szCs w:val="24"/>
        </w:rPr>
        <w:t>HOLA (</w:t>
      </w:r>
      <w:r w:rsidRPr="00504FFB">
        <w:rPr>
          <w:rFonts w:ascii="Times New Roman" w:hAnsi="Times New Roman"/>
          <w:szCs w:val="24"/>
        </w:rPr>
        <w:t xml:space="preserve">12 U.S.C. </w:t>
      </w:r>
      <w:r w:rsidR="001842CD" w:rsidRPr="00504FFB">
        <w:rPr>
          <w:rFonts w:ascii="Times New Roman" w:hAnsi="Times New Roman"/>
          <w:szCs w:val="24"/>
        </w:rPr>
        <w:t>1467a</w:t>
      </w:r>
      <w:r w:rsidRPr="00504FFB">
        <w:rPr>
          <w:rFonts w:ascii="Times New Roman" w:hAnsi="Times New Roman"/>
          <w:szCs w:val="24"/>
        </w:rPr>
        <w:t>(</w:t>
      </w:r>
      <w:r w:rsidR="001842CD" w:rsidRPr="00504FFB">
        <w:rPr>
          <w:rFonts w:ascii="Times New Roman" w:hAnsi="Times New Roman"/>
          <w:szCs w:val="24"/>
        </w:rPr>
        <w:t>b))</w:t>
      </w:r>
      <w:r w:rsidRPr="00504FFB">
        <w:rPr>
          <w:rFonts w:ascii="Times New Roman" w:hAnsi="Times New Roman"/>
          <w:szCs w:val="24"/>
        </w:rPr>
        <w:t>.</w:t>
      </w:r>
      <w:r w:rsidR="00491279" w:rsidRPr="00504FFB">
        <w:rPr>
          <w:rFonts w:ascii="Times New Roman" w:hAnsi="Times New Roman"/>
          <w:szCs w:val="24"/>
        </w:rPr>
        <w:t xml:space="preserve">  </w:t>
      </w:r>
      <w:r w:rsidR="00504FFB" w:rsidRPr="00504FFB">
        <w:rPr>
          <w:rFonts w:ascii="Times New Roman" w:hAnsi="Times New Roman"/>
          <w:szCs w:val="24"/>
        </w:rPr>
        <w:t>The FR Y-6 is also authorized by Sections 11(a</w:t>
      </w:r>
      <w:proofErr w:type="gramStart"/>
      <w:r w:rsidR="00504FFB" w:rsidRPr="00504FFB">
        <w:rPr>
          <w:rFonts w:ascii="Times New Roman" w:hAnsi="Times New Roman"/>
          <w:szCs w:val="24"/>
        </w:rPr>
        <w:t>)(</w:t>
      </w:r>
      <w:proofErr w:type="gramEnd"/>
      <w:r w:rsidR="00504FFB" w:rsidRPr="00504FFB">
        <w:rPr>
          <w:rFonts w:ascii="Times New Roman" w:hAnsi="Times New Roman"/>
          <w:szCs w:val="24"/>
        </w:rPr>
        <w:t>1), 25, and 25A of the F</w:t>
      </w:r>
      <w:r w:rsidR="002B4EDA">
        <w:rPr>
          <w:rFonts w:ascii="Times New Roman" w:hAnsi="Times New Roman"/>
          <w:szCs w:val="24"/>
        </w:rPr>
        <w:t xml:space="preserve">ederal </w:t>
      </w:r>
      <w:r w:rsidR="00504FFB" w:rsidRPr="00504FFB">
        <w:rPr>
          <w:rFonts w:ascii="Times New Roman" w:hAnsi="Times New Roman"/>
          <w:szCs w:val="24"/>
        </w:rPr>
        <w:t>R</w:t>
      </w:r>
      <w:r w:rsidR="002B4EDA">
        <w:rPr>
          <w:rFonts w:ascii="Times New Roman" w:hAnsi="Times New Roman"/>
          <w:szCs w:val="24"/>
        </w:rPr>
        <w:t xml:space="preserve">eserve </w:t>
      </w:r>
      <w:r w:rsidR="00504FFB" w:rsidRPr="00504FFB">
        <w:rPr>
          <w:rFonts w:ascii="Times New Roman" w:hAnsi="Times New Roman"/>
          <w:szCs w:val="24"/>
        </w:rPr>
        <w:t>A</w:t>
      </w:r>
      <w:r w:rsidR="002B4EDA">
        <w:rPr>
          <w:rFonts w:ascii="Times New Roman" w:hAnsi="Times New Roman"/>
          <w:szCs w:val="24"/>
        </w:rPr>
        <w:t>ct</w:t>
      </w:r>
      <w:r w:rsidR="00504FFB" w:rsidRPr="00504FFB">
        <w:rPr>
          <w:rFonts w:ascii="Times New Roman" w:hAnsi="Times New Roman"/>
          <w:szCs w:val="24"/>
        </w:rPr>
        <w:t xml:space="preserve"> (12 U.S.C. 248(a)(1), 602, and 611a).  The FR Y-6 and FR Y-7 are also authorized by</w:t>
      </w:r>
      <w:r w:rsidR="00504FFB" w:rsidRPr="00504FFB">
        <w:rPr>
          <w:rFonts w:ascii="Times New Roman" w:hAnsi="Times New Roman"/>
          <w:b/>
          <w:szCs w:val="24"/>
        </w:rPr>
        <w:t>:</w:t>
      </w:r>
      <w:r w:rsidR="00504FFB" w:rsidRPr="00504FFB">
        <w:rPr>
          <w:rFonts w:ascii="Times New Roman" w:hAnsi="Times New Roman"/>
          <w:szCs w:val="24"/>
        </w:rPr>
        <w:t xml:space="preserve">  Sections 8(a) and 13(a) of the I</w:t>
      </w:r>
      <w:r w:rsidR="002B4EDA">
        <w:rPr>
          <w:rFonts w:ascii="Times New Roman" w:hAnsi="Times New Roman"/>
          <w:szCs w:val="24"/>
        </w:rPr>
        <w:t xml:space="preserve">nternational </w:t>
      </w:r>
      <w:r w:rsidR="00504FFB" w:rsidRPr="00504FFB">
        <w:rPr>
          <w:rFonts w:ascii="Times New Roman" w:hAnsi="Times New Roman"/>
          <w:szCs w:val="24"/>
        </w:rPr>
        <w:t>B</w:t>
      </w:r>
      <w:r w:rsidR="002B4EDA">
        <w:rPr>
          <w:rFonts w:ascii="Times New Roman" w:hAnsi="Times New Roman"/>
          <w:szCs w:val="24"/>
        </w:rPr>
        <w:t xml:space="preserve">anking </w:t>
      </w:r>
      <w:r w:rsidR="00504FFB" w:rsidRPr="00504FFB">
        <w:rPr>
          <w:rFonts w:ascii="Times New Roman" w:hAnsi="Times New Roman"/>
          <w:szCs w:val="24"/>
        </w:rPr>
        <w:t>A</w:t>
      </w:r>
      <w:r w:rsidR="002B4EDA">
        <w:rPr>
          <w:rFonts w:ascii="Times New Roman" w:hAnsi="Times New Roman"/>
          <w:szCs w:val="24"/>
        </w:rPr>
        <w:t>ct</w:t>
      </w:r>
      <w:r w:rsidR="00504FFB" w:rsidRPr="00504FFB">
        <w:rPr>
          <w:rFonts w:ascii="Times New Roman" w:hAnsi="Times New Roman"/>
          <w:szCs w:val="24"/>
        </w:rPr>
        <w:t xml:space="preserve"> (12 U.S.C. 3106(a) and 3108(a)).</w:t>
      </w:r>
      <w:r w:rsidR="00DD2E56">
        <w:rPr>
          <w:rFonts w:ascii="Times New Roman" w:hAnsi="Times New Roman"/>
          <w:szCs w:val="24"/>
        </w:rPr>
        <w:t xml:space="preserve">  </w:t>
      </w:r>
      <w:r w:rsidR="00DE1E53">
        <w:rPr>
          <w:rFonts w:ascii="Times New Roman" w:hAnsi="Times New Roman"/>
          <w:szCs w:val="24"/>
        </w:rPr>
        <w:t>The FR Y-7</w:t>
      </w:r>
      <w:r w:rsidR="002E44CA">
        <w:rPr>
          <w:rFonts w:ascii="Times New Roman" w:hAnsi="Times New Roman"/>
          <w:szCs w:val="24"/>
        </w:rPr>
        <w:t>N and FR Y-7</w:t>
      </w:r>
      <w:r w:rsidR="00DE1E53">
        <w:rPr>
          <w:rFonts w:ascii="Times New Roman" w:hAnsi="Times New Roman"/>
          <w:szCs w:val="24"/>
        </w:rPr>
        <w:t xml:space="preserve">Q is also authorized by </w:t>
      </w:r>
      <w:r w:rsidR="00DE1E53" w:rsidRPr="00DE1E53">
        <w:rPr>
          <w:rFonts w:ascii="Times New Roman" w:hAnsi="Times New Roman"/>
          <w:snapToGrid/>
          <w:szCs w:val="24"/>
        </w:rPr>
        <w:t>sections 8(c) and 13 of</w:t>
      </w:r>
      <w:r w:rsidR="00DE1E53">
        <w:rPr>
          <w:rFonts w:ascii="Times New Roman" w:hAnsi="Times New Roman"/>
          <w:snapToGrid/>
          <w:szCs w:val="24"/>
        </w:rPr>
        <w:t xml:space="preserve"> </w:t>
      </w:r>
      <w:r w:rsidR="00DE1E53" w:rsidRPr="00DE1E53">
        <w:rPr>
          <w:rFonts w:ascii="Times New Roman" w:hAnsi="Times New Roman"/>
          <w:snapToGrid/>
          <w:szCs w:val="24"/>
        </w:rPr>
        <w:t>the IBA (12 U.S.C. 3106(c) and 3108</w:t>
      </w:r>
      <w:r w:rsidR="00DE1E53" w:rsidRPr="0096551F">
        <w:rPr>
          <w:rFonts w:ascii="Times New Roman" w:hAnsi="Times New Roman"/>
          <w:snapToGrid/>
          <w:szCs w:val="24"/>
        </w:rPr>
        <w:t xml:space="preserve">).  </w:t>
      </w:r>
      <w:r w:rsidR="006D0D1A" w:rsidRPr="00B370BE">
        <w:rPr>
          <w:rFonts w:ascii="Times New Roman" w:hAnsi="Times New Roman"/>
          <w:szCs w:val="24"/>
        </w:rPr>
        <w:t xml:space="preserve">The Board’s Legal Division has determined that the FR 2314 reports are authorized under (12 U.S.C. 324, 602, </w:t>
      </w:r>
      <w:r w:rsidR="002E44CA">
        <w:rPr>
          <w:rFonts w:ascii="Times New Roman" w:hAnsi="Times New Roman"/>
          <w:szCs w:val="24"/>
        </w:rPr>
        <w:t xml:space="preserve">and </w:t>
      </w:r>
      <w:r w:rsidR="006D0D1A" w:rsidRPr="00B370BE">
        <w:rPr>
          <w:rFonts w:ascii="Times New Roman" w:hAnsi="Times New Roman"/>
          <w:szCs w:val="24"/>
        </w:rPr>
        <w:t>625).</w:t>
      </w:r>
      <w:r w:rsidR="0096551F">
        <w:rPr>
          <w:rFonts w:ascii="Times New Roman" w:hAnsi="Times New Roman"/>
          <w:snapToGrid/>
          <w:szCs w:val="24"/>
        </w:rPr>
        <w:t xml:space="preserve">  </w:t>
      </w:r>
    </w:p>
    <w:p w:rsidR="00504FFB" w:rsidRDefault="00504FFB" w:rsidP="00504FFB">
      <w:pPr>
        <w:widowControl/>
        <w:rPr>
          <w:rFonts w:ascii="Times New Roman" w:hAnsi="Times New Roman"/>
          <w:szCs w:val="24"/>
        </w:rPr>
      </w:pPr>
    </w:p>
    <w:p w:rsidR="00C12E3B" w:rsidRPr="007F0EBA" w:rsidRDefault="006D0D1A" w:rsidP="00504FFB">
      <w:pPr>
        <w:widowControl/>
        <w:ind w:firstLine="720"/>
        <w:rPr>
          <w:rFonts w:ascii="Times New Roman" w:hAnsi="Times New Roman"/>
          <w:color w:val="000000"/>
          <w:szCs w:val="24"/>
        </w:rPr>
      </w:pPr>
      <w:r w:rsidRPr="00B370BE">
        <w:rPr>
          <w:rFonts w:ascii="Times New Roman" w:hAnsi="Times New Roman"/>
          <w:szCs w:val="24"/>
        </w:rPr>
        <w:t xml:space="preserve">Overall, the Federal Reserve does not consider </w:t>
      </w:r>
      <w:r w:rsidR="00504FFB">
        <w:rPr>
          <w:rFonts w:ascii="Times New Roman" w:hAnsi="Times New Roman"/>
          <w:szCs w:val="24"/>
        </w:rPr>
        <w:t xml:space="preserve">most of </w:t>
      </w:r>
      <w:r w:rsidRPr="00B370BE">
        <w:rPr>
          <w:rFonts w:ascii="Times New Roman" w:hAnsi="Times New Roman"/>
          <w:szCs w:val="24"/>
        </w:rPr>
        <w:t>these data to be confidential.  However, a respondent may request confidential treatment pursuant to sections (b</w:t>
      </w:r>
      <w:proofErr w:type="gramStart"/>
      <w:r w:rsidRPr="00B370BE">
        <w:rPr>
          <w:rFonts w:ascii="Times New Roman" w:hAnsi="Times New Roman"/>
          <w:szCs w:val="24"/>
        </w:rPr>
        <w:t>)(</w:t>
      </w:r>
      <w:proofErr w:type="gramEnd"/>
      <w:r w:rsidRPr="00B370BE">
        <w:rPr>
          <w:rFonts w:ascii="Times New Roman" w:hAnsi="Times New Roman"/>
          <w:szCs w:val="24"/>
        </w:rPr>
        <w:t xml:space="preserve">4), (b)(6), and (b)(8) of the Freedom of  Information Act (5 U.S.C. 552(b)(4), (b)(6), and (b)(8)).  The applicability of these exemptions would need to be determined on a case-by-case basis. </w:t>
      </w:r>
      <w:r w:rsidR="00D1705E">
        <w:rPr>
          <w:rFonts w:ascii="Times New Roman" w:hAnsi="Times New Roman"/>
          <w:szCs w:val="24"/>
        </w:rPr>
        <w:t xml:space="preserve"> </w:t>
      </w:r>
      <w:r w:rsidR="00C12E3B" w:rsidRPr="007F0EBA">
        <w:rPr>
          <w:rFonts w:ascii="Times New Roman" w:hAnsi="Times New Roman"/>
          <w:color w:val="000000"/>
          <w:szCs w:val="24"/>
        </w:rPr>
        <w:t xml:space="preserve">The </w:t>
      </w:r>
      <w:r w:rsidR="00504FFB">
        <w:rPr>
          <w:rFonts w:ascii="Times New Roman" w:hAnsi="Times New Roman"/>
          <w:color w:val="000000"/>
          <w:szCs w:val="24"/>
        </w:rPr>
        <w:t xml:space="preserve">FR Y-8 </w:t>
      </w:r>
      <w:r w:rsidR="002E44CA">
        <w:rPr>
          <w:rFonts w:ascii="Times New Roman" w:hAnsi="Times New Roman"/>
          <w:color w:val="000000"/>
          <w:szCs w:val="24"/>
        </w:rPr>
        <w:t xml:space="preserve">and FR Y-12A </w:t>
      </w:r>
      <w:r w:rsidR="00C12E3B" w:rsidRPr="007F0EBA">
        <w:rPr>
          <w:rFonts w:ascii="Times New Roman" w:hAnsi="Times New Roman"/>
          <w:color w:val="000000"/>
          <w:szCs w:val="24"/>
        </w:rPr>
        <w:t>data are confidential pursuant to the Freedom of Information Act (5 U.S.C 552(b</w:t>
      </w:r>
      <w:proofErr w:type="gramStart"/>
      <w:r w:rsidR="00C12E3B" w:rsidRPr="007F0EBA">
        <w:rPr>
          <w:rFonts w:ascii="Times New Roman" w:hAnsi="Times New Roman"/>
          <w:color w:val="000000"/>
          <w:szCs w:val="24"/>
        </w:rPr>
        <w:t>)(</w:t>
      </w:r>
      <w:proofErr w:type="gramEnd"/>
      <w:r w:rsidR="00C12E3B" w:rsidRPr="007F0EBA">
        <w:rPr>
          <w:rFonts w:ascii="Times New Roman" w:hAnsi="Times New Roman"/>
          <w:color w:val="000000"/>
          <w:szCs w:val="24"/>
        </w:rPr>
        <w:t>4).  Section (b</w:t>
      </w:r>
      <w:proofErr w:type="gramStart"/>
      <w:r w:rsidR="00C12E3B" w:rsidRPr="007F0EBA">
        <w:rPr>
          <w:rFonts w:ascii="Times New Roman" w:hAnsi="Times New Roman"/>
          <w:color w:val="000000"/>
          <w:szCs w:val="24"/>
        </w:rPr>
        <w:t>)(</w:t>
      </w:r>
      <w:proofErr w:type="gramEnd"/>
      <w:r w:rsidR="00C12E3B" w:rsidRPr="007F0EBA">
        <w:rPr>
          <w:rFonts w:ascii="Times New Roman" w:hAnsi="Times New Roman"/>
          <w:color w:val="000000"/>
          <w:szCs w:val="24"/>
        </w:rPr>
        <w:t xml:space="preserve">4) exempts information deemed competitively sensitive from disclosure. </w:t>
      </w:r>
    </w:p>
    <w:p w:rsidR="00C40AE8" w:rsidRDefault="00C40AE8" w:rsidP="00C40AE8">
      <w:pPr>
        <w:spacing w:after="60"/>
        <w:ind w:firstLine="720"/>
        <w:jc w:val="both"/>
        <w:rPr>
          <w:rFonts w:ascii="Times New Roman" w:hAnsi="Times New Roman"/>
          <w:b/>
          <w:szCs w:val="24"/>
        </w:rPr>
      </w:pPr>
    </w:p>
    <w:p w:rsidR="00061552" w:rsidRPr="00B370BE" w:rsidRDefault="00061552">
      <w:pPr>
        <w:keepNext/>
        <w:keepLines/>
        <w:widowControl/>
        <w:rPr>
          <w:rFonts w:ascii="Times New Roman" w:hAnsi="Times New Roman"/>
          <w:szCs w:val="24"/>
        </w:rPr>
      </w:pPr>
      <w:r w:rsidRPr="00B370BE">
        <w:rPr>
          <w:rFonts w:ascii="Times New Roman" w:hAnsi="Times New Roman"/>
          <w:b/>
          <w:szCs w:val="24"/>
        </w:rPr>
        <w:t xml:space="preserve">Consultation </w:t>
      </w:r>
      <w:proofErr w:type="gramStart"/>
      <w:r w:rsidRPr="00B370BE">
        <w:rPr>
          <w:rFonts w:ascii="Times New Roman" w:hAnsi="Times New Roman"/>
          <w:b/>
          <w:szCs w:val="24"/>
        </w:rPr>
        <w:t>Outside</w:t>
      </w:r>
      <w:proofErr w:type="gramEnd"/>
      <w:r w:rsidRPr="00B370BE">
        <w:rPr>
          <w:rFonts w:ascii="Times New Roman" w:hAnsi="Times New Roman"/>
          <w:b/>
          <w:szCs w:val="24"/>
        </w:rPr>
        <w:t xml:space="preserve"> the Agency</w:t>
      </w:r>
    </w:p>
    <w:p w:rsidR="00061552" w:rsidRPr="00B370BE" w:rsidRDefault="00061552">
      <w:pPr>
        <w:keepNext/>
        <w:keepLines/>
        <w:widowControl/>
        <w:rPr>
          <w:rFonts w:ascii="Times New Roman" w:hAnsi="Times New Roman"/>
          <w:szCs w:val="24"/>
        </w:rPr>
      </w:pPr>
    </w:p>
    <w:p w:rsidR="00272746" w:rsidRDefault="006555E8" w:rsidP="00F651DE">
      <w:pPr>
        <w:widowControl/>
        <w:tabs>
          <w:tab w:val="left" w:pos="-720"/>
          <w:tab w:val="left" w:pos="0"/>
          <w:tab w:val="left" w:pos="720"/>
          <w:tab w:val="left" w:pos="1440"/>
          <w:tab w:val="left" w:pos="2160"/>
          <w:tab w:val="left" w:pos="2880"/>
          <w:tab w:val="left" w:pos="3600"/>
          <w:tab w:val="left" w:pos="4320"/>
        </w:tabs>
        <w:autoSpaceDE w:val="0"/>
        <w:autoSpaceDN w:val="0"/>
        <w:adjustRightInd w:val="0"/>
        <w:rPr>
          <w:rFonts w:ascii="Times New Roman" w:hAnsi="Times New Roman"/>
        </w:rPr>
      </w:pPr>
      <w:r>
        <w:rPr>
          <w:rFonts w:ascii="Times New Roman" w:hAnsi="Times New Roman"/>
          <w:szCs w:val="24"/>
        </w:rPr>
        <w:tab/>
      </w:r>
      <w:r w:rsidR="009C31AC" w:rsidRPr="00B370BE">
        <w:rPr>
          <w:rFonts w:ascii="Times New Roman" w:hAnsi="Times New Roman"/>
          <w:szCs w:val="24"/>
        </w:rPr>
        <w:t xml:space="preserve">The </w:t>
      </w:r>
      <w:r w:rsidR="0024791C">
        <w:rPr>
          <w:rFonts w:ascii="Times New Roman" w:hAnsi="Times New Roman"/>
          <w:szCs w:val="24"/>
        </w:rPr>
        <w:t>Federal Reserve</w:t>
      </w:r>
      <w:r w:rsidR="009C31AC" w:rsidRPr="00B370BE">
        <w:rPr>
          <w:rFonts w:ascii="Times New Roman" w:hAnsi="Times New Roman"/>
          <w:szCs w:val="24"/>
        </w:rPr>
        <w:t xml:space="preserve"> consulted with the O</w:t>
      </w:r>
      <w:r w:rsidR="00FF4F5C" w:rsidRPr="00B370BE">
        <w:rPr>
          <w:rFonts w:ascii="Times New Roman" w:hAnsi="Times New Roman"/>
          <w:szCs w:val="24"/>
        </w:rPr>
        <w:t xml:space="preserve">ffice of the </w:t>
      </w:r>
      <w:r w:rsidR="009C31AC" w:rsidRPr="00B370BE">
        <w:rPr>
          <w:rFonts w:ascii="Times New Roman" w:hAnsi="Times New Roman"/>
          <w:szCs w:val="24"/>
        </w:rPr>
        <w:t>C</w:t>
      </w:r>
      <w:r w:rsidR="00FF4F5C" w:rsidRPr="00B370BE">
        <w:rPr>
          <w:rFonts w:ascii="Times New Roman" w:hAnsi="Times New Roman"/>
          <w:szCs w:val="24"/>
        </w:rPr>
        <w:t xml:space="preserve">omptroller of the </w:t>
      </w:r>
      <w:r w:rsidR="009C31AC" w:rsidRPr="00B370BE">
        <w:rPr>
          <w:rFonts w:ascii="Times New Roman" w:hAnsi="Times New Roman"/>
          <w:szCs w:val="24"/>
        </w:rPr>
        <w:t>C</w:t>
      </w:r>
      <w:r w:rsidR="00FF4F5C" w:rsidRPr="00B370BE">
        <w:rPr>
          <w:rFonts w:ascii="Times New Roman" w:hAnsi="Times New Roman"/>
          <w:szCs w:val="24"/>
        </w:rPr>
        <w:t>urrency</w:t>
      </w:r>
      <w:r w:rsidR="009C31AC" w:rsidRPr="00B370BE">
        <w:rPr>
          <w:rFonts w:ascii="Times New Roman" w:hAnsi="Times New Roman"/>
          <w:szCs w:val="24"/>
        </w:rPr>
        <w:t>, F</w:t>
      </w:r>
      <w:r w:rsidR="00FF4F5C" w:rsidRPr="00B370BE">
        <w:rPr>
          <w:rFonts w:ascii="Times New Roman" w:hAnsi="Times New Roman"/>
          <w:szCs w:val="24"/>
        </w:rPr>
        <w:t xml:space="preserve">ederal </w:t>
      </w:r>
      <w:r w:rsidR="009C31AC" w:rsidRPr="00B370BE">
        <w:rPr>
          <w:rFonts w:ascii="Times New Roman" w:hAnsi="Times New Roman"/>
          <w:szCs w:val="24"/>
        </w:rPr>
        <w:t>D</w:t>
      </w:r>
      <w:r w:rsidR="00FF4F5C" w:rsidRPr="00B370BE">
        <w:rPr>
          <w:rFonts w:ascii="Times New Roman" w:hAnsi="Times New Roman"/>
          <w:szCs w:val="24"/>
        </w:rPr>
        <w:t xml:space="preserve">eposit </w:t>
      </w:r>
      <w:r w:rsidR="009C31AC" w:rsidRPr="00B370BE">
        <w:rPr>
          <w:rFonts w:ascii="Times New Roman" w:hAnsi="Times New Roman"/>
          <w:szCs w:val="24"/>
        </w:rPr>
        <w:t>I</w:t>
      </w:r>
      <w:r w:rsidR="00FF4F5C" w:rsidRPr="00B370BE">
        <w:rPr>
          <w:rFonts w:ascii="Times New Roman" w:hAnsi="Times New Roman"/>
          <w:szCs w:val="24"/>
        </w:rPr>
        <w:t xml:space="preserve">nsurance </w:t>
      </w:r>
      <w:r w:rsidR="009C31AC" w:rsidRPr="00B370BE">
        <w:rPr>
          <w:rFonts w:ascii="Times New Roman" w:hAnsi="Times New Roman"/>
          <w:szCs w:val="24"/>
        </w:rPr>
        <w:t>C</w:t>
      </w:r>
      <w:r w:rsidR="00FF4F5C" w:rsidRPr="00B370BE">
        <w:rPr>
          <w:rFonts w:ascii="Times New Roman" w:hAnsi="Times New Roman"/>
          <w:szCs w:val="24"/>
        </w:rPr>
        <w:t>orporation</w:t>
      </w:r>
      <w:r w:rsidR="009C31AC" w:rsidRPr="00B370BE">
        <w:rPr>
          <w:rFonts w:ascii="Times New Roman" w:hAnsi="Times New Roman"/>
          <w:szCs w:val="24"/>
        </w:rPr>
        <w:t xml:space="preserve"> and O</w:t>
      </w:r>
      <w:r w:rsidR="00F56A86">
        <w:rPr>
          <w:rFonts w:ascii="Times New Roman" w:hAnsi="Times New Roman"/>
          <w:szCs w:val="24"/>
        </w:rPr>
        <w:t xml:space="preserve">ffice of </w:t>
      </w:r>
      <w:r w:rsidR="009C31AC" w:rsidRPr="00B370BE">
        <w:rPr>
          <w:rFonts w:ascii="Times New Roman" w:hAnsi="Times New Roman"/>
          <w:szCs w:val="24"/>
        </w:rPr>
        <w:t>T</w:t>
      </w:r>
      <w:r w:rsidR="00F56A86">
        <w:rPr>
          <w:rFonts w:ascii="Times New Roman" w:hAnsi="Times New Roman"/>
          <w:szCs w:val="24"/>
        </w:rPr>
        <w:t xml:space="preserve">hrift </w:t>
      </w:r>
      <w:r w:rsidR="009C31AC" w:rsidRPr="00B370BE">
        <w:rPr>
          <w:rFonts w:ascii="Times New Roman" w:hAnsi="Times New Roman"/>
          <w:szCs w:val="24"/>
        </w:rPr>
        <w:t>S</w:t>
      </w:r>
      <w:r w:rsidR="00F56A86">
        <w:rPr>
          <w:rFonts w:ascii="Times New Roman" w:hAnsi="Times New Roman"/>
          <w:szCs w:val="24"/>
        </w:rPr>
        <w:t>upervision</w:t>
      </w:r>
      <w:r w:rsidR="009C31AC" w:rsidRPr="00B370BE">
        <w:rPr>
          <w:rFonts w:ascii="Times New Roman" w:hAnsi="Times New Roman"/>
          <w:szCs w:val="24"/>
        </w:rPr>
        <w:t xml:space="preserve"> to coordinate the agencies’ publication for public comment proposals to require savings associations currently filing the TFR to convert to filing the Call Report</w:t>
      </w:r>
      <w:r w:rsidR="004C6302">
        <w:rPr>
          <w:rFonts w:ascii="Times New Roman" w:hAnsi="Times New Roman"/>
          <w:szCs w:val="24"/>
        </w:rPr>
        <w:t>.  In addition, the Federal Reserve consulted with</w:t>
      </w:r>
      <w:r w:rsidR="009C31AC" w:rsidRPr="00B370BE">
        <w:rPr>
          <w:rFonts w:ascii="Times New Roman" w:hAnsi="Times New Roman"/>
          <w:szCs w:val="24"/>
        </w:rPr>
        <w:t xml:space="preserve"> SLHCs to file </w:t>
      </w:r>
      <w:r w:rsidR="004C6302">
        <w:rPr>
          <w:rFonts w:ascii="Times New Roman" w:hAnsi="Times New Roman"/>
          <w:szCs w:val="24"/>
        </w:rPr>
        <w:t xml:space="preserve">the same </w:t>
      </w:r>
      <w:r w:rsidR="009C31AC" w:rsidRPr="00B370BE">
        <w:rPr>
          <w:rFonts w:ascii="Times New Roman" w:hAnsi="Times New Roman"/>
          <w:szCs w:val="24"/>
        </w:rPr>
        <w:t xml:space="preserve">financial </w:t>
      </w:r>
      <w:r w:rsidR="009C31AC" w:rsidRPr="00B370BE">
        <w:rPr>
          <w:rFonts w:ascii="Times New Roman" w:hAnsi="Times New Roman"/>
          <w:color w:val="000000"/>
          <w:szCs w:val="24"/>
        </w:rPr>
        <w:t xml:space="preserve">reports </w:t>
      </w:r>
      <w:r w:rsidR="004C6302">
        <w:rPr>
          <w:rFonts w:ascii="Times New Roman" w:hAnsi="Times New Roman"/>
          <w:color w:val="000000"/>
          <w:szCs w:val="24"/>
        </w:rPr>
        <w:t xml:space="preserve">as are </w:t>
      </w:r>
      <w:r w:rsidR="009C31AC" w:rsidRPr="00B370BE">
        <w:rPr>
          <w:rFonts w:ascii="Times New Roman" w:hAnsi="Times New Roman"/>
          <w:color w:val="000000"/>
          <w:szCs w:val="24"/>
        </w:rPr>
        <w:t xml:space="preserve">required by BHCs.  </w:t>
      </w:r>
      <w:r w:rsidR="004C6302">
        <w:rPr>
          <w:rFonts w:ascii="Times New Roman" w:hAnsi="Times New Roman"/>
          <w:color w:val="000000"/>
          <w:szCs w:val="24"/>
        </w:rPr>
        <w:t>T</w:t>
      </w:r>
      <w:r w:rsidR="00504FFB">
        <w:rPr>
          <w:rFonts w:ascii="Times New Roman" w:hAnsi="Times New Roman"/>
          <w:color w:val="000000"/>
          <w:szCs w:val="24"/>
        </w:rPr>
        <w:t xml:space="preserve">he </w:t>
      </w:r>
      <w:r w:rsidR="0024791C">
        <w:rPr>
          <w:rFonts w:ascii="Times New Roman" w:hAnsi="Times New Roman"/>
          <w:color w:val="000000"/>
          <w:szCs w:val="24"/>
        </w:rPr>
        <w:t>Federal Reserve</w:t>
      </w:r>
      <w:r w:rsidR="00504FFB">
        <w:rPr>
          <w:rFonts w:ascii="Times New Roman" w:hAnsi="Times New Roman"/>
          <w:color w:val="000000"/>
          <w:szCs w:val="24"/>
        </w:rPr>
        <w:t xml:space="preserve"> published a NOI </w:t>
      </w:r>
      <w:r w:rsidR="005E741C">
        <w:rPr>
          <w:rFonts w:ascii="Times New Roman" w:hAnsi="Times New Roman"/>
          <w:color w:val="000000"/>
          <w:szCs w:val="24"/>
        </w:rPr>
        <w:t>on February 8, 2011</w:t>
      </w:r>
      <w:r w:rsidR="00990FC9">
        <w:rPr>
          <w:rFonts w:ascii="Times New Roman" w:hAnsi="Times New Roman"/>
          <w:color w:val="000000"/>
          <w:szCs w:val="24"/>
        </w:rPr>
        <w:t xml:space="preserve"> </w:t>
      </w:r>
      <w:r w:rsidR="00990FC9" w:rsidRPr="00E617F3">
        <w:rPr>
          <w:rFonts w:ascii="Times New Roman" w:hAnsi="Times New Roman"/>
          <w:szCs w:val="24"/>
        </w:rPr>
        <w:t>(</w:t>
      </w:r>
      <w:r w:rsidR="00990FC9">
        <w:rPr>
          <w:rFonts w:ascii="Times New Roman" w:hAnsi="Times New Roman"/>
          <w:szCs w:val="24"/>
        </w:rPr>
        <w:t>76 FR 7091)</w:t>
      </w:r>
      <w:r w:rsidR="00023563">
        <w:rPr>
          <w:rFonts w:ascii="Times New Roman" w:hAnsi="Times New Roman"/>
          <w:color w:val="000000"/>
          <w:szCs w:val="24"/>
        </w:rPr>
        <w:t xml:space="preserve">,  </w:t>
      </w:r>
    </w:p>
    <w:p w:rsidR="00272746" w:rsidRDefault="00272746" w:rsidP="00F651DE">
      <w:pPr>
        <w:widowControl/>
        <w:tabs>
          <w:tab w:val="left" w:pos="-720"/>
          <w:tab w:val="left" w:pos="0"/>
          <w:tab w:val="left" w:pos="720"/>
          <w:tab w:val="left" w:pos="1440"/>
          <w:tab w:val="left" w:pos="2160"/>
          <w:tab w:val="left" w:pos="2880"/>
          <w:tab w:val="left" w:pos="3600"/>
          <w:tab w:val="left" w:pos="4320"/>
        </w:tabs>
        <w:autoSpaceDE w:val="0"/>
        <w:autoSpaceDN w:val="0"/>
        <w:adjustRightInd w:val="0"/>
        <w:rPr>
          <w:rFonts w:ascii="Times New Roman" w:hAnsi="Times New Roman"/>
        </w:rPr>
      </w:pPr>
    </w:p>
    <w:p w:rsidR="00BD4962" w:rsidRDefault="00272746" w:rsidP="00BD4962">
      <w:pPr>
        <w:pStyle w:val="HTMLPreformatted"/>
        <w:widowControl/>
        <w:ind w:firstLine="720"/>
        <w:rPr>
          <w:rFonts w:ascii="Times New Roman" w:hAnsi="Times New Roman" w:cs="Times New Roman"/>
          <w:sz w:val="24"/>
          <w:szCs w:val="24"/>
        </w:rPr>
      </w:pPr>
      <w:r w:rsidRPr="00B370BE">
        <w:rPr>
          <w:rFonts w:ascii="Times New Roman" w:hAnsi="Times New Roman" w:cs="Times New Roman"/>
          <w:sz w:val="24"/>
          <w:szCs w:val="24"/>
        </w:rPr>
        <w:t xml:space="preserve">The comment period </w:t>
      </w:r>
      <w:r>
        <w:rPr>
          <w:rFonts w:ascii="Times New Roman" w:hAnsi="Times New Roman" w:cs="Times New Roman"/>
          <w:sz w:val="24"/>
          <w:szCs w:val="24"/>
        </w:rPr>
        <w:t xml:space="preserve">for the NOI </w:t>
      </w:r>
      <w:r w:rsidRPr="00B370BE">
        <w:rPr>
          <w:rFonts w:ascii="Times New Roman" w:hAnsi="Times New Roman" w:cs="Times New Roman"/>
          <w:sz w:val="24"/>
          <w:szCs w:val="24"/>
        </w:rPr>
        <w:t xml:space="preserve">ended </w:t>
      </w:r>
      <w:r>
        <w:rPr>
          <w:rFonts w:ascii="Times New Roman" w:hAnsi="Times New Roman" w:cs="Times New Roman"/>
          <w:sz w:val="24"/>
          <w:szCs w:val="24"/>
        </w:rPr>
        <w:t xml:space="preserve">on </w:t>
      </w:r>
      <w:r w:rsidRPr="00B370BE">
        <w:rPr>
          <w:rFonts w:ascii="Times New Roman" w:hAnsi="Times New Roman" w:cs="Times New Roman"/>
          <w:sz w:val="24"/>
          <w:szCs w:val="24"/>
        </w:rPr>
        <w:t>April 11, 2011</w:t>
      </w:r>
      <w:r>
        <w:rPr>
          <w:rFonts w:ascii="Times New Roman" w:hAnsi="Times New Roman" w:cs="Times New Roman"/>
          <w:sz w:val="24"/>
          <w:szCs w:val="24"/>
        </w:rPr>
        <w:t>, and t</w:t>
      </w:r>
      <w:r w:rsidRPr="00B370BE">
        <w:rPr>
          <w:rFonts w:ascii="Times New Roman" w:hAnsi="Times New Roman" w:cs="Times New Roman"/>
          <w:sz w:val="24"/>
          <w:szCs w:val="24"/>
        </w:rPr>
        <w:t>he Federal Reserve received ten comment letters from five trade associations, two insurance companies, one law firm</w:t>
      </w:r>
      <w:r>
        <w:rPr>
          <w:rFonts w:ascii="Times New Roman" w:hAnsi="Times New Roman" w:cs="Times New Roman"/>
          <w:sz w:val="24"/>
          <w:szCs w:val="24"/>
        </w:rPr>
        <w:t>,</w:t>
      </w:r>
      <w:r w:rsidRPr="00B370BE">
        <w:rPr>
          <w:rFonts w:ascii="Times New Roman" w:hAnsi="Times New Roman" w:cs="Times New Roman"/>
          <w:sz w:val="24"/>
          <w:szCs w:val="24"/>
        </w:rPr>
        <w:t xml:space="preserve"> one commercial company and one utility SLHC.  Most </w:t>
      </w:r>
      <w:r>
        <w:rPr>
          <w:rFonts w:ascii="Times New Roman" w:hAnsi="Times New Roman" w:cs="Times New Roman"/>
          <w:sz w:val="24"/>
          <w:szCs w:val="24"/>
        </w:rPr>
        <w:t xml:space="preserve">respondents </w:t>
      </w:r>
      <w:r w:rsidRPr="00B370BE">
        <w:rPr>
          <w:rFonts w:ascii="Times New Roman" w:hAnsi="Times New Roman" w:cs="Times New Roman"/>
          <w:sz w:val="24"/>
          <w:szCs w:val="24"/>
        </w:rPr>
        <w:t xml:space="preserve">expressed concern with the implementation deadline </w:t>
      </w:r>
      <w:r>
        <w:rPr>
          <w:rFonts w:ascii="Times New Roman" w:hAnsi="Times New Roman" w:cs="Times New Roman"/>
          <w:sz w:val="24"/>
          <w:szCs w:val="24"/>
        </w:rPr>
        <w:t xml:space="preserve">of </w:t>
      </w:r>
      <w:r w:rsidRPr="00B370BE">
        <w:rPr>
          <w:rFonts w:ascii="Times New Roman" w:hAnsi="Times New Roman" w:cs="Times New Roman"/>
          <w:sz w:val="24"/>
          <w:szCs w:val="24"/>
        </w:rPr>
        <w:t>March 31, 2012</w:t>
      </w:r>
      <w:r>
        <w:rPr>
          <w:rFonts w:ascii="Times New Roman" w:hAnsi="Times New Roman" w:cs="Times New Roman"/>
          <w:sz w:val="24"/>
          <w:szCs w:val="24"/>
        </w:rPr>
        <w:t xml:space="preserve">, </w:t>
      </w:r>
      <w:r w:rsidRPr="00B370BE">
        <w:rPr>
          <w:rFonts w:ascii="Times New Roman" w:hAnsi="Times New Roman" w:cs="Times New Roman"/>
          <w:sz w:val="24"/>
          <w:szCs w:val="24"/>
        </w:rPr>
        <w:t xml:space="preserve">and requested a delay.  All respondents stated concern with implementation cost and burden associated with creation of new systems, processes and internal controls.  Some respondents that represented insurance companies or grandfathered unitary SLHCs currently engaged in commercial activities strongly encouraged the Federal Reserve to reconsider its proposal noting that a “one-size-fits-all” approach would be far more costly than the benefits derived.  Insurance companies stated the requirement to file BHC reports, which are based on GAAP, would cause the creation of duplicative accounting systems due to state mandated requirements to compile financial statements using </w:t>
      </w:r>
      <w:r>
        <w:rPr>
          <w:rFonts w:ascii="Times New Roman" w:hAnsi="Times New Roman" w:cs="Times New Roman"/>
          <w:sz w:val="24"/>
          <w:szCs w:val="24"/>
        </w:rPr>
        <w:t>statutory accounting principles (</w:t>
      </w:r>
      <w:r w:rsidRPr="00B370BE">
        <w:rPr>
          <w:rFonts w:ascii="Times New Roman" w:hAnsi="Times New Roman" w:cs="Times New Roman"/>
          <w:sz w:val="24"/>
          <w:szCs w:val="24"/>
        </w:rPr>
        <w:t>SAP</w:t>
      </w:r>
      <w:r>
        <w:rPr>
          <w:rFonts w:ascii="Times New Roman" w:hAnsi="Times New Roman" w:cs="Times New Roman"/>
          <w:sz w:val="24"/>
          <w:szCs w:val="24"/>
        </w:rPr>
        <w:t xml:space="preserve">), </w:t>
      </w:r>
      <w:r w:rsidRPr="00B370BE">
        <w:rPr>
          <w:rFonts w:ascii="Times New Roman" w:hAnsi="Times New Roman" w:cs="Times New Roman"/>
          <w:sz w:val="24"/>
          <w:szCs w:val="24"/>
        </w:rPr>
        <w:t>especially</w:t>
      </w:r>
      <w:r>
        <w:rPr>
          <w:rFonts w:ascii="Times New Roman" w:hAnsi="Times New Roman" w:cs="Times New Roman"/>
          <w:sz w:val="24"/>
          <w:szCs w:val="24"/>
        </w:rPr>
        <w:t xml:space="preserve"> for</w:t>
      </w:r>
      <w:r w:rsidRPr="00B370BE">
        <w:rPr>
          <w:rFonts w:ascii="Times New Roman" w:hAnsi="Times New Roman" w:cs="Times New Roman"/>
          <w:sz w:val="24"/>
          <w:szCs w:val="24"/>
        </w:rPr>
        <w:t xml:space="preserve"> insurance companies </w:t>
      </w:r>
      <w:r>
        <w:rPr>
          <w:rFonts w:ascii="Times New Roman" w:hAnsi="Times New Roman" w:cs="Times New Roman"/>
          <w:sz w:val="24"/>
          <w:szCs w:val="24"/>
        </w:rPr>
        <w:t xml:space="preserve">that </w:t>
      </w:r>
      <w:r w:rsidRPr="00B370BE">
        <w:rPr>
          <w:rFonts w:ascii="Times New Roman" w:hAnsi="Times New Roman" w:cs="Times New Roman"/>
          <w:sz w:val="24"/>
          <w:szCs w:val="24"/>
        </w:rPr>
        <w:t>use SAP exclusively or use GAAP on a limited basis.  Some respondents also noted that grandfathered unitary SLHCs are not subject to the same restrictive activities applicable to BHCs under the BHC Act and</w:t>
      </w:r>
      <w:r>
        <w:rPr>
          <w:rFonts w:ascii="Times New Roman" w:hAnsi="Times New Roman" w:cs="Times New Roman"/>
          <w:sz w:val="24"/>
          <w:szCs w:val="24"/>
        </w:rPr>
        <w:t>,</w:t>
      </w:r>
      <w:r w:rsidRPr="00B370BE">
        <w:rPr>
          <w:rFonts w:ascii="Times New Roman" w:hAnsi="Times New Roman" w:cs="Times New Roman"/>
          <w:sz w:val="24"/>
          <w:szCs w:val="24"/>
        </w:rPr>
        <w:t xml:space="preserve"> therefore, they reasoned SLHCs should not file the FR Y-10</w:t>
      </w:r>
      <w:r>
        <w:rPr>
          <w:rFonts w:ascii="Times New Roman" w:hAnsi="Times New Roman" w:cs="Times New Roman"/>
          <w:sz w:val="24"/>
          <w:szCs w:val="24"/>
        </w:rPr>
        <w:t>, Report of Change in Organizational Structure,</w:t>
      </w:r>
      <w:r w:rsidRPr="00B370BE">
        <w:rPr>
          <w:rFonts w:ascii="Times New Roman" w:hAnsi="Times New Roman" w:cs="Times New Roman"/>
          <w:sz w:val="24"/>
          <w:szCs w:val="24"/>
        </w:rPr>
        <w:t xml:space="preserve"> or at a minimum the activity codes should be modified.  Lastly, a few respondents stated they prepare their financial statements on a bas</w:t>
      </w:r>
      <w:r>
        <w:rPr>
          <w:rFonts w:ascii="Times New Roman" w:hAnsi="Times New Roman" w:cs="Times New Roman"/>
          <w:sz w:val="24"/>
          <w:szCs w:val="24"/>
        </w:rPr>
        <w:t>i</w:t>
      </w:r>
      <w:r w:rsidRPr="00B370BE">
        <w:rPr>
          <w:rFonts w:ascii="Times New Roman" w:hAnsi="Times New Roman" w:cs="Times New Roman"/>
          <w:sz w:val="24"/>
          <w:szCs w:val="24"/>
        </w:rPr>
        <w:t>s different from a calendar year-end bas</w:t>
      </w:r>
      <w:r>
        <w:rPr>
          <w:rFonts w:ascii="Times New Roman" w:hAnsi="Times New Roman" w:cs="Times New Roman"/>
          <w:sz w:val="24"/>
          <w:szCs w:val="24"/>
        </w:rPr>
        <w:t>i</w:t>
      </w:r>
      <w:r w:rsidRPr="00B370BE">
        <w:rPr>
          <w:rFonts w:ascii="Times New Roman" w:hAnsi="Times New Roman" w:cs="Times New Roman"/>
          <w:sz w:val="24"/>
          <w:szCs w:val="24"/>
        </w:rPr>
        <w:t>s.  They contend that imposing calendar year reporting would add complexity to their financial reporting infrastructure and asked for confidential treatment for a period of time.</w:t>
      </w:r>
      <w:r w:rsidR="00BD4962" w:rsidRPr="00BD4962">
        <w:rPr>
          <w:rFonts w:ascii="Times New Roman" w:hAnsi="Times New Roman" w:cs="Times New Roman"/>
          <w:sz w:val="24"/>
          <w:szCs w:val="24"/>
        </w:rPr>
        <w:t xml:space="preserve"> </w:t>
      </w:r>
      <w:r w:rsidR="00BD4962" w:rsidRPr="00B370BE">
        <w:rPr>
          <w:rFonts w:ascii="Times New Roman" w:hAnsi="Times New Roman" w:cs="Times New Roman"/>
          <w:sz w:val="24"/>
          <w:szCs w:val="24"/>
        </w:rPr>
        <w:t xml:space="preserve">Additionally, on May 11, 2011, the agencies met with </w:t>
      </w:r>
      <w:r w:rsidR="00BD4962">
        <w:rPr>
          <w:rFonts w:ascii="Times New Roman" w:hAnsi="Times New Roman" w:cs="Times New Roman"/>
          <w:sz w:val="24"/>
          <w:szCs w:val="24"/>
        </w:rPr>
        <w:t>industry trade groups</w:t>
      </w:r>
      <w:r w:rsidR="00BD4962" w:rsidRPr="00B370BE">
        <w:rPr>
          <w:rFonts w:ascii="Times New Roman" w:hAnsi="Times New Roman" w:cs="Times New Roman"/>
          <w:sz w:val="24"/>
          <w:szCs w:val="24"/>
        </w:rPr>
        <w:t xml:space="preserve"> to discuss in more detail the reasons for requesting an implementation delay.  A primary reason for requesting a delay was because of the multitude of reporting requirements that were proposed to be implemented simultaneously between the banking agencies’ proposal to require savings associations to start filing the Call Report and the Federal Reserve’s proposal to require SLHCs to start filing BHC reports.</w:t>
      </w:r>
    </w:p>
    <w:p w:rsidR="00272746" w:rsidRDefault="00272746" w:rsidP="00F651DE">
      <w:pPr>
        <w:widowControl/>
        <w:tabs>
          <w:tab w:val="left" w:pos="-720"/>
          <w:tab w:val="left" w:pos="0"/>
          <w:tab w:val="left" w:pos="720"/>
          <w:tab w:val="left" w:pos="1440"/>
          <w:tab w:val="left" w:pos="2160"/>
          <w:tab w:val="left" w:pos="2880"/>
          <w:tab w:val="left" w:pos="3600"/>
          <w:tab w:val="left" w:pos="4320"/>
        </w:tabs>
        <w:autoSpaceDE w:val="0"/>
        <w:autoSpaceDN w:val="0"/>
        <w:adjustRightInd w:val="0"/>
        <w:rPr>
          <w:rFonts w:ascii="Times New Roman" w:hAnsi="Times New Roman"/>
        </w:rPr>
      </w:pPr>
    </w:p>
    <w:p w:rsidR="005E741C" w:rsidRDefault="00E111B7" w:rsidP="00F651DE">
      <w:pPr>
        <w:widowControl/>
        <w:tabs>
          <w:tab w:val="left" w:pos="-720"/>
          <w:tab w:val="left" w:pos="0"/>
          <w:tab w:val="left" w:pos="720"/>
          <w:tab w:val="left" w:pos="1440"/>
          <w:tab w:val="left" w:pos="2160"/>
          <w:tab w:val="left" w:pos="2880"/>
          <w:tab w:val="left" w:pos="3600"/>
          <w:tab w:val="left" w:pos="4320"/>
        </w:tabs>
        <w:autoSpaceDE w:val="0"/>
        <w:autoSpaceDN w:val="0"/>
        <w:adjustRightInd w:val="0"/>
        <w:rPr>
          <w:rFonts w:ascii="Times New Roman" w:hAnsi="Times New Roman"/>
          <w:szCs w:val="24"/>
        </w:rPr>
      </w:pPr>
      <w:r>
        <w:rPr>
          <w:rFonts w:ascii="Times New Roman" w:hAnsi="Times New Roman"/>
        </w:rPr>
        <w:tab/>
      </w:r>
      <w:r w:rsidR="007837D1">
        <w:rPr>
          <w:rFonts w:ascii="Times New Roman" w:hAnsi="Times New Roman"/>
        </w:rPr>
        <w:t>O</w:t>
      </w:r>
      <w:r w:rsidR="007837D1" w:rsidRPr="00F651DE">
        <w:rPr>
          <w:rFonts w:ascii="Times New Roman" w:hAnsi="Times New Roman"/>
        </w:rPr>
        <w:t xml:space="preserve">n August 25, 2011, the Federal Reserve published a notice in the </w:t>
      </w:r>
      <w:r w:rsidR="007837D1" w:rsidRPr="00F651DE">
        <w:rPr>
          <w:rFonts w:ascii="Times New Roman" w:hAnsi="Times New Roman"/>
          <w:i/>
        </w:rPr>
        <w:t>Federal Register</w:t>
      </w:r>
      <w:r w:rsidR="007837D1" w:rsidRPr="00F651DE">
        <w:rPr>
          <w:rFonts w:ascii="Times New Roman" w:hAnsi="Times New Roman"/>
        </w:rPr>
        <w:t xml:space="preserve"> (76 FR 53129) requesting public comment for 60 days on the extension without revision of several </w:t>
      </w:r>
      <w:r w:rsidR="0014131A">
        <w:rPr>
          <w:rFonts w:ascii="Times New Roman" w:hAnsi="Times New Roman"/>
        </w:rPr>
        <w:t>BHC</w:t>
      </w:r>
      <w:r w:rsidR="007837D1" w:rsidRPr="00F651DE">
        <w:rPr>
          <w:rFonts w:ascii="Times New Roman" w:hAnsi="Times New Roman"/>
        </w:rPr>
        <w:t xml:space="preserve"> regulatory reports.</w:t>
      </w:r>
      <w:r w:rsidR="00023563">
        <w:rPr>
          <w:rFonts w:ascii="Times New Roman" w:hAnsi="Times New Roman"/>
        </w:rPr>
        <w:t xml:space="preserve"> </w:t>
      </w:r>
      <w:r w:rsidR="00F651DE" w:rsidRPr="00F651DE">
        <w:rPr>
          <w:rFonts w:ascii="Times New Roman" w:hAnsi="Times New Roman"/>
        </w:rPr>
        <w:t>The comment period for th</w:t>
      </w:r>
      <w:r w:rsidR="005E741C">
        <w:rPr>
          <w:rFonts w:ascii="Times New Roman" w:hAnsi="Times New Roman"/>
        </w:rPr>
        <w:t xml:space="preserve">e </w:t>
      </w:r>
      <w:r w:rsidR="00F651DE" w:rsidRPr="00F651DE">
        <w:rPr>
          <w:rFonts w:ascii="Times New Roman" w:hAnsi="Times New Roman"/>
        </w:rPr>
        <w:t>notice expired on November</w:t>
      </w:r>
      <w:r w:rsidR="008B274B">
        <w:rPr>
          <w:rFonts w:ascii="Times New Roman" w:hAnsi="Times New Roman"/>
        </w:rPr>
        <w:t xml:space="preserve"> 1, </w:t>
      </w:r>
      <w:r w:rsidR="008B274B">
        <w:rPr>
          <w:rFonts w:ascii="Times New Roman" w:hAnsi="Times New Roman"/>
        </w:rPr>
        <w:lastRenderedPageBreak/>
        <w:t xml:space="preserve">2011.  </w:t>
      </w:r>
      <w:r w:rsidR="008B274B">
        <w:rPr>
          <w:rFonts w:ascii="Times New Roman" w:hAnsi="Times New Roman"/>
          <w:color w:val="000000"/>
          <w:szCs w:val="24"/>
        </w:rPr>
        <w:t xml:space="preserve">The </w:t>
      </w:r>
      <w:r w:rsidR="00F651DE">
        <w:rPr>
          <w:rFonts w:ascii="Times New Roman" w:hAnsi="Times New Roman"/>
          <w:color w:val="000000"/>
          <w:szCs w:val="24"/>
        </w:rPr>
        <w:t>Federal Reserve</w:t>
      </w:r>
      <w:r w:rsidR="00F651DE" w:rsidRPr="00F651DE">
        <w:rPr>
          <w:rFonts w:ascii="Times New Roman" w:hAnsi="Times New Roman"/>
          <w:color w:val="000000"/>
          <w:szCs w:val="24"/>
        </w:rPr>
        <w:t xml:space="preserve"> received 17</w:t>
      </w:r>
      <w:r w:rsidR="00F651DE" w:rsidRPr="00F651DE">
        <w:rPr>
          <w:rFonts w:ascii="Times New Roman" w:hAnsi="Times New Roman"/>
          <w:bCs/>
          <w:szCs w:val="24"/>
        </w:rPr>
        <w:t xml:space="preserve"> comment letters</w:t>
      </w:r>
      <w:r w:rsidR="00F651DE">
        <w:rPr>
          <w:rFonts w:ascii="Times New Roman" w:hAnsi="Times New Roman"/>
          <w:bCs/>
          <w:szCs w:val="24"/>
        </w:rPr>
        <w:t xml:space="preserve"> on the proposed revisions </w:t>
      </w:r>
      <w:r w:rsidR="00F651DE" w:rsidRPr="00F651DE">
        <w:rPr>
          <w:rFonts w:ascii="Times New Roman" w:hAnsi="Times New Roman"/>
          <w:szCs w:val="24"/>
        </w:rPr>
        <w:t>to require SLHCs to submit the same reports as</w:t>
      </w:r>
      <w:r w:rsidR="00F651DE">
        <w:rPr>
          <w:rFonts w:ascii="Times New Roman" w:hAnsi="Times New Roman"/>
          <w:szCs w:val="24"/>
        </w:rPr>
        <w:t xml:space="preserve"> BHCs</w:t>
      </w:r>
      <w:r w:rsidR="00F651DE" w:rsidRPr="00F651DE">
        <w:rPr>
          <w:rFonts w:ascii="Times New Roman" w:hAnsi="Times New Roman"/>
          <w:szCs w:val="24"/>
        </w:rPr>
        <w:t>, beginning with the March 31, 2012, reporting period</w:t>
      </w:r>
      <w:r w:rsidR="00F651DE" w:rsidRPr="00F651DE">
        <w:rPr>
          <w:rFonts w:ascii="Times New Roman" w:hAnsi="Times New Roman"/>
        </w:rPr>
        <w:t xml:space="preserve">: </w:t>
      </w:r>
      <w:r w:rsidR="00F651DE" w:rsidRPr="00F651DE">
        <w:rPr>
          <w:rFonts w:ascii="Times New Roman" w:hAnsi="Times New Roman"/>
          <w:bCs/>
          <w:szCs w:val="24"/>
        </w:rPr>
        <w:t xml:space="preserve">five from trade associations (one of these letters was co-authored by two trade groups), three from commercial companies, two </w:t>
      </w:r>
      <w:r w:rsidR="00F651DE">
        <w:rPr>
          <w:rFonts w:ascii="Times New Roman" w:hAnsi="Times New Roman"/>
          <w:bCs/>
          <w:szCs w:val="24"/>
        </w:rPr>
        <w:t xml:space="preserve">from </w:t>
      </w:r>
      <w:r w:rsidR="00F651DE" w:rsidRPr="00F651DE">
        <w:rPr>
          <w:rFonts w:ascii="Times New Roman" w:hAnsi="Times New Roman"/>
          <w:bCs/>
          <w:szCs w:val="24"/>
        </w:rPr>
        <w:t xml:space="preserve">law firms, four </w:t>
      </w:r>
      <w:r w:rsidR="00F651DE">
        <w:rPr>
          <w:rFonts w:ascii="Times New Roman" w:hAnsi="Times New Roman"/>
          <w:bCs/>
          <w:szCs w:val="24"/>
        </w:rPr>
        <w:t xml:space="preserve">from </w:t>
      </w:r>
      <w:r w:rsidR="00F651DE" w:rsidRPr="00F651DE">
        <w:rPr>
          <w:rFonts w:ascii="Times New Roman" w:hAnsi="Times New Roman"/>
          <w:bCs/>
          <w:szCs w:val="24"/>
        </w:rPr>
        <w:t xml:space="preserve">insurance companies, and three </w:t>
      </w:r>
      <w:r w:rsidR="00F651DE">
        <w:rPr>
          <w:rFonts w:ascii="Times New Roman" w:hAnsi="Times New Roman"/>
          <w:bCs/>
          <w:szCs w:val="24"/>
        </w:rPr>
        <w:t xml:space="preserve">from </w:t>
      </w:r>
      <w:r w:rsidR="00F651DE" w:rsidRPr="00F651DE">
        <w:rPr>
          <w:rFonts w:ascii="Times New Roman" w:hAnsi="Times New Roman"/>
          <w:bCs/>
          <w:szCs w:val="24"/>
        </w:rPr>
        <w:t>financial services companies (one of these letters represented seven financial services companies).</w:t>
      </w:r>
      <w:r w:rsidR="005E741C">
        <w:rPr>
          <w:rFonts w:ascii="Times New Roman" w:hAnsi="Times New Roman"/>
          <w:szCs w:val="24"/>
        </w:rPr>
        <w:t xml:space="preserve">  </w:t>
      </w:r>
      <w:r w:rsidR="005E741C" w:rsidRPr="00F651DE">
        <w:rPr>
          <w:rFonts w:ascii="Times New Roman" w:hAnsi="Times New Roman"/>
        </w:rPr>
        <w:t xml:space="preserve">The majority of the public comments addressed the two proposed exemptions for certain SLHCs from initially reporting most Federal Reserve regulatory reports.  Other comments requested delayed implementation, exemption from the FR Y-6 reporting requirements and BHC capital reporting, and submission of regulatory reports based on fiscal year basis instead of a calendar year basis.  </w:t>
      </w:r>
    </w:p>
    <w:p w:rsidR="005E741C" w:rsidRDefault="005E741C" w:rsidP="00F651DE">
      <w:pPr>
        <w:widowControl/>
        <w:tabs>
          <w:tab w:val="left" w:pos="-720"/>
          <w:tab w:val="left" w:pos="0"/>
          <w:tab w:val="left" w:pos="720"/>
          <w:tab w:val="left" w:pos="1440"/>
          <w:tab w:val="left" w:pos="2160"/>
          <w:tab w:val="left" w:pos="2880"/>
          <w:tab w:val="left" w:pos="3600"/>
          <w:tab w:val="left" w:pos="4320"/>
        </w:tabs>
        <w:autoSpaceDE w:val="0"/>
        <w:autoSpaceDN w:val="0"/>
        <w:adjustRightInd w:val="0"/>
        <w:rPr>
          <w:rFonts w:ascii="Times New Roman" w:hAnsi="Times New Roman"/>
          <w:szCs w:val="24"/>
        </w:rPr>
      </w:pPr>
    </w:p>
    <w:p w:rsidR="00990FC9" w:rsidRDefault="00F651DE">
      <w:pPr>
        <w:autoSpaceDE w:val="0"/>
        <w:autoSpaceDN w:val="0"/>
        <w:adjustRightInd w:val="0"/>
        <w:ind w:firstLine="720"/>
        <w:rPr>
          <w:rFonts w:ascii="Times New Roman" w:hAnsi="Times New Roman"/>
          <w:szCs w:val="24"/>
        </w:rPr>
      </w:pPr>
      <w:r w:rsidRPr="00EB4241">
        <w:rPr>
          <w:rFonts w:ascii="Times New Roman" w:hAnsi="Times New Roman"/>
        </w:rPr>
        <w:t xml:space="preserve">On </w:t>
      </w:r>
      <w:r>
        <w:rPr>
          <w:rFonts w:ascii="Times New Roman" w:hAnsi="Times New Roman"/>
        </w:rPr>
        <w:t>December 29, 2011</w:t>
      </w:r>
      <w:r w:rsidRPr="00EB4241">
        <w:rPr>
          <w:rFonts w:ascii="Times New Roman" w:hAnsi="Times New Roman"/>
        </w:rPr>
        <w:t xml:space="preserve">, the Federal Reserve published a final notice in the </w:t>
      </w:r>
      <w:r w:rsidRPr="00EB4241">
        <w:rPr>
          <w:rFonts w:ascii="Times New Roman" w:hAnsi="Times New Roman"/>
          <w:i/>
        </w:rPr>
        <w:t>Federal Register</w:t>
      </w:r>
      <w:r w:rsidRPr="00EB4241">
        <w:rPr>
          <w:rFonts w:ascii="Times New Roman" w:hAnsi="Times New Roman"/>
        </w:rPr>
        <w:t xml:space="preserve"> (76 FR </w:t>
      </w:r>
      <w:r>
        <w:rPr>
          <w:rFonts w:ascii="Times New Roman" w:hAnsi="Times New Roman"/>
        </w:rPr>
        <w:t>81933</w:t>
      </w:r>
      <w:r w:rsidRPr="00EB4241">
        <w:rPr>
          <w:rFonts w:ascii="Times New Roman" w:hAnsi="Times New Roman"/>
        </w:rPr>
        <w:t>) on the</w:t>
      </w:r>
      <w:r w:rsidRPr="00EB4241">
        <w:rPr>
          <w:rFonts w:ascii="Times New Roman" w:hAnsi="Times New Roman"/>
          <w:b/>
          <w:bCs/>
          <w:snapToGrid/>
          <w:szCs w:val="24"/>
        </w:rPr>
        <w:t xml:space="preserve"> </w:t>
      </w:r>
      <w:r>
        <w:rPr>
          <w:rFonts w:ascii="Times New Roman" w:hAnsi="Times New Roman"/>
        </w:rPr>
        <w:t xml:space="preserve">several </w:t>
      </w:r>
      <w:r w:rsidR="0014131A">
        <w:rPr>
          <w:rFonts w:ascii="Times New Roman" w:hAnsi="Times New Roman"/>
        </w:rPr>
        <w:t>BHC</w:t>
      </w:r>
      <w:r>
        <w:rPr>
          <w:rFonts w:ascii="Times New Roman" w:hAnsi="Times New Roman"/>
        </w:rPr>
        <w:t xml:space="preserve"> regulatory reports</w:t>
      </w:r>
      <w:r w:rsidRPr="00EB4241">
        <w:rPr>
          <w:rFonts w:ascii="Times New Roman" w:hAnsi="Times New Roman"/>
        </w:rPr>
        <w:t>, including a more detailed discussion of the comments received.</w:t>
      </w:r>
    </w:p>
    <w:p w:rsidR="00455CDE" w:rsidRDefault="00455CDE">
      <w:pPr>
        <w:keepNext/>
        <w:keepLines/>
        <w:widowControl/>
        <w:rPr>
          <w:rFonts w:ascii="Times New Roman" w:hAnsi="Times New Roman"/>
          <w:b/>
          <w:szCs w:val="24"/>
        </w:rPr>
      </w:pPr>
    </w:p>
    <w:p w:rsidR="00061552" w:rsidRPr="00B370BE" w:rsidRDefault="00061552">
      <w:pPr>
        <w:keepNext/>
        <w:keepLines/>
        <w:widowControl/>
        <w:rPr>
          <w:rFonts w:ascii="Times New Roman" w:hAnsi="Times New Roman"/>
          <w:szCs w:val="24"/>
        </w:rPr>
      </w:pPr>
      <w:r w:rsidRPr="00B370BE">
        <w:rPr>
          <w:rFonts w:ascii="Times New Roman" w:hAnsi="Times New Roman"/>
          <w:b/>
          <w:szCs w:val="24"/>
        </w:rPr>
        <w:t>Sensitive Questions</w:t>
      </w:r>
    </w:p>
    <w:p w:rsidR="00061552" w:rsidRPr="00B370BE" w:rsidRDefault="00061552">
      <w:pPr>
        <w:keepNext/>
        <w:keepLines/>
        <w:widowControl/>
        <w:rPr>
          <w:rFonts w:ascii="Times New Roman" w:hAnsi="Times New Roman"/>
          <w:szCs w:val="24"/>
        </w:rPr>
      </w:pPr>
    </w:p>
    <w:p w:rsidR="00061552" w:rsidRPr="00B370BE" w:rsidRDefault="00061552">
      <w:pPr>
        <w:keepNext/>
        <w:keepLines/>
        <w:widowControl/>
        <w:ind w:firstLine="720"/>
        <w:rPr>
          <w:rFonts w:ascii="Times New Roman" w:hAnsi="Times New Roman"/>
          <w:szCs w:val="24"/>
        </w:rPr>
      </w:pPr>
      <w:r w:rsidRPr="00B370BE">
        <w:rPr>
          <w:rFonts w:ascii="Times New Roman" w:hAnsi="Times New Roman"/>
          <w:szCs w:val="24"/>
        </w:rPr>
        <w:t>Th</w:t>
      </w:r>
      <w:r w:rsidR="009F67EF" w:rsidRPr="00B370BE">
        <w:rPr>
          <w:rFonts w:ascii="Times New Roman" w:hAnsi="Times New Roman"/>
          <w:szCs w:val="24"/>
        </w:rPr>
        <w:t>ese</w:t>
      </w:r>
      <w:r w:rsidRPr="00B370BE">
        <w:rPr>
          <w:rFonts w:ascii="Times New Roman" w:hAnsi="Times New Roman"/>
          <w:szCs w:val="24"/>
        </w:rPr>
        <w:t xml:space="preserve"> collection</w:t>
      </w:r>
      <w:r w:rsidR="009F67EF" w:rsidRPr="00B370BE">
        <w:rPr>
          <w:rFonts w:ascii="Times New Roman" w:hAnsi="Times New Roman"/>
          <w:szCs w:val="24"/>
        </w:rPr>
        <w:t>s</w:t>
      </w:r>
      <w:r w:rsidRPr="00B370BE">
        <w:rPr>
          <w:rFonts w:ascii="Times New Roman" w:hAnsi="Times New Roman"/>
          <w:szCs w:val="24"/>
        </w:rPr>
        <w:t xml:space="preserve"> of information contain no questions of a sensitive nature, as defined by OMB guidelines. </w:t>
      </w:r>
    </w:p>
    <w:p w:rsidR="00061552" w:rsidRPr="00B370BE" w:rsidRDefault="00061552">
      <w:pPr>
        <w:keepNext/>
        <w:keepLines/>
        <w:widowControl/>
        <w:rPr>
          <w:rFonts w:ascii="Times New Roman" w:hAnsi="Times New Roman"/>
          <w:szCs w:val="24"/>
        </w:rPr>
      </w:pPr>
    </w:p>
    <w:p w:rsidR="00061552" w:rsidRPr="00B370BE" w:rsidRDefault="00061552">
      <w:pPr>
        <w:widowControl/>
        <w:rPr>
          <w:rFonts w:ascii="Times New Roman" w:hAnsi="Times New Roman"/>
          <w:szCs w:val="24"/>
        </w:rPr>
      </w:pPr>
      <w:r w:rsidRPr="00B370BE">
        <w:rPr>
          <w:rFonts w:ascii="Times New Roman" w:hAnsi="Times New Roman"/>
          <w:b/>
          <w:szCs w:val="24"/>
        </w:rPr>
        <w:t>Estimates of Respondent Burden</w:t>
      </w:r>
    </w:p>
    <w:p w:rsidR="00F1572E" w:rsidRDefault="00F1572E" w:rsidP="00F1572E">
      <w:pPr>
        <w:pStyle w:val="CommentText"/>
        <w:rPr>
          <w:rFonts w:ascii="Times New Roman" w:hAnsi="Times New Roman"/>
          <w:color w:val="000000"/>
          <w:szCs w:val="24"/>
        </w:rPr>
      </w:pPr>
    </w:p>
    <w:p w:rsidR="002A0D13" w:rsidRPr="00B370BE" w:rsidRDefault="002A0D13" w:rsidP="00F1572E">
      <w:pPr>
        <w:ind w:firstLine="720"/>
        <w:rPr>
          <w:rFonts w:ascii="Times New Roman" w:hAnsi="Times New Roman"/>
          <w:szCs w:val="24"/>
        </w:rPr>
      </w:pPr>
      <w:r w:rsidRPr="00B370BE">
        <w:rPr>
          <w:rFonts w:ascii="Times New Roman" w:hAnsi="Times New Roman"/>
          <w:color w:val="000000"/>
          <w:szCs w:val="24"/>
        </w:rPr>
        <w:t xml:space="preserve">The Federal Reserve acknowledges there would be initial increased burden in converting to the financial reports required to be filed by </w:t>
      </w:r>
      <w:r>
        <w:rPr>
          <w:rFonts w:ascii="Times New Roman" w:hAnsi="Times New Roman"/>
          <w:color w:val="000000"/>
          <w:szCs w:val="24"/>
        </w:rPr>
        <w:t xml:space="preserve">SLHCs </w:t>
      </w:r>
      <w:r w:rsidRPr="00B370BE">
        <w:rPr>
          <w:rFonts w:ascii="Times New Roman" w:hAnsi="Times New Roman"/>
          <w:color w:val="000000"/>
          <w:szCs w:val="24"/>
        </w:rPr>
        <w:t>but believes there would be long-term efficiencies.  To reduce the initial burden the Federal Reserve plans to provide outreach to the thrift industry to address questions.  Additionally, for March 31, 2012, reporting date, SLHCs may provide reasonable estimates for any new financial reports for which the required information is not readily available.</w:t>
      </w:r>
    </w:p>
    <w:p w:rsidR="002A0D13" w:rsidRPr="00B370BE" w:rsidRDefault="002A0D13">
      <w:pPr>
        <w:widowControl/>
        <w:rPr>
          <w:rFonts w:ascii="Times New Roman" w:hAnsi="Times New Roman"/>
          <w:szCs w:val="24"/>
        </w:rPr>
      </w:pPr>
    </w:p>
    <w:p w:rsidR="00460AAE" w:rsidRPr="00023710" w:rsidRDefault="00460AAE" w:rsidP="0097766B">
      <w:pPr>
        <w:widowControl/>
        <w:ind w:firstLine="720"/>
        <w:rPr>
          <w:rFonts w:ascii="Times New Roman" w:hAnsi="Times New Roman"/>
          <w:szCs w:val="24"/>
        </w:rPr>
      </w:pPr>
      <w:r w:rsidRPr="00B370BE">
        <w:rPr>
          <w:rFonts w:ascii="Times New Roman" w:hAnsi="Times New Roman"/>
          <w:szCs w:val="24"/>
        </w:rPr>
        <w:t>The only change to the burden estimates for each of these reports is an increase in the number of respondents due to the addition of SLHCs to the respondent panels.  The increase in the respondent panels for the FR Y-9 family of report</w:t>
      </w:r>
      <w:r w:rsidR="00023710">
        <w:rPr>
          <w:rFonts w:ascii="Times New Roman" w:hAnsi="Times New Roman"/>
          <w:szCs w:val="24"/>
        </w:rPr>
        <w:t>s,</w:t>
      </w:r>
      <w:r w:rsidR="00F1572E">
        <w:rPr>
          <w:rFonts w:ascii="Times New Roman" w:hAnsi="Times New Roman"/>
          <w:szCs w:val="24"/>
        </w:rPr>
        <w:t xml:space="preserve"> </w:t>
      </w:r>
      <w:r w:rsidRPr="00B370BE">
        <w:rPr>
          <w:rFonts w:ascii="Times New Roman" w:hAnsi="Times New Roman"/>
          <w:szCs w:val="24"/>
        </w:rPr>
        <w:t>FR Y-8</w:t>
      </w:r>
      <w:r w:rsidR="00023710">
        <w:rPr>
          <w:rFonts w:ascii="Times New Roman" w:hAnsi="Times New Roman"/>
          <w:szCs w:val="24"/>
        </w:rPr>
        <w:t>, FR Y-6, FR Y-7, FR Y-7Q, and FR Y-12/12A</w:t>
      </w:r>
      <w:r w:rsidRPr="00B370BE">
        <w:rPr>
          <w:rFonts w:ascii="Times New Roman" w:hAnsi="Times New Roman"/>
          <w:szCs w:val="24"/>
        </w:rPr>
        <w:t xml:space="preserve"> report</w:t>
      </w:r>
      <w:r w:rsidR="00023710">
        <w:rPr>
          <w:rFonts w:ascii="Times New Roman" w:hAnsi="Times New Roman"/>
          <w:szCs w:val="24"/>
        </w:rPr>
        <w:t>s</w:t>
      </w:r>
      <w:r w:rsidRPr="00B370BE">
        <w:rPr>
          <w:rFonts w:ascii="Times New Roman" w:hAnsi="Times New Roman"/>
          <w:szCs w:val="24"/>
        </w:rPr>
        <w:t xml:space="preserve"> were based on </w:t>
      </w:r>
      <w:r w:rsidR="00023710">
        <w:rPr>
          <w:rFonts w:ascii="Times New Roman" w:hAnsi="Times New Roman"/>
          <w:szCs w:val="24"/>
        </w:rPr>
        <w:t xml:space="preserve">estimated </w:t>
      </w:r>
      <w:r w:rsidRPr="00B370BE">
        <w:rPr>
          <w:rFonts w:ascii="Times New Roman" w:hAnsi="Times New Roman"/>
          <w:szCs w:val="24"/>
        </w:rPr>
        <w:t>number</w:t>
      </w:r>
      <w:r w:rsidR="00023710">
        <w:rPr>
          <w:rFonts w:ascii="Times New Roman" w:hAnsi="Times New Roman"/>
          <w:szCs w:val="24"/>
        </w:rPr>
        <w:t>s</w:t>
      </w:r>
      <w:r w:rsidRPr="00B370BE">
        <w:rPr>
          <w:rFonts w:ascii="Times New Roman" w:hAnsi="Times New Roman"/>
          <w:szCs w:val="24"/>
        </w:rPr>
        <w:t xml:space="preserve"> of SLHCs</w:t>
      </w:r>
      <w:r w:rsidR="00023710">
        <w:rPr>
          <w:rFonts w:ascii="Times New Roman" w:hAnsi="Times New Roman"/>
          <w:szCs w:val="24"/>
        </w:rPr>
        <w:t>.</w:t>
      </w:r>
      <w:r w:rsidRPr="00B370BE">
        <w:rPr>
          <w:rFonts w:ascii="Times New Roman" w:hAnsi="Times New Roman"/>
          <w:szCs w:val="24"/>
        </w:rPr>
        <w:t xml:space="preserve">  The increase in the respondent panels for the FR Y-11/S, FR 2314/S, FR Y-</w:t>
      </w:r>
      <w:r w:rsidR="00023710">
        <w:rPr>
          <w:rFonts w:ascii="Times New Roman" w:hAnsi="Times New Roman"/>
          <w:szCs w:val="24"/>
        </w:rPr>
        <w:t>7N/NS</w:t>
      </w:r>
      <w:r w:rsidRPr="00B370BE">
        <w:rPr>
          <w:rFonts w:ascii="Times New Roman" w:hAnsi="Times New Roman"/>
          <w:szCs w:val="24"/>
        </w:rPr>
        <w:t xml:space="preserve"> were estimated assuming that large and small SLHCs will hold similar percentages of nonbank subsidiaries as large and small BHCs hold.  </w:t>
      </w:r>
    </w:p>
    <w:p w:rsidR="006D53E2" w:rsidRDefault="006D53E2" w:rsidP="00023563">
      <w:pPr>
        <w:widowControl/>
        <w:rPr>
          <w:rFonts w:ascii="Times New Roman" w:hAnsi="Times New Roman"/>
          <w:b/>
          <w:szCs w:val="24"/>
        </w:rPr>
      </w:pPr>
    </w:p>
    <w:p w:rsidR="00E7246A" w:rsidRDefault="00E7246A">
      <w:pPr>
        <w:widowControl/>
        <w:rPr>
          <w:rFonts w:ascii="Times New Roman" w:hAnsi="Times New Roman"/>
          <w:b/>
          <w:szCs w:val="24"/>
        </w:rPr>
      </w:pPr>
      <w:r>
        <w:rPr>
          <w:rFonts w:ascii="Times New Roman" w:hAnsi="Times New Roman"/>
          <w:b/>
          <w:szCs w:val="24"/>
        </w:rPr>
        <w:br w:type="page"/>
      </w:r>
    </w:p>
    <w:p w:rsidR="00E46321" w:rsidRPr="00052285" w:rsidRDefault="006D53E2" w:rsidP="00023563">
      <w:pPr>
        <w:widowControl/>
        <w:rPr>
          <w:rFonts w:ascii="Times New Roman" w:hAnsi="Times New Roman"/>
          <w:b/>
          <w:szCs w:val="24"/>
        </w:rPr>
      </w:pPr>
      <w:r>
        <w:rPr>
          <w:rFonts w:ascii="Times New Roman" w:hAnsi="Times New Roman"/>
          <w:b/>
          <w:szCs w:val="24"/>
        </w:rPr>
        <w:lastRenderedPageBreak/>
        <w:tab/>
      </w:r>
      <w:r w:rsidR="00E46321" w:rsidRPr="00052285">
        <w:rPr>
          <w:rFonts w:ascii="Times New Roman" w:hAnsi="Times New Roman"/>
          <w:b/>
          <w:szCs w:val="24"/>
        </w:rPr>
        <w:t>FR Y-9 family of reports</w:t>
      </w:r>
    </w:p>
    <w:p w:rsidR="00E46321" w:rsidRPr="00B370BE" w:rsidRDefault="00E46321" w:rsidP="00E46321">
      <w:pPr>
        <w:widowControl/>
        <w:rPr>
          <w:rFonts w:ascii="Times New Roman" w:hAnsi="Times New Roman"/>
          <w:szCs w:val="24"/>
        </w:rPr>
      </w:pPr>
      <w:r w:rsidRPr="00B370BE">
        <w:rPr>
          <w:rFonts w:ascii="Times New Roman" w:hAnsi="Times New Roman"/>
          <w:szCs w:val="24"/>
        </w:rPr>
        <w:tab/>
      </w:r>
    </w:p>
    <w:p w:rsidR="00E46321" w:rsidRDefault="00E46321" w:rsidP="00E46321">
      <w:pPr>
        <w:rPr>
          <w:rFonts w:ascii="Times New Roman" w:hAnsi="Times New Roman"/>
          <w:szCs w:val="24"/>
        </w:rPr>
      </w:pPr>
      <w:r>
        <w:rPr>
          <w:rFonts w:ascii="Times New Roman" w:hAnsi="Times New Roman"/>
          <w:szCs w:val="24"/>
        </w:rPr>
        <w:tab/>
      </w:r>
      <w:r w:rsidRPr="00B370BE">
        <w:rPr>
          <w:rFonts w:ascii="Times New Roman" w:hAnsi="Times New Roman"/>
          <w:szCs w:val="24"/>
        </w:rPr>
        <w:t xml:space="preserve">As shown in the following table, </w:t>
      </w:r>
      <w:r>
        <w:rPr>
          <w:rFonts w:ascii="Times New Roman" w:hAnsi="Times New Roman"/>
          <w:szCs w:val="24"/>
        </w:rPr>
        <w:t>t</w:t>
      </w:r>
      <w:r w:rsidRPr="00B370BE">
        <w:rPr>
          <w:rFonts w:ascii="Times New Roman" w:hAnsi="Times New Roman"/>
          <w:szCs w:val="24"/>
        </w:rPr>
        <w:t xml:space="preserve">he current annual reporting burden for the FR Y-9 family of reports is estimated to be </w:t>
      </w:r>
      <w:r w:rsidR="006D53E2">
        <w:rPr>
          <w:rFonts w:ascii="Times New Roman" w:hAnsi="Times New Roman"/>
          <w:szCs w:val="24"/>
        </w:rPr>
        <w:t>257,036</w:t>
      </w:r>
      <w:r>
        <w:rPr>
          <w:rFonts w:ascii="Times New Roman" w:hAnsi="Times New Roman"/>
          <w:szCs w:val="24"/>
        </w:rPr>
        <w:t xml:space="preserve"> hours and would increase to </w:t>
      </w:r>
      <w:r w:rsidR="006D53E2">
        <w:rPr>
          <w:rFonts w:ascii="Times New Roman" w:hAnsi="Times New Roman"/>
          <w:szCs w:val="24"/>
        </w:rPr>
        <w:t>290,166</w:t>
      </w:r>
      <w:r>
        <w:rPr>
          <w:rFonts w:ascii="Times New Roman" w:hAnsi="Times New Roman"/>
          <w:szCs w:val="24"/>
        </w:rPr>
        <w:t xml:space="preserve"> </w:t>
      </w:r>
      <w:r w:rsidRPr="00B370BE">
        <w:rPr>
          <w:rFonts w:ascii="Times New Roman" w:hAnsi="Times New Roman"/>
          <w:szCs w:val="24"/>
        </w:rPr>
        <w:t>hours</w:t>
      </w:r>
      <w:r>
        <w:rPr>
          <w:rFonts w:ascii="Times New Roman" w:hAnsi="Times New Roman"/>
          <w:szCs w:val="24"/>
        </w:rPr>
        <w:t>, effective 2012</w:t>
      </w:r>
      <w:r w:rsidRPr="00B370BE">
        <w:rPr>
          <w:rFonts w:ascii="Times New Roman" w:hAnsi="Times New Roman"/>
          <w:szCs w:val="24"/>
        </w:rPr>
        <w:t xml:space="preserve">. </w:t>
      </w:r>
      <w:r w:rsidR="00E7246A">
        <w:rPr>
          <w:rFonts w:ascii="Times New Roman" w:hAnsi="Times New Roman"/>
          <w:szCs w:val="24"/>
        </w:rPr>
        <w:t xml:space="preserve"> </w:t>
      </w:r>
      <w:r>
        <w:rPr>
          <w:rFonts w:ascii="Times New Roman" w:hAnsi="Times New Roman"/>
          <w:szCs w:val="24"/>
        </w:rPr>
        <w:t xml:space="preserve">The estimated </w:t>
      </w:r>
      <w:r w:rsidRPr="00B370BE">
        <w:rPr>
          <w:rFonts w:ascii="Times New Roman" w:hAnsi="Times New Roman"/>
          <w:szCs w:val="24"/>
        </w:rPr>
        <w:t>annual burden for the FR Y-9 family of repo</w:t>
      </w:r>
      <w:r>
        <w:rPr>
          <w:rFonts w:ascii="Times New Roman" w:hAnsi="Times New Roman"/>
          <w:szCs w:val="24"/>
        </w:rPr>
        <w:t xml:space="preserve">rts represents less than 3 </w:t>
      </w:r>
      <w:r w:rsidRPr="00B370BE">
        <w:rPr>
          <w:rFonts w:ascii="Times New Roman" w:hAnsi="Times New Roman"/>
          <w:szCs w:val="24"/>
        </w:rPr>
        <w:t>percent of total Federal Reserve System paperwork burden.</w:t>
      </w:r>
    </w:p>
    <w:p w:rsidR="00E46321" w:rsidRPr="00B370BE" w:rsidRDefault="00E46321" w:rsidP="00E46321">
      <w:pPr>
        <w:widowControl/>
        <w:ind w:firstLine="720"/>
        <w:rPr>
          <w:rFonts w:ascii="Times New Roman" w:hAnsi="Times New Roman"/>
          <w:szCs w:val="24"/>
        </w:rPr>
      </w:pPr>
    </w:p>
    <w:tbl>
      <w:tblPr>
        <w:tblW w:w="0" w:type="auto"/>
        <w:jc w:val="center"/>
        <w:tblInd w:w="18" w:type="dxa"/>
        <w:tblBorders>
          <w:top w:val="single" w:sz="4" w:space="0" w:color="auto"/>
          <w:bottom w:val="single" w:sz="4" w:space="0" w:color="auto"/>
        </w:tblBorders>
        <w:tblLayout w:type="fixed"/>
        <w:tblLook w:val="01E0"/>
      </w:tblPr>
      <w:tblGrid>
        <w:gridCol w:w="2880"/>
        <w:gridCol w:w="1625"/>
        <w:gridCol w:w="1625"/>
        <w:gridCol w:w="1625"/>
        <w:gridCol w:w="1625"/>
      </w:tblGrid>
      <w:tr w:rsidR="00E46321" w:rsidRPr="00B370BE" w:rsidTr="007268E6">
        <w:trPr>
          <w:jc w:val="center"/>
        </w:trPr>
        <w:tc>
          <w:tcPr>
            <w:tcW w:w="2880" w:type="dxa"/>
            <w:tcBorders>
              <w:top w:val="single" w:sz="4" w:space="0" w:color="auto"/>
              <w:bottom w:val="single" w:sz="4" w:space="0" w:color="auto"/>
            </w:tcBorders>
            <w:vAlign w:val="bottom"/>
          </w:tcPr>
          <w:p w:rsidR="00E46321" w:rsidRPr="00B370BE" w:rsidRDefault="00E46321" w:rsidP="007268E6">
            <w:pPr>
              <w:widowControl/>
              <w:rPr>
                <w:rFonts w:ascii="Times New Roman" w:hAnsi="Times New Roman"/>
                <w:szCs w:val="24"/>
              </w:rPr>
            </w:pPr>
            <w:r w:rsidRPr="00B370BE">
              <w:rPr>
                <w:rFonts w:ascii="Times New Roman" w:hAnsi="Times New Roman"/>
                <w:szCs w:val="24"/>
              </w:rPr>
              <w:br w:type="page"/>
            </w:r>
          </w:p>
        </w:tc>
        <w:tc>
          <w:tcPr>
            <w:tcW w:w="1625" w:type="dxa"/>
            <w:tcBorders>
              <w:top w:val="single" w:sz="4" w:space="0" w:color="auto"/>
              <w:bottom w:val="single" w:sz="4" w:space="0" w:color="auto"/>
            </w:tcBorders>
            <w:vAlign w:val="bottom"/>
          </w:tcPr>
          <w:p w:rsidR="00E46321" w:rsidRPr="00B370BE" w:rsidRDefault="00E46321" w:rsidP="007268E6">
            <w:pPr>
              <w:widowControl/>
              <w:tabs>
                <w:tab w:val="left" w:pos="720"/>
              </w:tabs>
              <w:jc w:val="center"/>
              <w:rPr>
                <w:rFonts w:ascii="Times New Roman" w:hAnsi="Times New Roman"/>
                <w:i/>
                <w:szCs w:val="24"/>
              </w:rPr>
            </w:pPr>
            <w:r w:rsidRPr="00B370BE">
              <w:rPr>
                <w:rFonts w:ascii="Times New Roman" w:hAnsi="Times New Roman"/>
                <w:i/>
                <w:szCs w:val="24"/>
              </w:rPr>
              <w:t>Number</w:t>
            </w:r>
          </w:p>
          <w:p w:rsidR="00E46321" w:rsidRPr="00B370BE" w:rsidRDefault="00E46321" w:rsidP="007268E6">
            <w:pPr>
              <w:widowControl/>
              <w:tabs>
                <w:tab w:val="left" w:pos="720"/>
              </w:tabs>
              <w:jc w:val="center"/>
              <w:rPr>
                <w:rFonts w:ascii="Times New Roman" w:hAnsi="Times New Roman"/>
                <w:i/>
                <w:szCs w:val="24"/>
              </w:rPr>
            </w:pPr>
            <w:r w:rsidRPr="00B370BE">
              <w:rPr>
                <w:rFonts w:ascii="Times New Roman" w:hAnsi="Times New Roman"/>
                <w:i/>
                <w:szCs w:val="24"/>
              </w:rPr>
              <w:t>of</w:t>
            </w:r>
          </w:p>
          <w:p w:rsidR="00E46321" w:rsidRPr="00B370BE" w:rsidRDefault="00E46321" w:rsidP="007268E6">
            <w:pPr>
              <w:widowControl/>
              <w:tabs>
                <w:tab w:val="left" w:pos="720"/>
              </w:tabs>
              <w:jc w:val="center"/>
              <w:rPr>
                <w:rFonts w:ascii="Times New Roman" w:hAnsi="Times New Roman"/>
                <w:i/>
                <w:szCs w:val="24"/>
              </w:rPr>
            </w:pPr>
            <w:r w:rsidRPr="00B370BE">
              <w:rPr>
                <w:rFonts w:ascii="Times New Roman" w:hAnsi="Times New Roman"/>
                <w:i/>
                <w:szCs w:val="24"/>
              </w:rPr>
              <w:t>respondents</w:t>
            </w:r>
          </w:p>
        </w:tc>
        <w:tc>
          <w:tcPr>
            <w:tcW w:w="1625" w:type="dxa"/>
            <w:tcBorders>
              <w:top w:val="single" w:sz="4" w:space="0" w:color="auto"/>
              <w:bottom w:val="single" w:sz="4" w:space="0" w:color="auto"/>
            </w:tcBorders>
            <w:vAlign w:val="bottom"/>
          </w:tcPr>
          <w:p w:rsidR="00E46321" w:rsidRPr="00B370BE" w:rsidRDefault="00E46321" w:rsidP="007268E6">
            <w:pPr>
              <w:widowControl/>
              <w:tabs>
                <w:tab w:val="left" w:pos="720"/>
              </w:tabs>
              <w:jc w:val="center"/>
              <w:rPr>
                <w:rFonts w:ascii="Times New Roman" w:hAnsi="Times New Roman"/>
                <w:i/>
                <w:szCs w:val="24"/>
              </w:rPr>
            </w:pPr>
            <w:r w:rsidRPr="00B370BE">
              <w:rPr>
                <w:rFonts w:ascii="Times New Roman" w:hAnsi="Times New Roman"/>
                <w:i/>
                <w:szCs w:val="24"/>
              </w:rPr>
              <w:t>Annual</w:t>
            </w:r>
          </w:p>
          <w:p w:rsidR="00E46321" w:rsidRPr="00B370BE" w:rsidRDefault="00E46321" w:rsidP="007268E6">
            <w:pPr>
              <w:widowControl/>
              <w:tabs>
                <w:tab w:val="left" w:pos="720"/>
              </w:tabs>
              <w:jc w:val="center"/>
              <w:rPr>
                <w:rFonts w:ascii="Times New Roman" w:hAnsi="Times New Roman"/>
                <w:i/>
                <w:szCs w:val="24"/>
              </w:rPr>
            </w:pPr>
            <w:r w:rsidRPr="00B370BE">
              <w:rPr>
                <w:rFonts w:ascii="Times New Roman" w:hAnsi="Times New Roman"/>
                <w:i/>
                <w:szCs w:val="24"/>
              </w:rPr>
              <w:t>frequency</w:t>
            </w:r>
          </w:p>
        </w:tc>
        <w:tc>
          <w:tcPr>
            <w:tcW w:w="1625" w:type="dxa"/>
            <w:tcBorders>
              <w:top w:val="single" w:sz="4" w:space="0" w:color="auto"/>
              <w:bottom w:val="single" w:sz="4" w:space="0" w:color="auto"/>
            </w:tcBorders>
            <w:vAlign w:val="bottom"/>
          </w:tcPr>
          <w:p w:rsidR="00E46321" w:rsidRPr="00B370BE" w:rsidRDefault="00E46321" w:rsidP="007268E6">
            <w:pPr>
              <w:widowControl/>
              <w:tabs>
                <w:tab w:val="left" w:pos="720"/>
              </w:tabs>
              <w:jc w:val="center"/>
              <w:rPr>
                <w:rFonts w:ascii="Times New Roman" w:hAnsi="Times New Roman"/>
                <w:i/>
                <w:szCs w:val="24"/>
              </w:rPr>
            </w:pPr>
            <w:r w:rsidRPr="00B370BE">
              <w:rPr>
                <w:rFonts w:ascii="Times New Roman" w:hAnsi="Times New Roman"/>
                <w:i/>
                <w:szCs w:val="24"/>
              </w:rPr>
              <w:t>Estimated</w:t>
            </w:r>
          </w:p>
          <w:p w:rsidR="00E46321" w:rsidRPr="00B370BE" w:rsidRDefault="00E46321" w:rsidP="007268E6">
            <w:pPr>
              <w:widowControl/>
              <w:tabs>
                <w:tab w:val="left" w:pos="720"/>
              </w:tabs>
              <w:jc w:val="center"/>
              <w:rPr>
                <w:rFonts w:ascii="Times New Roman" w:hAnsi="Times New Roman"/>
                <w:i/>
                <w:szCs w:val="24"/>
              </w:rPr>
            </w:pPr>
            <w:r w:rsidRPr="00B370BE">
              <w:rPr>
                <w:rFonts w:ascii="Times New Roman" w:hAnsi="Times New Roman"/>
                <w:i/>
                <w:szCs w:val="24"/>
              </w:rPr>
              <w:t>average hours</w:t>
            </w:r>
          </w:p>
          <w:p w:rsidR="00E46321" w:rsidRPr="00B370BE" w:rsidRDefault="00E46321" w:rsidP="007268E6">
            <w:pPr>
              <w:widowControl/>
              <w:tabs>
                <w:tab w:val="left" w:pos="720"/>
              </w:tabs>
              <w:jc w:val="center"/>
              <w:rPr>
                <w:rFonts w:ascii="Times New Roman" w:hAnsi="Times New Roman"/>
                <w:i/>
                <w:szCs w:val="24"/>
              </w:rPr>
            </w:pPr>
            <w:r w:rsidRPr="00B370BE">
              <w:rPr>
                <w:rFonts w:ascii="Times New Roman" w:hAnsi="Times New Roman"/>
                <w:i/>
                <w:szCs w:val="24"/>
              </w:rPr>
              <w:t>per response</w:t>
            </w:r>
          </w:p>
        </w:tc>
        <w:tc>
          <w:tcPr>
            <w:tcW w:w="1625" w:type="dxa"/>
            <w:tcBorders>
              <w:top w:val="single" w:sz="4" w:space="0" w:color="auto"/>
              <w:bottom w:val="single" w:sz="4" w:space="0" w:color="auto"/>
            </w:tcBorders>
            <w:vAlign w:val="bottom"/>
          </w:tcPr>
          <w:p w:rsidR="00E46321" w:rsidRPr="00B370BE" w:rsidRDefault="00E46321" w:rsidP="007268E6">
            <w:pPr>
              <w:widowControl/>
              <w:tabs>
                <w:tab w:val="left" w:pos="720"/>
              </w:tabs>
              <w:jc w:val="center"/>
              <w:rPr>
                <w:rFonts w:ascii="Times New Roman" w:hAnsi="Times New Roman"/>
                <w:i/>
                <w:szCs w:val="24"/>
              </w:rPr>
            </w:pPr>
            <w:r w:rsidRPr="00B370BE">
              <w:rPr>
                <w:rFonts w:ascii="Times New Roman" w:hAnsi="Times New Roman"/>
                <w:i/>
                <w:szCs w:val="24"/>
              </w:rPr>
              <w:t>Estimated</w:t>
            </w:r>
          </w:p>
          <w:p w:rsidR="00E46321" w:rsidRPr="00B370BE" w:rsidRDefault="00E46321" w:rsidP="007268E6">
            <w:pPr>
              <w:widowControl/>
              <w:tabs>
                <w:tab w:val="left" w:pos="720"/>
              </w:tabs>
              <w:jc w:val="center"/>
              <w:rPr>
                <w:rFonts w:ascii="Times New Roman" w:hAnsi="Times New Roman"/>
                <w:i/>
                <w:szCs w:val="24"/>
              </w:rPr>
            </w:pPr>
            <w:r w:rsidRPr="00B370BE">
              <w:rPr>
                <w:rFonts w:ascii="Times New Roman" w:hAnsi="Times New Roman"/>
                <w:i/>
                <w:szCs w:val="24"/>
              </w:rPr>
              <w:t>annual burden hours</w:t>
            </w:r>
          </w:p>
        </w:tc>
      </w:tr>
      <w:tr w:rsidR="00E46321" w:rsidRPr="00B370BE" w:rsidTr="007268E6">
        <w:trPr>
          <w:trHeight w:val="288"/>
          <w:jc w:val="center"/>
        </w:trPr>
        <w:tc>
          <w:tcPr>
            <w:tcW w:w="2880" w:type="dxa"/>
            <w:tcBorders>
              <w:top w:val="single" w:sz="4" w:space="0" w:color="auto"/>
            </w:tcBorders>
          </w:tcPr>
          <w:p w:rsidR="00E46321" w:rsidRPr="00B370BE" w:rsidRDefault="00E46321" w:rsidP="007268E6">
            <w:pPr>
              <w:widowControl/>
              <w:rPr>
                <w:rFonts w:ascii="Times New Roman" w:hAnsi="Times New Roman"/>
                <w:szCs w:val="24"/>
              </w:rPr>
            </w:pPr>
          </w:p>
        </w:tc>
        <w:tc>
          <w:tcPr>
            <w:tcW w:w="1625" w:type="dxa"/>
            <w:tcBorders>
              <w:top w:val="single" w:sz="4" w:space="0" w:color="auto"/>
            </w:tcBorders>
            <w:vAlign w:val="center"/>
          </w:tcPr>
          <w:p w:rsidR="00E46321" w:rsidRPr="00B370BE" w:rsidRDefault="00E46321" w:rsidP="007268E6">
            <w:pPr>
              <w:widowControl/>
              <w:tabs>
                <w:tab w:val="right" w:pos="972"/>
              </w:tabs>
              <w:rPr>
                <w:rFonts w:ascii="Times New Roman" w:hAnsi="Times New Roman"/>
                <w:szCs w:val="24"/>
              </w:rPr>
            </w:pPr>
          </w:p>
        </w:tc>
        <w:tc>
          <w:tcPr>
            <w:tcW w:w="1625" w:type="dxa"/>
            <w:tcBorders>
              <w:top w:val="single" w:sz="4" w:space="0" w:color="auto"/>
            </w:tcBorders>
          </w:tcPr>
          <w:p w:rsidR="00E46321" w:rsidRPr="00B370BE" w:rsidRDefault="00E46321" w:rsidP="007268E6">
            <w:pPr>
              <w:widowControl/>
              <w:jc w:val="center"/>
              <w:rPr>
                <w:rFonts w:ascii="Times New Roman" w:hAnsi="Times New Roman"/>
                <w:szCs w:val="24"/>
              </w:rPr>
            </w:pPr>
          </w:p>
        </w:tc>
        <w:tc>
          <w:tcPr>
            <w:tcW w:w="1625" w:type="dxa"/>
            <w:tcBorders>
              <w:top w:val="single" w:sz="4" w:space="0" w:color="auto"/>
            </w:tcBorders>
            <w:vAlign w:val="center"/>
          </w:tcPr>
          <w:p w:rsidR="00E46321" w:rsidRPr="00B370BE" w:rsidRDefault="00E46321" w:rsidP="007268E6">
            <w:pPr>
              <w:widowControl/>
              <w:tabs>
                <w:tab w:val="decimal" w:pos="770"/>
              </w:tabs>
              <w:rPr>
                <w:rFonts w:ascii="Times New Roman" w:hAnsi="Times New Roman"/>
                <w:szCs w:val="24"/>
              </w:rPr>
            </w:pPr>
          </w:p>
        </w:tc>
        <w:tc>
          <w:tcPr>
            <w:tcW w:w="1625" w:type="dxa"/>
            <w:tcBorders>
              <w:top w:val="single" w:sz="4" w:space="0" w:color="auto"/>
            </w:tcBorders>
            <w:vAlign w:val="bottom"/>
          </w:tcPr>
          <w:p w:rsidR="00E46321" w:rsidRPr="00B370BE" w:rsidRDefault="00E46321" w:rsidP="007268E6">
            <w:pPr>
              <w:widowControl/>
              <w:jc w:val="center"/>
              <w:rPr>
                <w:rFonts w:ascii="Times New Roman" w:hAnsi="Times New Roman"/>
                <w:szCs w:val="24"/>
              </w:rPr>
            </w:pPr>
          </w:p>
        </w:tc>
      </w:tr>
      <w:tr w:rsidR="00E46321" w:rsidRPr="00B370BE" w:rsidTr="007268E6">
        <w:trPr>
          <w:trHeight w:val="288"/>
          <w:jc w:val="center"/>
        </w:trPr>
        <w:tc>
          <w:tcPr>
            <w:tcW w:w="2880" w:type="dxa"/>
            <w:vAlign w:val="center"/>
          </w:tcPr>
          <w:p w:rsidR="00E46321" w:rsidRPr="00B370BE" w:rsidRDefault="00E46321" w:rsidP="007268E6">
            <w:pPr>
              <w:widowControl/>
              <w:tabs>
                <w:tab w:val="left" w:pos="-1080"/>
                <w:tab w:val="left" w:pos="-90"/>
                <w:tab w:val="left" w:pos="1440"/>
                <w:tab w:val="left" w:pos="2880"/>
                <w:tab w:val="left" w:pos="4320"/>
              </w:tabs>
              <w:rPr>
                <w:rFonts w:ascii="Times New Roman" w:hAnsi="Times New Roman"/>
                <w:b/>
                <w:szCs w:val="24"/>
                <w:u w:val="single"/>
              </w:rPr>
            </w:pPr>
            <w:r w:rsidRPr="00B370BE">
              <w:rPr>
                <w:rFonts w:ascii="Times New Roman" w:hAnsi="Times New Roman"/>
                <w:i/>
                <w:szCs w:val="24"/>
                <w:u w:val="single"/>
              </w:rPr>
              <w:t>Current</w:t>
            </w:r>
          </w:p>
        </w:tc>
        <w:tc>
          <w:tcPr>
            <w:tcW w:w="1625" w:type="dxa"/>
            <w:vAlign w:val="center"/>
          </w:tcPr>
          <w:p w:rsidR="00E46321" w:rsidRPr="00B370BE" w:rsidRDefault="00E46321" w:rsidP="007268E6">
            <w:pPr>
              <w:widowControl/>
              <w:tabs>
                <w:tab w:val="right" w:pos="972"/>
              </w:tabs>
              <w:rPr>
                <w:rFonts w:ascii="Times New Roman" w:hAnsi="Times New Roman"/>
                <w:szCs w:val="24"/>
              </w:rPr>
            </w:pPr>
          </w:p>
        </w:tc>
        <w:tc>
          <w:tcPr>
            <w:tcW w:w="1625" w:type="dxa"/>
          </w:tcPr>
          <w:p w:rsidR="00E46321" w:rsidRPr="00B370BE" w:rsidRDefault="00E46321" w:rsidP="007268E6">
            <w:pPr>
              <w:widowControl/>
              <w:jc w:val="center"/>
              <w:rPr>
                <w:rFonts w:ascii="Times New Roman" w:hAnsi="Times New Roman"/>
                <w:szCs w:val="24"/>
              </w:rPr>
            </w:pPr>
          </w:p>
        </w:tc>
        <w:tc>
          <w:tcPr>
            <w:tcW w:w="1625" w:type="dxa"/>
            <w:vAlign w:val="center"/>
          </w:tcPr>
          <w:p w:rsidR="00E46321" w:rsidRPr="00B370BE" w:rsidRDefault="00E46321" w:rsidP="007268E6">
            <w:pPr>
              <w:widowControl/>
              <w:tabs>
                <w:tab w:val="decimal" w:pos="770"/>
              </w:tabs>
              <w:rPr>
                <w:rFonts w:ascii="Times New Roman" w:hAnsi="Times New Roman"/>
                <w:szCs w:val="24"/>
              </w:rPr>
            </w:pPr>
          </w:p>
        </w:tc>
        <w:tc>
          <w:tcPr>
            <w:tcW w:w="1625" w:type="dxa"/>
            <w:tcBorders>
              <w:bottom w:val="nil"/>
            </w:tcBorders>
            <w:vAlign w:val="bottom"/>
          </w:tcPr>
          <w:p w:rsidR="00E46321" w:rsidRPr="00B370BE" w:rsidRDefault="00E46321" w:rsidP="007268E6">
            <w:pPr>
              <w:widowControl/>
              <w:jc w:val="center"/>
              <w:rPr>
                <w:rFonts w:ascii="Times New Roman" w:hAnsi="Times New Roman"/>
                <w:szCs w:val="24"/>
              </w:rPr>
            </w:pPr>
          </w:p>
        </w:tc>
      </w:tr>
      <w:tr w:rsidR="00E46321" w:rsidRPr="00B370BE" w:rsidTr="007268E6">
        <w:trPr>
          <w:trHeight w:val="288"/>
          <w:jc w:val="center"/>
        </w:trPr>
        <w:tc>
          <w:tcPr>
            <w:tcW w:w="2880" w:type="dxa"/>
            <w:vAlign w:val="center"/>
          </w:tcPr>
          <w:p w:rsidR="00E46321" w:rsidRPr="00B370BE" w:rsidRDefault="00E46321" w:rsidP="007268E6">
            <w:pPr>
              <w:widowControl/>
              <w:rPr>
                <w:rFonts w:ascii="Times New Roman" w:hAnsi="Times New Roman"/>
                <w:szCs w:val="24"/>
              </w:rPr>
            </w:pPr>
            <w:r w:rsidRPr="00B370BE">
              <w:rPr>
                <w:rFonts w:ascii="Times New Roman" w:hAnsi="Times New Roman"/>
                <w:szCs w:val="24"/>
              </w:rPr>
              <w:t>FR Y-9C</w:t>
            </w:r>
          </w:p>
        </w:tc>
        <w:tc>
          <w:tcPr>
            <w:tcW w:w="1625" w:type="dxa"/>
            <w:vAlign w:val="center"/>
          </w:tcPr>
          <w:p w:rsidR="00E46321" w:rsidRPr="00B370BE" w:rsidRDefault="003A5D40" w:rsidP="00D1705E">
            <w:pPr>
              <w:widowControl/>
              <w:tabs>
                <w:tab w:val="right" w:pos="972"/>
              </w:tabs>
              <w:rPr>
                <w:rFonts w:ascii="Times New Roman" w:hAnsi="Times New Roman"/>
                <w:szCs w:val="24"/>
              </w:rPr>
            </w:pPr>
            <w:r>
              <w:rPr>
                <w:rFonts w:ascii="Times New Roman" w:hAnsi="Times New Roman"/>
                <w:szCs w:val="24"/>
              </w:rPr>
              <w:tab/>
            </w:r>
            <w:r w:rsidR="00E46321">
              <w:rPr>
                <w:rFonts w:ascii="Times New Roman" w:hAnsi="Times New Roman"/>
                <w:szCs w:val="24"/>
              </w:rPr>
              <w:t>1,0</w:t>
            </w:r>
            <w:r w:rsidR="00D1705E">
              <w:rPr>
                <w:rFonts w:ascii="Times New Roman" w:hAnsi="Times New Roman"/>
                <w:szCs w:val="24"/>
              </w:rPr>
              <w:t>21</w:t>
            </w:r>
          </w:p>
        </w:tc>
        <w:tc>
          <w:tcPr>
            <w:tcW w:w="1625" w:type="dxa"/>
            <w:vAlign w:val="center"/>
          </w:tcPr>
          <w:p w:rsidR="00E46321" w:rsidRPr="00B370BE" w:rsidRDefault="00E46321" w:rsidP="007268E6">
            <w:pPr>
              <w:widowControl/>
              <w:jc w:val="center"/>
              <w:rPr>
                <w:rFonts w:ascii="Times New Roman" w:hAnsi="Times New Roman"/>
                <w:szCs w:val="24"/>
              </w:rPr>
            </w:pPr>
            <w:r w:rsidRPr="00B370BE">
              <w:rPr>
                <w:rFonts w:ascii="Times New Roman" w:hAnsi="Times New Roman"/>
                <w:szCs w:val="24"/>
              </w:rPr>
              <w:t>4</w:t>
            </w:r>
          </w:p>
        </w:tc>
        <w:tc>
          <w:tcPr>
            <w:tcW w:w="1625" w:type="dxa"/>
            <w:vAlign w:val="center"/>
          </w:tcPr>
          <w:p w:rsidR="00E46321" w:rsidRPr="00B370BE" w:rsidRDefault="00023563" w:rsidP="007268E6">
            <w:pPr>
              <w:widowControl/>
              <w:tabs>
                <w:tab w:val="decimal" w:pos="770"/>
              </w:tabs>
              <w:rPr>
                <w:rFonts w:ascii="Times New Roman" w:hAnsi="Times New Roman"/>
                <w:szCs w:val="24"/>
              </w:rPr>
            </w:pPr>
            <w:r>
              <w:rPr>
                <w:rFonts w:ascii="Times New Roman" w:hAnsi="Times New Roman"/>
                <w:szCs w:val="24"/>
              </w:rPr>
              <w:t>45.10</w:t>
            </w:r>
          </w:p>
        </w:tc>
        <w:tc>
          <w:tcPr>
            <w:tcW w:w="1625" w:type="dxa"/>
            <w:tcBorders>
              <w:top w:val="nil"/>
              <w:bottom w:val="nil"/>
            </w:tcBorders>
            <w:shd w:val="clear" w:color="auto" w:fill="auto"/>
            <w:vAlign w:val="bottom"/>
          </w:tcPr>
          <w:p w:rsidR="00E46321" w:rsidRPr="00B370BE" w:rsidRDefault="00E46321" w:rsidP="00D1705E">
            <w:pPr>
              <w:widowControl/>
              <w:tabs>
                <w:tab w:val="right" w:pos="1132"/>
              </w:tabs>
              <w:jc w:val="center"/>
              <w:rPr>
                <w:rFonts w:ascii="Times New Roman" w:hAnsi="Times New Roman"/>
                <w:szCs w:val="24"/>
              </w:rPr>
            </w:pPr>
            <w:r>
              <w:rPr>
                <w:rFonts w:ascii="Times New Roman" w:hAnsi="Times New Roman"/>
                <w:szCs w:val="24"/>
              </w:rPr>
              <w:t>1</w:t>
            </w:r>
            <w:r w:rsidR="00023563">
              <w:rPr>
                <w:rFonts w:ascii="Times New Roman" w:hAnsi="Times New Roman"/>
                <w:szCs w:val="24"/>
              </w:rPr>
              <w:t>84,188</w:t>
            </w:r>
          </w:p>
        </w:tc>
      </w:tr>
      <w:tr w:rsidR="00E46321" w:rsidRPr="00B370BE" w:rsidTr="007268E6">
        <w:trPr>
          <w:trHeight w:val="288"/>
          <w:jc w:val="center"/>
        </w:trPr>
        <w:tc>
          <w:tcPr>
            <w:tcW w:w="2880" w:type="dxa"/>
            <w:vAlign w:val="center"/>
          </w:tcPr>
          <w:p w:rsidR="00E46321" w:rsidRPr="00B370BE" w:rsidRDefault="00E46321" w:rsidP="007268E6">
            <w:pPr>
              <w:widowControl/>
              <w:rPr>
                <w:rFonts w:ascii="Times New Roman" w:hAnsi="Times New Roman"/>
                <w:szCs w:val="24"/>
              </w:rPr>
            </w:pPr>
            <w:r w:rsidRPr="00B370BE">
              <w:rPr>
                <w:rFonts w:ascii="Times New Roman" w:hAnsi="Times New Roman"/>
                <w:szCs w:val="24"/>
              </w:rPr>
              <w:t>FR Y-9LP</w:t>
            </w:r>
          </w:p>
        </w:tc>
        <w:tc>
          <w:tcPr>
            <w:tcW w:w="1625" w:type="dxa"/>
            <w:vAlign w:val="center"/>
          </w:tcPr>
          <w:p w:rsidR="00E46321" w:rsidRPr="00B370BE" w:rsidRDefault="003A5D40" w:rsidP="00D1705E">
            <w:pPr>
              <w:widowControl/>
              <w:tabs>
                <w:tab w:val="right" w:pos="972"/>
              </w:tabs>
              <w:rPr>
                <w:rFonts w:ascii="Times New Roman" w:hAnsi="Times New Roman"/>
                <w:szCs w:val="24"/>
              </w:rPr>
            </w:pPr>
            <w:r>
              <w:rPr>
                <w:rFonts w:ascii="Times New Roman" w:hAnsi="Times New Roman"/>
                <w:szCs w:val="24"/>
              </w:rPr>
              <w:tab/>
            </w:r>
            <w:r w:rsidR="00E46321">
              <w:rPr>
                <w:rFonts w:ascii="Times New Roman" w:hAnsi="Times New Roman"/>
                <w:szCs w:val="24"/>
              </w:rPr>
              <w:t>1,2</w:t>
            </w:r>
            <w:r w:rsidR="00D1705E">
              <w:rPr>
                <w:rFonts w:ascii="Times New Roman" w:hAnsi="Times New Roman"/>
                <w:szCs w:val="24"/>
              </w:rPr>
              <w:t>95</w:t>
            </w:r>
          </w:p>
        </w:tc>
        <w:tc>
          <w:tcPr>
            <w:tcW w:w="1625" w:type="dxa"/>
            <w:vAlign w:val="center"/>
          </w:tcPr>
          <w:p w:rsidR="00E46321" w:rsidRPr="00B370BE" w:rsidRDefault="00E46321" w:rsidP="007268E6">
            <w:pPr>
              <w:widowControl/>
              <w:jc w:val="center"/>
              <w:rPr>
                <w:rFonts w:ascii="Times New Roman" w:hAnsi="Times New Roman"/>
                <w:szCs w:val="24"/>
              </w:rPr>
            </w:pPr>
            <w:r w:rsidRPr="00B370BE">
              <w:rPr>
                <w:rFonts w:ascii="Times New Roman" w:hAnsi="Times New Roman"/>
                <w:szCs w:val="24"/>
              </w:rPr>
              <w:t>4</w:t>
            </w:r>
          </w:p>
        </w:tc>
        <w:tc>
          <w:tcPr>
            <w:tcW w:w="1625" w:type="dxa"/>
            <w:vAlign w:val="center"/>
          </w:tcPr>
          <w:p w:rsidR="00E46321" w:rsidRPr="00B370BE" w:rsidRDefault="00E46321" w:rsidP="007268E6">
            <w:pPr>
              <w:widowControl/>
              <w:tabs>
                <w:tab w:val="decimal" w:pos="770"/>
              </w:tabs>
              <w:rPr>
                <w:rFonts w:ascii="Times New Roman" w:hAnsi="Times New Roman"/>
                <w:szCs w:val="24"/>
              </w:rPr>
            </w:pPr>
            <w:r w:rsidRPr="00B370BE">
              <w:rPr>
                <w:rFonts w:ascii="Times New Roman" w:hAnsi="Times New Roman"/>
                <w:szCs w:val="24"/>
              </w:rPr>
              <w:t>5.25</w:t>
            </w:r>
          </w:p>
        </w:tc>
        <w:tc>
          <w:tcPr>
            <w:tcW w:w="1625" w:type="dxa"/>
            <w:tcBorders>
              <w:top w:val="nil"/>
              <w:bottom w:val="nil"/>
            </w:tcBorders>
            <w:shd w:val="clear" w:color="auto" w:fill="auto"/>
            <w:vAlign w:val="bottom"/>
          </w:tcPr>
          <w:p w:rsidR="00E46321" w:rsidRPr="00B370BE" w:rsidRDefault="00E46321" w:rsidP="00D1705E">
            <w:pPr>
              <w:widowControl/>
              <w:tabs>
                <w:tab w:val="right" w:pos="1132"/>
              </w:tabs>
              <w:jc w:val="center"/>
              <w:rPr>
                <w:rFonts w:ascii="Times New Roman" w:hAnsi="Times New Roman"/>
                <w:szCs w:val="24"/>
              </w:rPr>
            </w:pPr>
            <w:r w:rsidRPr="00B370BE">
              <w:rPr>
                <w:rFonts w:ascii="Times New Roman" w:hAnsi="Times New Roman"/>
                <w:szCs w:val="24"/>
              </w:rPr>
              <w:t xml:space="preserve">  </w:t>
            </w:r>
            <w:r>
              <w:rPr>
                <w:rFonts w:ascii="Times New Roman" w:hAnsi="Times New Roman"/>
                <w:szCs w:val="24"/>
              </w:rPr>
              <w:t>2</w:t>
            </w:r>
            <w:r w:rsidR="00D1705E">
              <w:rPr>
                <w:rFonts w:ascii="Times New Roman" w:hAnsi="Times New Roman"/>
                <w:szCs w:val="24"/>
              </w:rPr>
              <w:t>7</w:t>
            </w:r>
            <w:r>
              <w:rPr>
                <w:rFonts w:ascii="Times New Roman" w:hAnsi="Times New Roman"/>
                <w:szCs w:val="24"/>
              </w:rPr>
              <w:t>,1</w:t>
            </w:r>
            <w:r w:rsidR="00D1705E">
              <w:rPr>
                <w:rFonts w:ascii="Times New Roman" w:hAnsi="Times New Roman"/>
                <w:szCs w:val="24"/>
              </w:rPr>
              <w:t>95</w:t>
            </w:r>
          </w:p>
        </w:tc>
      </w:tr>
      <w:tr w:rsidR="00E46321" w:rsidRPr="00B370BE" w:rsidTr="007268E6">
        <w:trPr>
          <w:trHeight w:val="288"/>
          <w:jc w:val="center"/>
        </w:trPr>
        <w:tc>
          <w:tcPr>
            <w:tcW w:w="2880" w:type="dxa"/>
            <w:vAlign w:val="center"/>
          </w:tcPr>
          <w:p w:rsidR="00E46321" w:rsidRPr="00B370BE" w:rsidRDefault="00E46321" w:rsidP="007268E6">
            <w:pPr>
              <w:widowControl/>
              <w:rPr>
                <w:rFonts w:ascii="Times New Roman" w:hAnsi="Times New Roman"/>
                <w:szCs w:val="24"/>
              </w:rPr>
            </w:pPr>
            <w:r w:rsidRPr="00B370BE">
              <w:rPr>
                <w:rFonts w:ascii="Times New Roman" w:hAnsi="Times New Roman"/>
                <w:szCs w:val="24"/>
              </w:rPr>
              <w:t>FR Y-9SP</w:t>
            </w:r>
          </w:p>
        </w:tc>
        <w:tc>
          <w:tcPr>
            <w:tcW w:w="1625" w:type="dxa"/>
            <w:vAlign w:val="center"/>
          </w:tcPr>
          <w:p w:rsidR="00E46321" w:rsidRPr="00B370BE" w:rsidRDefault="003A5D40" w:rsidP="00D1705E">
            <w:pPr>
              <w:widowControl/>
              <w:tabs>
                <w:tab w:val="right" w:pos="972"/>
              </w:tabs>
              <w:rPr>
                <w:rFonts w:ascii="Times New Roman" w:hAnsi="Times New Roman"/>
                <w:szCs w:val="24"/>
              </w:rPr>
            </w:pPr>
            <w:r>
              <w:rPr>
                <w:rFonts w:ascii="Times New Roman" w:hAnsi="Times New Roman"/>
                <w:szCs w:val="24"/>
              </w:rPr>
              <w:tab/>
            </w:r>
            <w:r w:rsidR="00E46321">
              <w:rPr>
                <w:rFonts w:ascii="Times New Roman" w:hAnsi="Times New Roman"/>
                <w:szCs w:val="24"/>
              </w:rPr>
              <w:t>4,1</w:t>
            </w:r>
            <w:r w:rsidR="00D1705E">
              <w:rPr>
                <w:rFonts w:ascii="Times New Roman" w:hAnsi="Times New Roman"/>
                <w:szCs w:val="24"/>
              </w:rPr>
              <w:t>86</w:t>
            </w:r>
          </w:p>
        </w:tc>
        <w:tc>
          <w:tcPr>
            <w:tcW w:w="1625" w:type="dxa"/>
            <w:vAlign w:val="center"/>
          </w:tcPr>
          <w:p w:rsidR="00E46321" w:rsidRPr="00B370BE" w:rsidRDefault="00E46321" w:rsidP="007268E6">
            <w:pPr>
              <w:widowControl/>
              <w:jc w:val="center"/>
              <w:rPr>
                <w:rFonts w:ascii="Times New Roman" w:hAnsi="Times New Roman"/>
                <w:szCs w:val="24"/>
              </w:rPr>
            </w:pPr>
            <w:r w:rsidRPr="00B370BE">
              <w:rPr>
                <w:rFonts w:ascii="Times New Roman" w:hAnsi="Times New Roman"/>
                <w:szCs w:val="24"/>
              </w:rPr>
              <w:t>2</w:t>
            </w:r>
          </w:p>
        </w:tc>
        <w:tc>
          <w:tcPr>
            <w:tcW w:w="1625" w:type="dxa"/>
            <w:vAlign w:val="center"/>
          </w:tcPr>
          <w:p w:rsidR="00E46321" w:rsidRPr="00B370BE" w:rsidRDefault="00E46321" w:rsidP="007268E6">
            <w:pPr>
              <w:widowControl/>
              <w:tabs>
                <w:tab w:val="decimal" w:pos="770"/>
              </w:tabs>
              <w:rPr>
                <w:rFonts w:ascii="Times New Roman" w:hAnsi="Times New Roman"/>
                <w:szCs w:val="24"/>
              </w:rPr>
            </w:pPr>
            <w:r w:rsidRPr="00B370BE">
              <w:rPr>
                <w:rFonts w:ascii="Times New Roman" w:hAnsi="Times New Roman"/>
                <w:szCs w:val="24"/>
              </w:rPr>
              <w:t>5.40</w:t>
            </w:r>
          </w:p>
        </w:tc>
        <w:tc>
          <w:tcPr>
            <w:tcW w:w="1625" w:type="dxa"/>
            <w:tcBorders>
              <w:top w:val="nil"/>
              <w:bottom w:val="nil"/>
            </w:tcBorders>
            <w:shd w:val="clear" w:color="auto" w:fill="auto"/>
            <w:vAlign w:val="bottom"/>
          </w:tcPr>
          <w:p w:rsidR="00E46321" w:rsidRPr="00B370BE" w:rsidRDefault="00E46321" w:rsidP="00D1705E">
            <w:pPr>
              <w:widowControl/>
              <w:tabs>
                <w:tab w:val="right" w:pos="1132"/>
              </w:tabs>
              <w:jc w:val="center"/>
              <w:rPr>
                <w:rFonts w:ascii="Times New Roman" w:hAnsi="Times New Roman"/>
                <w:szCs w:val="24"/>
              </w:rPr>
            </w:pPr>
            <w:r w:rsidRPr="00B370BE">
              <w:rPr>
                <w:rFonts w:ascii="Times New Roman" w:hAnsi="Times New Roman"/>
                <w:szCs w:val="24"/>
              </w:rPr>
              <w:t xml:space="preserve">  </w:t>
            </w:r>
            <w:r>
              <w:rPr>
                <w:rFonts w:ascii="Times New Roman" w:hAnsi="Times New Roman"/>
                <w:szCs w:val="24"/>
              </w:rPr>
              <w:t>4</w:t>
            </w:r>
            <w:r w:rsidR="00D1705E">
              <w:rPr>
                <w:rFonts w:ascii="Times New Roman" w:hAnsi="Times New Roman"/>
                <w:szCs w:val="24"/>
              </w:rPr>
              <w:t>5</w:t>
            </w:r>
            <w:r>
              <w:rPr>
                <w:rFonts w:ascii="Times New Roman" w:hAnsi="Times New Roman"/>
                <w:szCs w:val="24"/>
              </w:rPr>
              <w:t>,</w:t>
            </w:r>
            <w:r w:rsidR="00D1705E">
              <w:rPr>
                <w:rFonts w:ascii="Times New Roman" w:hAnsi="Times New Roman"/>
                <w:szCs w:val="24"/>
              </w:rPr>
              <w:t>2</w:t>
            </w:r>
            <w:r>
              <w:rPr>
                <w:rFonts w:ascii="Times New Roman" w:hAnsi="Times New Roman"/>
                <w:szCs w:val="24"/>
              </w:rPr>
              <w:t>0</w:t>
            </w:r>
            <w:r w:rsidR="00D1705E">
              <w:rPr>
                <w:rFonts w:ascii="Times New Roman" w:hAnsi="Times New Roman"/>
                <w:szCs w:val="24"/>
              </w:rPr>
              <w:t>9</w:t>
            </w:r>
          </w:p>
        </w:tc>
      </w:tr>
      <w:tr w:rsidR="00E46321" w:rsidRPr="00B370BE" w:rsidTr="007268E6">
        <w:trPr>
          <w:trHeight w:val="288"/>
          <w:jc w:val="center"/>
        </w:trPr>
        <w:tc>
          <w:tcPr>
            <w:tcW w:w="2880" w:type="dxa"/>
            <w:vAlign w:val="center"/>
          </w:tcPr>
          <w:p w:rsidR="00E46321" w:rsidRPr="00B370BE" w:rsidRDefault="00E46321" w:rsidP="007268E6">
            <w:pPr>
              <w:widowControl/>
              <w:rPr>
                <w:rFonts w:ascii="Times New Roman" w:hAnsi="Times New Roman"/>
                <w:szCs w:val="24"/>
              </w:rPr>
            </w:pPr>
            <w:r w:rsidRPr="00B370BE">
              <w:rPr>
                <w:rFonts w:ascii="Times New Roman" w:hAnsi="Times New Roman"/>
                <w:szCs w:val="24"/>
              </w:rPr>
              <w:t>FR Y-9ES</w:t>
            </w:r>
          </w:p>
        </w:tc>
        <w:tc>
          <w:tcPr>
            <w:tcW w:w="1625" w:type="dxa"/>
            <w:vAlign w:val="center"/>
          </w:tcPr>
          <w:p w:rsidR="00E46321" w:rsidRPr="00B370BE" w:rsidRDefault="003A5D40" w:rsidP="00D1705E">
            <w:pPr>
              <w:widowControl/>
              <w:tabs>
                <w:tab w:val="right" w:pos="972"/>
              </w:tabs>
              <w:rPr>
                <w:rFonts w:ascii="Times New Roman" w:hAnsi="Times New Roman"/>
                <w:szCs w:val="24"/>
              </w:rPr>
            </w:pPr>
            <w:r>
              <w:rPr>
                <w:rFonts w:ascii="Times New Roman" w:hAnsi="Times New Roman"/>
                <w:szCs w:val="24"/>
              </w:rPr>
              <w:tab/>
            </w:r>
            <w:r w:rsidR="00E46321">
              <w:rPr>
                <w:rFonts w:ascii="Times New Roman" w:hAnsi="Times New Roman"/>
                <w:szCs w:val="24"/>
              </w:rPr>
              <w:t>8</w:t>
            </w:r>
            <w:r w:rsidR="00D1705E">
              <w:rPr>
                <w:rFonts w:ascii="Times New Roman" w:hAnsi="Times New Roman"/>
                <w:szCs w:val="24"/>
              </w:rPr>
              <w:t>7</w:t>
            </w:r>
          </w:p>
        </w:tc>
        <w:tc>
          <w:tcPr>
            <w:tcW w:w="1625" w:type="dxa"/>
            <w:vAlign w:val="center"/>
          </w:tcPr>
          <w:p w:rsidR="00E46321" w:rsidRPr="00B370BE" w:rsidRDefault="00E46321" w:rsidP="007268E6">
            <w:pPr>
              <w:widowControl/>
              <w:jc w:val="center"/>
              <w:rPr>
                <w:rFonts w:ascii="Times New Roman" w:hAnsi="Times New Roman"/>
                <w:szCs w:val="24"/>
              </w:rPr>
            </w:pPr>
            <w:r w:rsidRPr="00B370BE">
              <w:rPr>
                <w:rFonts w:ascii="Times New Roman" w:hAnsi="Times New Roman"/>
                <w:szCs w:val="24"/>
              </w:rPr>
              <w:t>1</w:t>
            </w:r>
          </w:p>
        </w:tc>
        <w:tc>
          <w:tcPr>
            <w:tcW w:w="1625" w:type="dxa"/>
            <w:vAlign w:val="center"/>
          </w:tcPr>
          <w:p w:rsidR="00E46321" w:rsidRPr="00B370BE" w:rsidRDefault="00E46321" w:rsidP="007268E6">
            <w:pPr>
              <w:widowControl/>
              <w:tabs>
                <w:tab w:val="decimal" w:pos="770"/>
              </w:tabs>
              <w:rPr>
                <w:rFonts w:ascii="Times New Roman" w:hAnsi="Times New Roman"/>
                <w:szCs w:val="24"/>
              </w:rPr>
            </w:pPr>
            <w:r w:rsidRPr="00B370BE">
              <w:rPr>
                <w:rFonts w:ascii="Times New Roman" w:hAnsi="Times New Roman"/>
                <w:szCs w:val="24"/>
              </w:rPr>
              <w:t>0.50</w:t>
            </w:r>
          </w:p>
        </w:tc>
        <w:tc>
          <w:tcPr>
            <w:tcW w:w="1625" w:type="dxa"/>
            <w:tcBorders>
              <w:top w:val="nil"/>
              <w:bottom w:val="nil"/>
            </w:tcBorders>
            <w:shd w:val="clear" w:color="auto" w:fill="auto"/>
            <w:vAlign w:val="bottom"/>
          </w:tcPr>
          <w:p w:rsidR="00E46321" w:rsidRPr="00B370BE" w:rsidRDefault="00E46321" w:rsidP="007268E6">
            <w:pPr>
              <w:widowControl/>
              <w:tabs>
                <w:tab w:val="right" w:pos="1132"/>
              </w:tabs>
              <w:jc w:val="center"/>
              <w:rPr>
                <w:rFonts w:ascii="Times New Roman" w:hAnsi="Times New Roman"/>
                <w:szCs w:val="24"/>
              </w:rPr>
            </w:pPr>
            <w:r w:rsidRPr="00B370BE">
              <w:rPr>
                <w:rFonts w:ascii="Times New Roman" w:hAnsi="Times New Roman"/>
                <w:szCs w:val="24"/>
              </w:rPr>
              <w:t xml:space="preserve">         44</w:t>
            </w:r>
          </w:p>
        </w:tc>
      </w:tr>
      <w:tr w:rsidR="00E46321" w:rsidRPr="00B370BE" w:rsidTr="007268E6">
        <w:trPr>
          <w:trHeight w:val="288"/>
          <w:jc w:val="center"/>
        </w:trPr>
        <w:tc>
          <w:tcPr>
            <w:tcW w:w="2880" w:type="dxa"/>
            <w:vAlign w:val="center"/>
          </w:tcPr>
          <w:p w:rsidR="00E46321" w:rsidRPr="00B370BE" w:rsidRDefault="00E46321" w:rsidP="007268E6">
            <w:pPr>
              <w:widowControl/>
              <w:rPr>
                <w:rFonts w:ascii="Times New Roman" w:hAnsi="Times New Roman"/>
                <w:szCs w:val="24"/>
              </w:rPr>
            </w:pPr>
            <w:r w:rsidRPr="00B370BE">
              <w:rPr>
                <w:rFonts w:ascii="Times New Roman" w:hAnsi="Times New Roman"/>
                <w:szCs w:val="24"/>
              </w:rPr>
              <w:t>FR Y-9CS</w:t>
            </w:r>
          </w:p>
        </w:tc>
        <w:tc>
          <w:tcPr>
            <w:tcW w:w="1625" w:type="dxa"/>
            <w:vAlign w:val="center"/>
          </w:tcPr>
          <w:p w:rsidR="00E46321" w:rsidRPr="00B370BE" w:rsidRDefault="003A5D40" w:rsidP="007268E6">
            <w:pPr>
              <w:widowControl/>
              <w:tabs>
                <w:tab w:val="right" w:pos="972"/>
              </w:tabs>
              <w:rPr>
                <w:rFonts w:ascii="Times New Roman" w:hAnsi="Times New Roman"/>
                <w:szCs w:val="24"/>
                <w:u w:val="single"/>
              </w:rPr>
            </w:pPr>
            <w:r>
              <w:rPr>
                <w:rFonts w:ascii="Times New Roman" w:hAnsi="Times New Roman"/>
                <w:szCs w:val="24"/>
              </w:rPr>
              <w:tab/>
            </w:r>
            <w:r>
              <w:rPr>
                <w:rFonts w:ascii="Times New Roman" w:hAnsi="Times New Roman"/>
                <w:szCs w:val="24"/>
                <w:u w:val="single"/>
              </w:rPr>
              <w:t xml:space="preserve">   2</w:t>
            </w:r>
            <w:r w:rsidR="00E46321" w:rsidRPr="00B370BE">
              <w:rPr>
                <w:rFonts w:ascii="Times New Roman" w:hAnsi="Times New Roman"/>
                <w:szCs w:val="24"/>
                <w:u w:val="single"/>
              </w:rPr>
              <w:t>00</w:t>
            </w:r>
          </w:p>
        </w:tc>
        <w:tc>
          <w:tcPr>
            <w:tcW w:w="1625" w:type="dxa"/>
            <w:vAlign w:val="center"/>
          </w:tcPr>
          <w:p w:rsidR="00E46321" w:rsidRPr="00B370BE" w:rsidRDefault="00E46321" w:rsidP="007268E6">
            <w:pPr>
              <w:widowControl/>
              <w:jc w:val="center"/>
              <w:rPr>
                <w:rFonts w:ascii="Times New Roman" w:hAnsi="Times New Roman"/>
                <w:szCs w:val="24"/>
              </w:rPr>
            </w:pPr>
            <w:r w:rsidRPr="00B370BE">
              <w:rPr>
                <w:rFonts w:ascii="Times New Roman" w:hAnsi="Times New Roman"/>
                <w:szCs w:val="24"/>
              </w:rPr>
              <w:t>4</w:t>
            </w:r>
          </w:p>
        </w:tc>
        <w:tc>
          <w:tcPr>
            <w:tcW w:w="1625" w:type="dxa"/>
            <w:vAlign w:val="center"/>
          </w:tcPr>
          <w:p w:rsidR="00E46321" w:rsidRPr="00B370BE" w:rsidRDefault="00E46321" w:rsidP="007268E6">
            <w:pPr>
              <w:widowControl/>
              <w:tabs>
                <w:tab w:val="decimal" w:pos="770"/>
              </w:tabs>
              <w:rPr>
                <w:rFonts w:ascii="Times New Roman" w:hAnsi="Times New Roman"/>
                <w:szCs w:val="24"/>
              </w:rPr>
            </w:pPr>
            <w:r w:rsidRPr="00B370BE">
              <w:rPr>
                <w:rFonts w:ascii="Times New Roman" w:hAnsi="Times New Roman"/>
                <w:szCs w:val="24"/>
              </w:rPr>
              <w:t>0.50</w:t>
            </w:r>
          </w:p>
        </w:tc>
        <w:tc>
          <w:tcPr>
            <w:tcW w:w="1625" w:type="dxa"/>
            <w:tcBorders>
              <w:top w:val="nil"/>
              <w:bottom w:val="nil"/>
            </w:tcBorders>
            <w:shd w:val="clear" w:color="auto" w:fill="auto"/>
            <w:vAlign w:val="bottom"/>
          </w:tcPr>
          <w:p w:rsidR="00E46321" w:rsidRPr="00B370BE" w:rsidRDefault="00E46321" w:rsidP="007268E6">
            <w:pPr>
              <w:widowControl/>
              <w:tabs>
                <w:tab w:val="right" w:pos="1132"/>
              </w:tabs>
              <w:jc w:val="center"/>
              <w:rPr>
                <w:rFonts w:ascii="Times New Roman" w:hAnsi="Times New Roman"/>
                <w:szCs w:val="24"/>
                <w:u w:val="single"/>
              </w:rPr>
            </w:pPr>
            <w:r w:rsidRPr="00B370BE">
              <w:rPr>
                <w:rFonts w:ascii="Times New Roman" w:hAnsi="Times New Roman"/>
                <w:szCs w:val="24"/>
                <w:u w:val="single"/>
              </w:rPr>
              <w:t xml:space="preserve">       400</w:t>
            </w:r>
          </w:p>
        </w:tc>
      </w:tr>
      <w:tr w:rsidR="00E46321" w:rsidRPr="00B370BE" w:rsidTr="007268E6">
        <w:trPr>
          <w:trHeight w:val="288"/>
          <w:jc w:val="center"/>
        </w:trPr>
        <w:tc>
          <w:tcPr>
            <w:tcW w:w="2880" w:type="dxa"/>
            <w:vAlign w:val="center"/>
          </w:tcPr>
          <w:p w:rsidR="00E46321" w:rsidRPr="00B370BE" w:rsidRDefault="00E46321" w:rsidP="007268E6">
            <w:pPr>
              <w:widowControl/>
              <w:jc w:val="right"/>
              <w:rPr>
                <w:rFonts w:ascii="Times New Roman" w:hAnsi="Times New Roman"/>
                <w:szCs w:val="24"/>
              </w:rPr>
            </w:pPr>
            <w:r w:rsidRPr="00B370BE">
              <w:rPr>
                <w:rFonts w:ascii="Times New Roman" w:hAnsi="Times New Roman"/>
                <w:i/>
                <w:szCs w:val="24"/>
              </w:rPr>
              <w:t>Total</w:t>
            </w:r>
          </w:p>
        </w:tc>
        <w:tc>
          <w:tcPr>
            <w:tcW w:w="1625" w:type="dxa"/>
            <w:vAlign w:val="center"/>
          </w:tcPr>
          <w:p w:rsidR="00E46321" w:rsidRPr="00B370BE" w:rsidRDefault="003A5D40" w:rsidP="00D1705E">
            <w:pPr>
              <w:widowControl/>
              <w:tabs>
                <w:tab w:val="right" w:pos="972"/>
              </w:tabs>
              <w:rPr>
                <w:rFonts w:ascii="Times New Roman" w:hAnsi="Times New Roman"/>
                <w:szCs w:val="24"/>
              </w:rPr>
            </w:pPr>
            <w:r>
              <w:rPr>
                <w:rFonts w:ascii="Times New Roman" w:hAnsi="Times New Roman"/>
                <w:szCs w:val="24"/>
              </w:rPr>
              <w:tab/>
            </w:r>
            <w:r w:rsidR="00E46321">
              <w:rPr>
                <w:rFonts w:ascii="Times New Roman" w:hAnsi="Times New Roman"/>
                <w:szCs w:val="24"/>
              </w:rPr>
              <w:t>6,</w:t>
            </w:r>
            <w:r w:rsidR="00D1705E">
              <w:rPr>
                <w:rFonts w:ascii="Times New Roman" w:hAnsi="Times New Roman"/>
                <w:szCs w:val="24"/>
              </w:rPr>
              <w:t>789</w:t>
            </w:r>
          </w:p>
        </w:tc>
        <w:tc>
          <w:tcPr>
            <w:tcW w:w="1625" w:type="dxa"/>
          </w:tcPr>
          <w:p w:rsidR="00E46321" w:rsidRPr="00B370BE" w:rsidRDefault="00E46321" w:rsidP="007268E6">
            <w:pPr>
              <w:widowControl/>
              <w:jc w:val="center"/>
              <w:rPr>
                <w:rFonts w:ascii="Times New Roman" w:hAnsi="Times New Roman"/>
                <w:szCs w:val="24"/>
              </w:rPr>
            </w:pPr>
          </w:p>
        </w:tc>
        <w:tc>
          <w:tcPr>
            <w:tcW w:w="1625" w:type="dxa"/>
            <w:vAlign w:val="center"/>
          </w:tcPr>
          <w:p w:rsidR="00E46321" w:rsidRPr="00B370BE" w:rsidRDefault="00E46321" w:rsidP="007268E6">
            <w:pPr>
              <w:widowControl/>
              <w:tabs>
                <w:tab w:val="decimal" w:pos="770"/>
              </w:tabs>
              <w:rPr>
                <w:rFonts w:ascii="Times New Roman" w:hAnsi="Times New Roman"/>
                <w:szCs w:val="24"/>
              </w:rPr>
            </w:pPr>
          </w:p>
        </w:tc>
        <w:tc>
          <w:tcPr>
            <w:tcW w:w="1625" w:type="dxa"/>
            <w:tcBorders>
              <w:top w:val="nil"/>
              <w:bottom w:val="nil"/>
            </w:tcBorders>
            <w:shd w:val="clear" w:color="auto" w:fill="auto"/>
            <w:vAlign w:val="bottom"/>
          </w:tcPr>
          <w:p w:rsidR="00E46321" w:rsidRPr="00B370BE" w:rsidRDefault="00023563" w:rsidP="00023563">
            <w:pPr>
              <w:widowControl/>
              <w:tabs>
                <w:tab w:val="right" w:pos="1132"/>
              </w:tabs>
              <w:jc w:val="center"/>
              <w:rPr>
                <w:rFonts w:ascii="Times New Roman" w:hAnsi="Times New Roman"/>
                <w:szCs w:val="24"/>
              </w:rPr>
            </w:pPr>
            <w:r>
              <w:rPr>
                <w:rFonts w:ascii="Times New Roman" w:hAnsi="Times New Roman"/>
                <w:szCs w:val="24"/>
              </w:rPr>
              <w:t xml:space="preserve">257,036 </w:t>
            </w:r>
          </w:p>
        </w:tc>
      </w:tr>
      <w:tr w:rsidR="00E46321" w:rsidRPr="00B370BE" w:rsidTr="007268E6">
        <w:trPr>
          <w:trHeight w:val="288"/>
          <w:jc w:val="center"/>
        </w:trPr>
        <w:tc>
          <w:tcPr>
            <w:tcW w:w="2880" w:type="dxa"/>
            <w:vAlign w:val="center"/>
          </w:tcPr>
          <w:p w:rsidR="00E46321" w:rsidRPr="00B370BE" w:rsidRDefault="00E46321" w:rsidP="007268E6">
            <w:pPr>
              <w:widowControl/>
              <w:rPr>
                <w:rFonts w:ascii="Times New Roman" w:hAnsi="Times New Roman"/>
                <w:szCs w:val="24"/>
              </w:rPr>
            </w:pPr>
          </w:p>
        </w:tc>
        <w:tc>
          <w:tcPr>
            <w:tcW w:w="1625" w:type="dxa"/>
            <w:vAlign w:val="center"/>
          </w:tcPr>
          <w:p w:rsidR="00E46321" w:rsidRPr="00B370BE" w:rsidRDefault="00E46321" w:rsidP="007268E6">
            <w:pPr>
              <w:widowControl/>
              <w:tabs>
                <w:tab w:val="right" w:pos="972"/>
              </w:tabs>
              <w:rPr>
                <w:rFonts w:ascii="Times New Roman" w:hAnsi="Times New Roman"/>
                <w:szCs w:val="24"/>
              </w:rPr>
            </w:pPr>
          </w:p>
        </w:tc>
        <w:tc>
          <w:tcPr>
            <w:tcW w:w="1625" w:type="dxa"/>
          </w:tcPr>
          <w:p w:rsidR="00E46321" w:rsidRPr="00B370BE" w:rsidRDefault="00E46321" w:rsidP="007268E6">
            <w:pPr>
              <w:widowControl/>
              <w:jc w:val="center"/>
              <w:rPr>
                <w:rFonts w:ascii="Times New Roman" w:hAnsi="Times New Roman"/>
                <w:szCs w:val="24"/>
              </w:rPr>
            </w:pPr>
          </w:p>
        </w:tc>
        <w:tc>
          <w:tcPr>
            <w:tcW w:w="1625" w:type="dxa"/>
            <w:vAlign w:val="center"/>
          </w:tcPr>
          <w:p w:rsidR="00E46321" w:rsidRPr="00B370BE" w:rsidRDefault="00E46321" w:rsidP="007268E6">
            <w:pPr>
              <w:widowControl/>
              <w:tabs>
                <w:tab w:val="decimal" w:pos="770"/>
              </w:tabs>
              <w:rPr>
                <w:rFonts w:ascii="Times New Roman" w:hAnsi="Times New Roman"/>
                <w:szCs w:val="24"/>
              </w:rPr>
            </w:pPr>
          </w:p>
        </w:tc>
        <w:tc>
          <w:tcPr>
            <w:tcW w:w="1625" w:type="dxa"/>
            <w:tcBorders>
              <w:top w:val="nil"/>
              <w:bottom w:val="nil"/>
            </w:tcBorders>
            <w:shd w:val="clear" w:color="auto" w:fill="auto"/>
            <w:vAlign w:val="bottom"/>
          </w:tcPr>
          <w:p w:rsidR="00E46321" w:rsidRPr="00B370BE" w:rsidRDefault="00E46321" w:rsidP="007268E6">
            <w:pPr>
              <w:widowControl/>
              <w:jc w:val="center"/>
              <w:rPr>
                <w:rFonts w:ascii="Times New Roman" w:hAnsi="Times New Roman"/>
                <w:szCs w:val="24"/>
              </w:rPr>
            </w:pPr>
          </w:p>
        </w:tc>
      </w:tr>
      <w:tr w:rsidR="00E46321" w:rsidRPr="00B370BE" w:rsidTr="007268E6">
        <w:trPr>
          <w:trHeight w:val="288"/>
          <w:jc w:val="center"/>
        </w:trPr>
        <w:tc>
          <w:tcPr>
            <w:tcW w:w="2880" w:type="dxa"/>
            <w:vAlign w:val="center"/>
          </w:tcPr>
          <w:p w:rsidR="00E46321" w:rsidRPr="00B370BE" w:rsidRDefault="00E46321" w:rsidP="007268E6">
            <w:pPr>
              <w:widowControl/>
              <w:rPr>
                <w:rFonts w:ascii="Times New Roman" w:hAnsi="Times New Roman"/>
                <w:szCs w:val="24"/>
                <w:u w:val="single"/>
              </w:rPr>
            </w:pPr>
            <w:r w:rsidRPr="00B370BE">
              <w:rPr>
                <w:rFonts w:ascii="Times New Roman" w:hAnsi="Times New Roman"/>
                <w:i/>
                <w:szCs w:val="24"/>
                <w:u w:val="single"/>
              </w:rPr>
              <w:t>Proposed</w:t>
            </w:r>
          </w:p>
        </w:tc>
        <w:tc>
          <w:tcPr>
            <w:tcW w:w="1625" w:type="dxa"/>
            <w:vAlign w:val="center"/>
          </w:tcPr>
          <w:p w:rsidR="00E46321" w:rsidRPr="00B370BE" w:rsidRDefault="00E46321" w:rsidP="007268E6">
            <w:pPr>
              <w:widowControl/>
              <w:tabs>
                <w:tab w:val="right" w:pos="972"/>
              </w:tabs>
              <w:rPr>
                <w:rFonts w:ascii="Times New Roman" w:hAnsi="Times New Roman"/>
                <w:szCs w:val="24"/>
              </w:rPr>
            </w:pPr>
          </w:p>
        </w:tc>
        <w:tc>
          <w:tcPr>
            <w:tcW w:w="1625" w:type="dxa"/>
          </w:tcPr>
          <w:p w:rsidR="00E46321" w:rsidRPr="00B370BE" w:rsidRDefault="00E46321" w:rsidP="007268E6">
            <w:pPr>
              <w:widowControl/>
              <w:jc w:val="center"/>
              <w:rPr>
                <w:rFonts w:ascii="Times New Roman" w:hAnsi="Times New Roman"/>
                <w:szCs w:val="24"/>
              </w:rPr>
            </w:pPr>
          </w:p>
        </w:tc>
        <w:tc>
          <w:tcPr>
            <w:tcW w:w="1625" w:type="dxa"/>
            <w:vAlign w:val="center"/>
          </w:tcPr>
          <w:p w:rsidR="00E46321" w:rsidRPr="00B370BE" w:rsidRDefault="00E46321" w:rsidP="007268E6">
            <w:pPr>
              <w:widowControl/>
              <w:tabs>
                <w:tab w:val="decimal" w:pos="770"/>
              </w:tabs>
              <w:rPr>
                <w:rFonts w:ascii="Times New Roman" w:hAnsi="Times New Roman"/>
                <w:szCs w:val="24"/>
              </w:rPr>
            </w:pPr>
          </w:p>
        </w:tc>
        <w:tc>
          <w:tcPr>
            <w:tcW w:w="1625" w:type="dxa"/>
            <w:tcBorders>
              <w:top w:val="nil"/>
              <w:bottom w:val="nil"/>
            </w:tcBorders>
            <w:shd w:val="clear" w:color="auto" w:fill="auto"/>
            <w:vAlign w:val="bottom"/>
          </w:tcPr>
          <w:p w:rsidR="00E46321" w:rsidRPr="00B370BE" w:rsidRDefault="00E46321" w:rsidP="007268E6">
            <w:pPr>
              <w:widowControl/>
              <w:jc w:val="center"/>
              <w:rPr>
                <w:rFonts w:ascii="Times New Roman" w:hAnsi="Times New Roman"/>
                <w:szCs w:val="24"/>
              </w:rPr>
            </w:pPr>
          </w:p>
        </w:tc>
      </w:tr>
      <w:tr w:rsidR="00E46321" w:rsidRPr="00B370BE" w:rsidTr="007268E6">
        <w:trPr>
          <w:trHeight w:val="288"/>
          <w:jc w:val="center"/>
        </w:trPr>
        <w:tc>
          <w:tcPr>
            <w:tcW w:w="2880" w:type="dxa"/>
            <w:vAlign w:val="center"/>
          </w:tcPr>
          <w:p w:rsidR="00E46321" w:rsidRPr="00B370BE" w:rsidRDefault="00E46321" w:rsidP="007268E6">
            <w:pPr>
              <w:widowControl/>
              <w:rPr>
                <w:rFonts w:ascii="Times New Roman" w:hAnsi="Times New Roman"/>
                <w:szCs w:val="24"/>
              </w:rPr>
            </w:pPr>
            <w:r w:rsidRPr="00B370BE">
              <w:rPr>
                <w:rFonts w:ascii="Times New Roman" w:hAnsi="Times New Roman"/>
                <w:szCs w:val="24"/>
              </w:rPr>
              <w:t>FR Y-9C</w:t>
            </w:r>
          </w:p>
        </w:tc>
        <w:tc>
          <w:tcPr>
            <w:tcW w:w="1625" w:type="dxa"/>
            <w:vAlign w:val="center"/>
          </w:tcPr>
          <w:p w:rsidR="00E46321" w:rsidRPr="00B370BE" w:rsidRDefault="00E46321" w:rsidP="007268E6">
            <w:pPr>
              <w:widowControl/>
              <w:tabs>
                <w:tab w:val="right" w:pos="972"/>
              </w:tabs>
              <w:rPr>
                <w:rFonts w:ascii="Times New Roman" w:hAnsi="Times New Roman"/>
                <w:szCs w:val="24"/>
              </w:rPr>
            </w:pPr>
            <w:r w:rsidRPr="00B370BE">
              <w:rPr>
                <w:rFonts w:ascii="Times New Roman" w:hAnsi="Times New Roman"/>
                <w:szCs w:val="24"/>
              </w:rPr>
              <w:tab/>
            </w:r>
            <w:r>
              <w:rPr>
                <w:rFonts w:ascii="Times New Roman" w:hAnsi="Times New Roman"/>
                <w:szCs w:val="24"/>
              </w:rPr>
              <w:t>1,165</w:t>
            </w:r>
          </w:p>
        </w:tc>
        <w:tc>
          <w:tcPr>
            <w:tcW w:w="1625" w:type="dxa"/>
            <w:vAlign w:val="center"/>
          </w:tcPr>
          <w:p w:rsidR="00E46321" w:rsidRPr="00B370BE" w:rsidRDefault="00E46321" w:rsidP="007268E6">
            <w:pPr>
              <w:widowControl/>
              <w:jc w:val="center"/>
              <w:rPr>
                <w:rFonts w:ascii="Times New Roman" w:hAnsi="Times New Roman"/>
                <w:szCs w:val="24"/>
              </w:rPr>
            </w:pPr>
            <w:r w:rsidRPr="00B370BE">
              <w:rPr>
                <w:rFonts w:ascii="Times New Roman" w:hAnsi="Times New Roman"/>
                <w:szCs w:val="24"/>
              </w:rPr>
              <w:t>4</w:t>
            </w:r>
          </w:p>
        </w:tc>
        <w:tc>
          <w:tcPr>
            <w:tcW w:w="1625" w:type="dxa"/>
            <w:vAlign w:val="center"/>
          </w:tcPr>
          <w:p w:rsidR="00E46321" w:rsidRPr="00B370BE" w:rsidRDefault="00E46321" w:rsidP="007268E6">
            <w:pPr>
              <w:widowControl/>
              <w:tabs>
                <w:tab w:val="decimal" w:pos="770"/>
              </w:tabs>
              <w:rPr>
                <w:rFonts w:ascii="Times New Roman" w:hAnsi="Times New Roman"/>
                <w:szCs w:val="24"/>
              </w:rPr>
            </w:pPr>
            <w:r w:rsidRPr="00B370BE">
              <w:rPr>
                <w:rFonts w:ascii="Times New Roman" w:hAnsi="Times New Roman"/>
                <w:szCs w:val="24"/>
              </w:rPr>
              <w:t>4</w:t>
            </w:r>
            <w:r w:rsidR="00023563">
              <w:rPr>
                <w:rFonts w:ascii="Times New Roman" w:hAnsi="Times New Roman"/>
                <w:szCs w:val="24"/>
              </w:rPr>
              <w:t>5.10</w:t>
            </w:r>
          </w:p>
        </w:tc>
        <w:tc>
          <w:tcPr>
            <w:tcW w:w="1625" w:type="dxa"/>
            <w:tcBorders>
              <w:top w:val="nil"/>
              <w:bottom w:val="nil"/>
            </w:tcBorders>
            <w:shd w:val="clear" w:color="auto" w:fill="auto"/>
            <w:vAlign w:val="bottom"/>
          </w:tcPr>
          <w:p w:rsidR="00E46321" w:rsidRPr="00B370BE" w:rsidRDefault="00E46321" w:rsidP="00D1705E">
            <w:pPr>
              <w:widowControl/>
              <w:tabs>
                <w:tab w:val="right" w:pos="1132"/>
              </w:tabs>
              <w:jc w:val="center"/>
              <w:rPr>
                <w:rFonts w:ascii="Times New Roman" w:hAnsi="Times New Roman"/>
                <w:szCs w:val="24"/>
              </w:rPr>
            </w:pPr>
            <w:r>
              <w:rPr>
                <w:rFonts w:ascii="Times New Roman" w:hAnsi="Times New Roman"/>
                <w:szCs w:val="24"/>
              </w:rPr>
              <w:t>21</w:t>
            </w:r>
            <w:r w:rsidR="00023563">
              <w:rPr>
                <w:rFonts w:ascii="Times New Roman" w:hAnsi="Times New Roman"/>
                <w:szCs w:val="24"/>
              </w:rPr>
              <w:t>0,166</w:t>
            </w:r>
          </w:p>
        </w:tc>
      </w:tr>
      <w:tr w:rsidR="00E46321" w:rsidRPr="00B370BE" w:rsidTr="007268E6">
        <w:trPr>
          <w:trHeight w:val="288"/>
          <w:jc w:val="center"/>
        </w:trPr>
        <w:tc>
          <w:tcPr>
            <w:tcW w:w="2880" w:type="dxa"/>
            <w:vAlign w:val="center"/>
          </w:tcPr>
          <w:p w:rsidR="00E46321" w:rsidRPr="00B370BE" w:rsidRDefault="00E46321" w:rsidP="007268E6">
            <w:pPr>
              <w:widowControl/>
              <w:rPr>
                <w:rFonts w:ascii="Times New Roman" w:hAnsi="Times New Roman"/>
                <w:szCs w:val="24"/>
              </w:rPr>
            </w:pPr>
            <w:r w:rsidRPr="00B370BE">
              <w:rPr>
                <w:rFonts w:ascii="Times New Roman" w:hAnsi="Times New Roman"/>
                <w:szCs w:val="24"/>
              </w:rPr>
              <w:t>FR Y-9LP</w:t>
            </w:r>
          </w:p>
        </w:tc>
        <w:tc>
          <w:tcPr>
            <w:tcW w:w="1625" w:type="dxa"/>
            <w:vAlign w:val="center"/>
          </w:tcPr>
          <w:p w:rsidR="00E46321" w:rsidRPr="00B370BE" w:rsidRDefault="00E46321" w:rsidP="007268E6">
            <w:pPr>
              <w:widowControl/>
              <w:tabs>
                <w:tab w:val="right" w:pos="972"/>
              </w:tabs>
              <w:rPr>
                <w:rFonts w:ascii="Times New Roman" w:hAnsi="Times New Roman"/>
                <w:szCs w:val="24"/>
              </w:rPr>
            </w:pPr>
            <w:r w:rsidRPr="00B370BE">
              <w:rPr>
                <w:rFonts w:ascii="Times New Roman" w:hAnsi="Times New Roman"/>
                <w:szCs w:val="24"/>
              </w:rPr>
              <w:tab/>
            </w:r>
            <w:r>
              <w:rPr>
                <w:rFonts w:ascii="Times New Roman" w:hAnsi="Times New Roman"/>
                <w:szCs w:val="24"/>
              </w:rPr>
              <w:t>1,509</w:t>
            </w:r>
          </w:p>
        </w:tc>
        <w:tc>
          <w:tcPr>
            <w:tcW w:w="1625" w:type="dxa"/>
            <w:vAlign w:val="center"/>
          </w:tcPr>
          <w:p w:rsidR="00E46321" w:rsidRPr="00B370BE" w:rsidRDefault="00E46321" w:rsidP="007268E6">
            <w:pPr>
              <w:widowControl/>
              <w:jc w:val="center"/>
              <w:rPr>
                <w:rFonts w:ascii="Times New Roman" w:hAnsi="Times New Roman"/>
                <w:szCs w:val="24"/>
              </w:rPr>
            </w:pPr>
            <w:r w:rsidRPr="00B370BE">
              <w:rPr>
                <w:rFonts w:ascii="Times New Roman" w:hAnsi="Times New Roman"/>
                <w:szCs w:val="24"/>
              </w:rPr>
              <w:t>4</w:t>
            </w:r>
          </w:p>
        </w:tc>
        <w:tc>
          <w:tcPr>
            <w:tcW w:w="1625" w:type="dxa"/>
            <w:vAlign w:val="center"/>
          </w:tcPr>
          <w:p w:rsidR="00E46321" w:rsidRPr="00B370BE" w:rsidRDefault="00E46321" w:rsidP="007268E6">
            <w:pPr>
              <w:widowControl/>
              <w:tabs>
                <w:tab w:val="decimal" w:pos="770"/>
              </w:tabs>
              <w:rPr>
                <w:rFonts w:ascii="Times New Roman" w:hAnsi="Times New Roman"/>
                <w:szCs w:val="24"/>
              </w:rPr>
            </w:pPr>
            <w:r w:rsidRPr="00B370BE">
              <w:rPr>
                <w:rFonts w:ascii="Times New Roman" w:hAnsi="Times New Roman"/>
                <w:szCs w:val="24"/>
              </w:rPr>
              <w:t>5.25</w:t>
            </w:r>
          </w:p>
        </w:tc>
        <w:tc>
          <w:tcPr>
            <w:tcW w:w="1625" w:type="dxa"/>
            <w:tcBorders>
              <w:top w:val="nil"/>
              <w:bottom w:val="nil"/>
            </w:tcBorders>
            <w:shd w:val="clear" w:color="auto" w:fill="auto"/>
            <w:vAlign w:val="bottom"/>
          </w:tcPr>
          <w:p w:rsidR="00E46321" w:rsidRPr="00B370BE" w:rsidRDefault="00E46321" w:rsidP="007268E6">
            <w:pPr>
              <w:widowControl/>
              <w:tabs>
                <w:tab w:val="right" w:pos="1132"/>
              </w:tabs>
              <w:jc w:val="center"/>
              <w:rPr>
                <w:rFonts w:ascii="Times New Roman" w:hAnsi="Times New Roman"/>
                <w:szCs w:val="24"/>
              </w:rPr>
            </w:pPr>
            <w:r w:rsidRPr="00B370BE">
              <w:rPr>
                <w:rFonts w:ascii="Times New Roman" w:hAnsi="Times New Roman"/>
                <w:szCs w:val="24"/>
              </w:rPr>
              <w:t xml:space="preserve">  </w:t>
            </w:r>
            <w:r>
              <w:rPr>
                <w:rFonts w:ascii="Times New Roman" w:hAnsi="Times New Roman"/>
                <w:szCs w:val="24"/>
              </w:rPr>
              <w:t>31,689</w:t>
            </w:r>
          </w:p>
        </w:tc>
      </w:tr>
      <w:tr w:rsidR="00E46321" w:rsidRPr="00B370BE" w:rsidTr="007268E6">
        <w:trPr>
          <w:trHeight w:val="288"/>
          <w:jc w:val="center"/>
        </w:trPr>
        <w:tc>
          <w:tcPr>
            <w:tcW w:w="2880" w:type="dxa"/>
            <w:vAlign w:val="center"/>
          </w:tcPr>
          <w:p w:rsidR="00E46321" w:rsidRPr="00B370BE" w:rsidRDefault="00E46321" w:rsidP="007268E6">
            <w:pPr>
              <w:widowControl/>
              <w:rPr>
                <w:rFonts w:ascii="Times New Roman" w:hAnsi="Times New Roman"/>
                <w:szCs w:val="24"/>
              </w:rPr>
            </w:pPr>
            <w:r w:rsidRPr="00B370BE">
              <w:rPr>
                <w:rFonts w:ascii="Times New Roman" w:hAnsi="Times New Roman"/>
                <w:szCs w:val="24"/>
              </w:rPr>
              <w:t>FR Y-9SP</w:t>
            </w:r>
          </w:p>
        </w:tc>
        <w:tc>
          <w:tcPr>
            <w:tcW w:w="1625" w:type="dxa"/>
            <w:vAlign w:val="center"/>
          </w:tcPr>
          <w:p w:rsidR="00E46321" w:rsidRPr="00B370BE" w:rsidRDefault="00E46321" w:rsidP="007268E6">
            <w:pPr>
              <w:widowControl/>
              <w:tabs>
                <w:tab w:val="right" w:pos="972"/>
              </w:tabs>
              <w:rPr>
                <w:rFonts w:ascii="Times New Roman" w:hAnsi="Times New Roman"/>
                <w:szCs w:val="24"/>
              </w:rPr>
            </w:pPr>
            <w:r w:rsidRPr="00B370BE">
              <w:rPr>
                <w:rFonts w:ascii="Times New Roman" w:hAnsi="Times New Roman"/>
                <w:szCs w:val="24"/>
              </w:rPr>
              <w:tab/>
            </w:r>
            <w:r>
              <w:rPr>
                <w:rFonts w:ascii="Times New Roman" w:hAnsi="Times New Roman"/>
                <w:szCs w:val="24"/>
              </w:rPr>
              <w:t>4,425</w:t>
            </w:r>
          </w:p>
        </w:tc>
        <w:tc>
          <w:tcPr>
            <w:tcW w:w="1625" w:type="dxa"/>
            <w:vAlign w:val="center"/>
          </w:tcPr>
          <w:p w:rsidR="00E46321" w:rsidRPr="00B370BE" w:rsidRDefault="00E46321" w:rsidP="007268E6">
            <w:pPr>
              <w:widowControl/>
              <w:jc w:val="center"/>
              <w:rPr>
                <w:rFonts w:ascii="Times New Roman" w:hAnsi="Times New Roman"/>
                <w:szCs w:val="24"/>
              </w:rPr>
            </w:pPr>
            <w:r w:rsidRPr="00B370BE">
              <w:rPr>
                <w:rFonts w:ascii="Times New Roman" w:hAnsi="Times New Roman"/>
                <w:szCs w:val="24"/>
              </w:rPr>
              <w:t>2</w:t>
            </w:r>
          </w:p>
        </w:tc>
        <w:tc>
          <w:tcPr>
            <w:tcW w:w="1625" w:type="dxa"/>
            <w:vAlign w:val="center"/>
          </w:tcPr>
          <w:p w:rsidR="00E46321" w:rsidRPr="00B370BE" w:rsidRDefault="00E46321" w:rsidP="007268E6">
            <w:pPr>
              <w:widowControl/>
              <w:tabs>
                <w:tab w:val="decimal" w:pos="770"/>
              </w:tabs>
              <w:rPr>
                <w:rFonts w:ascii="Times New Roman" w:hAnsi="Times New Roman"/>
                <w:szCs w:val="24"/>
              </w:rPr>
            </w:pPr>
            <w:r w:rsidRPr="00B370BE">
              <w:rPr>
                <w:rFonts w:ascii="Times New Roman" w:hAnsi="Times New Roman"/>
                <w:szCs w:val="24"/>
              </w:rPr>
              <w:t>5.40</w:t>
            </w:r>
          </w:p>
        </w:tc>
        <w:tc>
          <w:tcPr>
            <w:tcW w:w="1625" w:type="dxa"/>
            <w:tcBorders>
              <w:top w:val="nil"/>
              <w:bottom w:val="nil"/>
            </w:tcBorders>
            <w:shd w:val="clear" w:color="auto" w:fill="auto"/>
            <w:vAlign w:val="bottom"/>
          </w:tcPr>
          <w:p w:rsidR="00E46321" w:rsidRPr="00B370BE" w:rsidRDefault="00E46321" w:rsidP="007268E6">
            <w:pPr>
              <w:widowControl/>
              <w:tabs>
                <w:tab w:val="right" w:pos="1132"/>
              </w:tabs>
              <w:jc w:val="center"/>
              <w:rPr>
                <w:rFonts w:ascii="Times New Roman" w:hAnsi="Times New Roman"/>
                <w:szCs w:val="24"/>
              </w:rPr>
            </w:pPr>
            <w:r w:rsidRPr="00B370BE">
              <w:rPr>
                <w:rFonts w:ascii="Times New Roman" w:hAnsi="Times New Roman"/>
                <w:szCs w:val="24"/>
              </w:rPr>
              <w:t xml:space="preserve">  </w:t>
            </w:r>
            <w:r>
              <w:rPr>
                <w:rFonts w:ascii="Times New Roman" w:hAnsi="Times New Roman"/>
                <w:szCs w:val="24"/>
              </w:rPr>
              <w:t>47,790</w:t>
            </w:r>
          </w:p>
        </w:tc>
      </w:tr>
      <w:tr w:rsidR="00E46321" w:rsidRPr="00B370BE" w:rsidTr="007268E6">
        <w:trPr>
          <w:trHeight w:val="288"/>
          <w:jc w:val="center"/>
        </w:trPr>
        <w:tc>
          <w:tcPr>
            <w:tcW w:w="2880" w:type="dxa"/>
            <w:vAlign w:val="center"/>
          </w:tcPr>
          <w:p w:rsidR="00E46321" w:rsidRPr="00B370BE" w:rsidRDefault="00E46321" w:rsidP="007268E6">
            <w:pPr>
              <w:widowControl/>
              <w:rPr>
                <w:rFonts w:ascii="Times New Roman" w:hAnsi="Times New Roman"/>
                <w:szCs w:val="24"/>
              </w:rPr>
            </w:pPr>
            <w:r w:rsidRPr="00B370BE">
              <w:rPr>
                <w:rFonts w:ascii="Times New Roman" w:hAnsi="Times New Roman"/>
                <w:szCs w:val="24"/>
              </w:rPr>
              <w:t>FR Y-9ES</w:t>
            </w:r>
          </w:p>
        </w:tc>
        <w:tc>
          <w:tcPr>
            <w:tcW w:w="1625" w:type="dxa"/>
            <w:vAlign w:val="center"/>
          </w:tcPr>
          <w:p w:rsidR="00E46321" w:rsidRPr="00B370BE" w:rsidRDefault="00E46321" w:rsidP="007268E6">
            <w:pPr>
              <w:widowControl/>
              <w:tabs>
                <w:tab w:val="right" w:pos="972"/>
              </w:tabs>
              <w:rPr>
                <w:rFonts w:ascii="Times New Roman" w:hAnsi="Times New Roman"/>
                <w:szCs w:val="24"/>
              </w:rPr>
            </w:pPr>
            <w:r w:rsidRPr="00B370BE">
              <w:rPr>
                <w:rFonts w:ascii="Times New Roman" w:hAnsi="Times New Roman"/>
                <w:szCs w:val="24"/>
              </w:rPr>
              <w:tab/>
            </w:r>
            <w:r>
              <w:rPr>
                <w:rFonts w:ascii="Times New Roman" w:hAnsi="Times New Roman"/>
                <w:szCs w:val="24"/>
              </w:rPr>
              <w:t>98</w:t>
            </w:r>
          </w:p>
        </w:tc>
        <w:tc>
          <w:tcPr>
            <w:tcW w:w="1625" w:type="dxa"/>
            <w:vAlign w:val="center"/>
          </w:tcPr>
          <w:p w:rsidR="00E46321" w:rsidRPr="00B370BE" w:rsidRDefault="00E46321" w:rsidP="007268E6">
            <w:pPr>
              <w:widowControl/>
              <w:jc w:val="center"/>
              <w:rPr>
                <w:rFonts w:ascii="Times New Roman" w:hAnsi="Times New Roman"/>
                <w:szCs w:val="24"/>
              </w:rPr>
            </w:pPr>
            <w:r w:rsidRPr="00B370BE">
              <w:rPr>
                <w:rFonts w:ascii="Times New Roman" w:hAnsi="Times New Roman"/>
                <w:szCs w:val="24"/>
              </w:rPr>
              <w:t>1</w:t>
            </w:r>
          </w:p>
        </w:tc>
        <w:tc>
          <w:tcPr>
            <w:tcW w:w="1625" w:type="dxa"/>
            <w:vAlign w:val="center"/>
          </w:tcPr>
          <w:p w:rsidR="00E46321" w:rsidRPr="00B370BE" w:rsidRDefault="00E46321" w:rsidP="007268E6">
            <w:pPr>
              <w:widowControl/>
              <w:tabs>
                <w:tab w:val="decimal" w:pos="770"/>
              </w:tabs>
              <w:rPr>
                <w:rFonts w:ascii="Times New Roman" w:hAnsi="Times New Roman"/>
                <w:szCs w:val="24"/>
              </w:rPr>
            </w:pPr>
            <w:r w:rsidRPr="00B370BE">
              <w:rPr>
                <w:rFonts w:ascii="Times New Roman" w:hAnsi="Times New Roman"/>
                <w:szCs w:val="24"/>
              </w:rPr>
              <w:t>0.50</w:t>
            </w:r>
          </w:p>
        </w:tc>
        <w:tc>
          <w:tcPr>
            <w:tcW w:w="1625" w:type="dxa"/>
            <w:tcBorders>
              <w:top w:val="nil"/>
              <w:bottom w:val="nil"/>
            </w:tcBorders>
            <w:shd w:val="clear" w:color="auto" w:fill="auto"/>
            <w:vAlign w:val="bottom"/>
          </w:tcPr>
          <w:p w:rsidR="00E46321" w:rsidRPr="00B370BE" w:rsidRDefault="00E46321" w:rsidP="007268E6">
            <w:pPr>
              <w:widowControl/>
              <w:tabs>
                <w:tab w:val="right" w:pos="1132"/>
              </w:tabs>
              <w:jc w:val="center"/>
              <w:rPr>
                <w:rFonts w:ascii="Times New Roman" w:hAnsi="Times New Roman"/>
                <w:szCs w:val="24"/>
              </w:rPr>
            </w:pPr>
            <w:r w:rsidRPr="00B370BE">
              <w:rPr>
                <w:rFonts w:ascii="Times New Roman" w:hAnsi="Times New Roman"/>
                <w:szCs w:val="24"/>
              </w:rPr>
              <w:t xml:space="preserve">        49</w:t>
            </w:r>
          </w:p>
        </w:tc>
      </w:tr>
      <w:tr w:rsidR="00E46321" w:rsidRPr="00B370BE" w:rsidTr="007268E6">
        <w:trPr>
          <w:trHeight w:val="288"/>
          <w:jc w:val="center"/>
        </w:trPr>
        <w:tc>
          <w:tcPr>
            <w:tcW w:w="2880" w:type="dxa"/>
            <w:vAlign w:val="center"/>
          </w:tcPr>
          <w:p w:rsidR="00E46321" w:rsidRPr="00B370BE" w:rsidRDefault="00E46321" w:rsidP="007268E6">
            <w:pPr>
              <w:widowControl/>
              <w:rPr>
                <w:rFonts w:ascii="Times New Roman" w:hAnsi="Times New Roman"/>
                <w:szCs w:val="24"/>
              </w:rPr>
            </w:pPr>
            <w:r w:rsidRPr="00B370BE">
              <w:rPr>
                <w:rFonts w:ascii="Times New Roman" w:hAnsi="Times New Roman"/>
                <w:szCs w:val="24"/>
              </w:rPr>
              <w:t>FR Y-9CS</w:t>
            </w:r>
          </w:p>
        </w:tc>
        <w:tc>
          <w:tcPr>
            <w:tcW w:w="1625" w:type="dxa"/>
            <w:vAlign w:val="center"/>
          </w:tcPr>
          <w:p w:rsidR="00E46321" w:rsidRPr="00B370BE" w:rsidRDefault="003A5D40" w:rsidP="007268E6">
            <w:pPr>
              <w:widowControl/>
              <w:tabs>
                <w:tab w:val="right" w:pos="972"/>
              </w:tabs>
              <w:rPr>
                <w:rFonts w:ascii="Times New Roman" w:hAnsi="Times New Roman"/>
                <w:szCs w:val="24"/>
                <w:u w:val="single"/>
              </w:rPr>
            </w:pPr>
            <w:r>
              <w:rPr>
                <w:rFonts w:ascii="Times New Roman" w:hAnsi="Times New Roman"/>
                <w:szCs w:val="24"/>
              </w:rPr>
              <w:tab/>
            </w:r>
            <w:r w:rsidR="00E46321">
              <w:rPr>
                <w:rFonts w:ascii="Times New Roman" w:hAnsi="Times New Roman"/>
                <w:szCs w:val="24"/>
                <w:u w:val="single"/>
              </w:rPr>
              <w:t xml:space="preserve">   236</w:t>
            </w:r>
          </w:p>
        </w:tc>
        <w:tc>
          <w:tcPr>
            <w:tcW w:w="1625" w:type="dxa"/>
            <w:vAlign w:val="center"/>
          </w:tcPr>
          <w:p w:rsidR="00E46321" w:rsidRPr="00B370BE" w:rsidRDefault="00E46321" w:rsidP="007268E6">
            <w:pPr>
              <w:widowControl/>
              <w:jc w:val="center"/>
              <w:rPr>
                <w:rFonts w:ascii="Times New Roman" w:hAnsi="Times New Roman"/>
                <w:szCs w:val="24"/>
              </w:rPr>
            </w:pPr>
            <w:r w:rsidRPr="00B370BE">
              <w:rPr>
                <w:rFonts w:ascii="Times New Roman" w:hAnsi="Times New Roman"/>
                <w:szCs w:val="24"/>
              </w:rPr>
              <w:t>4</w:t>
            </w:r>
          </w:p>
        </w:tc>
        <w:tc>
          <w:tcPr>
            <w:tcW w:w="1625" w:type="dxa"/>
            <w:vAlign w:val="center"/>
          </w:tcPr>
          <w:p w:rsidR="00E46321" w:rsidRPr="00B370BE" w:rsidRDefault="00E46321" w:rsidP="007268E6">
            <w:pPr>
              <w:widowControl/>
              <w:tabs>
                <w:tab w:val="decimal" w:pos="770"/>
              </w:tabs>
              <w:rPr>
                <w:rFonts w:ascii="Times New Roman" w:hAnsi="Times New Roman"/>
                <w:szCs w:val="24"/>
              </w:rPr>
            </w:pPr>
            <w:r w:rsidRPr="00B370BE">
              <w:rPr>
                <w:rFonts w:ascii="Times New Roman" w:hAnsi="Times New Roman"/>
                <w:szCs w:val="24"/>
              </w:rPr>
              <w:t>0.50</w:t>
            </w:r>
          </w:p>
        </w:tc>
        <w:tc>
          <w:tcPr>
            <w:tcW w:w="1625" w:type="dxa"/>
            <w:tcBorders>
              <w:top w:val="nil"/>
              <w:bottom w:val="nil"/>
            </w:tcBorders>
            <w:shd w:val="clear" w:color="auto" w:fill="auto"/>
            <w:vAlign w:val="bottom"/>
          </w:tcPr>
          <w:p w:rsidR="00E46321" w:rsidRPr="00B370BE" w:rsidRDefault="00E46321" w:rsidP="007268E6">
            <w:pPr>
              <w:widowControl/>
              <w:tabs>
                <w:tab w:val="right" w:pos="1132"/>
              </w:tabs>
              <w:jc w:val="center"/>
              <w:rPr>
                <w:rFonts w:ascii="Times New Roman" w:hAnsi="Times New Roman"/>
                <w:szCs w:val="24"/>
                <w:u w:val="single"/>
              </w:rPr>
            </w:pPr>
            <w:r w:rsidRPr="00B370BE">
              <w:rPr>
                <w:rFonts w:ascii="Times New Roman" w:hAnsi="Times New Roman"/>
                <w:szCs w:val="24"/>
                <w:u w:val="single"/>
              </w:rPr>
              <w:t xml:space="preserve">      472</w:t>
            </w:r>
          </w:p>
        </w:tc>
      </w:tr>
      <w:tr w:rsidR="00E46321" w:rsidRPr="00B370BE" w:rsidTr="007268E6">
        <w:trPr>
          <w:trHeight w:val="288"/>
          <w:jc w:val="center"/>
        </w:trPr>
        <w:tc>
          <w:tcPr>
            <w:tcW w:w="2880" w:type="dxa"/>
            <w:vAlign w:val="center"/>
          </w:tcPr>
          <w:p w:rsidR="00E46321" w:rsidRPr="00B370BE" w:rsidRDefault="00E46321" w:rsidP="007268E6">
            <w:pPr>
              <w:widowControl/>
              <w:jc w:val="right"/>
              <w:rPr>
                <w:rFonts w:ascii="Times New Roman" w:hAnsi="Times New Roman"/>
                <w:szCs w:val="24"/>
              </w:rPr>
            </w:pPr>
            <w:r w:rsidRPr="00B370BE">
              <w:rPr>
                <w:rFonts w:ascii="Times New Roman" w:hAnsi="Times New Roman"/>
                <w:i/>
                <w:szCs w:val="24"/>
              </w:rPr>
              <w:t>Total</w:t>
            </w:r>
          </w:p>
        </w:tc>
        <w:tc>
          <w:tcPr>
            <w:tcW w:w="1625" w:type="dxa"/>
            <w:vAlign w:val="center"/>
          </w:tcPr>
          <w:p w:rsidR="00E46321" w:rsidRPr="00B370BE" w:rsidRDefault="003A5D40" w:rsidP="007268E6">
            <w:pPr>
              <w:widowControl/>
              <w:tabs>
                <w:tab w:val="right" w:pos="972"/>
              </w:tabs>
              <w:rPr>
                <w:rFonts w:ascii="Times New Roman" w:hAnsi="Times New Roman"/>
                <w:szCs w:val="24"/>
              </w:rPr>
            </w:pPr>
            <w:r>
              <w:rPr>
                <w:rFonts w:ascii="Times New Roman" w:hAnsi="Times New Roman"/>
                <w:szCs w:val="24"/>
              </w:rPr>
              <w:tab/>
            </w:r>
            <w:r w:rsidR="00E46321">
              <w:rPr>
                <w:rFonts w:ascii="Times New Roman" w:hAnsi="Times New Roman"/>
                <w:szCs w:val="24"/>
              </w:rPr>
              <w:t>7,433</w:t>
            </w:r>
          </w:p>
        </w:tc>
        <w:tc>
          <w:tcPr>
            <w:tcW w:w="1625" w:type="dxa"/>
          </w:tcPr>
          <w:p w:rsidR="00E46321" w:rsidRPr="00B370BE" w:rsidRDefault="00E46321" w:rsidP="007268E6">
            <w:pPr>
              <w:widowControl/>
              <w:jc w:val="center"/>
              <w:rPr>
                <w:rFonts w:ascii="Times New Roman" w:hAnsi="Times New Roman"/>
                <w:szCs w:val="24"/>
              </w:rPr>
            </w:pPr>
          </w:p>
        </w:tc>
        <w:tc>
          <w:tcPr>
            <w:tcW w:w="1625" w:type="dxa"/>
            <w:vAlign w:val="center"/>
          </w:tcPr>
          <w:p w:rsidR="00E46321" w:rsidRPr="00B370BE" w:rsidRDefault="00E46321" w:rsidP="007268E6">
            <w:pPr>
              <w:widowControl/>
              <w:tabs>
                <w:tab w:val="decimal" w:pos="770"/>
              </w:tabs>
              <w:rPr>
                <w:rFonts w:ascii="Times New Roman" w:hAnsi="Times New Roman"/>
                <w:szCs w:val="24"/>
              </w:rPr>
            </w:pPr>
          </w:p>
        </w:tc>
        <w:tc>
          <w:tcPr>
            <w:tcW w:w="1625" w:type="dxa"/>
            <w:tcBorders>
              <w:top w:val="nil"/>
              <w:bottom w:val="nil"/>
            </w:tcBorders>
            <w:shd w:val="clear" w:color="auto" w:fill="auto"/>
            <w:vAlign w:val="bottom"/>
          </w:tcPr>
          <w:p w:rsidR="00E46321" w:rsidRPr="00B370BE" w:rsidRDefault="006D53E2" w:rsidP="00D1705E">
            <w:pPr>
              <w:widowControl/>
              <w:tabs>
                <w:tab w:val="right" w:pos="1132"/>
              </w:tabs>
              <w:jc w:val="center"/>
              <w:rPr>
                <w:rFonts w:ascii="Times New Roman" w:hAnsi="Times New Roman"/>
                <w:szCs w:val="24"/>
              </w:rPr>
            </w:pPr>
            <w:r>
              <w:rPr>
                <w:rFonts w:ascii="Times New Roman" w:hAnsi="Times New Roman"/>
                <w:szCs w:val="24"/>
              </w:rPr>
              <w:t>290,166</w:t>
            </w:r>
          </w:p>
        </w:tc>
      </w:tr>
      <w:tr w:rsidR="00E46321" w:rsidRPr="00B370BE" w:rsidTr="007268E6">
        <w:trPr>
          <w:trHeight w:val="288"/>
          <w:jc w:val="center"/>
        </w:trPr>
        <w:tc>
          <w:tcPr>
            <w:tcW w:w="2880" w:type="dxa"/>
            <w:vAlign w:val="center"/>
          </w:tcPr>
          <w:p w:rsidR="00E46321" w:rsidRPr="00B370BE" w:rsidRDefault="00E46321" w:rsidP="007268E6">
            <w:pPr>
              <w:widowControl/>
              <w:jc w:val="right"/>
              <w:rPr>
                <w:rFonts w:ascii="Times New Roman" w:hAnsi="Times New Roman"/>
                <w:i/>
                <w:szCs w:val="24"/>
              </w:rPr>
            </w:pPr>
          </w:p>
          <w:p w:rsidR="00E46321" w:rsidRPr="00B370BE" w:rsidRDefault="00E46321" w:rsidP="007268E6">
            <w:pPr>
              <w:widowControl/>
              <w:jc w:val="right"/>
              <w:rPr>
                <w:rFonts w:ascii="Times New Roman" w:hAnsi="Times New Roman"/>
                <w:i/>
                <w:szCs w:val="24"/>
              </w:rPr>
            </w:pPr>
            <w:r w:rsidRPr="00B370BE">
              <w:rPr>
                <w:rFonts w:ascii="Times New Roman" w:hAnsi="Times New Roman"/>
                <w:i/>
                <w:szCs w:val="24"/>
              </w:rPr>
              <w:t>Change</w:t>
            </w:r>
          </w:p>
        </w:tc>
        <w:tc>
          <w:tcPr>
            <w:tcW w:w="1625" w:type="dxa"/>
            <w:vAlign w:val="center"/>
          </w:tcPr>
          <w:p w:rsidR="00E46321" w:rsidRPr="00B370BE" w:rsidRDefault="00E46321" w:rsidP="007268E6">
            <w:pPr>
              <w:widowControl/>
              <w:tabs>
                <w:tab w:val="right" w:pos="972"/>
              </w:tabs>
              <w:rPr>
                <w:rFonts w:ascii="Times New Roman" w:hAnsi="Times New Roman"/>
                <w:szCs w:val="24"/>
              </w:rPr>
            </w:pPr>
            <w:r w:rsidRPr="00B370BE">
              <w:rPr>
                <w:rFonts w:ascii="Times New Roman" w:hAnsi="Times New Roman"/>
                <w:szCs w:val="24"/>
              </w:rPr>
              <w:t xml:space="preserve"> </w:t>
            </w:r>
          </w:p>
          <w:p w:rsidR="00E46321" w:rsidRPr="00B370BE" w:rsidRDefault="00E46321" w:rsidP="003A5D40">
            <w:pPr>
              <w:widowControl/>
              <w:tabs>
                <w:tab w:val="right" w:pos="972"/>
              </w:tabs>
              <w:rPr>
                <w:rFonts w:ascii="Times New Roman" w:hAnsi="Times New Roman"/>
                <w:szCs w:val="24"/>
              </w:rPr>
            </w:pPr>
            <w:r w:rsidRPr="00B370BE">
              <w:rPr>
                <w:rFonts w:ascii="Times New Roman" w:hAnsi="Times New Roman"/>
                <w:szCs w:val="24"/>
              </w:rPr>
              <w:t xml:space="preserve">        </w:t>
            </w:r>
            <w:r>
              <w:rPr>
                <w:rFonts w:ascii="Times New Roman" w:hAnsi="Times New Roman"/>
                <w:szCs w:val="24"/>
              </w:rPr>
              <w:t>+</w:t>
            </w:r>
            <w:r w:rsidR="00D1705E">
              <w:rPr>
                <w:rFonts w:ascii="Times New Roman" w:hAnsi="Times New Roman"/>
                <w:szCs w:val="24"/>
              </w:rPr>
              <w:t>644</w:t>
            </w:r>
          </w:p>
        </w:tc>
        <w:tc>
          <w:tcPr>
            <w:tcW w:w="1625" w:type="dxa"/>
          </w:tcPr>
          <w:p w:rsidR="00E46321" w:rsidRPr="00B370BE" w:rsidRDefault="00E46321" w:rsidP="007268E6">
            <w:pPr>
              <w:widowControl/>
              <w:jc w:val="center"/>
              <w:rPr>
                <w:rFonts w:ascii="Times New Roman" w:hAnsi="Times New Roman"/>
                <w:szCs w:val="24"/>
              </w:rPr>
            </w:pPr>
          </w:p>
        </w:tc>
        <w:tc>
          <w:tcPr>
            <w:tcW w:w="1625" w:type="dxa"/>
            <w:vAlign w:val="center"/>
          </w:tcPr>
          <w:p w:rsidR="00E46321" w:rsidRPr="00B370BE" w:rsidRDefault="00E46321" w:rsidP="007268E6">
            <w:pPr>
              <w:widowControl/>
              <w:tabs>
                <w:tab w:val="decimal" w:pos="770"/>
              </w:tabs>
              <w:rPr>
                <w:rFonts w:ascii="Times New Roman" w:hAnsi="Times New Roman"/>
                <w:szCs w:val="24"/>
              </w:rPr>
            </w:pPr>
          </w:p>
        </w:tc>
        <w:tc>
          <w:tcPr>
            <w:tcW w:w="1625" w:type="dxa"/>
            <w:tcBorders>
              <w:top w:val="nil"/>
              <w:bottom w:val="single" w:sz="4" w:space="0" w:color="auto"/>
            </w:tcBorders>
            <w:shd w:val="clear" w:color="auto" w:fill="auto"/>
            <w:vAlign w:val="bottom"/>
          </w:tcPr>
          <w:p w:rsidR="00E46321" w:rsidRPr="00B370BE" w:rsidRDefault="00E46321" w:rsidP="006D53E2">
            <w:pPr>
              <w:tabs>
                <w:tab w:val="right" w:pos="1152"/>
              </w:tabs>
              <w:jc w:val="center"/>
              <w:rPr>
                <w:rFonts w:ascii="Times New Roman" w:hAnsi="Times New Roman"/>
                <w:szCs w:val="24"/>
              </w:rPr>
            </w:pPr>
            <w:r w:rsidRPr="00B370BE">
              <w:rPr>
                <w:rFonts w:ascii="Times New Roman" w:hAnsi="Times New Roman"/>
                <w:szCs w:val="24"/>
              </w:rPr>
              <w:t>+</w:t>
            </w:r>
            <w:r w:rsidR="006D53E2">
              <w:rPr>
                <w:rFonts w:ascii="Times New Roman" w:hAnsi="Times New Roman"/>
                <w:szCs w:val="24"/>
              </w:rPr>
              <w:t>33,130</w:t>
            </w:r>
          </w:p>
        </w:tc>
      </w:tr>
    </w:tbl>
    <w:p w:rsidR="00E46321" w:rsidRPr="00B370BE" w:rsidRDefault="00E46321" w:rsidP="00E46321">
      <w:pPr>
        <w:widowControl/>
        <w:ind w:firstLine="720"/>
        <w:rPr>
          <w:rFonts w:ascii="Times New Roman" w:hAnsi="Times New Roman"/>
          <w:szCs w:val="24"/>
        </w:rPr>
      </w:pPr>
    </w:p>
    <w:p w:rsidR="00301732" w:rsidRDefault="00301732">
      <w:pPr>
        <w:widowControl/>
        <w:rPr>
          <w:rFonts w:ascii="Times New Roman" w:hAnsi="Times New Roman"/>
          <w:b/>
          <w:szCs w:val="24"/>
        </w:rPr>
      </w:pPr>
      <w:r>
        <w:rPr>
          <w:rFonts w:ascii="Times New Roman" w:hAnsi="Times New Roman"/>
          <w:b/>
          <w:szCs w:val="24"/>
        </w:rPr>
        <w:br w:type="page"/>
      </w:r>
    </w:p>
    <w:p w:rsidR="000F129C" w:rsidRPr="00052285" w:rsidRDefault="000F129C" w:rsidP="000F129C">
      <w:pPr>
        <w:widowControl/>
        <w:ind w:firstLine="720"/>
        <w:rPr>
          <w:rFonts w:ascii="Times New Roman" w:hAnsi="Times New Roman"/>
          <w:b/>
          <w:szCs w:val="24"/>
        </w:rPr>
      </w:pPr>
      <w:r w:rsidRPr="00052285">
        <w:rPr>
          <w:rFonts w:ascii="Times New Roman" w:hAnsi="Times New Roman"/>
          <w:b/>
          <w:szCs w:val="24"/>
        </w:rPr>
        <w:lastRenderedPageBreak/>
        <w:t>FR Y-6 and FR Y-7</w:t>
      </w:r>
    </w:p>
    <w:p w:rsidR="000F129C" w:rsidRPr="00052285" w:rsidRDefault="000F129C" w:rsidP="000F129C">
      <w:pPr>
        <w:widowControl/>
        <w:ind w:firstLine="720"/>
        <w:rPr>
          <w:rFonts w:ascii="Times New Roman" w:hAnsi="Times New Roman"/>
          <w:b/>
          <w:szCs w:val="24"/>
        </w:rPr>
      </w:pPr>
    </w:p>
    <w:p w:rsidR="000F129C" w:rsidRDefault="000F129C" w:rsidP="000F129C">
      <w:pPr>
        <w:widowControl/>
        <w:ind w:firstLine="720"/>
        <w:rPr>
          <w:rFonts w:ascii="Times New Roman" w:hAnsi="Times New Roman"/>
          <w:szCs w:val="24"/>
        </w:rPr>
      </w:pPr>
      <w:r>
        <w:rPr>
          <w:rFonts w:ascii="Times New Roman" w:hAnsi="Times New Roman"/>
          <w:szCs w:val="24"/>
        </w:rPr>
        <w:t>As shown in the following table, t</w:t>
      </w:r>
      <w:r w:rsidRPr="00B370BE">
        <w:rPr>
          <w:rFonts w:ascii="Times New Roman" w:hAnsi="Times New Roman"/>
          <w:szCs w:val="24"/>
        </w:rPr>
        <w:t xml:space="preserve">he current annual reporting burden for the </w:t>
      </w:r>
      <w:r w:rsidR="00D142AD">
        <w:rPr>
          <w:rFonts w:ascii="Times New Roman" w:hAnsi="Times New Roman"/>
          <w:szCs w:val="24"/>
        </w:rPr>
        <w:t>FR Y-6 and FR Y-7 annual</w:t>
      </w:r>
      <w:r w:rsidRPr="00A2357F">
        <w:rPr>
          <w:rFonts w:ascii="Times New Roman" w:hAnsi="Times New Roman"/>
          <w:color w:val="000000"/>
          <w:szCs w:val="24"/>
        </w:rPr>
        <w:t xml:space="preserve"> report</w:t>
      </w:r>
      <w:r>
        <w:rPr>
          <w:rFonts w:ascii="Times New Roman" w:hAnsi="Times New Roman"/>
          <w:color w:val="000000"/>
          <w:szCs w:val="24"/>
        </w:rPr>
        <w:t xml:space="preserve">s </w:t>
      </w:r>
      <w:r w:rsidRPr="00B370BE">
        <w:rPr>
          <w:rFonts w:ascii="Times New Roman" w:hAnsi="Times New Roman"/>
          <w:szCs w:val="24"/>
        </w:rPr>
        <w:t xml:space="preserve">is estimated to be </w:t>
      </w:r>
      <w:r>
        <w:rPr>
          <w:rFonts w:ascii="Times New Roman" w:hAnsi="Times New Roman"/>
          <w:szCs w:val="24"/>
        </w:rPr>
        <w:t xml:space="preserve">27,201 hours </w:t>
      </w:r>
      <w:r w:rsidRPr="00B370BE">
        <w:rPr>
          <w:rFonts w:ascii="Times New Roman" w:hAnsi="Times New Roman"/>
          <w:szCs w:val="24"/>
        </w:rPr>
        <w:t xml:space="preserve">and would increase to </w:t>
      </w:r>
      <w:r>
        <w:rPr>
          <w:rFonts w:ascii="Times New Roman" w:hAnsi="Times New Roman"/>
          <w:szCs w:val="24"/>
        </w:rPr>
        <w:t>29,509</w:t>
      </w:r>
      <w:r w:rsidR="00531434">
        <w:rPr>
          <w:rFonts w:ascii="Times New Roman" w:hAnsi="Times New Roman"/>
          <w:szCs w:val="24"/>
        </w:rPr>
        <w:t xml:space="preserve"> hours</w:t>
      </w:r>
      <w:r>
        <w:rPr>
          <w:rFonts w:ascii="Times New Roman" w:hAnsi="Times New Roman"/>
          <w:szCs w:val="24"/>
        </w:rPr>
        <w:t>, effective 2012</w:t>
      </w:r>
      <w:r w:rsidRPr="00B370BE">
        <w:rPr>
          <w:rFonts w:ascii="Times New Roman" w:hAnsi="Times New Roman"/>
          <w:szCs w:val="24"/>
        </w:rPr>
        <w:t>.</w:t>
      </w:r>
      <w:r>
        <w:rPr>
          <w:rFonts w:ascii="Times New Roman" w:hAnsi="Times New Roman"/>
          <w:szCs w:val="24"/>
        </w:rPr>
        <w:t xml:space="preserve">  </w:t>
      </w:r>
      <w:r w:rsidRPr="00B370BE">
        <w:rPr>
          <w:rFonts w:ascii="Times New Roman" w:hAnsi="Times New Roman"/>
          <w:szCs w:val="24"/>
        </w:rPr>
        <w:t xml:space="preserve">The </w:t>
      </w:r>
      <w:r w:rsidR="00486789">
        <w:rPr>
          <w:rFonts w:ascii="Times New Roman" w:hAnsi="Times New Roman"/>
          <w:szCs w:val="24"/>
        </w:rPr>
        <w:t xml:space="preserve">estimated </w:t>
      </w:r>
      <w:r w:rsidRPr="00B370BE">
        <w:rPr>
          <w:rFonts w:ascii="Times New Roman" w:hAnsi="Times New Roman"/>
          <w:szCs w:val="24"/>
        </w:rPr>
        <w:t>annual burden for the</w:t>
      </w:r>
      <w:r w:rsidR="00D142AD">
        <w:rPr>
          <w:rFonts w:ascii="Times New Roman" w:hAnsi="Times New Roman"/>
          <w:szCs w:val="24"/>
        </w:rPr>
        <w:t>se annual</w:t>
      </w:r>
      <w:r>
        <w:rPr>
          <w:rFonts w:ascii="Times New Roman" w:hAnsi="Times New Roman"/>
          <w:szCs w:val="24"/>
        </w:rPr>
        <w:t xml:space="preserve"> reports </w:t>
      </w:r>
      <w:r w:rsidRPr="00B370BE">
        <w:rPr>
          <w:rFonts w:ascii="Times New Roman" w:hAnsi="Times New Roman"/>
          <w:szCs w:val="24"/>
        </w:rPr>
        <w:t>represent</w:t>
      </w:r>
      <w:r w:rsidR="00486789">
        <w:rPr>
          <w:rFonts w:ascii="Times New Roman" w:hAnsi="Times New Roman"/>
          <w:szCs w:val="24"/>
        </w:rPr>
        <w:t>s</w:t>
      </w:r>
      <w:r w:rsidRPr="00B370BE">
        <w:rPr>
          <w:rFonts w:ascii="Times New Roman" w:hAnsi="Times New Roman"/>
          <w:szCs w:val="24"/>
        </w:rPr>
        <w:t xml:space="preserve"> less than </w:t>
      </w:r>
      <w:r>
        <w:rPr>
          <w:rFonts w:ascii="Times New Roman" w:hAnsi="Times New Roman"/>
          <w:szCs w:val="24"/>
        </w:rPr>
        <w:t>1</w:t>
      </w:r>
      <w:r w:rsidRPr="00B370BE">
        <w:rPr>
          <w:rFonts w:ascii="Times New Roman" w:hAnsi="Times New Roman"/>
          <w:szCs w:val="24"/>
        </w:rPr>
        <w:t xml:space="preserve"> percent of total Federal Reserve System paperwork burden.</w:t>
      </w:r>
    </w:p>
    <w:p w:rsidR="000F129C" w:rsidRPr="00B370BE" w:rsidRDefault="000F129C" w:rsidP="000F129C">
      <w:pPr>
        <w:widowControl/>
        <w:rPr>
          <w:rFonts w:ascii="Times New Roman" w:hAnsi="Times New Roman"/>
          <w:szCs w:val="24"/>
        </w:rPr>
      </w:pPr>
    </w:p>
    <w:p w:rsidR="000F129C" w:rsidRPr="00B370BE" w:rsidRDefault="000F129C" w:rsidP="000F129C">
      <w:pPr>
        <w:widowControl/>
        <w:rPr>
          <w:rFonts w:ascii="Times New Roman" w:hAnsi="Times New Roman"/>
          <w:szCs w:val="24"/>
        </w:rPr>
      </w:pPr>
    </w:p>
    <w:tbl>
      <w:tblPr>
        <w:tblW w:w="0" w:type="auto"/>
        <w:jc w:val="center"/>
        <w:tblInd w:w="18" w:type="dxa"/>
        <w:tblBorders>
          <w:top w:val="single" w:sz="4" w:space="0" w:color="auto"/>
          <w:bottom w:val="single" w:sz="4" w:space="0" w:color="auto"/>
        </w:tblBorders>
        <w:tblLayout w:type="fixed"/>
        <w:tblLook w:val="01E0"/>
      </w:tblPr>
      <w:tblGrid>
        <w:gridCol w:w="2880"/>
        <w:gridCol w:w="1625"/>
        <w:gridCol w:w="1625"/>
        <w:gridCol w:w="1625"/>
        <w:gridCol w:w="1625"/>
      </w:tblGrid>
      <w:tr w:rsidR="000F129C" w:rsidRPr="00B370BE" w:rsidTr="000F129C">
        <w:trPr>
          <w:jc w:val="center"/>
        </w:trPr>
        <w:tc>
          <w:tcPr>
            <w:tcW w:w="2880" w:type="dxa"/>
            <w:tcBorders>
              <w:top w:val="single" w:sz="4" w:space="0" w:color="auto"/>
              <w:bottom w:val="single" w:sz="4" w:space="0" w:color="auto"/>
            </w:tcBorders>
            <w:vAlign w:val="bottom"/>
          </w:tcPr>
          <w:p w:rsidR="000F129C" w:rsidRPr="00B370BE" w:rsidRDefault="000F129C" w:rsidP="000F129C">
            <w:pPr>
              <w:widowControl/>
              <w:rPr>
                <w:rFonts w:ascii="Times New Roman" w:hAnsi="Times New Roman"/>
                <w:szCs w:val="24"/>
              </w:rPr>
            </w:pPr>
            <w:r w:rsidRPr="00B370BE">
              <w:rPr>
                <w:rFonts w:ascii="Times New Roman" w:hAnsi="Times New Roman"/>
                <w:szCs w:val="24"/>
              </w:rPr>
              <w:br w:type="page"/>
            </w:r>
          </w:p>
        </w:tc>
        <w:tc>
          <w:tcPr>
            <w:tcW w:w="1625" w:type="dxa"/>
            <w:tcBorders>
              <w:top w:val="single" w:sz="4" w:space="0" w:color="auto"/>
              <w:bottom w:val="single" w:sz="4" w:space="0" w:color="auto"/>
            </w:tcBorders>
            <w:vAlign w:val="bottom"/>
          </w:tcPr>
          <w:p w:rsidR="000F129C" w:rsidRPr="00B370BE" w:rsidRDefault="000F129C" w:rsidP="000F129C">
            <w:pPr>
              <w:widowControl/>
              <w:tabs>
                <w:tab w:val="left" w:pos="720"/>
              </w:tabs>
              <w:jc w:val="center"/>
              <w:rPr>
                <w:rFonts w:ascii="Times New Roman" w:hAnsi="Times New Roman"/>
                <w:i/>
                <w:szCs w:val="24"/>
              </w:rPr>
            </w:pPr>
            <w:r w:rsidRPr="00B370BE">
              <w:rPr>
                <w:rFonts w:ascii="Times New Roman" w:hAnsi="Times New Roman"/>
                <w:i/>
                <w:szCs w:val="24"/>
              </w:rPr>
              <w:t>Number</w:t>
            </w:r>
          </w:p>
          <w:p w:rsidR="000F129C" w:rsidRPr="00B370BE" w:rsidRDefault="000F129C" w:rsidP="000F129C">
            <w:pPr>
              <w:widowControl/>
              <w:tabs>
                <w:tab w:val="left" w:pos="720"/>
              </w:tabs>
              <w:jc w:val="center"/>
              <w:rPr>
                <w:rFonts w:ascii="Times New Roman" w:hAnsi="Times New Roman"/>
                <w:i/>
                <w:szCs w:val="24"/>
              </w:rPr>
            </w:pPr>
            <w:r w:rsidRPr="00B370BE">
              <w:rPr>
                <w:rFonts w:ascii="Times New Roman" w:hAnsi="Times New Roman"/>
                <w:i/>
                <w:szCs w:val="24"/>
              </w:rPr>
              <w:t>of</w:t>
            </w:r>
          </w:p>
          <w:p w:rsidR="000F129C" w:rsidRPr="00B370BE" w:rsidRDefault="000F129C" w:rsidP="000F129C">
            <w:pPr>
              <w:widowControl/>
              <w:tabs>
                <w:tab w:val="left" w:pos="720"/>
              </w:tabs>
              <w:jc w:val="center"/>
              <w:rPr>
                <w:rFonts w:ascii="Times New Roman" w:hAnsi="Times New Roman"/>
                <w:i/>
                <w:szCs w:val="24"/>
              </w:rPr>
            </w:pPr>
            <w:r w:rsidRPr="00B370BE">
              <w:rPr>
                <w:rFonts w:ascii="Times New Roman" w:hAnsi="Times New Roman"/>
                <w:i/>
                <w:szCs w:val="24"/>
              </w:rPr>
              <w:t>respondents</w:t>
            </w:r>
          </w:p>
        </w:tc>
        <w:tc>
          <w:tcPr>
            <w:tcW w:w="1625" w:type="dxa"/>
            <w:tcBorders>
              <w:top w:val="single" w:sz="4" w:space="0" w:color="auto"/>
              <w:bottom w:val="single" w:sz="4" w:space="0" w:color="auto"/>
            </w:tcBorders>
            <w:vAlign w:val="bottom"/>
          </w:tcPr>
          <w:p w:rsidR="000F129C" w:rsidRPr="00B370BE" w:rsidRDefault="000F129C" w:rsidP="000F129C">
            <w:pPr>
              <w:widowControl/>
              <w:tabs>
                <w:tab w:val="left" w:pos="720"/>
              </w:tabs>
              <w:jc w:val="center"/>
              <w:rPr>
                <w:rFonts w:ascii="Times New Roman" w:hAnsi="Times New Roman"/>
                <w:i/>
                <w:szCs w:val="24"/>
              </w:rPr>
            </w:pPr>
            <w:r w:rsidRPr="00B370BE">
              <w:rPr>
                <w:rFonts w:ascii="Times New Roman" w:hAnsi="Times New Roman"/>
                <w:i/>
                <w:szCs w:val="24"/>
              </w:rPr>
              <w:t>Annual</w:t>
            </w:r>
          </w:p>
          <w:p w:rsidR="000F129C" w:rsidRPr="00B370BE" w:rsidRDefault="000F129C" w:rsidP="000F129C">
            <w:pPr>
              <w:widowControl/>
              <w:tabs>
                <w:tab w:val="left" w:pos="720"/>
              </w:tabs>
              <w:jc w:val="center"/>
              <w:rPr>
                <w:rFonts w:ascii="Times New Roman" w:hAnsi="Times New Roman"/>
                <w:i/>
                <w:szCs w:val="24"/>
              </w:rPr>
            </w:pPr>
            <w:r w:rsidRPr="00B370BE">
              <w:rPr>
                <w:rFonts w:ascii="Times New Roman" w:hAnsi="Times New Roman"/>
                <w:i/>
                <w:szCs w:val="24"/>
              </w:rPr>
              <w:t>frequency</w:t>
            </w:r>
          </w:p>
        </w:tc>
        <w:tc>
          <w:tcPr>
            <w:tcW w:w="1625" w:type="dxa"/>
            <w:tcBorders>
              <w:top w:val="single" w:sz="4" w:space="0" w:color="auto"/>
              <w:bottom w:val="single" w:sz="4" w:space="0" w:color="auto"/>
            </w:tcBorders>
            <w:vAlign w:val="bottom"/>
          </w:tcPr>
          <w:p w:rsidR="000F129C" w:rsidRPr="00B370BE" w:rsidRDefault="000F129C" w:rsidP="000F129C">
            <w:pPr>
              <w:widowControl/>
              <w:tabs>
                <w:tab w:val="left" w:pos="720"/>
              </w:tabs>
              <w:jc w:val="center"/>
              <w:rPr>
                <w:rFonts w:ascii="Times New Roman" w:hAnsi="Times New Roman"/>
                <w:i/>
                <w:szCs w:val="24"/>
              </w:rPr>
            </w:pPr>
            <w:r w:rsidRPr="00B370BE">
              <w:rPr>
                <w:rFonts w:ascii="Times New Roman" w:hAnsi="Times New Roman"/>
                <w:i/>
                <w:szCs w:val="24"/>
              </w:rPr>
              <w:t>Estimated</w:t>
            </w:r>
          </w:p>
          <w:p w:rsidR="000F129C" w:rsidRPr="00B370BE" w:rsidRDefault="000F129C" w:rsidP="000F129C">
            <w:pPr>
              <w:widowControl/>
              <w:tabs>
                <w:tab w:val="left" w:pos="720"/>
              </w:tabs>
              <w:jc w:val="center"/>
              <w:rPr>
                <w:rFonts w:ascii="Times New Roman" w:hAnsi="Times New Roman"/>
                <w:i/>
                <w:szCs w:val="24"/>
              </w:rPr>
            </w:pPr>
            <w:r w:rsidRPr="00B370BE">
              <w:rPr>
                <w:rFonts w:ascii="Times New Roman" w:hAnsi="Times New Roman"/>
                <w:i/>
                <w:szCs w:val="24"/>
              </w:rPr>
              <w:t>average hours</w:t>
            </w:r>
          </w:p>
          <w:p w:rsidR="000F129C" w:rsidRPr="00B370BE" w:rsidRDefault="000F129C" w:rsidP="000F129C">
            <w:pPr>
              <w:widowControl/>
              <w:tabs>
                <w:tab w:val="left" w:pos="720"/>
              </w:tabs>
              <w:jc w:val="center"/>
              <w:rPr>
                <w:rFonts w:ascii="Times New Roman" w:hAnsi="Times New Roman"/>
                <w:i/>
                <w:szCs w:val="24"/>
              </w:rPr>
            </w:pPr>
            <w:r w:rsidRPr="00B370BE">
              <w:rPr>
                <w:rFonts w:ascii="Times New Roman" w:hAnsi="Times New Roman"/>
                <w:i/>
                <w:szCs w:val="24"/>
              </w:rPr>
              <w:t>per response</w:t>
            </w:r>
          </w:p>
        </w:tc>
        <w:tc>
          <w:tcPr>
            <w:tcW w:w="1625" w:type="dxa"/>
            <w:tcBorders>
              <w:top w:val="single" w:sz="4" w:space="0" w:color="auto"/>
              <w:bottom w:val="single" w:sz="4" w:space="0" w:color="auto"/>
            </w:tcBorders>
            <w:vAlign w:val="bottom"/>
          </w:tcPr>
          <w:p w:rsidR="000F129C" w:rsidRPr="00B370BE" w:rsidRDefault="000F129C" w:rsidP="000F129C">
            <w:pPr>
              <w:widowControl/>
              <w:tabs>
                <w:tab w:val="left" w:pos="720"/>
              </w:tabs>
              <w:jc w:val="center"/>
              <w:rPr>
                <w:rFonts w:ascii="Times New Roman" w:hAnsi="Times New Roman"/>
                <w:i/>
                <w:szCs w:val="24"/>
              </w:rPr>
            </w:pPr>
            <w:r w:rsidRPr="00B370BE">
              <w:rPr>
                <w:rFonts w:ascii="Times New Roman" w:hAnsi="Times New Roman"/>
                <w:i/>
                <w:szCs w:val="24"/>
              </w:rPr>
              <w:t>Estimated</w:t>
            </w:r>
          </w:p>
          <w:p w:rsidR="000F129C" w:rsidRPr="00B370BE" w:rsidRDefault="000F129C" w:rsidP="000F129C">
            <w:pPr>
              <w:widowControl/>
              <w:tabs>
                <w:tab w:val="left" w:pos="720"/>
              </w:tabs>
              <w:jc w:val="center"/>
              <w:rPr>
                <w:rFonts w:ascii="Times New Roman" w:hAnsi="Times New Roman"/>
                <w:i/>
                <w:szCs w:val="24"/>
              </w:rPr>
            </w:pPr>
            <w:r w:rsidRPr="00B370BE">
              <w:rPr>
                <w:rFonts w:ascii="Times New Roman" w:hAnsi="Times New Roman"/>
                <w:i/>
                <w:szCs w:val="24"/>
              </w:rPr>
              <w:t>annual burden hours</w:t>
            </w:r>
          </w:p>
        </w:tc>
      </w:tr>
      <w:tr w:rsidR="000F129C" w:rsidRPr="00B370BE" w:rsidTr="000F129C">
        <w:trPr>
          <w:trHeight w:val="288"/>
          <w:jc w:val="center"/>
        </w:trPr>
        <w:tc>
          <w:tcPr>
            <w:tcW w:w="2880" w:type="dxa"/>
            <w:tcBorders>
              <w:top w:val="single" w:sz="4" w:space="0" w:color="auto"/>
            </w:tcBorders>
          </w:tcPr>
          <w:p w:rsidR="000F129C" w:rsidRPr="00B370BE" w:rsidRDefault="000F129C" w:rsidP="000F129C">
            <w:pPr>
              <w:widowControl/>
              <w:rPr>
                <w:rFonts w:ascii="Times New Roman" w:hAnsi="Times New Roman"/>
                <w:szCs w:val="24"/>
              </w:rPr>
            </w:pPr>
          </w:p>
        </w:tc>
        <w:tc>
          <w:tcPr>
            <w:tcW w:w="1625" w:type="dxa"/>
            <w:tcBorders>
              <w:top w:val="single" w:sz="4" w:space="0" w:color="auto"/>
            </w:tcBorders>
            <w:vAlign w:val="center"/>
          </w:tcPr>
          <w:p w:rsidR="000F129C" w:rsidRPr="00B370BE" w:rsidRDefault="000F129C" w:rsidP="000F129C">
            <w:pPr>
              <w:widowControl/>
              <w:tabs>
                <w:tab w:val="right" w:pos="972"/>
              </w:tabs>
              <w:rPr>
                <w:rFonts w:ascii="Times New Roman" w:hAnsi="Times New Roman"/>
                <w:szCs w:val="24"/>
              </w:rPr>
            </w:pPr>
          </w:p>
        </w:tc>
        <w:tc>
          <w:tcPr>
            <w:tcW w:w="1625" w:type="dxa"/>
            <w:tcBorders>
              <w:top w:val="single" w:sz="4" w:space="0" w:color="auto"/>
            </w:tcBorders>
          </w:tcPr>
          <w:p w:rsidR="000F129C" w:rsidRPr="00B370BE" w:rsidRDefault="000F129C" w:rsidP="000F129C">
            <w:pPr>
              <w:widowControl/>
              <w:jc w:val="center"/>
              <w:rPr>
                <w:rFonts w:ascii="Times New Roman" w:hAnsi="Times New Roman"/>
                <w:szCs w:val="24"/>
              </w:rPr>
            </w:pPr>
          </w:p>
        </w:tc>
        <w:tc>
          <w:tcPr>
            <w:tcW w:w="1625" w:type="dxa"/>
            <w:tcBorders>
              <w:top w:val="single" w:sz="4" w:space="0" w:color="auto"/>
            </w:tcBorders>
            <w:vAlign w:val="center"/>
          </w:tcPr>
          <w:p w:rsidR="000F129C" w:rsidRPr="00B370BE" w:rsidRDefault="000F129C" w:rsidP="000F129C">
            <w:pPr>
              <w:widowControl/>
              <w:tabs>
                <w:tab w:val="decimal" w:pos="770"/>
              </w:tabs>
              <w:rPr>
                <w:rFonts w:ascii="Times New Roman" w:hAnsi="Times New Roman"/>
                <w:szCs w:val="24"/>
              </w:rPr>
            </w:pPr>
          </w:p>
        </w:tc>
        <w:tc>
          <w:tcPr>
            <w:tcW w:w="1625" w:type="dxa"/>
            <w:tcBorders>
              <w:top w:val="single" w:sz="4" w:space="0" w:color="auto"/>
            </w:tcBorders>
            <w:vAlign w:val="bottom"/>
          </w:tcPr>
          <w:p w:rsidR="000F129C" w:rsidRPr="00B370BE" w:rsidRDefault="000F129C" w:rsidP="000F129C">
            <w:pPr>
              <w:widowControl/>
              <w:jc w:val="center"/>
              <w:rPr>
                <w:rFonts w:ascii="Times New Roman" w:hAnsi="Times New Roman"/>
                <w:szCs w:val="24"/>
              </w:rPr>
            </w:pPr>
          </w:p>
        </w:tc>
      </w:tr>
      <w:tr w:rsidR="000F129C" w:rsidRPr="00B370BE" w:rsidTr="000F129C">
        <w:trPr>
          <w:trHeight w:val="288"/>
          <w:jc w:val="center"/>
        </w:trPr>
        <w:tc>
          <w:tcPr>
            <w:tcW w:w="2880" w:type="dxa"/>
            <w:vAlign w:val="center"/>
          </w:tcPr>
          <w:p w:rsidR="000F129C" w:rsidRPr="00B370BE" w:rsidRDefault="000F129C" w:rsidP="000F129C">
            <w:pPr>
              <w:widowControl/>
              <w:tabs>
                <w:tab w:val="left" w:pos="-1080"/>
                <w:tab w:val="left" w:pos="-90"/>
                <w:tab w:val="left" w:pos="1440"/>
                <w:tab w:val="left" w:pos="2880"/>
                <w:tab w:val="left" w:pos="4320"/>
              </w:tabs>
              <w:rPr>
                <w:rFonts w:ascii="Times New Roman" w:hAnsi="Times New Roman"/>
                <w:b/>
                <w:szCs w:val="24"/>
                <w:u w:val="single"/>
              </w:rPr>
            </w:pPr>
            <w:r w:rsidRPr="00B370BE">
              <w:rPr>
                <w:rFonts w:ascii="Times New Roman" w:hAnsi="Times New Roman"/>
                <w:i/>
                <w:szCs w:val="24"/>
                <w:u w:val="single"/>
              </w:rPr>
              <w:t>Current</w:t>
            </w:r>
          </w:p>
        </w:tc>
        <w:tc>
          <w:tcPr>
            <w:tcW w:w="1625" w:type="dxa"/>
            <w:vAlign w:val="center"/>
          </w:tcPr>
          <w:p w:rsidR="000F129C" w:rsidRPr="00B370BE" w:rsidRDefault="000F129C" w:rsidP="000F129C">
            <w:pPr>
              <w:widowControl/>
              <w:tabs>
                <w:tab w:val="right" w:pos="972"/>
              </w:tabs>
              <w:rPr>
                <w:rFonts w:ascii="Times New Roman" w:hAnsi="Times New Roman"/>
                <w:szCs w:val="24"/>
              </w:rPr>
            </w:pPr>
          </w:p>
        </w:tc>
        <w:tc>
          <w:tcPr>
            <w:tcW w:w="1625" w:type="dxa"/>
          </w:tcPr>
          <w:p w:rsidR="000F129C" w:rsidRPr="00B370BE" w:rsidRDefault="000F129C" w:rsidP="000F129C">
            <w:pPr>
              <w:widowControl/>
              <w:jc w:val="center"/>
              <w:rPr>
                <w:rFonts w:ascii="Times New Roman" w:hAnsi="Times New Roman"/>
                <w:szCs w:val="24"/>
              </w:rPr>
            </w:pPr>
          </w:p>
        </w:tc>
        <w:tc>
          <w:tcPr>
            <w:tcW w:w="1625" w:type="dxa"/>
            <w:vAlign w:val="center"/>
          </w:tcPr>
          <w:p w:rsidR="000F129C" w:rsidRPr="00B370BE" w:rsidRDefault="000F129C" w:rsidP="000F129C">
            <w:pPr>
              <w:widowControl/>
              <w:tabs>
                <w:tab w:val="decimal" w:pos="770"/>
              </w:tabs>
              <w:rPr>
                <w:rFonts w:ascii="Times New Roman" w:hAnsi="Times New Roman"/>
                <w:szCs w:val="24"/>
              </w:rPr>
            </w:pPr>
          </w:p>
        </w:tc>
        <w:tc>
          <w:tcPr>
            <w:tcW w:w="1625" w:type="dxa"/>
            <w:tcBorders>
              <w:bottom w:val="nil"/>
            </w:tcBorders>
            <w:vAlign w:val="bottom"/>
          </w:tcPr>
          <w:p w:rsidR="000F129C" w:rsidRPr="00B370BE" w:rsidRDefault="000F129C" w:rsidP="000F129C">
            <w:pPr>
              <w:widowControl/>
              <w:jc w:val="center"/>
              <w:rPr>
                <w:rFonts w:ascii="Times New Roman" w:hAnsi="Times New Roman"/>
                <w:szCs w:val="24"/>
              </w:rPr>
            </w:pPr>
          </w:p>
        </w:tc>
      </w:tr>
      <w:tr w:rsidR="000F129C" w:rsidRPr="00B370BE" w:rsidTr="000F129C">
        <w:trPr>
          <w:trHeight w:val="288"/>
          <w:jc w:val="center"/>
        </w:trPr>
        <w:tc>
          <w:tcPr>
            <w:tcW w:w="2880" w:type="dxa"/>
            <w:vAlign w:val="center"/>
          </w:tcPr>
          <w:p w:rsidR="000F129C" w:rsidRPr="00B370BE" w:rsidRDefault="000F129C" w:rsidP="000F129C">
            <w:pPr>
              <w:widowControl/>
              <w:rPr>
                <w:rFonts w:ascii="Times New Roman" w:hAnsi="Times New Roman"/>
                <w:szCs w:val="24"/>
              </w:rPr>
            </w:pPr>
            <w:r w:rsidRPr="00B370BE">
              <w:rPr>
                <w:rFonts w:ascii="Times New Roman" w:hAnsi="Times New Roman"/>
                <w:szCs w:val="24"/>
              </w:rPr>
              <w:t>FR Y-</w:t>
            </w:r>
            <w:r>
              <w:rPr>
                <w:rFonts w:ascii="Times New Roman" w:hAnsi="Times New Roman"/>
                <w:szCs w:val="24"/>
              </w:rPr>
              <w:t>6</w:t>
            </w:r>
          </w:p>
        </w:tc>
        <w:tc>
          <w:tcPr>
            <w:tcW w:w="1625" w:type="dxa"/>
            <w:vAlign w:val="center"/>
          </w:tcPr>
          <w:p w:rsidR="000F129C" w:rsidRPr="00B370BE" w:rsidRDefault="000F129C" w:rsidP="000F129C">
            <w:pPr>
              <w:widowControl/>
              <w:tabs>
                <w:tab w:val="right" w:pos="972"/>
              </w:tabs>
              <w:rPr>
                <w:rFonts w:ascii="Times New Roman" w:hAnsi="Times New Roman"/>
                <w:szCs w:val="24"/>
              </w:rPr>
            </w:pPr>
            <w:r w:rsidRPr="00B370BE">
              <w:rPr>
                <w:rFonts w:ascii="Times New Roman" w:hAnsi="Times New Roman"/>
                <w:szCs w:val="24"/>
              </w:rPr>
              <w:tab/>
            </w:r>
            <w:r>
              <w:rPr>
                <w:rFonts w:ascii="Times New Roman" w:hAnsi="Times New Roman"/>
                <w:szCs w:val="24"/>
              </w:rPr>
              <w:t>5</w:t>
            </w:r>
            <w:r w:rsidRPr="00B370BE">
              <w:rPr>
                <w:rFonts w:ascii="Times New Roman" w:hAnsi="Times New Roman"/>
                <w:szCs w:val="24"/>
              </w:rPr>
              <w:t>,049</w:t>
            </w:r>
          </w:p>
        </w:tc>
        <w:tc>
          <w:tcPr>
            <w:tcW w:w="1625" w:type="dxa"/>
            <w:vAlign w:val="center"/>
          </w:tcPr>
          <w:p w:rsidR="000F129C" w:rsidRPr="00B370BE" w:rsidRDefault="000F129C" w:rsidP="000F129C">
            <w:pPr>
              <w:widowControl/>
              <w:jc w:val="center"/>
              <w:rPr>
                <w:rFonts w:ascii="Times New Roman" w:hAnsi="Times New Roman"/>
                <w:szCs w:val="24"/>
              </w:rPr>
            </w:pPr>
            <w:r>
              <w:rPr>
                <w:rFonts w:ascii="Times New Roman" w:hAnsi="Times New Roman"/>
                <w:szCs w:val="24"/>
              </w:rPr>
              <w:t>1</w:t>
            </w:r>
          </w:p>
        </w:tc>
        <w:tc>
          <w:tcPr>
            <w:tcW w:w="1625" w:type="dxa"/>
            <w:vAlign w:val="center"/>
          </w:tcPr>
          <w:p w:rsidR="000F129C" w:rsidRPr="00B370BE" w:rsidRDefault="000F129C" w:rsidP="000F129C">
            <w:pPr>
              <w:widowControl/>
              <w:tabs>
                <w:tab w:val="decimal" w:pos="770"/>
              </w:tabs>
              <w:rPr>
                <w:rFonts w:ascii="Times New Roman" w:hAnsi="Times New Roman"/>
                <w:szCs w:val="24"/>
              </w:rPr>
            </w:pPr>
            <w:r w:rsidRPr="00B370BE">
              <w:rPr>
                <w:rFonts w:ascii="Times New Roman" w:hAnsi="Times New Roman"/>
                <w:szCs w:val="24"/>
              </w:rPr>
              <w:t>5.</w:t>
            </w:r>
            <w:r>
              <w:rPr>
                <w:rFonts w:ascii="Times New Roman" w:hAnsi="Times New Roman"/>
                <w:szCs w:val="24"/>
              </w:rPr>
              <w:t>2</w:t>
            </w:r>
            <w:r w:rsidRPr="00B370BE">
              <w:rPr>
                <w:rFonts w:ascii="Times New Roman" w:hAnsi="Times New Roman"/>
                <w:szCs w:val="24"/>
              </w:rPr>
              <w:t>5</w:t>
            </w:r>
          </w:p>
        </w:tc>
        <w:tc>
          <w:tcPr>
            <w:tcW w:w="1625" w:type="dxa"/>
            <w:tcBorders>
              <w:top w:val="nil"/>
              <w:bottom w:val="nil"/>
            </w:tcBorders>
            <w:shd w:val="clear" w:color="auto" w:fill="auto"/>
            <w:vAlign w:val="bottom"/>
          </w:tcPr>
          <w:p w:rsidR="000F129C" w:rsidRPr="00B370BE" w:rsidRDefault="000F129C" w:rsidP="000F129C">
            <w:pPr>
              <w:widowControl/>
              <w:tabs>
                <w:tab w:val="right" w:pos="1132"/>
              </w:tabs>
              <w:jc w:val="center"/>
              <w:rPr>
                <w:rFonts w:ascii="Times New Roman" w:hAnsi="Times New Roman"/>
                <w:szCs w:val="24"/>
              </w:rPr>
            </w:pPr>
            <w:r>
              <w:rPr>
                <w:rFonts w:ascii="Times New Roman" w:hAnsi="Times New Roman"/>
                <w:szCs w:val="24"/>
              </w:rPr>
              <w:t>26,507</w:t>
            </w:r>
          </w:p>
        </w:tc>
      </w:tr>
      <w:tr w:rsidR="000F129C" w:rsidRPr="00B370BE" w:rsidTr="000F129C">
        <w:trPr>
          <w:trHeight w:val="288"/>
          <w:jc w:val="center"/>
        </w:trPr>
        <w:tc>
          <w:tcPr>
            <w:tcW w:w="2880" w:type="dxa"/>
            <w:vAlign w:val="center"/>
          </w:tcPr>
          <w:p w:rsidR="000F129C" w:rsidRPr="00B370BE" w:rsidRDefault="000F129C" w:rsidP="000F129C">
            <w:pPr>
              <w:widowControl/>
              <w:rPr>
                <w:rFonts w:ascii="Times New Roman" w:hAnsi="Times New Roman"/>
                <w:szCs w:val="24"/>
              </w:rPr>
            </w:pPr>
            <w:r w:rsidRPr="00B370BE">
              <w:rPr>
                <w:rFonts w:ascii="Times New Roman" w:hAnsi="Times New Roman"/>
                <w:szCs w:val="24"/>
              </w:rPr>
              <w:t>FR Y-</w:t>
            </w:r>
            <w:r>
              <w:rPr>
                <w:rFonts w:ascii="Times New Roman" w:hAnsi="Times New Roman"/>
                <w:szCs w:val="24"/>
              </w:rPr>
              <w:t>7</w:t>
            </w:r>
          </w:p>
        </w:tc>
        <w:tc>
          <w:tcPr>
            <w:tcW w:w="1625" w:type="dxa"/>
            <w:vAlign w:val="center"/>
          </w:tcPr>
          <w:p w:rsidR="000F129C" w:rsidRPr="00B370BE" w:rsidRDefault="004A17BF" w:rsidP="000F129C">
            <w:pPr>
              <w:widowControl/>
              <w:tabs>
                <w:tab w:val="right" w:pos="972"/>
              </w:tabs>
              <w:rPr>
                <w:rFonts w:ascii="Times New Roman" w:hAnsi="Times New Roman"/>
                <w:szCs w:val="24"/>
                <w:u w:val="single"/>
              </w:rPr>
            </w:pPr>
            <w:r>
              <w:rPr>
                <w:rFonts w:ascii="Times New Roman" w:hAnsi="Times New Roman"/>
                <w:szCs w:val="24"/>
              </w:rPr>
              <w:tab/>
            </w:r>
            <w:r>
              <w:rPr>
                <w:rFonts w:ascii="Times New Roman" w:hAnsi="Times New Roman"/>
                <w:szCs w:val="24"/>
                <w:u w:val="single"/>
              </w:rPr>
              <w:t xml:space="preserve">    1</w:t>
            </w:r>
            <w:r w:rsidR="000F129C">
              <w:rPr>
                <w:rFonts w:ascii="Times New Roman" w:hAnsi="Times New Roman"/>
                <w:szCs w:val="24"/>
                <w:u w:val="single"/>
              </w:rPr>
              <w:t>85</w:t>
            </w:r>
          </w:p>
        </w:tc>
        <w:tc>
          <w:tcPr>
            <w:tcW w:w="1625" w:type="dxa"/>
            <w:vAlign w:val="center"/>
          </w:tcPr>
          <w:p w:rsidR="000F129C" w:rsidRPr="00B370BE" w:rsidRDefault="000F129C" w:rsidP="000F129C">
            <w:pPr>
              <w:widowControl/>
              <w:jc w:val="center"/>
              <w:rPr>
                <w:rFonts w:ascii="Times New Roman" w:hAnsi="Times New Roman"/>
                <w:szCs w:val="24"/>
              </w:rPr>
            </w:pPr>
            <w:r>
              <w:rPr>
                <w:rFonts w:ascii="Times New Roman" w:hAnsi="Times New Roman"/>
                <w:szCs w:val="24"/>
              </w:rPr>
              <w:t>1</w:t>
            </w:r>
          </w:p>
        </w:tc>
        <w:tc>
          <w:tcPr>
            <w:tcW w:w="1625" w:type="dxa"/>
            <w:vAlign w:val="center"/>
          </w:tcPr>
          <w:p w:rsidR="000F129C" w:rsidRPr="00B370BE" w:rsidRDefault="000F129C" w:rsidP="000F129C">
            <w:pPr>
              <w:widowControl/>
              <w:tabs>
                <w:tab w:val="decimal" w:pos="770"/>
              </w:tabs>
              <w:rPr>
                <w:rFonts w:ascii="Times New Roman" w:hAnsi="Times New Roman"/>
                <w:szCs w:val="24"/>
              </w:rPr>
            </w:pPr>
            <w:r>
              <w:rPr>
                <w:rFonts w:ascii="Times New Roman" w:hAnsi="Times New Roman"/>
                <w:szCs w:val="24"/>
              </w:rPr>
              <w:t>3</w:t>
            </w:r>
            <w:r w:rsidRPr="00B370BE">
              <w:rPr>
                <w:rFonts w:ascii="Times New Roman" w:hAnsi="Times New Roman"/>
                <w:szCs w:val="24"/>
              </w:rPr>
              <w:t>.</w:t>
            </w:r>
            <w:r>
              <w:rPr>
                <w:rFonts w:ascii="Times New Roman" w:hAnsi="Times New Roman"/>
                <w:szCs w:val="24"/>
              </w:rPr>
              <w:t>75</w:t>
            </w:r>
          </w:p>
        </w:tc>
        <w:tc>
          <w:tcPr>
            <w:tcW w:w="1625" w:type="dxa"/>
            <w:tcBorders>
              <w:top w:val="nil"/>
              <w:bottom w:val="nil"/>
            </w:tcBorders>
            <w:shd w:val="clear" w:color="auto" w:fill="auto"/>
            <w:vAlign w:val="bottom"/>
          </w:tcPr>
          <w:p w:rsidR="000F129C" w:rsidRPr="00B370BE" w:rsidRDefault="000F129C" w:rsidP="000F129C">
            <w:pPr>
              <w:widowControl/>
              <w:tabs>
                <w:tab w:val="right" w:pos="1132"/>
              </w:tabs>
              <w:jc w:val="center"/>
              <w:rPr>
                <w:rFonts w:ascii="Times New Roman" w:hAnsi="Times New Roman"/>
                <w:szCs w:val="24"/>
                <w:u w:val="single"/>
              </w:rPr>
            </w:pPr>
            <w:r>
              <w:rPr>
                <w:rFonts w:ascii="Times New Roman" w:hAnsi="Times New Roman"/>
                <w:szCs w:val="24"/>
                <w:u w:val="single"/>
              </w:rPr>
              <w:t xml:space="preserve">    694</w:t>
            </w:r>
            <w:r w:rsidRPr="00B370BE">
              <w:rPr>
                <w:rFonts w:ascii="Times New Roman" w:hAnsi="Times New Roman"/>
                <w:szCs w:val="24"/>
                <w:u w:val="single"/>
              </w:rPr>
              <w:t xml:space="preserve">      </w:t>
            </w:r>
          </w:p>
        </w:tc>
      </w:tr>
      <w:tr w:rsidR="000F129C" w:rsidRPr="00B370BE" w:rsidTr="000F129C">
        <w:trPr>
          <w:trHeight w:val="288"/>
          <w:jc w:val="center"/>
        </w:trPr>
        <w:tc>
          <w:tcPr>
            <w:tcW w:w="2880" w:type="dxa"/>
            <w:vAlign w:val="center"/>
          </w:tcPr>
          <w:p w:rsidR="000F129C" w:rsidRPr="00B370BE" w:rsidRDefault="000F129C" w:rsidP="000F129C">
            <w:pPr>
              <w:widowControl/>
              <w:jc w:val="right"/>
              <w:rPr>
                <w:rFonts w:ascii="Times New Roman" w:hAnsi="Times New Roman"/>
                <w:szCs w:val="24"/>
              </w:rPr>
            </w:pPr>
            <w:r w:rsidRPr="00B370BE">
              <w:rPr>
                <w:rFonts w:ascii="Times New Roman" w:hAnsi="Times New Roman"/>
                <w:i/>
                <w:szCs w:val="24"/>
              </w:rPr>
              <w:t>Total</w:t>
            </w:r>
          </w:p>
        </w:tc>
        <w:tc>
          <w:tcPr>
            <w:tcW w:w="1625" w:type="dxa"/>
            <w:vAlign w:val="center"/>
          </w:tcPr>
          <w:p w:rsidR="000F129C" w:rsidRPr="00B370BE" w:rsidRDefault="000F129C" w:rsidP="000F129C">
            <w:pPr>
              <w:widowControl/>
              <w:tabs>
                <w:tab w:val="right" w:pos="972"/>
              </w:tabs>
              <w:rPr>
                <w:rFonts w:ascii="Times New Roman" w:hAnsi="Times New Roman"/>
                <w:szCs w:val="24"/>
              </w:rPr>
            </w:pPr>
            <w:r w:rsidRPr="00B370BE">
              <w:rPr>
                <w:rFonts w:ascii="Times New Roman" w:hAnsi="Times New Roman"/>
                <w:szCs w:val="24"/>
              </w:rPr>
              <w:t xml:space="preserve">       </w:t>
            </w:r>
            <w:r>
              <w:rPr>
                <w:rFonts w:ascii="Times New Roman" w:hAnsi="Times New Roman"/>
                <w:szCs w:val="24"/>
              </w:rPr>
              <w:t>5</w:t>
            </w:r>
            <w:r w:rsidRPr="00B370BE">
              <w:rPr>
                <w:rFonts w:ascii="Times New Roman" w:hAnsi="Times New Roman"/>
                <w:szCs w:val="24"/>
              </w:rPr>
              <w:t>,</w:t>
            </w:r>
            <w:r>
              <w:rPr>
                <w:rFonts w:ascii="Times New Roman" w:hAnsi="Times New Roman"/>
                <w:szCs w:val="24"/>
              </w:rPr>
              <w:t>234</w:t>
            </w:r>
          </w:p>
        </w:tc>
        <w:tc>
          <w:tcPr>
            <w:tcW w:w="1625" w:type="dxa"/>
          </w:tcPr>
          <w:p w:rsidR="000F129C" w:rsidRPr="00B370BE" w:rsidRDefault="000F129C" w:rsidP="000F129C">
            <w:pPr>
              <w:widowControl/>
              <w:jc w:val="center"/>
              <w:rPr>
                <w:rFonts w:ascii="Times New Roman" w:hAnsi="Times New Roman"/>
                <w:szCs w:val="24"/>
              </w:rPr>
            </w:pPr>
          </w:p>
        </w:tc>
        <w:tc>
          <w:tcPr>
            <w:tcW w:w="1625" w:type="dxa"/>
            <w:vAlign w:val="center"/>
          </w:tcPr>
          <w:p w:rsidR="000F129C" w:rsidRPr="00B370BE" w:rsidRDefault="000F129C" w:rsidP="000F129C">
            <w:pPr>
              <w:widowControl/>
              <w:tabs>
                <w:tab w:val="decimal" w:pos="770"/>
              </w:tabs>
              <w:rPr>
                <w:rFonts w:ascii="Times New Roman" w:hAnsi="Times New Roman"/>
                <w:szCs w:val="24"/>
              </w:rPr>
            </w:pPr>
          </w:p>
        </w:tc>
        <w:tc>
          <w:tcPr>
            <w:tcW w:w="1625" w:type="dxa"/>
            <w:tcBorders>
              <w:top w:val="nil"/>
              <w:bottom w:val="nil"/>
            </w:tcBorders>
            <w:shd w:val="clear" w:color="auto" w:fill="auto"/>
            <w:vAlign w:val="bottom"/>
          </w:tcPr>
          <w:p w:rsidR="000F129C" w:rsidRPr="00B370BE" w:rsidRDefault="000F129C" w:rsidP="000F129C">
            <w:pPr>
              <w:widowControl/>
              <w:tabs>
                <w:tab w:val="right" w:pos="1132"/>
              </w:tabs>
              <w:jc w:val="center"/>
              <w:rPr>
                <w:rFonts w:ascii="Times New Roman" w:hAnsi="Times New Roman"/>
                <w:szCs w:val="24"/>
              </w:rPr>
            </w:pPr>
            <w:r>
              <w:rPr>
                <w:rFonts w:ascii="Times New Roman" w:hAnsi="Times New Roman"/>
                <w:szCs w:val="24"/>
              </w:rPr>
              <w:t>27,201</w:t>
            </w:r>
          </w:p>
        </w:tc>
      </w:tr>
      <w:tr w:rsidR="000F129C" w:rsidRPr="00B370BE" w:rsidTr="000F129C">
        <w:trPr>
          <w:trHeight w:val="288"/>
          <w:jc w:val="center"/>
        </w:trPr>
        <w:tc>
          <w:tcPr>
            <w:tcW w:w="2880" w:type="dxa"/>
            <w:vAlign w:val="center"/>
          </w:tcPr>
          <w:p w:rsidR="000F129C" w:rsidRPr="00B370BE" w:rsidRDefault="000F129C" w:rsidP="000F129C">
            <w:pPr>
              <w:widowControl/>
              <w:rPr>
                <w:rFonts w:ascii="Times New Roman" w:hAnsi="Times New Roman"/>
                <w:szCs w:val="24"/>
              </w:rPr>
            </w:pPr>
          </w:p>
        </w:tc>
        <w:tc>
          <w:tcPr>
            <w:tcW w:w="1625" w:type="dxa"/>
            <w:vAlign w:val="center"/>
          </w:tcPr>
          <w:p w:rsidR="000F129C" w:rsidRPr="00B370BE" w:rsidRDefault="000F129C" w:rsidP="000F129C">
            <w:pPr>
              <w:widowControl/>
              <w:tabs>
                <w:tab w:val="right" w:pos="972"/>
              </w:tabs>
              <w:rPr>
                <w:rFonts w:ascii="Times New Roman" w:hAnsi="Times New Roman"/>
                <w:szCs w:val="24"/>
              </w:rPr>
            </w:pPr>
          </w:p>
        </w:tc>
        <w:tc>
          <w:tcPr>
            <w:tcW w:w="1625" w:type="dxa"/>
          </w:tcPr>
          <w:p w:rsidR="000F129C" w:rsidRPr="00B370BE" w:rsidRDefault="000F129C" w:rsidP="000F129C">
            <w:pPr>
              <w:widowControl/>
              <w:jc w:val="center"/>
              <w:rPr>
                <w:rFonts w:ascii="Times New Roman" w:hAnsi="Times New Roman"/>
                <w:szCs w:val="24"/>
              </w:rPr>
            </w:pPr>
          </w:p>
        </w:tc>
        <w:tc>
          <w:tcPr>
            <w:tcW w:w="1625" w:type="dxa"/>
            <w:vAlign w:val="center"/>
          </w:tcPr>
          <w:p w:rsidR="000F129C" w:rsidRPr="00B370BE" w:rsidRDefault="000F129C" w:rsidP="000F129C">
            <w:pPr>
              <w:widowControl/>
              <w:tabs>
                <w:tab w:val="decimal" w:pos="770"/>
              </w:tabs>
              <w:rPr>
                <w:rFonts w:ascii="Times New Roman" w:hAnsi="Times New Roman"/>
                <w:szCs w:val="24"/>
              </w:rPr>
            </w:pPr>
          </w:p>
        </w:tc>
        <w:tc>
          <w:tcPr>
            <w:tcW w:w="1625" w:type="dxa"/>
            <w:tcBorders>
              <w:top w:val="nil"/>
              <w:bottom w:val="nil"/>
            </w:tcBorders>
            <w:shd w:val="clear" w:color="auto" w:fill="auto"/>
            <w:vAlign w:val="bottom"/>
          </w:tcPr>
          <w:p w:rsidR="000F129C" w:rsidRPr="00B370BE" w:rsidRDefault="000F129C" w:rsidP="000F129C">
            <w:pPr>
              <w:widowControl/>
              <w:jc w:val="center"/>
              <w:rPr>
                <w:rFonts w:ascii="Times New Roman" w:hAnsi="Times New Roman"/>
                <w:szCs w:val="24"/>
              </w:rPr>
            </w:pPr>
          </w:p>
        </w:tc>
      </w:tr>
      <w:tr w:rsidR="000F129C" w:rsidRPr="00B370BE" w:rsidTr="000F129C">
        <w:trPr>
          <w:trHeight w:val="288"/>
          <w:jc w:val="center"/>
        </w:trPr>
        <w:tc>
          <w:tcPr>
            <w:tcW w:w="2880" w:type="dxa"/>
            <w:vAlign w:val="center"/>
          </w:tcPr>
          <w:p w:rsidR="000F129C" w:rsidRPr="00B370BE" w:rsidRDefault="000F129C" w:rsidP="000F129C">
            <w:pPr>
              <w:widowControl/>
              <w:rPr>
                <w:rFonts w:ascii="Times New Roman" w:hAnsi="Times New Roman"/>
                <w:szCs w:val="24"/>
                <w:u w:val="single"/>
              </w:rPr>
            </w:pPr>
            <w:r w:rsidRPr="00B370BE">
              <w:rPr>
                <w:rFonts w:ascii="Times New Roman" w:hAnsi="Times New Roman"/>
                <w:i/>
                <w:szCs w:val="24"/>
                <w:u w:val="single"/>
              </w:rPr>
              <w:t>Proposed</w:t>
            </w:r>
          </w:p>
        </w:tc>
        <w:tc>
          <w:tcPr>
            <w:tcW w:w="1625" w:type="dxa"/>
            <w:vAlign w:val="center"/>
          </w:tcPr>
          <w:p w:rsidR="000F129C" w:rsidRPr="00B370BE" w:rsidRDefault="000F129C" w:rsidP="000F129C">
            <w:pPr>
              <w:widowControl/>
              <w:tabs>
                <w:tab w:val="right" w:pos="972"/>
              </w:tabs>
              <w:rPr>
                <w:rFonts w:ascii="Times New Roman" w:hAnsi="Times New Roman"/>
                <w:szCs w:val="24"/>
              </w:rPr>
            </w:pPr>
          </w:p>
        </w:tc>
        <w:tc>
          <w:tcPr>
            <w:tcW w:w="1625" w:type="dxa"/>
          </w:tcPr>
          <w:p w:rsidR="000F129C" w:rsidRPr="00B370BE" w:rsidRDefault="000F129C" w:rsidP="000F129C">
            <w:pPr>
              <w:widowControl/>
              <w:jc w:val="center"/>
              <w:rPr>
                <w:rFonts w:ascii="Times New Roman" w:hAnsi="Times New Roman"/>
                <w:szCs w:val="24"/>
              </w:rPr>
            </w:pPr>
          </w:p>
        </w:tc>
        <w:tc>
          <w:tcPr>
            <w:tcW w:w="1625" w:type="dxa"/>
            <w:vAlign w:val="center"/>
          </w:tcPr>
          <w:p w:rsidR="000F129C" w:rsidRPr="00B370BE" w:rsidRDefault="000F129C" w:rsidP="000F129C">
            <w:pPr>
              <w:widowControl/>
              <w:tabs>
                <w:tab w:val="decimal" w:pos="770"/>
              </w:tabs>
              <w:rPr>
                <w:rFonts w:ascii="Times New Roman" w:hAnsi="Times New Roman"/>
                <w:szCs w:val="24"/>
              </w:rPr>
            </w:pPr>
          </w:p>
        </w:tc>
        <w:tc>
          <w:tcPr>
            <w:tcW w:w="1625" w:type="dxa"/>
            <w:tcBorders>
              <w:top w:val="nil"/>
              <w:bottom w:val="nil"/>
            </w:tcBorders>
            <w:shd w:val="clear" w:color="auto" w:fill="auto"/>
            <w:vAlign w:val="bottom"/>
          </w:tcPr>
          <w:p w:rsidR="000F129C" w:rsidRPr="00B370BE" w:rsidRDefault="000F129C" w:rsidP="000F129C">
            <w:pPr>
              <w:widowControl/>
              <w:jc w:val="center"/>
              <w:rPr>
                <w:rFonts w:ascii="Times New Roman" w:hAnsi="Times New Roman"/>
                <w:szCs w:val="24"/>
              </w:rPr>
            </w:pPr>
          </w:p>
        </w:tc>
      </w:tr>
      <w:tr w:rsidR="000F129C" w:rsidRPr="00B370BE" w:rsidTr="000F129C">
        <w:trPr>
          <w:trHeight w:val="288"/>
          <w:jc w:val="center"/>
        </w:trPr>
        <w:tc>
          <w:tcPr>
            <w:tcW w:w="2880" w:type="dxa"/>
            <w:vAlign w:val="center"/>
          </w:tcPr>
          <w:p w:rsidR="000F129C" w:rsidRPr="00B370BE" w:rsidRDefault="000F129C" w:rsidP="000F129C">
            <w:pPr>
              <w:widowControl/>
              <w:rPr>
                <w:rFonts w:ascii="Times New Roman" w:hAnsi="Times New Roman"/>
                <w:szCs w:val="24"/>
              </w:rPr>
            </w:pPr>
            <w:r w:rsidRPr="00B370BE">
              <w:rPr>
                <w:rFonts w:ascii="Times New Roman" w:hAnsi="Times New Roman"/>
                <w:szCs w:val="24"/>
              </w:rPr>
              <w:t>FR Y-</w:t>
            </w:r>
            <w:r>
              <w:rPr>
                <w:rFonts w:ascii="Times New Roman" w:hAnsi="Times New Roman"/>
                <w:szCs w:val="24"/>
              </w:rPr>
              <w:t>6</w:t>
            </w:r>
          </w:p>
        </w:tc>
        <w:tc>
          <w:tcPr>
            <w:tcW w:w="1625" w:type="dxa"/>
            <w:vAlign w:val="center"/>
          </w:tcPr>
          <w:p w:rsidR="000F129C" w:rsidRPr="00B370BE" w:rsidRDefault="000F129C" w:rsidP="000F129C">
            <w:pPr>
              <w:widowControl/>
              <w:tabs>
                <w:tab w:val="right" w:pos="972"/>
              </w:tabs>
              <w:rPr>
                <w:rFonts w:ascii="Times New Roman" w:hAnsi="Times New Roman"/>
                <w:szCs w:val="24"/>
              </w:rPr>
            </w:pPr>
            <w:r w:rsidRPr="00B370BE">
              <w:rPr>
                <w:rFonts w:ascii="Times New Roman" w:hAnsi="Times New Roman"/>
                <w:szCs w:val="24"/>
              </w:rPr>
              <w:tab/>
            </w:r>
            <w:r>
              <w:rPr>
                <w:rFonts w:ascii="Times New Roman" w:hAnsi="Times New Roman"/>
                <w:szCs w:val="24"/>
              </w:rPr>
              <w:t>5,485</w:t>
            </w:r>
          </w:p>
        </w:tc>
        <w:tc>
          <w:tcPr>
            <w:tcW w:w="1625" w:type="dxa"/>
            <w:vAlign w:val="center"/>
          </w:tcPr>
          <w:p w:rsidR="000F129C" w:rsidRPr="00B370BE" w:rsidRDefault="000F129C" w:rsidP="000F129C">
            <w:pPr>
              <w:widowControl/>
              <w:jc w:val="center"/>
              <w:rPr>
                <w:rFonts w:ascii="Times New Roman" w:hAnsi="Times New Roman"/>
                <w:szCs w:val="24"/>
              </w:rPr>
            </w:pPr>
            <w:r>
              <w:rPr>
                <w:rFonts w:ascii="Times New Roman" w:hAnsi="Times New Roman"/>
                <w:szCs w:val="24"/>
              </w:rPr>
              <w:t>1</w:t>
            </w:r>
          </w:p>
        </w:tc>
        <w:tc>
          <w:tcPr>
            <w:tcW w:w="1625" w:type="dxa"/>
            <w:vAlign w:val="center"/>
          </w:tcPr>
          <w:p w:rsidR="000F129C" w:rsidRPr="00B370BE" w:rsidRDefault="000F129C" w:rsidP="000F129C">
            <w:pPr>
              <w:widowControl/>
              <w:tabs>
                <w:tab w:val="decimal" w:pos="770"/>
              </w:tabs>
              <w:rPr>
                <w:rFonts w:ascii="Times New Roman" w:hAnsi="Times New Roman"/>
                <w:szCs w:val="24"/>
              </w:rPr>
            </w:pPr>
            <w:r w:rsidRPr="00B370BE">
              <w:rPr>
                <w:rFonts w:ascii="Times New Roman" w:hAnsi="Times New Roman"/>
                <w:szCs w:val="24"/>
              </w:rPr>
              <w:t>5.</w:t>
            </w:r>
            <w:r>
              <w:rPr>
                <w:rFonts w:ascii="Times New Roman" w:hAnsi="Times New Roman"/>
                <w:szCs w:val="24"/>
              </w:rPr>
              <w:t>2</w:t>
            </w:r>
            <w:r w:rsidRPr="00B370BE">
              <w:rPr>
                <w:rFonts w:ascii="Times New Roman" w:hAnsi="Times New Roman"/>
                <w:szCs w:val="24"/>
              </w:rPr>
              <w:t>5</w:t>
            </w:r>
          </w:p>
        </w:tc>
        <w:tc>
          <w:tcPr>
            <w:tcW w:w="1625" w:type="dxa"/>
            <w:tcBorders>
              <w:top w:val="nil"/>
              <w:bottom w:val="nil"/>
            </w:tcBorders>
            <w:shd w:val="clear" w:color="auto" w:fill="auto"/>
            <w:vAlign w:val="bottom"/>
          </w:tcPr>
          <w:p w:rsidR="000F129C" w:rsidRPr="00B370BE" w:rsidRDefault="000F129C" w:rsidP="000F129C">
            <w:pPr>
              <w:widowControl/>
              <w:tabs>
                <w:tab w:val="right" w:pos="1132"/>
              </w:tabs>
              <w:jc w:val="center"/>
              <w:rPr>
                <w:rFonts w:ascii="Times New Roman" w:hAnsi="Times New Roman"/>
                <w:szCs w:val="24"/>
              </w:rPr>
            </w:pPr>
            <w:r>
              <w:rPr>
                <w:rFonts w:ascii="Times New Roman" w:hAnsi="Times New Roman"/>
                <w:szCs w:val="24"/>
              </w:rPr>
              <w:t>28,796</w:t>
            </w:r>
          </w:p>
        </w:tc>
      </w:tr>
      <w:tr w:rsidR="000F129C" w:rsidRPr="00B370BE" w:rsidTr="000F129C">
        <w:trPr>
          <w:trHeight w:val="288"/>
          <w:jc w:val="center"/>
        </w:trPr>
        <w:tc>
          <w:tcPr>
            <w:tcW w:w="2880" w:type="dxa"/>
            <w:vAlign w:val="center"/>
          </w:tcPr>
          <w:p w:rsidR="000F129C" w:rsidRPr="00B370BE" w:rsidRDefault="000F129C" w:rsidP="000F129C">
            <w:pPr>
              <w:widowControl/>
              <w:rPr>
                <w:rFonts w:ascii="Times New Roman" w:hAnsi="Times New Roman"/>
                <w:szCs w:val="24"/>
              </w:rPr>
            </w:pPr>
            <w:r w:rsidRPr="00B370BE">
              <w:rPr>
                <w:rFonts w:ascii="Times New Roman" w:hAnsi="Times New Roman"/>
                <w:szCs w:val="24"/>
              </w:rPr>
              <w:t>FR Y-</w:t>
            </w:r>
            <w:r>
              <w:rPr>
                <w:rFonts w:ascii="Times New Roman" w:hAnsi="Times New Roman"/>
                <w:szCs w:val="24"/>
              </w:rPr>
              <w:t>7</w:t>
            </w:r>
          </w:p>
        </w:tc>
        <w:tc>
          <w:tcPr>
            <w:tcW w:w="1625" w:type="dxa"/>
            <w:vAlign w:val="center"/>
          </w:tcPr>
          <w:p w:rsidR="000F129C" w:rsidRPr="00B370BE" w:rsidRDefault="004A17BF" w:rsidP="000F129C">
            <w:pPr>
              <w:widowControl/>
              <w:tabs>
                <w:tab w:val="right" w:pos="972"/>
              </w:tabs>
              <w:rPr>
                <w:rFonts w:ascii="Times New Roman" w:hAnsi="Times New Roman"/>
                <w:szCs w:val="24"/>
                <w:u w:val="single"/>
              </w:rPr>
            </w:pPr>
            <w:r>
              <w:rPr>
                <w:rFonts w:ascii="Times New Roman" w:hAnsi="Times New Roman"/>
                <w:szCs w:val="24"/>
              </w:rPr>
              <w:tab/>
            </w:r>
            <w:r>
              <w:rPr>
                <w:rFonts w:ascii="Times New Roman" w:hAnsi="Times New Roman"/>
                <w:szCs w:val="24"/>
                <w:u w:val="single"/>
              </w:rPr>
              <w:t xml:space="preserve">    1</w:t>
            </w:r>
            <w:r w:rsidR="000F129C">
              <w:rPr>
                <w:rFonts w:ascii="Times New Roman" w:hAnsi="Times New Roman"/>
                <w:szCs w:val="24"/>
                <w:u w:val="single"/>
              </w:rPr>
              <w:t>90</w:t>
            </w:r>
          </w:p>
        </w:tc>
        <w:tc>
          <w:tcPr>
            <w:tcW w:w="1625" w:type="dxa"/>
            <w:vAlign w:val="center"/>
          </w:tcPr>
          <w:p w:rsidR="000F129C" w:rsidRPr="00B370BE" w:rsidRDefault="000F129C" w:rsidP="000F129C">
            <w:pPr>
              <w:widowControl/>
              <w:jc w:val="center"/>
              <w:rPr>
                <w:rFonts w:ascii="Times New Roman" w:hAnsi="Times New Roman"/>
                <w:szCs w:val="24"/>
              </w:rPr>
            </w:pPr>
            <w:r>
              <w:rPr>
                <w:rFonts w:ascii="Times New Roman" w:hAnsi="Times New Roman"/>
                <w:szCs w:val="24"/>
              </w:rPr>
              <w:t>1</w:t>
            </w:r>
          </w:p>
        </w:tc>
        <w:tc>
          <w:tcPr>
            <w:tcW w:w="1625" w:type="dxa"/>
            <w:vAlign w:val="center"/>
          </w:tcPr>
          <w:p w:rsidR="000F129C" w:rsidRPr="00B370BE" w:rsidRDefault="000F129C" w:rsidP="000F129C">
            <w:pPr>
              <w:widowControl/>
              <w:tabs>
                <w:tab w:val="decimal" w:pos="770"/>
              </w:tabs>
              <w:rPr>
                <w:rFonts w:ascii="Times New Roman" w:hAnsi="Times New Roman"/>
                <w:szCs w:val="24"/>
              </w:rPr>
            </w:pPr>
            <w:r>
              <w:rPr>
                <w:rFonts w:ascii="Times New Roman" w:hAnsi="Times New Roman"/>
                <w:szCs w:val="24"/>
              </w:rPr>
              <w:t>3</w:t>
            </w:r>
            <w:r w:rsidRPr="00B370BE">
              <w:rPr>
                <w:rFonts w:ascii="Times New Roman" w:hAnsi="Times New Roman"/>
                <w:szCs w:val="24"/>
              </w:rPr>
              <w:t>.</w:t>
            </w:r>
            <w:r>
              <w:rPr>
                <w:rFonts w:ascii="Times New Roman" w:hAnsi="Times New Roman"/>
                <w:szCs w:val="24"/>
              </w:rPr>
              <w:t>75</w:t>
            </w:r>
          </w:p>
        </w:tc>
        <w:tc>
          <w:tcPr>
            <w:tcW w:w="1625" w:type="dxa"/>
            <w:tcBorders>
              <w:top w:val="nil"/>
              <w:bottom w:val="nil"/>
            </w:tcBorders>
            <w:shd w:val="clear" w:color="auto" w:fill="auto"/>
            <w:vAlign w:val="bottom"/>
          </w:tcPr>
          <w:p w:rsidR="000F129C" w:rsidRPr="00B370BE" w:rsidRDefault="000F129C" w:rsidP="000F129C">
            <w:pPr>
              <w:widowControl/>
              <w:tabs>
                <w:tab w:val="right" w:pos="1132"/>
              </w:tabs>
              <w:jc w:val="center"/>
              <w:rPr>
                <w:rFonts w:ascii="Times New Roman" w:hAnsi="Times New Roman"/>
                <w:szCs w:val="24"/>
                <w:u w:val="single"/>
              </w:rPr>
            </w:pPr>
            <w:r w:rsidRPr="00B370BE">
              <w:rPr>
                <w:rFonts w:ascii="Times New Roman" w:hAnsi="Times New Roman"/>
                <w:szCs w:val="24"/>
                <w:u w:val="single"/>
              </w:rPr>
              <w:t xml:space="preserve">      </w:t>
            </w:r>
            <w:r>
              <w:rPr>
                <w:rFonts w:ascii="Times New Roman" w:hAnsi="Times New Roman"/>
                <w:szCs w:val="24"/>
                <w:u w:val="single"/>
              </w:rPr>
              <w:t>713</w:t>
            </w:r>
          </w:p>
        </w:tc>
      </w:tr>
      <w:tr w:rsidR="000F129C" w:rsidRPr="00B370BE" w:rsidTr="000F129C">
        <w:trPr>
          <w:trHeight w:val="288"/>
          <w:jc w:val="center"/>
        </w:trPr>
        <w:tc>
          <w:tcPr>
            <w:tcW w:w="2880" w:type="dxa"/>
            <w:vAlign w:val="center"/>
          </w:tcPr>
          <w:p w:rsidR="000F129C" w:rsidRPr="00B370BE" w:rsidRDefault="000F129C" w:rsidP="000F129C">
            <w:pPr>
              <w:widowControl/>
              <w:jc w:val="right"/>
              <w:rPr>
                <w:rFonts w:ascii="Times New Roman" w:hAnsi="Times New Roman"/>
                <w:szCs w:val="24"/>
              </w:rPr>
            </w:pPr>
            <w:r w:rsidRPr="00B370BE">
              <w:rPr>
                <w:rFonts w:ascii="Times New Roman" w:hAnsi="Times New Roman"/>
                <w:i/>
                <w:szCs w:val="24"/>
              </w:rPr>
              <w:t>Total</w:t>
            </w:r>
          </w:p>
        </w:tc>
        <w:tc>
          <w:tcPr>
            <w:tcW w:w="1625" w:type="dxa"/>
            <w:vAlign w:val="center"/>
          </w:tcPr>
          <w:p w:rsidR="000F129C" w:rsidRPr="00B370BE" w:rsidRDefault="004A17BF" w:rsidP="000F129C">
            <w:pPr>
              <w:widowControl/>
              <w:tabs>
                <w:tab w:val="right" w:pos="972"/>
              </w:tabs>
              <w:rPr>
                <w:rFonts w:ascii="Times New Roman" w:hAnsi="Times New Roman"/>
                <w:szCs w:val="24"/>
              </w:rPr>
            </w:pPr>
            <w:r>
              <w:rPr>
                <w:rFonts w:ascii="Times New Roman" w:hAnsi="Times New Roman"/>
                <w:szCs w:val="24"/>
              </w:rPr>
              <w:tab/>
            </w:r>
            <w:r w:rsidR="000F129C">
              <w:rPr>
                <w:rFonts w:ascii="Times New Roman" w:hAnsi="Times New Roman"/>
                <w:szCs w:val="24"/>
              </w:rPr>
              <w:t>5,675</w:t>
            </w:r>
          </w:p>
        </w:tc>
        <w:tc>
          <w:tcPr>
            <w:tcW w:w="1625" w:type="dxa"/>
          </w:tcPr>
          <w:p w:rsidR="000F129C" w:rsidRPr="00B370BE" w:rsidRDefault="000F129C" w:rsidP="000F129C">
            <w:pPr>
              <w:widowControl/>
              <w:jc w:val="center"/>
              <w:rPr>
                <w:rFonts w:ascii="Times New Roman" w:hAnsi="Times New Roman"/>
                <w:szCs w:val="24"/>
              </w:rPr>
            </w:pPr>
          </w:p>
        </w:tc>
        <w:tc>
          <w:tcPr>
            <w:tcW w:w="1625" w:type="dxa"/>
            <w:vAlign w:val="center"/>
          </w:tcPr>
          <w:p w:rsidR="000F129C" w:rsidRPr="00B370BE" w:rsidRDefault="000F129C" w:rsidP="000F129C">
            <w:pPr>
              <w:widowControl/>
              <w:tabs>
                <w:tab w:val="decimal" w:pos="770"/>
              </w:tabs>
              <w:rPr>
                <w:rFonts w:ascii="Times New Roman" w:hAnsi="Times New Roman"/>
                <w:szCs w:val="24"/>
              </w:rPr>
            </w:pPr>
          </w:p>
        </w:tc>
        <w:tc>
          <w:tcPr>
            <w:tcW w:w="1625" w:type="dxa"/>
            <w:tcBorders>
              <w:top w:val="nil"/>
              <w:bottom w:val="nil"/>
            </w:tcBorders>
            <w:shd w:val="clear" w:color="auto" w:fill="auto"/>
            <w:vAlign w:val="bottom"/>
          </w:tcPr>
          <w:p w:rsidR="000F129C" w:rsidRPr="00B370BE" w:rsidRDefault="000F129C" w:rsidP="000F129C">
            <w:pPr>
              <w:widowControl/>
              <w:tabs>
                <w:tab w:val="right" w:pos="1132"/>
              </w:tabs>
              <w:jc w:val="center"/>
              <w:rPr>
                <w:rFonts w:ascii="Times New Roman" w:hAnsi="Times New Roman"/>
                <w:szCs w:val="24"/>
              </w:rPr>
            </w:pPr>
            <w:r>
              <w:rPr>
                <w:rFonts w:ascii="Times New Roman" w:hAnsi="Times New Roman"/>
                <w:szCs w:val="24"/>
              </w:rPr>
              <w:t>29,509</w:t>
            </w:r>
          </w:p>
        </w:tc>
      </w:tr>
      <w:tr w:rsidR="000F129C" w:rsidRPr="00B370BE" w:rsidTr="000F129C">
        <w:trPr>
          <w:trHeight w:val="288"/>
          <w:jc w:val="center"/>
        </w:trPr>
        <w:tc>
          <w:tcPr>
            <w:tcW w:w="2880" w:type="dxa"/>
            <w:vAlign w:val="center"/>
          </w:tcPr>
          <w:p w:rsidR="000F129C" w:rsidRPr="00B370BE" w:rsidRDefault="000F129C" w:rsidP="000F129C">
            <w:pPr>
              <w:widowControl/>
              <w:jc w:val="right"/>
              <w:rPr>
                <w:rFonts w:ascii="Times New Roman" w:hAnsi="Times New Roman"/>
                <w:i/>
                <w:szCs w:val="24"/>
              </w:rPr>
            </w:pPr>
          </w:p>
          <w:p w:rsidR="000F129C" w:rsidRPr="00B370BE" w:rsidRDefault="000F129C" w:rsidP="000F129C">
            <w:pPr>
              <w:widowControl/>
              <w:jc w:val="right"/>
              <w:rPr>
                <w:rFonts w:ascii="Times New Roman" w:hAnsi="Times New Roman"/>
                <w:i/>
                <w:szCs w:val="24"/>
              </w:rPr>
            </w:pPr>
            <w:r w:rsidRPr="00B370BE">
              <w:rPr>
                <w:rFonts w:ascii="Times New Roman" w:hAnsi="Times New Roman"/>
                <w:i/>
                <w:szCs w:val="24"/>
              </w:rPr>
              <w:t>Change</w:t>
            </w:r>
          </w:p>
        </w:tc>
        <w:tc>
          <w:tcPr>
            <w:tcW w:w="1625" w:type="dxa"/>
            <w:vAlign w:val="center"/>
          </w:tcPr>
          <w:p w:rsidR="004A17BF" w:rsidRPr="00B370BE" w:rsidRDefault="000F129C" w:rsidP="000F129C">
            <w:pPr>
              <w:widowControl/>
              <w:tabs>
                <w:tab w:val="right" w:pos="972"/>
              </w:tabs>
              <w:rPr>
                <w:rFonts w:ascii="Times New Roman" w:hAnsi="Times New Roman"/>
                <w:szCs w:val="24"/>
              </w:rPr>
            </w:pPr>
            <w:r w:rsidRPr="00B370BE">
              <w:rPr>
                <w:rFonts w:ascii="Times New Roman" w:hAnsi="Times New Roman"/>
                <w:szCs w:val="24"/>
              </w:rPr>
              <w:t xml:space="preserve"> </w:t>
            </w:r>
          </w:p>
          <w:p w:rsidR="000F129C" w:rsidRPr="00B370BE" w:rsidRDefault="004A17BF" w:rsidP="004A17BF">
            <w:pPr>
              <w:widowControl/>
              <w:tabs>
                <w:tab w:val="right" w:pos="972"/>
              </w:tabs>
              <w:rPr>
                <w:rFonts w:ascii="Times New Roman" w:hAnsi="Times New Roman"/>
                <w:szCs w:val="24"/>
              </w:rPr>
            </w:pPr>
            <w:r>
              <w:rPr>
                <w:rFonts w:ascii="Times New Roman" w:hAnsi="Times New Roman"/>
                <w:szCs w:val="24"/>
              </w:rPr>
              <w:tab/>
            </w:r>
            <w:r w:rsidR="00531434">
              <w:rPr>
                <w:rFonts w:ascii="Times New Roman" w:hAnsi="Times New Roman"/>
                <w:szCs w:val="24"/>
              </w:rPr>
              <w:t>+</w:t>
            </w:r>
            <w:r w:rsidR="000F129C">
              <w:rPr>
                <w:rFonts w:ascii="Times New Roman" w:hAnsi="Times New Roman"/>
                <w:szCs w:val="24"/>
              </w:rPr>
              <w:t>441</w:t>
            </w:r>
          </w:p>
        </w:tc>
        <w:tc>
          <w:tcPr>
            <w:tcW w:w="1625" w:type="dxa"/>
          </w:tcPr>
          <w:p w:rsidR="000F129C" w:rsidRPr="00B370BE" w:rsidRDefault="000F129C" w:rsidP="000F129C">
            <w:pPr>
              <w:widowControl/>
              <w:jc w:val="center"/>
              <w:rPr>
                <w:rFonts w:ascii="Times New Roman" w:hAnsi="Times New Roman"/>
                <w:szCs w:val="24"/>
              </w:rPr>
            </w:pPr>
          </w:p>
        </w:tc>
        <w:tc>
          <w:tcPr>
            <w:tcW w:w="1625" w:type="dxa"/>
            <w:vAlign w:val="center"/>
          </w:tcPr>
          <w:p w:rsidR="000F129C" w:rsidRPr="00B370BE" w:rsidRDefault="000F129C" w:rsidP="000F129C">
            <w:pPr>
              <w:widowControl/>
              <w:tabs>
                <w:tab w:val="decimal" w:pos="770"/>
              </w:tabs>
              <w:rPr>
                <w:rFonts w:ascii="Times New Roman" w:hAnsi="Times New Roman"/>
                <w:szCs w:val="24"/>
              </w:rPr>
            </w:pPr>
          </w:p>
        </w:tc>
        <w:tc>
          <w:tcPr>
            <w:tcW w:w="1625" w:type="dxa"/>
            <w:tcBorders>
              <w:top w:val="nil"/>
              <w:bottom w:val="single" w:sz="4" w:space="0" w:color="auto"/>
            </w:tcBorders>
            <w:shd w:val="clear" w:color="auto" w:fill="auto"/>
            <w:vAlign w:val="bottom"/>
          </w:tcPr>
          <w:p w:rsidR="000F129C" w:rsidRPr="00B370BE" w:rsidRDefault="000F129C" w:rsidP="000F129C">
            <w:pPr>
              <w:tabs>
                <w:tab w:val="right" w:pos="1152"/>
              </w:tabs>
              <w:jc w:val="center"/>
              <w:rPr>
                <w:rFonts w:ascii="Times New Roman" w:hAnsi="Times New Roman"/>
                <w:szCs w:val="24"/>
              </w:rPr>
            </w:pPr>
            <w:r w:rsidRPr="00B370BE">
              <w:rPr>
                <w:rFonts w:ascii="Times New Roman" w:hAnsi="Times New Roman"/>
                <w:szCs w:val="24"/>
              </w:rPr>
              <w:t>+</w:t>
            </w:r>
            <w:r>
              <w:rPr>
                <w:rFonts w:ascii="Times New Roman" w:hAnsi="Times New Roman"/>
                <w:szCs w:val="24"/>
              </w:rPr>
              <w:t>2,308</w:t>
            </w:r>
          </w:p>
        </w:tc>
      </w:tr>
    </w:tbl>
    <w:p w:rsidR="000F129C" w:rsidRDefault="000F129C" w:rsidP="000F129C">
      <w:pPr>
        <w:widowControl/>
        <w:rPr>
          <w:rFonts w:ascii="Times New Roman" w:hAnsi="Times New Roman"/>
          <w:szCs w:val="24"/>
        </w:rPr>
      </w:pPr>
      <w:r w:rsidRPr="00B370BE">
        <w:rPr>
          <w:rFonts w:ascii="Times New Roman" w:hAnsi="Times New Roman"/>
          <w:szCs w:val="24"/>
        </w:rPr>
        <w:tab/>
      </w:r>
    </w:p>
    <w:p w:rsidR="000F129C" w:rsidRDefault="000F129C" w:rsidP="000F129C">
      <w:pPr>
        <w:widowControl/>
        <w:rPr>
          <w:rFonts w:ascii="Times New Roman" w:hAnsi="Times New Roman"/>
          <w:szCs w:val="24"/>
        </w:rPr>
      </w:pPr>
    </w:p>
    <w:p w:rsidR="000F129C" w:rsidRDefault="000F129C" w:rsidP="000F129C">
      <w:pPr>
        <w:widowControl/>
        <w:rPr>
          <w:rFonts w:ascii="Times New Roman" w:hAnsi="Times New Roman"/>
          <w:b/>
          <w:szCs w:val="24"/>
        </w:rPr>
      </w:pPr>
      <w:r>
        <w:rPr>
          <w:rFonts w:ascii="Times New Roman" w:hAnsi="Times New Roman"/>
          <w:b/>
          <w:szCs w:val="24"/>
        </w:rPr>
        <w:br w:type="page"/>
      </w:r>
    </w:p>
    <w:p w:rsidR="00990FC9" w:rsidRDefault="00E46321">
      <w:pPr>
        <w:widowControl/>
        <w:rPr>
          <w:rFonts w:ascii="Times New Roman" w:hAnsi="Times New Roman"/>
          <w:b/>
          <w:szCs w:val="24"/>
        </w:rPr>
      </w:pPr>
      <w:r>
        <w:rPr>
          <w:rFonts w:ascii="Times New Roman" w:hAnsi="Times New Roman"/>
          <w:b/>
          <w:szCs w:val="24"/>
        </w:rPr>
        <w:lastRenderedPageBreak/>
        <w:tab/>
      </w:r>
      <w:r w:rsidR="0063605C" w:rsidRPr="00052285">
        <w:rPr>
          <w:rFonts w:ascii="Times New Roman" w:hAnsi="Times New Roman"/>
          <w:b/>
          <w:szCs w:val="24"/>
        </w:rPr>
        <w:t>FR Y-</w:t>
      </w:r>
      <w:r w:rsidR="0063605C">
        <w:rPr>
          <w:rFonts w:ascii="Times New Roman" w:hAnsi="Times New Roman"/>
          <w:b/>
          <w:szCs w:val="24"/>
        </w:rPr>
        <w:t>11/S</w:t>
      </w:r>
      <w:r w:rsidR="0063605C" w:rsidRPr="00052285">
        <w:rPr>
          <w:rFonts w:ascii="Times New Roman" w:hAnsi="Times New Roman"/>
          <w:b/>
          <w:szCs w:val="24"/>
        </w:rPr>
        <w:t xml:space="preserve"> and FR </w:t>
      </w:r>
      <w:r w:rsidR="0063605C">
        <w:rPr>
          <w:rFonts w:ascii="Times New Roman" w:hAnsi="Times New Roman"/>
          <w:b/>
          <w:szCs w:val="24"/>
        </w:rPr>
        <w:t>23</w:t>
      </w:r>
      <w:r w:rsidR="00531434">
        <w:rPr>
          <w:rFonts w:ascii="Times New Roman" w:hAnsi="Times New Roman"/>
          <w:b/>
          <w:szCs w:val="24"/>
        </w:rPr>
        <w:t>1</w:t>
      </w:r>
      <w:r w:rsidR="0063605C">
        <w:rPr>
          <w:rFonts w:ascii="Times New Roman" w:hAnsi="Times New Roman"/>
          <w:b/>
          <w:szCs w:val="24"/>
        </w:rPr>
        <w:t>4/S</w:t>
      </w:r>
    </w:p>
    <w:p w:rsidR="0063605C" w:rsidRDefault="0063605C" w:rsidP="007E4DA7">
      <w:pPr>
        <w:widowControl/>
        <w:ind w:firstLine="720"/>
        <w:rPr>
          <w:rFonts w:ascii="Times New Roman" w:hAnsi="Times New Roman"/>
          <w:szCs w:val="24"/>
        </w:rPr>
      </w:pPr>
    </w:p>
    <w:p w:rsidR="007E4DA7" w:rsidRPr="00B370BE" w:rsidRDefault="007E4DA7" w:rsidP="007E4DA7">
      <w:pPr>
        <w:widowControl/>
        <w:ind w:firstLine="720"/>
        <w:rPr>
          <w:rFonts w:ascii="Times New Roman" w:hAnsi="Times New Roman"/>
          <w:szCs w:val="24"/>
        </w:rPr>
      </w:pPr>
      <w:r w:rsidRPr="00B370BE">
        <w:rPr>
          <w:rFonts w:ascii="Times New Roman" w:hAnsi="Times New Roman"/>
          <w:szCs w:val="24"/>
        </w:rPr>
        <w:t>As shown in the following table</w:t>
      </w:r>
      <w:r w:rsidR="0097766B">
        <w:rPr>
          <w:rFonts w:ascii="Times New Roman" w:hAnsi="Times New Roman"/>
          <w:szCs w:val="24"/>
        </w:rPr>
        <w:t>s</w:t>
      </w:r>
      <w:r w:rsidRPr="00B370BE">
        <w:rPr>
          <w:rFonts w:ascii="Times New Roman" w:hAnsi="Times New Roman"/>
          <w:szCs w:val="24"/>
        </w:rPr>
        <w:t xml:space="preserve">, the current annual reporting burden for the FR Y-11/S and FR 2314/S reports is estimated to be </w:t>
      </w:r>
      <w:r w:rsidR="00172A26">
        <w:rPr>
          <w:rFonts w:ascii="Times New Roman" w:hAnsi="Times New Roman"/>
          <w:szCs w:val="24"/>
        </w:rPr>
        <w:t xml:space="preserve">18,615 </w:t>
      </w:r>
      <w:r w:rsidRPr="00B370BE">
        <w:rPr>
          <w:rFonts w:ascii="Times New Roman" w:hAnsi="Times New Roman"/>
          <w:szCs w:val="24"/>
        </w:rPr>
        <w:t xml:space="preserve">hours and </w:t>
      </w:r>
      <w:r w:rsidR="00172A26">
        <w:rPr>
          <w:rFonts w:ascii="Times New Roman" w:hAnsi="Times New Roman"/>
          <w:szCs w:val="24"/>
        </w:rPr>
        <w:t xml:space="preserve">20,252 </w:t>
      </w:r>
      <w:r w:rsidRPr="00B370BE">
        <w:rPr>
          <w:rFonts w:ascii="Times New Roman" w:hAnsi="Times New Roman"/>
          <w:szCs w:val="24"/>
        </w:rPr>
        <w:t xml:space="preserve">hours, respectively and would increase to </w:t>
      </w:r>
      <w:r w:rsidR="00172A26">
        <w:rPr>
          <w:rFonts w:ascii="Times New Roman" w:hAnsi="Times New Roman"/>
          <w:szCs w:val="24"/>
        </w:rPr>
        <w:t xml:space="preserve">22,779 </w:t>
      </w:r>
      <w:r w:rsidRPr="00B370BE">
        <w:rPr>
          <w:rFonts w:ascii="Times New Roman" w:hAnsi="Times New Roman"/>
          <w:szCs w:val="24"/>
        </w:rPr>
        <w:t xml:space="preserve">hours and </w:t>
      </w:r>
      <w:r w:rsidR="00172A26">
        <w:rPr>
          <w:rFonts w:ascii="Times New Roman" w:hAnsi="Times New Roman"/>
          <w:szCs w:val="24"/>
        </w:rPr>
        <w:t xml:space="preserve">24,945 </w:t>
      </w:r>
      <w:r w:rsidRPr="00B370BE">
        <w:rPr>
          <w:rFonts w:ascii="Times New Roman" w:hAnsi="Times New Roman"/>
          <w:szCs w:val="24"/>
        </w:rPr>
        <w:t>hours</w:t>
      </w:r>
      <w:r w:rsidR="00023710">
        <w:rPr>
          <w:rFonts w:ascii="Times New Roman" w:hAnsi="Times New Roman"/>
          <w:szCs w:val="24"/>
        </w:rPr>
        <w:t>, respectively</w:t>
      </w:r>
      <w:r w:rsidR="00F1572E">
        <w:rPr>
          <w:rFonts w:ascii="Times New Roman" w:hAnsi="Times New Roman"/>
          <w:szCs w:val="24"/>
        </w:rPr>
        <w:t>, effective 2013</w:t>
      </w:r>
      <w:r w:rsidRPr="00B370BE">
        <w:rPr>
          <w:rFonts w:ascii="Times New Roman" w:hAnsi="Times New Roman"/>
          <w:szCs w:val="24"/>
        </w:rPr>
        <w:t xml:space="preserve">.  The </w:t>
      </w:r>
      <w:r w:rsidR="00486789">
        <w:rPr>
          <w:rFonts w:ascii="Times New Roman" w:hAnsi="Times New Roman"/>
          <w:szCs w:val="24"/>
        </w:rPr>
        <w:t xml:space="preserve">estimated annual burden </w:t>
      </w:r>
      <w:r w:rsidRPr="00B370BE">
        <w:rPr>
          <w:rFonts w:ascii="Times New Roman" w:hAnsi="Times New Roman"/>
          <w:szCs w:val="24"/>
        </w:rPr>
        <w:t>for the FR Y-11, FR Y-11S, FR 2314, and FR 2314S reports represent</w:t>
      </w:r>
      <w:r w:rsidR="00E46143">
        <w:rPr>
          <w:rFonts w:ascii="Times New Roman" w:hAnsi="Times New Roman"/>
          <w:szCs w:val="24"/>
        </w:rPr>
        <w:t>s</w:t>
      </w:r>
      <w:r w:rsidRPr="00B370BE">
        <w:rPr>
          <w:rFonts w:ascii="Times New Roman" w:hAnsi="Times New Roman"/>
          <w:szCs w:val="24"/>
        </w:rPr>
        <w:t xml:space="preserve"> less than 1 percent of total Federal Reserve System </w:t>
      </w:r>
      <w:r w:rsidR="00357A85">
        <w:rPr>
          <w:rFonts w:ascii="Times New Roman" w:hAnsi="Times New Roman"/>
          <w:szCs w:val="24"/>
        </w:rPr>
        <w:t>paperwork</w:t>
      </w:r>
      <w:r w:rsidRPr="00B370BE">
        <w:rPr>
          <w:rFonts w:ascii="Times New Roman" w:hAnsi="Times New Roman"/>
          <w:szCs w:val="24"/>
        </w:rPr>
        <w:t xml:space="preserve"> burden.  </w:t>
      </w:r>
    </w:p>
    <w:p w:rsidR="007E4DA7" w:rsidRPr="00B370BE" w:rsidRDefault="007E4DA7" w:rsidP="007E4DA7">
      <w:pPr>
        <w:widowControl/>
        <w:rPr>
          <w:rFonts w:ascii="Times New Roman" w:hAnsi="Times New Roman"/>
          <w:szCs w:val="24"/>
        </w:rPr>
      </w:pPr>
    </w:p>
    <w:tbl>
      <w:tblPr>
        <w:tblW w:w="0" w:type="auto"/>
        <w:jc w:val="center"/>
        <w:tblInd w:w="-63" w:type="dxa"/>
        <w:tblBorders>
          <w:top w:val="single" w:sz="8" w:space="0" w:color="auto"/>
          <w:bottom w:val="single" w:sz="18" w:space="0" w:color="auto"/>
        </w:tblBorders>
        <w:tblLook w:val="01E0"/>
      </w:tblPr>
      <w:tblGrid>
        <w:gridCol w:w="2471"/>
        <w:gridCol w:w="1765"/>
        <w:gridCol w:w="1211"/>
        <w:gridCol w:w="1735"/>
        <w:gridCol w:w="1737"/>
      </w:tblGrid>
      <w:tr w:rsidR="007E4DA7" w:rsidRPr="00B370BE" w:rsidTr="007E4DA7">
        <w:trPr>
          <w:jc w:val="center"/>
        </w:trPr>
        <w:tc>
          <w:tcPr>
            <w:tcW w:w="2471" w:type="dxa"/>
            <w:tcBorders>
              <w:top w:val="single" w:sz="8" w:space="0" w:color="auto"/>
              <w:bottom w:val="nil"/>
            </w:tcBorders>
          </w:tcPr>
          <w:p w:rsidR="007E4DA7" w:rsidRPr="00B370BE" w:rsidRDefault="007E4DA7" w:rsidP="007E4DA7">
            <w:pPr>
              <w:widowControl/>
              <w:rPr>
                <w:rFonts w:ascii="Times New Roman" w:hAnsi="Times New Roman"/>
                <w:szCs w:val="24"/>
              </w:rPr>
            </w:pPr>
          </w:p>
        </w:tc>
        <w:tc>
          <w:tcPr>
            <w:tcW w:w="1765" w:type="dxa"/>
            <w:tcBorders>
              <w:top w:val="single" w:sz="8" w:space="0" w:color="auto"/>
              <w:bottom w:val="nil"/>
            </w:tcBorders>
            <w:vAlign w:val="bottom"/>
          </w:tcPr>
          <w:p w:rsidR="007E4DA7" w:rsidRPr="00B370BE" w:rsidRDefault="007E4DA7" w:rsidP="007E4DA7">
            <w:pPr>
              <w:widowControl/>
              <w:jc w:val="center"/>
              <w:rPr>
                <w:rFonts w:ascii="Times New Roman" w:hAnsi="Times New Roman"/>
                <w:i/>
                <w:szCs w:val="24"/>
              </w:rPr>
            </w:pPr>
            <w:r w:rsidRPr="00B370BE">
              <w:rPr>
                <w:rFonts w:ascii="Times New Roman" w:hAnsi="Times New Roman"/>
                <w:i/>
                <w:szCs w:val="24"/>
              </w:rPr>
              <w:t>Number of respondents</w:t>
            </w:r>
          </w:p>
        </w:tc>
        <w:tc>
          <w:tcPr>
            <w:tcW w:w="1211" w:type="dxa"/>
            <w:tcBorders>
              <w:top w:val="single" w:sz="8" w:space="0" w:color="auto"/>
              <w:bottom w:val="nil"/>
            </w:tcBorders>
            <w:vAlign w:val="bottom"/>
          </w:tcPr>
          <w:p w:rsidR="007E4DA7" w:rsidRPr="00B370BE" w:rsidRDefault="007E4DA7" w:rsidP="007E4DA7">
            <w:pPr>
              <w:widowControl/>
              <w:jc w:val="center"/>
              <w:rPr>
                <w:rFonts w:ascii="Times New Roman" w:hAnsi="Times New Roman"/>
                <w:i/>
                <w:szCs w:val="24"/>
              </w:rPr>
            </w:pPr>
            <w:r w:rsidRPr="00B370BE">
              <w:rPr>
                <w:rFonts w:ascii="Times New Roman" w:hAnsi="Times New Roman"/>
                <w:i/>
                <w:szCs w:val="24"/>
              </w:rPr>
              <w:t>Annual frequency</w:t>
            </w:r>
          </w:p>
        </w:tc>
        <w:tc>
          <w:tcPr>
            <w:tcW w:w="1735" w:type="dxa"/>
            <w:tcBorders>
              <w:top w:val="single" w:sz="8" w:space="0" w:color="auto"/>
              <w:bottom w:val="nil"/>
            </w:tcBorders>
            <w:vAlign w:val="bottom"/>
          </w:tcPr>
          <w:p w:rsidR="007E4DA7" w:rsidRPr="00B370BE" w:rsidRDefault="007E4DA7" w:rsidP="007E4DA7">
            <w:pPr>
              <w:widowControl/>
              <w:jc w:val="center"/>
              <w:rPr>
                <w:rFonts w:ascii="Times New Roman" w:hAnsi="Times New Roman"/>
                <w:i/>
                <w:szCs w:val="24"/>
              </w:rPr>
            </w:pPr>
            <w:r w:rsidRPr="00B370BE">
              <w:rPr>
                <w:rFonts w:ascii="Times New Roman" w:hAnsi="Times New Roman"/>
                <w:i/>
                <w:szCs w:val="24"/>
              </w:rPr>
              <w:t>Estimated average hours per response</w:t>
            </w:r>
          </w:p>
        </w:tc>
        <w:tc>
          <w:tcPr>
            <w:tcW w:w="1737" w:type="dxa"/>
            <w:tcBorders>
              <w:top w:val="single" w:sz="8" w:space="0" w:color="auto"/>
              <w:bottom w:val="nil"/>
            </w:tcBorders>
            <w:vAlign w:val="bottom"/>
          </w:tcPr>
          <w:p w:rsidR="007E4DA7" w:rsidRPr="00B370BE" w:rsidRDefault="007E4DA7" w:rsidP="007E4DA7">
            <w:pPr>
              <w:widowControl/>
              <w:jc w:val="center"/>
              <w:rPr>
                <w:rFonts w:ascii="Times New Roman" w:hAnsi="Times New Roman"/>
                <w:i/>
                <w:szCs w:val="24"/>
              </w:rPr>
            </w:pPr>
            <w:r w:rsidRPr="00B370BE">
              <w:rPr>
                <w:rFonts w:ascii="Times New Roman" w:hAnsi="Times New Roman"/>
                <w:i/>
                <w:szCs w:val="24"/>
              </w:rPr>
              <w:t>Estimated annual burden hours</w:t>
            </w:r>
          </w:p>
        </w:tc>
      </w:tr>
      <w:tr w:rsidR="007E4DA7" w:rsidRPr="00B370BE" w:rsidTr="007E4DA7">
        <w:trPr>
          <w:jc w:val="center"/>
        </w:trPr>
        <w:tc>
          <w:tcPr>
            <w:tcW w:w="2471" w:type="dxa"/>
            <w:tcBorders>
              <w:top w:val="nil"/>
            </w:tcBorders>
          </w:tcPr>
          <w:p w:rsidR="007E4DA7" w:rsidRPr="00B370BE" w:rsidRDefault="007E4DA7" w:rsidP="007E4DA7">
            <w:pPr>
              <w:widowControl/>
              <w:rPr>
                <w:rFonts w:ascii="Times New Roman" w:hAnsi="Times New Roman"/>
                <w:i/>
                <w:szCs w:val="24"/>
                <w:u w:val="single"/>
              </w:rPr>
            </w:pPr>
            <w:r w:rsidRPr="00B370BE">
              <w:rPr>
                <w:rFonts w:ascii="Times New Roman" w:hAnsi="Times New Roman"/>
                <w:i/>
                <w:szCs w:val="24"/>
                <w:u w:val="single"/>
              </w:rPr>
              <w:t>Current</w:t>
            </w:r>
          </w:p>
        </w:tc>
        <w:tc>
          <w:tcPr>
            <w:tcW w:w="1765" w:type="dxa"/>
            <w:tcBorders>
              <w:top w:val="nil"/>
            </w:tcBorders>
          </w:tcPr>
          <w:p w:rsidR="007E4DA7" w:rsidRPr="00B370BE" w:rsidRDefault="007E4DA7" w:rsidP="007E4DA7">
            <w:pPr>
              <w:widowControl/>
              <w:jc w:val="center"/>
              <w:rPr>
                <w:rFonts w:ascii="Times New Roman" w:hAnsi="Times New Roman"/>
                <w:szCs w:val="24"/>
              </w:rPr>
            </w:pPr>
          </w:p>
        </w:tc>
        <w:tc>
          <w:tcPr>
            <w:tcW w:w="1211" w:type="dxa"/>
            <w:tcBorders>
              <w:top w:val="nil"/>
            </w:tcBorders>
          </w:tcPr>
          <w:p w:rsidR="007E4DA7" w:rsidRPr="00B370BE" w:rsidRDefault="007E4DA7" w:rsidP="007E4DA7">
            <w:pPr>
              <w:widowControl/>
              <w:jc w:val="center"/>
              <w:rPr>
                <w:rFonts w:ascii="Times New Roman" w:hAnsi="Times New Roman"/>
                <w:szCs w:val="24"/>
              </w:rPr>
            </w:pPr>
          </w:p>
        </w:tc>
        <w:tc>
          <w:tcPr>
            <w:tcW w:w="1735" w:type="dxa"/>
            <w:tcBorders>
              <w:top w:val="nil"/>
            </w:tcBorders>
          </w:tcPr>
          <w:p w:rsidR="007E4DA7" w:rsidRPr="00B370BE" w:rsidRDefault="007E4DA7" w:rsidP="007E4DA7">
            <w:pPr>
              <w:widowControl/>
              <w:jc w:val="center"/>
              <w:rPr>
                <w:rFonts w:ascii="Times New Roman" w:hAnsi="Times New Roman"/>
                <w:szCs w:val="24"/>
              </w:rPr>
            </w:pPr>
          </w:p>
        </w:tc>
        <w:tc>
          <w:tcPr>
            <w:tcW w:w="1737" w:type="dxa"/>
            <w:tcBorders>
              <w:top w:val="nil"/>
            </w:tcBorders>
          </w:tcPr>
          <w:p w:rsidR="007E4DA7" w:rsidRPr="00B370BE" w:rsidRDefault="007E4DA7" w:rsidP="007E4DA7">
            <w:pPr>
              <w:widowControl/>
              <w:jc w:val="center"/>
              <w:rPr>
                <w:rFonts w:ascii="Times New Roman" w:hAnsi="Times New Roman"/>
                <w:szCs w:val="24"/>
              </w:rPr>
            </w:pPr>
          </w:p>
        </w:tc>
      </w:tr>
      <w:tr w:rsidR="007E4DA7" w:rsidRPr="00B370BE" w:rsidTr="007E4DA7">
        <w:trPr>
          <w:jc w:val="center"/>
        </w:trPr>
        <w:tc>
          <w:tcPr>
            <w:tcW w:w="2471" w:type="dxa"/>
          </w:tcPr>
          <w:p w:rsidR="007E4DA7" w:rsidRPr="00B370BE" w:rsidRDefault="007E4DA7" w:rsidP="007E4DA7">
            <w:pPr>
              <w:widowControl/>
              <w:rPr>
                <w:rFonts w:ascii="Times New Roman" w:hAnsi="Times New Roman"/>
                <w:szCs w:val="24"/>
              </w:rPr>
            </w:pPr>
            <w:r w:rsidRPr="00B370BE">
              <w:rPr>
                <w:rFonts w:ascii="Times New Roman" w:hAnsi="Times New Roman"/>
                <w:szCs w:val="24"/>
              </w:rPr>
              <w:t>FR Y-11 (quarterly)</w:t>
            </w:r>
          </w:p>
        </w:tc>
        <w:tc>
          <w:tcPr>
            <w:tcW w:w="1765" w:type="dxa"/>
          </w:tcPr>
          <w:p w:rsidR="007E4DA7" w:rsidRPr="00B370BE" w:rsidRDefault="004A17BF" w:rsidP="004A17BF">
            <w:pPr>
              <w:widowControl/>
              <w:tabs>
                <w:tab w:val="right" w:pos="1056"/>
              </w:tabs>
              <w:rPr>
                <w:rFonts w:ascii="Times New Roman" w:hAnsi="Times New Roman"/>
                <w:szCs w:val="24"/>
              </w:rPr>
            </w:pPr>
            <w:r>
              <w:rPr>
                <w:rFonts w:ascii="Times New Roman" w:hAnsi="Times New Roman"/>
                <w:szCs w:val="24"/>
              </w:rPr>
              <w:tab/>
            </w:r>
            <w:r w:rsidR="007E4DA7">
              <w:rPr>
                <w:rFonts w:ascii="Times New Roman" w:hAnsi="Times New Roman"/>
                <w:szCs w:val="24"/>
              </w:rPr>
              <w:t>543</w:t>
            </w:r>
          </w:p>
        </w:tc>
        <w:tc>
          <w:tcPr>
            <w:tcW w:w="1211" w:type="dxa"/>
          </w:tcPr>
          <w:p w:rsidR="007E4DA7" w:rsidRPr="00B370BE" w:rsidRDefault="007E4DA7" w:rsidP="007E4DA7">
            <w:pPr>
              <w:widowControl/>
              <w:jc w:val="center"/>
              <w:rPr>
                <w:rFonts w:ascii="Times New Roman" w:hAnsi="Times New Roman"/>
                <w:szCs w:val="24"/>
              </w:rPr>
            </w:pPr>
            <w:r w:rsidRPr="00B370BE">
              <w:rPr>
                <w:rFonts w:ascii="Times New Roman" w:hAnsi="Times New Roman"/>
                <w:szCs w:val="24"/>
              </w:rPr>
              <w:t>4</w:t>
            </w:r>
          </w:p>
        </w:tc>
        <w:tc>
          <w:tcPr>
            <w:tcW w:w="1735" w:type="dxa"/>
          </w:tcPr>
          <w:p w:rsidR="007E4DA7" w:rsidRPr="00B370BE" w:rsidRDefault="007E4DA7" w:rsidP="007E4DA7">
            <w:pPr>
              <w:widowControl/>
              <w:jc w:val="center"/>
              <w:rPr>
                <w:rFonts w:ascii="Times New Roman" w:hAnsi="Times New Roman"/>
                <w:szCs w:val="24"/>
              </w:rPr>
            </w:pPr>
            <w:r w:rsidRPr="00B370BE">
              <w:rPr>
                <w:rFonts w:ascii="Times New Roman" w:hAnsi="Times New Roman"/>
                <w:szCs w:val="24"/>
              </w:rPr>
              <w:t>6.8</w:t>
            </w:r>
          </w:p>
        </w:tc>
        <w:tc>
          <w:tcPr>
            <w:tcW w:w="1737" w:type="dxa"/>
          </w:tcPr>
          <w:p w:rsidR="007E4DA7" w:rsidRPr="00B370BE" w:rsidRDefault="004A17BF" w:rsidP="004A17BF">
            <w:pPr>
              <w:widowControl/>
              <w:tabs>
                <w:tab w:val="right" w:pos="1010"/>
              </w:tabs>
              <w:rPr>
                <w:rFonts w:ascii="Times New Roman" w:hAnsi="Times New Roman"/>
                <w:szCs w:val="24"/>
              </w:rPr>
            </w:pPr>
            <w:r>
              <w:rPr>
                <w:rFonts w:ascii="Times New Roman" w:hAnsi="Times New Roman"/>
                <w:szCs w:val="24"/>
              </w:rPr>
              <w:tab/>
            </w:r>
            <w:r w:rsidR="007E4DA7">
              <w:rPr>
                <w:rFonts w:ascii="Times New Roman" w:hAnsi="Times New Roman"/>
                <w:szCs w:val="24"/>
              </w:rPr>
              <w:t>14,770</w:t>
            </w:r>
          </w:p>
        </w:tc>
      </w:tr>
      <w:tr w:rsidR="007E4DA7" w:rsidRPr="00B370BE" w:rsidTr="007E4DA7">
        <w:trPr>
          <w:jc w:val="center"/>
        </w:trPr>
        <w:tc>
          <w:tcPr>
            <w:tcW w:w="2471" w:type="dxa"/>
          </w:tcPr>
          <w:p w:rsidR="007E4DA7" w:rsidRPr="00B370BE" w:rsidRDefault="007E4DA7" w:rsidP="007E4DA7">
            <w:pPr>
              <w:widowControl/>
              <w:rPr>
                <w:rFonts w:ascii="Times New Roman" w:hAnsi="Times New Roman"/>
                <w:szCs w:val="24"/>
              </w:rPr>
            </w:pPr>
            <w:r w:rsidRPr="00B370BE">
              <w:rPr>
                <w:rFonts w:ascii="Times New Roman" w:hAnsi="Times New Roman"/>
                <w:szCs w:val="24"/>
              </w:rPr>
              <w:t>FR Y-11 (annual)</w:t>
            </w:r>
          </w:p>
        </w:tc>
        <w:tc>
          <w:tcPr>
            <w:tcW w:w="1765" w:type="dxa"/>
          </w:tcPr>
          <w:p w:rsidR="007E4DA7" w:rsidRPr="00B370BE" w:rsidRDefault="004A17BF" w:rsidP="004A17BF">
            <w:pPr>
              <w:widowControl/>
              <w:tabs>
                <w:tab w:val="right" w:pos="1056"/>
              </w:tabs>
              <w:rPr>
                <w:rFonts w:ascii="Times New Roman" w:hAnsi="Times New Roman"/>
                <w:szCs w:val="24"/>
              </w:rPr>
            </w:pPr>
            <w:r>
              <w:rPr>
                <w:rFonts w:ascii="Times New Roman" w:hAnsi="Times New Roman"/>
                <w:szCs w:val="24"/>
              </w:rPr>
              <w:tab/>
            </w:r>
            <w:r w:rsidR="007E4DA7">
              <w:rPr>
                <w:rFonts w:ascii="Times New Roman" w:hAnsi="Times New Roman"/>
                <w:szCs w:val="24"/>
              </w:rPr>
              <w:t>441</w:t>
            </w:r>
          </w:p>
        </w:tc>
        <w:tc>
          <w:tcPr>
            <w:tcW w:w="1211" w:type="dxa"/>
          </w:tcPr>
          <w:p w:rsidR="007E4DA7" w:rsidRPr="00B370BE" w:rsidRDefault="007E4DA7" w:rsidP="007E4DA7">
            <w:pPr>
              <w:widowControl/>
              <w:jc w:val="center"/>
              <w:rPr>
                <w:rFonts w:ascii="Times New Roman" w:hAnsi="Times New Roman"/>
                <w:szCs w:val="24"/>
              </w:rPr>
            </w:pPr>
            <w:r w:rsidRPr="00B370BE">
              <w:rPr>
                <w:rFonts w:ascii="Times New Roman" w:hAnsi="Times New Roman"/>
                <w:szCs w:val="24"/>
              </w:rPr>
              <w:t>1</w:t>
            </w:r>
          </w:p>
        </w:tc>
        <w:tc>
          <w:tcPr>
            <w:tcW w:w="1735" w:type="dxa"/>
          </w:tcPr>
          <w:p w:rsidR="007E4DA7" w:rsidRPr="00B370BE" w:rsidRDefault="007E4DA7" w:rsidP="007E4DA7">
            <w:pPr>
              <w:widowControl/>
              <w:jc w:val="center"/>
              <w:rPr>
                <w:rFonts w:ascii="Times New Roman" w:hAnsi="Times New Roman"/>
                <w:szCs w:val="24"/>
              </w:rPr>
            </w:pPr>
            <w:r w:rsidRPr="00B370BE">
              <w:rPr>
                <w:rFonts w:ascii="Times New Roman" w:hAnsi="Times New Roman"/>
                <w:szCs w:val="24"/>
              </w:rPr>
              <w:t>6.8</w:t>
            </w:r>
          </w:p>
        </w:tc>
        <w:tc>
          <w:tcPr>
            <w:tcW w:w="1737" w:type="dxa"/>
          </w:tcPr>
          <w:p w:rsidR="007E4DA7" w:rsidRPr="00B370BE" w:rsidRDefault="004A17BF" w:rsidP="004A17BF">
            <w:pPr>
              <w:widowControl/>
              <w:tabs>
                <w:tab w:val="right" w:pos="1010"/>
              </w:tabs>
              <w:rPr>
                <w:rFonts w:ascii="Times New Roman" w:hAnsi="Times New Roman"/>
                <w:szCs w:val="24"/>
              </w:rPr>
            </w:pPr>
            <w:r>
              <w:rPr>
                <w:rFonts w:ascii="Times New Roman" w:hAnsi="Times New Roman"/>
                <w:szCs w:val="24"/>
              </w:rPr>
              <w:tab/>
            </w:r>
            <w:r w:rsidR="007E4DA7">
              <w:rPr>
                <w:rFonts w:ascii="Times New Roman" w:hAnsi="Times New Roman"/>
                <w:szCs w:val="24"/>
              </w:rPr>
              <w:t>2,999</w:t>
            </w:r>
            <w:r w:rsidR="007E4DA7" w:rsidRPr="00B370BE">
              <w:rPr>
                <w:rFonts w:ascii="Times New Roman" w:hAnsi="Times New Roman"/>
                <w:szCs w:val="24"/>
              </w:rPr>
              <w:t xml:space="preserve">  </w:t>
            </w:r>
          </w:p>
        </w:tc>
      </w:tr>
      <w:tr w:rsidR="007E4DA7" w:rsidRPr="00B370BE" w:rsidTr="007E4DA7">
        <w:trPr>
          <w:jc w:val="center"/>
        </w:trPr>
        <w:tc>
          <w:tcPr>
            <w:tcW w:w="2471" w:type="dxa"/>
          </w:tcPr>
          <w:p w:rsidR="007E4DA7" w:rsidRPr="00B370BE" w:rsidRDefault="007E4DA7" w:rsidP="007E4DA7">
            <w:pPr>
              <w:widowControl/>
              <w:rPr>
                <w:rFonts w:ascii="Times New Roman" w:hAnsi="Times New Roman"/>
                <w:szCs w:val="24"/>
              </w:rPr>
            </w:pPr>
            <w:r w:rsidRPr="00B370BE">
              <w:rPr>
                <w:rFonts w:ascii="Times New Roman" w:hAnsi="Times New Roman"/>
                <w:szCs w:val="24"/>
              </w:rPr>
              <w:t>FR Y-11S</w:t>
            </w:r>
          </w:p>
        </w:tc>
        <w:tc>
          <w:tcPr>
            <w:tcW w:w="1765" w:type="dxa"/>
          </w:tcPr>
          <w:p w:rsidR="007E4DA7" w:rsidRPr="00B370BE" w:rsidRDefault="004A17BF" w:rsidP="004A17BF">
            <w:pPr>
              <w:widowControl/>
              <w:tabs>
                <w:tab w:val="right" w:pos="1056"/>
              </w:tabs>
              <w:rPr>
                <w:rFonts w:ascii="Times New Roman" w:hAnsi="Times New Roman"/>
                <w:szCs w:val="24"/>
                <w:u w:val="single"/>
              </w:rPr>
            </w:pPr>
            <w:r>
              <w:rPr>
                <w:rFonts w:ascii="Times New Roman" w:hAnsi="Times New Roman"/>
                <w:szCs w:val="24"/>
              </w:rPr>
              <w:tab/>
            </w:r>
            <w:r>
              <w:rPr>
                <w:rFonts w:ascii="Times New Roman" w:hAnsi="Times New Roman"/>
                <w:szCs w:val="24"/>
                <w:u w:val="single"/>
              </w:rPr>
              <w:t xml:space="preserve">   8</w:t>
            </w:r>
            <w:r w:rsidR="007E4DA7">
              <w:rPr>
                <w:rFonts w:ascii="Times New Roman" w:hAnsi="Times New Roman"/>
                <w:szCs w:val="24"/>
                <w:u w:val="single"/>
              </w:rPr>
              <w:t>46</w:t>
            </w:r>
          </w:p>
        </w:tc>
        <w:tc>
          <w:tcPr>
            <w:tcW w:w="1211" w:type="dxa"/>
          </w:tcPr>
          <w:p w:rsidR="007E4DA7" w:rsidRPr="00B370BE" w:rsidRDefault="007E4DA7" w:rsidP="007E4DA7">
            <w:pPr>
              <w:widowControl/>
              <w:jc w:val="center"/>
              <w:rPr>
                <w:rFonts w:ascii="Times New Roman" w:hAnsi="Times New Roman"/>
                <w:szCs w:val="24"/>
              </w:rPr>
            </w:pPr>
            <w:r w:rsidRPr="00B370BE">
              <w:rPr>
                <w:rFonts w:ascii="Times New Roman" w:hAnsi="Times New Roman"/>
                <w:szCs w:val="24"/>
              </w:rPr>
              <w:t>1</w:t>
            </w:r>
          </w:p>
        </w:tc>
        <w:tc>
          <w:tcPr>
            <w:tcW w:w="1735" w:type="dxa"/>
          </w:tcPr>
          <w:p w:rsidR="007E4DA7" w:rsidRPr="00B370BE" w:rsidRDefault="007E4DA7" w:rsidP="007E4DA7">
            <w:pPr>
              <w:widowControl/>
              <w:jc w:val="center"/>
              <w:rPr>
                <w:rFonts w:ascii="Times New Roman" w:hAnsi="Times New Roman"/>
                <w:szCs w:val="24"/>
              </w:rPr>
            </w:pPr>
            <w:r w:rsidRPr="00B370BE">
              <w:rPr>
                <w:rFonts w:ascii="Times New Roman" w:hAnsi="Times New Roman"/>
                <w:szCs w:val="24"/>
              </w:rPr>
              <w:t>1.0</w:t>
            </w:r>
          </w:p>
        </w:tc>
        <w:tc>
          <w:tcPr>
            <w:tcW w:w="1737" w:type="dxa"/>
          </w:tcPr>
          <w:p w:rsidR="007E4DA7" w:rsidRPr="00B370BE" w:rsidRDefault="004A17BF" w:rsidP="004A17BF">
            <w:pPr>
              <w:widowControl/>
              <w:tabs>
                <w:tab w:val="right" w:pos="1010"/>
              </w:tabs>
              <w:rPr>
                <w:rFonts w:ascii="Times New Roman" w:hAnsi="Times New Roman"/>
                <w:szCs w:val="24"/>
                <w:u w:val="single"/>
              </w:rPr>
            </w:pPr>
            <w:r>
              <w:rPr>
                <w:rFonts w:ascii="Times New Roman" w:hAnsi="Times New Roman"/>
                <w:szCs w:val="24"/>
              </w:rPr>
              <w:tab/>
            </w:r>
            <w:r w:rsidR="007E4DA7" w:rsidRPr="00B370BE">
              <w:rPr>
                <w:rFonts w:ascii="Times New Roman" w:hAnsi="Times New Roman"/>
                <w:szCs w:val="24"/>
                <w:u w:val="single"/>
              </w:rPr>
              <w:t xml:space="preserve"> </w:t>
            </w:r>
            <w:r>
              <w:rPr>
                <w:rFonts w:ascii="Times New Roman" w:hAnsi="Times New Roman"/>
                <w:szCs w:val="24"/>
                <w:u w:val="single"/>
              </w:rPr>
              <w:t xml:space="preserve"> </w:t>
            </w:r>
            <w:r w:rsidR="007E4DA7" w:rsidRPr="00B370BE">
              <w:rPr>
                <w:rFonts w:ascii="Times New Roman" w:hAnsi="Times New Roman"/>
                <w:szCs w:val="24"/>
                <w:u w:val="single"/>
              </w:rPr>
              <w:t xml:space="preserve">   </w:t>
            </w:r>
            <w:r w:rsidR="007E4DA7">
              <w:rPr>
                <w:rFonts w:ascii="Times New Roman" w:hAnsi="Times New Roman"/>
                <w:szCs w:val="24"/>
                <w:u w:val="single"/>
              </w:rPr>
              <w:t>846</w:t>
            </w:r>
          </w:p>
        </w:tc>
      </w:tr>
      <w:tr w:rsidR="007E4DA7" w:rsidRPr="00B370BE" w:rsidTr="007E4DA7">
        <w:trPr>
          <w:jc w:val="center"/>
        </w:trPr>
        <w:tc>
          <w:tcPr>
            <w:tcW w:w="2471" w:type="dxa"/>
          </w:tcPr>
          <w:p w:rsidR="007E4DA7" w:rsidRPr="00B370BE" w:rsidRDefault="007E4DA7" w:rsidP="007E4DA7">
            <w:pPr>
              <w:widowControl/>
              <w:jc w:val="right"/>
              <w:rPr>
                <w:rFonts w:ascii="Times New Roman" w:hAnsi="Times New Roman"/>
                <w:i/>
                <w:szCs w:val="24"/>
              </w:rPr>
            </w:pPr>
            <w:r w:rsidRPr="00B370BE">
              <w:rPr>
                <w:rFonts w:ascii="Times New Roman" w:hAnsi="Times New Roman"/>
                <w:i/>
                <w:szCs w:val="24"/>
              </w:rPr>
              <w:t>Total</w:t>
            </w:r>
          </w:p>
        </w:tc>
        <w:tc>
          <w:tcPr>
            <w:tcW w:w="1765" w:type="dxa"/>
          </w:tcPr>
          <w:p w:rsidR="007E4DA7" w:rsidRPr="00B370BE" w:rsidRDefault="004A17BF" w:rsidP="004A17BF">
            <w:pPr>
              <w:widowControl/>
              <w:tabs>
                <w:tab w:val="right" w:pos="1056"/>
              </w:tabs>
              <w:rPr>
                <w:rFonts w:ascii="Times New Roman" w:hAnsi="Times New Roman"/>
                <w:szCs w:val="24"/>
              </w:rPr>
            </w:pPr>
            <w:r>
              <w:rPr>
                <w:rFonts w:ascii="Times New Roman" w:hAnsi="Times New Roman"/>
                <w:szCs w:val="24"/>
              </w:rPr>
              <w:tab/>
            </w:r>
            <w:r w:rsidR="00B5499D">
              <w:rPr>
                <w:rFonts w:ascii="Times New Roman" w:hAnsi="Times New Roman"/>
                <w:szCs w:val="24"/>
              </w:rPr>
              <w:t>1,830</w:t>
            </w:r>
          </w:p>
        </w:tc>
        <w:tc>
          <w:tcPr>
            <w:tcW w:w="1211" w:type="dxa"/>
          </w:tcPr>
          <w:p w:rsidR="007E4DA7" w:rsidRPr="00B370BE" w:rsidRDefault="007E4DA7" w:rsidP="007E4DA7">
            <w:pPr>
              <w:widowControl/>
              <w:jc w:val="center"/>
              <w:rPr>
                <w:rFonts w:ascii="Times New Roman" w:hAnsi="Times New Roman"/>
                <w:szCs w:val="24"/>
              </w:rPr>
            </w:pPr>
          </w:p>
        </w:tc>
        <w:tc>
          <w:tcPr>
            <w:tcW w:w="1735" w:type="dxa"/>
          </w:tcPr>
          <w:p w:rsidR="007E4DA7" w:rsidRPr="00B370BE" w:rsidRDefault="007E4DA7" w:rsidP="007E4DA7">
            <w:pPr>
              <w:widowControl/>
              <w:jc w:val="center"/>
              <w:rPr>
                <w:rFonts w:ascii="Times New Roman" w:hAnsi="Times New Roman"/>
                <w:szCs w:val="24"/>
              </w:rPr>
            </w:pPr>
          </w:p>
        </w:tc>
        <w:tc>
          <w:tcPr>
            <w:tcW w:w="1737" w:type="dxa"/>
          </w:tcPr>
          <w:p w:rsidR="007E4DA7" w:rsidRPr="00B370BE" w:rsidRDefault="004A17BF" w:rsidP="004A17BF">
            <w:pPr>
              <w:widowControl/>
              <w:tabs>
                <w:tab w:val="right" w:pos="1010"/>
              </w:tabs>
              <w:rPr>
                <w:rFonts w:ascii="Times New Roman" w:hAnsi="Times New Roman"/>
                <w:szCs w:val="24"/>
              </w:rPr>
            </w:pPr>
            <w:r>
              <w:rPr>
                <w:rFonts w:ascii="Times New Roman" w:hAnsi="Times New Roman"/>
                <w:szCs w:val="24"/>
              </w:rPr>
              <w:tab/>
            </w:r>
            <w:r w:rsidR="007E4DA7">
              <w:rPr>
                <w:rFonts w:ascii="Times New Roman" w:hAnsi="Times New Roman"/>
                <w:szCs w:val="24"/>
              </w:rPr>
              <w:t>18,615</w:t>
            </w:r>
          </w:p>
        </w:tc>
      </w:tr>
      <w:tr w:rsidR="007E4DA7" w:rsidRPr="00B370BE" w:rsidTr="007E4DA7">
        <w:trPr>
          <w:jc w:val="center"/>
        </w:trPr>
        <w:tc>
          <w:tcPr>
            <w:tcW w:w="2471" w:type="dxa"/>
          </w:tcPr>
          <w:p w:rsidR="007E4DA7" w:rsidRPr="00B370BE" w:rsidRDefault="007E4DA7" w:rsidP="007E4DA7">
            <w:pPr>
              <w:widowControl/>
              <w:rPr>
                <w:rFonts w:ascii="Times New Roman" w:hAnsi="Times New Roman"/>
                <w:szCs w:val="24"/>
              </w:rPr>
            </w:pPr>
          </w:p>
        </w:tc>
        <w:tc>
          <w:tcPr>
            <w:tcW w:w="1765" w:type="dxa"/>
          </w:tcPr>
          <w:p w:rsidR="007E4DA7" w:rsidRPr="00B370BE" w:rsidRDefault="007E4DA7" w:rsidP="004A17BF">
            <w:pPr>
              <w:widowControl/>
              <w:tabs>
                <w:tab w:val="right" w:pos="1056"/>
              </w:tabs>
              <w:rPr>
                <w:rFonts w:ascii="Times New Roman" w:hAnsi="Times New Roman"/>
                <w:szCs w:val="24"/>
              </w:rPr>
            </w:pPr>
          </w:p>
        </w:tc>
        <w:tc>
          <w:tcPr>
            <w:tcW w:w="1211" w:type="dxa"/>
          </w:tcPr>
          <w:p w:rsidR="007E4DA7" w:rsidRPr="00B370BE" w:rsidRDefault="007E4DA7" w:rsidP="007E4DA7">
            <w:pPr>
              <w:widowControl/>
              <w:jc w:val="center"/>
              <w:rPr>
                <w:rFonts w:ascii="Times New Roman" w:hAnsi="Times New Roman"/>
                <w:szCs w:val="24"/>
              </w:rPr>
            </w:pPr>
          </w:p>
        </w:tc>
        <w:tc>
          <w:tcPr>
            <w:tcW w:w="1735" w:type="dxa"/>
          </w:tcPr>
          <w:p w:rsidR="007E4DA7" w:rsidRPr="00B370BE" w:rsidRDefault="007E4DA7" w:rsidP="007E4DA7">
            <w:pPr>
              <w:widowControl/>
              <w:jc w:val="center"/>
              <w:rPr>
                <w:rFonts w:ascii="Times New Roman" w:hAnsi="Times New Roman"/>
                <w:szCs w:val="24"/>
              </w:rPr>
            </w:pPr>
          </w:p>
        </w:tc>
        <w:tc>
          <w:tcPr>
            <w:tcW w:w="1737" w:type="dxa"/>
          </w:tcPr>
          <w:p w:rsidR="007E4DA7" w:rsidRPr="00B370BE" w:rsidRDefault="007E4DA7" w:rsidP="004A17BF">
            <w:pPr>
              <w:widowControl/>
              <w:tabs>
                <w:tab w:val="right" w:pos="1010"/>
              </w:tabs>
              <w:rPr>
                <w:rFonts w:ascii="Times New Roman" w:hAnsi="Times New Roman"/>
                <w:szCs w:val="24"/>
              </w:rPr>
            </w:pPr>
          </w:p>
        </w:tc>
      </w:tr>
      <w:tr w:rsidR="007E4DA7" w:rsidRPr="00B370BE" w:rsidTr="007E4DA7">
        <w:trPr>
          <w:jc w:val="center"/>
        </w:trPr>
        <w:tc>
          <w:tcPr>
            <w:tcW w:w="2471" w:type="dxa"/>
          </w:tcPr>
          <w:p w:rsidR="007E4DA7" w:rsidRPr="00B370BE" w:rsidRDefault="007E4DA7" w:rsidP="007E4DA7">
            <w:pPr>
              <w:widowControl/>
              <w:rPr>
                <w:rFonts w:ascii="Times New Roman" w:hAnsi="Times New Roman"/>
                <w:i/>
                <w:szCs w:val="24"/>
                <w:u w:val="single"/>
              </w:rPr>
            </w:pPr>
            <w:r w:rsidRPr="00B370BE">
              <w:rPr>
                <w:rFonts w:ascii="Times New Roman" w:hAnsi="Times New Roman"/>
                <w:i/>
                <w:szCs w:val="24"/>
                <w:u w:val="single"/>
              </w:rPr>
              <w:t>Proposed</w:t>
            </w:r>
          </w:p>
        </w:tc>
        <w:tc>
          <w:tcPr>
            <w:tcW w:w="1765" w:type="dxa"/>
          </w:tcPr>
          <w:p w:rsidR="007E4DA7" w:rsidRPr="00B370BE" w:rsidRDefault="007E4DA7" w:rsidP="004A17BF">
            <w:pPr>
              <w:widowControl/>
              <w:tabs>
                <w:tab w:val="right" w:pos="1056"/>
              </w:tabs>
              <w:rPr>
                <w:rFonts w:ascii="Times New Roman" w:hAnsi="Times New Roman"/>
                <w:szCs w:val="24"/>
              </w:rPr>
            </w:pPr>
          </w:p>
        </w:tc>
        <w:tc>
          <w:tcPr>
            <w:tcW w:w="1211" w:type="dxa"/>
          </w:tcPr>
          <w:p w:rsidR="007E4DA7" w:rsidRPr="00B370BE" w:rsidRDefault="007E4DA7" w:rsidP="007E4DA7">
            <w:pPr>
              <w:widowControl/>
              <w:jc w:val="center"/>
              <w:rPr>
                <w:rFonts w:ascii="Times New Roman" w:hAnsi="Times New Roman"/>
                <w:szCs w:val="24"/>
              </w:rPr>
            </w:pPr>
          </w:p>
        </w:tc>
        <w:tc>
          <w:tcPr>
            <w:tcW w:w="1735" w:type="dxa"/>
          </w:tcPr>
          <w:p w:rsidR="007E4DA7" w:rsidRPr="00B370BE" w:rsidRDefault="007E4DA7" w:rsidP="007E4DA7">
            <w:pPr>
              <w:widowControl/>
              <w:jc w:val="center"/>
              <w:rPr>
                <w:rFonts w:ascii="Times New Roman" w:hAnsi="Times New Roman"/>
                <w:szCs w:val="24"/>
              </w:rPr>
            </w:pPr>
          </w:p>
        </w:tc>
        <w:tc>
          <w:tcPr>
            <w:tcW w:w="1737" w:type="dxa"/>
          </w:tcPr>
          <w:p w:rsidR="007E4DA7" w:rsidRPr="00B370BE" w:rsidRDefault="007E4DA7" w:rsidP="004A17BF">
            <w:pPr>
              <w:widowControl/>
              <w:tabs>
                <w:tab w:val="right" w:pos="1010"/>
              </w:tabs>
              <w:rPr>
                <w:rFonts w:ascii="Times New Roman" w:hAnsi="Times New Roman"/>
                <w:szCs w:val="24"/>
              </w:rPr>
            </w:pPr>
          </w:p>
        </w:tc>
      </w:tr>
      <w:tr w:rsidR="007E4DA7" w:rsidRPr="00B370BE" w:rsidTr="007E4DA7">
        <w:trPr>
          <w:jc w:val="center"/>
        </w:trPr>
        <w:tc>
          <w:tcPr>
            <w:tcW w:w="2471" w:type="dxa"/>
          </w:tcPr>
          <w:p w:rsidR="007E4DA7" w:rsidRPr="00B370BE" w:rsidRDefault="007E4DA7" w:rsidP="007E4DA7">
            <w:pPr>
              <w:widowControl/>
              <w:rPr>
                <w:rFonts w:ascii="Times New Roman" w:hAnsi="Times New Roman"/>
                <w:szCs w:val="24"/>
              </w:rPr>
            </w:pPr>
            <w:r w:rsidRPr="00B370BE">
              <w:rPr>
                <w:rFonts w:ascii="Times New Roman" w:hAnsi="Times New Roman"/>
                <w:szCs w:val="24"/>
              </w:rPr>
              <w:t>FR Y-11 (quarterly)</w:t>
            </w:r>
          </w:p>
        </w:tc>
        <w:tc>
          <w:tcPr>
            <w:tcW w:w="1765" w:type="dxa"/>
          </w:tcPr>
          <w:p w:rsidR="007E4DA7" w:rsidRPr="00B370BE" w:rsidRDefault="004A17BF" w:rsidP="004A17BF">
            <w:pPr>
              <w:widowControl/>
              <w:tabs>
                <w:tab w:val="right" w:pos="1056"/>
              </w:tabs>
              <w:rPr>
                <w:rFonts w:ascii="Times New Roman" w:hAnsi="Times New Roman"/>
                <w:szCs w:val="24"/>
              </w:rPr>
            </w:pPr>
            <w:r>
              <w:rPr>
                <w:rFonts w:ascii="Times New Roman" w:hAnsi="Times New Roman"/>
                <w:szCs w:val="24"/>
              </w:rPr>
              <w:tab/>
            </w:r>
            <w:r w:rsidR="007E4DA7">
              <w:rPr>
                <w:rFonts w:ascii="Times New Roman" w:hAnsi="Times New Roman"/>
                <w:szCs w:val="24"/>
              </w:rPr>
              <w:t>665</w:t>
            </w:r>
          </w:p>
        </w:tc>
        <w:tc>
          <w:tcPr>
            <w:tcW w:w="1211" w:type="dxa"/>
          </w:tcPr>
          <w:p w:rsidR="007E4DA7" w:rsidRPr="00B370BE" w:rsidRDefault="007E4DA7" w:rsidP="007E4DA7">
            <w:pPr>
              <w:widowControl/>
              <w:jc w:val="center"/>
              <w:rPr>
                <w:rFonts w:ascii="Times New Roman" w:hAnsi="Times New Roman"/>
                <w:szCs w:val="24"/>
              </w:rPr>
            </w:pPr>
            <w:r w:rsidRPr="00B370BE">
              <w:rPr>
                <w:rFonts w:ascii="Times New Roman" w:hAnsi="Times New Roman"/>
                <w:szCs w:val="24"/>
              </w:rPr>
              <w:t>4</w:t>
            </w:r>
          </w:p>
        </w:tc>
        <w:tc>
          <w:tcPr>
            <w:tcW w:w="1735" w:type="dxa"/>
          </w:tcPr>
          <w:p w:rsidR="007E4DA7" w:rsidRPr="00B370BE" w:rsidRDefault="007E4DA7" w:rsidP="007E4DA7">
            <w:pPr>
              <w:widowControl/>
              <w:jc w:val="center"/>
              <w:rPr>
                <w:rFonts w:ascii="Times New Roman" w:hAnsi="Times New Roman"/>
                <w:szCs w:val="24"/>
              </w:rPr>
            </w:pPr>
            <w:r w:rsidRPr="00B370BE">
              <w:rPr>
                <w:rFonts w:ascii="Times New Roman" w:hAnsi="Times New Roman"/>
                <w:szCs w:val="24"/>
              </w:rPr>
              <w:t>6.8</w:t>
            </w:r>
          </w:p>
        </w:tc>
        <w:tc>
          <w:tcPr>
            <w:tcW w:w="1737" w:type="dxa"/>
          </w:tcPr>
          <w:p w:rsidR="007E4DA7" w:rsidRPr="00B370BE" w:rsidRDefault="004A17BF" w:rsidP="004A17BF">
            <w:pPr>
              <w:widowControl/>
              <w:tabs>
                <w:tab w:val="right" w:pos="1010"/>
              </w:tabs>
              <w:rPr>
                <w:rFonts w:ascii="Times New Roman" w:hAnsi="Times New Roman"/>
                <w:szCs w:val="24"/>
              </w:rPr>
            </w:pPr>
            <w:r>
              <w:rPr>
                <w:rFonts w:ascii="Times New Roman" w:hAnsi="Times New Roman"/>
                <w:szCs w:val="24"/>
              </w:rPr>
              <w:tab/>
            </w:r>
            <w:r w:rsidR="007E4DA7">
              <w:rPr>
                <w:rFonts w:ascii="Times New Roman" w:hAnsi="Times New Roman"/>
                <w:szCs w:val="24"/>
              </w:rPr>
              <w:t>18,088</w:t>
            </w:r>
          </w:p>
        </w:tc>
      </w:tr>
      <w:tr w:rsidR="007E4DA7" w:rsidRPr="00B370BE" w:rsidTr="007E4DA7">
        <w:trPr>
          <w:jc w:val="center"/>
        </w:trPr>
        <w:tc>
          <w:tcPr>
            <w:tcW w:w="2471" w:type="dxa"/>
          </w:tcPr>
          <w:p w:rsidR="007E4DA7" w:rsidRPr="00B370BE" w:rsidRDefault="007E4DA7" w:rsidP="007E4DA7">
            <w:pPr>
              <w:widowControl/>
              <w:rPr>
                <w:rFonts w:ascii="Times New Roman" w:hAnsi="Times New Roman"/>
                <w:szCs w:val="24"/>
              </w:rPr>
            </w:pPr>
            <w:r w:rsidRPr="00B370BE">
              <w:rPr>
                <w:rFonts w:ascii="Times New Roman" w:hAnsi="Times New Roman"/>
                <w:szCs w:val="24"/>
              </w:rPr>
              <w:t>FR Y-11 (annual)</w:t>
            </w:r>
          </w:p>
        </w:tc>
        <w:tc>
          <w:tcPr>
            <w:tcW w:w="1765" w:type="dxa"/>
          </w:tcPr>
          <w:p w:rsidR="007E4DA7" w:rsidRPr="00B370BE" w:rsidRDefault="004A17BF" w:rsidP="004A17BF">
            <w:pPr>
              <w:widowControl/>
              <w:tabs>
                <w:tab w:val="right" w:pos="1056"/>
              </w:tabs>
              <w:rPr>
                <w:rFonts w:ascii="Times New Roman" w:hAnsi="Times New Roman"/>
                <w:szCs w:val="24"/>
              </w:rPr>
            </w:pPr>
            <w:r>
              <w:rPr>
                <w:rFonts w:ascii="Times New Roman" w:hAnsi="Times New Roman"/>
                <w:szCs w:val="24"/>
              </w:rPr>
              <w:tab/>
            </w:r>
            <w:r w:rsidR="007E4DA7">
              <w:rPr>
                <w:rFonts w:ascii="Times New Roman" w:hAnsi="Times New Roman"/>
                <w:szCs w:val="24"/>
              </w:rPr>
              <w:t>538</w:t>
            </w:r>
          </w:p>
        </w:tc>
        <w:tc>
          <w:tcPr>
            <w:tcW w:w="1211" w:type="dxa"/>
          </w:tcPr>
          <w:p w:rsidR="007E4DA7" w:rsidRPr="00B370BE" w:rsidRDefault="007E4DA7" w:rsidP="007E4DA7">
            <w:pPr>
              <w:widowControl/>
              <w:jc w:val="center"/>
              <w:rPr>
                <w:rFonts w:ascii="Times New Roman" w:hAnsi="Times New Roman"/>
                <w:szCs w:val="24"/>
              </w:rPr>
            </w:pPr>
            <w:r w:rsidRPr="00B370BE">
              <w:rPr>
                <w:rFonts w:ascii="Times New Roman" w:hAnsi="Times New Roman"/>
                <w:szCs w:val="24"/>
              </w:rPr>
              <w:t>1</w:t>
            </w:r>
          </w:p>
        </w:tc>
        <w:tc>
          <w:tcPr>
            <w:tcW w:w="1735" w:type="dxa"/>
          </w:tcPr>
          <w:p w:rsidR="007E4DA7" w:rsidRPr="00B370BE" w:rsidRDefault="007E4DA7" w:rsidP="007E4DA7">
            <w:pPr>
              <w:widowControl/>
              <w:jc w:val="center"/>
              <w:rPr>
                <w:rFonts w:ascii="Times New Roman" w:hAnsi="Times New Roman"/>
                <w:szCs w:val="24"/>
              </w:rPr>
            </w:pPr>
            <w:r w:rsidRPr="00B370BE">
              <w:rPr>
                <w:rFonts w:ascii="Times New Roman" w:hAnsi="Times New Roman"/>
                <w:szCs w:val="24"/>
              </w:rPr>
              <w:t>6.8</w:t>
            </w:r>
          </w:p>
        </w:tc>
        <w:tc>
          <w:tcPr>
            <w:tcW w:w="1737" w:type="dxa"/>
          </w:tcPr>
          <w:p w:rsidR="007E4DA7" w:rsidRPr="00B370BE" w:rsidRDefault="004A17BF" w:rsidP="004A17BF">
            <w:pPr>
              <w:widowControl/>
              <w:tabs>
                <w:tab w:val="right" w:pos="1010"/>
              </w:tabs>
              <w:rPr>
                <w:rFonts w:ascii="Times New Roman" w:hAnsi="Times New Roman"/>
                <w:szCs w:val="24"/>
              </w:rPr>
            </w:pPr>
            <w:r>
              <w:rPr>
                <w:rFonts w:ascii="Times New Roman" w:hAnsi="Times New Roman"/>
                <w:szCs w:val="24"/>
              </w:rPr>
              <w:tab/>
            </w:r>
            <w:r w:rsidR="007E4DA7">
              <w:rPr>
                <w:rFonts w:ascii="Times New Roman" w:hAnsi="Times New Roman"/>
                <w:szCs w:val="24"/>
              </w:rPr>
              <w:t>3,658</w:t>
            </w:r>
            <w:r w:rsidR="007E4DA7" w:rsidRPr="00B370BE">
              <w:rPr>
                <w:rFonts w:ascii="Times New Roman" w:hAnsi="Times New Roman"/>
                <w:szCs w:val="24"/>
              </w:rPr>
              <w:t xml:space="preserve">  </w:t>
            </w:r>
          </w:p>
        </w:tc>
      </w:tr>
      <w:tr w:rsidR="007E4DA7" w:rsidRPr="00B370BE" w:rsidTr="007E4DA7">
        <w:trPr>
          <w:jc w:val="center"/>
        </w:trPr>
        <w:tc>
          <w:tcPr>
            <w:tcW w:w="2471" w:type="dxa"/>
            <w:tcBorders>
              <w:bottom w:val="nil"/>
            </w:tcBorders>
          </w:tcPr>
          <w:p w:rsidR="007E4DA7" w:rsidRPr="00B370BE" w:rsidRDefault="007E4DA7" w:rsidP="007E4DA7">
            <w:pPr>
              <w:widowControl/>
              <w:rPr>
                <w:rFonts w:ascii="Times New Roman" w:hAnsi="Times New Roman"/>
                <w:szCs w:val="24"/>
              </w:rPr>
            </w:pPr>
            <w:r w:rsidRPr="00B370BE">
              <w:rPr>
                <w:rFonts w:ascii="Times New Roman" w:hAnsi="Times New Roman"/>
                <w:szCs w:val="24"/>
              </w:rPr>
              <w:t>FR Y-11S</w:t>
            </w:r>
          </w:p>
        </w:tc>
        <w:tc>
          <w:tcPr>
            <w:tcW w:w="1765" w:type="dxa"/>
            <w:tcBorders>
              <w:bottom w:val="nil"/>
            </w:tcBorders>
          </w:tcPr>
          <w:p w:rsidR="007E4DA7" w:rsidRPr="00B370BE" w:rsidRDefault="004A17BF" w:rsidP="004A17BF">
            <w:pPr>
              <w:widowControl/>
              <w:tabs>
                <w:tab w:val="right" w:pos="1056"/>
              </w:tabs>
              <w:rPr>
                <w:rFonts w:ascii="Times New Roman" w:hAnsi="Times New Roman"/>
                <w:szCs w:val="24"/>
                <w:u w:val="single"/>
              </w:rPr>
            </w:pPr>
            <w:r>
              <w:rPr>
                <w:rFonts w:ascii="Times New Roman" w:hAnsi="Times New Roman"/>
                <w:szCs w:val="24"/>
              </w:rPr>
              <w:tab/>
            </w:r>
            <w:r w:rsidR="007E4DA7">
              <w:rPr>
                <w:rFonts w:ascii="Times New Roman" w:hAnsi="Times New Roman"/>
                <w:szCs w:val="24"/>
                <w:u w:val="single"/>
              </w:rPr>
              <w:t>1,033</w:t>
            </w:r>
          </w:p>
        </w:tc>
        <w:tc>
          <w:tcPr>
            <w:tcW w:w="1211" w:type="dxa"/>
            <w:tcBorders>
              <w:bottom w:val="nil"/>
            </w:tcBorders>
          </w:tcPr>
          <w:p w:rsidR="007E4DA7" w:rsidRPr="00B370BE" w:rsidRDefault="007E4DA7" w:rsidP="007E4DA7">
            <w:pPr>
              <w:widowControl/>
              <w:jc w:val="center"/>
              <w:rPr>
                <w:rFonts w:ascii="Times New Roman" w:hAnsi="Times New Roman"/>
                <w:szCs w:val="24"/>
              </w:rPr>
            </w:pPr>
            <w:r w:rsidRPr="00B370BE">
              <w:rPr>
                <w:rFonts w:ascii="Times New Roman" w:hAnsi="Times New Roman"/>
                <w:szCs w:val="24"/>
              </w:rPr>
              <w:t>1</w:t>
            </w:r>
          </w:p>
        </w:tc>
        <w:tc>
          <w:tcPr>
            <w:tcW w:w="1735" w:type="dxa"/>
            <w:tcBorders>
              <w:bottom w:val="nil"/>
            </w:tcBorders>
          </w:tcPr>
          <w:p w:rsidR="007E4DA7" w:rsidRPr="00B370BE" w:rsidRDefault="007E4DA7" w:rsidP="007E4DA7">
            <w:pPr>
              <w:widowControl/>
              <w:jc w:val="center"/>
              <w:rPr>
                <w:rFonts w:ascii="Times New Roman" w:hAnsi="Times New Roman"/>
                <w:szCs w:val="24"/>
              </w:rPr>
            </w:pPr>
            <w:r w:rsidRPr="00B370BE">
              <w:rPr>
                <w:rFonts w:ascii="Times New Roman" w:hAnsi="Times New Roman"/>
                <w:szCs w:val="24"/>
              </w:rPr>
              <w:t>1.0</w:t>
            </w:r>
          </w:p>
        </w:tc>
        <w:tc>
          <w:tcPr>
            <w:tcW w:w="1737" w:type="dxa"/>
            <w:tcBorders>
              <w:bottom w:val="nil"/>
            </w:tcBorders>
          </w:tcPr>
          <w:p w:rsidR="007E4DA7" w:rsidRPr="00B370BE" w:rsidRDefault="004A17BF" w:rsidP="004A17BF">
            <w:pPr>
              <w:widowControl/>
              <w:tabs>
                <w:tab w:val="right" w:pos="1010"/>
              </w:tabs>
              <w:rPr>
                <w:rFonts w:ascii="Times New Roman" w:hAnsi="Times New Roman"/>
                <w:szCs w:val="24"/>
                <w:u w:val="single"/>
              </w:rPr>
            </w:pPr>
            <w:r>
              <w:rPr>
                <w:rFonts w:ascii="Times New Roman" w:hAnsi="Times New Roman"/>
                <w:szCs w:val="24"/>
              </w:rPr>
              <w:tab/>
            </w:r>
            <w:r w:rsidR="007E4DA7" w:rsidRPr="00B370BE">
              <w:rPr>
                <w:rFonts w:ascii="Times New Roman" w:hAnsi="Times New Roman"/>
                <w:szCs w:val="24"/>
                <w:u w:val="single"/>
              </w:rPr>
              <w:t xml:space="preserve">  </w:t>
            </w:r>
            <w:r w:rsidR="007E4DA7">
              <w:rPr>
                <w:rFonts w:ascii="Times New Roman" w:hAnsi="Times New Roman"/>
                <w:szCs w:val="24"/>
                <w:u w:val="single"/>
              </w:rPr>
              <w:t>1,033</w:t>
            </w:r>
          </w:p>
        </w:tc>
      </w:tr>
      <w:tr w:rsidR="007E4DA7" w:rsidRPr="00B370BE" w:rsidTr="007E4DA7">
        <w:trPr>
          <w:jc w:val="center"/>
        </w:trPr>
        <w:tc>
          <w:tcPr>
            <w:tcW w:w="2471" w:type="dxa"/>
            <w:tcBorders>
              <w:top w:val="nil"/>
              <w:bottom w:val="nil"/>
            </w:tcBorders>
          </w:tcPr>
          <w:p w:rsidR="007E4DA7" w:rsidRPr="00B370BE" w:rsidRDefault="007E4DA7" w:rsidP="007E4DA7">
            <w:pPr>
              <w:widowControl/>
              <w:jc w:val="right"/>
              <w:rPr>
                <w:rFonts w:ascii="Times New Roman" w:hAnsi="Times New Roman"/>
                <w:i/>
                <w:szCs w:val="24"/>
              </w:rPr>
            </w:pPr>
            <w:r w:rsidRPr="00B370BE">
              <w:rPr>
                <w:rFonts w:ascii="Times New Roman" w:hAnsi="Times New Roman"/>
                <w:i/>
                <w:szCs w:val="24"/>
              </w:rPr>
              <w:t>Total</w:t>
            </w:r>
          </w:p>
        </w:tc>
        <w:tc>
          <w:tcPr>
            <w:tcW w:w="1765" w:type="dxa"/>
            <w:tcBorders>
              <w:top w:val="nil"/>
              <w:bottom w:val="nil"/>
            </w:tcBorders>
          </w:tcPr>
          <w:p w:rsidR="007E4DA7" w:rsidRPr="00B370BE" w:rsidRDefault="004A17BF" w:rsidP="004A17BF">
            <w:pPr>
              <w:widowControl/>
              <w:tabs>
                <w:tab w:val="right" w:pos="1056"/>
              </w:tabs>
              <w:rPr>
                <w:rFonts w:ascii="Times New Roman" w:hAnsi="Times New Roman"/>
                <w:szCs w:val="24"/>
              </w:rPr>
            </w:pPr>
            <w:r>
              <w:rPr>
                <w:rFonts w:ascii="Times New Roman" w:hAnsi="Times New Roman"/>
                <w:szCs w:val="24"/>
              </w:rPr>
              <w:tab/>
            </w:r>
            <w:r w:rsidR="00B5499D">
              <w:rPr>
                <w:rFonts w:ascii="Times New Roman" w:hAnsi="Times New Roman"/>
                <w:szCs w:val="24"/>
              </w:rPr>
              <w:t>2,236</w:t>
            </w:r>
          </w:p>
        </w:tc>
        <w:tc>
          <w:tcPr>
            <w:tcW w:w="1211" w:type="dxa"/>
            <w:tcBorders>
              <w:top w:val="nil"/>
              <w:bottom w:val="nil"/>
            </w:tcBorders>
          </w:tcPr>
          <w:p w:rsidR="007E4DA7" w:rsidRPr="00B370BE" w:rsidRDefault="007E4DA7" w:rsidP="007E4DA7">
            <w:pPr>
              <w:widowControl/>
              <w:jc w:val="center"/>
              <w:rPr>
                <w:rFonts w:ascii="Times New Roman" w:hAnsi="Times New Roman"/>
                <w:szCs w:val="24"/>
              </w:rPr>
            </w:pPr>
          </w:p>
        </w:tc>
        <w:tc>
          <w:tcPr>
            <w:tcW w:w="1735" w:type="dxa"/>
            <w:tcBorders>
              <w:top w:val="nil"/>
              <w:bottom w:val="nil"/>
            </w:tcBorders>
          </w:tcPr>
          <w:p w:rsidR="007E4DA7" w:rsidRPr="00B370BE" w:rsidRDefault="007E4DA7" w:rsidP="007E4DA7">
            <w:pPr>
              <w:widowControl/>
              <w:jc w:val="center"/>
              <w:rPr>
                <w:rFonts w:ascii="Times New Roman" w:hAnsi="Times New Roman"/>
                <w:szCs w:val="24"/>
              </w:rPr>
            </w:pPr>
          </w:p>
        </w:tc>
        <w:tc>
          <w:tcPr>
            <w:tcW w:w="1737" w:type="dxa"/>
            <w:tcBorders>
              <w:top w:val="nil"/>
              <w:bottom w:val="nil"/>
            </w:tcBorders>
          </w:tcPr>
          <w:p w:rsidR="007E4DA7" w:rsidRPr="00B370BE" w:rsidRDefault="004A17BF" w:rsidP="004A17BF">
            <w:pPr>
              <w:widowControl/>
              <w:tabs>
                <w:tab w:val="right" w:pos="1010"/>
              </w:tabs>
              <w:rPr>
                <w:rFonts w:ascii="Times New Roman" w:hAnsi="Times New Roman"/>
                <w:szCs w:val="24"/>
              </w:rPr>
            </w:pPr>
            <w:r>
              <w:rPr>
                <w:rFonts w:ascii="Times New Roman" w:hAnsi="Times New Roman"/>
                <w:szCs w:val="24"/>
              </w:rPr>
              <w:tab/>
            </w:r>
            <w:r w:rsidR="00B5499D">
              <w:rPr>
                <w:rFonts w:ascii="Times New Roman" w:hAnsi="Times New Roman"/>
                <w:szCs w:val="24"/>
              </w:rPr>
              <w:t>22,779</w:t>
            </w:r>
          </w:p>
        </w:tc>
      </w:tr>
      <w:tr w:rsidR="007E4DA7" w:rsidRPr="00B370BE" w:rsidTr="007E4DA7">
        <w:trPr>
          <w:jc w:val="center"/>
        </w:trPr>
        <w:tc>
          <w:tcPr>
            <w:tcW w:w="2471" w:type="dxa"/>
            <w:tcBorders>
              <w:top w:val="nil"/>
              <w:bottom w:val="single" w:sz="4" w:space="0" w:color="auto"/>
            </w:tcBorders>
            <w:vAlign w:val="center"/>
          </w:tcPr>
          <w:p w:rsidR="007E4DA7" w:rsidRPr="00B370BE" w:rsidRDefault="007E4DA7" w:rsidP="007E4DA7">
            <w:pPr>
              <w:widowControl/>
              <w:jc w:val="right"/>
              <w:rPr>
                <w:rFonts w:ascii="Times New Roman" w:hAnsi="Times New Roman"/>
                <w:i/>
                <w:szCs w:val="24"/>
              </w:rPr>
            </w:pPr>
          </w:p>
          <w:p w:rsidR="007E4DA7" w:rsidRPr="00B370BE" w:rsidRDefault="007E4DA7" w:rsidP="007E4DA7">
            <w:pPr>
              <w:widowControl/>
              <w:jc w:val="right"/>
              <w:rPr>
                <w:rFonts w:ascii="Times New Roman" w:hAnsi="Times New Roman"/>
                <w:i/>
                <w:szCs w:val="24"/>
              </w:rPr>
            </w:pPr>
            <w:r w:rsidRPr="00B370BE">
              <w:rPr>
                <w:rFonts w:ascii="Times New Roman" w:hAnsi="Times New Roman"/>
                <w:i/>
                <w:szCs w:val="24"/>
              </w:rPr>
              <w:t>Change</w:t>
            </w:r>
          </w:p>
        </w:tc>
        <w:tc>
          <w:tcPr>
            <w:tcW w:w="1765" w:type="dxa"/>
            <w:tcBorders>
              <w:top w:val="nil"/>
              <w:bottom w:val="single" w:sz="4" w:space="0" w:color="auto"/>
            </w:tcBorders>
            <w:vAlign w:val="center"/>
          </w:tcPr>
          <w:p w:rsidR="007E4DA7" w:rsidRPr="00B370BE" w:rsidRDefault="007E4DA7" w:rsidP="004A17BF">
            <w:pPr>
              <w:widowControl/>
              <w:tabs>
                <w:tab w:val="right" w:pos="1056"/>
              </w:tabs>
              <w:rPr>
                <w:rFonts w:ascii="Times New Roman" w:hAnsi="Times New Roman"/>
                <w:szCs w:val="24"/>
              </w:rPr>
            </w:pPr>
            <w:r w:rsidRPr="00B370BE">
              <w:rPr>
                <w:rFonts w:ascii="Times New Roman" w:hAnsi="Times New Roman"/>
                <w:szCs w:val="24"/>
              </w:rPr>
              <w:t xml:space="preserve"> </w:t>
            </w:r>
          </w:p>
          <w:p w:rsidR="007E4DA7" w:rsidRPr="00B370BE" w:rsidRDefault="004A17BF" w:rsidP="004A17BF">
            <w:pPr>
              <w:widowControl/>
              <w:tabs>
                <w:tab w:val="right" w:pos="1056"/>
              </w:tabs>
              <w:rPr>
                <w:rFonts w:ascii="Times New Roman" w:hAnsi="Times New Roman"/>
                <w:szCs w:val="24"/>
              </w:rPr>
            </w:pPr>
            <w:r>
              <w:rPr>
                <w:rFonts w:ascii="Times New Roman" w:hAnsi="Times New Roman"/>
                <w:szCs w:val="24"/>
              </w:rPr>
              <w:tab/>
            </w:r>
            <w:r w:rsidR="007C64AF">
              <w:rPr>
                <w:rFonts w:ascii="Times New Roman" w:hAnsi="Times New Roman"/>
                <w:szCs w:val="24"/>
              </w:rPr>
              <w:t>+406</w:t>
            </w:r>
          </w:p>
        </w:tc>
        <w:tc>
          <w:tcPr>
            <w:tcW w:w="1211" w:type="dxa"/>
            <w:tcBorders>
              <w:top w:val="nil"/>
              <w:bottom w:val="single" w:sz="4" w:space="0" w:color="auto"/>
            </w:tcBorders>
          </w:tcPr>
          <w:p w:rsidR="007E4DA7" w:rsidRPr="00B370BE" w:rsidRDefault="007E4DA7" w:rsidP="007E4DA7">
            <w:pPr>
              <w:widowControl/>
              <w:jc w:val="center"/>
              <w:rPr>
                <w:rFonts w:ascii="Times New Roman" w:hAnsi="Times New Roman"/>
                <w:szCs w:val="24"/>
              </w:rPr>
            </w:pPr>
          </w:p>
        </w:tc>
        <w:tc>
          <w:tcPr>
            <w:tcW w:w="1735" w:type="dxa"/>
            <w:tcBorders>
              <w:top w:val="nil"/>
              <w:bottom w:val="single" w:sz="4" w:space="0" w:color="auto"/>
            </w:tcBorders>
            <w:vAlign w:val="center"/>
          </w:tcPr>
          <w:p w:rsidR="007E4DA7" w:rsidRPr="00B370BE" w:rsidRDefault="007E4DA7" w:rsidP="007E4DA7">
            <w:pPr>
              <w:widowControl/>
              <w:jc w:val="center"/>
              <w:rPr>
                <w:rFonts w:ascii="Times New Roman" w:hAnsi="Times New Roman"/>
                <w:szCs w:val="24"/>
              </w:rPr>
            </w:pPr>
          </w:p>
        </w:tc>
        <w:tc>
          <w:tcPr>
            <w:tcW w:w="1737" w:type="dxa"/>
            <w:tcBorders>
              <w:top w:val="nil"/>
              <w:bottom w:val="single" w:sz="4" w:space="0" w:color="auto"/>
            </w:tcBorders>
            <w:vAlign w:val="bottom"/>
          </w:tcPr>
          <w:p w:rsidR="007E4DA7" w:rsidRPr="00B370BE" w:rsidRDefault="004A17BF" w:rsidP="004A17BF">
            <w:pPr>
              <w:widowControl/>
              <w:tabs>
                <w:tab w:val="right" w:pos="1010"/>
              </w:tabs>
              <w:rPr>
                <w:rFonts w:ascii="Times New Roman" w:hAnsi="Times New Roman"/>
                <w:szCs w:val="24"/>
              </w:rPr>
            </w:pPr>
            <w:r>
              <w:rPr>
                <w:rFonts w:ascii="Times New Roman" w:hAnsi="Times New Roman"/>
                <w:szCs w:val="24"/>
              </w:rPr>
              <w:tab/>
            </w:r>
            <w:r w:rsidR="007E4DA7" w:rsidRPr="00B370BE">
              <w:rPr>
                <w:rFonts w:ascii="Times New Roman" w:hAnsi="Times New Roman"/>
                <w:szCs w:val="24"/>
              </w:rPr>
              <w:t>+</w:t>
            </w:r>
            <w:r w:rsidR="007C64AF">
              <w:rPr>
                <w:rFonts w:ascii="Times New Roman" w:hAnsi="Times New Roman"/>
                <w:szCs w:val="24"/>
              </w:rPr>
              <w:t>4,164</w:t>
            </w:r>
          </w:p>
        </w:tc>
      </w:tr>
      <w:tr w:rsidR="007E4DA7" w:rsidRPr="00B370BE" w:rsidTr="007E4DA7">
        <w:trPr>
          <w:jc w:val="center"/>
        </w:trPr>
        <w:tc>
          <w:tcPr>
            <w:tcW w:w="2471" w:type="dxa"/>
            <w:tcBorders>
              <w:top w:val="single" w:sz="8" w:space="0" w:color="auto"/>
              <w:bottom w:val="nil"/>
            </w:tcBorders>
          </w:tcPr>
          <w:p w:rsidR="007E4DA7" w:rsidRPr="00B370BE" w:rsidRDefault="007E4DA7" w:rsidP="007E4DA7">
            <w:pPr>
              <w:widowControl/>
              <w:rPr>
                <w:rFonts w:ascii="Times New Roman" w:hAnsi="Times New Roman"/>
                <w:szCs w:val="24"/>
              </w:rPr>
            </w:pPr>
          </w:p>
        </w:tc>
        <w:tc>
          <w:tcPr>
            <w:tcW w:w="1765" w:type="dxa"/>
            <w:tcBorders>
              <w:top w:val="single" w:sz="8" w:space="0" w:color="auto"/>
              <w:bottom w:val="nil"/>
            </w:tcBorders>
            <w:vAlign w:val="bottom"/>
          </w:tcPr>
          <w:p w:rsidR="007E4DA7" w:rsidRPr="00B370BE" w:rsidRDefault="007E4DA7" w:rsidP="004A17BF">
            <w:pPr>
              <w:widowControl/>
              <w:tabs>
                <w:tab w:val="right" w:pos="1056"/>
              </w:tabs>
              <w:rPr>
                <w:rFonts w:ascii="Times New Roman" w:hAnsi="Times New Roman"/>
                <w:i/>
                <w:szCs w:val="24"/>
              </w:rPr>
            </w:pPr>
          </w:p>
        </w:tc>
        <w:tc>
          <w:tcPr>
            <w:tcW w:w="1211" w:type="dxa"/>
            <w:tcBorders>
              <w:top w:val="single" w:sz="8" w:space="0" w:color="auto"/>
              <w:bottom w:val="nil"/>
            </w:tcBorders>
            <w:vAlign w:val="bottom"/>
          </w:tcPr>
          <w:p w:rsidR="007E4DA7" w:rsidRPr="00B370BE" w:rsidRDefault="007E4DA7" w:rsidP="007E4DA7">
            <w:pPr>
              <w:widowControl/>
              <w:jc w:val="center"/>
              <w:rPr>
                <w:rFonts w:ascii="Times New Roman" w:hAnsi="Times New Roman"/>
                <w:i/>
                <w:szCs w:val="24"/>
              </w:rPr>
            </w:pPr>
          </w:p>
        </w:tc>
        <w:tc>
          <w:tcPr>
            <w:tcW w:w="1735" w:type="dxa"/>
            <w:tcBorders>
              <w:top w:val="single" w:sz="8" w:space="0" w:color="auto"/>
              <w:bottom w:val="nil"/>
            </w:tcBorders>
            <w:vAlign w:val="bottom"/>
          </w:tcPr>
          <w:p w:rsidR="007E4DA7" w:rsidRPr="00B370BE" w:rsidRDefault="007E4DA7" w:rsidP="007E4DA7">
            <w:pPr>
              <w:widowControl/>
              <w:jc w:val="center"/>
              <w:rPr>
                <w:rFonts w:ascii="Times New Roman" w:hAnsi="Times New Roman"/>
                <w:i/>
                <w:szCs w:val="24"/>
              </w:rPr>
            </w:pPr>
          </w:p>
        </w:tc>
        <w:tc>
          <w:tcPr>
            <w:tcW w:w="1737" w:type="dxa"/>
            <w:tcBorders>
              <w:top w:val="single" w:sz="8" w:space="0" w:color="auto"/>
              <w:bottom w:val="nil"/>
            </w:tcBorders>
            <w:vAlign w:val="bottom"/>
          </w:tcPr>
          <w:p w:rsidR="007E4DA7" w:rsidRPr="00B370BE" w:rsidRDefault="007E4DA7" w:rsidP="004A17BF">
            <w:pPr>
              <w:widowControl/>
              <w:tabs>
                <w:tab w:val="right" w:pos="1010"/>
              </w:tabs>
              <w:rPr>
                <w:rFonts w:ascii="Times New Roman" w:hAnsi="Times New Roman"/>
                <w:i/>
                <w:szCs w:val="24"/>
              </w:rPr>
            </w:pPr>
          </w:p>
        </w:tc>
      </w:tr>
      <w:tr w:rsidR="007E4DA7" w:rsidRPr="00B370BE" w:rsidTr="007E4DA7">
        <w:trPr>
          <w:jc w:val="center"/>
        </w:trPr>
        <w:tc>
          <w:tcPr>
            <w:tcW w:w="2471" w:type="dxa"/>
            <w:tcBorders>
              <w:top w:val="nil"/>
            </w:tcBorders>
          </w:tcPr>
          <w:p w:rsidR="007E4DA7" w:rsidRPr="00B370BE" w:rsidRDefault="007E4DA7" w:rsidP="007E4DA7">
            <w:pPr>
              <w:widowControl/>
              <w:rPr>
                <w:rFonts w:ascii="Times New Roman" w:hAnsi="Times New Roman"/>
                <w:i/>
                <w:szCs w:val="24"/>
                <w:u w:val="single"/>
              </w:rPr>
            </w:pPr>
            <w:r w:rsidRPr="00B370BE">
              <w:rPr>
                <w:rFonts w:ascii="Times New Roman" w:hAnsi="Times New Roman"/>
                <w:i/>
                <w:szCs w:val="24"/>
                <w:u w:val="single"/>
              </w:rPr>
              <w:t>Current</w:t>
            </w:r>
          </w:p>
        </w:tc>
        <w:tc>
          <w:tcPr>
            <w:tcW w:w="1765" w:type="dxa"/>
            <w:tcBorders>
              <w:top w:val="nil"/>
            </w:tcBorders>
          </w:tcPr>
          <w:p w:rsidR="007E4DA7" w:rsidRPr="00B370BE" w:rsidRDefault="007E4DA7" w:rsidP="004A17BF">
            <w:pPr>
              <w:widowControl/>
              <w:tabs>
                <w:tab w:val="right" w:pos="1056"/>
              </w:tabs>
              <w:rPr>
                <w:rFonts w:ascii="Times New Roman" w:hAnsi="Times New Roman"/>
                <w:szCs w:val="24"/>
              </w:rPr>
            </w:pPr>
          </w:p>
        </w:tc>
        <w:tc>
          <w:tcPr>
            <w:tcW w:w="1211" w:type="dxa"/>
            <w:tcBorders>
              <w:top w:val="nil"/>
            </w:tcBorders>
          </w:tcPr>
          <w:p w:rsidR="007E4DA7" w:rsidRPr="00B370BE" w:rsidRDefault="007E4DA7" w:rsidP="007E4DA7">
            <w:pPr>
              <w:widowControl/>
              <w:jc w:val="center"/>
              <w:rPr>
                <w:rFonts w:ascii="Times New Roman" w:hAnsi="Times New Roman"/>
                <w:szCs w:val="24"/>
              </w:rPr>
            </w:pPr>
          </w:p>
        </w:tc>
        <w:tc>
          <w:tcPr>
            <w:tcW w:w="1735" w:type="dxa"/>
            <w:tcBorders>
              <w:top w:val="nil"/>
            </w:tcBorders>
          </w:tcPr>
          <w:p w:rsidR="007E4DA7" w:rsidRPr="00B370BE" w:rsidRDefault="007E4DA7" w:rsidP="007E4DA7">
            <w:pPr>
              <w:widowControl/>
              <w:jc w:val="center"/>
              <w:rPr>
                <w:rFonts w:ascii="Times New Roman" w:hAnsi="Times New Roman"/>
                <w:szCs w:val="24"/>
              </w:rPr>
            </w:pPr>
          </w:p>
        </w:tc>
        <w:tc>
          <w:tcPr>
            <w:tcW w:w="1737" w:type="dxa"/>
            <w:tcBorders>
              <w:top w:val="nil"/>
            </w:tcBorders>
          </w:tcPr>
          <w:p w:rsidR="007E4DA7" w:rsidRPr="00B370BE" w:rsidRDefault="007E4DA7" w:rsidP="004A17BF">
            <w:pPr>
              <w:widowControl/>
              <w:tabs>
                <w:tab w:val="right" w:pos="1010"/>
              </w:tabs>
              <w:rPr>
                <w:rFonts w:ascii="Times New Roman" w:hAnsi="Times New Roman"/>
                <w:szCs w:val="24"/>
              </w:rPr>
            </w:pPr>
          </w:p>
        </w:tc>
      </w:tr>
      <w:tr w:rsidR="007E4DA7" w:rsidRPr="00B370BE" w:rsidTr="007E4DA7">
        <w:trPr>
          <w:jc w:val="center"/>
        </w:trPr>
        <w:tc>
          <w:tcPr>
            <w:tcW w:w="2471" w:type="dxa"/>
          </w:tcPr>
          <w:p w:rsidR="007E4DA7" w:rsidRPr="00B370BE" w:rsidRDefault="007E4DA7" w:rsidP="007E4DA7">
            <w:pPr>
              <w:widowControl/>
              <w:rPr>
                <w:rFonts w:ascii="Times New Roman" w:hAnsi="Times New Roman"/>
                <w:szCs w:val="24"/>
              </w:rPr>
            </w:pPr>
            <w:r w:rsidRPr="00B370BE">
              <w:rPr>
                <w:rFonts w:ascii="Times New Roman" w:hAnsi="Times New Roman"/>
                <w:szCs w:val="24"/>
              </w:rPr>
              <w:t>FR 2314(quarterly)</w:t>
            </w:r>
          </w:p>
        </w:tc>
        <w:tc>
          <w:tcPr>
            <w:tcW w:w="1765" w:type="dxa"/>
          </w:tcPr>
          <w:p w:rsidR="007E4DA7" w:rsidRPr="00B370BE" w:rsidRDefault="004A17BF" w:rsidP="004A17BF">
            <w:pPr>
              <w:widowControl/>
              <w:tabs>
                <w:tab w:val="right" w:pos="1056"/>
              </w:tabs>
              <w:rPr>
                <w:rFonts w:ascii="Times New Roman" w:hAnsi="Times New Roman"/>
                <w:szCs w:val="24"/>
              </w:rPr>
            </w:pPr>
            <w:r>
              <w:rPr>
                <w:rFonts w:ascii="Times New Roman" w:hAnsi="Times New Roman"/>
                <w:szCs w:val="24"/>
              </w:rPr>
              <w:tab/>
            </w:r>
            <w:r w:rsidR="007E4DA7">
              <w:rPr>
                <w:rFonts w:ascii="Times New Roman" w:hAnsi="Times New Roman"/>
                <w:szCs w:val="24"/>
              </w:rPr>
              <w:t>599</w:t>
            </w:r>
          </w:p>
        </w:tc>
        <w:tc>
          <w:tcPr>
            <w:tcW w:w="1211" w:type="dxa"/>
          </w:tcPr>
          <w:p w:rsidR="007E4DA7" w:rsidRPr="00B370BE" w:rsidRDefault="007E4DA7" w:rsidP="007E4DA7">
            <w:pPr>
              <w:widowControl/>
              <w:jc w:val="center"/>
              <w:rPr>
                <w:rFonts w:ascii="Times New Roman" w:hAnsi="Times New Roman"/>
                <w:szCs w:val="24"/>
              </w:rPr>
            </w:pPr>
            <w:r w:rsidRPr="00B370BE">
              <w:rPr>
                <w:rFonts w:ascii="Times New Roman" w:hAnsi="Times New Roman"/>
                <w:szCs w:val="24"/>
              </w:rPr>
              <w:t>4</w:t>
            </w:r>
          </w:p>
        </w:tc>
        <w:tc>
          <w:tcPr>
            <w:tcW w:w="1735" w:type="dxa"/>
          </w:tcPr>
          <w:p w:rsidR="007E4DA7" w:rsidRPr="00B370BE" w:rsidRDefault="007E4DA7" w:rsidP="007E4DA7">
            <w:pPr>
              <w:widowControl/>
              <w:jc w:val="center"/>
              <w:rPr>
                <w:rFonts w:ascii="Times New Roman" w:hAnsi="Times New Roman"/>
                <w:szCs w:val="24"/>
              </w:rPr>
            </w:pPr>
            <w:r w:rsidRPr="00B370BE">
              <w:rPr>
                <w:rFonts w:ascii="Times New Roman" w:hAnsi="Times New Roman"/>
                <w:szCs w:val="24"/>
              </w:rPr>
              <w:t>6.6</w:t>
            </w:r>
          </w:p>
        </w:tc>
        <w:tc>
          <w:tcPr>
            <w:tcW w:w="1737" w:type="dxa"/>
          </w:tcPr>
          <w:p w:rsidR="007E4DA7" w:rsidRPr="00B370BE" w:rsidRDefault="004A17BF" w:rsidP="004A17BF">
            <w:pPr>
              <w:widowControl/>
              <w:tabs>
                <w:tab w:val="right" w:pos="1010"/>
              </w:tabs>
              <w:rPr>
                <w:rFonts w:ascii="Times New Roman" w:hAnsi="Times New Roman"/>
                <w:szCs w:val="24"/>
              </w:rPr>
            </w:pPr>
            <w:r>
              <w:rPr>
                <w:rFonts w:ascii="Times New Roman" w:hAnsi="Times New Roman"/>
                <w:szCs w:val="24"/>
              </w:rPr>
              <w:tab/>
            </w:r>
            <w:r w:rsidR="007E4DA7">
              <w:rPr>
                <w:rFonts w:ascii="Times New Roman" w:hAnsi="Times New Roman"/>
                <w:szCs w:val="24"/>
              </w:rPr>
              <w:t>15,814</w:t>
            </w:r>
          </w:p>
        </w:tc>
      </w:tr>
      <w:tr w:rsidR="007E4DA7" w:rsidRPr="00B370BE" w:rsidTr="007E4DA7">
        <w:trPr>
          <w:jc w:val="center"/>
        </w:trPr>
        <w:tc>
          <w:tcPr>
            <w:tcW w:w="2471" w:type="dxa"/>
          </w:tcPr>
          <w:p w:rsidR="007E4DA7" w:rsidRPr="00B370BE" w:rsidRDefault="007E4DA7" w:rsidP="007E4DA7">
            <w:pPr>
              <w:widowControl/>
              <w:rPr>
                <w:rFonts w:ascii="Times New Roman" w:hAnsi="Times New Roman"/>
                <w:szCs w:val="24"/>
              </w:rPr>
            </w:pPr>
            <w:r w:rsidRPr="00B370BE">
              <w:rPr>
                <w:rFonts w:ascii="Times New Roman" w:hAnsi="Times New Roman"/>
                <w:szCs w:val="24"/>
              </w:rPr>
              <w:t>FR 2314 (annual)</w:t>
            </w:r>
          </w:p>
        </w:tc>
        <w:tc>
          <w:tcPr>
            <w:tcW w:w="1765" w:type="dxa"/>
          </w:tcPr>
          <w:p w:rsidR="007E4DA7" w:rsidRPr="00B370BE" w:rsidRDefault="004A17BF" w:rsidP="004A17BF">
            <w:pPr>
              <w:widowControl/>
              <w:tabs>
                <w:tab w:val="right" w:pos="1056"/>
              </w:tabs>
              <w:rPr>
                <w:rFonts w:ascii="Times New Roman" w:hAnsi="Times New Roman"/>
                <w:szCs w:val="24"/>
              </w:rPr>
            </w:pPr>
            <w:r>
              <w:rPr>
                <w:rFonts w:ascii="Times New Roman" w:hAnsi="Times New Roman"/>
                <w:szCs w:val="24"/>
              </w:rPr>
              <w:tab/>
            </w:r>
            <w:r w:rsidR="007E4DA7">
              <w:rPr>
                <w:rFonts w:ascii="Times New Roman" w:hAnsi="Times New Roman"/>
                <w:szCs w:val="24"/>
              </w:rPr>
              <w:t>544</w:t>
            </w:r>
          </w:p>
        </w:tc>
        <w:tc>
          <w:tcPr>
            <w:tcW w:w="1211" w:type="dxa"/>
          </w:tcPr>
          <w:p w:rsidR="007E4DA7" w:rsidRPr="00B370BE" w:rsidRDefault="007E4DA7" w:rsidP="007E4DA7">
            <w:pPr>
              <w:widowControl/>
              <w:jc w:val="center"/>
              <w:rPr>
                <w:rFonts w:ascii="Times New Roman" w:hAnsi="Times New Roman"/>
                <w:szCs w:val="24"/>
              </w:rPr>
            </w:pPr>
            <w:r w:rsidRPr="00B370BE">
              <w:rPr>
                <w:rFonts w:ascii="Times New Roman" w:hAnsi="Times New Roman"/>
                <w:szCs w:val="24"/>
              </w:rPr>
              <w:t>1</w:t>
            </w:r>
          </w:p>
        </w:tc>
        <w:tc>
          <w:tcPr>
            <w:tcW w:w="1735" w:type="dxa"/>
          </w:tcPr>
          <w:p w:rsidR="007E4DA7" w:rsidRPr="00B370BE" w:rsidRDefault="007E4DA7" w:rsidP="007E4DA7">
            <w:pPr>
              <w:widowControl/>
              <w:jc w:val="center"/>
              <w:rPr>
                <w:rFonts w:ascii="Times New Roman" w:hAnsi="Times New Roman"/>
                <w:szCs w:val="24"/>
              </w:rPr>
            </w:pPr>
            <w:r w:rsidRPr="00B370BE">
              <w:rPr>
                <w:rFonts w:ascii="Times New Roman" w:hAnsi="Times New Roman"/>
                <w:szCs w:val="24"/>
              </w:rPr>
              <w:t>6.6</w:t>
            </w:r>
          </w:p>
        </w:tc>
        <w:tc>
          <w:tcPr>
            <w:tcW w:w="1737" w:type="dxa"/>
          </w:tcPr>
          <w:p w:rsidR="007E4DA7" w:rsidRPr="00B370BE" w:rsidRDefault="004A17BF" w:rsidP="004A17BF">
            <w:pPr>
              <w:widowControl/>
              <w:tabs>
                <w:tab w:val="right" w:pos="1010"/>
              </w:tabs>
              <w:rPr>
                <w:rFonts w:ascii="Times New Roman" w:hAnsi="Times New Roman"/>
                <w:szCs w:val="24"/>
              </w:rPr>
            </w:pPr>
            <w:r>
              <w:rPr>
                <w:rFonts w:ascii="Times New Roman" w:hAnsi="Times New Roman"/>
                <w:szCs w:val="24"/>
              </w:rPr>
              <w:tab/>
            </w:r>
            <w:r w:rsidR="007E4DA7">
              <w:rPr>
                <w:rFonts w:ascii="Times New Roman" w:hAnsi="Times New Roman"/>
                <w:szCs w:val="24"/>
              </w:rPr>
              <w:t>3,590</w:t>
            </w:r>
            <w:r w:rsidR="007E4DA7" w:rsidRPr="00B370BE">
              <w:rPr>
                <w:rFonts w:ascii="Times New Roman" w:hAnsi="Times New Roman"/>
                <w:szCs w:val="24"/>
              </w:rPr>
              <w:t xml:space="preserve">  </w:t>
            </w:r>
          </w:p>
        </w:tc>
      </w:tr>
      <w:tr w:rsidR="007E4DA7" w:rsidRPr="00B370BE" w:rsidTr="007E4DA7">
        <w:trPr>
          <w:jc w:val="center"/>
        </w:trPr>
        <w:tc>
          <w:tcPr>
            <w:tcW w:w="2471" w:type="dxa"/>
          </w:tcPr>
          <w:p w:rsidR="007E4DA7" w:rsidRPr="00B370BE" w:rsidRDefault="007E4DA7" w:rsidP="007E4DA7">
            <w:pPr>
              <w:widowControl/>
              <w:rPr>
                <w:rFonts w:ascii="Times New Roman" w:hAnsi="Times New Roman"/>
                <w:szCs w:val="24"/>
              </w:rPr>
            </w:pPr>
            <w:r w:rsidRPr="00B370BE">
              <w:rPr>
                <w:rFonts w:ascii="Times New Roman" w:hAnsi="Times New Roman"/>
                <w:szCs w:val="24"/>
              </w:rPr>
              <w:t>FR 2314S</w:t>
            </w:r>
          </w:p>
        </w:tc>
        <w:tc>
          <w:tcPr>
            <w:tcW w:w="1765" w:type="dxa"/>
          </w:tcPr>
          <w:p w:rsidR="007E4DA7" w:rsidRPr="00B370BE" w:rsidRDefault="004A17BF" w:rsidP="004A17BF">
            <w:pPr>
              <w:widowControl/>
              <w:tabs>
                <w:tab w:val="right" w:pos="1056"/>
              </w:tabs>
              <w:rPr>
                <w:rFonts w:ascii="Times New Roman" w:hAnsi="Times New Roman"/>
                <w:szCs w:val="24"/>
                <w:u w:val="single"/>
              </w:rPr>
            </w:pPr>
            <w:r>
              <w:rPr>
                <w:rFonts w:ascii="Times New Roman" w:hAnsi="Times New Roman"/>
                <w:szCs w:val="24"/>
              </w:rPr>
              <w:tab/>
            </w:r>
            <w:r>
              <w:rPr>
                <w:rFonts w:ascii="Times New Roman" w:hAnsi="Times New Roman"/>
                <w:szCs w:val="24"/>
                <w:u w:val="single"/>
              </w:rPr>
              <w:t xml:space="preserve">   8</w:t>
            </w:r>
            <w:r w:rsidR="007E4DA7">
              <w:rPr>
                <w:rFonts w:ascii="Times New Roman" w:hAnsi="Times New Roman"/>
                <w:szCs w:val="24"/>
                <w:u w:val="single"/>
              </w:rPr>
              <w:t>48</w:t>
            </w:r>
          </w:p>
        </w:tc>
        <w:tc>
          <w:tcPr>
            <w:tcW w:w="1211" w:type="dxa"/>
          </w:tcPr>
          <w:p w:rsidR="007E4DA7" w:rsidRPr="00B370BE" w:rsidRDefault="007E4DA7" w:rsidP="007E4DA7">
            <w:pPr>
              <w:widowControl/>
              <w:jc w:val="center"/>
              <w:rPr>
                <w:rFonts w:ascii="Times New Roman" w:hAnsi="Times New Roman"/>
                <w:szCs w:val="24"/>
              </w:rPr>
            </w:pPr>
            <w:r w:rsidRPr="00B370BE">
              <w:rPr>
                <w:rFonts w:ascii="Times New Roman" w:hAnsi="Times New Roman"/>
                <w:szCs w:val="24"/>
              </w:rPr>
              <w:t>1</w:t>
            </w:r>
          </w:p>
        </w:tc>
        <w:tc>
          <w:tcPr>
            <w:tcW w:w="1735" w:type="dxa"/>
          </w:tcPr>
          <w:p w:rsidR="007E4DA7" w:rsidRPr="00B370BE" w:rsidRDefault="007E4DA7" w:rsidP="007E4DA7">
            <w:pPr>
              <w:widowControl/>
              <w:jc w:val="center"/>
              <w:rPr>
                <w:rFonts w:ascii="Times New Roman" w:hAnsi="Times New Roman"/>
                <w:szCs w:val="24"/>
              </w:rPr>
            </w:pPr>
            <w:r w:rsidRPr="00B370BE">
              <w:rPr>
                <w:rFonts w:ascii="Times New Roman" w:hAnsi="Times New Roman"/>
                <w:szCs w:val="24"/>
              </w:rPr>
              <w:t>1.0</w:t>
            </w:r>
          </w:p>
        </w:tc>
        <w:tc>
          <w:tcPr>
            <w:tcW w:w="1737" w:type="dxa"/>
          </w:tcPr>
          <w:p w:rsidR="007E4DA7" w:rsidRPr="00B370BE" w:rsidRDefault="004A17BF" w:rsidP="004A17BF">
            <w:pPr>
              <w:widowControl/>
              <w:tabs>
                <w:tab w:val="right" w:pos="1010"/>
              </w:tabs>
              <w:rPr>
                <w:rFonts w:ascii="Times New Roman" w:hAnsi="Times New Roman"/>
                <w:szCs w:val="24"/>
                <w:u w:val="single"/>
              </w:rPr>
            </w:pPr>
            <w:r>
              <w:rPr>
                <w:rFonts w:ascii="Times New Roman" w:hAnsi="Times New Roman"/>
                <w:szCs w:val="24"/>
              </w:rPr>
              <w:tab/>
            </w:r>
            <w:r w:rsidR="007E4DA7" w:rsidRPr="00B370BE">
              <w:rPr>
                <w:rFonts w:ascii="Times New Roman" w:hAnsi="Times New Roman"/>
                <w:szCs w:val="24"/>
                <w:u w:val="single"/>
              </w:rPr>
              <w:t xml:space="preserve">     </w:t>
            </w:r>
            <w:r w:rsidR="007E4DA7">
              <w:rPr>
                <w:rFonts w:ascii="Times New Roman" w:hAnsi="Times New Roman"/>
                <w:szCs w:val="24"/>
                <w:u w:val="single"/>
              </w:rPr>
              <w:t>848</w:t>
            </w:r>
            <w:r w:rsidR="007E4DA7" w:rsidRPr="00B370BE">
              <w:rPr>
                <w:rFonts w:ascii="Times New Roman" w:hAnsi="Times New Roman"/>
                <w:szCs w:val="24"/>
                <w:u w:val="single"/>
              </w:rPr>
              <w:t xml:space="preserve">  </w:t>
            </w:r>
          </w:p>
        </w:tc>
      </w:tr>
      <w:tr w:rsidR="007E4DA7" w:rsidRPr="00B370BE" w:rsidTr="007E4DA7">
        <w:trPr>
          <w:jc w:val="center"/>
        </w:trPr>
        <w:tc>
          <w:tcPr>
            <w:tcW w:w="2471" w:type="dxa"/>
          </w:tcPr>
          <w:p w:rsidR="007E4DA7" w:rsidRPr="00B370BE" w:rsidRDefault="007E4DA7" w:rsidP="007E4DA7">
            <w:pPr>
              <w:widowControl/>
              <w:jc w:val="right"/>
              <w:rPr>
                <w:rFonts w:ascii="Times New Roman" w:hAnsi="Times New Roman"/>
                <w:i/>
                <w:szCs w:val="24"/>
              </w:rPr>
            </w:pPr>
            <w:r w:rsidRPr="00B370BE">
              <w:rPr>
                <w:rFonts w:ascii="Times New Roman" w:hAnsi="Times New Roman"/>
                <w:i/>
                <w:szCs w:val="24"/>
              </w:rPr>
              <w:t>Total</w:t>
            </w:r>
          </w:p>
        </w:tc>
        <w:tc>
          <w:tcPr>
            <w:tcW w:w="1765" w:type="dxa"/>
          </w:tcPr>
          <w:p w:rsidR="007E4DA7" w:rsidRPr="00B370BE" w:rsidRDefault="004A17BF" w:rsidP="004A17BF">
            <w:pPr>
              <w:widowControl/>
              <w:tabs>
                <w:tab w:val="right" w:pos="1056"/>
              </w:tabs>
              <w:rPr>
                <w:rFonts w:ascii="Times New Roman" w:hAnsi="Times New Roman"/>
                <w:szCs w:val="24"/>
              </w:rPr>
            </w:pPr>
            <w:r>
              <w:rPr>
                <w:rFonts w:ascii="Times New Roman" w:hAnsi="Times New Roman"/>
                <w:szCs w:val="24"/>
              </w:rPr>
              <w:tab/>
            </w:r>
            <w:r w:rsidR="00172A26">
              <w:rPr>
                <w:rFonts w:ascii="Times New Roman" w:hAnsi="Times New Roman"/>
                <w:szCs w:val="24"/>
              </w:rPr>
              <w:t>1,991</w:t>
            </w:r>
          </w:p>
        </w:tc>
        <w:tc>
          <w:tcPr>
            <w:tcW w:w="1211" w:type="dxa"/>
          </w:tcPr>
          <w:p w:rsidR="007E4DA7" w:rsidRPr="00B370BE" w:rsidRDefault="007E4DA7" w:rsidP="007E4DA7">
            <w:pPr>
              <w:widowControl/>
              <w:jc w:val="center"/>
              <w:rPr>
                <w:rFonts w:ascii="Times New Roman" w:hAnsi="Times New Roman"/>
                <w:szCs w:val="24"/>
              </w:rPr>
            </w:pPr>
          </w:p>
        </w:tc>
        <w:tc>
          <w:tcPr>
            <w:tcW w:w="1735" w:type="dxa"/>
          </w:tcPr>
          <w:p w:rsidR="007E4DA7" w:rsidRPr="00B370BE" w:rsidRDefault="007E4DA7" w:rsidP="007E4DA7">
            <w:pPr>
              <w:widowControl/>
              <w:jc w:val="center"/>
              <w:rPr>
                <w:rFonts w:ascii="Times New Roman" w:hAnsi="Times New Roman"/>
                <w:szCs w:val="24"/>
              </w:rPr>
            </w:pPr>
          </w:p>
        </w:tc>
        <w:tc>
          <w:tcPr>
            <w:tcW w:w="1737" w:type="dxa"/>
          </w:tcPr>
          <w:p w:rsidR="007E4DA7" w:rsidRDefault="004A17BF" w:rsidP="004A17BF">
            <w:pPr>
              <w:widowControl/>
              <w:tabs>
                <w:tab w:val="right" w:pos="1010"/>
              </w:tabs>
              <w:rPr>
                <w:rFonts w:ascii="Times New Roman" w:hAnsi="Times New Roman"/>
                <w:szCs w:val="24"/>
              </w:rPr>
            </w:pPr>
            <w:r>
              <w:rPr>
                <w:rFonts w:ascii="Times New Roman" w:hAnsi="Times New Roman"/>
                <w:szCs w:val="24"/>
              </w:rPr>
              <w:tab/>
            </w:r>
            <w:r w:rsidR="00172A26">
              <w:rPr>
                <w:rFonts w:ascii="Times New Roman" w:hAnsi="Times New Roman"/>
                <w:szCs w:val="24"/>
              </w:rPr>
              <w:t>20,252</w:t>
            </w:r>
          </w:p>
          <w:p w:rsidR="007E4DA7" w:rsidRPr="00B370BE" w:rsidRDefault="007E4DA7" w:rsidP="004A17BF">
            <w:pPr>
              <w:widowControl/>
              <w:tabs>
                <w:tab w:val="right" w:pos="1010"/>
              </w:tabs>
              <w:rPr>
                <w:rFonts w:ascii="Times New Roman" w:hAnsi="Times New Roman"/>
                <w:szCs w:val="24"/>
              </w:rPr>
            </w:pPr>
          </w:p>
        </w:tc>
      </w:tr>
      <w:tr w:rsidR="007E4DA7" w:rsidRPr="00B370BE" w:rsidTr="007E4DA7">
        <w:trPr>
          <w:jc w:val="center"/>
        </w:trPr>
        <w:tc>
          <w:tcPr>
            <w:tcW w:w="2471" w:type="dxa"/>
          </w:tcPr>
          <w:p w:rsidR="007E4DA7" w:rsidRPr="00B370BE" w:rsidRDefault="007E4DA7" w:rsidP="007E4DA7">
            <w:pPr>
              <w:widowControl/>
              <w:rPr>
                <w:rFonts w:ascii="Times New Roman" w:hAnsi="Times New Roman"/>
                <w:i/>
                <w:szCs w:val="24"/>
                <w:u w:val="single"/>
              </w:rPr>
            </w:pPr>
            <w:r w:rsidRPr="00B370BE">
              <w:rPr>
                <w:rFonts w:ascii="Times New Roman" w:hAnsi="Times New Roman"/>
                <w:i/>
                <w:szCs w:val="24"/>
                <w:u w:val="single"/>
              </w:rPr>
              <w:t>Proposed</w:t>
            </w:r>
          </w:p>
        </w:tc>
        <w:tc>
          <w:tcPr>
            <w:tcW w:w="1765" w:type="dxa"/>
          </w:tcPr>
          <w:p w:rsidR="007E4DA7" w:rsidRPr="00B370BE" w:rsidRDefault="007E4DA7" w:rsidP="004A17BF">
            <w:pPr>
              <w:widowControl/>
              <w:tabs>
                <w:tab w:val="right" w:pos="1056"/>
              </w:tabs>
              <w:rPr>
                <w:rFonts w:ascii="Times New Roman" w:hAnsi="Times New Roman"/>
                <w:szCs w:val="24"/>
              </w:rPr>
            </w:pPr>
          </w:p>
        </w:tc>
        <w:tc>
          <w:tcPr>
            <w:tcW w:w="1211" w:type="dxa"/>
          </w:tcPr>
          <w:p w:rsidR="007E4DA7" w:rsidRPr="00B370BE" w:rsidRDefault="007E4DA7" w:rsidP="007E4DA7">
            <w:pPr>
              <w:widowControl/>
              <w:jc w:val="center"/>
              <w:rPr>
                <w:rFonts w:ascii="Times New Roman" w:hAnsi="Times New Roman"/>
                <w:szCs w:val="24"/>
              </w:rPr>
            </w:pPr>
          </w:p>
        </w:tc>
        <w:tc>
          <w:tcPr>
            <w:tcW w:w="1735" w:type="dxa"/>
          </w:tcPr>
          <w:p w:rsidR="007E4DA7" w:rsidRPr="00B370BE" w:rsidRDefault="007E4DA7" w:rsidP="007E4DA7">
            <w:pPr>
              <w:widowControl/>
              <w:jc w:val="center"/>
              <w:rPr>
                <w:rFonts w:ascii="Times New Roman" w:hAnsi="Times New Roman"/>
                <w:szCs w:val="24"/>
              </w:rPr>
            </w:pPr>
          </w:p>
        </w:tc>
        <w:tc>
          <w:tcPr>
            <w:tcW w:w="1737" w:type="dxa"/>
          </w:tcPr>
          <w:p w:rsidR="007E4DA7" w:rsidRPr="00B370BE" w:rsidRDefault="007E4DA7" w:rsidP="004A17BF">
            <w:pPr>
              <w:widowControl/>
              <w:tabs>
                <w:tab w:val="right" w:pos="1010"/>
              </w:tabs>
              <w:rPr>
                <w:rFonts w:ascii="Times New Roman" w:hAnsi="Times New Roman"/>
                <w:szCs w:val="24"/>
              </w:rPr>
            </w:pPr>
          </w:p>
        </w:tc>
      </w:tr>
      <w:tr w:rsidR="007E4DA7" w:rsidRPr="00B370BE" w:rsidTr="007E4DA7">
        <w:trPr>
          <w:jc w:val="center"/>
        </w:trPr>
        <w:tc>
          <w:tcPr>
            <w:tcW w:w="2471" w:type="dxa"/>
          </w:tcPr>
          <w:p w:rsidR="007E4DA7" w:rsidRPr="00B370BE" w:rsidRDefault="007E4DA7" w:rsidP="007E4DA7">
            <w:pPr>
              <w:widowControl/>
              <w:rPr>
                <w:rFonts w:ascii="Times New Roman" w:hAnsi="Times New Roman"/>
                <w:szCs w:val="24"/>
              </w:rPr>
            </w:pPr>
            <w:r w:rsidRPr="00B370BE">
              <w:rPr>
                <w:rFonts w:ascii="Times New Roman" w:hAnsi="Times New Roman"/>
                <w:szCs w:val="24"/>
              </w:rPr>
              <w:t>FR 2314(quarterly)</w:t>
            </w:r>
          </w:p>
        </w:tc>
        <w:tc>
          <w:tcPr>
            <w:tcW w:w="1765" w:type="dxa"/>
          </w:tcPr>
          <w:p w:rsidR="007E4DA7" w:rsidRPr="00B370BE" w:rsidRDefault="004A17BF" w:rsidP="004A17BF">
            <w:pPr>
              <w:widowControl/>
              <w:tabs>
                <w:tab w:val="right" w:pos="1056"/>
              </w:tabs>
              <w:rPr>
                <w:rFonts w:ascii="Times New Roman" w:hAnsi="Times New Roman"/>
                <w:szCs w:val="24"/>
              </w:rPr>
            </w:pPr>
            <w:r>
              <w:rPr>
                <w:rFonts w:ascii="Times New Roman" w:hAnsi="Times New Roman"/>
                <w:szCs w:val="24"/>
              </w:rPr>
              <w:tab/>
            </w:r>
            <w:r w:rsidR="007E4DA7">
              <w:rPr>
                <w:rFonts w:ascii="Times New Roman" w:hAnsi="Times New Roman"/>
                <w:szCs w:val="24"/>
              </w:rPr>
              <w:t>738</w:t>
            </w:r>
          </w:p>
        </w:tc>
        <w:tc>
          <w:tcPr>
            <w:tcW w:w="1211" w:type="dxa"/>
          </w:tcPr>
          <w:p w:rsidR="007E4DA7" w:rsidRPr="00B370BE" w:rsidRDefault="007E4DA7" w:rsidP="007E4DA7">
            <w:pPr>
              <w:widowControl/>
              <w:jc w:val="center"/>
              <w:rPr>
                <w:rFonts w:ascii="Times New Roman" w:hAnsi="Times New Roman"/>
                <w:szCs w:val="24"/>
              </w:rPr>
            </w:pPr>
            <w:r w:rsidRPr="00B370BE">
              <w:rPr>
                <w:rFonts w:ascii="Times New Roman" w:hAnsi="Times New Roman"/>
                <w:szCs w:val="24"/>
              </w:rPr>
              <w:t>4</w:t>
            </w:r>
          </w:p>
        </w:tc>
        <w:tc>
          <w:tcPr>
            <w:tcW w:w="1735" w:type="dxa"/>
          </w:tcPr>
          <w:p w:rsidR="007E4DA7" w:rsidRPr="00B370BE" w:rsidRDefault="007E4DA7" w:rsidP="007E4DA7">
            <w:pPr>
              <w:widowControl/>
              <w:jc w:val="center"/>
              <w:rPr>
                <w:rFonts w:ascii="Times New Roman" w:hAnsi="Times New Roman"/>
                <w:szCs w:val="24"/>
              </w:rPr>
            </w:pPr>
            <w:r w:rsidRPr="00B370BE">
              <w:rPr>
                <w:rFonts w:ascii="Times New Roman" w:hAnsi="Times New Roman"/>
                <w:szCs w:val="24"/>
              </w:rPr>
              <w:t>6.6</w:t>
            </w:r>
          </w:p>
        </w:tc>
        <w:tc>
          <w:tcPr>
            <w:tcW w:w="1737" w:type="dxa"/>
          </w:tcPr>
          <w:p w:rsidR="007E4DA7" w:rsidRPr="00B370BE" w:rsidRDefault="004A17BF" w:rsidP="004A17BF">
            <w:pPr>
              <w:widowControl/>
              <w:tabs>
                <w:tab w:val="right" w:pos="1010"/>
              </w:tabs>
              <w:rPr>
                <w:rFonts w:ascii="Times New Roman" w:hAnsi="Times New Roman"/>
                <w:szCs w:val="24"/>
              </w:rPr>
            </w:pPr>
            <w:r>
              <w:rPr>
                <w:rFonts w:ascii="Times New Roman" w:hAnsi="Times New Roman"/>
                <w:szCs w:val="24"/>
              </w:rPr>
              <w:tab/>
            </w:r>
            <w:r w:rsidR="007E4DA7">
              <w:rPr>
                <w:rFonts w:ascii="Times New Roman" w:hAnsi="Times New Roman"/>
                <w:szCs w:val="24"/>
              </w:rPr>
              <w:t>19,483</w:t>
            </w:r>
          </w:p>
        </w:tc>
      </w:tr>
      <w:tr w:rsidR="007E4DA7" w:rsidRPr="00B370BE" w:rsidTr="007E4DA7">
        <w:trPr>
          <w:jc w:val="center"/>
        </w:trPr>
        <w:tc>
          <w:tcPr>
            <w:tcW w:w="2471" w:type="dxa"/>
          </w:tcPr>
          <w:p w:rsidR="007E4DA7" w:rsidRPr="00B370BE" w:rsidRDefault="007E4DA7" w:rsidP="007E4DA7">
            <w:pPr>
              <w:widowControl/>
              <w:rPr>
                <w:rFonts w:ascii="Times New Roman" w:hAnsi="Times New Roman"/>
                <w:szCs w:val="24"/>
              </w:rPr>
            </w:pPr>
            <w:r w:rsidRPr="00B370BE">
              <w:rPr>
                <w:rFonts w:ascii="Times New Roman" w:hAnsi="Times New Roman"/>
                <w:szCs w:val="24"/>
              </w:rPr>
              <w:t>FR 2314 (annual)</w:t>
            </w:r>
          </w:p>
        </w:tc>
        <w:tc>
          <w:tcPr>
            <w:tcW w:w="1765" w:type="dxa"/>
          </w:tcPr>
          <w:p w:rsidR="007E4DA7" w:rsidRPr="00B370BE" w:rsidRDefault="004A17BF" w:rsidP="004A17BF">
            <w:pPr>
              <w:widowControl/>
              <w:tabs>
                <w:tab w:val="right" w:pos="1056"/>
              </w:tabs>
              <w:rPr>
                <w:rFonts w:ascii="Times New Roman" w:hAnsi="Times New Roman"/>
                <w:szCs w:val="24"/>
              </w:rPr>
            </w:pPr>
            <w:r>
              <w:rPr>
                <w:rFonts w:ascii="Times New Roman" w:hAnsi="Times New Roman"/>
                <w:szCs w:val="24"/>
              </w:rPr>
              <w:tab/>
            </w:r>
            <w:r w:rsidR="007E4DA7">
              <w:rPr>
                <w:rFonts w:ascii="Times New Roman" w:hAnsi="Times New Roman"/>
                <w:szCs w:val="24"/>
              </w:rPr>
              <w:t>669</w:t>
            </w:r>
          </w:p>
        </w:tc>
        <w:tc>
          <w:tcPr>
            <w:tcW w:w="1211" w:type="dxa"/>
          </w:tcPr>
          <w:p w:rsidR="007E4DA7" w:rsidRPr="00B370BE" w:rsidRDefault="007E4DA7" w:rsidP="007E4DA7">
            <w:pPr>
              <w:widowControl/>
              <w:jc w:val="center"/>
              <w:rPr>
                <w:rFonts w:ascii="Times New Roman" w:hAnsi="Times New Roman"/>
                <w:szCs w:val="24"/>
              </w:rPr>
            </w:pPr>
            <w:r w:rsidRPr="00B370BE">
              <w:rPr>
                <w:rFonts w:ascii="Times New Roman" w:hAnsi="Times New Roman"/>
                <w:szCs w:val="24"/>
              </w:rPr>
              <w:t>1</w:t>
            </w:r>
          </w:p>
        </w:tc>
        <w:tc>
          <w:tcPr>
            <w:tcW w:w="1735" w:type="dxa"/>
          </w:tcPr>
          <w:p w:rsidR="007E4DA7" w:rsidRPr="00B370BE" w:rsidRDefault="007E4DA7" w:rsidP="007E4DA7">
            <w:pPr>
              <w:widowControl/>
              <w:jc w:val="center"/>
              <w:rPr>
                <w:rFonts w:ascii="Times New Roman" w:hAnsi="Times New Roman"/>
                <w:szCs w:val="24"/>
              </w:rPr>
            </w:pPr>
            <w:r w:rsidRPr="00B370BE">
              <w:rPr>
                <w:rFonts w:ascii="Times New Roman" w:hAnsi="Times New Roman"/>
                <w:szCs w:val="24"/>
              </w:rPr>
              <w:t>6.6</w:t>
            </w:r>
          </w:p>
        </w:tc>
        <w:tc>
          <w:tcPr>
            <w:tcW w:w="1737" w:type="dxa"/>
          </w:tcPr>
          <w:p w:rsidR="007E4DA7" w:rsidRPr="00B370BE" w:rsidRDefault="004A17BF" w:rsidP="004A17BF">
            <w:pPr>
              <w:widowControl/>
              <w:tabs>
                <w:tab w:val="right" w:pos="1010"/>
              </w:tabs>
              <w:rPr>
                <w:rFonts w:ascii="Times New Roman" w:hAnsi="Times New Roman"/>
                <w:szCs w:val="24"/>
              </w:rPr>
            </w:pPr>
            <w:r>
              <w:rPr>
                <w:rFonts w:ascii="Times New Roman" w:hAnsi="Times New Roman"/>
                <w:szCs w:val="24"/>
              </w:rPr>
              <w:tab/>
            </w:r>
            <w:r w:rsidR="007E4DA7">
              <w:rPr>
                <w:rFonts w:ascii="Times New Roman" w:hAnsi="Times New Roman"/>
                <w:szCs w:val="24"/>
              </w:rPr>
              <w:t>4,415</w:t>
            </w:r>
            <w:r w:rsidR="007E4DA7" w:rsidRPr="00B370BE">
              <w:rPr>
                <w:rFonts w:ascii="Times New Roman" w:hAnsi="Times New Roman"/>
                <w:szCs w:val="24"/>
              </w:rPr>
              <w:t xml:space="preserve">  </w:t>
            </w:r>
          </w:p>
        </w:tc>
      </w:tr>
      <w:tr w:rsidR="007E4DA7" w:rsidRPr="00B370BE" w:rsidTr="007E4DA7">
        <w:trPr>
          <w:jc w:val="center"/>
        </w:trPr>
        <w:tc>
          <w:tcPr>
            <w:tcW w:w="2471" w:type="dxa"/>
            <w:tcBorders>
              <w:bottom w:val="nil"/>
            </w:tcBorders>
          </w:tcPr>
          <w:p w:rsidR="007E4DA7" w:rsidRPr="00B370BE" w:rsidRDefault="007E4DA7" w:rsidP="007E4DA7">
            <w:pPr>
              <w:widowControl/>
              <w:rPr>
                <w:rFonts w:ascii="Times New Roman" w:hAnsi="Times New Roman"/>
                <w:szCs w:val="24"/>
              </w:rPr>
            </w:pPr>
            <w:r w:rsidRPr="00B370BE">
              <w:rPr>
                <w:rFonts w:ascii="Times New Roman" w:hAnsi="Times New Roman"/>
                <w:szCs w:val="24"/>
              </w:rPr>
              <w:t>FR 2314S</w:t>
            </w:r>
          </w:p>
        </w:tc>
        <w:tc>
          <w:tcPr>
            <w:tcW w:w="1765" w:type="dxa"/>
            <w:tcBorders>
              <w:bottom w:val="nil"/>
            </w:tcBorders>
          </w:tcPr>
          <w:p w:rsidR="007E4DA7" w:rsidRPr="00B370BE" w:rsidRDefault="004A17BF" w:rsidP="004A17BF">
            <w:pPr>
              <w:widowControl/>
              <w:tabs>
                <w:tab w:val="right" w:pos="1056"/>
              </w:tabs>
              <w:rPr>
                <w:rFonts w:ascii="Times New Roman" w:hAnsi="Times New Roman"/>
                <w:szCs w:val="24"/>
                <w:u w:val="single"/>
              </w:rPr>
            </w:pPr>
            <w:r>
              <w:rPr>
                <w:rFonts w:ascii="Times New Roman" w:hAnsi="Times New Roman"/>
                <w:szCs w:val="24"/>
              </w:rPr>
              <w:tab/>
            </w:r>
            <w:r w:rsidR="007E4DA7">
              <w:rPr>
                <w:rFonts w:ascii="Times New Roman" w:hAnsi="Times New Roman"/>
                <w:szCs w:val="24"/>
                <w:u w:val="single"/>
              </w:rPr>
              <w:t>1,047</w:t>
            </w:r>
          </w:p>
        </w:tc>
        <w:tc>
          <w:tcPr>
            <w:tcW w:w="1211" w:type="dxa"/>
            <w:tcBorders>
              <w:bottom w:val="nil"/>
            </w:tcBorders>
          </w:tcPr>
          <w:p w:rsidR="007E4DA7" w:rsidRPr="00B370BE" w:rsidRDefault="007E4DA7" w:rsidP="007E4DA7">
            <w:pPr>
              <w:widowControl/>
              <w:jc w:val="center"/>
              <w:rPr>
                <w:rFonts w:ascii="Times New Roman" w:hAnsi="Times New Roman"/>
                <w:szCs w:val="24"/>
              </w:rPr>
            </w:pPr>
            <w:r w:rsidRPr="00B370BE">
              <w:rPr>
                <w:rFonts w:ascii="Times New Roman" w:hAnsi="Times New Roman"/>
                <w:szCs w:val="24"/>
              </w:rPr>
              <w:t>1</w:t>
            </w:r>
          </w:p>
        </w:tc>
        <w:tc>
          <w:tcPr>
            <w:tcW w:w="1735" w:type="dxa"/>
            <w:tcBorders>
              <w:bottom w:val="nil"/>
            </w:tcBorders>
          </w:tcPr>
          <w:p w:rsidR="007E4DA7" w:rsidRPr="00B370BE" w:rsidRDefault="007E4DA7" w:rsidP="007E4DA7">
            <w:pPr>
              <w:widowControl/>
              <w:jc w:val="center"/>
              <w:rPr>
                <w:rFonts w:ascii="Times New Roman" w:hAnsi="Times New Roman"/>
                <w:szCs w:val="24"/>
              </w:rPr>
            </w:pPr>
            <w:r w:rsidRPr="00B370BE">
              <w:rPr>
                <w:rFonts w:ascii="Times New Roman" w:hAnsi="Times New Roman"/>
                <w:szCs w:val="24"/>
              </w:rPr>
              <w:t>1.0</w:t>
            </w:r>
          </w:p>
        </w:tc>
        <w:tc>
          <w:tcPr>
            <w:tcW w:w="1737" w:type="dxa"/>
            <w:tcBorders>
              <w:bottom w:val="nil"/>
            </w:tcBorders>
          </w:tcPr>
          <w:p w:rsidR="007E4DA7" w:rsidRPr="00B370BE" w:rsidRDefault="004A17BF" w:rsidP="004A17BF">
            <w:pPr>
              <w:widowControl/>
              <w:tabs>
                <w:tab w:val="right" w:pos="1010"/>
              </w:tabs>
              <w:rPr>
                <w:rFonts w:ascii="Times New Roman" w:hAnsi="Times New Roman"/>
                <w:szCs w:val="24"/>
                <w:u w:val="single"/>
              </w:rPr>
            </w:pPr>
            <w:r>
              <w:rPr>
                <w:rFonts w:ascii="Times New Roman" w:hAnsi="Times New Roman"/>
                <w:szCs w:val="24"/>
              </w:rPr>
              <w:tab/>
            </w:r>
            <w:r w:rsidR="00172A26">
              <w:rPr>
                <w:rFonts w:ascii="Times New Roman" w:hAnsi="Times New Roman"/>
                <w:szCs w:val="24"/>
                <w:u w:val="single"/>
              </w:rPr>
              <w:t xml:space="preserve">  </w:t>
            </w:r>
            <w:r w:rsidR="007E4DA7">
              <w:rPr>
                <w:rFonts w:ascii="Times New Roman" w:hAnsi="Times New Roman"/>
                <w:szCs w:val="24"/>
                <w:u w:val="single"/>
              </w:rPr>
              <w:t>1,047</w:t>
            </w:r>
            <w:r w:rsidR="007E4DA7" w:rsidRPr="00B370BE">
              <w:rPr>
                <w:rFonts w:ascii="Times New Roman" w:hAnsi="Times New Roman"/>
                <w:szCs w:val="24"/>
                <w:u w:val="single"/>
              </w:rPr>
              <w:t xml:space="preserve">  </w:t>
            </w:r>
          </w:p>
        </w:tc>
      </w:tr>
      <w:tr w:rsidR="007E4DA7" w:rsidRPr="00B370BE" w:rsidTr="007E4DA7">
        <w:trPr>
          <w:jc w:val="center"/>
        </w:trPr>
        <w:tc>
          <w:tcPr>
            <w:tcW w:w="2471" w:type="dxa"/>
            <w:tcBorders>
              <w:top w:val="nil"/>
              <w:bottom w:val="nil"/>
            </w:tcBorders>
          </w:tcPr>
          <w:p w:rsidR="007E4DA7" w:rsidRPr="00B370BE" w:rsidRDefault="007E4DA7" w:rsidP="007E4DA7">
            <w:pPr>
              <w:widowControl/>
              <w:jc w:val="right"/>
              <w:rPr>
                <w:rFonts w:ascii="Times New Roman" w:hAnsi="Times New Roman"/>
                <w:i/>
                <w:szCs w:val="24"/>
              </w:rPr>
            </w:pPr>
            <w:r w:rsidRPr="00B370BE">
              <w:rPr>
                <w:rFonts w:ascii="Times New Roman" w:hAnsi="Times New Roman"/>
                <w:i/>
                <w:szCs w:val="24"/>
              </w:rPr>
              <w:t>Total</w:t>
            </w:r>
          </w:p>
        </w:tc>
        <w:tc>
          <w:tcPr>
            <w:tcW w:w="1765" w:type="dxa"/>
            <w:tcBorders>
              <w:top w:val="nil"/>
              <w:bottom w:val="nil"/>
            </w:tcBorders>
          </w:tcPr>
          <w:p w:rsidR="007E4DA7" w:rsidRPr="00B370BE" w:rsidRDefault="004A17BF" w:rsidP="004A17BF">
            <w:pPr>
              <w:widowControl/>
              <w:tabs>
                <w:tab w:val="right" w:pos="1056"/>
              </w:tabs>
              <w:rPr>
                <w:rFonts w:ascii="Times New Roman" w:hAnsi="Times New Roman"/>
                <w:szCs w:val="24"/>
              </w:rPr>
            </w:pPr>
            <w:r>
              <w:rPr>
                <w:rFonts w:ascii="Times New Roman" w:hAnsi="Times New Roman"/>
                <w:szCs w:val="24"/>
              </w:rPr>
              <w:tab/>
            </w:r>
            <w:r w:rsidR="00172A26">
              <w:rPr>
                <w:rFonts w:ascii="Times New Roman" w:hAnsi="Times New Roman"/>
                <w:szCs w:val="24"/>
              </w:rPr>
              <w:t>2,454</w:t>
            </w:r>
            <w:r w:rsidR="007E4DA7" w:rsidRPr="00B370BE">
              <w:rPr>
                <w:rFonts w:ascii="Times New Roman" w:hAnsi="Times New Roman"/>
                <w:szCs w:val="24"/>
              </w:rPr>
              <w:t xml:space="preserve">  </w:t>
            </w:r>
            <w:r w:rsidR="007E4DA7">
              <w:rPr>
                <w:rFonts w:ascii="Times New Roman" w:hAnsi="Times New Roman"/>
                <w:szCs w:val="24"/>
              </w:rPr>
              <w:t xml:space="preserve"> </w:t>
            </w:r>
          </w:p>
        </w:tc>
        <w:tc>
          <w:tcPr>
            <w:tcW w:w="1211" w:type="dxa"/>
            <w:tcBorders>
              <w:top w:val="nil"/>
              <w:bottom w:val="nil"/>
            </w:tcBorders>
          </w:tcPr>
          <w:p w:rsidR="007E4DA7" w:rsidRPr="00B370BE" w:rsidRDefault="007E4DA7" w:rsidP="007E4DA7">
            <w:pPr>
              <w:widowControl/>
              <w:jc w:val="center"/>
              <w:rPr>
                <w:rFonts w:ascii="Times New Roman" w:hAnsi="Times New Roman"/>
                <w:szCs w:val="24"/>
              </w:rPr>
            </w:pPr>
          </w:p>
        </w:tc>
        <w:tc>
          <w:tcPr>
            <w:tcW w:w="1735" w:type="dxa"/>
            <w:tcBorders>
              <w:top w:val="nil"/>
              <w:bottom w:val="nil"/>
            </w:tcBorders>
          </w:tcPr>
          <w:p w:rsidR="007E4DA7" w:rsidRPr="00B370BE" w:rsidRDefault="007E4DA7" w:rsidP="007E4DA7">
            <w:pPr>
              <w:widowControl/>
              <w:jc w:val="center"/>
              <w:rPr>
                <w:rFonts w:ascii="Times New Roman" w:hAnsi="Times New Roman"/>
                <w:szCs w:val="24"/>
              </w:rPr>
            </w:pPr>
          </w:p>
        </w:tc>
        <w:tc>
          <w:tcPr>
            <w:tcW w:w="1737" w:type="dxa"/>
            <w:tcBorders>
              <w:top w:val="nil"/>
              <w:bottom w:val="nil"/>
            </w:tcBorders>
          </w:tcPr>
          <w:p w:rsidR="007E4DA7" w:rsidRDefault="004A17BF" w:rsidP="004A17BF">
            <w:pPr>
              <w:widowControl/>
              <w:tabs>
                <w:tab w:val="right" w:pos="1010"/>
              </w:tabs>
              <w:rPr>
                <w:rFonts w:ascii="Times New Roman" w:hAnsi="Times New Roman"/>
                <w:szCs w:val="24"/>
              </w:rPr>
            </w:pPr>
            <w:r>
              <w:rPr>
                <w:rFonts w:ascii="Times New Roman" w:hAnsi="Times New Roman"/>
                <w:szCs w:val="24"/>
              </w:rPr>
              <w:tab/>
            </w:r>
            <w:r w:rsidR="00172A26">
              <w:rPr>
                <w:rFonts w:ascii="Times New Roman" w:hAnsi="Times New Roman"/>
                <w:szCs w:val="24"/>
              </w:rPr>
              <w:t>24,945</w:t>
            </w:r>
          </w:p>
          <w:p w:rsidR="007E4DA7" w:rsidRPr="00B370BE" w:rsidRDefault="007E4DA7" w:rsidP="004A17BF">
            <w:pPr>
              <w:widowControl/>
              <w:tabs>
                <w:tab w:val="right" w:pos="1010"/>
              </w:tabs>
              <w:rPr>
                <w:rFonts w:ascii="Times New Roman" w:hAnsi="Times New Roman"/>
                <w:szCs w:val="24"/>
              </w:rPr>
            </w:pPr>
          </w:p>
        </w:tc>
      </w:tr>
      <w:tr w:rsidR="007E4DA7" w:rsidRPr="00B370BE" w:rsidTr="007E4DA7">
        <w:trPr>
          <w:jc w:val="center"/>
        </w:trPr>
        <w:tc>
          <w:tcPr>
            <w:tcW w:w="2471" w:type="dxa"/>
            <w:tcBorders>
              <w:top w:val="nil"/>
              <w:bottom w:val="single" w:sz="4" w:space="0" w:color="auto"/>
            </w:tcBorders>
            <w:vAlign w:val="center"/>
          </w:tcPr>
          <w:p w:rsidR="007E4DA7" w:rsidRPr="00B370BE" w:rsidRDefault="007E4DA7" w:rsidP="007E4DA7">
            <w:pPr>
              <w:widowControl/>
              <w:jc w:val="right"/>
              <w:rPr>
                <w:rFonts w:ascii="Times New Roman" w:hAnsi="Times New Roman"/>
                <w:i/>
                <w:szCs w:val="24"/>
              </w:rPr>
            </w:pPr>
            <w:r w:rsidRPr="00B370BE">
              <w:rPr>
                <w:rFonts w:ascii="Times New Roman" w:hAnsi="Times New Roman"/>
                <w:i/>
                <w:szCs w:val="24"/>
              </w:rPr>
              <w:t>Change</w:t>
            </w:r>
          </w:p>
        </w:tc>
        <w:tc>
          <w:tcPr>
            <w:tcW w:w="1765" w:type="dxa"/>
            <w:tcBorders>
              <w:top w:val="nil"/>
              <w:bottom w:val="single" w:sz="4" w:space="0" w:color="auto"/>
            </w:tcBorders>
            <w:vAlign w:val="center"/>
          </w:tcPr>
          <w:p w:rsidR="007E4DA7" w:rsidRPr="00B370BE" w:rsidRDefault="004A17BF" w:rsidP="004A17BF">
            <w:pPr>
              <w:widowControl/>
              <w:tabs>
                <w:tab w:val="right" w:pos="1056"/>
              </w:tabs>
              <w:rPr>
                <w:rFonts w:ascii="Times New Roman" w:hAnsi="Times New Roman"/>
                <w:szCs w:val="24"/>
              </w:rPr>
            </w:pPr>
            <w:r>
              <w:rPr>
                <w:rFonts w:ascii="Times New Roman" w:hAnsi="Times New Roman"/>
                <w:szCs w:val="24"/>
              </w:rPr>
              <w:tab/>
            </w:r>
            <w:r w:rsidR="00172A26">
              <w:rPr>
                <w:rFonts w:ascii="Times New Roman" w:hAnsi="Times New Roman"/>
                <w:szCs w:val="24"/>
              </w:rPr>
              <w:t>+463</w:t>
            </w:r>
          </w:p>
        </w:tc>
        <w:tc>
          <w:tcPr>
            <w:tcW w:w="1211" w:type="dxa"/>
            <w:tcBorders>
              <w:top w:val="nil"/>
              <w:bottom w:val="single" w:sz="4" w:space="0" w:color="auto"/>
            </w:tcBorders>
          </w:tcPr>
          <w:p w:rsidR="007E4DA7" w:rsidRPr="00B370BE" w:rsidRDefault="007E4DA7" w:rsidP="007E4DA7">
            <w:pPr>
              <w:widowControl/>
              <w:jc w:val="center"/>
              <w:rPr>
                <w:rFonts w:ascii="Times New Roman" w:hAnsi="Times New Roman"/>
                <w:szCs w:val="24"/>
              </w:rPr>
            </w:pPr>
          </w:p>
        </w:tc>
        <w:tc>
          <w:tcPr>
            <w:tcW w:w="1735" w:type="dxa"/>
            <w:tcBorders>
              <w:top w:val="nil"/>
              <w:bottom w:val="single" w:sz="4" w:space="0" w:color="auto"/>
            </w:tcBorders>
            <w:vAlign w:val="center"/>
          </w:tcPr>
          <w:p w:rsidR="007E4DA7" w:rsidRPr="00B370BE" w:rsidRDefault="007E4DA7" w:rsidP="007E4DA7">
            <w:pPr>
              <w:widowControl/>
              <w:jc w:val="center"/>
              <w:rPr>
                <w:rFonts w:ascii="Times New Roman" w:hAnsi="Times New Roman"/>
                <w:szCs w:val="24"/>
              </w:rPr>
            </w:pPr>
          </w:p>
        </w:tc>
        <w:tc>
          <w:tcPr>
            <w:tcW w:w="1737" w:type="dxa"/>
            <w:tcBorders>
              <w:top w:val="nil"/>
              <w:bottom w:val="single" w:sz="4" w:space="0" w:color="auto"/>
            </w:tcBorders>
            <w:vAlign w:val="bottom"/>
          </w:tcPr>
          <w:p w:rsidR="007E4DA7" w:rsidRPr="00B370BE" w:rsidRDefault="004A17BF" w:rsidP="004A17BF">
            <w:pPr>
              <w:widowControl/>
              <w:tabs>
                <w:tab w:val="right" w:pos="1010"/>
              </w:tabs>
              <w:rPr>
                <w:rFonts w:ascii="Times New Roman" w:hAnsi="Times New Roman"/>
                <w:szCs w:val="24"/>
              </w:rPr>
            </w:pPr>
            <w:r>
              <w:rPr>
                <w:rFonts w:ascii="Times New Roman" w:hAnsi="Times New Roman"/>
                <w:szCs w:val="24"/>
              </w:rPr>
              <w:tab/>
            </w:r>
            <w:r w:rsidR="007E4DA7" w:rsidRPr="00B370BE">
              <w:rPr>
                <w:rFonts w:ascii="Times New Roman" w:hAnsi="Times New Roman"/>
                <w:szCs w:val="24"/>
              </w:rPr>
              <w:t>+</w:t>
            </w:r>
            <w:r w:rsidR="00172A26">
              <w:rPr>
                <w:rFonts w:ascii="Times New Roman" w:hAnsi="Times New Roman"/>
                <w:szCs w:val="24"/>
              </w:rPr>
              <w:t>4,693</w:t>
            </w:r>
          </w:p>
        </w:tc>
      </w:tr>
    </w:tbl>
    <w:p w:rsidR="007E4DA7" w:rsidRPr="00B370BE" w:rsidRDefault="007E4DA7" w:rsidP="007E4DA7">
      <w:pPr>
        <w:widowControl/>
        <w:rPr>
          <w:rFonts w:ascii="Times New Roman" w:hAnsi="Times New Roman"/>
          <w:szCs w:val="24"/>
        </w:rPr>
      </w:pPr>
    </w:p>
    <w:p w:rsidR="007E4DA7" w:rsidRPr="00B370BE" w:rsidRDefault="007E4DA7" w:rsidP="007E4DA7">
      <w:pPr>
        <w:widowControl/>
        <w:ind w:firstLine="720"/>
        <w:rPr>
          <w:rFonts w:ascii="Times New Roman" w:hAnsi="Times New Roman"/>
          <w:szCs w:val="24"/>
        </w:rPr>
      </w:pPr>
    </w:p>
    <w:p w:rsidR="006C63F3" w:rsidRDefault="006C63F3">
      <w:pPr>
        <w:widowControl/>
        <w:rPr>
          <w:rFonts w:ascii="Times New Roman" w:hAnsi="Times New Roman"/>
          <w:szCs w:val="24"/>
        </w:rPr>
      </w:pPr>
      <w:r>
        <w:rPr>
          <w:rFonts w:ascii="Times New Roman" w:hAnsi="Times New Roman"/>
          <w:szCs w:val="24"/>
        </w:rPr>
        <w:br w:type="page"/>
      </w:r>
    </w:p>
    <w:p w:rsidR="0063605C" w:rsidRPr="00052285" w:rsidRDefault="0063605C" w:rsidP="0063605C">
      <w:pPr>
        <w:widowControl/>
        <w:ind w:firstLine="720"/>
        <w:rPr>
          <w:rFonts w:ascii="Times New Roman" w:hAnsi="Times New Roman"/>
          <w:b/>
          <w:szCs w:val="24"/>
        </w:rPr>
      </w:pPr>
      <w:r w:rsidRPr="00052285">
        <w:rPr>
          <w:rFonts w:ascii="Times New Roman" w:hAnsi="Times New Roman"/>
          <w:b/>
          <w:szCs w:val="24"/>
        </w:rPr>
        <w:lastRenderedPageBreak/>
        <w:t>FR Y-</w:t>
      </w:r>
      <w:r>
        <w:rPr>
          <w:rFonts w:ascii="Times New Roman" w:hAnsi="Times New Roman"/>
          <w:b/>
          <w:szCs w:val="24"/>
        </w:rPr>
        <w:t>8</w:t>
      </w:r>
    </w:p>
    <w:p w:rsidR="0063605C" w:rsidRDefault="0063605C" w:rsidP="007E4DA7">
      <w:pPr>
        <w:widowControl/>
        <w:ind w:firstLine="720"/>
        <w:rPr>
          <w:rFonts w:ascii="Times New Roman" w:hAnsi="Times New Roman"/>
          <w:szCs w:val="24"/>
        </w:rPr>
      </w:pPr>
    </w:p>
    <w:p w:rsidR="007E4DA7" w:rsidRPr="00B370BE" w:rsidRDefault="007E4DA7" w:rsidP="007E4DA7">
      <w:pPr>
        <w:widowControl/>
        <w:ind w:firstLine="720"/>
        <w:rPr>
          <w:rFonts w:ascii="Times New Roman" w:hAnsi="Times New Roman"/>
          <w:color w:val="000000"/>
          <w:szCs w:val="24"/>
        </w:rPr>
      </w:pPr>
      <w:r w:rsidRPr="00B370BE">
        <w:rPr>
          <w:rFonts w:ascii="Times New Roman" w:hAnsi="Times New Roman"/>
          <w:szCs w:val="24"/>
        </w:rPr>
        <w:t xml:space="preserve">As shown in the following table, the current annual burden for the </w:t>
      </w:r>
      <w:r w:rsidR="005537E4">
        <w:rPr>
          <w:rFonts w:ascii="Times New Roman" w:hAnsi="Times New Roman"/>
          <w:szCs w:val="24"/>
        </w:rPr>
        <w:t>FR Y-8 is estimated to be 49,4</w:t>
      </w:r>
      <w:r w:rsidR="00411407">
        <w:rPr>
          <w:rFonts w:ascii="Times New Roman" w:hAnsi="Times New Roman"/>
          <w:szCs w:val="24"/>
        </w:rPr>
        <w:t>9</w:t>
      </w:r>
      <w:r w:rsidR="005537E4">
        <w:rPr>
          <w:rFonts w:ascii="Times New Roman" w:hAnsi="Times New Roman"/>
          <w:szCs w:val="24"/>
        </w:rPr>
        <w:t xml:space="preserve">8 </w:t>
      </w:r>
      <w:r w:rsidRPr="00B370BE">
        <w:rPr>
          <w:rFonts w:ascii="Times New Roman" w:hAnsi="Times New Roman"/>
          <w:szCs w:val="24"/>
        </w:rPr>
        <w:t xml:space="preserve">hours and </w:t>
      </w:r>
      <w:r w:rsidR="0097766B">
        <w:rPr>
          <w:rFonts w:ascii="Times New Roman" w:hAnsi="Times New Roman"/>
          <w:szCs w:val="24"/>
        </w:rPr>
        <w:t xml:space="preserve">would </w:t>
      </w:r>
      <w:r w:rsidRPr="00B370BE">
        <w:rPr>
          <w:rFonts w:ascii="Times New Roman" w:hAnsi="Times New Roman"/>
          <w:szCs w:val="24"/>
        </w:rPr>
        <w:t xml:space="preserve">increase to </w:t>
      </w:r>
      <w:r w:rsidR="00745392">
        <w:rPr>
          <w:rFonts w:ascii="Times New Roman" w:hAnsi="Times New Roman"/>
          <w:szCs w:val="24"/>
        </w:rPr>
        <w:t xml:space="preserve">56,001 </w:t>
      </w:r>
      <w:r w:rsidRPr="00B370BE">
        <w:rPr>
          <w:rFonts w:ascii="Times New Roman" w:hAnsi="Times New Roman"/>
          <w:szCs w:val="24"/>
        </w:rPr>
        <w:t>hours</w:t>
      </w:r>
      <w:r w:rsidR="00F1572E">
        <w:rPr>
          <w:rFonts w:ascii="Times New Roman" w:hAnsi="Times New Roman"/>
          <w:szCs w:val="24"/>
        </w:rPr>
        <w:t>, effective 2013</w:t>
      </w:r>
      <w:r w:rsidRPr="00B370BE">
        <w:rPr>
          <w:rFonts w:ascii="Times New Roman" w:hAnsi="Times New Roman"/>
          <w:szCs w:val="24"/>
        </w:rPr>
        <w:t xml:space="preserve">.  </w:t>
      </w:r>
      <w:r w:rsidRPr="00B370BE">
        <w:rPr>
          <w:rFonts w:ascii="Times New Roman" w:hAnsi="Times New Roman"/>
          <w:color w:val="000000"/>
          <w:szCs w:val="24"/>
        </w:rPr>
        <w:t xml:space="preserve">The </w:t>
      </w:r>
      <w:r w:rsidR="00486789">
        <w:rPr>
          <w:rFonts w:ascii="Times New Roman" w:hAnsi="Times New Roman"/>
          <w:color w:val="000000"/>
          <w:szCs w:val="24"/>
        </w:rPr>
        <w:t xml:space="preserve">estimated </w:t>
      </w:r>
      <w:r w:rsidRPr="00B370BE">
        <w:rPr>
          <w:rFonts w:ascii="Times New Roman" w:hAnsi="Times New Roman"/>
          <w:color w:val="000000"/>
          <w:szCs w:val="24"/>
        </w:rPr>
        <w:t>annual burden of FR Y-8 represents less than 1 percent of the total Federal Reserve System paperwork burden.</w:t>
      </w:r>
    </w:p>
    <w:p w:rsidR="007E4DA7" w:rsidRPr="00B370BE" w:rsidRDefault="007E4DA7" w:rsidP="007E4DA7">
      <w:pPr>
        <w:widowControl/>
        <w:ind w:firstLine="720"/>
        <w:rPr>
          <w:rFonts w:ascii="Times New Roman" w:hAnsi="Times New Roman"/>
          <w:szCs w:val="24"/>
        </w:rPr>
      </w:pPr>
    </w:p>
    <w:tbl>
      <w:tblPr>
        <w:tblW w:w="0" w:type="auto"/>
        <w:jc w:val="center"/>
        <w:tblBorders>
          <w:top w:val="single" w:sz="4" w:space="0" w:color="auto"/>
          <w:bottom w:val="single" w:sz="4" w:space="0" w:color="auto"/>
        </w:tblBorders>
        <w:tblLayout w:type="fixed"/>
        <w:tblLook w:val="0000"/>
      </w:tblPr>
      <w:tblGrid>
        <w:gridCol w:w="2664"/>
        <w:gridCol w:w="1771"/>
        <w:gridCol w:w="1440"/>
        <w:gridCol w:w="1771"/>
        <w:gridCol w:w="1771"/>
      </w:tblGrid>
      <w:tr w:rsidR="007E4DA7" w:rsidRPr="00B370BE" w:rsidTr="007E4DA7">
        <w:trPr>
          <w:jc w:val="center"/>
        </w:trPr>
        <w:tc>
          <w:tcPr>
            <w:tcW w:w="2664" w:type="dxa"/>
            <w:tcBorders>
              <w:bottom w:val="nil"/>
            </w:tcBorders>
            <w:vAlign w:val="center"/>
          </w:tcPr>
          <w:p w:rsidR="007E4DA7" w:rsidRPr="00B370BE" w:rsidRDefault="007E4DA7" w:rsidP="007E4DA7">
            <w:pPr>
              <w:pStyle w:val="Heading7"/>
              <w:tabs>
                <w:tab w:val="left" w:pos="-1080"/>
                <w:tab w:val="left" w:pos="-90"/>
                <w:tab w:val="left" w:pos="1440"/>
                <w:tab w:val="left" w:pos="1980"/>
                <w:tab w:val="left" w:pos="3960"/>
                <w:tab w:val="left" w:pos="5760"/>
                <w:tab w:val="left" w:pos="7920"/>
              </w:tabs>
              <w:rPr>
                <w:szCs w:val="24"/>
              </w:rPr>
            </w:pPr>
          </w:p>
        </w:tc>
        <w:tc>
          <w:tcPr>
            <w:tcW w:w="1771" w:type="dxa"/>
            <w:tcBorders>
              <w:bottom w:val="nil"/>
            </w:tcBorders>
            <w:vAlign w:val="bottom"/>
          </w:tcPr>
          <w:p w:rsidR="007E4DA7" w:rsidRPr="00B370BE" w:rsidRDefault="007E4DA7" w:rsidP="007E4DA7">
            <w:pPr>
              <w:tabs>
                <w:tab w:val="left" w:pos="-1080"/>
                <w:tab w:val="left" w:pos="-90"/>
                <w:tab w:val="left" w:pos="1440"/>
                <w:tab w:val="left" w:pos="1980"/>
                <w:tab w:val="left" w:pos="3960"/>
                <w:tab w:val="left" w:pos="5760"/>
                <w:tab w:val="left" w:pos="7920"/>
              </w:tabs>
              <w:jc w:val="center"/>
              <w:rPr>
                <w:rFonts w:ascii="Times New Roman" w:hAnsi="Times New Roman"/>
                <w:i/>
                <w:color w:val="000000"/>
                <w:szCs w:val="24"/>
              </w:rPr>
            </w:pPr>
            <w:r w:rsidRPr="00B370BE">
              <w:rPr>
                <w:rFonts w:ascii="Times New Roman" w:hAnsi="Times New Roman"/>
                <w:i/>
                <w:color w:val="000000"/>
                <w:szCs w:val="24"/>
              </w:rPr>
              <w:t>Number of respondents</w:t>
            </w:r>
            <w:r w:rsidRPr="00B370BE">
              <w:rPr>
                <w:rStyle w:val="FootnoteReference"/>
                <w:i/>
                <w:color w:val="000000"/>
                <w:szCs w:val="24"/>
                <w:vertAlign w:val="superscript"/>
              </w:rPr>
              <w:footnoteReference w:id="5"/>
            </w:r>
          </w:p>
        </w:tc>
        <w:tc>
          <w:tcPr>
            <w:tcW w:w="1440" w:type="dxa"/>
            <w:tcBorders>
              <w:bottom w:val="nil"/>
            </w:tcBorders>
            <w:vAlign w:val="bottom"/>
          </w:tcPr>
          <w:p w:rsidR="007E4DA7" w:rsidRPr="00B370BE" w:rsidRDefault="007E4DA7" w:rsidP="007E4DA7">
            <w:pPr>
              <w:tabs>
                <w:tab w:val="left" w:pos="-1080"/>
                <w:tab w:val="left" w:pos="-90"/>
                <w:tab w:val="left" w:pos="1440"/>
                <w:tab w:val="left" w:pos="1980"/>
                <w:tab w:val="left" w:pos="3960"/>
                <w:tab w:val="left" w:pos="5760"/>
                <w:tab w:val="left" w:pos="7920"/>
              </w:tabs>
              <w:jc w:val="center"/>
              <w:rPr>
                <w:rFonts w:ascii="Times New Roman" w:hAnsi="Times New Roman"/>
                <w:i/>
                <w:color w:val="000000"/>
                <w:szCs w:val="24"/>
              </w:rPr>
            </w:pPr>
            <w:r w:rsidRPr="00B370BE">
              <w:rPr>
                <w:rFonts w:ascii="Times New Roman" w:hAnsi="Times New Roman"/>
                <w:i/>
                <w:color w:val="000000"/>
                <w:szCs w:val="24"/>
              </w:rPr>
              <w:t xml:space="preserve">Annual </w:t>
            </w:r>
          </w:p>
          <w:p w:rsidR="007E4DA7" w:rsidRPr="00B370BE" w:rsidRDefault="007E4DA7" w:rsidP="007E4DA7">
            <w:pPr>
              <w:tabs>
                <w:tab w:val="left" w:pos="-1080"/>
                <w:tab w:val="left" w:pos="-90"/>
                <w:tab w:val="left" w:pos="1440"/>
                <w:tab w:val="left" w:pos="1980"/>
                <w:tab w:val="left" w:pos="3960"/>
                <w:tab w:val="left" w:pos="5760"/>
                <w:tab w:val="left" w:pos="7920"/>
              </w:tabs>
              <w:jc w:val="center"/>
              <w:rPr>
                <w:rFonts w:ascii="Times New Roman" w:hAnsi="Times New Roman"/>
                <w:i/>
                <w:color w:val="000000"/>
                <w:szCs w:val="24"/>
              </w:rPr>
            </w:pPr>
            <w:r w:rsidRPr="00B370BE">
              <w:rPr>
                <w:rFonts w:ascii="Times New Roman" w:hAnsi="Times New Roman"/>
                <w:i/>
                <w:color w:val="000000"/>
                <w:szCs w:val="24"/>
              </w:rPr>
              <w:t>frequency</w:t>
            </w:r>
          </w:p>
        </w:tc>
        <w:tc>
          <w:tcPr>
            <w:tcW w:w="1771" w:type="dxa"/>
            <w:tcBorders>
              <w:bottom w:val="nil"/>
            </w:tcBorders>
            <w:vAlign w:val="bottom"/>
          </w:tcPr>
          <w:p w:rsidR="007E4DA7" w:rsidRPr="00B370BE" w:rsidRDefault="007E4DA7" w:rsidP="007E4DA7">
            <w:pPr>
              <w:tabs>
                <w:tab w:val="left" w:pos="-1080"/>
                <w:tab w:val="left" w:pos="-90"/>
                <w:tab w:val="left" w:pos="1440"/>
                <w:tab w:val="left" w:pos="1980"/>
                <w:tab w:val="left" w:pos="3960"/>
                <w:tab w:val="left" w:pos="5760"/>
                <w:tab w:val="left" w:pos="7920"/>
              </w:tabs>
              <w:jc w:val="center"/>
              <w:rPr>
                <w:rFonts w:ascii="Times New Roman" w:hAnsi="Times New Roman"/>
                <w:i/>
                <w:color w:val="000000"/>
                <w:szCs w:val="24"/>
              </w:rPr>
            </w:pPr>
            <w:r w:rsidRPr="00B370BE">
              <w:rPr>
                <w:rFonts w:ascii="Times New Roman" w:hAnsi="Times New Roman"/>
                <w:i/>
                <w:color w:val="000000"/>
                <w:szCs w:val="24"/>
              </w:rPr>
              <w:t>Estimated average hours per response</w:t>
            </w:r>
          </w:p>
        </w:tc>
        <w:tc>
          <w:tcPr>
            <w:tcW w:w="1771" w:type="dxa"/>
            <w:tcBorders>
              <w:bottom w:val="nil"/>
            </w:tcBorders>
            <w:vAlign w:val="bottom"/>
          </w:tcPr>
          <w:p w:rsidR="007E4DA7" w:rsidRPr="00B370BE" w:rsidRDefault="007E4DA7" w:rsidP="007E4DA7">
            <w:pPr>
              <w:tabs>
                <w:tab w:val="left" w:pos="-1080"/>
                <w:tab w:val="left" w:pos="-90"/>
                <w:tab w:val="left" w:pos="1440"/>
                <w:tab w:val="left" w:pos="1980"/>
                <w:tab w:val="left" w:pos="3960"/>
                <w:tab w:val="left" w:pos="5760"/>
                <w:tab w:val="left" w:pos="7920"/>
              </w:tabs>
              <w:jc w:val="center"/>
              <w:rPr>
                <w:rFonts w:ascii="Times New Roman" w:hAnsi="Times New Roman"/>
                <w:i/>
                <w:color w:val="000000"/>
                <w:szCs w:val="24"/>
              </w:rPr>
            </w:pPr>
            <w:r w:rsidRPr="00B370BE">
              <w:rPr>
                <w:rFonts w:ascii="Times New Roman" w:hAnsi="Times New Roman"/>
                <w:i/>
                <w:color w:val="000000"/>
                <w:szCs w:val="24"/>
              </w:rPr>
              <w:t>Estimated</w:t>
            </w:r>
          </w:p>
          <w:p w:rsidR="007E4DA7" w:rsidRPr="00B370BE" w:rsidRDefault="007E4DA7" w:rsidP="007E4DA7">
            <w:pPr>
              <w:tabs>
                <w:tab w:val="left" w:pos="-1080"/>
                <w:tab w:val="left" w:pos="-90"/>
                <w:tab w:val="left" w:pos="1440"/>
                <w:tab w:val="left" w:pos="1980"/>
                <w:tab w:val="left" w:pos="3960"/>
                <w:tab w:val="left" w:pos="5760"/>
                <w:tab w:val="left" w:pos="7920"/>
              </w:tabs>
              <w:jc w:val="center"/>
              <w:rPr>
                <w:rFonts w:ascii="Times New Roman" w:hAnsi="Times New Roman"/>
                <w:i/>
                <w:color w:val="000000"/>
                <w:szCs w:val="24"/>
              </w:rPr>
            </w:pPr>
            <w:r w:rsidRPr="00B370BE">
              <w:rPr>
                <w:rFonts w:ascii="Times New Roman" w:hAnsi="Times New Roman"/>
                <w:i/>
                <w:color w:val="000000"/>
                <w:szCs w:val="24"/>
              </w:rPr>
              <w:t>annual</w:t>
            </w:r>
          </w:p>
          <w:p w:rsidR="007E4DA7" w:rsidRPr="00B370BE" w:rsidRDefault="007E4DA7" w:rsidP="007E4DA7">
            <w:pPr>
              <w:tabs>
                <w:tab w:val="left" w:pos="-1080"/>
                <w:tab w:val="left" w:pos="-90"/>
                <w:tab w:val="left" w:pos="1440"/>
                <w:tab w:val="left" w:pos="1980"/>
                <w:tab w:val="left" w:pos="3960"/>
                <w:tab w:val="left" w:pos="5760"/>
                <w:tab w:val="left" w:pos="7920"/>
              </w:tabs>
              <w:jc w:val="center"/>
              <w:rPr>
                <w:rFonts w:ascii="Times New Roman" w:hAnsi="Times New Roman"/>
                <w:i/>
                <w:color w:val="000000"/>
                <w:szCs w:val="24"/>
              </w:rPr>
            </w:pPr>
            <w:r w:rsidRPr="00B370BE">
              <w:rPr>
                <w:rFonts w:ascii="Times New Roman" w:hAnsi="Times New Roman"/>
                <w:i/>
                <w:color w:val="000000"/>
                <w:szCs w:val="24"/>
              </w:rPr>
              <w:t>burden hours</w:t>
            </w:r>
          </w:p>
        </w:tc>
      </w:tr>
      <w:tr w:rsidR="007E4DA7" w:rsidRPr="00B370BE" w:rsidTr="007E4DA7">
        <w:trPr>
          <w:trHeight w:val="396"/>
          <w:jc w:val="center"/>
        </w:trPr>
        <w:tc>
          <w:tcPr>
            <w:tcW w:w="2664" w:type="dxa"/>
            <w:tcBorders>
              <w:top w:val="nil"/>
              <w:bottom w:val="nil"/>
            </w:tcBorders>
            <w:vAlign w:val="center"/>
          </w:tcPr>
          <w:p w:rsidR="007E4DA7" w:rsidRPr="00C56C59" w:rsidRDefault="007E4DA7" w:rsidP="007E4DA7">
            <w:pPr>
              <w:pStyle w:val="Heading7"/>
              <w:tabs>
                <w:tab w:val="left" w:pos="-1080"/>
                <w:tab w:val="left" w:pos="-90"/>
                <w:tab w:val="left" w:pos="1440"/>
                <w:tab w:val="left" w:pos="1980"/>
                <w:tab w:val="left" w:pos="3960"/>
                <w:tab w:val="left" w:pos="5760"/>
                <w:tab w:val="left" w:pos="7920"/>
              </w:tabs>
              <w:ind w:firstLine="0"/>
              <w:jc w:val="left"/>
              <w:rPr>
                <w:szCs w:val="24"/>
                <w:u w:val="single"/>
              </w:rPr>
            </w:pPr>
            <w:r w:rsidRPr="00C56C59">
              <w:rPr>
                <w:szCs w:val="24"/>
                <w:u w:val="single"/>
              </w:rPr>
              <w:t xml:space="preserve">Current </w:t>
            </w:r>
          </w:p>
          <w:p w:rsidR="007E4DA7" w:rsidRPr="00B370BE" w:rsidRDefault="007E4DA7" w:rsidP="007E4DA7">
            <w:pPr>
              <w:pStyle w:val="Heading7"/>
              <w:tabs>
                <w:tab w:val="left" w:pos="-1080"/>
                <w:tab w:val="left" w:pos="-90"/>
                <w:tab w:val="left" w:pos="1440"/>
                <w:tab w:val="left" w:pos="1980"/>
                <w:tab w:val="left" w:pos="3960"/>
                <w:tab w:val="left" w:pos="5760"/>
                <w:tab w:val="left" w:pos="7920"/>
              </w:tabs>
              <w:ind w:firstLine="0"/>
              <w:jc w:val="left"/>
              <w:rPr>
                <w:b/>
                <w:i w:val="0"/>
                <w:szCs w:val="24"/>
              </w:rPr>
            </w:pPr>
            <w:r w:rsidRPr="00B370BE">
              <w:rPr>
                <w:b/>
                <w:i w:val="0"/>
                <w:szCs w:val="24"/>
              </w:rPr>
              <w:t>FRY-8</w:t>
            </w:r>
          </w:p>
        </w:tc>
        <w:tc>
          <w:tcPr>
            <w:tcW w:w="1771" w:type="dxa"/>
            <w:tcBorders>
              <w:top w:val="nil"/>
              <w:bottom w:val="nil"/>
            </w:tcBorders>
            <w:vAlign w:val="bottom"/>
          </w:tcPr>
          <w:p w:rsidR="007E4DA7" w:rsidRPr="00B370BE" w:rsidDel="003044B6" w:rsidRDefault="007E4DA7" w:rsidP="005657E1">
            <w:pPr>
              <w:jc w:val="center"/>
              <w:rPr>
                <w:rFonts w:ascii="Times New Roman" w:hAnsi="Times New Roman"/>
                <w:color w:val="000000"/>
                <w:szCs w:val="24"/>
              </w:rPr>
            </w:pPr>
          </w:p>
        </w:tc>
        <w:tc>
          <w:tcPr>
            <w:tcW w:w="1440" w:type="dxa"/>
            <w:tcBorders>
              <w:top w:val="nil"/>
              <w:bottom w:val="nil"/>
            </w:tcBorders>
            <w:vAlign w:val="bottom"/>
          </w:tcPr>
          <w:p w:rsidR="007E4DA7" w:rsidRPr="00B370BE" w:rsidRDefault="007E4DA7" w:rsidP="005657E1">
            <w:pPr>
              <w:jc w:val="center"/>
              <w:rPr>
                <w:rFonts w:ascii="Times New Roman" w:hAnsi="Times New Roman"/>
                <w:color w:val="000000"/>
                <w:szCs w:val="24"/>
              </w:rPr>
            </w:pPr>
          </w:p>
        </w:tc>
        <w:tc>
          <w:tcPr>
            <w:tcW w:w="1771" w:type="dxa"/>
            <w:tcBorders>
              <w:top w:val="nil"/>
              <w:bottom w:val="nil"/>
            </w:tcBorders>
            <w:vAlign w:val="bottom"/>
          </w:tcPr>
          <w:p w:rsidR="007E4DA7" w:rsidRPr="00B370BE" w:rsidRDefault="007E4DA7" w:rsidP="005657E1">
            <w:pPr>
              <w:jc w:val="center"/>
              <w:rPr>
                <w:rFonts w:ascii="Times New Roman" w:hAnsi="Times New Roman"/>
                <w:color w:val="000000"/>
                <w:szCs w:val="24"/>
              </w:rPr>
            </w:pPr>
          </w:p>
        </w:tc>
        <w:tc>
          <w:tcPr>
            <w:tcW w:w="1771" w:type="dxa"/>
            <w:tcBorders>
              <w:top w:val="nil"/>
              <w:bottom w:val="nil"/>
            </w:tcBorders>
            <w:vAlign w:val="bottom"/>
          </w:tcPr>
          <w:p w:rsidR="007E4DA7" w:rsidRPr="00B370BE" w:rsidDel="003044B6" w:rsidRDefault="007E4DA7" w:rsidP="005657E1">
            <w:pPr>
              <w:jc w:val="center"/>
              <w:rPr>
                <w:rFonts w:ascii="Times New Roman" w:hAnsi="Times New Roman"/>
                <w:color w:val="000000"/>
                <w:szCs w:val="24"/>
              </w:rPr>
            </w:pPr>
          </w:p>
        </w:tc>
      </w:tr>
      <w:tr w:rsidR="007E4DA7" w:rsidRPr="00B370BE" w:rsidTr="007E4DA7">
        <w:trPr>
          <w:trHeight w:val="564"/>
          <w:jc w:val="center"/>
        </w:trPr>
        <w:tc>
          <w:tcPr>
            <w:tcW w:w="2664" w:type="dxa"/>
            <w:tcBorders>
              <w:top w:val="nil"/>
              <w:bottom w:val="nil"/>
            </w:tcBorders>
            <w:vAlign w:val="center"/>
          </w:tcPr>
          <w:p w:rsidR="007E4DA7" w:rsidRPr="00B370BE" w:rsidRDefault="007E4DA7" w:rsidP="007E4DA7">
            <w:pPr>
              <w:pStyle w:val="Heading7"/>
              <w:tabs>
                <w:tab w:val="left" w:pos="-1080"/>
                <w:tab w:val="left" w:pos="-90"/>
                <w:tab w:val="left" w:pos="1440"/>
                <w:tab w:val="left" w:pos="1980"/>
                <w:tab w:val="left" w:pos="3960"/>
                <w:tab w:val="left" w:pos="5760"/>
                <w:tab w:val="left" w:pos="7920"/>
              </w:tabs>
              <w:ind w:firstLine="0"/>
              <w:jc w:val="left"/>
              <w:rPr>
                <w:i w:val="0"/>
                <w:szCs w:val="24"/>
              </w:rPr>
            </w:pPr>
            <w:r w:rsidRPr="00B370BE">
              <w:rPr>
                <w:i w:val="0"/>
                <w:szCs w:val="24"/>
              </w:rPr>
              <w:t>Institutions with covered transactions</w:t>
            </w:r>
          </w:p>
        </w:tc>
        <w:tc>
          <w:tcPr>
            <w:tcW w:w="1771" w:type="dxa"/>
            <w:tcBorders>
              <w:top w:val="nil"/>
              <w:bottom w:val="nil"/>
            </w:tcBorders>
            <w:vAlign w:val="bottom"/>
          </w:tcPr>
          <w:p w:rsidR="007E4DA7" w:rsidRPr="00B370BE" w:rsidRDefault="00AA73A8" w:rsidP="00AA73A8">
            <w:pPr>
              <w:tabs>
                <w:tab w:val="right" w:pos="1037"/>
                <w:tab w:val="right" w:pos="6077"/>
              </w:tabs>
              <w:rPr>
                <w:rFonts w:ascii="Times New Roman" w:hAnsi="Times New Roman"/>
                <w:color w:val="000000"/>
                <w:szCs w:val="24"/>
              </w:rPr>
            </w:pPr>
            <w:r>
              <w:rPr>
                <w:rFonts w:ascii="Times New Roman" w:hAnsi="Times New Roman"/>
                <w:color w:val="000000"/>
                <w:szCs w:val="24"/>
              </w:rPr>
              <w:tab/>
            </w:r>
            <w:r w:rsidR="007E4DA7">
              <w:rPr>
                <w:rFonts w:ascii="Times New Roman" w:hAnsi="Times New Roman"/>
                <w:color w:val="000000"/>
                <w:szCs w:val="24"/>
              </w:rPr>
              <w:t>1,00</w:t>
            </w:r>
            <w:r w:rsidR="00411407">
              <w:rPr>
                <w:rFonts w:ascii="Times New Roman" w:hAnsi="Times New Roman"/>
                <w:color w:val="000000"/>
                <w:szCs w:val="24"/>
              </w:rPr>
              <w:t>3</w:t>
            </w:r>
          </w:p>
        </w:tc>
        <w:tc>
          <w:tcPr>
            <w:tcW w:w="1440" w:type="dxa"/>
            <w:tcBorders>
              <w:top w:val="nil"/>
              <w:bottom w:val="nil"/>
            </w:tcBorders>
            <w:vAlign w:val="bottom"/>
          </w:tcPr>
          <w:p w:rsidR="007E4DA7" w:rsidRPr="00B370BE" w:rsidRDefault="007E4DA7" w:rsidP="00AA73A8">
            <w:pPr>
              <w:tabs>
                <w:tab w:val="right" w:pos="1037"/>
                <w:tab w:val="right" w:pos="6077"/>
              </w:tabs>
              <w:jc w:val="center"/>
              <w:rPr>
                <w:rFonts w:ascii="Times New Roman" w:hAnsi="Times New Roman"/>
                <w:color w:val="000000"/>
                <w:szCs w:val="24"/>
              </w:rPr>
            </w:pPr>
            <w:r w:rsidRPr="00B370BE">
              <w:rPr>
                <w:rFonts w:ascii="Times New Roman" w:hAnsi="Times New Roman"/>
                <w:color w:val="000000"/>
                <w:szCs w:val="24"/>
              </w:rPr>
              <w:t>4</w:t>
            </w:r>
          </w:p>
        </w:tc>
        <w:tc>
          <w:tcPr>
            <w:tcW w:w="1771" w:type="dxa"/>
            <w:tcBorders>
              <w:top w:val="nil"/>
              <w:bottom w:val="nil"/>
            </w:tcBorders>
            <w:vAlign w:val="bottom"/>
          </w:tcPr>
          <w:p w:rsidR="007E4DA7" w:rsidRPr="00B370BE" w:rsidRDefault="007E4DA7" w:rsidP="00AA73A8">
            <w:pPr>
              <w:tabs>
                <w:tab w:val="right" w:pos="1037"/>
                <w:tab w:val="right" w:pos="6077"/>
              </w:tabs>
              <w:jc w:val="center"/>
              <w:rPr>
                <w:rFonts w:ascii="Times New Roman" w:hAnsi="Times New Roman"/>
                <w:color w:val="000000"/>
                <w:szCs w:val="24"/>
              </w:rPr>
            </w:pPr>
            <w:r w:rsidRPr="00B370BE">
              <w:rPr>
                <w:rFonts w:ascii="Times New Roman" w:hAnsi="Times New Roman"/>
                <w:color w:val="000000"/>
                <w:szCs w:val="24"/>
              </w:rPr>
              <w:t>7.8</w:t>
            </w:r>
          </w:p>
        </w:tc>
        <w:tc>
          <w:tcPr>
            <w:tcW w:w="1771" w:type="dxa"/>
            <w:tcBorders>
              <w:top w:val="nil"/>
              <w:bottom w:val="nil"/>
            </w:tcBorders>
            <w:vAlign w:val="bottom"/>
          </w:tcPr>
          <w:p w:rsidR="007E4DA7" w:rsidRPr="00B370BE" w:rsidRDefault="00AA73A8" w:rsidP="00AA73A8">
            <w:pPr>
              <w:tabs>
                <w:tab w:val="right" w:pos="1037"/>
                <w:tab w:val="right" w:pos="6077"/>
              </w:tabs>
              <w:rPr>
                <w:rFonts w:ascii="Times New Roman" w:hAnsi="Times New Roman"/>
                <w:color w:val="000000"/>
                <w:szCs w:val="24"/>
              </w:rPr>
            </w:pPr>
            <w:r>
              <w:rPr>
                <w:rFonts w:ascii="Times New Roman" w:hAnsi="Times New Roman"/>
                <w:color w:val="000000"/>
                <w:szCs w:val="24"/>
              </w:rPr>
              <w:tab/>
            </w:r>
            <w:r w:rsidR="007E4DA7">
              <w:rPr>
                <w:rFonts w:ascii="Times New Roman" w:hAnsi="Times New Roman"/>
                <w:color w:val="000000"/>
                <w:szCs w:val="24"/>
              </w:rPr>
              <w:t>31,2</w:t>
            </w:r>
            <w:r w:rsidR="00411407">
              <w:rPr>
                <w:rFonts w:ascii="Times New Roman" w:hAnsi="Times New Roman"/>
                <w:color w:val="000000"/>
                <w:szCs w:val="24"/>
              </w:rPr>
              <w:t>94</w:t>
            </w:r>
          </w:p>
        </w:tc>
      </w:tr>
      <w:tr w:rsidR="007E4DA7" w:rsidRPr="00B370BE" w:rsidTr="007E4DA7">
        <w:trPr>
          <w:trHeight w:val="564"/>
          <w:jc w:val="center"/>
        </w:trPr>
        <w:tc>
          <w:tcPr>
            <w:tcW w:w="2664" w:type="dxa"/>
            <w:tcBorders>
              <w:top w:val="nil"/>
            </w:tcBorders>
            <w:vAlign w:val="center"/>
          </w:tcPr>
          <w:p w:rsidR="007E4DA7" w:rsidRPr="00B370BE" w:rsidRDefault="007E4DA7" w:rsidP="007E4DA7">
            <w:pPr>
              <w:pStyle w:val="Heading7"/>
              <w:tabs>
                <w:tab w:val="left" w:pos="-1080"/>
                <w:tab w:val="left" w:pos="-90"/>
                <w:tab w:val="left" w:pos="1440"/>
                <w:tab w:val="left" w:pos="1980"/>
                <w:tab w:val="left" w:pos="3960"/>
                <w:tab w:val="left" w:pos="5760"/>
                <w:tab w:val="left" w:pos="7920"/>
              </w:tabs>
              <w:ind w:firstLine="0"/>
              <w:jc w:val="left"/>
              <w:rPr>
                <w:i w:val="0"/>
                <w:szCs w:val="24"/>
              </w:rPr>
            </w:pPr>
            <w:r w:rsidRPr="00B370BE">
              <w:rPr>
                <w:i w:val="0"/>
                <w:szCs w:val="24"/>
              </w:rPr>
              <w:t>Institutions without covered transactions</w:t>
            </w:r>
          </w:p>
        </w:tc>
        <w:tc>
          <w:tcPr>
            <w:tcW w:w="1771" w:type="dxa"/>
            <w:tcBorders>
              <w:top w:val="nil"/>
            </w:tcBorders>
            <w:vAlign w:val="bottom"/>
          </w:tcPr>
          <w:p w:rsidR="007E4DA7" w:rsidRPr="00B370BE" w:rsidRDefault="00AA73A8" w:rsidP="00AA73A8">
            <w:pPr>
              <w:tabs>
                <w:tab w:val="right" w:pos="1037"/>
                <w:tab w:val="right" w:pos="6077"/>
              </w:tabs>
              <w:rPr>
                <w:rFonts w:ascii="Times New Roman" w:hAnsi="Times New Roman"/>
                <w:color w:val="000000"/>
                <w:szCs w:val="24"/>
                <w:u w:val="single"/>
              </w:rPr>
            </w:pPr>
            <w:r>
              <w:rPr>
                <w:rFonts w:ascii="Times New Roman" w:hAnsi="Times New Roman"/>
                <w:color w:val="000000"/>
                <w:szCs w:val="24"/>
              </w:rPr>
              <w:tab/>
            </w:r>
            <w:r w:rsidR="007E4DA7">
              <w:rPr>
                <w:rFonts w:ascii="Times New Roman" w:hAnsi="Times New Roman"/>
                <w:color w:val="000000"/>
                <w:szCs w:val="24"/>
                <w:u w:val="single"/>
              </w:rPr>
              <w:t>4,55</w:t>
            </w:r>
            <w:r w:rsidR="00411407">
              <w:rPr>
                <w:rFonts w:ascii="Times New Roman" w:hAnsi="Times New Roman"/>
                <w:color w:val="000000"/>
                <w:szCs w:val="24"/>
                <w:u w:val="single"/>
              </w:rPr>
              <w:t>1</w:t>
            </w:r>
          </w:p>
        </w:tc>
        <w:tc>
          <w:tcPr>
            <w:tcW w:w="1440" w:type="dxa"/>
            <w:tcBorders>
              <w:top w:val="nil"/>
            </w:tcBorders>
            <w:vAlign w:val="bottom"/>
          </w:tcPr>
          <w:p w:rsidR="007E4DA7" w:rsidRPr="00B370BE" w:rsidRDefault="007E4DA7" w:rsidP="00AA73A8">
            <w:pPr>
              <w:tabs>
                <w:tab w:val="right" w:pos="1037"/>
                <w:tab w:val="right" w:pos="6077"/>
              </w:tabs>
              <w:jc w:val="center"/>
              <w:rPr>
                <w:rFonts w:ascii="Times New Roman" w:hAnsi="Times New Roman"/>
                <w:color w:val="000000"/>
                <w:szCs w:val="24"/>
              </w:rPr>
            </w:pPr>
            <w:r w:rsidRPr="00B370BE">
              <w:rPr>
                <w:rFonts w:ascii="Times New Roman" w:hAnsi="Times New Roman"/>
                <w:color w:val="000000"/>
                <w:szCs w:val="24"/>
              </w:rPr>
              <w:t>4</w:t>
            </w:r>
          </w:p>
        </w:tc>
        <w:tc>
          <w:tcPr>
            <w:tcW w:w="1771" w:type="dxa"/>
            <w:tcBorders>
              <w:top w:val="nil"/>
            </w:tcBorders>
            <w:vAlign w:val="bottom"/>
          </w:tcPr>
          <w:p w:rsidR="007E4DA7" w:rsidRPr="00B370BE" w:rsidRDefault="007E4DA7" w:rsidP="00AA73A8">
            <w:pPr>
              <w:tabs>
                <w:tab w:val="right" w:pos="1037"/>
                <w:tab w:val="right" w:pos="6077"/>
              </w:tabs>
              <w:jc w:val="center"/>
              <w:rPr>
                <w:rFonts w:ascii="Times New Roman" w:hAnsi="Times New Roman"/>
                <w:color w:val="000000"/>
                <w:szCs w:val="24"/>
              </w:rPr>
            </w:pPr>
            <w:r w:rsidRPr="00B370BE">
              <w:rPr>
                <w:rFonts w:ascii="Times New Roman" w:hAnsi="Times New Roman"/>
                <w:color w:val="000000"/>
                <w:szCs w:val="24"/>
              </w:rPr>
              <w:t>1.0</w:t>
            </w:r>
          </w:p>
        </w:tc>
        <w:tc>
          <w:tcPr>
            <w:tcW w:w="1771" w:type="dxa"/>
            <w:tcBorders>
              <w:top w:val="nil"/>
            </w:tcBorders>
            <w:vAlign w:val="bottom"/>
          </w:tcPr>
          <w:p w:rsidR="007E4DA7" w:rsidRPr="00B370BE" w:rsidRDefault="00AA73A8" w:rsidP="00AA73A8">
            <w:pPr>
              <w:tabs>
                <w:tab w:val="right" w:pos="1037"/>
                <w:tab w:val="right" w:pos="6077"/>
              </w:tabs>
              <w:rPr>
                <w:rFonts w:ascii="Times New Roman" w:hAnsi="Times New Roman"/>
                <w:color w:val="000000"/>
                <w:szCs w:val="24"/>
                <w:u w:val="single"/>
              </w:rPr>
            </w:pPr>
            <w:r>
              <w:rPr>
                <w:rFonts w:ascii="Times New Roman" w:hAnsi="Times New Roman"/>
                <w:color w:val="000000"/>
                <w:szCs w:val="24"/>
              </w:rPr>
              <w:tab/>
            </w:r>
            <w:r w:rsidR="007E4DA7">
              <w:rPr>
                <w:rFonts w:ascii="Times New Roman" w:hAnsi="Times New Roman"/>
                <w:color w:val="000000"/>
                <w:szCs w:val="24"/>
                <w:u w:val="single"/>
              </w:rPr>
              <w:t>18,2</w:t>
            </w:r>
            <w:r w:rsidR="00411407">
              <w:rPr>
                <w:rFonts w:ascii="Times New Roman" w:hAnsi="Times New Roman"/>
                <w:color w:val="000000"/>
                <w:szCs w:val="24"/>
                <w:u w:val="single"/>
              </w:rPr>
              <w:t>0</w:t>
            </w:r>
            <w:r w:rsidR="007E4DA7">
              <w:rPr>
                <w:rFonts w:ascii="Times New Roman" w:hAnsi="Times New Roman"/>
                <w:color w:val="000000"/>
                <w:szCs w:val="24"/>
                <w:u w:val="single"/>
              </w:rPr>
              <w:t>4</w:t>
            </w:r>
          </w:p>
        </w:tc>
      </w:tr>
      <w:tr w:rsidR="007E4DA7" w:rsidRPr="00B370BE" w:rsidTr="007E4DA7">
        <w:trPr>
          <w:trHeight w:val="564"/>
          <w:jc w:val="center"/>
        </w:trPr>
        <w:tc>
          <w:tcPr>
            <w:tcW w:w="2664" w:type="dxa"/>
            <w:vAlign w:val="center"/>
          </w:tcPr>
          <w:p w:rsidR="007E4DA7" w:rsidRPr="00745392" w:rsidRDefault="007E4DA7" w:rsidP="007E4DA7">
            <w:pPr>
              <w:pStyle w:val="Heading7"/>
              <w:tabs>
                <w:tab w:val="left" w:pos="-1080"/>
                <w:tab w:val="left" w:pos="-90"/>
                <w:tab w:val="left" w:pos="1440"/>
                <w:tab w:val="left" w:pos="1980"/>
                <w:tab w:val="left" w:pos="3960"/>
                <w:tab w:val="left" w:pos="5760"/>
                <w:tab w:val="left" w:pos="7920"/>
              </w:tabs>
              <w:jc w:val="right"/>
              <w:rPr>
                <w:szCs w:val="24"/>
              </w:rPr>
            </w:pPr>
            <w:r w:rsidRPr="00745392">
              <w:rPr>
                <w:szCs w:val="24"/>
              </w:rPr>
              <w:t>Total</w:t>
            </w:r>
          </w:p>
        </w:tc>
        <w:tc>
          <w:tcPr>
            <w:tcW w:w="1771" w:type="dxa"/>
            <w:vAlign w:val="center"/>
          </w:tcPr>
          <w:p w:rsidR="007E4DA7" w:rsidRPr="00B370BE" w:rsidRDefault="00AA73A8" w:rsidP="00AA73A8">
            <w:pPr>
              <w:tabs>
                <w:tab w:val="right" w:pos="1037"/>
                <w:tab w:val="right" w:pos="6077"/>
              </w:tabs>
              <w:rPr>
                <w:rFonts w:ascii="Times New Roman" w:hAnsi="Times New Roman"/>
                <w:color w:val="000000"/>
                <w:szCs w:val="24"/>
              </w:rPr>
            </w:pPr>
            <w:r>
              <w:rPr>
                <w:rFonts w:ascii="Times New Roman" w:hAnsi="Times New Roman"/>
                <w:color w:val="000000"/>
                <w:szCs w:val="24"/>
              </w:rPr>
              <w:tab/>
            </w:r>
            <w:r w:rsidR="007E4DA7">
              <w:rPr>
                <w:rFonts w:ascii="Times New Roman" w:hAnsi="Times New Roman"/>
                <w:color w:val="000000"/>
                <w:szCs w:val="24"/>
              </w:rPr>
              <w:t>5,55</w:t>
            </w:r>
            <w:r w:rsidR="00411407">
              <w:rPr>
                <w:rFonts w:ascii="Times New Roman" w:hAnsi="Times New Roman"/>
                <w:color w:val="000000"/>
                <w:szCs w:val="24"/>
              </w:rPr>
              <w:t>4</w:t>
            </w:r>
          </w:p>
        </w:tc>
        <w:tc>
          <w:tcPr>
            <w:tcW w:w="1440" w:type="dxa"/>
            <w:vAlign w:val="center"/>
          </w:tcPr>
          <w:p w:rsidR="007E4DA7" w:rsidRPr="00B370BE" w:rsidRDefault="007E4DA7" w:rsidP="00AA73A8">
            <w:pPr>
              <w:tabs>
                <w:tab w:val="right" w:pos="1037"/>
                <w:tab w:val="right" w:pos="6077"/>
              </w:tabs>
              <w:jc w:val="center"/>
              <w:rPr>
                <w:rFonts w:ascii="Times New Roman" w:hAnsi="Times New Roman"/>
                <w:color w:val="000000"/>
                <w:szCs w:val="24"/>
              </w:rPr>
            </w:pPr>
          </w:p>
        </w:tc>
        <w:tc>
          <w:tcPr>
            <w:tcW w:w="1771" w:type="dxa"/>
            <w:vAlign w:val="center"/>
          </w:tcPr>
          <w:p w:rsidR="007E4DA7" w:rsidRPr="00B370BE" w:rsidRDefault="007E4DA7" w:rsidP="00AA73A8">
            <w:pPr>
              <w:tabs>
                <w:tab w:val="right" w:pos="1037"/>
                <w:tab w:val="right" w:pos="6077"/>
              </w:tabs>
              <w:jc w:val="center"/>
              <w:rPr>
                <w:rFonts w:ascii="Times New Roman" w:hAnsi="Times New Roman"/>
                <w:color w:val="000000"/>
                <w:szCs w:val="24"/>
              </w:rPr>
            </w:pPr>
          </w:p>
        </w:tc>
        <w:tc>
          <w:tcPr>
            <w:tcW w:w="1771" w:type="dxa"/>
            <w:vAlign w:val="center"/>
          </w:tcPr>
          <w:p w:rsidR="007E4DA7" w:rsidRPr="00B370BE" w:rsidRDefault="00AA73A8" w:rsidP="00AA73A8">
            <w:pPr>
              <w:tabs>
                <w:tab w:val="right" w:pos="1037"/>
                <w:tab w:val="right" w:pos="6077"/>
              </w:tabs>
              <w:rPr>
                <w:rFonts w:ascii="Times New Roman" w:hAnsi="Times New Roman"/>
                <w:color w:val="000000"/>
                <w:szCs w:val="24"/>
              </w:rPr>
            </w:pPr>
            <w:r>
              <w:rPr>
                <w:rFonts w:ascii="Times New Roman" w:hAnsi="Times New Roman"/>
                <w:color w:val="000000"/>
                <w:szCs w:val="24"/>
              </w:rPr>
              <w:tab/>
            </w:r>
            <w:r w:rsidR="007E4DA7">
              <w:rPr>
                <w:rFonts w:ascii="Times New Roman" w:hAnsi="Times New Roman"/>
                <w:color w:val="000000"/>
                <w:szCs w:val="24"/>
              </w:rPr>
              <w:t>49,4</w:t>
            </w:r>
            <w:r w:rsidR="00411407">
              <w:rPr>
                <w:rFonts w:ascii="Times New Roman" w:hAnsi="Times New Roman"/>
                <w:color w:val="000000"/>
                <w:szCs w:val="24"/>
              </w:rPr>
              <w:t>9</w:t>
            </w:r>
            <w:r w:rsidR="007E4DA7">
              <w:rPr>
                <w:rFonts w:ascii="Times New Roman" w:hAnsi="Times New Roman"/>
                <w:color w:val="000000"/>
                <w:szCs w:val="24"/>
              </w:rPr>
              <w:t>8</w:t>
            </w:r>
          </w:p>
        </w:tc>
      </w:tr>
      <w:tr w:rsidR="007E4DA7" w:rsidRPr="00B370BE" w:rsidTr="007E4DA7">
        <w:trPr>
          <w:trHeight w:val="564"/>
          <w:jc w:val="center"/>
        </w:trPr>
        <w:tc>
          <w:tcPr>
            <w:tcW w:w="2664" w:type="dxa"/>
            <w:vAlign w:val="center"/>
          </w:tcPr>
          <w:p w:rsidR="007E4DA7" w:rsidRPr="00C56C59" w:rsidRDefault="007E4DA7" w:rsidP="007E4DA7">
            <w:pPr>
              <w:pStyle w:val="Heading7"/>
              <w:tabs>
                <w:tab w:val="left" w:pos="-1080"/>
                <w:tab w:val="left" w:pos="-90"/>
                <w:tab w:val="left" w:pos="1440"/>
                <w:tab w:val="left" w:pos="1980"/>
                <w:tab w:val="left" w:pos="3960"/>
                <w:tab w:val="left" w:pos="5760"/>
                <w:tab w:val="left" w:pos="7920"/>
              </w:tabs>
              <w:ind w:firstLine="0"/>
              <w:jc w:val="left"/>
              <w:rPr>
                <w:szCs w:val="24"/>
                <w:u w:val="single"/>
              </w:rPr>
            </w:pPr>
            <w:r w:rsidRPr="00C56C59">
              <w:rPr>
                <w:szCs w:val="24"/>
                <w:u w:val="single"/>
              </w:rPr>
              <w:t xml:space="preserve">Proposed </w:t>
            </w:r>
          </w:p>
          <w:p w:rsidR="007E4DA7" w:rsidRPr="00B370BE" w:rsidRDefault="007E4DA7" w:rsidP="007E4DA7">
            <w:pPr>
              <w:pStyle w:val="Heading7"/>
              <w:tabs>
                <w:tab w:val="left" w:pos="-1080"/>
                <w:tab w:val="left" w:pos="-90"/>
                <w:tab w:val="left" w:pos="1440"/>
                <w:tab w:val="left" w:pos="1980"/>
                <w:tab w:val="left" w:pos="3960"/>
                <w:tab w:val="left" w:pos="5760"/>
                <w:tab w:val="left" w:pos="7920"/>
              </w:tabs>
              <w:ind w:firstLine="0"/>
              <w:jc w:val="left"/>
              <w:rPr>
                <w:b/>
                <w:i w:val="0"/>
                <w:szCs w:val="24"/>
              </w:rPr>
            </w:pPr>
            <w:r w:rsidRPr="00B370BE">
              <w:rPr>
                <w:b/>
                <w:i w:val="0"/>
                <w:szCs w:val="24"/>
              </w:rPr>
              <w:t>FR Y-8</w:t>
            </w:r>
          </w:p>
          <w:p w:rsidR="007E4DA7" w:rsidRPr="00B370BE" w:rsidRDefault="007E4DA7" w:rsidP="007E4DA7">
            <w:pPr>
              <w:pStyle w:val="Heading7"/>
              <w:tabs>
                <w:tab w:val="left" w:pos="-1080"/>
                <w:tab w:val="left" w:pos="-90"/>
                <w:tab w:val="left" w:pos="1440"/>
                <w:tab w:val="left" w:pos="1980"/>
                <w:tab w:val="left" w:pos="3960"/>
                <w:tab w:val="left" w:pos="5760"/>
                <w:tab w:val="left" w:pos="7920"/>
              </w:tabs>
              <w:ind w:firstLine="0"/>
              <w:jc w:val="left"/>
              <w:rPr>
                <w:i w:val="0"/>
                <w:szCs w:val="24"/>
              </w:rPr>
            </w:pPr>
            <w:r w:rsidRPr="00B370BE">
              <w:rPr>
                <w:i w:val="0"/>
                <w:szCs w:val="24"/>
              </w:rPr>
              <w:t>Institutions with covered transactions</w:t>
            </w:r>
          </w:p>
        </w:tc>
        <w:tc>
          <w:tcPr>
            <w:tcW w:w="1771" w:type="dxa"/>
            <w:vAlign w:val="bottom"/>
          </w:tcPr>
          <w:p w:rsidR="007E4DA7" w:rsidRPr="00B370BE" w:rsidRDefault="00AA73A8" w:rsidP="00AA73A8">
            <w:pPr>
              <w:tabs>
                <w:tab w:val="right" w:pos="1037"/>
                <w:tab w:val="right" w:pos="6077"/>
              </w:tabs>
              <w:rPr>
                <w:rFonts w:ascii="Times New Roman" w:hAnsi="Times New Roman"/>
                <w:color w:val="000000"/>
                <w:szCs w:val="24"/>
              </w:rPr>
            </w:pPr>
            <w:r>
              <w:rPr>
                <w:rFonts w:ascii="Times New Roman" w:hAnsi="Times New Roman"/>
                <w:color w:val="000000"/>
                <w:szCs w:val="24"/>
              </w:rPr>
              <w:tab/>
            </w:r>
            <w:r w:rsidR="007E4DA7">
              <w:rPr>
                <w:rFonts w:ascii="Times New Roman" w:hAnsi="Times New Roman"/>
                <w:color w:val="000000"/>
                <w:szCs w:val="24"/>
              </w:rPr>
              <w:t>1,134</w:t>
            </w:r>
          </w:p>
        </w:tc>
        <w:tc>
          <w:tcPr>
            <w:tcW w:w="1440" w:type="dxa"/>
            <w:vAlign w:val="bottom"/>
          </w:tcPr>
          <w:p w:rsidR="007E4DA7" w:rsidRPr="00B370BE" w:rsidRDefault="007E4DA7" w:rsidP="00AA73A8">
            <w:pPr>
              <w:tabs>
                <w:tab w:val="right" w:pos="1037"/>
                <w:tab w:val="right" w:pos="6077"/>
              </w:tabs>
              <w:jc w:val="center"/>
              <w:rPr>
                <w:rFonts w:ascii="Times New Roman" w:hAnsi="Times New Roman"/>
                <w:color w:val="000000"/>
                <w:szCs w:val="24"/>
              </w:rPr>
            </w:pPr>
            <w:r w:rsidRPr="00B370BE">
              <w:rPr>
                <w:rFonts w:ascii="Times New Roman" w:hAnsi="Times New Roman"/>
                <w:color w:val="000000"/>
                <w:szCs w:val="24"/>
              </w:rPr>
              <w:t>4</w:t>
            </w:r>
          </w:p>
        </w:tc>
        <w:tc>
          <w:tcPr>
            <w:tcW w:w="1771" w:type="dxa"/>
            <w:vAlign w:val="bottom"/>
          </w:tcPr>
          <w:p w:rsidR="007E4DA7" w:rsidRPr="00B370BE" w:rsidRDefault="007E4DA7" w:rsidP="00AA73A8">
            <w:pPr>
              <w:tabs>
                <w:tab w:val="right" w:pos="1037"/>
                <w:tab w:val="right" w:pos="6077"/>
              </w:tabs>
              <w:jc w:val="center"/>
              <w:rPr>
                <w:rFonts w:ascii="Times New Roman" w:hAnsi="Times New Roman"/>
                <w:color w:val="000000"/>
                <w:szCs w:val="24"/>
              </w:rPr>
            </w:pPr>
            <w:r w:rsidRPr="00B370BE">
              <w:rPr>
                <w:rFonts w:ascii="Times New Roman" w:hAnsi="Times New Roman"/>
                <w:color w:val="000000"/>
                <w:szCs w:val="24"/>
              </w:rPr>
              <w:t>7.8</w:t>
            </w:r>
          </w:p>
        </w:tc>
        <w:tc>
          <w:tcPr>
            <w:tcW w:w="1771" w:type="dxa"/>
            <w:vAlign w:val="bottom"/>
          </w:tcPr>
          <w:p w:rsidR="007E4DA7" w:rsidRPr="00B370BE" w:rsidRDefault="00AA73A8" w:rsidP="00AA73A8">
            <w:pPr>
              <w:tabs>
                <w:tab w:val="right" w:pos="1037"/>
                <w:tab w:val="right" w:pos="6077"/>
              </w:tabs>
              <w:rPr>
                <w:rFonts w:ascii="Times New Roman" w:hAnsi="Times New Roman"/>
                <w:color w:val="000000"/>
                <w:szCs w:val="24"/>
              </w:rPr>
            </w:pPr>
            <w:r>
              <w:rPr>
                <w:rFonts w:ascii="Times New Roman" w:hAnsi="Times New Roman"/>
                <w:color w:val="000000"/>
                <w:szCs w:val="24"/>
              </w:rPr>
              <w:tab/>
            </w:r>
            <w:r w:rsidR="007E4DA7">
              <w:rPr>
                <w:rFonts w:ascii="Times New Roman" w:hAnsi="Times New Roman"/>
                <w:color w:val="000000"/>
                <w:szCs w:val="24"/>
              </w:rPr>
              <w:t>35,381</w:t>
            </w:r>
          </w:p>
        </w:tc>
      </w:tr>
      <w:tr w:rsidR="007E4DA7" w:rsidRPr="00B370BE" w:rsidTr="007E4DA7">
        <w:trPr>
          <w:trHeight w:val="564"/>
          <w:jc w:val="center"/>
        </w:trPr>
        <w:tc>
          <w:tcPr>
            <w:tcW w:w="2664" w:type="dxa"/>
            <w:vAlign w:val="center"/>
          </w:tcPr>
          <w:p w:rsidR="007E4DA7" w:rsidRPr="00B370BE" w:rsidRDefault="007E4DA7" w:rsidP="007E4DA7">
            <w:pPr>
              <w:pStyle w:val="Heading7"/>
              <w:tabs>
                <w:tab w:val="left" w:pos="-1080"/>
                <w:tab w:val="left" w:pos="-90"/>
                <w:tab w:val="left" w:pos="1440"/>
                <w:tab w:val="left" w:pos="1980"/>
                <w:tab w:val="left" w:pos="3960"/>
                <w:tab w:val="left" w:pos="5760"/>
                <w:tab w:val="left" w:pos="7920"/>
              </w:tabs>
              <w:ind w:firstLine="0"/>
              <w:jc w:val="left"/>
              <w:rPr>
                <w:i w:val="0"/>
                <w:szCs w:val="24"/>
              </w:rPr>
            </w:pPr>
            <w:r w:rsidRPr="00B370BE">
              <w:rPr>
                <w:i w:val="0"/>
                <w:szCs w:val="24"/>
              </w:rPr>
              <w:t>Institutions without covered transactions</w:t>
            </w:r>
          </w:p>
        </w:tc>
        <w:tc>
          <w:tcPr>
            <w:tcW w:w="1771" w:type="dxa"/>
            <w:vAlign w:val="bottom"/>
          </w:tcPr>
          <w:p w:rsidR="007E4DA7" w:rsidRPr="00B370BE" w:rsidRDefault="00AA73A8" w:rsidP="00AA73A8">
            <w:pPr>
              <w:tabs>
                <w:tab w:val="right" w:pos="1037"/>
                <w:tab w:val="right" w:pos="6077"/>
              </w:tabs>
              <w:rPr>
                <w:rFonts w:ascii="Times New Roman" w:hAnsi="Times New Roman"/>
                <w:color w:val="000000"/>
                <w:szCs w:val="24"/>
                <w:u w:val="single"/>
              </w:rPr>
            </w:pPr>
            <w:r>
              <w:rPr>
                <w:rFonts w:ascii="Times New Roman" w:hAnsi="Times New Roman"/>
                <w:color w:val="000000"/>
                <w:szCs w:val="24"/>
              </w:rPr>
              <w:tab/>
            </w:r>
            <w:r w:rsidR="007E4DA7">
              <w:rPr>
                <w:rFonts w:ascii="Times New Roman" w:hAnsi="Times New Roman"/>
                <w:color w:val="000000"/>
                <w:szCs w:val="24"/>
                <w:u w:val="single"/>
              </w:rPr>
              <w:t>5,155</w:t>
            </w:r>
          </w:p>
        </w:tc>
        <w:tc>
          <w:tcPr>
            <w:tcW w:w="1440" w:type="dxa"/>
            <w:vAlign w:val="bottom"/>
          </w:tcPr>
          <w:p w:rsidR="007E4DA7" w:rsidRPr="00B370BE" w:rsidRDefault="007E4DA7" w:rsidP="00AA73A8">
            <w:pPr>
              <w:tabs>
                <w:tab w:val="right" w:pos="1037"/>
                <w:tab w:val="right" w:pos="6077"/>
              </w:tabs>
              <w:jc w:val="center"/>
              <w:rPr>
                <w:rFonts w:ascii="Times New Roman" w:hAnsi="Times New Roman"/>
                <w:color w:val="000000"/>
                <w:szCs w:val="24"/>
              </w:rPr>
            </w:pPr>
            <w:r w:rsidRPr="00B370BE">
              <w:rPr>
                <w:rFonts w:ascii="Times New Roman" w:hAnsi="Times New Roman"/>
                <w:color w:val="000000"/>
                <w:szCs w:val="24"/>
              </w:rPr>
              <w:t>4</w:t>
            </w:r>
          </w:p>
        </w:tc>
        <w:tc>
          <w:tcPr>
            <w:tcW w:w="1771" w:type="dxa"/>
            <w:vAlign w:val="bottom"/>
          </w:tcPr>
          <w:p w:rsidR="007E4DA7" w:rsidRPr="00B370BE" w:rsidRDefault="007E4DA7" w:rsidP="00AA73A8">
            <w:pPr>
              <w:tabs>
                <w:tab w:val="right" w:pos="1037"/>
                <w:tab w:val="right" w:pos="6077"/>
              </w:tabs>
              <w:jc w:val="center"/>
              <w:rPr>
                <w:rFonts w:ascii="Times New Roman" w:hAnsi="Times New Roman"/>
                <w:color w:val="000000"/>
                <w:szCs w:val="24"/>
              </w:rPr>
            </w:pPr>
            <w:r w:rsidRPr="00B370BE">
              <w:rPr>
                <w:rFonts w:ascii="Times New Roman" w:hAnsi="Times New Roman"/>
                <w:color w:val="000000"/>
                <w:szCs w:val="24"/>
              </w:rPr>
              <w:t>1.0</w:t>
            </w:r>
          </w:p>
        </w:tc>
        <w:tc>
          <w:tcPr>
            <w:tcW w:w="1771" w:type="dxa"/>
            <w:vAlign w:val="bottom"/>
          </w:tcPr>
          <w:p w:rsidR="007E4DA7" w:rsidRPr="00B370BE" w:rsidRDefault="00AA73A8" w:rsidP="00AA73A8">
            <w:pPr>
              <w:tabs>
                <w:tab w:val="right" w:pos="1037"/>
                <w:tab w:val="right" w:pos="6077"/>
              </w:tabs>
              <w:rPr>
                <w:rFonts w:ascii="Times New Roman" w:hAnsi="Times New Roman"/>
                <w:color w:val="000000"/>
                <w:szCs w:val="24"/>
                <w:u w:val="single"/>
              </w:rPr>
            </w:pPr>
            <w:r>
              <w:rPr>
                <w:rFonts w:ascii="Times New Roman" w:hAnsi="Times New Roman"/>
                <w:color w:val="000000"/>
                <w:szCs w:val="24"/>
              </w:rPr>
              <w:tab/>
            </w:r>
            <w:r w:rsidR="007E4DA7">
              <w:rPr>
                <w:rFonts w:ascii="Times New Roman" w:hAnsi="Times New Roman"/>
                <w:color w:val="000000"/>
                <w:szCs w:val="24"/>
                <w:u w:val="single"/>
              </w:rPr>
              <w:t>20,620</w:t>
            </w:r>
          </w:p>
        </w:tc>
      </w:tr>
      <w:tr w:rsidR="007E4DA7" w:rsidRPr="00B370BE" w:rsidTr="007E4DA7">
        <w:trPr>
          <w:trHeight w:val="564"/>
          <w:jc w:val="center"/>
        </w:trPr>
        <w:tc>
          <w:tcPr>
            <w:tcW w:w="2664" w:type="dxa"/>
            <w:vAlign w:val="center"/>
          </w:tcPr>
          <w:p w:rsidR="007E4DA7" w:rsidRPr="00745392" w:rsidRDefault="007E4DA7" w:rsidP="007E4DA7">
            <w:pPr>
              <w:pStyle w:val="Heading7"/>
              <w:tabs>
                <w:tab w:val="left" w:pos="-1080"/>
                <w:tab w:val="left" w:pos="-90"/>
                <w:tab w:val="left" w:pos="1440"/>
                <w:tab w:val="left" w:pos="1980"/>
                <w:tab w:val="left" w:pos="3960"/>
                <w:tab w:val="left" w:pos="5760"/>
                <w:tab w:val="left" w:pos="7920"/>
              </w:tabs>
              <w:jc w:val="right"/>
              <w:rPr>
                <w:szCs w:val="24"/>
              </w:rPr>
            </w:pPr>
            <w:r w:rsidRPr="00745392">
              <w:rPr>
                <w:szCs w:val="24"/>
              </w:rPr>
              <w:t>Total</w:t>
            </w:r>
          </w:p>
        </w:tc>
        <w:tc>
          <w:tcPr>
            <w:tcW w:w="1771" w:type="dxa"/>
            <w:vAlign w:val="center"/>
          </w:tcPr>
          <w:p w:rsidR="007E4DA7" w:rsidRPr="00B370BE" w:rsidRDefault="00AA73A8" w:rsidP="00AA73A8">
            <w:pPr>
              <w:tabs>
                <w:tab w:val="right" w:pos="1037"/>
                <w:tab w:val="right" w:pos="6077"/>
              </w:tabs>
              <w:rPr>
                <w:rFonts w:ascii="Times New Roman" w:hAnsi="Times New Roman"/>
                <w:color w:val="000000"/>
                <w:szCs w:val="24"/>
              </w:rPr>
            </w:pPr>
            <w:r>
              <w:rPr>
                <w:rFonts w:ascii="Times New Roman" w:hAnsi="Times New Roman"/>
                <w:color w:val="000000"/>
                <w:szCs w:val="24"/>
              </w:rPr>
              <w:tab/>
            </w:r>
            <w:r w:rsidR="007E4DA7">
              <w:rPr>
                <w:rFonts w:ascii="Times New Roman" w:hAnsi="Times New Roman"/>
                <w:color w:val="000000"/>
                <w:szCs w:val="24"/>
              </w:rPr>
              <w:t>6,289</w:t>
            </w:r>
          </w:p>
        </w:tc>
        <w:tc>
          <w:tcPr>
            <w:tcW w:w="1440" w:type="dxa"/>
            <w:vAlign w:val="center"/>
          </w:tcPr>
          <w:p w:rsidR="007E4DA7" w:rsidRPr="00B370BE" w:rsidRDefault="007E4DA7" w:rsidP="00AA73A8">
            <w:pPr>
              <w:tabs>
                <w:tab w:val="right" w:pos="1037"/>
                <w:tab w:val="right" w:pos="6077"/>
              </w:tabs>
              <w:rPr>
                <w:rFonts w:ascii="Times New Roman" w:hAnsi="Times New Roman"/>
                <w:color w:val="000000"/>
                <w:szCs w:val="24"/>
              </w:rPr>
            </w:pPr>
          </w:p>
        </w:tc>
        <w:tc>
          <w:tcPr>
            <w:tcW w:w="1771" w:type="dxa"/>
            <w:vAlign w:val="center"/>
          </w:tcPr>
          <w:p w:rsidR="007E4DA7" w:rsidRPr="00B370BE" w:rsidRDefault="007E4DA7" w:rsidP="00AA73A8">
            <w:pPr>
              <w:tabs>
                <w:tab w:val="right" w:pos="1037"/>
                <w:tab w:val="right" w:pos="6077"/>
              </w:tabs>
              <w:rPr>
                <w:rFonts w:ascii="Times New Roman" w:hAnsi="Times New Roman"/>
                <w:color w:val="000000"/>
                <w:szCs w:val="24"/>
              </w:rPr>
            </w:pPr>
          </w:p>
        </w:tc>
        <w:tc>
          <w:tcPr>
            <w:tcW w:w="1771" w:type="dxa"/>
            <w:vAlign w:val="center"/>
          </w:tcPr>
          <w:p w:rsidR="007E4DA7" w:rsidRPr="00B370BE" w:rsidRDefault="00AA73A8" w:rsidP="00AA73A8">
            <w:pPr>
              <w:tabs>
                <w:tab w:val="right" w:pos="1037"/>
                <w:tab w:val="right" w:pos="6077"/>
              </w:tabs>
              <w:rPr>
                <w:rFonts w:ascii="Times New Roman" w:hAnsi="Times New Roman"/>
                <w:color w:val="000000"/>
                <w:szCs w:val="24"/>
              </w:rPr>
            </w:pPr>
            <w:r>
              <w:rPr>
                <w:rFonts w:ascii="Times New Roman" w:hAnsi="Times New Roman"/>
                <w:color w:val="000000"/>
                <w:szCs w:val="24"/>
              </w:rPr>
              <w:tab/>
            </w:r>
            <w:r w:rsidR="007E4DA7">
              <w:rPr>
                <w:rFonts w:ascii="Times New Roman" w:hAnsi="Times New Roman"/>
                <w:color w:val="000000"/>
                <w:szCs w:val="24"/>
              </w:rPr>
              <w:t>56,001</w:t>
            </w:r>
          </w:p>
        </w:tc>
      </w:tr>
      <w:tr w:rsidR="007E4DA7" w:rsidRPr="00B370BE" w:rsidTr="007E4DA7">
        <w:trPr>
          <w:trHeight w:val="564"/>
          <w:jc w:val="center"/>
        </w:trPr>
        <w:tc>
          <w:tcPr>
            <w:tcW w:w="2664" w:type="dxa"/>
            <w:vAlign w:val="center"/>
          </w:tcPr>
          <w:p w:rsidR="007E4DA7" w:rsidRPr="00B370BE" w:rsidRDefault="007E4DA7" w:rsidP="007E4DA7">
            <w:pPr>
              <w:pStyle w:val="Heading7"/>
              <w:tabs>
                <w:tab w:val="left" w:pos="-1080"/>
                <w:tab w:val="left" w:pos="-90"/>
                <w:tab w:val="left" w:pos="1440"/>
                <w:tab w:val="left" w:pos="1980"/>
                <w:tab w:val="left" w:pos="3960"/>
                <w:tab w:val="left" w:pos="5760"/>
                <w:tab w:val="left" w:pos="7920"/>
              </w:tabs>
              <w:jc w:val="right"/>
              <w:rPr>
                <w:b/>
                <w:i w:val="0"/>
                <w:szCs w:val="24"/>
              </w:rPr>
            </w:pPr>
            <w:r w:rsidRPr="00B370BE">
              <w:rPr>
                <w:szCs w:val="24"/>
              </w:rPr>
              <w:t>Change</w:t>
            </w:r>
          </w:p>
        </w:tc>
        <w:tc>
          <w:tcPr>
            <w:tcW w:w="1771" w:type="dxa"/>
            <w:vAlign w:val="center"/>
          </w:tcPr>
          <w:p w:rsidR="007E4DA7" w:rsidRPr="00B370BE" w:rsidRDefault="005537E4" w:rsidP="00AA73A8">
            <w:pPr>
              <w:tabs>
                <w:tab w:val="right" w:pos="1037"/>
                <w:tab w:val="right" w:pos="6077"/>
              </w:tabs>
              <w:rPr>
                <w:rFonts w:ascii="Times New Roman" w:hAnsi="Times New Roman"/>
                <w:color w:val="000000"/>
                <w:szCs w:val="24"/>
              </w:rPr>
            </w:pPr>
            <w:r>
              <w:rPr>
                <w:rFonts w:ascii="Times New Roman" w:hAnsi="Times New Roman"/>
                <w:szCs w:val="24"/>
              </w:rPr>
              <w:t xml:space="preserve">  </w:t>
            </w:r>
            <w:r w:rsidR="00AA73A8">
              <w:rPr>
                <w:rFonts w:ascii="Times New Roman" w:hAnsi="Times New Roman"/>
                <w:szCs w:val="24"/>
              </w:rPr>
              <w:tab/>
            </w:r>
            <w:r>
              <w:rPr>
                <w:rFonts w:ascii="Times New Roman" w:hAnsi="Times New Roman"/>
                <w:szCs w:val="24"/>
              </w:rPr>
              <w:t>+</w:t>
            </w:r>
            <w:r w:rsidR="007E4DA7">
              <w:rPr>
                <w:rFonts w:ascii="Times New Roman" w:hAnsi="Times New Roman"/>
                <w:szCs w:val="24"/>
              </w:rPr>
              <w:t>73</w:t>
            </w:r>
            <w:r w:rsidR="00411407">
              <w:rPr>
                <w:rFonts w:ascii="Times New Roman" w:hAnsi="Times New Roman"/>
                <w:szCs w:val="24"/>
              </w:rPr>
              <w:t>5</w:t>
            </w:r>
          </w:p>
        </w:tc>
        <w:tc>
          <w:tcPr>
            <w:tcW w:w="1440" w:type="dxa"/>
          </w:tcPr>
          <w:p w:rsidR="007E4DA7" w:rsidRPr="00B370BE" w:rsidRDefault="007E4DA7" w:rsidP="00AA73A8">
            <w:pPr>
              <w:tabs>
                <w:tab w:val="right" w:pos="1037"/>
                <w:tab w:val="right" w:pos="6077"/>
              </w:tabs>
              <w:rPr>
                <w:rFonts w:ascii="Times New Roman" w:hAnsi="Times New Roman"/>
                <w:color w:val="000000"/>
                <w:szCs w:val="24"/>
              </w:rPr>
            </w:pPr>
          </w:p>
        </w:tc>
        <w:tc>
          <w:tcPr>
            <w:tcW w:w="1771" w:type="dxa"/>
            <w:vAlign w:val="center"/>
          </w:tcPr>
          <w:p w:rsidR="007E4DA7" w:rsidRPr="00B370BE" w:rsidRDefault="007E4DA7" w:rsidP="00AA73A8">
            <w:pPr>
              <w:tabs>
                <w:tab w:val="right" w:pos="1037"/>
                <w:tab w:val="right" w:pos="6077"/>
              </w:tabs>
              <w:rPr>
                <w:rFonts w:ascii="Times New Roman" w:hAnsi="Times New Roman"/>
                <w:color w:val="000000"/>
                <w:szCs w:val="24"/>
              </w:rPr>
            </w:pPr>
          </w:p>
        </w:tc>
        <w:tc>
          <w:tcPr>
            <w:tcW w:w="1771" w:type="dxa"/>
            <w:vAlign w:val="bottom"/>
          </w:tcPr>
          <w:p w:rsidR="007E4DA7" w:rsidRPr="00B370BE" w:rsidRDefault="00AA73A8" w:rsidP="00AA73A8">
            <w:pPr>
              <w:tabs>
                <w:tab w:val="right" w:pos="1037"/>
                <w:tab w:val="right" w:pos="6077"/>
              </w:tabs>
              <w:rPr>
                <w:rFonts w:ascii="Times New Roman" w:hAnsi="Times New Roman"/>
                <w:color w:val="000000"/>
                <w:szCs w:val="24"/>
              </w:rPr>
            </w:pPr>
            <w:r>
              <w:rPr>
                <w:rFonts w:ascii="Times New Roman" w:hAnsi="Times New Roman"/>
                <w:szCs w:val="24"/>
              </w:rPr>
              <w:tab/>
            </w:r>
            <w:r w:rsidR="007E4DA7" w:rsidRPr="00B370BE">
              <w:rPr>
                <w:rFonts w:ascii="Times New Roman" w:hAnsi="Times New Roman"/>
                <w:szCs w:val="24"/>
              </w:rPr>
              <w:t>+</w:t>
            </w:r>
            <w:r w:rsidR="007E4DA7">
              <w:rPr>
                <w:rFonts w:ascii="Times New Roman" w:hAnsi="Times New Roman"/>
                <w:szCs w:val="24"/>
              </w:rPr>
              <w:t>6,5</w:t>
            </w:r>
            <w:r w:rsidR="00411407">
              <w:rPr>
                <w:rFonts w:ascii="Times New Roman" w:hAnsi="Times New Roman"/>
                <w:szCs w:val="24"/>
              </w:rPr>
              <w:t>03</w:t>
            </w:r>
          </w:p>
        </w:tc>
      </w:tr>
    </w:tbl>
    <w:p w:rsidR="007E4DA7" w:rsidRPr="00B370BE" w:rsidRDefault="007E4DA7" w:rsidP="007E4DA7">
      <w:pPr>
        <w:ind w:firstLine="720"/>
        <w:rPr>
          <w:rFonts w:ascii="Times New Roman" w:hAnsi="Times New Roman"/>
          <w:szCs w:val="24"/>
        </w:rPr>
      </w:pPr>
    </w:p>
    <w:p w:rsidR="00745392" w:rsidRDefault="00745392">
      <w:pPr>
        <w:widowControl/>
        <w:rPr>
          <w:rFonts w:ascii="Times New Roman" w:hAnsi="Times New Roman"/>
          <w:szCs w:val="24"/>
        </w:rPr>
      </w:pPr>
      <w:r>
        <w:rPr>
          <w:rFonts w:ascii="Times New Roman" w:hAnsi="Times New Roman"/>
          <w:szCs w:val="24"/>
        </w:rPr>
        <w:br w:type="page"/>
      </w:r>
    </w:p>
    <w:p w:rsidR="0063605C" w:rsidRPr="00052285" w:rsidRDefault="0063605C" w:rsidP="0063605C">
      <w:pPr>
        <w:widowControl/>
        <w:ind w:firstLine="720"/>
        <w:rPr>
          <w:rFonts w:ascii="Times New Roman" w:hAnsi="Times New Roman"/>
          <w:b/>
          <w:szCs w:val="24"/>
        </w:rPr>
      </w:pPr>
      <w:r w:rsidRPr="00052285">
        <w:rPr>
          <w:rFonts w:ascii="Times New Roman" w:hAnsi="Times New Roman"/>
          <w:b/>
          <w:szCs w:val="24"/>
        </w:rPr>
        <w:lastRenderedPageBreak/>
        <w:t>FR Y-</w:t>
      </w:r>
      <w:r>
        <w:rPr>
          <w:rFonts w:ascii="Times New Roman" w:hAnsi="Times New Roman"/>
          <w:b/>
          <w:szCs w:val="24"/>
        </w:rPr>
        <w:t>12</w:t>
      </w:r>
      <w:r w:rsidRPr="00052285">
        <w:rPr>
          <w:rFonts w:ascii="Times New Roman" w:hAnsi="Times New Roman"/>
          <w:b/>
          <w:szCs w:val="24"/>
        </w:rPr>
        <w:t xml:space="preserve"> and FR Y-</w:t>
      </w:r>
      <w:r>
        <w:rPr>
          <w:rFonts w:ascii="Times New Roman" w:hAnsi="Times New Roman"/>
          <w:b/>
          <w:szCs w:val="24"/>
        </w:rPr>
        <w:t>12A</w:t>
      </w:r>
    </w:p>
    <w:p w:rsidR="0063605C" w:rsidRDefault="0063605C" w:rsidP="007E4DA7">
      <w:pPr>
        <w:ind w:firstLine="720"/>
        <w:rPr>
          <w:rFonts w:ascii="Times New Roman" w:hAnsi="Times New Roman"/>
          <w:szCs w:val="24"/>
        </w:rPr>
      </w:pPr>
    </w:p>
    <w:p w:rsidR="007E4DA7" w:rsidRPr="00B370BE" w:rsidRDefault="0097766B" w:rsidP="007E4DA7">
      <w:pPr>
        <w:ind w:firstLine="720"/>
        <w:rPr>
          <w:rFonts w:ascii="Times New Roman" w:hAnsi="Times New Roman"/>
          <w:szCs w:val="24"/>
        </w:rPr>
      </w:pPr>
      <w:r w:rsidRPr="00B370BE">
        <w:rPr>
          <w:rFonts w:ascii="Times New Roman" w:hAnsi="Times New Roman"/>
          <w:szCs w:val="24"/>
        </w:rPr>
        <w:t xml:space="preserve">As shown in the following table, </w:t>
      </w:r>
      <w:r>
        <w:rPr>
          <w:rFonts w:ascii="Times New Roman" w:hAnsi="Times New Roman"/>
          <w:szCs w:val="24"/>
        </w:rPr>
        <w:t>t</w:t>
      </w:r>
      <w:r w:rsidR="007E4DA7" w:rsidRPr="00B370BE">
        <w:rPr>
          <w:rFonts w:ascii="Times New Roman" w:hAnsi="Times New Roman"/>
          <w:szCs w:val="24"/>
        </w:rPr>
        <w:t>he current total annual reporting burden for the FR Y-12 and FR Y-12A</w:t>
      </w:r>
      <w:r w:rsidR="00745392">
        <w:rPr>
          <w:rFonts w:ascii="Times New Roman" w:hAnsi="Times New Roman"/>
          <w:szCs w:val="24"/>
        </w:rPr>
        <w:t xml:space="preserve"> information collection is 1,755 </w:t>
      </w:r>
      <w:r w:rsidR="007E4DA7" w:rsidRPr="00B370BE">
        <w:rPr>
          <w:rFonts w:ascii="Times New Roman" w:hAnsi="Times New Roman"/>
          <w:szCs w:val="24"/>
        </w:rPr>
        <w:t>hours</w:t>
      </w:r>
      <w:r>
        <w:rPr>
          <w:rFonts w:ascii="Times New Roman" w:hAnsi="Times New Roman"/>
          <w:szCs w:val="24"/>
        </w:rPr>
        <w:t xml:space="preserve"> and would increase to</w:t>
      </w:r>
      <w:r w:rsidR="007E4DA7" w:rsidRPr="00B370BE">
        <w:rPr>
          <w:rFonts w:ascii="Times New Roman" w:hAnsi="Times New Roman"/>
          <w:szCs w:val="24"/>
        </w:rPr>
        <w:t xml:space="preserve"> </w:t>
      </w:r>
      <w:r w:rsidR="00357A85">
        <w:rPr>
          <w:rFonts w:ascii="Times New Roman" w:hAnsi="Times New Roman"/>
          <w:szCs w:val="24"/>
        </w:rPr>
        <w:t>2,106</w:t>
      </w:r>
      <w:r>
        <w:rPr>
          <w:rFonts w:ascii="Times New Roman" w:hAnsi="Times New Roman"/>
          <w:szCs w:val="24"/>
        </w:rPr>
        <w:t xml:space="preserve"> </w:t>
      </w:r>
      <w:r w:rsidR="00F1572E">
        <w:rPr>
          <w:rFonts w:ascii="Times New Roman" w:hAnsi="Times New Roman"/>
          <w:szCs w:val="24"/>
        </w:rPr>
        <w:t>hours, effective 2013</w:t>
      </w:r>
      <w:r w:rsidR="007E4DA7" w:rsidRPr="00B370BE">
        <w:rPr>
          <w:rFonts w:ascii="Times New Roman" w:hAnsi="Times New Roman"/>
          <w:szCs w:val="24"/>
        </w:rPr>
        <w:t xml:space="preserve">.  The </w:t>
      </w:r>
      <w:r w:rsidR="00486789">
        <w:rPr>
          <w:rFonts w:ascii="Times New Roman" w:hAnsi="Times New Roman"/>
          <w:szCs w:val="24"/>
        </w:rPr>
        <w:t xml:space="preserve">estimated </w:t>
      </w:r>
      <w:r w:rsidR="001C1E4B">
        <w:rPr>
          <w:rFonts w:ascii="Times New Roman" w:hAnsi="Times New Roman"/>
          <w:szCs w:val="24"/>
        </w:rPr>
        <w:t>annual burden</w:t>
      </w:r>
      <w:r w:rsidR="007E4DA7" w:rsidRPr="00B370BE">
        <w:rPr>
          <w:rFonts w:ascii="Times New Roman" w:hAnsi="Times New Roman"/>
          <w:szCs w:val="24"/>
        </w:rPr>
        <w:t xml:space="preserve"> for the FR Y-12 and FR Y-12A represents less than 1 percent of </w:t>
      </w:r>
      <w:r w:rsidR="00486789">
        <w:rPr>
          <w:rFonts w:ascii="Times New Roman" w:hAnsi="Times New Roman"/>
          <w:szCs w:val="24"/>
        </w:rPr>
        <w:t xml:space="preserve">the </w:t>
      </w:r>
      <w:r w:rsidR="007E4DA7" w:rsidRPr="00B370BE">
        <w:rPr>
          <w:rFonts w:ascii="Times New Roman" w:hAnsi="Times New Roman"/>
          <w:szCs w:val="24"/>
        </w:rPr>
        <w:t xml:space="preserve">total Federal Reserve System </w:t>
      </w:r>
      <w:r w:rsidR="001C1E4B">
        <w:rPr>
          <w:rFonts w:ascii="Times New Roman" w:hAnsi="Times New Roman"/>
          <w:szCs w:val="24"/>
        </w:rPr>
        <w:t xml:space="preserve">paperwork </w:t>
      </w:r>
      <w:r w:rsidR="007E4DA7" w:rsidRPr="00B370BE">
        <w:rPr>
          <w:rFonts w:ascii="Times New Roman" w:hAnsi="Times New Roman"/>
          <w:szCs w:val="24"/>
        </w:rPr>
        <w:t xml:space="preserve">burden.  </w:t>
      </w:r>
    </w:p>
    <w:p w:rsidR="007E4DA7" w:rsidRPr="00B370BE" w:rsidRDefault="007E4DA7" w:rsidP="007E4DA7">
      <w:pPr>
        <w:rPr>
          <w:rFonts w:ascii="Times New Roman" w:hAnsi="Times New Roman"/>
          <w:szCs w:val="24"/>
        </w:rPr>
      </w:pPr>
    </w:p>
    <w:tbl>
      <w:tblPr>
        <w:tblW w:w="0" w:type="auto"/>
        <w:tblBorders>
          <w:top w:val="single" w:sz="4" w:space="0" w:color="auto"/>
          <w:bottom w:val="single" w:sz="4" w:space="0" w:color="auto"/>
        </w:tblBorders>
        <w:tblLayout w:type="fixed"/>
        <w:tblLook w:val="01E0"/>
      </w:tblPr>
      <w:tblGrid>
        <w:gridCol w:w="2748"/>
        <w:gridCol w:w="1540"/>
        <w:gridCol w:w="1457"/>
        <w:gridCol w:w="1915"/>
        <w:gridCol w:w="1916"/>
      </w:tblGrid>
      <w:tr w:rsidR="007E4DA7" w:rsidRPr="00B370BE" w:rsidTr="007E4DA7">
        <w:tc>
          <w:tcPr>
            <w:tcW w:w="2748" w:type="dxa"/>
            <w:vAlign w:val="center"/>
          </w:tcPr>
          <w:p w:rsidR="007E4DA7" w:rsidRPr="00B370BE" w:rsidRDefault="007E4DA7" w:rsidP="007E4D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tc>
        <w:tc>
          <w:tcPr>
            <w:tcW w:w="1540" w:type="dxa"/>
            <w:vAlign w:val="center"/>
          </w:tcPr>
          <w:p w:rsidR="007E4DA7" w:rsidRPr="00B370BE" w:rsidRDefault="007E4DA7" w:rsidP="007E4D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i/>
                <w:szCs w:val="24"/>
              </w:rPr>
            </w:pPr>
            <w:r w:rsidRPr="00B370BE">
              <w:rPr>
                <w:rFonts w:ascii="Times New Roman" w:hAnsi="Times New Roman"/>
                <w:i/>
                <w:szCs w:val="24"/>
              </w:rPr>
              <w:t>Estimated number of respondents</w:t>
            </w:r>
          </w:p>
        </w:tc>
        <w:tc>
          <w:tcPr>
            <w:tcW w:w="1457" w:type="dxa"/>
            <w:vAlign w:val="bottom"/>
          </w:tcPr>
          <w:p w:rsidR="007E4DA7" w:rsidRPr="00B370BE" w:rsidRDefault="007E4DA7" w:rsidP="007E4D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i/>
                <w:szCs w:val="24"/>
              </w:rPr>
            </w:pPr>
            <w:r w:rsidRPr="00B370BE">
              <w:rPr>
                <w:rFonts w:ascii="Times New Roman" w:hAnsi="Times New Roman"/>
                <w:i/>
                <w:szCs w:val="24"/>
              </w:rPr>
              <w:t>Annual</w:t>
            </w:r>
          </w:p>
          <w:p w:rsidR="007E4DA7" w:rsidRPr="00B370BE" w:rsidRDefault="007E4DA7" w:rsidP="007E4D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i/>
                <w:szCs w:val="24"/>
              </w:rPr>
            </w:pPr>
            <w:r w:rsidRPr="00B370BE">
              <w:rPr>
                <w:rFonts w:ascii="Times New Roman" w:hAnsi="Times New Roman"/>
                <w:i/>
                <w:szCs w:val="24"/>
              </w:rPr>
              <w:t>frequency</w:t>
            </w:r>
          </w:p>
        </w:tc>
        <w:tc>
          <w:tcPr>
            <w:tcW w:w="1915" w:type="dxa"/>
            <w:vAlign w:val="center"/>
          </w:tcPr>
          <w:p w:rsidR="007E4DA7" w:rsidRPr="00B370BE" w:rsidRDefault="007E4DA7" w:rsidP="007E4D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i/>
                <w:szCs w:val="24"/>
              </w:rPr>
            </w:pPr>
            <w:r w:rsidRPr="00B370BE">
              <w:rPr>
                <w:rFonts w:ascii="Times New Roman" w:hAnsi="Times New Roman"/>
                <w:i/>
                <w:szCs w:val="24"/>
              </w:rPr>
              <w:t>Estimated average hours per response</w:t>
            </w:r>
          </w:p>
        </w:tc>
        <w:tc>
          <w:tcPr>
            <w:tcW w:w="1916" w:type="dxa"/>
            <w:vAlign w:val="center"/>
          </w:tcPr>
          <w:p w:rsidR="007E4DA7" w:rsidRPr="00B370BE" w:rsidRDefault="007E4DA7" w:rsidP="007E4D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i/>
                <w:szCs w:val="24"/>
              </w:rPr>
            </w:pPr>
            <w:r w:rsidRPr="00B370BE">
              <w:rPr>
                <w:rFonts w:ascii="Times New Roman" w:hAnsi="Times New Roman"/>
                <w:i/>
                <w:szCs w:val="24"/>
              </w:rPr>
              <w:t>Estimated</w:t>
            </w:r>
          </w:p>
          <w:p w:rsidR="007E4DA7" w:rsidRPr="00B370BE" w:rsidRDefault="007E4DA7" w:rsidP="007E4D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i/>
                <w:szCs w:val="24"/>
              </w:rPr>
            </w:pPr>
            <w:r w:rsidRPr="00B370BE">
              <w:rPr>
                <w:rFonts w:ascii="Times New Roman" w:hAnsi="Times New Roman"/>
                <w:i/>
                <w:szCs w:val="24"/>
              </w:rPr>
              <w:t>annual</w:t>
            </w:r>
          </w:p>
          <w:p w:rsidR="007E4DA7" w:rsidRPr="00B370BE" w:rsidRDefault="007E4DA7" w:rsidP="007E4D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i/>
                <w:szCs w:val="24"/>
              </w:rPr>
            </w:pPr>
            <w:r w:rsidRPr="00B370BE">
              <w:rPr>
                <w:rFonts w:ascii="Times New Roman" w:hAnsi="Times New Roman"/>
                <w:i/>
                <w:szCs w:val="24"/>
              </w:rPr>
              <w:t>burden hours</w:t>
            </w:r>
          </w:p>
        </w:tc>
      </w:tr>
      <w:tr w:rsidR="007E4DA7" w:rsidRPr="00B370BE" w:rsidTr="007E4DA7">
        <w:tc>
          <w:tcPr>
            <w:tcW w:w="2748" w:type="dxa"/>
            <w:vAlign w:val="center"/>
          </w:tcPr>
          <w:p w:rsidR="007E4DA7" w:rsidRPr="00B370BE" w:rsidRDefault="007E4DA7" w:rsidP="007E4D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i/>
                <w:szCs w:val="24"/>
              </w:rPr>
            </w:pPr>
            <w:r w:rsidRPr="00B370BE">
              <w:rPr>
                <w:rFonts w:ascii="Times New Roman" w:hAnsi="Times New Roman"/>
                <w:i/>
                <w:szCs w:val="24"/>
              </w:rPr>
              <w:t>Current</w:t>
            </w:r>
          </w:p>
        </w:tc>
        <w:tc>
          <w:tcPr>
            <w:tcW w:w="1540" w:type="dxa"/>
            <w:vAlign w:val="center"/>
          </w:tcPr>
          <w:p w:rsidR="007E4DA7" w:rsidRPr="00B370BE" w:rsidRDefault="007E4DA7" w:rsidP="001A7CCD">
            <w:pPr>
              <w:rPr>
                <w:rFonts w:ascii="Times New Roman" w:hAnsi="Times New Roman"/>
                <w:szCs w:val="24"/>
              </w:rPr>
            </w:pPr>
          </w:p>
        </w:tc>
        <w:tc>
          <w:tcPr>
            <w:tcW w:w="1457" w:type="dxa"/>
            <w:vAlign w:val="center"/>
          </w:tcPr>
          <w:p w:rsidR="007E4DA7" w:rsidRPr="00B370BE" w:rsidRDefault="007E4DA7" w:rsidP="001A7CCD">
            <w:pPr>
              <w:rPr>
                <w:rFonts w:ascii="Times New Roman" w:hAnsi="Times New Roman"/>
                <w:szCs w:val="24"/>
              </w:rPr>
            </w:pPr>
          </w:p>
        </w:tc>
        <w:tc>
          <w:tcPr>
            <w:tcW w:w="1915" w:type="dxa"/>
            <w:vAlign w:val="center"/>
          </w:tcPr>
          <w:p w:rsidR="007E4DA7" w:rsidRPr="00B370BE" w:rsidRDefault="007E4DA7" w:rsidP="001A7CCD">
            <w:pPr>
              <w:rPr>
                <w:rFonts w:ascii="Times New Roman" w:hAnsi="Times New Roman"/>
                <w:szCs w:val="24"/>
              </w:rPr>
            </w:pPr>
          </w:p>
        </w:tc>
        <w:tc>
          <w:tcPr>
            <w:tcW w:w="1916" w:type="dxa"/>
            <w:vAlign w:val="center"/>
          </w:tcPr>
          <w:p w:rsidR="007E4DA7" w:rsidRPr="00B370BE" w:rsidRDefault="007E4DA7" w:rsidP="001A7CCD">
            <w:pPr>
              <w:rPr>
                <w:rFonts w:ascii="Times New Roman" w:hAnsi="Times New Roman"/>
                <w:szCs w:val="24"/>
              </w:rPr>
            </w:pPr>
          </w:p>
        </w:tc>
      </w:tr>
      <w:tr w:rsidR="007E4DA7" w:rsidRPr="00B370BE" w:rsidTr="007E4DA7">
        <w:tc>
          <w:tcPr>
            <w:tcW w:w="2748" w:type="dxa"/>
            <w:vAlign w:val="center"/>
          </w:tcPr>
          <w:p w:rsidR="007E4DA7" w:rsidRPr="00B370BE" w:rsidRDefault="007E4DA7" w:rsidP="007E4D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B370BE">
              <w:rPr>
                <w:rFonts w:ascii="Times New Roman" w:hAnsi="Times New Roman"/>
                <w:szCs w:val="24"/>
              </w:rPr>
              <w:t>FR Y-9C filers</w:t>
            </w:r>
            <w:r w:rsidRPr="00B370BE">
              <w:rPr>
                <w:rStyle w:val="FootnoteReference"/>
                <w:szCs w:val="24"/>
                <w:vertAlign w:val="superscript"/>
              </w:rPr>
              <w:footnoteReference w:id="6"/>
            </w:r>
          </w:p>
        </w:tc>
        <w:tc>
          <w:tcPr>
            <w:tcW w:w="1540" w:type="dxa"/>
            <w:vAlign w:val="center"/>
          </w:tcPr>
          <w:p w:rsidR="007E4DA7" w:rsidRPr="00B370BE" w:rsidRDefault="001A7CCD" w:rsidP="001A7CCD">
            <w:pPr>
              <w:tabs>
                <w:tab w:val="right" w:pos="867"/>
                <w:tab w:val="decimal" w:pos="3732"/>
                <w:tab w:val="right" w:pos="5982"/>
              </w:tabs>
              <w:rPr>
                <w:rFonts w:ascii="Times New Roman" w:hAnsi="Times New Roman"/>
                <w:szCs w:val="24"/>
              </w:rPr>
            </w:pPr>
            <w:r>
              <w:rPr>
                <w:rFonts w:ascii="Times New Roman" w:hAnsi="Times New Roman"/>
                <w:szCs w:val="24"/>
              </w:rPr>
              <w:tab/>
            </w:r>
            <w:r w:rsidR="007E4DA7">
              <w:rPr>
                <w:rFonts w:ascii="Times New Roman" w:hAnsi="Times New Roman"/>
                <w:szCs w:val="24"/>
              </w:rPr>
              <w:t>21</w:t>
            </w:r>
          </w:p>
        </w:tc>
        <w:tc>
          <w:tcPr>
            <w:tcW w:w="1457" w:type="dxa"/>
            <w:vAlign w:val="center"/>
          </w:tcPr>
          <w:p w:rsidR="007E4DA7" w:rsidRPr="00B370BE" w:rsidRDefault="007E4DA7" w:rsidP="001A7CCD">
            <w:pPr>
              <w:tabs>
                <w:tab w:val="right" w:pos="867"/>
                <w:tab w:val="decimal" w:pos="3732"/>
                <w:tab w:val="right" w:pos="5982"/>
              </w:tabs>
              <w:jc w:val="center"/>
              <w:rPr>
                <w:rFonts w:ascii="Times New Roman" w:hAnsi="Times New Roman"/>
                <w:szCs w:val="24"/>
              </w:rPr>
            </w:pPr>
            <w:r w:rsidRPr="00B370BE">
              <w:rPr>
                <w:rFonts w:ascii="Times New Roman" w:hAnsi="Times New Roman"/>
                <w:szCs w:val="24"/>
              </w:rPr>
              <w:t>4</w:t>
            </w:r>
          </w:p>
        </w:tc>
        <w:tc>
          <w:tcPr>
            <w:tcW w:w="1915" w:type="dxa"/>
            <w:vAlign w:val="center"/>
          </w:tcPr>
          <w:p w:rsidR="007E4DA7" w:rsidRPr="00B370BE" w:rsidRDefault="001A7CCD" w:rsidP="001A7CCD">
            <w:pPr>
              <w:tabs>
                <w:tab w:val="right" w:pos="867"/>
                <w:tab w:val="decimal" w:pos="3732"/>
                <w:tab w:val="right" w:pos="5982"/>
              </w:tabs>
              <w:rPr>
                <w:rFonts w:ascii="Times New Roman" w:hAnsi="Times New Roman"/>
                <w:szCs w:val="24"/>
              </w:rPr>
            </w:pPr>
            <w:r>
              <w:rPr>
                <w:rFonts w:ascii="Times New Roman" w:hAnsi="Times New Roman"/>
                <w:szCs w:val="24"/>
              </w:rPr>
              <w:tab/>
            </w:r>
            <w:r w:rsidR="007E4DA7" w:rsidRPr="00B370BE">
              <w:rPr>
                <w:rFonts w:ascii="Times New Roman" w:hAnsi="Times New Roman"/>
                <w:szCs w:val="24"/>
              </w:rPr>
              <w:t>16.5</w:t>
            </w:r>
          </w:p>
        </w:tc>
        <w:tc>
          <w:tcPr>
            <w:tcW w:w="1916" w:type="dxa"/>
            <w:vAlign w:val="center"/>
          </w:tcPr>
          <w:p w:rsidR="007E4DA7" w:rsidRPr="00B370BE" w:rsidRDefault="001A7CCD" w:rsidP="00CF504E">
            <w:pPr>
              <w:tabs>
                <w:tab w:val="right" w:pos="1070"/>
                <w:tab w:val="decimal" w:pos="3732"/>
                <w:tab w:val="right" w:pos="5982"/>
              </w:tabs>
              <w:rPr>
                <w:rFonts w:ascii="Times New Roman" w:hAnsi="Times New Roman"/>
                <w:szCs w:val="24"/>
              </w:rPr>
            </w:pPr>
            <w:r>
              <w:rPr>
                <w:rFonts w:ascii="Times New Roman" w:hAnsi="Times New Roman"/>
                <w:szCs w:val="24"/>
              </w:rPr>
              <w:tab/>
            </w:r>
            <w:r w:rsidR="007E4DA7">
              <w:rPr>
                <w:rFonts w:ascii="Times New Roman" w:hAnsi="Times New Roman"/>
                <w:szCs w:val="24"/>
              </w:rPr>
              <w:t>1,386</w:t>
            </w:r>
          </w:p>
        </w:tc>
      </w:tr>
      <w:tr w:rsidR="007E4DA7" w:rsidRPr="00B370BE" w:rsidTr="007E4DA7">
        <w:tc>
          <w:tcPr>
            <w:tcW w:w="2748" w:type="dxa"/>
            <w:vAlign w:val="center"/>
          </w:tcPr>
          <w:p w:rsidR="007E4DA7" w:rsidRPr="00B370BE" w:rsidRDefault="007E4DA7" w:rsidP="007E4D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B370BE">
              <w:rPr>
                <w:rFonts w:ascii="Times New Roman" w:hAnsi="Times New Roman"/>
                <w:szCs w:val="24"/>
              </w:rPr>
              <w:t>FR Y-9SP filers</w:t>
            </w:r>
          </w:p>
        </w:tc>
        <w:tc>
          <w:tcPr>
            <w:tcW w:w="1540" w:type="dxa"/>
            <w:vAlign w:val="center"/>
          </w:tcPr>
          <w:p w:rsidR="007E4DA7" w:rsidRPr="00B370BE" w:rsidRDefault="007E4DA7" w:rsidP="001A7CCD">
            <w:pPr>
              <w:tabs>
                <w:tab w:val="right" w:pos="867"/>
                <w:tab w:val="decimal" w:pos="3732"/>
                <w:tab w:val="right" w:pos="5982"/>
              </w:tabs>
              <w:rPr>
                <w:rFonts w:ascii="Times New Roman" w:hAnsi="Times New Roman"/>
                <w:szCs w:val="24"/>
              </w:rPr>
            </w:pPr>
            <w:r w:rsidRPr="00B370BE">
              <w:rPr>
                <w:rFonts w:ascii="Times New Roman" w:hAnsi="Times New Roman"/>
                <w:szCs w:val="24"/>
              </w:rPr>
              <w:t xml:space="preserve"> </w:t>
            </w:r>
            <w:r w:rsidR="001A7CCD">
              <w:rPr>
                <w:rFonts w:ascii="Times New Roman" w:hAnsi="Times New Roman"/>
                <w:szCs w:val="24"/>
              </w:rPr>
              <w:tab/>
            </w:r>
            <w:r>
              <w:rPr>
                <w:rFonts w:ascii="Times New Roman" w:hAnsi="Times New Roman"/>
                <w:szCs w:val="24"/>
              </w:rPr>
              <w:t>8</w:t>
            </w:r>
          </w:p>
        </w:tc>
        <w:tc>
          <w:tcPr>
            <w:tcW w:w="1457" w:type="dxa"/>
            <w:vAlign w:val="center"/>
          </w:tcPr>
          <w:p w:rsidR="007E4DA7" w:rsidRPr="00B370BE" w:rsidRDefault="007E4DA7" w:rsidP="001A7CCD">
            <w:pPr>
              <w:tabs>
                <w:tab w:val="right" w:pos="867"/>
                <w:tab w:val="decimal" w:pos="3732"/>
                <w:tab w:val="right" w:pos="5982"/>
              </w:tabs>
              <w:jc w:val="center"/>
              <w:rPr>
                <w:rFonts w:ascii="Times New Roman" w:hAnsi="Times New Roman"/>
                <w:szCs w:val="24"/>
              </w:rPr>
            </w:pPr>
            <w:r w:rsidRPr="00B370BE">
              <w:rPr>
                <w:rFonts w:ascii="Times New Roman" w:hAnsi="Times New Roman"/>
                <w:szCs w:val="24"/>
              </w:rPr>
              <w:t>2</w:t>
            </w:r>
          </w:p>
        </w:tc>
        <w:tc>
          <w:tcPr>
            <w:tcW w:w="1915" w:type="dxa"/>
            <w:vAlign w:val="center"/>
          </w:tcPr>
          <w:p w:rsidR="007E4DA7" w:rsidRPr="00B370BE" w:rsidRDefault="001A7CCD" w:rsidP="001A7CCD">
            <w:pPr>
              <w:tabs>
                <w:tab w:val="right" w:pos="867"/>
                <w:tab w:val="decimal" w:pos="3732"/>
                <w:tab w:val="right" w:pos="5982"/>
              </w:tabs>
              <w:rPr>
                <w:rFonts w:ascii="Times New Roman" w:hAnsi="Times New Roman"/>
                <w:szCs w:val="24"/>
              </w:rPr>
            </w:pPr>
            <w:r>
              <w:rPr>
                <w:rFonts w:ascii="Times New Roman" w:hAnsi="Times New Roman"/>
                <w:szCs w:val="24"/>
              </w:rPr>
              <w:tab/>
            </w:r>
            <w:r w:rsidR="007E4DA7" w:rsidRPr="00B370BE">
              <w:rPr>
                <w:rFonts w:ascii="Times New Roman" w:hAnsi="Times New Roman"/>
                <w:szCs w:val="24"/>
              </w:rPr>
              <w:t>16.5</w:t>
            </w:r>
          </w:p>
        </w:tc>
        <w:tc>
          <w:tcPr>
            <w:tcW w:w="1916" w:type="dxa"/>
            <w:vAlign w:val="center"/>
          </w:tcPr>
          <w:p w:rsidR="007E4DA7" w:rsidRPr="00B370BE" w:rsidRDefault="007E4DA7" w:rsidP="00CF504E">
            <w:pPr>
              <w:tabs>
                <w:tab w:val="right" w:pos="1070"/>
                <w:tab w:val="decimal" w:pos="3732"/>
                <w:tab w:val="right" w:pos="5982"/>
              </w:tabs>
              <w:rPr>
                <w:rFonts w:ascii="Times New Roman" w:hAnsi="Times New Roman"/>
                <w:szCs w:val="24"/>
              </w:rPr>
            </w:pPr>
            <w:r w:rsidRPr="00B370BE">
              <w:rPr>
                <w:rFonts w:ascii="Times New Roman" w:hAnsi="Times New Roman"/>
                <w:szCs w:val="24"/>
              </w:rPr>
              <w:t xml:space="preserve">  </w:t>
            </w:r>
            <w:r w:rsidR="001A7CCD">
              <w:rPr>
                <w:rFonts w:ascii="Times New Roman" w:hAnsi="Times New Roman"/>
                <w:szCs w:val="24"/>
              </w:rPr>
              <w:tab/>
            </w:r>
            <w:r>
              <w:rPr>
                <w:rFonts w:ascii="Times New Roman" w:hAnsi="Times New Roman"/>
                <w:szCs w:val="24"/>
              </w:rPr>
              <w:t>264</w:t>
            </w:r>
          </w:p>
        </w:tc>
      </w:tr>
      <w:tr w:rsidR="007E4DA7" w:rsidRPr="00B370BE" w:rsidTr="007E4DA7">
        <w:tc>
          <w:tcPr>
            <w:tcW w:w="2748" w:type="dxa"/>
            <w:vAlign w:val="center"/>
          </w:tcPr>
          <w:p w:rsidR="007E4DA7" w:rsidRPr="00B370BE" w:rsidRDefault="007E4DA7" w:rsidP="007E4D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B370BE">
              <w:rPr>
                <w:rFonts w:ascii="Times New Roman" w:hAnsi="Times New Roman"/>
                <w:szCs w:val="24"/>
              </w:rPr>
              <w:t>FR Y-12A</w:t>
            </w:r>
          </w:p>
        </w:tc>
        <w:tc>
          <w:tcPr>
            <w:tcW w:w="1540" w:type="dxa"/>
            <w:vAlign w:val="center"/>
          </w:tcPr>
          <w:p w:rsidR="007E4DA7" w:rsidRPr="00B370BE" w:rsidRDefault="001A7CCD" w:rsidP="001A7CCD">
            <w:pPr>
              <w:tabs>
                <w:tab w:val="right" w:pos="867"/>
                <w:tab w:val="decimal" w:pos="3732"/>
                <w:tab w:val="right" w:pos="5982"/>
              </w:tabs>
              <w:rPr>
                <w:rFonts w:ascii="Times New Roman" w:hAnsi="Times New Roman"/>
                <w:szCs w:val="24"/>
                <w:u w:val="single"/>
              </w:rPr>
            </w:pPr>
            <w:r>
              <w:rPr>
                <w:rFonts w:ascii="Times New Roman" w:hAnsi="Times New Roman"/>
                <w:szCs w:val="24"/>
              </w:rPr>
              <w:tab/>
            </w:r>
            <w:r w:rsidR="007E4DA7">
              <w:rPr>
                <w:rFonts w:ascii="Times New Roman" w:hAnsi="Times New Roman"/>
                <w:szCs w:val="24"/>
                <w:u w:val="single"/>
              </w:rPr>
              <w:t>15</w:t>
            </w:r>
          </w:p>
        </w:tc>
        <w:tc>
          <w:tcPr>
            <w:tcW w:w="1457" w:type="dxa"/>
            <w:vAlign w:val="center"/>
          </w:tcPr>
          <w:p w:rsidR="007E4DA7" w:rsidRPr="00B370BE" w:rsidRDefault="007E4DA7" w:rsidP="001A7CCD">
            <w:pPr>
              <w:tabs>
                <w:tab w:val="right" w:pos="867"/>
                <w:tab w:val="decimal" w:pos="3732"/>
                <w:tab w:val="right" w:pos="5982"/>
              </w:tabs>
              <w:jc w:val="center"/>
              <w:rPr>
                <w:rFonts w:ascii="Times New Roman" w:hAnsi="Times New Roman"/>
                <w:szCs w:val="24"/>
              </w:rPr>
            </w:pPr>
            <w:r w:rsidRPr="00B370BE">
              <w:rPr>
                <w:rFonts w:ascii="Times New Roman" w:hAnsi="Times New Roman"/>
                <w:szCs w:val="24"/>
              </w:rPr>
              <w:t>1</w:t>
            </w:r>
          </w:p>
        </w:tc>
        <w:tc>
          <w:tcPr>
            <w:tcW w:w="1915" w:type="dxa"/>
            <w:vAlign w:val="center"/>
          </w:tcPr>
          <w:p w:rsidR="007E4DA7" w:rsidRPr="00B370BE" w:rsidRDefault="001A7CCD" w:rsidP="001A7CCD">
            <w:pPr>
              <w:tabs>
                <w:tab w:val="right" w:pos="867"/>
                <w:tab w:val="decimal" w:pos="3732"/>
                <w:tab w:val="right" w:pos="5982"/>
              </w:tabs>
              <w:rPr>
                <w:rFonts w:ascii="Times New Roman" w:hAnsi="Times New Roman"/>
                <w:szCs w:val="24"/>
              </w:rPr>
            </w:pPr>
            <w:r>
              <w:rPr>
                <w:rFonts w:ascii="Times New Roman" w:hAnsi="Times New Roman"/>
                <w:szCs w:val="24"/>
              </w:rPr>
              <w:tab/>
            </w:r>
            <w:r w:rsidR="007E4DA7" w:rsidRPr="00B370BE">
              <w:rPr>
                <w:rFonts w:ascii="Times New Roman" w:hAnsi="Times New Roman"/>
                <w:szCs w:val="24"/>
              </w:rPr>
              <w:t>7</w:t>
            </w:r>
            <w:r>
              <w:rPr>
                <w:rFonts w:ascii="Times New Roman" w:hAnsi="Times New Roman"/>
                <w:szCs w:val="24"/>
              </w:rPr>
              <w:t>.0</w:t>
            </w:r>
          </w:p>
        </w:tc>
        <w:tc>
          <w:tcPr>
            <w:tcW w:w="1916" w:type="dxa"/>
            <w:vAlign w:val="center"/>
          </w:tcPr>
          <w:p w:rsidR="007E4DA7" w:rsidRPr="00B370BE" w:rsidRDefault="001A7CCD" w:rsidP="00CF504E">
            <w:pPr>
              <w:tabs>
                <w:tab w:val="right" w:pos="1070"/>
                <w:tab w:val="decimal" w:pos="3732"/>
                <w:tab w:val="right" w:pos="5982"/>
              </w:tabs>
              <w:rPr>
                <w:rFonts w:ascii="Times New Roman" w:hAnsi="Times New Roman"/>
                <w:szCs w:val="24"/>
                <w:u w:val="single"/>
              </w:rPr>
            </w:pPr>
            <w:r>
              <w:rPr>
                <w:rFonts w:ascii="Times New Roman" w:hAnsi="Times New Roman"/>
                <w:szCs w:val="24"/>
              </w:rPr>
              <w:tab/>
            </w:r>
            <w:r w:rsidR="007E4DA7" w:rsidRPr="00B370BE">
              <w:rPr>
                <w:rFonts w:ascii="Times New Roman" w:hAnsi="Times New Roman"/>
                <w:szCs w:val="24"/>
                <w:u w:val="single"/>
              </w:rPr>
              <w:t xml:space="preserve">   </w:t>
            </w:r>
            <w:r w:rsidR="007E4DA7">
              <w:rPr>
                <w:rFonts w:ascii="Times New Roman" w:hAnsi="Times New Roman"/>
                <w:szCs w:val="24"/>
                <w:u w:val="single"/>
              </w:rPr>
              <w:t>105</w:t>
            </w:r>
          </w:p>
        </w:tc>
      </w:tr>
      <w:tr w:rsidR="007E4DA7" w:rsidRPr="00B370BE" w:rsidTr="007E4DA7">
        <w:tc>
          <w:tcPr>
            <w:tcW w:w="2748" w:type="dxa"/>
            <w:vAlign w:val="center"/>
          </w:tcPr>
          <w:p w:rsidR="007E4DA7" w:rsidRPr="00B370BE" w:rsidRDefault="007E4DA7" w:rsidP="007E4D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Cs w:val="24"/>
              </w:rPr>
            </w:pPr>
            <w:r w:rsidRPr="00B370BE">
              <w:rPr>
                <w:rFonts w:ascii="Times New Roman" w:hAnsi="Times New Roman"/>
                <w:i/>
                <w:szCs w:val="24"/>
              </w:rPr>
              <w:t>Total</w:t>
            </w:r>
          </w:p>
        </w:tc>
        <w:tc>
          <w:tcPr>
            <w:tcW w:w="1540" w:type="dxa"/>
            <w:vAlign w:val="center"/>
          </w:tcPr>
          <w:p w:rsidR="007E4DA7" w:rsidRPr="00B370BE" w:rsidRDefault="001A7CCD" w:rsidP="001A7CCD">
            <w:pPr>
              <w:tabs>
                <w:tab w:val="right" w:pos="867"/>
                <w:tab w:val="decimal" w:pos="3732"/>
                <w:tab w:val="right" w:pos="5982"/>
              </w:tabs>
              <w:rPr>
                <w:rFonts w:ascii="Times New Roman" w:hAnsi="Times New Roman"/>
                <w:szCs w:val="24"/>
              </w:rPr>
            </w:pPr>
            <w:r>
              <w:rPr>
                <w:rFonts w:ascii="Times New Roman" w:hAnsi="Times New Roman"/>
                <w:szCs w:val="24"/>
              </w:rPr>
              <w:tab/>
            </w:r>
            <w:r w:rsidR="007E4DA7">
              <w:rPr>
                <w:rFonts w:ascii="Times New Roman" w:hAnsi="Times New Roman"/>
                <w:szCs w:val="24"/>
              </w:rPr>
              <w:t>44</w:t>
            </w:r>
          </w:p>
        </w:tc>
        <w:tc>
          <w:tcPr>
            <w:tcW w:w="1457" w:type="dxa"/>
            <w:vAlign w:val="center"/>
          </w:tcPr>
          <w:p w:rsidR="007E4DA7" w:rsidRPr="00B370BE" w:rsidRDefault="007E4DA7" w:rsidP="001A7CCD">
            <w:pPr>
              <w:tabs>
                <w:tab w:val="right" w:pos="867"/>
                <w:tab w:val="decimal" w:pos="3732"/>
                <w:tab w:val="right" w:pos="5982"/>
              </w:tabs>
              <w:jc w:val="center"/>
              <w:rPr>
                <w:rFonts w:ascii="Times New Roman" w:hAnsi="Times New Roman"/>
                <w:szCs w:val="24"/>
              </w:rPr>
            </w:pPr>
          </w:p>
        </w:tc>
        <w:tc>
          <w:tcPr>
            <w:tcW w:w="1915" w:type="dxa"/>
            <w:vAlign w:val="center"/>
          </w:tcPr>
          <w:p w:rsidR="007E4DA7" w:rsidRPr="00B370BE" w:rsidRDefault="007E4DA7" w:rsidP="001A7CCD">
            <w:pPr>
              <w:tabs>
                <w:tab w:val="right" w:pos="867"/>
                <w:tab w:val="decimal" w:pos="3732"/>
                <w:tab w:val="right" w:pos="5982"/>
              </w:tabs>
              <w:rPr>
                <w:rFonts w:ascii="Times New Roman" w:hAnsi="Times New Roman"/>
                <w:szCs w:val="24"/>
              </w:rPr>
            </w:pPr>
          </w:p>
        </w:tc>
        <w:tc>
          <w:tcPr>
            <w:tcW w:w="1916" w:type="dxa"/>
            <w:vAlign w:val="center"/>
          </w:tcPr>
          <w:p w:rsidR="007E4DA7" w:rsidRPr="00B370BE" w:rsidRDefault="001A7CCD" w:rsidP="00CF504E">
            <w:pPr>
              <w:tabs>
                <w:tab w:val="right" w:pos="1070"/>
                <w:tab w:val="decimal" w:pos="3732"/>
                <w:tab w:val="right" w:pos="5982"/>
              </w:tabs>
              <w:rPr>
                <w:rFonts w:ascii="Times New Roman" w:hAnsi="Times New Roman"/>
                <w:szCs w:val="24"/>
              </w:rPr>
            </w:pPr>
            <w:r>
              <w:rPr>
                <w:rFonts w:ascii="Times New Roman" w:hAnsi="Times New Roman"/>
                <w:szCs w:val="24"/>
              </w:rPr>
              <w:tab/>
            </w:r>
            <w:r w:rsidR="00745392">
              <w:rPr>
                <w:rFonts w:ascii="Times New Roman" w:hAnsi="Times New Roman"/>
                <w:szCs w:val="24"/>
              </w:rPr>
              <w:t>1,7</w:t>
            </w:r>
            <w:r w:rsidR="007E4DA7">
              <w:rPr>
                <w:rFonts w:ascii="Times New Roman" w:hAnsi="Times New Roman"/>
                <w:szCs w:val="24"/>
              </w:rPr>
              <w:t>55</w:t>
            </w:r>
          </w:p>
        </w:tc>
      </w:tr>
      <w:tr w:rsidR="007E4DA7" w:rsidRPr="00B370BE" w:rsidTr="007E4DA7">
        <w:tc>
          <w:tcPr>
            <w:tcW w:w="2748" w:type="dxa"/>
            <w:vAlign w:val="center"/>
          </w:tcPr>
          <w:p w:rsidR="007E4DA7" w:rsidRPr="00B370BE" w:rsidRDefault="007E4DA7" w:rsidP="007E4D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i/>
                <w:szCs w:val="24"/>
              </w:rPr>
            </w:pPr>
            <w:r w:rsidRPr="00B370BE">
              <w:rPr>
                <w:rFonts w:ascii="Times New Roman" w:hAnsi="Times New Roman"/>
                <w:i/>
                <w:szCs w:val="24"/>
              </w:rPr>
              <w:t>Proposed</w:t>
            </w:r>
          </w:p>
        </w:tc>
        <w:tc>
          <w:tcPr>
            <w:tcW w:w="1540" w:type="dxa"/>
            <w:vAlign w:val="center"/>
          </w:tcPr>
          <w:p w:rsidR="007E4DA7" w:rsidRPr="00B370BE" w:rsidRDefault="007E4DA7" w:rsidP="001A7CCD">
            <w:pPr>
              <w:tabs>
                <w:tab w:val="right" w:pos="867"/>
                <w:tab w:val="decimal" w:pos="3732"/>
                <w:tab w:val="right" w:pos="5982"/>
              </w:tabs>
              <w:rPr>
                <w:rFonts w:ascii="Times New Roman" w:hAnsi="Times New Roman"/>
                <w:szCs w:val="24"/>
              </w:rPr>
            </w:pPr>
          </w:p>
        </w:tc>
        <w:tc>
          <w:tcPr>
            <w:tcW w:w="1457" w:type="dxa"/>
            <w:vAlign w:val="center"/>
          </w:tcPr>
          <w:p w:rsidR="007E4DA7" w:rsidRPr="00B370BE" w:rsidRDefault="007E4DA7" w:rsidP="001A7CCD">
            <w:pPr>
              <w:tabs>
                <w:tab w:val="right" w:pos="867"/>
                <w:tab w:val="decimal" w:pos="3732"/>
                <w:tab w:val="right" w:pos="5982"/>
              </w:tabs>
              <w:jc w:val="center"/>
              <w:rPr>
                <w:rFonts w:ascii="Times New Roman" w:hAnsi="Times New Roman"/>
                <w:szCs w:val="24"/>
              </w:rPr>
            </w:pPr>
          </w:p>
        </w:tc>
        <w:tc>
          <w:tcPr>
            <w:tcW w:w="1915" w:type="dxa"/>
            <w:vAlign w:val="center"/>
          </w:tcPr>
          <w:p w:rsidR="007E4DA7" w:rsidRPr="00B370BE" w:rsidRDefault="007E4DA7" w:rsidP="001A7CCD">
            <w:pPr>
              <w:tabs>
                <w:tab w:val="right" w:pos="867"/>
                <w:tab w:val="decimal" w:pos="3732"/>
                <w:tab w:val="right" w:pos="5982"/>
              </w:tabs>
              <w:rPr>
                <w:rFonts w:ascii="Times New Roman" w:hAnsi="Times New Roman"/>
                <w:szCs w:val="24"/>
              </w:rPr>
            </w:pPr>
          </w:p>
        </w:tc>
        <w:tc>
          <w:tcPr>
            <w:tcW w:w="1916" w:type="dxa"/>
            <w:vAlign w:val="center"/>
          </w:tcPr>
          <w:p w:rsidR="007E4DA7" w:rsidRPr="00B370BE" w:rsidRDefault="007E4DA7" w:rsidP="00CF504E">
            <w:pPr>
              <w:tabs>
                <w:tab w:val="right" w:pos="1070"/>
                <w:tab w:val="decimal" w:pos="3732"/>
                <w:tab w:val="right" w:pos="5982"/>
              </w:tabs>
              <w:rPr>
                <w:rFonts w:ascii="Times New Roman" w:hAnsi="Times New Roman"/>
                <w:szCs w:val="24"/>
              </w:rPr>
            </w:pPr>
          </w:p>
        </w:tc>
      </w:tr>
      <w:tr w:rsidR="007E4DA7" w:rsidRPr="00B370BE" w:rsidTr="007E4DA7">
        <w:tc>
          <w:tcPr>
            <w:tcW w:w="2748" w:type="dxa"/>
            <w:vAlign w:val="center"/>
          </w:tcPr>
          <w:p w:rsidR="007E4DA7" w:rsidRPr="00B370BE" w:rsidRDefault="007E4DA7" w:rsidP="007E4D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B370BE">
              <w:rPr>
                <w:rFonts w:ascii="Times New Roman" w:hAnsi="Times New Roman"/>
                <w:szCs w:val="24"/>
              </w:rPr>
              <w:t>FR Y-9C filers</w:t>
            </w:r>
          </w:p>
        </w:tc>
        <w:tc>
          <w:tcPr>
            <w:tcW w:w="1540" w:type="dxa"/>
            <w:vAlign w:val="center"/>
          </w:tcPr>
          <w:p w:rsidR="007E4DA7" w:rsidRPr="00B370BE" w:rsidRDefault="001A7CCD" w:rsidP="001A7CCD">
            <w:pPr>
              <w:tabs>
                <w:tab w:val="right" w:pos="867"/>
                <w:tab w:val="decimal" w:pos="3732"/>
                <w:tab w:val="right" w:pos="5982"/>
              </w:tabs>
              <w:rPr>
                <w:rFonts w:ascii="Times New Roman" w:hAnsi="Times New Roman"/>
                <w:szCs w:val="24"/>
              </w:rPr>
            </w:pPr>
            <w:r>
              <w:rPr>
                <w:rFonts w:ascii="Times New Roman" w:hAnsi="Times New Roman"/>
                <w:szCs w:val="24"/>
              </w:rPr>
              <w:tab/>
            </w:r>
            <w:r w:rsidR="007E4DA7">
              <w:rPr>
                <w:rFonts w:ascii="Times New Roman" w:hAnsi="Times New Roman"/>
                <w:szCs w:val="24"/>
              </w:rPr>
              <w:t>25</w:t>
            </w:r>
          </w:p>
        </w:tc>
        <w:tc>
          <w:tcPr>
            <w:tcW w:w="1457" w:type="dxa"/>
            <w:vAlign w:val="center"/>
          </w:tcPr>
          <w:p w:rsidR="007E4DA7" w:rsidRPr="00B370BE" w:rsidRDefault="007E4DA7" w:rsidP="001A7CCD">
            <w:pPr>
              <w:tabs>
                <w:tab w:val="right" w:pos="867"/>
                <w:tab w:val="decimal" w:pos="3732"/>
                <w:tab w:val="right" w:pos="5982"/>
              </w:tabs>
              <w:jc w:val="center"/>
              <w:rPr>
                <w:rFonts w:ascii="Times New Roman" w:hAnsi="Times New Roman"/>
                <w:szCs w:val="24"/>
              </w:rPr>
            </w:pPr>
            <w:r w:rsidRPr="00B370BE">
              <w:rPr>
                <w:rFonts w:ascii="Times New Roman" w:hAnsi="Times New Roman"/>
                <w:szCs w:val="24"/>
              </w:rPr>
              <w:t>4</w:t>
            </w:r>
          </w:p>
        </w:tc>
        <w:tc>
          <w:tcPr>
            <w:tcW w:w="1915" w:type="dxa"/>
            <w:vAlign w:val="center"/>
          </w:tcPr>
          <w:p w:rsidR="007E4DA7" w:rsidRPr="00B370BE" w:rsidRDefault="007E4DA7" w:rsidP="001A7CCD">
            <w:pPr>
              <w:tabs>
                <w:tab w:val="right" w:pos="867"/>
                <w:tab w:val="decimal" w:pos="3732"/>
                <w:tab w:val="right" w:pos="5982"/>
              </w:tabs>
              <w:rPr>
                <w:rFonts w:ascii="Times New Roman" w:hAnsi="Times New Roman"/>
                <w:szCs w:val="24"/>
              </w:rPr>
            </w:pPr>
            <w:r w:rsidRPr="00B370BE">
              <w:rPr>
                <w:rFonts w:ascii="Times New Roman" w:hAnsi="Times New Roman"/>
                <w:szCs w:val="24"/>
              </w:rPr>
              <w:t xml:space="preserve"> </w:t>
            </w:r>
            <w:r w:rsidR="001A7CCD">
              <w:rPr>
                <w:rFonts w:ascii="Times New Roman" w:hAnsi="Times New Roman"/>
                <w:szCs w:val="24"/>
              </w:rPr>
              <w:tab/>
            </w:r>
            <w:r w:rsidRPr="00B370BE">
              <w:rPr>
                <w:rFonts w:ascii="Times New Roman" w:hAnsi="Times New Roman"/>
                <w:szCs w:val="24"/>
              </w:rPr>
              <w:t>16.5</w:t>
            </w:r>
          </w:p>
        </w:tc>
        <w:tc>
          <w:tcPr>
            <w:tcW w:w="1916" w:type="dxa"/>
            <w:vAlign w:val="center"/>
          </w:tcPr>
          <w:p w:rsidR="007E4DA7" w:rsidRPr="00B370BE" w:rsidRDefault="001A7CCD" w:rsidP="00CF504E">
            <w:pPr>
              <w:tabs>
                <w:tab w:val="right" w:pos="1070"/>
                <w:tab w:val="decimal" w:pos="3732"/>
                <w:tab w:val="right" w:pos="5982"/>
              </w:tabs>
              <w:rPr>
                <w:rFonts w:ascii="Times New Roman" w:hAnsi="Times New Roman"/>
                <w:szCs w:val="24"/>
              </w:rPr>
            </w:pPr>
            <w:r>
              <w:rPr>
                <w:rFonts w:ascii="Times New Roman" w:hAnsi="Times New Roman"/>
                <w:szCs w:val="24"/>
              </w:rPr>
              <w:tab/>
            </w:r>
            <w:r w:rsidR="007E4DA7" w:rsidRPr="00B370BE">
              <w:rPr>
                <w:rFonts w:ascii="Times New Roman" w:hAnsi="Times New Roman"/>
                <w:szCs w:val="24"/>
              </w:rPr>
              <w:t>1,</w:t>
            </w:r>
            <w:r w:rsidR="00745392">
              <w:rPr>
                <w:rFonts w:ascii="Times New Roman" w:hAnsi="Times New Roman"/>
                <w:szCs w:val="24"/>
              </w:rPr>
              <w:t>650</w:t>
            </w:r>
          </w:p>
        </w:tc>
      </w:tr>
      <w:tr w:rsidR="007E4DA7" w:rsidRPr="00B370BE" w:rsidTr="007E4DA7">
        <w:tc>
          <w:tcPr>
            <w:tcW w:w="2748" w:type="dxa"/>
            <w:vAlign w:val="center"/>
          </w:tcPr>
          <w:p w:rsidR="007E4DA7" w:rsidRPr="00B370BE" w:rsidRDefault="007E4DA7" w:rsidP="007E4D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B370BE">
              <w:rPr>
                <w:rFonts w:ascii="Times New Roman" w:hAnsi="Times New Roman"/>
                <w:szCs w:val="24"/>
              </w:rPr>
              <w:t>FR Y-9SP filers</w:t>
            </w:r>
          </w:p>
        </w:tc>
        <w:tc>
          <w:tcPr>
            <w:tcW w:w="1540" w:type="dxa"/>
            <w:vAlign w:val="center"/>
          </w:tcPr>
          <w:p w:rsidR="007E4DA7" w:rsidRPr="00B370BE" w:rsidRDefault="001A7CCD" w:rsidP="001A7CCD">
            <w:pPr>
              <w:tabs>
                <w:tab w:val="right" w:pos="867"/>
                <w:tab w:val="decimal" w:pos="3732"/>
                <w:tab w:val="right" w:pos="5982"/>
              </w:tabs>
              <w:rPr>
                <w:rFonts w:ascii="Times New Roman" w:hAnsi="Times New Roman"/>
                <w:szCs w:val="24"/>
              </w:rPr>
            </w:pPr>
            <w:r>
              <w:rPr>
                <w:rFonts w:ascii="Times New Roman" w:hAnsi="Times New Roman"/>
                <w:szCs w:val="24"/>
              </w:rPr>
              <w:tab/>
            </w:r>
            <w:r w:rsidR="007E4DA7">
              <w:rPr>
                <w:rFonts w:ascii="Times New Roman" w:hAnsi="Times New Roman"/>
                <w:szCs w:val="24"/>
              </w:rPr>
              <w:t>10</w:t>
            </w:r>
          </w:p>
        </w:tc>
        <w:tc>
          <w:tcPr>
            <w:tcW w:w="1457" w:type="dxa"/>
            <w:vAlign w:val="center"/>
          </w:tcPr>
          <w:p w:rsidR="007E4DA7" w:rsidRPr="00B370BE" w:rsidRDefault="007E4DA7" w:rsidP="001A7CCD">
            <w:pPr>
              <w:tabs>
                <w:tab w:val="right" w:pos="867"/>
                <w:tab w:val="decimal" w:pos="3732"/>
                <w:tab w:val="right" w:pos="5982"/>
              </w:tabs>
              <w:jc w:val="center"/>
              <w:rPr>
                <w:rFonts w:ascii="Times New Roman" w:hAnsi="Times New Roman"/>
                <w:szCs w:val="24"/>
              </w:rPr>
            </w:pPr>
            <w:r w:rsidRPr="00B370BE">
              <w:rPr>
                <w:rFonts w:ascii="Times New Roman" w:hAnsi="Times New Roman"/>
                <w:szCs w:val="24"/>
              </w:rPr>
              <w:t>2</w:t>
            </w:r>
          </w:p>
        </w:tc>
        <w:tc>
          <w:tcPr>
            <w:tcW w:w="1915" w:type="dxa"/>
            <w:vAlign w:val="center"/>
          </w:tcPr>
          <w:p w:rsidR="007E4DA7" w:rsidRPr="00B370BE" w:rsidRDefault="007E4DA7" w:rsidP="001A7CCD">
            <w:pPr>
              <w:tabs>
                <w:tab w:val="right" w:pos="867"/>
                <w:tab w:val="decimal" w:pos="3732"/>
                <w:tab w:val="right" w:pos="5982"/>
              </w:tabs>
              <w:rPr>
                <w:rFonts w:ascii="Times New Roman" w:hAnsi="Times New Roman"/>
                <w:szCs w:val="24"/>
              </w:rPr>
            </w:pPr>
            <w:r w:rsidRPr="00B370BE">
              <w:rPr>
                <w:rFonts w:ascii="Times New Roman" w:hAnsi="Times New Roman"/>
                <w:szCs w:val="24"/>
              </w:rPr>
              <w:t xml:space="preserve"> </w:t>
            </w:r>
            <w:r w:rsidR="001A7CCD">
              <w:rPr>
                <w:rFonts w:ascii="Times New Roman" w:hAnsi="Times New Roman"/>
                <w:szCs w:val="24"/>
              </w:rPr>
              <w:tab/>
            </w:r>
            <w:r w:rsidRPr="00B370BE">
              <w:rPr>
                <w:rFonts w:ascii="Times New Roman" w:hAnsi="Times New Roman"/>
                <w:szCs w:val="24"/>
              </w:rPr>
              <w:t>16.5</w:t>
            </w:r>
          </w:p>
        </w:tc>
        <w:tc>
          <w:tcPr>
            <w:tcW w:w="1916" w:type="dxa"/>
            <w:vAlign w:val="center"/>
          </w:tcPr>
          <w:p w:rsidR="007E4DA7" w:rsidRPr="00B370BE" w:rsidRDefault="001A7CCD" w:rsidP="00CF504E">
            <w:pPr>
              <w:tabs>
                <w:tab w:val="right" w:pos="1070"/>
                <w:tab w:val="decimal" w:pos="3732"/>
                <w:tab w:val="right" w:pos="5982"/>
              </w:tabs>
              <w:rPr>
                <w:rFonts w:ascii="Times New Roman" w:hAnsi="Times New Roman"/>
                <w:szCs w:val="24"/>
              </w:rPr>
            </w:pPr>
            <w:r>
              <w:rPr>
                <w:rFonts w:ascii="Times New Roman" w:hAnsi="Times New Roman"/>
                <w:szCs w:val="24"/>
              </w:rPr>
              <w:tab/>
              <w:t>3</w:t>
            </w:r>
            <w:r w:rsidR="00745392">
              <w:rPr>
                <w:rFonts w:ascii="Times New Roman" w:hAnsi="Times New Roman"/>
                <w:szCs w:val="24"/>
              </w:rPr>
              <w:t>30</w:t>
            </w:r>
          </w:p>
        </w:tc>
      </w:tr>
      <w:tr w:rsidR="007E4DA7" w:rsidRPr="00B370BE" w:rsidTr="007E4DA7">
        <w:tc>
          <w:tcPr>
            <w:tcW w:w="2748" w:type="dxa"/>
            <w:vAlign w:val="center"/>
          </w:tcPr>
          <w:p w:rsidR="007E4DA7" w:rsidRPr="00B370BE" w:rsidRDefault="007E4DA7" w:rsidP="007E4D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B370BE">
              <w:rPr>
                <w:rFonts w:ascii="Times New Roman" w:hAnsi="Times New Roman"/>
                <w:szCs w:val="24"/>
              </w:rPr>
              <w:t>FR Y-12A</w:t>
            </w:r>
          </w:p>
        </w:tc>
        <w:tc>
          <w:tcPr>
            <w:tcW w:w="1540" w:type="dxa"/>
            <w:vAlign w:val="center"/>
          </w:tcPr>
          <w:p w:rsidR="007E4DA7" w:rsidRPr="00B370BE" w:rsidRDefault="001A7CCD" w:rsidP="001A7CCD">
            <w:pPr>
              <w:tabs>
                <w:tab w:val="right" w:pos="867"/>
                <w:tab w:val="decimal" w:pos="3732"/>
                <w:tab w:val="right" w:pos="5982"/>
              </w:tabs>
              <w:rPr>
                <w:rFonts w:ascii="Times New Roman" w:hAnsi="Times New Roman"/>
                <w:szCs w:val="24"/>
                <w:u w:val="single"/>
              </w:rPr>
            </w:pPr>
            <w:r>
              <w:rPr>
                <w:rFonts w:ascii="Times New Roman" w:hAnsi="Times New Roman"/>
                <w:szCs w:val="24"/>
              </w:rPr>
              <w:tab/>
            </w:r>
            <w:r w:rsidR="007E4DA7">
              <w:rPr>
                <w:rFonts w:ascii="Times New Roman" w:hAnsi="Times New Roman"/>
                <w:szCs w:val="24"/>
                <w:u w:val="single"/>
              </w:rPr>
              <w:t>18</w:t>
            </w:r>
          </w:p>
        </w:tc>
        <w:tc>
          <w:tcPr>
            <w:tcW w:w="1457" w:type="dxa"/>
            <w:vAlign w:val="center"/>
          </w:tcPr>
          <w:p w:rsidR="007E4DA7" w:rsidRPr="00B370BE" w:rsidRDefault="007E4DA7" w:rsidP="001A7CCD">
            <w:pPr>
              <w:tabs>
                <w:tab w:val="right" w:pos="867"/>
                <w:tab w:val="decimal" w:pos="3732"/>
                <w:tab w:val="right" w:pos="5982"/>
              </w:tabs>
              <w:jc w:val="center"/>
              <w:rPr>
                <w:rFonts w:ascii="Times New Roman" w:hAnsi="Times New Roman"/>
                <w:szCs w:val="24"/>
              </w:rPr>
            </w:pPr>
            <w:r w:rsidRPr="00B370BE">
              <w:rPr>
                <w:rFonts w:ascii="Times New Roman" w:hAnsi="Times New Roman"/>
                <w:szCs w:val="24"/>
              </w:rPr>
              <w:t>1</w:t>
            </w:r>
          </w:p>
        </w:tc>
        <w:tc>
          <w:tcPr>
            <w:tcW w:w="1915" w:type="dxa"/>
            <w:vAlign w:val="center"/>
          </w:tcPr>
          <w:p w:rsidR="007E4DA7" w:rsidRPr="00B370BE" w:rsidRDefault="001A7CCD" w:rsidP="001A7CCD">
            <w:pPr>
              <w:tabs>
                <w:tab w:val="right" w:pos="867"/>
                <w:tab w:val="decimal" w:pos="3732"/>
                <w:tab w:val="right" w:pos="5982"/>
              </w:tabs>
              <w:rPr>
                <w:rFonts w:ascii="Times New Roman" w:hAnsi="Times New Roman"/>
                <w:szCs w:val="24"/>
              </w:rPr>
            </w:pPr>
            <w:r>
              <w:rPr>
                <w:rFonts w:ascii="Times New Roman" w:hAnsi="Times New Roman"/>
                <w:szCs w:val="24"/>
              </w:rPr>
              <w:tab/>
            </w:r>
            <w:r w:rsidR="007E4DA7" w:rsidRPr="00B370BE">
              <w:rPr>
                <w:rFonts w:ascii="Times New Roman" w:hAnsi="Times New Roman"/>
                <w:szCs w:val="24"/>
              </w:rPr>
              <w:t>7</w:t>
            </w:r>
            <w:r>
              <w:rPr>
                <w:rFonts w:ascii="Times New Roman" w:hAnsi="Times New Roman"/>
                <w:szCs w:val="24"/>
              </w:rPr>
              <w:t>.0</w:t>
            </w:r>
          </w:p>
        </w:tc>
        <w:tc>
          <w:tcPr>
            <w:tcW w:w="1916" w:type="dxa"/>
            <w:vAlign w:val="center"/>
          </w:tcPr>
          <w:p w:rsidR="007E4DA7" w:rsidRPr="00B370BE" w:rsidRDefault="001A7CCD" w:rsidP="00CF504E">
            <w:pPr>
              <w:tabs>
                <w:tab w:val="right" w:pos="1070"/>
                <w:tab w:val="decimal" w:pos="3732"/>
                <w:tab w:val="right" w:pos="5982"/>
              </w:tabs>
              <w:rPr>
                <w:rFonts w:ascii="Times New Roman" w:hAnsi="Times New Roman"/>
                <w:szCs w:val="24"/>
                <w:u w:val="single"/>
              </w:rPr>
            </w:pPr>
            <w:r>
              <w:rPr>
                <w:rFonts w:ascii="Times New Roman" w:hAnsi="Times New Roman"/>
                <w:szCs w:val="24"/>
              </w:rPr>
              <w:tab/>
            </w:r>
            <w:r w:rsidR="007E4DA7" w:rsidRPr="00B370BE">
              <w:rPr>
                <w:rFonts w:ascii="Times New Roman" w:hAnsi="Times New Roman"/>
                <w:szCs w:val="24"/>
                <w:u w:val="single"/>
              </w:rPr>
              <w:t xml:space="preserve">   </w:t>
            </w:r>
            <w:r w:rsidR="00745392">
              <w:rPr>
                <w:rFonts w:ascii="Times New Roman" w:hAnsi="Times New Roman"/>
                <w:szCs w:val="24"/>
                <w:u w:val="single"/>
              </w:rPr>
              <w:t>126</w:t>
            </w:r>
          </w:p>
        </w:tc>
      </w:tr>
      <w:tr w:rsidR="007E4DA7" w:rsidRPr="00B370BE" w:rsidTr="007E4DA7">
        <w:tc>
          <w:tcPr>
            <w:tcW w:w="2748" w:type="dxa"/>
            <w:vAlign w:val="center"/>
          </w:tcPr>
          <w:p w:rsidR="007E4DA7" w:rsidRPr="00B370BE" w:rsidRDefault="007E4DA7" w:rsidP="007E4D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i/>
                <w:szCs w:val="24"/>
              </w:rPr>
            </w:pPr>
            <w:r w:rsidRPr="00B370BE">
              <w:rPr>
                <w:rFonts w:ascii="Times New Roman" w:hAnsi="Times New Roman"/>
                <w:i/>
                <w:szCs w:val="24"/>
              </w:rPr>
              <w:t>Total</w:t>
            </w:r>
          </w:p>
        </w:tc>
        <w:tc>
          <w:tcPr>
            <w:tcW w:w="1540" w:type="dxa"/>
            <w:vAlign w:val="center"/>
          </w:tcPr>
          <w:p w:rsidR="007E4DA7" w:rsidRPr="00B370BE" w:rsidRDefault="001A7CCD" w:rsidP="001A7CCD">
            <w:pPr>
              <w:tabs>
                <w:tab w:val="right" w:pos="867"/>
                <w:tab w:val="decimal" w:pos="3732"/>
                <w:tab w:val="right" w:pos="5982"/>
              </w:tabs>
              <w:rPr>
                <w:rFonts w:ascii="Times New Roman" w:hAnsi="Times New Roman"/>
                <w:szCs w:val="24"/>
              </w:rPr>
            </w:pPr>
            <w:r>
              <w:rPr>
                <w:rFonts w:ascii="Times New Roman" w:hAnsi="Times New Roman"/>
                <w:szCs w:val="24"/>
              </w:rPr>
              <w:tab/>
            </w:r>
            <w:r w:rsidR="007E4DA7">
              <w:rPr>
                <w:rFonts w:ascii="Times New Roman" w:hAnsi="Times New Roman"/>
                <w:szCs w:val="24"/>
              </w:rPr>
              <w:t>53</w:t>
            </w:r>
          </w:p>
        </w:tc>
        <w:tc>
          <w:tcPr>
            <w:tcW w:w="1457" w:type="dxa"/>
            <w:vAlign w:val="center"/>
          </w:tcPr>
          <w:p w:rsidR="007E4DA7" w:rsidRPr="00B370BE" w:rsidRDefault="007E4DA7" w:rsidP="001A7CCD">
            <w:pPr>
              <w:tabs>
                <w:tab w:val="right" w:pos="867"/>
                <w:tab w:val="decimal" w:pos="3732"/>
                <w:tab w:val="right" w:pos="5982"/>
              </w:tabs>
              <w:rPr>
                <w:rFonts w:ascii="Times New Roman" w:hAnsi="Times New Roman"/>
                <w:szCs w:val="24"/>
              </w:rPr>
            </w:pPr>
          </w:p>
        </w:tc>
        <w:tc>
          <w:tcPr>
            <w:tcW w:w="1915" w:type="dxa"/>
            <w:vAlign w:val="center"/>
          </w:tcPr>
          <w:p w:rsidR="007E4DA7" w:rsidRPr="00B370BE" w:rsidRDefault="007E4DA7" w:rsidP="001A7CCD">
            <w:pPr>
              <w:tabs>
                <w:tab w:val="right" w:pos="867"/>
                <w:tab w:val="decimal" w:pos="3732"/>
                <w:tab w:val="right" w:pos="5982"/>
              </w:tabs>
              <w:rPr>
                <w:rFonts w:ascii="Times New Roman" w:hAnsi="Times New Roman"/>
                <w:szCs w:val="24"/>
              </w:rPr>
            </w:pPr>
          </w:p>
        </w:tc>
        <w:tc>
          <w:tcPr>
            <w:tcW w:w="1916" w:type="dxa"/>
            <w:vAlign w:val="center"/>
          </w:tcPr>
          <w:p w:rsidR="007E4DA7" w:rsidRDefault="001A7CCD" w:rsidP="00CF504E">
            <w:pPr>
              <w:tabs>
                <w:tab w:val="right" w:pos="1070"/>
                <w:tab w:val="decimal" w:pos="3732"/>
                <w:tab w:val="right" w:pos="5982"/>
              </w:tabs>
              <w:rPr>
                <w:rFonts w:ascii="Times New Roman" w:hAnsi="Times New Roman"/>
                <w:szCs w:val="24"/>
              </w:rPr>
            </w:pPr>
            <w:r>
              <w:rPr>
                <w:rFonts w:ascii="Times New Roman" w:hAnsi="Times New Roman"/>
                <w:szCs w:val="24"/>
              </w:rPr>
              <w:tab/>
            </w:r>
            <w:r w:rsidR="00357A85">
              <w:rPr>
                <w:rFonts w:ascii="Times New Roman" w:hAnsi="Times New Roman"/>
                <w:szCs w:val="24"/>
              </w:rPr>
              <w:t>2,106</w:t>
            </w:r>
          </w:p>
          <w:p w:rsidR="00745392" w:rsidRPr="00B370BE" w:rsidRDefault="00745392" w:rsidP="00CF504E">
            <w:pPr>
              <w:tabs>
                <w:tab w:val="right" w:pos="1070"/>
                <w:tab w:val="decimal" w:pos="3732"/>
                <w:tab w:val="right" w:pos="5982"/>
              </w:tabs>
              <w:rPr>
                <w:rFonts w:ascii="Times New Roman" w:hAnsi="Times New Roman"/>
                <w:szCs w:val="24"/>
              </w:rPr>
            </w:pPr>
          </w:p>
        </w:tc>
      </w:tr>
      <w:tr w:rsidR="007E4DA7" w:rsidRPr="00B370BE" w:rsidTr="007E4DA7">
        <w:tc>
          <w:tcPr>
            <w:tcW w:w="2748" w:type="dxa"/>
            <w:vAlign w:val="center"/>
          </w:tcPr>
          <w:p w:rsidR="007E4DA7" w:rsidRPr="00B370BE" w:rsidRDefault="007E4DA7" w:rsidP="007E4D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Cs w:val="24"/>
              </w:rPr>
            </w:pPr>
            <w:r w:rsidRPr="00B370BE">
              <w:rPr>
                <w:rFonts w:ascii="Times New Roman" w:hAnsi="Times New Roman"/>
                <w:i/>
                <w:szCs w:val="24"/>
              </w:rPr>
              <w:t>Change</w:t>
            </w:r>
          </w:p>
        </w:tc>
        <w:tc>
          <w:tcPr>
            <w:tcW w:w="1540" w:type="dxa"/>
            <w:vAlign w:val="center"/>
          </w:tcPr>
          <w:p w:rsidR="007E4DA7" w:rsidRPr="00B370BE" w:rsidRDefault="001A7CCD" w:rsidP="001A7CCD">
            <w:pPr>
              <w:tabs>
                <w:tab w:val="right" w:pos="867"/>
                <w:tab w:val="decimal" w:pos="3732"/>
                <w:tab w:val="right" w:pos="5982"/>
              </w:tabs>
              <w:rPr>
                <w:rFonts w:ascii="Times New Roman" w:hAnsi="Times New Roman"/>
                <w:szCs w:val="24"/>
              </w:rPr>
            </w:pPr>
            <w:r>
              <w:rPr>
                <w:rFonts w:ascii="Times New Roman" w:hAnsi="Times New Roman"/>
                <w:szCs w:val="24"/>
              </w:rPr>
              <w:tab/>
            </w:r>
            <w:r w:rsidR="00745392">
              <w:rPr>
                <w:rFonts w:ascii="Times New Roman" w:hAnsi="Times New Roman"/>
                <w:szCs w:val="24"/>
              </w:rPr>
              <w:t>+</w:t>
            </w:r>
            <w:r w:rsidR="007E4DA7">
              <w:rPr>
                <w:rFonts w:ascii="Times New Roman" w:hAnsi="Times New Roman"/>
                <w:szCs w:val="24"/>
              </w:rPr>
              <w:t>9</w:t>
            </w:r>
          </w:p>
        </w:tc>
        <w:tc>
          <w:tcPr>
            <w:tcW w:w="1457" w:type="dxa"/>
          </w:tcPr>
          <w:p w:rsidR="007E4DA7" w:rsidRPr="00B370BE" w:rsidRDefault="007E4DA7" w:rsidP="001A7CCD">
            <w:pPr>
              <w:tabs>
                <w:tab w:val="right" w:pos="867"/>
                <w:tab w:val="decimal" w:pos="3732"/>
                <w:tab w:val="right" w:pos="5982"/>
              </w:tabs>
              <w:rPr>
                <w:rFonts w:ascii="Times New Roman" w:hAnsi="Times New Roman"/>
                <w:szCs w:val="24"/>
              </w:rPr>
            </w:pPr>
          </w:p>
        </w:tc>
        <w:tc>
          <w:tcPr>
            <w:tcW w:w="1915" w:type="dxa"/>
            <w:vAlign w:val="center"/>
          </w:tcPr>
          <w:p w:rsidR="007E4DA7" w:rsidRPr="00B370BE" w:rsidRDefault="007E4DA7" w:rsidP="001A7CCD">
            <w:pPr>
              <w:tabs>
                <w:tab w:val="right" w:pos="867"/>
                <w:tab w:val="decimal" w:pos="3732"/>
                <w:tab w:val="right" w:pos="5982"/>
              </w:tabs>
              <w:rPr>
                <w:rFonts w:ascii="Times New Roman" w:hAnsi="Times New Roman"/>
                <w:szCs w:val="24"/>
              </w:rPr>
            </w:pPr>
          </w:p>
        </w:tc>
        <w:tc>
          <w:tcPr>
            <w:tcW w:w="1916" w:type="dxa"/>
            <w:vAlign w:val="bottom"/>
          </w:tcPr>
          <w:p w:rsidR="007E4DA7" w:rsidRPr="00B370BE" w:rsidRDefault="001A7CCD" w:rsidP="00CF504E">
            <w:pPr>
              <w:tabs>
                <w:tab w:val="right" w:pos="1070"/>
                <w:tab w:val="decimal" w:pos="3732"/>
                <w:tab w:val="right" w:pos="5982"/>
              </w:tabs>
              <w:rPr>
                <w:rFonts w:ascii="Times New Roman" w:hAnsi="Times New Roman"/>
                <w:szCs w:val="24"/>
              </w:rPr>
            </w:pPr>
            <w:r>
              <w:rPr>
                <w:rFonts w:ascii="Times New Roman" w:hAnsi="Times New Roman"/>
                <w:szCs w:val="24"/>
              </w:rPr>
              <w:tab/>
            </w:r>
            <w:r w:rsidR="007E4DA7" w:rsidRPr="00B370BE">
              <w:rPr>
                <w:rFonts w:ascii="Times New Roman" w:hAnsi="Times New Roman"/>
                <w:szCs w:val="24"/>
              </w:rPr>
              <w:t>+</w:t>
            </w:r>
            <w:r w:rsidR="00357A85">
              <w:rPr>
                <w:rFonts w:ascii="Times New Roman" w:hAnsi="Times New Roman"/>
                <w:szCs w:val="24"/>
              </w:rPr>
              <w:t>351</w:t>
            </w:r>
          </w:p>
        </w:tc>
      </w:tr>
    </w:tbl>
    <w:p w:rsidR="007E4DA7" w:rsidRPr="00B370BE" w:rsidRDefault="007E4DA7" w:rsidP="007E4DA7">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DD2E56" w:rsidRDefault="00DD2E56">
      <w:pPr>
        <w:widowControl/>
        <w:rPr>
          <w:rFonts w:ascii="Times New Roman" w:hAnsi="Times New Roman"/>
          <w:b/>
          <w:szCs w:val="24"/>
        </w:rPr>
      </w:pPr>
    </w:p>
    <w:p w:rsidR="00745392" w:rsidRDefault="00745392">
      <w:pPr>
        <w:widowControl/>
        <w:rPr>
          <w:rFonts w:ascii="Times New Roman" w:hAnsi="Times New Roman"/>
          <w:b/>
          <w:szCs w:val="24"/>
        </w:rPr>
      </w:pPr>
      <w:r>
        <w:rPr>
          <w:rFonts w:ascii="Times New Roman" w:hAnsi="Times New Roman"/>
          <w:b/>
          <w:szCs w:val="24"/>
        </w:rPr>
        <w:br w:type="page"/>
      </w:r>
    </w:p>
    <w:p w:rsidR="00052285" w:rsidRPr="00052285" w:rsidRDefault="00052285" w:rsidP="00DD2E56">
      <w:pPr>
        <w:widowControl/>
        <w:ind w:firstLine="720"/>
        <w:rPr>
          <w:rFonts w:ascii="Times New Roman" w:hAnsi="Times New Roman"/>
          <w:b/>
          <w:szCs w:val="24"/>
        </w:rPr>
      </w:pPr>
      <w:r w:rsidRPr="00052285">
        <w:rPr>
          <w:rFonts w:ascii="Times New Roman" w:hAnsi="Times New Roman"/>
          <w:b/>
          <w:szCs w:val="24"/>
        </w:rPr>
        <w:lastRenderedPageBreak/>
        <w:t>FR Y-7N and FR Y-7Q</w:t>
      </w:r>
    </w:p>
    <w:p w:rsidR="00052285" w:rsidRDefault="00052285" w:rsidP="00052285">
      <w:pPr>
        <w:widowControl/>
        <w:ind w:firstLine="720"/>
        <w:rPr>
          <w:rFonts w:ascii="Times New Roman" w:hAnsi="Times New Roman"/>
          <w:szCs w:val="24"/>
        </w:rPr>
      </w:pPr>
    </w:p>
    <w:p w:rsidR="00052285" w:rsidRDefault="00F1572E" w:rsidP="00052285">
      <w:pPr>
        <w:widowControl/>
        <w:ind w:firstLine="720"/>
        <w:rPr>
          <w:rFonts w:ascii="Times New Roman" w:hAnsi="Times New Roman"/>
          <w:szCs w:val="24"/>
        </w:rPr>
      </w:pPr>
      <w:r>
        <w:rPr>
          <w:rFonts w:ascii="Times New Roman" w:hAnsi="Times New Roman"/>
          <w:szCs w:val="24"/>
        </w:rPr>
        <w:t>As shown in the following table, t</w:t>
      </w:r>
      <w:r w:rsidR="00052285" w:rsidRPr="00B370BE">
        <w:rPr>
          <w:rFonts w:ascii="Times New Roman" w:hAnsi="Times New Roman"/>
          <w:szCs w:val="24"/>
        </w:rPr>
        <w:t xml:space="preserve">he current annual reporting burden for </w:t>
      </w:r>
      <w:r w:rsidR="00052285">
        <w:rPr>
          <w:rFonts w:ascii="Times New Roman" w:hAnsi="Times New Roman"/>
          <w:color w:val="000000"/>
          <w:szCs w:val="24"/>
        </w:rPr>
        <w:t>th</w:t>
      </w:r>
      <w:r w:rsidR="00D142AD">
        <w:rPr>
          <w:rFonts w:ascii="Times New Roman" w:hAnsi="Times New Roman"/>
          <w:color w:val="000000"/>
          <w:szCs w:val="24"/>
        </w:rPr>
        <w:t>e supplemental FR Y-7</w:t>
      </w:r>
      <w:r w:rsidR="00052285">
        <w:rPr>
          <w:rFonts w:ascii="Times New Roman" w:hAnsi="Times New Roman"/>
          <w:color w:val="000000"/>
          <w:szCs w:val="24"/>
        </w:rPr>
        <w:t xml:space="preserve"> family of reports </w:t>
      </w:r>
      <w:r w:rsidR="00052285" w:rsidRPr="00B370BE">
        <w:rPr>
          <w:rFonts w:ascii="Times New Roman" w:hAnsi="Times New Roman"/>
          <w:szCs w:val="24"/>
        </w:rPr>
        <w:t>is estimated to be</w:t>
      </w:r>
      <w:r w:rsidR="00C56C59">
        <w:rPr>
          <w:rFonts w:ascii="Times New Roman" w:hAnsi="Times New Roman"/>
          <w:szCs w:val="24"/>
        </w:rPr>
        <w:t xml:space="preserve"> 6,</w:t>
      </w:r>
      <w:r w:rsidR="00052285">
        <w:rPr>
          <w:rFonts w:ascii="Times New Roman" w:hAnsi="Times New Roman"/>
          <w:szCs w:val="24"/>
        </w:rPr>
        <w:t xml:space="preserve">906 hours and would increase to </w:t>
      </w:r>
      <w:r w:rsidR="00980671">
        <w:rPr>
          <w:rFonts w:ascii="Times New Roman" w:hAnsi="Times New Roman"/>
          <w:szCs w:val="24"/>
        </w:rPr>
        <w:t>7,518</w:t>
      </w:r>
      <w:r w:rsidR="00052285">
        <w:rPr>
          <w:rFonts w:ascii="Times New Roman" w:hAnsi="Times New Roman"/>
          <w:szCs w:val="24"/>
        </w:rPr>
        <w:t xml:space="preserve"> h</w:t>
      </w:r>
      <w:r w:rsidR="00052285" w:rsidRPr="00B370BE">
        <w:rPr>
          <w:rFonts w:ascii="Times New Roman" w:hAnsi="Times New Roman"/>
          <w:szCs w:val="24"/>
        </w:rPr>
        <w:t>ours</w:t>
      </w:r>
      <w:r>
        <w:rPr>
          <w:rFonts w:ascii="Times New Roman" w:hAnsi="Times New Roman"/>
          <w:szCs w:val="24"/>
        </w:rPr>
        <w:t>, effective 2013</w:t>
      </w:r>
      <w:r w:rsidR="00052285" w:rsidRPr="00B370BE">
        <w:rPr>
          <w:rFonts w:ascii="Times New Roman" w:hAnsi="Times New Roman"/>
          <w:szCs w:val="24"/>
        </w:rPr>
        <w:t>.</w:t>
      </w:r>
      <w:r w:rsidR="00052285">
        <w:rPr>
          <w:rFonts w:ascii="Times New Roman" w:hAnsi="Times New Roman"/>
          <w:szCs w:val="24"/>
        </w:rPr>
        <w:t xml:space="preserve">  </w:t>
      </w:r>
      <w:r w:rsidR="00486789">
        <w:rPr>
          <w:rFonts w:ascii="Times New Roman" w:hAnsi="Times New Roman"/>
          <w:szCs w:val="24"/>
        </w:rPr>
        <w:t>The estimated</w:t>
      </w:r>
      <w:r w:rsidR="00052285" w:rsidRPr="00B370BE">
        <w:rPr>
          <w:rFonts w:ascii="Times New Roman" w:hAnsi="Times New Roman"/>
          <w:szCs w:val="24"/>
        </w:rPr>
        <w:t xml:space="preserve"> annual</w:t>
      </w:r>
      <w:r w:rsidR="00052285">
        <w:rPr>
          <w:rFonts w:ascii="Times New Roman" w:hAnsi="Times New Roman"/>
          <w:szCs w:val="24"/>
        </w:rPr>
        <w:t xml:space="preserve"> burden for </w:t>
      </w:r>
      <w:r w:rsidR="00486789">
        <w:rPr>
          <w:rFonts w:ascii="Times New Roman" w:hAnsi="Times New Roman"/>
          <w:szCs w:val="24"/>
        </w:rPr>
        <w:t>FR Y-7N</w:t>
      </w:r>
      <w:r w:rsidR="0063605C">
        <w:rPr>
          <w:rFonts w:ascii="Times New Roman" w:hAnsi="Times New Roman"/>
          <w:szCs w:val="24"/>
        </w:rPr>
        <w:t>, FR Y-7NS</w:t>
      </w:r>
      <w:r w:rsidR="00486789">
        <w:rPr>
          <w:rFonts w:ascii="Times New Roman" w:hAnsi="Times New Roman"/>
          <w:szCs w:val="24"/>
        </w:rPr>
        <w:t xml:space="preserve"> and FR Y-7Q</w:t>
      </w:r>
      <w:r w:rsidR="00052285" w:rsidRPr="00B370BE">
        <w:rPr>
          <w:rFonts w:ascii="Times New Roman" w:hAnsi="Times New Roman"/>
          <w:szCs w:val="24"/>
        </w:rPr>
        <w:t xml:space="preserve"> represent</w:t>
      </w:r>
      <w:r w:rsidR="00486789">
        <w:rPr>
          <w:rFonts w:ascii="Times New Roman" w:hAnsi="Times New Roman"/>
          <w:szCs w:val="24"/>
        </w:rPr>
        <w:t>s</w:t>
      </w:r>
      <w:r w:rsidR="00052285" w:rsidRPr="00B370BE">
        <w:rPr>
          <w:rFonts w:ascii="Times New Roman" w:hAnsi="Times New Roman"/>
          <w:szCs w:val="24"/>
        </w:rPr>
        <w:t xml:space="preserve"> less than </w:t>
      </w:r>
      <w:r w:rsidR="00052285">
        <w:rPr>
          <w:rFonts w:ascii="Times New Roman" w:hAnsi="Times New Roman"/>
          <w:szCs w:val="24"/>
        </w:rPr>
        <w:t>1</w:t>
      </w:r>
      <w:r w:rsidR="00052285" w:rsidRPr="00B370BE">
        <w:rPr>
          <w:rFonts w:ascii="Times New Roman" w:hAnsi="Times New Roman"/>
          <w:szCs w:val="24"/>
        </w:rPr>
        <w:t xml:space="preserve"> percent of </w:t>
      </w:r>
      <w:r w:rsidR="00486789">
        <w:rPr>
          <w:rFonts w:ascii="Times New Roman" w:hAnsi="Times New Roman"/>
          <w:szCs w:val="24"/>
        </w:rPr>
        <w:t xml:space="preserve">the </w:t>
      </w:r>
      <w:r w:rsidR="00052285" w:rsidRPr="00B370BE">
        <w:rPr>
          <w:rFonts w:ascii="Times New Roman" w:hAnsi="Times New Roman"/>
          <w:szCs w:val="24"/>
        </w:rPr>
        <w:t>total Federal Reserve System paperwork burden.</w:t>
      </w:r>
    </w:p>
    <w:p w:rsidR="00052285" w:rsidRDefault="00052285" w:rsidP="00052285">
      <w:pPr>
        <w:widowControl/>
        <w:rPr>
          <w:rFonts w:ascii="Times New Roman" w:hAnsi="Times New Roman"/>
          <w:szCs w:val="24"/>
        </w:rPr>
      </w:pPr>
    </w:p>
    <w:tbl>
      <w:tblPr>
        <w:tblW w:w="0" w:type="auto"/>
        <w:jc w:val="center"/>
        <w:tblInd w:w="18" w:type="dxa"/>
        <w:tblBorders>
          <w:top w:val="single" w:sz="4" w:space="0" w:color="auto"/>
          <w:bottom w:val="single" w:sz="4" w:space="0" w:color="auto"/>
        </w:tblBorders>
        <w:tblLayout w:type="fixed"/>
        <w:tblLook w:val="01E0"/>
      </w:tblPr>
      <w:tblGrid>
        <w:gridCol w:w="2880"/>
        <w:gridCol w:w="1625"/>
        <w:gridCol w:w="1625"/>
        <w:gridCol w:w="1625"/>
        <w:gridCol w:w="1625"/>
      </w:tblGrid>
      <w:tr w:rsidR="00052285" w:rsidRPr="00B370BE" w:rsidTr="00A80F19">
        <w:trPr>
          <w:jc w:val="center"/>
        </w:trPr>
        <w:tc>
          <w:tcPr>
            <w:tcW w:w="2880" w:type="dxa"/>
            <w:tcBorders>
              <w:top w:val="single" w:sz="4" w:space="0" w:color="auto"/>
              <w:bottom w:val="single" w:sz="4" w:space="0" w:color="auto"/>
            </w:tcBorders>
            <w:vAlign w:val="bottom"/>
          </w:tcPr>
          <w:p w:rsidR="00052285" w:rsidRPr="00B370BE" w:rsidRDefault="00052285" w:rsidP="00A80F19">
            <w:pPr>
              <w:widowControl/>
              <w:rPr>
                <w:rFonts w:ascii="Times New Roman" w:hAnsi="Times New Roman"/>
                <w:szCs w:val="24"/>
              </w:rPr>
            </w:pPr>
            <w:r w:rsidRPr="00B370BE">
              <w:rPr>
                <w:rFonts w:ascii="Times New Roman" w:hAnsi="Times New Roman"/>
                <w:szCs w:val="24"/>
              </w:rPr>
              <w:br w:type="page"/>
            </w:r>
          </w:p>
        </w:tc>
        <w:tc>
          <w:tcPr>
            <w:tcW w:w="1625" w:type="dxa"/>
            <w:tcBorders>
              <w:top w:val="single" w:sz="4" w:space="0" w:color="auto"/>
              <w:bottom w:val="single" w:sz="4" w:space="0" w:color="auto"/>
            </w:tcBorders>
            <w:vAlign w:val="bottom"/>
          </w:tcPr>
          <w:p w:rsidR="00052285" w:rsidRPr="00B370BE" w:rsidRDefault="00052285" w:rsidP="00A80F19">
            <w:pPr>
              <w:widowControl/>
              <w:tabs>
                <w:tab w:val="left" w:pos="720"/>
              </w:tabs>
              <w:jc w:val="center"/>
              <w:rPr>
                <w:rFonts w:ascii="Times New Roman" w:hAnsi="Times New Roman"/>
                <w:i/>
                <w:szCs w:val="24"/>
              </w:rPr>
            </w:pPr>
            <w:r w:rsidRPr="00B370BE">
              <w:rPr>
                <w:rFonts w:ascii="Times New Roman" w:hAnsi="Times New Roman"/>
                <w:i/>
                <w:szCs w:val="24"/>
              </w:rPr>
              <w:t>Number</w:t>
            </w:r>
          </w:p>
          <w:p w:rsidR="00052285" w:rsidRPr="00B370BE" w:rsidRDefault="00052285" w:rsidP="00A80F19">
            <w:pPr>
              <w:widowControl/>
              <w:tabs>
                <w:tab w:val="left" w:pos="720"/>
              </w:tabs>
              <w:jc w:val="center"/>
              <w:rPr>
                <w:rFonts w:ascii="Times New Roman" w:hAnsi="Times New Roman"/>
                <w:i/>
                <w:szCs w:val="24"/>
              </w:rPr>
            </w:pPr>
            <w:r w:rsidRPr="00B370BE">
              <w:rPr>
                <w:rFonts w:ascii="Times New Roman" w:hAnsi="Times New Roman"/>
                <w:i/>
                <w:szCs w:val="24"/>
              </w:rPr>
              <w:t>of</w:t>
            </w:r>
          </w:p>
          <w:p w:rsidR="00052285" w:rsidRPr="00B370BE" w:rsidRDefault="00052285" w:rsidP="00A80F19">
            <w:pPr>
              <w:widowControl/>
              <w:tabs>
                <w:tab w:val="left" w:pos="720"/>
              </w:tabs>
              <w:jc w:val="center"/>
              <w:rPr>
                <w:rFonts w:ascii="Times New Roman" w:hAnsi="Times New Roman"/>
                <w:i/>
                <w:szCs w:val="24"/>
              </w:rPr>
            </w:pPr>
            <w:r w:rsidRPr="00B370BE">
              <w:rPr>
                <w:rFonts w:ascii="Times New Roman" w:hAnsi="Times New Roman"/>
                <w:i/>
                <w:szCs w:val="24"/>
              </w:rPr>
              <w:t>respondents</w:t>
            </w:r>
          </w:p>
        </w:tc>
        <w:tc>
          <w:tcPr>
            <w:tcW w:w="1625" w:type="dxa"/>
            <w:tcBorders>
              <w:top w:val="single" w:sz="4" w:space="0" w:color="auto"/>
              <w:bottom w:val="single" w:sz="4" w:space="0" w:color="auto"/>
            </w:tcBorders>
            <w:vAlign w:val="bottom"/>
          </w:tcPr>
          <w:p w:rsidR="00052285" w:rsidRPr="00B370BE" w:rsidRDefault="00052285" w:rsidP="00A80F19">
            <w:pPr>
              <w:widowControl/>
              <w:tabs>
                <w:tab w:val="left" w:pos="720"/>
              </w:tabs>
              <w:jc w:val="center"/>
              <w:rPr>
                <w:rFonts w:ascii="Times New Roman" w:hAnsi="Times New Roman"/>
                <w:i/>
                <w:szCs w:val="24"/>
              </w:rPr>
            </w:pPr>
            <w:r w:rsidRPr="00B370BE">
              <w:rPr>
                <w:rFonts w:ascii="Times New Roman" w:hAnsi="Times New Roman"/>
                <w:i/>
                <w:szCs w:val="24"/>
              </w:rPr>
              <w:t>Annual</w:t>
            </w:r>
          </w:p>
          <w:p w:rsidR="00052285" w:rsidRPr="00B370BE" w:rsidRDefault="00052285" w:rsidP="00A80F19">
            <w:pPr>
              <w:widowControl/>
              <w:tabs>
                <w:tab w:val="left" w:pos="720"/>
              </w:tabs>
              <w:jc w:val="center"/>
              <w:rPr>
                <w:rFonts w:ascii="Times New Roman" w:hAnsi="Times New Roman"/>
                <w:i/>
                <w:szCs w:val="24"/>
              </w:rPr>
            </w:pPr>
            <w:r w:rsidRPr="00B370BE">
              <w:rPr>
                <w:rFonts w:ascii="Times New Roman" w:hAnsi="Times New Roman"/>
                <w:i/>
                <w:szCs w:val="24"/>
              </w:rPr>
              <w:t>frequency</w:t>
            </w:r>
          </w:p>
        </w:tc>
        <w:tc>
          <w:tcPr>
            <w:tcW w:w="1625" w:type="dxa"/>
            <w:tcBorders>
              <w:top w:val="single" w:sz="4" w:space="0" w:color="auto"/>
              <w:bottom w:val="single" w:sz="4" w:space="0" w:color="auto"/>
            </w:tcBorders>
            <w:vAlign w:val="bottom"/>
          </w:tcPr>
          <w:p w:rsidR="00052285" w:rsidRPr="00B370BE" w:rsidRDefault="00052285" w:rsidP="00A80F19">
            <w:pPr>
              <w:widowControl/>
              <w:tabs>
                <w:tab w:val="left" w:pos="720"/>
              </w:tabs>
              <w:jc w:val="center"/>
              <w:rPr>
                <w:rFonts w:ascii="Times New Roman" w:hAnsi="Times New Roman"/>
                <w:i/>
                <w:szCs w:val="24"/>
              </w:rPr>
            </w:pPr>
            <w:r w:rsidRPr="00B370BE">
              <w:rPr>
                <w:rFonts w:ascii="Times New Roman" w:hAnsi="Times New Roman"/>
                <w:i/>
                <w:szCs w:val="24"/>
              </w:rPr>
              <w:t>Estimated</w:t>
            </w:r>
          </w:p>
          <w:p w:rsidR="00052285" w:rsidRPr="00B370BE" w:rsidRDefault="00052285" w:rsidP="00A80F19">
            <w:pPr>
              <w:widowControl/>
              <w:tabs>
                <w:tab w:val="left" w:pos="720"/>
              </w:tabs>
              <w:jc w:val="center"/>
              <w:rPr>
                <w:rFonts w:ascii="Times New Roman" w:hAnsi="Times New Roman"/>
                <w:i/>
                <w:szCs w:val="24"/>
              </w:rPr>
            </w:pPr>
            <w:r w:rsidRPr="00B370BE">
              <w:rPr>
                <w:rFonts w:ascii="Times New Roman" w:hAnsi="Times New Roman"/>
                <w:i/>
                <w:szCs w:val="24"/>
              </w:rPr>
              <w:t>average hours</w:t>
            </w:r>
          </w:p>
          <w:p w:rsidR="00052285" w:rsidRPr="00B370BE" w:rsidRDefault="00052285" w:rsidP="00A80F19">
            <w:pPr>
              <w:widowControl/>
              <w:tabs>
                <w:tab w:val="left" w:pos="720"/>
              </w:tabs>
              <w:jc w:val="center"/>
              <w:rPr>
                <w:rFonts w:ascii="Times New Roman" w:hAnsi="Times New Roman"/>
                <w:i/>
                <w:szCs w:val="24"/>
              </w:rPr>
            </w:pPr>
            <w:r w:rsidRPr="00B370BE">
              <w:rPr>
                <w:rFonts w:ascii="Times New Roman" w:hAnsi="Times New Roman"/>
                <w:i/>
                <w:szCs w:val="24"/>
              </w:rPr>
              <w:t>per response</w:t>
            </w:r>
          </w:p>
        </w:tc>
        <w:tc>
          <w:tcPr>
            <w:tcW w:w="1625" w:type="dxa"/>
            <w:tcBorders>
              <w:top w:val="single" w:sz="4" w:space="0" w:color="auto"/>
              <w:bottom w:val="single" w:sz="4" w:space="0" w:color="auto"/>
            </w:tcBorders>
            <w:vAlign w:val="bottom"/>
          </w:tcPr>
          <w:p w:rsidR="00052285" w:rsidRPr="00B370BE" w:rsidRDefault="00052285" w:rsidP="00A80F19">
            <w:pPr>
              <w:widowControl/>
              <w:tabs>
                <w:tab w:val="left" w:pos="720"/>
              </w:tabs>
              <w:jc w:val="center"/>
              <w:rPr>
                <w:rFonts w:ascii="Times New Roman" w:hAnsi="Times New Roman"/>
                <w:i/>
                <w:szCs w:val="24"/>
              </w:rPr>
            </w:pPr>
            <w:r w:rsidRPr="00B370BE">
              <w:rPr>
                <w:rFonts w:ascii="Times New Roman" w:hAnsi="Times New Roman"/>
                <w:i/>
                <w:szCs w:val="24"/>
              </w:rPr>
              <w:t>Estimated</w:t>
            </w:r>
          </w:p>
          <w:p w:rsidR="00052285" w:rsidRPr="00B370BE" w:rsidRDefault="00052285" w:rsidP="00A80F19">
            <w:pPr>
              <w:widowControl/>
              <w:tabs>
                <w:tab w:val="left" w:pos="720"/>
              </w:tabs>
              <w:jc w:val="center"/>
              <w:rPr>
                <w:rFonts w:ascii="Times New Roman" w:hAnsi="Times New Roman"/>
                <w:i/>
                <w:szCs w:val="24"/>
              </w:rPr>
            </w:pPr>
            <w:r w:rsidRPr="00B370BE">
              <w:rPr>
                <w:rFonts w:ascii="Times New Roman" w:hAnsi="Times New Roman"/>
                <w:i/>
                <w:szCs w:val="24"/>
              </w:rPr>
              <w:t>annual burden hours</w:t>
            </w:r>
          </w:p>
        </w:tc>
      </w:tr>
      <w:tr w:rsidR="00052285" w:rsidRPr="00B370BE" w:rsidTr="00A80F19">
        <w:trPr>
          <w:trHeight w:val="288"/>
          <w:jc w:val="center"/>
        </w:trPr>
        <w:tc>
          <w:tcPr>
            <w:tcW w:w="2880" w:type="dxa"/>
            <w:tcBorders>
              <w:top w:val="single" w:sz="4" w:space="0" w:color="auto"/>
            </w:tcBorders>
          </w:tcPr>
          <w:p w:rsidR="00052285" w:rsidRPr="00B370BE" w:rsidRDefault="00052285" w:rsidP="00A80F19">
            <w:pPr>
              <w:widowControl/>
              <w:rPr>
                <w:rFonts w:ascii="Times New Roman" w:hAnsi="Times New Roman"/>
                <w:szCs w:val="24"/>
              </w:rPr>
            </w:pPr>
          </w:p>
        </w:tc>
        <w:tc>
          <w:tcPr>
            <w:tcW w:w="1625" w:type="dxa"/>
            <w:tcBorders>
              <w:top w:val="single" w:sz="4" w:space="0" w:color="auto"/>
            </w:tcBorders>
            <w:vAlign w:val="center"/>
          </w:tcPr>
          <w:p w:rsidR="00052285" w:rsidRPr="00B370BE" w:rsidRDefault="00052285" w:rsidP="00A80F19">
            <w:pPr>
              <w:widowControl/>
              <w:tabs>
                <w:tab w:val="right" w:pos="972"/>
              </w:tabs>
              <w:rPr>
                <w:rFonts w:ascii="Times New Roman" w:hAnsi="Times New Roman"/>
                <w:szCs w:val="24"/>
              </w:rPr>
            </w:pPr>
          </w:p>
        </w:tc>
        <w:tc>
          <w:tcPr>
            <w:tcW w:w="1625" w:type="dxa"/>
            <w:tcBorders>
              <w:top w:val="single" w:sz="4" w:space="0" w:color="auto"/>
            </w:tcBorders>
          </w:tcPr>
          <w:p w:rsidR="00052285" w:rsidRPr="00B370BE" w:rsidRDefault="00052285" w:rsidP="00A80F19">
            <w:pPr>
              <w:widowControl/>
              <w:jc w:val="center"/>
              <w:rPr>
                <w:rFonts w:ascii="Times New Roman" w:hAnsi="Times New Roman"/>
                <w:szCs w:val="24"/>
              </w:rPr>
            </w:pPr>
          </w:p>
        </w:tc>
        <w:tc>
          <w:tcPr>
            <w:tcW w:w="1625" w:type="dxa"/>
            <w:tcBorders>
              <w:top w:val="single" w:sz="4" w:space="0" w:color="auto"/>
            </w:tcBorders>
            <w:vAlign w:val="center"/>
          </w:tcPr>
          <w:p w:rsidR="00052285" w:rsidRPr="00B370BE" w:rsidRDefault="00052285" w:rsidP="00A80F19">
            <w:pPr>
              <w:widowControl/>
              <w:tabs>
                <w:tab w:val="decimal" w:pos="770"/>
              </w:tabs>
              <w:rPr>
                <w:rFonts w:ascii="Times New Roman" w:hAnsi="Times New Roman"/>
                <w:szCs w:val="24"/>
              </w:rPr>
            </w:pPr>
          </w:p>
        </w:tc>
        <w:tc>
          <w:tcPr>
            <w:tcW w:w="1625" w:type="dxa"/>
            <w:tcBorders>
              <w:top w:val="single" w:sz="4" w:space="0" w:color="auto"/>
            </w:tcBorders>
            <w:vAlign w:val="bottom"/>
          </w:tcPr>
          <w:p w:rsidR="00052285" w:rsidRPr="00B370BE" w:rsidRDefault="00052285" w:rsidP="00A80F19">
            <w:pPr>
              <w:widowControl/>
              <w:jc w:val="center"/>
              <w:rPr>
                <w:rFonts w:ascii="Times New Roman" w:hAnsi="Times New Roman"/>
                <w:szCs w:val="24"/>
              </w:rPr>
            </w:pPr>
          </w:p>
        </w:tc>
      </w:tr>
      <w:tr w:rsidR="00052285" w:rsidRPr="00B370BE" w:rsidTr="00A80F19">
        <w:trPr>
          <w:trHeight w:val="288"/>
          <w:jc w:val="center"/>
        </w:trPr>
        <w:tc>
          <w:tcPr>
            <w:tcW w:w="2880" w:type="dxa"/>
            <w:vAlign w:val="center"/>
          </w:tcPr>
          <w:p w:rsidR="00052285" w:rsidRPr="00B370BE" w:rsidRDefault="00052285" w:rsidP="00A80F19">
            <w:pPr>
              <w:widowControl/>
              <w:tabs>
                <w:tab w:val="left" w:pos="-1080"/>
                <w:tab w:val="left" w:pos="-90"/>
                <w:tab w:val="left" w:pos="1440"/>
                <w:tab w:val="left" w:pos="2880"/>
                <w:tab w:val="left" w:pos="4320"/>
              </w:tabs>
              <w:rPr>
                <w:rFonts w:ascii="Times New Roman" w:hAnsi="Times New Roman"/>
                <w:b/>
                <w:szCs w:val="24"/>
                <w:u w:val="single"/>
              </w:rPr>
            </w:pPr>
            <w:r w:rsidRPr="00B370BE">
              <w:rPr>
                <w:rFonts w:ascii="Times New Roman" w:hAnsi="Times New Roman"/>
                <w:i/>
                <w:szCs w:val="24"/>
                <w:u w:val="single"/>
              </w:rPr>
              <w:t>Current</w:t>
            </w:r>
          </w:p>
        </w:tc>
        <w:tc>
          <w:tcPr>
            <w:tcW w:w="1625" w:type="dxa"/>
            <w:vAlign w:val="center"/>
          </w:tcPr>
          <w:p w:rsidR="00052285" w:rsidRPr="00B370BE" w:rsidRDefault="00052285" w:rsidP="00A80F19">
            <w:pPr>
              <w:widowControl/>
              <w:tabs>
                <w:tab w:val="right" w:pos="972"/>
              </w:tabs>
              <w:rPr>
                <w:rFonts w:ascii="Times New Roman" w:hAnsi="Times New Roman"/>
                <w:szCs w:val="24"/>
              </w:rPr>
            </w:pPr>
          </w:p>
        </w:tc>
        <w:tc>
          <w:tcPr>
            <w:tcW w:w="1625" w:type="dxa"/>
          </w:tcPr>
          <w:p w:rsidR="00052285" w:rsidRPr="00B370BE" w:rsidRDefault="00052285" w:rsidP="00A80F19">
            <w:pPr>
              <w:widowControl/>
              <w:jc w:val="center"/>
              <w:rPr>
                <w:rFonts w:ascii="Times New Roman" w:hAnsi="Times New Roman"/>
                <w:szCs w:val="24"/>
              </w:rPr>
            </w:pPr>
          </w:p>
        </w:tc>
        <w:tc>
          <w:tcPr>
            <w:tcW w:w="1625" w:type="dxa"/>
            <w:vAlign w:val="center"/>
          </w:tcPr>
          <w:p w:rsidR="00052285" w:rsidRPr="00B370BE" w:rsidRDefault="00052285" w:rsidP="00A80F19">
            <w:pPr>
              <w:widowControl/>
              <w:tabs>
                <w:tab w:val="decimal" w:pos="770"/>
              </w:tabs>
              <w:rPr>
                <w:rFonts w:ascii="Times New Roman" w:hAnsi="Times New Roman"/>
                <w:szCs w:val="24"/>
              </w:rPr>
            </w:pPr>
          </w:p>
        </w:tc>
        <w:tc>
          <w:tcPr>
            <w:tcW w:w="1625" w:type="dxa"/>
            <w:tcBorders>
              <w:bottom w:val="nil"/>
            </w:tcBorders>
            <w:vAlign w:val="bottom"/>
          </w:tcPr>
          <w:p w:rsidR="00052285" w:rsidRPr="00B370BE" w:rsidRDefault="00052285" w:rsidP="00A80F19">
            <w:pPr>
              <w:widowControl/>
              <w:jc w:val="center"/>
              <w:rPr>
                <w:rFonts w:ascii="Times New Roman" w:hAnsi="Times New Roman"/>
                <w:szCs w:val="24"/>
              </w:rPr>
            </w:pPr>
          </w:p>
        </w:tc>
      </w:tr>
      <w:tr w:rsidR="00052285" w:rsidRPr="00B370BE" w:rsidTr="00A80F19">
        <w:trPr>
          <w:trHeight w:val="288"/>
          <w:jc w:val="center"/>
        </w:trPr>
        <w:tc>
          <w:tcPr>
            <w:tcW w:w="2880" w:type="dxa"/>
            <w:vAlign w:val="center"/>
          </w:tcPr>
          <w:p w:rsidR="00052285" w:rsidRPr="00B370BE" w:rsidRDefault="00052285" w:rsidP="00A80F19">
            <w:pPr>
              <w:widowControl/>
              <w:rPr>
                <w:rFonts w:ascii="Times New Roman" w:hAnsi="Times New Roman"/>
                <w:szCs w:val="24"/>
              </w:rPr>
            </w:pPr>
            <w:r w:rsidRPr="00B370BE">
              <w:rPr>
                <w:rFonts w:ascii="Times New Roman" w:hAnsi="Times New Roman"/>
                <w:szCs w:val="24"/>
              </w:rPr>
              <w:t>FR Y-</w:t>
            </w:r>
            <w:r>
              <w:rPr>
                <w:rFonts w:ascii="Times New Roman" w:hAnsi="Times New Roman"/>
                <w:szCs w:val="24"/>
              </w:rPr>
              <w:t>7N (quarterly)</w:t>
            </w:r>
          </w:p>
        </w:tc>
        <w:tc>
          <w:tcPr>
            <w:tcW w:w="1625" w:type="dxa"/>
            <w:vAlign w:val="center"/>
          </w:tcPr>
          <w:p w:rsidR="00052285" w:rsidRPr="00B370BE" w:rsidRDefault="00E83C50" w:rsidP="00E83C50">
            <w:pPr>
              <w:widowControl/>
              <w:tabs>
                <w:tab w:val="right" w:pos="972"/>
              </w:tabs>
              <w:rPr>
                <w:rFonts w:ascii="Times New Roman" w:hAnsi="Times New Roman"/>
                <w:szCs w:val="24"/>
              </w:rPr>
            </w:pPr>
            <w:r>
              <w:rPr>
                <w:rFonts w:ascii="Times New Roman" w:hAnsi="Times New Roman"/>
                <w:szCs w:val="24"/>
              </w:rPr>
              <w:tab/>
              <w:t>1</w:t>
            </w:r>
            <w:r w:rsidR="00052285">
              <w:rPr>
                <w:rFonts w:ascii="Times New Roman" w:hAnsi="Times New Roman"/>
                <w:szCs w:val="24"/>
              </w:rPr>
              <w:t>82</w:t>
            </w:r>
          </w:p>
        </w:tc>
        <w:tc>
          <w:tcPr>
            <w:tcW w:w="1625" w:type="dxa"/>
            <w:vAlign w:val="center"/>
          </w:tcPr>
          <w:p w:rsidR="00052285" w:rsidRPr="00B370BE" w:rsidRDefault="00052285" w:rsidP="00A80F19">
            <w:pPr>
              <w:widowControl/>
              <w:jc w:val="center"/>
              <w:rPr>
                <w:rFonts w:ascii="Times New Roman" w:hAnsi="Times New Roman"/>
                <w:szCs w:val="24"/>
              </w:rPr>
            </w:pPr>
            <w:r>
              <w:rPr>
                <w:rFonts w:ascii="Times New Roman" w:hAnsi="Times New Roman"/>
                <w:szCs w:val="24"/>
              </w:rPr>
              <w:t>4</w:t>
            </w:r>
          </w:p>
        </w:tc>
        <w:tc>
          <w:tcPr>
            <w:tcW w:w="1625" w:type="dxa"/>
            <w:vAlign w:val="center"/>
          </w:tcPr>
          <w:p w:rsidR="00052285" w:rsidRPr="00B370BE" w:rsidRDefault="00052285" w:rsidP="00A80F19">
            <w:pPr>
              <w:widowControl/>
              <w:tabs>
                <w:tab w:val="decimal" w:pos="770"/>
              </w:tabs>
              <w:rPr>
                <w:rFonts w:ascii="Times New Roman" w:hAnsi="Times New Roman"/>
                <w:szCs w:val="24"/>
              </w:rPr>
            </w:pPr>
            <w:r>
              <w:rPr>
                <w:rFonts w:ascii="Times New Roman" w:hAnsi="Times New Roman"/>
                <w:szCs w:val="24"/>
              </w:rPr>
              <w:t>6</w:t>
            </w:r>
            <w:r w:rsidRPr="00B370BE">
              <w:rPr>
                <w:rFonts w:ascii="Times New Roman" w:hAnsi="Times New Roman"/>
                <w:szCs w:val="24"/>
              </w:rPr>
              <w:t>.</w:t>
            </w:r>
            <w:r>
              <w:rPr>
                <w:rFonts w:ascii="Times New Roman" w:hAnsi="Times New Roman"/>
                <w:szCs w:val="24"/>
              </w:rPr>
              <w:t>8</w:t>
            </w:r>
          </w:p>
        </w:tc>
        <w:tc>
          <w:tcPr>
            <w:tcW w:w="1625" w:type="dxa"/>
            <w:tcBorders>
              <w:top w:val="nil"/>
              <w:bottom w:val="nil"/>
            </w:tcBorders>
            <w:shd w:val="clear" w:color="auto" w:fill="auto"/>
            <w:vAlign w:val="bottom"/>
          </w:tcPr>
          <w:p w:rsidR="00052285" w:rsidRPr="00B370BE" w:rsidRDefault="00E83C50" w:rsidP="00E83C50">
            <w:pPr>
              <w:widowControl/>
              <w:tabs>
                <w:tab w:val="right" w:pos="1057"/>
              </w:tabs>
              <w:rPr>
                <w:rFonts w:ascii="Times New Roman" w:hAnsi="Times New Roman"/>
                <w:szCs w:val="24"/>
              </w:rPr>
            </w:pPr>
            <w:r>
              <w:rPr>
                <w:rFonts w:ascii="Times New Roman" w:hAnsi="Times New Roman"/>
                <w:szCs w:val="24"/>
              </w:rPr>
              <w:tab/>
            </w:r>
            <w:r w:rsidR="00052285">
              <w:rPr>
                <w:rFonts w:ascii="Times New Roman" w:hAnsi="Times New Roman"/>
                <w:szCs w:val="24"/>
              </w:rPr>
              <w:t>4,950</w:t>
            </w:r>
          </w:p>
        </w:tc>
      </w:tr>
      <w:tr w:rsidR="00052285" w:rsidRPr="00B370BE" w:rsidTr="00A80F19">
        <w:trPr>
          <w:trHeight w:val="288"/>
          <w:jc w:val="center"/>
        </w:trPr>
        <w:tc>
          <w:tcPr>
            <w:tcW w:w="2880" w:type="dxa"/>
            <w:vAlign w:val="center"/>
          </w:tcPr>
          <w:p w:rsidR="00052285" w:rsidRPr="00B370BE" w:rsidRDefault="00052285" w:rsidP="00A80F19">
            <w:pPr>
              <w:widowControl/>
              <w:rPr>
                <w:rFonts w:ascii="Times New Roman" w:hAnsi="Times New Roman"/>
                <w:szCs w:val="24"/>
              </w:rPr>
            </w:pPr>
            <w:r>
              <w:rPr>
                <w:rFonts w:ascii="Times New Roman" w:hAnsi="Times New Roman"/>
                <w:szCs w:val="24"/>
              </w:rPr>
              <w:t>FR Y-7N (annual)</w:t>
            </w:r>
          </w:p>
        </w:tc>
        <w:tc>
          <w:tcPr>
            <w:tcW w:w="1625" w:type="dxa"/>
            <w:vAlign w:val="center"/>
          </w:tcPr>
          <w:p w:rsidR="00052285" w:rsidRPr="00B370BE" w:rsidRDefault="00E83C50" w:rsidP="00A80F19">
            <w:pPr>
              <w:widowControl/>
              <w:tabs>
                <w:tab w:val="right" w:pos="972"/>
              </w:tabs>
              <w:rPr>
                <w:rFonts w:ascii="Times New Roman" w:hAnsi="Times New Roman"/>
                <w:szCs w:val="24"/>
              </w:rPr>
            </w:pPr>
            <w:r>
              <w:rPr>
                <w:rFonts w:ascii="Times New Roman" w:hAnsi="Times New Roman"/>
                <w:szCs w:val="24"/>
              </w:rPr>
              <w:tab/>
            </w:r>
            <w:r w:rsidR="00052285">
              <w:rPr>
                <w:rFonts w:ascii="Times New Roman" w:hAnsi="Times New Roman"/>
                <w:szCs w:val="24"/>
              </w:rPr>
              <w:t>192</w:t>
            </w:r>
          </w:p>
        </w:tc>
        <w:tc>
          <w:tcPr>
            <w:tcW w:w="1625" w:type="dxa"/>
            <w:vAlign w:val="center"/>
          </w:tcPr>
          <w:p w:rsidR="00052285" w:rsidRDefault="00052285" w:rsidP="00A80F19">
            <w:pPr>
              <w:widowControl/>
              <w:jc w:val="center"/>
              <w:rPr>
                <w:rFonts w:ascii="Times New Roman" w:hAnsi="Times New Roman"/>
                <w:szCs w:val="24"/>
              </w:rPr>
            </w:pPr>
            <w:r>
              <w:rPr>
                <w:rFonts w:ascii="Times New Roman" w:hAnsi="Times New Roman"/>
                <w:szCs w:val="24"/>
              </w:rPr>
              <w:t>1</w:t>
            </w:r>
          </w:p>
        </w:tc>
        <w:tc>
          <w:tcPr>
            <w:tcW w:w="1625" w:type="dxa"/>
            <w:vAlign w:val="center"/>
          </w:tcPr>
          <w:p w:rsidR="00052285" w:rsidRDefault="00052285" w:rsidP="00A80F19">
            <w:pPr>
              <w:widowControl/>
              <w:tabs>
                <w:tab w:val="decimal" w:pos="770"/>
              </w:tabs>
              <w:rPr>
                <w:rFonts w:ascii="Times New Roman" w:hAnsi="Times New Roman"/>
                <w:szCs w:val="24"/>
              </w:rPr>
            </w:pPr>
            <w:r>
              <w:rPr>
                <w:rFonts w:ascii="Times New Roman" w:hAnsi="Times New Roman"/>
                <w:szCs w:val="24"/>
              </w:rPr>
              <w:t>6.8</w:t>
            </w:r>
          </w:p>
        </w:tc>
        <w:tc>
          <w:tcPr>
            <w:tcW w:w="1625" w:type="dxa"/>
            <w:tcBorders>
              <w:top w:val="nil"/>
              <w:bottom w:val="nil"/>
            </w:tcBorders>
            <w:shd w:val="clear" w:color="auto" w:fill="auto"/>
            <w:vAlign w:val="bottom"/>
          </w:tcPr>
          <w:p w:rsidR="00052285" w:rsidRDefault="00E83C50" w:rsidP="00E83C50">
            <w:pPr>
              <w:widowControl/>
              <w:tabs>
                <w:tab w:val="right" w:pos="1057"/>
              </w:tabs>
              <w:rPr>
                <w:rFonts w:ascii="Times New Roman" w:hAnsi="Times New Roman"/>
                <w:szCs w:val="24"/>
              </w:rPr>
            </w:pPr>
            <w:r>
              <w:rPr>
                <w:rFonts w:ascii="Times New Roman" w:hAnsi="Times New Roman"/>
                <w:szCs w:val="24"/>
              </w:rPr>
              <w:tab/>
            </w:r>
            <w:r w:rsidR="00052285">
              <w:rPr>
                <w:rFonts w:ascii="Times New Roman" w:hAnsi="Times New Roman"/>
                <w:szCs w:val="24"/>
              </w:rPr>
              <w:t>1,305</w:t>
            </w:r>
          </w:p>
        </w:tc>
      </w:tr>
      <w:tr w:rsidR="00052285" w:rsidRPr="00B370BE" w:rsidTr="00A80F19">
        <w:trPr>
          <w:trHeight w:val="288"/>
          <w:jc w:val="center"/>
        </w:trPr>
        <w:tc>
          <w:tcPr>
            <w:tcW w:w="2880" w:type="dxa"/>
            <w:vAlign w:val="center"/>
          </w:tcPr>
          <w:p w:rsidR="00052285" w:rsidRDefault="00052285" w:rsidP="00A80F19">
            <w:pPr>
              <w:widowControl/>
              <w:rPr>
                <w:rFonts w:ascii="Times New Roman" w:hAnsi="Times New Roman"/>
                <w:szCs w:val="24"/>
              </w:rPr>
            </w:pPr>
            <w:r>
              <w:rPr>
                <w:rFonts w:ascii="Times New Roman" w:hAnsi="Times New Roman"/>
                <w:szCs w:val="24"/>
              </w:rPr>
              <w:t>FR Y-7NS</w:t>
            </w:r>
          </w:p>
        </w:tc>
        <w:tc>
          <w:tcPr>
            <w:tcW w:w="1625" w:type="dxa"/>
            <w:vAlign w:val="center"/>
          </w:tcPr>
          <w:p w:rsidR="00052285" w:rsidRDefault="00E83C50" w:rsidP="00A80F19">
            <w:pPr>
              <w:widowControl/>
              <w:tabs>
                <w:tab w:val="right" w:pos="972"/>
              </w:tabs>
              <w:rPr>
                <w:rFonts w:ascii="Times New Roman" w:hAnsi="Times New Roman"/>
                <w:szCs w:val="24"/>
              </w:rPr>
            </w:pPr>
            <w:r>
              <w:rPr>
                <w:rFonts w:ascii="Times New Roman" w:hAnsi="Times New Roman"/>
                <w:szCs w:val="24"/>
              </w:rPr>
              <w:tab/>
            </w:r>
            <w:r w:rsidR="00052285">
              <w:rPr>
                <w:rFonts w:ascii="Times New Roman" w:hAnsi="Times New Roman"/>
                <w:szCs w:val="24"/>
              </w:rPr>
              <w:t>231</w:t>
            </w:r>
          </w:p>
        </w:tc>
        <w:tc>
          <w:tcPr>
            <w:tcW w:w="1625" w:type="dxa"/>
            <w:vAlign w:val="center"/>
          </w:tcPr>
          <w:p w:rsidR="00052285" w:rsidRDefault="00052285" w:rsidP="00A80F19">
            <w:pPr>
              <w:widowControl/>
              <w:jc w:val="center"/>
              <w:rPr>
                <w:rFonts w:ascii="Times New Roman" w:hAnsi="Times New Roman"/>
                <w:szCs w:val="24"/>
              </w:rPr>
            </w:pPr>
            <w:r>
              <w:rPr>
                <w:rFonts w:ascii="Times New Roman" w:hAnsi="Times New Roman"/>
                <w:szCs w:val="24"/>
              </w:rPr>
              <w:t>1</w:t>
            </w:r>
          </w:p>
        </w:tc>
        <w:tc>
          <w:tcPr>
            <w:tcW w:w="1625" w:type="dxa"/>
            <w:vAlign w:val="center"/>
          </w:tcPr>
          <w:p w:rsidR="00052285" w:rsidRDefault="00052285" w:rsidP="00A80F19">
            <w:pPr>
              <w:widowControl/>
              <w:tabs>
                <w:tab w:val="decimal" w:pos="770"/>
              </w:tabs>
              <w:rPr>
                <w:rFonts w:ascii="Times New Roman" w:hAnsi="Times New Roman"/>
                <w:szCs w:val="24"/>
              </w:rPr>
            </w:pPr>
            <w:r>
              <w:rPr>
                <w:rFonts w:ascii="Times New Roman" w:hAnsi="Times New Roman"/>
                <w:szCs w:val="24"/>
              </w:rPr>
              <w:t xml:space="preserve">          1</w:t>
            </w:r>
          </w:p>
        </w:tc>
        <w:tc>
          <w:tcPr>
            <w:tcW w:w="1625" w:type="dxa"/>
            <w:tcBorders>
              <w:top w:val="nil"/>
              <w:bottom w:val="nil"/>
            </w:tcBorders>
            <w:shd w:val="clear" w:color="auto" w:fill="auto"/>
            <w:vAlign w:val="bottom"/>
          </w:tcPr>
          <w:p w:rsidR="00052285" w:rsidRDefault="00E83C50" w:rsidP="00E83C50">
            <w:pPr>
              <w:widowControl/>
              <w:tabs>
                <w:tab w:val="right" w:pos="1057"/>
              </w:tabs>
              <w:rPr>
                <w:rFonts w:ascii="Times New Roman" w:hAnsi="Times New Roman"/>
                <w:szCs w:val="24"/>
              </w:rPr>
            </w:pPr>
            <w:r>
              <w:rPr>
                <w:rFonts w:ascii="Times New Roman" w:hAnsi="Times New Roman"/>
                <w:szCs w:val="24"/>
              </w:rPr>
              <w:tab/>
            </w:r>
            <w:r w:rsidR="00052285">
              <w:rPr>
                <w:rFonts w:ascii="Times New Roman" w:hAnsi="Times New Roman"/>
                <w:szCs w:val="24"/>
              </w:rPr>
              <w:t>231</w:t>
            </w:r>
          </w:p>
        </w:tc>
      </w:tr>
      <w:tr w:rsidR="00052285" w:rsidRPr="00B370BE" w:rsidTr="00A80F19">
        <w:trPr>
          <w:trHeight w:val="288"/>
          <w:jc w:val="center"/>
        </w:trPr>
        <w:tc>
          <w:tcPr>
            <w:tcW w:w="2880" w:type="dxa"/>
            <w:vAlign w:val="center"/>
          </w:tcPr>
          <w:p w:rsidR="00052285" w:rsidRDefault="00052285" w:rsidP="00A80F19">
            <w:pPr>
              <w:widowControl/>
              <w:rPr>
                <w:rFonts w:ascii="Times New Roman" w:hAnsi="Times New Roman"/>
                <w:szCs w:val="24"/>
              </w:rPr>
            </w:pPr>
            <w:r>
              <w:rPr>
                <w:rFonts w:ascii="Times New Roman" w:hAnsi="Times New Roman"/>
                <w:szCs w:val="24"/>
              </w:rPr>
              <w:t>FR Y-7Q (quarterly)</w:t>
            </w:r>
          </w:p>
        </w:tc>
        <w:tc>
          <w:tcPr>
            <w:tcW w:w="1625" w:type="dxa"/>
            <w:vAlign w:val="center"/>
          </w:tcPr>
          <w:p w:rsidR="00052285" w:rsidRDefault="00E83C50" w:rsidP="00A80F19">
            <w:pPr>
              <w:widowControl/>
              <w:tabs>
                <w:tab w:val="right" w:pos="972"/>
              </w:tabs>
              <w:rPr>
                <w:rFonts w:ascii="Times New Roman" w:hAnsi="Times New Roman"/>
                <w:szCs w:val="24"/>
              </w:rPr>
            </w:pPr>
            <w:r>
              <w:rPr>
                <w:rFonts w:ascii="Times New Roman" w:hAnsi="Times New Roman"/>
                <w:szCs w:val="24"/>
              </w:rPr>
              <w:tab/>
            </w:r>
            <w:r w:rsidR="00052285">
              <w:rPr>
                <w:rFonts w:ascii="Times New Roman" w:hAnsi="Times New Roman"/>
                <w:szCs w:val="24"/>
              </w:rPr>
              <w:t>61</w:t>
            </w:r>
          </w:p>
        </w:tc>
        <w:tc>
          <w:tcPr>
            <w:tcW w:w="1625" w:type="dxa"/>
            <w:vAlign w:val="center"/>
          </w:tcPr>
          <w:p w:rsidR="00052285" w:rsidRDefault="00052285" w:rsidP="00A80F19">
            <w:pPr>
              <w:widowControl/>
              <w:jc w:val="center"/>
              <w:rPr>
                <w:rFonts w:ascii="Times New Roman" w:hAnsi="Times New Roman"/>
                <w:szCs w:val="24"/>
              </w:rPr>
            </w:pPr>
            <w:r>
              <w:rPr>
                <w:rFonts w:ascii="Times New Roman" w:hAnsi="Times New Roman"/>
                <w:szCs w:val="24"/>
              </w:rPr>
              <w:t>4</w:t>
            </w:r>
          </w:p>
        </w:tc>
        <w:tc>
          <w:tcPr>
            <w:tcW w:w="1625" w:type="dxa"/>
            <w:vAlign w:val="center"/>
          </w:tcPr>
          <w:p w:rsidR="00052285" w:rsidRDefault="00052285" w:rsidP="00A80F19">
            <w:pPr>
              <w:widowControl/>
              <w:tabs>
                <w:tab w:val="decimal" w:pos="770"/>
              </w:tabs>
              <w:rPr>
                <w:rFonts w:ascii="Times New Roman" w:hAnsi="Times New Roman"/>
                <w:szCs w:val="24"/>
              </w:rPr>
            </w:pPr>
            <w:r>
              <w:rPr>
                <w:rFonts w:ascii="Times New Roman" w:hAnsi="Times New Roman"/>
                <w:szCs w:val="24"/>
              </w:rPr>
              <w:t>1.25</w:t>
            </w:r>
          </w:p>
        </w:tc>
        <w:tc>
          <w:tcPr>
            <w:tcW w:w="1625" w:type="dxa"/>
            <w:tcBorders>
              <w:top w:val="nil"/>
              <w:bottom w:val="nil"/>
            </w:tcBorders>
            <w:shd w:val="clear" w:color="auto" w:fill="auto"/>
            <w:vAlign w:val="bottom"/>
          </w:tcPr>
          <w:p w:rsidR="00052285" w:rsidRDefault="00E83C50" w:rsidP="00E83C50">
            <w:pPr>
              <w:widowControl/>
              <w:tabs>
                <w:tab w:val="right" w:pos="1057"/>
              </w:tabs>
              <w:rPr>
                <w:rFonts w:ascii="Times New Roman" w:hAnsi="Times New Roman"/>
                <w:szCs w:val="24"/>
              </w:rPr>
            </w:pPr>
            <w:r>
              <w:rPr>
                <w:rFonts w:ascii="Times New Roman" w:hAnsi="Times New Roman"/>
                <w:szCs w:val="24"/>
              </w:rPr>
              <w:tab/>
            </w:r>
            <w:r w:rsidR="00052285">
              <w:rPr>
                <w:rFonts w:ascii="Times New Roman" w:hAnsi="Times New Roman"/>
                <w:szCs w:val="24"/>
              </w:rPr>
              <w:t>305</w:t>
            </w:r>
          </w:p>
        </w:tc>
      </w:tr>
      <w:tr w:rsidR="00052285" w:rsidRPr="00B370BE" w:rsidTr="00A80F19">
        <w:trPr>
          <w:trHeight w:val="288"/>
          <w:jc w:val="center"/>
        </w:trPr>
        <w:tc>
          <w:tcPr>
            <w:tcW w:w="2880" w:type="dxa"/>
            <w:vAlign w:val="center"/>
          </w:tcPr>
          <w:p w:rsidR="00052285" w:rsidRPr="00B370BE" w:rsidRDefault="00052285" w:rsidP="00A80F19">
            <w:pPr>
              <w:widowControl/>
              <w:rPr>
                <w:rFonts w:ascii="Times New Roman" w:hAnsi="Times New Roman"/>
                <w:szCs w:val="24"/>
              </w:rPr>
            </w:pPr>
            <w:r w:rsidRPr="00B370BE">
              <w:rPr>
                <w:rFonts w:ascii="Times New Roman" w:hAnsi="Times New Roman"/>
                <w:szCs w:val="24"/>
              </w:rPr>
              <w:t>FR Y-</w:t>
            </w:r>
            <w:r>
              <w:rPr>
                <w:rFonts w:ascii="Times New Roman" w:hAnsi="Times New Roman"/>
                <w:szCs w:val="24"/>
              </w:rPr>
              <w:t>7Q (annual)</w:t>
            </w:r>
          </w:p>
        </w:tc>
        <w:tc>
          <w:tcPr>
            <w:tcW w:w="1625" w:type="dxa"/>
            <w:vAlign w:val="center"/>
          </w:tcPr>
          <w:p w:rsidR="00052285" w:rsidRPr="00B370BE" w:rsidRDefault="00E83C50" w:rsidP="00E83C50">
            <w:pPr>
              <w:widowControl/>
              <w:tabs>
                <w:tab w:val="right" w:pos="972"/>
              </w:tabs>
              <w:rPr>
                <w:rFonts w:ascii="Times New Roman" w:hAnsi="Times New Roman"/>
                <w:szCs w:val="24"/>
                <w:u w:val="single"/>
              </w:rPr>
            </w:pPr>
            <w:r>
              <w:rPr>
                <w:rFonts w:ascii="Times New Roman" w:hAnsi="Times New Roman"/>
                <w:szCs w:val="24"/>
              </w:rPr>
              <w:tab/>
            </w:r>
            <w:r w:rsidR="00052285">
              <w:rPr>
                <w:rFonts w:ascii="Times New Roman" w:hAnsi="Times New Roman"/>
                <w:szCs w:val="24"/>
                <w:u w:val="single"/>
              </w:rPr>
              <w:t>115</w:t>
            </w:r>
          </w:p>
        </w:tc>
        <w:tc>
          <w:tcPr>
            <w:tcW w:w="1625" w:type="dxa"/>
            <w:vAlign w:val="center"/>
          </w:tcPr>
          <w:p w:rsidR="00052285" w:rsidRPr="00B370BE" w:rsidRDefault="00052285" w:rsidP="00A80F19">
            <w:pPr>
              <w:widowControl/>
              <w:jc w:val="center"/>
              <w:rPr>
                <w:rFonts w:ascii="Times New Roman" w:hAnsi="Times New Roman"/>
                <w:szCs w:val="24"/>
              </w:rPr>
            </w:pPr>
            <w:r>
              <w:rPr>
                <w:rFonts w:ascii="Times New Roman" w:hAnsi="Times New Roman"/>
                <w:szCs w:val="24"/>
              </w:rPr>
              <w:t>1</w:t>
            </w:r>
          </w:p>
        </w:tc>
        <w:tc>
          <w:tcPr>
            <w:tcW w:w="1625" w:type="dxa"/>
            <w:vAlign w:val="center"/>
          </w:tcPr>
          <w:p w:rsidR="00052285" w:rsidRPr="00B370BE" w:rsidRDefault="00052285" w:rsidP="00A80F19">
            <w:pPr>
              <w:widowControl/>
              <w:tabs>
                <w:tab w:val="decimal" w:pos="770"/>
              </w:tabs>
              <w:rPr>
                <w:rFonts w:ascii="Times New Roman" w:hAnsi="Times New Roman"/>
                <w:szCs w:val="24"/>
              </w:rPr>
            </w:pPr>
            <w:r>
              <w:rPr>
                <w:rFonts w:ascii="Times New Roman" w:hAnsi="Times New Roman"/>
                <w:szCs w:val="24"/>
              </w:rPr>
              <w:t>1</w:t>
            </w:r>
          </w:p>
        </w:tc>
        <w:tc>
          <w:tcPr>
            <w:tcW w:w="1625" w:type="dxa"/>
            <w:tcBorders>
              <w:top w:val="nil"/>
              <w:bottom w:val="nil"/>
            </w:tcBorders>
            <w:shd w:val="clear" w:color="auto" w:fill="auto"/>
            <w:vAlign w:val="bottom"/>
          </w:tcPr>
          <w:p w:rsidR="00052285" w:rsidRPr="00B370BE" w:rsidRDefault="00E83C50" w:rsidP="00E83C50">
            <w:pPr>
              <w:widowControl/>
              <w:tabs>
                <w:tab w:val="right" w:pos="1057"/>
              </w:tabs>
              <w:rPr>
                <w:rFonts w:ascii="Times New Roman" w:hAnsi="Times New Roman"/>
                <w:szCs w:val="24"/>
                <w:u w:val="single"/>
              </w:rPr>
            </w:pPr>
            <w:r>
              <w:rPr>
                <w:rFonts w:ascii="Times New Roman" w:hAnsi="Times New Roman"/>
                <w:szCs w:val="24"/>
              </w:rPr>
              <w:tab/>
            </w:r>
            <w:r w:rsidR="00052285">
              <w:rPr>
                <w:rFonts w:ascii="Times New Roman" w:hAnsi="Times New Roman"/>
                <w:szCs w:val="24"/>
                <w:u w:val="single"/>
              </w:rPr>
              <w:t xml:space="preserve"> </w:t>
            </w:r>
            <w:r>
              <w:rPr>
                <w:rFonts w:ascii="Times New Roman" w:hAnsi="Times New Roman"/>
                <w:szCs w:val="24"/>
                <w:u w:val="single"/>
              </w:rPr>
              <w:t xml:space="preserve"> </w:t>
            </w:r>
            <w:r w:rsidR="00052285">
              <w:rPr>
                <w:rFonts w:ascii="Times New Roman" w:hAnsi="Times New Roman"/>
                <w:szCs w:val="24"/>
                <w:u w:val="single"/>
              </w:rPr>
              <w:t xml:space="preserve"> 115</w:t>
            </w:r>
            <w:r w:rsidR="00052285" w:rsidRPr="00B370BE">
              <w:rPr>
                <w:rFonts w:ascii="Times New Roman" w:hAnsi="Times New Roman"/>
                <w:szCs w:val="24"/>
                <w:u w:val="single"/>
              </w:rPr>
              <w:t xml:space="preserve">      </w:t>
            </w:r>
          </w:p>
        </w:tc>
      </w:tr>
      <w:tr w:rsidR="00052285" w:rsidRPr="00B370BE" w:rsidTr="00A80F19">
        <w:trPr>
          <w:trHeight w:val="288"/>
          <w:jc w:val="center"/>
        </w:trPr>
        <w:tc>
          <w:tcPr>
            <w:tcW w:w="2880" w:type="dxa"/>
            <w:vAlign w:val="center"/>
          </w:tcPr>
          <w:p w:rsidR="00052285" w:rsidRPr="00B370BE" w:rsidRDefault="00052285" w:rsidP="00A80F19">
            <w:pPr>
              <w:widowControl/>
              <w:jc w:val="right"/>
              <w:rPr>
                <w:rFonts w:ascii="Times New Roman" w:hAnsi="Times New Roman"/>
                <w:szCs w:val="24"/>
              </w:rPr>
            </w:pPr>
            <w:r w:rsidRPr="00B370BE">
              <w:rPr>
                <w:rFonts w:ascii="Times New Roman" w:hAnsi="Times New Roman"/>
                <w:i/>
                <w:szCs w:val="24"/>
              </w:rPr>
              <w:t>Total</w:t>
            </w:r>
          </w:p>
        </w:tc>
        <w:tc>
          <w:tcPr>
            <w:tcW w:w="1625" w:type="dxa"/>
            <w:vAlign w:val="center"/>
          </w:tcPr>
          <w:p w:rsidR="00052285" w:rsidRPr="00B370BE" w:rsidRDefault="00E83C50" w:rsidP="00A80F19">
            <w:pPr>
              <w:widowControl/>
              <w:tabs>
                <w:tab w:val="right" w:pos="972"/>
              </w:tabs>
              <w:rPr>
                <w:rFonts w:ascii="Times New Roman" w:hAnsi="Times New Roman"/>
                <w:szCs w:val="24"/>
              </w:rPr>
            </w:pPr>
            <w:r>
              <w:rPr>
                <w:rFonts w:ascii="Times New Roman" w:hAnsi="Times New Roman"/>
                <w:szCs w:val="24"/>
              </w:rPr>
              <w:tab/>
            </w:r>
            <w:r w:rsidR="00052285">
              <w:rPr>
                <w:rFonts w:ascii="Times New Roman" w:hAnsi="Times New Roman"/>
                <w:szCs w:val="24"/>
              </w:rPr>
              <w:t>781</w:t>
            </w:r>
          </w:p>
        </w:tc>
        <w:tc>
          <w:tcPr>
            <w:tcW w:w="1625" w:type="dxa"/>
          </w:tcPr>
          <w:p w:rsidR="00052285" w:rsidRPr="00B370BE" w:rsidRDefault="00052285" w:rsidP="00A80F19">
            <w:pPr>
              <w:widowControl/>
              <w:jc w:val="center"/>
              <w:rPr>
                <w:rFonts w:ascii="Times New Roman" w:hAnsi="Times New Roman"/>
                <w:szCs w:val="24"/>
              </w:rPr>
            </w:pPr>
          </w:p>
        </w:tc>
        <w:tc>
          <w:tcPr>
            <w:tcW w:w="1625" w:type="dxa"/>
            <w:vAlign w:val="center"/>
          </w:tcPr>
          <w:p w:rsidR="00052285" w:rsidRPr="00B370BE" w:rsidRDefault="00052285" w:rsidP="00A80F19">
            <w:pPr>
              <w:widowControl/>
              <w:tabs>
                <w:tab w:val="decimal" w:pos="770"/>
              </w:tabs>
              <w:rPr>
                <w:rFonts w:ascii="Times New Roman" w:hAnsi="Times New Roman"/>
                <w:szCs w:val="24"/>
              </w:rPr>
            </w:pPr>
          </w:p>
        </w:tc>
        <w:tc>
          <w:tcPr>
            <w:tcW w:w="1625" w:type="dxa"/>
            <w:tcBorders>
              <w:top w:val="nil"/>
              <w:bottom w:val="nil"/>
            </w:tcBorders>
            <w:shd w:val="clear" w:color="auto" w:fill="auto"/>
            <w:vAlign w:val="bottom"/>
          </w:tcPr>
          <w:p w:rsidR="00052285" w:rsidRPr="00B370BE" w:rsidRDefault="00E83C50" w:rsidP="00E83C50">
            <w:pPr>
              <w:widowControl/>
              <w:tabs>
                <w:tab w:val="right" w:pos="1057"/>
              </w:tabs>
              <w:rPr>
                <w:rFonts w:ascii="Times New Roman" w:hAnsi="Times New Roman"/>
                <w:szCs w:val="24"/>
              </w:rPr>
            </w:pPr>
            <w:r>
              <w:rPr>
                <w:rFonts w:ascii="Times New Roman" w:hAnsi="Times New Roman"/>
                <w:szCs w:val="24"/>
              </w:rPr>
              <w:tab/>
            </w:r>
            <w:r w:rsidR="00052285">
              <w:rPr>
                <w:rFonts w:ascii="Times New Roman" w:hAnsi="Times New Roman"/>
                <w:szCs w:val="24"/>
              </w:rPr>
              <w:t>6,906</w:t>
            </w:r>
          </w:p>
        </w:tc>
      </w:tr>
      <w:tr w:rsidR="00052285" w:rsidRPr="00B370BE" w:rsidTr="00A80F19">
        <w:trPr>
          <w:trHeight w:val="288"/>
          <w:jc w:val="center"/>
        </w:trPr>
        <w:tc>
          <w:tcPr>
            <w:tcW w:w="2880" w:type="dxa"/>
            <w:vAlign w:val="center"/>
          </w:tcPr>
          <w:p w:rsidR="00052285" w:rsidRPr="00B370BE" w:rsidRDefault="00052285" w:rsidP="00A80F19">
            <w:pPr>
              <w:widowControl/>
              <w:rPr>
                <w:rFonts w:ascii="Times New Roman" w:hAnsi="Times New Roman"/>
                <w:szCs w:val="24"/>
              </w:rPr>
            </w:pPr>
          </w:p>
        </w:tc>
        <w:tc>
          <w:tcPr>
            <w:tcW w:w="1625" w:type="dxa"/>
            <w:vAlign w:val="center"/>
          </w:tcPr>
          <w:p w:rsidR="00052285" w:rsidRPr="00B370BE" w:rsidRDefault="00052285" w:rsidP="00A80F19">
            <w:pPr>
              <w:widowControl/>
              <w:tabs>
                <w:tab w:val="right" w:pos="972"/>
              </w:tabs>
              <w:rPr>
                <w:rFonts w:ascii="Times New Roman" w:hAnsi="Times New Roman"/>
                <w:szCs w:val="24"/>
              </w:rPr>
            </w:pPr>
          </w:p>
        </w:tc>
        <w:tc>
          <w:tcPr>
            <w:tcW w:w="1625" w:type="dxa"/>
          </w:tcPr>
          <w:p w:rsidR="00052285" w:rsidRPr="00B370BE" w:rsidRDefault="00052285" w:rsidP="00A80F19">
            <w:pPr>
              <w:widowControl/>
              <w:jc w:val="center"/>
              <w:rPr>
                <w:rFonts w:ascii="Times New Roman" w:hAnsi="Times New Roman"/>
                <w:szCs w:val="24"/>
              </w:rPr>
            </w:pPr>
          </w:p>
        </w:tc>
        <w:tc>
          <w:tcPr>
            <w:tcW w:w="1625" w:type="dxa"/>
            <w:vAlign w:val="center"/>
          </w:tcPr>
          <w:p w:rsidR="00052285" w:rsidRPr="00B370BE" w:rsidRDefault="00052285" w:rsidP="00A80F19">
            <w:pPr>
              <w:widowControl/>
              <w:tabs>
                <w:tab w:val="decimal" w:pos="770"/>
              </w:tabs>
              <w:rPr>
                <w:rFonts w:ascii="Times New Roman" w:hAnsi="Times New Roman"/>
                <w:szCs w:val="24"/>
              </w:rPr>
            </w:pPr>
          </w:p>
        </w:tc>
        <w:tc>
          <w:tcPr>
            <w:tcW w:w="1625" w:type="dxa"/>
            <w:tcBorders>
              <w:top w:val="nil"/>
              <w:bottom w:val="nil"/>
            </w:tcBorders>
            <w:shd w:val="clear" w:color="auto" w:fill="auto"/>
            <w:vAlign w:val="bottom"/>
          </w:tcPr>
          <w:p w:rsidR="00052285" w:rsidRPr="00B370BE" w:rsidRDefault="00052285" w:rsidP="00E83C50">
            <w:pPr>
              <w:widowControl/>
              <w:tabs>
                <w:tab w:val="right" w:pos="1057"/>
              </w:tabs>
              <w:jc w:val="center"/>
              <w:rPr>
                <w:rFonts w:ascii="Times New Roman" w:hAnsi="Times New Roman"/>
                <w:szCs w:val="24"/>
              </w:rPr>
            </w:pPr>
          </w:p>
        </w:tc>
      </w:tr>
      <w:tr w:rsidR="00052285" w:rsidRPr="00B370BE" w:rsidTr="00A80F19">
        <w:trPr>
          <w:trHeight w:val="288"/>
          <w:jc w:val="center"/>
        </w:trPr>
        <w:tc>
          <w:tcPr>
            <w:tcW w:w="2880" w:type="dxa"/>
            <w:vAlign w:val="center"/>
          </w:tcPr>
          <w:p w:rsidR="00052285" w:rsidRPr="00B370BE" w:rsidRDefault="00052285" w:rsidP="00A80F19">
            <w:pPr>
              <w:widowControl/>
              <w:rPr>
                <w:rFonts w:ascii="Times New Roman" w:hAnsi="Times New Roman"/>
                <w:szCs w:val="24"/>
                <w:u w:val="single"/>
              </w:rPr>
            </w:pPr>
            <w:r w:rsidRPr="00B370BE">
              <w:rPr>
                <w:rFonts w:ascii="Times New Roman" w:hAnsi="Times New Roman"/>
                <w:i/>
                <w:szCs w:val="24"/>
                <w:u w:val="single"/>
              </w:rPr>
              <w:t>Proposed</w:t>
            </w:r>
          </w:p>
        </w:tc>
        <w:tc>
          <w:tcPr>
            <w:tcW w:w="1625" w:type="dxa"/>
            <w:vAlign w:val="center"/>
          </w:tcPr>
          <w:p w:rsidR="00052285" w:rsidRPr="00B370BE" w:rsidRDefault="00052285" w:rsidP="00A80F19">
            <w:pPr>
              <w:widowControl/>
              <w:tabs>
                <w:tab w:val="right" w:pos="972"/>
              </w:tabs>
              <w:rPr>
                <w:rFonts w:ascii="Times New Roman" w:hAnsi="Times New Roman"/>
                <w:szCs w:val="24"/>
              </w:rPr>
            </w:pPr>
          </w:p>
        </w:tc>
        <w:tc>
          <w:tcPr>
            <w:tcW w:w="1625" w:type="dxa"/>
          </w:tcPr>
          <w:p w:rsidR="00052285" w:rsidRPr="00B370BE" w:rsidRDefault="00052285" w:rsidP="00A80F19">
            <w:pPr>
              <w:widowControl/>
              <w:jc w:val="center"/>
              <w:rPr>
                <w:rFonts w:ascii="Times New Roman" w:hAnsi="Times New Roman"/>
                <w:szCs w:val="24"/>
              </w:rPr>
            </w:pPr>
          </w:p>
        </w:tc>
        <w:tc>
          <w:tcPr>
            <w:tcW w:w="1625" w:type="dxa"/>
            <w:vAlign w:val="center"/>
          </w:tcPr>
          <w:p w:rsidR="00052285" w:rsidRPr="00B370BE" w:rsidRDefault="00052285" w:rsidP="00A80F19">
            <w:pPr>
              <w:widowControl/>
              <w:tabs>
                <w:tab w:val="decimal" w:pos="770"/>
              </w:tabs>
              <w:rPr>
                <w:rFonts w:ascii="Times New Roman" w:hAnsi="Times New Roman"/>
                <w:szCs w:val="24"/>
              </w:rPr>
            </w:pPr>
          </w:p>
        </w:tc>
        <w:tc>
          <w:tcPr>
            <w:tcW w:w="1625" w:type="dxa"/>
            <w:tcBorders>
              <w:top w:val="nil"/>
              <w:bottom w:val="nil"/>
            </w:tcBorders>
            <w:shd w:val="clear" w:color="auto" w:fill="auto"/>
            <w:vAlign w:val="bottom"/>
          </w:tcPr>
          <w:p w:rsidR="00052285" w:rsidRPr="00B370BE" w:rsidRDefault="00052285" w:rsidP="00E83C50">
            <w:pPr>
              <w:widowControl/>
              <w:tabs>
                <w:tab w:val="right" w:pos="1057"/>
              </w:tabs>
              <w:jc w:val="center"/>
              <w:rPr>
                <w:rFonts w:ascii="Times New Roman" w:hAnsi="Times New Roman"/>
                <w:szCs w:val="24"/>
              </w:rPr>
            </w:pPr>
          </w:p>
        </w:tc>
      </w:tr>
      <w:tr w:rsidR="00052285" w:rsidRPr="00B370BE" w:rsidTr="00A80F19">
        <w:trPr>
          <w:trHeight w:val="288"/>
          <w:jc w:val="center"/>
        </w:trPr>
        <w:tc>
          <w:tcPr>
            <w:tcW w:w="2880" w:type="dxa"/>
            <w:vAlign w:val="center"/>
          </w:tcPr>
          <w:p w:rsidR="00052285" w:rsidRPr="00B370BE" w:rsidRDefault="00052285" w:rsidP="00A80F19">
            <w:pPr>
              <w:widowControl/>
              <w:rPr>
                <w:rFonts w:ascii="Times New Roman" w:hAnsi="Times New Roman"/>
                <w:szCs w:val="24"/>
              </w:rPr>
            </w:pPr>
            <w:r w:rsidRPr="00B370BE">
              <w:rPr>
                <w:rFonts w:ascii="Times New Roman" w:hAnsi="Times New Roman"/>
                <w:szCs w:val="24"/>
              </w:rPr>
              <w:t>FR Y-</w:t>
            </w:r>
            <w:r>
              <w:rPr>
                <w:rFonts w:ascii="Times New Roman" w:hAnsi="Times New Roman"/>
                <w:szCs w:val="24"/>
              </w:rPr>
              <w:t>7N (quarterly)</w:t>
            </w:r>
          </w:p>
        </w:tc>
        <w:tc>
          <w:tcPr>
            <w:tcW w:w="1625" w:type="dxa"/>
            <w:vAlign w:val="center"/>
          </w:tcPr>
          <w:p w:rsidR="00052285" w:rsidRPr="00B370BE" w:rsidRDefault="00E83C50" w:rsidP="00A80F19">
            <w:pPr>
              <w:widowControl/>
              <w:tabs>
                <w:tab w:val="right" w:pos="972"/>
              </w:tabs>
              <w:rPr>
                <w:rFonts w:ascii="Times New Roman" w:hAnsi="Times New Roman"/>
                <w:szCs w:val="24"/>
              </w:rPr>
            </w:pPr>
            <w:r>
              <w:rPr>
                <w:rFonts w:ascii="Times New Roman" w:hAnsi="Times New Roman"/>
                <w:szCs w:val="24"/>
              </w:rPr>
              <w:tab/>
            </w:r>
            <w:r w:rsidR="00052285">
              <w:rPr>
                <w:rFonts w:ascii="Times New Roman" w:hAnsi="Times New Roman"/>
                <w:szCs w:val="24"/>
              </w:rPr>
              <w:t>196</w:t>
            </w:r>
          </w:p>
        </w:tc>
        <w:tc>
          <w:tcPr>
            <w:tcW w:w="1625" w:type="dxa"/>
            <w:vAlign w:val="center"/>
          </w:tcPr>
          <w:p w:rsidR="00052285" w:rsidRPr="00B370BE" w:rsidRDefault="00052285" w:rsidP="00A80F19">
            <w:pPr>
              <w:widowControl/>
              <w:jc w:val="center"/>
              <w:rPr>
                <w:rFonts w:ascii="Times New Roman" w:hAnsi="Times New Roman"/>
                <w:szCs w:val="24"/>
              </w:rPr>
            </w:pPr>
            <w:r>
              <w:rPr>
                <w:rFonts w:ascii="Times New Roman" w:hAnsi="Times New Roman"/>
                <w:szCs w:val="24"/>
              </w:rPr>
              <w:t>4</w:t>
            </w:r>
          </w:p>
        </w:tc>
        <w:tc>
          <w:tcPr>
            <w:tcW w:w="1625" w:type="dxa"/>
            <w:vAlign w:val="center"/>
          </w:tcPr>
          <w:p w:rsidR="00052285" w:rsidRPr="00B370BE" w:rsidRDefault="00052285" w:rsidP="00A80F19">
            <w:pPr>
              <w:widowControl/>
              <w:tabs>
                <w:tab w:val="decimal" w:pos="770"/>
              </w:tabs>
              <w:rPr>
                <w:rFonts w:ascii="Times New Roman" w:hAnsi="Times New Roman"/>
                <w:szCs w:val="24"/>
              </w:rPr>
            </w:pPr>
            <w:r>
              <w:rPr>
                <w:rFonts w:ascii="Times New Roman" w:hAnsi="Times New Roman"/>
                <w:szCs w:val="24"/>
              </w:rPr>
              <w:t>6</w:t>
            </w:r>
            <w:r w:rsidRPr="00B370BE">
              <w:rPr>
                <w:rFonts w:ascii="Times New Roman" w:hAnsi="Times New Roman"/>
                <w:szCs w:val="24"/>
              </w:rPr>
              <w:t>.</w:t>
            </w:r>
            <w:r>
              <w:rPr>
                <w:rFonts w:ascii="Times New Roman" w:hAnsi="Times New Roman"/>
                <w:szCs w:val="24"/>
              </w:rPr>
              <w:t>8</w:t>
            </w:r>
          </w:p>
        </w:tc>
        <w:tc>
          <w:tcPr>
            <w:tcW w:w="1625" w:type="dxa"/>
            <w:tcBorders>
              <w:top w:val="nil"/>
              <w:bottom w:val="nil"/>
            </w:tcBorders>
            <w:shd w:val="clear" w:color="auto" w:fill="auto"/>
            <w:vAlign w:val="bottom"/>
          </w:tcPr>
          <w:p w:rsidR="00052285" w:rsidRPr="00B370BE" w:rsidRDefault="00E83C50" w:rsidP="00E83C50">
            <w:pPr>
              <w:widowControl/>
              <w:tabs>
                <w:tab w:val="right" w:pos="1057"/>
              </w:tabs>
              <w:rPr>
                <w:rFonts w:ascii="Times New Roman" w:hAnsi="Times New Roman"/>
                <w:szCs w:val="24"/>
              </w:rPr>
            </w:pPr>
            <w:r>
              <w:rPr>
                <w:rFonts w:ascii="Times New Roman" w:hAnsi="Times New Roman"/>
                <w:szCs w:val="24"/>
              </w:rPr>
              <w:tab/>
            </w:r>
            <w:r w:rsidR="00357A85">
              <w:rPr>
                <w:rFonts w:ascii="Times New Roman" w:hAnsi="Times New Roman"/>
                <w:szCs w:val="24"/>
              </w:rPr>
              <w:t>5,331</w:t>
            </w:r>
          </w:p>
        </w:tc>
      </w:tr>
      <w:tr w:rsidR="00052285" w:rsidRPr="00B370BE" w:rsidTr="00A80F19">
        <w:trPr>
          <w:trHeight w:val="288"/>
          <w:jc w:val="center"/>
        </w:trPr>
        <w:tc>
          <w:tcPr>
            <w:tcW w:w="2880" w:type="dxa"/>
            <w:vAlign w:val="center"/>
          </w:tcPr>
          <w:p w:rsidR="00052285" w:rsidRPr="00B370BE" w:rsidRDefault="00052285" w:rsidP="00A80F19">
            <w:pPr>
              <w:widowControl/>
              <w:rPr>
                <w:rFonts w:ascii="Times New Roman" w:hAnsi="Times New Roman"/>
                <w:szCs w:val="24"/>
              </w:rPr>
            </w:pPr>
            <w:r>
              <w:rPr>
                <w:rFonts w:ascii="Times New Roman" w:hAnsi="Times New Roman"/>
                <w:szCs w:val="24"/>
              </w:rPr>
              <w:t>FR Y-7N (annual)</w:t>
            </w:r>
          </w:p>
        </w:tc>
        <w:tc>
          <w:tcPr>
            <w:tcW w:w="1625" w:type="dxa"/>
            <w:vAlign w:val="center"/>
          </w:tcPr>
          <w:p w:rsidR="00052285" w:rsidRPr="00B370BE" w:rsidRDefault="00E83C50" w:rsidP="00A80F19">
            <w:pPr>
              <w:widowControl/>
              <w:tabs>
                <w:tab w:val="right" w:pos="972"/>
              </w:tabs>
              <w:rPr>
                <w:rFonts w:ascii="Times New Roman" w:hAnsi="Times New Roman"/>
                <w:szCs w:val="24"/>
              </w:rPr>
            </w:pPr>
            <w:r>
              <w:rPr>
                <w:rFonts w:ascii="Times New Roman" w:hAnsi="Times New Roman"/>
                <w:szCs w:val="24"/>
              </w:rPr>
              <w:tab/>
            </w:r>
            <w:r w:rsidR="00052285">
              <w:rPr>
                <w:rFonts w:ascii="Times New Roman" w:hAnsi="Times New Roman"/>
                <w:szCs w:val="24"/>
              </w:rPr>
              <w:t>214</w:t>
            </w:r>
          </w:p>
        </w:tc>
        <w:tc>
          <w:tcPr>
            <w:tcW w:w="1625" w:type="dxa"/>
            <w:vAlign w:val="center"/>
          </w:tcPr>
          <w:p w:rsidR="00052285" w:rsidRDefault="00052285" w:rsidP="00A80F19">
            <w:pPr>
              <w:widowControl/>
              <w:jc w:val="center"/>
              <w:rPr>
                <w:rFonts w:ascii="Times New Roman" w:hAnsi="Times New Roman"/>
                <w:szCs w:val="24"/>
              </w:rPr>
            </w:pPr>
            <w:r>
              <w:rPr>
                <w:rFonts w:ascii="Times New Roman" w:hAnsi="Times New Roman"/>
                <w:szCs w:val="24"/>
              </w:rPr>
              <w:t>1</w:t>
            </w:r>
          </w:p>
        </w:tc>
        <w:tc>
          <w:tcPr>
            <w:tcW w:w="1625" w:type="dxa"/>
            <w:vAlign w:val="center"/>
          </w:tcPr>
          <w:p w:rsidR="00052285" w:rsidRDefault="00052285" w:rsidP="00A80F19">
            <w:pPr>
              <w:widowControl/>
              <w:tabs>
                <w:tab w:val="decimal" w:pos="770"/>
              </w:tabs>
              <w:rPr>
                <w:rFonts w:ascii="Times New Roman" w:hAnsi="Times New Roman"/>
                <w:szCs w:val="24"/>
              </w:rPr>
            </w:pPr>
            <w:r>
              <w:rPr>
                <w:rFonts w:ascii="Times New Roman" w:hAnsi="Times New Roman"/>
                <w:szCs w:val="24"/>
              </w:rPr>
              <w:t>6.8</w:t>
            </w:r>
          </w:p>
        </w:tc>
        <w:tc>
          <w:tcPr>
            <w:tcW w:w="1625" w:type="dxa"/>
            <w:tcBorders>
              <w:top w:val="nil"/>
              <w:bottom w:val="nil"/>
            </w:tcBorders>
            <w:shd w:val="clear" w:color="auto" w:fill="auto"/>
            <w:vAlign w:val="bottom"/>
          </w:tcPr>
          <w:p w:rsidR="00052285" w:rsidRDefault="00E83C50" w:rsidP="00E83C50">
            <w:pPr>
              <w:widowControl/>
              <w:tabs>
                <w:tab w:val="right" w:pos="1057"/>
              </w:tabs>
              <w:rPr>
                <w:rFonts w:ascii="Times New Roman" w:hAnsi="Times New Roman"/>
                <w:szCs w:val="24"/>
              </w:rPr>
            </w:pPr>
            <w:r>
              <w:rPr>
                <w:rFonts w:ascii="Times New Roman" w:hAnsi="Times New Roman"/>
                <w:szCs w:val="24"/>
              </w:rPr>
              <w:tab/>
            </w:r>
            <w:r w:rsidR="00357A85">
              <w:rPr>
                <w:rFonts w:ascii="Times New Roman" w:hAnsi="Times New Roman"/>
                <w:szCs w:val="24"/>
              </w:rPr>
              <w:t>1,455</w:t>
            </w:r>
          </w:p>
        </w:tc>
      </w:tr>
      <w:tr w:rsidR="00052285" w:rsidRPr="00B370BE" w:rsidTr="00A80F19">
        <w:trPr>
          <w:trHeight w:val="288"/>
          <w:jc w:val="center"/>
        </w:trPr>
        <w:tc>
          <w:tcPr>
            <w:tcW w:w="2880" w:type="dxa"/>
            <w:vAlign w:val="center"/>
          </w:tcPr>
          <w:p w:rsidR="00052285" w:rsidRDefault="00052285" w:rsidP="00A80F19">
            <w:pPr>
              <w:widowControl/>
              <w:rPr>
                <w:rFonts w:ascii="Times New Roman" w:hAnsi="Times New Roman"/>
                <w:szCs w:val="24"/>
              </w:rPr>
            </w:pPr>
            <w:r>
              <w:rPr>
                <w:rFonts w:ascii="Times New Roman" w:hAnsi="Times New Roman"/>
                <w:szCs w:val="24"/>
              </w:rPr>
              <w:t>FR Y-7NS</w:t>
            </w:r>
          </w:p>
        </w:tc>
        <w:tc>
          <w:tcPr>
            <w:tcW w:w="1625" w:type="dxa"/>
            <w:vAlign w:val="center"/>
          </w:tcPr>
          <w:p w:rsidR="00052285" w:rsidRDefault="00E83C50" w:rsidP="00A80F19">
            <w:pPr>
              <w:widowControl/>
              <w:tabs>
                <w:tab w:val="right" w:pos="972"/>
              </w:tabs>
              <w:rPr>
                <w:rFonts w:ascii="Times New Roman" w:hAnsi="Times New Roman"/>
                <w:szCs w:val="24"/>
              </w:rPr>
            </w:pPr>
            <w:r>
              <w:rPr>
                <w:rFonts w:ascii="Times New Roman" w:hAnsi="Times New Roman"/>
                <w:szCs w:val="24"/>
              </w:rPr>
              <w:tab/>
            </w:r>
            <w:r w:rsidR="00052285">
              <w:rPr>
                <w:rFonts w:ascii="Times New Roman" w:hAnsi="Times New Roman"/>
                <w:szCs w:val="24"/>
              </w:rPr>
              <w:t>299</w:t>
            </w:r>
          </w:p>
        </w:tc>
        <w:tc>
          <w:tcPr>
            <w:tcW w:w="1625" w:type="dxa"/>
            <w:vAlign w:val="center"/>
          </w:tcPr>
          <w:p w:rsidR="00052285" w:rsidRDefault="00052285" w:rsidP="00A80F19">
            <w:pPr>
              <w:widowControl/>
              <w:jc w:val="center"/>
              <w:rPr>
                <w:rFonts w:ascii="Times New Roman" w:hAnsi="Times New Roman"/>
                <w:szCs w:val="24"/>
              </w:rPr>
            </w:pPr>
            <w:r>
              <w:rPr>
                <w:rFonts w:ascii="Times New Roman" w:hAnsi="Times New Roman"/>
                <w:szCs w:val="24"/>
              </w:rPr>
              <w:t>1</w:t>
            </w:r>
          </w:p>
        </w:tc>
        <w:tc>
          <w:tcPr>
            <w:tcW w:w="1625" w:type="dxa"/>
            <w:vAlign w:val="center"/>
          </w:tcPr>
          <w:p w:rsidR="00052285" w:rsidRDefault="00052285" w:rsidP="00A80F19">
            <w:pPr>
              <w:widowControl/>
              <w:tabs>
                <w:tab w:val="decimal" w:pos="770"/>
              </w:tabs>
              <w:rPr>
                <w:rFonts w:ascii="Times New Roman" w:hAnsi="Times New Roman"/>
                <w:szCs w:val="24"/>
              </w:rPr>
            </w:pPr>
            <w:r>
              <w:rPr>
                <w:rFonts w:ascii="Times New Roman" w:hAnsi="Times New Roman"/>
                <w:szCs w:val="24"/>
              </w:rPr>
              <w:t xml:space="preserve">          1</w:t>
            </w:r>
          </w:p>
        </w:tc>
        <w:tc>
          <w:tcPr>
            <w:tcW w:w="1625" w:type="dxa"/>
            <w:tcBorders>
              <w:top w:val="nil"/>
              <w:bottom w:val="nil"/>
            </w:tcBorders>
            <w:shd w:val="clear" w:color="auto" w:fill="auto"/>
            <w:vAlign w:val="bottom"/>
          </w:tcPr>
          <w:p w:rsidR="00052285" w:rsidRDefault="00E83C50" w:rsidP="00E83C50">
            <w:pPr>
              <w:widowControl/>
              <w:tabs>
                <w:tab w:val="right" w:pos="1057"/>
              </w:tabs>
              <w:rPr>
                <w:rFonts w:ascii="Times New Roman" w:hAnsi="Times New Roman"/>
                <w:szCs w:val="24"/>
              </w:rPr>
            </w:pPr>
            <w:r>
              <w:rPr>
                <w:rFonts w:ascii="Times New Roman" w:hAnsi="Times New Roman"/>
                <w:szCs w:val="24"/>
              </w:rPr>
              <w:tab/>
            </w:r>
            <w:r w:rsidR="00980671">
              <w:rPr>
                <w:rFonts w:ascii="Times New Roman" w:hAnsi="Times New Roman"/>
                <w:szCs w:val="24"/>
              </w:rPr>
              <w:t>299</w:t>
            </w:r>
          </w:p>
        </w:tc>
      </w:tr>
      <w:tr w:rsidR="00052285" w:rsidRPr="00B370BE" w:rsidTr="00A80F19">
        <w:trPr>
          <w:trHeight w:val="288"/>
          <w:jc w:val="center"/>
        </w:trPr>
        <w:tc>
          <w:tcPr>
            <w:tcW w:w="2880" w:type="dxa"/>
            <w:vAlign w:val="center"/>
          </w:tcPr>
          <w:p w:rsidR="00052285" w:rsidRDefault="00052285" w:rsidP="00A80F19">
            <w:pPr>
              <w:widowControl/>
              <w:rPr>
                <w:rFonts w:ascii="Times New Roman" w:hAnsi="Times New Roman"/>
                <w:szCs w:val="24"/>
              </w:rPr>
            </w:pPr>
            <w:r>
              <w:rPr>
                <w:rFonts w:ascii="Times New Roman" w:hAnsi="Times New Roman"/>
                <w:szCs w:val="24"/>
              </w:rPr>
              <w:t>FR Y-7Q (quarterly)</w:t>
            </w:r>
          </w:p>
        </w:tc>
        <w:tc>
          <w:tcPr>
            <w:tcW w:w="1625" w:type="dxa"/>
            <w:vAlign w:val="center"/>
          </w:tcPr>
          <w:p w:rsidR="00052285" w:rsidRDefault="00E83C50" w:rsidP="00A80F19">
            <w:pPr>
              <w:widowControl/>
              <w:tabs>
                <w:tab w:val="right" w:pos="972"/>
              </w:tabs>
              <w:rPr>
                <w:rFonts w:ascii="Times New Roman" w:hAnsi="Times New Roman"/>
                <w:szCs w:val="24"/>
              </w:rPr>
            </w:pPr>
            <w:r>
              <w:rPr>
                <w:rFonts w:ascii="Times New Roman" w:hAnsi="Times New Roman"/>
                <w:szCs w:val="24"/>
              </w:rPr>
              <w:tab/>
            </w:r>
            <w:r w:rsidR="00052285">
              <w:rPr>
                <w:rFonts w:ascii="Times New Roman" w:hAnsi="Times New Roman"/>
                <w:szCs w:val="24"/>
              </w:rPr>
              <w:t>63</w:t>
            </w:r>
          </w:p>
        </w:tc>
        <w:tc>
          <w:tcPr>
            <w:tcW w:w="1625" w:type="dxa"/>
            <w:vAlign w:val="center"/>
          </w:tcPr>
          <w:p w:rsidR="00052285" w:rsidRDefault="00052285" w:rsidP="00A80F19">
            <w:pPr>
              <w:widowControl/>
              <w:jc w:val="center"/>
              <w:rPr>
                <w:rFonts w:ascii="Times New Roman" w:hAnsi="Times New Roman"/>
                <w:szCs w:val="24"/>
              </w:rPr>
            </w:pPr>
            <w:r>
              <w:rPr>
                <w:rFonts w:ascii="Times New Roman" w:hAnsi="Times New Roman"/>
                <w:szCs w:val="24"/>
              </w:rPr>
              <w:t>4</w:t>
            </w:r>
          </w:p>
        </w:tc>
        <w:tc>
          <w:tcPr>
            <w:tcW w:w="1625" w:type="dxa"/>
            <w:vAlign w:val="center"/>
          </w:tcPr>
          <w:p w:rsidR="00052285" w:rsidRDefault="00052285" w:rsidP="00A80F19">
            <w:pPr>
              <w:widowControl/>
              <w:tabs>
                <w:tab w:val="decimal" w:pos="770"/>
              </w:tabs>
              <w:rPr>
                <w:rFonts w:ascii="Times New Roman" w:hAnsi="Times New Roman"/>
                <w:szCs w:val="24"/>
              </w:rPr>
            </w:pPr>
            <w:r>
              <w:rPr>
                <w:rFonts w:ascii="Times New Roman" w:hAnsi="Times New Roman"/>
                <w:szCs w:val="24"/>
              </w:rPr>
              <w:t>1.25</w:t>
            </w:r>
          </w:p>
        </w:tc>
        <w:tc>
          <w:tcPr>
            <w:tcW w:w="1625" w:type="dxa"/>
            <w:tcBorders>
              <w:top w:val="nil"/>
              <w:bottom w:val="nil"/>
            </w:tcBorders>
            <w:shd w:val="clear" w:color="auto" w:fill="auto"/>
            <w:vAlign w:val="bottom"/>
          </w:tcPr>
          <w:p w:rsidR="00052285" w:rsidRDefault="00E83C50" w:rsidP="00E83C50">
            <w:pPr>
              <w:widowControl/>
              <w:tabs>
                <w:tab w:val="right" w:pos="1057"/>
              </w:tabs>
              <w:rPr>
                <w:rFonts w:ascii="Times New Roman" w:hAnsi="Times New Roman"/>
                <w:szCs w:val="24"/>
              </w:rPr>
            </w:pPr>
            <w:r>
              <w:rPr>
                <w:rFonts w:ascii="Times New Roman" w:hAnsi="Times New Roman"/>
                <w:szCs w:val="24"/>
              </w:rPr>
              <w:tab/>
            </w:r>
            <w:r w:rsidR="00052285">
              <w:rPr>
                <w:rFonts w:ascii="Times New Roman" w:hAnsi="Times New Roman"/>
                <w:szCs w:val="24"/>
              </w:rPr>
              <w:t>315</w:t>
            </w:r>
          </w:p>
        </w:tc>
      </w:tr>
      <w:tr w:rsidR="00052285" w:rsidRPr="00B370BE" w:rsidTr="00A80F19">
        <w:trPr>
          <w:trHeight w:val="288"/>
          <w:jc w:val="center"/>
        </w:trPr>
        <w:tc>
          <w:tcPr>
            <w:tcW w:w="2880" w:type="dxa"/>
            <w:vAlign w:val="center"/>
          </w:tcPr>
          <w:p w:rsidR="00052285" w:rsidRPr="00B370BE" w:rsidRDefault="00052285" w:rsidP="00A80F19">
            <w:pPr>
              <w:widowControl/>
              <w:rPr>
                <w:rFonts w:ascii="Times New Roman" w:hAnsi="Times New Roman"/>
                <w:szCs w:val="24"/>
              </w:rPr>
            </w:pPr>
            <w:r w:rsidRPr="00B370BE">
              <w:rPr>
                <w:rFonts w:ascii="Times New Roman" w:hAnsi="Times New Roman"/>
                <w:szCs w:val="24"/>
              </w:rPr>
              <w:t>FR Y-</w:t>
            </w:r>
            <w:r>
              <w:rPr>
                <w:rFonts w:ascii="Times New Roman" w:hAnsi="Times New Roman"/>
                <w:szCs w:val="24"/>
              </w:rPr>
              <w:t>7Q (annual)</w:t>
            </w:r>
          </w:p>
        </w:tc>
        <w:tc>
          <w:tcPr>
            <w:tcW w:w="1625" w:type="dxa"/>
            <w:vAlign w:val="center"/>
          </w:tcPr>
          <w:p w:rsidR="00052285" w:rsidRPr="00B370BE" w:rsidRDefault="00E83C50" w:rsidP="00E83C50">
            <w:pPr>
              <w:widowControl/>
              <w:tabs>
                <w:tab w:val="right" w:pos="972"/>
              </w:tabs>
              <w:rPr>
                <w:rFonts w:ascii="Times New Roman" w:hAnsi="Times New Roman"/>
                <w:szCs w:val="24"/>
                <w:u w:val="single"/>
              </w:rPr>
            </w:pPr>
            <w:r>
              <w:rPr>
                <w:rFonts w:ascii="Times New Roman" w:hAnsi="Times New Roman"/>
                <w:szCs w:val="24"/>
              </w:rPr>
              <w:tab/>
            </w:r>
            <w:r w:rsidR="00052285">
              <w:rPr>
                <w:rFonts w:ascii="Times New Roman" w:hAnsi="Times New Roman"/>
                <w:szCs w:val="24"/>
                <w:u w:val="single"/>
              </w:rPr>
              <w:t>118</w:t>
            </w:r>
          </w:p>
        </w:tc>
        <w:tc>
          <w:tcPr>
            <w:tcW w:w="1625" w:type="dxa"/>
            <w:vAlign w:val="center"/>
          </w:tcPr>
          <w:p w:rsidR="00052285" w:rsidRPr="00B370BE" w:rsidRDefault="00052285" w:rsidP="00A80F19">
            <w:pPr>
              <w:widowControl/>
              <w:jc w:val="center"/>
              <w:rPr>
                <w:rFonts w:ascii="Times New Roman" w:hAnsi="Times New Roman"/>
                <w:szCs w:val="24"/>
              </w:rPr>
            </w:pPr>
            <w:r>
              <w:rPr>
                <w:rFonts w:ascii="Times New Roman" w:hAnsi="Times New Roman"/>
                <w:szCs w:val="24"/>
              </w:rPr>
              <w:t>1</w:t>
            </w:r>
          </w:p>
        </w:tc>
        <w:tc>
          <w:tcPr>
            <w:tcW w:w="1625" w:type="dxa"/>
            <w:vAlign w:val="center"/>
          </w:tcPr>
          <w:p w:rsidR="00052285" w:rsidRPr="00B370BE" w:rsidRDefault="00052285" w:rsidP="00A80F19">
            <w:pPr>
              <w:widowControl/>
              <w:tabs>
                <w:tab w:val="decimal" w:pos="770"/>
              </w:tabs>
              <w:rPr>
                <w:rFonts w:ascii="Times New Roman" w:hAnsi="Times New Roman"/>
                <w:szCs w:val="24"/>
              </w:rPr>
            </w:pPr>
            <w:r>
              <w:rPr>
                <w:rFonts w:ascii="Times New Roman" w:hAnsi="Times New Roman"/>
                <w:szCs w:val="24"/>
              </w:rPr>
              <w:t>1</w:t>
            </w:r>
          </w:p>
        </w:tc>
        <w:tc>
          <w:tcPr>
            <w:tcW w:w="1625" w:type="dxa"/>
            <w:tcBorders>
              <w:top w:val="nil"/>
              <w:bottom w:val="nil"/>
            </w:tcBorders>
            <w:shd w:val="clear" w:color="auto" w:fill="auto"/>
            <w:vAlign w:val="bottom"/>
          </w:tcPr>
          <w:p w:rsidR="00052285" w:rsidRPr="00B370BE" w:rsidRDefault="00E83C50" w:rsidP="00E83C50">
            <w:pPr>
              <w:widowControl/>
              <w:tabs>
                <w:tab w:val="right" w:pos="1057"/>
              </w:tabs>
              <w:rPr>
                <w:rFonts w:ascii="Times New Roman" w:hAnsi="Times New Roman"/>
                <w:szCs w:val="24"/>
                <w:u w:val="single"/>
              </w:rPr>
            </w:pPr>
            <w:r>
              <w:rPr>
                <w:rFonts w:ascii="Times New Roman" w:hAnsi="Times New Roman"/>
                <w:szCs w:val="24"/>
              </w:rPr>
              <w:tab/>
            </w:r>
            <w:r w:rsidR="00052285" w:rsidRPr="00B370BE">
              <w:rPr>
                <w:rFonts w:ascii="Times New Roman" w:hAnsi="Times New Roman"/>
                <w:szCs w:val="24"/>
                <w:u w:val="single"/>
              </w:rPr>
              <w:t xml:space="preserve"> </w:t>
            </w:r>
            <w:r>
              <w:rPr>
                <w:rFonts w:ascii="Times New Roman" w:hAnsi="Times New Roman"/>
                <w:szCs w:val="24"/>
                <w:u w:val="single"/>
              </w:rPr>
              <w:t xml:space="preserve"> </w:t>
            </w:r>
            <w:r w:rsidR="00052285">
              <w:rPr>
                <w:rFonts w:ascii="Times New Roman" w:hAnsi="Times New Roman"/>
                <w:szCs w:val="24"/>
                <w:u w:val="single"/>
              </w:rPr>
              <w:t xml:space="preserve"> 118</w:t>
            </w:r>
            <w:r w:rsidR="00052285" w:rsidRPr="00B370BE">
              <w:rPr>
                <w:rFonts w:ascii="Times New Roman" w:hAnsi="Times New Roman"/>
                <w:szCs w:val="24"/>
                <w:u w:val="single"/>
              </w:rPr>
              <w:t xml:space="preserve">     </w:t>
            </w:r>
          </w:p>
        </w:tc>
      </w:tr>
      <w:tr w:rsidR="00052285" w:rsidRPr="00B370BE" w:rsidTr="00A80F19">
        <w:trPr>
          <w:trHeight w:val="288"/>
          <w:jc w:val="center"/>
        </w:trPr>
        <w:tc>
          <w:tcPr>
            <w:tcW w:w="2880" w:type="dxa"/>
            <w:vAlign w:val="center"/>
          </w:tcPr>
          <w:p w:rsidR="00052285" w:rsidRPr="00B370BE" w:rsidRDefault="00052285" w:rsidP="00A80F19">
            <w:pPr>
              <w:widowControl/>
              <w:jc w:val="right"/>
              <w:rPr>
                <w:rFonts w:ascii="Times New Roman" w:hAnsi="Times New Roman"/>
                <w:szCs w:val="24"/>
              </w:rPr>
            </w:pPr>
            <w:r w:rsidRPr="00B370BE">
              <w:rPr>
                <w:rFonts w:ascii="Times New Roman" w:hAnsi="Times New Roman"/>
                <w:i/>
                <w:szCs w:val="24"/>
              </w:rPr>
              <w:t>Total</w:t>
            </w:r>
          </w:p>
        </w:tc>
        <w:tc>
          <w:tcPr>
            <w:tcW w:w="1625" w:type="dxa"/>
            <w:vAlign w:val="center"/>
          </w:tcPr>
          <w:p w:rsidR="00052285" w:rsidRPr="00B370BE" w:rsidRDefault="00E83C50" w:rsidP="00A80F19">
            <w:pPr>
              <w:widowControl/>
              <w:tabs>
                <w:tab w:val="right" w:pos="972"/>
              </w:tabs>
              <w:rPr>
                <w:rFonts w:ascii="Times New Roman" w:hAnsi="Times New Roman"/>
                <w:szCs w:val="24"/>
              </w:rPr>
            </w:pPr>
            <w:r>
              <w:rPr>
                <w:rFonts w:ascii="Times New Roman" w:hAnsi="Times New Roman"/>
                <w:szCs w:val="24"/>
              </w:rPr>
              <w:tab/>
            </w:r>
            <w:r w:rsidR="00052285">
              <w:rPr>
                <w:rFonts w:ascii="Times New Roman" w:hAnsi="Times New Roman"/>
                <w:szCs w:val="24"/>
              </w:rPr>
              <w:t>890</w:t>
            </w:r>
          </w:p>
        </w:tc>
        <w:tc>
          <w:tcPr>
            <w:tcW w:w="1625" w:type="dxa"/>
          </w:tcPr>
          <w:p w:rsidR="00052285" w:rsidRPr="00B370BE" w:rsidRDefault="00052285" w:rsidP="00A80F19">
            <w:pPr>
              <w:widowControl/>
              <w:jc w:val="center"/>
              <w:rPr>
                <w:rFonts w:ascii="Times New Roman" w:hAnsi="Times New Roman"/>
                <w:szCs w:val="24"/>
              </w:rPr>
            </w:pPr>
          </w:p>
        </w:tc>
        <w:tc>
          <w:tcPr>
            <w:tcW w:w="1625" w:type="dxa"/>
            <w:vAlign w:val="center"/>
          </w:tcPr>
          <w:p w:rsidR="00052285" w:rsidRPr="00B370BE" w:rsidRDefault="00052285" w:rsidP="00A80F19">
            <w:pPr>
              <w:widowControl/>
              <w:tabs>
                <w:tab w:val="decimal" w:pos="770"/>
              </w:tabs>
              <w:rPr>
                <w:rFonts w:ascii="Times New Roman" w:hAnsi="Times New Roman"/>
                <w:szCs w:val="24"/>
              </w:rPr>
            </w:pPr>
          </w:p>
        </w:tc>
        <w:tc>
          <w:tcPr>
            <w:tcW w:w="1625" w:type="dxa"/>
            <w:tcBorders>
              <w:top w:val="nil"/>
              <w:bottom w:val="nil"/>
            </w:tcBorders>
            <w:shd w:val="clear" w:color="auto" w:fill="auto"/>
            <w:vAlign w:val="bottom"/>
          </w:tcPr>
          <w:p w:rsidR="00052285" w:rsidRPr="00B370BE" w:rsidRDefault="00E83C50" w:rsidP="00E83C50">
            <w:pPr>
              <w:widowControl/>
              <w:tabs>
                <w:tab w:val="right" w:pos="1057"/>
              </w:tabs>
              <w:rPr>
                <w:rFonts w:ascii="Times New Roman" w:hAnsi="Times New Roman"/>
                <w:szCs w:val="24"/>
              </w:rPr>
            </w:pPr>
            <w:r>
              <w:rPr>
                <w:rFonts w:ascii="Times New Roman" w:hAnsi="Times New Roman"/>
                <w:szCs w:val="24"/>
              </w:rPr>
              <w:tab/>
            </w:r>
            <w:r w:rsidR="00980671">
              <w:rPr>
                <w:rFonts w:ascii="Times New Roman" w:hAnsi="Times New Roman"/>
                <w:szCs w:val="24"/>
              </w:rPr>
              <w:t>7,518</w:t>
            </w:r>
          </w:p>
        </w:tc>
      </w:tr>
      <w:tr w:rsidR="00052285" w:rsidRPr="00B370BE" w:rsidTr="00A80F19">
        <w:trPr>
          <w:trHeight w:val="288"/>
          <w:jc w:val="center"/>
        </w:trPr>
        <w:tc>
          <w:tcPr>
            <w:tcW w:w="2880" w:type="dxa"/>
            <w:vAlign w:val="center"/>
          </w:tcPr>
          <w:p w:rsidR="00052285" w:rsidRPr="00B370BE" w:rsidRDefault="00052285" w:rsidP="00A80F19">
            <w:pPr>
              <w:widowControl/>
              <w:jc w:val="right"/>
              <w:rPr>
                <w:rFonts w:ascii="Times New Roman" w:hAnsi="Times New Roman"/>
                <w:i/>
                <w:szCs w:val="24"/>
              </w:rPr>
            </w:pPr>
          </w:p>
          <w:p w:rsidR="00052285" w:rsidRPr="00B370BE" w:rsidRDefault="00052285" w:rsidP="00A80F19">
            <w:pPr>
              <w:widowControl/>
              <w:jc w:val="right"/>
              <w:rPr>
                <w:rFonts w:ascii="Times New Roman" w:hAnsi="Times New Roman"/>
                <w:i/>
                <w:szCs w:val="24"/>
              </w:rPr>
            </w:pPr>
            <w:r w:rsidRPr="00B370BE">
              <w:rPr>
                <w:rFonts w:ascii="Times New Roman" w:hAnsi="Times New Roman"/>
                <w:i/>
                <w:szCs w:val="24"/>
              </w:rPr>
              <w:t>Change</w:t>
            </w:r>
          </w:p>
        </w:tc>
        <w:tc>
          <w:tcPr>
            <w:tcW w:w="1625" w:type="dxa"/>
            <w:vAlign w:val="center"/>
          </w:tcPr>
          <w:p w:rsidR="00E83C50" w:rsidRPr="00B370BE" w:rsidRDefault="00052285" w:rsidP="00A80F19">
            <w:pPr>
              <w:widowControl/>
              <w:tabs>
                <w:tab w:val="right" w:pos="972"/>
              </w:tabs>
              <w:rPr>
                <w:rFonts w:ascii="Times New Roman" w:hAnsi="Times New Roman"/>
                <w:szCs w:val="24"/>
              </w:rPr>
            </w:pPr>
            <w:r w:rsidRPr="00B370BE">
              <w:rPr>
                <w:rFonts w:ascii="Times New Roman" w:hAnsi="Times New Roman"/>
                <w:szCs w:val="24"/>
              </w:rPr>
              <w:t xml:space="preserve"> </w:t>
            </w:r>
            <w:r w:rsidR="00E83C50">
              <w:rPr>
                <w:rFonts w:ascii="Times New Roman" w:hAnsi="Times New Roman"/>
                <w:szCs w:val="24"/>
              </w:rPr>
              <w:tab/>
            </w:r>
          </w:p>
          <w:p w:rsidR="00052285" w:rsidRPr="00B370BE" w:rsidRDefault="00E83C50" w:rsidP="00A80F19">
            <w:pPr>
              <w:widowControl/>
              <w:tabs>
                <w:tab w:val="right" w:pos="972"/>
              </w:tabs>
              <w:rPr>
                <w:rFonts w:ascii="Times New Roman" w:hAnsi="Times New Roman"/>
                <w:szCs w:val="24"/>
              </w:rPr>
            </w:pPr>
            <w:r>
              <w:rPr>
                <w:rFonts w:ascii="Times New Roman" w:hAnsi="Times New Roman"/>
                <w:szCs w:val="24"/>
              </w:rPr>
              <w:tab/>
            </w:r>
            <w:r w:rsidR="00531434">
              <w:rPr>
                <w:rFonts w:ascii="Times New Roman" w:hAnsi="Times New Roman"/>
                <w:szCs w:val="24"/>
              </w:rPr>
              <w:t>+</w:t>
            </w:r>
            <w:r w:rsidR="00980671">
              <w:rPr>
                <w:rFonts w:ascii="Times New Roman" w:hAnsi="Times New Roman"/>
                <w:szCs w:val="24"/>
              </w:rPr>
              <w:t>109</w:t>
            </w:r>
          </w:p>
        </w:tc>
        <w:tc>
          <w:tcPr>
            <w:tcW w:w="1625" w:type="dxa"/>
          </w:tcPr>
          <w:p w:rsidR="00052285" w:rsidRPr="00B370BE" w:rsidRDefault="00052285" w:rsidP="00A80F19">
            <w:pPr>
              <w:widowControl/>
              <w:jc w:val="center"/>
              <w:rPr>
                <w:rFonts w:ascii="Times New Roman" w:hAnsi="Times New Roman"/>
                <w:szCs w:val="24"/>
              </w:rPr>
            </w:pPr>
          </w:p>
        </w:tc>
        <w:tc>
          <w:tcPr>
            <w:tcW w:w="1625" w:type="dxa"/>
            <w:vAlign w:val="center"/>
          </w:tcPr>
          <w:p w:rsidR="00052285" w:rsidRPr="00B370BE" w:rsidRDefault="00052285" w:rsidP="00A80F19">
            <w:pPr>
              <w:widowControl/>
              <w:tabs>
                <w:tab w:val="decimal" w:pos="770"/>
              </w:tabs>
              <w:rPr>
                <w:rFonts w:ascii="Times New Roman" w:hAnsi="Times New Roman"/>
                <w:szCs w:val="24"/>
              </w:rPr>
            </w:pPr>
          </w:p>
        </w:tc>
        <w:tc>
          <w:tcPr>
            <w:tcW w:w="1625" w:type="dxa"/>
            <w:tcBorders>
              <w:top w:val="nil"/>
              <w:bottom w:val="single" w:sz="4" w:space="0" w:color="auto"/>
            </w:tcBorders>
            <w:shd w:val="clear" w:color="auto" w:fill="auto"/>
            <w:vAlign w:val="bottom"/>
          </w:tcPr>
          <w:p w:rsidR="00052285" w:rsidRPr="00B370BE" w:rsidRDefault="00E83C50" w:rsidP="00E83C50">
            <w:pPr>
              <w:tabs>
                <w:tab w:val="right" w:pos="1057"/>
              </w:tabs>
              <w:rPr>
                <w:rFonts w:ascii="Times New Roman" w:hAnsi="Times New Roman"/>
                <w:szCs w:val="24"/>
              </w:rPr>
            </w:pPr>
            <w:r>
              <w:rPr>
                <w:rFonts w:ascii="Times New Roman" w:hAnsi="Times New Roman"/>
                <w:szCs w:val="24"/>
              </w:rPr>
              <w:tab/>
            </w:r>
            <w:r w:rsidR="00052285" w:rsidRPr="00B370BE">
              <w:rPr>
                <w:rFonts w:ascii="Times New Roman" w:hAnsi="Times New Roman"/>
                <w:szCs w:val="24"/>
              </w:rPr>
              <w:t>+</w:t>
            </w:r>
            <w:r w:rsidR="00980671">
              <w:rPr>
                <w:rFonts w:ascii="Times New Roman" w:hAnsi="Times New Roman"/>
                <w:szCs w:val="24"/>
              </w:rPr>
              <w:t>612</w:t>
            </w:r>
          </w:p>
        </w:tc>
      </w:tr>
    </w:tbl>
    <w:p w:rsidR="00DD2E56" w:rsidRDefault="00DD2E56" w:rsidP="002D75C7">
      <w:pPr>
        <w:widowControl/>
        <w:tabs>
          <w:tab w:val="left" w:pos="-1080"/>
          <w:tab w:val="left" w:pos="-90"/>
          <w:tab w:val="left" w:pos="1440"/>
          <w:tab w:val="left" w:pos="1980"/>
          <w:tab w:val="left" w:pos="3960"/>
          <w:tab w:val="left" w:pos="4230"/>
          <w:tab w:val="left" w:pos="5760"/>
          <w:tab w:val="left" w:pos="7650"/>
          <w:tab w:val="left" w:pos="8640"/>
        </w:tabs>
        <w:rPr>
          <w:rFonts w:ascii="Times New Roman" w:hAnsi="Times New Roman"/>
          <w:szCs w:val="24"/>
        </w:rPr>
      </w:pPr>
    </w:p>
    <w:p w:rsidR="002D75C7" w:rsidRPr="00B370BE" w:rsidRDefault="002D75C7" w:rsidP="002D75C7">
      <w:pPr>
        <w:widowControl/>
        <w:tabs>
          <w:tab w:val="left" w:pos="-1080"/>
          <w:tab w:val="left" w:pos="-90"/>
          <w:tab w:val="left" w:pos="1440"/>
          <w:tab w:val="left" w:pos="1980"/>
          <w:tab w:val="left" w:pos="3960"/>
          <w:tab w:val="left" w:pos="4230"/>
          <w:tab w:val="left" w:pos="5760"/>
          <w:tab w:val="left" w:pos="7650"/>
          <w:tab w:val="left" w:pos="8640"/>
        </w:tabs>
        <w:rPr>
          <w:rFonts w:ascii="Times New Roman" w:hAnsi="Times New Roman"/>
          <w:szCs w:val="24"/>
        </w:rPr>
      </w:pPr>
      <w:r w:rsidRPr="00B370BE">
        <w:rPr>
          <w:rFonts w:ascii="Times New Roman" w:hAnsi="Times New Roman"/>
          <w:szCs w:val="24"/>
        </w:rPr>
        <w:t>The total cost to the public is estimated to increase from the current level of $</w:t>
      </w:r>
      <w:r w:rsidR="00FD3D0D">
        <w:rPr>
          <w:rFonts w:ascii="Times New Roman" w:hAnsi="Times New Roman"/>
          <w:szCs w:val="24"/>
        </w:rPr>
        <w:t>16,</w:t>
      </w:r>
      <w:r w:rsidR="000A0DCF">
        <w:rPr>
          <w:rFonts w:ascii="Times New Roman" w:hAnsi="Times New Roman"/>
          <w:szCs w:val="24"/>
        </w:rPr>
        <w:t>546</w:t>
      </w:r>
      <w:r w:rsidR="00AB6288">
        <w:rPr>
          <w:rFonts w:ascii="Times New Roman" w:hAnsi="Times New Roman"/>
          <w:szCs w:val="24"/>
        </w:rPr>
        <w:t>,</w:t>
      </w:r>
      <w:r w:rsidR="000A0DCF">
        <w:rPr>
          <w:rFonts w:ascii="Times New Roman" w:hAnsi="Times New Roman"/>
          <w:szCs w:val="24"/>
        </w:rPr>
        <w:t>814</w:t>
      </w:r>
      <w:r w:rsidR="00FD3D0D">
        <w:rPr>
          <w:rFonts w:ascii="Times New Roman" w:hAnsi="Times New Roman"/>
          <w:szCs w:val="24"/>
        </w:rPr>
        <w:t xml:space="preserve"> </w:t>
      </w:r>
      <w:r w:rsidRPr="00B370BE">
        <w:rPr>
          <w:rFonts w:ascii="Times New Roman" w:hAnsi="Times New Roman"/>
          <w:szCs w:val="24"/>
        </w:rPr>
        <w:t>to $</w:t>
      </w:r>
      <w:r w:rsidR="000A0DCF">
        <w:rPr>
          <w:rFonts w:ascii="Times New Roman" w:hAnsi="Times New Roman"/>
          <w:szCs w:val="24"/>
        </w:rPr>
        <w:t>18,79</w:t>
      </w:r>
      <w:r w:rsidR="00E13AC0">
        <w:rPr>
          <w:rFonts w:ascii="Times New Roman" w:hAnsi="Times New Roman"/>
          <w:szCs w:val="24"/>
        </w:rPr>
        <w:t>3,242</w:t>
      </w:r>
      <w:r w:rsidR="0059368B">
        <w:rPr>
          <w:rFonts w:ascii="Times New Roman" w:hAnsi="Times New Roman"/>
          <w:szCs w:val="24"/>
        </w:rPr>
        <w:t xml:space="preserve"> </w:t>
      </w:r>
      <w:r w:rsidRPr="00B370BE">
        <w:rPr>
          <w:rFonts w:ascii="Times New Roman" w:hAnsi="Times New Roman"/>
          <w:szCs w:val="24"/>
        </w:rPr>
        <w:t>for the revised BHC reports.</w:t>
      </w:r>
      <w:r w:rsidRPr="00B370BE">
        <w:rPr>
          <w:rStyle w:val="FootnoteReference"/>
          <w:szCs w:val="24"/>
          <w:vertAlign w:val="superscript"/>
        </w:rPr>
        <w:footnoteReference w:id="7"/>
      </w:r>
      <w:r w:rsidRPr="00B370BE">
        <w:rPr>
          <w:rFonts w:ascii="Times New Roman" w:hAnsi="Times New Roman"/>
          <w:szCs w:val="24"/>
        </w:rPr>
        <w:t xml:space="preserve"> </w:t>
      </w:r>
    </w:p>
    <w:p w:rsidR="0073337D" w:rsidRPr="00B370BE" w:rsidRDefault="0073337D">
      <w:pPr>
        <w:widowControl/>
        <w:tabs>
          <w:tab w:val="left" w:pos="-1080"/>
          <w:tab w:val="left" w:pos="-90"/>
          <w:tab w:val="left" w:pos="1440"/>
          <w:tab w:val="left" w:pos="1980"/>
          <w:tab w:val="left" w:pos="3960"/>
          <w:tab w:val="left" w:pos="4230"/>
          <w:tab w:val="left" w:pos="5760"/>
          <w:tab w:val="left" w:pos="7650"/>
          <w:tab w:val="left" w:pos="8640"/>
        </w:tabs>
        <w:rPr>
          <w:rFonts w:ascii="Times New Roman" w:hAnsi="Times New Roman"/>
          <w:b/>
          <w:szCs w:val="24"/>
        </w:rPr>
      </w:pPr>
    </w:p>
    <w:p w:rsidR="00061552" w:rsidRPr="00B370BE" w:rsidRDefault="00061552" w:rsidP="00E15530">
      <w:pPr>
        <w:widowControl/>
        <w:tabs>
          <w:tab w:val="left" w:pos="-1080"/>
          <w:tab w:val="left" w:pos="-90"/>
          <w:tab w:val="left" w:pos="1440"/>
          <w:tab w:val="left" w:pos="1980"/>
          <w:tab w:val="left" w:pos="3960"/>
          <w:tab w:val="left" w:pos="4230"/>
          <w:tab w:val="left" w:pos="5760"/>
          <w:tab w:val="left" w:pos="7650"/>
          <w:tab w:val="left" w:pos="8640"/>
        </w:tabs>
        <w:rPr>
          <w:rFonts w:ascii="Times New Roman" w:hAnsi="Times New Roman"/>
          <w:szCs w:val="24"/>
        </w:rPr>
      </w:pPr>
      <w:r w:rsidRPr="00B370BE">
        <w:rPr>
          <w:rFonts w:ascii="Times New Roman" w:hAnsi="Times New Roman"/>
          <w:b/>
          <w:szCs w:val="24"/>
        </w:rPr>
        <w:t xml:space="preserve">Estimate of Cost to the Federal Reserve System </w:t>
      </w:r>
    </w:p>
    <w:p w:rsidR="00061552" w:rsidRPr="00B370BE" w:rsidRDefault="00061552" w:rsidP="00E15530">
      <w:pPr>
        <w:widowControl/>
        <w:tabs>
          <w:tab w:val="left" w:pos="-1080"/>
          <w:tab w:val="left" w:pos="-90"/>
          <w:tab w:val="left" w:pos="1440"/>
          <w:tab w:val="left" w:pos="1980"/>
          <w:tab w:val="left" w:pos="3960"/>
          <w:tab w:val="left" w:pos="4230"/>
          <w:tab w:val="left" w:pos="5760"/>
          <w:tab w:val="left" w:pos="7650"/>
          <w:tab w:val="left" w:pos="8640"/>
        </w:tabs>
        <w:rPr>
          <w:rFonts w:ascii="Times New Roman" w:hAnsi="Times New Roman"/>
          <w:szCs w:val="24"/>
        </w:rPr>
      </w:pPr>
    </w:p>
    <w:p w:rsidR="00990FC9" w:rsidRDefault="00695A46">
      <w:pPr>
        <w:widowControl/>
        <w:autoSpaceDE w:val="0"/>
        <w:autoSpaceDN w:val="0"/>
        <w:adjustRightInd w:val="0"/>
        <w:rPr>
          <w:rFonts w:ascii="Times New Roman" w:hAnsi="Times New Roman"/>
          <w:szCs w:val="24"/>
        </w:rPr>
      </w:pPr>
      <w:r w:rsidRPr="00B370BE">
        <w:rPr>
          <w:rFonts w:ascii="Times New Roman" w:hAnsi="Times New Roman"/>
          <w:szCs w:val="24"/>
        </w:rPr>
        <w:t xml:space="preserve">       </w:t>
      </w:r>
      <w:r w:rsidR="009D6C57" w:rsidRPr="00B370BE">
        <w:rPr>
          <w:rFonts w:ascii="Times New Roman" w:hAnsi="Times New Roman"/>
          <w:szCs w:val="24"/>
        </w:rPr>
        <w:tab/>
      </w:r>
      <w:r w:rsidR="00397526">
        <w:rPr>
          <w:rFonts w:ascii="Times New Roman" w:hAnsi="Times New Roman"/>
          <w:snapToGrid/>
          <w:szCs w:val="24"/>
        </w:rPr>
        <w:t>The annual cost to the Federal Reserve System for collecting and proces</w:t>
      </w:r>
      <w:r w:rsidR="00A03DD4">
        <w:rPr>
          <w:rFonts w:ascii="Times New Roman" w:hAnsi="Times New Roman"/>
          <w:snapToGrid/>
          <w:szCs w:val="24"/>
        </w:rPr>
        <w:t>sing these reports is</w:t>
      </w:r>
      <w:r w:rsidR="00C96A99">
        <w:rPr>
          <w:rFonts w:ascii="Times New Roman" w:hAnsi="Times New Roman"/>
          <w:snapToGrid/>
          <w:szCs w:val="24"/>
        </w:rPr>
        <w:t xml:space="preserve"> estimated to </w:t>
      </w:r>
      <w:r w:rsidR="00652F4F">
        <w:rPr>
          <w:rFonts w:ascii="Times New Roman" w:hAnsi="Times New Roman"/>
          <w:snapToGrid/>
          <w:szCs w:val="24"/>
        </w:rPr>
        <w:t>be</w:t>
      </w:r>
      <w:r w:rsidR="00C96A99">
        <w:rPr>
          <w:rFonts w:ascii="Times New Roman" w:hAnsi="Times New Roman"/>
          <w:snapToGrid/>
          <w:szCs w:val="24"/>
        </w:rPr>
        <w:t xml:space="preserve"> $</w:t>
      </w:r>
      <w:r w:rsidR="00652F4F">
        <w:rPr>
          <w:rFonts w:ascii="Times New Roman" w:hAnsi="Times New Roman"/>
          <w:snapToGrid/>
          <w:szCs w:val="24"/>
        </w:rPr>
        <w:t>4,597,866</w:t>
      </w:r>
      <w:r w:rsidR="00C96A99">
        <w:rPr>
          <w:rFonts w:ascii="Times New Roman" w:hAnsi="Times New Roman"/>
          <w:snapToGrid/>
          <w:szCs w:val="24"/>
        </w:rPr>
        <w:t>.</w:t>
      </w:r>
    </w:p>
    <w:p w:rsidR="00C36328" w:rsidRPr="00B370BE" w:rsidRDefault="00C36328" w:rsidP="00CD4A29">
      <w:pPr>
        <w:rPr>
          <w:rFonts w:ascii="Times New Roman" w:hAnsi="Times New Roman"/>
          <w:szCs w:val="24"/>
        </w:rPr>
      </w:pPr>
    </w:p>
    <w:sectPr w:rsidR="00C36328" w:rsidRPr="00B370BE" w:rsidSect="007A68BA">
      <w:headerReference w:type="even" r:id="rId8"/>
      <w:headerReference w:type="default" r:id="rId9"/>
      <w:footerReference w:type="even" r:id="rId10"/>
      <w:footerReference w:type="default" r:id="rId11"/>
      <w:headerReference w:type="first" r:id="rId12"/>
      <w:endnotePr>
        <w:numFmt w:val="decimal"/>
      </w:endnotePr>
      <w:pgSz w:w="12240" w:h="15840" w:code="1"/>
      <w:pgMar w:top="1440" w:right="1440" w:bottom="1440" w:left="1440" w:header="965" w:footer="1440"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17BF" w:rsidRDefault="004A17BF">
      <w:r>
        <w:separator/>
      </w:r>
    </w:p>
  </w:endnote>
  <w:endnote w:type="continuationSeparator" w:id="0">
    <w:p w:rsidR="004A17BF" w:rsidRDefault="004A17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7BF" w:rsidRDefault="000F7E62">
    <w:pPr>
      <w:pStyle w:val="Footer"/>
      <w:framePr w:wrap="around" w:vAnchor="text" w:hAnchor="margin" w:xAlign="center" w:y="1"/>
      <w:rPr>
        <w:rStyle w:val="PageNumber"/>
      </w:rPr>
    </w:pPr>
    <w:r>
      <w:rPr>
        <w:rStyle w:val="PageNumber"/>
      </w:rPr>
      <w:fldChar w:fldCharType="begin"/>
    </w:r>
    <w:r w:rsidR="004A17BF">
      <w:rPr>
        <w:rStyle w:val="PageNumber"/>
      </w:rPr>
      <w:instrText xml:space="preserve">PAGE  </w:instrText>
    </w:r>
    <w:r>
      <w:rPr>
        <w:rStyle w:val="PageNumber"/>
      </w:rPr>
      <w:fldChar w:fldCharType="end"/>
    </w:r>
  </w:p>
  <w:p w:rsidR="004A17BF" w:rsidRDefault="004A17B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7BF" w:rsidRDefault="004A17BF">
    <w:pPr>
      <w:pStyle w:val="Footer"/>
      <w:framePr w:wrap="around" w:vAnchor="text" w:hAnchor="margin" w:xAlign="center" w:y="1"/>
      <w:rPr>
        <w:rStyle w:val="PageNumber"/>
        <w:rFonts w:ascii="Times New Roman" w:hAnsi="Times New Roman"/>
      </w:rPr>
    </w:pPr>
  </w:p>
  <w:p w:rsidR="004A17BF" w:rsidRDefault="004A17BF">
    <w:pPr>
      <w:pStyle w:val="Footer"/>
      <w:framePr w:wrap="around" w:vAnchor="text" w:hAnchor="margin" w:xAlign="center" w:y="1"/>
      <w:rPr>
        <w:rStyle w:val="PageNumber"/>
        <w:rFonts w:ascii="Times New Roman" w:hAnsi="Times New Roman"/>
      </w:rPr>
    </w:pPr>
  </w:p>
  <w:p w:rsidR="004A17BF" w:rsidRDefault="000F7E62">
    <w:pPr>
      <w:pStyle w:val="Footer"/>
      <w:framePr w:wrap="around" w:vAnchor="text" w:hAnchor="margin" w:xAlign="center" w:y="1"/>
      <w:jc w:val="center"/>
      <w:rPr>
        <w:rStyle w:val="PageNumber"/>
        <w:rFonts w:ascii="Times New Roman" w:hAnsi="Times New Roman"/>
      </w:rPr>
    </w:pPr>
    <w:r>
      <w:rPr>
        <w:rStyle w:val="PageNumber"/>
        <w:rFonts w:ascii="Times New Roman" w:hAnsi="Times New Roman"/>
      </w:rPr>
      <w:fldChar w:fldCharType="begin"/>
    </w:r>
    <w:r w:rsidR="004A17BF">
      <w:rPr>
        <w:rStyle w:val="PageNumber"/>
        <w:rFonts w:ascii="Times New Roman" w:hAnsi="Times New Roman"/>
      </w:rPr>
      <w:instrText xml:space="preserve">PAGE  </w:instrText>
    </w:r>
    <w:r>
      <w:rPr>
        <w:rStyle w:val="PageNumber"/>
        <w:rFonts w:ascii="Times New Roman" w:hAnsi="Times New Roman"/>
      </w:rPr>
      <w:fldChar w:fldCharType="separate"/>
    </w:r>
    <w:r w:rsidR="00CF504E">
      <w:rPr>
        <w:rStyle w:val="PageNumber"/>
        <w:rFonts w:ascii="Times New Roman" w:hAnsi="Times New Roman"/>
        <w:noProof/>
      </w:rPr>
      <w:t>13</w:t>
    </w:r>
    <w:r>
      <w:rPr>
        <w:rStyle w:val="PageNumber"/>
        <w:rFonts w:ascii="Times New Roman" w:hAnsi="Times New Roman"/>
      </w:rPr>
      <w:fldChar w:fldCharType="end"/>
    </w:r>
  </w:p>
  <w:p w:rsidR="004A17BF" w:rsidRDefault="004A17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17BF" w:rsidRDefault="004A17BF">
      <w:r>
        <w:separator/>
      </w:r>
    </w:p>
  </w:footnote>
  <w:footnote w:type="continuationSeparator" w:id="0">
    <w:p w:rsidR="004A17BF" w:rsidRDefault="004A17BF">
      <w:r>
        <w:continuationSeparator/>
      </w:r>
    </w:p>
  </w:footnote>
  <w:footnote w:id="1">
    <w:p w:rsidR="004A17BF" w:rsidRDefault="004A17BF" w:rsidP="002E3E1A">
      <w:pPr>
        <w:pStyle w:val="FootnoteText"/>
      </w:pPr>
      <w:r w:rsidRPr="00731A28">
        <w:rPr>
          <w:rStyle w:val="FootnoteReference"/>
          <w:sz w:val="20"/>
          <w:vertAlign w:val="superscript"/>
        </w:rPr>
        <w:footnoteRef/>
      </w:r>
      <w:r w:rsidRPr="003B454B">
        <w:rPr>
          <w:rFonts w:ascii="Times New Roman" w:hAnsi="Times New Roman"/>
          <w:sz w:val="20"/>
        </w:rPr>
        <w:t xml:space="preserve"> </w:t>
      </w:r>
      <w:r w:rsidRPr="00060441">
        <w:rPr>
          <w:rFonts w:ascii="Times New Roman" w:hAnsi="Times New Roman"/>
          <w:sz w:val="20"/>
        </w:rPr>
        <w:t xml:space="preserve">All </w:t>
      </w:r>
      <w:r w:rsidRPr="009B6862">
        <w:rPr>
          <w:rFonts w:ascii="Times New Roman" w:hAnsi="Times New Roman"/>
          <w:color w:val="000000"/>
          <w:sz w:val="20"/>
        </w:rPr>
        <w:t>SLHCs w</w:t>
      </w:r>
      <w:r>
        <w:rPr>
          <w:rFonts w:ascii="Times New Roman" w:hAnsi="Times New Roman"/>
          <w:color w:val="000000"/>
          <w:sz w:val="20"/>
        </w:rPr>
        <w:t>ere required</w:t>
      </w:r>
      <w:r w:rsidRPr="009B6862">
        <w:rPr>
          <w:rFonts w:ascii="Times New Roman" w:hAnsi="Times New Roman"/>
          <w:color w:val="000000"/>
          <w:sz w:val="20"/>
        </w:rPr>
        <w:t xml:space="preserve"> to submit Schedule HC – Thrift Holding Companies as part of the </w:t>
      </w:r>
      <w:r>
        <w:rPr>
          <w:rFonts w:ascii="Times New Roman" w:hAnsi="Times New Roman"/>
          <w:color w:val="000000"/>
          <w:sz w:val="20"/>
        </w:rPr>
        <w:t>Thrift Financial Report (</w:t>
      </w:r>
      <w:r w:rsidRPr="009B6862">
        <w:rPr>
          <w:rFonts w:ascii="Times New Roman" w:hAnsi="Times New Roman"/>
          <w:color w:val="000000"/>
          <w:sz w:val="20"/>
        </w:rPr>
        <w:t>TFR</w:t>
      </w:r>
      <w:r>
        <w:rPr>
          <w:rFonts w:ascii="Times New Roman" w:hAnsi="Times New Roman"/>
          <w:color w:val="000000"/>
          <w:sz w:val="20"/>
        </w:rPr>
        <w:t>)</w:t>
      </w:r>
      <w:r w:rsidRPr="009B6862">
        <w:rPr>
          <w:rFonts w:ascii="Times New Roman" w:hAnsi="Times New Roman"/>
          <w:color w:val="000000"/>
          <w:sz w:val="20"/>
        </w:rPr>
        <w:t xml:space="preserve"> and the</w:t>
      </w:r>
      <w:r>
        <w:rPr>
          <w:rFonts w:ascii="Times New Roman" w:hAnsi="Times New Roman"/>
          <w:color w:val="000000"/>
          <w:sz w:val="20"/>
        </w:rPr>
        <w:t xml:space="preserve"> </w:t>
      </w:r>
      <w:r w:rsidRPr="00E617F3">
        <w:rPr>
          <w:rFonts w:ascii="Times New Roman" w:hAnsi="Times New Roman"/>
          <w:sz w:val="20"/>
        </w:rPr>
        <w:t>Home Owners’ Loan Act (</w:t>
      </w:r>
      <w:r>
        <w:rPr>
          <w:rFonts w:ascii="Times New Roman" w:hAnsi="Times New Roman"/>
          <w:color w:val="000000"/>
          <w:sz w:val="20"/>
        </w:rPr>
        <w:t>HOLA) H-(b</w:t>
      </w:r>
      <w:proofErr w:type="gramStart"/>
      <w:r>
        <w:rPr>
          <w:rFonts w:ascii="Times New Roman" w:hAnsi="Times New Roman"/>
          <w:color w:val="000000"/>
          <w:sz w:val="20"/>
        </w:rPr>
        <w:t>)11</w:t>
      </w:r>
      <w:proofErr w:type="gramEnd"/>
      <w:r>
        <w:rPr>
          <w:rFonts w:ascii="Times New Roman" w:hAnsi="Times New Roman"/>
          <w:color w:val="000000"/>
          <w:sz w:val="20"/>
        </w:rPr>
        <w:t xml:space="preserve">, </w:t>
      </w:r>
      <w:r w:rsidRPr="009B6862">
        <w:rPr>
          <w:rFonts w:ascii="Times New Roman" w:hAnsi="Times New Roman"/>
          <w:color w:val="000000"/>
          <w:sz w:val="20"/>
        </w:rPr>
        <w:t xml:space="preserve">through December 31, 2011, reporting period, using </w:t>
      </w:r>
      <w:r>
        <w:rPr>
          <w:rFonts w:ascii="Times New Roman" w:hAnsi="Times New Roman"/>
          <w:sz w:val="20"/>
        </w:rPr>
        <w:t xml:space="preserve">the </w:t>
      </w:r>
      <w:r w:rsidRPr="009B6862">
        <w:rPr>
          <w:rFonts w:ascii="Times New Roman" w:hAnsi="Times New Roman"/>
          <w:color w:val="000000"/>
          <w:sz w:val="20"/>
        </w:rPr>
        <w:t>Electronic Filing System (EFS)</w:t>
      </w:r>
      <w:r w:rsidRPr="009B6862">
        <w:rPr>
          <w:rFonts w:ascii="Times New Roman" w:hAnsi="Times New Roman"/>
          <w:sz w:val="20"/>
        </w:rPr>
        <w:t xml:space="preserve"> established by the </w:t>
      </w:r>
      <w:r>
        <w:rPr>
          <w:rFonts w:ascii="Times New Roman" w:hAnsi="Times New Roman"/>
          <w:sz w:val="20"/>
        </w:rPr>
        <w:t>Office of Thrift Supervision (</w:t>
      </w:r>
      <w:r w:rsidRPr="009B6862">
        <w:rPr>
          <w:rFonts w:ascii="Times New Roman" w:hAnsi="Times New Roman"/>
          <w:sz w:val="20"/>
        </w:rPr>
        <w:t>OTS</w:t>
      </w:r>
      <w:r>
        <w:rPr>
          <w:rFonts w:ascii="Times New Roman" w:hAnsi="Times New Roman"/>
          <w:sz w:val="20"/>
        </w:rPr>
        <w:t>)</w:t>
      </w:r>
      <w:r w:rsidRPr="009B6862">
        <w:rPr>
          <w:rFonts w:ascii="Times New Roman" w:hAnsi="Times New Roman"/>
          <w:color w:val="000000"/>
          <w:sz w:val="20"/>
        </w:rPr>
        <w:t xml:space="preserve">. </w:t>
      </w:r>
      <w:r>
        <w:rPr>
          <w:rFonts w:ascii="Times New Roman" w:hAnsi="Times New Roman"/>
          <w:color w:val="000000"/>
          <w:sz w:val="20"/>
        </w:rPr>
        <w:t xml:space="preserve">Effective for 2012, all SLHCs will be required to file the </w:t>
      </w:r>
      <w:r w:rsidRPr="00ED19C1">
        <w:rPr>
          <w:rFonts w:ascii="Times New Roman" w:hAnsi="Times New Roman"/>
          <w:sz w:val="20"/>
        </w:rPr>
        <w:t>HO</w:t>
      </w:r>
      <w:bookmarkStart w:id="0" w:name="_GoBack"/>
      <w:bookmarkEnd w:id="0"/>
      <w:r w:rsidRPr="00ED19C1">
        <w:rPr>
          <w:rFonts w:ascii="Times New Roman" w:hAnsi="Times New Roman"/>
          <w:sz w:val="20"/>
        </w:rPr>
        <w:t>LA H</w:t>
      </w:r>
      <w:r>
        <w:rPr>
          <w:rFonts w:ascii="Times New Roman" w:hAnsi="Times New Roman"/>
          <w:sz w:val="20"/>
        </w:rPr>
        <w:t>-</w:t>
      </w:r>
      <w:r w:rsidRPr="00ED19C1">
        <w:rPr>
          <w:rFonts w:ascii="Times New Roman" w:hAnsi="Times New Roman"/>
          <w:sz w:val="20"/>
        </w:rPr>
        <w:t xml:space="preserve">(b)11 report </w:t>
      </w:r>
      <w:r>
        <w:rPr>
          <w:rFonts w:ascii="Times New Roman" w:hAnsi="Times New Roman"/>
          <w:sz w:val="20"/>
        </w:rPr>
        <w:t xml:space="preserve">(OTS Form H-(b)11; OMB No. 7100-0334) </w:t>
      </w:r>
      <w:r w:rsidRPr="00ED19C1">
        <w:rPr>
          <w:rFonts w:ascii="Times New Roman" w:hAnsi="Times New Roman"/>
          <w:sz w:val="20"/>
        </w:rPr>
        <w:t>with the Federal Reserve</w:t>
      </w:r>
      <w:r>
        <w:rPr>
          <w:rFonts w:ascii="Times New Roman" w:hAnsi="Times New Roman"/>
          <w:sz w:val="20"/>
        </w:rPr>
        <w:t xml:space="preserve">.  The Federal Reserve issued a transmittal letter on March 1, 2012, with information regarding the submission of </w:t>
      </w:r>
      <w:r w:rsidRPr="00ED19C1">
        <w:rPr>
          <w:rFonts w:ascii="Times New Roman" w:hAnsi="Times New Roman"/>
          <w:sz w:val="20"/>
        </w:rPr>
        <w:t>the</w:t>
      </w:r>
      <w:r>
        <w:rPr>
          <w:rFonts w:ascii="Times New Roman" w:hAnsi="Times New Roman"/>
          <w:sz w:val="20"/>
        </w:rPr>
        <w:t xml:space="preserve"> HOLA H-(b</w:t>
      </w:r>
      <w:proofErr w:type="gramStart"/>
      <w:r>
        <w:rPr>
          <w:rFonts w:ascii="Times New Roman" w:hAnsi="Times New Roman"/>
          <w:sz w:val="20"/>
        </w:rPr>
        <w:t>)11</w:t>
      </w:r>
      <w:proofErr w:type="gramEnd"/>
      <w:r>
        <w:rPr>
          <w:rFonts w:ascii="Times New Roman" w:hAnsi="Times New Roman"/>
          <w:sz w:val="20"/>
        </w:rPr>
        <w:t xml:space="preserve"> report.  In addition, </w:t>
      </w:r>
      <w:r w:rsidRPr="00ED19C1">
        <w:rPr>
          <w:rFonts w:ascii="Times New Roman" w:hAnsi="Times New Roman"/>
          <w:sz w:val="20"/>
        </w:rPr>
        <w:t xml:space="preserve">SLHCs </w:t>
      </w:r>
      <w:r>
        <w:rPr>
          <w:rFonts w:ascii="Times New Roman" w:hAnsi="Times New Roman"/>
          <w:sz w:val="20"/>
        </w:rPr>
        <w:t xml:space="preserve">that are initially exempt from reporting the Federal Reserve’s regulatory reports </w:t>
      </w:r>
      <w:r w:rsidRPr="00ED19C1">
        <w:rPr>
          <w:rFonts w:ascii="Times New Roman" w:hAnsi="Times New Roman"/>
          <w:sz w:val="20"/>
        </w:rPr>
        <w:t xml:space="preserve">would be required to </w:t>
      </w:r>
      <w:r>
        <w:rPr>
          <w:rFonts w:ascii="Times New Roman" w:hAnsi="Times New Roman"/>
          <w:sz w:val="20"/>
        </w:rPr>
        <w:t>file t</w:t>
      </w:r>
      <w:r>
        <w:rPr>
          <w:rFonts w:ascii="Times New Roman" w:hAnsi="Times New Roman"/>
          <w:snapToGrid/>
          <w:sz w:val="20"/>
        </w:rPr>
        <w:t xml:space="preserve">he </w:t>
      </w:r>
      <w:r w:rsidRPr="00E617F3">
        <w:rPr>
          <w:rFonts w:ascii="Times New Roman" w:hAnsi="Times New Roman"/>
          <w:iCs/>
          <w:snapToGrid/>
          <w:sz w:val="20"/>
        </w:rPr>
        <w:t>Quarterly Savings and Loan Holding Company Report</w:t>
      </w:r>
      <w:r>
        <w:rPr>
          <w:rFonts w:ascii="Times New Roman" w:hAnsi="Times New Roman"/>
          <w:i/>
          <w:iCs/>
          <w:snapToGrid/>
          <w:sz w:val="20"/>
        </w:rPr>
        <w:t xml:space="preserve"> </w:t>
      </w:r>
      <w:r>
        <w:rPr>
          <w:rFonts w:ascii="Times New Roman" w:hAnsi="Times New Roman"/>
          <w:snapToGrid/>
          <w:sz w:val="20"/>
        </w:rPr>
        <w:t xml:space="preserve">(FR 2320) report, which replaces the </w:t>
      </w:r>
      <w:r w:rsidRPr="00ED19C1">
        <w:rPr>
          <w:rFonts w:ascii="Times New Roman" w:hAnsi="Times New Roman"/>
          <w:sz w:val="20"/>
        </w:rPr>
        <w:t xml:space="preserve">Thrift Financial Report Schedule HC </w:t>
      </w:r>
      <w:r>
        <w:rPr>
          <w:rFonts w:ascii="Times New Roman" w:hAnsi="Times New Roman"/>
          <w:sz w:val="20"/>
        </w:rPr>
        <w:t xml:space="preserve">(OTS 1313; OMB No. 1557-0255).  </w:t>
      </w:r>
      <w:r w:rsidRPr="00ED19C1">
        <w:rPr>
          <w:rFonts w:ascii="Times New Roman" w:hAnsi="Times New Roman"/>
          <w:sz w:val="20"/>
        </w:rPr>
        <w:t xml:space="preserve">Details about </w:t>
      </w:r>
      <w:r>
        <w:rPr>
          <w:rFonts w:ascii="Times New Roman" w:hAnsi="Times New Roman"/>
          <w:sz w:val="20"/>
        </w:rPr>
        <w:t xml:space="preserve">how SLHCs will </w:t>
      </w:r>
      <w:r w:rsidRPr="00ED19C1">
        <w:rPr>
          <w:rFonts w:ascii="Times New Roman" w:hAnsi="Times New Roman"/>
          <w:sz w:val="20"/>
        </w:rPr>
        <w:t xml:space="preserve">submit </w:t>
      </w:r>
      <w:r>
        <w:rPr>
          <w:rFonts w:ascii="Times New Roman" w:hAnsi="Times New Roman"/>
          <w:sz w:val="20"/>
        </w:rPr>
        <w:t>the FR 2320</w:t>
      </w:r>
      <w:r w:rsidRPr="00ED19C1">
        <w:rPr>
          <w:rFonts w:ascii="Times New Roman" w:hAnsi="Times New Roman"/>
          <w:sz w:val="20"/>
        </w:rPr>
        <w:t xml:space="preserve"> </w:t>
      </w:r>
      <w:r>
        <w:rPr>
          <w:rFonts w:ascii="Times New Roman" w:hAnsi="Times New Roman"/>
          <w:sz w:val="20"/>
        </w:rPr>
        <w:t xml:space="preserve">to the Federal Reserve was described in a separate </w:t>
      </w:r>
      <w:r w:rsidRPr="00ED19C1">
        <w:rPr>
          <w:rFonts w:ascii="Times New Roman" w:hAnsi="Times New Roman"/>
          <w:i/>
          <w:sz w:val="20"/>
        </w:rPr>
        <w:t>Federal Register</w:t>
      </w:r>
      <w:r>
        <w:rPr>
          <w:rFonts w:ascii="Times New Roman" w:hAnsi="Times New Roman"/>
          <w:sz w:val="20"/>
        </w:rPr>
        <w:t xml:space="preserve"> notice on February 13, 2012 (77 FR 7578)</w:t>
      </w:r>
      <w:r w:rsidRPr="00E617F3">
        <w:rPr>
          <w:rFonts w:ascii="Times New Roman" w:hAnsi="Times New Roman"/>
          <w:sz w:val="20"/>
        </w:rPr>
        <w:t>.  Additionally, all SLHCs would be required to file either</w:t>
      </w:r>
      <w:r>
        <w:rPr>
          <w:rFonts w:ascii="Times New Roman" w:hAnsi="Times New Roman"/>
          <w:sz w:val="20"/>
        </w:rPr>
        <w:t xml:space="preserve"> the Federal Reserve’s FR Y-6 or FR Y-7 regulatory reports. </w:t>
      </w:r>
    </w:p>
  </w:footnote>
  <w:footnote w:id="2">
    <w:p w:rsidR="004A17BF" w:rsidRDefault="004A17BF">
      <w:pPr>
        <w:pStyle w:val="FootnoteText"/>
        <w:rPr>
          <w:sz w:val="20"/>
        </w:rPr>
      </w:pPr>
      <w:r w:rsidRPr="00777BD5">
        <w:rPr>
          <w:rStyle w:val="FootnoteReference"/>
          <w:sz w:val="20"/>
          <w:vertAlign w:val="superscript"/>
        </w:rPr>
        <w:footnoteRef/>
      </w:r>
      <w:r w:rsidRPr="00777BD5">
        <w:rPr>
          <w:rFonts w:ascii="Times New Roman" w:hAnsi="Times New Roman"/>
          <w:sz w:val="20"/>
          <w:vertAlign w:val="superscript"/>
        </w:rPr>
        <w:t xml:space="preserve"> </w:t>
      </w:r>
      <w:r w:rsidRPr="00777BD5">
        <w:rPr>
          <w:rFonts w:ascii="Times New Roman" w:hAnsi="Times New Roman"/>
          <w:sz w:val="20"/>
        </w:rPr>
        <w:t xml:space="preserve">In addition, </w:t>
      </w:r>
      <w:r>
        <w:rPr>
          <w:rFonts w:ascii="Times New Roman" w:hAnsi="Times New Roman"/>
          <w:sz w:val="20"/>
        </w:rPr>
        <w:t>the Federal Reserve</w:t>
      </w:r>
      <w:r w:rsidRPr="00777BD5">
        <w:rPr>
          <w:rFonts w:ascii="Times New Roman" w:hAnsi="Times New Roman"/>
          <w:sz w:val="20"/>
        </w:rPr>
        <w:t xml:space="preserve"> plan</w:t>
      </w:r>
      <w:r>
        <w:rPr>
          <w:rFonts w:ascii="Times New Roman" w:hAnsi="Times New Roman"/>
          <w:sz w:val="20"/>
        </w:rPr>
        <w:t>s</w:t>
      </w:r>
      <w:r w:rsidRPr="00777BD5">
        <w:rPr>
          <w:rFonts w:ascii="Times New Roman" w:hAnsi="Times New Roman"/>
          <w:sz w:val="20"/>
        </w:rPr>
        <w:t xml:space="preserve"> to issue a separate </w:t>
      </w:r>
      <w:r>
        <w:rPr>
          <w:rFonts w:ascii="Times New Roman" w:hAnsi="Times New Roman"/>
          <w:sz w:val="20"/>
        </w:rPr>
        <w:t xml:space="preserve">reporting </w:t>
      </w:r>
      <w:r w:rsidRPr="00777BD5">
        <w:rPr>
          <w:rFonts w:ascii="Times New Roman" w:hAnsi="Times New Roman"/>
          <w:sz w:val="20"/>
        </w:rPr>
        <w:t>proposal</w:t>
      </w:r>
      <w:r>
        <w:rPr>
          <w:rFonts w:ascii="Times New Roman" w:hAnsi="Times New Roman"/>
          <w:sz w:val="20"/>
        </w:rPr>
        <w:t xml:space="preserve"> for the FR Y-10 report later </w:t>
      </w:r>
      <w:r w:rsidRPr="00777BD5">
        <w:rPr>
          <w:rFonts w:ascii="Times New Roman" w:hAnsi="Times New Roman"/>
          <w:sz w:val="20"/>
        </w:rPr>
        <w:t xml:space="preserve">in </w:t>
      </w:r>
      <w:r>
        <w:rPr>
          <w:rFonts w:ascii="Times New Roman" w:hAnsi="Times New Roman"/>
          <w:sz w:val="20"/>
        </w:rPr>
        <w:t xml:space="preserve">2012 </w:t>
      </w:r>
      <w:r w:rsidRPr="00777BD5">
        <w:rPr>
          <w:rFonts w:ascii="Times New Roman" w:hAnsi="Times New Roman"/>
          <w:sz w:val="20"/>
        </w:rPr>
        <w:t>that will address the Federal Reserve’s plans to collect organizational structure and activity information from SLHCs in order to populate its National Information Center database with a comprehensive list of subsidiaries and affiliates of each SLHC.</w:t>
      </w:r>
    </w:p>
  </w:footnote>
  <w:footnote w:id="3">
    <w:p w:rsidR="004A17BF" w:rsidRPr="00AF5B85" w:rsidRDefault="004A17BF" w:rsidP="00990FC9">
      <w:pPr>
        <w:pStyle w:val="FootnoteText"/>
      </w:pPr>
      <w:r w:rsidRPr="00E617F3">
        <w:rPr>
          <w:rStyle w:val="FootnoteReference"/>
          <w:sz w:val="20"/>
          <w:vertAlign w:val="superscript"/>
        </w:rPr>
        <w:footnoteRef/>
      </w:r>
      <w:r>
        <w:rPr>
          <w:rFonts w:ascii="Times New Roman" w:hAnsi="Times New Roman"/>
          <w:snapToGrid/>
          <w:sz w:val="20"/>
        </w:rPr>
        <w:t>See 12 U.S.C. § 1467a(c</w:t>
      </w:r>
      <w:proofErr w:type="gramStart"/>
      <w:r>
        <w:rPr>
          <w:rFonts w:ascii="Times New Roman" w:hAnsi="Times New Roman"/>
          <w:snapToGrid/>
          <w:sz w:val="20"/>
        </w:rPr>
        <w:t>)(</w:t>
      </w:r>
      <w:proofErr w:type="gramEnd"/>
      <w:r>
        <w:rPr>
          <w:rFonts w:ascii="Times New Roman" w:hAnsi="Times New Roman"/>
          <w:snapToGrid/>
          <w:sz w:val="20"/>
        </w:rPr>
        <w:t>2).</w:t>
      </w:r>
    </w:p>
  </w:footnote>
  <w:footnote w:id="4">
    <w:p w:rsidR="004A17BF" w:rsidRDefault="004A17BF" w:rsidP="002E3E1A">
      <w:pPr>
        <w:pStyle w:val="NormalWeb"/>
      </w:pPr>
      <w:r w:rsidRPr="00801F74">
        <w:rPr>
          <w:rStyle w:val="FootnoteReference"/>
          <w:sz w:val="20"/>
          <w:vertAlign w:val="superscript"/>
        </w:rPr>
        <w:footnoteRef/>
      </w:r>
      <w:r w:rsidRPr="00801F74">
        <w:rPr>
          <w:sz w:val="20"/>
          <w:vertAlign w:val="superscript"/>
        </w:rPr>
        <w:t xml:space="preserve"> </w:t>
      </w:r>
      <w:r>
        <w:rPr>
          <w:sz w:val="20"/>
        </w:rPr>
        <w:t>Generally, SLHCs with more than $500 million in total consolidated assets as of June 30, 2011, will be required to file the FR Y-9C and FR Y-9LP reports on a quarterly basis, and those with less than $500 million in total consolidated assets will be required to file the FR Y-9SP report on a semi-annual basis.  SLHCs that are also Employee Stock Ownership Plans (or similar) will be required to instead file the FR Y-9ES on an annual basis regardless of size.  The instructions for each of the FR Y-9 series of reports include specific information to determine the applicable reporting requirements.  In addition, S</w:t>
      </w:r>
      <w:r w:rsidRPr="00801F74">
        <w:rPr>
          <w:sz w:val="20"/>
        </w:rPr>
        <w:t xml:space="preserve">LHCs that must file the FR Y-9C report would not be required to </w:t>
      </w:r>
      <w:r w:rsidRPr="00E376E6">
        <w:rPr>
          <w:sz w:val="20"/>
        </w:rPr>
        <w:t>complete Schedule HC-R, Regulatory Capital, until consolidated regulatory capital requirements for SLHCs are established</w:t>
      </w:r>
      <w:r>
        <w:rPr>
          <w:sz w:val="20"/>
          <w:szCs w:val="20"/>
        </w:rPr>
        <w:t>.</w:t>
      </w:r>
    </w:p>
    <w:p w:rsidR="004A17BF" w:rsidRPr="005F71FC" w:rsidRDefault="004A17BF" w:rsidP="002E3E1A">
      <w:pPr>
        <w:pStyle w:val="FootnoteText"/>
        <w:rPr>
          <w:rFonts w:ascii="Times New Roman" w:hAnsi="Times New Roman"/>
          <w:sz w:val="20"/>
        </w:rPr>
      </w:pPr>
      <w:r>
        <w:rPr>
          <w:rFonts w:ascii="Times New Roman" w:hAnsi="Times New Roman"/>
          <w:sz w:val="20"/>
        </w:rPr>
        <w:t>.</w:t>
      </w:r>
      <w:r w:rsidRPr="00801F74">
        <w:rPr>
          <w:rFonts w:ascii="Times New Roman" w:hAnsi="Times New Roman"/>
          <w:sz w:val="20"/>
        </w:rPr>
        <w:t xml:space="preserve"> </w:t>
      </w:r>
    </w:p>
  </w:footnote>
  <w:footnote w:id="5">
    <w:p w:rsidR="004A17BF" w:rsidRPr="00777BD5" w:rsidRDefault="004A17BF" w:rsidP="007E4DA7">
      <w:pPr>
        <w:pStyle w:val="FootnoteText"/>
        <w:rPr>
          <w:rFonts w:ascii="Times New Roman" w:hAnsi="Times New Roman"/>
          <w:sz w:val="20"/>
        </w:rPr>
      </w:pPr>
      <w:r w:rsidRPr="00777BD5">
        <w:rPr>
          <w:rStyle w:val="FootnoteReference"/>
          <w:sz w:val="20"/>
          <w:vertAlign w:val="superscript"/>
        </w:rPr>
        <w:footnoteRef/>
      </w:r>
      <w:r w:rsidRPr="00777BD5">
        <w:rPr>
          <w:rFonts w:ascii="Times New Roman" w:hAnsi="Times New Roman"/>
          <w:sz w:val="20"/>
          <w:vertAlign w:val="superscript"/>
        </w:rPr>
        <w:t xml:space="preserve"> </w:t>
      </w:r>
      <w:r w:rsidRPr="00777BD5">
        <w:rPr>
          <w:rFonts w:ascii="Times New Roman" w:hAnsi="Times New Roman"/>
          <w:sz w:val="20"/>
        </w:rPr>
        <w:t>For purposes of this burden table, the number of respondents represents the number of FR Y-8 reporting forms filed.</w:t>
      </w:r>
    </w:p>
  </w:footnote>
  <w:footnote w:id="6">
    <w:p w:rsidR="004A17BF" w:rsidRPr="00777BD5" w:rsidRDefault="004A17BF" w:rsidP="007E4DA7">
      <w:pPr>
        <w:pStyle w:val="Default"/>
        <w:rPr>
          <w:sz w:val="20"/>
          <w:szCs w:val="20"/>
        </w:rPr>
      </w:pPr>
      <w:r w:rsidRPr="00777BD5">
        <w:rPr>
          <w:rStyle w:val="FootnoteReference"/>
          <w:sz w:val="20"/>
          <w:szCs w:val="20"/>
          <w:vertAlign w:val="superscript"/>
        </w:rPr>
        <w:footnoteRef/>
      </w:r>
      <w:r>
        <w:rPr>
          <w:sz w:val="20"/>
          <w:szCs w:val="20"/>
          <w:vertAlign w:val="superscript"/>
        </w:rPr>
        <w:t xml:space="preserve"> </w:t>
      </w:r>
      <w:r w:rsidRPr="00777BD5">
        <w:rPr>
          <w:sz w:val="20"/>
          <w:szCs w:val="20"/>
        </w:rPr>
        <w:t xml:space="preserve">The </w:t>
      </w:r>
      <w:r w:rsidRPr="00777BD5">
        <w:rPr>
          <w:bCs/>
          <w:sz w:val="20"/>
          <w:szCs w:val="20"/>
        </w:rPr>
        <w:t>FR Y-12</w:t>
      </w:r>
      <w:r w:rsidRPr="00777BD5">
        <w:rPr>
          <w:b/>
          <w:bCs/>
          <w:sz w:val="20"/>
          <w:szCs w:val="20"/>
        </w:rPr>
        <w:t xml:space="preserve"> </w:t>
      </w:r>
      <w:r w:rsidRPr="00777BD5">
        <w:rPr>
          <w:sz w:val="20"/>
          <w:szCs w:val="20"/>
        </w:rPr>
        <w:t xml:space="preserve">panel consists of top-tier domestic BHCs that file the </w:t>
      </w:r>
      <w:r w:rsidRPr="00777BD5">
        <w:rPr>
          <w:bCs/>
          <w:sz w:val="20"/>
          <w:szCs w:val="20"/>
        </w:rPr>
        <w:t xml:space="preserve">FR Y-9C </w:t>
      </w:r>
      <w:r w:rsidRPr="00777BD5">
        <w:rPr>
          <w:sz w:val="20"/>
          <w:szCs w:val="20"/>
        </w:rPr>
        <w:t xml:space="preserve">or </w:t>
      </w:r>
      <w:r w:rsidRPr="00777BD5">
        <w:rPr>
          <w:bCs/>
          <w:sz w:val="20"/>
          <w:szCs w:val="20"/>
        </w:rPr>
        <w:t>FR Y-9SP</w:t>
      </w:r>
      <w:r w:rsidRPr="00777BD5">
        <w:rPr>
          <w:b/>
          <w:bCs/>
          <w:sz w:val="20"/>
          <w:szCs w:val="20"/>
        </w:rPr>
        <w:t xml:space="preserve"> </w:t>
      </w:r>
      <w:r w:rsidRPr="00777BD5">
        <w:rPr>
          <w:sz w:val="20"/>
          <w:szCs w:val="20"/>
        </w:rPr>
        <w:t>and meet the reporting requirements in the instructions.</w:t>
      </w:r>
    </w:p>
  </w:footnote>
  <w:footnote w:id="7">
    <w:p w:rsidR="004A17BF" w:rsidRPr="00777BD5" w:rsidRDefault="004A17BF" w:rsidP="002D75C7">
      <w:pPr>
        <w:pStyle w:val="FootnoteText"/>
        <w:rPr>
          <w:rFonts w:ascii="Times New Roman" w:hAnsi="Times New Roman"/>
          <w:sz w:val="20"/>
        </w:rPr>
      </w:pPr>
      <w:r w:rsidRPr="00777BD5">
        <w:rPr>
          <w:rFonts w:ascii="Times New Roman" w:hAnsi="Times New Roman"/>
          <w:sz w:val="20"/>
          <w:vertAlign w:val="superscript"/>
        </w:rPr>
        <w:footnoteRef/>
      </w:r>
      <w:r>
        <w:rPr>
          <w:rFonts w:ascii="Times New Roman" w:hAnsi="Times New Roman"/>
          <w:sz w:val="20"/>
        </w:rPr>
        <w:t xml:space="preserve"> </w:t>
      </w:r>
      <w:r w:rsidRPr="00777BD5">
        <w:rPr>
          <w:rFonts w:ascii="Times New Roman" w:hAnsi="Times New Roman"/>
          <w:sz w:val="20"/>
        </w:rPr>
        <w:t>Total cost to the public was estimated using the following formula: percent of staff time, multiplied by annual burden hours, multiplied by hourly rate (30% Office &amp; Administrative Support @ $16, 45% Financial Managers @ $</w:t>
      </w:r>
      <w:r>
        <w:rPr>
          <w:rFonts w:ascii="Times New Roman" w:hAnsi="Times New Roman"/>
          <w:sz w:val="20"/>
        </w:rPr>
        <w:t>50</w:t>
      </w:r>
      <w:r w:rsidRPr="00777BD5">
        <w:rPr>
          <w:rFonts w:ascii="Times New Roman" w:hAnsi="Times New Roman"/>
          <w:sz w:val="20"/>
        </w:rPr>
        <w:t>, 15% Legal Counsel @ $54, and 10% Chief Executives @ $</w:t>
      </w:r>
      <w:r>
        <w:rPr>
          <w:rFonts w:ascii="Times New Roman" w:hAnsi="Times New Roman"/>
          <w:sz w:val="20"/>
        </w:rPr>
        <w:t>80</w:t>
      </w:r>
      <w:r w:rsidRPr="00777BD5">
        <w:rPr>
          <w:rFonts w:ascii="Times New Roman" w:hAnsi="Times New Roman"/>
          <w:sz w:val="20"/>
        </w:rPr>
        <w:t>).  Hourly rate for each occupational group are the median hourly wages (rounded up) from the Bureau of Labor and Statistics (BLS), Occupational Employment and Wages 20</w:t>
      </w:r>
      <w:r>
        <w:rPr>
          <w:rFonts w:ascii="Times New Roman" w:hAnsi="Times New Roman"/>
          <w:sz w:val="20"/>
        </w:rPr>
        <w:t>10</w:t>
      </w:r>
      <w:r w:rsidRPr="00777BD5">
        <w:rPr>
          <w:rFonts w:ascii="Times New Roman" w:hAnsi="Times New Roman"/>
          <w:sz w:val="20"/>
        </w:rPr>
        <w:t>, www.bls.gov/news.release/</w:t>
      </w:r>
      <w:proofErr w:type="gramStart"/>
      <w:r w:rsidRPr="00777BD5">
        <w:rPr>
          <w:rFonts w:ascii="Times New Roman" w:hAnsi="Times New Roman"/>
          <w:sz w:val="20"/>
        </w:rPr>
        <w:t xml:space="preserve">ocwage.nr0.htm </w:t>
      </w:r>
      <w:r>
        <w:rPr>
          <w:rFonts w:ascii="Times New Roman" w:hAnsi="Times New Roman"/>
          <w:sz w:val="20"/>
        </w:rPr>
        <w:t>.</w:t>
      </w:r>
      <w:proofErr w:type="gramEnd"/>
      <w:r>
        <w:rPr>
          <w:rFonts w:ascii="Times New Roman" w:hAnsi="Times New Roman"/>
          <w:sz w:val="20"/>
        </w:rPr>
        <w:t xml:space="preserve">  </w:t>
      </w:r>
      <w:r w:rsidRPr="00777BD5">
        <w:rPr>
          <w:rFonts w:ascii="Times New Roman" w:hAnsi="Times New Roman"/>
          <w:sz w:val="20"/>
        </w:rPr>
        <w:t xml:space="preserve">Occupations are defined using the BLS Occupational Classification System, www.bls.gov/soc/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7BF" w:rsidRDefault="000F7E62">
    <w:pPr>
      <w:pStyle w:val="Header"/>
      <w:framePr w:wrap="around" w:vAnchor="text" w:hAnchor="margin" w:xAlign="center" w:y="1"/>
      <w:rPr>
        <w:rStyle w:val="PageNumber"/>
      </w:rPr>
    </w:pPr>
    <w:r>
      <w:rPr>
        <w:rStyle w:val="PageNumber"/>
      </w:rPr>
      <w:fldChar w:fldCharType="begin"/>
    </w:r>
    <w:r w:rsidR="004A17BF">
      <w:rPr>
        <w:rStyle w:val="PageNumber"/>
      </w:rPr>
      <w:instrText xml:space="preserve">PAGE  </w:instrText>
    </w:r>
    <w:r>
      <w:rPr>
        <w:rStyle w:val="PageNumber"/>
      </w:rPr>
      <w:fldChar w:fldCharType="separate"/>
    </w:r>
    <w:r w:rsidR="004A17BF">
      <w:rPr>
        <w:rStyle w:val="PageNumber"/>
        <w:noProof/>
      </w:rPr>
      <w:t>2</w:t>
    </w:r>
    <w:r>
      <w:rPr>
        <w:rStyle w:val="PageNumber"/>
      </w:rPr>
      <w:fldChar w:fldCharType="end"/>
    </w:r>
  </w:p>
  <w:p w:rsidR="004A17BF" w:rsidRDefault="004A17B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7BF" w:rsidRPr="00FC66A7" w:rsidRDefault="004A17BF" w:rsidP="0088598B">
    <w:pPr>
      <w:pStyle w:val="Header"/>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7BF" w:rsidRPr="00486789" w:rsidRDefault="004A17BF">
    <w:pPr>
      <w:pStyle w:val="Header"/>
      <w:rPr>
        <w:rFonts w:ascii="Times New Roman" w:hAnsi="Times New Roman"/>
        <w:b/>
      </w:rPr>
    </w:pPr>
    <w:r w:rsidRPr="00316F77">
      <w:rPr>
        <w:rFonts w:ascii="Times New Roman" w:hAnsi="Times New Roman"/>
      </w:rPr>
      <w:tab/>
    </w:r>
    <w:r w:rsidRPr="00316F77">
      <w:rPr>
        <w:rFonts w:ascii="Times New Roman" w:hAnsi="Times New Roman"/>
      </w:rPr>
      <w:tab/>
    </w:r>
  </w:p>
  <w:p w:rsidR="004A17BF" w:rsidRPr="00486789" w:rsidRDefault="004A17BF" w:rsidP="00316C14">
    <w:pPr>
      <w:pStyle w:val="Header"/>
      <w:ind w:left="360"/>
      <w:rPr>
        <w:rFonts w:ascii="Times New Roman" w:hAnsi="Times New Roman"/>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F2F5E"/>
    <w:multiLevelType w:val="hybridMultilevel"/>
    <w:tmpl w:val="933CCDE2"/>
    <w:lvl w:ilvl="0" w:tplc="04090011">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C87A9A"/>
    <w:multiLevelType w:val="multilevel"/>
    <w:tmpl w:val="779053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B4177A"/>
    <w:multiLevelType w:val="hybridMultilevel"/>
    <w:tmpl w:val="8FD4434A"/>
    <w:lvl w:ilvl="0" w:tplc="04090001">
      <w:start w:val="1"/>
      <w:numFmt w:val="bullet"/>
      <w:lvlText w:val=""/>
      <w:lvlJc w:val="left"/>
      <w:pPr>
        <w:tabs>
          <w:tab w:val="num" w:pos="5670"/>
        </w:tabs>
        <w:ind w:left="5670" w:hanging="360"/>
      </w:pPr>
      <w:rPr>
        <w:rFonts w:ascii="Symbol" w:hAnsi="Symbol" w:hint="default"/>
      </w:rPr>
    </w:lvl>
    <w:lvl w:ilvl="1" w:tplc="04090003">
      <w:start w:val="1"/>
      <w:numFmt w:val="bullet"/>
      <w:lvlText w:val="o"/>
      <w:lvlJc w:val="left"/>
      <w:pPr>
        <w:tabs>
          <w:tab w:val="num" w:pos="6390"/>
        </w:tabs>
        <w:ind w:left="6390" w:hanging="360"/>
      </w:pPr>
      <w:rPr>
        <w:rFonts w:ascii="Courier New" w:hAnsi="Courier New" w:cs="Courier New" w:hint="default"/>
      </w:rPr>
    </w:lvl>
    <w:lvl w:ilvl="2" w:tplc="04090005" w:tentative="1">
      <w:start w:val="1"/>
      <w:numFmt w:val="bullet"/>
      <w:lvlText w:val=""/>
      <w:lvlJc w:val="left"/>
      <w:pPr>
        <w:tabs>
          <w:tab w:val="num" w:pos="7110"/>
        </w:tabs>
        <w:ind w:left="7110" w:hanging="360"/>
      </w:pPr>
      <w:rPr>
        <w:rFonts w:ascii="Wingdings" w:hAnsi="Wingdings" w:hint="default"/>
      </w:rPr>
    </w:lvl>
    <w:lvl w:ilvl="3" w:tplc="04090001" w:tentative="1">
      <w:start w:val="1"/>
      <w:numFmt w:val="bullet"/>
      <w:lvlText w:val=""/>
      <w:lvlJc w:val="left"/>
      <w:pPr>
        <w:tabs>
          <w:tab w:val="num" w:pos="7830"/>
        </w:tabs>
        <w:ind w:left="7830" w:hanging="360"/>
      </w:pPr>
      <w:rPr>
        <w:rFonts w:ascii="Symbol" w:hAnsi="Symbol" w:hint="default"/>
      </w:rPr>
    </w:lvl>
    <w:lvl w:ilvl="4" w:tplc="04090003" w:tentative="1">
      <w:start w:val="1"/>
      <w:numFmt w:val="bullet"/>
      <w:lvlText w:val="o"/>
      <w:lvlJc w:val="left"/>
      <w:pPr>
        <w:tabs>
          <w:tab w:val="num" w:pos="8550"/>
        </w:tabs>
        <w:ind w:left="8550" w:hanging="360"/>
      </w:pPr>
      <w:rPr>
        <w:rFonts w:ascii="Courier New" w:hAnsi="Courier New" w:cs="Courier New" w:hint="default"/>
      </w:rPr>
    </w:lvl>
    <w:lvl w:ilvl="5" w:tplc="04090005" w:tentative="1">
      <w:start w:val="1"/>
      <w:numFmt w:val="bullet"/>
      <w:lvlText w:val=""/>
      <w:lvlJc w:val="left"/>
      <w:pPr>
        <w:tabs>
          <w:tab w:val="num" w:pos="9270"/>
        </w:tabs>
        <w:ind w:left="9270" w:hanging="360"/>
      </w:pPr>
      <w:rPr>
        <w:rFonts w:ascii="Wingdings" w:hAnsi="Wingdings" w:hint="default"/>
      </w:rPr>
    </w:lvl>
    <w:lvl w:ilvl="6" w:tplc="04090001" w:tentative="1">
      <w:start w:val="1"/>
      <w:numFmt w:val="bullet"/>
      <w:lvlText w:val=""/>
      <w:lvlJc w:val="left"/>
      <w:pPr>
        <w:tabs>
          <w:tab w:val="num" w:pos="9990"/>
        </w:tabs>
        <w:ind w:left="9990" w:hanging="360"/>
      </w:pPr>
      <w:rPr>
        <w:rFonts w:ascii="Symbol" w:hAnsi="Symbol" w:hint="default"/>
      </w:rPr>
    </w:lvl>
    <w:lvl w:ilvl="7" w:tplc="04090003" w:tentative="1">
      <w:start w:val="1"/>
      <w:numFmt w:val="bullet"/>
      <w:lvlText w:val="o"/>
      <w:lvlJc w:val="left"/>
      <w:pPr>
        <w:tabs>
          <w:tab w:val="num" w:pos="10710"/>
        </w:tabs>
        <w:ind w:left="10710" w:hanging="360"/>
      </w:pPr>
      <w:rPr>
        <w:rFonts w:ascii="Courier New" w:hAnsi="Courier New" w:cs="Courier New" w:hint="default"/>
      </w:rPr>
    </w:lvl>
    <w:lvl w:ilvl="8" w:tplc="04090005" w:tentative="1">
      <w:start w:val="1"/>
      <w:numFmt w:val="bullet"/>
      <w:lvlText w:val=""/>
      <w:lvlJc w:val="left"/>
      <w:pPr>
        <w:tabs>
          <w:tab w:val="num" w:pos="11430"/>
        </w:tabs>
        <w:ind w:left="11430" w:hanging="360"/>
      </w:pPr>
      <w:rPr>
        <w:rFonts w:ascii="Wingdings" w:hAnsi="Wingdings" w:hint="default"/>
      </w:rPr>
    </w:lvl>
  </w:abstractNum>
  <w:abstractNum w:abstractNumId="3">
    <w:nsid w:val="1FA40421"/>
    <w:multiLevelType w:val="hybridMultilevel"/>
    <w:tmpl w:val="4F781918"/>
    <w:lvl w:ilvl="0" w:tplc="1F0210D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57B0921"/>
    <w:multiLevelType w:val="hybridMultilevel"/>
    <w:tmpl w:val="608658FC"/>
    <w:lvl w:ilvl="0" w:tplc="2A70854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9531E24"/>
    <w:multiLevelType w:val="hybridMultilevel"/>
    <w:tmpl w:val="C05ACE5C"/>
    <w:lvl w:ilvl="0" w:tplc="E22A15E8">
      <w:numFmt w:val="bullet"/>
      <w:lvlText w:val=""/>
      <w:lvlJc w:val="left"/>
      <w:pPr>
        <w:ind w:left="720" w:hanging="360"/>
      </w:pPr>
      <w:rPr>
        <w:rFonts w:ascii="Wingdings" w:eastAsia="Times New Roman" w:hAnsi="Wingdings"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210A89"/>
    <w:multiLevelType w:val="singleLevel"/>
    <w:tmpl w:val="A57AC838"/>
    <w:lvl w:ilvl="0">
      <w:start w:val="1"/>
      <w:numFmt w:val="decimal"/>
      <w:lvlText w:val="%1."/>
      <w:legacy w:legacy="1" w:legacySpace="0" w:legacyIndent="0"/>
      <w:lvlJc w:val="left"/>
      <w:rPr>
        <w:rFonts w:ascii="Helv" w:hAnsi="Helv" w:hint="default"/>
        <w:b w:val="0"/>
      </w:rPr>
    </w:lvl>
  </w:abstractNum>
  <w:abstractNum w:abstractNumId="7">
    <w:nsid w:val="38556060"/>
    <w:multiLevelType w:val="hybridMultilevel"/>
    <w:tmpl w:val="3BBE5334"/>
    <w:lvl w:ilvl="0" w:tplc="43045812">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C13B1C"/>
    <w:multiLevelType w:val="hybridMultilevel"/>
    <w:tmpl w:val="212AD354"/>
    <w:lvl w:ilvl="0" w:tplc="1EAAC244">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3F6643B"/>
    <w:multiLevelType w:val="hybridMultilevel"/>
    <w:tmpl w:val="216225EA"/>
    <w:lvl w:ilvl="0" w:tplc="5B2C0988">
      <w:start w:val="1"/>
      <w:numFmt w:val="decimal"/>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B955786"/>
    <w:multiLevelType w:val="singleLevel"/>
    <w:tmpl w:val="2358548C"/>
    <w:lvl w:ilvl="0">
      <w:start w:val="1"/>
      <w:numFmt w:val="upperLetter"/>
      <w:pStyle w:val="Heading6"/>
      <w:lvlText w:val="%1."/>
      <w:lvlJc w:val="left"/>
      <w:pPr>
        <w:tabs>
          <w:tab w:val="num" w:pos="1080"/>
        </w:tabs>
        <w:ind w:left="1080" w:hanging="360"/>
      </w:pPr>
      <w:rPr>
        <w:rFonts w:hint="default"/>
      </w:rPr>
    </w:lvl>
  </w:abstractNum>
  <w:abstractNum w:abstractNumId="11">
    <w:nsid w:val="4CB20BDE"/>
    <w:multiLevelType w:val="hybridMultilevel"/>
    <w:tmpl w:val="E4981C22"/>
    <w:lvl w:ilvl="0" w:tplc="701EAC1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12110C"/>
    <w:multiLevelType w:val="hybridMultilevel"/>
    <w:tmpl w:val="1D1AB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5D3597"/>
    <w:multiLevelType w:val="hybridMultilevel"/>
    <w:tmpl w:val="26D65B22"/>
    <w:lvl w:ilvl="0" w:tplc="8ACC1F26">
      <w:start w:val="1"/>
      <w:numFmt w:val="decimal"/>
      <w:lvlText w:val="(%1)"/>
      <w:lvlJc w:val="left"/>
      <w:pPr>
        <w:tabs>
          <w:tab w:val="num" w:pos="360"/>
        </w:tabs>
        <w:ind w:left="360" w:hanging="360"/>
      </w:pPr>
      <w:rPr>
        <w:rFonts w:ascii="Times New Roman" w:hAnsi="Times New Roman"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33C32EE"/>
    <w:multiLevelType w:val="hybridMultilevel"/>
    <w:tmpl w:val="12162C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5F0F6C"/>
    <w:multiLevelType w:val="hybridMultilevel"/>
    <w:tmpl w:val="CE2855E8"/>
    <w:lvl w:ilvl="0" w:tplc="43045812">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4F260C5"/>
    <w:multiLevelType w:val="multilevel"/>
    <w:tmpl w:val="6352B1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54974BE"/>
    <w:multiLevelType w:val="hybridMultilevel"/>
    <w:tmpl w:val="9BBAD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8C05077"/>
    <w:multiLevelType w:val="hybridMultilevel"/>
    <w:tmpl w:val="F432ABF6"/>
    <w:lvl w:ilvl="0" w:tplc="7D7CA1C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6A96518E"/>
    <w:multiLevelType w:val="hybridMultilevel"/>
    <w:tmpl w:val="DDC69F44"/>
    <w:lvl w:ilvl="0" w:tplc="9FA88420">
      <w:start w:val="1"/>
      <w:numFmt w:val="bullet"/>
      <w:lvlText w:val=""/>
      <w:lvlJc w:val="left"/>
      <w:pPr>
        <w:tabs>
          <w:tab w:val="num" w:pos="360"/>
        </w:tabs>
        <w:ind w:left="360" w:hanging="360"/>
      </w:pPr>
      <w:rPr>
        <w:rFonts w:ascii="Symbol" w:hAnsi="Symbol" w:hint="default"/>
      </w:rPr>
    </w:lvl>
    <w:lvl w:ilvl="1" w:tplc="5F6C2E30">
      <w:start w:val="1"/>
      <w:numFmt w:val="bullet"/>
      <w:lvlText w:val="o"/>
      <w:lvlJc w:val="left"/>
      <w:pPr>
        <w:tabs>
          <w:tab w:val="num" w:pos="1080"/>
        </w:tabs>
        <w:ind w:left="1080" w:hanging="360"/>
      </w:pPr>
      <w:rPr>
        <w:rFonts w:ascii="Courier New" w:hAnsi="Courier New" w:hint="default"/>
      </w:rPr>
    </w:lvl>
    <w:lvl w:ilvl="2" w:tplc="349E084A">
      <w:start w:val="1"/>
      <w:numFmt w:val="bullet"/>
      <w:lvlText w:val=""/>
      <w:lvlJc w:val="left"/>
      <w:pPr>
        <w:tabs>
          <w:tab w:val="num" w:pos="1800"/>
        </w:tabs>
        <w:ind w:left="1800" w:hanging="360"/>
      </w:pPr>
      <w:rPr>
        <w:rFonts w:ascii="Wingdings" w:hAnsi="Wingdings" w:hint="default"/>
      </w:rPr>
    </w:lvl>
    <w:lvl w:ilvl="3" w:tplc="605872D0" w:tentative="1">
      <w:start w:val="1"/>
      <w:numFmt w:val="bullet"/>
      <w:lvlText w:val=""/>
      <w:lvlJc w:val="left"/>
      <w:pPr>
        <w:tabs>
          <w:tab w:val="num" w:pos="2520"/>
        </w:tabs>
        <w:ind w:left="2520" w:hanging="360"/>
      </w:pPr>
      <w:rPr>
        <w:rFonts w:ascii="Symbol" w:hAnsi="Symbol" w:hint="default"/>
      </w:rPr>
    </w:lvl>
    <w:lvl w:ilvl="4" w:tplc="1EB2E336" w:tentative="1">
      <w:start w:val="1"/>
      <w:numFmt w:val="bullet"/>
      <w:lvlText w:val="o"/>
      <w:lvlJc w:val="left"/>
      <w:pPr>
        <w:tabs>
          <w:tab w:val="num" w:pos="3240"/>
        </w:tabs>
        <w:ind w:left="3240" w:hanging="360"/>
      </w:pPr>
      <w:rPr>
        <w:rFonts w:ascii="Courier New" w:hAnsi="Courier New" w:hint="default"/>
      </w:rPr>
    </w:lvl>
    <w:lvl w:ilvl="5" w:tplc="4282CB16" w:tentative="1">
      <w:start w:val="1"/>
      <w:numFmt w:val="bullet"/>
      <w:lvlText w:val=""/>
      <w:lvlJc w:val="left"/>
      <w:pPr>
        <w:tabs>
          <w:tab w:val="num" w:pos="3960"/>
        </w:tabs>
        <w:ind w:left="3960" w:hanging="360"/>
      </w:pPr>
      <w:rPr>
        <w:rFonts w:ascii="Wingdings" w:hAnsi="Wingdings" w:hint="default"/>
      </w:rPr>
    </w:lvl>
    <w:lvl w:ilvl="6" w:tplc="85FEC89E" w:tentative="1">
      <w:start w:val="1"/>
      <w:numFmt w:val="bullet"/>
      <w:lvlText w:val=""/>
      <w:lvlJc w:val="left"/>
      <w:pPr>
        <w:tabs>
          <w:tab w:val="num" w:pos="4680"/>
        </w:tabs>
        <w:ind w:left="4680" w:hanging="360"/>
      </w:pPr>
      <w:rPr>
        <w:rFonts w:ascii="Symbol" w:hAnsi="Symbol" w:hint="default"/>
      </w:rPr>
    </w:lvl>
    <w:lvl w:ilvl="7" w:tplc="F1529CA2" w:tentative="1">
      <w:start w:val="1"/>
      <w:numFmt w:val="bullet"/>
      <w:lvlText w:val="o"/>
      <w:lvlJc w:val="left"/>
      <w:pPr>
        <w:tabs>
          <w:tab w:val="num" w:pos="5400"/>
        </w:tabs>
        <w:ind w:left="5400" w:hanging="360"/>
      </w:pPr>
      <w:rPr>
        <w:rFonts w:ascii="Courier New" w:hAnsi="Courier New" w:hint="default"/>
      </w:rPr>
    </w:lvl>
    <w:lvl w:ilvl="8" w:tplc="A440D48C" w:tentative="1">
      <w:start w:val="1"/>
      <w:numFmt w:val="bullet"/>
      <w:lvlText w:val=""/>
      <w:lvlJc w:val="left"/>
      <w:pPr>
        <w:tabs>
          <w:tab w:val="num" w:pos="6120"/>
        </w:tabs>
        <w:ind w:left="6120" w:hanging="360"/>
      </w:pPr>
      <w:rPr>
        <w:rFonts w:ascii="Wingdings" w:hAnsi="Wingdings" w:hint="default"/>
      </w:rPr>
    </w:lvl>
  </w:abstractNum>
  <w:abstractNum w:abstractNumId="20">
    <w:nsid w:val="77C9344A"/>
    <w:multiLevelType w:val="hybridMultilevel"/>
    <w:tmpl w:val="05FCDA54"/>
    <w:lvl w:ilvl="0" w:tplc="2CF07626">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FD1526E"/>
    <w:multiLevelType w:val="hybridMultilevel"/>
    <w:tmpl w:val="F7FE4F60"/>
    <w:lvl w:ilvl="0" w:tplc="43045812">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13"/>
  </w:num>
  <w:num w:numId="3">
    <w:abstractNumId w:val="19"/>
  </w:num>
  <w:num w:numId="4">
    <w:abstractNumId w:val="5"/>
  </w:num>
  <w:num w:numId="5">
    <w:abstractNumId w:val="6"/>
  </w:num>
  <w:num w:numId="6">
    <w:abstractNumId w:val="14"/>
  </w:num>
  <w:num w:numId="7">
    <w:abstractNumId w:val="15"/>
  </w:num>
  <w:num w:numId="8">
    <w:abstractNumId w:val="21"/>
  </w:num>
  <w:num w:numId="9">
    <w:abstractNumId w:val="1"/>
  </w:num>
  <w:num w:numId="10">
    <w:abstractNumId w:val="16"/>
  </w:num>
  <w:num w:numId="11">
    <w:abstractNumId w:val="18"/>
  </w:num>
  <w:num w:numId="12">
    <w:abstractNumId w:val="3"/>
  </w:num>
  <w:num w:numId="13">
    <w:abstractNumId w:val="0"/>
  </w:num>
  <w:num w:numId="14">
    <w:abstractNumId w:val="20"/>
  </w:num>
  <w:num w:numId="15">
    <w:abstractNumId w:val="8"/>
  </w:num>
  <w:num w:numId="16">
    <w:abstractNumId w:val="4"/>
  </w:num>
  <w:num w:numId="17">
    <w:abstractNumId w:val="2"/>
  </w:num>
  <w:num w:numId="18">
    <w:abstractNumId w:val="12"/>
  </w:num>
  <w:num w:numId="19">
    <w:abstractNumId w:val="7"/>
  </w:num>
  <w:num w:numId="20">
    <w:abstractNumId w:val="9"/>
  </w:num>
  <w:num w:numId="21">
    <w:abstractNumId w:val="11"/>
  </w:num>
  <w:num w:numId="22">
    <w:abstractNumId w:val="17"/>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revisionView w:markup="0"/>
  <w:trackRevisions/>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75105"/>
  </w:hdrShapeDefaults>
  <w:footnotePr>
    <w:footnote w:id="-1"/>
    <w:footnote w:id="0"/>
  </w:footnotePr>
  <w:endnotePr>
    <w:numFmt w:val="decimal"/>
    <w:endnote w:id="-1"/>
    <w:endnote w:id="0"/>
  </w:endnotePr>
  <w:compat/>
  <w:rsids>
    <w:rsidRoot w:val="003F6F39"/>
    <w:rsid w:val="000014B2"/>
    <w:rsid w:val="000016EA"/>
    <w:rsid w:val="00007EFD"/>
    <w:rsid w:val="0001086E"/>
    <w:rsid w:val="00011C82"/>
    <w:rsid w:val="000126EA"/>
    <w:rsid w:val="000214E3"/>
    <w:rsid w:val="0002176B"/>
    <w:rsid w:val="00023563"/>
    <w:rsid w:val="00023710"/>
    <w:rsid w:val="000238D2"/>
    <w:rsid w:val="00024536"/>
    <w:rsid w:val="000248A0"/>
    <w:rsid w:val="00024915"/>
    <w:rsid w:val="000253B8"/>
    <w:rsid w:val="0003335E"/>
    <w:rsid w:val="000339AA"/>
    <w:rsid w:val="0003438C"/>
    <w:rsid w:val="00035D70"/>
    <w:rsid w:val="00037D99"/>
    <w:rsid w:val="0004128B"/>
    <w:rsid w:val="00042445"/>
    <w:rsid w:val="000459CB"/>
    <w:rsid w:val="00047FD9"/>
    <w:rsid w:val="00051699"/>
    <w:rsid w:val="00052285"/>
    <w:rsid w:val="0005255D"/>
    <w:rsid w:val="000601B4"/>
    <w:rsid w:val="00060441"/>
    <w:rsid w:val="00060507"/>
    <w:rsid w:val="00060710"/>
    <w:rsid w:val="00061552"/>
    <w:rsid w:val="00062EB8"/>
    <w:rsid w:val="000670E9"/>
    <w:rsid w:val="00070E9B"/>
    <w:rsid w:val="00071ECB"/>
    <w:rsid w:val="00076F3C"/>
    <w:rsid w:val="000807C8"/>
    <w:rsid w:val="00081845"/>
    <w:rsid w:val="00083E83"/>
    <w:rsid w:val="000911DD"/>
    <w:rsid w:val="00092147"/>
    <w:rsid w:val="000A0DCF"/>
    <w:rsid w:val="000A2A76"/>
    <w:rsid w:val="000A2B06"/>
    <w:rsid w:val="000A3F4C"/>
    <w:rsid w:val="000A4738"/>
    <w:rsid w:val="000A6906"/>
    <w:rsid w:val="000A773D"/>
    <w:rsid w:val="000A7C19"/>
    <w:rsid w:val="000B161D"/>
    <w:rsid w:val="000B26E9"/>
    <w:rsid w:val="000B289E"/>
    <w:rsid w:val="000B56CC"/>
    <w:rsid w:val="000B7D93"/>
    <w:rsid w:val="000C0945"/>
    <w:rsid w:val="000C0C1F"/>
    <w:rsid w:val="000C0FCC"/>
    <w:rsid w:val="000C1A6A"/>
    <w:rsid w:val="000C22BC"/>
    <w:rsid w:val="000C3C45"/>
    <w:rsid w:val="000C3E30"/>
    <w:rsid w:val="000C47DA"/>
    <w:rsid w:val="000C4CC2"/>
    <w:rsid w:val="000C79D8"/>
    <w:rsid w:val="000C7E36"/>
    <w:rsid w:val="000D27D0"/>
    <w:rsid w:val="000D4B92"/>
    <w:rsid w:val="000D51EC"/>
    <w:rsid w:val="000D7314"/>
    <w:rsid w:val="000D744B"/>
    <w:rsid w:val="000E02C5"/>
    <w:rsid w:val="000E09FE"/>
    <w:rsid w:val="000E0F0F"/>
    <w:rsid w:val="000E2A12"/>
    <w:rsid w:val="000E3214"/>
    <w:rsid w:val="000E4759"/>
    <w:rsid w:val="000E6060"/>
    <w:rsid w:val="000E7C83"/>
    <w:rsid w:val="000F0264"/>
    <w:rsid w:val="000F0421"/>
    <w:rsid w:val="000F0CA1"/>
    <w:rsid w:val="000F129C"/>
    <w:rsid w:val="000F1B71"/>
    <w:rsid w:val="000F31A4"/>
    <w:rsid w:val="000F3991"/>
    <w:rsid w:val="000F3A7E"/>
    <w:rsid w:val="000F3AA8"/>
    <w:rsid w:val="000F4B98"/>
    <w:rsid w:val="000F7537"/>
    <w:rsid w:val="000F7684"/>
    <w:rsid w:val="000F7E62"/>
    <w:rsid w:val="0010046A"/>
    <w:rsid w:val="001012B6"/>
    <w:rsid w:val="0010248E"/>
    <w:rsid w:val="0010352F"/>
    <w:rsid w:val="001036F9"/>
    <w:rsid w:val="0010414F"/>
    <w:rsid w:val="001119CB"/>
    <w:rsid w:val="00112550"/>
    <w:rsid w:val="0011541E"/>
    <w:rsid w:val="00116269"/>
    <w:rsid w:val="001169DC"/>
    <w:rsid w:val="00120A0D"/>
    <w:rsid w:val="00126B4C"/>
    <w:rsid w:val="00131760"/>
    <w:rsid w:val="00131942"/>
    <w:rsid w:val="00132904"/>
    <w:rsid w:val="0013445B"/>
    <w:rsid w:val="00135AF0"/>
    <w:rsid w:val="00136A24"/>
    <w:rsid w:val="00137D30"/>
    <w:rsid w:val="00140300"/>
    <w:rsid w:val="0014131A"/>
    <w:rsid w:val="00141949"/>
    <w:rsid w:val="001446B9"/>
    <w:rsid w:val="00144CB4"/>
    <w:rsid w:val="00146E92"/>
    <w:rsid w:val="00147B98"/>
    <w:rsid w:val="001510D5"/>
    <w:rsid w:val="00152FA5"/>
    <w:rsid w:val="00153768"/>
    <w:rsid w:val="00154625"/>
    <w:rsid w:val="00157635"/>
    <w:rsid w:val="00157F05"/>
    <w:rsid w:val="00160091"/>
    <w:rsid w:val="00160643"/>
    <w:rsid w:val="001621B7"/>
    <w:rsid w:val="00164CA7"/>
    <w:rsid w:val="00166CC8"/>
    <w:rsid w:val="00171106"/>
    <w:rsid w:val="00171FD4"/>
    <w:rsid w:val="00172675"/>
    <w:rsid w:val="00172A26"/>
    <w:rsid w:val="00173589"/>
    <w:rsid w:val="001735F3"/>
    <w:rsid w:val="001749DB"/>
    <w:rsid w:val="00174F05"/>
    <w:rsid w:val="00183189"/>
    <w:rsid w:val="00183A21"/>
    <w:rsid w:val="00183B27"/>
    <w:rsid w:val="001842CD"/>
    <w:rsid w:val="00184CC4"/>
    <w:rsid w:val="00185719"/>
    <w:rsid w:val="001876A8"/>
    <w:rsid w:val="001923C2"/>
    <w:rsid w:val="00192D34"/>
    <w:rsid w:val="00192DE2"/>
    <w:rsid w:val="001934BA"/>
    <w:rsid w:val="00193D83"/>
    <w:rsid w:val="00194B97"/>
    <w:rsid w:val="001A5C42"/>
    <w:rsid w:val="001A7787"/>
    <w:rsid w:val="001A7CCD"/>
    <w:rsid w:val="001B00BC"/>
    <w:rsid w:val="001B17C8"/>
    <w:rsid w:val="001B20E9"/>
    <w:rsid w:val="001B2FC3"/>
    <w:rsid w:val="001B32A3"/>
    <w:rsid w:val="001B40E4"/>
    <w:rsid w:val="001B46BF"/>
    <w:rsid w:val="001C14B3"/>
    <w:rsid w:val="001C1E4B"/>
    <w:rsid w:val="001C47AF"/>
    <w:rsid w:val="001C6872"/>
    <w:rsid w:val="001D27A7"/>
    <w:rsid w:val="001D2EA4"/>
    <w:rsid w:val="001D32AB"/>
    <w:rsid w:val="001D38FD"/>
    <w:rsid w:val="001D3BC4"/>
    <w:rsid w:val="001D3E2E"/>
    <w:rsid w:val="001D406C"/>
    <w:rsid w:val="001D4B82"/>
    <w:rsid w:val="001D5002"/>
    <w:rsid w:val="001D51D4"/>
    <w:rsid w:val="001D7659"/>
    <w:rsid w:val="001E0046"/>
    <w:rsid w:val="001E386A"/>
    <w:rsid w:val="001E3E51"/>
    <w:rsid w:val="001E4FFA"/>
    <w:rsid w:val="001E6F76"/>
    <w:rsid w:val="001E7263"/>
    <w:rsid w:val="001F0728"/>
    <w:rsid w:val="001F0D73"/>
    <w:rsid w:val="001F19F8"/>
    <w:rsid w:val="001F251C"/>
    <w:rsid w:val="001F3FC6"/>
    <w:rsid w:val="001F43E9"/>
    <w:rsid w:val="001F5553"/>
    <w:rsid w:val="00200A65"/>
    <w:rsid w:val="00201B6D"/>
    <w:rsid w:val="002028D2"/>
    <w:rsid w:val="0020293E"/>
    <w:rsid w:val="00204A9B"/>
    <w:rsid w:val="00204D02"/>
    <w:rsid w:val="002068E5"/>
    <w:rsid w:val="00210262"/>
    <w:rsid w:val="0021147C"/>
    <w:rsid w:val="002141FA"/>
    <w:rsid w:val="00214A5A"/>
    <w:rsid w:val="002161AE"/>
    <w:rsid w:val="002164AB"/>
    <w:rsid w:val="002208B4"/>
    <w:rsid w:val="00223072"/>
    <w:rsid w:val="002259ED"/>
    <w:rsid w:val="00225C5C"/>
    <w:rsid w:val="00226552"/>
    <w:rsid w:val="002269DF"/>
    <w:rsid w:val="00227E19"/>
    <w:rsid w:val="002303F8"/>
    <w:rsid w:val="002328B8"/>
    <w:rsid w:val="00232A53"/>
    <w:rsid w:val="002334DB"/>
    <w:rsid w:val="00233B78"/>
    <w:rsid w:val="00234CD4"/>
    <w:rsid w:val="00236F05"/>
    <w:rsid w:val="00237250"/>
    <w:rsid w:val="00237A0B"/>
    <w:rsid w:val="0024052F"/>
    <w:rsid w:val="00241068"/>
    <w:rsid w:val="00241763"/>
    <w:rsid w:val="00242F83"/>
    <w:rsid w:val="00245B3C"/>
    <w:rsid w:val="00246297"/>
    <w:rsid w:val="00246608"/>
    <w:rsid w:val="00247228"/>
    <w:rsid w:val="0024791C"/>
    <w:rsid w:val="00252A4F"/>
    <w:rsid w:val="00255426"/>
    <w:rsid w:val="0026330F"/>
    <w:rsid w:val="00263927"/>
    <w:rsid w:val="00271C8C"/>
    <w:rsid w:val="00272746"/>
    <w:rsid w:val="00273AF6"/>
    <w:rsid w:val="00273C8E"/>
    <w:rsid w:val="00273E75"/>
    <w:rsid w:val="002746A4"/>
    <w:rsid w:val="00283644"/>
    <w:rsid w:val="00284944"/>
    <w:rsid w:val="00284AD2"/>
    <w:rsid w:val="002860C9"/>
    <w:rsid w:val="00286548"/>
    <w:rsid w:val="00292CE6"/>
    <w:rsid w:val="00292F5C"/>
    <w:rsid w:val="002931EE"/>
    <w:rsid w:val="0029324F"/>
    <w:rsid w:val="00294459"/>
    <w:rsid w:val="0029509F"/>
    <w:rsid w:val="00297701"/>
    <w:rsid w:val="002A0D13"/>
    <w:rsid w:val="002A1563"/>
    <w:rsid w:val="002A200B"/>
    <w:rsid w:val="002A2FF7"/>
    <w:rsid w:val="002A3EF4"/>
    <w:rsid w:val="002A4A10"/>
    <w:rsid w:val="002A4C85"/>
    <w:rsid w:val="002A6ED0"/>
    <w:rsid w:val="002B25D9"/>
    <w:rsid w:val="002B3740"/>
    <w:rsid w:val="002B4EDA"/>
    <w:rsid w:val="002C32F3"/>
    <w:rsid w:val="002C736C"/>
    <w:rsid w:val="002C7834"/>
    <w:rsid w:val="002C7B52"/>
    <w:rsid w:val="002C7EA3"/>
    <w:rsid w:val="002C7F55"/>
    <w:rsid w:val="002D0387"/>
    <w:rsid w:val="002D079B"/>
    <w:rsid w:val="002D0B4C"/>
    <w:rsid w:val="002D1DAB"/>
    <w:rsid w:val="002D2FE6"/>
    <w:rsid w:val="002D4215"/>
    <w:rsid w:val="002D5235"/>
    <w:rsid w:val="002D75C7"/>
    <w:rsid w:val="002E3E1A"/>
    <w:rsid w:val="002E44CA"/>
    <w:rsid w:val="002E4607"/>
    <w:rsid w:val="002E502E"/>
    <w:rsid w:val="002F3B88"/>
    <w:rsid w:val="002F610C"/>
    <w:rsid w:val="002F715C"/>
    <w:rsid w:val="003014D4"/>
    <w:rsid w:val="00301553"/>
    <w:rsid w:val="00301732"/>
    <w:rsid w:val="00304638"/>
    <w:rsid w:val="00311679"/>
    <w:rsid w:val="00316214"/>
    <w:rsid w:val="00316C14"/>
    <w:rsid w:val="00316D82"/>
    <w:rsid w:val="00316F77"/>
    <w:rsid w:val="00317275"/>
    <w:rsid w:val="00320A75"/>
    <w:rsid w:val="0032174B"/>
    <w:rsid w:val="0032452E"/>
    <w:rsid w:val="00324FAC"/>
    <w:rsid w:val="00325745"/>
    <w:rsid w:val="00325975"/>
    <w:rsid w:val="00326B90"/>
    <w:rsid w:val="00327420"/>
    <w:rsid w:val="00327BE7"/>
    <w:rsid w:val="003306EB"/>
    <w:rsid w:val="003316D1"/>
    <w:rsid w:val="00332081"/>
    <w:rsid w:val="00333E65"/>
    <w:rsid w:val="003360F6"/>
    <w:rsid w:val="00336D78"/>
    <w:rsid w:val="00336E42"/>
    <w:rsid w:val="0033745B"/>
    <w:rsid w:val="00340A1B"/>
    <w:rsid w:val="00347A9E"/>
    <w:rsid w:val="00350002"/>
    <w:rsid w:val="00350E6C"/>
    <w:rsid w:val="00352B34"/>
    <w:rsid w:val="00353139"/>
    <w:rsid w:val="00357A85"/>
    <w:rsid w:val="00357B24"/>
    <w:rsid w:val="003641F4"/>
    <w:rsid w:val="00365A55"/>
    <w:rsid w:val="00367295"/>
    <w:rsid w:val="00367E58"/>
    <w:rsid w:val="00371330"/>
    <w:rsid w:val="00372356"/>
    <w:rsid w:val="003730B7"/>
    <w:rsid w:val="00373833"/>
    <w:rsid w:val="0038057F"/>
    <w:rsid w:val="003805F7"/>
    <w:rsid w:val="00382CEC"/>
    <w:rsid w:val="003836C1"/>
    <w:rsid w:val="00387609"/>
    <w:rsid w:val="00390B0F"/>
    <w:rsid w:val="00395DBA"/>
    <w:rsid w:val="00395E58"/>
    <w:rsid w:val="0039746C"/>
    <w:rsid w:val="00397526"/>
    <w:rsid w:val="00397B5D"/>
    <w:rsid w:val="003A05A8"/>
    <w:rsid w:val="003A245C"/>
    <w:rsid w:val="003A5C1A"/>
    <w:rsid w:val="003A5D40"/>
    <w:rsid w:val="003A67EF"/>
    <w:rsid w:val="003A717A"/>
    <w:rsid w:val="003B3A2C"/>
    <w:rsid w:val="003B3E21"/>
    <w:rsid w:val="003B3FE4"/>
    <w:rsid w:val="003B454B"/>
    <w:rsid w:val="003B4772"/>
    <w:rsid w:val="003B512B"/>
    <w:rsid w:val="003B7239"/>
    <w:rsid w:val="003B73EE"/>
    <w:rsid w:val="003C3D36"/>
    <w:rsid w:val="003C5A80"/>
    <w:rsid w:val="003C6815"/>
    <w:rsid w:val="003C715D"/>
    <w:rsid w:val="003D381D"/>
    <w:rsid w:val="003D5D4F"/>
    <w:rsid w:val="003E339E"/>
    <w:rsid w:val="003E3962"/>
    <w:rsid w:val="003E4D02"/>
    <w:rsid w:val="003E4E98"/>
    <w:rsid w:val="003E63F9"/>
    <w:rsid w:val="003E690A"/>
    <w:rsid w:val="003F29D1"/>
    <w:rsid w:val="003F6F39"/>
    <w:rsid w:val="0040195A"/>
    <w:rsid w:val="0040306E"/>
    <w:rsid w:val="00403207"/>
    <w:rsid w:val="00405818"/>
    <w:rsid w:val="0040627E"/>
    <w:rsid w:val="004106FC"/>
    <w:rsid w:val="00411407"/>
    <w:rsid w:val="00414304"/>
    <w:rsid w:val="00414813"/>
    <w:rsid w:val="00417333"/>
    <w:rsid w:val="00417661"/>
    <w:rsid w:val="0042018B"/>
    <w:rsid w:val="00420C41"/>
    <w:rsid w:val="00423CD3"/>
    <w:rsid w:val="004306CA"/>
    <w:rsid w:val="00430D4A"/>
    <w:rsid w:val="0043349E"/>
    <w:rsid w:val="00435AE7"/>
    <w:rsid w:val="004368DA"/>
    <w:rsid w:val="00440596"/>
    <w:rsid w:val="00441438"/>
    <w:rsid w:val="00442ED9"/>
    <w:rsid w:val="00444888"/>
    <w:rsid w:val="00446596"/>
    <w:rsid w:val="004470B3"/>
    <w:rsid w:val="00454461"/>
    <w:rsid w:val="00454E80"/>
    <w:rsid w:val="00455B66"/>
    <w:rsid w:val="00455CDE"/>
    <w:rsid w:val="00455DD1"/>
    <w:rsid w:val="004560D1"/>
    <w:rsid w:val="0045669C"/>
    <w:rsid w:val="00456E3E"/>
    <w:rsid w:val="00460AAE"/>
    <w:rsid w:val="00461176"/>
    <w:rsid w:val="00462C53"/>
    <w:rsid w:val="004643D7"/>
    <w:rsid w:val="004674A1"/>
    <w:rsid w:val="00467E07"/>
    <w:rsid w:val="004717D1"/>
    <w:rsid w:val="00471B42"/>
    <w:rsid w:val="00472389"/>
    <w:rsid w:val="0047387A"/>
    <w:rsid w:val="0047519F"/>
    <w:rsid w:val="004753B5"/>
    <w:rsid w:val="0048353E"/>
    <w:rsid w:val="00483BE5"/>
    <w:rsid w:val="00486789"/>
    <w:rsid w:val="00486BB7"/>
    <w:rsid w:val="00487745"/>
    <w:rsid w:val="00487C8C"/>
    <w:rsid w:val="00490FEC"/>
    <w:rsid w:val="00491279"/>
    <w:rsid w:val="004936D9"/>
    <w:rsid w:val="00493F16"/>
    <w:rsid w:val="00494DEC"/>
    <w:rsid w:val="00496319"/>
    <w:rsid w:val="004A0F7C"/>
    <w:rsid w:val="004A17BF"/>
    <w:rsid w:val="004A1A48"/>
    <w:rsid w:val="004A2EFA"/>
    <w:rsid w:val="004A45B4"/>
    <w:rsid w:val="004A4BF5"/>
    <w:rsid w:val="004A67C9"/>
    <w:rsid w:val="004A7766"/>
    <w:rsid w:val="004B0082"/>
    <w:rsid w:val="004B0C80"/>
    <w:rsid w:val="004B5CF6"/>
    <w:rsid w:val="004B77C3"/>
    <w:rsid w:val="004C0077"/>
    <w:rsid w:val="004C1DDD"/>
    <w:rsid w:val="004C2D7C"/>
    <w:rsid w:val="004C4E08"/>
    <w:rsid w:val="004C6302"/>
    <w:rsid w:val="004C6CE8"/>
    <w:rsid w:val="004C79D7"/>
    <w:rsid w:val="004D1EA2"/>
    <w:rsid w:val="004D24B5"/>
    <w:rsid w:val="004D2FFB"/>
    <w:rsid w:val="004D4C7F"/>
    <w:rsid w:val="004D5C7F"/>
    <w:rsid w:val="004D7902"/>
    <w:rsid w:val="004E1F4D"/>
    <w:rsid w:val="004E2028"/>
    <w:rsid w:val="004E2EF6"/>
    <w:rsid w:val="004E31C0"/>
    <w:rsid w:val="004E3D10"/>
    <w:rsid w:val="004E3FA2"/>
    <w:rsid w:val="004E4332"/>
    <w:rsid w:val="004E6022"/>
    <w:rsid w:val="004F417E"/>
    <w:rsid w:val="004F4688"/>
    <w:rsid w:val="00503823"/>
    <w:rsid w:val="00504CD0"/>
    <w:rsid w:val="00504D71"/>
    <w:rsid w:val="00504FFB"/>
    <w:rsid w:val="005136C4"/>
    <w:rsid w:val="00513AED"/>
    <w:rsid w:val="005240DB"/>
    <w:rsid w:val="00525DDC"/>
    <w:rsid w:val="0052633A"/>
    <w:rsid w:val="00526AB3"/>
    <w:rsid w:val="00526FA2"/>
    <w:rsid w:val="0053045C"/>
    <w:rsid w:val="00530CFF"/>
    <w:rsid w:val="00530E69"/>
    <w:rsid w:val="00531434"/>
    <w:rsid w:val="00532611"/>
    <w:rsid w:val="00533754"/>
    <w:rsid w:val="0053768F"/>
    <w:rsid w:val="00537FBF"/>
    <w:rsid w:val="005405B7"/>
    <w:rsid w:val="00540D41"/>
    <w:rsid w:val="00540ED8"/>
    <w:rsid w:val="00542D4A"/>
    <w:rsid w:val="005439D7"/>
    <w:rsid w:val="00547135"/>
    <w:rsid w:val="005473FD"/>
    <w:rsid w:val="00552764"/>
    <w:rsid w:val="0055298A"/>
    <w:rsid w:val="005537E4"/>
    <w:rsid w:val="005568A2"/>
    <w:rsid w:val="00557C09"/>
    <w:rsid w:val="00561B34"/>
    <w:rsid w:val="00562C8C"/>
    <w:rsid w:val="005657E1"/>
    <w:rsid w:val="00565844"/>
    <w:rsid w:val="00567CEC"/>
    <w:rsid w:val="00570462"/>
    <w:rsid w:val="00571325"/>
    <w:rsid w:val="005716F4"/>
    <w:rsid w:val="005761E0"/>
    <w:rsid w:val="00577B08"/>
    <w:rsid w:val="005828EC"/>
    <w:rsid w:val="00582913"/>
    <w:rsid w:val="005847EA"/>
    <w:rsid w:val="00584F33"/>
    <w:rsid w:val="0058581E"/>
    <w:rsid w:val="00585F78"/>
    <w:rsid w:val="00590C7C"/>
    <w:rsid w:val="00591CEE"/>
    <w:rsid w:val="0059368B"/>
    <w:rsid w:val="00594526"/>
    <w:rsid w:val="00597AE8"/>
    <w:rsid w:val="005A256E"/>
    <w:rsid w:val="005A30C3"/>
    <w:rsid w:val="005A44C6"/>
    <w:rsid w:val="005A7C56"/>
    <w:rsid w:val="005B230D"/>
    <w:rsid w:val="005B3C65"/>
    <w:rsid w:val="005B48D1"/>
    <w:rsid w:val="005B5278"/>
    <w:rsid w:val="005B7B7F"/>
    <w:rsid w:val="005B7BFF"/>
    <w:rsid w:val="005C0D82"/>
    <w:rsid w:val="005C0E3B"/>
    <w:rsid w:val="005C1E44"/>
    <w:rsid w:val="005C40EA"/>
    <w:rsid w:val="005C6CE1"/>
    <w:rsid w:val="005C727C"/>
    <w:rsid w:val="005C7A39"/>
    <w:rsid w:val="005C7B63"/>
    <w:rsid w:val="005D0072"/>
    <w:rsid w:val="005D28D8"/>
    <w:rsid w:val="005D3E31"/>
    <w:rsid w:val="005D5D86"/>
    <w:rsid w:val="005D5E97"/>
    <w:rsid w:val="005D61C4"/>
    <w:rsid w:val="005D7557"/>
    <w:rsid w:val="005E2192"/>
    <w:rsid w:val="005E2B0E"/>
    <w:rsid w:val="005E2F76"/>
    <w:rsid w:val="005E3653"/>
    <w:rsid w:val="005E6E43"/>
    <w:rsid w:val="005E741C"/>
    <w:rsid w:val="005F024B"/>
    <w:rsid w:val="005F42F4"/>
    <w:rsid w:val="005F601C"/>
    <w:rsid w:val="005F6D5F"/>
    <w:rsid w:val="005F71FC"/>
    <w:rsid w:val="005F7488"/>
    <w:rsid w:val="00601463"/>
    <w:rsid w:val="0060194E"/>
    <w:rsid w:val="006019EE"/>
    <w:rsid w:val="00601DD4"/>
    <w:rsid w:val="006044B6"/>
    <w:rsid w:val="0060537E"/>
    <w:rsid w:val="00605E71"/>
    <w:rsid w:val="006067AE"/>
    <w:rsid w:val="00613C20"/>
    <w:rsid w:val="00614EFE"/>
    <w:rsid w:val="006164E7"/>
    <w:rsid w:val="00616F1B"/>
    <w:rsid w:val="006202D3"/>
    <w:rsid w:val="0062034F"/>
    <w:rsid w:val="006207EB"/>
    <w:rsid w:val="00621EBC"/>
    <w:rsid w:val="00622FAA"/>
    <w:rsid w:val="00624EF1"/>
    <w:rsid w:val="00625167"/>
    <w:rsid w:val="00625F3F"/>
    <w:rsid w:val="006305DC"/>
    <w:rsid w:val="006312E5"/>
    <w:rsid w:val="0063345A"/>
    <w:rsid w:val="00633995"/>
    <w:rsid w:val="00634E77"/>
    <w:rsid w:val="00635587"/>
    <w:rsid w:val="00635A45"/>
    <w:rsid w:val="0063605C"/>
    <w:rsid w:val="0063673B"/>
    <w:rsid w:val="0063743A"/>
    <w:rsid w:val="006374DB"/>
    <w:rsid w:val="006420DB"/>
    <w:rsid w:val="006435F8"/>
    <w:rsid w:val="0064485B"/>
    <w:rsid w:val="00645AA1"/>
    <w:rsid w:val="006468A3"/>
    <w:rsid w:val="00647365"/>
    <w:rsid w:val="00651B4A"/>
    <w:rsid w:val="00652F4F"/>
    <w:rsid w:val="006535AC"/>
    <w:rsid w:val="00654832"/>
    <w:rsid w:val="006555E8"/>
    <w:rsid w:val="0066230C"/>
    <w:rsid w:val="00663157"/>
    <w:rsid w:val="00663ADD"/>
    <w:rsid w:val="00663CCA"/>
    <w:rsid w:val="00665852"/>
    <w:rsid w:val="0066595D"/>
    <w:rsid w:val="006666E3"/>
    <w:rsid w:val="00666E1A"/>
    <w:rsid w:val="00666E9B"/>
    <w:rsid w:val="006704A9"/>
    <w:rsid w:val="00670884"/>
    <w:rsid w:val="00670C29"/>
    <w:rsid w:val="00674463"/>
    <w:rsid w:val="006767EE"/>
    <w:rsid w:val="00677B61"/>
    <w:rsid w:val="00681CBD"/>
    <w:rsid w:val="00683ABE"/>
    <w:rsid w:val="0068437C"/>
    <w:rsid w:val="00686525"/>
    <w:rsid w:val="00686BAF"/>
    <w:rsid w:val="006915F0"/>
    <w:rsid w:val="00692055"/>
    <w:rsid w:val="0069296B"/>
    <w:rsid w:val="006933D6"/>
    <w:rsid w:val="00695A46"/>
    <w:rsid w:val="0069737A"/>
    <w:rsid w:val="00697796"/>
    <w:rsid w:val="006A22E0"/>
    <w:rsid w:val="006A4ED8"/>
    <w:rsid w:val="006A53E5"/>
    <w:rsid w:val="006A6533"/>
    <w:rsid w:val="006A707A"/>
    <w:rsid w:val="006B3693"/>
    <w:rsid w:val="006B36BC"/>
    <w:rsid w:val="006B47F3"/>
    <w:rsid w:val="006B4909"/>
    <w:rsid w:val="006B71A1"/>
    <w:rsid w:val="006B74F0"/>
    <w:rsid w:val="006C2EED"/>
    <w:rsid w:val="006C46CE"/>
    <w:rsid w:val="006C5265"/>
    <w:rsid w:val="006C53D3"/>
    <w:rsid w:val="006C5CF4"/>
    <w:rsid w:val="006C63F3"/>
    <w:rsid w:val="006C79B2"/>
    <w:rsid w:val="006C7F9D"/>
    <w:rsid w:val="006D0D1A"/>
    <w:rsid w:val="006D237C"/>
    <w:rsid w:val="006D2889"/>
    <w:rsid w:val="006D3E26"/>
    <w:rsid w:val="006D4384"/>
    <w:rsid w:val="006D53E2"/>
    <w:rsid w:val="006D627A"/>
    <w:rsid w:val="006E048B"/>
    <w:rsid w:val="006E39DF"/>
    <w:rsid w:val="006E4E9E"/>
    <w:rsid w:val="006E5199"/>
    <w:rsid w:val="006E5679"/>
    <w:rsid w:val="006E7109"/>
    <w:rsid w:val="006E7AAC"/>
    <w:rsid w:val="006E7D43"/>
    <w:rsid w:val="006F0E40"/>
    <w:rsid w:val="006F31DC"/>
    <w:rsid w:val="006F416A"/>
    <w:rsid w:val="006F588F"/>
    <w:rsid w:val="00703DFD"/>
    <w:rsid w:val="00704CEC"/>
    <w:rsid w:val="00712F59"/>
    <w:rsid w:val="00713C9C"/>
    <w:rsid w:val="00715239"/>
    <w:rsid w:val="00717620"/>
    <w:rsid w:val="007206DC"/>
    <w:rsid w:val="007213C9"/>
    <w:rsid w:val="007222F4"/>
    <w:rsid w:val="0072383A"/>
    <w:rsid w:val="00725DF1"/>
    <w:rsid w:val="007268E6"/>
    <w:rsid w:val="00727D89"/>
    <w:rsid w:val="00731A28"/>
    <w:rsid w:val="0073337D"/>
    <w:rsid w:val="007337E6"/>
    <w:rsid w:val="00737C2D"/>
    <w:rsid w:val="00742800"/>
    <w:rsid w:val="00744CE6"/>
    <w:rsid w:val="00745392"/>
    <w:rsid w:val="00751582"/>
    <w:rsid w:val="00751896"/>
    <w:rsid w:val="007528CA"/>
    <w:rsid w:val="00753146"/>
    <w:rsid w:val="007533DE"/>
    <w:rsid w:val="007540C9"/>
    <w:rsid w:val="0075525A"/>
    <w:rsid w:val="00756C3B"/>
    <w:rsid w:val="00760005"/>
    <w:rsid w:val="00762B80"/>
    <w:rsid w:val="00763D3B"/>
    <w:rsid w:val="007653B6"/>
    <w:rsid w:val="0076546A"/>
    <w:rsid w:val="0077144C"/>
    <w:rsid w:val="007725A3"/>
    <w:rsid w:val="00775A2A"/>
    <w:rsid w:val="00775D65"/>
    <w:rsid w:val="00776167"/>
    <w:rsid w:val="00776900"/>
    <w:rsid w:val="00776B07"/>
    <w:rsid w:val="00777BD5"/>
    <w:rsid w:val="007822A9"/>
    <w:rsid w:val="007837D1"/>
    <w:rsid w:val="00786096"/>
    <w:rsid w:val="007877A5"/>
    <w:rsid w:val="00790227"/>
    <w:rsid w:val="00790FCC"/>
    <w:rsid w:val="007911CA"/>
    <w:rsid w:val="00791FCB"/>
    <w:rsid w:val="00793DED"/>
    <w:rsid w:val="00795F06"/>
    <w:rsid w:val="007A2785"/>
    <w:rsid w:val="007A42C7"/>
    <w:rsid w:val="007A55C9"/>
    <w:rsid w:val="007A5B23"/>
    <w:rsid w:val="007A68BA"/>
    <w:rsid w:val="007A78B8"/>
    <w:rsid w:val="007B092C"/>
    <w:rsid w:val="007B2181"/>
    <w:rsid w:val="007B2EA7"/>
    <w:rsid w:val="007B6A58"/>
    <w:rsid w:val="007C0DA2"/>
    <w:rsid w:val="007C5F8A"/>
    <w:rsid w:val="007C64AF"/>
    <w:rsid w:val="007C687A"/>
    <w:rsid w:val="007D073A"/>
    <w:rsid w:val="007D0A1F"/>
    <w:rsid w:val="007D15C8"/>
    <w:rsid w:val="007D439C"/>
    <w:rsid w:val="007E0013"/>
    <w:rsid w:val="007E0751"/>
    <w:rsid w:val="007E3357"/>
    <w:rsid w:val="007E3546"/>
    <w:rsid w:val="007E38BA"/>
    <w:rsid w:val="007E4DA7"/>
    <w:rsid w:val="007E55BC"/>
    <w:rsid w:val="007E5C89"/>
    <w:rsid w:val="007E5FCC"/>
    <w:rsid w:val="007E716C"/>
    <w:rsid w:val="007F0EBA"/>
    <w:rsid w:val="007F2604"/>
    <w:rsid w:val="007F3185"/>
    <w:rsid w:val="007F609F"/>
    <w:rsid w:val="008010A9"/>
    <w:rsid w:val="008013E5"/>
    <w:rsid w:val="00801C93"/>
    <w:rsid w:val="00801EA8"/>
    <w:rsid w:val="00801F74"/>
    <w:rsid w:val="00804380"/>
    <w:rsid w:val="008063B0"/>
    <w:rsid w:val="008100DF"/>
    <w:rsid w:val="008140E9"/>
    <w:rsid w:val="008149C8"/>
    <w:rsid w:val="008160D1"/>
    <w:rsid w:val="00816B2C"/>
    <w:rsid w:val="00816EB9"/>
    <w:rsid w:val="00817975"/>
    <w:rsid w:val="00820364"/>
    <w:rsid w:val="008227C6"/>
    <w:rsid w:val="00824954"/>
    <w:rsid w:val="008264F6"/>
    <w:rsid w:val="00830306"/>
    <w:rsid w:val="00830B25"/>
    <w:rsid w:val="008312A2"/>
    <w:rsid w:val="008318B7"/>
    <w:rsid w:val="008324E0"/>
    <w:rsid w:val="00832B43"/>
    <w:rsid w:val="0083554A"/>
    <w:rsid w:val="0084078E"/>
    <w:rsid w:val="00841793"/>
    <w:rsid w:val="008424E0"/>
    <w:rsid w:val="008427BE"/>
    <w:rsid w:val="008465C2"/>
    <w:rsid w:val="0084768C"/>
    <w:rsid w:val="0085419D"/>
    <w:rsid w:val="008550B6"/>
    <w:rsid w:val="00855A6F"/>
    <w:rsid w:val="00855EE3"/>
    <w:rsid w:val="0086058E"/>
    <w:rsid w:val="008609AB"/>
    <w:rsid w:val="008618CE"/>
    <w:rsid w:val="00861FA4"/>
    <w:rsid w:val="00862D8F"/>
    <w:rsid w:val="00865713"/>
    <w:rsid w:val="00866C19"/>
    <w:rsid w:val="00866F57"/>
    <w:rsid w:val="00875368"/>
    <w:rsid w:val="008759FC"/>
    <w:rsid w:val="00877BCB"/>
    <w:rsid w:val="00877D8F"/>
    <w:rsid w:val="00883250"/>
    <w:rsid w:val="008832A6"/>
    <w:rsid w:val="008834AD"/>
    <w:rsid w:val="0088598B"/>
    <w:rsid w:val="00885B23"/>
    <w:rsid w:val="00890551"/>
    <w:rsid w:val="008924F6"/>
    <w:rsid w:val="008938E1"/>
    <w:rsid w:val="008949D8"/>
    <w:rsid w:val="00894BAB"/>
    <w:rsid w:val="00895983"/>
    <w:rsid w:val="008979D0"/>
    <w:rsid w:val="008A36A5"/>
    <w:rsid w:val="008A75DA"/>
    <w:rsid w:val="008A7977"/>
    <w:rsid w:val="008B16AC"/>
    <w:rsid w:val="008B274B"/>
    <w:rsid w:val="008B5963"/>
    <w:rsid w:val="008B5CCA"/>
    <w:rsid w:val="008C18A4"/>
    <w:rsid w:val="008C1C5C"/>
    <w:rsid w:val="008C2A69"/>
    <w:rsid w:val="008C38B6"/>
    <w:rsid w:val="008C40DD"/>
    <w:rsid w:val="008D1695"/>
    <w:rsid w:val="008D1F1B"/>
    <w:rsid w:val="008D2867"/>
    <w:rsid w:val="008D63C1"/>
    <w:rsid w:val="008D7925"/>
    <w:rsid w:val="008E071D"/>
    <w:rsid w:val="008E0BE2"/>
    <w:rsid w:val="008E31DB"/>
    <w:rsid w:val="008E3824"/>
    <w:rsid w:val="008E3D66"/>
    <w:rsid w:val="008E40DB"/>
    <w:rsid w:val="008E707D"/>
    <w:rsid w:val="008F21CB"/>
    <w:rsid w:val="008F3A44"/>
    <w:rsid w:val="008F3F94"/>
    <w:rsid w:val="008F4EBA"/>
    <w:rsid w:val="00901803"/>
    <w:rsid w:val="00901BDA"/>
    <w:rsid w:val="009027A4"/>
    <w:rsid w:val="00902A23"/>
    <w:rsid w:val="009034A3"/>
    <w:rsid w:val="0090564C"/>
    <w:rsid w:val="00905766"/>
    <w:rsid w:val="00906341"/>
    <w:rsid w:val="009072B5"/>
    <w:rsid w:val="0090735D"/>
    <w:rsid w:val="00907895"/>
    <w:rsid w:val="00912532"/>
    <w:rsid w:val="00912B45"/>
    <w:rsid w:val="0091307A"/>
    <w:rsid w:val="00915783"/>
    <w:rsid w:val="0091596C"/>
    <w:rsid w:val="00915E3F"/>
    <w:rsid w:val="0092139F"/>
    <w:rsid w:val="00921528"/>
    <w:rsid w:val="009221E3"/>
    <w:rsid w:val="009235BD"/>
    <w:rsid w:val="009248F1"/>
    <w:rsid w:val="0092542F"/>
    <w:rsid w:val="0092671E"/>
    <w:rsid w:val="00926B0C"/>
    <w:rsid w:val="009309C1"/>
    <w:rsid w:val="00930EC0"/>
    <w:rsid w:val="0093221D"/>
    <w:rsid w:val="0093398B"/>
    <w:rsid w:val="009428EE"/>
    <w:rsid w:val="00944603"/>
    <w:rsid w:val="00944870"/>
    <w:rsid w:val="00946AE4"/>
    <w:rsid w:val="00946DA8"/>
    <w:rsid w:val="0094774E"/>
    <w:rsid w:val="00952DFF"/>
    <w:rsid w:val="00953E90"/>
    <w:rsid w:val="00955D37"/>
    <w:rsid w:val="00960877"/>
    <w:rsid w:val="00962006"/>
    <w:rsid w:val="00963C86"/>
    <w:rsid w:val="0096551F"/>
    <w:rsid w:val="00966844"/>
    <w:rsid w:val="00966FE7"/>
    <w:rsid w:val="00970E88"/>
    <w:rsid w:val="009710E7"/>
    <w:rsid w:val="009715D6"/>
    <w:rsid w:val="0097202F"/>
    <w:rsid w:val="009726A7"/>
    <w:rsid w:val="00974383"/>
    <w:rsid w:val="00975903"/>
    <w:rsid w:val="009770F8"/>
    <w:rsid w:val="0097766B"/>
    <w:rsid w:val="00977883"/>
    <w:rsid w:val="00980671"/>
    <w:rsid w:val="0098131D"/>
    <w:rsid w:val="009815BC"/>
    <w:rsid w:val="009820FF"/>
    <w:rsid w:val="009821BD"/>
    <w:rsid w:val="009864A8"/>
    <w:rsid w:val="00990FC9"/>
    <w:rsid w:val="009927EF"/>
    <w:rsid w:val="0099521C"/>
    <w:rsid w:val="00996BF5"/>
    <w:rsid w:val="00996F98"/>
    <w:rsid w:val="00997040"/>
    <w:rsid w:val="009A0602"/>
    <w:rsid w:val="009A267D"/>
    <w:rsid w:val="009A28B0"/>
    <w:rsid w:val="009A3CFC"/>
    <w:rsid w:val="009A53B0"/>
    <w:rsid w:val="009A5BC1"/>
    <w:rsid w:val="009A7396"/>
    <w:rsid w:val="009B0DF1"/>
    <w:rsid w:val="009B2508"/>
    <w:rsid w:val="009B2FF3"/>
    <w:rsid w:val="009B3107"/>
    <w:rsid w:val="009B4474"/>
    <w:rsid w:val="009B6862"/>
    <w:rsid w:val="009B7220"/>
    <w:rsid w:val="009C1931"/>
    <w:rsid w:val="009C1941"/>
    <w:rsid w:val="009C1AF4"/>
    <w:rsid w:val="009C29D2"/>
    <w:rsid w:val="009C31AC"/>
    <w:rsid w:val="009C423A"/>
    <w:rsid w:val="009D246B"/>
    <w:rsid w:val="009D40A4"/>
    <w:rsid w:val="009D6B91"/>
    <w:rsid w:val="009D6C57"/>
    <w:rsid w:val="009D75FF"/>
    <w:rsid w:val="009E099D"/>
    <w:rsid w:val="009E220F"/>
    <w:rsid w:val="009E3892"/>
    <w:rsid w:val="009E54E6"/>
    <w:rsid w:val="009E55E7"/>
    <w:rsid w:val="009E7B1D"/>
    <w:rsid w:val="009E7C7D"/>
    <w:rsid w:val="009F014D"/>
    <w:rsid w:val="009F0898"/>
    <w:rsid w:val="009F191D"/>
    <w:rsid w:val="009F2A6C"/>
    <w:rsid w:val="009F53A0"/>
    <w:rsid w:val="009F67EF"/>
    <w:rsid w:val="009F6D4A"/>
    <w:rsid w:val="009F6FAE"/>
    <w:rsid w:val="009F74C2"/>
    <w:rsid w:val="00A012CE"/>
    <w:rsid w:val="00A01401"/>
    <w:rsid w:val="00A01444"/>
    <w:rsid w:val="00A0194B"/>
    <w:rsid w:val="00A01C90"/>
    <w:rsid w:val="00A02785"/>
    <w:rsid w:val="00A03DD4"/>
    <w:rsid w:val="00A05792"/>
    <w:rsid w:val="00A06721"/>
    <w:rsid w:val="00A07873"/>
    <w:rsid w:val="00A1094D"/>
    <w:rsid w:val="00A10B21"/>
    <w:rsid w:val="00A11D31"/>
    <w:rsid w:val="00A11EEC"/>
    <w:rsid w:val="00A1430D"/>
    <w:rsid w:val="00A1507E"/>
    <w:rsid w:val="00A160AF"/>
    <w:rsid w:val="00A2040B"/>
    <w:rsid w:val="00A204D4"/>
    <w:rsid w:val="00A2111B"/>
    <w:rsid w:val="00A235F2"/>
    <w:rsid w:val="00A24FC8"/>
    <w:rsid w:val="00A2612E"/>
    <w:rsid w:val="00A277AF"/>
    <w:rsid w:val="00A27A10"/>
    <w:rsid w:val="00A30109"/>
    <w:rsid w:val="00A31130"/>
    <w:rsid w:val="00A3682E"/>
    <w:rsid w:val="00A40EE9"/>
    <w:rsid w:val="00A46EDC"/>
    <w:rsid w:val="00A50043"/>
    <w:rsid w:val="00A51CED"/>
    <w:rsid w:val="00A51F31"/>
    <w:rsid w:val="00A5256B"/>
    <w:rsid w:val="00A53F4E"/>
    <w:rsid w:val="00A544F5"/>
    <w:rsid w:val="00A55EAA"/>
    <w:rsid w:val="00A57D7E"/>
    <w:rsid w:val="00A60D97"/>
    <w:rsid w:val="00A60DFD"/>
    <w:rsid w:val="00A61658"/>
    <w:rsid w:val="00A626A2"/>
    <w:rsid w:val="00A6275C"/>
    <w:rsid w:val="00A64692"/>
    <w:rsid w:val="00A646F1"/>
    <w:rsid w:val="00A66878"/>
    <w:rsid w:val="00A6692D"/>
    <w:rsid w:val="00A67A2C"/>
    <w:rsid w:val="00A7114F"/>
    <w:rsid w:val="00A7299A"/>
    <w:rsid w:val="00A72AB6"/>
    <w:rsid w:val="00A73728"/>
    <w:rsid w:val="00A740AD"/>
    <w:rsid w:val="00A748C7"/>
    <w:rsid w:val="00A75458"/>
    <w:rsid w:val="00A75C9D"/>
    <w:rsid w:val="00A7731E"/>
    <w:rsid w:val="00A8023E"/>
    <w:rsid w:val="00A80F19"/>
    <w:rsid w:val="00A8108B"/>
    <w:rsid w:val="00A82722"/>
    <w:rsid w:val="00A83471"/>
    <w:rsid w:val="00A838D8"/>
    <w:rsid w:val="00A8424A"/>
    <w:rsid w:val="00A84A4D"/>
    <w:rsid w:val="00A84AFE"/>
    <w:rsid w:val="00A9066B"/>
    <w:rsid w:val="00A90C8E"/>
    <w:rsid w:val="00A9203C"/>
    <w:rsid w:val="00A94117"/>
    <w:rsid w:val="00A94D1F"/>
    <w:rsid w:val="00A97048"/>
    <w:rsid w:val="00AA0274"/>
    <w:rsid w:val="00AA2121"/>
    <w:rsid w:val="00AA5655"/>
    <w:rsid w:val="00AA6B75"/>
    <w:rsid w:val="00AA71F8"/>
    <w:rsid w:val="00AA72AD"/>
    <w:rsid w:val="00AA73A8"/>
    <w:rsid w:val="00AA7716"/>
    <w:rsid w:val="00AB04E6"/>
    <w:rsid w:val="00AB6288"/>
    <w:rsid w:val="00AC7A66"/>
    <w:rsid w:val="00AD515F"/>
    <w:rsid w:val="00AD7616"/>
    <w:rsid w:val="00AE72F7"/>
    <w:rsid w:val="00AE760D"/>
    <w:rsid w:val="00AF00F6"/>
    <w:rsid w:val="00AF33C9"/>
    <w:rsid w:val="00AF5348"/>
    <w:rsid w:val="00AF5B85"/>
    <w:rsid w:val="00AF5C01"/>
    <w:rsid w:val="00AF5F29"/>
    <w:rsid w:val="00B004A9"/>
    <w:rsid w:val="00B05049"/>
    <w:rsid w:val="00B1353E"/>
    <w:rsid w:val="00B14DD2"/>
    <w:rsid w:val="00B17446"/>
    <w:rsid w:val="00B21D09"/>
    <w:rsid w:val="00B24277"/>
    <w:rsid w:val="00B24F39"/>
    <w:rsid w:val="00B3040D"/>
    <w:rsid w:val="00B3066C"/>
    <w:rsid w:val="00B318AE"/>
    <w:rsid w:val="00B33B64"/>
    <w:rsid w:val="00B33E30"/>
    <w:rsid w:val="00B3678F"/>
    <w:rsid w:val="00B36A27"/>
    <w:rsid w:val="00B370BE"/>
    <w:rsid w:val="00B4387E"/>
    <w:rsid w:val="00B44338"/>
    <w:rsid w:val="00B450F1"/>
    <w:rsid w:val="00B45766"/>
    <w:rsid w:val="00B45B47"/>
    <w:rsid w:val="00B504A0"/>
    <w:rsid w:val="00B51ADB"/>
    <w:rsid w:val="00B51D94"/>
    <w:rsid w:val="00B522A5"/>
    <w:rsid w:val="00B5466A"/>
    <w:rsid w:val="00B5499D"/>
    <w:rsid w:val="00B5674A"/>
    <w:rsid w:val="00B56AE1"/>
    <w:rsid w:val="00B57707"/>
    <w:rsid w:val="00B6174F"/>
    <w:rsid w:val="00B64807"/>
    <w:rsid w:val="00B65D98"/>
    <w:rsid w:val="00B7080D"/>
    <w:rsid w:val="00B70A48"/>
    <w:rsid w:val="00B70B00"/>
    <w:rsid w:val="00B7133A"/>
    <w:rsid w:val="00B728D0"/>
    <w:rsid w:val="00B743EC"/>
    <w:rsid w:val="00B743FF"/>
    <w:rsid w:val="00B74AE7"/>
    <w:rsid w:val="00B75515"/>
    <w:rsid w:val="00B75E0B"/>
    <w:rsid w:val="00B77D87"/>
    <w:rsid w:val="00B77F93"/>
    <w:rsid w:val="00B81884"/>
    <w:rsid w:val="00B83717"/>
    <w:rsid w:val="00B84782"/>
    <w:rsid w:val="00B87081"/>
    <w:rsid w:val="00B87249"/>
    <w:rsid w:val="00B91407"/>
    <w:rsid w:val="00B9165D"/>
    <w:rsid w:val="00B916F1"/>
    <w:rsid w:val="00B93E67"/>
    <w:rsid w:val="00B946FF"/>
    <w:rsid w:val="00B95756"/>
    <w:rsid w:val="00B96C24"/>
    <w:rsid w:val="00BA07A9"/>
    <w:rsid w:val="00BA07AA"/>
    <w:rsid w:val="00BA3D10"/>
    <w:rsid w:val="00BA5CE0"/>
    <w:rsid w:val="00BA7A09"/>
    <w:rsid w:val="00BB27C2"/>
    <w:rsid w:val="00BB3939"/>
    <w:rsid w:val="00BB5C6C"/>
    <w:rsid w:val="00BC3D27"/>
    <w:rsid w:val="00BC3E0F"/>
    <w:rsid w:val="00BC4A8B"/>
    <w:rsid w:val="00BC6C5C"/>
    <w:rsid w:val="00BD02B7"/>
    <w:rsid w:val="00BD42D9"/>
    <w:rsid w:val="00BD4962"/>
    <w:rsid w:val="00BE0841"/>
    <w:rsid w:val="00BE1686"/>
    <w:rsid w:val="00BE19A9"/>
    <w:rsid w:val="00BE1A88"/>
    <w:rsid w:val="00BE1DBA"/>
    <w:rsid w:val="00BE6A7E"/>
    <w:rsid w:val="00BF2EAF"/>
    <w:rsid w:val="00BF3D90"/>
    <w:rsid w:val="00BF44AF"/>
    <w:rsid w:val="00BF4D13"/>
    <w:rsid w:val="00BF677E"/>
    <w:rsid w:val="00BF6F34"/>
    <w:rsid w:val="00BF78ED"/>
    <w:rsid w:val="00BF7A51"/>
    <w:rsid w:val="00C00388"/>
    <w:rsid w:val="00C00B3D"/>
    <w:rsid w:val="00C01207"/>
    <w:rsid w:val="00C02343"/>
    <w:rsid w:val="00C028AD"/>
    <w:rsid w:val="00C02C57"/>
    <w:rsid w:val="00C03CDA"/>
    <w:rsid w:val="00C04D23"/>
    <w:rsid w:val="00C062E2"/>
    <w:rsid w:val="00C0678E"/>
    <w:rsid w:val="00C107EE"/>
    <w:rsid w:val="00C108D8"/>
    <w:rsid w:val="00C1117B"/>
    <w:rsid w:val="00C11823"/>
    <w:rsid w:val="00C1209C"/>
    <w:rsid w:val="00C120A0"/>
    <w:rsid w:val="00C12E3B"/>
    <w:rsid w:val="00C138CA"/>
    <w:rsid w:val="00C14DA1"/>
    <w:rsid w:val="00C15C94"/>
    <w:rsid w:val="00C16B91"/>
    <w:rsid w:val="00C201C9"/>
    <w:rsid w:val="00C20665"/>
    <w:rsid w:val="00C21421"/>
    <w:rsid w:val="00C215D9"/>
    <w:rsid w:val="00C2251F"/>
    <w:rsid w:val="00C226D3"/>
    <w:rsid w:val="00C23379"/>
    <w:rsid w:val="00C23960"/>
    <w:rsid w:val="00C254CE"/>
    <w:rsid w:val="00C25D69"/>
    <w:rsid w:val="00C265FE"/>
    <w:rsid w:val="00C2728E"/>
    <w:rsid w:val="00C309BB"/>
    <w:rsid w:val="00C32622"/>
    <w:rsid w:val="00C34BCE"/>
    <w:rsid w:val="00C35A55"/>
    <w:rsid w:val="00C36328"/>
    <w:rsid w:val="00C409B1"/>
    <w:rsid w:val="00C40AE8"/>
    <w:rsid w:val="00C41C91"/>
    <w:rsid w:val="00C41D3C"/>
    <w:rsid w:val="00C43073"/>
    <w:rsid w:val="00C467DD"/>
    <w:rsid w:val="00C46C78"/>
    <w:rsid w:val="00C51A6B"/>
    <w:rsid w:val="00C52845"/>
    <w:rsid w:val="00C52917"/>
    <w:rsid w:val="00C52F18"/>
    <w:rsid w:val="00C53458"/>
    <w:rsid w:val="00C53DB3"/>
    <w:rsid w:val="00C53E70"/>
    <w:rsid w:val="00C56C59"/>
    <w:rsid w:val="00C579BF"/>
    <w:rsid w:val="00C6026E"/>
    <w:rsid w:val="00C6425D"/>
    <w:rsid w:val="00C65915"/>
    <w:rsid w:val="00C66416"/>
    <w:rsid w:val="00C71E3B"/>
    <w:rsid w:val="00C742FB"/>
    <w:rsid w:val="00C74B06"/>
    <w:rsid w:val="00C752FC"/>
    <w:rsid w:val="00C76FB3"/>
    <w:rsid w:val="00C81361"/>
    <w:rsid w:val="00C81912"/>
    <w:rsid w:val="00C82EE4"/>
    <w:rsid w:val="00C83C38"/>
    <w:rsid w:val="00C84425"/>
    <w:rsid w:val="00C86485"/>
    <w:rsid w:val="00C873EF"/>
    <w:rsid w:val="00C907C5"/>
    <w:rsid w:val="00C90D20"/>
    <w:rsid w:val="00C92789"/>
    <w:rsid w:val="00C936B9"/>
    <w:rsid w:val="00C96181"/>
    <w:rsid w:val="00C96334"/>
    <w:rsid w:val="00C96A99"/>
    <w:rsid w:val="00C970C2"/>
    <w:rsid w:val="00CA22D7"/>
    <w:rsid w:val="00CA49AE"/>
    <w:rsid w:val="00CA6730"/>
    <w:rsid w:val="00CA704F"/>
    <w:rsid w:val="00CA71A5"/>
    <w:rsid w:val="00CA7FDF"/>
    <w:rsid w:val="00CB2C84"/>
    <w:rsid w:val="00CB4F24"/>
    <w:rsid w:val="00CB59B6"/>
    <w:rsid w:val="00CB758D"/>
    <w:rsid w:val="00CB778A"/>
    <w:rsid w:val="00CB7D39"/>
    <w:rsid w:val="00CB7DF4"/>
    <w:rsid w:val="00CC03E7"/>
    <w:rsid w:val="00CC0B17"/>
    <w:rsid w:val="00CC1A3F"/>
    <w:rsid w:val="00CC1B96"/>
    <w:rsid w:val="00CC33BD"/>
    <w:rsid w:val="00CC4AE3"/>
    <w:rsid w:val="00CC67B2"/>
    <w:rsid w:val="00CC76D7"/>
    <w:rsid w:val="00CD2B52"/>
    <w:rsid w:val="00CD3051"/>
    <w:rsid w:val="00CD3DFB"/>
    <w:rsid w:val="00CD4394"/>
    <w:rsid w:val="00CD4A29"/>
    <w:rsid w:val="00CD79D7"/>
    <w:rsid w:val="00CD7CAF"/>
    <w:rsid w:val="00CE0448"/>
    <w:rsid w:val="00CE37F6"/>
    <w:rsid w:val="00CE50E5"/>
    <w:rsid w:val="00CE5248"/>
    <w:rsid w:val="00CE778C"/>
    <w:rsid w:val="00CF289D"/>
    <w:rsid w:val="00CF2900"/>
    <w:rsid w:val="00CF36E2"/>
    <w:rsid w:val="00CF4B8E"/>
    <w:rsid w:val="00CF504E"/>
    <w:rsid w:val="00CF506F"/>
    <w:rsid w:val="00CF60D8"/>
    <w:rsid w:val="00CF6853"/>
    <w:rsid w:val="00CF6878"/>
    <w:rsid w:val="00D024BF"/>
    <w:rsid w:val="00D036A8"/>
    <w:rsid w:val="00D075F1"/>
    <w:rsid w:val="00D07AD9"/>
    <w:rsid w:val="00D104A5"/>
    <w:rsid w:val="00D11A73"/>
    <w:rsid w:val="00D11D99"/>
    <w:rsid w:val="00D135A3"/>
    <w:rsid w:val="00D142AD"/>
    <w:rsid w:val="00D15F85"/>
    <w:rsid w:val="00D1705E"/>
    <w:rsid w:val="00D1730E"/>
    <w:rsid w:val="00D20618"/>
    <w:rsid w:val="00D27096"/>
    <w:rsid w:val="00D276A8"/>
    <w:rsid w:val="00D27D94"/>
    <w:rsid w:val="00D30CEB"/>
    <w:rsid w:val="00D42DFD"/>
    <w:rsid w:val="00D4357D"/>
    <w:rsid w:val="00D513C3"/>
    <w:rsid w:val="00D56005"/>
    <w:rsid w:val="00D602E0"/>
    <w:rsid w:val="00D61AC8"/>
    <w:rsid w:val="00D626FE"/>
    <w:rsid w:val="00D63925"/>
    <w:rsid w:val="00D66FCB"/>
    <w:rsid w:val="00D71694"/>
    <w:rsid w:val="00D717F3"/>
    <w:rsid w:val="00D72180"/>
    <w:rsid w:val="00D72D47"/>
    <w:rsid w:val="00D72DF5"/>
    <w:rsid w:val="00D80D41"/>
    <w:rsid w:val="00D81AE2"/>
    <w:rsid w:val="00D84111"/>
    <w:rsid w:val="00D8619D"/>
    <w:rsid w:val="00D87608"/>
    <w:rsid w:val="00D87DB2"/>
    <w:rsid w:val="00D90FD9"/>
    <w:rsid w:val="00D92186"/>
    <w:rsid w:val="00D92628"/>
    <w:rsid w:val="00D927E0"/>
    <w:rsid w:val="00D93221"/>
    <w:rsid w:val="00D93ABD"/>
    <w:rsid w:val="00D94B8A"/>
    <w:rsid w:val="00D9686E"/>
    <w:rsid w:val="00D96C09"/>
    <w:rsid w:val="00D97E04"/>
    <w:rsid w:val="00DA0201"/>
    <w:rsid w:val="00DA092B"/>
    <w:rsid w:val="00DA263E"/>
    <w:rsid w:val="00DA5200"/>
    <w:rsid w:val="00DA7DCB"/>
    <w:rsid w:val="00DB1ACB"/>
    <w:rsid w:val="00DB786A"/>
    <w:rsid w:val="00DC1790"/>
    <w:rsid w:val="00DC374A"/>
    <w:rsid w:val="00DC4965"/>
    <w:rsid w:val="00DC5600"/>
    <w:rsid w:val="00DC741D"/>
    <w:rsid w:val="00DC7FCC"/>
    <w:rsid w:val="00DD00F1"/>
    <w:rsid w:val="00DD07D8"/>
    <w:rsid w:val="00DD0C82"/>
    <w:rsid w:val="00DD2228"/>
    <w:rsid w:val="00DD2E56"/>
    <w:rsid w:val="00DD3918"/>
    <w:rsid w:val="00DD4DC7"/>
    <w:rsid w:val="00DD5DC8"/>
    <w:rsid w:val="00DD66E1"/>
    <w:rsid w:val="00DE02E8"/>
    <w:rsid w:val="00DE1031"/>
    <w:rsid w:val="00DE1D4C"/>
    <w:rsid w:val="00DE1E53"/>
    <w:rsid w:val="00DE2652"/>
    <w:rsid w:val="00DE3C35"/>
    <w:rsid w:val="00DE4E79"/>
    <w:rsid w:val="00DE5AE4"/>
    <w:rsid w:val="00DE6DE5"/>
    <w:rsid w:val="00DE6F77"/>
    <w:rsid w:val="00DF02FC"/>
    <w:rsid w:val="00DF0D57"/>
    <w:rsid w:val="00DF19B8"/>
    <w:rsid w:val="00DF1AB9"/>
    <w:rsid w:val="00DF252C"/>
    <w:rsid w:val="00DF46B3"/>
    <w:rsid w:val="00DF512E"/>
    <w:rsid w:val="00DF7985"/>
    <w:rsid w:val="00DF7A10"/>
    <w:rsid w:val="00DF7DAE"/>
    <w:rsid w:val="00DF7E44"/>
    <w:rsid w:val="00E020AC"/>
    <w:rsid w:val="00E0347B"/>
    <w:rsid w:val="00E111B7"/>
    <w:rsid w:val="00E11379"/>
    <w:rsid w:val="00E126D6"/>
    <w:rsid w:val="00E13AC0"/>
    <w:rsid w:val="00E15530"/>
    <w:rsid w:val="00E167B5"/>
    <w:rsid w:val="00E179C3"/>
    <w:rsid w:val="00E20926"/>
    <w:rsid w:val="00E237DB"/>
    <w:rsid w:val="00E25B02"/>
    <w:rsid w:val="00E26691"/>
    <w:rsid w:val="00E273F2"/>
    <w:rsid w:val="00E275A4"/>
    <w:rsid w:val="00E30479"/>
    <w:rsid w:val="00E309FA"/>
    <w:rsid w:val="00E30DC6"/>
    <w:rsid w:val="00E319D3"/>
    <w:rsid w:val="00E32CF8"/>
    <w:rsid w:val="00E338A1"/>
    <w:rsid w:val="00E351C6"/>
    <w:rsid w:val="00E35639"/>
    <w:rsid w:val="00E376E6"/>
    <w:rsid w:val="00E378BF"/>
    <w:rsid w:val="00E37A35"/>
    <w:rsid w:val="00E37F76"/>
    <w:rsid w:val="00E40132"/>
    <w:rsid w:val="00E46143"/>
    <w:rsid w:val="00E46321"/>
    <w:rsid w:val="00E4686E"/>
    <w:rsid w:val="00E51E11"/>
    <w:rsid w:val="00E5235F"/>
    <w:rsid w:val="00E52F8C"/>
    <w:rsid w:val="00E54BCF"/>
    <w:rsid w:val="00E56B58"/>
    <w:rsid w:val="00E57620"/>
    <w:rsid w:val="00E57B1C"/>
    <w:rsid w:val="00E617F3"/>
    <w:rsid w:val="00E62F28"/>
    <w:rsid w:val="00E64371"/>
    <w:rsid w:val="00E64BB5"/>
    <w:rsid w:val="00E7246A"/>
    <w:rsid w:val="00E73176"/>
    <w:rsid w:val="00E75E35"/>
    <w:rsid w:val="00E80842"/>
    <w:rsid w:val="00E83B6A"/>
    <w:rsid w:val="00E83C50"/>
    <w:rsid w:val="00E83E54"/>
    <w:rsid w:val="00E85937"/>
    <w:rsid w:val="00E8618C"/>
    <w:rsid w:val="00E86826"/>
    <w:rsid w:val="00E87339"/>
    <w:rsid w:val="00E9224F"/>
    <w:rsid w:val="00E95692"/>
    <w:rsid w:val="00E96F0A"/>
    <w:rsid w:val="00EA03EA"/>
    <w:rsid w:val="00EA0734"/>
    <w:rsid w:val="00EA07C2"/>
    <w:rsid w:val="00EA1490"/>
    <w:rsid w:val="00EA164B"/>
    <w:rsid w:val="00EA49D7"/>
    <w:rsid w:val="00EA52F5"/>
    <w:rsid w:val="00EA62A5"/>
    <w:rsid w:val="00EA673E"/>
    <w:rsid w:val="00EB0D04"/>
    <w:rsid w:val="00EB4793"/>
    <w:rsid w:val="00EB53B7"/>
    <w:rsid w:val="00EB7373"/>
    <w:rsid w:val="00EC33DB"/>
    <w:rsid w:val="00EC5176"/>
    <w:rsid w:val="00EC6F1D"/>
    <w:rsid w:val="00ED09EE"/>
    <w:rsid w:val="00ED19C1"/>
    <w:rsid w:val="00ED2AE6"/>
    <w:rsid w:val="00ED2B3C"/>
    <w:rsid w:val="00ED41D8"/>
    <w:rsid w:val="00ED6345"/>
    <w:rsid w:val="00ED7CE6"/>
    <w:rsid w:val="00EE28DA"/>
    <w:rsid w:val="00EE2F2F"/>
    <w:rsid w:val="00EE4C93"/>
    <w:rsid w:val="00EF513D"/>
    <w:rsid w:val="00EF65B0"/>
    <w:rsid w:val="00F0162D"/>
    <w:rsid w:val="00F0205F"/>
    <w:rsid w:val="00F032F8"/>
    <w:rsid w:val="00F05596"/>
    <w:rsid w:val="00F0771F"/>
    <w:rsid w:val="00F07DD5"/>
    <w:rsid w:val="00F1125D"/>
    <w:rsid w:val="00F11687"/>
    <w:rsid w:val="00F11E8D"/>
    <w:rsid w:val="00F15388"/>
    <w:rsid w:val="00F15680"/>
    <w:rsid w:val="00F1572E"/>
    <w:rsid w:val="00F158E8"/>
    <w:rsid w:val="00F20EBC"/>
    <w:rsid w:val="00F231D6"/>
    <w:rsid w:val="00F27A05"/>
    <w:rsid w:val="00F30B6B"/>
    <w:rsid w:val="00F30CF6"/>
    <w:rsid w:val="00F32159"/>
    <w:rsid w:val="00F324ED"/>
    <w:rsid w:val="00F327F2"/>
    <w:rsid w:val="00F34F38"/>
    <w:rsid w:val="00F372D1"/>
    <w:rsid w:val="00F4053D"/>
    <w:rsid w:val="00F42E25"/>
    <w:rsid w:val="00F433ED"/>
    <w:rsid w:val="00F43A4B"/>
    <w:rsid w:val="00F44314"/>
    <w:rsid w:val="00F47998"/>
    <w:rsid w:val="00F5287C"/>
    <w:rsid w:val="00F52C60"/>
    <w:rsid w:val="00F5413E"/>
    <w:rsid w:val="00F56A86"/>
    <w:rsid w:val="00F57B46"/>
    <w:rsid w:val="00F604DF"/>
    <w:rsid w:val="00F6363F"/>
    <w:rsid w:val="00F63BC7"/>
    <w:rsid w:val="00F651DE"/>
    <w:rsid w:val="00F66B47"/>
    <w:rsid w:val="00F66C74"/>
    <w:rsid w:val="00F70A9E"/>
    <w:rsid w:val="00F72633"/>
    <w:rsid w:val="00F75D88"/>
    <w:rsid w:val="00F76CCF"/>
    <w:rsid w:val="00F77A2C"/>
    <w:rsid w:val="00F81E4E"/>
    <w:rsid w:val="00F82843"/>
    <w:rsid w:val="00F82DBE"/>
    <w:rsid w:val="00F85629"/>
    <w:rsid w:val="00F909A7"/>
    <w:rsid w:val="00F915CB"/>
    <w:rsid w:val="00F93E6A"/>
    <w:rsid w:val="00F9418E"/>
    <w:rsid w:val="00FA098F"/>
    <w:rsid w:val="00FA0EA3"/>
    <w:rsid w:val="00FA279D"/>
    <w:rsid w:val="00FA4EBE"/>
    <w:rsid w:val="00FA5FE8"/>
    <w:rsid w:val="00FA6734"/>
    <w:rsid w:val="00FB3A37"/>
    <w:rsid w:val="00FB4E0E"/>
    <w:rsid w:val="00FB5C91"/>
    <w:rsid w:val="00FB78FD"/>
    <w:rsid w:val="00FC1DB0"/>
    <w:rsid w:val="00FC21CB"/>
    <w:rsid w:val="00FC223D"/>
    <w:rsid w:val="00FC5709"/>
    <w:rsid w:val="00FC66A7"/>
    <w:rsid w:val="00FD25F1"/>
    <w:rsid w:val="00FD2CC4"/>
    <w:rsid w:val="00FD2D88"/>
    <w:rsid w:val="00FD3783"/>
    <w:rsid w:val="00FD3D0D"/>
    <w:rsid w:val="00FD43EA"/>
    <w:rsid w:val="00FD619C"/>
    <w:rsid w:val="00FE29CC"/>
    <w:rsid w:val="00FE3D5E"/>
    <w:rsid w:val="00FE5B5F"/>
    <w:rsid w:val="00FE6C78"/>
    <w:rsid w:val="00FE750D"/>
    <w:rsid w:val="00FE7B65"/>
    <w:rsid w:val="00FF3DE0"/>
    <w:rsid w:val="00FF4144"/>
    <w:rsid w:val="00FF47D4"/>
    <w:rsid w:val="00FF4F5C"/>
    <w:rsid w:val="00FF5B0E"/>
    <w:rsid w:val="00FF750C"/>
    <w:rsid w:val="00FF7E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51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458"/>
    <w:pPr>
      <w:widowControl w:val="0"/>
    </w:pPr>
    <w:rPr>
      <w:rFonts w:ascii="Courier" w:hAnsi="Courier"/>
      <w:snapToGrid w:val="0"/>
      <w:sz w:val="24"/>
    </w:rPr>
  </w:style>
  <w:style w:type="paragraph" w:styleId="Heading1">
    <w:name w:val="heading 1"/>
    <w:basedOn w:val="Normal"/>
    <w:next w:val="Normal"/>
    <w:qFormat/>
    <w:rsid w:val="00C53458"/>
    <w:pPr>
      <w:keepNext/>
      <w:widowControl/>
      <w:ind w:firstLine="720"/>
      <w:outlineLvl w:val="0"/>
    </w:pPr>
    <w:rPr>
      <w:rFonts w:ascii="Times New Roman" w:hAnsi="Times New Roman"/>
      <w:b/>
    </w:rPr>
  </w:style>
  <w:style w:type="paragraph" w:styleId="Heading2">
    <w:name w:val="heading 2"/>
    <w:basedOn w:val="Normal"/>
    <w:next w:val="Normal"/>
    <w:qFormat/>
    <w:rsid w:val="00C53458"/>
    <w:pPr>
      <w:keepNext/>
      <w:widowControl/>
      <w:ind w:left="720"/>
      <w:outlineLvl w:val="1"/>
    </w:pPr>
    <w:rPr>
      <w:rFonts w:ascii="Times" w:hAnsi="Times"/>
      <w:b/>
    </w:rPr>
  </w:style>
  <w:style w:type="paragraph" w:styleId="Heading3">
    <w:name w:val="heading 3"/>
    <w:basedOn w:val="Normal"/>
    <w:next w:val="Normal"/>
    <w:qFormat/>
    <w:rsid w:val="00C53458"/>
    <w:pPr>
      <w:keepNext/>
      <w:widowControl/>
      <w:tabs>
        <w:tab w:val="left" w:pos="-1080"/>
        <w:tab w:val="left" w:pos="-90"/>
        <w:tab w:val="left" w:pos="1440"/>
        <w:tab w:val="left" w:pos="1980"/>
        <w:tab w:val="left" w:pos="3960"/>
        <w:tab w:val="left" w:pos="4230"/>
        <w:tab w:val="left" w:pos="5760"/>
        <w:tab w:val="left" w:pos="7650"/>
        <w:tab w:val="left" w:pos="8640"/>
      </w:tabs>
      <w:jc w:val="center"/>
      <w:outlineLvl w:val="2"/>
    </w:pPr>
    <w:rPr>
      <w:rFonts w:ascii="Times New Roman" w:hAnsi="Times New Roman"/>
      <w:b/>
    </w:rPr>
  </w:style>
  <w:style w:type="paragraph" w:styleId="Heading4">
    <w:name w:val="heading 4"/>
    <w:basedOn w:val="Normal"/>
    <w:next w:val="Normal"/>
    <w:link w:val="Heading4Char"/>
    <w:uiPriority w:val="9"/>
    <w:qFormat/>
    <w:rsid w:val="00C53458"/>
    <w:pPr>
      <w:keepNext/>
      <w:ind w:firstLine="720"/>
      <w:outlineLvl w:val="3"/>
    </w:pPr>
    <w:rPr>
      <w:rFonts w:ascii="Times New Roman" w:hAnsi="Times New Roman"/>
      <w:u w:val="single"/>
    </w:rPr>
  </w:style>
  <w:style w:type="paragraph" w:styleId="Heading5">
    <w:name w:val="heading 5"/>
    <w:basedOn w:val="Normal"/>
    <w:next w:val="Normal"/>
    <w:qFormat/>
    <w:rsid w:val="00C53458"/>
    <w:pPr>
      <w:keepNext/>
      <w:widowControl/>
      <w:outlineLvl w:val="4"/>
    </w:pPr>
    <w:rPr>
      <w:rFonts w:ascii="Times New Roman" w:hAnsi="Times New Roman"/>
      <w:b/>
    </w:rPr>
  </w:style>
  <w:style w:type="paragraph" w:styleId="Heading6">
    <w:name w:val="heading 6"/>
    <w:basedOn w:val="Normal"/>
    <w:next w:val="Normal"/>
    <w:qFormat/>
    <w:rsid w:val="00C53458"/>
    <w:pPr>
      <w:keepNext/>
      <w:widowControl/>
      <w:numPr>
        <w:numId w:val="1"/>
      </w:numPr>
      <w:outlineLvl w:val="5"/>
    </w:pPr>
    <w:rPr>
      <w:rFonts w:ascii="Times New Roman" w:hAnsi="Times New Roman"/>
      <w:b/>
    </w:rPr>
  </w:style>
  <w:style w:type="paragraph" w:styleId="Heading7">
    <w:name w:val="heading 7"/>
    <w:basedOn w:val="Normal"/>
    <w:next w:val="Normal"/>
    <w:qFormat/>
    <w:rsid w:val="00C53458"/>
    <w:pPr>
      <w:keepNext/>
      <w:widowControl/>
      <w:ind w:firstLine="720"/>
      <w:jc w:val="center"/>
      <w:outlineLvl w:val="6"/>
    </w:pPr>
    <w:rPr>
      <w:rFonts w:ascii="Times New Roman" w:hAnsi="Times New Roman"/>
      <w:bCs/>
      <w:i/>
      <w:iCs/>
    </w:rPr>
  </w:style>
  <w:style w:type="paragraph" w:styleId="Heading8">
    <w:name w:val="heading 8"/>
    <w:basedOn w:val="Normal"/>
    <w:next w:val="Normal"/>
    <w:qFormat/>
    <w:rsid w:val="00C53458"/>
    <w:pPr>
      <w:keepNext/>
      <w:widowControl/>
      <w:tabs>
        <w:tab w:val="left" w:pos="-1080"/>
        <w:tab w:val="left" w:pos="-90"/>
        <w:tab w:val="left" w:pos="1440"/>
        <w:tab w:val="left" w:pos="1980"/>
        <w:tab w:val="left" w:pos="3960"/>
        <w:tab w:val="left" w:pos="4230"/>
        <w:tab w:val="left" w:pos="5760"/>
        <w:tab w:val="left" w:pos="7650"/>
        <w:tab w:val="left" w:pos="8640"/>
      </w:tabs>
      <w:jc w:val="center"/>
      <w:outlineLvl w:val="7"/>
    </w:pPr>
    <w:rPr>
      <w:rFonts w:ascii="Times New Roman" w:hAnsi="Times New Roman"/>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12"/>
    <w:rsid w:val="00C53458"/>
    <w:rPr>
      <w:rFonts w:ascii="Times New Roman" w:hAnsi="Times New Roman"/>
    </w:rPr>
  </w:style>
  <w:style w:type="paragraph" w:styleId="FootnoteText">
    <w:name w:val="footnote text"/>
    <w:aliases w:val="ft"/>
    <w:basedOn w:val="Normal"/>
    <w:link w:val="FootnoteTextChar"/>
    <w:rsid w:val="00C53458"/>
  </w:style>
  <w:style w:type="paragraph" w:styleId="BodyTextIndent">
    <w:name w:val="Body Text Indent"/>
    <w:basedOn w:val="Normal"/>
    <w:rsid w:val="00C53458"/>
    <w:pPr>
      <w:widowControl/>
      <w:ind w:firstLine="720"/>
    </w:pPr>
    <w:rPr>
      <w:rFonts w:ascii="Times New Roman" w:hAnsi="Times New Roman"/>
    </w:rPr>
  </w:style>
  <w:style w:type="paragraph" w:styleId="BodyTextIndent2">
    <w:name w:val="Body Text Indent 2"/>
    <w:basedOn w:val="Normal"/>
    <w:rsid w:val="00C53458"/>
    <w:pPr>
      <w:widowControl/>
      <w:ind w:left="720"/>
    </w:pPr>
    <w:rPr>
      <w:rFonts w:ascii="Times" w:hAnsi="Times"/>
      <w:b/>
    </w:rPr>
  </w:style>
  <w:style w:type="paragraph" w:styleId="Title">
    <w:name w:val="Title"/>
    <w:basedOn w:val="Normal"/>
    <w:qFormat/>
    <w:rsid w:val="00C53458"/>
    <w:pPr>
      <w:widowControl/>
      <w:jc w:val="center"/>
    </w:pPr>
    <w:rPr>
      <w:rFonts w:ascii="Times New Roman" w:hAnsi="Times New Roman"/>
      <w:b/>
      <w:snapToGrid/>
    </w:rPr>
  </w:style>
  <w:style w:type="paragraph" w:styleId="Header">
    <w:name w:val="header"/>
    <w:basedOn w:val="Normal"/>
    <w:link w:val="HeaderChar"/>
    <w:rsid w:val="00C53458"/>
    <w:pPr>
      <w:tabs>
        <w:tab w:val="center" w:pos="4320"/>
        <w:tab w:val="right" w:pos="8640"/>
      </w:tabs>
    </w:pPr>
  </w:style>
  <w:style w:type="paragraph" w:styleId="BodyTextIndent3">
    <w:name w:val="Body Text Indent 3"/>
    <w:basedOn w:val="Normal"/>
    <w:link w:val="BodyTextIndent3Char"/>
    <w:rsid w:val="00C53458"/>
    <w:pPr>
      <w:ind w:left="360"/>
    </w:pPr>
    <w:rPr>
      <w:rFonts w:ascii="Times New Roman" w:hAnsi="Times New Roman"/>
    </w:rPr>
  </w:style>
  <w:style w:type="paragraph" w:styleId="BodyText">
    <w:name w:val="Body Text"/>
    <w:basedOn w:val="Normal"/>
    <w:rsid w:val="00C53458"/>
    <w:pPr>
      <w:tabs>
        <w:tab w:val="left" w:pos="-720"/>
        <w:tab w:val="left" w:pos="134"/>
        <w:tab w:val="left" w:pos="432"/>
        <w:tab w:val="left" w:pos="864"/>
        <w:tab w:val="left" w:pos="4320"/>
        <w:tab w:val="left" w:pos="5040"/>
        <w:tab w:val="left" w:pos="5760"/>
      </w:tabs>
      <w:suppressAutoHyphens/>
      <w:spacing w:line="480" w:lineRule="auto"/>
      <w:jc w:val="both"/>
    </w:pPr>
    <w:rPr>
      <w:rFonts w:ascii="CG Times (W1)" w:hAnsi="CG Times (W1)"/>
      <w:spacing w:val="-2"/>
    </w:rPr>
  </w:style>
  <w:style w:type="character" w:styleId="Hyperlink">
    <w:name w:val="Hyperlink"/>
    <w:basedOn w:val="DefaultParagraphFont"/>
    <w:rsid w:val="00C53458"/>
    <w:rPr>
      <w:color w:val="0000FF"/>
      <w:u w:val="single"/>
    </w:rPr>
  </w:style>
  <w:style w:type="paragraph" w:styleId="Footer">
    <w:name w:val="footer"/>
    <w:basedOn w:val="Normal"/>
    <w:link w:val="FooterChar"/>
    <w:uiPriority w:val="99"/>
    <w:rsid w:val="00C53458"/>
    <w:pPr>
      <w:tabs>
        <w:tab w:val="center" w:pos="4320"/>
        <w:tab w:val="right" w:pos="8640"/>
      </w:tabs>
    </w:pPr>
  </w:style>
  <w:style w:type="character" w:styleId="PageNumber">
    <w:name w:val="page number"/>
    <w:basedOn w:val="DefaultParagraphFont"/>
    <w:rsid w:val="00C53458"/>
  </w:style>
  <w:style w:type="paragraph" w:styleId="BodyText2">
    <w:name w:val="Body Text 2"/>
    <w:basedOn w:val="Normal"/>
    <w:rsid w:val="00C53458"/>
    <w:pPr>
      <w:widowControl/>
      <w:spacing w:line="480" w:lineRule="auto"/>
    </w:pPr>
    <w:rPr>
      <w:rFonts w:ascii="Times New Roman" w:hAnsi="Times New Roman"/>
      <w:snapToGrid/>
      <w:sz w:val="20"/>
    </w:rPr>
  </w:style>
  <w:style w:type="paragraph" w:styleId="NormalWeb">
    <w:name w:val="Normal (Web)"/>
    <w:basedOn w:val="Normal"/>
    <w:uiPriority w:val="99"/>
    <w:rsid w:val="00791FCB"/>
    <w:pPr>
      <w:widowControl/>
      <w:spacing w:before="100" w:beforeAutospacing="1" w:after="100" w:afterAutospacing="1"/>
    </w:pPr>
    <w:rPr>
      <w:rFonts w:ascii="Times New Roman" w:hAnsi="Times New Roman"/>
      <w:snapToGrid/>
      <w:szCs w:val="24"/>
    </w:rPr>
  </w:style>
  <w:style w:type="paragraph" w:styleId="BalloonText">
    <w:name w:val="Balloon Text"/>
    <w:basedOn w:val="Normal"/>
    <w:semiHidden/>
    <w:rsid w:val="009F6D4A"/>
    <w:rPr>
      <w:rFonts w:ascii="Tahoma" w:hAnsi="Tahoma" w:cs="Tahoma"/>
      <w:sz w:val="16"/>
      <w:szCs w:val="16"/>
    </w:rPr>
  </w:style>
  <w:style w:type="table" w:styleId="TableGrid">
    <w:name w:val="Table Grid"/>
    <w:basedOn w:val="TableNormal"/>
    <w:rsid w:val="00C752FC"/>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565844"/>
    <w:rPr>
      <w:sz w:val="16"/>
      <w:szCs w:val="16"/>
    </w:rPr>
  </w:style>
  <w:style w:type="paragraph" w:styleId="CommentText">
    <w:name w:val="annotation text"/>
    <w:basedOn w:val="Normal"/>
    <w:link w:val="CommentTextChar"/>
    <w:uiPriority w:val="99"/>
    <w:semiHidden/>
    <w:rsid w:val="00565844"/>
    <w:rPr>
      <w:sz w:val="20"/>
    </w:rPr>
  </w:style>
  <w:style w:type="paragraph" w:styleId="CommentSubject">
    <w:name w:val="annotation subject"/>
    <w:basedOn w:val="CommentText"/>
    <w:next w:val="CommentText"/>
    <w:semiHidden/>
    <w:rsid w:val="00565844"/>
    <w:rPr>
      <w:b/>
      <w:bCs/>
    </w:rPr>
  </w:style>
  <w:style w:type="paragraph" w:customStyle="1" w:styleId="maincontent">
    <w:name w:val="maincontent"/>
    <w:basedOn w:val="Normal"/>
    <w:rsid w:val="00EA62A5"/>
    <w:pPr>
      <w:widowControl/>
      <w:spacing w:before="100" w:beforeAutospacing="1" w:after="100" w:afterAutospacing="1"/>
    </w:pPr>
    <w:rPr>
      <w:rFonts w:ascii="Times New Roman" w:hAnsi="Times New Roman"/>
      <w:snapToGrid/>
      <w:color w:val="000000"/>
      <w:sz w:val="22"/>
      <w:szCs w:val="22"/>
    </w:rPr>
  </w:style>
  <w:style w:type="paragraph" w:styleId="HTMLPreformatted">
    <w:name w:val="HTML Preformatted"/>
    <w:basedOn w:val="Normal"/>
    <w:rsid w:val="00B87081"/>
    <w:rPr>
      <w:rFonts w:ascii="Courier New" w:hAnsi="Courier New" w:cs="Courier New"/>
      <w:sz w:val="20"/>
    </w:rPr>
  </w:style>
  <w:style w:type="paragraph" w:styleId="DocumentMap">
    <w:name w:val="Document Map"/>
    <w:basedOn w:val="Normal"/>
    <w:semiHidden/>
    <w:rsid w:val="00F07DD5"/>
    <w:pPr>
      <w:shd w:val="clear" w:color="auto" w:fill="000080"/>
    </w:pPr>
    <w:rPr>
      <w:rFonts w:ascii="Tahoma" w:hAnsi="Tahoma" w:cs="Tahoma"/>
    </w:rPr>
  </w:style>
  <w:style w:type="character" w:styleId="FollowedHyperlink">
    <w:name w:val="FollowedHyperlink"/>
    <w:basedOn w:val="DefaultParagraphFont"/>
    <w:rsid w:val="006B36BC"/>
    <w:rPr>
      <w:color w:val="800080"/>
      <w:u w:val="single"/>
    </w:rPr>
  </w:style>
  <w:style w:type="character" w:customStyle="1" w:styleId="HeaderChar">
    <w:name w:val="Header Char"/>
    <w:basedOn w:val="DefaultParagraphFont"/>
    <w:link w:val="Header"/>
    <w:uiPriority w:val="99"/>
    <w:rsid w:val="006420DB"/>
    <w:rPr>
      <w:rFonts w:ascii="Courier" w:hAnsi="Courier"/>
      <w:snapToGrid w:val="0"/>
      <w:sz w:val="24"/>
    </w:rPr>
  </w:style>
  <w:style w:type="character" w:styleId="Emphasis">
    <w:name w:val="Emphasis"/>
    <w:basedOn w:val="DefaultParagraphFont"/>
    <w:qFormat/>
    <w:rsid w:val="00866F57"/>
    <w:rPr>
      <w:i/>
      <w:iCs/>
    </w:rPr>
  </w:style>
  <w:style w:type="paragraph" w:styleId="Revision">
    <w:name w:val="Revision"/>
    <w:hidden/>
    <w:uiPriority w:val="99"/>
    <w:semiHidden/>
    <w:rsid w:val="00997040"/>
    <w:rPr>
      <w:rFonts w:ascii="Courier" w:hAnsi="Courier"/>
      <w:snapToGrid w:val="0"/>
      <w:sz w:val="24"/>
    </w:rPr>
  </w:style>
  <w:style w:type="character" w:customStyle="1" w:styleId="FooterChar">
    <w:name w:val="Footer Char"/>
    <w:basedOn w:val="DefaultParagraphFont"/>
    <w:link w:val="Footer"/>
    <w:uiPriority w:val="99"/>
    <w:rsid w:val="000A2A76"/>
    <w:rPr>
      <w:rFonts w:ascii="Courier" w:hAnsi="Courier"/>
      <w:snapToGrid w:val="0"/>
      <w:sz w:val="24"/>
    </w:rPr>
  </w:style>
  <w:style w:type="paragraph" w:styleId="ListParagraph">
    <w:name w:val="List Paragraph"/>
    <w:basedOn w:val="Normal"/>
    <w:uiPriority w:val="34"/>
    <w:qFormat/>
    <w:rsid w:val="002B25D9"/>
    <w:pPr>
      <w:ind w:left="720"/>
      <w:contextualSpacing/>
    </w:pPr>
  </w:style>
  <w:style w:type="paragraph" w:customStyle="1" w:styleId="Default">
    <w:name w:val="Default"/>
    <w:rsid w:val="00292F5C"/>
    <w:pPr>
      <w:autoSpaceDE w:val="0"/>
      <w:autoSpaceDN w:val="0"/>
      <w:adjustRightInd w:val="0"/>
    </w:pPr>
    <w:rPr>
      <w:rFonts w:eastAsia="Calibri"/>
      <w:color w:val="000000"/>
      <w:sz w:val="24"/>
      <w:szCs w:val="24"/>
    </w:rPr>
  </w:style>
  <w:style w:type="character" w:customStyle="1" w:styleId="FootnoteTextChar">
    <w:name w:val="Footnote Text Char"/>
    <w:aliases w:val="ft Char"/>
    <w:basedOn w:val="DefaultParagraphFont"/>
    <w:link w:val="FootnoteText"/>
    <w:rsid w:val="00C062E2"/>
    <w:rPr>
      <w:rFonts w:ascii="Courier" w:hAnsi="Courier"/>
      <w:snapToGrid w:val="0"/>
      <w:sz w:val="24"/>
    </w:rPr>
  </w:style>
  <w:style w:type="character" w:customStyle="1" w:styleId="BodyTextIndent3Char">
    <w:name w:val="Body Text Indent 3 Char"/>
    <w:basedOn w:val="DefaultParagraphFont"/>
    <w:link w:val="BodyTextIndent3"/>
    <w:rsid w:val="00E26691"/>
    <w:rPr>
      <w:snapToGrid w:val="0"/>
      <w:sz w:val="24"/>
    </w:rPr>
  </w:style>
  <w:style w:type="paragraph" w:customStyle="1" w:styleId="MemoHeader">
    <w:name w:val="Memo Header"/>
    <w:basedOn w:val="Normal"/>
    <w:next w:val="Normal"/>
    <w:rsid w:val="009F67EF"/>
    <w:pPr>
      <w:widowControl/>
    </w:pPr>
    <w:rPr>
      <w:rFonts w:ascii="Arial" w:hAnsi="Arial"/>
      <w:smallCaps/>
      <w:snapToGrid/>
    </w:rPr>
  </w:style>
  <w:style w:type="character" w:customStyle="1" w:styleId="CommentTextChar">
    <w:name w:val="Comment Text Char"/>
    <w:basedOn w:val="DefaultParagraphFont"/>
    <w:link w:val="CommentText"/>
    <w:uiPriority w:val="99"/>
    <w:semiHidden/>
    <w:rsid w:val="0010248E"/>
    <w:rPr>
      <w:rFonts w:ascii="Courier" w:hAnsi="Courier"/>
      <w:snapToGrid w:val="0"/>
    </w:rPr>
  </w:style>
  <w:style w:type="character" w:customStyle="1" w:styleId="Heading4Char">
    <w:name w:val="Heading 4 Char"/>
    <w:basedOn w:val="DefaultParagraphFont"/>
    <w:link w:val="Heading4"/>
    <w:uiPriority w:val="9"/>
    <w:rsid w:val="00A31130"/>
    <w:rPr>
      <w:snapToGrid w:val="0"/>
      <w:sz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8652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405CE-DF04-4CE8-8723-FED68C2B2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13</Pages>
  <Words>3765</Words>
  <Characters>20611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Federal Reserve Board</Company>
  <LinksUpToDate>false</LinksUpToDate>
  <CharactersWithSpaces>24328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Douglas W. Carpenter</dc:creator>
  <cp:lastModifiedBy>i1pel01</cp:lastModifiedBy>
  <cp:revision>10</cp:revision>
  <cp:lastPrinted>2012-03-06T14:12:00Z</cp:lastPrinted>
  <dcterms:created xsi:type="dcterms:W3CDTF">2012-03-29T20:56:00Z</dcterms:created>
  <dcterms:modified xsi:type="dcterms:W3CDTF">2012-03-29T21:56:00Z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811415369</vt:i4>
  </property>
</Properties>
</file>