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214" w:rsidRDefault="000838D2" w:rsidP="000838D2">
      <w:pPr>
        <w:widowControl/>
        <w:tabs>
          <w:tab w:val="center" w:pos="4680"/>
        </w:tabs>
        <w:jc w:val="center"/>
        <w:rPr>
          <w:rFonts w:ascii="Times" w:hAnsi="Times"/>
          <w:b/>
        </w:rPr>
      </w:pPr>
      <w:r w:rsidRPr="000838D2">
        <w:rPr>
          <w:rFonts w:ascii="Times" w:hAnsi="Times"/>
          <w:b/>
        </w:rPr>
        <w:t xml:space="preserve">Supporting Statement for </w:t>
      </w:r>
      <w:r w:rsidR="00956214">
        <w:rPr>
          <w:rFonts w:ascii="Times" w:hAnsi="Times"/>
          <w:b/>
        </w:rPr>
        <w:t xml:space="preserve">the </w:t>
      </w:r>
    </w:p>
    <w:p w:rsidR="00563B04" w:rsidRDefault="000838D2" w:rsidP="000838D2">
      <w:pPr>
        <w:widowControl/>
        <w:tabs>
          <w:tab w:val="center" w:pos="4680"/>
        </w:tabs>
        <w:jc w:val="center"/>
        <w:rPr>
          <w:rFonts w:ascii="Times" w:hAnsi="Times"/>
          <w:b/>
        </w:rPr>
      </w:pPr>
      <w:r w:rsidRPr="000838D2">
        <w:rPr>
          <w:rFonts w:ascii="Times" w:hAnsi="Times"/>
          <w:b/>
        </w:rPr>
        <w:t>Quarterly Report of Assets and Liabilities of Large Foreign Offices of U.S.</w:t>
      </w:r>
      <w:r w:rsidR="00D80046">
        <w:rPr>
          <w:rFonts w:ascii="Times" w:hAnsi="Times"/>
          <w:b/>
        </w:rPr>
        <w:t xml:space="preserve"> </w:t>
      </w:r>
      <w:r w:rsidRPr="000838D2">
        <w:rPr>
          <w:rFonts w:ascii="Times" w:hAnsi="Times"/>
          <w:b/>
        </w:rPr>
        <w:t>Banks</w:t>
      </w:r>
      <w:r w:rsidR="005876C5">
        <w:rPr>
          <w:rFonts w:ascii="Times" w:hAnsi="Times"/>
          <w:b/>
        </w:rPr>
        <w:t xml:space="preserve"> </w:t>
      </w:r>
    </w:p>
    <w:p w:rsidR="000838D2" w:rsidRPr="000838D2" w:rsidRDefault="005876C5" w:rsidP="00563B04">
      <w:pPr>
        <w:widowControl/>
        <w:tabs>
          <w:tab w:val="center" w:pos="4680"/>
        </w:tabs>
        <w:jc w:val="center"/>
        <w:rPr>
          <w:rFonts w:ascii="Times" w:hAnsi="Times"/>
          <w:b/>
        </w:rPr>
      </w:pPr>
      <w:r>
        <w:rPr>
          <w:rFonts w:ascii="Times" w:hAnsi="Times"/>
          <w:b/>
        </w:rPr>
        <w:t>(FR 2502Q</w:t>
      </w:r>
      <w:r w:rsidR="00563B04">
        <w:rPr>
          <w:rFonts w:ascii="Times" w:hAnsi="Times"/>
          <w:b/>
        </w:rPr>
        <w:t xml:space="preserve">; </w:t>
      </w:r>
      <w:r w:rsidR="00563B04" w:rsidRPr="000838D2">
        <w:rPr>
          <w:rFonts w:ascii="Times" w:hAnsi="Times"/>
          <w:b/>
        </w:rPr>
        <w:t>OMB No. 7100-0079</w:t>
      </w:r>
      <w:r>
        <w:rPr>
          <w:rFonts w:ascii="Times" w:hAnsi="Times"/>
          <w:b/>
        </w:rPr>
        <w:t>)</w:t>
      </w:r>
    </w:p>
    <w:p w:rsidR="005F22BA" w:rsidRPr="00956214" w:rsidRDefault="005F22BA" w:rsidP="00EF173F">
      <w:pPr>
        <w:widowControl/>
        <w:tabs>
          <w:tab w:val="center" w:pos="4680"/>
        </w:tabs>
        <w:rPr>
          <w:rFonts w:ascii="Times New Roman" w:hAnsi="Times New Roman"/>
        </w:rPr>
      </w:pPr>
      <w:r w:rsidRPr="00956214">
        <w:rPr>
          <w:rFonts w:ascii="Times New Roman" w:hAnsi="Times New Roman"/>
        </w:rPr>
        <w:softHyphen/>
      </w:r>
    </w:p>
    <w:p w:rsidR="005F22BA" w:rsidRPr="00956214" w:rsidRDefault="005F22BA">
      <w:pPr>
        <w:widowControl/>
        <w:tabs>
          <w:tab w:val="left" w:pos="360"/>
        </w:tabs>
        <w:rPr>
          <w:rFonts w:ascii="Times New Roman" w:hAnsi="Times New Roman"/>
        </w:rPr>
      </w:pPr>
      <w:r w:rsidRPr="00956214">
        <w:rPr>
          <w:rFonts w:ascii="Times New Roman" w:hAnsi="Times New Roman"/>
          <w:b/>
        </w:rPr>
        <w:t>Summary</w:t>
      </w:r>
    </w:p>
    <w:p w:rsidR="005F22BA" w:rsidRPr="00956214" w:rsidRDefault="005F22BA">
      <w:pPr>
        <w:widowControl/>
        <w:tabs>
          <w:tab w:val="left" w:pos="360"/>
        </w:tabs>
        <w:rPr>
          <w:rFonts w:ascii="Times New Roman" w:hAnsi="Times New Roman"/>
        </w:rPr>
      </w:pPr>
    </w:p>
    <w:p w:rsidR="005F22BA" w:rsidRPr="00956214" w:rsidRDefault="005F22BA" w:rsidP="005677D2">
      <w:pPr>
        <w:widowControl/>
        <w:ind w:firstLine="720"/>
        <w:rPr>
          <w:rFonts w:ascii="Times New Roman" w:hAnsi="Times New Roman"/>
        </w:rPr>
      </w:pPr>
      <w:r w:rsidRPr="00956214">
        <w:rPr>
          <w:rFonts w:ascii="Times New Roman" w:hAnsi="Times New Roman"/>
        </w:rPr>
        <w:t xml:space="preserve">The </w:t>
      </w:r>
      <w:r w:rsidR="00B52C5E" w:rsidRPr="00956214">
        <w:rPr>
          <w:rFonts w:ascii="Times New Roman" w:hAnsi="Times New Roman"/>
        </w:rPr>
        <w:t>Board of Governors of the Federal Reserve System, under delegated authority from the Office of Management and Budget (OMB)</w:t>
      </w:r>
      <w:r w:rsidR="00687599" w:rsidRPr="00956214">
        <w:rPr>
          <w:rFonts w:ascii="Times New Roman" w:hAnsi="Times New Roman"/>
        </w:rPr>
        <w:t xml:space="preserve">, </w:t>
      </w:r>
      <w:r w:rsidRPr="00956214">
        <w:rPr>
          <w:rFonts w:ascii="Times New Roman" w:hAnsi="Times New Roman"/>
        </w:rPr>
        <w:t xml:space="preserve">proposes to extend for three years, </w:t>
      </w:r>
      <w:r w:rsidR="005A0312" w:rsidRPr="00956214">
        <w:rPr>
          <w:rFonts w:ascii="Times New Roman" w:hAnsi="Times New Roman"/>
        </w:rPr>
        <w:t>with</w:t>
      </w:r>
      <w:r w:rsidR="00F40335" w:rsidRPr="00956214">
        <w:rPr>
          <w:rFonts w:ascii="Times New Roman" w:hAnsi="Times New Roman"/>
        </w:rPr>
        <w:t xml:space="preserve"> </w:t>
      </w:r>
      <w:r w:rsidR="000C39AE" w:rsidRPr="00956214">
        <w:rPr>
          <w:rFonts w:ascii="Times New Roman" w:hAnsi="Times New Roman"/>
        </w:rPr>
        <w:t>revision</w:t>
      </w:r>
      <w:r w:rsidR="009543DE" w:rsidRPr="00956214">
        <w:rPr>
          <w:rFonts w:ascii="Times New Roman" w:hAnsi="Times New Roman"/>
        </w:rPr>
        <w:t xml:space="preserve">, </w:t>
      </w:r>
      <w:r w:rsidRPr="00956214">
        <w:rPr>
          <w:rFonts w:ascii="Times New Roman" w:hAnsi="Times New Roman"/>
        </w:rPr>
        <w:t>the Quarterly Report of Assets and Liabilities of Large Foreign Offices of U.S. Banks (FR 2502q).  U.S. commercial banks</w:t>
      </w:r>
      <w:r w:rsidR="009949AE" w:rsidRPr="00956214">
        <w:rPr>
          <w:rFonts w:ascii="Times New Roman" w:hAnsi="Times New Roman"/>
        </w:rPr>
        <w:t>, bank holding companies,</w:t>
      </w:r>
      <w:r w:rsidRPr="00956214">
        <w:rPr>
          <w:rFonts w:ascii="Times New Roman" w:hAnsi="Times New Roman"/>
        </w:rPr>
        <w:t xml:space="preserve"> </w:t>
      </w:r>
      <w:r w:rsidR="003507A6" w:rsidRPr="00956214">
        <w:rPr>
          <w:rFonts w:ascii="Times New Roman" w:hAnsi="Times New Roman"/>
        </w:rPr>
        <w:t xml:space="preserve">including </w:t>
      </w:r>
      <w:r w:rsidR="00E47E2D" w:rsidRPr="00956214">
        <w:rPr>
          <w:rFonts w:ascii="Times New Roman" w:hAnsi="Times New Roman"/>
        </w:rPr>
        <w:t xml:space="preserve">financial holding companies, </w:t>
      </w:r>
      <w:r w:rsidRPr="00956214">
        <w:rPr>
          <w:rFonts w:ascii="Times New Roman" w:hAnsi="Times New Roman"/>
        </w:rPr>
        <w:t xml:space="preserve">and </w:t>
      </w:r>
      <w:r w:rsidR="00CE32CC" w:rsidRPr="00956214">
        <w:rPr>
          <w:rFonts w:ascii="Times New Roman" w:hAnsi="Times New Roman"/>
        </w:rPr>
        <w:t xml:space="preserve">banking </w:t>
      </w:r>
      <w:r w:rsidRPr="00956214">
        <w:rPr>
          <w:rFonts w:ascii="Times New Roman" w:hAnsi="Times New Roman"/>
        </w:rPr>
        <w:t>Ed</w:t>
      </w:r>
      <w:r w:rsidR="00603796" w:rsidRPr="00956214">
        <w:rPr>
          <w:rFonts w:ascii="Times New Roman" w:hAnsi="Times New Roman"/>
        </w:rPr>
        <w:t>ge and agreement corporations (</w:t>
      </w:r>
      <w:r w:rsidRPr="00956214">
        <w:rPr>
          <w:rFonts w:ascii="Times New Roman" w:hAnsi="Times New Roman"/>
        </w:rPr>
        <w:t>U.S. banks) are required to file this report</w:t>
      </w:r>
      <w:r w:rsidR="00603796" w:rsidRPr="00956214">
        <w:rPr>
          <w:rFonts w:ascii="Times New Roman" w:hAnsi="Times New Roman"/>
        </w:rPr>
        <w:t>ing</w:t>
      </w:r>
      <w:r w:rsidRPr="00956214">
        <w:rPr>
          <w:rFonts w:ascii="Times New Roman" w:hAnsi="Times New Roman"/>
        </w:rPr>
        <w:t xml:space="preserve"> for</w:t>
      </w:r>
      <w:r w:rsidR="00603796" w:rsidRPr="00956214">
        <w:rPr>
          <w:rFonts w:ascii="Times New Roman" w:hAnsi="Times New Roman"/>
        </w:rPr>
        <w:t>m</w:t>
      </w:r>
      <w:r w:rsidRPr="00956214">
        <w:rPr>
          <w:rFonts w:ascii="Times New Roman" w:hAnsi="Times New Roman"/>
        </w:rPr>
        <w:t xml:space="preserve"> </w:t>
      </w:r>
      <w:r w:rsidR="0046456C" w:rsidRPr="00956214">
        <w:rPr>
          <w:rFonts w:ascii="Times New Roman" w:hAnsi="Times New Roman"/>
        </w:rPr>
        <w:t xml:space="preserve">for </w:t>
      </w:r>
      <w:r w:rsidRPr="00956214">
        <w:rPr>
          <w:rFonts w:ascii="Times New Roman" w:hAnsi="Times New Roman"/>
        </w:rPr>
        <w:t xml:space="preserve">their major foreign branches (currently </w:t>
      </w:r>
      <w:r w:rsidR="005848F8" w:rsidRPr="00956214">
        <w:rPr>
          <w:rFonts w:ascii="Times New Roman" w:hAnsi="Times New Roman"/>
        </w:rPr>
        <w:t xml:space="preserve">50 </w:t>
      </w:r>
      <w:r w:rsidRPr="00956214">
        <w:rPr>
          <w:rFonts w:ascii="Times New Roman" w:hAnsi="Times New Roman"/>
        </w:rPr>
        <w:t xml:space="preserve">institutions) and large banking subsidiaries (currently </w:t>
      </w:r>
      <w:r w:rsidR="00427E42" w:rsidRPr="00956214">
        <w:rPr>
          <w:rFonts w:ascii="Times New Roman" w:hAnsi="Times New Roman"/>
        </w:rPr>
        <w:t xml:space="preserve">5 </w:t>
      </w:r>
      <w:r w:rsidRPr="00956214">
        <w:rPr>
          <w:rFonts w:ascii="Times New Roman" w:hAnsi="Times New Roman"/>
        </w:rPr>
        <w:t xml:space="preserve">institutions).  </w:t>
      </w:r>
    </w:p>
    <w:p w:rsidR="005F22BA" w:rsidRPr="00956214" w:rsidRDefault="005F22BA">
      <w:pPr>
        <w:widowControl/>
        <w:tabs>
          <w:tab w:val="left" w:pos="360"/>
        </w:tabs>
        <w:rPr>
          <w:rFonts w:ascii="Times New Roman" w:hAnsi="Times New Roman"/>
        </w:rPr>
      </w:pPr>
    </w:p>
    <w:p w:rsidR="00F40335" w:rsidRPr="00956214" w:rsidRDefault="003F626C">
      <w:pPr>
        <w:tabs>
          <w:tab w:val="left" w:pos="559"/>
        </w:tabs>
        <w:rPr>
          <w:rFonts w:ascii="Times New Roman" w:hAnsi="Times New Roman"/>
        </w:rPr>
      </w:pPr>
      <w:r w:rsidRPr="00956214">
        <w:rPr>
          <w:rFonts w:ascii="Times New Roman" w:hAnsi="Times New Roman"/>
        </w:rPr>
        <w:tab/>
      </w:r>
      <w:r w:rsidR="005F22BA" w:rsidRPr="00956214">
        <w:rPr>
          <w:rFonts w:ascii="Times New Roman" w:hAnsi="Times New Roman"/>
        </w:rPr>
        <w:t>The FR 2502q collects</w:t>
      </w:r>
      <w:r w:rsidR="00A15870" w:rsidRPr="00956214">
        <w:rPr>
          <w:rFonts w:ascii="Times New Roman" w:hAnsi="Times New Roman"/>
        </w:rPr>
        <w:t>,</w:t>
      </w:r>
      <w:r w:rsidR="005F22BA" w:rsidRPr="00956214">
        <w:rPr>
          <w:rFonts w:ascii="Times New Roman" w:hAnsi="Times New Roman"/>
        </w:rPr>
        <w:t xml:space="preserve"> </w:t>
      </w:r>
      <w:r w:rsidR="003E085A" w:rsidRPr="00956214">
        <w:rPr>
          <w:rFonts w:ascii="Times New Roman" w:hAnsi="Times New Roman"/>
        </w:rPr>
        <w:t xml:space="preserve">for each reporting office, claims on and liabilities to </w:t>
      </w:r>
      <w:r w:rsidR="005F22BA" w:rsidRPr="00956214">
        <w:rPr>
          <w:rFonts w:ascii="Times New Roman" w:hAnsi="Times New Roman"/>
        </w:rPr>
        <w:t>individual countries</w:t>
      </w:r>
      <w:r w:rsidR="00A33325" w:rsidRPr="00956214">
        <w:rPr>
          <w:rFonts w:ascii="Times New Roman" w:hAnsi="Times New Roman"/>
        </w:rPr>
        <w:t xml:space="preserve"> as of each quarter-end</w:t>
      </w:r>
      <w:r w:rsidR="005F22BA" w:rsidRPr="00956214">
        <w:rPr>
          <w:rFonts w:ascii="Times New Roman" w:hAnsi="Times New Roman"/>
        </w:rPr>
        <w:t>.</w:t>
      </w:r>
      <w:r w:rsidR="00BC0FEE" w:rsidRPr="00956214">
        <w:rPr>
          <w:rFonts w:ascii="Times New Roman" w:hAnsi="Times New Roman"/>
        </w:rPr>
        <w:t xml:space="preserve">  </w:t>
      </w:r>
      <w:r w:rsidRPr="00956214">
        <w:rPr>
          <w:rFonts w:ascii="Times New Roman" w:hAnsi="Times New Roman"/>
        </w:rPr>
        <w:t>The d</w:t>
      </w:r>
      <w:r w:rsidR="009A21E5" w:rsidRPr="00956214">
        <w:rPr>
          <w:rFonts w:ascii="Times New Roman" w:hAnsi="Times New Roman"/>
        </w:rPr>
        <w:t xml:space="preserve">ata </w:t>
      </w:r>
      <w:r w:rsidR="00294266" w:rsidRPr="00956214">
        <w:rPr>
          <w:rFonts w:ascii="Times New Roman" w:hAnsi="Times New Roman"/>
        </w:rPr>
        <w:t>are used to construct</w:t>
      </w:r>
      <w:r w:rsidR="009A21E5" w:rsidRPr="00956214">
        <w:rPr>
          <w:rFonts w:ascii="Times New Roman" w:hAnsi="Times New Roman"/>
        </w:rPr>
        <w:t xml:space="preserve"> a piece of the flow of funds data that are compiled by </w:t>
      </w:r>
      <w:r w:rsidR="00FC5523" w:rsidRPr="00956214">
        <w:rPr>
          <w:rFonts w:ascii="Times New Roman" w:hAnsi="Times New Roman"/>
        </w:rPr>
        <w:t xml:space="preserve">the </w:t>
      </w:r>
      <w:r w:rsidR="00704028" w:rsidRPr="00956214">
        <w:rPr>
          <w:rFonts w:ascii="Times New Roman" w:hAnsi="Times New Roman"/>
        </w:rPr>
        <w:t>Federal Reserve</w:t>
      </w:r>
      <w:r w:rsidR="009A21E5" w:rsidRPr="00956214">
        <w:rPr>
          <w:rFonts w:ascii="Times New Roman" w:hAnsi="Times New Roman"/>
        </w:rPr>
        <w:t>.</w:t>
      </w:r>
    </w:p>
    <w:p w:rsidR="00F40335" w:rsidRPr="00956214" w:rsidRDefault="00F40335">
      <w:pPr>
        <w:tabs>
          <w:tab w:val="left" w:pos="559"/>
        </w:tabs>
        <w:rPr>
          <w:rFonts w:ascii="Times New Roman" w:hAnsi="Times New Roman"/>
        </w:rPr>
      </w:pPr>
    </w:p>
    <w:p w:rsidR="00B7450B" w:rsidRPr="00956214" w:rsidRDefault="00F40335">
      <w:pPr>
        <w:tabs>
          <w:tab w:val="left" w:pos="559"/>
        </w:tabs>
        <w:rPr>
          <w:rFonts w:ascii="Times New Roman" w:hAnsi="Times New Roman"/>
          <w:color w:val="000000"/>
        </w:rPr>
      </w:pPr>
      <w:r w:rsidRPr="00956214">
        <w:rPr>
          <w:rFonts w:ascii="Times New Roman" w:hAnsi="Times New Roman"/>
        </w:rPr>
        <w:tab/>
      </w:r>
      <w:r w:rsidR="00FC5523" w:rsidRPr="00956214">
        <w:rPr>
          <w:rFonts w:ascii="Times New Roman" w:hAnsi="Times New Roman"/>
        </w:rPr>
        <w:t>The Federal Reserve</w:t>
      </w:r>
      <w:r w:rsidRPr="00956214">
        <w:rPr>
          <w:rFonts w:ascii="Times New Roman" w:hAnsi="Times New Roman"/>
          <w:color w:val="000000"/>
        </w:rPr>
        <w:t xml:space="preserve"> proposes the following revisions to the FR 2502q reporting form:  (1) update </w:t>
      </w:r>
      <w:r w:rsidRPr="00956214">
        <w:rPr>
          <w:rFonts w:ascii="Times New Roman" w:hAnsi="Times New Roman"/>
        </w:rPr>
        <w:t>the</w:t>
      </w:r>
      <w:r w:rsidRPr="00956214">
        <w:rPr>
          <w:rFonts w:ascii="Times New Roman" w:hAnsi="Times New Roman"/>
          <w:color w:val="000000"/>
        </w:rPr>
        <w:t xml:space="preserve"> country list</w:t>
      </w:r>
      <w:r w:rsidR="00C8688E" w:rsidRPr="00956214">
        <w:rPr>
          <w:rFonts w:ascii="Times New Roman" w:hAnsi="Times New Roman"/>
          <w:color w:val="000000"/>
        </w:rPr>
        <w:t xml:space="preserve"> to remove</w:t>
      </w:r>
      <w:r w:rsidR="008F42B9" w:rsidRPr="00956214">
        <w:rPr>
          <w:rFonts w:ascii="Times New Roman" w:hAnsi="Times New Roman"/>
          <w:color w:val="000000"/>
        </w:rPr>
        <w:t xml:space="preserve"> a dissolved country </w:t>
      </w:r>
      <w:r w:rsidR="00C8688E" w:rsidRPr="00956214">
        <w:rPr>
          <w:rFonts w:ascii="Times New Roman" w:hAnsi="Times New Roman"/>
          <w:color w:val="000000"/>
        </w:rPr>
        <w:t xml:space="preserve">and </w:t>
      </w:r>
      <w:r w:rsidRPr="00956214">
        <w:rPr>
          <w:rFonts w:ascii="Times New Roman" w:hAnsi="Times New Roman"/>
          <w:color w:val="000000"/>
        </w:rPr>
        <w:t xml:space="preserve">(2) </w:t>
      </w:r>
      <w:r w:rsidR="00C8688E" w:rsidRPr="00956214">
        <w:rPr>
          <w:rFonts w:ascii="Times New Roman" w:hAnsi="Times New Roman"/>
          <w:color w:val="000000"/>
        </w:rPr>
        <w:t>increase the reporting threshold for foreign branches from $500 million to $2 billion</w:t>
      </w:r>
      <w:r w:rsidRPr="00956214">
        <w:rPr>
          <w:rFonts w:ascii="Times New Roman" w:hAnsi="Times New Roman"/>
          <w:color w:val="000000"/>
        </w:rPr>
        <w:t xml:space="preserve">.  In addition, </w:t>
      </w:r>
      <w:r w:rsidR="00FC5523" w:rsidRPr="00956214">
        <w:rPr>
          <w:rFonts w:ascii="Times New Roman" w:hAnsi="Times New Roman"/>
          <w:color w:val="000000"/>
        </w:rPr>
        <w:t>the Federal Reserve</w:t>
      </w:r>
      <w:r w:rsidRPr="00956214">
        <w:rPr>
          <w:rFonts w:ascii="Times New Roman" w:hAnsi="Times New Roman"/>
          <w:color w:val="000000"/>
        </w:rPr>
        <w:t xml:space="preserve"> proposes the following revisions to the FR 2502q instructions</w:t>
      </w:r>
      <w:r w:rsidRPr="00956214">
        <w:rPr>
          <w:rFonts w:ascii="Times New Roman" w:hAnsi="Times New Roman"/>
        </w:rPr>
        <w:t xml:space="preserve">: (1) </w:t>
      </w:r>
      <w:r w:rsidRPr="00956214">
        <w:rPr>
          <w:rFonts w:ascii="Times New Roman" w:hAnsi="Times New Roman"/>
          <w:color w:val="000000"/>
        </w:rPr>
        <w:t>clarify that entities located outside of the United Kingdom and the Caribbean are not required to</w:t>
      </w:r>
      <w:r w:rsidR="005848F8" w:rsidRPr="00956214">
        <w:rPr>
          <w:rFonts w:ascii="Times New Roman" w:hAnsi="Times New Roman"/>
          <w:color w:val="000000"/>
        </w:rPr>
        <w:t xml:space="preserve"> file the</w:t>
      </w:r>
      <w:r w:rsidRPr="00956214">
        <w:rPr>
          <w:rFonts w:ascii="Times New Roman" w:hAnsi="Times New Roman"/>
          <w:color w:val="000000"/>
        </w:rPr>
        <w:t xml:space="preserve"> report and (2) clarify that securities purchased and sold under resale and repurchase agreements can be netted if they meet the requirements outlined in </w:t>
      </w:r>
      <w:r w:rsidRPr="00956214">
        <w:rPr>
          <w:rFonts w:ascii="Times New Roman" w:hAnsi="Times New Roman"/>
        </w:rPr>
        <w:t xml:space="preserve">FASB Interpretation No. 41, “Offsetting of Amounts Related to Certain Repurchase and Reverse Repurchase Agreements (FIN 41).  </w:t>
      </w:r>
      <w:r w:rsidR="0007347A" w:rsidRPr="00956214">
        <w:rPr>
          <w:rFonts w:ascii="Times New Roman" w:hAnsi="Times New Roman"/>
        </w:rPr>
        <w:t>Finally</w:t>
      </w:r>
      <w:r w:rsidRPr="00956214">
        <w:rPr>
          <w:rFonts w:ascii="Times New Roman" w:hAnsi="Times New Roman"/>
        </w:rPr>
        <w:t xml:space="preserve">, </w:t>
      </w:r>
      <w:r w:rsidR="00FC5523" w:rsidRPr="00956214">
        <w:rPr>
          <w:rFonts w:ascii="Times New Roman" w:hAnsi="Times New Roman"/>
        </w:rPr>
        <w:t>the Federal Reserve</w:t>
      </w:r>
      <w:r w:rsidRPr="00956214">
        <w:rPr>
          <w:rFonts w:ascii="Times New Roman" w:hAnsi="Times New Roman"/>
        </w:rPr>
        <w:t xml:space="preserve"> proposes to make minor changes to the FR 2502q instructions to enhance clarity.  </w:t>
      </w:r>
      <w:r w:rsidR="00120EFC" w:rsidRPr="00956214">
        <w:rPr>
          <w:rFonts w:ascii="Times New Roman" w:hAnsi="Times New Roman"/>
        </w:rPr>
        <w:t xml:space="preserve">The proposed revisions to the </w:t>
      </w:r>
      <w:r w:rsidR="00120EFC" w:rsidRPr="00956214">
        <w:rPr>
          <w:rFonts w:ascii="Times New Roman" w:hAnsi="Times New Roman"/>
          <w:bCs/>
        </w:rPr>
        <w:t>FR 2502q</w:t>
      </w:r>
      <w:r w:rsidR="00120EFC" w:rsidRPr="00956214">
        <w:rPr>
          <w:rFonts w:ascii="Times New Roman" w:hAnsi="Times New Roman"/>
        </w:rPr>
        <w:t xml:space="preserve"> would decrease the total estimated annual reporting burden from</w:t>
      </w:r>
      <w:r w:rsidR="006C0465" w:rsidRPr="00956214">
        <w:rPr>
          <w:rFonts w:ascii="Times New Roman" w:hAnsi="Times New Roman"/>
        </w:rPr>
        <w:t xml:space="preserve"> 770 hours</w:t>
      </w:r>
      <w:r w:rsidR="00120EFC" w:rsidRPr="00956214">
        <w:rPr>
          <w:rFonts w:ascii="Times New Roman" w:hAnsi="Times New Roman"/>
        </w:rPr>
        <w:t xml:space="preserve"> to </w:t>
      </w:r>
      <w:r w:rsidR="006C0465" w:rsidRPr="00956214">
        <w:rPr>
          <w:rFonts w:ascii="Times New Roman" w:hAnsi="Times New Roman"/>
        </w:rPr>
        <w:t>574</w:t>
      </w:r>
      <w:r w:rsidR="00120EFC" w:rsidRPr="00956214">
        <w:rPr>
          <w:rFonts w:ascii="Times New Roman" w:hAnsi="Times New Roman"/>
        </w:rPr>
        <w:t xml:space="preserve"> hours, a reduction of </w:t>
      </w:r>
      <w:r w:rsidR="006C0465" w:rsidRPr="00956214">
        <w:rPr>
          <w:rFonts w:ascii="Times New Roman" w:hAnsi="Times New Roman"/>
        </w:rPr>
        <w:t>196</w:t>
      </w:r>
      <w:r w:rsidR="00120EFC" w:rsidRPr="00956214">
        <w:rPr>
          <w:rFonts w:ascii="Times New Roman" w:hAnsi="Times New Roman"/>
        </w:rPr>
        <w:t xml:space="preserve"> hours</w:t>
      </w:r>
      <w:r w:rsidR="004C2976" w:rsidRPr="00956214">
        <w:rPr>
          <w:rFonts w:ascii="Times New Roman" w:hAnsi="Times New Roman"/>
        </w:rPr>
        <w:t>.</w:t>
      </w:r>
    </w:p>
    <w:p w:rsidR="00F6564C" w:rsidRPr="00956214" w:rsidRDefault="00F6564C">
      <w:pPr>
        <w:widowControl/>
        <w:tabs>
          <w:tab w:val="left" w:pos="360"/>
        </w:tabs>
        <w:rPr>
          <w:rFonts w:ascii="Times New Roman" w:hAnsi="Times New Roman"/>
          <w:b/>
          <w:color w:val="000000"/>
        </w:rPr>
      </w:pPr>
    </w:p>
    <w:p w:rsidR="005F22BA" w:rsidRPr="00956214" w:rsidRDefault="005F22BA">
      <w:pPr>
        <w:widowControl/>
        <w:tabs>
          <w:tab w:val="left" w:pos="360"/>
        </w:tabs>
        <w:rPr>
          <w:rFonts w:ascii="Times New Roman" w:hAnsi="Times New Roman"/>
          <w:color w:val="000000"/>
        </w:rPr>
      </w:pPr>
      <w:r w:rsidRPr="00956214">
        <w:rPr>
          <w:rFonts w:ascii="Times New Roman" w:hAnsi="Times New Roman"/>
          <w:b/>
          <w:color w:val="000000"/>
        </w:rPr>
        <w:t>Background</w:t>
      </w:r>
    </w:p>
    <w:p w:rsidR="005F22BA" w:rsidRPr="00956214" w:rsidRDefault="005F22BA">
      <w:pPr>
        <w:widowControl/>
        <w:tabs>
          <w:tab w:val="left" w:pos="360"/>
        </w:tabs>
        <w:rPr>
          <w:rFonts w:ascii="Times New Roman" w:hAnsi="Times New Roman"/>
          <w:color w:val="000000"/>
        </w:rPr>
      </w:pPr>
    </w:p>
    <w:p w:rsidR="005F22BA" w:rsidRPr="00956214" w:rsidRDefault="005F22BA" w:rsidP="00120EFC">
      <w:pPr>
        <w:widowControl/>
        <w:ind w:firstLine="720"/>
        <w:rPr>
          <w:rFonts w:ascii="Times New Roman" w:hAnsi="Times New Roman"/>
          <w:color w:val="000000"/>
        </w:rPr>
      </w:pPr>
      <w:r w:rsidRPr="00956214">
        <w:rPr>
          <w:rFonts w:ascii="Times New Roman" w:hAnsi="Times New Roman"/>
          <w:color w:val="000000"/>
        </w:rPr>
        <w:t xml:space="preserve">The </w:t>
      </w:r>
      <w:r w:rsidR="00603796" w:rsidRPr="00956214">
        <w:rPr>
          <w:rFonts w:ascii="Times New Roman" w:hAnsi="Times New Roman"/>
          <w:color w:val="000000"/>
        </w:rPr>
        <w:t xml:space="preserve">Monthly Report on Foreign Branch Assets and Liabilities (FR 2502; OMB No. 7100-0078) </w:t>
      </w:r>
      <w:r w:rsidRPr="00956214">
        <w:rPr>
          <w:rFonts w:ascii="Times New Roman" w:hAnsi="Times New Roman"/>
          <w:color w:val="000000"/>
        </w:rPr>
        <w:t>was implemented in 1969 and collected, for the last business day of each month, a breakdown of foreign branch assets and liabilities by category of customer.</w:t>
      </w:r>
      <w:r w:rsidRPr="00956214">
        <w:rPr>
          <w:rStyle w:val="FootnoteReference"/>
          <w:rFonts w:ascii="Times New Roman" w:hAnsi="Times New Roman"/>
          <w:color w:val="000000"/>
          <w:vertAlign w:val="superscript"/>
        </w:rPr>
        <w:footnoteReference w:id="1"/>
      </w:r>
      <w:r w:rsidRPr="00956214">
        <w:rPr>
          <w:rFonts w:ascii="Times New Roman" w:hAnsi="Times New Roman"/>
          <w:color w:val="000000"/>
        </w:rPr>
        <w:t xml:space="preserve">  The data also distinguished between customers in the </w:t>
      </w:r>
      <w:smartTag w:uri="urn:schemas-microsoft-com:office:smarttags" w:element="country-region">
        <w:smartTag w:uri="urn:schemas-microsoft-com:office:smarttags" w:element="place">
          <w:r w:rsidRPr="00956214">
            <w:rPr>
              <w:rFonts w:ascii="Times New Roman" w:hAnsi="Times New Roman"/>
              <w:color w:val="000000"/>
            </w:rPr>
            <w:t>United States</w:t>
          </w:r>
        </w:smartTag>
      </w:smartTag>
      <w:r w:rsidRPr="00956214">
        <w:rPr>
          <w:rFonts w:ascii="Times New Roman" w:hAnsi="Times New Roman"/>
          <w:color w:val="000000"/>
        </w:rPr>
        <w:t xml:space="preserve"> and those in other countries and showed the balance of accounts denominated in U.S. dollars, the balance of those denominated in all other currencies combined, and the total thereof.  The </w:t>
      </w:r>
      <w:r w:rsidR="004012F5" w:rsidRPr="00956214">
        <w:rPr>
          <w:rFonts w:ascii="Times New Roman" w:hAnsi="Times New Roman"/>
          <w:color w:val="000000"/>
        </w:rPr>
        <w:t>Quarterly Report on Foreign Branch Assets and Liabilities (FR 2502s; OMB No. 7100-0079)</w:t>
      </w:r>
      <w:r w:rsidRPr="00956214">
        <w:rPr>
          <w:rFonts w:ascii="Times New Roman" w:hAnsi="Times New Roman"/>
          <w:color w:val="000000"/>
        </w:rPr>
        <w:t xml:space="preserve"> provided a geographic breakdown of assets and liabilities of foreign branches as of the last day of each quarter (March, June, September, and December), similar to the current FR 2502q.  The FR 2502s was implemented in</w:t>
      </w:r>
      <w:r w:rsidRPr="008725E8">
        <w:rPr>
          <w:rFonts w:ascii="Times New Roman" w:hAnsi="Times New Roman"/>
          <w:color w:val="000000"/>
        </w:rPr>
        <w:t xml:space="preserve"> </w:t>
      </w:r>
      <w:r w:rsidRPr="00956214">
        <w:rPr>
          <w:rFonts w:ascii="Times New Roman" w:hAnsi="Times New Roman"/>
          <w:color w:val="000000"/>
        </w:rPr>
        <w:t xml:space="preserve">September 1975, at a time when foreign branches experienced greatly increased flows of funds from the oil-exporting countries and increased borrowing by developing countries.  </w:t>
      </w:r>
    </w:p>
    <w:p w:rsidR="009748FB" w:rsidRPr="00956214" w:rsidRDefault="009748FB" w:rsidP="005677D2">
      <w:pPr>
        <w:widowControl/>
        <w:ind w:firstLine="720"/>
        <w:rPr>
          <w:rFonts w:ascii="Times New Roman" w:hAnsi="Times New Roman"/>
          <w:color w:val="000000"/>
        </w:rPr>
      </w:pPr>
    </w:p>
    <w:p w:rsidR="003F626C" w:rsidRPr="00956214" w:rsidRDefault="005F22BA" w:rsidP="005677D2">
      <w:pPr>
        <w:widowControl/>
        <w:ind w:firstLine="720"/>
        <w:rPr>
          <w:rFonts w:ascii="Times New Roman" w:hAnsi="Times New Roman"/>
          <w:color w:val="000000"/>
        </w:rPr>
      </w:pPr>
      <w:r w:rsidRPr="00956214">
        <w:rPr>
          <w:rFonts w:ascii="Times New Roman" w:hAnsi="Times New Roman"/>
          <w:color w:val="000000"/>
        </w:rPr>
        <w:lastRenderedPageBreak/>
        <w:t xml:space="preserve">By </w:t>
      </w:r>
      <w:r w:rsidR="003B15EA" w:rsidRPr="00956214">
        <w:rPr>
          <w:rFonts w:ascii="Times New Roman" w:hAnsi="Times New Roman"/>
          <w:color w:val="000000"/>
        </w:rPr>
        <w:t>t</w:t>
      </w:r>
      <w:r w:rsidRPr="00956214">
        <w:rPr>
          <w:rFonts w:ascii="Times New Roman" w:hAnsi="Times New Roman"/>
          <w:color w:val="000000"/>
        </w:rPr>
        <w:t xml:space="preserve">he time of the 1993 review of the </w:t>
      </w:r>
      <w:r w:rsidR="00AE6404" w:rsidRPr="00956214">
        <w:rPr>
          <w:rFonts w:ascii="Times New Roman" w:hAnsi="Times New Roman"/>
          <w:color w:val="000000"/>
        </w:rPr>
        <w:t>information collection</w:t>
      </w:r>
      <w:r w:rsidRPr="00956214">
        <w:rPr>
          <w:rFonts w:ascii="Times New Roman" w:hAnsi="Times New Roman"/>
          <w:color w:val="000000"/>
        </w:rPr>
        <w:t>, the country detail from the quarterly report</w:t>
      </w:r>
      <w:r w:rsidR="00AE6404" w:rsidRPr="00956214">
        <w:rPr>
          <w:rFonts w:ascii="Times New Roman" w:hAnsi="Times New Roman"/>
          <w:color w:val="000000"/>
        </w:rPr>
        <w:t>ing form</w:t>
      </w:r>
      <w:r w:rsidRPr="00956214">
        <w:rPr>
          <w:rFonts w:ascii="Times New Roman" w:hAnsi="Times New Roman"/>
          <w:color w:val="000000"/>
        </w:rPr>
        <w:t xml:space="preserve"> was still immensely valuable.  However, the usefulness of much of the detailed balance sheet data from the monthly report</w:t>
      </w:r>
      <w:r w:rsidR="00AE6404" w:rsidRPr="00956214">
        <w:rPr>
          <w:rFonts w:ascii="Times New Roman" w:hAnsi="Times New Roman"/>
          <w:color w:val="000000"/>
        </w:rPr>
        <w:t>ing form</w:t>
      </w:r>
      <w:r w:rsidRPr="00956214">
        <w:rPr>
          <w:rFonts w:ascii="Times New Roman" w:hAnsi="Times New Roman"/>
          <w:color w:val="000000"/>
        </w:rPr>
        <w:t xml:space="preserve"> had diminished.  </w:t>
      </w:r>
      <w:r w:rsidR="004012F5" w:rsidRPr="00956214">
        <w:rPr>
          <w:rFonts w:ascii="Times New Roman" w:hAnsi="Times New Roman"/>
          <w:color w:val="000000"/>
        </w:rPr>
        <w:t xml:space="preserve">In March </w:t>
      </w:r>
      <w:smartTag w:uri="urn:schemas-microsoft-com:office:smarttags" w:element="metricconverter">
        <w:smartTagPr>
          <w:attr w:name="ProductID" w:val="1994, a"/>
        </w:smartTagPr>
        <w:r w:rsidR="004012F5" w:rsidRPr="00956214">
          <w:rPr>
            <w:rFonts w:ascii="Times New Roman" w:hAnsi="Times New Roman"/>
            <w:color w:val="000000"/>
          </w:rPr>
          <w:t>1994, a</w:t>
        </w:r>
      </w:smartTag>
      <w:r w:rsidRPr="00956214">
        <w:rPr>
          <w:rFonts w:ascii="Times New Roman" w:hAnsi="Times New Roman"/>
          <w:color w:val="000000"/>
        </w:rPr>
        <w:t xml:space="preserve"> new quarterly report</w:t>
      </w:r>
      <w:r w:rsidR="00AE6404" w:rsidRPr="00956214">
        <w:rPr>
          <w:rFonts w:ascii="Times New Roman" w:hAnsi="Times New Roman"/>
          <w:color w:val="000000"/>
        </w:rPr>
        <w:t>ing form</w:t>
      </w:r>
      <w:r w:rsidRPr="00956214">
        <w:rPr>
          <w:rFonts w:ascii="Times New Roman" w:hAnsi="Times New Roman"/>
          <w:color w:val="000000"/>
        </w:rPr>
        <w:t>, the current FR 2502q, was formed, merging the necessary information from the</w:t>
      </w:r>
      <w:r w:rsidR="00AE6404" w:rsidRPr="00956214">
        <w:rPr>
          <w:rFonts w:ascii="Times New Roman" w:hAnsi="Times New Roman"/>
          <w:color w:val="000000"/>
        </w:rPr>
        <w:t xml:space="preserve"> FR 2502 and FR 2502s</w:t>
      </w:r>
      <w:r w:rsidRPr="00956214">
        <w:rPr>
          <w:rFonts w:ascii="Times New Roman" w:hAnsi="Times New Roman"/>
          <w:color w:val="000000"/>
        </w:rPr>
        <w:t>.  The new report</w:t>
      </w:r>
      <w:r w:rsidR="00AE6404" w:rsidRPr="00956214">
        <w:rPr>
          <w:rFonts w:ascii="Times New Roman" w:hAnsi="Times New Roman"/>
          <w:color w:val="000000"/>
        </w:rPr>
        <w:t>ing form</w:t>
      </w:r>
      <w:r w:rsidRPr="00956214">
        <w:rPr>
          <w:rFonts w:ascii="Times New Roman" w:hAnsi="Times New Roman"/>
          <w:color w:val="000000"/>
        </w:rPr>
        <w:t xml:space="preserve"> contained all of the country detail that had been reported on the </w:t>
      </w:r>
      <w:r w:rsidR="00AE6404" w:rsidRPr="00956214">
        <w:rPr>
          <w:rFonts w:ascii="Times New Roman" w:hAnsi="Times New Roman"/>
          <w:color w:val="000000"/>
        </w:rPr>
        <w:t>FR 2502s</w:t>
      </w:r>
      <w:r w:rsidRPr="00956214">
        <w:rPr>
          <w:rFonts w:ascii="Times New Roman" w:hAnsi="Times New Roman"/>
          <w:color w:val="000000"/>
        </w:rPr>
        <w:t xml:space="preserve">, plus a handful of </w:t>
      </w:r>
      <w:r w:rsidR="00AE6404" w:rsidRPr="00956214">
        <w:rPr>
          <w:rFonts w:ascii="Times New Roman" w:hAnsi="Times New Roman"/>
          <w:color w:val="000000"/>
        </w:rPr>
        <w:t xml:space="preserve">data </w:t>
      </w:r>
      <w:r w:rsidRPr="00956214">
        <w:rPr>
          <w:rFonts w:ascii="Times New Roman" w:hAnsi="Times New Roman"/>
          <w:color w:val="000000"/>
        </w:rPr>
        <w:t xml:space="preserve">items (some with revision) that had been reported on the </w:t>
      </w:r>
      <w:r w:rsidR="00AE6404" w:rsidRPr="00956214">
        <w:rPr>
          <w:rFonts w:ascii="Times New Roman" w:hAnsi="Times New Roman"/>
          <w:color w:val="000000"/>
        </w:rPr>
        <w:t>FR 2502</w:t>
      </w:r>
      <w:r w:rsidRPr="00956214">
        <w:rPr>
          <w:rFonts w:ascii="Times New Roman" w:hAnsi="Times New Roman"/>
          <w:color w:val="000000"/>
        </w:rPr>
        <w:t xml:space="preserve"> that were still needed for construction of the monetary aggregates and </w:t>
      </w:r>
      <w:r w:rsidR="004012F5" w:rsidRPr="00956214">
        <w:rPr>
          <w:rFonts w:ascii="Times New Roman" w:hAnsi="Times New Roman"/>
          <w:color w:val="000000"/>
        </w:rPr>
        <w:t xml:space="preserve">Bank for International Settlements (BIS) </w:t>
      </w:r>
      <w:r w:rsidRPr="00956214">
        <w:rPr>
          <w:rFonts w:ascii="Times New Roman" w:hAnsi="Times New Roman"/>
          <w:color w:val="000000"/>
        </w:rPr>
        <w:t>statistics.</w:t>
      </w:r>
      <w:r w:rsidRPr="00956214">
        <w:rPr>
          <w:rStyle w:val="FootnoteReference"/>
          <w:rFonts w:ascii="Times New Roman" w:hAnsi="Times New Roman"/>
          <w:color w:val="000000"/>
          <w:vertAlign w:val="superscript"/>
        </w:rPr>
        <w:footnoteReference w:id="2"/>
      </w:r>
      <w:r w:rsidRPr="00956214">
        <w:rPr>
          <w:rFonts w:ascii="Times New Roman" w:hAnsi="Times New Roman"/>
          <w:color w:val="000000"/>
        </w:rPr>
        <w:t xml:space="preserve">  The remaining </w:t>
      </w:r>
      <w:r w:rsidR="00AE6404" w:rsidRPr="00956214">
        <w:rPr>
          <w:rFonts w:ascii="Times New Roman" w:hAnsi="Times New Roman"/>
          <w:color w:val="000000"/>
        </w:rPr>
        <w:t xml:space="preserve">data </w:t>
      </w:r>
      <w:r w:rsidRPr="00956214">
        <w:rPr>
          <w:rFonts w:ascii="Times New Roman" w:hAnsi="Times New Roman"/>
          <w:color w:val="000000"/>
        </w:rPr>
        <w:t xml:space="preserve">items collected monthly on the FR 2502 were dropped.  The scope of the reporting panel was broadened to include not only foreign branches of U.S. banking organizations, but large foreign subsidiaries as well.  </w:t>
      </w:r>
    </w:p>
    <w:p w:rsidR="003F626C" w:rsidRPr="00956214" w:rsidRDefault="003F626C" w:rsidP="005677D2">
      <w:pPr>
        <w:widowControl/>
        <w:ind w:firstLine="720"/>
        <w:rPr>
          <w:rFonts w:ascii="Times New Roman" w:hAnsi="Times New Roman"/>
          <w:color w:val="000000"/>
        </w:rPr>
      </w:pPr>
    </w:p>
    <w:p w:rsidR="005F22BA" w:rsidRPr="00956214" w:rsidRDefault="00EF10CB" w:rsidP="000D07C9">
      <w:pPr>
        <w:widowControl/>
        <w:ind w:firstLine="720"/>
        <w:rPr>
          <w:rFonts w:ascii="Times New Roman" w:hAnsi="Times New Roman"/>
        </w:rPr>
      </w:pPr>
      <w:r w:rsidRPr="00956214">
        <w:rPr>
          <w:rFonts w:ascii="Times New Roman" w:hAnsi="Times New Roman"/>
          <w:color w:val="000000"/>
        </w:rPr>
        <w:t xml:space="preserve">In 2003, the </w:t>
      </w:r>
      <w:r w:rsidR="008E1D8A" w:rsidRPr="00956214">
        <w:rPr>
          <w:rFonts w:ascii="Times New Roman" w:hAnsi="Times New Roman"/>
          <w:color w:val="000000"/>
        </w:rPr>
        <w:t xml:space="preserve">FR 2502q </w:t>
      </w:r>
      <w:r w:rsidRPr="00956214">
        <w:rPr>
          <w:rFonts w:ascii="Times New Roman" w:hAnsi="Times New Roman"/>
          <w:color w:val="000000"/>
        </w:rPr>
        <w:t>was revised to include several memorandum items to break</w:t>
      </w:r>
      <w:r w:rsidR="009748FB" w:rsidRPr="00956214">
        <w:rPr>
          <w:rFonts w:ascii="Times New Roman" w:hAnsi="Times New Roman"/>
          <w:color w:val="000000"/>
        </w:rPr>
        <w:t xml:space="preserve"> </w:t>
      </w:r>
      <w:r w:rsidRPr="00956214">
        <w:rPr>
          <w:rFonts w:ascii="Times New Roman" w:hAnsi="Times New Roman"/>
          <w:color w:val="000000"/>
        </w:rPr>
        <w:t>out claims and liabilities reported under</w:t>
      </w:r>
      <w:r w:rsidR="0046456C" w:rsidRPr="00956214">
        <w:rPr>
          <w:rFonts w:ascii="Times New Roman" w:hAnsi="Times New Roman"/>
          <w:color w:val="000000"/>
        </w:rPr>
        <w:t xml:space="preserve"> the</w:t>
      </w:r>
      <w:r w:rsidRPr="00956214">
        <w:rPr>
          <w:rFonts w:ascii="Times New Roman" w:hAnsi="Times New Roman"/>
          <w:color w:val="000000"/>
        </w:rPr>
        <w:t xml:space="preserve"> unallocated</w:t>
      </w:r>
      <w:r w:rsidR="0046456C" w:rsidRPr="00956214">
        <w:rPr>
          <w:rFonts w:ascii="Times New Roman" w:hAnsi="Times New Roman"/>
          <w:color w:val="000000"/>
        </w:rPr>
        <w:t xml:space="preserve"> accounts </w:t>
      </w:r>
      <w:r w:rsidR="00F72E76" w:rsidRPr="00956214">
        <w:rPr>
          <w:rFonts w:ascii="Times New Roman" w:hAnsi="Times New Roman"/>
          <w:color w:val="000000"/>
        </w:rPr>
        <w:t>item</w:t>
      </w:r>
      <w:r w:rsidRPr="00956214">
        <w:rPr>
          <w:rFonts w:ascii="Times New Roman" w:hAnsi="Times New Roman"/>
          <w:color w:val="000000"/>
        </w:rPr>
        <w:t>.</w:t>
      </w:r>
      <w:r w:rsidR="00814BDE" w:rsidRPr="00956214">
        <w:rPr>
          <w:rFonts w:ascii="Times New Roman" w:hAnsi="Times New Roman"/>
          <w:color w:val="000000"/>
        </w:rPr>
        <w:t xml:space="preserve">  In the past, </w:t>
      </w:r>
      <w:r w:rsidR="00814BDE" w:rsidRPr="00956214">
        <w:rPr>
          <w:rFonts w:ascii="Times New Roman" w:hAnsi="Times New Roman"/>
        </w:rPr>
        <w:t xml:space="preserve">FR 2502q </w:t>
      </w:r>
      <w:r w:rsidR="008E1D8A" w:rsidRPr="00956214">
        <w:rPr>
          <w:rFonts w:ascii="Times New Roman" w:hAnsi="Times New Roman"/>
        </w:rPr>
        <w:t xml:space="preserve">data </w:t>
      </w:r>
      <w:r w:rsidR="00814BDE" w:rsidRPr="00956214">
        <w:rPr>
          <w:rFonts w:ascii="Times New Roman" w:hAnsi="Times New Roman"/>
        </w:rPr>
        <w:t xml:space="preserve">were combined with data from other sources to develop a profile of the total </w:t>
      </w:r>
      <w:r w:rsidR="00B21523" w:rsidRPr="00956214">
        <w:rPr>
          <w:rFonts w:ascii="Times New Roman" w:hAnsi="Times New Roman"/>
        </w:rPr>
        <w:t xml:space="preserve">claims </w:t>
      </w:r>
      <w:r w:rsidR="00814BDE" w:rsidRPr="00956214">
        <w:rPr>
          <w:rFonts w:ascii="Times New Roman" w:hAnsi="Times New Roman"/>
        </w:rPr>
        <w:t xml:space="preserve">of U.S. banks </w:t>
      </w:r>
      <w:r w:rsidR="00B21523" w:rsidRPr="00956214">
        <w:rPr>
          <w:rFonts w:ascii="Times New Roman" w:hAnsi="Times New Roman"/>
        </w:rPr>
        <w:t xml:space="preserve">on residents of </w:t>
      </w:r>
      <w:r w:rsidR="00814BDE" w:rsidRPr="00956214">
        <w:rPr>
          <w:rFonts w:ascii="Times New Roman" w:hAnsi="Times New Roman"/>
        </w:rPr>
        <w:t>individual countries.  However,</w:t>
      </w:r>
      <w:r w:rsidR="00771707" w:rsidRPr="00956214">
        <w:rPr>
          <w:rFonts w:ascii="Times New Roman" w:hAnsi="Times New Roman"/>
        </w:rPr>
        <w:t xml:space="preserve"> the FR 2502q is no longer used in this way,</w:t>
      </w:r>
      <w:r w:rsidR="00814BDE" w:rsidRPr="00956214">
        <w:rPr>
          <w:rFonts w:ascii="Times New Roman" w:hAnsi="Times New Roman"/>
        </w:rPr>
        <w:t xml:space="preserve"> because data from the quarterly </w:t>
      </w:r>
      <w:r w:rsidR="000A0A3C" w:rsidRPr="00956214">
        <w:rPr>
          <w:rFonts w:ascii="Times New Roman" w:hAnsi="Times New Roman"/>
        </w:rPr>
        <w:t>Federal Financial Institutions Examination Council (FFIEC) Country Exposure Report (FFIEC 009; OMB No. 7100-0035)</w:t>
      </w:r>
      <w:r w:rsidR="00814BDE" w:rsidRPr="00956214">
        <w:rPr>
          <w:rFonts w:ascii="Times New Roman" w:hAnsi="Times New Roman"/>
        </w:rPr>
        <w:t>, which directly collects exposure of U.S. banks to individual countries</w:t>
      </w:r>
      <w:r w:rsidR="00D448E6" w:rsidRPr="00956214">
        <w:rPr>
          <w:rFonts w:ascii="Times New Roman" w:hAnsi="Times New Roman"/>
        </w:rPr>
        <w:t>,</w:t>
      </w:r>
      <w:r w:rsidR="00814BDE" w:rsidRPr="00956214">
        <w:rPr>
          <w:rFonts w:ascii="Times New Roman" w:hAnsi="Times New Roman"/>
        </w:rPr>
        <w:t xml:space="preserve"> are now compiled in a much more timely manner</w:t>
      </w:r>
      <w:r w:rsidR="000A0A3C" w:rsidRPr="00956214">
        <w:rPr>
          <w:rFonts w:ascii="Times New Roman" w:hAnsi="Times New Roman"/>
        </w:rPr>
        <w:t xml:space="preserve"> than in the past</w:t>
      </w:r>
      <w:r w:rsidR="00814BDE" w:rsidRPr="00956214">
        <w:rPr>
          <w:rFonts w:ascii="Times New Roman" w:hAnsi="Times New Roman"/>
        </w:rPr>
        <w:t>.</w:t>
      </w:r>
      <w:r w:rsidR="00C8072B" w:rsidRPr="00956214">
        <w:rPr>
          <w:rFonts w:ascii="Times New Roman" w:hAnsi="Times New Roman"/>
        </w:rPr>
        <w:t xml:space="preserve">  </w:t>
      </w:r>
      <w:r w:rsidR="00BC0FEE" w:rsidRPr="00956214">
        <w:rPr>
          <w:rFonts w:ascii="Times New Roman" w:hAnsi="Times New Roman"/>
        </w:rPr>
        <w:t xml:space="preserve">In 2006, several revisions were made to the FR 2502q </w:t>
      </w:r>
      <w:r w:rsidR="008E1D8A" w:rsidRPr="00956214">
        <w:rPr>
          <w:rFonts w:ascii="Times New Roman" w:hAnsi="Times New Roman"/>
        </w:rPr>
        <w:t xml:space="preserve">reporting </w:t>
      </w:r>
      <w:r w:rsidR="00BC0FEE" w:rsidRPr="00956214">
        <w:rPr>
          <w:rFonts w:ascii="Times New Roman" w:hAnsi="Times New Roman"/>
        </w:rPr>
        <w:t xml:space="preserve">form and instructions.  </w:t>
      </w:r>
      <w:r w:rsidR="00C8072B" w:rsidRPr="00956214">
        <w:rPr>
          <w:rFonts w:ascii="Times New Roman" w:hAnsi="Times New Roman"/>
        </w:rPr>
        <w:t xml:space="preserve">As a result of the </w:t>
      </w:r>
      <w:r w:rsidR="006E7C62" w:rsidRPr="00956214">
        <w:rPr>
          <w:rFonts w:ascii="Times New Roman" w:hAnsi="Times New Roman"/>
        </w:rPr>
        <w:t xml:space="preserve">discontinuation of the publication </w:t>
      </w:r>
      <w:r w:rsidR="00C8072B" w:rsidRPr="00956214">
        <w:rPr>
          <w:rFonts w:ascii="Times New Roman" w:hAnsi="Times New Roman"/>
        </w:rPr>
        <w:t xml:space="preserve">of </w:t>
      </w:r>
      <w:r w:rsidR="006E7C62" w:rsidRPr="00956214">
        <w:rPr>
          <w:rFonts w:ascii="Times New Roman" w:hAnsi="Times New Roman"/>
        </w:rPr>
        <w:t xml:space="preserve">the </w:t>
      </w:r>
      <w:r w:rsidR="00BC0FEE" w:rsidRPr="00956214">
        <w:rPr>
          <w:rFonts w:ascii="Times New Roman" w:hAnsi="Times New Roman"/>
        </w:rPr>
        <w:t xml:space="preserve">monetary aggregate </w:t>
      </w:r>
      <w:r w:rsidR="006E7C62" w:rsidRPr="00956214">
        <w:rPr>
          <w:rFonts w:ascii="Times New Roman" w:hAnsi="Times New Roman"/>
        </w:rPr>
        <w:t xml:space="preserve">M3 </w:t>
      </w:r>
      <w:r w:rsidR="00BC0FEE" w:rsidRPr="00956214">
        <w:rPr>
          <w:rFonts w:ascii="Times New Roman" w:hAnsi="Times New Roman"/>
        </w:rPr>
        <w:t xml:space="preserve">in March 2006, Schedule A </w:t>
      </w:r>
      <w:r w:rsidR="00AE6404" w:rsidRPr="00956214">
        <w:rPr>
          <w:rFonts w:ascii="Times New Roman" w:hAnsi="Times New Roman"/>
        </w:rPr>
        <w:t xml:space="preserve">for </w:t>
      </w:r>
      <w:r w:rsidR="00BC0FEE" w:rsidRPr="00956214">
        <w:rPr>
          <w:rFonts w:ascii="Times New Roman" w:hAnsi="Times New Roman"/>
        </w:rPr>
        <w:t>the unallocated data items</w:t>
      </w:r>
      <w:r w:rsidR="00AE6404" w:rsidRPr="00956214">
        <w:rPr>
          <w:rFonts w:ascii="Times New Roman" w:hAnsi="Times New Roman"/>
        </w:rPr>
        <w:t xml:space="preserve"> were revised</w:t>
      </w:r>
      <w:r w:rsidR="00BC0FEE" w:rsidRPr="00956214">
        <w:rPr>
          <w:rFonts w:ascii="Times New Roman" w:hAnsi="Times New Roman"/>
        </w:rPr>
        <w:t>. The panel was also revised to require offices located only in the Caribbean and the United Kingdom to file the FR 2502q</w:t>
      </w:r>
      <w:r w:rsidR="006E7C62" w:rsidRPr="00956214">
        <w:rPr>
          <w:rFonts w:ascii="Times New Roman" w:hAnsi="Times New Roman"/>
        </w:rPr>
        <w:t>, because consolidated reporting of liabilities of foreign offices by country of customer was added to the FFIEC 009</w:t>
      </w:r>
      <w:r w:rsidR="00807379" w:rsidRPr="00956214">
        <w:rPr>
          <w:rFonts w:ascii="Times New Roman" w:hAnsi="Times New Roman"/>
        </w:rPr>
        <w:t>.  In 2009, the FR 2502q reporting form was revised</w:t>
      </w:r>
      <w:r w:rsidR="00807379" w:rsidRPr="00956214">
        <w:rPr>
          <w:rFonts w:ascii="Times New Roman" w:hAnsi="Times New Roman"/>
          <w:color w:val="000000"/>
        </w:rPr>
        <w:t xml:space="preserve"> to conform more closely to the U.S. Department of State’s official country list.  In addition, the country list sub-headers were clarified to indicate that the areas listed may be countries or dependencies.  Minor revisions were also made to the FR 2502q instructions</w:t>
      </w:r>
      <w:r w:rsidR="00807379" w:rsidRPr="00956214">
        <w:rPr>
          <w:rFonts w:ascii="Times New Roman" w:hAnsi="Times New Roman"/>
        </w:rPr>
        <w:t xml:space="preserve"> to indicate that countries or dependencies not listed on the reporting form should be summed in each proposed regional subtotal, rather than current unallocated data items.</w:t>
      </w:r>
    </w:p>
    <w:p w:rsidR="00F4557A" w:rsidRPr="00956214" w:rsidRDefault="00F4557A">
      <w:pPr>
        <w:widowControl/>
        <w:tabs>
          <w:tab w:val="left" w:pos="360"/>
        </w:tabs>
        <w:rPr>
          <w:rFonts w:ascii="Times New Roman" w:hAnsi="Times New Roman"/>
          <w:color w:val="000000"/>
        </w:rPr>
      </w:pPr>
    </w:p>
    <w:p w:rsidR="005F22BA" w:rsidRPr="00956214" w:rsidRDefault="005F22BA">
      <w:pPr>
        <w:widowControl/>
        <w:tabs>
          <w:tab w:val="left" w:pos="360"/>
        </w:tabs>
        <w:rPr>
          <w:rFonts w:ascii="Times New Roman" w:hAnsi="Times New Roman"/>
          <w:i/>
          <w:color w:val="000000"/>
        </w:rPr>
      </w:pPr>
      <w:r w:rsidRPr="00956214">
        <w:rPr>
          <w:rFonts w:ascii="Times New Roman" w:hAnsi="Times New Roman"/>
          <w:b/>
          <w:color w:val="000000"/>
        </w:rPr>
        <w:t>Justification</w:t>
      </w:r>
    </w:p>
    <w:p w:rsidR="005F22BA" w:rsidRPr="00956214" w:rsidRDefault="005F22BA">
      <w:pPr>
        <w:widowControl/>
        <w:tabs>
          <w:tab w:val="left" w:pos="360"/>
        </w:tabs>
        <w:rPr>
          <w:rFonts w:ascii="Times New Roman" w:hAnsi="Times New Roman"/>
          <w:color w:val="000000"/>
        </w:rPr>
      </w:pPr>
    </w:p>
    <w:p w:rsidR="00EC3D7F" w:rsidRPr="00956214" w:rsidRDefault="00BB00E8" w:rsidP="00BB00E8">
      <w:pPr>
        <w:pStyle w:val="BodyTextIndent"/>
        <w:ind w:firstLine="0"/>
        <w:rPr>
          <w:rFonts w:ascii="Times New Roman" w:hAnsi="Times New Roman"/>
        </w:rPr>
      </w:pPr>
      <w:r w:rsidRPr="00956214">
        <w:rPr>
          <w:rFonts w:ascii="Times New Roman" w:hAnsi="Times New Roman"/>
        </w:rPr>
        <w:tab/>
      </w:r>
      <w:r w:rsidRPr="00956214">
        <w:rPr>
          <w:rFonts w:ascii="Times New Roman" w:hAnsi="Times New Roman"/>
        </w:rPr>
        <w:tab/>
      </w:r>
      <w:r w:rsidR="005F22BA" w:rsidRPr="00956214">
        <w:rPr>
          <w:rFonts w:ascii="Times New Roman" w:hAnsi="Times New Roman"/>
        </w:rPr>
        <w:t>The Federal Reserve System, along with other agencies, has an interest in knowing the amounts of the claims and liab</w:t>
      </w:r>
      <w:r w:rsidR="00E4140C" w:rsidRPr="00956214">
        <w:rPr>
          <w:rFonts w:ascii="Times New Roman" w:hAnsi="Times New Roman"/>
        </w:rPr>
        <w:t xml:space="preserve">ilities of U.S.-chartered banks with respect to </w:t>
      </w:r>
      <w:r w:rsidR="00B21523" w:rsidRPr="00956214">
        <w:rPr>
          <w:rFonts w:ascii="Times New Roman" w:hAnsi="Times New Roman"/>
        </w:rPr>
        <w:t xml:space="preserve">residents of </w:t>
      </w:r>
      <w:r w:rsidR="005F22BA" w:rsidRPr="00956214">
        <w:rPr>
          <w:rFonts w:ascii="Times New Roman" w:hAnsi="Times New Roman"/>
        </w:rPr>
        <w:t>individual countries.</w:t>
      </w:r>
      <w:r w:rsidR="00F01A45" w:rsidRPr="00956214">
        <w:rPr>
          <w:rFonts w:ascii="Times New Roman" w:hAnsi="Times New Roman"/>
        </w:rPr>
        <w:t xml:space="preserve"> </w:t>
      </w:r>
      <w:r w:rsidR="005F22BA" w:rsidRPr="00956214">
        <w:rPr>
          <w:rFonts w:ascii="Times New Roman" w:hAnsi="Times New Roman"/>
        </w:rPr>
        <w:t xml:space="preserve">This interest in U.S. banks' </w:t>
      </w:r>
      <w:r w:rsidR="006A01A2" w:rsidRPr="00956214">
        <w:rPr>
          <w:rFonts w:ascii="Times New Roman" w:hAnsi="Times New Roman"/>
        </w:rPr>
        <w:t xml:space="preserve">claims on foreign residents </w:t>
      </w:r>
      <w:r w:rsidR="005F22BA" w:rsidRPr="00956214">
        <w:rPr>
          <w:rFonts w:ascii="Times New Roman" w:hAnsi="Times New Roman"/>
        </w:rPr>
        <w:t xml:space="preserve">has been especially active during those times when developing countries have had severe payment difficulties.  </w:t>
      </w:r>
      <w:r w:rsidR="006A01A2" w:rsidRPr="00956214">
        <w:rPr>
          <w:rFonts w:ascii="Times New Roman" w:hAnsi="Times New Roman"/>
        </w:rPr>
        <w:t xml:space="preserve">Liability data were particularly useful at the time of the U.S. freeze of official Iranian and Libyan assets at U.S. banks, including the foreign branches. Also, information on the funds placed with U.S. banks by the oil exporting countries has been of much interest through the years, both to the Federal Reserve System and to the Congress, which has requested a great deal of data on this subject.  </w:t>
      </w:r>
      <w:r w:rsidR="005F22BA" w:rsidRPr="00956214">
        <w:rPr>
          <w:rFonts w:ascii="Times New Roman" w:hAnsi="Times New Roman"/>
        </w:rPr>
        <w:t xml:space="preserve">The need for information on U.S. banks' </w:t>
      </w:r>
      <w:r w:rsidR="003E085A" w:rsidRPr="00956214">
        <w:rPr>
          <w:rFonts w:ascii="Times New Roman" w:hAnsi="Times New Roman"/>
        </w:rPr>
        <w:t xml:space="preserve">claims on </w:t>
      </w:r>
      <w:r w:rsidR="005F22BA" w:rsidRPr="00956214">
        <w:rPr>
          <w:rFonts w:ascii="Times New Roman" w:hAnsi="Times New Roman"/>
        </w:rPr>
        <w:t xml:space="preserve">and liabilities </w:t>
      </w:r>
      <w:r w:rsidR="003E085A" w:rsidRPr="00956214">
        <w:rPr>
          <w:rFonts w:ascii="Times New Roman" w:hAnsi="Times New Roman"/>
        </w:rPr>
        <w:t xml:space="preserve">to </w:t>
      </w:r>
      <w:r w:rsidR="00952B15" w:rsidRPr="00956214">
        <w:rPr>
          <w:rFonts w:ascii="Times New Roman" w:hAnsi="Times New Roman"/>
        </w:rPr>
        <w:t xml:space="preserve">residents of </w:t>
      </w:r>
      <w:r w:rsidR="005F22BA" w:rsidRPr="00956214">
        <w:rPr>
          <w:rFonts w:ascii="Times New Roman" w:hAnsi="Times New Roman"/>
        </w:rPr>
        <w:t xml:space="preserve">individual countries will continue to be great.  </w:t>
      </w:r>
      <w:r w:rsidR="00952B15" w:rsidRPr="00956214">
        <w:rPr>
          <w:rFonts w:ascii="Times New Roman" w:hAnsi="Times New Roman"/>
        </w:rPr>
        <w:t xml:space="preserve">Data from the FR 2502q can be used to provide information about two aspects of U.S. banks’ positions </w:t>
      </w:r>
      <w:r w:rsidR="00550BCB" w:rsidRPr="00956214">
        <w:rPr>
          <w:rFonts w:ascii="Times New Roman" w:hAnsi="Times New Roman"/>
        </w:rPr>
        <w:t>vis-à-vis</w:t>
      </w:r>
      <w:r w:rsidR="00952B15" w:rsidRPr="00956214">
        <w:rPr>
          <w:rFonts w:ascii="Times New Roman" w:hAnsi="Times New Roman"/>
        </w:rPr>
        <w:t xml:space="preserve"> residents of foreign countries.  </w:t>
      </w:r>
      <w:r w:rsidR="00952B15" w:rsidRPr="00956214">
        <w:rPr>
          <w:rFonts w:ascii="Times New Roman" w:hAnsi="Times New Roman"/>
        </w:rPr>
        <w:lastRenderedPageBreak/>
        <w:t xml:space="preserve">First, </w:t>
      </w:r>
      <w:r w:rsidR="00125E84" w:rsidRPr="00956214">
        <w:rPr>
          <w:rFonts w:ascii="Times New Roman" w:hAnsi="Times New Roman"/>
        </w:rPr>
        <w:t xml:space="preserve">data from the FR 2502q can be combined with data from the Treasury International Capital </w:t>
      </w:r>
      <w:r w:rsidR="0026097F" w:rsidRPr="00956214">
        <w:rPr>
          <w:rFonts w:ascii="Times New Roman" w:hAnsi="Times New Roman"/>
        </w:rPr>
        <w:t xml:space="preserve">(TIC) </w:t>
      </w:r>
      <w:r w:rsidR="00125E84" w:rsidRPr="00956214">
        <w:rPr>
          <w:rFonts w:ascii="Times New Roman" w:hAnsi="Times New Roman"/>
        </w:rPr>
        <w:t>reports to obtain a</w:t>
      </w:r>
      <w:r w:rsidR="000968AC" w:rsidRPr="00956214">
        <w:rPr>
          <w:rFonts w:ascii="Times New Roman" w:hAnsi="Times New Roman"/>
        </w:rPr>
        <w:t>n</w:t>
      </w:r>
      <w:r w:rsidR="00403228" w:rsidRPr="00956214">
        <w:rPr>
          <w:rFonts w:ascii="Times New Roman" w:hAnsi="Times New Roman"/>
        </w:rPr>
        <w:t xml:space="preserve"> </w:t>
      </w:r>
      <w:r w:rsidR="00125E84" w:rsidRPr="00956214">
        <w:rPr>
          <w:rFonts w:ascii="Times New Roman" w:hAnsi="Times New Roman"/>
        </w:rPr>
        <w:t xml:space="preserve">estimate of the </w:t>
      </w:r>
      <w:r w:rsidR="007E0680" w:rsidRPr="00956214">
        <w:rPr>
          <w:rFonts w:ascii="Times New Roman" w:hAnsi="Times New Roman"/>
          <w:i/>
        </w:rPr>
        <w:t>total cross-borde</w:t>
      </w:r>
      <w:r w:rsidR="007E0680" w:rsidRPr="00956214">
        <w:rPr>
          <w:rFonts w:ascii="Times New Roman" w:hAnsi="Times New Roman"/>
        </w:rPr>
        <w:t>r</w:t>
      </w:r>
      <w:r w:rsidR="00CC312C" w:rsidRPr="00956214">
        <w:rPr>
          <w:rFonts w:ascii="Times New Roman" w:hAnsi="Times New Roman"/>
        </w:rPr>
        <w:t xml:space="preserve"> </w:t>
      </w:r>
      <w:r w:rsidR="00125E84" w:rsidRPr="00956214">
        <w:rPr>
          <w:rFonts w:ascii="Times New Roman" w:hAnsi="Times New Roman"/>
        </w:rPr>
        <w:t xml:space="preserve">positions of U.S. banks </w:t>
      </w:r>
      <w:r w:rsidR="00550BCB" w:rsidRPr="00956214">
        <w:rPr>
          <w:rFonts w:ascii="Times New Roman" w:hAnsi="Times New Roman"/>
        </w:rPr>
        <w:t>vis-à-vis</w:t>
      </w:r>
      <w:r w:rsidR="00125E84" w:rsidRPr="00956214">
        <w:rPr>
          <w:rFonts w:ascii="Times New Roman" w:hAnsi="Times New Roman"/>
        </w:rPr>
        <w:t xml:space="preserve"> residents of individual foreign countries.</w:t>
      </w:r>
      <w:r w:rsidR="008725E8" w:rsidRPr="00956214">
        <w:rPr>
          <w:rStyle w:val="FootnoteReference"/>
          <w:rFonts w:ascii="Times New Roman" w:hAnsi="Times New Roman"/>
          <w:vertAlign w:val="superscript"/>
        </w:rPr>
        <w:footnoteReference w:id="3"/>
      </w:r>
      <w:r w:rsidR="00125E84" w:rsidRPr="00956214">
        <w:rPr>
          <w:rFonts w:ascii="Times New Roman" w:hAnsi="Times New Roman"/>
        </w:rPr>
        <w:t xml:space="preserve">  Second, </w:t>
      </w:r>
      <w:r w:rsidR="00EC3D7F" w:rsidRPr="00956214">
        <w:rPr>
          <w:rFonts w:ascii="Times New Roman" w:hAnsi="Times New Roman"/>
        </w:rPr>
        <w:t xml:space="preserve">data from the FR 2502q provides information about the extent to which positions of U.S. banks </w:t>
      </w:r>
      <w:r w:rsidR="00550BCB" w:rsidRPr="00956214">
        <w:rPr>
          <w:rFonts w:ascii="Times New Roman" w:hAnsi="Times New Roman"/>
        </w:rPr>
        <w:t>vis-à-vis</w:t>
      </w:r>
      <w:r w:rsidR="00EC3D7F" w:rsidRPr="00956214">
        <w:rPr>
          <w:rFonts w:ascii="Times New Roman" w:hAnsi="Times New Roman"/>
        </w:rPr>
        <w:t xml:space="preserve"> residents of individual </w:t>
      </w:r>
      <w:r w:rsidR="00403228" w:rsidRPr="00956214">
        <w:rPr>
          <w:rFonts w:ascii="Times New Roman" w:hAnsi="Times New Roman"/>
        </w:rPr>
        <w:t xml:space="preserve">foreign </w:t>
      </w:r>
      <w:r w:rsidR="00EC3D7F" w:rsidRPr="00956214">
        <w:rPr>
          <w:rFonts w:ascii="Times New Roman" w:hAnsi="Times New Roman"/>
        </w:rPr>
        <w:t xml:space="preserve">countries are booked at </w:t>
      </w:r>
      <w:r w:rsidR="00403228" w:rsidRPr="00956214">
        <w:rPr>
          <w:rFonts w:ascii="Times New Roman" w:hAnsi="Times New Roman"/>
        </w:rPr>
        <w:t xml:space="preserve">U.K. or Caribbean </w:t>
      </w:r>
      <w:r w:rsidR="00EC3D7F" w:rsidRPr="00956214">
        <w:rPr>
          <w:rFonts w:ascii="Times New Roman" w:hAnsi="Times New Roman"/>
        </w:rPr>
        <w:t>offices, by the location of the foreign office</w:t>
      </w:r>
      <w:r w:rsidR="00623A2E" w:rsidRPr="00956214">
        <w:rPr>
          <w:rFonts w:ascii="Times New Roman" w:hAnsi="Times New Roman"/>
        </w:rPr>
        <w:t xml:space="preserve"> and by whether it is a branch or a subsidiary</w:t>
      </w:r>
      <w:r w:rsidR="00EC3D7F" w:rsidRPr="00956214">
        <w:rPr>
          <w:rFonts w:ascii="Times New Roman" w:hAnsi="Times New Roman"/>
        </w:rPr>
        <w:t>. Such information helps</w:t>
      </w:r>
      <w:r w:rsidR="00133A99" w:rsidRPr="00956214">
        <w:rPr>
          <w:rFonts w:ascii="Times New Roman" w:hAnsi="Times New Roman"/>
        </w:rPr>
        <w:t xml:space="preserve"> the</w:t>
      </w:r>
      <w:r w:rsidR="00EC3D7F" w:rsidRPr="00956214">
        <w:rPr>
          <w:rFonts w:ascii="Times New Roman" w:hAnsi="Times New Roman"/>
        </w:rPr>
        <w:t xml:space="preserve"> Federal Reserve understand the nature of activities of foreign offices of U.S. banks, particularly the scope of cross-border activity that is conducted by </w:t>
      </w:r>
      <w:r w:rsidR="00D93B2E" w:rsidRPr="00956214">
        <w:rPr>
          <w:rFonts w:ascii="Times New Roman" w:hAnsi="Times New Roman"/>
        </w:rPr>
        <w:t xml:space="preserve">different foreign </w:t>
      </w:r>
      <w:r w:rsidR="00EC3D7F" w:rsidRPr="00956214">
        <w:rPr>
          <w:rFonts w:ascii="Times New Roman" w:hAnsi="Times New Roman"/>
        </w:rPr>
        <w:t>offices</w:t>
      </w:r>
      <w:r w:rsidR="00403228" w:rsidRPr="00956214">
        <w:rPr>
          <w:rFonts w:ascii="Times New Roman" w:hAnsi="Times New Roman"/>
        </w:rPr>
        <w:t xml:space="preserve"> in the United Kingdom and the Caribbean</w:t>
      </w:r>
      <w:r w:rsidR="00D93B2E" w:rsidRPr="00956214">
        <w:rPr>
          <w:rFonts w:ascii="Times New Roman" w:hAnsi="Times New Roman"/>
        </w:rPr>
        <w:t>.</w:t>
      </w:r>
      <w:r w:rsidR="005F22BA" w:rsidRPr="00956214">
        <w:rPr>
          <w:rFonts w:ascii="Times New Roman" w:hAnsi="Times New Roman"/>
        </w:rPr>
        <w:t xml:space="preserve"> </w:t>
      </w:r>
    </w:p>
    <w:p w:rsidR="00EC3D7F" w:rsidRPr="00956214" w:rsidRDefault="00EC3D7F" w:rsidP="00BB00E8">
      <w:pPr>
        <w:pStyle w:val="BodyTextIndent"/>
        <w:ind w:firstLine="0"/>
        <w:rPr>
          <w:rFonts w:ascii="Times New Roman" w:hAnsi="Times New Roman"/>
        </w:rPr>
      </w:pPr>
    </w:p>
    <w:p w:rsidR="00B05595" w:rsidRPr="00956214" w:rsidRDefault="00BF3EDC" w:rsidP="00BF3EDC">
      <w:pPr>
        <w:pStyle w:val="BodyTextIndent"/>
        <w:tabs>
          <w:tab w:val="clear" w:pos="360"/>
        </w:tabs>
        <w:ind w:firstLine="0"/>
        <w:rPr>
          <w:rFonts w:ascii="Times New Roman" w:hAnsi="Times New Roman"/>
        </w:rPr>
      </w:pPr>
      <w:r w:rsidRPr="00956214">
        <w:rPr>
          <w:rFonts w:ascii="Times New Roman" w:hAnsi="Times New Roman"/>
        </w:rPr>
        <w:tab/>
      </w:r>
      <w:r w:rsidR="00125E84" w:rsidRPr="00956214">
        <w:rPr>
          <w:rFonts w:ascii="Times New Roman" w:hAnsi="Times New Roman"/>
        </w:rPr>
        <w:t xml:space="preserve">The usefulness of the FR 2502q as a source of information about </w:t>
      </w:r>
      <w:r w:rsidR="00125E84" w:rsidRPr="00956214">
        <w:rPr>
          <w:rFonts w:ascii="Times New Roman" w:hAnsi="Times New Roman"/>
          <w:i/>
        </w:rPr>
        <w:t>total</w:t>
      </w:r>
      <w:r w:rsidR="00125E84" w:rsidRPr="00956214">
        <w:rPr>
          <w:rFonts w:ascii="Times New Roman" w:hAnsi="Times New Roman"/>
        </w:rPr>
        <w:t xml:space="preserve"> positions of U.S. banks </w:t>
      </w:r>
      <w:r w:rsidR="00550BCB" w:rsidRPr="00956214">
        <w:rPr>
          <w:rFonts w:ascii="Times New Roman" w:hAnsi="Times New Roman"/>
        </w:rPr>
        <w:t>vis-à-vis</w:t>
      </w:r>
      <w:r w:rsidR="00125E84" w:rsidRPr="00956214">
        <w:rPr>
          <w:rFonts w:ascii="Times New Roman" w:hAnsi="Times New Roman"/>
        </w:rPr>
        <w:t xml:space="preserve"> residents of individual foreign countries has diminished in recent years.  </w:t>
      </w:r>
      <w:r w:rsidR="008725E8" w:rsidRPr="00956214">
        <w:rPr>
          <w:rFonts w:ascii="Times New Roman" w:hAnsi="Times New Roman"/>
        </w:rPr>
        <w:t xml:space="preserve">One reason is that </w:t>
      </w:r>
      <w:r w:rsidR="00ED6F36" w:rsidRPr="00956214">
        <w:rPr>
          <w:rFonts w:ascii="Times New Roman" w:hAnsi="Times New Roman"/>
        </w:rPr>
        <w:t xml:space="preserve">the </w:t>
      </w:r>
      <w:r w:rsidR="00BC1CE0" w:rsidRPr="00956214">
        <w:rPr>
          <w:rFonts w:ascii="Times New Roman" w:hAnsi="Times New Roman"/>
        </w:rPr>
        <w:t>FFIEC 009</w:t>
      </w:r>
      <w:r w:rsidR="00ED6F36" w:rsidRPr="00956214">
        <w:rPr>
          <w:rFonts w:ascii="Times New Roman" w:hAnsi="Times New Roman"/>
        </w:rPr>
        <w:t>, which</w:t>
      </w:r>
      <w:r w:rsidR="000A0A3C" w:rsidRPr="00956214">
        <w:rPr>
          <w:rFonts w:ascii="Times New Roman" w:hAnsi="Times New Roman"/>
        </w:rPr>
        <w:t xml:space="preserve"> </w:t>
      </w:r>
      <w:r w:rsidR="00BC1CE0" w:rsidRPr="00956214">
        <w:rPr>
          <w:rFonts w:ascii="Times New Roman" w:hAnsi="Times New Roman"/>
        </w:rPr>
        <w:t xml:space="preserve">collects data </w:t>
      </w:r>
      <w:r w:rsidR="005F22BA" w:rsidRPr="00956214">
        <w:rPr>
          <w:rFonts w:ascii="Times New Roman" w:hAnsi="Times New Roman"/>
        </w:rPr>
        <w:t xml:space="preserve">on the claims of U.S.-chartered banks on </w:t>
      </w:r>
      <w:r w:rsidR="00ED6F36" w:rsidRPr="00956214">
        <w:rPr>
          <w:rFonts w:ascii="Times New Roman" w:hAnsi="Times New Roman"/>
        </w:rPr>
        <w:t xml:space="preserve">residents of </w:t>
      </w:r>
      <w:r w:rsidR="005F22BA" w:rsidRPr="00956214">
        <w:rPr>
          <w:rFonts w:ascii="Times New Roman" w:hAnsi="Times New Roman"/>
        </w:rPr>
        <w:t>foreign countries</w:t>
      </w:r>
      <w:r w:rsidR="00BC1CE0" w:rsidRPr="00956214">
        <w:rPr>
          <w:rFonts w:ascii="Times New Roman" w:hAnsi="Times New Roman"/>
        </w:rPr>
        <w:t>,</w:t>
      </w:r>
      <w:r w:rsidR="005F22BA" w:rsidRPr="00956214">
        <w:rPr>
          <w:rFonts w:ascii="Times New Roman" w:hAnsi="Times New Roman"/>
        </w:rPr>
        <w:t xml:space="preserve"> </w:t>
      </w:r>
      <w:r w:rsidR="00ED6F36" w:rsidRPr="00956214">
        <w:rPr>
          <w:rFonts w:ascii="Times New Roman" w:hAnsi="Times New Roman"/>
        </w:rPr>
        <w:t xml:space="preserve">has become available in a </w:t>
      </w:r>
      <w:proofErr w:type="gramStart"/>
      <w:r w:rsidR="00ED6F36" w:rsidRPr="00956214">
        <w:rPr>
          <w:rFonts w:ascii="Times New Roman" w:hAnsi="Times New Roman"/>
        </w:rPr>
        <w:t>more timely</w:t>
      </w:r>
      <w:proofErr w:type="gramEnd"/>
      <w:r w:rsidR="00ED6F36" w:rsidRPr="00956214">
        <w:rPr>
          <w:rFonts w:ascii="Times New Roman" w:hAnsi="Times New Roman"/>
        </w:rPr>
        <w:t xml:space="preserve"> manner</w:t>
      </w:r>
      <w:r w:rsidR="00015B3B" w:rsidRPr="00956214">
        <w:rPr>
          <w:rFonts w:ascii="Times New Roman" w:hAnsi="Times New Roman"/>
        </w:rPr>
        <w:t xml:space="preserve">.  Final data from the FFIEC 009 are </w:t>
      </w:r>
      <w:r w:rsidR="00E23D9B" w:rsidRPr="00956214">
        <w:rPr>
          <w:rFonts w:ascii="Times New Roman" w:hAnsi="Times New Roman"/>
        </w:rPr>
        <w:t xml:space="preserve">now </w:t>
      </w:r>
      <w:r w:rsidR="00015B3B" w:rsidRPr="00956214">
        <w:rPr>
          <w:rFonts w:ascii="Times New Roman" w:hAnsi="Times New Roman"/>
        </w:rPr>
        <w:t xml:space="preserve">available </w:t>
      </w:r>
      <w:r w:rsidR="008725E8" w:rsidRPr="00956214">
        <w:rPr>
          <w:rFonts w:ascii="Times New Roman" w:hAnsi="Times New Roman"/>
        </w:rPr>
        <w:t xml:space="preserve">with a lag of about </w:t>
      </w:r>
      <w:r w:rsidR="00416219" w:rsidRPr="00956214">
        <w:rPr>
          <w:rFonts w:ascii="Times New Roman" w:hAnsi="Times New Roman"/>
        </w:rPr>
        <w:t xml:space="preserve">twelve </w:t>
      </w:r>
      <w:r w:rsidR="008725E8" w:rsidRPr="00956214">
        <w:rPr>
          <w:rFonts w:ascii="Times New Roman" w:hAnsi="Times New Roman"/>
        </w:rPr>
        <w:t xml:space="preserve">weeks, compared with a two-month lag for the </w:t>
      </w:r>
      <w:r w:rsidR="00015B3B" w:rsidRPr="00956214">
        <w:rPr>
          <w:rFonts w:ascii="Times New Roman" w:hAnsi="Times New Roman"/>
        </w:rPr>
        <w:t xml:space="preserve">final </w:t>
      </w:r>
      <w:r w:rsidR="008725E8" w:rsidRPr="00956214">
        <w:rPr>
          <w:rFonts w:ascii="Times New Roman" w:hAnsi="Times New Roman"/>
        </w:rPr>
        <w:t>data from the</w:t>
      </w:r>
      <w:r w:rsidR="00416219" w:rsidRPr="00956214">
        <w:rPr>
          <w:rFonts w:ascii="Times New Roman" w:hAnsi="Times New Roman"/>
        </w:rPr>
        <w:t xml:space="preserve"> </w:t>
      </w:r>
      <w:r w:rsidR="008725E8" w:rsidRPr="00956214">
        <w:rPr>
          <w:rFonts w:ascii="Times New Roman" w:hAnsi="Times New Roman"/>
        </w:rPr>
        <w:t>FR 2502q</w:t>
      </w:r>
      <w:r w:rsidR="00ED6F36" w:rsidRPr="00956214">
        <w:rPr>
          <w:rFonts w:ascii="Times New Roman" w:hAnsi="Times New Roman"/>
        </w:rPr>
        <w:t xml:space="preserve">.  </w:t>
      </w:r>
      <w:r w:rsidR="008725E8" w:rsidRPr="00956214">
        <w:rPr>
          <w:rFonts w:ascii="Times New Roman" w:hAnsi="Times New Roman"/>
        </w:rPr>
        <w:t>In addition, the FFIEC 009 was recently revised to include more comprehensive data on banks’ liabilities, effective at the end of March 2006.</w:t>
      </w:r>
      <w:r w:rsidR="00B05595" w:rsidRPr="00956214">
        <w:rPr>
          <w:rFonts w:ascii="Times New Roman" w:hAnsi="Times New Roman"/>
        </w:rPr>
        <w:t xml:space="preserve">  </w:t>
      </w:r>
    </w:p>
    <w:p w:rsidR="00B05595" w:rsidRPr="00956214" w:rsidRDefault="00B05595" w:rsidP="008725E8">
      <w:pPr>
        <w:pStyle w:val="Default"/>
      </w:pPr>
    </w:p>
    <w:p w:rsidR="005F22BA" w:rsidRPr="00956214" w:rsidRDefault="00B05595" w:rsidP="00BF3EDC">
      <w:pPr>
        <w:pStyle w:val="Default"/>
        <w:ind w:firstLine="720"/>
      </w:pPr>
      <w:r w:rsidRPr="00956214">
        <w:t>Nevertheless, the FR 2502q continue</w:t>
      </w:r>
      <w:r w:rsidR="00180BAC" w:rsidRPr="00956214">
        <w:t>s</w:t>
      </w:r>
      <w:r w:rsidRPr="00956214">
        <w:t xml:space="preserve"> to provide data about the nature </w:t>
      </w:r>
      <w:r w:rsidR="00B70293" w:rsidRPr="00956214">
        <w:t xml:space="preserve">and scope </w:t>
      </w:r>
      <w:r w:rsidRPr="00956214">
        <w:t xml:space="preserve">of activities in foreign offices by location </w:t>
      </w:r>
      <w:r w:rsidR="00B70293" w:rsidRPr="00956214">
        <w:t xml:space="preserve">and type </w:t>
      </w:r>
      <w:r w:rsidRPr="00956214">
        <w:t xml:space="preserve">of office that </w:t>
      </w:r>
      <w:r w:rsidR="00180BAC" w:rsidRPr="00956214">
        <w:t xml:space="preserve">is </w:t>
      </w:r>
      <w:r w:rsidRPr="00956214">
        <w:t>unavailable from other report</w:t>
      </w:r>
      <w:r w:rsidR="00AE6404" w:rsidRPr="00956214">
        <w:t>ing</w:t>
      </w:r>
      <w:r w:rsidRPr="00956214">
        <w:t xml:space="preserve"> forms.  </w:t>
      </w:r>
      <w:r w:rsidR="005F22BA" w:rsidRPr="00956214">
        <w:t xml:space="preserve">Because the banks' submissions that underlie the </w:t>
      </w:r>
      <w:r w:rsidR="003876AA" w:rsidRPr="00956214">
        <w:t xml:space="preserve">FFIEC 009 </w:t>
      </w:r>
      <w:r w:rsidR="005F22BA" w:rsidRPr="00956214">
        <w:t xml:space="preserve">are consolidated on a worldwide basis, they do not indicate which particular offices are involved in lending to </w:t>
      </w:r>
      <w:r w:rsidRPr="00956214">
        <w:t xml:space="preserve">or borrowing from residents of </w:t>
      </w:r>
      <w:r w:rsidR="005F22BA" w:rsidRPr="00956214">
        <w:t>a given country.  For example, they cannot show the extent to which total claims on a specific country are booked</w:t>
      </w:r>
      <w:r w:rsidR="00B257A2" w:rsidRPr="00956214">
        <w:t>, fo</w:t>
      </w:r>
      <w:r w:rsidR="00970C01" w:rsidRPr="00956214">
        <w:t>r example,</w:t>
      </w:r>
      <w:r w:rsidR="005F22BA" w:rsidRPr="00956214">
        <w:t xml:space="preserve"> at London </w:t>
      </w:r>
      <w:r w:rsidR="00D93B2E" w:rsidRPr="00956214">
        <w:t xml:space="preserve">or </w:t>
      </w:r>
      <w:r w:rsidR="005F22BA" w:rsidRPr="00956214">
        <w:t xml:space="preserve">Caribbean </w:t>
      </w:r>
      <w:r w:rsidR="00D93B2E" w:rsidRPr="00956214">
        <w:t xml:space="preserve">offices, or at subsidiaries or </w:t>
      </w:r>
      <w:r w:rsidR="005F22BA" w:rsidRPr="00956214">
        <w:t xml:space="preserve">branches. </w:t>
      </w:r>
    </w:p>
    <w:p w:rsidR="005F22BA" w:rsidRPr="00956214" w:rsidRDefault="005F22BA">
      <w:pPr>
        <w:widowControl/>
        <w:tabs>
          <w:tab w:val="left" w:pos="360"/>
        </w:tabs>
        <w:rPr>
          <w:rFonts w:ascii="Times New Roman" w:hAnsi="Times New Roman"/>
          <w:color w:val="000000"/>
        </w:rPr>
      </w:pPr>
    </w:p>
    <w:p w:rsidR="005F22BA" w:rsidRPr="00956214" w:rsidRDefault="005F22BA" w:rsidP="005677D2">
      <w:pPr>
        <w:widowControl/>
        <w:ind w:firstLine="720"/>
        <w:rPr>
          <w:rFonts w:ascii="Times New Roman" w:hAnsi="Times New Roman"/>
          <w:color w:val="000000"/>
        </w:rPr>
      </w:pPr>
      <w:r w:rsidRPr="00956214">
        <w:rPr>
          <w:rFonts w:ascii="Times New Roman" w:hAnsi="Times New Roman"/>
          <w:color w:val="000000"/>
        </w:rPr>
        <w:t xml:space="preserve">For many years, the monitoring of international banking developments on a worldwide scale, involving U.S. and non-U.S. banks, has been greatly facilitated by the collection and dissemination activities of the BIS.  Through its member central banks, the BIS collects data on the international operations of banks in the major Western European countries, the United States, Canada, Japan, the major offshore banking centers, and some of the smaller Western European countries.  This information is aggregated and results are published in the BIS quarterly reports.  The BIS uses the FR 2502q data on branches of U.S. banks in the Bahamas and Cayman Islands in preparing its quarterly release. </w:t>
      </w:r>
    </w:p>
    <w:p w:rsidR="005F22BA" w:rsidRPr="00956214" w:rsidRDefault="005F22BA">
      <w:pPr>
        <w:widowControl/>
        <w:tabs>
          <w:tab w:val="left" w:pos="360"/>
        </w:tabs>
        <w:rPr>
          <w:rFonts w:ascii="Times New Roman" w:hAnsi="Times New Roman"/>
          <w:color w:val="000000"/>
        </w:rPr>
      </w:pPr>
    </w:p>
    <w:p w:rsidR="005F22BA" w:rsidRPr="00956214" w:rsidRDefault="005F22BA" w:rsidP="00EA1907">
      <w:pPr>
        <w:widowControl/>
        <w:ind w:firstLine="720"/>
        <w:rPr>
          <w:rFonts w:ascii="Times New Roman" w:hAnsi="Times New Roman"/>
          <w:color w:val="000000"/>
        </w:rPr>
      </w:pPr>
      <w:r w:rsidRPr="00956214">
        <w:rPr>
          <w:rFonts w:ascii="Times New Roman" w:hAnsi="Times New Roman"/>
          <w:color w:val="000000"/>
        </w:rPr>
        <w:t>In addition, the Department of Commerce uses</w:t>
      </w:r>
      <w:r w:rsidR="004C2976" w:rsidRPr="00956214">
        <w:rPr>
          <w:rFonts w:ascii="Times New Roman" w:hAnsi="Times New Roman"/>
          <w:color w:val="000000"/>
        </w:rPr>
        <w:t xml:space="preserve"> </w:t>
      </w:r>
      <w:r w:rsidRPr="00956214">
        <w:rPr>
          <w:rFonts w:ascii="Times New Roman" w:hAnsi="Times New Roman"/>
          <w:color w:val="000000"/>
        </w:rPr>
        <w:t>FR 2502q data on branches of U.S. banks in the Bahamas and the Cayman Islands (together with data from the Supplement to the Report of Assets and Liabilities of U.S. Branches and Agencies of Foreign Banks (FFIEC 002s; OMB No. 7100-0273)) in its estimates of the capital accounts portion of the balance of payments.  Other sources of data that could be used in these estimates are available only with a lag of several months.</w:t>
      </w:r>
      <w:r w:rsidR="00F72E76" w:rsidRPr="00956214">
        <w:rPr>
          <w:rFonts w:ascii="Times New Roman" w:hAnsi="Times New Roman"/>
          <w:color w:val="000000"/>
        </w:rPr>
        <w:t xml:space="preserve">  The Federal Reserve uses </w:t>
      </w:r>
      <w:r w:rsidR="00F13972" w:rsidRPr="00956214">
        <w:rPr>
          <w:rFonts w:ascii="Times New Roman" w:hAnsi="Times New Roman"/>
          <w:color w:val="000000"/>
        </w:rPr>
        <w:t>memorandum item</w:t>
      </w:r>
      <w:r w:rsidR="00F72E76" w:rsidRPr="00956214">
        <w:rPr>
          <w:rFonts w:ascii="Times New Roman" w:hAnsi="Times New Roman"/>
          <w:color w:val="000000"/>
        </w:rPr>
        <w:t xml:space="preserve"> </w:t>
      </w:r>
      <w:r w:rsidR="00E4140C" w:rsidRPr="00956214">
        <w:rPr>
          <w:rFonts w:ascii="Times New Roman" w:hAnsi="Times New Roman"/>
          <w:color w:val="000000"/>
        </w:rPr>
        <w:t xml:space="preserve">1.c., </w:t>
      </w:r>
      <w:r w:rsidR="00E4140C" w:rsidRPr="00956214">
        <w:rPr>
          <w:rFonts w:ascii="Times New Roman" w:hAnsi="Times New Roman"/>
          <w:bCs/>
        </w:rPr>
        <w:t xml:space="preserve">Claims on, and liabilities to, U.S. addressees other than depository institutions, </w:t>
      </w:r>
      <w:r w:rsidR="00F13972" w:rsidRPr="00956214">
        <w:rPr>
          <w:rFonts w:ascii="Times New Roman" w:hAnsi="Times New Roman"/>
          <w:color w:val="000000"/>
        </w:rPr>
        <w:t xml:space="preserve">as input to the flow of funds data.  </w:t>
      </w:r>
    </w:p>
    <w:p w:rsidR="00F94D55" w:rsidRPr="00956214" w:rsidRDefault="00F94D55" w:rsidP="00EA1907">
      <w:pPr>
        <w:widowControl/>
        <w:ind w:firstLine="720"/>
        <w:rPr>
          <w:rFonts w:ascii="Times New Roman" w:hAnsi="Times New Roman"/>
          <w:color w:val="000000"/>
        </w:rPr>
      </w:pPr>
    </w:p>
    <w:p w:rsidR="00D32EE5" w:rsidRDefault="00D32EE5">
      <w:pPr>
        <w:widowControl/>
        <w:autoSpaceDE/>
        <w:autoSpaceDN/>
        <w:adjustRightInd/>
        <w:rPr>
          <w:rFonts w:ascii="Times New Roman" w:hAnsi="Times New Roman"/>
          <w:b/>
          <w:color w:val="000000"/>
        </w:rPr>
      </w:pPr>
      <w:r>
        <w:rPr>
          <w:rFonts w:ascii="Times New Roman" w:hAnsi="Times New Roman"/>
          <w:b/>
          <w:color w:val="000000"/>
        </w:rPr>
        <w:br w:type="page"/>
      </w:r>
    </w:p>
    <w:p w:rsidR="005F22BA" w:rsidRPr="00956214" w:rsidRDefault="005F22BA">
      <w:pPr>
        <w:widowControl/>
        <w:tabs>
          <w:tab w:val="left" w:pos="360"/>
        </w:tabs>
        <w:rPr>
          <w:rFonts w:ascii="Times New Roman" w:hAnsi="Times New Roman"/>
          <w:color w:val="000000"/>
        </w:rPr>
      </w:pPr>
      <w:r w:rsidRPr="00956214">
        <w:rPr>
          <w:rFonts w:ascii="Times New Roman" w:hAnsi="Times New Roman"/>
          <w:b/>
          <w:color w:val="000000"/>
        </w:rPr>
        <w:lastRenderedPageBreak/>
        <w:t>Description of Information Collection</w:t>
      </w:r>
    </w:p>
    <w:p w:rsidR="005F22BA" w:rsidRPr="00956214" w:rsidRDefault="005F22BA">
      <w:pPr>
        <w:widowControl/>
        <w:tabs>
          <w:tab w:val="left" w:pos="360"/>
        </w:tabs>
        <w:rPr>
          <w:rFonts w:ascii="Times New Roman" w:hAnsi="Times New Roman"/>
          <w:color w:val="000000"/>
        </w:rPr>
      </w:pPr>
    </w:p>
    <w:p w:rsidR="005F22BA" w:rsidRPr="00956214" w:rsidRDefault="005F22BA" w:rsidP="005677D2">
      <w:pPr>
        <w:widowControl/>
        <w:ind w:firstLine="720"/>
        <w:rPr>
          <w:rFonts w:ascii="Times New Roman" w:hAnsi="Times New Roman"/>
          <w:color w:val="000000"/>
        </w:rPr>
      </w:pPr>
      <w:r w:rsidRPr="00956214">
        <w:rPr>
          <w:rFonts w:ascii="Times New Roman" w:hAnsi="Times New Roman"/>
          <w:color w:val="000000"/>
        </w:rPr>
        <w:t xml:space="preserve">The FR 2502q collects data quarterly on the geographic distribution of the assets and liabilities of major </w:t>
      </w:r>
      <w:r w:rsidR="0026097F" w:rsidRPr="00956214">
        <w:rPr>
          <w:rFonts w:ascii="Times New Roman" w:hAnsi="Times New Roman"/>
        </w:rPr>
        <w:t xml:space="preserve">U.K. or Caribbean </w:t>
      </w:r>
      <w:r w:rsidRPr="00956214">
        <w:rPr>
          <w:rFonts w:ascii="Times New Roman" w:hAnsi="Times New Roman"/>
          <w:color w:val="000000"/>
        </w:rPr>
        <w:t>branches and subsidiaries of U.S. commercial banks</w:t>
      </w:r>
      <w:r w:rsidR="00830ADB" w:rsidRPr="00956214">
        <w:rPr>
          <w:rFonts w:ascii="Times New Roman" w:hAnsi="Times New Roman"/>
          <w:color w:val="000000"/>
        </w:rPr>
        <w:t>,</w:t>
      </w:r>
      <w:r w:rsidR="00830ADB" w:rsidRPr="00956214">
        <w:rPr>
          <w:rFonts w:ascii="Times New Roman" w:hAnsi="Times New Roman"/>
        </w:rPr>
        <w:t xml:space="preserve"> bank holding companies,</w:t>
      </w:r>
      <w:r w:rsidRPr="00956214">
        <w:rPr>
          <w:rFonts w:ascii="Times New Roman" w:hAnsi="Times New Roman"/>
          <w:color w:val="000000"/>
        </w:rPr>
        <w:t xml:space="preserve"> </w:t>
      </w:r>
      <w:r w:rsidR="003507A6" w:rsidRPr="00956214">
        <w:rPr>
          <w:rFonts w:ascii="Times New Roman" w:hAnsi="Times New Roman"/>
          <w:color w:val="000000"/>
        </w:rPr>
        <w:t xml:space="preserve">including </w:t>
      </w:r>
      <w:r w:rsidR="00E47E2D" w:rsidRPr="00956214">
        <w:rPr>
          <w:rFonts w:ascii="Times New Roman" w:hAnsi="Times New Roman"/>
        </w:rPr>
        <w:t xml:space="preserve">financial holding companies, </w:t>
      </w:r>
      <w:r w:rsidRPr="00956214">
        <w:rPr>
          <w:rFonts w:ascii="Times New Roman" w:hAnsi="Times New Roman"/>
          <w:color w:val="000000"/>
        </w:rPr>
        <w:t xml:space="preserve">and of </w:t>
      </w:r>
      <w:r w:rsidR="00CE32CC" w:rsidRPr="00956214">
        <w:rPr>
          <w:rFonts w:ascii="Times New Roman" w:hAnsi="Times New Roman"/>
          <w:color w:val="000000"/>
        </w:rPr>
        <w:t xml:space="preserve">banking </w:t>
      </w:r>
      <w:r w:rsidRPr="00956214">
        <w:rPr>
          <w:rFonts w:ascii="Times New Roman" w:hAnsi="Times New Roman"/>
          <w:color w:val="000000"/>
        </w:rPr>
        <w:t>Edge and agree</w:t>
      </w:r>
      <w:r w:rsidRPr="00956214">
        <w:rPr>
          <w:rFonts w:ascii="Times New Roman" w:hAnsi="Times New Roman"/>
          <w:color w:val="000000"/>
        </w:rPr>
        <w:softHyphen/>
        <w:t xml:space="preserve">ment corporations.  </w:t>
      </w:r>
    </w:p>
    <w:p w:rsidR="009543DE" w:rsidRPr="00956214" w:rsidRDefault="009543DE" w:rsidP="005677D2">
      <w:pPr>
        <w:pStyle w:val="Heading5"/>
        <w:tabs>
          <w:tab w:val="clear" w:pos="360"/>
        </w:tabs>
        <w:jc w:val="left"/>
        <w:rPr>
          <w:rFonts w:ascii="Times New Roman" w:hAnsi="Times New Roman"/>
        </w:rPr>
      </w:pPr>
    </w:p>
    <w:p w:rsidR="005F22BA" w:rsidRPr="00956214" w:rsidRDefault="005F22BA" w:rsidP="009543DE">
      <w:pPr>
        <w:pStyle w:val="Heading5"/>
        <w:tabs>
          <w:tab w:val="clear" w:pos="360"/>
        </w:tabs>
        <w:ind w:firstLine="720"/>
        <w:jc w:val="left"/>
        <w:rPr>
          <w:rFonts w:ascii="Times New Roman" w:hAnsi="Times New Roman"/>
        </w:rPr>
      </w:pPr>
      <w:r w:rsidRPr="00956214">
        <w:rPr>
          <w:rFonts w:ascii="Times New Roman" w:hAnsi="Times New Roman"/>
        </w:rPr>
        <w:t>Reporting Panel</w:t>
      </w:r>
    </w:p>
    <w:p w:rsidR="005F22BA" w:rsidRPr="00956214" w:rsidRDefault="005F22BA">
      <w:pPr>
        <w:widowControl/>
        <w:tabs>
          <w:tab w:val="left" w:pos="360"/>
        </w:tabs>
        <w:rPr>
          <w:rFonts w:ascii="Times New Roman" w:hAnsi="Times New Roman"/>
          <w:b/>
          <w:color w:val="000000"/>
        </w:rPr>
      </w:pPr>
    </w:p>
    <w:p w:rsidR="00C8688E" w:rsidRPr="00956214" w:rsidRDefault="005677D2" w:rsidP="0007347A">
      <w:pPr>
        <w:pStyle w:val="Default"/>
      </w:pPr>
      <w:r w:rsidRPr="00956214">
        <w:tab/>
      </w:r>
      <w:r w:rsidR="005F22BA" w:rsidRPr="00956214">
        <w:t>U.S. commercial banks</w:t>
      </w:r>
      <w:r w:rsidR="00830ADB" w:rsidRPr="00956214">
        <w:t>, bank holding companies,</w:t>
      </w:r>
      <w:r w:rsidR="005F22BA" w:rsidRPr="00956214">
        <w:t xml:space="preserve"> and </w:t>
      </w:r>
      <w:r w:rsidR="00CE32CC" w:rsidRPr="00956214">
        <w:t xml:space="preserve">banking </w:t>
      </w:r>
      <w:r w:rsidR="005F22BA" w:rsidRPr="00956214">
        <w:t>Edge and agreement corporations are required to file the FR 2502q for their major foreign branches and large banking subsidiaries</w:t>
      </w:r>
      <w:r w:rsidR="00BF712A" w:rsidRPr="00956214">
        <w:t xml:space="preserve"> that are located in the Caribbean </w:t>
      </w:r>
      <w:r w:rsidR="00921838" w:rsidRPr="00956214">
        <w:t>or</w:t>
      </w:r>
      <w:r w:rsidR="00BF712A" w:rsidRPr="00956214">
        <w:t xml:space="preserve"> the United Kingdom</w:t>
      </w:r>
      <w:r w:rsidR="005F22BA" w:rsidRPr="00956214">
        <w:t xml:space="preserve">.  Major foreign branches are </w:t>
      </w:r>
      <w:r w:rsidR="0007347A" w:rsidRPr="00956214">
        <w:t xml:space="preserve">currently </w:t>
      </w:r>
      <w:r w:rsidR="005F22BA" w:rsidRPr="00956214">
        <w:t xml:space="preserve">defined as those with assets of $500 million or more, payable in all currencies.  Large banking subsidiaries are defined as those that file the Financial Statements of Foreign Subsidiaries of U.S. Banking Organizations (FR 2314; OMB No. 7100-0073) quarterly, have a banking charter, and have assets of $2 billion or more </w:t>
      </w:r>
      <w:r w:rsidR="005F22BA" w:rsidRPr="00956214">
        <w:rPr>
          <w:i/>
        </w:rPr>
        <w:t>and</w:t>
      </w:r>
      <w:r w:rsidR="005F22BA" w:rsidRPr="00956214">
        <w:t xml:space="preserve"> deposits of $10 million or more.</w:t>
      </w:r>
      <w:r w:rsidR="00AE6404" w:rsidRPr="00956214">
        <w:t xml:space="preserve"> </w:t>
      </w:r>
      <w:r w:rsidR="00DC61EB" w:rsidRPr="00956214">
        <w:t>The Federal Reserve</w:t>
      </w:r>
      <w:r w:rsidR="0007347A" w:rsidRPr="00956214">
        <w:t xml:space="preserve"> proposes to increase the reporting threshold for major foreign branches from $500 million to $2 billion.  Increasing the reporting threshold </w:t>
      </w:r>
      <w:r w:rsidR="00D50B76" w:rsidRPr="00956214">
        <w:t xml:space="preserve">for branches </w:t>
      </w:r>
      <w:r w:rsidR="0007347A" w:rsidRPr="00956214">
        <w:t xml:space="preserve">from $500 million to $2 billion would eliminate </w:t>
      </w:r>
      <w:r w:rsidR="00032EBC" w:rsidRPr="00956214">
        <w:t xml:space="preserve">14 </w:t>
      </w:r>
      <w:r w:rsidR="0007347A" w:rsidRPr="00956214">
        <w:t xml:space="preserve">respondents from the FR 2502q reporting panel. </w:t>
      </w:r>
      <w:r w:rsidR="008460D0" w:rsidRPr="00956214">
        <w:t xml:space="preserve"> </w:t>
      </w:r>
      <w:r w:rsidR="00505AA1" w:rsidRPr="00956214">
        <w:t xml:space="preserve">As of end-June 2011, </w:t>
      </w:r>
      <w:r w:rsidR="0007347A" w:rsidRPr="00956214">
        <w:t xml:space="preserve">the </w:t>
      </w:r>
      <w:r w:rsidR="00505AA1" w:rsidRPr="00956214">
        <w:t>t</w:t>
      </w:r>
      <w:r w:rsidR="00BD187A" w:rsidRPr="00956214">
        <w:t>otal assets of these branches (approximately $1</w:t>
      </w:r>
      <w:r w:rsidR="00032EBC" w:rsidRPr="00956214">
        <w:t>4</w:t>
      </w:r>
      <w:r w:rsidR="00BD187A" w:rsidRPr="00956214">
        <w:t xml:space="preserve"> billion)</w:t>
      </w:r>
      <w:r w:rsidR="00505AA1" w:rsidRPr="00956214">
        <w:t xml:space="preserve"> </w:t>
      </w:r>
      <w:r w:rsidR="0007347A" w:rsidRPr="00956214">
        <w:t>would comprise approximately 0.</w:t>
      </w:r>
      <w:r w:rsidR="000F4C25" w:rsidRPr="00956214">
        <w:t>6</w:t>
      </w:r>
      <w:r w:rsidR="0007347A" w:rsidRPr="00956214">
        <w:t>% of the aggregate</w:t>
      </w:r>
      <w:r w:rsidR="00BD187A" w:rsidRPr="00956214">
        <w:t xml:space="preserve"> total assets of branches currently filing the FR 2502q</w:t>
      </w:r>
      <w:r w:rsidR="0007347A" w:rsidRPr="00956214">
        <w:t xml:space="preserve">, which </w:t>
      </w:r>
      <w:r w:rsidR="00BD187A" w:rsidRPr="00956214">
        <w:t>is almost $2.3 trillion.</w:t>
      </w:r>
      <w:r w:rsidR="0007347A" w:rsidRPr="00956214">
        <w:t xml:space="preserve">  </w:t>
      </w:r>
      <w:r w:rsidR="00AE6404" w:rsidRPr="00956214">
        <w:t xml:space="preserve"> </w:t>
      </w:r>
    </w:p>
    <w:p w:rsidR="0007347A" w:rsidRPr="00956214" w:rsidRDefault="0007347A" w:rsidP="00AE6404">
      <w:pPr>
        <w:keepLines/>
        <w:rPr>
          <w:rFonts w:ascii="Times New Roman" w:hAnsi="Times New Roman"/>
          <w:color w:val="000000"/>
        </w:rPr>
      </w:pPr>
    </w:p>
    <w:p w:rsidR="00C8688E" w:rsidRPr="00956214" w:rsidRDefault="00C8688E" w:rsidP="00C8688E">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rFonts w:ascii="Times New Roman" w:hAnsi="Times New Roman"/>
          <w:b/>
          <w:color w:val="000000"/>
        </w:rPr>
      </w:pPr>
      <w:r w:rsidRPr="00956214">
        <w:rPr>
          <w:rFonts w:ascii="Times New Roman" w:hAnsi="Times New Roman"/>
          <w:b/>
          <w:color w:val="000000"/>
        </w:rPr>
        <w:t>Proposed Revisions</w:t>
      </w:r>
      <w:r w:rsidR="0007347A" w:rsidRPr="00956214">
        <w:rPr>
          <w:rFonts w:ascii="Times New Roman" w:hAnsi="Times New Roman"/>
          <w:b/>
          <w:color w:val="000000"/>
        </w:rPr>
        <w:t xml:space="preserve"> to the FR 2502q Form and Instructions</w:t>
      </w:r>
    </w:p>
    <w:p w:rsidR="00C8688E" w:rsidRPr="00956214" w:rsidRDefault="00C8688E" w:rsidP="00C8688E">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color w:val="000000"/>
        </w:rPr>
      </w:pPr>
    </w:p>
    <w:p w:rsidR="00623F71" w:rsidRPr="00956214" w:rsidRDefault="00C8688E" w:rsidP="00185555">
      <w:pPr>
        <w:pStyle w:val="Default"/>
      </w:pPr>
      <w:r w:rsidRPr="00956214">
        <w:tab/>
      </w:r>
      <w:r w:rsidR="00DC61EB" w:rsidRPr="00956214">
        <w:t>The Federal Reserve</w:t>
      </w:r>
      <w:r w:rsidRPr="00956214">
        <w:t xml:space="preserve"> proposes revisions to the FR 2502q reporting form and instructions.  The reporting form would be modified by removing Netherland Antilles (Country code: 37206) from the list of reportable countries and adding Curacao and Saint Maarten to the country list with Bonaire, St. Eustatius and Saba to be covered in Other Latin America and Caribbean. These proposed changes to the FR 2502q country list are necessa</w:t>
      </w:r>
      <w:bookmarkStart w:id="0" w:name="_GoBack"/>
      <w:r w:rsidRPr="00956214">
        <w:t>r</w:t>
      </w:r>
      <w:bookmarkEnd w:id="0"/>
      <w:r w:rsidRPr="00956214">
        <w:t xml:space="preserve">y since Netherland Antilles was dissolved in October 2010 and the dissolution resulted in the creation of Curacao and Saint Maarten as separate countries and Bonaire, St. Eustatius and Saba as municipalities of the Netherlands.  </w:t>
      </w:r>
      <w:r w:rsidR="0007347A" w:rsidRPr="00956214">
        <w:t xml:space="preserve">In addition, </w:t>
      </w:r>
      <w:r w:rsidR="00133A99" w:rsidRPr="00956214">
        <w:t>the Federal Reserve</w:t>
      </w:r>
      <w:r w:rsidR="0007347A" w:rsidRPr="00956214">
        <w:t xml:space="preserve"> proposes the following revisions to the FR 2502q instructions: (1) clarify that entities located outside of the United Kingdom and the Caribbean are not required to</w:t>
      </w:r>
      <w:r w:rsidR="005848F8" w:rsidRPr="00956214">
        <w:t xml:space="preserve"> file the</w:t>
      </w:r>
      <w:r w:rsidR="0007347A" w:rsidRPr="00956214">
        <w:t xml:space="preserve"> report and (2) clarify that securities purchased and sold under resale and repurchase agreements can be netted if they meet the requirements outlined in FASB Interpretation No. 41, “Offsetting of Amounts Related to Certain Repurchase and Reverse Repurchase Agreements (FIN 41).  </w:t>
      </w:r>
      <w:r w:rsidR="00623F71" w:rsidRPr="00956214">
        <w:t xml:space="preserve">Finally, the Federal Reserve proposes to make minor changes to the FR 2502q instructions to enhance clarity.  </w:t>
      </w:r>
    </w:p>
    <w:p w:rsidR="00807379" w:rsidRPr="00956214" w:rsidRDefault="00807379" w:rsidP="00623F71">
      <w:pPr>
        <w:keepLines/>
        <w:ind w:firstLine="720"/>
        <w:rPr>
          <w:rFonts w:ascii="Times New Roman" w:hAnsi="Times New Roman"/>
          <w:b/>
          <w:color w:val="000000"/>
        </w:rPr>
      </w:pPr>
    </w:p>
    <w:p w:rsidR="00D32EE5" w:rsidRDefault="009543DE" w:rsidP="00807379">
      <w:pPr>
        <w:keepLines/>
        <w:rPr>
          <w:rFonts w:ascii="Times New Roman" w:hAnsi="Times New Roman"/>
          <w:color w:val="000000"/>
        </w:rPr>
      </w:pPr>
      <w:r w:rsidRPr="00956214">
        <w:rPr>
          <w:rFonts w:ascii="Times New Roman" w:hAnsi="Times New Roman"/>
          <w:color w:val="000000"/>
        </w:rPr>
        <w:tab/>
      </w:r>
    </w:p>
    <w:p w:rsidR="00D32EE5" w:rsidRDefault="00D32EE5">
      <w:pPr>
        <w:widowControl/>
        <w:autoSpaceDE/>
        <w:autoSpaceDN/>
        <w:adjustRightInd/>
        <w:rPr>
          <w:rFonts w:ascii="Times New Roman" w:hAnsi="Times New Roman"/>
          <w:color w:val="000000"/>
        </w:rPr>
      </w:pPr>
      <w:r>
        <w:rPr>
          <w:rFonts w:ascii="Times New Roman" w:hAnsi="Times New Roman"/>
          <w:color w:val="000000"/>
        </w:rPr>
        <w:br w:type="page"/>
      </w:r>
    </w:p>
    <w:p w:rsidR="00DA7C4B" w:rsidRPr="00956214" w:rsidRDefault="005F22BA" w:rsidP="00623F71">
      <w:pPr>
        <w:keepLines/>
        <w:ind w:firstLine="720"/>
        <w:rPr>
          <w:rFonts w:ascii="Times New Roman" w:hAnsi="Times New Roman"/>
          <w:color w:val="000000"/>
        </w:rPr>
      </w:pPr>
      <w:r w:rsidRPr="00956214">
        <w:rPr>
          <w:rFonts w:ascii="Times New Roman" w:hAnsi="Times New Roman"/>
          <w:b/>
          <w:color w:val="000000"/>
        </w:rPr>
        <w:lastRenderedPageBreak/>
        <w:t xml:space="preserve">Frequency  </w:t>
      </w:r>
    </w:p>
    <w:p w:rsidR="00DA7C4B" w:rsidRPr="00956214" w:rsidRDefault="00DA7C4B" w:rsidP="005677D2">
      <w:pPr>
        <w:widowControl/>
        <w:rPr>
          <w:rFonts w:ascii="Times New Roman" w:hAnsi="Times New Roman"/>
          <w:b/>
          <w:color w:val="000000"/>
        </w:rPr>
      </w:pPr>
    </w:p>
    <w:p w:rsidR="005F22BA" w:rsidRPr="00956214" w:rsidRDefault="005F22BA" w:rsidP="00DA7C4B">
      <w:pPr>
        <w:widowControl/>
        <w:ind w:firstLine="720"/>
        <w:rPr>
          <w:rFonts w:ascii="Times New Roman" w:hAnsi="Times New Roman"/>
          <w:color w:val="000000"/>
        </w:rPr>
      </w:pPr>
      <w:r w:rsidRPr="00956214">
        <w:rPr>
          <w:rFonts w:ascii="Times New Roman" w:hAnsi="Times New Roman"/>
          <w:color w:val="000000"/>
        </w:rPr>
        <w:t>Respondents file the FR 2502q as of the last business day of the quarter with their Reserve Bank.  A less frequent periodicity would have serious adverse consequences for two reasons:  First, because developments affecting international borrowing and lending occur rapidly, data collected less frequently would be much less useful for analytical and supervisory purposes.</w:t>
      </w:r>
      <w:r w:rsidR="00BC10DA" w:rsidRPr="00956214">
        <w:rPr>
          <w:rFonts w:ascii="Times New Roman" w:hAnsi="Times New Roman"/>
          <w:color w:val="000000"/>
        </w:rPr>
        <w:t xml:space="preserve">  These purposes include use of these statistics in U.S. balance of payments and flow of funds data.</w:t>
      </w:r>
      <w:r w:rsidRPr="00956214">
        <w:rPr>
          <w:rFonts w:ascii="Times New Roman" w:hAnsi="Times New Roman"/>
          <w:color w:val="000000"/>
        </w:rPr>
        <w:t xml:space="preserve">  Second, the BIS quarterly series on international banking assets and liabilities would become less complete and less useful.  The BIS uses quarterly submissions for branches of U.S. banks in some offshore banking centers to estimate the positions of all banks in these centers on dates for which the authorities there do not submit any report.</w:t>
      </w:r>
    </w:p>
    <w:p w:rsidR="00F17959" w:rsidRPr="00956214" w:rsidRDefault="00F17959" w:rsidP="00DA7C4B">
      <w:pPr>
        <w:widowControl/>
        <w:ind w:firstLine="720"/>
        <w:rPr>
          <w:rFonts w:ascii="Times New Roman" w:hAnsi="Times New Roman"/>
          <w:color w:val="000000"/>
        </w:rPr>
      </w:pPr>
    </w:p>
    <w:p w:rsidR="005F22BA" w:rsidRPr="00956214" w:rsidRDefault="005F22BA">
      <w:pPr>
        <w:widowControl/>
        <w:tabs>
          <w:tab w:val="left" w:pos="360"/>
        </w:tabs>
        <w:rPr>
          <w:rFonts w:ascii="Times New Roman" w:hAnsi="Times New Roman"/>
          <w:color w:val="000000"/>
        </w:rPr>
      </w:pPr>
      <w:r w:rsidRPr="00956214">
        <w:rPr>
          <w:rFonts w:ascii="Times New Roman" w:hAnsi="Times New Roman"/>
          <w:b/>
          <w:color w:val="000000"/>
        </w:rPr>
        <w:t>Time Schedule for Information Collection and Publication</w:t>
      </w:r>
    </w:p>
    <w:p w:rsidR="005F22BA" w:rsidRPr="00956214" w:rsidRDefault="005F22BA">
      <w:pPr>
        <w:widowControl/>
        <w:tabs>
          <w:tab w:val="left" w:pos="360"/>
        </w:tabs>
        <w:rPr>
          <w:rFonts w:ascii="Times New Roman" w:hAnsi="Times New Roman"/>
          <w:color w:val="000000"/>
        </w:rPr>
      </w:pPr>
    </w:p>
    <w:p w:rsidR="00A112CD" w:rsidRPr="00956214" w:rsidRDefault="005F22BA" w:rsidP="000552A3">
      <w:pPr>
        <w:widowControl/>
        <w:ind w:firstLine="720"/>
        <w:rPr>
          <w:rFonts w:ascii="Times New Roman" w:hAnsi="Times New Roman"/>
          <w:color w:val="000000"/>
        </w:rPr>
      </w:pPr>
      <w:r w:rsidRPr="00956214">
        <w:rPr>
          <w:rFonts w:ascii="Times New Roman" w:hAnsi="Times New Roman"/>
          <w:color w:val="000000"/>
        </w:rPr>
        <w:t>Respondents file the FR 2502q quarterly, as of the last business day of the quarter, with their Reserve Bank</w:t>
      </w:r>
      <w:r w:rsidR="00CD1935" w:rsidRPr="00956214">
        <w:rPr>
          <w:rFonts w:ascii="Times New Roman" w:hAnsi="Times New Roman"/>
          <w:color w:val="000000"/>
        </w:rPr>
        <w:t xml:space="preserve"> </w:t>
      </w:r>
      <w:r w:rsidR="000552A3" w:rsidRPr="00956214">
        <w:rPr>
          <w:rFonts w:ascii="Times New Roman" w:hAnsi="Times New Roman"/>
          <w:color w:val="000000"/>
        </w:rPr>
        <w:t xml:space="preserve">on a schedule that allows </w:t>
      </w:r>
      <w:r w:rsidR="00133A99" w:rsidRPr="00956214">
        <w:rPr>
          <w:rFonts w:ascii="Times New Roman" w:hAnsi="Times New Roman"/>
          <w:color w:val="000000"/>
        </w:rPr>
        <w:t xml:space="preserve">the </w:t>
      </w:r>
      <w:r w:rsidR="000552A3" w:rsidRPr="00956214">
        <w:rPr>
          <w:rFonts w:ascii="Times New Roman" w:hAnsi="Times New Roman"/>
          <w:color w:val="000000"/>
        </w:rPr>
        <w:t xml:space="preserve">Reserve Bank to meet the </w:t>
      </w:r>
      <w:r w:rsidR="001F30FC" w:rsidRPr="00956214">
        <w:rPr>
          <w:rFonts w:ascii="Times New Roman" w:hAnsi="Times New Roman"/>
          <w:color w:val="000000"/>
        </w:rPr>
        <w:t xml:space="preserve">Federal Reserve </w:t>
      </w:r>
      <w:r w:rsidR="000552A3" w:rsidRPr="00956214">
        <w:rPr>
          <w:rFonts w:ascii="Times New Roman" w:hAnsi="Times New Roman"/>
          <w:color w:val="000000"/>
        </w:rPr>
        <w:t xml:space="preserve">Board's transmission deadlines, which is 11:00 p.m. Eastern Time on the </w:t>
      </w:r>
      <w:r w:rsidR="006B6681" w:rsidRPr="00956214">
        <w:rPr>
          <w:rFonts w:ascii="Times New Roman" w:hAnsi="Times New Roman"/>
          <w:color w:val="000000"/>
        </w:rPr>
        <w:t>second Thursday of the second month following the report date</w:t>
      </w:r>
      <w:r w:rsidRPr="00956214">
        <w:rPr>
          <w:rFonts w:ascii="Times New Roman" w:hAnsi="Times New Roman"/>
          <w:color w:val="000000"/>
        </w:rPr>
        <w:t xml:space="preserve">.  </w:t>
      </w:r>
      <w:r w:rsidR="00550BCB" w:rsidRPr="00956214">
        <w:rPr>
          <w:rFonts w:ascii="Times New Roman" w:hAnsi="Times New Roman"/>
          <w:color w:val="000000"/>
        </w:rPr>
        <w:t xml:space="preserve"> Reserve Bank</w:t>
      </w:r>
      <w:r w:rsidR="00182391">
        <w:rPr>
          <w:rFonts w:ascii="Times New Roman" w:hAnsi="Times New Roman"/>
          <w:color w:val="000000"/>
        </w:rPr>
        <w:t>s</w:t>
      </w:r>
      <w:r w:rsidR="00550BCB" w:rsidRPr="00956214">
        <w:rPr>
          <w:rFonts w:ascii="Times New Roman" w:hAnsi="Times New Roman"/>
          <w:color w:val="000000"/>
        </w:rPr>
        <w:t xml:space="preserve"> edit and then transmit</w:t>
      </w:r>
      <w:r w:rsidR="00704028" w:rsidRPr="00956214">
        <w:rPr>
          <w:rFonts w:ascii="Times New Roman" w:hAnsi="Times New Roman"/>
          <w:color w:val="000000"/>
        </w:rPr>
        <w:t xml:space="preserve"> the data to the Federal Reserve Board </w:t>
      </w:r>
      <w:r w:rsidRPr="00956214">
        <w:rPr>
          <w:rFonts w:ascii="Times New Roman" w:hAnsi="Times New Roman"/>
          <w:color w:val="000000"/>
        </w:rPr>
        <w:t xml:space="preserve">for central processing.  The data (aggregated for all reporters by country) are published by the </w:t>
      </w:r>
      <w:r w:rsidR="00704028" w:rsidRPr="00956214">
        <w:rPr>
          <w:rFonts w:ascii="Times New Roman" w:hAnsi="Times New Roman"/>
          <w:color w:val="000000"/>
        </w:rPr>
        <w:t xml:space="preserve">Federal Reserve </w:t>
      </w:r>
      <w:r w:rsidRPr="00956214">
        <w:rPr>
          <w:rFonts w:ascii="Times New Roman" w:hAnsi="Times New Roman"/>
          <w:color w:val="000000"/>
        </w:rPr>
        <w:t xml:space="preserve">Board in the quarterly E.11 statistical release, </w:t>
      </w:r>
      <w:r w:rsidRPr="00956214">
        <w:rPr>
          <w:rFonts w:ascii="Times New Roman" w:hAnsi="Times New Roman"/>
          <w:i/>
          <w:color w:val="000000"/>
        </w:rPr>
        <w:t>Geographical Distribution of Assets and Liabilities of Major Foreign Branches of U.S. Banks</w:t>
      </w:r>
      <w:r w:rsidRPr="00956214">
        <w:rPr>
          <w:rFonts w:ascii="Times New Roman" w:hAnsi="Times New Roman"/>
          <w:color w:val="000000"/>
        </w:rPr>
        <w:t xml:space="preserve">.  </w:t>
      </w:r>
      <w:r w:rsidR="0023023D" w:rsidRPr="00956214">
        <w:rPr>
          <w:rFonts w:ascii="Times New Roman" w:hAnsi="Times New Roman"/>
          <w:color w:val="000000"/>
        </w:rPr>
        <w:t xml:space="preserve">The FR 2502q is the sole source of data for the release.  </w:t>
      </w:r>
      <w:r w:rsidRPr="00956214">
        <w:rPr>
          <w:rFonts w:ascii="Times New Roman" w:hAnsi="Times New Roman"/>
          <w:color w:val="000000"/>
        </w:rPr>
        <w:t xml:space="preserve">The FR 2502q data relating to branches in offshore centers are an integral part of the BIS quarterly reports on international banking assets and liabilities.  The FR 2502q data relating to branches in offshore centers are </w:t>
      </w:r>
      <w:r w:rsidR="009A0BE9" w:rsidRPr="00956214">
        <w:rPr>
          <w:rFonts w:ascii="Times New Roman" w:hAnsi="Times New Roman"/>
          <w:color w:val="000000"/>
        </w:rPr>
        <w:t xml:space="preserve">also </w:t>
      </w:r>
      <w:r w:rsidRPr="00956214">
        <w:rPr>
          <w:rFonts w:ascii="Times New Roman" w:hAnsi="Times New Roman"/>
          <w:color w:val="000000"/>
        </w:rPr>
        <w:t>used by the Department of Commerce in estimating the capital accounts portion of the balance of payments.</w:t>
      </w:r>
    </w:p>
    <w:p w:rsidR="00C7220C" w:rsidRPr="00956214" w:rsidRDefault="00C7220C" w:rsidP="00CD55A7">
      <w:pPr>
        <w:widowControl/>
        <w:rPr>
          <w:rFonts w:ascii="Times New Roman" w:hAnsi="Times New Roman"/>
          <w:color w:val="000000"/>
        </w:rPr>
      </w:pPr>
    </w:p>
    <w:p w:rsidR="005F22BA" w:rsidRPr="00956214" w:rsidRDefault="005F22BA">
      <w:pPr>
        <w:widowControl/>
        <w:tabs>
          <w:tab w:val="left" w:pos="360"/>
        </w:tabs>
        <w:rPr>
          <w:rFonts w:ascii="Times New Roman" w:hAnsi="Times New Roman"/>
          <w:color w:val="000000"/>
        </w:rPr>
      </w:pPr>
      <w:r w:rsidRPr="00956214">
        <w:rPr>
          <w:rFonts w:ascii="Times New Roman" w:hAnsi="Times New Roman"/>
          <w:b/>
          <w:bCs/>
          <w:color w:val="000000"/>
        </w:rPr>
        <w:t>L</w:t>
      </w:r>
      <w:r w:rsidRPr="00956214">
        <w:rPr>
          <w:rFonts w:ascii="Times New Roman" w:hAnsi="Times New Roman"/>
          <w:b/>
          <w:color w:val="000000"/>
        </w:rPr>
        <w:t>egal Status</w:t>
      </w:r>
    </w:p>
    <w:p w:rsidR="005F22BA" w:rsidRPr="00956214" w:rsidRDefault="005F22BA">
      <w:pPr>
        <w:widowControl/>
        <w:tabs>
          <w:tab w:val="left" w:pos="360"/>
        </w:tabs>
        <w:rPr>
          <w:rFonts w:ascii="Times New Roman" w:hAnsi="Times New Roman"/>
          <w:color w:val="000000"/>
        </w:rPr>
      </w:pPr>
    </w:p>
    <w:p w:rsidR="00563B04" w:rsidRPr="00956214" w:rsidRDefault="006D3FFF" w:rsidP="00F6564C">
      <w:pPr>
        <w:widowControl/>
        <w:tabs>
          <w:tab w:val="left" w:pos="720"/>
          <w:tab w:val="left" w:pos="1080"/>
        </w:tabs>
        <w:rPr>
          <w:rFonts w:ascii="Times New Roman" w:hAnsi="Times New Roman"/>
          <w:color w:val="000000"/>
        </w:rPr>
      </w:pPr>
      <w:r w:rsidRPr="00956214">
        <w:rPr>
          <w:rFonts w:ascii="Times New Roman" w:hAnsi="Times New Roman"/>
          <w:color w:val="000000"/>
        </w:rPr>
        <w:tab/>
      </w:r>
      <w:r w:rsidR="005F22BA" w:rsidRPr="00956214">
        <w:rPr>
          <w:rFonts w:ascii="Times New Roman" w:hAnsi="Times New Roman"/>
          <w:color w:val="000000"/>
        </w:rPr>
        <w:t xml:space="preserve">The </w:t>
      </w:r>
      <w:r w:rsidR="00704028" w:rsidRPr="00956214">
        <w:rPr>
          <w:rFonts w:ascii="Times New Roman" w:hAnsi="Times New Roman"/>
          <w:color w:val="000000"/>
        </w:rPr>
        <w:t xml:space="preserve">Federal Reserve </w:t>
      </w:r>
      <w:r w:rsidR="005F22BA" w:rsidRPr="00956214">
        <w:rPr>
          <w:rFonts w:ascii="Times New Roman" w:hAnsi="Times New Roman"/>
          <w:color w:val="000000"/>
        </w:rPr>
        <w:t xml:space="preserve">Board's Legal Division has determined that 12 U.S.C. </w:t>
      </w:r>
      <w:r w:rsidRPr="00956214">
        <w:rPr>
          <w:rFonts w:ascii="Times New Roman" w:hAnsi="Times New Roman"/>
          <w:color w:val="000000"/>
        </w:rPr>
        <w:t>§</w:t>
      </w:r>
      <w:r w:rsidR="005F22BA" w:rsidRPr="00956214">
        <w:rPr>
          <w:rFonts w:ascii="Times New Roman" w:hAnsi="Times New Roman"/>
          <w:color w:val="000000"/>
        </w:rPr>
        <w:t>248(a</w:t>
      </w:r>
      <w:proofErr w:type="gramStart"/>
      <w:r w:rsidR="004E7105" w:rsidRPr="00956214">
        <w:rPr>
          <w:rFonts w:ascii="Times New Roman" w:hAnsi="Times New Roman"/>
          <w:color w:val="000000"/>
        </w:rPr>
        <w:t>)</w:t>
      </w:r>
      <w:r w:rsidR="007931CA" w:rsidRPr="00956214">
        <w:rPr>
          <w:rFonts w:ascii="Times New Roman" w:hAnsi="Times New Roman"/>
          <w:color w:val="000000"/>
        </w:rPr>
        <w:t>(</w:t>
      </w:r>
      <w:proofErr w:type="gramEnd"/>
      <w:r w:rsidR="005F22BA" w:rsidRPr="00956214">
        <w:rPr>
          <w:rFonts w:ascii="Times New Roman" w:hAnsi="Times New Roman"/>
          <w:color w:val="000000"/>
        </w:rPr>
        <w:t xml:space="preserve">2), 461, 602, and 625 authorize the </w:t>
      </w:r>
      <w:r w:rsidR="00704028" w:rsidRPr="00956214">
        <w:rPr>
          <w:rFonts w:ascii="Times New Roman" w:hAnsi="Times New Roman"/>
          <w:color w:val="000000"/>
        </w:rPr>
        <w:t xml:space="preserve">Federal Reserve </w:t>
      </w:r>
      <w:r w:rsidR="005F22BA" w:rsidRPr="00956214">
        <w:rPr>
          <w:rFonts w:ascii="Times New Roman" w:hAnsi="Times New Roman"/>
          <w:color w:val="000000"/>
        </w:rPr>
        <w:t xml:space="preserve">Board to require the report.  Individual respondent data are regarded as confidential under the Freedom of Information Act (5 U.S.C. </w:t>
      </w:r>
      <w:r w:rsidRPr="00956214">
        <w:rPr>
          <w:rFonts w:ascii="Times New Roman" w:hAnsi="Times New Roman"/>
          <w:color w:val="000000"/>
        </w:rPr>
        <w:t>§</w:t>
      </w:r>
      <w:r w:rsidR="005F22BA" w:rsidRPr="00956214">
        <w:rPr>
          <w:rFonts w:ascii="Times New Roman" w:hAnsi="Times New Roman"/>
          <w:color w:val="000000"/>
        </w:rPr>
        <w:t>552(b</w:t>
      </w:r>
      <w:proofErr w:type="gramStart"/>
      <w:r w:rsidR="00AC2281">
        <w:rPr>
          <w:rFonts w:ascii="Times New Roman" w:hAnsi="Times New Roman"/>
          <w:color w:val="000000"/>
        </w:rPr>
        <w:t>)</w:t>
      </w:r>
      <w:r w:rsidR="007931CA" w:rsidRPr="00956214">
        <w:rPr>
          <w:rFonts w:ascii="Times New Roman" w:hAnsi="Times New Roman"/>
          <w:color w:val="000000"/>
        </w:rPr>
        <w:t>(</w:t>
      </w:r>
      <w:proofErr w:type="gramEnd"/>
      <w:r w:rsidR="005F22BA" w:rsidRPr="00956214">
        <w:rPr>
          <w:rFonts w:ascii="Times New Roman" w:hAnsi="Times New Roman"/>
          <w:color w:val="000000"/>
        </w:rPr>
        <w:t>4)).</w:t>
      </w:r>
      <w:r w:rsidR="00807379" w:rsidRPr="00956214">
        <w:rPr>
          <w:rFonts w:ascii="Times New Roman" w:hAnsi="Times New Roman"/>
          <w:color w:val="000000"/>
        </w:rPr>
        <w:t xml:space="preserve">  </w:t>
      </w:r>
    </w:p>
    <w:p w:rsidR="007B2961" w:rsidRDefault="007B2961">
      <w:pPr>
        <w:widowControl/>
        <w:tabs>
          <w:tab w:val="left" w:pos="360"/>
        </w:tabs>
        <w:rPr>
          <w:rFonts w:ascii="Times New Roman" w:hAnsi="Times New Roman"/>
          <w:b/>
          <w:color w:val="000000"/>
        </w:rPr>
      </w:pPr>
    </w:p>
    <w:p w:rsidR="005F22BA" w:rsidRPr="00956214" w:rsidRDefault="005F22BA">
      <w:pPr>
        <w:widowControl/>
        <w:tabs>
          <w:tab w:val="left" w:pos="360"/>
        </w:tabs>
        <w:rPr>
          <w:rFonts w:ascii="Times New Roman" w:hAnsi="Times New Roman"/>
          <w:color w:val="000000"/>
        </w:rPr>
      </w:pPr>
      <w:r w:rsidRPr="00956214">
        <w:rPr>
          <w:rFonts w:ascii="Times New Roman" w:hAnsi="Times New Roman"/>
          <w:b/>
          <w:color w:val="000000"/>
        </w:rPr>
        <w:t>Consultation Outside the Agency</w:t>
      </w:r>
    </w:p>
    <w:p w:rsidR="005F22BA" w:rsidRPr="00956214" w:rsidRDefault="005F22BA">
      <w:pPr>
        <w:widowControl/>
        <w:tabs>
          <w:tab w:val="left" w:pos="360"/>
        </w:tabs>
        <w:rPr>
          <w:rFonts w:ascii="Times New Roman" w:hAnsi="Times New Roman"/>
          <w:color w:val="000000"/>
        </w:rPr>
      </w:pPr>
    </w:p>
    <w:p w:rsidR="005F22BA" w:rsidRPr="00956214" w:rsidRDefault="005F22BA" w:rsidP="00956982">
      <w:pPr>
        <w:widowControl/>
        <w:ind w:firstLine="720"/>
        <w:rPr>
          <w:rFonts w:ascii="Times New Roman" w:hAnsi="Times New Roman"/>
          <w:color w:val="000000"/>
        </w:rPr>
      </w:pPr>
      <w:r w:rsidRPr="00956214">
        <w:rPr>
          <w:rFonts w:ascii="Times New Roman" w:hAnsi="Times New Roman"/>
          <w:color w:val="000000"/>
        </w:rPr>
        <w:t xml:space="preserve">There has been no </w:t>
      </w:r>
      <w:r w:rsidR="00A47410" w:rsidRPr="00956214">
        <w:rPr>
          <w:rFonts w:ascii="Times New Roman" w:hAnsi="Times New Roman"/>
          <w:color w:val="000000"/>
        </w:rPr>
        <w:t>official</w:t>
      </w:r>
      <w:r w:rsidR="000A39AD" w:rsidRPr="00956214">
        <w:rPr>
          <w:rFonts w:ascii="Times New Roman" w:hAnsi="Times New Roman"/>
          <w:color w:val="000000"/>
        </w:rPr>
        <w:t xml:space="preserve"> </w:t>
      </w:r>
      <w:r w:rsidRPr="00956214">
        <w:rPr>
          <w:rFonts w:ascii="Times New Roman" w:hAnsi="Times New Roman"/>
          <w:color w:val="000000"/>
        </w:rPr>
        <w:t>consultation outside the Federal Reserve System</w:t>
      </w:r>
      <w:r w:rsidR="00E95755" w:rsidRPr="00956214">
        <w:rPr>
          <w:rFonts w:ascii="Times New Roman" w:hAnsi="Times New Roman"/>
          <w:color w:val="000000"/>
        </w:rPr>
        <w:t xml:space="preserve">.  </w:t>
      </w:r>
      <w:r w:rsidR="00133A99" w:rsidRPr="00956214">
        <w:rPr>
          <w:rFonts w:ascii="Times New Roman" w:hAnsi="Times New Roman"/>
          <w:color w:val="000000"/>
        </w:rPr>
        <w:t xml:space="preserve">The </w:t>
      </w:r>
      <w:r w:rsidR="00A112CD" w:rsidRPr="00956214">
        <w:rPr>
          <w:rFonts w:ascii="Times New Roman" w:hAnsi="Times New Roman"/>
          <w:color w:val="000000"/>
        </w:rPr>
        <w:t xml:space="preserve">Federal Reserve </w:t>
      </w:r>
      <w:r w:rsidR="00D32EE5" w:rsidRPr="00956214">
        <w:rPr>
          <w:rFonts w:ascii="Times New Roman" w:hAnsi="Times New Roman"/>
          <w:color w:val="000000"/>
        </w:rPr>
        <w:t>has</w:t>
      </w:r>
      <w:r w:rsidR="000A39AD" w:rsidRPr="00956214">
        <w:rPr>
          <w:rFonts w:ascii="Times New Roman" w:hAnsi="Times New Roman"/>
          <w:color w:val="000000"/>
        </w:rPr>
        <w:t xml:space="preserve"> consulted informally with the Department of Commerce</w:t>
      </w:r>
      <w:r w:rsidR="00E95755" w:rsidRPr="00956214">
        <w:rPr>
          <w:rFonts w:ascii="Times New Roman" w:hAnsi="Times New Roman"/>
          <w:color w:val="000000"/>
        </w:rPr>
        <w:t>.</w:t>
      </w:r>
      <w:r w:rsidR="00A52E63">
        <w:rPr>
          <w:rFonts w:ascii="Times New Roman" w:hAnsi="Times New Roman"/>
          <w:color w:val="000000"/>
        </w:rPr>
        <w:t xml:space="preserve">  </w:t>
      </w:r>
      <w:r w:rsidR="00A52E63" w:rsidRPr="00A86F68">
        <w:rPr>
          <w:rFonts w:ascii="Times New Roman" w:hAnsi="Times New Roman"/>
        </w:rPr>
        <w:t xml:space="preserve">On </w:t>
      </w:r>
      <w:r w:rsidR="00A52E63">
        <w:rPr>
          <w:rFonts w:ascii="Times New Roman" w:hAnsi="Times New Roman"/>
        </w:rPr>
        <w:t>December 8</w:t>
      </w:r>
      <w:r w:rsidR="00A52E63" w:rsidRPr="00A86F68">
        <w:rPr>
          <w:rFonts w:ascii="Times New Roman" w:hAnsi="Times New Roman"/>
        </w:rPr>
        <w:t xml:space="preserve">, 2011, the Federal Reserve published a notice in the </w:t>
      </w:r>
      <w:r w:rsidR="00A52E63" w:rsidRPr="00A86F68">
        <w:rPr>
          <w:rFonts w:ascii="Times New Roman" w:hAnsi="Times New Roman"/>
          <w:i/>
          <w:iCs/>
        </w:rPr>
        <w:t xml:space="preserve">Federal Register </w:t>
      </w:r>
      <w:r w:rsidR="00A52E63" w:rsidRPr="00A86F68">
        <w:rPr>
          <w:rFonts w:ascii="Times New Roman" w:hAnsi="Times New Roman"/>
        </w:rPr>
        <w:t xml:space="preserve">(76 FR </w:t>
      </w:r>
      <w:r w:rsidR="00A52E63">
        <w:rPr>
          <w:rFonts w:ascii="Times New Roman" w:hAnsi="Times New Roman"/>
        </w:rPr>
        <w:t>76730</w:t>
      </w:r>
      <w:r w:rsidR="00A52E63" w:rsidRPr="00A86F68">
        <w:rPr>
          <w:rFonts w:ascii="Times New Roman" w:hAnsi="Times New Roman"/>
        </w:rPr>
        <w:t xml:space="preserve">) requesting public comment for 60 days on the </w:t>
      </w:r>
      <w:r w:rsidR="00A52E63">
        <w:rPr>
          <w:rFonts w:ascii="Times New Roman" w:hAnsi="Times New Roman"/>
        </w:rPr>
        <w:t xml:space="preserve">proposed revision to </w:t>
      </w:r>
      <w:r w:rsidR="00A52E63" w:rsidRPr="00A86F68">
        <w:rPr>
          <w:rFonts w:ascii="Times New Roman" w:hAnsi="Times New Roman"/>
        </w:rPr>
        <w:t>this information collection.  The comment period for this notice expire</w:t>
      </w:r>
      <w:r w:rsidR="002D5F92">
        <w:rPr>
          <w:rFonts w:ascii="Times New Roman" w:hAnsi="Times New Roman"/>
        </w:rPr>
        <w:t>d</w:t>
      </w:r>
      <w:r w:rsidR="00A52E63" w:rsidRPr="00A86F68">
        <w:rPr>
          <w:rFonts w:ascii="Times New Roman" w:hAnsi="Times New Roman"/>
        </w:rPr>
        <w:t xml:space="preserve"> </w:t>
      </w:r>
      <w:r w:rsidR="00A52E63">
        <w:rPr>
          <w:rFonts w:ascii="Times New Roman" w:hAnsi="Times New Roman"/>
        </w:rPr>
        <w:t>February 6</w:t>
      </w:r>
      <w:r w:rsidR="00A52E63" w:rsidRPr="00A86F68">
        <w:rPr>
          <w:rFonts w:ascii="Times New Roman" w:hAnsi="Times New Roman"/>
        </w:rPr>
        <w:t>, 201</w:t>
      </w:r>
      <w:r w:rsidR="00A52E63">
        <w:rPr>
          <w:rFonts w:ascii="Times New Roman" w:hAnsi="Times New Roman"/>
        </w:rPr>
        <w:t>2</w:t>
      </w:r>
      <w:r w:rsidR="002D5F92">
        <w:rPr>
          <w:rFonts w:ascii="Times New Roman" w:hAnsi="Times New Roman"/>
        </w:rPr>
        <w:t>.  No comments were received</w:t>
      </w:r>
      <w:r w:rsidR="00D32EE5">
        <w:rPr>
          <w:rFonts w:ascii="Times New Roman" w:hAnsi="Times New Roman"/>
        </w:rPr>
        <w:t xml:space="preserve">; the revisions will be implemented as proposed.  On February 28, 2012, the Federal Reserve published a final notice in the </w:t>
      </w:r>
      <w:r w:rsidR="00D32EE5" w:rsidRPr="00A86F68">
        <w:rPr>
          <w:rFonts w:ascii="Times New Roman" w:hAnsi="Times New Roman"/>
          <w:i/>
          <w:iCs/>
        </w:rPr>
        <w:t xml:space="preserve">Federal Register </w:t>
      </w:r>
      <w:r w:rsidR="00D32EE5" w:rsidRPr="00A86F68">
        <w:rPr>
          <w:rFonts w:ascii="Times New Roman" w:hAnsi="Times New Roman"/>
        </w:rPr>
        <w:t>(7</w:t>
      </w:r>
      <w:r w:rsidR="00D32EE5">
        <w:rPr>
          <w:rFonts w:ascii="Times New Roman" w:hAnsi="Times New Roman"/>
        </w:rPr>
        <w:t>7</w:t>
      </w:r>
      <w:r w:rsidR="00D32EE5" w:rsidRPr="00A86F68">
        <w:rPr>
          <w:rFonts w:ascii="Times New Roman" w:hAnsi="Times New Roman"/>
        </w:rPr>
        <w:t xml:space="preserve"> FR </w:t>
      </w:r>
      <w:r w:rsidR="00921C39">
        <w:rPr>
          <w:rFonts w:ascii="Times New Roman" w:hAnsi="Times New Roman"/>
        </w:rPr>
        <w:t>12056</w:t>
      </w:r>
      <w:r w:rsidR="00D32EE5" w:rsidRPr="00A86F68">
        <w:rPr>
          <w:rFonts w:ascii="Times New Roman" w:hAnsi="Times New Roman"/>
        </w:rPr>
        <w:t>)</w:t>
      </w:r>
      <w:r w:rsidR="00D32EE5">
        <w:rPr>
          <w:rFonts w:ascii="Times New Roman" w:hAnsi="Times New Roman"/>
        </w:rPr>
        <w:t>.</w:t>
      </w:r>
    </w:p>
    <w:p w:rsidR="00C5218C" w:rsidRPr="00956214" w:rsidRDefault="00C5218C" w:rsidP="00956982">
      <w:pPr>
        <w:widowControl/>
        <w:ind w:firstLine="720"/>
        <w:rPr>
          <w:rFonts w:ascii="Times New Roman" w:hAnsi="Times New Roman"/>
          <w:color w:val="000000"/>
        </w:rPr>
      </w:pPr>
    </w:p>
    <w:p w:rsidR="005F22BA" w:rsidRPr="00956214" w:rsidRDefault="005F22BA">
      <w:pPr>
        <w:widowControl/>
        <w:tabs>
          <w:tab w:val="left" w:pos="360"/>
        </w:tabs>
        <w:rPr>
          <w:rFonts w:ascii="Times New Roman" w:hAnsi="Times New Roman"/>
          <w:color w:val="000000"/>
        </w:rPr>
      </w:pPr>
      <w:r w:rsidRPr="00956214">
        <w:rPr>
          <w:rFonts w:ascii="Times New Roman" w:hAnsi="Times New Roman"/>
          <w:b/>
          <w:color w:val="000000"/>
        </w:rPr>
        <w:t>Estimate of Respondent Burden</w:t>
      </w:r>
    </w:p>
    <w:p w:rsidR="00DC568C" w:rsidRPr="00956214" w:rsidRDefault="00DC568C">
      <w:pPr>
        <w:widowControl/>
        <w:tabs>
          <w:tab w:val="left" w:pos="360"/>
        </w:tabs>
        <w:rPr>
          <w:rFonts w:ascii="Times New Roman" w:hAnsi="Times New Roman"/>
          <w:color w:val="000000"/>
        </w:rPr>
      </w:pPr>
    </w:p>
    <w:p w:rsidR="006D3FFF" w:rsidRPr="00956214" w:rsidRDefault="00D62E97" w:rsidP="00265B19">
      <w:pPr>
        <w:widowControl/>
        <w:ind w:firstLine="720"/>
        <w:rPr>
          <w:rFonts w:ascii="Times New Roman" w:hAnsi="Times New Roman"/>
          <w:color w:val="000000"/>
        </w:rPr>
      </w:pPr>
      <w:r w:rsidRPr="00956214">
        <w:rPr>
          <w:rFonts w:ascii="Times New Roman" w:hAnsi="Times New Roman"/>
        </w:rPr>
        <w:t>Based on the proposed revision to increase the reporting threshold for major foreign branches from $500 million to $2 billion</w:t>
      </w:r>
      <w:r w:rsidRPr="00956214">
        <w:rPr>
          <w:rFonts w:ascii="Times New Roman" w:hAnsi="Times New Roman"/>
          <w:color w:val="000000"/>
        </w:rPr>
        <w:t>,</w:t>
      </w:r>
      <w:r w:rsidR="00805F09" w:rsidRPr="00956214">
        <w:rPr>
          <w:rFonts w:ascii="Times New Roman" w:hAnsi="Times New Roman"/>
          <w:color w:val="000000"/>
        </w:rPr>
        <w:t xml:space="preserve"> the total annual burden would </w:t>
      </w:r>
      <w:r w:rsidR="00120EFC" w:rsidRPr="00956214">
        <w:rPr>
          <w:rFonts w:ascii="Times New Roman" w:hAnsi="Times New Roman"/>
          <w:color w:val="000000"/>
        </w:rPr>
        <w:t xml:space="preserve">decrease from </w:t>
      </w:r>
      <w:r w:rsidR="006C0465" w:rsidRPr="00956214">
        <w:rPr>
          <w:rFonts w:ascii="Times New Roman" w:hAnsi="Times New Roman"/>
          <w:color w:val="000000"/>
        </w:rPr>
        <w:t>770</w:t>
      </w:r>
      <w:r w:rsidR="00120EFC" w:rsidRPr="00956214">
        <w:rPr>
          <w:rFonts w:ascii="Times New Roman" w:hAnsi="Times New Roman"/>
          <w:color w:val="000000"/>
        </w:rPr>
        <w:t xml:space="preserve"> hours </w:t>
      </w:r>
      <w:r w:rsidR="00120EFC" w:rsidRPr="00956214">
        <w:rPr>
          <w:rFonts w:ascii="Times New Roman" w:hAnsi="Times New Roman"/>
          <w:color w:val="000000"/>
        </w:rPr>
        <w:lastRenderedPageBreak/>
        <w:t xml:space="preserve">to </w:t>
      </w:r>
      <w:r w:rsidR="006C0465" w:rsidRPr="00956214">
        <w:rPr>
          <w:rFonts w:ascii="Times New Roman" w:hAnsi="Times New Roman"/>
          <w:color w:val="000000"/>
        </w:rPr>
        <w:t>574</w:t>
      </w:r>
      <w:r w:rsidR="00120EFC" w:rsidRPr="00956214">
        <w:rPr>
          <w:rFonts w:ascii="Times New Roman" w:hAnsi="Times New Roman"/>
          <w:color w:val="000000"/>
        </w:rPr>
        <w:t xml:space="preserve"> hours</w:t>
      </w:r>
      <w:r w:rsidR="008460D0" w:rsidRPr="00956214">
        <w:rPr>
          <w:rFonts w:ascii="Times New Roman" w:hAnsi="Times New Roman"/>
          <w:color w:val="000000"/>
        </w:rPr>
        <w:t>,</w:t>
      </w:r>
      <w:r w:rsidR="00805F09" w:rsidRPr="00956214">
        <w:rPr>
          <w:rFonts w:ascii="Times New Roman" w:hAnsi="Times New Roman"/>
          <w:color w:val="000000"/>
        </w:rPr>
        <w:t xml:space="preserve"> and the total number of branches and subsidiaries for which the FR 2502q is filed would </w:t>
      </w:r>
      <w:r w:rsidR="00120EFC" w:rsidRPr="00956214">
        <w:rPr>
          <w:rFonts w:ascii="Times New Roman" w:hAnsi="Times New Roman"/>
          <w:color w:val="000000"/>
        </w:rPr>
        <w:t xml:space="preserve">decrease from </w:t>
      </w:r>
      <w:r w:rsidR="006C0465" w:rsidRPr="00956214">
        <w:rPr>
          <w:rFonts w:ascii="Times New Roman" w:hAnsi="Times New Roman"/>
          <w:color w:val="000000"/>
        </w:rPr>
        <w:t>55</w:t>
      </w:r>
      <w:r w:rsidR="00120EFC" w:rsidRPr="00956214">
        <w:rPr>
          <w:rFonts w:ascii="Times New Roman" w:hAnsi="Times New Roman"/>
          <w:color w:val="000000"/>
        </w:rPr>
        <w:t xml:space="preserve"> </w:t>
      </w:r>
      <w:r w:rsidR="00805F09" w:rsidRPr="00956214">
        <w:rPr>
          <w:rFonts w:ascii="Times New Roman" w:hAnsi="Times New Roman"/>
          <w:color w:val="000000"/>
        </w:rPr>
        <w:t xml:space="preserve">to </w:t>
      </w:r>
      <w:r w:rsidR="008460D0" w:rsidRPr="00956214">
        <w:rPr>
          <w:rFonts w:ascii="Times New Roman" w:hAnsi="Times New Roman"/>
          <w:color w:val="000000"/>
        </w:rPr>
        <w:t>4</w:t>
      </w:r>
      <w:r w:rsidR="00032EBC" w:rsidRPr="00956214">
        <w:rPr>
          <w:rFonts w:ascii="Times New Roman" w:hAnsi="Times New Roman"/>
          <w:color w:val="000000"/>
        </w:rPr>
        <w:t>1</w:t>
      </w:r>
      <w:r w:rsidR="008460D0" w:rsidRPr="00956214">
        <w:rPr>
          <w:rFonts w:ascii="Times New Roman" w:hAnsi="Times New Roman"/>
          <w:color w:val="000000"/>
        </w:rPr>
        <w:t xml:space="preserve">.  </w:t>
      </w:r>
      <w:r w:rsidR="00096B2A" w:rsidRPr="00956214">
        <w:rPr>
          <w:rFonts w:ascii="Times New Roman" w:hAnsi="Times New Roman"/>
          <w:color w:val="000000"/>
        </w:rPr>
        <w:t>The estimated average response</w:t>
      </w:r>
      <w:r w:rsidR="00C51FFC" w:rsidRPr="00956214">
        <w:rPr>
          <w:rFonts w:ascii="Times New Roman" w:hAnsi="Times New Roman"/>
          <w:color w:val="000000"/>
        </w:rPr>
        <w:t xml:space="preserve"> time</w:t>
      </w:r>
      <w:r w:rsidR="00096B2A" w:rsidRPr="00956214">
        <w:rPr>
          <w:rFonts w:ascii="Times New Roman" w:hAnsi="Times New Roman"/>
          <w:color w:val="000000"/>
        </w:rPr>
        <w:t xml:space="preserve"> </w:t>
      </w:r>
      <w:r w:rsidR="00C51FFC" w:rsidRPr="00956214">
        <w:rPr>
          <w:rFonts w:ascii="Times New Roman" w:hAnsi="Times New Roman"/>
          <w:color w:val="000000"/>
        </w:rPr>
        <w:t>(</w:t>
      </w:r>
      <w:r w:rsidR="00747464" w:rsidRPr="00956214">
        <w:rPr>
          <w:rFonts w:ascii="Times New Roman" w:hAnsi="Times New Roman"/>
          <w:color w:val="000000"/>
        </w:rPr>
        <w:t>3</w:t>
      </w:r>
      <w:r w:rsidR="00096B2A" w:rsidRPr="00956214">
        <w:rPr>
          <w:rFonts w:ascii="Times New Roman" w:hAnsi="Times New Roman"/>
          <w:color w:val="000000"/>
        </w:rPr>
        <w:t>.5 hours</w:t>
      </w:r>
      <w:r w:rsidR="00C51FFC" w:rsidRPr="00956214">
        <w:rPr>
          <w:rFonts w:ascii="Times New Roman" w:hAnsi="Times New Roman"/>
          <w:color w:val="000000"/>
        </w:rPr>
        <w:t>) is the same for</w:t>
      </w:r>
      <w:r w:rsidR="00096B2A" w:rsidRPr="00956214">
        <w:rPr>
          <w:rFonts w:ascii="Times New Roman" w:hAnsi="Times New Roman"/>
          <w:color w:val="000000"/>
        </w:rPr>
        <w:t xml:space="preserve"> data </w:t>
      </w:r>
      <w:r w:rsidR="00364B92" w:rsidRPr="00956214">
        <w:rPr>
          <w:rFonts w:ascii="Times New Roman" w:hAnsi="Times New Roman"/>
          <w:color w:val="000000"/>
        </w:rPr>
        <w:t xml:space="preserve">that </w:t>
      </w:r>
      <w:r w:rsidR="00096B2A" w:rsidRPr="00956214">
        <w:rPr>
          <w:rFonts w:ascii="Times New Roman" w:hAnsi="Times New Roman"/>
          <w:color w:val="000000"/>
        </w:rPr>
        <w:t xml:space="preserve">are submitted on an individual </w:t>
      </w:r>
      <w:r w:rsidR="00C51FFC" w:rsidRPr="00956214">
        <w:rPr>
          <w:rFonts w:ascii="Times New Roman" w:hAnsi="Times New Roman"/>
          <w:color w:val="000000"/>
        </w:rPr>
        <w:t>and a</w:t>
      </w:r>
      <w:r w:rsidR="00096B2A" w:rsidRPr="00956214">
        <w:rPr>
          <w:rFonts w:ascii="Times New Roman" w:hAnsi="Times New Roman"/>
          <w:color w:val="000000"/>
        </w:rPr>
        <w:t xml:space="preserve"> consolidated basis.</w:t>
      </w:r>
      <w:r w:rsidR="00AE6404" w:rsidRPr="00956214">
        <w:rPr>
          <w:rFonts w:ascii="Times New Roman" w:hAnsi="Times New Roman"/>
          <w:color w:val="000000"/>
        </w:rPr>
        <w:t xml:space="preserve"> </w:t>
      </w:r>
      <w:r w:rsidR="006D3FFF" w:rsidRPr="00956214">
        <w:rPr>
          <w:rFonts w:ascii="Times New Roman" w:hAnsi="Times New Roman"/>
          <w:color w:val="000000"/>
        </w:rPr>
        <w:t>The annual burden for the FR</w:t>
      </w:r>
      <w:r w:rsidR="000F5602">
        <w:rPr>
          <w:rFonts w:ascii="Times New Roman" w:hAnsi="Times New Roman"/>
          <w:color w:val="000000"/>
        </w:rPr>
        <w:t> </w:t>
      </w:r>
      <w:r w:rsidR="006D3FFF" w:rsidRPr="00956214">
        <w:rPr>
          <w:rFonts w:ascii="Times New Roman" w:hAnsi="Times New Roman"/>
          <w:color w:val="000000"/>
        </w:rPr>
        <w:t>2502q represents less than 1 percent of the total Federal Reserve System paperwork burden.</w:t>
      </w:r>
      <w:r w:rsidR="006D3FFF" w:rsidRPr="00956214">
        <w:rPr>
          <w:rFonts w:ascii="Times New Roman" w:hAnsi="Times New Roman"/>
          <w:color w:val="FF0000"/>
        </w:rPr>
        <w:t xml:space="preserve"> </w:t>
      </w:r>
    </w:p>
    <w:p w:rsidR="005F22BA" w:rsidRPr="00956214" w:rsidRDefault="005F22BA" w:rsidP="006D3FFF">
      <w:pPr>
        <w:widowControl/>
        <w:ind w:firstLine="720"/>
        <w:rPr>
          <w:rFonts w:ascii="Times New Roman" w:hAnsi="Times New Roman"/>
          <w:color w:val="000000"/>
        </w:rPr>
      </w:pP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1915"/>
        <w:gridCol w:w="1915"/>
        <w:gridCol w:w="1915"/>
        <w:gridCol w:w="1915"/>
        <w:gridCol w:w="1916"/>
      </w:tblGrid>
      <w:tr w:rsidR="005E6994" w:rsidRPr="00956214" w:rsidTr="008F42B9">
        <w:tc>
          <w:tcPr>
            <w:tcW w:w="1915" w:type="dxa"/>
            <w:vAlign w:val="bottom"/>
          </w:tcPr>
          <w:p w:rsidR="005E6994" w:rsidRPr="00956214" w:rsidRDefault="005E6994" w:rsidP="008F42B9">
            <w:pPr>
              <w:jc w:val="center"/>
              <w:rPr>
                <w:rFonts w:ascii="Times New Roman" w:hAnsi="Times New Roman" w:cs="Times New Roman"/>
                <w:i/>
                <w:szCs w:val="24"/>
              </w:rPr>
            </w:pPr>
          </w:p>
        </w:tc>
        <w:tc>
          <w:tcPr>
            <w:tcW w:w="1915" w:type="dxa"/>
            <w:vAlign w:val="bottom"/>
          </w:tcPr>
          <w:p w:rsidR="005E6994" w:rsidRPr="00956214" w:rsidRDefault="00D62E97" w:rsidP="008F42B9">
            <w:pPr>
              <w:jc w:val="center"/>
              <w:rPr>
                <w:rFonts w:ascii="Times New Roman" w:hAnsi="Times New Roman" w:cs="Times New Roman"/>
                <w:i/>
                <w:szCs w:val="24"/>
              </w:rPr>
            </w:pPr>
            <w:r w:rsidRPr="00956214">
              <w:rPr>
                <w:rFonts w:ascii="Times New Roman" w:hAnsi="Times New Roman" w:cs="Times New Roman"/>
                <w:i/>
                <w:szCs w:val="24"/>
              </w:rPr>
              <w:t>Number of respondents</w:t>
            </w:r>
          </w:p>
        </w:tc>
        <w:tc>
          <w:tcPr>
            <w:tcW w:w="1915" w:type="dxa"/>
            <w:vAlign w:val="bottom"/>
          </w:tcPr>
          <w:p w:rsidR="005E6994" w:rsidRPr="00956214" w:rsidRDefault="00D62E97" w:rsidP="008F42B9">
            <w:pPr>
              <w:jc w:val="center"/>
              <w:rPr>
                <w:rFonts w:ascii="Times New Roman" w:hAnsi="Times New Roman" w:cs="Times New Roman"/>
                <w:i/>
                <w:szCs w:val="24"/>
              </w:rPr>
            </w:pPr>
            <w:r w:rsidRPr="00956214">
              <w:rPr>
                <w:rFonts w:ascii="Times New Roman" w:hAnsi="Times New Roman" w:cs="Times New Roman"/>
                <w:i/>
                <w:szCs w:val="24"/>
              </w:rPr>
              <w:t>Annual Frequency</w:t>
            </w:r>
          </w:p>
        </w:tc>
        <w:tc>
          <w:tcPr>
            <w:tcW w:w="1915" w:type="dxa"/>
            <w:vAlign w:val="bottom"/>
          </w:tcPr>
          <w:p w:rsidR="005E6994" w:rsidRPr="00956214" w:rsidRDefault="00D62E97" w:rsidP="008F42B9">
            <w:pPr>
              <w:jc w:val="center"/>
              <w:rPr>
                <w:rFonts w:ascii="Times New Roman" w:hAnsi="Times New Roman" w:cs="Times New Roman"/>
                <w:i/>
                <w:szCs w:val="24"/>
              </w:rPr>
            </w:pPr>
            <w:r w:rsidRPr="00956214">
              <w:rPr>
                <w:rFonts w:ascii="Times New Roman" w:hAnsi="Times New Roman" w:cs="Times New Roman"/>
                <w:i/>
                <w:szCs w:val="24"/>
              </w:rPr>
              <w:t>Estimated average hours per response</w:t>
            </w:r>
          </w:p>
        </w:tc>
        <w:tc>
          <w:tcPr>
            <w:tcW w:w="1916" w:type="dxa"/>
            <w:vAlign w:val="bottom"/>
          </w:tcPr>
          <w:p w:rsidR="005E6994" w:rsidRPr="00956214" w:rsidRDefault="00D62E97" w:rsidP="008F42B9">
            <w:pPr>
              <w:jc w:val="center"/>
              <w:rPr>
                <w:rFonts w:ascii="Times New Roman" w:hAnsi="Times New Roman" w:cs="Times New Roman"/>
                <w:i/>
                <w:szCs w:val="24"/>
              </w:rPr>
            </w:pPr>
            <w:r w:rsidRPr="00956214">
              <w:rPr>
                <w:rFonts w:ascii="Times New Roman" w:hAnsi="Times New Roman" w:cs="Times New Roman"/>
                <w:i/>
                <w:szCs w:val="24"/>
              </w:rPr>
              <w:t>Estimated annual burden hours</w:t>
            </w:r>
          </w:p>
        </w:tc>
      </w:tr>
      <w:tr w:rsidR="005E6994" w:rsidRPr="00956214" w:rsidTr="008F42B9">
        <w:tc>
          <w:tcPr>
            <w:tcW w:w="1915" w:type="dxa"/>
            <w:vAlign w:val="bottom"/>
          </w:tcPr>
          <w:p w:rsidR="005E6994" w:rsidRPr="00956214" w:rsidRDefault="005E6994" w:rsidP="008F42B9">
            <w:pPr>
              <w:jc w:val="center"/>
              <w:rPr>
                <w:rFonts w:ascii="Times New Roman" w:hAnsi="Times New Roman" w:cs="Times New Roman"/>
                <w:i/>
                <w:szCs w:val="24"/>
              </w:rPr>
            </w:pPr>
          </w:p>
        </w:tc>
        <w:tc>
          <w:tcPr>
            <w:tcW w:w="1915" w:type="dxa"/>
            <w:vAlign w:val="bottom"/>
          </w:tcPr>
          <w:p w:rsidR="005E6994" w:rsidRPr="00956214" w:rsidRDefault="005E6994" w:rsidP="008F42B9">
            <w:pPr>
              <w:jc w:val="center"/>
              <w:rPr>
                <w:rFonts w:ascii="Times New Roman" w:hAnsi="Times New Roman" w:cs="Times New Roman"/>
                <w:i/>
                <w:szCs w:val="24"/>
              </w:rPr>
            </w:pPr>
          </w:p>
        </w:tc>
        <w:tc>
          <w:tcPr>
            <w:tcW w:w="1915" w:type="dxa"/>
            <w:vAlign w:val="bottom"/>
          </w:tcPr>
          <w:p w:rsidR="005E6994" w:rsidRPr="00956214" w:rsidRDefault="005E6994" w:rsidP="008F42B9">
            <w:pPr>
              <w:jc w:val="center"/>
              <w:rPr>
                <w:rFonts w:ascii="Times New Roman" w:hAnsi="Times New Roman" w:cs="Times New Roman"/>
                <w:i/>
                <w:szCs w:val="24"/>
              </w:rPr>
            </w:pPr>
          </w:p>
        </w:tc>
        <w:tc>
          <w:tcPr>
            <w:tcW w:w="1915" w:type="dxa"/>
            <w:vAlign w:val="bottom"/>
          </w:tcPr>
          <w:p w:rsidR="005E6994" w:rsidRPr="00956214" w:rsidRDefault="005E6994" w:rsidP="008F42B9">
            <w:pPr>
              <w:jc w:val="center"/>
              <w:rPr>
                <w:rFonts w:ascii="Times New Roman" w:hAnsi="Times New Roman" w:cs="Times New Roman"/>
                <w:i/>
                <w:szCs w:val="24"/>
              </w:rPr>
            </w:pPr>
          </w:p>
        </w:tc>
        <w:tc>
          <w:tcPr>
            <w:tcW w:w="1916" w:type="dxa"/>
            <w:vAlign w:val="bottom"/>
          </w:tcPr>
          <w:p w:rsidR="005E6994" w:rsidRPr="00956214" w:rsidRDefault="005E6994" w:rsidP="008F42B9">
            <w:pPr>
              <w:jc w:val="center"/>
              <w:rPr>
                <w:rFonts w:ascii="Times New Roman" w:hAnsi="Times New Roman" w:cs="Times New Roman"/>
                <w:i/>
                <w:szCs w:val="24"/>
              </w:rPr>
            </w:pPr>
          </w:p>
        </w:tc>
      </w:tr>
      <w:tr w:rsidR="005E6994" w:rsidRPr="00956214" w:rsidTr="008F42B9">
        <w:tc>
          <w:tcPr>
            <w:tcW w:w="1915" w:type="dxa"/>
          </w:tcPr>
          <w:p w:rsidR="005E6994" w:rsidRPr="00956214" w:rsidRDefault="00D62E97" w:rsidP="008F42B9">
            <w:pPr>
              <w:rPr>
                <w:rFonts w:ascii="Times New Roman" w:hAnsi="Times New Roman" w:cs="Times New Roman"/>
                <w:szCs w:val="24"/>
              </w:rPr>
            </w:pPr>
            <w:r w:rsidRPr="00956214">
              <w:rPr>
                <w:rFonts w:ascii="Times New Roman" w:hAnsi="Times New Roman" w:cs="Times New Roman"/>
                <w:szCs w:val="24"/>
              </w:rPr>
              <w:t>Current</w:t>
            </w:r>
          </w:p>
        </w:tc>
        <w:tc>
          <w:tcPr>
            <w:tcW w:w="1915" w:type="dxa"/>
          </w:tcPr>
          <w:p w:rsidR="005E6994" w:rsidRPr="00956214" w:rsidRDefault="00D62E97" w:rsidP="008F42B9">
            <w:pPr>
              <w:jc w:val="center"/>
              <w:rPr>
                <w:rFonts w:ascii="Times New Roman" w:hAnsi="Times New Roman" w:cs="Times New Roman"/>
                <w:szCs w:val="24"/>
              </w:rPr>
            </w:pPr>
            <w:r w:rsidRPr="00956214">
              <w:rPr>
                <w:rFonts w:ascii="Times New Roman" w:hAnsi="Times New Roman" w:cs="Times New Roman"/>
                <w:szCs w:val="24"/>
              </w:rPr>
              <w:t>55</w:t>
            </w:r>
          </w:p>
        </w:tc>
        <w:tc>
          <w:tcPr>
            <w:tcW w:w="1915" w:type="dxa"/>
          </w:tcPr>
          <w:p w:rsidR="005E6994" w:rsidRPr="00956214" w:rsidRDefault="00D62E97" w:rsidP="008F42B9">
            <w:pPr>
              <w:jc w:val="center"/>
              <w:rPr>
                <w:rFonts w:ascii="Times New Roman" w:hAnsi="Times New Roman" w:cs="Times New Roman"/>
                <w:szCs w:val="24"/>
              </w:rPr>
            </w:pPr>
            <w:r w:rsidRPr="00956214">
              <w:rPr>
                <w:rFonts w:ascii="Times New Roman" w:hAnsi="Times New Roman" w:cs="Times New Roman"/>
                <w:szCs w:val="24"/>
              </w:rPr>
              <w:t>4</w:t>
            </w:r>
          </w:p>
        </w:tc>
        <w:tc>
          <w:tcPr>
            <w:tcW w:w="1915" w:type="dxa"/>
          </w:tcPr>
          <w:p w:rsidR="005E6994" w:rsidRPr="00956214" w:rsidRDefault="00D62E97" w:rsidP="008F42B9">
            <w:pPr>
              <w:jc w:val="center"/>
              <w:rPr>
                <w:rFonts w:ascii="Times New Roman" w:hAnsi="Times New Roman" w:cs="Times New Roman"/>
                <w:szCs w:val="24"/>
              </w:rPr>
            </w:pPr>
            <w:r w:rsidRPr="00956214">
              <w:rPr>
                <w:rFonts w:ascii="Times New Roman" w:hAnsi="Times New Roman" w:cs="Times New Roman"/>
                <w:szCs w:val="24"/>
              </w:rPr>
              <w:t>3.5</w:t>
            </w:r>
          </w:p>
        </w:tc>
        <w:tc>
          <w:tcPr>
            <w:tcW w:w="1916" w:type="dxa"/>
          </w:tcPr>
          <w:p w:rsidR="005E6994" w:rsidRPr="00956214" w:rsidRDefault="00D62E97" w:rsidP="008F42B9">
            <w:pPr>
              <w:jc w:val="center"/>
              <w:rPr>
                <w:rFonts w:ascii="Times New Roman" w:hAnsi="Times New Roman" w:cs="Times New Roman"/>
                <w:szCs w:val="24"/>
              </w:rPr>
            </w:pPr>
            <w:r w:rsidRPr="00956214">
              <w:rPr>
                <w:rFonts w:ascii="Times New Roman" w:hAnsi="Times New Roman" w:cs="Times New Roman"/>
                <w:szCs w:val="24"/>
              </w:rPr>
              <w:t>770</w:t>
            </w:r>
          </w:p>
        </w:tc>
      </w:tr>
      <w:tr w:rsidR="005E6994" w:rsidRPr="00956214" w:rsidTr="008F42B9">
        <w:tc>
          <w:tcPr>
            <w:tcW w:w="1915" w:type="dxa"/>
          </w:tcPr>
          <w:p w:rsidR="005E6994" w:rsidRPr="00956214" w:rsidRDefault="00D62E97" w:rsidP="008F42B9">
            <w:pPr>
              <w:rPr>
                <w:rFonts w:ascii="Times New Roman" w:hAnsi="Times New Roman" w:cs="Times New Roman"/>
                <w:szCs w:val="24"/>
              </w:rPr>
            </w:pPr>
            <w:r w:rsidRPr="00956214">
              <w:rPr>
                <w:rFonts w:ascii="Times New Roman" w:hAnsi="Times New Roman" w:cs="Times New Roman"/>
                <w:szCs w:val="24"/>
              </w:rPr>
              <w:t>Proposed</w:t>
            </w:r>
          </w:p>
        </w:tc>
        <w:tc>
          <w:tcPr>
            <w:tcW w:w="1915" w:type="dxa"/>
          </w:tcPr>
          <w:p w:rsidR="005E6994" w:rsidRPr="00956214" w:rsidRDefault="00D62E97" w:rsidP="008F42B9">
            <w:pPr>
              <w:jc w:val="center"/>
              <w:rPr>
                <w:rFonts w:ascii="Times New Roman" w:hAnsi="Times New Roman" w:cs="Times New Roman"/>
                <w:szCs w:val="24"/>
              </w:rPr>
            </w:pPr>
            <w:r w:rsidRPr="00956214">
              <w:rPr>
                <w:rFonts w:ascii="Times New Roman" w:hAnsi="Times New Roman" w:cs="Times New Roman"/>
                <w:szCs w:val="24"/>
              </w:rPr>
              <w:t>41</w:t>
            </w:r>
          </w:p>
        </w:tc>
        <w:tc>
          <w:tcPr>
            <w:tcW w:w="1915" w:type="dxa"/>
          </w:tcPr>
          <w:p w:rsidR="005E6994" w:rsidRPr="00956214" w:rsidRDefault="00D62E97" w:rsidP="008F42B9">
            <w:pPr>
              <w:jc w:val="center"/>
              <w:rPr>
                <w:rFonts w:ascii="Times New Roman" w:hAnsi="Times New Roman" w:cs="Times New Roman"/>
                <w:szCs w:val="24"/>
              </w:rPr>
            </w:pPr>
            <w:r w:rsidRPr="00956214">
              <w:rPr>
                <w:rFonts w:ascii="Times New Roman" w:hAnsi="Times New Roman" w:cs="Times New Roman"/>
                <w:szCs w:val="24"/>
              </w:rPr>
              <w:t>4</w:t>
            </w:r>
          </w:p>
        </w:tc>
        <w:tc>
          <w:tcPr>
            <w:tcW w:w="1915" w:type="dxa"/>
          </w:tcPr>
          <w:p w:rsidR="005E6994" w:rsidRPr="00956214" w:rsidRDefault="00D62E97" w:rsidP="008F42B9">
            <w:pPr>
              <w:jc w:val="center"/>
              <w:rPr>
                <w:rFonts w:ascii="Times New Roman" w:hAnsi="Times New Roman" w:cs="Times New Roman"/>
                <w:szCs w:val="24"/>
              </w:rPr>
            </w:pPr>
            <w:r w:rsidRPr="00956214">
              <w:rPr>
                <w:rFonts w:ascii="Times New Roman" w:hAnsi="Times New Roman" w:cs="Times New Roman"/>
                <w:szCs w:val="24"/>
              </w:rPr>
              <w:t>3.5</w:t>
            </w:r>
          </w:p>
        </w:tc>
        <w:tc>
          <w:tcPr>
            <w:tcW w:w="1916" w:type="dxa"/>
          </w:tcPr>
          <w:p w:rsidR="005E6994" w:rsidRPr="00956214" w:rsidRDefault="00D62E97" w:rsidP="008F42B9">
            <w:pPr>
              <w:jc w:val="center"/>
              <w:rPr>
                <w:rFonts w:ascii="Times New Roman" w:hAnsi="Times New Roman" w:cs="Times New Roman"/>
                <w:szCs w:val="24"/>
                <w:u w:val="single"/>
              </w:rPr>
            </w:pPr>
            <w:r w:rsidRPr="00956214">
              <w:rPr>
                <w:rFonts w:ascii="Times New Roman" w:hAnsi="Times New Roman" w:cs="Times New Roman"/>
                <w:szCs w:val="24"/>
                <w:u w:val="single"/>
              </w:rPr>
              <w:t>574</w:t>
            </w:r>
          </w:p>
        </w:tc>
      </w:tr>
      <w:tr w:rsidR="005E6994" w:rsidRPr="00956214" w:rsidTr="008F42B9">
        <w:tc>
          <w:tcPr>
            <w:tcW w:w="1915" w:type="dxa"/>
          </w:tcPr>
          <w:p w:rsidR="00995C6D" w:rsidRPr="00956214" w:rsidRDefault="00995C6D" w:rsidP="008F42B9">
            <w:pPr>
              <w:jc w:val="right"/>
              <w:rPr>
                <w:rFonts w:ascii="Times New Roman" w:hAnsi="Times New Roman" w:cs="Times New Roman"/>
                <w:i/>
                <w:szCs w:val="24"/>
              </w:rPr>
            </w:pPr>
          </w:p>
          <w:p w:rsidR="005E6994" w:rsidRPr="00956214" w:rsidRDefault="00995C6D" w:rsidP="008F42B9">
            <w:pPr>
              <w:jc w:val="right"/>
              <w:rPr>
                <w:rFonts w:ascii="Times New Roman" w:hAnsi="Times New Roman" w:cs="Times New Roman"/>
                <w:i/>
                <w:szCs w:val="24"/>
              </w:rPr>
            </w:pPr>
            <w:r w:rsidRPr="00956214">
              <w:rPr>
                <w:rFonts w:ascii="Times New Roman" w:hAnsi="Times New Roman" w:cs="Times New Roman"/>
                <w:i/>
                <w:szCs w:val="24"/>
              </w:rPr>
              <w:t>Change</w:t>
            </w:r>
          </w:p>
        </w:tc>
        <w:tc>
          <w:tcPr>
            <w:tcW w:w="1915" w:type="dxa"/>
          </w:tcPr>
          <w:p w:rsidR="005E6994" w:rsidRPr="00956214" w:rsidRDefault="005E6994" w:rsidP="008F42B9">
            <w:pPr>
              <w:jc w:val="center"/>
              <w:rPr>
                <w:rFonts w:ascii="Times New Roman" w:hAnsi="Times New Roman" w:cs="Times New Roman"/>
                <w:szCs w:val="24"/>
              </w:rPr>
            </w:pPr>
          </w:p>
        </w:tc>
        <w:tc>
          <w:tcPr>
            <w:tcW w:w="1915" w:type="dxa"/>
          </w:tcPr>
          <w:p w:rsidR="005E6994" w:rsidRPr="00956214" w:rsidRDefault="005E6994" w:rsidP="008F42B9">
            <w:pPr>
              <w:jc w:val="center"/>
              <w:rPr>
                <w:rFonts w:ascii="Times New Roman" w:hAnsi="Times New Roman" w:cs="Times New Roman"/>
                <w:szCs w:val="24"/>
              </w:rPr>
            </w:pPr>
          </w:p>
        </w:tc>
        <w:tc>
          <w:tcPr>
            <w:tcW w:w="1915" w:type="dxa"/>
          </w:tcPr>
          <w:p w:rsidR="005E6994" w:rsidRPr="00956214" w:rsidRDefault="005E6994" w:rsidP="008F42B9">
            <w:pPr>
              <w:jc w:val="center"/>
              <w:rPr>
                <w:rFonts w:ascii="Times New Roman" w:hAnsi="Times New Roman" w:cs="Times New Roman"/>
                <w:szCs w:val="24"/>
              </w:rPr>
            </w:pPr>
          </w:p>
        </w:tc>
        <w:tc>
          <w:tcPr>
            <w:tcW w:w="1916" w:type="dxa"/>
          </w:tcPr>
          <w:p w:rsidR="00995C6D" w:rsidRPr="00956214" w:rsidRDefault="00995C6D" w:rsidP="008F42B9">
            <w:pPr>
              <w:jc w:val="center"/>
              <w:rPr>
                <w:rFonts w:ascii="Times New Roman" w:hAnsi="Times New Roman" w:cs="Times New Roman"/>
                <w:szCs w:val="24"/>
              </w:rPr>
            </w:pPr>
          </w:p>
          <w:p w:rsidR="005E6994" w:rsidRPr="00956214" w:rsidRDefault="00BA58B0" w:rsidP="00BA58B0">
            <w:pPr>
              <w:jc w:val="center"/>
              <w:rPr>
                <w:rFonts w:ascii="Times New Roman" w:hAnsi="Times New Roman" w:cs="Times New Roman"/>
                <w:szCs w:val="24"/>
              </w:rPr>
            </w:pPr>
            <w:r w:rsidRPr="00956214">
              <w:rPr>
                <w:rFonts w:ascii="Times New Roman" w:hAnsi="Times New Roman" w:cs="Times New Roman"/>
                <w:szCs w:val="24"/>
              </w:rPr>
              <w:t>-</w:t>
            </w:r>
            <w:r w:rsidR="00D62E97" w:rsidRPr="00956214">
              <w:rPr>
                <w:rFonts w:ascii="Times New Roman" w:hAnsi="Times New Roman" w:cs="Times New Roman"/>
                <w:szCs w:val="24"/>
              </w:rPr>
              <w:t>196</w:t>
            </w:r>
          </w:p>
        </w:tc>
      </w:tr>
      <w:tr w:rsidR="005E6994" w:rsidRPr="00956214" w:rsidTr="008F42B9">
        <w:tc>
          <w:tcPr>
            <w:tcW w:w="1915" w:type="dxa"/>
          </w:tcPr>
          <w:p w:rsidR="005E6994" w:rsidRPr="00956214" w:rsidRDefault="005E6994" w:rsidP="008F42B9">
            <w:pPr>
              <w:jc w:val="right"/>
              <w:rPr>
                <w:rFonts w:ascii="Times New Roman" w:hAnsi="Times New Roman" w:cs="Times New Roman"/>
                <w:i/>
                <w:szCs w:val="24"/>
              </w:rPr>
            </w:pPr>
          </w:p>
        </w:tc>
        <w:tc>
          <w:tcPr>
            <w:tcW w:w="1915" w:type="dxa"/>
          </w:tcPr>
          <w:p w:rsidR="005E6994" w:rsidRPr="00956214" w:rsidRDefault="005E6994" w:rsidP="008F42B9">
            <w:pPr>
              <w:jc w:val="center"/>
              <w:rPr>
                <w:rFonts w:ascii="Times New Roman" w:hAnsi="Times New Roman" w:cs="Times New Roman"/>
                <w:szCs w:val="24"/>
              </w:rPr>
            </w:pPr>
          </w:p>
        </w:tc>
        <w:tc>
          <w:tcPr>
            <w:tcW w:w="1915" w:type="dxa"/>
          </w:tcPr>
          <w:p w:rsidR="005E6994" w:rsidRPr="00956214" w:rsidRDefault="005E6994" w:rsidP="008F42B9">
            <w:pPr>
              <w:jc w:val="center"/>
              <w:rPr>
                <w:rFonts w:ascii="Times New Roman" w:hAnsi="Times New Roman" w:cs="Times New Roman"/>
                <w:szCs w:val="24"/>
              </w:rPr>
            </w:pPr>
          </w:p>
        </w:tc>
        <w:tc>
          <w:tcPr>
            <w:tcW w:w="1915" w:type="dxa"/>
          </w:tcPr>
          <w:p w:rsidR="005E6994" w:rsidRPr="00956214" w:rsidRDefault="005E6994" w:rsidP="008F42B9">
            <w:pPr>
              <w:jc w:val="center"/>
              <w:rPr>
                <w:rFonts w:ascii="Times New Roman" w:hAnsi="Times New Roman" w:cs="Times New Roman"/>
                <w:szCs w:val="24"/>
              </w:rPr>
            </w:pPr>
          </w:p>
        </w:tc>
        <w:tc>
          <w:tcPr>
            <w:tcW w:w="1916" w:type="dxa"/>
          </w:tcPr>
          <w:p w:rsidR="005E6994" w:rsidRPr="00956214" w:rsidRDefault="005E6994" w:rsidP="008F42B9">
            <w:pPr>
              <w:jc w:val="center"/>
              <w:rPr>
                <w:rFonts w:ascii="Times New Roman" w:hAnsi="Times New Roman" w:cs="Times New Roman"/>
                <w:szCs w:val="24"/>
              </w:rPr>
            </w:pPr>
          </w:p>
        </w:tc>
      </w:tr>
    </w:tbl>
    <w:p w:rsidR="0080341D" w:rsidRPr="00956214" w:rsidRDefault="0080341D">
      <w:pPr>
        <w:widowControl/>
        <w:tabs>
          <w:tab w:val="left" w:pos="360"/>
        </w:tabs>
        <w:rPr>
          <w:rFonts w:ascii="Times New Roman" w:hAnsi="Times New Roman"/>
          <w:color w:val="000000"/>
        </w:rPr>
      </w:pPr>
    </w:p>
    <w:p w:rsidR="0080341D" w:rsidRPr="00956214" w:rsidRDefault="00120EFC">
      <w:pPr>
        <w:widowControl/>
        <w:tabs>
          <w:tab w:val="left" w:pos="360"/>
        </w:tabs>
        <w:rPr>
          <w:rFonts w:ascii="Times New Roman" w:hAnsi="Times New Roman"/>
          <w:vertAlign w:val="superscript"/>
        </w:rPr>
      </w:pPr>
      <w:r w:rsidRPr="00956214">
        <w:rPr>
          <w:rFonts w:ascii="Times New Roman" w:hAnsi="Times New Roman"/>
        </w:rPr>
        <w:t xml:space="preserve">The total cost to the public is estimated to </w:t>
      </w:r>
      <w:r w:rsidR="005E6994" w:rsidRPr="00956214">
        <w:rPr>
          <w:rFonts w:ascii="Times New Roman" w:hAnsi="Times New Roman"/>
        </w:rPr>
        <w:t>de</w:t>
      </w:r>
      <w:r w:rsidRPr="00956214">
        <w:rPr>
          <w:rFonts w:ascii="Times New Roman" w:hAnsi="Times New Roman"/>
        </w:rPr>
        <w:t>crease from the current level of $</w:t>
      </w:r>
      <w:r w:rsidR="005E6994" w:rsidRPr="00956214">
        <w:rPr>
          <w:rFonts w:ascii="Times New Roman" w:hAnsi="Times New Roman"/>
        </w:rPr>
        <w:t>33,418</w:t>
      </w:r>
      <w:r w:rsidRPr="00956214">
        <w:rPr>
          <w:rFonts w:ascii="Times New Roman" w:hAnsi="Times New Roman"/>
        </w:rPr>
        <w:t xml:space="preserve"> to $</w:t>
      </w:r>
      <w:r w:rsidR="005E6994" w:rsidRPr="00956214">
        <w:rPr>
          <w:rFonts w:ascii="Times New Roman" w:hAnsi="Times New Roman"/>
        </w:rPr>
        <w:t>24,912</w:t>
      </w:r>
      <w:r w:rsidRPr="00956214">
        <w:rPr>
          <w:rFonts w:ascii="Times New Roman" w:hAnsi="Times New Roman"/>
        </w:rPr>
        <w:t xml:space="preserve"> for the revised FR 2502q report</w:t>
      </w:r>
      <w:r w:rsidR="0080341D" w:rsidRPr="00956214">
        <w:rPr>
          <w:rFonts w:ascii="Times New Roman" w:hAnsi="Times New Roman"/>
        </w:rPr>
        <w:t>.</w:t>
      </w:r>
      <w:r w:rsidR="0080341D" w:rsidRPr="00956214">
        <w:rPr>
          <w:rStyle w:val="FootnoteReference"/>
          <w:rFonts w:ascii="Times New Roman" w:hAnsi="Times New Roman"/>
          <w:vertAlign w:val="superscript"/>
        </w:rPr>
        <w:footnoteReference w:id="4"/>
      </w:r>
    </w:p>
    <w:p w:rsidR="00277C6F" w:rsidRPr="00956214" w:rsidRDefault="0080341D">
      <w:pPr>
        <w:widowControl/>
        <w:tabs>
          <w:tab w:val="left" w:pos="360"/>
        </w:tabs>
        <w:rPr>
          <w:rFonts w:ascii="Times New Roman" w:hAnsi="Times New Roman"/>
          <w:color w:val="000000"/>
        </w:rPr>
      </w:pPr>
      <w:r w:rsidRPr="00956214" w:rsidDel="0080341D">
        <w:rPr>
          <w:rFonts w:ascii="Times New Roman" w:hAnsi="Times New Roman"/>
          <w:color w:val="000000"/>
        </w:rPr>
        <w:t xml:space="preserve"> </w:t>
      </w:r>
    </w:p>
    <w:p w:rsidR="005F22BA" w:rsidRPr="00956214" w:rsidRDefault="005F22BA">
      <w:pPr>
        <w:widowControl/>
        <w:tabs>
          <w:tab w:val="left" w:pos="360"/>
        </w:tabs>
        <w:rPr>
          <w:rFonts w:ascii="Times New Roman" w:hAnsi="Times New Roman"/>
          <w:color w:val="000000"/>
        </w:rPr>
      </w:pPr>
      <w:r w:rsidRPr="00956214">
        <w:rPr>
          <w:rFonts w:ascii="Times New Roman" w:hAnsi="Times New Roman"/>
          <w:b/>
          <w:color w:val="000000"/>
        </w:rPr>
        <w:t>Sensitive Questions</w:t>
      </w:r>
    </w:p>
    <w:p w:rsidR="005E224F" w:rsidRPr="00956214" w:rsidRDefault="005E224F" w:rsidP="00B05CE2">
      <w:pPr>
        <w:widowControl/>
        <w:rPr>
          <w:rFonts w:ascii="Times New Roman" w:hAnsi="Times New Roman"/>
          <w:color w:val="000000"/>
        </w:rPr>
      </w:pPr>
    </w:p>
    <w:p w:rsidR="00E4327B" w:rsidRPr="00956214" w:rsidRDefault="005F22BA" w:rsidP="000A1EAD">
      <w:pPr>
        <w:widowControl/>
        <w:ind w:firstLine="720"/>
        <w:rPr>
          <w:rFonts w:ascii="Times New Roman" w:hAnsi="Times New Roman"/>
          <w:b/>
          <w:color w:val="000000"/>
        </w:rPr>
      </w:pPr>
      <w:r w:rsidRPr="00956214">
        <w:rPr>
          <w:rFonts w:ascii="Times New Roman" w:hAnsi="Times New Roman"/>
          <w:color w:val="000000"/>
        </w:rPr>
        <w:t>This collection of information contains no questions of a sensitive nature, as defined by OMB guidelines.</w:t>
      </w:r>
    </w:p>
    <w:p w:rsidR="00E0743E" w:rsidRPr="00956214" w:rsidRDefault="00E0743E">
      <w:pPr>
        <w:widowControl/>
        <w:tabs>
          <w:tab w:val="left" w:pos="360"/>
        </w:tabs>
        <w:rPr>
          <w:rFonts w:ascii="Times New Roman" w:hAnsi="Times New Roman"/>
          <w:b/>
          <w:color w:val="000000"/>
        </w:rPr>
      </w:pPr>
    </w:p>
    <w:p w:rsidR="005F22BA" w:rsidRPr="00956214" w:rsidRDefault="005F22BA">
      <w:pPr>
        <w:widowControl/>
        <w:tabs>
          <w:tab w:val="left" w:pos="360"/>
        </w:tabs>
        <w:rPr>
          <w:rFonts w:ascii="Times New Roman" w:hAnsi="Times New Roman"/>
          <w:color w:val="000000"/>
        </w:rPr>
      </w:pPr>
      <w:r w:rsidRPr="00956214">
        <w:rPr>
          <w:rFonts w:ascii="Times New Roman" w:hAnsi="Times New Roman"/>
          <w:b/>
          <w:color w:val="000000"/>
        </w:rPr>
        <w:t>Estimate of Cost to the Federal Reserve System</w:t>
      </w:r>
    </w:p>
    <w:p w:rsidR="005F22BA" w:rsidRDefault="002D5F92">
      <w:pPr>
        <w:widowControl/>
        <w:tabs>
          <w:tab w:val="left" w:pos="360"/>
        </w:tabs>
        <w:rPr>
          <w:rFonts w:ascii="Times New Roman" w:hAnsi="Times New Roman"/>
          <w:color w:val="000000"/>
        </w:rPr>
      </w:pPr>
      <w:r>
        <w:rPr>
          <w:rFonts w:ascii="Times New Roman" w:hAnsi="Times New Roman"/>
          <w:color w:val="000000"/>
        </w:rPr>
        <w:t xml:space="preserve"> </w:t>
      </w:r>
    </w:p>
    <w:p w:rsidR="002D5F92" w:rsidRPr="00956214" w:rsidRDefault="002D5F92" w:rsidP="00F10C69">
      <w:pPr>
        <w:widowControl/>
        <w:ind w:firstLine="720"/>
        <w:rPr>
          <w:rFonts w:ascii="Times New Roman" w:hAnsi="Times New Roman"/>
          <w:color w:val="000000"/>
        </w:rPr>
      </w:pPr>
      <w:r>
        <w:rPr>
          <w:rFonts w:ascii="Times New Roman" w:hAnsi="Times New Roman"/>
        </w:rPr>
        <w:t>Based on the proposed revisions the cost to the Federal Reserve System for collecting and</w:t>
      </w:r>
      <w:r w:rsidR="00F10C69">
        <w:rPr>
          <w:rFonts w:ascii="Times New Roman" w:hAnsi="Times New Roman"/>
        </w:rPr>
        <w:t xml:space="preserve"> </w:t>
      </w:r>
      <w:r>
        <w:rPr>
          <w:rFonts w:ascii="Times New Roman" w:hAnsi="Times New Roman"/>
        </w:rPr>
        <w:t>processing this report is estimated to increase from $43,950 to $44,350 per year. The</w:t>
      </w:r>
      <w:r w:rsidR="00F10C69">
        <w:rPr>
          <w:rFonts w:ascii="Times New Roman" w:hAnsi="Times New Roman"/>
        </w:rPr>
        <w:t xml:space="preserve"> one-time cost</w:t>
      </w:r>
      <w:r>
        <w:rPr>
          <w:rFonts w:ascii="Times New Roman" w:hAnsi="Times New Roman"/>
        </w:rPr>
        <w:t xml:space="preserve"> to implement the revised report is estimated to be $7,800.</w:t>
      </w:r>
    </w:p>
    <w:sectPr w:rsidR="002D5F92" w:rsidRPr="00956214" w:rsidSect="004C4CB1">
      <w:headerReference w:type="default" r:id="rId8"/>
      <w:footerReference w:type="even" r:id="rId9"/>
      <w:footerReference w:type="default" r:id="rId10"/>
      <w:endnotePr>
        <w:numFmt w:val="decimal"/>
      </w:endnotePr>
      <w:pgSz w:w="12240" w:h="15840" w:code="1"/>
      <w:pgMar w:top="1440" w:right="1440" w:bottom="1152"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5555" w:rsidRDefault="00185555">
      <w:r>
        <w:separator/>
      </w:r>
    </w:p>
  </w:endnote>
  <w:endnote w:type="continuationSeparator" w:id="0">
    <w:p w:rsidR="00185555" w:rsidRDefault="001855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555" w:rsidRDefault="009B02ED" w:rsidP="00BB00E8">
    <w:pPr>
      <w:pStyle w:val="Footer"/>
      <w:framePr w:wrap="around" w:vAnchor="text" w:hAnchor="margin" w:xAlign="center" w:y="1"/>
      <w:rPr>
        <w:rStyle w:val="PageNumber"/>
      </w:rPr>
    </w:pPr>
    <w:r>
      <w:rPr>
        <w:rStyle w:val="PageNumber"/>
      </w:rPr>
      <w:fldChar w:fldCharType="begin"/>
    </w:r>
    <w:r w:rsidR="00185555">
      <w:rPr>
        <w:rStyle w:val="PageNumber"/>
      </w:rPr>
      <w:instrText xml:space="preserve">PAGE  </w:instrText>
    </w:r>
    <w:r>
      <w:rPr>
        <w:rStyle w:val="PageNumber"/>
      </w:rPr>
      <w:fldChar w:fldCharType="end"/>
    </w:r>
  </w:p>
  <w:p w:rsidR="00185555" w:rsidRDefault="001855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555" w:rsidRPr="00EF43A7" w:rsidRDefault="009B02ED" w:rsidP="00BB00E8">
    <w:pPr>
      <w:pStyle w:val="Footer"/>
      <w:framePr w:wrap="around" w:vAnchor="text" w:hAnchor="margin" w:xAlign="center" w:y="1"/>
      <w:rPr>
        <w:rStyle w:val="PageNumber"/>
        <w:rFonts w:ascii="Times New Roman" w:hAnsi="Times New Roman"/>
      </w:rPr>
    </w:pPr>
    <w:r w:rsidRPr="00EF43A7">
      <w:rPr>
        <w:rStyle w:val="PageNumber"/>
        <w:rFonts w:ascii="Times New Roman" w:hAnsi="Times New Roman"/>
      </w:rPr>
      <w:fldChar w:fldCharType="begin"/>
    </w:r>
    <w:r w:rsidR="00185555" w:rsidRPr="00EF43A7">
      <w:rPr>
        <w:rStyle w:val="PageNumber"/>
        <w:rFonts w:ascii="Times New Roman" w:hAnsi="Times New Roman"/>
      </w:rPr>
      <w:instrText xml:space="preserve">PAGE  </w:instrText>
    </w:r>
    <w:r w:rsidRPr="00EF43A7">
      <w:rPr>
        <w:rStyle w:val="PageNumber"/>
        <w:rFonts w:ascii="Times New Roman" w:hAnsi="Times New Roman"/>
      </w:rPr>
      <w:fldChar w:fldCharType="separate"/>
    </w:r>
    <w:r w:rsidR="00921C39">
      <w:rPr>
        <w:rStyle w:val="PageNumber"/>
        <w:rFonts w:ascii="Times New Roman" w:hAnsi="Times New Roman"/>
        <w:noProof/>
      </w:rPr>
      <w:t>5</w:t>
    </w:r>
    <w:r w:rsidRPr="00EF43A7">
      <w:rPr>
        <w:rStyle w:val="PageNumber"/>
        <w:rFonts w:ascii="Times New Roman" w:hAnsi="Times New Roman"/>
      </w:rPr>
      <w:fldChar w:fldCharType="end"/>
    </w:r>
  </w:p>
  <w:p w:rsidR="00185555" w:rsidRDefault="00185555" w:rsidP="00BB00E8">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5555" w:rsidRDefault="00185555">
      <w:r>
        <w:separator/>
      </w:r>
    </w:p>
  </w:footnote>
  <w:footnote w:type="continuationSeparator" w:id="0">
    <w:p w:rsidR="00185555" w:rsidRDefault="00185555">
      <w:r>
        <w:continuationSeparator/>
      </w:r>
    </w:p>
  </w:footnote>
  <w:footnote w:id="1">
    <w:p w:rsidR="00185555" w:rsidRPr="00956214" w:rsidRDefault="00185555">
      <w:pPr>
        <w:rPr>
          <w:rFonts w:ascii="Times New Roman" w:hAnsi="Times New Roman"/>
          <w:sz w:val="20"/>
          <w:szCs w:val="20"/>
        </w:rPr>
      </w:pPr>
      <w:r w:rsidRPr="00956214">
        <w:rPr>
          <w:rStyle w:val="FootnoteReference"/>
          <w:rFonts w:ascii="Times New Roman" w:hAnsi="Times New Roman"/>
          <w:sz w:val="20"/>
          <w:szCs w:val="20"/>
          <w:vertAlign w:val="superscript"/>
        </w:rPr>
        <w:footnoteRef/>
      </w:r>
      <w:r w:rsidRPr="00956214">
        <w:rPr>
          <w:rFonts w:ascii="Times New Roman" w:hAnsi="Times New Roman"/>
          <w:sz w:val="20"/>
          <w:szCs w:val="20"/>
          <w:vertAlign w:val="superscript"/>
        </w:rPr>
        <w:t xml:space="preserve"> </w:t>
      </w:r>
      <w:r w:rsidRPr="00956214">
        <w:rPr>
          <w:rFonts w:ascii="Times New Roman" w:hAnsi="Times New Roman"/>
          <w:sz w:val="20"/>
          <w:szCs w:val="20"/>
        </w:rPr>
        <w:t>From 1965 to 1969, the Department of the Treasury collected balance-sheet data from foreign branches of U.S. banks.</w:t>
      </w:r>
    </w:p>
  </w:footnote>
  <w:footnote w:id="2">
    <w:p w:rsidR="00185555" w:rsidRPr="00956214" w:rsidRDefault="00185555">
      <w:pPr>
        <w:spacing w:after="144"/>
        <w:rPr>
          <w:rFonts w:ascii="Times New Roman" w:hAnsi="Times New Roman"/>
          <w:sz w:val="20"/>
          <w:szCs w:val="20"/>
        </w:rPr>
      </w:pPr>
      <w:r w:rsidRPr="00956214">
        <w:rPr>
          <w:rStyle w:val="FootnoteReference"/>
          <w:rFonts w:ascii="Times New Roman" w:hAnsi="Times New Roman"/>
          <w:sz w:val="20"/>
          <w:szCs w:val="20"/>
          <w:vertAlign w:val="superscript"/>
        </w:rPr>
        <w:footnoteRef/>
      </w:r>
      <w:r w:rsidRPr="00956214">
        <w:rPr>
          <w:rFonts w:ascii="Times New Roman" w:hAnsi="Times New Roman"/>
          <w:sz w:val="20"/>
          <w:szCs w:val="20"/>
          <w:vertAlign w:val="superscript"/>
        </w:rPr>
        <w:t xml:space="preserve"> </w:t>
      </w:r>
      <w:r w:rsidRPr="00956214">
        <w:rPr>
          <w:rFonts w:ascii="Times New Roman" w:hAnsi="Times New Roman"/>
          <w:sz w:val="20"/>
          <w:szCs w:val="20"/>
        </w:rPr>
        <w:t xml:space="preserve"> These data items included customer detail on transactions with U.S. residents, claims and liabilities with respect to other non-U.S. offices of the parent, and Eurodollar liabilities payable to certain U.S. addressees.</w:t>
      </w:r>
    </w:p>
  </w:footnote>
  <w:footnote w:id="3">
    <w:p w:rsidR="00185555" w:rsidRPr="00956214" w:rsidRDefault="00185555" w:rsidP="00956214">
      <w:pPr>
        <w:rPr>
          <w:rFonts w:ascii="Times New Roman" w:hAnsi="Times New Roman"/>
          <w:sz w:val="20"/>
          <w:szCs w:val="20"/>
        </w:rPr>
      </w:pPr>
      <w:r w:rsidRPr="00956214">
        <w:rPr>
          <w:rStyle w:val="FootnoteReference"/>
          <w:rFonts w:ascii="Times New Roman" w:hAnsi="Times New Roman"/>
          <w:sz w:val="20"/>
          <w:szCs w:val="20"/>
          <w:vertAlign w:val="superscript"/>
        </w:rPr>
        <w:footnoteRef/>
      </w:r>
      <w:r w:rsidRPr="00956214">
        <w:rPr>
          <w:rFonts w:ascii="Times New Roman" w:hAnsi="Times New Roman"/>
          <w:sz w:val="20"/>
          <w:szCs w:val="20"/>
          <w:vertAlign w:val="superscript"/>
        </w:rPr>
        <w:t xml:space="preserve"> </w:t>
      </w:r>
      <w:r w:rsidRPr="00956214">
        <w:rPr>
          <w:rFonts w:ascii="Times New Roman" w:hAnsi="Times New Roman"/>
          <w:sz w:val="20"/>
          <w:szCs w:val="20"/>
        </w:rPr>
        <w:t>In combining the two sets of data, intrabank accounts are netted out on the basis of data from a memoranda item in the FR 2502q.</w:t>
      </w:r>
    </w:p>
  </w:footnote>
  <w:footnote w:id="4">
    <w:p w:rsidR="00185555" w:rsidRPr="00956214" w:rsidRDefault="00185555" w:rsidP="00956214">
      <w:pPr>
        <w:rPr>
          <w:rFonts w:ascii="Times New Roman" w:hAnsi="Times New Roman"/>
          <w:sz w:val="20"/>
          <w:szCs w:val="20"/>
        </w:rPr>
      </w:pPr>
      <w:r w:rsidRPr="00956214">
        <w:rPr>
          <w:rStyle w:val="FootnoteReference"/>
          <w:rFonts w:ascii="Times New Roman" w:hAnsi="Times New Roman"/>
          <w:sz w:val="20"/>
          <w:szCs w:val="20"/>
          <w:vertAlign w:val="superscript"/>
        </w:rPr>
        <w:footnoteRef/>
      </w:r>
      <w:r w:rsidRPr="00956214">
        <w:rPr>
          <w:rFonts w:ascii="Times New Roman" w:hAnsi="Times New Roman"/>
          <w:sz w:val="20"/>
          <w:szCs w:val="20"/>
          <w:vertAlign w:val="superscript"/>
        </w:rPr>
        <w:t xml:space="preserve"> </w:t>
      </w:r>
      <w:r w:rsidRPr="00956214">
        <w:rPr>
          <w:rFonts w:ascii="Times New Roman" w:hAnsi="Times New Roman"/>
          <w:sz w:val="20"/>
          <w:szCs w:val="20"/>
        </w:rPr>
        <w:t xml:space="preserve"> Total cost to the public was estimated using the following formula: percent of staff time, multiplied by annual burden hours, multiplied by hourly rate (30% Office &amp; Administrative Support @ $16, 45% Financial Managers @ $50, 15% Legal Counsel @ $54, and 10% Chief Executives @ $80).  Hourly rate for each occupational group are the median hourly wages (rounded up) from the Bureau of Labor and Statistics (BLS), Occupational Employment and Wages 2010, www.bls.gov/news.release/ocwage.nr0.htm  Occupations are defined using the BLS Occupational Classification System,  www.bls.gov/soc/  </w:t>
      </w:r>
    </w:p>
    <w:p w:rsidR="00185555" w:rsidRPr="00956214" w:rsidRDefault="00185555" w:rsidP="00956214">
      <w:pPr>
        <w:rPr>
          <w:rFonts w:ascii="Times New Roman" w:hAnsi="Times New Roman"/>
          <w:sz w:val="20"/>
          <w:szCs w:val="20"/>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555" w:rsidRPr="00EF43A7" w:rsidRDefault="00185555" w:rsidP="00A33325">
    <w:pPr>
      <w:pStyle w:val="Header"/>
      <w:tabs>
        <w:tab w:val="clear" w:pos="4320"/>
        <w:tab w:val="clear" w:pos="8640"/>
        <w:tab w:val="left" w:pos="1320"/>
        <w:tab w:val="left" w:pos="1470"/>
      </w:tabs>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142BA4"/>
    <w:multiLevelType w:val="singleLevel"/>
    <w:tmpl w:val="F8B83206"/>
    <w:lvl w:ilvl="0">
      <w:start w:val="1"/>
      <w:numFmt w:val="lowerLetter"/>
      <w:lvlText w:val="%1."/>
      <w:lvlJc w:val="left"/>
      <w:pPr>
        <w:tabs>
          <w:tab w:val="num" w:pos="600"/>
        </w:tabs>
        <w:ind w:left="600" w:hanging="360"/>
      </w:pPr>
      <w:rPr>
        <w:rFonts w:hint="default"/>
      </w:rPr>
    </w:lvl>
  </w:abstractNum>
  <w:abstractNum w:abstractNumId="1">
    <w:nsid w:val="47D87C68"/>
    <w:multiLevelType w:val="singleLevel"/>
    <w:tmpl w:val="F7F647CE"/>
    <w:lvl w:ilvl="0">
      <w:start w:val="1"/>
      <w:numFmt w:val="lowerLetter"/>
      <w:lvlText w:val="%1."/>
      <w:lvlJc w:val="left"/>
      <w:pPr>
        <w:tabs>
          <w:tab w:val="num" w:pos="600"/>
        </w:tabs>
        <w:ind w:left="600" w:hanging="3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B97EEF"/>
    <w:rsid w:val="00000D12"/>
    <w:rsid w:val="00002447"/>
    <w:rsid w:val="00002BD5"/>
    <w:rsid w:val="00004C73"/>
    <w:rsid w:val="00012B6B"/>
    <w:rsid w:val="000154F4"/>
    <w:rsid w:val="00015B3B"/>
    <w:rsid w:val="00024B70"/>
    <w:rsid w:val="00032EBC"/>
    <w:rsid w:val="000335E4"/>
    <w:rsid w:val="000552A3"/>
    <w:rsid w:val="000606B8"/>
    <w:rsid w:val="000718BD"/>
    <w:rsid w:val="0007347A"/>
    <w:rsid w:val="00077190"/>
    <w:rsid w:val="00081426"/>
    <w:rsid w:val="000838D2"/>
    <w:rsid w:val="00084799"/>
    <w:rsid w:val="00090ED6"/>
    <w:rsid w:val="000968AC"/>
    <w:rsid w:val="00096B2A"/>
    <w:rsid w:val="000A0A3C"/>
    <w:rsid w:val="000A1EAD"/>
    <w:rsid w:val="000A2189"/>
    <w:rsid w:val="000A39AD"/>
    <w:rsid w:val="000B1599"/>
    <w:rsid w:val="000B428F"/>
    <w:rsid w:val="000B61B8"/>
    <w:rsid w:val="000C39AE"/>
    <w:rsid w:val="000C6F56"/>
    <w:rsid w:val="000D07C9"/>
    <w:rsid w:val="000D373F"/>
    <w:rsid w:val="000D45DD"/>
    <w:rsid w:val="000D5C9A"/>
    <w:rsid w:val="000E6D3B"/>
    <w:rsid w:val="000E7B4F"/>
    <w:rsid w:val="000F3961"/>
    <w:rsid w:val="000F4935"/>
    <w:rsid w:val="000F4C25"/>
    <w:rsid w:val="000F5602"/>
    <w:rsid w:val="000F69CB"/>
    <w:rsid w:val="001020CA"/>
    <w:rsid w:val="00105258"/>
    <w:rsid w:val="00113F7F"/>
    <w:rsid w:val="00114B29"/>
    <w:rsid w:val="00114DA5"/>
    <w:rsid w:val="00120EFC"/>
    <w:rsid w:val="00125E84"/>
    <w:rsid w:val="00127CDB"/>
    <w:rsid w:val="00133A99"/>
    <w:rsid w:val="00140A69"/>
    <w:rsid w:val="00142C12"/>
    <w:rsid w:val="00144092"/>
    <w:rsid w:val="00145B3E"/>
    <w:rsid w:val="001522DE"/>
    <w:rsid w:val="001612A8"/>
    <w:rsid w:val="00163D35"/>
    <w:rsid w:val="00167585"/>
    <w:rsid w:val="00167756"/>
    <w:rsid w:val="00180BAC"/>
    <w:rsid w:val="00182391"/>
    <w:rsid w:val="00182DA2"/>
    <w:rsid w:val="00185555"/>
    <w:rsid w:val="001A5412"/>
    <w:rsid w:val="001A7DDF"/>
    <w:rsid w:val="001C0379"/>
    <w:rsid w:val="001C16B9"/>
    <w:rsid w:val="001C1819"/>
    <w:rsid w:val="001C310C"/>
    <w:rsid w:val="001D4DA5"/>
    <w:rsid w:val="001E08C4"/>
    <w:rsid w:val="001E2ECA"/>
    <w:rsid w:val="001E6A7F"/>
    <w:rsid w:val="001F30FC"/>
    <w:rsid w:val="001F3ADF"/>
    <w:rsid w:val="0020328F"/>
    <w:rsid w:val="00222176"/>
    <w:rsid w:val="0023023D"/>
    <w:rsid w:val="00251A1A"/>
    <w:rsid w:val="00252664"/>
    <w:rsid w:val="0025713F"/>
    <w:rsid w:val="0026097F"/>
    <w:rsid w:val="00265B19"/>
    <w:rsid w:val="00265F97"/>
    <w:rsid w:val="00271BEE"/>
    <w:rsid w:val="0027720B"/>
    <w:rsid w:val="00277C6F"/>
    <w:rsid w:val="00292660"/>
    <w:rsid w:val="00294266"/>
    <w:rsid w:val="00295FD8"/>
    <w:rsid w:val="00296A1C"/>
    <w:rsid w:val="002A098E"/>
    <w:rsid w:val="002B4BDD"/>
    <w:rsid w:val="002C1ED9"/>
    <w:rsid w:val="002D0FAA"/>
    <w:rsid w:val="002D5F92"/>
    <w:rsid w:val="002F11A1"/>
    <w:rsid w:val="002F7224"/>
    <w:rsid w:val="003132A8"/>
    <w:rsid w:val="00324182"/>
    <w:rsid w:val="003275DB"/>
    <w:rsid w:val="0033024F"/>
    <w:rsid w:val="00343149"/>
    <w:rsid w:val="003507A6"/>
    <w:rsid w:val="00351C05"/>
    <w:rsid w:val="00355112"/>
    <w:rsid w:val="00355760"/>
    <w:rsid w:val="003578AE"/>
    <w:rsid w:val="00357FD2"/>
    <w:rsid w:val="00364B92"/>
    <w:rsid w:val="00383EF7"/>
    <w:rsid w:val="003876AA"/>
    <w:rsid w:val="003A07EB"/>
    <w:rsid w:val="003B15EA"/>
    <w:rsid w:val="003C3C30"/>
    <w:rsid w:val="003C64FF"/>
    <w:rsid w:val="003D454A"/>
    <w:rsid w:val="003E085A"/>
    <w:rsid w:val="003F147D"/>
    <w:rsid w:val="003F626C"/>
    <w:rsid w:val="004012F5"/>
    <w:rsid w:val="00403228"/>
    <w:rsid w:val="00406D43"/>
    <w:rsid w:val="0041026F"/>
    <w:rsid w:val="00416219"/>
    <w:rsid w:val="004174D5"/>
    <w:rsid w:val="004233FF"/>
    <w:rsid w:val="004263C9"/>
    <w:rsid w:val="00427E42"/>
    <w:rsid w:val="00443B1B"/>
    <w:rsid w:val="004465E6"/>
    <w:rsid w:val="00457BFD"/>
    <w:rsid w:val="004636A8"/>
    <w:rsid w:val="0046456C"/>
    <w:rsid w:val="00466AE1"/>
    <w:rsid w:val="0049010B"/>
    <w:rsid w:val="004A1C14"/>
    <w:rsid w:val="004B1FBB"/>
    <w:rsid w:val="004B73D2"/>
    <w:rsid w:val="004C2976"/>
    <w:rsid w:val="004C4CB1"/>
    <w:rsid w:val="004C70D7"/>
    <w:rsid w:val="004D136F"/>
    <w:rsid w:val="004D2596"/>
    <w:rsid w:val="004D56C5"/>
    <w:rsid w:val="004E209F"/>
    <w:rsid w:val="004E6756"/>
    <w:rsid w:val="004E7105"/>
    <w:rsid w:val="004F2A4D"/>
    <w:rsid w:val="004F5541"/>
    <w:rsid w:val="005059B7"/>
    <w:rsid w:val="00505AA1"/>
    <w:rsid w:val="005227A4"/>
    <w:rsid w:val="005234D3"/>
    <w:rsid w:val="00525CDC"/>
    <w:rsid w:val="00526348"/>
    <w:rsid w:val="005370B2"/>
    <w:rsid w:val="00537BC2"/>
    <w:rsid w:val="00550BCB"/>
    <w:rsid w:val="0055422A"/>
    <w:rsid w:val="00560116"/>
    <w:rsid w:val="00563B04"/>
    <w:rsid w:val="005677D2"/>
    <w:rsid w:val="005705AF"/>
    <w:rsid w:val="00574150"/>
    <w:rsid w:val="00580989"/>
    <w:rsid w:val="00581DCF"/>
    <w:rsid w:val="0058426C"/>
    <w:rsid w:val="005848F8"/>
    <w:rsid w:val="005876C5"/>
    <w:rsid w:val="005A0312"/>
    <w:rsid w:val="005A385F"/>
    <w:rsid w:val="005A682B"/>
    <w:rsid w:val="005B4F8B"/>
    <w:rsid w:val="005D2F71"/>
    <w:rsid w:val="005D6D57"/>
    <w:rsid w:val="005E224F"/>
    <w:rsid w:val="005E65AA"/>
    <w:rsid w:val="005E6994"/>
    <w:rsid w:val="005E7F37"/>
    <w:rsid w:val="005F22BA"/>
    <w:rsid w:val="005F5785"/>
    <w:rsid w:val="00603796"/>
    <w:rsid w:val="00610661"/>
    <w:rsid w:val="00613D55"/>
    <w:rsid w:val="00623A2E"/>
    <w:rsid w:val="00623F71"/>
    <w:rsid w:val="0063396D"/>
    <w:rsid w:val="006356F7"/>
    <w:rsid w:val="00637CD1"/>
    <w:rsid w:val="00656AC1"/>
    <w:rsid w:val="00664DFE"/>
    <w:rsid w:val="00671CD8"/>
    <w:rsid w:val="006779DA"/>
    <w:rsid w:val="00687599"/>
    <w:rsid w:val="00687947"/>
    <w:rsid w:val="0069517D"/>
    <w:rsid w:val="006A01A2"/>
    <w:rsid w:val="006B16EB"/>
    <w:rsid w:val="006B3917"/>
    <w:rsid w:val="006B5070"/>
    <w:rsid w:val="006B6681"/>
    <w:rsid w:val="006C0465"/>
    <w:rsid w:val="006D2E8C"/>
    <w:rsid w:val="006D3FFF"/>
    <w:rsid w:val="006D4F67"/>
    <w:rsid w:val="006E1DC1"/>
    <w:rsid w:val="006E7C62"/>
    <w:rsid w:val="006E7FD0"/>
    <w:rsid w:val="00704028"/>
    <w:rsid w:val="00707082"/>
    <w:rsid w:val="00724B92"/>
    <w:rsid w:val="00731463"/>
    <w:rsid w:val="00741497"/>
    <w:rsid w:val="0074639B"/>
    <w:rsid w:val="00747464"/>
    <w:rsid w:val="007552F8"/>
    <w:rsid w:val="00766740"/>
    <w:rsid w:val="00771707"/>
    <w:rsid w:val="00772974"/>
    <w:rsid w:val="0077606A"/>
    <w:rsid w:val="0077646C"/>
    <w:rsid w:val="007772B1"/>
    <w:rsid w:val="00780D98"/>
    <w:rsid w:val="007819C5"/>
    <w:rsid w:val="007823E5"/>
    <w:rsid w:val="00784E3D"/>
    <w:rsid w:val="00791C7E"/>
    <w:rsid w:val="007931CA"/>
    <w:rsid w:val="00793547"/>
    <w:rsid w:val="00797E60"/>
    <w:rsid w:val="007B2961"/>
    <w:rsid w:val="007C12FB"/>
    <w:rsid w:val="007C25DC"/>
    <w:rsid w:val="007C3327"/>
    <w:rsid w:val="007C4AC5"/>
    <w:rsid w:val="007C4B5D"/>
    <w:rsid w:val="007D7EFD"/>
    <w:rsid w:val="007E0680"/>
    <w:rsid w:val="0080341D"/>
    <w:rsid w:val="0080511B"/>
    <w:rsid w:val="00805F09"/>
    <w:rsid w:val="0080663D"/>
    <w:rsid w:val="00807379"/>
    <w:rsid w:val="00814BDE"/>
    <w:rsid w:val="00824F47"/>
    <w:rsid w:val="008307BF"/>
    <w:rsid w:val="00830ADB"/>
    <w:rsid w:val="008460D0"/>
    <w:rsid w:val="00860740"/>
    <w:rsid w:val="00866532"/>
    <w:rsid w:val="008725E8"/>
    <w:rsid w:val="008729EC"/>
    <w:rsid w:val="00877FBB"/>
    <w:rsid w:val="00886D08"/>
    <w:rsid w:val="008923E0"/>
    <w:rsid w:val="008C28B3"/>
    <w:rsid w:val="008C3171"/>
    <w:rsid w:val="008C3DD8"/>
    <w:rsid w:val="008D2C05"/>
    <w:rsid w:val="008E1D8A"/>
    <w:rsid w:val="008F057D"/>
    <w:rsid w:val="008F0C1A"/>
    <w:rsid w:val="008F37D8"/>
    <w:rsid w:val="008F42B9"/>
    <w:rsid w:val="00913C7E"/>
    <w:rsid w:val="00921419"/>
    <w:rsid w:val="00921838"/>
    <w:rsid w:val="00921C39"/>
    <w:rsid w:val="00922FFF"/>
    <w:rsid w:val="00923B80"/>
    <w:rsid w:val="009340CC"/>
    <w:rsid w:val="00937FE3"/>
    <w:rsid w:val="00952B15"/>
    <w:rsid w:val="009543DE"/>
    <w:rsid w:val="00956214"/>
    <w:rsid w:val="00956982"/>
    <w:rsid w:val="009575B3"/>
    <w:rsid w:val="009604AA"/>
    <w:rsid w:val="00966B71"/>
    <w:rsid w:val="00970C01"/>
    <w:rsid w:val="009748FB"/>
    <w:rsid w:val="0098218C"/>
    <w:rsid w:val="009853BA"/>
    <w:rsid w:val="0098760E"/>
    <w:rsid w:val="00987732"/>
    <w:rsid w:val="009949AE"/>
    <w:rsid w:val="00995A4C"/>
    <w:rsid w:val="00995C6D"/>
    <w:rsid w:val="009A0BE9"/>
    <w:rsid w:val="009A21E5"/>
    <w:rsid w:val="009A4411"/>
    <w:rsid w:val="009B02ED"/>
    <w:rsid w:val="009B1543"/>
    <w:rsid w:val="009B311D"/>
    <w:rsid w:val="009B37F8"/>
    <w:rsid w:val="009C5351"/>
    <w:rsid w:val="009D1882"/>
    <w:rsid w:val="009F588E"/>
    <w:rsid w:val="00A0037A"/>
    <w:rsid w:val="00A02D0B"/>
    <w:rsid w:val="00A04A41"/>
    <w:rsid w:val="00A0557C"/>
    <w:rsid w:val="00A079A3"/>
    <w:rsid w:val="00A112CD"/>
    <w:rsid w:val="00A15870"/>
    <w:rsid w:val="00A15BBF"/>
    <w:rsid w:val="00A21224"/>
    <w:rsid w:val="00A33325"/>
    <w:rsid w:val="00A35DC9"/>
    <w:rsid w:val="00A47410"/>
    <w:rsid w:val="00A52E63"/>
    <w:rsid w:val="00A535E6"/>
    <w:rsid w:val="00A53D6C"/>
    <w:rsid w:val="00A546D7"/>
    <w:rsid w:val="00A54A86"/>
    <w:rsid w:val="00A63ED0"/>
    <w:rsid w:val="00A704D6"/>
    <w:rsid w:val="00A7406B"/>
    <w:rsid w:val="00A95783"/>
    <w:rsid w:val="00AB4178"/>
    <w:rsid w:val="00AC1D59"/>
    <w:rsid w:val="00AC2281"/>
    <w:rsid w:val="00AD1BA3"/>
    <w:rsid w:val="00AD1E21"/>
    <w:rsid w:val="00AD2144"/>
    <w:rsid w:val="00AD59AE"/>
    <w:rsid w:val="00AE139E"/>
    <w:rsid w:val="00AE6404"/>
    <w:rsid w:val="00AE670C"/>
    <w:rsid w:val="00AE764B"/>
    <w:rsid w:val="00AF33AB"/>
    <w:rsid w:val="00B05595"/>
    <w:rsid w:val="00B05CE2"/>
    <w:rsid w:val="00B20D43"/>
    <w:rsid w:val="00B21523"/>
    <w:rsid w:val="00B257A2"/>
    <w:rsid w:val="00B26DD6"/>
    <w:rsid w:val="00B36043"/>
    <w:rsid w:val="00B51161"/>
    <w:rsid w:val="00B52C5E"/>
    <w:rsid w:val="00B540E6"/>
    <w:rsid w:val="00B70293"/>
    <w:rsid w:val="00B717D5"/>
    <w:rsid w:val="00B7450B"/>
    <w:rsid w:val="00B74E8B"/>
    <w:rsid w:val="00B97EEF"/>
    <w:rsid w:val="00BA1BCB"/>
    <w:rsid w:val="00BA58B0"/>
    <w:rsid w:val="00BA7DF7"/>
    <w:rsid w:val="00BA7EA6"/>
    <w:rsid w:val="00BB00E8"/>
    <w:rsid w:val="00BB1D2D"/>
    <w:rsid w:val="00BB287F"/>
    <w:rsid w:val="00BB3B93"/>
    <w:rsid w:val="00BB630E"/>
    <w:rsid w:val="00BC0FEE"/>
    <w:rsid w:val="00BC10DA"/>
    <w:rsid w:val="00BC18EF"/>
    <w:rsid w:val="00BC1CE0"/>
    <w:rsid w:val="00BC3F6D"/>
    <w:rsid w:val="00BC671B"/>
    <w:rsid w:val="00BD187A"/>
    <w:rsid w:val="00BF0382"/>
    <w:rsid w:val="00BF3EDC"/>
    <w:rsid w:val="00BF49A4"/>
    <w:rsid w:val="00BF6F24"/>
    <w:rsid w:val="00BF712A"/>
    <w:rsid w:val="00BF7F1E"/>
    <w:rsid w:val="00C10ED3"/>
    <w:rsid w:val="00C14E5A"/>
    <w:rsid w:val="00C23187"/>
    <w:rsid w:val="00C354AC"/>
    <w:rsid w:val="00C35F6A"/>
    <w:rsid w:val="00C43833"/>
    <w:rsid w:val="00C51FFC"/>
    <w:rsid w:val="00C5218C"/>
    <w:rsid w:val="00C57A32"/>
    <w:rsid w:val="00C609B3"/>
    <w:rsid w:val="00C67668"/>
    <w:rsid w:val="00C7220C"/>
    <w:rsid w:val="00C8072B"/>
    <w:rsid w:val="00C8096C"/>
    <w:rsid w:val="00C82D7E"/>
    <w:rsid w:val="00C83F81"/>
    <w:rsid w:val="00C8688E"/>
    <w:rsid w:val="00C97CDC"/>
    <w:rsid w:val="00CC312C"/>
    <w:rsid w:val="00CC5A95"/>
    <w:rsid w:val="00CD1198"/>
    <w:rsid w:val="00CD1935"/>
    <w:rsid w:val="00CD55A7"/>
    <w:rsid w:val="00CD672C"/>
    <w:rsid w:val="00CD7154"/>
    <w:rsid w:val="00CD7556"/>
    <w:rsid w:val="00CE02A5"/>
    <w:rsid w:val="00CE32CC"/>
    <w:rsid w:val="00CE3603"/>
    <w:rsid w:val="00CE6922"/>
    <w:rsid w:val="00CE73F5"/>
    <w:rsid w:val="00CF1FDB"/>
    <w:rsid w:val="00D06D46"/>
    <w:rsid w:val="00D13DE9"/>
    <w:rsid w:val="00D271C9"/>
    <w:rsid w:val="00D274A2"/>
    <w:rsid w:val="00D27AC5"/>
    <w:rsid w:val="00D32EE5"/>
    <w:rsid w:val="00D337C2"/>
    <w:rsid w:val="00D34273"/>
    <w:rsid w:val="00D448E6"/>
    <w:rsid w:val="00D50B76"/>
    <w:rsid w:val="00D618FC"/>
    <w:rsid w:val="00D62E97"/>
    <w:rsid w:val="00D64218"/>
    <w:rsid w:val="00D66FE5"/>
    <w:rsid w:val="00D80046"/>
    <w:rsid w:val="00D919C8"/>
    <w:rsid w:val="00D93B2E"/>
    <w:rsid w:val="00DA4C8F"/>
    <w:rsid w:val="00DA6ADF"/>
    <w:rsid w:val="00DA7C4B"/>
    <w:rsid w:val="00DB7CE4"/>
    <w:rsid w:val="00DC11F6"/>
    <w:rsid w:val="00DC18E1"/>
    <w:rsid w:val="00DC52B4"/>
    <w:rsid w:val="00DC568C"/>
    <w:rsid w:val="00DC5772"/>
    <w:rsid w:val="00DC61EB"/>
    <w:rsid w:val="00DE109D"/>
    <w:rsid w:val="00DE4108"/>
    <w:rsid w:val="00DE6361"/>
    <w:rsid w:val="00E03D55"/>
    <w:rsid w:val="00E0743E"/>
    <w:rsid w:val="00E17430"/>
    <w:rsid w:val="00E2313E"/>
    <w:rsid w:val="00E23D9B"/>
    <w:rsid w:val="00E35112"/>
    <w:rsid w:val="00E35DCE"/>
    <w:rsid w:val="00E4140C"/>
    <w:rsid w:val="00E41D3C"/>
    <w:rsid w:val="00E4327B"/>
    <w:rsid w:val="00E462A3"/>
    <w:rsid w:val="00E47E2D"/>
    <w:rsid w:val="00E60846"/>
    <w:rsid w:val="00E775E2"/>
    <w:rsid w:val="00E95755"/>
    <w:rsid w:val="00EA16D0"/>
    <w:rsid w:val="00EA1907"/>
    <w:rsid w:val="00EA2D02"/>
    <w:rsid w:val="00EA478E"/>
    <w:rsid w:val="00EB0009"/>
    <w:rsid w:val="00EB3785"/>
    <w:rsid w:val="00EC0E82"/>
    <w:rsid w:val="00EC3D7F"/>
    <w:rsid w:val="00ED1FB7"/>
    <w:rsid w:val="00ED6F36"/>
    <w:rsid w:val="00EE13E8"/>
    <w:rsid w:val="00EE55A9"/>
    <w:rsid w:val="00EF10CB"/>
    <w:rsid w:val="00EF173F"/>
    <w:rsid w:val="00EF43A7"/>
    <w:rsid w:val="00F01A45"/>
    <w:rsid w:val="00F10C69"/>
    <w:rsid w:val="00F119BF"/>
    <w:rsid w:val="00F13972"/>
    <w:rsid w:val="00F174A3"/>
    <w:rsid w:val="00F17959"/>
    <w:rsid w:val="00F20B4C"/>
    <w:rsid w:val="00F22602"/>
    <w:rsid w:val="00F2345F"/>
    <w:rsid w:val="00F23FBD"/>
    <w:rsid w:val="00F37E3B"/>
    <w:rsid w:val="00F40335"/>
    <w:rsid w:val="00F40F16"/>
    <w:rsid w:val="00F4557A"/>
    <w:rsid w:val="00F51654"/>
    <w:rsid w:val="00F53000"/>
    <w:rsid w:val="00F577F9"/>
    <w:rsid w:val="00F57C84"/>
    <w:rsid w:val="00F6564C"/>
    <w:rsid w:val="00F72E76"/>
    <w:rsid w:val="00F801AF"/>
    <w:rsid w:val="00F84B23"/>
    <w:rsid w:val="00F8575E"/>
    <w:rsid w:val="00F94D55"/>
    <w:rsid w:val="00FA1046"/>
    <w:rsid w:val="00FA2948"/>
    <w:rsid w:val="00FA3B8D"/>
    <w:rsid w:val="00FA3E43"/>
    <w:rsid w:val="00FA48EB"/>
    <w:rsid w:val="00FB08E9"/>
    <w:rsid w:val="00FB17CE"/>
    <w:rsid w:val="00FB59C7"/>
    <w:rsid w:val="00FB7FC5"/>
    <w:rsid w:val="00FC5523"/>
    <w:rsid w:val="00FD698E"/>
    <w:rsid w:val="00FE129B"/>
    <w:rsid w:val="00FE2D9D"/>
    <w:rsid w:val="00FF63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E5A"/>
    <w:pPr>
      <w:widowControl w:val="0"/>
      <w:autoSpaceDE w:val="0"/>
      <w:autoSpaceDN w:val="0"/>
      <w:adjustRightInd w:val="0"/>
    </w:pPr>
    <w:rPr>
      <w:rFonts w:ascii="Courier New" w:hAnsi="Courier New"/>
      <w:sz w:val="24"/>
      <w:szCs w:val="24"/>
    </w:rPr>
  </w:style>
  <w:style w:type="paragraph" w:styleId="Heading1">
    <w:name w:val="heading 1"/>
    <w:basedOn w:val="Normal"/>
    <w:next w:val="Normal"/>
    <w:qFormat/>
    <w:rsid w:val="00C14E5A"/>
    <w:pPr>
      <w:keepNext/>
      <w:keepLines/>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imes New Roman" w:hAnsi="Times New Roman"/>
      <w:u w:val="single"/>
    </w:rPr>
  </w:style>
  <w:style w:type="paragraph" w:styleId="Heading2">
    <w:name w:val="heading 2"/>
    <w:basedOn w:val="Normal"/>
    <w:next w:val="Normal"/>
    <w:qFormat/>
    <w:rsid w:val="00C14E5A"/>
    <w:pPr>
      <w:keepNext/>
      <w:widowControl/>
      <w:tabs>
        <w:tab w:val="left" w:pos="360"/>
      </w:tabs>
      <w:outlineLvl w:val="1"/>
    </w:pPr>
    <w:rPr>
      <w:rFonts w:ascii="Times" w:hAnsi="Times"/>
      <w:b/>
      <w:color w:val="000000"/>
    </w:rPr>
  </w:style>
  <w:style w:type="paragraph" w:styleId="Heading3">
    <w:name w:val="heading 3"/>
    <w:basedOn w:val="Normal"/>
    <w:next w:val="Normal"/>
    <w:qFormat/>
    <w:rsid w:val="00C14E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2"/>
    </w:pPr>
    <w:rPr>
      <w:rFonts w:ascii="Times New Roman" w:hAnsi="Times New Roman"/>
      <w:bCs/>
      <w:i/>
      <w:iCs/>
    </w:rPr>
  </w:style>
  <w:style w:type="paragraph" w:styleId="Heading4">
    <w:name w:val="heading 4"/>
    <w:basedOn w:val="Normal"/>
    <w:next w:val="Normal"/>
    <w:qFormat/>
    <w:rsid w:val="00C14E5A"/>
    <w:pPr>
      <w:keepNext/>
      <w:ind w:firstLine="720"/>
      <w:outlineLvl w:val="3"/>
    </w:pPr>
    <w:rPr>
      <w:rFonts w:ascii="Times New Roman" w:hAnsi="Times New Roman"/>
      <w:b/>
      <w:bCs/>
    </w:rPr>
  </w:style>
  <w:style w:type="paragraph" w:styleId="Heading5">
    <w:name w:val="heading 5"/>
    <w:basedOn w:val="Normal"/>
    <w:next w:val="Normal"/>
    <w:qFormat/>
    <w:rsid w:val="00C14E5A"/>
    <w:pPr>
      <w:keepNext/>
      <w:widowControl/>
      <w:tabs>
        <w:tab w:val="left" w:pos="360"/>
      </w:tabs>
      <w:jc w:val="center"/>
      <w:outlineLvl w:val="4"/>
    </w:pPr>
    <w:rPr>
      <w:rFonts w:ascii="Times" w:hAnsi="Times"/>
      <w:b/>
      <w:color w:val="000000"/>
    </w:rPr>
  </w:style>
  <w:style w:type="paragraph" w:styleId="Heading6">
    <w:name w:val="heading 6"/>
    <w:basedOn w:val="Normal"/>
    <w:next w:val="Normal"/>
    <w:qFormat/>
    <w:rsid w:val="00C14E5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outlineLvl w:val="5"/>
    </w:pPr>
    <w:rPr>
      <w:rFonts w:ascii="Times New Roman" w:hAnsi="Times New Roman"/>
      <w:b/>
    </w:rPr>
  </w:style>
  <w:style w:type="paragraph" w:styleId="Heading7">
    <w:name w:val="heading 7"/>
    <w:basedOn w:val="Normal"/>
    <w:next w:val="Normal"/>
    <w:qFormat/>
    <w:rsid w:val="00C14E5A"/>
    <w:pPr>
      <w:keepNext/>
      <w:widowControl/>
      <w:tabs>
        <w:tab w:val="left" w:pos="360"/>
      </w:tabs>
      <w:ind w:firstLine="360"/>
      <w:jc w:val="center"/>
      <w:outlineLvl w:val="6"/>
    </w:pPr>
    <w:rPr>
      <w:rFonts w:ascii="Times" w:hAnsi="Times"/>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14E5A"/>
  </w:style>
  <w:style w:type="paragraph" w:styleId="BodyText">
    <w:name w:val="Body Text"/>
    <w:basedOn w:val="Normal"/>
    <w:rsid w:val="00C14E5A"/>
    <w:pPr>
      <w:widowControl/>
      <w:tabs>
        <w:tab w:val="left" w:pos="360"/>
      </w:tabs>
    </w:pPr>
    <w:rPr>
      <w:rFonts w:ascii="Times New Roman" w:hAnsi="Times New Roman"/>
      <w:snapToGrid w:val="0"/>
      <w:color w:val="000000"/>
    </w:rPr>
  </w:style>
  <w:style w:type="paragraph" w:styleId="BodyText2">
    <w:name w:val="Body Text 2"/>
    <w:basedOn w:val="Normal"/>
    <w:rsid w:val="00C14E5A"/>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imes New Roman" w:hAnsi="Times New Roman"/>
      <w:color w:val="0000FF"/>
    </w:rPr>
  </w:style>
  <w:style w:type="character" w:styleId="CommentReference">
    <w:name w:val="annotation reference"/>
    <w:basedOn w:val="DefaultParagraphFont"/>
    <w:semiHidden/>
    <w:rsid w:val="00C14E5A"/>
    <w:rPr>
      <w:sz w:val="16"/>
    </w:rPr>
  </w:style>
  <w:style w:type="paragraph" w:styleId="CommentText">
    <w:name w:val="annotation text"/>
    <w:basedOn w:val="Normal"/>
    <w:semiHidden/>
    <w:rsid w:val="00C14E5A"/>
    <w:rPr>
      <w:sz w:val="20"/>
    </w:rPr>
  </w:style>
  <w:style w:type="paragraph" w:styleId="Footer">
    <w:name w:val="footer"/>
    <w:basedOn w:val="Normal"/>
    <w:rsid w:val="00C14E5A"/>
    <w:pPr>
      <w:tabs>
        <w:tab w:val="center" w:pos="4320"/>
        <w:tab w:val="right" w:pos="8640"/>
      </w:tabs>
    </w:pPr>
  </w:style>
  <w:style w:type="character" w:styleId="PageNumber">
    <w:name w:val="page number"/>
    <w:basedOn w:val="DefaultParagraphFont"/>
    <w:rsid w:val="00C14E5A"/>
  </w:style>
  <w:style w:type="paragraph" w:styleId="Header">
    <w:name w:val="header"/>
    <w:basedOn w:val="Normal"/>
    <w:rsid w:val="00C14E5A"/>
    <w:pPr>
      <w:tabs>
        <w:tab w:val="center" w:pos="4320"/>
        <w:tab w:val="right" w:pos="8640"/>
      </w:tabs>
    </w:pPr>
  </w:style>
  <w:style w:type="paragraph" w:styleId="BodyTextIndent">
    <w:name w:val="Body Text Indent"/>
    <w:basedOn w:val="Normal"/>
    <w:rsid w:val="00C14E5A"/>
    <w:pPr>
      <w:widowControl/>
      <w:tabs>
        <w:tab w:val="left" w:pos="360"/>
      </w:tabs>
      <w:ind w:firstLine="360"/>
    </w:pPr>
    <w:rPr>
      <w:rFonts w:ascii="Times" w:hAnsi="Times"/>
      <w:color w:val="000000"/>
    </w:rPr>
  </w:style>
  <w:style w:type="paragraph" w:styleId="BalloonText">
    <w:name w:val="Balloon Text"/>
    <w:basedOn w:val="Normal"/>
    <w:semiHidden/>
    <w:rsid w:val="001020CA"/>
    <w:rPr>
      <w:rFonts w:ascii="Tahoma" w:hAnsi="Tahoma" w:cs="Tahoma"/>
      <w:sz w:val="16"/>
      <w:szCs w:val="16"/>
    </w:rPr>
  </w:style>
  <w:style w:type="paragraph" w:styleId="FootnoteText">
    <w:name w:val="footnote text"/>
    <w:basedOn w:val="Normal"/>
    <w:semiHidden/>
    <w:rsid w:val="00C82D7E"/>
    <w:rPr>
      <w:sz w:val="20"/>
      <w:szCs w:val="20"/>
    </w:rPr>
  </w:style>
  <w:style w:type="paragraph" w:styleId="CommentSubject">
    <w:name w:val="annotation subject"/>
    <w:basedOn w:val="CommentText"/>
    <w:next w:val="CommentText"/>
    <w:semiHidden/>
    <w:rsid w:val="00E03D55"/>
    <w:rPr>
      <w:b/>
      <w:bCs/>
      <w:szCs w:val="20"/>
    </w:rPr>
  </w:style>
  <w:style w:type="paragraph" w:styleId="NormalWeb">
    <w:name w:val="Normal (Web)"/>
    <w:basedOn w:val="Normal"/>
    <w:rsid w:val="004B1FBB"/>
    <w:rPr>
      <w:rFonts w:ascii="Times New Roman" w:hAnsi="Times New Roman"/>
    </w:rPr>
  </w:style>
  <w:style w:type="paragraph" w:customStyle="1" w:styleId="Default">
    <w:name w:val="Default"/>
    <w:rsid w:val="00012B6B"/>
    <w:pPr>
      <w:autoSpaceDE w:val="0"/>
      <w:autoSpaceDN w:val="0"/>
      <w:adjustRightInd w:val="0"/>
    </w:pPr>
    <w:rPr>
      <w:color w:val="000000"/>
      <w:sz w:val="24"/>
      <w:szCs w:val="24"/>
    </w:rPr>
  </w:style>
  <w:style w:type="character" w:styleId="Hyperlink">
    <w:name w:val="Hyperlink"/>
    <w:basedOn w:val="DefaultParagraphFont"/>
    <w:rsid w:val="00F94D55"/>
    <w:rPr>
      <w:color w:val="0000FF"/>
      <w:u w:val="single"/>
    </w:rPr>
  </w:style>
  <w:style w:type="paragraph" w:customStyle="1" w:styleId="MemoHeader">
    <w:name w:val="Memo Header"/>
    <w:basedOn w:val="Normal"/>
    <w:next w:val="Normal"/>
    <w:rsid w:val="00807379"/>
    <w:pPr>
      <w:widowControl/>
      <w:autoSpaceDE/>
      <w:autoSpaceDN/>
      <w:adjustRightInd/>
    </w:pPr>
    <w:rPr>
      <w:rFonts w:ascii="Arial" w:hAnsi="Arial"/>
      <w:smallCaps/>
      <w:szCs w:val="20"/>
    </w:rPr>
  </w:style>
  <w:style w:type="table" w:styleId="TableGrid">
    <w:name w:val="Table Grid"/>
    <w:basedOn w:val="TableNormal"/>
    <w:uiPriority w:val="59"/>
    <w:rsid w:val="005E6994"/>
    <w:rPr>
      <w:rFonts w:eastAsiaTheme="minorHAnsi" w:cstheme="minorBidi"/>
      <w:sz w:val="24"/>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5E6994"/>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New" w:hAnsi="Courier New"/>
      <w:sz w:val="24"/>
      <w:szCs w:val="24"/>
    </w:rPr>
  </w:style>
  <w:style w:type="paragraph" w:styleId="Heading1">
    <w:name w:val="heading 1"/>
    <w:basedOn w:val="Normal"/>
    <w:next w:val="Normal"/>
    <w:qFormat/>
    <w:pPr>
      <w:keepNext/>
      <w:keepLines/>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imes New Roman" w:hAnsi="Times New Roman"/>
      <w:u w:val="single"/>
    </w:rPr>
  </w:style>
  <w:style w:type="paragraph" w:styleId="Heading2">
    <w:name w:val="heading 2"/>
    <w:basedOn w:val="Normal"/>
    <w:next w:val="Normal"/>
    <w:qFormat/>
    <w:pPr>
      <w:keepNext/>
      <w:widowControl/>
      <w:tabs>
        <w:tab w:val="left" w:pos="360"/>
      </w:tabs>
      <w:outlineLvl w:val="1"/>
    </w:pPr>
    <w:rPr>
      <w:rFonts w:ascii="Times" w:hAnsi="Times"/>
      <w:b/>
      <w:color w:val="000000"/>
    </w:rPr>
  </w:style>
  <w:style w:type="paragraph" w:styleId="Heading3">
    <w:name w:val="heading 3"/>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2"/>
    </w:pPr>
    <w:rPr>
      <w:rFonts w:ascii="Times New Roman" w:hAnsi="Times New Roman"/>
      <w:bCs/>
      <w:i/>
      <w:iCs/>
    </w:rPr>
  </w:style>
  <w:style w:type="paragraph" w:styleId="Heading4">
    <w:name w:val="heading 4"/>
    <w:basedOn w:val="Normal"/>
    <w:next w:val="Normal"/>
    <w:qFormat/>
    <w:pPr>
      <w:keepNext/>
      <w:ind w:firstLine="720"/>
      <w:outlineLvl w:val="3"/>
    </w:pPr>
    <w:rPr>
      <w:rFonts w:ascii="Times New Roman" w:hAnsi="Times New Roman"/>
      <w:b/>
      <w:bCs/>
    </w:rPr>
  </w:style>
  <w:style w:type="paragraph" w:styleId="Heading5">
    <w:name w:val="heading 5"/>
    <w:basedOn w:val="Normal"/>
    <w:next w:val="Normal"/>
    <w:qFormat/>
    <w:pPr>
      <w:keepNext/>
      <w:widowControl/>
      <w:tabs>
        <w:tab w:val="left" w:pos="360"/>
      </w:tabs>
      <w:jc w:val="center"/>
      <w:outlineLvl w:val="4"/>
    </w:pPr>
    <w:rPr>
      <w:rFonts w:ascii="Times" w:hAnsi="Times"/>
      <w:b/>
      <w:color w:val="000000"/>
    </w:rPr>
  </w:style>
  <w:style w:type="paragraph" w:styleId="Heading6">
    <w:name w:val="heading 6"/>
    <w:basedOn w:val="Normal"/>
    <w:next w:val="Normal"/>
    <w:qFormat/>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outlineLvl w:val="5"/>
    </w:pPr>
    <w:rPr>
      <w:rFonts w:ascii="Times New Roman" w:hAnsi="Times New Roman"/>
      <w:b/>
    </w:rPr>
  </w:style>
  <w:style w:type="paragraph" w:styleId="Heading7">
    <w:name w:val="heading 7"/>
    <w:basedOn w:val="Normal"/>
    <w:next w:val="Normal"/>
    <w:qFormat/>
    <w:pPr>
      <w:keepNext/>
      <w:widowControl/>
      <w:tabs>
        <w:tab w:val="left" w:pos="360"/>
      </w:tabs>
      <w:ind w:firstLine="360"/>
      <w:jc w:val="center"/>
      <w:outlineLvl w:val="6"/>
    </w:pPr>
    <w:rPr>
      <w:rFonts w:ascii="Times" w:hAnsi="Times"/>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widowControl/>
      <w:tabs>
        <w:tab w:val="left" w:pos="360"/>
      </w:tabs>
    </w:pPr>
    <w:rPr>
      <w:rFonts w:ascii="Times New Roman" w:hAnsi="Times New Roman"/>
      <w:snapToGrid w:val="0"/>
      <w:color w:val="000000"/>
    </w:rPr>
  </w:style>
  <w:style w:type="paragraph" w:styleId="BodyText2">
    <w:name w:val="Body Text 2"/>
    <w:basedOn w:val="Normal"/>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imes New Roman" w:hAnsi="Times New Roman"/>
      <w:color w:val="0000FF"/>
    </w:r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widowControl/>
      <w:tabs>
        <w:tab w:val="left" w:pos="360"/>
      </w:tabs>
      <w:ind w:firstLine="360"/>
    </w:pPr>
    <w:rPr>
      <w:rFonts w:ascii="Times" w:hAnsi="Times"/>
      <w:color w:val="000000"/>
    </w:rPr>
  </w:style>
  <w:style w:type="paragraph" w:styleId="BalloonText">
    <w:name w:val="Balloon Text"/>
    <w:basedOn w:val="Normal"/>
    <w:semiHidden/>
    <w:rsid w:val="001020CA"/>
    <w:rPr>
      <w:rFonts w:ascii="Tahoma" w:hAnsi="Tahoma" w:cs="Tahoma"/>
      <w:sz w:val="16"/>
      <w:szCs w:val="16"/>
    </w:rPr>
  </w:style>
  <w:style w:type="paragraph" w:styleId="FootnoteText">
    <w:name w:val="footnote text"/>
    <w:basedOn w:val="Normal"/>
    <w:semiHidden/>
    <w:rsid w:val="00C82D7E"/>
    <w:rPr>
      <w:sz w:val="20"/>
      <w:szCs w:val="20"/>
    </w:rPr>
  </w:style>
  <w:style w:type="paragraph" w:styleId="CommentSubject">
    <w:name w:val="annotation subject"/>
    <w:basedOn w:val="CommentText"/>
    <w:next w:val="CommentText"/>
    <w:semiHidden/>
    <w:rsid w:val="00E03D55"/>
    <w:rPr>
      <w:b/>
      <w:bCs/>
      <w:szCs w:val="20"/>
    </w:rPr>
  </w:style>
  <w:style w:type="paragraph" w:styleId="NormalWeb">
    <w:name w:val="Normal (Web)"/>
    <w:basedOn w:val="Normal"/>
    <w:rsid w:val="004B1FBB"/>
    <w:rPr>
      <w:rFonts w:ascii="Times New Roman" w:hAnsi="Times New Roman"/>
    </w:rPr>
  </w:style>
  <w:style w:type="paragraph" w:customStyle="1" w:styleId="Default">
    <w:name w:val="Default"/>
    <w:rsid w:val="00012B6B"/>
    <w:pPr>
      <w:autoSpaceDE w:val="0"/>
      <w:autoSpaceDN w:val="0"/>
      <w:adjustRightInd w:val="0"/>
    </w:pPr>
    <w:rPr>
      <w:color w:val="000000"/>
      <w:sz w:val="24"/>
      <w:szCs w:val="24"/>
    </w:rPr>
  </w:style>
  <w:style w:type="character" w:styleId="Hyperlink">
    <w:name w:val="Hyperlink"/>
    <w:basedOn w:val="DefaultParagraphFont"/>
    <w:rsid w:val="00F94D55"/>
    <w:rPr>
      <w:color w:val="0000FF"/>
      <w:u w:val="single"/>
    </w:rPr>
  </w:style>
  <w:style w:type="paragraph" w:customStyle="1" w:styleId="MemoHeader">
    <w:name w:val="Memo Header"/>
    <w:basedOn w:val="Normal"/>
    <w:next w:val="Normal"/>
    <w:rsid w:val="00807379"/>
    <w:pPr>
      <w:widowControl/>
      <w:autoSpaceDE/>
      <w:autoSpaceDN/>
      <w:adjustRightInd/>
    </w:pPr>
    <w:rPr>
      <w:rFonts w:ascii="Arial" w:hAnsi="Arial"/>
      <w:smallCaps/>
      <w:szCs w:val="20"/>
    </w:rPr>
  </w:style>
  <w:style w:type="table" w:styleId="TableGrid">
    <w:name w:val="Table Grid"/>
    <w:basedOn w:val="TableNormal"/>
    <w:uiPriority w:val="59"/>
    <w:rsid w:val="005E6994"/>
    <w:rPr>
      <w:rFonts w:eastAsiaTheme="minorHAnsi" w:cstheme="minorBidi"/>
      <w:sz w:val="24"/>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5E6994"/>
    <w:rPr>
      <w:rFonts w:ascii="Courier New" w:hAnsi="Courier New"/>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A2ADF-DEE6-4F22-8317-1E59B24B9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6</Pages>
  <Words>2662</Words>
  <Characters>14280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vt:lpstr>
    </vt:vector>
  </TitlesOfParts>
  <Company>Division of  Research and Statistics</Company>
  <LinksUpToDate>false</LinksUpToDate>
  <CharactersWithSpaces>16909</CharactersWithSpaces>
  <SharedDoc>false</SharedDoc>
  <HLinks>
    <vt:vector size="24" baseType="variant">
      <vt:variant>
        <vt:i4>6815797</vt:i4>
      </vt:variant>
      <vt:variant>
        <vt:i4>9</vt:i4>
      </vt:variant>
      <vt:variant>
        <vt:i4>0</vt:i4>
      </vt:variant>
      <vt:variant>
        <vt:i4>5</vt:i4>
      </vt:variant>
      <vt:variant>
        <vt:lpwstr>http://en.wikipedia.org/wiki/State</vt:lpwstr>
      </vt:variant>
      <vt:variant>
        <vt:lpwstr/>
      </vt:variant>
      <vt:variant>
        <vt:i4>1441865</vt:i4>
      </vt:variant>
      <vt:variant>
        <vt:i4>6</vt:i4>
      </vt:variant>
      <vt:variant>
        <vt:i4>0</vt:i4>
      </vt:variant>
      <vt:variant>
        <vt:i4>5</vt:i4>
      </vt:variant>
      <vt:variant>
        <vt:lpwstr>http://en.wikipedia.org/wiki/Sovereignty</vt:lpwstr>
      </vt:variant>
      <vt:variant>
        <vt:lpwstr/>
      </vt:variant>
      <vt:variant>
        <vt:i4>655441</vt:i4>
      </vt:variant>
      <vt:variant>
        <vt:i4>3</vt:i4>
      </vt:variant>
      <vt:variant>
        <vt:i4>0</vt:i4>
      </vt:variant>
      <vt:variant>
        <vt:i4>5</vt:i4>
      </vt:variant>
      <vt:variant>
        <vt:lpwstr>http://en.wikipedia.org/wiki/Independence</vt:lpwstr>
      </vt:variant>
      <vt:variant>
        <vt:lpwstr/>
      </vt:variant>
      <vt:variant>
        <vt:i4>3145846</vt:i4>
      </vt:variant>
      <vt:variant>
        <vt:i4>0</vt:i4>
      </vt:variant>
      <vt:variant>
        <vt:i4>0</vt:i4>
      </vt:variant>
      <vt:variant>
        <vt:i4>5</vt:i4>
      </vt:variant>
      <vt:variant>
        <vt:lpwstr>http://en.wikipedia.org/wiki/Territory_%28country_subdivision%29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Nicole S. Padar</dc:creator>
  <cp:lastModifiedBy>frbuser</cp:lastModifiedBy>
  <cp:revision>8</cp:revision>
  <cp:lastPrinted>2012-03-20T18:31:00Z</cp:lastPrinted>
  <dcterms:created xsi:type="dcterms:W3CDTF">2012-02-06T20:07:00Z</dcterms:created>
  <dcterms:modified xsi:type="dcterms:W3CDTF">2012-03-23T18:01:00Z</dcterms:modified>
</cp:coreProperties>
</file>