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E6" w:rsidRDefault="00CF1D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b w:val="0"/>
          <w:bCs w:val="0"/>
          <w:sz w:val="24"/>
          <w:szCs w:val="24"/>
        </w:rPr>
      </w:pPr>
      <w:r>
        <w:rPr>
          <w:noProof/>
        </w:rPr>
        <w:pict>
          <v:rect id="_x0000_s1026" style="position:absolute;left:0;text-align:left;margin-left:1in;margin-top:0;width:468pt;height:.95pt;z-index:-251659264;mso-position-horizontal-relative:page" o:allowincell="f" fillcolor="black" stroked="f" strokeweight="0">
            <v:fill color2="black"/>
            <w10:wrap anchorx="page"/>
            <w10:anchorlock/>
          </v:rect>
        </w:pic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b w:val="0"/>
          <w:bCs w:val="0"/>
          <w:sz w:val="24"/>
          <w:szCs w:val="24"/>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Air Emissions Reporting Requirements (AERR)</w:t>
      </w:r>
      <w:r w:rsidR="000B023E">
        <w:rPr>
          <w:rStyle w:val="Chapterhead"/>
        </w:rPr>
        <w:t xml:space="preserve"> (Final Rule)</w:t>
      </w:r>
    </w:p>
    <w:p w:rsidR="002C01E6" w:rsidRDefault="00C02CC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EPA ICR # 2170.0</w:t>
      </w:r>
      <w:r w:rsidR="00352272">
        <w:rPr>
          <w:rStyle w:val="Chapterhead"/>
        </w:rPr>
        <w:t>4</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071D6C" w:rsidRDefault="00CF1DE6" w:rsidP="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sidRPr="00CF1DE6">
        <w:rPr>
          <w:noProof/>
        </w:rPr>
        <w:pict>
          <v:rect id="_x0000_s1027" style="position:absolute;left:0;text-align:left;margin-left:1in;margin-top:0;width:468pt;height:.95pt;z-index:-251658240;mso-position-horizontal-relative:page" o:allowincell="f" fillcolor="black" stroked="f" strokeweight="0">
            <v:fill color2="black"/>
            <w10:wrap anchorx="page"/>
            <w10:anchorlock/>
          </v:rect>
        </w:pic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PART A</w: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1.</w:t>
      </w:r>
      <w:r>
        <w:rPr>
          <w:rStyle w:val="1sttierA"/>
        </w:rPr>
        <w:tab/>
        <w:t>IDENTIFICATION OF THE INFORMATION COLLECTION</w: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1(a) Title of the Information Collection</w:t>
      </w:r>
    </w:p>
    <w:p w:rsidR="00071D6C" w:rsidRDefault="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Air Emissions Reporting Requirements (</w:t>
      </w:r>
      <w:r w:rsidR="002A20E6">
        <w:t>Renewal</w:t>
      </w:r>
      <w:r>
        <w:t>)</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1(b) Short Characterization/Abstract</w:t>
      </w:r>
    </w:p>
    <w:p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Pr="00E265D9" w:rsidRDefault="002C01E6" w:rsidP="0066138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The United States Environmental Protection Agency (</w:t>
      </w:r>
      <w:r w:rsidR="008F66F0">
        <w:t>US</w:t>
      </w:r>
      <w:r w:rsidRPr="00E265D9">
        <w:t>EPA) promulgat</w:t>
      </w:r>
      <w:r w:rsidR="00ED52F9">
        <w:t>ed</w:t>
      </w:r>
      <w:r w:rsidRPr="00E265D9">
        <w:t xml:space="preserve"> the Air Emissions Reporting Requirements (AERR) </w:t>
      </w:r>
      <w:r w:rsidR="00ED52F9">
        <w:t>on December 17, 2008</w:t>
      </w:r>
      <w:r w:rsidR="0066138E">
        <w:t xml:space="preserve"> </w:t>
      </w:r>
      <w:r w:rsidR="008F66F0">
        <w:t>(</w:t>
      </w:r>
      <w:r w:rsidR="0066138E">
        <w:t xml:space="preserve">FR </w:t>
      </w:r>
      <w:proofErr w:type="spellStart"/>
      <w:r w:rsidR="0066138E">
        <w:t>Vol</w:t>
      </w:r>
      <w:proofErr w:type="spellEnd"/>
      <w:r w:rsidR="0066138E">
        <w:t xml:space="preserve"> 73, No. 243, 76539)</w:t>
      </w:r>
      <w:r w:rsidR="00ED52F9">
        <w:t xml:space="preserve">.  </w:t>
      </w:r>
      <w:r w:rsidR="0066138E">
        <w:t>The AERR</w:t>
      </w:r>
      <w:r w:rsidRPr="00E265D9">
        <w:t xml:space="preserve"> </w:t>
      </w:r>
      <w:r w:rsidR="0066138E">
        <w:t>consolidated and streamlined previous requirements of several older rules for State</w:t>
      </w:r>
      <w:r w:rsidR="00A8268D">
        <w:t>, Territorial,</w:t>
      </w:r>
      <w:r w:rsidR="008F66F0">
        <w:t xml:space="preserve"> and local</w:t>
      </w:r>
      <w:r w:rsidR="0066138E">
        <w:t xml:space="preserve"> air </w:t>
      </w:r>
      <w:r w:rsidR="008F66F0">
        <w:t xml:space="preserve">pollution control </w:t>
      </w:r>
      <w:r w:rsidR="0066138E">
        <w:t xml:space="preserve">agencies to report air emissions to the </w:t>
      </w:r>
      <w:r w:rsidR="008F66F0">
        <w:t>US</w:t>
      </w:r>
      <w:r w:rsidR="0066138E">
        <w:t>EPA annually.  The AERR</w:t>
      </w:r>
      <w:r w:rsidRPr="00E265D9">
        <w:t xml:space="preserve"> has an approved ICR in place </w:t>
      </w:r>
      <w:r w:rsidR="00BE11E0">
        <w:t>(</w:t>
      </w:r>
      <w:r w:rsidRPr="00E265D9">
        <w:t xml:space="preserve">ICR </w:t>
      </w:r>
      <w:r w:rsidR="00BE11E0">
        <w:t>Number</w:t>
      </w:r>
      <w:r w:rsidR="00BE11E0" w:rsidRPr="00E265D9">
        <w:t xml:space="preserve"> </w:t>
      </w:r>
      <w:r w:rsidR="0066138E">
        <w:t xml:space="preserve">2170.03).  </w:t>
      </w:r>
      <w:r w:rsidRPr="00E265D9">
        <w:t xml:space="preserve">This supporting statement and ICR </w:t>
      </w:r>
      <w:r w:rsidR="0066138E">
        <w:t>are</w:t>
      </w:r>
      <w:r w:rsidRPr="00E265D9">
        <w:t xml:space="preserve"> being submitted to </w:t>
      </w:r>
      <w:r w:rsidR="0066138E">
        <w:t xml:space="preserve">renew </w:t>
      </w:r>
      <w:r w:rsidR="008F66F0">
        <w:t>USEPA’s authority to collect air emissions-related information</w:t>
      </w:r>
      <w:r w:rsidR="0066138E">
        <w:t xml:space="preserve"> </w:t>
      </w:r>
      <w:r w:rsidR="008F66F0">
        <w:t xml:space="preserve">from State and local agencies </w:t>
      </w:r>
      <w:r w:rsidR="0066138E">
        <w:t xml:space="preserve">for </w:t>
      </w:r>
      <w:r w:rsidR="00D22DDC">
        <w:t>the three-year cycle that will include emissions reporting for inventory years 2012, 2013, and 2014, which are due to be reported on December 31 of the year following each inventory year.</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Under the final </w:t>
      </w:r>
      <w:r w:rsidR="00A8268D">
        <w:t>A</w:t>
      </w:r>
      <w:r>
        <w:t xml:space="preserve">ERR ICR, 55 </w:t>
      </w:r>
      <w:r w:rsidR="00287622">
        <w:t>S</w:t>
      </w:r>
      <w:r>
        <w:t xml:space="preserve">tate and </w:t>
      </w:r>
      <w:r w:rsidR="00287622">
        <w:t>T</w:t>
      </w:r>
      <w:r>
        <w:t xml:space="preserve">erritorial air quality agencies, including the District of Columbia (DC), </w:t>
      </w:r>
      <w:r w:rsidR="008B5E76">
        <w:t>and</w:t>
      </w:r>
      <w:r>
        <w:t xml:space="preserve"> an estimated 49 local air quality agencies, must annually submit emissions data for point sources emitting specified levels of oxides of nitrogen (</w:t>
      </w:r>
      <w:proofErr w:type="spellStart"/>
      <w:r>
        <w:t>NO</w:t>
      </w:r>
      <w:r w:rsidR="00A8268D">
        <w:t>x</w:t>
      </w:r>
      <w:proofErr w:type="spellEnd"/>
      <w:r>
        <w:t>), carbon monoxide</w:t>
      </w:r>
      <w:r>
        <w:rPr>
          <w:vertAlign w:val="subscript"/>
        </w:rPr>
        <w:t xml:space="preserve">  </w:t>
      </w:r>
      <w:r>
        <w:t>(CO), sulfur dioxide (SO</w:t>
      </w:r>
      <w:r w:rsidR="00A8268D">
        <w:t>2</w:t>
      </w:r>
      <w:r>
        <w:t xml:space="preserve">), </w:t>
      </w:r>
      <w:r w:rsidR="00C86E4A">
        <w:t xml:space="preserve">volatile organic compounds (VOCs), </w:t>
      </w:r>
      <w:r>
        <w:t>particulate matter less than or equal to 10 micrometers in diameter (PM</w:t>
      </w:r>
      <w:r w:rsidR="00A8268D">
        <w:t>10</w:t>
      </w:r>
      <w:r>
        <w:t>), particulate matter less than or equal to 2.5 micrometers in diameter (PM</w:t>
      </w:r>
      <w:r w:rsidR="00A8268D">
        <w:t>2.5</w:t>
      </w:r>
      <w:r>
        <w:t>), and ammonia (NH</w:t>
      </w:r>
      <w:r w:rsidR="00A8268D">
        <w:t>3</w:t>
      </w:r>
      <w:r w:rsidR="00C86E4A">
        <w:t xml:space="preserve">). </w:t>
      </w:r>
    </w:p>
    <w:p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DF0EA5"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A8268D">
        <w:t>S</w:t>
      </w:r>
      <w:r>
        <w:t>tates</w:t>
      </w:r>
      <w:r>
        <w:rPr>
          <w:vertAlign w:val="superscript"/>
        </w:rPr>
        <w:footnoteReference w:customMarkFollows="1" w:id="1"/>
        <w:t>1</w:t>
      </w:r>
      <w:r>
        <w:t xml:space="preserve"> </w:t>
      </w:r>
      <w:r w:rsidR="003B4E99">
        <w:t>are</w:t>
      </w:r>
      <w:r>
        <w:t xml:space="preserve"> required to submit a point source inventory, as well as a statewide stationary nonpoint, </w:t>
      </w:r>
      <w:proofErr w:type="spellStart"/>
      <w:r>
        <w:t>onroad</w:t>
      </w:r>
      <w:proofErr w:type="spellEnd"/>
      <w:r>
        <w:t xml:space="preserve"> mobile, </w:t>
      </w:r>
      <w:r w:rsidR="003B4E99">
        <w:t xml:space="preserve">and </w:t>
      </w:r>
      <w:proofErr w:type="spellStart"/>
      <w:r w:rsidR="003B4E99">
        <w:t>n</w:t>
      </w:r>
      <w:r>
        <w:t>onroad</w:t>
      </w:r>
      <w:proofErr w:type="spellEnd"/>
      <w:r>
        <w:t xml:space="preserve"> mobile source inventory for all criteria pollutants and their precursors.  The emissions data submitted for the annual and 3-year cycle inventories </w:t>
      </w:r>
      <w:r w:rsidR="003B4E99">
        <w:t>are</w:t>
      </w:r>
      <w:r>
        <w:t xml:space="preserve"> used by EPA’s Office of Air Quality Planning and Standards (OAQPS) to assist in developing ambient air quality emission standards, performing regional modeling, and preparing national trends assessments and other special analyses and reports</w:t>
      </w:r>
      <w:r w:rsidR="00C370CC">
        <w:t>.</w:t>
      </w:r>
    </w:p>
    <w:p w:rsidR="002C01E6" w:rsidRDefault="002C01E6"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lastRenderedPageBreak/>
        <w:t>2.</w:t>
      </w:r>
      <w:r>
        <w:rPr>
          <w:rStyle w:val="1sttierA"/>
        </w:rPr>
        <w:tab/>
        <w:t>NEED FOR AND USE OF THE COLLECTION</w:t>
      </w:r>
    </w:p>
    <w:p w:rsidR="00BE11E0" w:rsidRDefault="00BE11E0"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2(a) Need/Authority for the Collection</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Pr="00E265D9" w:rsidRDefault="00E64DFD" w:rsidP="00E64DF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purpose of the AERR is to coordinate the various </w:t>
      </w:r>
      <w:r w:rsidR="0000032F">
        <w:t>S</w:t>
      </w:r>
      <w:r>
        <w:t xml:space="preserve">tate emission inventory reporting requirements, and streamline the activities involved in submitting the emissions data to EPA.  The AERR has enabled the EPA to achieve uniformity and completeness in a national inventory to support national, regional, and local air quality planning and attainment.  As EPA moves towards a regional focus in addressing air quality issues, there is a greater need for </w:t>
      </w:r>
      <w:r w:rsidR="006810A4">
        <w:t>S</w:t>
      </w:r>
      <w:r>
        <w:t>tates to develop consistent inventories and to share their emissions inventory data with other groups.</w:t>
      </w:r>
      <w:r w:rsidR="002C01E6" w:rsidRPr="00E265D9">
        <w:t xml:space="preserve">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While the CAA does not provide a specific authorization for a national emissions database, the CAA provides the EPA ample legislative authority for acquiring such data.  Emissions data are of vital importance to the EPA for fulfilling a host of monitoring, standard-setting, rulemaking, reviewing, and reporting duties.  Section 110 and 301(a) of the CAA provide a primary authority for a national emissions database.  Section 110 requires each State to prepare a plan which provides for implementation, maintenance, and enforcement of the primary standard for each pollutant for which air quality criteria have been issued.  This plan must include provisions for periodic reports identifying sources and listing amounts of emissions.  Section 301(a) authorizes the Administrator to promulgate necessary regulations.</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Congressional support for collecting and reporting emissions data is demonstrated in three sections of the CAA.  Section 110(a</w:t>
      </w:r>
      <w:proofErr w:type="gramStart"/>
      <w:r w:rsidRPr="00E265D9">
        <w:t>)(</w:t>
      </w:r>
      <w:proofErr w:type="gramEnd"/>
      <w:r w:rsidRPr="00E265D9">
        <w:t>2)(F) requires that each State provide for periodic reports on the nature and amounts of emissions of criteria pollutants from stationary sources.</w:t>
      </w:r>
      <w:r w:rsidR="00BC24C8">
        <w:t xml:space="preserve">  </w:t>
      </w:r>
      <w:r w:rsidRPr="00E265D9">
        <w:t>Sections 182(a</w:t>
      </w:r>
      <w:proofErr w:type="gramStart"/>
      <w:r w:rsidRPr="00E265D9">
        <w:t>)(</w:t>
      </w:r>
      <w:proofErr w:type="gramEnd"/>
      <w:r w:rsidRPr="00E265D9">
        <w:t>3)(A) and 187(a)(5) of the CAA specify periodic inventory requirements for ozone and CO nonattainment areas, respectively.  Section 182(a</w:t>
      </w:r>
      <w:proofErr w:type="gramStart"/>
      <w:r w:rsidRPr="00E265D9">
        <w:t>)(</w:t>
      </w:r>
      <w:proofErr w:type="gramEnd"/>
      <w:r w:rsidRPr="00E265D9">
        <w:t xml:space="preserve">3)(A) requires States with ozone nonattainment areas to submit a current inventory of actual emissions of VOC, </w:t>
      </w:r>
      <w:proofErr w:type="spellStart"/>
      <w:r w:rsidRPr="00E265D9">
        <w:t>NO</w:t>
      </w:r>
      <w:r w:rsidR="003B4E99">
        <w:t>x</w:t>
      </w:r>
      <w:proofErr w:type="spellEnd"/>
      <w:r w:rsidRPr="00E265D9">
        <w:t>, and CO every 3 years.  Section 187(a</w:t>
      </w:r>
      <w:proofErr w:type="gramStart"/>
      <w:r w:rsidRPr="00E265D9">
        <w:t>)(</w:t>
      </w:r>
      <w:proofErr w:type="gramEnd"/>
      <w:r w:rsidRPr="00E265D9">
        <w:t xml:space="preserve">5) requires a similar inventory of actual CO emissions for CO nonattainment areas.  Periodic inventories include emission estimates for all point, nonpoint, </w:t>
      </w:r>
      <w:proofErr w:type="spellStart"/>
      <w:r w:rsidRPr="00E265D9">
        <w:t>onroad</w:t>
      </w:r>
      <w:proofErr w:type="spellEnd"/>
      <w:r w:rsidRPr="00E265D9">
        <w:t xml:space="preserve"> mobile, </w:t>
      </w:r>
      <w:r w:rsidR="003B4E99">
        <w:t xml:space="preserve">and </w:t>
      </w:r>
      <w:proofErr w:type="spellStart"/>
      <w:r w:rsidRPr="00E265D9">
        <w:t>nonroad</w:t>
      </w:r>
      <w:proofErr w:type="spellEnd"/>
      <w:r w:rsidRPr="00E265D9">
        <w:t xml:space="preserve"> mobile sources.  Section 172(c</w:t>
      </w:r>
      <w:proofErr w:type="gramStart"/>
      <w:r w:rsidRPr="00E265D9">
        <w:t>)(</w:t>
      </w:r>
      <w:proofErr w:type="gramEnd"/>
      <w:r w:rsidRPr="00E265D9">
        <w:t xml:space="preserve">3) also provides the Administrator with discretionary authority to require other emissions data as deemed necessary for State Implementation Plan (SIP) development in nonattainment areas to meet the NAAQS.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ectPr w:rsidR="002C01E6" w:rsidRPr="00E265D9">
          <w:footerReference w:type="default" r:id="rId7"/>
          <w:type w:val="continuous"/>
          <w:pgSz w:w="12240" w:h="15840"/>
          <w:pgMar w:top="1440" w:right="1440" w:bottom="720" w:left="1440" w:header="1440" w:footer="720" w:gutter="0"/>
          <w:cols w:space="720"/>
          <w:noEndnote/>
        </w:sect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lastRenderedPageBreak/>
        <w:t>2(b) Practical Utility/Users of the Data</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Emissions data and related information on stationary point and nonpoint sources, as well as </w:t>
      </w:r>
      <w:proofErr w:type="spellStart"/>
      <w:r>
        <w:t>onroad</w:t>
      </w:r>
      <w:proofErr w:type="spellEnd"/>
      <w:r>
        <w:t xml:space="preserve"> mobile and </w:t>
      </w:r>
      <w:proofErr w:type="spellStart"/>
      <w:r w:rsidR="003B4E99">
        <w:t>n</w:t>
      </w:r>
      <w:r>
        <w:t>onroad</w:t>
      </w:r>
      <w:proofErr w:type="spellEnd"/>
      <w:r>
        <w:t xml:space="preserve"> mobile sources, are routinely used by OAQPS and the EPA Regional Offices in carrying out a variety of activities.  These activities support regulatory functions as well as functions that are more programmatic in nature such as trends analyses.  Such projects include: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existing control strategies, such as the </w:t>
      </w:r>
      <w:proofErr w:type="spellStart"/>
      <w:r>
        <w:t>NO</w:t>
      </w:r>
      <w:r w:rsidR="00A8268D">
        <w:t>x</w:t>
      </w:r>
      <w:proofErr w:type="spellEnd"/>
      <w:r>
        <w:t xml:space="preserve"> SIP Call for States and larger areas;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Evaluation of proposed control strategies for States and larger areas, including applications of regional scale models;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lastRenderedPageBreak/>
        <w:t>Development of national control strategies and preparation of Regulatory Impact Analyses (RIA);</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and publication of national summaries of emissions including trend analyses;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As a database to assist in the identification of important source categories for future regulation; and</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of the stationary source portion of a report to Congress on SO</w:t>
      </w:r>
      <w:r w:rsidR="00A8268D">
        <w:t>2</w:t>
      </w:r>
      <w:r>
        <w:t xml:space="preserve"> emissions.  This report is required by Section 406 of the CAA and is due on a 5</w:t>
      </w:r>
      <w:r>
        <w:noBreakHyphen/>
        <w:t>year cycle that began on January 1, 1995.  The report must contain an inventory of national annual SO</w:t>
      </w:r>
      <w:r w:rsidR="008C23BC">
        <w:t>2</w:t>
      </w:r>
      <w:r>
        <w:t xml:space="preserve"> emissions from industrial sources (as defined in Title IV of the CAA).</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roofErr w:type="gramStart"/>
      <w:r>
        <w:t>EPA</w:t>
      </w:r>
      <w:r w:rsidR="000B023E">
        <w:t>'</w:t>
      </w:r>
      <w:r>
        <w:t>s Office of Research and Development (ORD) uses emissions source data in determining priorities for control technology research and as a key data component in the application</w:t>
      </w:r>
      <w:r w:rsidR="00F44E63">
        <w:t xml:space="preserve"> of regional scale models.</w:t>
      </w:r>
      <w:proofErr w:type="gramEnd"/>
      <w:r w:rsidR="00F44E63">
        <w:t xml:space="preserve">  </w:t>
      </w:r>
      <w:r>
        <w:t>EPA</w:t>
      </w:r>
      <w:r w:rsidR="000B023E">
        <w:t>'</w:t>
      </w:r>
      <w:r>
        <w:t xml:space="preserve">s Regional Offices use emissions and other source parameters to support source inspections and </w:t>
      </w:r>
      <w:r w:rsidR="007F2056">
        <w:t>to</w:t>
      </w:r>
      <w:r w:rsidR="00D103F3">
        <w:t xml:space="preserve"> analyz</w:t>
      </w:r>
      <w:r w:rsidR="007F2056">
        <w:t>e</w:t>
      </w:r>
      <w:r w:rsidR="00D103F3">
        <w:t xml:space="preserve"> </w:t>
      </w:r>
      <w:r>
        <w:t>the impact of new or modif</w:t>
      </w:r>
      <w:r w:rsidR="00D103F3">
        <w:t xml:space="preserve">ied sources within an area.  The </w:t>
      </w:r>
      <w:r>
        <w:t xml:space="preserve">Emission Inventory </w:t>
      </w:r>
      <w:r w:rsidR="00190F08">
        <w:t xml:space="preserve">and Analysis </w:t>
      </w:r>
      <w:r>
        <w:t>Group (EI</w:t>
      </w:r>
      <w:r w:rsidR="00190F08">
        <w:t>A</w:t>
      </w:r>
      <w:r>
        <w:t xml:space="preserve">G) </w:t>
      </w:r>
      <w:r w:rsidR="00D103F3">
        <w:t xml:space="preserve">of EPA </w:t>
      </w:r>
      <w:proofErr w:type="gramStart"/>
      <w:r>
        <w:t>use</w:t>
      </w:r>
      <w:r w:rsidR="00D103F3">
        <w:t>s</w:t>
      </w:r>
      <w:proofErr w:type="gramEnd"/>
      <w:r>
        <w:t xml:space="preserve"> the data to assess and analyze trends in criteria pollutant emissions over time.</w:t>
      </w:r>
    </w:p>
    <w:p w:rsidR="00F425A8" w:rsidRDefault="00F425A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C44465" w:rsidRDefault="00C444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sectPr w:rsidR="00C44465">
          <w:type w:val="continuous"/>
          <w:pgSz w:w="12240" w:h="15840"/>
          <w:pgMar w:top="1440" w:right="1440" w:bottom="720" w:left="1440" w:header="1440" w:footer="720" w:gutter="0"/>
          <w:cols w:space="720"/>
          <w:noEndnote/>
        </w:sect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In addition to supporting projects and initiatives internal to EPA, both OAQPS and the Regional Offices respond to numerous requests for reports on emission sources.  Typically this is done under the Freedom of Information Act.  Most requests come from contractors and consultants involved in special studies; a smaller number come from the press and universities and others involved in research.</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 The collection of emissions data specific to nonattainment areas for certain criteria air pollutants is necessary to comply with requirements specified in Title I of the CAA.  States with nonattainment areas rely on current information for point, nonpoint, and mobile sources to revise their SIPs and to plan for emission reductions mandated by the CAA.  In addition, a statewide inventory compiled at least every 3 years for all point, nonpoint, and </w:t>
      </w:r>
      <w:proofErr w:type="spellStart"/>
      <w:r w:rsidR="003B4E99">
        <w:t>onroad</w:t>
      </w:r>
      <w:proofErr w:type="spellEnd"/>
      <w:r w:rsidR="003B4E99">
        <w:t xml:space="preserve"> and </w:t>
      </w:r>
      <w:proofErr w:type="spellStart"/>
      <w:r w:rsidR="003B4E99">
        <w:t>nonroad</w:t>
      </w:r>
      <w:proofErr w:type="spellEnd"/>
      <w:r w:rsidR="003B4E99">
        <w:t xml:space="preserve"> </w:t>
      </w:r>
      <w:r>
        <w:t>mobile sources is considered to be a key tool to assist States in meeting CAA requirements that address emissions tracking, compliance issues, and mid-course adjustments.  Statewide emission inventories can be used by States affected by pollution transport from upwind areas to develop more efficient control strategies to meet the NAAQS.  Statewide emission inventories that were developed by EPA (the NEI) are being used by the Regional Planning Organizations (RPOs) as the starting point for the development of statewide emission inventories used in the regional haze program to define control strategies.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3.</w:t>
      </w:r>
      <w:r>
        <w:rPr>
          <w:rStyle w:val="1sttierA"/>
        </w:rPr>
        <w:tab/>
        <w:t>NONDUPLICATION, CONSULTATIONS, AND OTHER COLLECTION CRITERIA</w:t>
      </w:r>
    </w:p>
    <w:p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 xml:space="preserve">3(a) </w:t>
      </w:r>
      <w:proofErr w:type="spellStart"/>
      <w:r>
        <w:rPr>
          <w:rStyle w:val="2ndtier1"/>
        </w:rPr>
        <w:t>Nonduplication</w:t>
      </w:r>
      <w:proofErr w:type="spellEnd"/>
    </w:p>
    <w:p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Previous reporting requirements have occasionally</w:t>
      </w:r>
      <w:r w:rsidR="003167BA">
        <w:t xml:space="preserve"> </w:t>
      </w:r>
      <w:r>
        <w:t>forced State agencies into inefficient collecting and reportin</w:t>
      </w:r>
      <w:r w:rsidR="00AE0053">
        <w:t xml:space="preserve">g activities.  The AERR </w:t>
      </w:r>
      <w:r w:rsidR="003167BA">
        <w:t xml:space="preserve">was promulgated specifically </w:t>
      </w:r>
      <w:r>
        <w:t xml:space="preserve">to simplify </w:t>
      </w:r>
      <w:r w:rsidR="003167BA">
        <w:t xml:space="preserve">previously existing </w:t>
      </w:r>
      <w:r>
        <w:t xml:space="preserve">emission inventory reporting by States to EPA, offer options for data collection and exchange, and unify reporting dates for various categories of inventories to avoid duplication of effort.  For example, under the </w:t>
      </w:r>
      <w:proofErr w:type="spellStart"/>
      <w:r>
        <w:t>NO</w:t>
      </w:r>
      <w:r w:rsidR="008C23BC">
        <w:t>x</w:t>
      </w:r>
      <w:proofErr w:type="spellEnd"/>
      <w:r>
        <w:t xml:space="preserve"> SIP Call rule, the EPA requir</w:t>
      </w:r>
      <w:r w:rsidR="003167BA">
        <w:t>ed</w:t>
      </w:r>
      <w:r>
        <w:t xml:space="preserve"> States to submit annual inventories for all </w:t>
      </w:r>
      <w:proofErr w:type="spellStart"/>
      <w:r>
        <w:t>NO</w:t>
      </w:r>
      <w:r w:rsidR="008C23BC">
        <w:t>x</w:t>
      </w:r>
      <w:proofErr w:type="spellEnd"/>
      <w:r>
        <w:t xml:space="preserve"> sources for which States </w:t>
      </w:r>
      <w:r w:rsidR="003167BA">
        <w:t xml:space="preserve">had </w:t>
      </w:r>
      <w:r>
        <w:t>adopt</w:t>
      </w:r>
      <w:r w:rsidR="003167BA">
        <w:t>ed</w:t>
      </w:r>
      <w:r>
        <w:t xml:space="preserve"> control measures to meet their </w:t>
      </w:r>
      <w:proofErr w:type="spellStart"/>
      <w:r>
        <w:t>NO</w:t>
      </w:r>
      <w:r w:rsidR="008C23BC">
        <w:t>x</w:t>
      </w:r>
      <w:proofErr w:type="spellEnd"/>
      <w:r>
        <w:t xml:space="preserve"> budget.  </w:t>
      </w:r>
      <w:r w:rsidR="003167BA">
        <w:t xml:space="preserve">In addition, </w:t>
      </w:r>
      <w:r>
        <w:t xml:space="preserve">statewide </w:t>
      </w:r>
      <w:proofErr w:type="spellStart"/>
      <w:r>
        <w:t>NO</w:t>
      </w:r>
      <w:r w:rsidR="008C23BC">
        <w:t>x</w:t>
      </w:r>
      <w:proofErr w:type="spellEnd"/>
      <w:r>
        <w:t xml:space="preserve"> inventories of all controlled </w:t>
      </w:r>
      <w:r>
        <w:lastRenderedPageBreak/>
        <w:t xml:space="preserve">and uncontrolled sources </w:t>
      </w:r>
      <w:r w:rsidR="003167BA">
        <w:t>we</w:t>
      </w:r>
      <w:r>
        <w:t>re required</w:t>
      </w:r>
      <w:r w:rsidR="003167BA">
        <w:t xml:space="preserve"> every 3 years</w:t>
      </w:r>
      <w:r>
        <w:t>.  The CERR rule also require</w:t>
      </w:r>
      <w:r w:rsidR="003167BA">
        <w:t>d</w:t>
      </w:r>
      <w:r>
        <w:t xml:space="preserve"> annual and triennial emission inventory reporting of many </w:t>
      </w:r>
      <w:r w:rsidR="007D2CA4">
        <w:t xml:space="preserve">of the same data elements.  </w:t>
      </w:r>
      <w:r w:rsidR="003167BA">
        <w:t>The AERR a</w:t>
      </w:r>
      <w:r>
        <w:t>lign</w:t>
      </w:r>
      <w:r w:rsidR="00184CC4">
        <w:t>ed</w:t>
      </w:r>
      <w:r>
        <w:t xml:space="preserve"> </w:t>
      </w:r>
      <w:r w:rsidR="003167BA">
        <w:t xml:space="preserve">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minimize the burden on industry, and reduce the effort for State and local government agencies to compile the data.</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3(b) Public Notice Required Prior to ICR Submission to OMB</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15052A" w:rsidRDefault="001505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rsidR="00A5154A" w:rsidRPr="002731D2">
        <w:t xml:space="preserve">The </w:t>
      </w:r>
      <w:r w:rsidR="00A5154A" w:rsidRPr="002731D2">
        <w:rPr>
          <w:u w:val="single"/>
        </w:rPr>
        <w:t>Federal Register</w:t>
      </w:r>
      <w:r w:rsidR="00A5154A" w:rsidRPr="002731D2">
        <w:t xml:space="preserve"> notice announcing th</w:t>
      </w:r>
      <w:r w:rsidR="00A5154A">
        <w:t>is</w:t>
      </w:r>
      <w:r w:rsidR="00A5154A" w:rsidRPr="002731D2">
        <w:t xml:space="preserve"> ICR renewal was published on </w:t>
      </w:r>
      <w:r w:rsidR="00A5154A">
        <w:t>September 14, 2011.  No public comments were received</w:t>
      </w:r>
      <w:r w:rsidR="00A5154A" w:rsidRPr="002731D2">
        <w:t>.</w:t>
      </w:r>
      <w:r w:rsidR="00A5154A" w:rsidRPr="00CF2327">
        <w:t xml:space="preserve">  </w:t>
      </w:r>
    </w:p>
    <w:p w:rsidR="00A5154A" w:rsidRPr="00E265D9" w:rsidRDefault="00A5154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3(c) Consultations</w:t>
      </w:r>
    </w:p>
    <w:p w:rsidR="000B023E" w:rsidRDefault="000B023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8A231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b/>
          <w:bCs/>
        </w:rPr>
      </w:pPr>
      <w:r w:rsidRPr="00CC44DB">
        <w:t xml:space="preserve">EPA participates regularly on monthly conference calls chaired by the National Association of Clean Air Agencies (NACAA) to discuss issues </w:t>
      </w:r>
      <w:r>
        <w:t xml:space="preserve">raised by </w:t>
      </w:r>
      <w:r w:rsidR="00DF2AE5">
        <w:t>S</w:t>
      </w:r>
      <w:r>
        <w:t xml:space="preserve">tate agencies </w:t>
      </w:r>
      <w:r w:rsidRPr="00CC44DB">
        <w:t xml:space="preserve">related to emission inventories.  EPA </w:t>
      </w:r>
      <w:r>
        <w:t xml:space="preserve">has developed and is operating a web-accessible </w:t>
      </w:r>
      <w:r w:rsidRPr="00CC44DB">
        <w:t>database known as the Emission Inventory System (EIS)</w:t>
      </w:r>
      <w:r>
        <w:t xml:space="preserve"> which</w:t>
      </w:r>
      <w:r w:rsidRPr="00CC44DB">
        <w:t xml:space="preserve"> serve</w:t>
      </w:r>
      <w:r>
        <w:t>s</w:t>
      </w:r>
      <w:r w:rsidRPr="00CC44DB">
        <w:t xml:space="preserve"> as </w:t>
      </w:r>
      <w:r>
        <w:t>the</w:t>
      </w:r>
      <w:r w:rsidRPr="00CC44DB">
        <w:t xml:space="preserve"> repository for </w:t>
      </w:r>
      <w:r>
        <w:t xml:space="preserve">the </w:t>
      </w:r>
      <w:r w:rsidRPr="00CC44DB">
        <w:t xml:space="preserve">state agency data submitted to EPA under the </w:t>
      </w:r>
      <w:r>
        <w:t>A</w:t>
      </w:r>
      <w:r w:rsidRPr="00CC44DB">
        <w:t xml:space="preserve">ERR requirements.  </w:t>
      </w:r>
      <w:r>
        <w:t>The EIS includes a Support Request area and a QA test environment for State agencies.  In addition, EPA provides annual training for the State agencies on the development of inventories and the use of the EIS via webinars and conferences.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3(d) Effects of Less Frequent Collection</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submittal dates required for reporting of emissions data to EPA have been established to minimize the burden on State agencies, but also to ensure that State agencies are collecting timely and sufficient emission inventory data to support their air pollution control efforts.  A statewide inventory compiled at least every 3 years for all point, nonpoint, </w:t>
      </w:r>
      <w:proofErr w:type="spellStart"/>
      <w:r w:rsidR="003B4E99">
        <w:t>onroad</w:t>
      </w:r>
      <w:proofErr w:type="spellEnd"/>
      <w:r w:rsidR="003B4E99">
        <w:t xml:space="preserve"> mobile and </w:t>
      </w:r>
      <w:proofErr w:type="spellStart"/>
      <w:r w:rsidR="003B4E99">
        <w:t>nonroad</w:t>
      </w:r>
      <w:proofErr w:type="spellEnd"/>
      <w:r>
        <w:t xml:space="preserve"> mobile sources is considered important to assist States in meeting various CAA requirements.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If the information collection were not carried out every 3 years for all sources and annually for major point sources, the EPA would not be able to maintain a central, national repository of emissions data from which to extract updated information needed to fulfill EPA mandates.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3(e) General Guidelines</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ICR does not violate any of OMB</w:t>
      </w:r>
      <w:r w:rsidR="000B023E">
        <w:t>'</w:t>
      </w:r>
      <w:r>
        <w:t>s guidelines for information collections.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3(f) Confidentiality</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ascii="Shruti" w:hAnsi="Shruti" w:cs="Shruti"/>
        </w:rPr>
      </w:pPr>
      <w:r>
        <w:t xml:space="preserve">Any data that is submitted to EPA under this proposed rule will be considered in the public domain and cannot be treated as confidential.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3(g) Sensitive Questions</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This information collection does not ask any questions concerning sexual behavior or attitudes, religious beliefs, or other matters usually considered private.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4.</w:t>
      </w:r>
      <w:r>
        <w:rPr>
          <w:rStyle w:val="1sttierA"/>
        </w:rPr>
        <w:tab/>
        <w:t>THE RESPONDENTS AND THE INFORMATION REQUESTED</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4(a) Respondents/</w:t>
      </w:r>
      <w:r w:rsidR="008352CE">
        <w:rPr>
          <w:rStyle w:val="2ndtier1"/>
        </w:rPr>
        <w:t xml:space="preserve">North American Industry Classification System (NAICS) </w:t>
      </w:r>
      <w:r>
        <w:rPr>
          <w:rStyle w:val="2ndtier1"/>
        </w:rPr>
        <w:t>Codes</w:t>
      </w:r>
    </w:p>
    <w:p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emissions data required by the </w:t>
      </w:r>
      <w:r w:rsidR="0020584C">
        <w:t>AERR</w:t>
      </w:r>
      <w:r w:rsidRPr="00E265D9">
        <w:t xml:space="preserve"> </w:t>
      </w:r>
      <w:r w:rsidR="0020584C">
        <w:t>is</w:t>
      </w:r>
      <w:r w:rsidRPr="00E265D9">
        <w:t xml:space="preserve"> submitted by State</w:t>
      </w:r>
      <w:r w:rsidR="00DF2AE5">
        <w:t xml:space="preserve">, Territorial, </w:t>
      </w:r>
      <w:r w:rsidR="0020584C">
        <w:t xml:space="preserve">and local </w:t>
      </w:r>
      <w:r w:rsidRPr="00E265D9">
        <w:t xml:space="preserve">air pollution control agencies.  Under the </w:t>
      </w:r>
      <w:r w:rsidR="0020584C">
        <w:t>A</w:t>
      </w:r>
      <w:r w:rsidRPr="00E265D9">
        <w:t>ERR, there are 55 State and Territorial air pollution control agencies</w:t>
      </w:r>
      <w:r w:rsidR="0020584C">
        <w:t xml:space="preserve"> and</w:t>
      </w:r>
      <w:r w:rsidRPr="00E265D9">
        <w:t xml:space="preserve"> 49 local air agencies that </w:t>
      </w:r>
      <w:r w:rsidR="0020584C">
        <w:t>are</w:t>
      </w:r>
      <w:r w:rsidRPr="00E265D9">
        <w:t xml:space="preserve"> subject to the national reporting requirements and </w:t>
      </w:r>
      <w:r w:rsidR="0020584C">
        <w:t>are</w:t>
      </w:r>
      <w:r w:rsidRPr="00E265D9">
        <w:t xml:space="preserve"> required to compile and report emissions information for large stationary point sources on an annual basis</w:t>
      </w:r>
      <w:r w:rsidR="00DF2AE5">
        <w:t>,</w:t>
      </w:r>
      <w:r w:rsidRPr="00E265D9">
        <w:t xml:space="preserve"> and for smaller point sources, stationary nonpoint and </w:t>
      </w:r>
      <w:proofErr w:type="spellStart"/>
      <w:r w:rsidR="003B4E99">
        <w:t>onroad</w:t>
      </w:r>
      <w:proofErr w:type="spellEnd"/>
      <w:r w:rsidR="003B4E99">
        <w:t xml:space="preserve"> and </w:t>
      </w:r>
      <w:proofErr w:type="spellStart"/>
      <w:r w:rsidR="003B4E99">
        <w:t>nonroad</w:t>
      </w:r>
      <w:proofErr w:type="spellEnd"/>
      <w:r w:rsidR="003B4E99">
        <w:t xml:space="preserve"> </w:t>
      </w:r>
      <w:r w:rsidRPr="00E265D9">
        <w:t xml:space="preserve">mobile sources on a 3-year basis.  </w:t>
      </w:r>
      <w:r w:rsidR="003B4320">
        <w:t>The affected NAICS</w:t>
      </w:r>
      <w:r w:rsidR="006E5F9B">
        <w:t xml:space="preserve"> code is</w:t>
      </w:r>
      <w:r w:rsidRPr="00E265D9">
        <w:t xml:space="preserve"> </w:t>
      </w:r>
      <w:r w:rsidR="003B4320">
        <w:rPr>
          <w:i/>
          <w:iCs/>
        </w:rPr>
        <w:t>924110</w:t>
      </w:r>
      <w:r w:rsidRPr="00E265D9">
        <w:rPr>
          <w:i/>
          <w:iCs/>
        </w:rPr>
        <w:t xml:space="preserve"> </w:t>
      </w:r>
      <w:r w:rsidR="003B4320">
        <w:rPr>
          <w:i/>
          <w:iCs/>
        </w:rPr>
        <w:t>–</w:t>
      </w:r>
      <w:r w:rsidRPr="00E265D9">
        <w:rPr>
          <w:i/>
          <w:iCs/>
        </w:rPr>
        <w:t xml:space="preserve"> A</w:t>
      </w:r>
      <w:r w:rsidR="003B4320">
        <w:rPr>
          <w:i/>
          <w:iCs/>
        </w:rPr>
        <w:t>dministration of A</w:t>
      </w:r>
      <w:r w:rsidRPr="00E265D9">
        <w:rPr>
          <w:i/>
          <w:iCs/>
        </w:rPr>
        <w:t>ir and Water Resource</w:t>
      </w:r>
      <w:r w:rsidR="003B4320">
        <w:rPr>
          <w:i/>
          <w:iCs/>
        </w:rPr>
        <w:t>s</w:t>
      </w:r>
      <w:r w:rsidRPr="00E265D9">
        <w:rPr>
          <w:i/>
          <w:iCs/>
        </w:rPr>
        <w:t xml:space="preserve"> and Solid Waste Management</w:t>
      </w:r>
      <w:r w:rsidR="003B4320">
        <w:rPr>
          <w:i/>
          <w:iCs/>
        </w:rPr>
        <w:t xml:space="preserve"> Programs</w:t>
      </w:r>
      <w:r w:rsidRPr="00E265D9">
        <w:t xml:space="preserve">, which includes governmental environmental protection and control agencies, and pollution control agencies.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4(b) Information Requested</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C61DF3" w:rsidRDefault="00C61DF3" w:rsidP="00C61D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consolidated emission inventory data that were being collected by states and reported to EPA under several different provisions of the CAA, including periodic or 3-year cycle inventories, and annual point source inventories.  Every year, </w:t>
      </w:r>
      <w:r w:rsidR="00DF2AE5">
        <w:t>S</w:t>
      </w:r>
      <w:r>
        <w:t>tate agencies are required to submit emissions data for large stationary point sources emitting one or more of the following pollu</w:t>
      </w:r>
      <w:r w:rsidR="00910343">
        <w:t xml:space="preserve">tants above a specified level: </w:t>
      </w:r>
      <w:proofErr w:type="spellStart"/>
      <w:r>
        <w:t>NOx</w:t>
      </w:r>
      <w:proofErr w:type="spellEnd"/>
      <w:r>
        <w:t xml:space="preserve">, CO, SO2, </w:t>
      </w:r>
      <w:r w:rsidR="00910343">
        <w:t xml:space="preserve">VOC, </w:t>
      </w:r>
      <w:r>
        <w:t xml:space="preserve">PM10, PM2.5, and NH3.  The AERR also requires States to report point, nonpoint, </w:t>
      </w:r>
      <w:proofErr w:type="spellStart"/>
      <w:r>
        <w:t>onroad</w:t>
      </w:r>
      <w:proofErr w:type="spellEnd"/>
      <w:r>
        <w:t xml:space="preserve"> mobile, and </w:t>
      </w:r>
      <w:proofErr w:type="spellStart"/>
      <w:r w:rsidR="008958FD">
        <w:t>n</w:t>
      </w:r>
      <w:r>
        <w:t>onroad</w:t>
      </w:r>
      <w:proofErr w:type="spellEnd"/>
      <w:r>
        <w:t xml:space="preserve"> mobile source emissions data for all criteria pollutants and their precursors every 3 years on a statewide basis.  There are no annual reporting requirements for sources of lead (</w:t>
      </w:r>
      <w:proofErr w:type="spellStart"/>
      <w:r>
        <w:t>Pb</w:t>
      </w:r>
      <w:proofErr w:type="spellEnd"/>
      <w:r>
        <w:t>)</w:t>
      </w:r>
      <w:proofErr w:type="gramStart"/>
      <w:r>
        <w:t>,</w:t>
      </w:r>
      <w:proofErr w:type="gramEnd"/>
      <w:r>
        <w:t xml:space="preserve"> however, lead emissions must be included in the 3-year cycle inventories.  Data elements that must be reported by State agencies for point, nonpoint, and </w:t>
      </w:r>
      <w:proofErr w:type="spellStart"/>
      <w:r>
        <w:t>onroad</w:t>
      </w:r>
      <w:proofErr w:type="spellEnd"/>
      <w:r>
        <w:t xml:space="preserve"> and </w:t>
      </w:r>
      <w:proofErr w:type="spellStart"/>
      <w:r>
        <w:t>nonroad</w:t>
      </w:r>
      <w:proofErr w:type="spellEnd"/>
      <w:r>
        <w:t xml:space="preserve"> mobile sources are listed in Appendix A to Subpart </w:t>
      </w:r>
      <w:proofErr w:type="gramStart"/>
      <w:r>
        <w:t>A</w:t>
      </w:r>
      <w:proofErr w:type="gramEnd"/>
      <w:r>
        <w:t xml:space="preserve"> of 40 CFR part 51</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888"/>
      </w:pPr>
      <w:r>
        <w:rPr>
          <w:i/>
          <w:iCs/>
        </w:rPr>
        <w:t>(ii) Respondent activities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the point source inventory reporting requirements of the AERR, respondent activities generally involve copying emissions and related parameters from an existing State electronic file, resolving any errors or anomalies identified through edits or other qualitative reviews, and providing it to EPA electronically using </w:t>
      </w:r>
      <w:proofErr w:type="spellStart"/>
      <w:r>
        <w:t>eXtensible</w:t>
      </w:r>
      <w:proofErr w:type="spellEnd"/>
      <w:r>
        <w:t xml:space="preserve"> Markup Language (XML) format.  Thus, the activities for generating criteria pollutant point source inventories are primarily data processing and typically do not involve the development of new data which does not already exist in the State’s files.  However, compiling a triennial statewide nonpoint, </w:t>
      </w:r>
      <w:proofErr w:type="spellStart"/>
      <w:r w:rsidR="00DF2AE5">
        <w:t>onroad</w:t>
      </w:r>
      <w:proofErr w:type="spellEnd"/>
      <w:r w:rsidR="00DF2AE5">
        <w:t xml:space="preserve"> mobile</w:t>
      </w:r>
      <w:r>
        <w:t xml:space="preserve">, and </w:t>
      </w:r>
      <w:proofErr w:type="spellStart"/>
      <w:r w:rsidR="00DF2AE5">
        <w:t>nonroad</w:t>
      </w:r>
      <w:proofErr w:type="spellEnd"/>
      <w:r w:rsidR="00DF2AE5">
        <w:t xml:space="preserve"> mobile </w:t>
      </w:r>
      <w:r>
        <w:t>source inventory is expected to involve additional effort by a State.  The specific respondent activities associated with the AERR are outlined below, and are grouped into annual and triennial activities.</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ab/>
      </w:r>
      <w:r>
        <w:tab/>
      </w:r>
    </w:p>
    <w:p w:rsidR="00C013B0" w:rsidDel="00BA394F"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Annual </w:t>
      </w:r>
      <w:r w:rsidR="00910343">
        <w:t>S</w:t>
      </w:r>
      <w:r>
        <w:t xml:space="preserve">tate activities include submitting emissions data for Type </w:t>
      </w:r>
      <w:proofErr w:type="gramStart"/>
      <w:r>
        <w:t>A</w:t>
      </w:r>
      <w:proofErr w:type="gramEnd"/>
      <w:r>
        <w:t xml:space="preserve"> point sources emitting 2,500 tons per year (</w:t>
      </w:r>
      <w:proofErr w:type="spellStart"/>
      <w:r>
        <w:t>tpy</w:t>
      </w:r>
      <w:proofErr w:type="spellEnd"/>
      <w:r>
        <w:t xml:space="preserve">) of </w:t>
      </w:r>
      <w:proofErr w:type="spellStart"/>
      <w:r>
        <w:t>NO</w:t>
      </w:r>
      <w:r w:rsidR="00910343">
        <w:t>x</w:t>
      </w:r>
      <w:proofErr w:type="spellEnd"/>
      <w:r>
        <w:t>, CO, or SO</w:t>
      </w:r>
      <w:r w:rsidR="00910343">
        <w:t>2</w:t>
      </w:r>
      <w:r w:rsidR="00407622">
        <w:t>;</w:t>
      </w:r>
      <w:r>
        <w:t xml:space="preserve"> or 250 </w:t>
      </w:r>
      <w:proofErr w:type="spellStart"/>
      <w:r>
        <w:t>tpy</w:t>
      </w:r>
      <w:proofErr w:type="spellEnd"/>
      <w:r>
        <w:t xml:space="preserve"> of VOC, PM</w:t>
      </w:r>
      <w:r w:rsidR="00407622">
        <w:t>10</w:t>
      </w:r>
      <w:r>
        <w:t>, PM</w:t>
      </w:r>
      <w:r w:rsidR="00407622">
        <w:t>2.5</w:t>
      </w:r>
      <w:r>
        <w:t xml:space="preserve"> </w:t>
      </w:r>
      <w:r w:rsidR="00407622">
        <w:t>or</w:t>
      </w:r>
      <w:r>
        <w:t xml:space="preserve"> NH</w:t>
      </w:r>
      <w:r w:rsidR="00407622">
        <w:t>3</w:t>
      </w:r>
      <w:r>
        <w:t>.</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Triennial </w:t>
      </w:r>
      <w:r w:rsidR="00457B52">
        <w:t>S</w:t>
      </w:r>
      <w:r>
        <w:t>tate activities include:</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w:t>
      </w:r>
      <w:r>
        <w:tab/>
        <w:t xml:space="preserve">Submitting emissions data for Type B point sources emitting 100 </w:t>
      </w:r>
      <w:proofErr w:type="spellStart"/>
      <w:r>
        <w:t>tpy</w:t>
      </w:r>
      <w:proofErr w:type="spellEnd"/>
      <w:r>
        <w:t xml:space="preserve"> of </w:t>
      </w:r>
      <w:proofErr w:type="spellStart"/>
      <w:r>
        <w:t>NO</w:t>
      </w:r>
      <w:r w:rsidR="005F0F18">
        <w:t>x</w:t>
      </w:r>
      <w:proofErr w:type="spellEnd"/>
      <w:r>
        <w:t>, SO</w:t>
      </w:r>
      <w:r w:rsidR="005F0F18">
        <w:t>2</w:t>
      </w:r>
      <w:r>
        <w:t>,</w:t>
      </w:r>
      <w:r w:rsidR="005F0F18">
        <w:t xml:space="preserve"> VOC, </w:t>
      </w:r>
      <w:r>
        <w:t>PM</w:t>
      </w:r>
      <w:r w:rsidR="005F0F18">
        <w:t>10</w:t>
      </w:r>
      <w:r>
        <w:t>, PM</w:t>
      </w:r>
      <w:r w:rsidR="005F0F18">
        <w:t>2.5</w:t>
      </w:r>
      <w:r>
        <w:t xml:space="preserve">, </w:t>
      </w:r>
      <w:r w:rsidR="005F0F18">
        <w:t xml:space="preserve">or </w:t>
      </w:r>
      <w:r>
        <w:t>NH</w:t>
      </w:r>
      <w:r w:rsidR="005F0F18">
        <w:t xml:space="preserve">3; </w:t>
      </w:r>
      <w:r>
        <w:t xml:space="preserve">or 1,000 </w:t>
      </w:r>
      <w:proofErr w:type="spellStart"/>
      <w:r>
        <w:t>tpy</w:t>
      </w:r>
      <w:proofErr w:type="spellEnd"/>
      <w:r>
        <w:t xml:space="preserve"> of CO, as well as emissions data for Type </w:t>
      </w:r>
      <w:proofErr w:type="gramStart"/>
      <w:r>
        <w:t>A</w:t>
      </w:r>
      <w:proofErr w:type="gramEnd"/>
      <w:r>
        <w:t xml:space="preserve"> sources;</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lastRenderedPageBreak/>
        <w:t>•</w:t>
      </w:r>
      <w:r>
        <w:tab/>
        <w:t xml:space="preserve">Developing and reporting statewide inventory </w:t>
      </w:r>
      <w:r w:rsidR="00265FD0">
        <w:t xml:space="preserve">emission estimates </w:t>
      </w:r>
      <w:r>
        <w:t xml:space="preserve">for stationary nonpoint, </w:t>
      </w:r>
      <w:proofErr w:type="spellStart"/>
      <w:r>
        <w:t>onroad</w:t>
      </w:r>
      <w:proofErr w:type="spellEnd"/>
      <w:r>
        <w:t xml:space="preserve"> mobile, and </w:t>
      </w:r>
      <w:proofErr w:type="spellStart"/>
      <w:r w:rsidR="00522F49">
        <w:t>n</w:t>
      </w:r>
      <w:r>
        <w:t>onroad</w:t>
      </w:r>
      <w:proofErr w:type="spellEnd"/>
      <w:r>
        <w:t xml:space="preserve"> mobile</w:t>
      </w:r>
      <w:r w:rsidR="00265FD0">
        <w:t xml:space="preserve"> sources</w:t>
      </w:r>
      <w:r>
        <w:t xml:space="preserve"> for all </w:t>
      </w:r>
      <w:r w:rsidR="00265FD0">
        <w:t xml:space="preserve">criteria </w:t>
      </w:r>
      <w:r>
        <w:t>pollutants</w:t>
      </w:r>
      <w:r w:rsidR="00457B52">
        <w:t>.</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w:t>
      </w:r>
      <w:r w:rsidR="00B25838">
        <w:t>S</w:t>
      </w:r>
      <w:r>
        <w:t xml:space="preserve">tates without nonattainment areas for the criteria air pollutants, the burden associated with preparing statewide stationary nonpoint, </w:t>
      </w:r>
      <w:proofErr w:type="spellStart"/>
      <w:r>
        <w:t>onroad</w:t>
      </w:r>
      <w:proofErr w:type="spellEnd"/>
      <w:r>
        <w:t xml:space="preserve"> mobile, and </w:t>
      </w:r>
      <w:proofErr w:type="spellStart"/>
      <w:r w:rsidR="00522F49">
        <w:t>n</w:t>
      </w:r>
      <w:r>
        <w:t>onroad</w:t>
      </w:r>
      <w:proofErr w:type="spellEnd"/>
      <w:r>
        <w:t xml:space="preserve"> mobile source inventories was</w:t>
      </w:r>
      <w:r w:rsidDel="001121D3">
        <w:t xml:space="preserve"> </w:t>
      </w:r>
      <w:r>
        <w:t xml:space="preserve">a new requirement for the 2002 inventory.  However, many </w:t>
      </w:r>
      <w:r w:rsidR="00522F49">
        <w:t>S</w:t>
      </w:r>
      <w:r>
        <w:t xml:space="preserve">tates had existing nonattainment areas and had already prepared stationary nonpoint, </w:t>
      </w:r>
      <w:proofErr w:type="spellStart"/>
      <w:r>
        <w:t>onroad</w:t>
      </w:r>
      <w:proofErr w:type="spellEnd"/>
      <w:r>
        <w:t xml:space="preserve"> mobile, and </w:t>
      </w:r>
      <w:proofErr w:type="spellStart"/>
      <w:r w:rsidR="00522F49">
        <w:t>n</w:t>
      </w:r>
      <w:r>
        <w:t>onroad</w:t>
      </w:r>
      <w:proofErr w:type="spellEnd"/>
      <w:r>
        <w:t xml:space="preserve"> mobile source inventories for their nonattainment counties.  For </w:t>
      </w:r>
      <w:r w:rsidR="00522F49">
        <w:t>S</w:t>
      </w:r>
      <w:r>
        <w:t xml:space="preserve">tates with existing nonattainment areas, the incremental burden associated with preparing statewide stationary nonpoint, </w:t>
      </w:r>
      <w:proofErr w:type="spellStart"/>
      <w:r>
        <w:t>onroad</w:t>
      </w:r>
      <w:proofErr w:type="spellEnd"/>
      <w:r>
        <w:t xml:space="preserve"> mobile, and </w:t>
      </w:r>
      <w:proofErr w:type="spellStart"/>
      <w:r w:rsidR="00CC7B2E">
        <w:t>n</w:t>
      </w:r>
      <w:r>
        <w:t>onroad</w:t>
      </w:r>
      <w:proofErr w:type="spellEnd"/>
      <w:r>
        <w:t xml:space="preserve"> mobile source inventories every 3 years </w:t>
      </w:r>
      <w:r w:rsidR="00B25838">
        <w:t>i</w:t>
      </w:r>
      <w:r>
        <w:t xml:space="preserve">s associated with extending the inventories to cover attainment counties.  This incremental burden will vary by </w:t>
      </w:r>
      <w:r w:rsidR="00B25838">
        <w:t>S</w:t>
      </w:r>
      <w:r>
        <w:t xml:space="preserve">tate depending on the total number of counties as well as the number of nonattainment versus attainment counties within each </w:t>
      </w:r>
      <w:r w:rsidR="00B25838">
        <w:t>S</w:t>
      </w:r>
      <w:r>
        <w:t xml:space="preserve">tate.  Renewal of the </w:t>
      </w:r>
      <w:r w:rsidR="00B25838">
        <w:t>ICR will pose no new burden on S</w:t>
      </w:r>
      <w:r>
        <w:t xml:space="preserve">tates for statewide emissions reporting since </w:t>
      </w:r>
      <w:r w:rsidR="00B25838">
        <w:t>S</w:t>
      </w:r>
      <w:r>
        <w:t>tates have reported statewide emissions for the 2002</w:t>
      </w:r>
      <w:r w:rsidR="00B25838">
        <w:t xml:space="preserve">, 2005, </w:t>
      </w:r>
      <w:r>
        <w:t>and 200</w:t>
      </w:r>
      <w:r w:rsidR="00B25838">
        <w:t>8</w:t>
      </w:r>
      <w:r>
        <w:t xml:space="preserve"> triennial inventories.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1353"/>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5.</w:t>
      </w:r>
      <w:r>
        <w:rPr>
          <w:rStyle w:val="1sttierA"/>
        </w:rPr>
        <w:tab/>
        <w:t>THE INFORMATION COLLECTED</w:t>
      </w:r>
      <w:r w:rsidR="00C12129">
        <w:rPr>
          <w:rStyle w:val="1sttierA"/>
        </w:rPr>
        <w:t xml:space="preserve"> </w:t>
      </w:r>
      <w:r w:rsidR="00867A82">
        <w:rPr>
          <w:rStyle w:val="1sttierA"/>
        </w:rPr>
        <w:t>-</w:t>
      </w:r>
      <w:r w:rsidR="00C12129">
        <w:rPr>
          <w:rStyle w:val="1sttierA"/>
        </w:rPr>
        <w:t xml:space="preserve"> </w:t>
      </w:r>
      <w:r>
        <w:rPr>
          <w:rStyle w:val="1sttierA"/>
        </w:rPr>
        <w:t>AGENCY ACTIVITIES, COLLECTION METHODS, AND INFORMATION MANAGEMENT</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5(a) Agency Activities</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EPA activities associated with the </w:t>
      </w:r>
      <w:r w:rsidR="00795BD8">
        <w:t>AERR</w:t>
      </w:r>
      <w:r>
        <w:t xml:space="preserve"> include: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Receiving, reviewing, and storing emission inventory data submitted by each State;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Processing and updating data submitted by States, including performing quality assu</w:t>
      </w:r>
      <w:r w:rsidR="00C12129">
        <w:t>rance of data, and coordinating</w:t>
      </w:r>
      <w:r>
        <w:t xml:space="preserve"> efforts to resolve errors and anomalies; and</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Fulfilling information requests.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5(b) Collection Methodology and Management</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8A7DF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established</w:t>
      </w:r>
      <w:r w:rsidR="002C01E6">
        <w:t xml:space="preserve"> a central repository of inventory data for all States termed the Emission</w:t>
      </w:r>
      <w:r w:rsidR="00795BD8">
        <w:t>s</w:t>
      </w:r>
      <w:r w:rsidR="002C01E6">
        <w:t xml:space="preserve"> Inventory </w:t>
      </w:r>
      <w:r w:rsidR="00795BD8">
        <w:t xml:space="preserve">System </w:t>
      </w:r>
      <w:r w:rsidR="002C01E6">
        <w:t>(EI</w:t>
      </w:r>
      <w:r w:rsidR="00795BD8">
        <w:t>S</w:t>
      </w:r>
      <w:r w:rsidR="002C01E6">
        <w:t>) database.  Emissions inventory data reported electronically will be stored in the EI</w:t>
      </w:r>
      <w:r w:rsidR="00795BD8">
        <w:t>S</w:t>
      </w:r>
      <w:r w:rsidR="002C01E6">
        <w:t xml:space="preserve"> database and used by the EPA and by other States for air modeling, tracking progress in meeting CAA requirements, setting policy and answering questions from the public.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created and maintains the EI</w:t>
      </w:r>
      <w:r w:rsidR="00795BD8">
        <w:t>S</w:t>
      </w:r>
      <w:r>
        <w:t xml:space="preserve"> database as a central repository of inventory data for all States, but the data must be supplied by the States in electronic form.  The EPA requires that States use </w:t>
      </w:r>
      <w:r w:rsidR="00795BD8">
        <w:t xml:space="preserve">a defined </w:t>
      </w:r>
      <w:proofErr w:type="spellStart"/>
      <w:r w:rsidR="007B53EA">
        <w:t>eXtensible</w:t>
      </w:r>
      <w:proofErr w:type="spellEnd"/>
      <w:r w:rsidR="007B53EA">
        <w:t xml:space="preserve"> Markup Language (XML) schema </w:t>
      </w:r>
      <w:r>
        <w:t>for</w:t>
      </w:r>
      <w:r w:rsidR="007B53EA">
        <w:t xml:space="preserve"> electronic data reporting using EPA’s Central Data Exchange (CDX).</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5(c) Small Entity Flexibility</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State and Territorial control agencies are not considered to be small entities.  According to EPA</w:t>
      </w:r>
      <w:r w:rsidR="000B023E">
        <w:t>'</w:t>
      </w:r>
      <w:r>
        <w:t>s ICR Handbook, OMB</w:t>
      </w:r>
      <w:r w:rsidR="000B023E">
        <w:t>'</w:t>
      </w:r>
      <w:r>
        <w:t xml:space="preserve">s definition for a small entity includes small governmental jurisdictions with populations of less than 50,000.  According to </w:t>
      </w:r>
      <w:r w:rsidR="00795BD8">
        <w:t>2010</w:t>
      </w:r>
      <w:r>
        <w:t xml:space="preserve"> population data from the U.S. Census Bureau, no State</w:t>
      </w:r>
      <w:r w:rsidR="00FE0CE9">
        <w:t xml:space="preserve"> or</w:t>
      </w:r>
      <w:r>
        <w:t xml:space="preserve"> Territory has a population below this threshold.  </w:t>
      </w:r>
      <w:r w:rsidR="00FE0CE9">
        <w:t xml:space="preserve">In addition, none of the local air agencies that report under the AERR for their jurisdictions represent an area of </w:t>
      </w:r>
      <w:r>
        <w:t>less than 50,000.</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5(d) Collection Schedule</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States must annually report all required emissions data for Type </w:t>
      </w:r>
      <w:proofErr w:type="gramStart"/>
      <w:r>
        <w:t>A</w:t>
      </w:r>
      <w:proofErr w:type="gramEnd"/>
      <w:r>
        <w:t xml:space="preserve"> point sources of </w:t>
      </w:r>
      <w:proofErr w:type="spellStart"/>
      <w:r>
        <w:t>NOx</w:t>
      </w:r>
      <w:proofErr w:type="spellEnd"/>
      <w:r>
        <w:t xml:space="preserve">, CO, SO2, VOC, PM10, PM2.5, and NH3.  States are also required to submit emissions data for all smaller point sources (i.e., Type B sources) for the same pollutants as Type </w:t>
      </w:r>
      <w:proofErr w:type="gramStart"/>
      <w:r>
        <w:t>A</w:t>
      </w:r>
      <w:proofErr w:type="gramEnd"/>
      <w:r>
        <w:t xml:space="preserve"> sources, plus lead (</w:t>
      </w:r>
      <w:proofErr w:type="spellStart"/>
      <w:r>
        <w:t>Pb</w:t>
      </w:r>
      <w:proofErr w:type="spellEnd"/>
      <w:r>
        <w:t xml:space="preserve">), on a 3-year schedule.  As part of the 3-year cycle reporting requirement, States must also submit statewide stationary nonpoint, </w:t>
      </w:r>
      <w:proofErr w:type="spellStart"/>
      <w:r>
        <w:t>onroad</w:t>
      </w:r>
      <w:proofErr w:type="spellEnd"/>
      <w:r>
        <w:t xml:space="preserve"> mobile, and </w:t>
      </w:r>
      <w:proofErr w:type="spellStart"/>
      <w:r w:rsidR="00CC7B2E">
        <w:t>n</w:t>
      </w:r>
      <w:r>
        <w:t>onroad</w:t>
      </w:r>
      <w:proofErr w:type="spellEnd"/>
      <w:r>
        <w:t xml:space="preserve"> mobile source emissions for all of the criteria pollutants listed above, including lead.</w:t>
      </w: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also contains a provision that allows States the option of estimating one-third of their 3-year cycle inventories, including Type B sources, in any given year.  This enables States to spread out the effort required to prepare a complete 3-year cycle inventory over 3 years.  Some conditions apply if a State chooses this reporting option (e.g., emission estimates for each year that comprise a complete 3-year cycle inventory must be compiled identically), and States subject to the </w:t>
      </w:r>
      <w:proofErr w:type="spellStart"/>
      <w:r>
        <w:t>NOx</w:t>
      </w:r>
      <w:proofErr w:type="spellEnd"/>
      <w:r>
        <w:t xml:space="preserve"> SIP Call may not report triennial </w:t>
      </w:r>
      <w:proofErr w:type="spellStart"/>
      <w:r>
        <w:t>NOx</w:t>
      </w:r>
      <w:proofErr w:type="spellEnd"/>
      <w:r>
        <w:t xml:space="preserve"> emissions inventories in this manner.</w:t>
      </w: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all of the above reporting activities, EPA requires that States submit the appropriate emissions data within 12 months of the end of the inventory year (e.g., a statewide pollutant emissions inventory for the year 2011 is required by December 31 of 2012).</w:t>
      </w:r>
      <w:r w:rsidR="002C01E6">
        <w:t xml:space="preserve">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6.</w:t>
      </w:r>
      <w:r>
        <w:rPr>
          <w:rStyle w:val="1sttierA"/>
        </w:rPr>
        <w:tab/>
        <w:t>ESTIMATING THE BURDEN AND COST OF THE COLLECTION</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6(a) Estimating Respondent Burden</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respondent burden for complying with the reporting requirements of the </w:t>
      </w:r>
      <w:r w:rsidR="00E55006">
        <w:t>A</w:t>
      </w:r>
      <w:r>
        <w:t xml:space="preserve">ERR ICR is estimated based on the burden associated with </w:t>
      </w:r>
      <w:r w:rsidR="004F6913">
        <w:t>meeting the</w:t>
      </w:r>
      <w:r>
        <w:t xml:space="preserve"> annual </w:t>
      </w:r>
      <w:r w:rsidR="004F6913">
        <w:t xml:space="preserve">Type </w:t>
      </w:r>
      <w:proofErr w:type="gramStart"/>
      <w:r w:rsidR="004F6913">
        <w:t>A</w:t>
      </w:r>
      <w:proofErr w:type="gramEnd"/>
      <w:r w:rsidR="004F6913">
        <w:t xml:space="preserve"> point source </w:t>
      </w:r>
      <w:r>
        <w:t xml:space="preserve">inventory </w:t>
      </w:r>
      <w:r w:rsidR="004F6913">
        <w:t xml:space="preserve">reporting requirements </w:t>
      </w:r>
      <w:r>
        <w:t xml:space="preserve">and </w:t>
      </w:r>
      <w:r w:rsidR="004F6913">
        <w:t xml:space="preserve">the </w:t>
      </w:r>
      <w:r>
        <w:t xml:space="preserve">3-year cycle </w:t>
      </w:r>
      <w:r w:rsidR="004F6913">
        <w:t xml:space="preserve">complete </w:t>
      </w:r>
      <w:r>
        <w:t xml:space="preserve">inventory reporting requirements.  </w:t>
      </w:r>
      <w:r w:rsidR="00CC7B2E">
        <w:t>The</w:t>
      </w:r>
      <w:r w:rsidR="004F6913">
        <w:t xml:space="preserve"> State</w:t>
      </w:r>
      <w:r w:rsidR="00CC7B2E">
        <w:t xml:space="preserve">, Territorial, </w:t>
      </w:r>
      <w:r w:rsidR="004F6913">
        <w:t>and local agencies reporting to EPA under the AERR maintain their own air quality management systems, including permitting programs and annual emissions fee programs for their point sources.  The efforts they expend to collect and manage emissions inventory data for these purposes are not included as part of the burden estimates for reporting the data to EPA under the AERR.  The efforts expended to support their permitting and emissions fee statement programs and other State uses include:</w:t>
      </w:r>
    </w:p>
    <w:p w:rsidR="004E0288" w:rsidRDefault="004E0288"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Collecting emissions data and other associated information;</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Training staff in coding and submissions techniques;</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Quality-assuring emissions data and resolving errors and anomalies;</w:t>
      </w:r>
      <w:r w:rsidR="004F6913">
        <w:t xml:space="preserve"> and</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records associated wit</w:t>
      </w:r>
      <w:r w:rsidR="004F6913">
        <w:t>h data submitted by sources.</w:t>
      </w:r>
    </w:p>
    <w:p w:rsidR="004F6913" w:rsidRDefault="004F6913" w:rsidP="004F6913">
      <w:pPr>
        <w:pStyle w:val="ListParagraph"/>
      </w:pPr>
    </w:p>
    <w:p w:rsidR="004F6913" w:rsidRDefault="00F55DAA"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4F6913">
        <w:t xml:space="preserve">The </w:t>
      </w:r>
      <w:r>
        <w:t>additional tasks</w:t>
      </w:r>
      <w:r w:rsidR="004F6913">
        <w:t xml:space="preserve"> </w:t>
      </w:r>
      <w:r>
        <w:t>performed in order to submit the point source data to EPA</w:t>
      </w:r>
      <w:r w:rsidR="004F6913">
        <w:t xml:space="preserve"> include:</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Extracting the necessary data from the State electronic data system</w:t>
      </w:r>
      <w:r w:rsidR="004F6913">
        <w:t>;</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w:t>
      </w:r>
      <w:r w:rsidR="007964E8">
        <w:t xml:space="preserve">any new Facility Inventory </w:t>
      </w:r>
      <w:r>
        <w:t>data into the XML submittal format required by EPA</w:t>
      </w:r>
      <w:r w:rsidR="004F6913">
        <w:t>;</w:t>
      </w:r>
    </w:p>
    <w:p w:rsidR="007964E8" w:rsidRDefault="007964E8" w:rsidP="007964E8">
      <w:pPr>
        <w:pStyle w:val="ListParagraph"/>
      </w:pPr>
    </w:p>
    <w:p w:rsidR="007964E8" w:rsidRDefault="007964E8" w:rsidP="007964E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Converting the point emissions data into the XML submittal format required by EPA;</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Running the automated </w:t>
      </w:r>
      <w:r w:rsidR="004F6913">
        <w:t>Quality-assur</w:t>
      </w:r>
      <w:r>
        <w:t>ance</w:t>
      </w:r>
      <w:r w:rsidR="004F6913">
        <w:t xml:space="preserve"> </w:t>
      </w:r>
      <w:r>
        <w:t>checks provided in the EPA data system</w:t>
      </w:r>
      <w:r w:rsidR="004F6913">
        <w:t xml:space="preserve"> and resolving </w:t>
      </w:r>
      <w:r>
        <w:t xml:space="preserve">any critical </w:t>
      </w:r>
      <w:r w:rsidR="004F6913">
        <w:t>errors;</w:t>
      </w:r>
    </w:p>
    <w:p w:rsidR="00F55DAA" w:rsidRDefault="00F55DAA" w:rsidP="00F55D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Submitting the final file to EPA;</w:t>
      </w:r>
    </w:p>
    <w:p w:rsidR="00F55DAA" w:rsidRDefault="00F55DAA" w:rsidP="00F55DAA">
      <w:pPr>
        <w:pStyle w:val="ListParagraph"/>
      </w:pPr>
    </w:p>
    <w:p w:rsidR="00F55DAA"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Responding to any follow-up inquiries from EPA.</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16176E"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the complete 3-year inventories, the efforts required for point sources are similar to the above, except a large number of facilities must be extracted from the State data system, formatted into XML, checked for critical errors, and submitted.  In addition, the States must make estimates for their nonpoint, </w:t>
      </w:r>
      <w:proofErr w:type="spellStart"/>
      <w:r>
        <w:t>onroad</w:t>
      </w:r>
      <w:proofErr w:type="spellEnd"/>
      <w:r>
        <w:t xml:space="preserve">, and </w:t>
      </w:r>
      <w:proofErr w:type="spellStart"/>
      <w:r>
        <w:t>nonroad</w:t>
      </w:r>
      <w:proofErr w:type="spellEnd"/>
      <w:r>
        <w:t xml:space="preserve"> emission sources for the 3-year complete inventories.</w:t>
      </w:r>
      <w:r w:rsidR="0016176E">
        <w:t xml:space="preserve">  Most of the State agencies and some of the local agencies operate their own systems and capabilities for estimating emissions from such source types for their own air quality management planning purposes.  For such agencies, the additional tasks to submit the emissions data to EPA are similar to the above steps for point sources.  For agencies that don’t otherwise have a need to estimate nonpoint, </w:t>
      </w:r>
      <w:proofErr w:type="spellStart"/>
      <w:r w:rsidR="0016176E">
        <w:t>onroad</w:t>
      </w:r>
      <w:proofErr w:type="spellEnd"/>
      <w:r w:rsidR="0016176E">
        <w:t xml:space="preserve">, and </w:t>
      </w:r>
      <w:proofErr w:type="spellStart"/>
      <w:r w:rsidR="0016176E">
        <w:t>nonroad</w:t>
      </w:r>
      <w:proofErr w:type="spellEnd"/>
      <w:r w:rsidR="0016176E">
        <w:t xml:space="preserve"> emissions, additional estimation steps are needed. </w:t>
      </w:r>
    </w:p>
    <w:p w:rsidR="00F55DAA"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16176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851193">
        <w:t xml:space="preserve">The following sections discuss the assumptions used to develop burden hour estimates for annual and triennial activities.  Table 6-1 lists the burden items included under these categories, and presents their associated burden hours for 1 year.  In general, managerial time was estimated to be 5 percent of technical staff time.  Burden hours and associated costs were estimated for the 3-year period that the affected </w:t>
      </w:r>
      <w:r>
        <w:t>S</w:t>
      </w:r>
      <w:r w:rsidR="00851193">
        <w:t>tates would have to report emissions data to EPA.  In this case, that period corresponds to the years 20</w:t>
      </w:r>
      <w:r w:rsidR="004E0288">
        <w:t>12</w:t>
      </w:r>
      <w:r w:rsidR="00851193">
        <w:t>, 201</w:t>
      </w:r>
      <w:r w:rsidR="004E0288">
        <w:t>3</w:t>
      </w:r>
      <w:r w:rsidR="00851193">
        <w:t>, and 201</w:t>
      </w:r>
      <w:r w:rsidR="004E0288">
        <w:t>4</w:t>
      </w:r>
      <w:r w:rsidR="00851193">
        <w:t xml:space="preserve"> [since they would likel</w:t>
      </w:r>
      <w:r w:rsidR="004E0288">
        <w:t xml:space="preserve">y begin collecting data for the emissions </w:t>
      </w:r>
      <w:r w:rsidR="00851193">
        <w:t>year 20</w:t>
      </w:r>
      <w:r w:rsidR="004E0288">
        <w:t>12</w:t>
      </w:r>
      <w:r w:rsidR="00851193">
        <w:t xml:space="preserve"> during 20</w:t>
      </w:r>
      <w:r w:rsidR="004E0288">
        <w:t>13</w:t>
      </w:r>
      <w:r w:rsidR="00851193">
        <w:t>, and would report the data within 1</w:t>
      </w:r>
      <w:r w:rsidR="004E0288">
        <w:t>2</w:t>
      </w:r>
      <w:r w:rsidR="00851193">
        <w:t xml:space="preserve"> months of the end of 20</w:t>
      </w:r>
      <w:r w:rsidR="004E0288">
        <w:t>12</w:t>
      </w:r>
      <w:r w:rsidR="00851193">
        <w:t xml:space="preserve"> (i.e., </w:t>
      </w:r>
      <w:r w:rsidR="004E0288">
        <w:t>December 3</w:t>
      </w:r>
      <w:r w:rsidR="00851193">
        <w:t>1, 201</w:t>
      </w:r>
      <w:r w:rsidR="004E0288">
        <w:t>3</w:t>
      </w:r>
      <w:r w:rsidR="00851193">
        <w:t xml:space="preserve">)].  Table 6-2 presents the </w:t>
      </w:r>
      <w:r w:rsidR="00DD1BB2">
        <w:t>S</w:t>
      </w:r>
      <w:r w:rsidR="00851193">
        <w:t>tate and local respondent annual burde</w:t>
      </w:r>
      <w:r w:rsidR="00DD1BB2">
        <w:t>n hours and costs by activity.</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Annual activities </w:t>
      </w:r>
      <w:r w:rsidR="00CF1DE6">
        <w:rPr>
          <w:rStyle w:val="3rdtiera"/>
          <w:b/>
          <w:bCs/>
        </w:rPr>
        <w:fldChar w:fldCharType="begin"/>
      </w:r>
      <w:r>
        <w:rPr>
          <w:rStyle w:val="3rdtiera"/>
          <w:b/>
          <w:bCs/>
        </w:rPr>
        <w:instrText>tc "Annual activities " \l 4</w:instrText>
      </w:r>
      <w:r w:rsidR="00CF1DE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6D12BA"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AD4A43">
        <w:t xml:space="preserve">For </w:t>
      </w:r>
      <w:r>
        <w:t xml:space="preserve">2 of </w:t>
      </w:r>
      <w:r w:rsidR="00AD4A43">
        <w:t xml:space="preserve">the </w:t>
      </w:r>
      <w:r>
        <w:t>3 years</w:t>
      </w:r>
      <w:r w:rsidR="00AD4A43">
        <w:t xml:space="preserve"> in each triennial cycle</w:t>
      </w:r>
      <w:r>
        <w:t xml:space="preserve">, </w:t>
      </w:r>
      <w:r w:rsidR="00CC7B2E">
        <w:t>the</w:t>
      </w:r>
      <w:r w:rsidR="00AD4A43">
        <w:t xml:space="preserve"> agencies </w:t>
      </w:r>
      <w:r>
        <w:t xml:space="preserve">submit </w:t>
      </w:r>
      <w:r w:rsidR="00AD4A43">
        <w:t xml:space="preserve">only </w:t>
      </w:r>
      <w:r>
        <w:t xml:space="preserve">point source data for Type </w:t>
      </w:r>
      <w:proofErr w:type="gramStart"/>
      <w:r>
        <w:t>A</w:t>
      </w:r>
      <w:proofErr w:type="gramEnd"/>
      <w:r>
        <w:t xml:space="preserve"> sources.  </w:t>
      </w:r>
      <w:r w:rsidR="00CD4069">
        <w:t xml:space="preserve">Based on an analysis of the 2008 NEI, </w:t>
      </w:r>
      <w:r>
        <w:t xml:space="preserve">the number of </w:t>
      </w:r>
      <w:r w:rsidR="00CD4069">
        <w:t xml:space="preserve">such </w:t>
      </w:r>
      <w:r>
        <w:t xml:space="preserve">sources (i.e., </w:t>
      </w:r>
      <w:r w:rsidR="00CD4069">
        <w:t>facilities</w:t>
      </w:r>
      <w:r>
        <w:t xml:space="preserve">) emitting 2,500 </w:t>
      </w:r>
      <w:proofErr w:type="spellStart"/>
      <w:r>
        <w:t>tpy</w:t>
      </w:r>
      <w:proofErr w:type="spellEnd"/>
      <w:r>
        <w:t xml:space="preserve"> of </w:t>
      </w:r>
      <w:proofErr w:type="spellStart"/>
      <w:r>
        <w:t>NO</w:t>
      </w:r>
      <w:r w:rsidR="00CD4069">
        <w:t>x</w:t>
      </w:r>
      <w:proofErr w:type="spellEnd"/>
      <w:r>
        <w:t>, CO</w:t>
      </w:r>
      <w:r w:rsidR="00CC7B2E">
        <w:t>, or</w:t>
      </w:r>
      <w:r w:rsidR="00CC7B2E" w:rsidRPr="00CC7B2E">
        <w:t xml:space="preserve"> </w:t>
      </w:r>
      <w:r w:rsidR="00CC7B2E">
        <w:t>SO2,</w:t>
      </w:r>
      <w:r>
        <w:t xml:space="preserve"> or 250 </w:t>
      </w:r>
      <w:proofErr w:type="spellStart"/>
      <w:r>
        <w:t>tpy</w:t>
      </w:r>
      <w:proofErr w:type="spellEnd"/>
      <w:r>
        <w:t xml:space="preserve"> of VOC</w:t>
      </w:r>
      <w:r w:rsidR="00CD4069">
        <w:t>, PM10,</w:t>
      </w:r>
      <w:r>
        <w:t xml:space="preserve"> </w:t>
      </w:r>
      <w:r w:rsidR="00CD4069">
        <w:t xml:space="preserve">PM2.5, </w:t>
      </w:r>
      <w:r>
        <w:t xml:space="preserve">or </w:t>
      </w:r>
      <w:r w:rsidR="00CD4069">
        <w:t>NH3</w:t>
      </w:r>
      <w:r w:rsidR="00910A3E">
        <w:t>,</w:t>
      </w:r>
      <w:r>
        <w:t xml:space="preserve"> was 1,</w:t>
      </w:r>
      <w:r w:rsidR="00FB4429">
        <w:t>498</w:t>
      </w:r>
      <w:r w:rsidRPr="00C21FDC">
        <w:t>.</w:t>
      </w:r>
      <w:r>
        <w:t xml:space="preserve">  </w:t>
      </w:r>
      <w:r w:rsidR="00CD4069">
        <w:t>T</w:t>
      </w:r>
      <w:r>
        <w:t>he</w:t>
      </w:r>
      <w:r w:rsidR="00910A3E">
        <w:t xml:space="preserve"> number of Type A plus Type B sources</w:t>
      </w:r>
      <w:r w:rsidR="00CC7B2E">
        <w:t xml:space="preserve"> (</w:t>
      </w:r>
      <w:r w:rsidR="00910A3E">
        <w:t>those</w:t>
      </w:r>
      <w:r>
        <w:t xml:space="preserve"> emitting</w:t>
      </w:r>
      <w:r w:rsidR="00CD4069">
        <w:t xml:space="preserve"> </w:t>
      </w:r>
      <w:r>
        <w:t xml:space="preserve">100 </w:t>
      </w:r>
      <w:proofErr w:type="spellStart"/>
      <w:r>
        <w:t>tpy</w:t>
      </w:r>
      <w:proofErr w:type="spellEnd"/>
      <w:r>
        <w:t xml:space="preserve"> of SO</w:t>
      </w:r>
      <w:r w:rsidR="00CD4069">
        <w:t>2</w:t>
      </w:r>
      <w:r>
        <w:t xml:space="preserve">, </w:t>
      </w:r>
      <w:proofErr w:type="spellStart"/>
      <w:r>
        <w:t>NO</w:t>
      </w:r>
      <w:r w:rsidR="00CD4069">
        <w:t>x</w:t>
      </w:r>
      <w:proofErr w:type="spellEnd"/>
      <w:r>
        <w:t>, VOC, PM</w:t>
      </w:r>
      <w:r w:rsidR="00CD4069">
        <w:t xml:space="preserve">10, PM2.5, or NH3; </w:t>
      </w:r>
      <w:r>
        <w:t xml:space="preserve">or 1,000 </w:t>
      </w:r>
      <w:proofErr w:type="spellStart"/>
      <w:r>
        <w:t>tpy</w:t>
      </w:r>
      <w:proofErr w:type="spellEnd"/>
      <w:r>
        <w:t xml:space="preserve"> of CO</w:t>
      </w:r>
      <w:r w:rsidR="00CC7B2E">
        <w:t>)</w:t>
      </w:r>
      <w:r w:rsidR="00CD4069">
        <w:t xml:space="preserve"> was found to be </w:t>
      </w:r>
      <w:r w:rsidR="00FB4429">
        <w:t>5</w:t>
      </w:r>
      <w:proofErr w:type="gramStart"/>
      <w:r w:rsidR="00FB4429">
        <w:t>,398</w:t>
      </w:r>
      <w:r w:rsidR="00CD4069" w:rsidRPr="00CD4069">
        <w:rPr>
          <w:vertAlign w:val="superscript"/>
        </w:rPr>
        <w:t>1</w:t>
      </w:r>
      <w:proofErr w:type="gramEnd"/>
      <w:r>
        <w:t>.</w:t>
      </w:r>
      <w:r w:rsidR="00FB4429">
        <w:t xml:space="preserve">  A total of 55 State and </w:t>
      </w:r>
      <w:r w:rsidR="00CC7B2E">
        <w:t>T</w:t>
      </w:r>
      <w:r w:rsidR="00FB4429">
        <w:t xml:space="preserve">erritorial agencies and </w:t>
      </w:r>
      <w:r w:rsidR="00CC7B2E">
        <w:t>49</w:t>
      </w:r>
      <w:r w:rsidR="00FB4429">
        <w:t xml:space="preserve"> local agencies are required to report to the AERR.  </w:t>
      </w:r>
      <w:r w:rsidR="009D2181">
        <w:t xml:space="preserve">This equates to an average of </w:t>
      </w:r>
      <w:r w:rsidR="003A73A4">
        <w:t>14</w:t>
      </w:r>
      <w:r w:rsidR="009D2181">
        <w:t xml:space="preserve"> large, Type A sources to be reported per agency for 2 of the 3 years, and an average of </w:t>
      </w:r>
      <w:r w:rsidR="0055752B">
        <w:t>52</w:t>
      </w:r>
      <w:r w:rsidR="009D2181">
        <w:t xml:space="preserve"> facilities to be reported per agency for the triennial inventories.  The number of sources can be much larger for the large, heavily-industrialized </w:t>
      </w:r>
      <w:proofErr w:type="gramStart"/>
      <w:r w:rsidR="009D2181">
        <w:t>States,</w:t>
      </w:r>
      <w:proofErr w:type="gramEnd"/>
      <w:r w:rsidR="009D2181">
        <w:t xml:space="preserve"> and smaller (all the way down to zero Type A sources) for some smaller States and local agencies.  Because much of the effort </w:t>
      </w:r>
      <w:r w:rsidR="009D2181">
        <w:lastRenderedPageBreak/>
        <w:t xml:space="preserve">needed to report the point source emissions data from the State and local data systems to the EPA involves automated data manipulations, there are economies of scale for the States with many sources.  </w:t>
      </w:r>
      <w:proofErr w:type="gramStart"/>
      <w:r w:rsidR="009D2181">
        <w:t>The per</w:t>
      </w:r>
      <w:proofErr w:type="gramEnd"/>
      <w:r w:rsidR="009D2181">
        <w:t xml:space="preserve"> respondent burden estimates shown in Table 6-1 are based on the average number of sources per respondent.  Use of these averages should provide an overly conservative (larger) estimate of total burden hours, because </w:t>
      </w:r>
      <w:r w:rsidR="006D12BA">
        <w:t xml:space="preserve">the burden values for the smaller agencies are being overestimated since they will actually have fewer sources than average, and the average burden values do not include the economies of scale experienced by the larger agencies. </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Pr>
          <w:rStyle w:val="3rdtiera"/>
          <w:b/>
          <w:bCs/>
          <w:i w:val="0"/>
          <w:iCs w:val="0"/>
        </w:rPr>
        <w:tab/>
      </w:r>
      <w:r>
        <w:rPr>
          <w:rStyle w:val="3rdtiera"/>
          <w:b/>
          <w:bCs/>
        </w:rPr>
        <w:t xml:space="preserve">Triennial activities </w:t>
      </w:r>
      <w:r w:rsidR="00CF1DE6">
        <w:rPr>
          <w:rStyle w:val="3rdtiera"/>
          <w:b/>
          <w:bCs/>
        </w:rPr>
        <w:fldChar w:fldCharType="begin"/>
      </w:r>
      <w:r>
        <w:rPr>
          <w:rStyle w:val="3rdtiera"/>
          <w:b/>
          <w:bCs/>
        </w:rPr>
        <w:instrText>tc "Triennial activities " \l 4</w:instrText>
      </w:r>
      <w:r w:rsidR="00CF1DE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53484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53484B">
        <w:t>S</w:t>
      </w:r>
      <w:r>
        <w:t xml:space="preserve">tates are required to submit emissions data for </w:t>
      </w:r>
      <w:r w:rsidR="0053484B">
        <w:t>the criteria</w:t>
      </w:r>
      <w:r>
        <w:t xml:space="preserve"> pollutants for all point, nonpoint, </w:t>
      </w:r>
      <w:proofErr w:type="spellStart"/>
      <w:r>
        <w:t>onroad</w:t>
      </w:r>
      <w:proofErr w:type="spellEnd"/>
      <w:r>
        <w:t xml:space="preserve"> mobile, and </w:t>
      </w:r>
      <w:proofErr w:type="spellStart"/>
      <w:r w:rsidR="0055752B">
        <w:t>n</w:t>
      </w:r>
      <w:r>
        <w:t>onroad</w:t>
      </w:r>
      <w:proofErr w:type="spellEnd"/>
      <w:r>
        <w:t xml:space="preserve"> mobile sources within the </w:t>
      </w:r>
      <w:r w:rsidR="0053484B">
        <w:t>S</w:t>
      </w:r>
      <w:r>
        <w:t xml:space="preserve">tate.  </w:t>
      </w:r>
      <w:r w:rsidR="0053484B">
        <w:t xml:space="preserve">The point source threshold definition for this triennial inventory year is lowered from the Type </w:t>
      </w:r>
      <w:proofErr w:type="gramStart"/>
      <w:r w:rsidR="0053484B">
        <w:t>A</w:t>
      </w:r>
      <w:proofErr w:type="gramEnd"/>
      <w:r w:rsidR="0053484B">
        <w:t xml:space="preserve"> source</w:t>
      </w:r>
      <w:r w:rsidR="006239EF">
        <w:t xml:space="preserve"> thresholds used for the annual inventory (2500 </w:t>
      </w:r>
      <w:proofErr w:type="spellStart"/>
      <w:r w:rsidR="006239EF">
        <w:t>tpy</w:t>
      </w:r>
      <w:proofErr w:type="spellEnd"/>
      <w:r w:rsidR="006239EF">
        <w:t xml:space="preserve"> for </w:t>
      </w:r>
      <w:proofErr w:type="spellStart"/>
      <w:r w:rsidR="006239EF">
        <w:t>NOx</w:t>
      </w:r>
      <w:proofErr w:type="spellEnd"/>
      <w:r w:rsidR="006239EF">
        <w:t xml:space="preserve">, </w:t>
      </w:r>
      <w:r w:rsidR="0055752B">
        <w:t>CO, an</w:t>
      </w:r>
      <w:r w:rsidR="006239EF">
        <w:t xml:space="preserve">d </w:t>
      </w:r>
      <w:r w:rsidR="0055752B">
        <w:t>SO2</w:t>
      </w:r>
      <w:r w:rsidR="006239EF">
        <w:t xml:space="preserve">; 250 </w:t>
      </w:r>
      <w:proofErr w:type="spellStart"/>
      <w:r w:rsidR="006239EF">
        <w:t>tpy</w:t>
      </w:r>
      <w:proofErr w:type="spellEnd"/>
      <w:r w:rsidR="006239EF">
        <w:t xml:space="preserve"> for VOC, PM10, PM2.5, and NH3) to 1000 </w:t>
      </w:r>
      <w:proofErr w:type="spellStart"/>
      <w:r w:rsidR="006239EF">
        <w:t>tpy</w:t>
      </w:r>
      <w:proofErr w:type="spellEnd"/>
      <w:r w:rsidR="006239EF">
        <w:t xml:space="preserve"> for CO and 100 </w:t>
      </w:r>
      <w:proofErr w:type="spellStart"/>
      <w:r w:rsidR="006239EF">
        <w:t>tpy</w:t>
      </w:r>
      <w:proofErr w:type="spellEnd"/>
      <w:r w:rsidR="006239EF">
        <w:t xml:space="preserve"> for the remaining pollutants.  As noted above under Annual Activities, this increases the number of point sources required to be reported from 1</w:t>
      </w:r>
      <w:r w:rsidR="001A063E">
        <w:t>,</w:t>
      </w:r>
      <w:r w:rsidR="006239EF">
        <w:t>498 to 5</w:t>
      </w:r>
      <w:r w:rsidR="001A063E">
        <w:t>,</w:t>
      </w:r>
      <w:r w:rsidR="006239EF">
        <w:t xml:space="preserve">398.  </w:t>
      </w:r>
      <w:r w:rsidR="00ED2389">
        <w:t xml:space="preserve">Table 6-1 shows the average hour burden estimates for this triennial point source reporting.  It is conservatively estimated that the additional hours needed for tasks 4 and 6, resolving critical QA errors and responding to EPA follow-up questions, will increase by a factor of 4 compared to the annual Type </w:t>
      </w:r>
      <w:proofErr w:type="gramStart"/>
      <w:r w:rsidR="00ED2389">
        <w:t>A</w:t>
      </w:r>
      <w:proofErr w:type="gramEnd"/>
      <w:r w:rsidR="00ED2389">
        <w:t xml:space="preserve"> reporting.  Tasks 2 and 3, converting both the Facility Inventory and point emissions data into the XML format, is conservatively estimated to require just twice the  effort needed for the annual Type A sources, because the task is largely the same regardless of the number of sources.  Tasks 1 and 5, extracting data from State data system and submitting final file to EPA are estimated to require the same amount of effort as for a Type </w:t>
      </w:r>
      <w:proofErr w:type="gramStart"/>
      <w:r w:rsidR="00ED2389">
        <w:t>A</w:t>
      </w:r>
      <w:proofErr w:type="gramEnd"/>
      <w:r w:rsidR="00ED2389">
        <w:t xml:space="preserve"> annual reporting year.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D2389">
        <w:t>In addition to the point source reporting, a</w:t>
      </w:r>
      <w:r>
        <w:t xml:space="preserve"> burden is expected for </w:t>
      </w:r>
      <w:r w:rsidR="00ED2389">
        <w:t>S</w:t>
      </w:r>
      <w:r>
        <w:t xml:space="preserve">tates to develop </w:t>
      </w:r>
      <w:r w:rsidR="0055752B">
        <w:t xml:space="preserve">the </w:t>
      </w:r>
      <w:r>
        <w:t xml:space="preserve">statewide stationary nonpoint, </w:t>
      </w:r>
      <w:proofErr w:type="spellStart"/>
      <w:r>
        <w:t>onroad</w:t>
      </w:r>
      <w:proofErr w:type="spellEnd"/>
      <w:r>
        <w:t xml:space="preserve"> mobile, and </w:t>
      </w:r>
      <w:proofErr w:type="spellStart"/>
      <w:r w:rsidR="0055752B">
        <w:t>n</w:t>
      </w:r>
      <w:r>
        <w:t>onroad</w:t>
      </w:r>
      <w:proofErr w:type="spellEnd"/>
      <w:r>
        <w:t xml:space="preserve"> mobile source inventories every 3 years.  The burden for </w:t>
      </w:r>
      <w:r w:rsidR="007B7FAE">
        <w:t>a State</w:t>
      </w:r>
      <w:r>
        <w:t xml:space="preserve"> agenc</w:t>
      </w:r>
      <w:r w:rsidR="007B7FAE">
        <w:t>y</w:t>
      </w:r>
      <w:r>
        <w:t xml:space="preserve"> to develop and </w:t>
      </w:r>
      <w:r w:rsidR="007B7FAE">
        <w:t>report</w:t>
      </w:r>
      <w:r>
        <w:t xml:space="preserve"> statewide inventories was estimated to entail the use of </w:t>
      </w:r>
      <w:r w:rsidR="007B7FAE">
        <w:t>1.0</w:t>
      </w:r>
      <w:r>
        <w:t xml:space="preserve"> FTE</w:t>
      </w:r>
      <w:r w:rsidR="007B7FAE">
        <w:t xml:space="preserve"> </w:t>
      </w:r>
      <w:r>
        <w:t>(</w:t>
      </w:r>
      <w:r w:rsidR="007B7FAE">
        <w:t>2</w:t>
      </w:r>
      <w:r>
        <w:t>0</w:t>
      </w:r>
      <w:r w:rsidR="007B7FAE">
        <w:t>8</w:t>
      </w:r>
      <w:r>
        <w:t>0 hours</w:t>
      </w:r>
      <w:r w:rsidR="007B7FAE">
        <w:t>) every third year</w:t>
      </w:r>
      <w:r>
        <w:t xml:space="preserve">.  Additional managerial </w:t>
      </w:r>
      <w:proofErr w:type="gramStart"/>
      <w:r w:rsidR="007B7FAE">
        <w:t>time</w:t>
      </w:r>
      <w:r>
        <w:t xml:space="preserve"> of 104 </w:t>
      </w:r>
      <w:r w:rsidR="007B7FAE">
        <w:t>hours</w:t>
      </w:r>
      <w:r>
        <w:t xml:space="preserve"> were</w:t>
      </w:r>
      <w:proofErr w:type="gramEnd"/>
      <w:r>
        <w:t xml:space="preserve"> added for this activity.</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local agencies responsible for developing and reporting nonpoint and mobile source emissions for each county within their jurisdiction, the triennial burden was estimated to be one-half of that </w:t>
      </w:r>
      <w:r w:rsidR="007B7FAE">
        <w:t>estimated for a S</w:t>
      </w:r>
      <w:r>
        <w:t>tate agenc</w:t>
      </w:r>
      <w:r w:rsidR="007B7FAE">
        <w:t>y</w:t>
      </w:r>
      <w:r>
        <w:t xml:space="preserve"> (i.e., ½ of 2,080 = 1,040 technical hours plus 52 managerial hours).  Additional hours were also estimated for all local agencies (i.e., 49 agencies) to coordinate and provide some de </w:t>
      </w:r>
      <w:proofErr w:type="spellStart"/>
      <w:r>
        <w:t>minimis</w:t>
      </w:r>
      <w:proofErr w:type="spellEnd"/>
      <w:r>
        <w:t xml:space="preserve"> emissions inventory data or supporting information to their corresponding </w:t>
      </w:r>
      <w:r w:rsidR="0055752B">
        <w:t>S</w:t>
      </w:r>
      <w:r>
        <w:t>tate agency.  The time estimated for each local agency to perform these activities every 3 years was estimated to be 80 technical hours and 4 managerial hours.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tab/>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6(b) Estimating Respondent Costs </w:t>
      </w:r>
      <w:r w:rsidR="00CF1DE6">
        <w:rPr>
          <w:rStyle w:val="2ndtier1"/>
        </w:rPr>
        <w:fldChar w:fldCharType="begin"/>
      </w:r>
      <w:r>
        <w:rPr>
          <w:rStyle w:val="2ndtier1"/>
        </w:rPr>
        <w:instrText>tc "</w:instrText>
      </w:r>
      <w:r>
        <w:rPr>
          <w:rStyle w:val="2ndtier1"/>
        </w:rPr>
        <w:tab/>
        <w:instrText>6(b) Estimating Respondent Costs " \l 3</w:instrText>
      </w:r>
      <w:r w:rsidR="00CF1DE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w:t>
      </w:r>
      <w:r w:rsidR="005C7FB4">
        <w:t>2</w:t>
      </w:r>
      <w:r w:rsidR="00406A59">
        <w:t xml:space="preserve"> presents S</w:t>
      </w:r>
      <w:r>
        <w:t xml:space="preserve">tate and local respondent annualized hours and costs for each information collection activity.  To estimate annualized hours and costs for triennial activities, the burden estimate is divided by 3 to estimate the </w:t>
      </w:r>
      <w:r w:rsidR="004E187A">
        <w:t>annual</w:t>
      </w:r>
      <w:r w:rsidR="006215D5">
        <w:t>ized</w:t>
      </w:r>
      <w:r w:rsidR="004E187A">
        <w:t xml:space="preserve"> </w:t>
      </w:r>
      <w:r>
        <w:t xml:space="preserve">burden </w:t>
      </w:r>
      <w:r w:rsidR="004E187A">
        <w:t xml:space="preserve">spread </w:t>
      </w:r>
      <w:r>
        <w:t xml:space="preserve">over a 3-year period.  For </w:t>
      </w:r>
      <w:r w:rsidR="004E187A">
        <w:t xml:space="preserve">the </w:t>
      </w:r>
      <w:r>
        <w:t xml:space="preserve">annual </w:t>
      </w:r>
      <w:r w:rsidR="004E187A">
        <w:t xml:space="preserve">Type </w:t>
      </w:r>
      <w:proofErr w:type="gramStart"/>
      <w:r w:rsidR="004E187A">
        <w:t>A</w:t>
      </w:r>
      <w:proofErr w:type="gramEnd"/>
      <w:r w:rsidR="004E187A">
        <w:t xml:space="preserve"> point source reporting </w:t>
      </w:r>
      <w:r>
        <w:t xml:space="preserve">activities, annualized hours are </w:t>
      </w:r>
      <w:r w:rsidR="004E187A">
        <w:t>the same as shown in Table 6-1</w:t>
      </w:r>
      <w:r>
        <w:t xml:space="preserve">.  However, in the case of the </w:t>
      </w:r>
      <w:r w:rsidR="004E187A">
        <w:t>additional hours needed</w:t>
      </w:r>
      <w:r w:rsidR="006215D5">
        <w:t xml:space="preserve"> in each triennial reporting year to report the larger number of point sources, the incremental hours above the Type A source effort is divided by 3 to estimate the annualized burden.</w:t>
      </w:r>
    </w:p>
    <w:p w:rsidR="00851193" w:rsidRDefault="00851193" w:rsidP="005C7FB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lastRenderedPageBreak/>
        <w:tab/>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w:t>
      </w:r>
      <w:proofErr w:type="spellStart"/>
      <w:r>
        <w:rPr>
          <w:rStyle w:val="3rdtiera"/>
          <w:b/>
          <w:bCs/>
        </w:rPr>
        <w:t>i</w:t>
      </w:r>
      <w:proofErr w:type="spellEnd"/>
      <w:r>
        <w:rPr>
          <w:rStyle w:val="3rdtiera"/>
          <w:b/>
          <w:bCs/>
        </w:rPr>
        <w:t xml:space="preserve">) Estimating Labor Costs </w:t>
      </w:r>
      <w:r w:rsidR="00CF1DE6">
        <w:rPr>
          <w:rStyle w:val="3rdtiera"/>
          <w:b/>
          <w:bCs/>
        </w:rPr>
        <w:fldChar w:fldCharType="begin"/>
      </w:r>
      <w:r>
        <w:rPr>
          <w:rStyle w:val="3rdtiera"/>
          <w:b/>
          <w:bCs/>
        </w:rPr>
        <w:instrText>tc "(i) Estimating Labor Costs " \l 4</w:instrText>
      </w:r>
      <w:r w:rsidR="00CF1DE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Pr="00DC27F4" w:rsidRDefault="00851193" w:rsidP="000869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this ICR, the labor rate </w:t>
      </w:r>
      <w:r w:rsidR="009264DF">
        <w:t xml:space="preserve">used </w:t>
      </w:r>
      <w:r>
        <w:t xml:space="preserve">for technical staff at </w:t>
      </w:r>
      <w:r w:rsidR="0008697E">
        <w:t>S</w:t>
      </w:r>
      <w:r>
        <w:t xml:space="preserve">tate, </w:t>
      </w:r>
      <w:r w:rsidR="009264DF">
        <w:t>T</w:t>
      </w:r>
      <w:r>
        <w:t xml:space="preserve">erritorial, and local agencies </w:t>
      </w:r>
      <w:r w:rsidR="009264DF">
        <w:t>is $33.30 per hour, and the labor rate for</w:t>
      </w:r>
      <w:r>
        <w:t xml:space="preserve"> manage</w:t>
      </w:r>
      <w:r w:rsidR="009264DF">
        <w:t xml:space="preserve">rial employees at these agencies is $43.89 per hour.  These labor rates are found in data shown on the U.S. Department of Labor, Bureau of Labor Statistics web site at </w:t>
      </w:r>
      <w:hyperlink r:id="rId8" w:history="1">
        <w:r w:rsidR="009264DF" w:rsidRPr="00095B12">
          <w:t>http://www.bls.gov/oes/current/naics4_999200.htm</w:t>
        </w:r>
      </w:hyperlink>
      <w:r w:rsidR="009264DF" w:rsidRPr="00095B12">
        <w:t xml:space="preserve"> </w:t>
      </w:r>
      <w:r w:rsidR="009264DF">
        <w:t>(</w:t>
      </w:r>
      <w:r w:rsidR="00095B12">
        <w:t>“</w:t>
      </w:r>
      <w:r w:rsidR="00095B12" w:rsidRPr="008839AB">
        <w:t>National Industry-Specific Occupational Employment and Wage Estimates,</w:t>
      </w:r>
      <w:r w:rsidR="00095B12" w:rsidRPr="008839AB">
        <w:rPr>
          <w:bCs/>
        </w:rPr>
        <w:t xml:space="preserve"> May</w:t>
      </w:r>
      <w:r w:rsidR="00095B12" w:rsidRPr="008839AB">
        <w:rPr>
          <w:b/>
          <w:bCs/>
        </w:rPr>
        <w:t xml:space="preserve"> </w:t>
      </w:r>
      <w:r w:rsidR="00095B12" w:rsidRPr="00DC27F4">
        <w:t>2010</w:t>
      </w:r>
      <w:r w:rsidR="00095B12">
        <w:t>”)</w:t>
      </w:r>
      <w:r w:rsidR="009264DF">
        <w:t xml:space="preserve">.  </w:t>
      </w:r>
      <w:r>
        <w:t xml:space="preserve"> </w:t>
      </w:r>
      <w:r w:rsidR="00095B12" w:rsidRPr="00DC27F4">
        <w:t xml:space="preserve">The </w:t>
      </w:r>
      <w:r w:rsidR="00095B12">
        <w:t>technical</w:t>
      </w:r>
      <w:r w:rsidR="00095B12" w:rsidRPr="00DC27F4">
        <w:t xml:space="preserve"> rate represents the mean hourly wage for Environmental Engineers for NAICS 999200 - State Government.  The </w:t>
      </w:r>
      <w:r w:rsidR="00095B12">
        <w:t>managerial rate</w:t>
      </w:r>
      <w:r w:rsidR="00095B12" w:rsidRPr="00DC27F4">
        <w:t xml:space="preserve"> represents the mean hourly wage for Computer and Information Systems Managers in the same NAICS.</w:t>
      </w:r>
      <w:r w:rsidR="00095B12">
        <w:t xml:space="preserve">  An overhead rate of 100% was applied to both the technical and managerial mean hourly wage rates to derive the bottom-line rates of $66.60 and </w:t>
      </w:r>
      <w:r>
        <w:t>$</w:t>
      </w:r>
      <w:r w:rsidR="008839AB">
        <w:t>87.78</w:t>
      </w:r>
      <w:r>
        <w:t xml:space="preserve"> used </w:t>
      </w:r>
      <w:r w:rsidR="00095B12">
        <w:t>in the calculations and shown in Table 6-3.</w:t>
      </w:r>
      <w:r w:rsidRPr="00DC27F4">
        <w:t xml:space="preserve"> </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(ii) Estimating Capital and Operations and Maintenance Costs </w:t>
      </w:r>
      <w:r w:rsidR="00CF1DE6">
        <w:rPr>
          <w:rStyle w:val="3rdtiera"/>
          <w:b/>
          <w:bCs/>
        </w:rPr>
        <w:fldChar w:fldCharType="begin"/>
      </w:r>
      <w:r>
        <w:rPr>
          <w:rStyle w:val="3rdtiera"/>
          <w:b/>
          <w:bCs/>
        </w:rPr>
        <w:instrText>tc "(ii) Estimating Capital and Operations and Maintenance Costs " \l 4</w:instrText>
      </w:r>
      <w:r w:rsidR="00CF1DE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methodology for estimating capital and operations and maintenance costs presented below is based on the method used in the ICR for the </w:t>
      </w:r>
      <w:r w:rsidR="009264DF">
        <w:t xml:space="preserve">previous CERR </w:t>
      </w:r>
      <w:r>
        <w:t>annual inventory (EPA ICR #0916.12, OMB #2060-0088).  Assumptions regarding the number of respondents and work stations are unchanged.</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number of respondents reflects the number of agencies (</w:t>
      </w:r>
      <w:r w:rsidR="006215D5">
        <w:t>S</w:t>
      </w:r>
      <w:r>
        <w:t xml:space="preserve">tate, </w:t>
      </w:r>
      <w:r w:rsidR="009264DF">
        <w:t>T</w:t>
      </w:r>
      <w:r>
        <w:t xml:space="preserve">erritorial and local) believed to be reporting data directly to EPA.  The number of work stations assumed for each respondent reflects the number of work stations that would be dedicated to reporting under the </w:t>
      </w:r>
      <w:r w:rsidR="0008697E">
        <w:t>A</w:t>
      </w:r>
      <w:r>
        <w:t xml:space="preserve">ERR.  It was assumed that each agency would require </w:t>
      </w:r>
      <w:r w:rsidR="0008697E">
        <w:t>5</w:t>
      </w:r>
      <w:r>
        <w:t xml:space="preserve"> work stations to comply with the reporting provisions of the </w:t>
      </w:r>
      <w:r w:rsidR="0008697E">
        <w:t>A</w:t>
      </w:r>
      <w:r>
        <w:t xml:space="preserve">ERR (1 for point sources, 1 for nonpoint sources, 1 for </w:t>
      </w:r>
      <w:proofErr w:type="spellStart"/>
      <w:r>
        <w:t>onroad</w:t>
      </w:r>
      <w:proofErr w:type="spellEnd"/>
      <w:r>
        <w:t xml:space="preserve"> mobile, 1 for </w:t>
      </w:r>
      <w:proofErr w:type="spellStart"/>
      <w:r>
        <w:t>nonroad</w:t>
      </w:r>
      <w:proofErr w:type="spellEnd"/>
      <w:r>
        <w:t xml:space="preserve"> mobile, and 1 for managerial/coordination activities).  These costs are accounted for in Table 6-</w:t>
      </w:r>
      <w:r w:rsidR="0008697E">
        <w:t>2</w:t>
      </w:r>
      <w:r>
        <w:t xml:space="preserve"> under the annual activity involving the submittal of Type </w:t>
      </w:r>
      <w:proofErr w:type="gramStart"/>
      <w:r>
        <w:t>A</w:t>
      </w:r>
      <w:proofErr w:type="gramEnd"/>
      <w:r>
        <w:t xml:space="preserve"> point source data by </w:t>
      </w:r>
      <w:r w:rsidR="009264DF">
        <w:t>S</w:t>
      </w:r>
      <w:r>
        <w:t>tates, although the estimates are anticipated to cover the costs involved in developing statewide nonpoint and mobile source inventories as well.</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cost for replacing a work station, when replacement becomes necessary, is assumed to be approximately $</w:t>
      </w:r>
      <w:r w:rsidR="0008697E">
        <w:t>1,00</w:t>
      </w:r>
      <w:r>
        <w:t>0 per agency.  For this ICR, it is assumed that 20 percent of the work stations will be replaced each year.  Thus, the costs of replacement per agency would be:</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5 work stations/agency x 20% replacement/year x $1</w:t>
      </w:r>
      <w:r w:rsidR="0008697E">
        <w:t>0</w:t>
      </w:r>
      <w:r>
        <w:t>00/work station = $1</w:t>
      </w:r>
      <w:r w:rsidR="0008697E">
        <w:t>0</w:t>
      </w:r>
      <w:r>
        <w:t>00/agency/year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55752B" w:rsidRDefault="00851193"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Cost of work station replacement for all agencies equals:</w:t>
      </w:r>
      <w:r w:rsidR="0055752B">
        <w:t xml:space="preserve"> </w:t>
      </w:r>
      <w:r>
        <w:tab/>
        <w:t>$1</w:t>
      </w:r>
      <w:r w:rsidR="0008697E">
        <w:t>0</w:t>
      </w:r>
      <w:r>
        <w:t>00/replacement costs/year x 104 agencies/year = $</w:t>
      </w:r>
      <w:r w:rsidR="0008697E">
        <w:t>104,000</w:t>
      </w:r>
      <w:r>
        <w:t>/year</w:t>
      </w:r>
    </w:p>
    <w:p w:rsidR="0055752B" w:rsidRDefault="0055752B"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Maintenance costs are attributed to the normal maintenance of the work stations used to submit the required annual and triennial reports to EPA.  These costs are estimated to be approximately $120 per agency.  Thus, total maintenance costs for the respondents are:</w:t>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$120/agency x 104 agencies = $12,480/year</w:t>
      </w:r>
    </w:p>
    <w:p w:rsidR="0055752B" w:rsidRDefault="0055752B"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2ndtier1"/>
        </w:rPr>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6(c) Estimating Agency Burden and Cost </w:t>
      </w:r>
      <w:r w:rsidR="00CF1DE6">
        <w:rPr>
          <w:rStyle w:val="2ndtier1"/>
        </w:rPr>
        <w:fldChar w:fldCharType="begin"/>
      </w:r>
      <w:r>
        <w:rPr>
          <w:rStyle w:val="2ndtier1"/>
        </w:rPr>
        <w:instrText>tc "</w:instrText>
      </w:r>
      <w:r>
        <w:rPr>
          <w:rStyle w:val="2ndtier1"/>
        </w:rPr>
        <w:tab/>
        <w:instrText>6(c) Estimating Agency Burden and Cost " \l 3</w:instrText>
      </w:r>
      <w:r w:rsidR="00CF1DE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EPA’s costs which relate to this collection can be grouped into three areas: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888"/>
      </w:pPr>
      <w:r>
        <w:tab/>
        <w:t>1)</w:t>
      </w:r>
      <w:r>
        <w:tab/>
      </w:r>
      <w:r w:rsidR="006215D5">
        <w:t>Emission Inventory System (EIS) annual operation and maintenance costs</w:t>
      </w:r>
      <w:r>
        <w:t>;</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2)</w:t>
      </w:r>
      <w:r>
        <w:tab/>
      </w:r>
      <w:r w:rsidR="006215D5">
        <w:t>Review</w:t>
      </w:r>
      <w:r>
        <w:t xml:space="preserve"> of data; and</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3)</w:t>
      </w:r>
      <w:r>
        <w:tab/>
        <w:t>Information requests.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Pr="00601C25">
        <w:t>As of fiscal year 20</w:t>
      </w:r>
      <w:r w:rsidR="006215D5">
        <w:t>11</w:t>
      </w:r>
      <w:r w:rsidRPr="00601C25">
        <w:t xml:space="preserve">, </w:t>
      </w:r>
      <w:r>
        <w:t xml:space="preserve">the </w:t>
      </w:r>
      <w:r w:rsidR="006215D5">
        <w:t xml:space="preserve">EIS </w:t>
      </w:r>
      <w:r>
        <w:t xml:space="preserve">annual operation and maintenance costs are estimated to be as follows:  </w:t>
      </w:r>
      <w:r w:rsidR="006215D5">
        <w:t>2</w:t>
      </w:r>
      <w:r>
        <w:t>.0 FTE positions, $300</w:t>
      </w:r>
      <w:r w:rsidR="006D1B03">
        <w:t>,000</w:t>
      </w:r>
      <w:r>
        <w:t xml:space="preserve"> in Working Capital Funds and $750</w:t>
      </w:r>
      <w:r w:rsidR="006D1B03">
        <w:t>,000</w:t>
      </w:r>
      <w:r>
        <w:t xml:space="preserve"> for an Information Technology contractor.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costs of </w:t>
      </w:r>
      <w:r w:rsidR="006215D5">
        <w:t>review</w:t>
      </w:r>
      <w:r>
        <w:t xml:space="preserve">ing data submitted by </w:t>
      </w:r>
      <w:r w:rsidR="006215D5">
        <w:t>S</w:t>
      </w:r>
      <w:r>
        <w:t xml:space="preserve">tates include costs relating to data </w:t>
      </w:r>
      <w:r w:rsidR="006215D5">
        <w:t>review</w:t>
      </w:r>
      <w:r>
        <w:t xml:space="preserve">, coordination of efforts to resolve any errors or anomalies, and updating of the files after the quality assurance and reconciliation assurance efforts have been completed.  Within the EPA, the Regional Offices annually use about two FTEs </w:t>
      </w:r>
      <w:r w:rsidR="006D1B03">
        <w:t xml:space="preserve">in total across the ten Regions </w:t>
      </w:r>
      <w:r>
        <w:t xml:space="preserve">to coordinate </w:t>
      </w:r>
      <w:r w:rsidR="006215D5">
        <w:t>S</w:t>
      </w:r>
      <w:r>
        <w:t>tate efforts in making their submissions, perform software edits and other quality reviews, and if required, coordinate updates performed by the OAQPS.  The OAQPS uses approximately one FTE at a cost of $100,000 to track and process annual data.  Therefore, approximately 3 FTEs at an annual cost of $300,000 are used by EPA to track and process data.</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6(d) Estimating the Respondent Universe and Total Burden and Costs </w:t>
      </w:r>
      <w:r w:rsidR="00CF1DE6">
        <w:rPr>
          <w:rStyle w:val="2ndtier1"/>
        </w:rPr>
        <w:fldChar w:fldCharType="begin"/>
      </w:r>
      <w:r>
        <w:rPr>
          <w:rStyle w:val="2ndtier1"/>
        </w:rPr>
        <w:instrText>tc "</w:instrText>
      </w:r>
      <w:r>
        <w:rPr>
          <w:rStyle w:val="2ndtier1"/>
        </w:rPr>
        <w:tab/>
        <w:instrText>6(d) Estimating the Respondent Universe and Total Burden and Costs " \l 3</w:instrText>
      </w:r>
      <w:r w:rsidR="00CF1DE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number of respondents is estimated to be 51 states (including DC), 4 territories and 49 local agencies, resulting in 104 total respondents.  </w:t>
      </w:r>
      <w:r w:rsidR="00CB55C6">
        <w:t>As detailed in table 6-2, t</w:t>
      </w:r>
      <w:r>
        <w:t>he tota</w:t>
      </w:r>
      <w:r w:rsidR="00AA7880">
        <w:t>l annual hourly burden for all S</w:t>
      </w:r>
      <w:r>
        <w:t>tate</w:t>
      </w:r>
      <w:r w:rsidR="00AA7880">
        <w:t xml:space="preserve">, </w:t>
      </w:r>
      <w:r w:rsidR="009264DF">
        <w:t>T</w:t>
      </w:r>
      <w:r w:rsidR="00AA7880">
        <w:t xml:space="preserve">erritorial and local </w:t>
      </w:r>
      <w:r>
        <w:t xml:space="preserve"> respondents is estimated to be </w:t>
      </w:r>
      <w:r w:rsidR="00AA7880">
        <w:t>68,192</w:t>
      </w:r>
      <w:r>
        <w:t xml:space="preserve"> hours per year and the total annual cost is estimated to be $4,</w:t>
      </w:r>
      <w:r w:rsidR="00AA7880">
        <w:t>735</w:t>
      </w:r>
      <w:r>
        <w:t>,</w:t>
      </w:r>
      <w:r w:rsidR="00AA7880">
        <w:t>411</w:t>
      </w:r>
      <w:r w:rsidR="00CB55C6">
        <w:t>.</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6(e) Bottom Line Burden Hours and Cost Tables  </w:t>
      </w:r>
      <w:r w:rsidR="00CF1DE6">
        <w:rPr>
          <w:rStyle w:val="2ndtier1"/>
        </w:rPr>
        <w:fldChar w:fldCharType="begin"/>
      </w:r>
      <w:r>
        <w:rPr>
          <w:rStyle w:val="2ndtier1"/>
        </w:rPr>
        <w:instrText>tc "</w:instrText>
      </w:r>
      <w:r>
        <w:rPr>
          <w:rStyle w:val="2ndtier1"/>
        </w:rPr>
        <w:tab/>
        <w:instrText>6(e) Bottom Line Burden Hours and Cost Tables  " \l 3</w:instrText>
      </w:r>
      <w:r w:rsidR="00CF1DE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r>
        <w:rPr>
          <w:rFonts w:ascii="Arial" w:hAnsi="Arial" w:cs="Arial"/>
          <w:b/>
          <w:bCs/>
        </w:rPr>
        <w:t>Total Estimated Respondent Burden and Cost Summary</w:t>
      </w: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2"/>
        <w:gridCol w:w="2439"/>
        <w:gridCol w:w="3016"/>
        <w:gridCol w:w="1738"/>
      </w:tblGrid>
      <w:tr w:rsidR="00851193" w:rsidTr="004F5AE5">
        <w:trPr>
          <w:trHeight w:val="350"/>
        </w:trPr>
        <w:tc>
          <w:tcPr>
            <w:tcW w:w="3362"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DC615B">
              <w:rPr>
                <w:b/>
              </w:rPr>
              <w:t>Burden Element/Cost</w:t>
            </w:r>
          </w:p>
        </w:tc>
        <w:tc>
          <w:tcPr>
            <w:tcW w:w="2439"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Respondents</w:t>
            </w:r>
          </w:p>
        </w:tc>
        <w:tc>
          <w:tcPr>
            <w:tcW w:w="3016" w:type="dxa"/>
          </w:tcPr>
          <w:p w:rsidR="00851193" w:rsidRPr="00DC615B"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Pr>
                <w:b/>
              </w:rPr>
              <w:t>EPA</w:t>
            </w:r>
          </w:p>
        </w:tc>
        <w:tc>
          <w:tcPr>
            <w:tcW w:w="1738"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Total</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Number of Respondents</w:t>
            </w: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w:t>
            </w: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Hours Per year</w:t>
            </w:r>
          </w:p>
        </w:tc>
        <w:tc>
          <w:tcPr>
            <w:tcW w:w="2439"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68,192</w:t>
            </w:r>
          </w:p>
        </w:tc>
        <w:tc>
          <w:tcPr>
            <w:tcW w:w="3016"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10,400</w:t>
            </w:r>
          </w:p>
        </w:tc>
        <w:tc>
          <w:tcPr>
            <w:tcW w:w="1738"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78,592</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Capital Cost</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6D1B03">
              <w:t>104,000</w:t>
            </w:r>
          </w:p>
        </w:tc>
        <w:tc>
          <w:tcPr>
            <w:tcW w:w="3016"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$300,000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404,000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O&amp;M Cost</w:t>
            </w: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$12,480</w:t>
            </w:r>
          </w:p>
        </w:tc>
        <w:tc>
          <w:tcPr>
            <w:tcW w:w="3016"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$750,000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762,480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Annual Capital and O&amp;M Costs</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6D1B03">
              <w:t>116,480</w:t>
            </w:r>
          </w:p>
        </w:tc>
        <w:tc>
          <w:tcPr>
            <w:tcW w:w="3016"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1,166,480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Labor Cost Per Year</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$4,</w:t>
            </w:r>
            <w:r w:rsidR="006D1B03">
              <w:t>618</w:t>
            </w:r>
            <w:r>
              <w:t>,</w:t>
            </w:r>
            <w:r w:rsidR="006D1B03">
              <w:t>931</w:t>
            </w:r>
          </w:p>
        </w:tc>
        <w:tc>
          <w:tcPr>
            <w:tcW w:w="3016"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500,000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5</w:t>
            </w:r>
            <w:r>
              <w:t>,</w:t>
            </w:r>
            <w:r w:rsidR="00BF6249">
              <w:t>118</w:t>
            </w:r>
            <w:r>
              <w:t>,</w:t>
            </w:r>
            <w:r w:rsidR="00BF6249">
              <w:t>931</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Cost Per Year</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$4,</w:t>
            </w:r>
            <w:r w:rsidR="006D1B03">
              <w:t>735</w:t>
            </w:r>
            <w:r>
              <w:t>,</w:t>
            </w:r>
            <w:r w:rsidR="006D1B03">
              <w:t>411</w:t>
            </w:r>
          </w:p>
        </w:tc>
        <w:tc>
          <w:tcPr>
            <w:tcW w:w="3016"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1,550,000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6</w:t>
            </w:r>
            <w:r>
              <w:t>,</w:t>
            </w:r>
            <w:r w:rsidR="00BF6249">
              <w:t>285,411</w:t>
            </w:r>
          </w:p>
        </w:tc>
      </w:tr>
    </w:tbl>
    <w:p w:rsidR="00851193" w:rsidRPr="000511B8"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sz w:val="16"/>
          <w:szCs w:val="16"/>
        </w:rPr>
      </w:pP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6(f) Reasons for Change in Burden </w:t>
      </w:r>
      <w:r w:rsidR="00CF1DE6">
        <w:rPr>
          <w:rStyle w:val="2ndtier1"/>
        </w:rPr>
        <w:fldChar w:fldCharType="begin"/>
      </w:r>
      <w:r>
        <w:rPr>
          <w:rStyle w:val="2ndtier1"/>
        </w:rPr>
        <w:instrText>tc "</w:instrText>
      </w:r>
      <w:r>
        <w:rPr>
          <w:rStyle w:val="2ndtier1"/>
        </w:rPr>
        <w:tab/>
        <w:instrText>6(f) Reasons for Change in Burden " \l 3</w:instrText>
      </w:r>
      <w:r w:rsidR="00CF1DE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F74C40"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net change in emission reporting burden as compared with the </w:t>
      </w:r>
      <w:r w:rsidR="00E33DF8">
        <w:t xml:space="preserve">existing </w:t>
      </w:r>
      <w:r w:rsidRPr="00E265D9">
        <w:t xml:space="preserve">approved ICRs for the </w:t>
      </w:r>
      <w:r w:rsidR="00E33DF8">
        <w:t>A</w:t>
      </w:r>
      <w:r w:rsidRPr="00E265D9">
        <w:t>ERR</w:t>
      </w:r>
      <w:r>
        <w:t xml:space="preserve"> </w:t>
      </w:r>
      <w:r w:rsidR="00E33DF8">
        <w:t>(EPA ICR #2170.03) is shown in the table below</w:t>
      </w:r>
      <w:r w:rsidRPr="00E265D9">
        <w:t xml:space="preserve">.  The </w:t>
      </w:r>
      <w:r w:rsidR="00E33DF8">
        <w:t xml:space="preserve">existing approved ICR burden estimates were developed and documented only as incremental </w:t>
      </w:r>
      <w:r w:rsidRPr="00E265D9">
        <w:t>change</w:t>
      </w:r>
      <w:r w:rsidR="00E33DF8">
        <w:t>s compared to two prior approved ICRs for two rules (</w:t>
      </w:r>
      <w:r w:rsidR="00E33DF8" w:rsidRPr="00E265D9">
        <w:t xml:space="preserve">the CERR and the </w:t>
      </w:r>
      <w:proofErr w:type="spellStart"/>
      <w:r w:rsidR="00E33DF8" w:rsidRPr="00E265D9">
        <w:t>NO</w:t>
      </w:r>
      <w:r w:rsidR="00E33DF8">
        <w:t>x</w:t>
      </w:r>
      <w:proofErr w:type="spellEnd"/>
      <w:r w:rsidR="00E33DF8" w:rsidRPr="00E265D9">
        <w:t xml:space="preserve"> S</w:t>
      </w:r>
      <w:r w:rsidR="00E33DF8">
        <w:t xml:space="preserve">IP Call) which the AERR was replacing.  The existing approved ICR does not contain any bottom-line burden hour estimates for individual activities that would be comparable to those shown in Table 6-1 of this ICR.  This treatment does not therefore </w:t>
      </w:r>
      <w:r w:rsidR="00C061D6">
        <w:t>allow for any comparison of which items influence the change in burden.  However, this ICR renewal does not request any new or additional data beyond that which was part of the original ICR for the AERR.  In addition, this ICR renewal also uses the same per activity burden hour estimates for the major contributing activities from the earlier CERR ICR (EPA ICR #0916.13)</w:t>
      </w:r>
      <w:r w:rsidR="007B681B">
        <w:t xml:space="preserve">, and derives very similar burden hour estimates as the CERR ICR for the point emission sources.  The number of respondents has also remained the same.  The difference shown in burden hours is therefore believed to be due solely to </w:t>
      </w:r>
      <w:proofErr w:type="spellStart"/>
      <w:r w:rsidR="007B681B">
        <w:t>calculational</w:t>
      </w:r>
      <w:proofErr w:type="spellEnd"/>
      <w:r w:rsidR="007B681B">
        <w:t xml:space="preserve"> differences either in the incremental change estimates from the CERR and </w:t>
      </w:r>
      <w:proofErr w:type="spellStart"/>
      <w:r w:rsidR="007B681B">
        <w:t>NOx</w:t>
      </w:r>
      <w:proofErr w:type="spellEnd"/>
      <w:r w:rsidR="007B681B">
        <w:t xml:space="preserve"> SIP Call ICRs to the original AERR ICR approval or to the </w:t>
      </w:r>
      <w:proofErr w:type="spellStart"/>
      <w:r w:rsidR="007B681B">
        <w:t>annualization</w:t>
      </w:r>
      <w:proofErr w:type="spellEnd"/>
      <w:r w:rsidR="007B681B">
        <w:t xml:space="preserve"> of the burden hours for the 3-year reporting cycle in the original AERR ICR approval.  This ICR renewal imposes no additional actual burden hours beyond the original AERR ICR approval.</w:t>
      </w:r>
    </w:p>
    <w:p w:rsidR="00E33DF8" w:rsidRDefault="00E33DF8"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F74C40" w:rsidRPr="00212880"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212880">
        <w:rPr>
          <w:rFonts w:ascii="Arial" w:hAnsi="Arial" w:cs="Arial"/>
          <w:b/>
        </w:rPr>
        <w:t>Burden Change</w:t>
      </w:r>
    </w:p>
    <w:p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tbl>
      <w:tblPr>
        <w:tblStyle w:val="TableGrid"/>
        <w:tblW w:w="0" w:type="auto"/>
        <w:tblLook w:val="01E0"/>
      </w:tblPr>
      <w:tblGrid>
        <w:gridCol w:w="2268"/>
        <w:gridCol w:w="2564"/>
        <w:gridCol w:w="2417"/>
        <w:gridCol w:w="2417"/>
      </w:tblGrid>
      <w:tr w:rsidR="00F74C40" w:rsidTr="007222BF">
        <w:tc>
          <w:tcPr>
            <w:tcW w:w="2268"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Currently Approved ICR</w:t>
            </w:r>
          </w:p>
        </w:tc>
        <w:tc>
          <w:tcPr>
            <w:tcW w:w="2417"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 xml:space="preserve">Change </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Total Requested</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Responses</w:t>
            </w: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104</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0</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104</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Hour Burden</w:t>
            </w:r>
          </w:p>
        </w:tc>
        <w:tc>
          <w:tcPr>
            <w:tcW w:w="2564"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vertAlign w:val="superscript"/>
              </w:rPr>
            </w:pPr>
            <w:r w:rsidRPr="004C12E6">
              <w:rPr>
                <w:sz w:val="20"/>
                <w:szCs w:val="20"/>
              </w:rPr>
              <w:t>51,095</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17,097</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68,192</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Cost Burden</w:t>
            </w: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sz w:val="20"/>
                <w:szCs w:val="20"/>
                <w:vertAlign w:val="superscript"/>
              </w:rPr>
            </w:pPr>
            <w:r w:rsidRPr="004C12E6">
              <w:rPr>
                <w:sz w:val="20"/>
                <w:szCs w:val="20"/>
              </w:rPr>
              <w:t>4,060,576</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674,835</w:t>
            </w:r>
          </w:p>
        </w:tc>
        <w:tc>
          <w:tcPr>
            <w:tcW w:w="2417" w:type="dxa"/>
            <w:vAlign w:val="bottom"/>
          </w:tcPr>
          <w:p w:rsidR="00F74C40" w:rsidRPr="004C12E6" w:rsidRDefault="00F74C40" w:rsidP="007222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4,735,411</w:t>
            </w:r>
          </w:p>
        </w:tc>
      </w:tr>
    </w:tbl>
    <w:p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Pr>
          <w:rStyle w:val="2ndtier1"/>
        </w:rPr>
        <w:tab/>
      </w:r>
      <w:r w:rsidRPr="005B1A28">
        <w:rPr>
          <w:rStyle w:val="2ndtier1"/>
        </w:rPr>
        <w:t xml:space="preserve">6(g) Burden Statement </w:t>
      </w:r>
      <w:r w:rsidR="00CF1DE6" w:rsidRPr="005B1A28">
        <w:rPr>
          <w:rStyle w:val="2ndtier1"/>
        </w:rPr>
        <w:fldChar w:fldCharType="begin"/>
      </w:r>
      <w:r w:rsidRPr="005B1A28">
        <w:rPr>
          <w:rStyle w:val="2ndtier1"/>
        </w:rPr>
        <w:instrText>tc "</w:instrText>
      </w:r>
      <w:r w:rsidRPr="005B1A28">
        <w:rPr>
          <w:rStyle w:val="2ndtier1"/>
        </w:rPr>
        <w:tab/>
        <w:instrText>6(g) Burden Statement " \l 3</w:instrText>
      </w:r>
      <w:r w:rsidR="00CF1DE6" w:rsidRPr="005B1A28">
        <w:rPr>
          <w:rStyle w:val="2ndtier1"/>
        </w:rPr>
        <w:fldChar w:fldCharType="end"/>
      </w:r>
    </w:p>
    <w:p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B1A28">
        <w:tab/>
      </w:r>
      <w:r w:rsidR="00EE5394">
        <w:t xml:space="preserve">Table 6-2 indicates that the reporting of emissions data required by the AERR is estimated to involve an average of 656 hours per year for each State, Territorial and local air pollution control agency required to submit.  </w:t>
      </w: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w:t>
      </w:r>
      <w:r w:rsidRPr="000A58A6">
        <w:rPr>
          <w:color w:val="0F0F0F"/>
        </w:rPr>
        <w:t>200</w:t>
      </w:r>
      <w:r w:rsidR="000A58A6" w:rsidRPr="000A58A6">
        <w:rPr>
          <w:color w:val="0F0F0F"/>
        </w:rPr>
        <w:t>4</w:t>
      </w:r>
      <w:r w:rsidRPr="000A58A6">
        <w:rPr>
          <w:color w:val="0F0F0F"/>
        </w:rPr>
        <w:t>-04</w:t>
      </w:r>
      <w:r w:rsidR="000A58A6" w:rsidRPr="000A58A6">
        <w:rPr>
          <w:color w:val="0F0F0F"/>
        </w:rPr>
        <w:t>89</w:t>
      </w:r>
      <w:r>
        <w:rPr>
          <w:color w:val="0F0F0F"/>
        </w:rPr>
        <w:t xml:space="preserve">, which is available for online viewing </w:t>
      </w:r>
      <w:r w:rsidRPr="00DF2AE5">
        <w:t xml:space="preserve">at </w:t>
      </w:r>
      <w:hyperlink r:id="rId9" w:history="1">
        <w:r w:rsidRPr="00DF2AE5">
          <w:t>www.regulations.gov</w:t>
        </w:r>
      </w:hyperlink>
      <w:r>
        <w:rPr>
          <w:color w:val="0F0F0F"/>
        </w:rPr>
        <w:t xml:space="preserve">, or in person viewing at the Air and </w:t>
      </w:r>
      <w:r>
        <w:rPr>
          <w:color w:val="0F0F0F"/>
        </w:rPr>
        <w:lastRenderedPageBreak/>
        <w:t>Radiation Docket and Information Center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color w:val="0F0F0F"/>
        </w:rPr>
        <w:t xml:space="preserve"> </w:t>
      </w:r>
      <w:r>
        <w:rPr>
          <w:color w:val="0F0F0F"/>
        </w:rPr>
        <w:t>Number EPA-HQ-OAR-</w:t>
      </w:r>
      <w:r w:rsidR="000A58A6" w:rsidRPr="000A58A6">
        <w:rPr>
          <w:color w:val="0F0F0F"/>
        </w:rPr>
        <w:t>2004-0489</w:t>
      </w:r>
      <w:r w:rsidR="000A58A6">
        <w:rPr>
          <w:color w:val="0F0F0F"/>
        </w:rPr>
        <w:t xml:space="preserve"> </w:t>
      </w:r>
      <w:r>
        <w:rPr>
          <w:color w:val="0F0F0F"/>
        </w:rPr>
        <w:t>and OMB Control Number 2060-0</w:t>
      </w:r>
      <w:r w:rsidR="00F1761F">
        <w:rPr>
          <w:color w:val="0F0F0F"/>
        </w:rPr>
        <w:t>580</w:t>
      </w:r>
      <w:r>
        <w:rPr>
          <w:color w:val="0F0F0F"/>
        </w:rPr>
        <w:t xml:space="preserve"> in any correspondence.</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rPr>
      </w:pPr>
      <w:r>
        <w:br w:type="page"/>
      </w:r>
      <w:proofErr w:type="gramStart"/>
      <w:r>
        <w:rPr>
          <w:rFonts w:ascii="Arial" w:hAnsi="Arial" w:cs="Arial"/>
          <w:b/>
          <w:bCs/>
        </w:rPr>
        <w:lastRenderedPageBreak/>
        <w:t>Table 6-1.</w:t>
      </w:r>
      <w:proofErr w:type="gramEnd"/>
      <w:r>
        <w:rPr>
          <w:rFonts w:ascii="Arial" w:hAnsi="Arial" w:cs="Arial"/>
          <w:b/>
          <w:bCs/>
        </w:rPr>
        <w:t xml:space="preserve">  State Respondent Burden Hours by Activity </w:t>
      </w:r>
      <w:r w:rsidR="00CF1DE6">
        <w:rPr>
          <w:rFonts w:ascii="Arial" w:hAnsi="Arial" w:cs="Arial"/>
          <w:b/>
          <w:bCs/>
        </w:rPr>
        <w:fldChar w:fldCharType="begin"/>
      </w:r>
      <w:r>
        <w:rPr>
          <w:rFonts w:ascii="Arial" w:hAnsi="Arial" w:cs="Arial"/>
          <w:b/>
          <w:bCs/>
        </w:rPr>
        <w:instrText>tc "6-1.  State Respondent Burden Hours by Activity " \f D</w:instrText>
      </w:r>
      <w:r w:rsidR="00CF1DE6">
        <w:rPr>
          <w:rFonts w:ascii="Arial" w:hAnsi="Arial" w:cs="Arial"/>
          <w:b/>
          <w:bCs/>
        </w:rPr>
        <w:fldChar w:fldCharType="end"/>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rFonts w:ascii="Arial" w:hAnsi="Arial" w:cs="Arial"/>
        </w:rPr>
      </w:pPr>
    </w:p>
    <w:tbl>
      <w:tblPr>
        <w:tblW w:w="0" w:type="auto"/>
        <w:tblInd w:w="8" w:type="dxa"/>
        <w:tblLayout w:type="fixed"/>
        <w:tblCellMar>
          <w:left w:w="2" w:type="dxa"/>
          <w:right w:w="2" w:type="dxa"/>
        </w:tblCellMar>
        <w:tblLook w:val="0000"/>
      </w:tblPr>
      <w:tblGrid>
        <w:gridCol w:w="6118"/>
        <w:gridCol w:w="1078"/>
        <w:gridCol w:w="1078"/>
        <w:gridCol w:w="1083"/>
      </w:tblGrid>
      <w:tr w:rsidR="00851193" w:rsidTr="004F5AE5">
        <w:trPr>
          <w:cantSplit/>
        </w:trPr>
        <w:tc>
          <w:tcPr>
            <w:tcW w:w="6118" w:type="dxa"/>
            <w:vMerge w:val="restart"/>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rPr>
                <w:rFonts w:ascii="Arial" w:hAnsi="Arial" w:cs="Arial"/>
                <w:b/>
                <w:bCs/>
                <w:sz w:val="18"/>
                <w:szCs w:val="18"/>
              </w:rPr>
            </w:pPr>
          </w:p>
          <w:p w:rsidR="00851193"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after="57"/>
              <w:rPr>
                <w:sz w:val="18"/>
                <w:szCs w:val="18"/>
              </w:rPr>
            </w:pPr>
            <w:r>
              <w:rPr>
                <w:rFonts w:ascii="Arial" w:hAnsi="Arial" w:cs="Arial"/>
                <w:b/>
                <w:bCs/>
                <w:sz w:val="18"/>
                <w:szCs w:val="18"/>
              </w:rPr>
              <w:t xml:space="preserve">  </w:t>
            </w:r>
            <w:r w:rsidR="00851193">
              <w:rPr>
                <w:rFonts w:ascii="Arial" w:hAnsi="Arial" w:cs="Arial"/>
                <w:b/>
                <w:bCs/>
                <w:sz w:val="18"/>
                <w:szCs w:val="18"/>
              </w:rPr>
              <w:t>Information Collection Activity</w:t>
            </w:r>
          </w:p>
        </w:tc>
        <w:tc>
          <w:tcPr>
            <w:tcW w:w="3239" w:type="dxa"/>
            <w:gridSpan w:val="3"/>
            <w:tcBorders>
              <w:top w:val="single" w:sz="6" w:space="0" w:color="000000"/>
              <w:left w:val="single" w:sz="6" w:space="0" w:color="000000"/>
              <w:bottom w:val="nil"/>
              <w:right w:val="single" w:sz="6" w:space="0" w:color="000000"/>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Hours Per Respondent</w:t>
            </w:r>
          </w:p>
        </w:tc>
      </w:tr>
      <w:tr w:rsidR="00851193" w:rsidTr="004F5AE5">
        <w:trPr>
          <w:cantSplit/>
        </w:trPr>
        <w:tc>
          <w:tcPr>
            <w:tcW w:w="6118" w:type="dxa"/>
            <w:vMerge/>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p>
        </w:tc>
        <w:tc>
          <w:tcPr>
            <w:tcW w:w="1078" w:type="dxa"/>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Managerial Hours</w:t>
            </w:r>
          </w:p>
        </w:tc>
        <w:tc>
          <w:tcPr>
            <w:tcW w:w="1078" w:type="dxa"/>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Technical Hours</w:t>
            </w:r>
          </w:p>
        </w:tc>
        <w:tc>
          <w:tcPr>
            <w:tcW w:w="1083" w:type="dxa"/>
            <w:tcBorders>
              <w:top w:val="single" w:sz="6" w:space="0" w:color="000000"/>
              <w:left w:val="single" w:sz="6" w:space="0" w:color="000000"/>
              <w:bottom w:val="nil"/>
              <w:right w:val="single" w:sz="6" w:space="0" w:color="000000"/>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Total</w:t>
            </w:r>
          </w:p>
        </w:tc>
      </w:tr>
      <w:tr w:rsidR="00851193" w:rsidTr="004F5AE5">
        <w:trPr>
          <w:cantSplit/>
        </w:trPr>
        <w:tc>
          <w:tcPr>
            <w:tcW w:w="9357" w:type="dxa"/>
            <w:gridSpan w:val="4"/>
            <w:tcBorders>
              <w:top w:val="single" w:sz="6" w:space="0" w:color="000000"/>
              <w:left w:val="single" w:sz="6" w:space="0" w:color="000000"/>
              <w:bottom w:val="nil"/>
              <w:right w:val="single" w:sz="6" w:space="0" w:color="000000"/>
            </w:tcBorders>
          </w:tcPr>
          <w:p w:rsidR="00851193" w:rsidRPr="00000788"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r>
              <w:rPr>
                <w:rFonts w:ascii="Arial" w:hAnsi="Arial" w:cs="Arial"/>
                <w:b/>
                <w:bCs/>
                <w:i/>
                <w:iCs/>
                <w:sz w:val="18"/>
                <w:szCs w:val="18"/>
              </w:rPr>
              <w:t xml:space="preserve">  </w:t>
            </w:r>
            <w:r w:rsidR="00851193" w:rsidRPr="00000788">
              <w:rPr>
                <w:rFonts w:ascii="Arial" w:hAnsi="Arial" w:cs="Arial"/>
                <w:b/>
                <w:bCs/>
                <w:iCs/>
                <w:sz w:val="18"/>
                <w:szCs w:val="18"/>
              </w:rPr>
              <w:t>Annual</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w:t>
            </w:r>
            <w:r w:rsidR="00EB11C3" w:rsidRPr="00EB11C3">
              <w:rPr>
                <w:sz w:val="20"/>
                <w:szCs w:val="20"/>
              </w:rPr>
              <w:t>Extract data from the State data system</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w:t>
            </w:r>
            <w:r w:rsidR="00EB11C3" w:rsidRPr="00EB11C3">
              <w:rPr>
                <w:sz w:val="20"/>
                <w:szCs w:val="20"/>
              </w:rPr>
              <w:t>Convert data into the XML format – Facility info</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8</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w:t>
            </w:r>
            <w:r w:rsidR="00EB11C3" w:rsidRPr="00EB11C3">
              <w:rPr>
                <w:sz w:val="20"/>
                <w:szCs w:val="20"/>
              </w:rPr>
              <w:t>Convert data into the XML format – Emissions info</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w:t>
            </w:r>
            <w:r w:rsidR="00EB11C3" w:rsidRPr="00EB11C3">
              <w:rPr>
                <w:sz w:val="20"/>
                <w:szCs w:val="20"/>
              </w:rPr>
              <w:t xml:space="preserve">Run </w:t>
            </w:r>
            <w:r w:rsidR="00EB11C3">
              <w:rPr>
                <w:sz w:val="20"/>
                <w:szCs w:val="20"/>
              </w:rPr>
              <w:t>q</w:t>
            </w:r>
            <w:r w:rsidR="00EB11C3"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2</w:t>
            </w: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24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26</w:t>
            </w:r>
          </w:p>
        </w:tc>
      </w:tr>
      <w:tr w:rsidR="006D12BA" w:rsidTr="004F5AE5">
        <w:trPr>
          <w:cantSplit/>
        </w:trPr>
        <w:tc>
          <w:tcPr>
            <w:tcW w:w="6118" w:type="dxa"/>
            <w:tcBorders>
              <w:top w:val="single" w:sz="6" w:space="0" w:color="000000"/>
              <w:left w:val="single" w:sz="6" w:space="0" w:color="000000"/>
              <w:bottom w:val="nil"/>
              <w:right w:val="nil"/>
            </w:tcBorders>
          </w:tcPr>
          <w:p w:rsidR="006D12BA" w:rsidRPr="00EB11C3" w:rsidRDefault="00EB11C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5.  Submit final file to EPA via CDX</w:t>
            </w:r>
          </w:p>
        </w:tc>
        <w:tc>
          <w:tcPr>
            <w:tcW w:w="1078" w:type="dxa"/>
            <w:tcBorders>
              <w:top w:val="single" w:sz="6" w:space="0" w:color="000000"/>
              <w:left w:val="single" w:sz="6" w:space="0" w:color="000000"/>
              <w:bottom w:val="nil"/>
              <w:right w:val="nil"/>
            </w:tcBorders>
          </w:tcPr>
          <w:p w:rsidR="006D12BA" w:rsidRDefault="006D12BA"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rsidR="006D12BA" w:rsidRDefault="00EB11C3"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rsidR="006D12BA" w:rsidRDefault="00482FC8" w:rsidP="004F5AE5">
            <w:pPr>
              <w:widowControl/>
              <w:tabs>
                <w:tab w:val="left" w:pos="0"/>
                <w:tab w:val="left" w:pos="720"/>
              </w:tabs>
              <w:spacing w:before="38" w:after="57"/>
              <w:jc w:val="center"/>
              <w:rPr>
                <w:sz w:val="18"/>
                <w:szCs w:val="18"/>
              </w:rPr>
            </w:pPr>
            <w:r>
              <w:rPr>
                <w:sz w:val="18"/>
                <w:szCs w:val="18"/>
              </w:rPr>
              <w:t>2</w:t>
            </w:r>
          </w:p>
        </w:tc>
      </w:tr>
      <w:tr w:rsidR="006D12BA" w:rsidTr="004F5AE5">
        <w:trPr>
          <w:cantSplit/>
        </w:trPr>
        <w:tc>
          <w:tcPr>
            <w:tcW w:w="6118" w:type="dxa"/>
            <w:tcBorders>
              <w:top w:val="single" w:sz="6" w:space="0" w:color="000000"/>
              <w:left w:val="single" w:sz="6" w:space="0" w:color="000000"/>
              <w:bottom w:val="nil"/>
              <w:right w:val="nil"/>
            </w:tcBorders>
          </w:tcPr>
          <w:p w:rsidR="006D12BA" w:rsidRPr="00EB11C3" w:rsidRDefault="00EB11C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Respond to follow-up inquiries from EPA</w:t>
            </w:r>
          </w:p>
        </w:tc>
        <w:tc>
          <w:tcPr>
            <w:tcW w:w="1078" w:type="dxa"/>
            <w:tcBorders>
              <w:top w:val="single" w:sz="6" w:space="0" w:color="000000"/>
              <w:left w:val="single" w:sz="6" w:space="0" w:color="000000"/>
              <w:bottom w:val="nil"/>
              <w:right w:val="nil"/>
            </w:tcBorders>
          </w:tcPr>
          <w:p w:rsidR="006D12BA" w:rsidRDefault="00482FC8"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2</w:t>
            </w:r>
          </w:p>
        </w:tc>
        <w:tc>
          <w:tcPr>
            <w:tcW w:w="1078" w:type="dxa"/>
            <w:tcBorders>
              <w:top w:val="single" w:sz="6" w:space="0" w:color="000000"/>
              <w:left w:val="single" w:sz="6" w:space="0" w:color="000000"/>
              <w:bottom w:val="nil"/>
              <w:right w:val="nil"/>
            </w:tcBorders>
          </w:tcPr>
          <w:p w:rsidR="006D12BA" w:rsidRDefault="00EB11C3" w:rsidP="004F5AE5">
            <w:pPr>
              <w:widowControl/>
              <w:tabs>
                <w:tab w:val="left" w:pos="0"/>
                <w:tab w:val="left" w:pos="720"/>
              </w:tabs>
              <w:spacing w:before="38" w:after="57"/>
              <w:jc w:val="center"/>
              <w:rPr>
                <w:sz w:val="18"/>
                <w:szCs w:val="18"/>
              </w:rPr>
            </w:pPr>
            <w:r>
              <w:rPr>
                <w:sz w:val="18"/>
                <w:szCs w:val="18"/>
              </w:rPr>
              <w:t>4</w:t>
            </w:r>
          </w:p>
        </w:tc>
        <w:tc>
          <w:tcPr>
            <w:tcW w:w="1083" w:type="dxa"/>
            <w:tcBorders>
              <w:top w:val="single" w:sz="6" w:space="0" w:color="000000"/>
              <w:left w:val="single" w:sz="6" w:space="0" w:color="000000"/>
              <w:bottom w:val="nil"/>
              <w:right w:val="single" w:sz="6" w:space="0" w:color="000000"/>
            </w:tcBorders>
          </w:tcPr>
          <w:p w:rsidR="006D12BA" w:rsidRDefault="00482FC8" w:rsidP="004F5AE5">
            <w:pPr>
              <w:widowControl/>
              <w:tabs>
                <w:tab w:val="left" w:pos="0"/>
                <w:tab w:val="left" w:pos="720"/>
              </w:tabs>
              <w:spacing w:before="38" w:after="57"/>
              <w:jc w:val="center"/>
              <w:rPr>
                <w:sz w:val="18"/>
                <w:szCs w:val="18"/>
              </w:rPr>
            </w:pPr>
            <w:r>
              <w:rPr>
                <w:sz w:val="18"/>
                <w:szCs w:val="18"/>
              </w:rPr>
              <w:t>6</w:t>
            </w:r>
          </w:p>
        </w:tc>
      </w:tr>
      <w:tr w:rsidR="008A250E" w:rsidTr="004F5AE5">
        <w:trPr>
          <w:cantSplit/>
        </w:trPr>
        <w:tc>
          <w:tcPr>
            <w:tcW w:w="6118" w:type="dxa"/>
            <w:tcBorders>
              <w:top w:val="single" w:sz="6" w:space="0" w:color="000000"/>
              <w:left w:val="single" w:sz="6" w:space="0" w:color="000000"/>
              <w:bottom w:val="nil"/>
              <w:right w:val="nil"/>
            </w:tcBorders>
          </w:tcPr>
          <w:p w:rsidR="008A250E" w:rsidRP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b/>
                <w:sz w:val="20"/>
                <w:szCs w:val="20"/>
              </w:rPr>
            </w:pPr>
            <w:r>
              <w:rPr>
                <w:sz w:val="20"/>
                <w:szCs w:val="20"/>
              </w:rPr>
              <w:t xml:space="preserve">    </w:t>
            </w:r>
            <w:r w:rsidRPr="008A250E">
              <w:rPr>
                <w:b/>
                <w:sz w:val="20"/>
                <w:szCs w:val="20"/>
              </w:rPr>
              <w:t>Subtotal for Annual Point Source Reporting – Type A sources</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4</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46</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50</w:t>
            </w:r>
          </w:p>
        </w:tc>
      </w:tr>
      <w:tr w:rsidR="00851193" w:rsidRPr="00000788" w:rsidTr="004F5AE5">
        <w:trPr>
          <w:cantSplit/>
        </w:trPr>
        <w:tc>
          <w:tcPr>
            <w:tcW w:w="9357" w:type="dxa"/>
            <w:gridSpan w:val="4"/>
            <w:tcBorders>
              <w:top w:val="single" w:sz="6" w:space="0" w:color="000000"/>
              <w:left w:val="single" w:sz="6" w:space="0" w:color="000000"/>
              <w:bottom w:val="nil"/>
              <w:right w:val="single" w:sz="6" w:space="0" w:color="000000"/>
            </w:tcBorders>
          </w:tcPr>
          <w:p w:rsidR="00851193" w:rsidRPr="00000788"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b/>
                <w:sz w:val="20"/>
                <w:szCs w:val="20"/>
              </w:rPr>
            </w:pPr>
            <w:r w:rsidRPr="00000788">
              <w:rPr>
                <w:rFonts w:ascii="Arial" w:hAnsi="Arial" w:cs="Arial"/>
                <w:b/>
                <w:bCs/>
                <w:iCs/>
                <w:sz w:val="18"/>
                <w:szCs w:val="18"/>
              </w:rPr>
              <w:t xml:space="preserve"> </w:t>
            </w:r>
            <w:r w:rsidR="00000788">
              <w:rPr>
                <w:rFonts w:ascii="Arial" w:hAnsi="Arial" w:cs="Arial"/>
                <w:b/>
                <w:bCs/>
                <w:iCs/>
                <w:sz w:val="18"/>
                <w:szCs w:val="18"/>
              </w:rPr>
              <w:t xml:space="preserve"> </w:t>
            </w:r>
            <w:r w:rsidR="00851193" w:rsidRPr="00000788">
              <w:rPr>
                <w:b/>
                <w:bCs/>
                <w:iCs/>
                <w:sz w:val="20"/>
                <w:szCs w:val="20"/>
              </w:rPr>
              <w:t>Triennial</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Extract data from the State data system</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Convert data into the XML format – Facility info</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16</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16</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Convert data into the XML format – Emissions info</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8</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Run </w:t>
            </w:r>
            <w:r>
              <w:rPr>
                <w:sz w:val="20"/>
                <w:szCs w:val="20"/>
              </w:rPr>
              <w:t>q</w:t>
            </w:r>
            <w:r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rsidR="00D36AEF" w:rsidRPr="00EB11C3" w:rsidRDefault="006239EF" w:rsidP="004F5AE5">
            <w:pPr>
              <w:widowControl/>
              <w:tabs>
                <w:tab w:val="left" w:pos="0"/>
                <w:tab w:val="left" w:pos="720"/>
              </w:tabs>
              <w:spacing w:before="38" w:after="57"/>
              <w:jc w:val="center"/>
              <w:rPr>
                <w:sz w:val="20"/>
                <w:szCs w:val="20"/>
              </w:rPr>
            </w:pPr>
            <w:r>
              <w:rPr>
                <w:sz w:val="20"/>
                <w:szCs w:val="20"/>
              </w:rPr>
              <w:t>8</w:t>
            </w:r>
          </w:p>
        </w:tc>
        <w:tc>
          <w:tcPr>
            <w:tcW w:w="1078" w:type="dxa"/>
            <w:tcBorders>
              <w:top w:val="single" w:sz="6" w:space="0" w:color="000000"/>
              <w:left w:val="single" w:sz="6" w:space="0" w:color="000000"/>
              <w:bottom w:val="nil"/>
              <w:right w:val="nil"/>
            </w:tcBorders>
          </w:tcPr>
          <w:p w:rsidR="00D36AEF" w:rsidRPr="00EB11C3" w:rsidRDefault="006239EF" w:rsidP="004F5AE5">
            <w:pPr>
              <w:widowControl/>
              <w:tabs>
                <w:tab w:val="left" w:pos="0"/>
                <w:tab w:val="left" w:pos="720"/>
              </w:tabs>
              <w:spacing w:before="38" w:after="57"/>
              <w:jc w:val="center"/>
              <w:rPr>
                <w:sz w:val="20"/>
                <w:szCs w:val="20"/>
              </w:rPr>
            </w:pPr>
            <w:r>
              <w:rPr>
                <w:sz w:val="20"/>
                <w:szCs w:val="20"/>
              </w:rPr>
              <w:t>96</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6239EF">
            <w:pPr>
              <w:widowControl/>
              <w:tabs>
                <w:tab w:val="left" w:pos="0"/>
                <w:tab w:val="left" w:pos="720"/>
              </w:tabs>
              <w:spacing w:before="38" w:after="57"/>
              <w:jc w:val="center"/>
              <w:rPr>
                <w:sz w:val="20"/>
                <w:szCs w:val="20"/>
              </w:rPr>
            </w:pPr>
            <w:r>
              <w:rPr>
                <w:sz w:val="20"/>
                <w:szCs w:val="20"/>
              </w:rPr>
              <w:t>1</w:t>
            </w:r>
            <w:r w:rsidR="006239EF">
              <w:rPr>
                <w:sz w:val="20"/>
                <w:szCs w:val="20"/>
              </w:rPr>
              <w:t>04</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5.  Submit final file to EPA via CDX</w:t>
            </w:r>
          </w:p>
        </w:tc>
        <w:tc>
          <w:tcPr>
            <w:tcW w:w="1078" w:type="dxa"/>
            <w:tcBorders>
              <w:top w:val="single" w:sz="6" w:space="0" w:color="000000"/>
              <w:left w:val="single" w:sz="6" w:space="0" w:color="000000"/>
              <w:bottom w:val="nil"/>
              <w:right w:val="nil"/>
            </w:tcBorders>
          </w:tcPr>
          <w:p w:rsidR="00D36AEF" w:rsidRDefault="00D36AEF"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rsidR="00D36AEF" w:rsidRDefault="00D36AEF"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rsidR="00D36AEF" w:rsidRDefault="00D36AEF" w:rsidP="004F5AE5">
            <w:pPr>
              <w:widowControl/>
              <w:tabs>
                <w:tab w:val="left" w:pos="0"/>
                <w:tab w:val="left" w:pos="720"/>
              </w:tabs>
              <w:spacing w:before="38" w:after="57"/>
              <w:jc w:val="center"/>
              <w:rPr>
                <w:sz w:val="18"/>
                <w:szCs w:val="18"/>
              </w:rPr>
            </w:pPr>
            <w:r>
              <w:rPr>
                <w:sz w:val="18"/>
                <w:szCs w:val="18"/>
              </w:rPr>
              <w:t>2</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Respond to follow-up inquiries from EPA</w:t>
            </w:r>
          </w:p>
        </w:tc>
        <w:tc>
          <w:tcPr>
            <w:tcW w:w="1078" w:type="dxa"/>
            <w:tcBorders>
              <w:top w:val="single" w:sz="6" w:space="0" w:color="000000"/>
              <w:left w:val="single" w:sz="6" w:space="0" w:color="000000"/>
              <w:bottom w:val="nil"/>
              <w:right w:val="nil"/>
            </w:tcBorders>
          </w:tcPr>
          <w:p w:rsidR="00D36AEF" w:rsidRDefault="006239EF"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8</w:t>
            </w:r>
          </w:p>
        </w:tc>
        <w:tc>
          <w:tcPr>
            <w:tcW w:w="1078" w:type="dxa"/>
            <w:tcBorders>
              <w:top w:val="single" w:sz="6" w:space="0" w:color="000000"/>
              <w:left w:val="single" w:sz="6" w:space="0" w:color="000000"/>
              <w:bottom w:val="nil"/>
              <w:right w:val="nil"/>
            </w:tcBorders>
          </w:tcPr>
          <w:p w:rsidR="00D36AEF" w:rsidRDefault="006239EF" w:rsidP="004F5AE5">
            <w:pPr>
              <w:widowControl/>
              <w:tabs>
                <w:tab w:val="left" w:pos="0"/>
                <w:tab w:val="left" w:pos="720"/>
              </w:tabs>
              <w:spacing w:before="38" w:after="57"/>
              <w:jc w:val="center"/>
              <w:rPr>
                <w:sz w:val="18"/>
                <w:szCs w:val="18"/>
              </w:rPr>
            </w:pPr>
            <w:r>
              <w:rPr>
                <w:sz w:val="18"/>
                <w:szCs w:val="18"/>
              </w:rPr>
              <w:t>16</w:t>
            </w:r>
          </w:p>
        </w:tc>
        <w:tc>
          <w:tcPr>
            <w:tcW w:w="1083" w:type="dxa"/>
            <w:tcBorders>
              <w:top w:val="single" w:sz="6" w:space="0" w:color="000000"/>
              <w:left w:val="single" w:sz="6" w:space="0" w:color="000000"/>
              <w:bottom w:val="nil"/>
              <w:right w:val="single" w:sz="6" w:space="0" w:color="000000"/>
            </w:tcBorders>
          </w:tcPr>
          <w:p w:rsidR="00D36AEF" w:rsidRDefault="006239EF" w:rsidP="004F5AE5">
            <w:pPr>
              <w:widowControl/>
              <w:tabs>
                <w:tab w:val="left" w:pos="0"/>
                <w:tab w:val="left" w:pos="720"/>
              </w:tabs>
              <w:spacing w:before="38" w:after="57"/>
              <w:jc w:val="center"/>
              <w:rPr>
                <w:sz w:val="18"/>
                <w:szCs w:val="18"/>
              </w:rPr>
            </w:pPr>
            <w:r>
              <w:rPr>
                <w:sz w:val="18"/>
                <w:szCs w:val="18"/>
              </w:rPr>
              <w:t>24</w:t>
            </w:r>
          </w:p>
        </w:tc>
      </w:tr>
      <w:tr w:rsidR="008A250E" w:rsidTr="004F5AE5">
        <w:trPr>
          <w:cantSplit/>
        </w:trPr>
        <w:tc>
          <w:tcPr>
            <w:tcW w:w="6118" w:type="dxa"/>
            <w:tcBorders>
              <w:top w:val="single" w:sz="6" w:space="0" w:color="000000"/>
              <w:left w:val="single" w:sz="6" w:space="0" w:color="000000"/>
              <w:bottom w:val="nil"/>
              <w:right w:val="nil"/>
            </w:tcBorders>
          </w:tcPr>
          <w:p w:rsidR="008A250E" w:rsidRPr="00EB11C3"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Pr>
                <w:sz w:val="20"/>
                <w:szCs w:val="20"/>
              </w:rPr>
              <w:t xml:space="preserve">    </w:t>
            </w: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all point</w:t>
            </w:r>
            <w:r w:rsidRPr="008A250E">
              <w:rPr>
                <w:b/>
                <w:sz w:val="20"/>
                <w:szCs w:val="20"/>
              </w:rPr>
              <w:t xml:space="preserve"> sources</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16</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142</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158</w:t>
            </w:r>
          </w:p>
        </w:tc>
      </w:tr>
      <w:tr w:rsidR="008A250E" w:rsidTr="004F5AE5">
        <w:trPr>
          <w:cantSplit/>
        </w:trPr>
        <w:tc>
          <w:tcPr>
            <w:tcW w:w="6118" w:type="dxa"/>
            <w:tcBorders>
              <w:top w:val="single" w:sz="6" w:space="0" w:color="000000"/>
              <w:left w:val="single" w:sz="6" w:space="0" w:color="000000"/>
              <w:bottom w:val="nil"/>
              <w:right w:val="nil"/>
            </w:tcBorders>
          </w:tcPr>
          <w:p w:rsid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Pr>
                <w:sz w:val="20"/>
                <w:szCs w:val="20"/>
              </w:rPr>
              <w:t xml:space="preserve">    </w:t>
            </w: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increment 3</w:t>
            </w:r>
            <w:r w:rsidRPr="008A250E">
              <w:rPr>
                <w:b/>
                <w:sz w:val="20"/>
                <w:szCs w:val="20"/>
                <w:vertAlign w:val="superscript"/>
              </w:rPr>
              <w:t>rd</w:t>
            </w:r>
            <w:r>
              <w:rPr>
                <w:b/>
                <w:sz w:val="20"/>
                <w:szCs w:val="20"/>
              </w:rPr>
              <w:t xml:space="preserve"> year</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12</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96</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108</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4F5AE5" w:rsidP="00D9752D">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7. </w:t>
            </w:r>
            <w:r w:rsidR="00D9752D">
              <w:rPr>
                <w:sz w:val="20"/>
                <w:szCs w:val="20"/>
              </w:rPr>
              <w:t xml:space="preserve"> </w:t>
            </w:r>
            <w:r w:rsidR="00D36AEF" w:rsidRPr="00D36AEF">
              <w:rPr>
                <w:sz w:val="20"/>
                <w:szCs w:val="20"/>
              </w:rPr>
              <w:t xml:space="preserve">For State agencies, develop and report statewide inventory for stationary nonpoint, </w:t>
            </w:r>
            <w:proofErr w:type="spellStart"/>
            <w:r w:rsidR="00D36AEF" w:rsidRPr="00D36AEF">
              <w:rPr>
                <w:sz w:val="20"/>
                <w:szCs w:val="20"/>
              </w:rPr>
              <w:t>nonroad</w:t>
            </w:r>
            <w:proofErr w:type="spellEnd"/>
            <w:r w:rsidR="00D36AEF" w:rsidRPr="00D36AEF">
              <w:rPr>
                <w:sz w:val="20"/>
                <w:szCs w:val="20"/>
              </w:rPr>
              <w:t xml:space="preserve"> mobile, and </w:t>
            </w:r>
            <w:proofErr w:type="spellStart"/>
            <w:r w:rsidR="00D36AEF" w:rsidRPr="00D36AEF">
              <w:rPr>
                <w:sz w:val="20"/>
                <w:szCs w:val="20"/>
              </w:rPr>
              <w:t>onroad</w:t>
            </w:r>
            <w:proofErr w:type="spellEnd"/>
            <w:r w:rsidR="00D36AEF" w:rsidRPr="00D36AEF">
              <w:rPr>
                <w:sz w:val="20"/>
                <w:szCs w:val="20"/>
              </w:rPr>
              <w:t xml:space="preserve"> mobile sources for all pollutants </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104</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2,080</w:t>
            </w:r>
          </w:p>
        </w:tc>
        <w:tc>
          <w:tcPr>
            <w:tcW w:w="1083" w:type="dxa"/>
            <w:tcBorders>
              <w:top w:val="single" w:sz="6" w:space="0" w:color="000000"/>
              <w:left w:val="single" w:sz="6" w:space="0" w:color="000000"/>
              <w:bottom w:val="nil"/>
              <w:right w:val="single" w:sz="6" w:space="0" w:color="000000"/>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2,184</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D9752D" w:rsidP="00D9752D">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8.  </w:t>
            </w:r>
            <w:r w:rsidR="00D36AEF" w:rsidRPr="00D36AEF">
              <w:rPr>
                <w:sz w:val="20"/>
                <w:szCs w:val="20"/>
              </w:rPr>
              <w:t xml:space="preserve">For local agencies, develop and report county-level inventories for stationary nonpoint, </w:t>
            </w:r>
            <w:proofErr w:type="spellStart"/>
            <w:r w:rsidR="00D36AEF" w:rsidRPr="00D36AEF">
              <w:rPr>
                <w:sz w:val="20"/>
                <w:szCs w:val="20"/>
              </w:rPr>
              <w:t>nonroad</w:t>
            </w:r>
            <w:proofErr w:type="spellEnd"/>
            <w:r w:rsidR="00D36AEF" w:rsidRPr="00D36AEF">
              <w:rPr>
                <w:sz w:val="20"/>
                <w:szCs w:val="20"/>
              </w:rPr>
              <w:t xml:space="preserve"> mobile, and </w:t>
            </w:r>
            <w:proofErr w:type="spellStart"/>
            <w:r w:rsidR="00D36AEF" w:rsidRPr="00D36AEF">
              <w:rPr>
                <w:sz w:val="20"/>
                <w:szCs w:val="20"/>
              </w:rPr>
              <w:t>onroad</w:t>
            </w:r>
            <w:proofErr w:type="spellEnd"/>
            <w:r w:rsidR="00D36AEF" w:rsidRPr="00D36AEF">
              <w:rPr>
                <w:sz w:val="20"/>
                <w:szCs w:val="20"/>
              </w:rPr>
              <w:t xml:space="preserve"> mobile sources for all pollutants </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52</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1,040</w:t>
            </w:r>
          </w:p>
        </w:tc>
        <w:tc>
          <w:tcPr>
            <w:tcW w:w="1083" w:type="dxa"/>
            <w:tcBorders>
              <w:top w:val="single" w:sz="6" w:space="0" w:color="000000"/>
              <w:left w:val="single" w:sz="6" w:space="0" w:color="000000"/>
              <w:bottom w:val="nil"/>
              <w:right w:val="single" w:sz="6" w:space="0" w:color="000000"/>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1,092</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D9752D" w:rsidP="00D9752D">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9.  </w:t>
            </w:r>
            <w:r w:rsidR="00D36AEF" w:rsidRPr="00D36AEF">
              <w:rPr>
                <w:sz w:val="20"/>
                <w:szCs w:val="20"/>
              </w:rPr>
              <w:t xml:space="preserve">For local agencies, coordinate with State agencies to complete stationary nonpoint, </w:t>
            </w:r>
            <w:proofErr w:type="spellStart"/>
            <w:r w:rsidR="00D36AEF" w:rsidRPr="00D36AEF">
              <w:rPr>
                <w:sz w:val="20"/>
                <w:szCs w:val="20"/>
              </w:rPr>
              <w:t>nonroad</w:t>
            </w:r>
            <w:proofErr w:type="spellEnd"/>
            <w:r w:rsidR="00D36AEF" w:rsidRPr="00D36AEF">
              <w:rPr>
                <w:sz w:val="20"/>
                <w:szCs w:val="20"/>
              </w:rPr>
              <w:t xml:space="preserve"> mobile, and </w:t>
            </w:r>
            <w:proofErr w:type="spellStart"/>
            <w:r w:rsidR="00D36AEF" w:rsidRPr="00D36AEF">
              <w:rPr>
                <w:sz w:val="20"/>
                <w:szCs w:val="20"/>
              </w:rPr>
              <w:t>onroad</w:t>
            </w:r>
            <w:proofErr w:type="spellEnd"/>
            <w:r w:rsidR="00D36AEF" w:rsidRPr="00D36AEF">
              <w:rPr>
                <w:sz w:val="20"/>
                <w:szCs w:val="20"/>
              </w:rPr>
              <w:t xml:space="preserve"> mobile sources for all pollutants  </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4</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80</w:t>
            </w:r>
          </w:p>
        </w:tc>
        <w:tc>
          <w:tcPr>
            <w:tcW w:w="1083" w:type="dxa"/>
            <w:tcBorders>
              <w:top w:val="single" w:sz="6" w:space="0" w:color="000000"/>
              <w:left w:val="single" w:sz="6" w:space="0" w:color="000000"/>
              <w:bottom w:val="nil"/>
              <w:right w:val="single" w:sz="6" w:space="0" w:color="000000"/>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84</w:t>
            </w:r>
          </w:p>
        </w:tc>
      </w:tr>
      <w:tr w:rsidR="00D36AEF" w:rsidTr="004F5AE5">
        <w:trPr>
          <w:cantSplit/>
          <w:trHeight w:val="372"/>
        </w:trPr>
        <w:tc>
          <w:tcPr>
            <w:tcW w:w="9357" w:type="dxa"/>
            <w:gridSpan w:val="4"/>
            <w:tcBorders>
              <w:top w:val="single" w:sz="6" w:space="0" w:color="000000"/>
              <w:left w:val="nil"/>
              <w:bottom w:val="nil"/>
              <w:right w:val="single" w:sz="6" w:space="0" w:color="000000"/>
            </w:tcBorders>
          </w:tcPr>
          <w:p w:rsidR="00D36AEF"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p>
        </w:tc>
      </w:tr>
    </w:tbl>
    <w:p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EB11C3" w:rsidRDefault="00EB11C3" w:rsidP="00EB11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851193" w:rsidRDefault="00851193" w:rsidP="005C7F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193" w:rsidSect="004F5AE5">
          <w:endnotePr>
            <w:numFmt w:val="decimal"/>
          </w:endnotePr>
          <w:type w:val="continuous"/>
          <w:pgSz w:w="12240" w:h="15840"/>
          <w:pgMar w:top="1080" w:right="720" w:bottom="1080" w:left="994" w:header="720" w:footer="1440" w:gutter="0"/>
          <w:cols w:space="720"/>
          <w:noEndnote/>
        </w:sectPr>
      </w:pPr>
    </w:p>
    <w:p w:rsidR="002C01E6" w:rsidRDefault="00851193" w:rsidP="00851193">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proofErr w:type="gramStart"/>
      <w:r>
        <w:rPr>
          <w:rFonts w:ascii="Arial" w:hAnsi="Arial" w:cs="Arial"/>
          <w:b/>
          <w:bCs/>
        </w:rPr>
        <w:lastRenderedPageBreak/>
        <w:t>Table 6-3.</w:t>
      </w:r>
      <w:proofErr w:type="gramEnd"/>
      <w:r>
        <w:rPr>
          <w:rFonts w:ascii="Arial" w:hAnsi="Arial" w:cs="Arial"/>
          <w:b/>
          <w:bCs/>
        </w:rPr>
        <w:t xml:space="preserve">  Annual State Respondent B</w:t>
      </w:r>
      <w:r>
        <w:t xml:space="preserve"> </w:t>
      </w:r>
      <w:fldSimple w:instr="PAGE ">
        <w:r w:rsidR="00C35786">
          <w:rPr>
            <w:noProof/>
          </w:rPr>
          <w:t>15</w:t>
        </w:r>
      </w:fldSimple>
    </w:p>
    <w:p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Table 6-2.</w:t>
      </w:r>
      <w:proofErr w:type="gramEnd"/>
      <w:r>
        <w:rPr>
          <w:rFonts w:ascii="Arial" w:hAnsi="Arial" w:cs="Arial"/>
          <w:b/>
          <w:bCs/>
        </w:rPr>
        <w:t xml:space="preserve">  Annualized Respondent Burden and Cost by Activity</w:t>
      </w:r>
    </w:p>
    <w:p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0" w:type="auto"/>
        <w:tblInd w:w="32" w:type="dxa"/>
        <w:tblLayout w:type="fixed"/>
        <w:tblCellMar>
          <w:left w:w="32" w:type="dxa"/>
          <w:right w:w="32" w:type="dxa"/>
        </w:tblCellMar>
        <w:tblLook w:val="0000"/>
      </w:tblPr>
      <w:tblGrid>
        <w:gridCol w:w="4500"/>
        <w:gridCol w:w="810"/>
        <w:gridCol w:w="810"/>
        <w:gridCol w:w="1080"/>
        <w:gridCol w:w="1170"/>
        <w:gridCol w:w="1080"/>
        <w:gridCol w:w="900"/>
        <w:gridCol w:w="1158"/>
        <w:gridCol w:w="1125"/>
        <w:gridCol w:w="1046"/>
      </w:tblGrid>
      <w:tr w:rsidR="004D5498" w:rsidTr="006215D5">
        <w:tc>
          <w:tcPr>
            <w:tcW w:w="4500" w:type="dxa"/>
            <w:vMerge w:val="restart"/>
            <w:tcBorders>
              <w:top w:val="single" w:sz="2" w:space="0" w:color="000000"/>
              <w:left w:val="single" w:sz="2" w:space="0" w:color="000000"/>
              <w:bottom w:val="nil"/>
              <w:right w:val="nil"/>
            </w:tcBorders>
            <w:vAlign w:val="bottom"/>
          </w:tcPr>
          <w:p w:rsidR="004D5498" w:rsidRDefault="004D5498" w:rsidP="006215D5">
            <w:pPr>
              <w:widowControl/>
              <w:tabs>
                <w:tab w:val="left" w:pos="0"/>
                <w:tab w:val="left" w:pos="720"/>
                <w:tab w:val="left" w:pos="1440"/>
                <w:tab w:val="left" w:pos="2160"/>
                <w:tab w:val="left" w:pos="2880"/>
                <w:tab w:val="left" w:pos="3600"/>
                <w:tab w:val="left" w:pos="4320"/>
              </w:tabs>
              <w:spacing w:before="13"/>
              <w:rPr>
                <w:rFonts w:ascii="Arial" w:hAnsi="Arial" w:cs="Arial"/>
                <w:b/>
                <w:bCs/>
                <w:sz w:val="16"/>
                <w:szCs w:val="16"/>
              </w:rPr>
            </w:pPr>
          </w:p>
          <w:p w:rsidR="004D5498" w:rsidRDefault="004D5498" w:rsidP="006215D5">
            <w:pPr>
              <w:widowControl/>
              <w:tabs>
                <w:tab w:val="left" w:pos="0"/>
                <w:tab w:val="left" w:pos="720"/>
                <w:tab w:val="left" w:pos="1440"/>
                <w:tab w:val="left" w:pos="2160"/>
                <w:tab w:val="left" w:pos="2880"/>
                <w:tab w:val="left" w:pos="3600"/>
                <w:tab w:val="left" w:pos="4320"/>
              </w:tabs>
              <w:spacing w:after="13"/>
              <w:rPr>
                <w:sz w:val="16"/>
                <w:szCs w:val="16"/>
              </w:rPr>
            </w:pPr>
            <w:r>
              <w:rPr>
                <w:rFonts w:ascii="Arial" w:hAnsi="Arial" w:cs="Arial"/>
                <w:b/>
                <w:bCs/>
                <w:sz w:val="16"/>
                <w:szCs w:val="16"/>
              </w:rPr>
              <w:t>Information Collection Activity</w:t>
            </w:r>
          </w:p>
        </w:tc>
        <w:tc>
          <w:tcPr>
            <w:tcW w:w="5850" w:type="dxa"/>
            <w:gridSpan w:val="6"/>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Hours and Costs Per Respondent</w:t>
            </w:r>
          </w:p>
        </w:tc>
        <w:tc>
          <w:tcPr>
            <w:tcW w:w="3329" w:type="dxa"/>
            <w:gridSpan w:val="3"/>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Total Hours and Costs</w:t>
            </w:r>
          </w:p>
        </w:tc>
      </w:tr>
      <w:tr w:rsidR="004D5498" w:rsidTr="006215D5">
        <w:tc>
          <w:tcPr>
            <w:tcW w:w="4500" w:type="dxa"/>
            <w:vMerge/>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Mgr. Hrs/yr @</w:t>
            </w:r>
          </w:p>
          <w:p w:rsidR="004D5498" w:rsidRDefault="004D5498" w:rsidP="00C17BA3">
            <w:pPr>
              <w:widowControl/>
              <w:tabs>
                <w:tab w:val="left" w:pos="0"/>
                <w:tab w:val="left" w:pos="720"/>
              </w:tabs>
              <w:spacing w:after="13"/>
              <w:jc w:val="center"/>
              <w:rPr>
                <w:sz w:val="16"/>
                <w:szCs w:val="16"/>
              </w:rPr>
            </w:pPr>
            <w:r>
              <w:rPr>
                <w:rFonts w:ascii="Arial" w:hAnsi="Arial" w:cs="Arial"/>
                <w:sz w:val="16"/>
                <w:szCs w:val="16"/>
              </w:rPr>
              <w:t>$</w:t>
            </w:r>
            <w:r w:rsidR="00C17BA3">
              <w:rPr>
                <w:rFonts w:ascii="Arial" w:hAnsi="Arial" w:cs="Arial"/>
                <w:sz w:val="16"/>
                <w:szCs w:val="16"/>
              </w:rPr>
              <w:t>87.78</w:t>
            </w:r>
            <w:r>
              <w:rPr>
                <w:rFonts w:ascii="Arial" w:hAnsi="Arial" w:cs="Arial"/>
                <w:sz w:val="16"/>
                <w:szCs w:val="16"/>
              </w:rPr>
              <w:t>/Hr</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Tech. Hrs/yr @</w:t>
            </w:r>
          </w:p>
          <w:p w:rsidR="004D5498" w:rsidRDefault="004D5498" w:rsidP="00C17BA3">
            <w:pPr>
              <w:widowControl/>
              <w:tabs>
                <w:tab w:val="left" w:pos="0"/>
                <w:tab w:val="left" w:pos="720"/>
              </w:tabs>
              <w:spacing w:after="13"/>
              <w:jc w:val="center"/>
              <w:rPr>
                <w:sz w:val="16"/>
                <w:szCs w:val="16"/>
              </w:rPr>
            </w:pPr>
            <w:r>
              <w:rPr>
                <w:rFonts w:ascii="Arial" w:hAnsi="Arial" w:cs="Arial"/>
                <w:sz w:val="16"/>
                <w:szCs w:val="16"/>
              </w:rPr>
              <w:t>$</w:t>
            </w:r>
            <w:r w:rsidR="00C17BA3">
              <w:rPr>
                <w:rFonts w:ascii="Arial" w:hAnsi="Arial" w:cs="Arial"/>
                <w:sz w:val="16"/>
                <w:szCs w:val="16"/>
              </w:rPr>
              <w:t>66</w:t>
            </w:r>
            <w:r w:rsidRPr="006102ED">
              <w:rPr>
                <w:rFonts w:ascii="Arial" w:hAnsi="Arial" w:cs="Arial"/>
                <w:sz w:val="16"/>
                <w:szCs w:val="16"/>
              </w:rPr>
              <w:t>.60</w:t>
            </w:r>
            <w:r>
              <w:rPr>
                <w:rFonts w:ascii="Arial" w:hAnsi="Arial" w:cs="Arial"/>
                <w:sz w:val="16"/>
                <w:szCs w:val="16"/>
              </w:rPr>
              <w:t>/Hr</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Respondent</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p>
        </w:tc>
        <w:tc>
          <w:tcPr>
            <w:tcW w:w="117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Labor</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p>
        </w:tc>
        <w:tc>
          <w:tcPr>
            <w:tcW w:w="1080" w:type="dxa"/>
            <w:tcBorders>
              <w:top w:val="single" w:sz="2" w:space="0" w:color="000000"/>
              <w:left w:val="single" w:sz="2" w:space="0" w:color="000000"/>
              <w:bottom w:val="nil"/>
              <w:right w:val="nil"/>
            </w:tcBorders>
          </w:tcPr>
          <w:p w:rsidR="004D5498" w:rsidRPr="00B71ACD" w:rsidRDefault="004D5498" w:rsidP="00B71ACD">
            <w:pPr>
              <w:widowControl/>
              <w:tabs>
                <w:tab w:val="left" w:pos="0"/>
                <w:tab w:val="left" w:pos="720"/>
              </w:tabs>
              <w:spacing w:before="13"/>
              <w:jc w:val="center"/>
              <w:rPr>
                <w:rFonts w:ascii="Arial" w:hAnsi="Arial" w:cs="Arial"/>
                <w:sz w:val="16"/>
                <w:szCs w:val="16"/>
              </w:rPr>
            </w:pPr>
            <w:r>
              <w:rPr>
                <w:rFonts w:ascii="Arial" w:hAnsi="Arial" w:cs="Arial"/>
                <w:sz w:val="16"/>
                <w:szCs w:val="16"/>
              </w:rPr>
              <w:t>Capital Cost</w:t>
            </w: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O &amp; M</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Number of</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Respondents</w:t>
            </w:r>
          </w:p>
        </w:tc>
        <w:tc>
          <w:tcPr>
            <w:tcW w:w="1125"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r>
              <w:rPr>
                <w:rFonts w:ascii="Arial" w:hAnsi="Arial" w:cs="Arial"/>
                <w:sz w:val="16"/>
                <w:szCs w:val="16"/>
                <w:vertAlign w:val="superscript"/>
              </w:rPr>
              <w:t>1</w:t>
            </w:r>
          </w:p>
        </w:tc>
        <w:tc>
          <w:tcPr>
            <w:tcW w:w="1046" w:type="dxa"/>
            <w:tcBorders>
              <w:top w:val="single" w:sz="2" w:space="0" w:color="000000"/>
              <w:left w:val="single" w:sz="2" w:space="0" w:color="000000"/>
              <w:bottom w:val="nil"/>
              <w:right w:val="single" w:sz="2" w:space="0" w:color="000000"/>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r>
              <w:rPr>
                <w:rFonts w:ascii="Arial" w:hAnsi="Arial" w:cs="Arial"/>
                <w:sz w:val="16"/>
                <w:szCs w:val="16"/>
                <w:vertAlign w:val="superscript"/>
              </w:rPr>
              <w:t>2</w:t>
            </w:r>
          </w:p>
        </w:tc>
      </w:tr>
      <w:tr w:rsidR="004D5498" w:rsidTr="006215D5">
        <w:tc>
          <w:tcPr>
            <w:tcW w:w="13679" w:type="dxa"/>
            <w:gridSpan w:val="10"/>
            <w:tcBorders>
              <w:top w:val="single" w:sz="2" w:space="0" w:color="000000"/>
              <w:left w:val="single" w:sz="2" w:space="0" w:color="000000"/>
              <w:bottom w:val="nil"/>
              <w:right w:val="single" w:sz="2" w:space="0" w:color="000000"/>
            </w:tcBorders>
            <w:shd w:val="pct70" w:color="FFFF00" w:fill="FFFFFF"/>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Annual</w:t>
            </w:r>
          </w:p>
        </w:tc>
      </w:tr>
      <w:tr w:rsidR="004D5498" w:rsidTr="006215D5">
        <w:tc>
          <w:tcPr>
            <w:tcW w:w="45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Submit Type A point sources</w:t>
            </w:r>
          </w:p>
        </w:tc>
        <w:tc>
          <w:tcPr>
            <w:tcW w:w="810"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4</w:t>
            </w:r>
            <w:r w:rsidR="004D5498">
              <w:rPr>
                <w:rFonts w:ascii="Arial" w:hAnsi="Arial" w:cs="Arial"/>
                <w:sz w:val="16"/>
                <w:szCs w:val="16"/>
              </w:rPr>
              <w:t>.00</w:t>
            </w:r>
          </w:p>
        </w:tc>
        <w:tc>
          <w:tcPr>
            <w:tcW w:w="810"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46</w:t>
            </w:r>
            <w:r w:rsidR="004D5498">
              <w:rPr>
                <w:rFonts w:ascii="Arial" w:hAnsi="Arial" w:cs="Arial"/>
                <w:sz w:val="16"/>
                <w:szCs w:val="16"/>
              </w:rPr>
              <w:t>.00</w:t>
            </w:r>
          </w:p>
        </w:tc>
        <w:tc>
          <w:tcPr>
            <w:tcW w:w="1080" w:type="dxa"/>
            <w:tcBorders>
              <w:top w:val="single" w:sz="2" w:space="0" w:color="000000"/>
              <w:left w:val="single" w:sz="2" w:space="0" w:color="000000"/>
              <w:bottom w:val="nil"/>
              <w:right w:val="nil"/>
            </w:tcBorders>
          </w:tcPr>
          <w:p w:rsidR="004D5498" w:rsidRDefault="00D97319" w:rsidP="00D97319">
            <w:pPr>
              <w:widowControl/>
              <w:tabs>
                <w:tab w:val="left" w:pos="0"/>
                <w:tab w:val="left" w:pos="720"/>
              </w:tabs>
              <w:spacing w:before="13" w:after="13"/>
              <w:jc w:val="right"/>
              <w:rPr>
                <w:sz w:val="16"/>
                <w:szCs w:val="16"/>
              </w:rPr>
            </w:pPr>
            <w:r>
              <w:rPr>
                <w:rFonts w:ascii="Arial" w:hAnsi="Arial" w:cs="Arial"/>
                <w:sz w:val="16"/>
                <w:szCs w:val="16"/>
              </w:rPr>
              <w:t>5</w:t>
            </w:r>
            <w:r w:rsidR="004D5498">
              <w:rPr>
                <w:rFonts w:ascii="Arial" w:hAnsi="Arial" w:cs="Arial"/>
                <w:sz w:val="16"/>
                <w:szCs w:val="16"/>
              </w:rPr>
              <w:t>0.00</w:t>
            </w:r>
          </w:p>
        </w:tc>
        <w:tc>
          <w:tcPr>
            <w:tcW w:w="1170" w:type="dxa"/>
            <w:tcBorders>
              <w:top w:val="single" w:sz="2" w:space="0" w:color="000000"/>
              <w:left w:val="single" w:sz="2" w:space="0" w:color="000000"/>
              <w:bottom w:val="nil"/>
              <w:right w:val="nil"/>
            </w:tcBorders>
          </w:tcPr>
          <w:p w:rsidR="004D5498" w:rsidRDefault="00604302" w:rsidP="006215D5">
            <w:pPr>
              <w:widowControl/>
              <w:tabs>
                <w:tab w:val="left" w:pos="0"/>
                <w:tab w:val="left" w:pos="720"/>
              </w:tabs>
              <w:spacing w:before="13" w:after="13"/>
              <w:jc w:val="right"/>
              <w:rPr>
                <w:sz w:val="16"/>
                <w:szCs w:val="16"/>
              </w:rPr>
            </w:pPr>
            <w:r>
              <w:rPr>
                <w:rFonts w:ascii="Arial" w:hAnsi="Arial" w:cs="Arial"/>
                <w:sz w:val="16"/>
                <w:szCs w:val="16"/>
              </w:rPr>
              <w:t>3,415</w:t>
            </w:r>
          </w:p>
        </w:tc>
        <w:tc>
          <w:tcPr>
            <w:tcW w:w="1080" w:type="dxa"/>
            <w:tcBorders>
              <w:top w:val="single" w:sz="2" w:space="0" w:color="000000"/>
              <w:left w:val="single" w:sz="2" w:space="0" w:color="000000"/>
              <w:bottom w:val="nil"/>
              <w:right w:val="nil"/>
            </w:tcBorders>
          </w:tcPr>
          <w:p w:rsidR="004D5498" w:rsidRDefault="00D97319" w:rsidP="00B71ACD">
            <w:pPr>
              <w:widowControl/>
              <w:tabs>
                <w:tab w:val="left" w:pos="0"/>
                <w:tab w:val="left" w:pos="720"/>
              </w:tabs>
              <w:spacing w:before="13" w:after="13"/>
              <w:jc w:val="right"/>
              <w:rPr>
                <w:sz w:val="16"/>
                <w:szCs w:val="16"/>
              </w:rPr>
            </w:pPr>
            <w:r>
              <w:rPr>
                <w:rFonts w:ascii="Arial" w:hAnsi="Arial" w:cs="Arial"/>
                <w:sz w:val="16"/>
                <w:szCs w:val="16"/>
              </w:rPr>
              <w:t>104,000</w:t>
            </w:r>
            <w:r w:rsidR="00B71ACD">
              <w:rPr>
                <w:rFonts w:ascii="Arial" w:hAnsi="Arial" w:cs="Arial"/>
                <w:sz w:val="16"/>
                <w:szCs w:val="16"/>
                <w:vertAlign w:val="superscript"/>
              </w:rPr>
              <w:t>3</w:t>
            </w:r>
          </w:p>
        </w:tc>
        <w:tc>
          <w:tcPr>
            <w:tcW w:w="900" w:type="dxa"/>
            <w:tcBorders>
              <w:top w:val="single" w:sz="2" w:space="0" w:color="000000"/>
              <w:left w:val="single" w:sz="2" w:space="0" w:color="000000"/>
              <w:bottom w:val="nil"/>
              <w:right w:val="nil"/>
            </w:tcBorders>
          </w:tcPr>
          <w:p w:rsidR="004D5498" w:rsidRDefault="004D5498" w:rsidP="00B71ACD">
            <w:pPr>
              <w:widowControl/>
              <w:tabs>
                <w:tab w:val="left" w:pos="0"/>
                <w:tab w:val="left" w:pos="720"/>
              </w:tabs>
              <w:spacing w:before="13" w:after="13"/>
              <w:jc w:val="right"/>
              <w:rPr>
                <w:sz w:val="16"/>
                <w:szCs w:val="16"/>
              </w:rPr>
            </w:pPr>
            <w:r>
              <w:rPr>
                <w:rFonts w:ascii="Arial" w:hAnsi="Arial" w:cs="Arial"/>
                <w:sz w:val="16"/>
                <w:szCs w:val="16"/>
              </w:rPr>
              <w:t>12,480</w:t>
            </w:r>
            <w:r w:rsidR="00B71ACD" w:rsidRPr="00B71ACD">
              <w:rPr>
                <w:rFonts w:ascii="Arial" w:hAnsi="Arial" w:cs="Arial"/>
                <w:sz w:val="16"/>
                <w:szCs w:val="16"/>
                <w:vertAlign w:val="superscript"/>
              </w:rPr>
              <w:t>3</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104</w:t>
            </w:r>
          </w:p>
        </w:tc>
        <w:tc>
          <w:tcPr>
            <w:tcW w:w="1125"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5,200</w:t>
            </w:r>
          </w:p>
        </w:tc>
        <w:tc>
          <w:tcPr>
            <w:tcW w:w="1046" w:type="dxa"/>
            <w:tcBorders>
              <w:top w:val="single" w:sz="2" w:space="0" w:color="000000"/>
              <w:left w:val="single" w:sz="2" w:space="0" w:color="000000"/>
              <w:bottom w:val="nil"/>
              <w:right w:val="single" w:sz="2" w:space="0" w:color="000000"/>
            </w:tcBorders>
          </w:tcPr>
          <w:p w:rsidR="004D5498" w:rsidRDefault="00604302" w:rsidP="006215D5">
            <w:pPr>
              <w:widowControl/>
              <w:tabs>
                <w:tab w:val="left" w:pos="0"/>
                <w:tab w:val="left" w:pos="720"/>
              </w:tabs>
              <w:spacing w:before="13" w:after="13"/>
              <w:jc w:val="right"/>
              <w:rPr>
                <w:sz w:val="16"/>
                <w:szCs w:val="16"/>
              </w:rPr>
            </w:pPr>
            <w:r>
              <w:rPr>
                <w:rFonts w:ascii="Arial" w:hAnsi="Arial" w:cs="Arial"/>
                <w:sz w:val="16"/>
                <w:szCs w:val="16"/>
              </w:rPr>
              <w:t>471,640</w:t>
            </w:r>
          </w:p>
        </w:tc>
      </w:tr>
      <w:tr w:rsidR="004D5498" w:rsidTr="006215D5">
        <w:tc>
          <w:tcPr>
            <w:tcW w:w="13679" w:type="dxa"/>
            <w:gridSpan w:val="10"/>
            <w:tcBorders>
              <w:top w:val="single" w:sz="2" w:space="0" w:color="000000"/>
              <w:left w:val="single" w:sz="2" w:space="0" w:color="000000"/>
              <w:bottom w:val="nil"/>
              <w:right w:val="single" w:sz="2" w:space="0" w:color="000000"/>
            </w:tcBorders>
            <w:shd w:val="pct70" w:color="FFFF00" w:fill="FFFFFF"/>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Triennial</w:t>
            </w:r>
            <w:r w:rsidR="00FF7074">
              <w:rPr>
                <w:rFonts w:ascii="Arial" w:hAnsi="Arial" w:cs="Arial"/>
                <w:b/>
                <w:bCs/>
                <w:i/>
                <w:iCs/>
                <w:sz w:val="16"/>
                <w:szCs w:val="16"/>
              </w:rPr>
              <w:t xml:space="preserve"> (triennial hours from Table 6-1 divided by 3 to annualize)</w:t>
            </w:r>
          </w:p>
        </w:tc>
      </w:tr>
      <w:tr w:rsidR="004D5498" w:rsidTr="006215D5">
        <w:tc>
          <w:tcPr>
            <w:tcW w:w="4500" w:type="dxa"/>
            <w:tcBorders>
              <w:top w:val="single" w:sz="2" w:space="0" w:color="000000"/>
              <w:left w:val="single" w:sz="2" w:space="0" w:color="000000"/>
              <w:bottom w:val="nil"/>
              <w:right w:val="nil"/>
            </w:tcBorders>
          </w:tcPr>
          <w:p w:rsidR="004D5498" w:rsidRDefault="004D5498" w:rsidP="00D97319">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Submit </w:t>
            </w:r>
            <w:r w:rsidR="00D97319">
              <w:rPr>
                <w:rFonts w:ascii="Arial" w:hAnsi="Arial" w:cs="Arial"/>
                <w:sz w:val="16"/>
                <w:szCs w:val="16"/>
              </w:rPr>
              <w:t>Type B</w:t>
            </w:r>
            <w:r>
              <w:rPr>
                <w:rFonts w:ascii="Arial" w:hAnsi="Arial" w:cs="Arial"/>
                <w:sz w:val="16"/>
                <w:szCs w:val="16"/>
              </w:rPr>
              <w:t xml:space="preserve"> point sources</w:t>
            </w:r>
            <w:r w:rsidR="00D97319">
              <w:rPr>
                <w:rFonts w:ascii="Arial" w:hAnsi="Arial" w:cs="Arial"/>
                <w:sz w:val="16"/>
                <w:szCs w:val="16"/>
              </w:rPr>
              <w:t xml:space="preserve"> (increment above Type A)</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4</w:t>
            </w:r>
            <w:r w:rsidR="004D5498">
              <w:rPr>
                <w:rFonts w:ascii="Arial" w:hAnsi="Arial" w:cs="Arial"/>
                <w:sz w:val="16"/>
                <w:szCs w:val="16"/>
              </w:rPr>
              <w:t>.00</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32</w:t>
            </w:r>
            <w:r w:rsidR="00D97319">
              <w:rPr>
                <w:rFonts w:ascii="Arial" w:hAnsi="Arial" w:cs="Arial"/>
                <w:sz w:val="16"/>
                <w:szCs w:val="16"/>
              </w:rPr>
              <w:t>.00</w:t>
            </w:r>
          </w:p>
        </w:tc>
        <w:tc>
          <w:tcPr>
            <w:tcW w:w="108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36</w:t>
            </w:r>
            <w:r w:rsidR="00D97319">
              <w:rPr>
                <w:rFonts w:ascii="Arial" w:hAnsi="Arial" w:cs="Arial"/>
                <w:sz w:val="16"/>
                <w:szCs w:val="16"/>
              </w:rPr>
              <w:t>.00</w:t>
            </w:r>
          </w:p>
        </w:tc>
        <w:tc>
          <w:tcPr>
            <w:tcW w:w="1170" w:type="dxa"/>
            <w:tcBorders>
              <w:top w:val="single" w:sz="2" w:space="0" w:color="000000"/>
              <w:left w:val="single" w:sz="2" w:space="0" w:color="000000"/>
              <w:bottom w:val="nil"/>
              <w:right w:val="nil"/>
            </w:tcBorders>
          </w:tcPr>
          <w:p w:rsidR="004D5498" w:rsidRDefault="00604302" w:rsidP="006215D5">
            <w:pPr>
              <w:widowControl/>
              <w:tabs>
                <w:tab w:val="left" w:pos="0"/>
                <w:tab w:val="left" w:pos="720"/>
              </w:tabs>
              <w:spacing w:before="13" w:after="13"/>
              <w:jc w:val="right"/>
              <w:rPr>
                <w:sz w:val="16"/>
                <w:szCs w:val="16"/>
              </w:rPr>
            </w:pPr>
            <w:r>
              <w:rPr>
                <w:sz w:val="16"/>
                <w:szCs w:val="16"/>
              </w:rPr>
              <w:t>2,482</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104</w:t>
            </w:r>
          </w:p>
        </w:tc>
        <w:tc>
          <w:tcPr>
            <w:tcW w:w="1125" w:type="dxa"/>
            <w:tcBorders>
              <w:top w:val="single" w:sz="2" w:space="0" w:color="000000"/>
              <w:left w:val="single" w:sz="2" w:space="0" w:color="000000"/>
              <w:bottom w:val="nil"/>
              <w:right w:val="nil"/>
            </w:tcBorders>
          </w:tcPr>
          <w:p w:rsidR="004D5498" w:rsidRPr="003C0560" w:rsidRDefault="009D0F37" w:rsidP="006215D5">
            <w:pPr>
              <w:widowControl/>
              <w:tabs>
                <w:tab w:val="left" w:pos="0"/>
                <w:tab w:val="left" w:pos="720"/>
              </w:tabs>
              <w:spacing w:before="13" w:after="13"/>
              <w:jc w:val="right"/>
              <w:rPr>
                <w:rFonts w:ascii="Arial" w:hAnsi="Arial" w:cs="Arial"/>
                <w:sz w:val="16"/>
                <w:szCs w:val="16"/>
              </w:rPr>
            </w:pPr>
            <w:r w:rsidRPr="003C0560">
              <w:rPr>
                <w:rFonts w:ascii="Arial" w:hAnsi="Arial" w:cs="Arial"/>
                <w:sz w:val="16"/>
                <w:szCs w:val="16"/>
              </w:rPr>
              <w:t>3,744</w:t>
            </w:r>
          </w:p>
        </w:tc>
        <w:tc>
          <w:tcPr>
            <w:tcW w:w="1046" w:type="dxa"/>
            <w:tcBorders>
              <w:top w:val="single" w:sz="2" w:space="0" w:color="000000"/>
              <w:left w:val="single" w:sz="2" w:space="0" w:color="000000"/>
              <w:bottom w:val="nil"/>
              <w:right w:val="single" w:sz="2" w:space="0" w:color="000000"/>
            </w:tcBorders>
          </w:tcPr>
          <w:p w:rsidR="004D5498" w:rsidRDefault="00604302" w:rsidP="006215D5">
            <w:pPr>
              <w:widowControl/>
              <w:tabs>
                <w:tab w:val="left" w:pos="0"/>
                <w:tab w:val="left" w:pos="720"/>
              </w:tabs>
              <w:spacing w:before="13" w:after="13"/>
              <w:jc w:val="right"/>
              <w:rPr>
                <w:sz w:val="16"/>
                <w:szCs w:val="16"/>
              </w:rPr>
            </w:pPr>
            <w:r>
              <w:rPr>
                <w:rFonts w:ascii="Arial" w:hAnsi="Arial" w:cs="Arial"/>
                <w:sz w:val="16"/>
                <w:szCs w:val="16"/>
              </w:rPr>
              <w:t>258,128</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state agencies, develop and report statewide inventory for stationary nonpoint, </w:t>
            </w:r>
            <w:proofErr w:type="spellStart"/>
            <w:r>
              <w:rPr>
                <w:rFonts w:ascii="Arial" w:hAnsi="Arial" w:cs="Arial"/>
                <w:sz w:val="16"/>
                <w:szCs w:val="16"/>
              </w:rPr>
              <w:t>onroad</w:t>
            </w:r>
            <w:proofErr w:type="spellEnd"/>
            <w:r>
              <w:rPr>
                <w:rFonts w:ascii="Arial" w:hAnsi="Arial" w:cs="Arial"/>
                <w:sz w:val="16"/>
                <w:szCs w:val="16"/>
              </w:rPr>
              <w:t xml:space="preserve"> mobile, and </w:t>
            </w:r>
            <w:proofErr w:type="spellStart"/>
            <w:r w:rsidR="002F79DA">
              <w:rPr>
                <w:rFonts w:ascii="Arial" w:hAnsi="Arial" w:cs="Arial"/>
                <w:sz w:val="16"/>
                <w:szCs w:val="16"/>
              </w:rPr>
              <w:t>n</w:t>
            </w:r>
            <w:r>
              <w:rPr>
                <w:rFonts w:ascii="Arial" w:hAnsi="Arial" w:cs="Arial"/>
                <w:sz w:val="16"/>
                <w:szCs w:val="16"/>
              </w:rPr>
              <w:t>onroad</w:t>
            </w:r>
            <w:proofErr w:type="spellEnd"/>
            <w:r>
              <w:rPr>
                <w:rFonts w:ascii="Arial" w:hAnsi="Arial" w:cs="Arial"/>
                <w:sz w:val="16"/>
                <w:szCs w:val="16"/>
              </w:rPr>
              <w:t xml:space="preserve"> mobile sources</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34.67</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693.33</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728.0</w:t>
            </w:r>
          </w:p>
        </w:tc>
        <w:tc>
          <w:tcPr>
            <w:tcW w:w="1170"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sz w:val="16"/>
                <w:szCs w:val="16"/>
              </w:rPr>
              <w:t>49,219</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55</w:t>
            </w:r>
          </w:p>
        </w:tc>
        <w:tc>
          <w:tcPr>
            <w:tcW w:w="1125"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40,040</w:t>
            </w:r>
          </w:p>
        </w:tc>
        <w:tc>
          <w:tcPr>
            <w:tcW w:w="1046" w:type="dxa"/>
            <w:tcBorders>
              <w:top w:val="single" w:sz="2" w:space="0" w:color="000000"/>
              <w:left w:val="single" w:sz="2" w:space="0" w:color="000000"/>
              <w:bottom w:val="nil"/>
              <w:right w:val="single" w:sz="2" w:space="0" w:color="000000"/>
            </w:tcBorders>
          </w:tcPr>
          <w:p w:rsidR="004D5498" w:rsidRDefault="004D5498" w:rsidP="003C0560">
            <w:pPr>
              <w:widowControl/>
              <w:tabs>
                <w:tab w:val="left" w:pos="0"/>
                <w:tab w:val="left" w:pos="720"/>
              </w:tabs>
              <w:spacing w:before="13" w:after="13"/>
              <w:jc w:val="right"/>
              <w:rPr>
                <w:sz w:val="16"/>
                <w:szCs w:val="16"/>
              </w:rPr>
            </w:pPr>
            <w:r>
              <w:rPr>
                <w:rFonts w:ascii="Arial" w:hAnsi="Arial" w:cs="Arial"/>
                <w:sz w:val="16"/>
                <w:szCs w:val="16"/>
              </w:rPr>
              <w:t>2,</w:t>
            </w:r>
            <w:r w:rsidR="003C0560">
              <w:rPr>
                <w:rFonts w:ascii="Arial" w:hAnsi="Arial" w:cs="Arial"/>
                <w:sz w:val="16"/>
                <w:szCs w:val="16"/>
              </w:rPr>
              <w:t>707,045</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local agencies, develop and report county-level inventories for stationary nonpoint, </w:t>
            </w:r>
            <w:proofErr w:type="spellStart"/>
            <w:r>
              <w:rPr>
                <w:rFonts w:ascii="Arial" w:hAnsi="Arial" w:cs="Arial"/>
                <w:sz w:val="16"/>
                <w:szCs w:val="16"/>
              </w:rPr>
              <w:t>onroad</w:t>
            </w:r>
            <w:proofErr w:type="spellEnd"/>
            <w:r>
              <w:rPr>
                <w:rFonts w:ascii="Arial" w:hAnsi="Arial" w:cs="Arial"/>
                <w:sz w:val="16"/>
                <w:szCs w:val="16"/>
              </w:rPr>
              <w:t xml:space="preserve"> mobile, and </w:t>
            </w:r>
            <w:proofErr w:type="spellStart"/>
            <w:r w:rsidR="002F79DA">
              <w:rPr>
                <w:rFonts w:ascii="Arial" w:hAnsi="Arial" w:cs="Arial"/>
                <w:sz w:val="16"/>
                <w:szCs w:val="16"/>
              </w:rPr>
              <w:t>n</w:t>
            </w:r>
            <w:r>
              <w:rPr>
                <w:rFonts w:ascii="Arial" w:hAnsi="Arial" w:cs="Arial"/>
                <w:sz w:val="16"/>
                <w:szCs w:val="16"/>
              </w:rPr>
              <w:t>onroad</w:t>
            </w:r>
            <w:proofErr w:type="spellEnd"/>
            <w:r>
              <w:rPr>
                <w:rFonts w:ascii="Arial" w:hAnsi="Arial" w:cs="Arial"/>
                <w:sz w:val="16"/>
                <w:szCs w:val="16"/>
              </w:rPr>
              <w:t xml:space="preserve"> mobile sources</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17.33</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346.67</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364.0</w:t>
            </w:r>
          </w:p>
        </w:tc>
        <w:tc>
          <w:tcPr>
            <w:tcW w:w="1170"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24,609</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49</w:t>
            </w:r>
          </w:p>
        </w:tc>
        <w:tc>
          <w:tcPr>
            <w:tcW w:w="1125"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17,836</w:t>
            </w:r>
          </w:p>
        </w:tc>
        <w:tc>
          <w:tcPr>
            <w:tcW w:w="1046" w:type="dxa"/>
            <w:tcBorders>
              <w:top w:val="single" w:sz="2" w:space="0" w:color="000000"/>
              <w:left w:val="single" w:sz="2" w:space="0" w:color="000000"/>
              <w:bottom w:val="nil"/>
              <w:right w:val="single" w:sz="2" w:space="0" w:color="000000"/>
            </w:tcBorders>
          </w:tcPr>
          <w:p w:rsidR="004D5498" w:rsidRDefault="003C0560" w:rsidP="006215D5">
            <w:pPr>
              <w:widowControl/>
              <w:tabs>
                <w:tab w:val="left" w:pos="0"/>
                <w:tab w:val="left" w:pos="720"/>
              </w:tabs>
              <w:spacing w:before="13" w:after="13"/>
              <w:jc w:val="right"/>
              <w:rPr>
                <w:sz w:val="16"/>
                <w:szCs w:val="16"/>
              </w:rPr>
            </w:pPr>
            <w:r>
              <w:rPr>
                <w:rFonts w:ascii="Arial" w:hAnsi="Arial" w:cs="Arial"/>
                <w:sz w:val="16"/>
                <w:szCs w:val="16"/>
              </w:rPr>
              <w:t>1,205,841</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local agencies, coordinate with State agencies to complete stationary nonpoint, </w:t>
            </w:r>
            <w:proofErr w:type="spellStart"/>
            <w:r>
              <w:rPr>
                <w:rFonts w:ascii="Arial" w:hAnsi="Arial" w:cs="Arial"/>
                <w:sz w:val="16"/>
                <w:szCs w:val="16"/>
              </w:rPr>
              <w:t>onroad</w:t>
            </w:r>
            <w:proofErr w:type="spellEnd"/>
            <w:r>
              <w:rPr>
                <w:rFonts w:ascii="Arial" w:hAnsi="Arial" w:cs="Arial"/>
                <w:sz w:val="16"/>
                <w:szCs w:val="16"/>
              </w:rPr>
              <w:t xml:space="preserve"> mobile, and </w:t>
            </w:r>
            <w:proofErr w:type="spellStart"/>
            <w:r w:rsidR="002F79DA">
              <w:rPr>
                <w:rFonts w:ascii="Arial" w:hAnsi="Arial" w:cs="Arial"/>
                <w:sz w:val="16"/>
                <w:szCs w:val="16"/>
              </w:rPr>
              <w:t>n</w:t>
            </w:r>
            <w:r>
              <w:rPr>
                <w:rFonts w:ascii="Arial" w:hAnsi="Arial" w:cs="Arial"/>
                <w:sz w:val="16"/>
                <w:szCs w:val="16"/>
              </w:rPr>
              <w:t>onroad</w:t>
            </w:r>
            <w:proofErr w:type="spellEnd"/>
            <w:r>
              <w:rPr>
                <w:rFonts w:ascii="Arial" w:hAnsi="Arial" w:cs="Arial"/>
                <w:sz w:val="16"/>
                <w:szCs w:val="16"/>
              </w:rPr>
              <w:t xml:space="preserve"> mobile sources</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1.33</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26.67</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28.0</w:t>
            </w:r>
          </w:p>
        </w:tc>
        <w:tc>
          <w:tcPr>
            <w:tcW w:w="1170"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1,893</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49</w:t>
            </w:r>
          </w:p>
        </w:tc>
        <w:tc>
          <w:tcPr>
            <w:tcW w:w="1125"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1,372</w:t>
            </w:r>
          </w:p>
        </w:tc>
        <w:tc>
          <w:tcPr>
            <w:tcW w:w="1046" w:type="dxa"/>
            <w:tcBorders>
              <w:top w:val="single" w:sz="2" w:space="0" w:color="000000"/>
              <w:left w:val="single" w:sz="2" w:space="0" w:color="000000"/>
              <w:bottom w:val="nil"/>
              <w:right w:val="single" w:sz="2" w:space="0" w:color="000000"/>
            </w:tcBorders>
          </w:tcPr>
          <w:p w:rsidR="004D5498" w:rsidRDefault="003C0560" w:rsidP="006215D5">
            <w:pPr>
              <w:widowControl/>
              <w:tabs>
                <w:tab w:val="left" w:pos="0"/>
                <w:tab w:val="left" w:pos="720"/>
              </w:tabs>
              <w:spacing w:before="13" w:after="13"/>
              <w:jc w:val="right"/>
              <w:rPr>
                <w:sz w:val="16"/>
                <w:szCs w:val="16"/>
              </w:rPr>
            </w:pPr>
            <w:r>
              <w:rPr>
                <w:rFonts w:ascii="Arial" w:hAnsi="Arial" w:cs="Arial"/>
                <w:sz w:val="16"/>
                <w:szCs w:val="16"/>
              </w:rPr>
              <w:t>92,757</w:t>
            </w:r>
          </w:p>
        </w:tc>
      </w:tr>
      <w:tr w:rsidR="004D5498" w:rsidTr="006215D5">
        <w:tc>
          <w:tcPr>
            <w:tcW w:w="45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sz w:val="16"/>
                <w:szCs w:val="16"/>
              </w:rPr>
              <w:t>Total</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61</w:t>
            </w:r>
            <w:r w:rsidR="00FF7074">
              <w:rPr>
                <w:rFonts w:ascii="Arial" w:hAnsi="Arial" w:cs="Arial"/>
                <w:sz w:val="16"/>
                <w:szCs w:val="16"/>
              </w:rPr>
              <w:t>.33</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1144.67</w:t>
            </w:r>
          </w:p>
        </w:tc>
        <w:tc>
          <w:tcPr>
            <w:tcW w:w="1080" w:type="dxa"/>
            <w:tcBorders>
              <w:top w:val="single" w:sz="2" w:space="0" w:color="000000"/>
              <w:left w:val="single" w:sz="2" w:space="0" w:color="000000"/>
              <w:bottom w:val="nil"/>
              <w:right w:val="nil"/>
            </w:tcBorders>
          </w:tcPr>
          <w:p w:rsidR="004D5498" w:rsidRDefault="004D5498" w:rsidP="00FF7074">
            <w:pPr>
              <w:widowControl/>
              <w:tabs>
                <w:tab w:val="left" w:pos="0"/>
                <w:tab w:val="left" w:pos="720"/>
              </w:tabs>
              <w:spacing w:before="13" w:after="13"/>
              <w:jc w:val="right"/>
              <w:rPr>
                <w:sz w:val="16"/>
                <w:szCs w:val="16"/>
              </w:rPr>
            </w:pPr>
            <w:r>
              <w:rPr>
                <w:rFonts w:ascii="Arial" w:hAnsi="Arial" w:cs="Arial"/>
                <w:sz w:val="16"/>
                <w:szCs w:val="16"/>
              </w:rPr>
              <w:t>12</w:t>
            </w:r>
            <w:r w:rsidR="00FF7074">
              <w:rPr>
                <w:rFonts w:ascii="Arial" w:hAnsi="Arial" w:cs="Arial"/>
                <w:sz w:val="16"/>
                <w:szCs w:val="16"/>
              </w:rPr>
              <w:t>06</w:t>
            </w:r>
          </w:p>
        </w:tc>
        <w:tc>
          <w:tcPr>
            <w:tcW w:w="1170"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81,619</w:t>
            </w:r>
          </w:p>
        </w:tc>
        <w:tc>
          <w:tcPr>
            <w:tcW w:w="1080" w:type="dxa"/>
            <w:tcBorders>
              <w:top w:val="single" w:sz="2" w:space="0" w:color="000000"/>
              <w:left w:val="single" w:sz="2" w:space="0" w:color="000000"/>
              <w:bottom w:val="nil"/>
              <w:right w:val="nil"/>
            </w:tcBorders>
          </w:tcPr>
          <w:p w:rsidR="004D5498" w:rsidRDefault="00881924" w:rsidP="006215D5">
            <w:pPr>
              <w:widowControl/>
              <w:tabs>
                <w:tab w:val="left" w:pos="0"/>
                <w:tab w:val="left" w:pos="720"/>
              </w:tabs>
              <w:spacing w:before="13" w:after="13"/>
              <w:jc w:val="right"/>
              <w:rPr>
                <w:sz w:val="16"/>
                <w:szCs w:val="16"/>
              </w:rPr>
            </w:pPr>
            <w:r>
              <w:rPr>
                <w:rFonts w:ascii="Arial" w:hAnsi="Arial" w:cs="Arial"/>
                <w:sz w:val="16"/>
                <w:szCs w:val="16"/>
              </w:rPr>
              <w:t>104,000</w:t>
            </w: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12,480</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varies</w:t>
            </w:r>
          </w:p>
        </w:tc>
        <w:tc>
          <w:tcPr>
            <w:tcW w:w="1125" w:type="dxa"/>
            <w:tcBorders>
              <w:top w:val="single" w:sz="2" w:space="0" w:color="000000"/>
              <w:left w:val="single" w:sz="2" w:space="0" w:color="000000"/>
              <w:bottom w:val="nil"/>
              <w:right w:val="nil"/>
            </w:tcBorders>
          </w:tcPr>
          <w:p w:rsidR="004D5498" w:rsidRDefault="003C0560" w:rsidP="006215D5">
            <w:pPr>
              <w:widowControl/>
              <w:tabs>
                <w:tab w:val="left" w:pos="0"/>
                <w:tab w:val="left" w:pos="720"/>
              </w:tabs>
              <w:spacing w:before="13" w:after="13"/>
              <w:jc w:val="right"/>
              <w:rPr>
                <w:sz w:val="16"/>
                <w:szCs w:val="16"/>
              </w:rPr>
            </w:pPr>
            <w:r>
              <w:rPr>
                <w:rFonts w:ascii="Arial" w:hAnsi="Arial" w:cs="Arial"/>
                <w:sz w:val="16"/>
                <w:szCs w:val="16"/>
              </w:rPr>
              <w:t>68,192</w:t>
            </w:r>
          </w:p>
        </w:tc>
        <w:tc>
          <w:tcPr>
            <w:tcW w:w="1046" w:type="dxa"/>
            <w:tcBorders>
              <w:top w:val="single" w:sz="2" w:space="0" w:color="000000"/>
              <w:left w:val="single" w:sz="2" w:space="0" w:color="000000"/>
              <w:bottom w:val="nil"/>
              <w:right w:val="single" w:sz="2" w:space="0" w:color="000000"/>
            </w:tcBorders>
          </w:tcPr>
          <w:p w:rsidR="004D5498" w:rsidRDefault="004D5498" w:rsidP="003C0560">
            <w:pPr>
              <w:widowControl/>
              <w:tabs>
                <w:tab w:val="left" w:pos="0"/>
                <w:tab w:val="left" w:pos="720"/>
              </w:tabs>
              <w:spacing w:before="13" w:after="13"/>
              <w:jc w:val="right"/>
              <w:rPr>
                <w:sz w:val="16"/>
                <w:szCs w:val="16"/>
              </w:rPr>
            </w:pPr>
            <w:r>
              <w:rPr>
                <w:rFonts w:ascii="Arial" w:hAnsi="Arial" w:cs="Arial"/>
                <w:sz w:val="16"/>
                <w:szCs w:val="16"/>
              </w:rPr>
              <w:t xml:space="preserve">   4,</w:t>
            </w:r>
            <w:r w:rsidR="003C0560">
              <w:rPr>
                <w:rFonts w:ascii="Arial" w:hAnsi="Arial" w:cs="Arial"/>
                <w:sz w:val="16"/>
                <w:szCs w:val="16"/>
              </w:rPr>
              <w:t>735</w:t>
            </w:r>
            <w:r>
              <w:rPr>
                <w:rFonts w:ascii="Arial" w:hAnsi="Arial" w:cs="Arial"/>
                <w:sz w:val="16"/>
                <w:szCs w:val="16"/>
              </w:rPr>
              <w:t>,</w:t>
            </w:r>
            <w:r w:rsidR="003C0560">
              <w:rPr>
                <w:rFonts w:ascii="Arial" w:hAnsi="Arial" w:cs="Arial"/>
                <w:sz w:val="16"/>
                <w:szCs w:val="16"/>
              </w:rPr>
              <w:t>411</w:t>
            </w:r>
            <w:r>
              <w:rPr>
                <w:rFonts w:ascii="Arial" w:hAnsi="Arial" w:cs="Arial"/>
                <w:sz w:val="16"/>
                <w:szCs w:val="16"/>
              </w:rPr>
              <w:t xml:space="preserve"> </w:t>
            </w:r>
          </w:p>
        </w:tc>
      </w:tr>
      <w:tr w:rsidR="004D5498" w:rsidTr="006215D5">
        <w:trPr>
          <w:trHeight w:val="202"/>
        </w:trPr>
        <w:tc>
          <w:tcPr>
            <w:tcW w:w="13679" w:type="dxa"/>
            <w:gridSpan w:val="10"/>
            <w:vMerge w:val="restart"/>
            <w:tcBorders>
              <w:top w:val="nil"/>
              <w:left w:val="nil"/>
              <w:bottom w:val="nil"/>
              <w:right w:val="nil"/>
            </w:tcBorders>
            <w:vAlign w:val="bottom"/>
          </w:tcPr>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vertAlign w:val="superscript"/>
              </w:rPr>
            </w:pPr>
          </w:p>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 xml:space="preserve">1      </w:t>
            </w:r>
            <w:r>
              <w:rPr>
                <w:rFonts w:ascii="Arial" w:hAnsi="Arial" w:cs="Arial"/>
                <w:sz w:val="16"/>
                <w:szCs w:val="16"/>
              </w:rPr>
              <w:t>Hours per year are rounded to the nearest hour.</w:t>
            </w:r>
          </w:p>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2</w:t>
            </w:r>
            <w:r>
              <w:rPr>
                <w:rFonts w:ascii="Arial" w:hAnsi="Arial" w:cs="Arial"/>
                <w:sz w:val="16"/>
                <w:szCs w:val="16"/>
              </w:rPr>
              <w:tab/>
              <w:t>Costs per year are rounded to the nearest dollar.</w:t>
            </w:r>
          </w:p>
          <w:p w:rsidR="004D5498" w:rsidRDefault="00D97319" w:rsidP="006215D5">
            <w:pPr>
              <w:widowControl/>
              <w:tabs>
                <w:tab w:val="left" w:pos="0"/>
                <w:tab w:val="left" w:pos="236"/>
                <w:tab w:val="left" w:pos="1440"/>
                <w:tab w:val="left" w:pos="2160"/>
                <w:tab w:val="left" w:pos="2880"/>
                <w:tab w:val="left" w:pos="3600"/>
                <w:tab w:val="left" w:pos="4320"/>
              </w:tabs>
              <w:spacing w:after="13"/>
              <w:ind w:left="270" w:hanging="270"/>
              <w:rPr>
                <w:sz w:val="16"/>
                <w:szCs w:val="16"/>
              </w:rPr>
            </w:pPr>
            <w:r>
              <w:rPr>
                <w:rFonts w:ascii="Arial" w:hAnsi="Arial" w:cs="Arial"/>
                <w:sz w:val="16"/>
                <w:szCs w:val="16"/>
                <w:vertAlign w:val="superscript"/>
              </w:rPr>
              <w:t>3</w:t>
            </w:r>
            <w:r w:rsidR="004D5498">
              <w:rPr>
                <w:rFonts w:ascii="Arial" w:hAnsi="Arial" w:cs="Arial"/>
                <w:sz w:val="16"/>
                <w:szCs w:val="16"/>
              </w:rPr>
              <w:tab/>
              <w:t>These costs represent the total annual cost for all agencies, not the cost per agency.</w:t>
            </w:r>
          </w:p>
        </w:tc>
      </w:tr>
    </w:tbl>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4"/>
          <w:szCs w:val="14"/>
        </w:rPr>
      </w:pPr>
    </w:p>
    <w:p w:rsidR="002C01E6" w:rsidRDefault="00CF1DE6">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fldSimple w:instr="PAGE ">
        <w:r w:rsidR="00C35786">
          <w:rPr>
            <w:noProof/>
          </w:rPr>
          <w:t>15</w:t>
        </w:r>
      </w:fldSimple>
    </w:p>
    <w:tbl>
      <w:tblPr>
        <w:tblW w:w="0" w:type="auto"/>
        <w:jc w:val="center"/>
        <w:tblLayout w:type="fixed"/>
        <w:tblCellMar>
          <w:left w:w="24" w:type="dxa"/>
          <w:right w:w="24" w:type="dxa"/>
        </w:tblCellMar>
        <w:tblLook w:val="0000"/>
      </w:tblPr>
      <w:tblGrid>
        <w:gridCol w:w="13680"/>
      </w:tblGrid>
      <w:tr w:rsidR="002C01E6" w:rsidTr="00E55006">
        <w:trPr>
          <w:trHeight w:hRule="exact" w:val="465"/>
          <w:jc w:val="center"/>
        </w:trPr>
        <w:tc>
          <w:tcPr>
            <w:tcW w:w="13680" w:type="dxa"/>
            <w:tcBorders>
              <w:top w:val="single" w:sz="6" w:space="0" w:color="FFFFFF"/>
              <w:left w:val="single" w:sz="6" w:space="0" w:color="FFFFFF"/>
              <w:bottom w:val="single" w:sz="6" w:space="0" w:color="FFFFFF"/>
              <w:right w:val="single" w:sz="6" w:space="0" w:color="FFFFFF"/>
            </w:tcBorders>
          </w:tcPr>
          <w:p w:rsidR="002C01E6" w:rsidRDefault="002C01E6">
            <w:pPr>
              <w:spacing w:line="43" w:lineRule="exact"/>
            </w:pPr>
          </w:p>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center"/>
              <w:rPr>
                <w:rFonts w:ascii="Shruti" w:hAnsi="Shruti" w:cs="Shruti"/>
                <w:sz w:val="14"/>
                <w:szCs w:val="14"/>
              </w:rPr>
            </w:pPr>
          </w:p>
        </w:tc>
      </w:tr>
      <w:tr w:rsidR="002C01E6">
        <w:trPr>
          <w:jc w:val="center"/>
        </w:trPr>
        <w:tc>
          <w:tcPr>
            <w:tcW w:w="13680" w:type="dxa"/>
            <w:tcBorders>
              <w:top w:val="single" w:sz="6" w:space="0" w:color="FFFFFF"/>
              <w:left w:val="single" w:sz="6" w:space="0" w:color="FFFFFF"/>
              <w:bottom w:val="single" w:sz="6" w:space="0" w:color="FFFFFF"/>
              <w:right w:val="single" w:sz="6" w:space="0" w:color="FFFFFF"/>
            </w:tcBorders>
          </w:tcPr>
          <w:p w:rsidR="002C01E6" w:rsidRDefault="002C01E6">
            <w:pPr>
              <w:spacing w:line="43" w:lineRule="exact"/>
              <w:rPr>
                <w:rFonts w:ascii="Shruti" w:hAnsi="Shruti" w:cs="Shruti"/>
                <w:sz w:val="14"/>
                <w:szCs w:val="14"/>
              </w:rPr>
            </w:pPr>
          </w:p>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right"/>
              <w:rPr>
                <w:rFonts w:ascii="Shruti" w:hAnsi="Shruti" w:cs="Shruti"/>
                <w:sz w:val="16"/>
                <w:szCs w:val="16"/>
              </w:rPr>
            </w:pPr>
          </w:p>
        </w:tc>
      </w:tr>
    </w:tbl>
    <w:p w:rsidR="002C01E6" w:rsidRDefault="002C01E6" w:rsidP="00E55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2"/>
          <w:szCs w:val="12"/>
        </w:rPr>
      </w:pPr>
    </w:p>
    <w:sectPr w:rsidR="002C01E6" w:rsidSect="00E55006">
      <w:footerReference w:type="default" r:id="rId10"/>
      <w:footnotePr>
        <w:numStart w:val="5"/>
      </w:footnotePr>
      <w:pgSz w:w="15840" w:h="12240" w:orient="landscape"/>
      <w:pgMar w:top="1440" w:right="1080" w:bottom="1440" w:left="108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13A" w:rsidRDefault="0079213A">
      <w:r>
        <w:separator/>
      </w:r>
    </w:p>
  </w:endnote>
  <w:endnote w:type="continuationSeparator" w:id="0">
    <w:p w:rsidR="0079213A" w:rsidRDefault="007921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D5" w:rsidRDefault="006215D5">
    <w:pPr>
      <w:spacing w:line="240" w:lineRule="exact"/>
    </w:pPr>
  </w:p>
  <w:p w:rsidR="006215D5" w:rsidRDefault="00CF1DE6">
    <w:pPr>
      <w:framePr w:w="9361" w:wrap="notBeside" w:vAnchor="text" w:hAnchor="text" w:x="1" w:y="1"/>
      <w:jc w:val="center"/>
      <w:rPr>
        <w:sz w:val="22"/>
        <w:szCs w:val="22"/>
      </w:rPr>
    </w:pPr>
    <w:r>
      <w:rPr>
        <w:sz w:val="22"/>
        <w:szCs w:val="22"/>
      </w:rPr>
      <w:fldChar w:fldCharType="begin"/>
    </w:r>
    <w:r w:rsidR="006215D5">
      <w:rPr>
        <w:sz w:val="22"/>
        <w:szCs w:val="22"/>
      </w:rPr>
      <w:instrText xml:space="preserve">PAGE </w:instrText>
    </w:r>
    <w:r>
      <w:rPr>
        <w:sz w:val="22"/>
        <w:szCs w:val="22"/>
      </w:rPr>
      <w:fldChar w:fldCharType="separate"/>
    </w:r>
    <w:r w:rsidR="00F02399">
      <w:rPr>
        <w:noProof/>
        <w:sz w:val="22"/>
        <w:szCs w:val="22"/>
      </w:rPr>
      <w:t>14</w:t>
    </w:r>
    <w:r>
      <w:rPr>
        <w:sz w:val="22"/>
        <w:szCs w:val="22"/>
      </w:rPr>
      <w:fldChar w:fldCharType="end"/>
    </w:r>
  </w:p>
  <w:p w:rsidR="006215D5" w:rsidRDefault="006215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D5" w:rsidRDefault="006215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13A" w:rsidRDefault="0079213A">
      <w:r>
        <w:separator/>
      </w:r>
    </w:p>
  </w:footnote>
  <w:footnote w:type="continuationSeparator" w:id="0">
    <w:p w:rsidR="0079213A" w:rsidRDefault="0079213A">
      <w:r>
        <w:continuationSeparator/>
      </w:r>
    </w:p>
  </w:footnote>
  <w:footnote w:id="1">
    <w:p w:rsidR="006215D5" w:rsidRDefault="006215D5" w:rsidP="00DF0EA5">
      <w:pPr>
        <w:widowControl/>
        <w:tabs>
          <w:tab w:val="left" w:pos="-1440"/>
          <w:tab w:val="left" w:pos="-973"/>
          <w:tab w:val="left" w:pos="-506"/>
          <w:tab w:val="left" w:pos="-39"/>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spacing w:after="240"/>
      </w:pPr>
      <w:r>
        <w:rPr>
          <w:sz w:val="18"/>
          <w:szCs w:val="18"/>
        </w:rPr>
        <w:tab/>
      </w:r>
      <w:r>
        <w:rPr>
          <w:vertAlign w:val="superscript"/>
        </w:rPr>
        <w:t>1</w:t>
      </w:r>
      <w:r>
        <w:rPr>
          <w:sz w:val="18"/>
          <w:szCs w:val="18"/>
        </w:rPr>
        <w:t>Except where noted, future reference to “</w:t>
      </w:r>
      <w:r w:rsidR="00A8268D">
        <w:rPr>
          <w:sz w:val="18"/>
          <w:szCs w:val="18"/>
        </w:rPr>
        <w:t>S</w:t>
      </w:r>
      <w:r>
        <w:rPr>
          <w:sz w:val="18"/>
          <w:szCs w:val="18"/>
        </w:rPr>
        <w:t xml:space="preserve">tate(s)” in this supporting statement includes 50 </w:t>
      </w:r>
      <w:r w:rsidR="00A8268D">
        <w:rPr>
          <w:sz w:val="18"/>
          <w:szCs w:val="18"/>
        </w:rPr>
        <w:t>S</w:t>
      </w:r>
      <w:r>
        <w:rPr>
          <w:sz w:val="18"/>
          <w:szCs w:val="18"/>
        </w:rPr>
        <w:t>tates, 4 territories, 49 local agencies, and the District of Columbia (DC).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2642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4696AB5"/>
    <w:multiLevelType w:val="hybridMultilevel"/>
    <w:tmpl w:val="BAC8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76D25"/>
    <w:multiLevelType w:val="hybridMultilevel"/>
    <w:tmpl w:val="F3EC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144585"/>
    <w:multiLevelType w:val="hybridMultilevel"/>
    <w:tmpl w:val="6F3A8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476E2D"/>
    <w:multiLevelType w:val="hybridMultilevel"/>
    <w:tmpl w:val="B7C2368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2E4C65C5"/>
    <w:multiLevelType w:val="hybridMultilevel"/>
    <w:tmpl w:val="EA98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441360"/>
    <w:multiLevelType w:val="hybridMultilevel"/>
    <w:tmpl w:val="071AB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43B96360"/>
    <w:multiLevelType w:val="hybridMultilevel"/>
    <w:tmpl w:val="0BDAE626"/>
    <w:lvl w:ilvl="0" w:tplc="A0D82278">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6">
    <w:nsid w:val="55E03917"/>
    <w:multiLevelType w:val="hybridMultilevel"/>
    <w:tmpl w:val="F036041E"/>
    <w:lvl w:ilvl="0" w:tplc="04090001">
      <w:start w:val="1"/>
      <w:numFmt w:val="bullet"/>
      <w:lvlText w:val=""/>
      <w:lvlJc w:val="left"/>
      <w:pPr>
        <w:tabs>
          <w:tab w:val="num" w:pos="1142"/>
        </w:tabs>
        <w:ind w:left="1142" w:hanging="360"/>
      </w:pPr>
      <w:rPr>
        <w:rFonts w:ascii="Symbol" w:hAnsi="Symbol" w:hint="default"/>
      </w:rPr>
    </w:lvl>
    <w:lvl w:ilvl="1" w:tplc="04090003" w:tentative="1">
      <w:start w:val="1"/>
      <w:numFmt w:val="bullet"/>
      <w:lvlText w:val="o"/>
      <w:lvlJc w:val="left"/>
      <w:pPr>
        <w:tabs>
          <w:tab w:val="num" w:pos="1862"/>
        </w:tabs>
        <w:ind w:left="1862" w:hanging="360"/>
      </w:pPr>
      <w:rPr>
        <w:rFonts w:ascii="Courier New" w:hAnsi="Courier New" w:cs="Courier New" w:hint="default"/>
      </w:rPr>
    </w:lvl>
    <w:lvl w:ilvl="2" w:tplc="04090005" w:tentative="1">
      <w:start w:val="1"/>
      <w:numFmt w:val="bullet"/>
      <w:lvlText w:val=""/>
      <w:lvlJc w:val="left"/>
      <w:pPr>
        <w:tabs>
          <w:tab w:val="num" w:pos="2582"/>
        </w:tabs>
        <w:ind w:left="2582" w:hanging="360"/>
      </w:pPr>
      <w:rPr>
        <w:rFonts w:ascii="Wingdings" w:hAnsi="Wingdings" w:hint="default"/>
      </w:rPr>
    </w:lvl>
    <w:lvl w:ilvl="3" w:tplc="04090001" w:tentative="1">
      <w:start w:val="1"/>
      <w:numFmt w:val="bullet"/>
      <w:lvlText w:val=""/>
      <w:lvlJc w:val="left"/>
      <w:pPr>
        <w:tabs>
          <w:tab w:val="num" w:pos="3302"/>
        </w:tabs>
        <w:ind w:left="3302" w:hanging="360"/>
      </w:pPr>
      <w:rPr>
        <w:rFonts w:ascii="Symbol" w:hAnsi="Symbol" w:hint="default"/>
      </w:rPr>
    </w:lvl>
    <w:lvl w:ilvl="4" w:tplc="04090003" w:tentative="1">
      <w:start w:val="1"/>
      <w:numFmt w:val="bullet"/>
      <w:lvlText w:val="o"/>
      <w:lvlJc w:val="left"/>
      <w:pPr>
        <w:tabs>
          <w:tab w:val="num" w:pos="4022"/>
        </w:tabs>
        <w:ind w:left="4022" w:hanging="360"/>
      </w:pPr>
      <w:rPr>
        <w:rFonts w:ascii="Courier New" w:hAnsi="Courier New" w:cs="Courier New" w:hint="default"/>
      </w:rPr>
    </w:lvl>
    <w:lvl w:ilvl="5" w:tplc="04090005" w:tentative="1">
      <w:start w:val="1"/>
      <w:numFmt w:val="bullet"/>
      <w:lvlText w:val=""/>
      <w:lvlJc w:val="left"/>
      <w:pPr>
        <w:tabs>
          <w:tab w:val="num" w:pos="4742"/>
        </w:tabs>
        <w:ind w:left="4742" w:hanging="360"/>
      </w:pPr>
      <w:rPr>
        <w:rFonts w:ascii="Wingdings" w:hAnsi="Wingdings" w:hint="default"/>
      </w:rPr>
    </w:lvl>
    <w:lvl w:ilvl="6" w:tplc="04090001" w:tentative="1">
      <w:start w:val="1"/>
      <w:numFmt w:val="bullet"/>
      <w:lvlText w:val=""/>
      <w:lvlJc w:val="left"/>
      <w:pPr>
        <w:tabs>
          <w:tab w:val="num" w:pos="5462"/>
        </w:tabs>
        <w:ind w:left="5462" w:hanging="360"/>
      </w:pPr>
      <w:rPr>
        <w:rFonts w:ascii="Symbol" w:hAnsi="Symbol" w:hint="default"/>
      </w:rPr>
    </w:lvl>
    <w:lvl w:ilvl="7" w:tplc="04090003" w:tentative="1">
      <w:start w:val="1"/>
      <w:numFmt w:val="bullet"/>
      <w:lvlText w:val="o"/>
      <w:lvlJc w:val="left"/>
      <w:pPr>
        <w:tabs>
          <w:tab w:val="num" w:pos="6182"/>
        </w:tabs>
        <w:ind w:left="6182" w:hanging="360"/>
      </w:pPr>
      <w:rPr>
        <w:rFonts w:ascii="Courier New" w:hAnsi="Courier New" w:cs="Courier New" w:hint="default"/>
      </w:rPr>
    </w:lvl>
    <w:lvl w:ilvl="8" w:tplc="04090005" w:tentative="1">
      <w:start w:val="1"/>
      <w:numFmt w:val="bullet"/>
      <w:lvlText w:val=""/>
      <w:lvlJc w:val="left"/>
      <w:pPr>
        <w:tabs>
          <w:tab w:val="num" w:pos="6902"/>
        </w:tabs>
        <w:ind w:left="6902" w:hanging="360"/>
      </w:pPr>
      <w:rPr>
        <w:rFonts w:ascii="Wingdings" w:hAnsi="Wingdings" w:hint="default"/>
      </w:rPr>
    </w:lvl>
  </w:abstractNum>
  <w:abstractNum w:abstractNumId="17">
    <w:nsid w:val="587B229D"/>
    <w:multiLevelType w:val="hybridMultilevel"/>
    <w:tmpl w:val="4B00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1006" w:hanging="466"/>
        </w:pPr>
        <w:rPr>
          <w:rFonts w:ascii="WP TypographicSymbols" w:hAnsi="WP TypographicSymbols" w:hint="default"/>
        </w:rPr>
      </w:lvl>
    </w:lvlOverride>
  </w:num>
  <w:num w:numId="2">
    <w:abstractNumId w:val="15"/>
  </w:num>
  <w:num w:numId="3">
    <w:abstractNumId w:val="12"/>
  </w:num>
  <w:num w:numId="4">
    <w:abstractNumId w:val="10"/>
  </w:num>
  <w:num w:numId="5">
    <w:abstractNumId w:val="17"/>
  </w:num>
  <w:num w:numId="6">
    <w:abstractNumId w:val="14"/>
  </w:num>
  <w:num w:numId="7">
    <w:abstractNumId w:val="16"/>
  </w:num>
  <w:num w:numId="8">
    <w:abstractNumId w:val="13"/>
  </w:num>
  <w:num w:numId="9">
    <w:abstractNumId w:val="1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C01E6"/>
    <w:rsid w:val="0000032F"/>
    <w:rsid w:val="00000788"/>
    <w:rsid w:val="0000534B"/>
    <w:rsid w:val="000064DF"/>
    <w:rsid w:val="00016316"/>
    <w:rsid w:val="000268E3"/>
    <w:rsid w:val="0003028E"/>
    <w:rsid w:val="00035197"/>
    <w:rsid w:val="0004060C"/>
    <w:rsid w:val="00062882"/>
    <w:rsid w:val="00071D6C"/>
    <w:rsid w:val="000818A8"/>
    <w:rsid w:val="0008651B"/>
    <w:rsid w:val="0008697E"/>
    <w:rsid w:val="00086B52"/>
    <w:rsid w:val="00086E4F"/>
    <w:rsid w:val="00086FE6"/>
    <w:rsid w:val="0008780E"/>
    <w:rsid w:val="00092355"/>
    <w:rsid w:val="00093133"/>
    <w:rsid w:val="00095B12"/>
    <w:rsid w:val="000A0144"/>
    <w:rsid w:val="000A58A6"/>
    <w:rsid w:val="000B023E"/>
    <w:rsid w:val="000D521B"/>
    <w:rsid w:val="000D6F0E"/>
    <w:rsid w:val="000F4C6E"/>
    <w:rsid w:val="00100BA6"/>
    <w:rsid w:val="00101794"/>
    <w:rsid w:val="00107875"/>
    <w:rsid w:val="00111216"/>
    <w:rsid w:val="00114FFF"/>
    <w:rsid w:val="001207DC"/>
    <w:rsid w:val="001243FF"/>
    <w:rsid w:val="0012649D"/>
    <w:rsid w:val="001264CB"/>
    <w:rsid w:val="00130D55"/>
    <w:rsid w:val="0013777F"/>
    <w:rsid w:val="00140226"/>
    <w:rsid w:val="0015052A"/>
    <w:rsid w:val="0016176E"/>
    <w:rsid w:val="0016740F"/>
    <w:rsid w:val="00182CED"/>
    <w:rsid w:val="00184CC4"/>
    <w:rsid w:val="00187457"/>
    <w:rsid w:val="00187773"/>
    <w:rsid w:val="00190F08"/>
    <w:rsid w:val="001A063E"/>
    <w:rsid w:val="001A40B5"/>
    <w:rsid w:val="001A6A0C"/>
    <w:rsid w:val="001D3486"/>
    <w:rsid w:val="001E68A2"/>
    <w:rsid w:val="0020584C"/>
    <w:rsid w:val="00212880"/>
    <w:rsid w:val="00214044"/>
    <w:rsid w:val="00235A63"/>
    <w:rsid w:val="00255B2E"/>
    <w:rsid w:val="00265FD0"/>
    <w:rsid w:val="00273F07"/>
    <w:rsid w:val="002807A3"/>
    <w:rsid w:val="0028604B"/>
    <w:rsid w:val="00287622"/>
    <w:rsid w:val="00290684"/>
    <w:rsid w:val="002A1801"/>
    <w:rsid w:val="002A20E6"/>
    <w:rsid w:val="002C01E6"/>
    <w:rsid w:val="002D13A4"/>
    <w:rsid w:val="002E04C0"/>
    <w:rsid w:val="002F79DA"/>
    <w:rsid w:val="002F79EA"/>
    <w:rsid w:val="0030262A"/>
    <w:rsid w:val="0030374D"/>
    <w:rsid w:val="00303DD4"/>
    <w:rsid w:val="003152D2"/>
    <w:rsid w:val="003167BA"/>
    <w:rsid w:val="00320D7E"/>
    <w:rsid w:val="00324491"/>
    <w:rsid w:val="00347120"/>
    <w:rsid w:val="00352272"/>
    <w:rsid w:val="00376EF4"/>
    <w:rsid w:val="00390092"/>
    <w:rsid w:val="0039110E"/>
    <w:rsid w:val="003A73A4"/>
    <w:rsid w:val="003B4320"/>
    <w:rsid w:val="003B4E99"/>
    <w:rsid w:val="003C0560"/>
    <w:rsid w:val="003C47AC"/>
    <w:rsid w:val="003E37DB"/>
    <w:rsid w:val="003F6A0F"/>
    <w:rsid w:val="00406A59"/>
    <w:rsid w:val="00407622"/>
    <w:rsid w:val="00442C43"/>
    <w:rsid w:val="00444209"/>
    <w:rsid w:val="00453B2F"/>
    <w:rsid w:val="00457B52"/>
    <w:rsid w:val="00467B02"/>
    <w:rsid w:val="004735D8"/>
    <w:rsid w:val="00482FC8"/>
    <w:rsid w:val="0048453B"/>
    <w:rsid w:val="00491454"/>
    <w:rsid w:val="0049530E"/>
    <w:rsid w:val="004C12E6"/>
    <w:rsid w:val="004D0CFA"/>
    <w:rsid w:val="004D5498"/>
    <w:rsid w:val="004E0288"/>
    <w:rsid w:val="004E187A"/>
    <w:rsid w:val="004E3F72"/>
    <w:rsid w:val="004F5517"/>
    <w:rsid w:val="004F5AE5"/>
    <w:rsid w:val="004F6913"/>
    <w:rsid w:val="00502E87"/>
    <w:rsid w:val="00507731"/>
    <w:rsid w:val="0052178D"/>
    <w:rsid w:val="00522F49"/>
    <w:rsid w:val="0053484B"/>
    <w:rsid w:val="005358C0"/>
    <w:rsid w:val="00536AC3"/>
    <w:rsid w:val="00537456"/>
    <w:rsid w:val="00544F89"/>
    <w:rsid w:val="0054500B"/>
    <w:rsid w:val="0055752B"/>
    <w:rsid w:val="00557841"/>
    <w:rsid w:val="00560C32"/>
    <w:rsid w:val="00563B82"/>
    <w:rsid w:val="00563C64"/>
    <w:rsid w:val="005658D7"/>
    <w:rsid w:val="00571752"/>
    <w:rsid w:val="0057211F"/>
    <w:rsid w:val="00583916"/>
    <w:rsid w:val="00585AE5"/>
    <w:rsid w:val="00593424"/>
    <w:rsid w:val="005B1F58"/>
    <w:rsid w:val="005B4DA7"/>
    <w:rsid w:val="005B5536"/>
    <w:rsid w:val="005C5763"/>
    <w:rsid w:val="005C7FB4"/>
    <w:rsid w:val="005D5217"/>
    <w:rsid w:val="005E7CD4"/>
    <w:rsid w:val="005F0F18"/>
    <w:rsid w:val="00604302"/>
    <w:rsid w:val="006107AE"/>
    <w:rsid w:val="00617C7D"/>
    <w:rsid w:val="006215D5"/>
    <w:rsid w:val="006239EF"/>
    <w:rsid w:val="00642B07"/>
    <w:rsid w:val="0066138E"/>
    <w:rsid w:val="00666D35"/>
    <w:rsid w:val="0066754F"/>
    <w:rsid w:val="0067303D"/>
    <w:rsid w:val="006810A4"/>
    <w:rsid w:val="00692668"/>
    <w:rsid w:val="00692CC3"/>
    <w:rsid w:val="006945C8"/>
    <w:rsid w:val="006B1AE5"/>
    <w:rsid w:val="006B2E71"/>
    <w:rsid w:val="006C3F69"/>
    <w:rsid w:val="006D12BA"/>
    <w:rsid w:val="006D1B03"/>
    <w:rsid w:val="006D5C5F"/>
    <w:rsid w:val="006E5A26"/>
    <w:rsid w:val="006E5F9B"/>
    <w:rsid w:val="006E6531"/>
    <w:rsid w:val="00702A3C"/>
    <w:rsid w:val="007059A1"/>
    <w:rsid w:val="00706EDB"/>
    <w:rsid w:val="00727E94"/>
    <w:rsid w:val="00774A46"/>
    <w:rsid w:val="007861C4"/>
    <w:rsid w:val="0079213A"/>
    <w:rsid w:val="00794B59"/>
    <w:rsid w:val="00795545"/>
    <w:rsid w:val="00795BD8"/>
    <w:rsid w:val="007964E8"/>
    <w:rsid w:val="007B53EA"/>
    <w:rsid w:val="007B681B"/>
    <w:rsid w:val="007B7FAE"/>
    <w:rsid w:val="007D2CA4"/>
    <w:rsid w:val="007D44E5"/>
    <w:rsid w:val="007D665A"/>
    <w:rsid w:val="007F1747"/>
    <w:rsid w:val="007F2056"/>
    <w:rsid w:val="00810775"/>
    <w:rsid w:val="00820C8E"/>
    <w:rsid w:val="008221F6"/>
    <w:rsid w:val="008233E3"/>
    <w:rsid w:val="00825C67"/>
    <w:rsid w:val="00831F34"/>
    <w:rsid w:val="008352CE"/>
    <w:rsid w:val="00851193"/>
    <w:rsid w:val="00852E8A"/>
    <w:rsid w:val="00853DE5"/>
    <w:rsid w:val="00860681"/>
    <w:rsid w:val="008643A4"/>
    <w:rsid w:val="00867A82"/>
    <w:rsid w:val="0087756C"/>
    <w:rsid w:val="00881924"/>
    <w:rsid w:val="008830CA"/>
    <w:rsid w:val="008839AB"/>
    <w:rsid w:val="00887370"/>
    <w:rsid w:val="00892891"/>
    <w:rsid w:val="008958FD"/>
    <w:rsid w:val="008A0DC7"/>
    <w:rsid w:val="008A2319"/>
    <w:rsid w:val="008A250E"/>
    <w:rsid w:val="008A7DFE"/>
    <w:rsid w:val="008B416F"/>
    <w:rsid w:val="008B5E76"/>
    <w:rsid w:val="008C23BC"/>
    <w:rsid w:val="008F1F07"/>
    <w:rsid w:val="008F3E64"/>
    <w:rsid w:val="008F66F0"/>
    <w:rsid w:val="00902040"/>
    <w:rsid w:val="00904EA9"/>
    <w:rsid w:val="00910343"/>
    <w:rsid w:val="00910A3E"/>
    <w:rsid w:val="009264DF"/>
    <w:rsid w:val="00927A06"/>
    <w:rsid w:val="00931B9A"/>
    <w:rsid w:val="00940AE4"/>
    <w:rsid w:val="00944E8C"/>
    <w:rsid w:val="00952A70"/>
    <w:rsid w:val="00953263"/>
    <w:rsid w:val="00980E23"/>
    <w:rsid w:val="00985283"/>
    <w:rsid w:val="009B6786"/>
    <w:rsid w:val="009D0F37"/>
    <w:rsid w:val="009D2181"/>
    <w:rsid w:val="009D231D"/>
    <w:rsid w:val="009D689A"/>
    <w:rsid w:val="009E03BA"/>
    <w:rsid w:val="009E6C9E"/>
    <w:rsid w:val="009F2442"/>
    <w:rsid w:val="00A13B8D"/>
    <w:rsid w:val="00A14D6C"/>
    <w:rsid w:val="00A27FE9"/>
    <w:rsid w:val="00A34367"/>
    <w:rsid w:val="00A41F90"/>
    <w:rsid w:val="00A43AC0"/>
    <w:rsid w:val="00A5154A"/>
    <w:rsid w:val="00A641CB"/>
    <w:rsid w:val="00A7074E"/>
    <w:rsid w:val="00A812DD"/>
    <w:rsid w:val="00A8268D"/>
    <w:rsid w:val="00A845EF"/>
    <w:rsid w:val="00AA7880"/>
    <w:rsid w:val="00AB46F0"/>
    <w:rsid w:val="00AC0322"/>
    <w:rsid w:val="00AD1607"/>
    <w:rsid w:val="00AD236B"/>
    <w:rsid w:val="00AD4A43"/>
    <w:rsid w:val="00AE0053"/>
    <w:rsid w:val="00B25838"/>
    <w:rsid w:val="00B27877"/>
    <w:rsid w:val="00B27952"/>
    <w:rsid w:val="00B677CE"/>
    <w:rsid w:val="00B71ACD"/>
    <w:rsid w:val="00B84C2D"/>
    <w:rsid w:val="00B84DF4"/>
    <w:rsid w:val="00B86EFC"/>
    <w:rsid w:val="00B940F5"/>
    <w:rsid w:val="00BA4533"/>
    <w:rsid w:val="00BA7C8B"/>
    <w:rsid w:val="00BB41D8"/>
    <w:rsid w:val="00BB639B"/>
    <w:rsid w:val="00BB7740"/>
    <w:rsid w:val="00BC01AC"/>
    <w:rsid w:val="00BC24C8"/>
    <w:rsid w:val="00BC392F"/>
    <w:rsid w:val="00BC614F"/>
    <w:rsid w:val="00BD3A5A"/>
    <w:rsid w:val="00BE11E0"/>
    <w:rsid w:val="00BE3756"/>
    <w:rsid w:val="00BF22CF"/>
    <w:rsid w:val="00BF3BF4"/>
    <w:rsid w:val="00BF6249"/>
    <w:rsid w:val="00C013B0"/>
    <w:rsid w:val="00C02CC6"/>
    <w:rsid w:val="00C0450F"/>
    <w:rsid w:val="00C061D6"/>
    <w:rsid w:val="00C07E5B"/>
    <w:rsid w:val="00C12129"/>
    <w:rsid w:val="00C17BA3"/>
    <w:rsid w:val="00C35786"/>
    <w:rsid w:val="00C370CC"/>
    <w:rsid w:val="00C44465"/>
    <w:rsid w:val="00C60E99"/>
    <w:rsid w:val="00C613CC"/>
    <w:rsid w:val="00C61DF3"/>
    <w:rsid w:val="00C6307F"/>
    <w:rsid w:val="00C65548"/>
    <w:rsid w:val="00C71888"/>
    <w:rsid w:val="00C723EA"/>
    <w:rsid w:val="00C73A9F"/>
    <w:rsid w:val="00C86E4A"/>
    <w:rsid w:val="00C87388"/>
    <w:rsid w:val="00CA6347"/>
    <w:rsid w:val="00CB55C6"/>
    <w:rsid w:val="00CC7B2E"/>
    <w:rsid w:val="00CD4069"/>
    <w:rsid w:val="00CE38F8"/>
    <w:rsid w:val="00CE3ED3"/>
    <w:rsid w:val="00CF1DE6"/>
    <w:rsid w:val="00D02216"/>
    <w:rsid w:val="00D103F3"/>
    <w:rsid w:val="00D22DDC"/>
    <w:rsid w:val="00D36AEF"/>
    <w:rsid w:val="00D401CE"/>
    <w:rsid w:val="00D40A7A"/>
    <w:rsid w:val="00D44863"/>
    <w:rsid w:val="00D62485"/>
    <w:rsid w:val="00D65C36"/>
    <w:rsid w:val="00D7225E"/>
    <w:rsid w:val="00D7362B"/>
    <w:rsid w:val="00D7615A"/>
    <w:rsid w:val="00D97319"/>
    <w:rsid w:val="00D9752D"/>
    <w:rsid w:val="00D97DA4"/>
    <w:rsid w:val="00DC27F4"/>
    <w:rsid w:val="00DC456C"/>
    <w:rsid w:val="00DD1BB2"/>
    <w:rsid w:val="00DD51C2"/>
    <w:rsid w:val="00DD6B7F"/>
    <w:rsid w:val="00DE07FE"/>
    <w:rsid w:val="00DE44EB"/>
    <w:rsid w:val="00DF0EA5"/>
    <w:rsid w:val="00DF2AE5"/>
    <w:rsid w:val="00DF38F3"/>
    <w:rsid w:val="00E07054"/>
    <w:rsid w:val="00E172B7"/>
    <w:rsid w:val="00E265D9"/>
    <w:rsid w:val="00E33DF8"/>
    <w:rsid w:val="00E340BB"/>
    <w:rsid w:val="00E3618D"/>
    <w:rsid w:val="00E42F9C"/>
    <w:rsid w:val="00E476E3"/>
    <w:rsid w:val="00E55006"/>
    <w:rsid w:val="00E64DFD"/>
    <w:rsid w:val="00E65E66"/>
    <w:rsid w:val="00E675D7"/>
    <w:rsid w:val="00E7043D"/>
    <w:rsid w:val="00EB11C3"/>
    <w:rsid w:val="00EB7997"/>
    <w:rsid w:val="00EC0379"/>
    <w:rsid w:val="00EC61AB"/>
    <w:rsid w:val="00ED2389"/>
    <w:rsid w:val="00ED52F9"/>
    <w:rsid w:val="00EE286C"/>
    <w:rsid w:val="00EE5394"/>
    <w:rsid w:val="00EF5D45"/>
    <w:rsid w:val="00F02399"/>
    <w:rsid w:val="00F06A46"/>
    <w:rsid w:val="00F07F2F"/>
    <w:rsid w:val="00F1761F"/>
    <w:rsid w:val="00F20BCF"/>
    <w:rsid w:val="00F25C93"/>
    <w:rsid w:val="00F367E2"/>
    <w:rsid w:val="00F425A8"/>
    <w:rsid w:val="00F44E63"/>
    <w:rsid w:val="00F47608"/>
    <w:rsid w:val="00F53DDB"/>
    <w:rsid w:val="00F55DAA"/>
    <w:rsid w:val="00F65C9E"/>
    <w:rsid w:val="00F74C40"/>
    <w:rsid w:val="00F81F2A"/>
    <w:rsid w:val="00F8587C"/>
    <w:rsid w:val="00FA00B7"/>
    <w:rsid w:val="00FA6AF1"/>
    <w:rsid w:val="00FB4429"/>
    <w:rsid w:val="00FD2D7A"/>
    <w:rsid w:val="00FD2E6E"/>
    <w:rsid w:val="00FD2FA4"/>
    <w:rsid w:val="00FD3214"/>
    <w:rsid w:val="00FD7436"/>
    <w:rsid w:val="00FE0CE9"/>
    <w:rsid w:val="00FE25E0"/>
    <w:rsid w:val="00FE2DA1"/>
    <w:rsid w:val="00FE360C"/>
    <w:rsid w:val="00FF2642"/>
    <w:rsid w:val="00FF3069"/>
    <w:rsid w:val="00FF7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48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5962</Words>
  <Characters>33986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39869</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dbeaureg</dc:creator>
  <cp:keywords/>
  <dc:description/>
  <cp:lastModifiedBy>ckerwin</cp:lastModifiedBy>
  <cp:revision>2</cp:revision>
  <cp:lastPrinted>2012-01-31T12:05:00Z</cp:lastPrinted>
  <dcterms:created xsi:type="dcterms:W3CDTF">2012-03-20T12:41:00Z</dcterms:created>
  <dcterms:modified xsi:type="dcterms:W3CDTF">2012-03-20T12:41:00Z</dcterms:modified>
</cp:coreProperties>
</file>