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59" w:rsidRPr="000774A5" w:rsidRDefault="00427659" w:rsidP="00425C31">
      <w:pPr>
        <w:widowControl/>
        <w:tabs>
          <w:tab w:val="center" w:pos="4680"/>
        </w:tabs>
        <w:rPr>
          <w:rFonts w:ascii="Times New Roman" w:hAnsi="Times New Roman"/>
          <w:sz w:val="28"/>
          <w:szCs w:val="28"/>
        </w:rPr>
      </w:pPr>
      <w:r w:rsidRPr="000774A5">
        <w:rPr>
          <w:rFonts w:ascii="Arial" w:hAnsi="Arial" w:cs="Arial"/>
        </w:rPr>
        <w:tab/>
      </w:r>
      <w:r w:rsidRPr="000774A5">
        <w:rPr>
          <w:rFonts w:ascii="Times New Roman" w:hAnsi="Times New Roman"/>
          <w:b/>
          <w:bCs/>
          <w:sz w:val="28"/>
          <w:szCs w:val="28"/>
        </w:rPr>
        <w:t>ICR SUPPORTING STATEMENT</w:t>
      </w:r>
    </w:p>
    <w:p w:rsidR="00427659" w:rsidRPr="000774A5" w:rsidRDefault="00427659" w:rsidP="00425C31">
      <w:pPr>
        <w:widowControl/>
        <w:rPr>
          <w:rFonts w:ascii="Times New Roman" w:hAnsi="Times New Roman"/>
        </w:rPr>
      </w:pPr>
    </w:p>
    <w:p w:rsidR="00427659" w:rsidRPr="000774A5" w:rsidRDefault="00427659" w:rsidP="00A35DE2">
      <w:pPr>
        <w:widowControl/>
        <w:tabs>
          <w:tab w:val="left" w:pos="-1440"/>
        </w:tabs>
        <w:rPr>
          <w:rFonts w:ascii="Times New Roman" w:hAnsi="Times New Roman"/>
        </w:rPr>
      </w:pPr>
      <w:r w:rsidRPr="000774A5">
        <w:rPr>
          <w:rFonts w:ascii="Times New Roman" w:hAnsi="Times New Roman"/>
          <w:b/>
          <w:bCs/>
        </w:rPr>
        <w:t>1.</w:t>
      </w:r>
      <w:r w:rsidRPr="000774A5">
        <w:rPr>
          <w:rFonts w:ascii="Times New Roman" w:hAnsi="Times New Roman"/>
          <w:b/>
          <w:bCs/>
        </w:rPr>
        <w:tab/>
        <w:t>IDENTIFICATION OF THE INFORMATION COLLECTION</w:t>
      </w:r>
    </w:p>
    <w:p w:rsidR="00427659" w:rsidRPr="000774A5" w:rsidRDefault="00427659" w:rsidP="00425C31">
      <w:pPr>
        <w:widowControl/>
        <w:rPr>
          <w:rFonts w:ascii="Times New Roman" w:hAnsi="Times New Roman"/>
        </w:rPr>
      </w:pPr>
    </w:p>
    <w:p w:rsidR="00427659" w:rsidRPr="000774A5" w:rsidRDefault="00427659" w:rsidP="00233C4B">
      <w:pPr>
        <w:widowControl/>
        <w:tabs>
          <w:tab w:val="left" w:pos="-1440"/>
        </w:tabs>
        <w:ind w:left="720" w:hanging="720"/>
        <w:rPr>
          <w:rFonts w:ascii="Times New Roman" w:hAnsi="Times New Roman"/>
        </w:rPr>
      </w:pPr>
      <w:r w:rsidRPr="000774A5">
        <w:rPr>
          <w:rFonts w:ascii="Times New Roman" w:hAnsi="Times New Roman"/>
          <w:b/>
          <w:bCs/>
        </w:rPr>
        <w:t>1(a)</w:t>
      </w:r>
      <w:r w:rsidRPr="000774A5">
        <w:rPr>
          <w:rFonts w:ascii="Times New Roman" w:hAnsi="Times New Roman"/>
          <w:b/>
          <w:bCs/>
        </w:rPr>
        <w:tab/>
        <w:t>Title of Information Collection</w:t>
      </w:r>
    </w:p>
    <w:p w:rsidR="00284E65" w:rsidRDefault="0049686B" w:rsidP="00284E65">
      <w:pPr>
        <w:widowControl/>
        <w:ind w:left="720"/>
        <w:rPr>
          <w:rFonts w:ascii="Times New Roman" w:hAnsi="Times New Roman"/>
          <w:bCs/>
        </w:rPr>
      </w:pPr>
      <w:r w:rsidRPr="0049686B">
        <w:rPr>
          <w:rFonts w:ascii="Times New Roman" w:hAnsi="Times New Roman"/>
          <w:bCs/>
        </w:rPr>
        <w:t>State Small Business Stationary Source Technical and Environmental Compliance Assistance Programs (SBTCP) Annual Reporting Form (Renewal)</w:t>
      </w:r>
    </w:p>
    <w:p w:rsidR="007F43E0" w:rsidRPr="0049686B" w:rsidRDefault="007F43E0" w:rsidP="00284E65">
      <w:pPr>
        <w:widowControl/>
        <w:ind w:left="720"/>
        <w:rPr>
          <w:rFonts w:ascii="Times New Roman" w:hAnsi="Times New Roman"/>
          <w:bCs/>
        </w:rPr>
      </w:pPr>
      <w:r>
        <w:rPr>
          <w:rFonts w:ascii="Times New Roman" w:hAnsi="Times New Roman"/>
          <w:bCs/>
        </w:rPr>
        <w:t>ICR # 1748.09, OMB # 2060-0337</w:t>
      </w:r>
    </w:p>
    <w:p w:rsidR="0049686B" w:rsidRPr="0049686B" w:rsidRDefault="0049686B" w:rsidP="00284E65">
      <w:pPr>
        <w:widowControl/>
        <w:ind w:left="720"/>
        <w:rPr>
          <w:rFonts w:ascii="Times New Roman" w:hAnsi="Times New Roman"/>
        </w:rPr>
      </w:pPr>
    </w:p>
    <w:p w:rsidR="00427659" w:rsidRPr="000774A5" w:rsidRDefault="00427659" w:rsidP="00A35DE2">
      <w:pPr>
        <w:widowControl/>
        <w:tabs>
          <w:tab w:val="left" w:pos="-1440"/>
        </w:tabs>
        <w:ind w:left="720" w:hanging="720"/>
        <w:rPr>
          <w:rFonts w:ascii="Times New Roman" w:hAnsi="Times New Roman"/>
        </w:rPr>
      </w:pPr>
      <w:r w:rsidRPr="000774A5">
        <w:rPr>
          <w:rFonts w:ascii="Times New Roman" w:hAnsi="Times New Roman"/>
          <w:b/>
          <w:bCs/>
        </w:rPr>
        <w:t>1(b)</w:t>
      </w:r>
      <w:r w:rsidRPr="000774A5">
        <w:rPr>
          <w:rFonts w:ascii="Times New Roman" w:hAnsi="Times New Roman"/>
          <w:b/>
          <w:bCs/>
        </w:rPr>
        <w:tab/>
        <w:t>Short Characterization (Abstract)</w:t>
      </w:r>
    </w:p>
    <w:p w:rsidR="00F94028" w:rsidRDefault="00427659" w:rsidP="00766FCA">
      <w:pPr>
        <w:widowControl/>
        <w:tabs>
          <w:tab w:val="left" w:pos="-1440"/>
          <w:tab w:val="left" w:pos="720"/>
        </w:tabs>
        <w:ind w:left="1440" w:hanging="720"/>
        <w:rPr>
          <w:rFonts w:ascii="Times New Roman" w:hAnsi="Times New Roman"/>
        </w:rPr>
      </w:pPr>
      <w:r w:rsidRPr="000774A5">
        <w:rPr>
          <w:rFonts w:ascii="Times New Roman" w:hAnsi="Times New Roman"/>
        </w:rPr>
        <w:t>Type of collection</w:t>
      </w:r>
      <w:r w:rsidR="00F94028">
        <w:rPr>
          <w:rFonts w:ascii="Times New Roman" w:hAnsi="Times New Roman"/>
        </w:rPr>
        <w:t xml:space="preserve">: </w:t>
      </w:r>
    </w:p>
    <w:p w:rsidR="00427659" w:rsidRPr="000774A5" w:rsidRDefault="00427659" w:rsidP="00233C4B">
      <w:pPr>
        <w:widowControl/>
        <w:tabs>
          <w:tab w:val="left" w:pos="-1440"/>
        </w:tabs>
        <w:ind w:left="720"/>
        <w:rPr>
          <w:rFonts w:ascii="Times New Roman" w:hAnsi="Times New Roman"/>
        </w:rPr>
      </w:pPr>
      <w:r w:rsidRPr="000774A5">
        <w:rPr>
          <w:rFonts w:ascii="Times New Roman" w:hAnsi="Times New Roman"/>
        </w:rPr>
        <w:t xml:space="preserve">This </w:t>
      </w:r>
      <w:r w:rsidR="009A550D" w:rsidRPr="000774A5">
        <w:rPr>
          <w:rFonts w:ascii="Times New Roman" w:hAnsi="Times New Roman"/>
        </w:rPr>
        <w:t>is</w:t>
      </w:r>
      <w:r w:rsidRPr="000774A5">
        <w:rPr>
          <w:rFonts w:ascii="Times New Roman" w:hAnsi="Times New Roman"/>
        </w:rPr>
        <w:t xml:space="preserve"> an annual collection of </w:t>
      </w:r>
      <w:r w:rsidR="009A550D" w:rsidRPr="000774A5">
        <w:rPr>
          <w:rFonts w:ascii="Times New Roman" w:hAnsi="Times New Roman"/>
        </w:rPr>
        <w:t>State Small Business Environmental Assistance Program</w:t>
      </w:r>
      <w:r w:rsidR="00A9330E" w:rsidRPr="000774A5">
        <w:rPr>
          <w:rFonts w:ascii="Times New Roman" w:hAnsi="Times New Roman"/>
        </w:rPr>
        <w:t>s</w:t>
      </w:r>
      <w:r w:rsidR="009A550D" w:rsidRPr="000774A5">
        <w:rPr>
          <w:rFonts w:ascii="Times New Roman" w:hAnsi="Times New Roman"/>
        </w:rPr>
        <w:t xml:space="preserve"> (SBEAP)</w:t>
      </w:r>
      <w:r w:rsidRPr="000774A5">
        <w:rPr>
          <w:rFonts w:ascii="Times New Roman" w:hAnsi="Times New Roman"/>
        </w:rPr>
        <w:t xml:space="preserve"> information </w:t>
      </w:r>
      <w:r w:rsidR="009A550D" w:rsidRPr="000774A5">
        <w:rPr>
          <w:rFonts w:ascii="Times New Roman" w:hAnsi="Times New Roman"/>
        </w:rPr>
        <w:t xml:space="preserve">to measure their </w:t>
      </w:r>
      <w:r w:rsidRPr="000774A5">
        <w:rPr>
          <w:rFonts w:ascii="Times New Roman" w:hAnsi="Times New Roman"/>
        </w:rPr>
        <w:t>activities and accomplishments</w:t>
      </w:r>
      <w:r w:rsidR="009A550D" w:rsidRPr="000774A5">
        <w:rPr>
          <w:rFonts w:ascii="Times New Roman" w:hAnsi="Times New Roman"/>
        </w:rPr>
        <w:t xml:space="preserve"> from the preceding calendar</w:t>
      </w:r>
      <w:r w:rsidR="001A7D8D" w:rsidRPr="000774A5">
        <w:rPr>
          <w:rFonts w:ascii="Times New Roman" w:hAnsi="Times New Roman"/>
        </w:rPr>
        <w:t xml:space="preserve"> </w:t>
      </w:r>
      <w:r w:rsidR="009A550D" w:rsidRPr="000774A5">
        <w:rPr>
          <w:rFonts w:ascii="Times New Roman" w:hAnsi="Times New Roman"/>
        </w:rPr>
        <w:t>year</w:t>
      </w:r>
      <w:r w:rsidRPr="000774A5">
        <w:rPr>
          <w:rFonts w:ascii="Times New Roman" w:hAnsi="Times New Roman"/>
        </w:rPr>
        <w:t>.</w:t>
      </w:r>
    </w:p>
    <w:p w:rsidR="00427659" w:rsidRPr="000774A5" w:rsidRDefault="00427659" w:rsidP="00425C31">
      <w:pPr>
        <w:widowControl/>
        <w:rPr>
          <w:rFonts w:ascii="Times New Roman" w:hAnsi="Times New Roman"/>
        </w:rPr>
      </w:pPr>
    </w:p>
    <w:p w:rsidR="00F94028" w:rsidRDefault="00427659" w:rsidP="00233C4B">
      <w:pPr>
        <w:widowControl/>
        <w:tabs>
          <w:tab w:val="left" w:pos="-1440"/>
        </w:tabs>
        <w:ind w:left="1440" w:hanging="720"/>
        <w:rPr>
          <w:rFonts w:ascii="Times New Roman" w:hAnsi="Times New Roman"/>
        </w:rPr>
      </w:pPr>
      <w:r w:rsidRPr="000774A5">
        <w:rPr>
          <w:rFonts w:ascii="Times New Roman" w:hAnsi="Times New Roman"/>
        </w:rPr>
        <w:t>Who is collecting?</w:t>
      </w:r>
      <w:r w:rsidR="00F94028">
        <w:rPr>
          <w:rFonts w:ascii="Times New Roman" w:hAnsi="Times New Roman"/>
        </w:rPr>
        <w:t xml:space="preserve"> </w:t>
      </w:r>
    </w:p>
    <w:p w:rsidR="00427659" w:rsidRPr="000774A5" w:rsidRDefault="00427659" w:rsidP="00804523">
      <w:pPr>
        <w:widowControl/>
        <w:tabs>
          <w:tab w:val="left" w:pos="-1440"/>
        </w:tabs>
        <w:ind w:left="720"/>
        <w:rPr>
          <w:rFonts w:ascii="Times New Roman" w:hAnsi="Times New Roman"/>
        </w:rPr>
      </w:pPr>
      <w:r w:rsidRPr="000774A5">
        <w:rPr>
          <w:rFonts w:ascii="Times New Roman" w:hAnsi="Times New Roman"/>
        </w:rPr>
        <w:t xml:space="preserve">This information </w:t>
      </w:r>
      <w:r w:rsidR="009A550D" w:rsidRPr="000774A5">
        <w:rPr>
          <w:rFonts w:ascii="Times New Roman" w:hAnsi="Times New Roman"/>
        </w:rPr>
        <w:t>is</w:t>
      </w:r>
      <w:r w:rsidRPr="000774A5">
        <w:rPr>
          <w:rFonts w:ascii="Times New Roman" w:hAnsi="Times New Roman"/>
        </w:rPr>
        <w:t xml:space="preserve"> collected annually by the EPA Small Business Ombudsman (SBO)</w:t>
      </w:r>
      <w:r w:rsidR="009A550D" w:rsidRPr="000774A5">
        <w:rPr>
          <w:rFonts w:ascii="Times New Roman" w:hAnsi="Times New Roman"/>
        </w:rPr>
        <w:t xml:space="preserve"> Team</w:t>
      </w:r>
      <w:r w:rsidRPr="000774A5">
        <w:rPr>
          <w:rFonts w:ascii="Times New Roman" w:hAnsi="Times New Roman"/>
        </w:rPr>
        <w:t>.</w:t>
      </w:r>
    </w:p>
    <w:p w:rsidR="00427659" w:rsidRPr="000774A5" w:rsidRDefault="00427659" w:rsidP="00425C31">
      <w:pPr>
        <w:widowControl/>
        <w:rPr>
          <w:rFonts w:ascii="Times New Roman" w:hAnsi="Times New Roman"/>
        </w:rPr>
      </w:pPr>
    </w:p>
    <w:p w:rsidR="00427659" w:rsidRPr="000774A5" w:rsidRDefault="009A550D" w:rsidP="00804523">
      <w:pPr>
        <w:widowControl/>
        <w:tabs>
          <w:tab w:val="left" w:pos="-1440"/>
        </w:tabs>
        <w:ind w:left="720" w:hanging="720"/>
        <w:rPr>
          <w:rFonts w:ascii="Times New Roman" w:hAnsi="Times New Roman"/>
        </w:rPr>
      </w:pPr>
      <w:r w:rsidRPr="000774A5">
        <w:rPr>
          <w:rFonts w:ascii="Times New Roman" w:hAnsi="Times New Roman"/>
        </w:rPr>
        <w:tab/>
      </w:r>
      <w:r w:rsidR="00427659" w:rsidRPr="000774A5">
        <w:rPr>
          <w:rFonts w:ascii="Times New Roman" w:hAnsi="Times New Roman"/>
        </w:rPr>
        <w:t>What is being collected?</w:t>
      </w:r>
      <w:r w:rsidR="00F94028">
        <w:rPr>
          <w:rFonts w:ascii="Times New Roman" w:hAnsi="Times New Roman"/>
        </w:rPr>
        <w:t xml:space="preserve"> </w:t>
      </w:r>
    </w:p>
    <w:p w:rsidR="00427659" w:rsidRPr="000774A5" w:rsidRDefault="00427659" w:rsidP="00804523">
      <w:pPr>
        <w:widowControl/>
        <w:ind w:left="720"/>
        <w:rPr>
          <w:rFonts w:ascii="Times New Roman" w:hAnsi="Times New Roman"/>
        </w:rPr>
      </w:pPr>
      <w:r w:rsidRPr="000774A5">
        <w:rPr>
          <w:rFonts w:ascii="Times New Roman" w:hAnsi="Times New Roman"/>
        </w:rPr>
        <w:t xml:space="preserve">Information </w:t>
      </w:r>
      <w:r w:rsidR="008A0379" w:rsidRPr="000774A5">
        <w:rPr>
          <w:rFonts w:ascii="Times New Roman" w:hAnsi="Times New Roman"/>
        </w:rPr>
        <w:t>on:</w:t>
      </w:r>
      <w:r w:rsidRPr="000774A5">
        <w:rPr>
          <w:rFonts w:ascii="Times New Roman" w:hAnsi="Times New Roman"/>
        </w:rPr>
        <w:t xml:space="preserve"> </w:t>
      </w:r>
      <w:r w:rsidR="008A0379" w:rsidRPr="000774A5">
        <w:rPr>
          <w:rFonts w:ascii="Times New Roman" w:hAnsi="Times New Roman"/>
        </w:rPr>
        <w:t>p</w:t>
      </w:r>
      <w:r w:rsidRPr="000774A5">
        <w:rPr>
          <w:rFonts w:ascii="Times New Roman" w:hAnsi="Times New Roman"/>
        </w:rPr>
        <w:t xml:space="preserve">rogram </w:t>
      </w:r>
      <w:r w:rsidR="008A0379" w:rsidRPr="000774A5">
        <w:rPr>
          <w:rFonts w:ascii="Times New Roman" w:hAnsi="Times New Roman"/>
        </w:rPr>
        <w:t>c</w:t>
      </w:r>
      <w:r w:rsidRPr="000774A5">
        <w:rPr>
          <w:rFonts w:ascii="Times New Roman" w:hAnsi="Times New Roman"/>
        </w:rPr>
        <w:t>ontacts;</w:t>
      </w:r>
      <w:r w:rsidR="008A0379" w:rsidRPr="000774A5">
        <w:rPr>
          <w:rFonts w:ascii="Times New Roman" w:hAnsi="Times New Roman"/>
        </w:rPr>
        <w:t xml:space="preserve"> program resources (budget and staffing); structure; activities; o</w:t>
      </w:r>
      <w:r w:rsidRPr="000774A5">
        <w:rPr>
          <w:rFonts w:ascii="Times New Roman" w:hAnsi="Times New Roman"/>
        </w:rPr>
        <w:t>utreach</w:t>
      </w:r>
      <w:r w:rsidR="008A0379" w:rsidRPr="000774A5">
        <w:rPr>
          <w:rFonts w:ascii="Times New Roman" w:hAnsi="Times New Roman"/>
        </w:rPr>
        <w:t xml:space="preserve"> efforts,</w:t>
      </w:r>
      <w:r w:rsidRPr="000774A5">
        <w:rPr>
          <w:rFonts w:ascii="Times New Roman" w:hAnsi="Times New Roman"/>
        </w:rPr>
        <w:t xml:space="preserve"> the types and numbers of </w:t>
      </w:r>
      <w:r w:rsidR="008A0379" w:rsidRPr="000774A5">
        <w:rPr>
          <w:rFonts w:ascii="Times New Roman" w:hAnsi="Times New Roman"/>
        </w:rPr>
        <w:t>such activities</w:t>
      </w:r>
      <w:r w:rsidR="002D33CE" w:rsidRPr="000774A5">
        <w:rPr>
          <w:rFonts w:ascii="Times New Roman" w:hAnsi="Times New Roman"/>
        </w:rPr>
        <w:t>;</w:t>
      </w:r>
      <w:r w:rsidRPr="000774A5">
        <w:rPr>
          <w:rFonts w:ascii="Times New Roman" w:hAnsi="Times New Roman"/>
        </w:rPr>
        <w:t xml:space="preserve"> </w:t>
      </w:r>
      <w:r w:rsidR="008A0379" w:rsidRPr="000774A5">
        <w:rPr>
          <w:rFonts w:ascii="Times New Roman" w:hAnsi="Times New Roman"/>
        </w:rPr>
        <w:t>t</w:t>
      </w:r>
      <w:r w:rsidRPr="000774A5">
        <w:rPr>
          <w:rFonts w:ascii="Times New Roman" w:hAnsi="Times New Roman"/>
        </w:rPr>
        <w:t xml:space="preserve">echnical </w:t>
      </w:r>
      <w:r w:rsidR="008A0379" w:rsidRPr="000774A5">
        <w:rPr>
          <w:rFonts w:ascii="Times New Roman" w:hAnsi="Times New Roman"/>
        </w:rPr>
        <w:t>a</w:t>
      </w:r>
      <w:r w:rsidRPr="000774A5">
        <w:rPr>
          <w:rFonts w:ascii="Times New Roman" w:hAnsi="Times New Roman"/>
        </w:rPr>
        <w:t>ssistance</w:t>
      </w:r>
      <w:r w:rsidR="008A0379" w:rsidRPr="000774A5">
        <w:rPr>
          <w:rFonts w:ascii="Times New Roman" w:hAnsi="Times New Roman"/>
        </w:rPr>
        <w:t xml:space="preserve">, types and numbers for these activities; internet data, website addresses, number of pages and number of hits; and </w:t>
      </w:r>
      <w:r w:rsidR="006719F2" w:rsidRPr="000774A5">
        <w:rPr>
          <w:rFonts w:ascii="Times New Roman" w:hAnsi="Times New Roman"/>
        </w:rPr>
        <w:t>outcome measures</w:t>
      </w:r>
      <w:r w:rsidR="008A0379" w:rsidRPr="000774A5">
        <w:rPr>
          <w:rFonts w:ascii="Times New Roman" w:hAnsi="Times New Roman"/>
        </w:rPr>
        <w:t xml:space="preserve"> </w:t>
      </w:r>
      <w:r w:rsidR="006719F2" w:rsidRPr="000774A5">
        <w:rPr>
          <w:rFonts w:ascii="Times New Roman" w:hAnsi="Times New Roman"/>
        </w:rPr>
        <w:t>of program results</w:t>
      </w:r>
      <w:r w:rsidRPr="000774A5">
        <w:rPr>
          <w:rFonts w:ascii="Times New Roman" w:hAnsi="Times New Roman"/>
        </w:rPr>
        <w:t>.</w:t>
      </w:r>
    </w:p>
    <w:p w:rsidR="00427659" w:rsidRPr="000774A5" w:rsidRDefault="00427659" w:rsidP="00425C31">
      <w:pPr>
        <w:widowControl/>
        <w:rPr>
          <w:rFonts w:ascii="Times New Roman" w:hAnsi="Times New Roman"/>
        </w:rPr>
      </w:pPr>
    </w:p>
    <w:p w:rsidR="00F94028" w:rsidRDefault="00427659" w:rsidP="00804523">
      <w:pPr>
        <w:widowControl/>
        <w:tabs>
          <w:tab w:val="left" w:pos="-1440"/>
        </w:tabs>
        <w:ind w:left="720" w:hanging="720"/>
        <w:rPr>
          <w:rFonts w:ascii="Times New Roman" w:hAnsi="Times New Roman"/>
        </w:rPr>
      </w:pPr>
      <w:r w:rsidRPr="000774A5">
        <w:rPr>
          <w:rFonts w:ascii="Times New Roman" w:hAnsi="Times New Roman"/>
        </w:rPr>
        <w:tab/>
        <w:t>Why?</w:t>
      </w:r>
    </w:p>
    <w:p w:rsidR="00427659" w:rsidRPr="000774A5" w:rsidRDefault="00F94028" w:rsidP="00804523">
      <w:pPr>
        <w:widowControl/>
        <w:tabs>
          <w:tab w:val="left" w:pos="-1440"/>
        </w:tabs>
        <w:ind w:left="720" w:hanging="720"/>
        <w:rPr>
          <w:rFonts w:ascii="Times New Roman" w:hAnsi="Times New Roman"/>
        </w:rPr>
      </w:pPr>
      <w:r>
        <w:rPr>
          <w:rFonts w:ascii="Times New Roman" w:hAnsi="Times New Roman"/>
        </w:rPr>
        <w:tab/>
      </w:r>
      <w:r w:rsidR="00427659" w:rsidRPr="000774A5">
        <w:rPr>
          <w:rFonts w:ascii="Times New Roman" w:hAnsi="Times New Roman"/>
        </w:rPr>
        <w:t xml:space="preserve">The information will be collected, evaluated, summarized, and </w:t>
      </w:r>
      <w:r w:rsidR="00427659" w:rsidRPr="008620C9">
        <w:rPr>
          <w:rFonts w:ascii="Times New Roman" w:hAnsi="Times New Roman"/>
        </w:rPr>
        <w:t>reported to the Congress</w:t>
      </w:r>
      <w:r w:rsidR="00427659" w:rsidRPr="000774A5">
        <w:rPr>
          <w:rFonts w:ascii="Times New Roman" w:hAnsi="Times New Roman"/>
        </w:rPr>
        <w:t xml:space="preserve"> as required under Section 507 of the Clean Air Act (CAA) as amended in 1990. Information collected will show trends in program advancement, budget changes</w:t>
      </w:r>
      <w:r w:rsidR="00B31DF0" w:rsidRPr="000774A5">
        <w:rPr>
          <w:rFonts w:ascii="Times New Roman" w:hAnsi="Times New Roman"/>
        </w:rPr>
        <w:t>,</w:t>
      </w:r>
      <w:r w:rsidR="00427659" w:rsidRPr="000774A5">
        <w:rPr>
          <w:rFonts w:ascii="Times New Roman" w:hAnsi="Times New Roman"/>
        </w:rPr>
        <w:t xml:space="preserve"> numbers of small businesses assisted</w:t>
      </w:r>
      <w:r w:rsidR="002D33CE" w:rsidRPr="000774A5">
        <w:rPr>
          <w:rFonts w:ascii="Times New Roman" w:hAnsi="Times New Roman"/>
        </w:rPr>
        <w:t xml:space="preserve">; and the </w:t>
      </w:r>
      <w:r w:rsidR="006719F2" w:rsidRPr="000774A5">
        <w:rPr>
          <w:rFonts w:ascii="Times New Roman" w:hAnsi="Times New Roman"/>
        </w:rPr>
        <w:t>outcome</w:t>
      </w:r>
      <w:r w:rsidR="00A84616" w:rsidRPr="000774A5">
        <w:rPr>
          <w:rFonts w:ascii="Times New Roman" w:hAnsi="Times New Roman"/>
        </w:rPr>
        <w:t xml:space="preserve"> </w:t>
      </w:r>
      <w:r w:rsidR="002D33CE" w:rsidRPr="000774A5">
        <w:rPr>
          <w:rFonts w:ascii="Times New Roman" w:hAnsi="Times New Roman"/>
        </w:rPr>
        <w:t>questions will provide a foundation for reporting on the effectiveness of particular program efforts</w:t>
      </w:r>
      <w:r w:rsidR="00427659" w:rsidRPr="000774A5">
        <w:rPr>
          <w:rFonts w:ascii="Times New Roman" w:hAnsi="Times New Roman"/>
        </w:rPr>
        <w:t xml:space="preserve">.  This information is </w:t>
      </w:r>
      <w:r w:rsidR="002D33CE" w:rsidRPr="000774A5">
        <w:rPr>
          <w:rFonts w:ascii="Times New Roman" w:hAnsi="Times New Roman"/>
        </w:rPr>
        <w:t xml:space="preserve">valuable </w:t>
      </w:r>
      <w:r w:rsidR="002D33CE" w:rsidRPr="008620C9">
        <w:rPr>
          <w:rFonts w:ascii="Times New Roman" w:hAnsi="Times New Roman"/>
        </w:rPr>
        <w:t xml:space="preserve">to </w:t>
      </w:r>
      <w:r w:rsidR="00A9330E" w:rsidRPr="008620C9">
        <w:rPr>
          <w:rFonts w:ascii="Times New Roman" w:hAnsi="Times New Roman"/>
        </w:rPr>
        <w:t>C</w:t>
      </w:r>
      <w:r w:rsidR="00427659" w:rsidRPr="008620C9">
        <w:rPr>
          <w:rFonts w:ascii="Times New Roman" w:hAnsi="Times New Roman"/>
        </w:rPr>
        <w:t>ongress</w:t>
      </w:r>
      <w:r w:rsidR="001D4CE1">
        <w:rPr>
          <w:rFonts w:ascii="Times New Roman" w:hAnsi="Times New Roman"/>
        </w:rPr>
        <w:t>,</w:t>
      </w:r>
      <w:r w:rsidR="00427659" w:rsidRPr="000774A5">
        <w:rPr>
          <w:rFonts w:ascii="Times New Roman" w:hAnsi="Times New Roman"/>
        </w:rPr>
        <w:t xml:space="preserve"> other</w:t>
      </w:r>
      <w:r w:rsidR="002D33CE" w:rsidRPr="000774A5">
        <w:rPr>
          <w:rFonts w:ascii="Times New Roman" w:hAnsi="Times New Roman"/>
        </w:rPr>
        <w:t xml:space="preserve"> federal</w:t>
      </w:r>
      <w:r w:rsidR="000774A5">
        <w:rPr>
          <w:rFonts w:ascii="Times New Roman" w:hAnsi="Times New Roman"/>
        </w:rPr>
        <w:t xml:space="preserve"> </w:t>
      </w:r>
      <w:r w:rsidR="002D33CE" w:rsidRPr="000774A5">
        <w:rPr>
          <w:rFonts w:ascii="Times New Roman" w:hAnsi="Times New Roman"/>
        </w:rPr>
        <w:t>stakeholders</w:t>
      </w:r>
      <w:r w:rsidR="001D4CE1">
        <w:rPr>
          <w:rFonts w:ascii="Times New Roman" w:hAnsi="Times New Roman"/>
        </w:rPr>
        <w:t>, and the small business community</w:t>
      </w:r>
      <w:r w:rsidR="00427659" w:rsidRPr="000774A5">
        <w:rPr>
          <w:rFonts w:ascii="Times New Roman" w:hAnsi="Times New Roman"/>
        </w:rPr>
        <w:t xml:space="preserve"> to see what is being accomplished by the state programs and the progress toward improved environmental performance b</w:t>
      </w:r>
      <w:r w:rsidR="002D33CE" w:rsidRPr="000774A5">
        <w:rPr>
          <w:rFonts w:ascii="Times New Roman" w:hAnsi="Times New Roman"/>
        </w:rPr>
        <w:t>y the small business community.</w:t>
      </w:r>
      <w:r w:rsidR="00427659" w:rsidRPr="000774A5">
        <w:rPr>
          <w:rFonts w:ascii="Times New Roman" w:hAnsi="Times New Roman"/>
        </w:rPr>
        <w:t xml:space="preserve">  </w:t>
      </w:r>
    </w:p>
    <w:p w:rsidR="00427659" w:rsidRPr="000774A5" w:rsidRDefault="00427659" w:rsidP="00425C31">
      <w:pPr>
        <w:widowControl/>
        <w:rPr>
          <w:rFonts w:ascii="Times New Roman" w:hAnsi="Times New Roman"/>
        </w:rPr>
      </w:pPr>
    </w:p>
    <w:p w:rsidR="00427659" w:rsidRDefault="00427659" w:rsidP="00804523">
      <w:pPr>
        <w:widowControl/>
        <w:tabs>
          <w:tab w:val="left" w:pos="-1440"/>
        </w:tabs>
        <w:ind w:left="720" w:hanging="720"/>
        <w:rPr>
          <w:rFonts w:ascii="Times New Roman" w:hAnsi="Times New Roman"/>
        </w:rPr>
      </w:pPr>
      <w:r w:rsidRPr="000774A5">
        <w:rPr>
          <w:rFonts w:ascii="Times New Roman" w:hAnsi="Times New Roman"/>
        </w:rPr>
        <w:tab/>
        <w:t>Who will use the information?</w:t>
      </w:r>
    </w:p>
    <w:p w:rsidR="00427659" w:rsidRPr="000774A5" w:rsidRDefault="00F94028" w:rsidP="00804523">
      <w:pPr>
        <w:widowControl/>
        <w:tabs>
          <w:tab w:val="left" w:pos="-1440"/>
        </w:tabs>
        <w:ind w:left="720" w:hanging="720"/>
        <w:rPr>
          <w:rFonts w:ascii="Times New Roman" w:hAnsi="Times New Roman"/>
        </w:rPr>
      </w:pPr>
      <w:r>
        <w:rPr>
          <w:rFonts w:ascii="Times New Roman" w:hAnsi="Times New Roman"/>
        </w:rPr>
        <w:tab/>
      </w:r>
      <w:r w:rsidR="002D33CE" w:rsidRPr="000774A5">
        <w:rPr>
          <w:rFonts w:ascii="Times New Roman" w:hAnsi="Times New Roman"/>
        </w:rPr>
        <w:t>This information is</w:t>
      </w:r>
      <w:r w:rsidR="00427659" w:rsidRPr="000774A5">
        <w:rPr>
          <w:rFonts w:ascii="Times New Roman" w:hAnsi="Times New Roman"/>
        </w:rPr>
        <w:t xml:space="preserve"> used by the EPA SBO to evaluate the progress of state implementation of Section 507; </w:t>
      </w:r>
      <w:r w:rsidR="00427659" w:rsidRPr="008620C9">
        <w:rPr>
          <w:rFonts w:ascii="Times New Roman" w:hAnsi="Times New Roman"/>
        </w:rPr>
        <w:t>by Congress</w:t>
      </w:r>
      <w:r w:rsidR="00427659" w:rsidRPr="000774A5">
        <w:rPr>
          <w:rFonts w:ascii="Times New Roman" w:hAnsi="Times New Roman"/>
        </w:rPr>
        <w:t xml:space="preserve"> in consideration of incorporating similar small business assistance programs into other environmental legislative actions as they come up for amendments or re-authorization; by states, both externally and internally to</w:t>
      </w:r>
      <w:r w:rsidR="005D6A69" w:rsidRPr="000774A5">
        <w:rPr>
          <w:rFonts w:ascii="Times New Roman" w:hAnsi="Times New Roman"/>
        </w:rPr>
        <w:t xml:space="preserve"> manage and</w:t>
      </w:r>
      <w:r w:rsidR="00427659" w:rsidRPr="000774A5">
        <w:rPr>
          <w:rFonts w:ascii="Times New Roman" w:hAnsi="Times New Roman"/>
        </w:rPr>
        <w:t xml:space="preserve"> highlight their programs; by national small business trade associations</w:t>
      </w:r>
      <w:r w:rsidR="005D6A69" w:rsidRPr="000774A5">
        <w:rPr>
          <w:rFonts w:ascii="Times New Roman" w:hAnsi="Times New Roman"/>
        </w:rPr>
        <w:t>,</w:t>
      </w:r>
      <w:r w:rsidR="00427659" w:rsidRPr="000774A5">
        <w:rPr>
          <w:rFonts w:ascii="Times New Roman" w:hAnsi="Times New Roman"/>
        </w:rPr>
        <w:t xml:space="preserve"> the original promoters of this concept</w:t>
      </w:r>
      <w:r w:rsidR="005D6A69" w:rsidRPr="000774A5">
        <w:rPr>
          <w:rFonts w:ascii="Times New Roman" w:hAnsi="Times New Roman"/>
        </w:rPr>
        <w:t>,</w:t>
      </w:r>
      <w:r w:rsidR="00427659" w:rsidRPr="000774A5">
        <w:rPr>
          <w:rFonts w:ascii="Times New Roman" w:hAnsi="Times New Roman"/>
        </w:rPr>
        <w:t xml:space="preserve"> to see how </w:t>
      </w:r>
      <w:r w:rsidR="005D6A69" w:rsidRPr="000774A5">
        <w:rPr>
          <w:rFonts w:ascii="Times New Roman" w:hAnsi="Times New Roman"/>
        </w:rPr>
        <w:t xml:space="preserve">the </w:t>
      </w:r>
      <w:r w:rsidR="00427659" w:rsidRPr="000774A5">
        <w:rPr>
          <w:rFonts w:ascii="Times New Roman" w:hAnsi="Times New Roman"/>
        </w:rPr>
        <w:t>state programs are functioning</w:t>
      </w:r>
      <w:r w:rsidR="005D6A69" w:rsidRPr="000774A5">
        <w:rPr>
          <w:rFonts w:ascii="Times New Roman" w:hAnsi="Times New Roman"/>
        </w:rPr>
        <w:t xml:space="preserve"> and to support their role as an </w:t>
      </w:r>
      <w:r w:rsidR="00427659" w:rsidRPr="000774A5">
        <w:rPr>
          <w:rFonts w:ascii="Times New Roman" w:hAnsi="Times New Roman"/>
        </w:rPr>
        <w:t xml:space="preserve">advocate before the Congress for </w:t>
      </w:r>
      <w:r w:rsidR="005D6A69" w:rsidRPr="000774A5">
        <w:rPr>
          <w:rFonts w:ascii="Times New Roman" w:hAnsi="Times New Roman"/>
        </w:rPr>
        <w:t xml:space="preserve">similar </w:t>
      </w:r>
      <w:r w:rsidR="00427659" w:rsidRPr="000774A5">
        <w:rPr>
          <w:rFonts w:ascii="Times New Roman" w:hAnsi="Times New Roman"/>
        </w:rPr>
        <w:t>programs in environme</w:t>
      </w:r>
      <w:r w:rsidR="001D4CE1">
        <w:rPr>
          <w:rFonts w:ascii="Times New Roman" w:hAnsi="Times New Roman"/>
        </w:rPr>
        <w:t>ntal legislation; and by other f</w:t>
      </w:r>
      <w:r w:rsidR="00427659" w:rsidRPr="000774A5">
        <w:rPr>
          <w:rFonts w:ascii="Times New Roman" w:hAnsi="Times New Roman"/>
        </w:rPr>
        <w:t>ederal agencies, primarily the Small Business Administration, in evaluating the effectiveness of this type of assistance effort.</w:t>
      </w:r>
    </w:p>
    <w:p w:rsidR="009A550D" w:rsidRPr="000774A5" w:rsidRDefault="009A550D" w:rsidP="00425C31">
      <w:pPr>
        <w:widowControl/>
        <w:tabs>
          <w:tab w:val="left" w:pos="-1440"/>
        </w:tabs>
        <w:ind w:left="1440" w:hanging="720"/>
        <w:rPr>
          <w:rFonts w:ascii="Times New Roman" w:hAnsi="Times New Roman"/>
        </w:rPr>
      </w:pPr>
    </w:p>
    <w:p w:rsidR="00427659" w:rsidRPr="000774A5" w:rsidRDefault="00427659" w:rsidP="00173696">
      <w:pPr>
        <w:keepNext/>
        <w:widowControl/>
        <w:tabs>
          <w:tab w:val="left" w:pos="-1440"/>
        </w:tabs>
        <w:ind w:left="720" w:hanging="720"/>
        <w:rPr>
          <w:rFonts w:ascii="Times New Roman" w:hAnsi="Times New Roman"/>
        </w:rPr>
      </w:pPr>
      <w:r w:rsidRPr="000774A5">
        <w:rPr>
          <w:rFonts w:ascii="Times New Roman" w:hAnsi="Times New Roman"/>
        </w:rPr>
        <w:lastRenderedPageBreak/>
        <w:tab/>
        <w:t>How will the information be collected and stored?</w:t>
      </w:r>
      <w:r w:rsidR="00F94028">
        <w:rPr>
          <w:rFonts w:ascii="Times New Roman" w:hAnsi="Times New Roman"/>
        </w:rPr>
        <w:t xml:space="preserve"> </w:t>
      </w:r>
    </w:p>
    <w:p w:rsidR="00427659" w:rsidRPr="000774A5" w:rsidRDefault="00427659" w:rsidP="00173696">
      <w:pPr>
        <w:keepNext/>
        <w:widowControl/>
        <w:ind w:left="720"/>
        <w:rPr>
          <w:rFonts w:ascii="Times New Roman" w:hAnsi="Times New Roman"/>
        </w:rPr>
      </w:pPr>
      <w:r w:rsidRPr="000774A5">
        <w:rPr>
          <w:rFonts w:ascii="Times New Roman" w:hAnsi="Times New Roman"/>
        </w:rPr>
        <w:t xml:space="preserve">Information will be collected using </w:t>
      </w:r>
      <w:r w:rsidR="002D33CE" w:rsidRPr="000774A5">
        <w:rPr>
          <w:rFonts w:ascii="Times New Roman" w:hAnsi="Times New Roman"/>
        </w:rPr>
        <w:t xml:space="preserve">an e-mailed survey form.  </w:t>
      </w:r>
      <w:r w:rsidR="00270C34" w:rsidRPr="000774A5">
        <w:rPr>
          <w:rFonts w:ascii="Times New Roman" w:hAnsi="Times New Roman"/>
        </w:rPr>
        <w:t>The EPA SBO will send the form to the r</w:t>
      </w:r>
      <w:r w:rsidR="002D33CE" w:rsidRPr="000774A5">
        <w:rPr>
          <w:rFonts w:ascii="Times New Roman" w:hAnsi="Times New Roman"/>
        </w:rPr>
        <w:t>espondents</w:t>
      </w:r>
      <w:r w:rsidR="002B5C85">
        <w:rPr>
          <w:rFonts w:ascii="Times New Roman" w:hAnsi="Times New Roman"/>
        </w:rPr>
        <w:t>,</w:t>
      </w:r>
      <w:r w:rsidRPr="000774A5">
        <w:rPr>
          <w:rFonts w:ascii="Times New Roman" w:hAnsi="Times New Roman"/>
        </w:rPr>
        <w:t xml:space="preserve"> </w:t>
      </w:r>
      <w:r w:rsidR="002D33CE" w:rsidRPr="000774A5">
        <w:rPr>
          <w:rFonts w:ascii="Times New Roman" w:hAnsi="Times New Roman"/>
        </w:rPr>
        <w:t xml:space="preserve">and </w:t>
      </w:r>
      <w:r w:rsidR="00270C34" w:rsidRPr="000774A5">
        <w:rPr>
          <w:rFonts w:ascii="Times New Roman" w:hAnsi="Times New Roman"/>
        </w:rPr>
        <w:t xml:space="preserve">they will </w:t>
      </w:r>
      <w:r w:rsidR="002D33CE" w:rsidRPr="000774A5">
        <w:rPr>
          <w:rFonts w:ascii="Times New Roman" w:hAnsi="Times New Roman"/>
        </w:rPr>
        <w:t xml:space="preserve">return the completed form to that office. </w:t>
      </w:r>
      <w:r w:rsidRPr="000774A5">
        <w:rPr>
          <w:rFonts w:ascii="Times New Roman" w:hAnsi="Times New Roman"/>
        </w:rPr>
        <w:t xml:space="preserve"> </w:t>
      </w:r>
      <w:r w:rsidR="002D33CE" w:rsidRPr="000774A5">
        <w:rPr>
          <w:rFonts w:ascii="Times New Roman" w:hAnsi="Times New Roman"/>
        </w:rPr>
        <w:t>The information will be stored i</w:t>
      </w:r>
      <w:r w:rsidRPr="000774A5">
        <w:rPr>
          <w:rFonts w:ascii="Times New Roman" w:hAnsi="Times New Roman"/>
        </w:rPr>
        <w:t xml:space="preserve">n a </w:t>
      </w:r>
      <w:r w:rsidR="002D33CE" w:rsidRPr="000774A5">
        <w:rPr>
          <w:rFonts w:ascii="Times New Roman" w:hAnsi="Times New Roman"/>
        </w:rPr>
        <w:t>spreadsheet that will be made available to programs upon request</w:t>
      </w:r>
      <w:r w:rsidRPr="000774A5">
        <w:rPr>
          <w:rFonts w:ascii="Times New Roman" w:hAnsi="Times New Roman"/>
        </w:rPr>
        <w:t xml:space="preserve">. The Small Business </w:t>
      </w:r>
      <w:r w:rsidR="002D33CE" w:rsidRPr="000774A5">
        <w:rPr>
          <w:rFonts w:ascii="Times New Roman" w:hAnsi="Times New Roman"/>
        </w:rPr>
        <w:t>Ombudsman Team</w:t>
      </w:r>
      <w:r w:rsidRPr="000774A5">
        <w:rPr>
          <w:rFonts w:ascii="Times New Roman" w:hAnsi="Times New Roman"/>
        </w:rPr>
        <w:t xml:space="preserve"> will evaluate, review, summarize, and compile the information for preparation of the </w:t>
      </w:r>
      <w:r w:rsidR="006719F2" w:rsidRPr="000774A5">
        <w:rPr>
          <w:rFonts w:ascii="Times New Roman" w:hAnsi="Times New Roman"/>
          <w:i/>
        </w:rPr>
        <w:t>Status of State Small Business Compliance Assistance Programs</w:t>
      </w:r>
      <w:r w:rsidR="006719F2" w:rsidRPr="000774A5">
        <w:rPr>
          <w:rFonts w:ascii="Times New Roman" w:hAnsi="Times New Roman"/>
        </w:rPr>
        <w:t xml:space="preserve"> report</w:t>
      </w:r>
      <w:r w:rsidRPr="000774A5">
        <w:rPr>
          <w:rFonts w:ascii="Times New Roman" w:hAnsi="Times New Roman"/>
        </w:rPr>
        <w:t>.</w:t>
      </w:r>
    </w:p>
    <w:p w:rsidR="00427659" w:rsidRPr="000774A5" w:rsidRDefault="00427659" w:rsidP="00425C31">
      <w:pPr>
        <w:widowControl/>
        <w:rPr>
          <w:rFonts w:ascii="Times New Roman" w:hAnsi="Times New Roman"/>
        </w:rPr>
      </w:pPr>
    </w:p>
    <w:p w:rsidR="00F94028" w:rsidRDefault="00427659" w:rsidP="00804523">
      <w:pPr>
        <w:widowControl/>
        <w:tabs>
          <w:tab w:val="left" w:pos="-1440"/>
        </w:tabs>
        <w:ind w:left="720" w:hanging="720"/>
        <w:rPr>
          <w:rFonts w:ascii="Times New Roman" w:hAnsi="Times New Roman"/>
        </w:rPr>
      </w:pPr>
      <w:r w:rsidRPr="000774A5">
        <w:rPr>
          <w:rFonts w:ascii="Times New Roman" w:hAnsi="Times New Roman"/>
        </w:rPr>
        <w:tab/>
        <w:t>What will this cost?</w:t>
      </w:r>
    </w:p>
    <w:p w:rsidR="00427659" w:rsidRPr="000774A5" w:rsidRDefault="00F94028" w:rsidP="00804523">
      <w:pPr>
        <w:widowControl/>
        <w:tabs>
          <w:tab w:val="left" w:pos="-1440"/>
        </w:tabs>
        <w:ind w:left="720" w:hanging="720"/>
        <w:rPr>
          <w:rFonts w:ascii="Times New Roman" w:hAnsi="Times New Roman"/>
        </w:rPr>
      </w:pPr>
      <w:r>
        <w:rPr>
          <w:rFonts w:ascii="Times New Roman" w:hAnsi="Times New Roman"/>
        </w:rPr>
        <w:tab/>
      </w:r>
      <w:r w:rsidR="00427659" w:rsidRPr="000774A5">
        <w:rPr>
          <w:rFonts w:ascii="Times New Roman" w:hAnsi="Times New Roman"/>
        </w:rPr>
        <w:t xml:space="preserve">The information collection involves 53 respondents [50 states, </w:t>
      </w:r>
      <w:r w:rsidR="00766FCA">
        <w:rPr>
          <w:rFonts w:ascii="Times New Roman" w:hAnsi="Times New Roman"/>
        </w:rPr>
        <w:t>2</w:t>
      </w:r>
      <w:r w:rsidR="00427659" w:rsidRPr="000774A5">
        <w:rPr>
          <w:rFonts w:ascii="Times New Roman" w:hAnsi="Times New Roman"/>
        </w:rPr>
        <w:t xml:space="preserve"> territories (Puerto Rico and the Virgin Islands), and the District of Columbia.  The total respondent co</w:t>
      </w:r>
      <w:r w:rsidR="00F20852" w:rsidRPr="000774A5">
        <w:rPr>
          <w:rFonts w:ascii="Times New Roman" w:hAnsi="Times New Roman"/>
        </w:rPr>
        <w:t>st is estimated to be $</w:t>
      </w:r>
      <w:r w:rsidR="00B46D0D">
        <w:rPr>
          <w:rFonts w:ascii="Times New Roman" w:hAnsi="Times New Roman"/>
        </w:rPr>
        <w:t>104,664</w:t>
      </w:r>
      <w:r w:rsidR="001D4CE1">
        <w:rPr>
          <w:rFonts w:ascii="Times New Roman" w:hAnsi="Times New Roman"/>
        </w:rPr>
        <w:t xml:space="preserve"> per year</w:t>
      </w:r>
      <w:r w:rsidR="00427659" w:rsidRPr="000774A5">
        <w:rPr>
          <w:rFonts w:ascii="Times New Roman" w:hAnsi="Times New Roman"/>
        </w:rPr>
        <w:t xml:space="preserve">. </w:t>
      </w:r>
    </w:p>
    <w:p w:rsidR="00427659" w:rsidRPr="000774A5" w:rsidRDefault="00427659" w:rsidP="00425C31">
      <w:pPr>
        <w:widowControl/>
        <w:rPr>
          <w:rFonts w:ascii="Times New Roman" w:hAnsi="Times New Roman"/>
        </w:rPr>
      </w:pPr>
    </w:p>
    <w:p w:rsidR="00427659" w:rsidRPr="000774A5" w:rsidRDefault="00427659" w:rsidP="00425C31">
      <w:pPr>
        <w:widowControl/>
        <w:tabs>
          <w:tab w:val="left" w:pos="-1440"/>
        </w:tabs>
        <w:ind w:left="720" w:hanging="720"/>
        <w:rPr>
          <w:rFonts w:ascii="Times New Roman" w:hAnsi="Times New Roman"/>
        </w:rPr>
      </w:pPr>
      <w:r w:rsidRPr="000774A5">
        <w:rPr>
          <w:rFonts w:ascii="Times New Roman" w:hAnsi="Times New Roman"/>
          <w:b/>
          <w:bCs/>
        </w:rPr>
        <w:t>2.</w:t>
      </w:r>
      <w:r w:rsidRPr="000774A5">
        <w:rPr>
          <w:rFonts w:ascii="Times New Roman" w:hAnsi="Times New Roman"/>
          <w:b/>
          <w:bCs/>
        </w:rPr>
        <w:tab/>
        <w:t>NEED AND USE OF THE COLLECTION</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2(a)</w:t>
      </w:r>
      <w:r w:rsidRPr="000774A5">
        <w:rPr>
          <w:rFonts w:ascii="Times New Roman" w:hAnsi="Times New Roman"/>
          <w:b/>
          <w:bCs/>
        </w:rPr>
        <w:tab/>
        <w:t>Need/Authority for the Collection</w:t>
      </w:r>
    </w:p>
    <w:p w:rsidR="00427659" w:rsidRPr="000774A5" w:rsidRDefault="00427659" w:rsidP="00233C4B">
      <w:pPr>
        <w:widowControl/>
        <w:ind w:left="720"/>
        <w:rPr>
          <w:rFonts w:ascii="Times New Roman" w:hAnsi="Times New Roman"/>
        </w:rPr>
      </w:pPr>
      <w:r w:rsidRPr="000774A5">
        <w:rPr>
          <w:rFonts w:ascii="Times New Roman" w:hAnsi="Times New Roman"/>
        </w:rPr>
        <w:t xml:space="preserve">This collection of information is pursuant to Section 507, Small Business Stationary Source Technical and Environmental Compliance Assistance Program (SBTCP) (a), (d), and (e) of the Clean Air Act as amended in 1990, Public Law 101-549, November 15, 1990.  This Act directs EPA to monitor the 507 programs and </w:t>
      </w:r>
      <w:r w:rsidRPr="00734605">
        <w:rPr>
          <w:rFonts w:ascii="Times New Roman" w:hAnsi="Times New Roman"/>
        </w:rPr>
        <w:t>to provide a periodic report to Congress</w:t>
      </w:r>
      <w:r w:rsidRPr="000774A5">
        <w:rPr>
          <w:rFonts w:ascii="Times New Roman" w:hAnsi="Times New Roman"/>
        </w:rPr>
        <w:t xml:space="preserve">.  This responsibility has been delegated to EPA's Small Business Ombudsman. </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2(b)</w:t>
      </w:r>
      <w:r w:rsidRPr="000774A5">
        <w:rPr>
          <w:rFonts w:ascii="Times New Roman" w:hAnsi="Times New Roman"/>
          <w:b/>
          <w:bCs/>
        </w:rPr>
        <w:tab/>
        <w:t>Practical Utility/Users of the Data</w:t>
      </w:r>
    </w:p>
    <w:p w:rsidR="00427659" w:rsidRPr="000774A5" w:rsidRDefault="00427659" w:rsidP="00233C4B">
      <w:pPr>
        <w:widowControl/>
        <w:ind w:left="720"/>
        <w:rPr>
          <w:rFonts w:ascii="Times New Roman" w:hAnsi="Times New Roman"/>
        </w:rPr>
      </w:pPr>
      <w:r w:rsidRPr="000774A5">
        <w:rPr>
          <w:rFonts w:ascii="Times New Roman" w:hAnsi="Times New Roman"/>
        </w:rPr>
        <w:t xml:space="preserve">The EPA SBO will </w:t>
      </w:r>
      <w:r w:rsidR="00A9330E" w:rsidRPr="000774A5">
        <w:rPr>
          <w:rFonts w:ascii="Times New Roman" w:hAnsi="Times New Roman"/>
        </w:rPr>
        <w:t xml:space="preserve">compile the </w:t>
      </w:r>
      <w:r w:rsidRPr="000774A5">
        <w:rPr>
          <w:rFonts w:ascii="Times New Roman" w:hAnsi="Times New Roman"/>
        </w:rPr>
        <w:t>results of th</w:t>
      </w:r>
      <w:r w:rsidR="00A9330E" w:rsidRPr="000774A5">
        <w:rPr>
          <w:rFonts w:ascii="Times New Roman" w:hAnsi="Times New Roman"/>
        </w:rPr>
        <w:t>is</w:t>
      </w:r>
      <w:r w:rsidRPr="000774A5">
        <w:rPr>
          <w:rFonts w:ascii="Times New Roman" w:hAnsi="Times New Roman"/>
        </w:rPr>
        <w:t xml:space="preserve"> collection</w:t>
      </w:r>
      <w:r w:rsidR="00A9330E" w:rsidRPr="000774A5">
        <w:rPr>
          <w:rFonts w:ascii="Times New Roman" w:hAnsi="Times New Roman"/>
        </w:rPr>
        <w:t xml:space="preserve"> into a report,</w:t>
      </w:r>
      <w:r w:rsidRPr="000774A5">
        <w:rPr>
          <w:rFonts w:ascii="Times New Roman" w:hAnsi="Times New Roman"/>
        </w:rPr>
        <w:t xml:space="preserve"> including an objective summary of conclusions and recommendations relative to funding or other environmental legislative consideration. This information will be </w:t>
      </w:r>
      <w:r w:rsidR="009C7653" w:rsidRPr="000774A5">
        <w:rPr>
          <w:rFonts w:ascii="Times New Roman" w:hAnsi="Times New Roman"/>
        </w:rPr>
        <w:t>made available online for</w:t>
      </w:r>
      <w:r w:rsidRPr="000774A5">
        <w:rPr>
          <w:rFonts w:ascii="Times New Roman" w:hAnsi="Times New Roman"/>
        </w:rPr>
        <w:t xml:space="preserve"> Congressional staff and committees interested in environmental matters and small business assistance activities at the state and local levels.  In addition, this information will be provided to small business trade associations for their use in promoting the utility and viability of assistance programs, to EPA Headquarters and Regional Offices, to other </w:t>
      </w:r>
      <w:r w:rsidR="00270C34" w:rsidRPr="000774A5">
        <w:rPr>
          <w:rFonts w:ascii="Times New Roman" w:hAnsi="Times New Roman"/>
        </w:rPr>
        <w:t>f</w:t>
      </w:r>
      <w:r w:rsidRPr="000774A5">
        <w:rPr>
          <w:rFonts w:ascii="Times New Roman" w:hAnsi="Times New Roman"/>
        </w:rPr>
        <w:t xml:space="preserve">ederal agencies such as the Small Business Administration, to all state small business ombudsmen and small business </w:t>
      </w:r>
      <w:r w:rsidR="00D02CFD">
        <w:rPr>
          <w:rFonts w:ascii="Times New Roman" w:hAnsi="Times New Roman"/>
        </w:rPr>
        <w:t xml:space="preserve">environmental </w:t>
      </w:r>
      <w:r w:rsidRPr="000774A5">
        <w:rPr>
          <w:rFonts w:ascii="Times New Roman" w:hAnsi="Times New Roman"/>
        </w:rPr>
        <w:t xml:space="preserve">assistance program directors, to state </w:t>
      </w:r>
      <w:r w:rsidR="00270C34" w:rsidRPr="000774A5">
        <w:rPr>
          <w:rFonts w:ascii="Times New Roman" w:hAnsi="Times New Roman"/>
        </w:rPr>
        <w:t>g</w:t>
      </w:r>
      <w:r w:rsidRPr="000774A5">
        <w:rPr>
          <w:rFonts w:ascii="Times New Roman" w:hAnsi="Times New Roman"/>
        </w:rPr>
        <w:t>overnors</w:t>
      </w:r>
      <w:r w:rsidR="009C7653" w:rsidRPr="000774A5">
        <w:rPr>
          <w:rFonts w:ascii="Times New Roman" w:hAnsi="Times New Roman"/>
        </w:rPr>
        <w:t>,</w:t>
      </w:r>
      <w:r w:rsidRPr="000774A5">
        <w:rPr>
          <w:rFonts w:ascii="Times New Roman" w:hAnsi="Times New Roman"/>
        </w:rPr>
        <w:t xml:space="preserve"> and other interested </w:t>
      </w:r>
      <w:r w:rsidR="009C7653" w:rsidRPr="000774A5">
        <w:rPr>
          <w:rFonts w:ascii="Times New Roman" w:hAnsi="Times New Roman"/>
        </w:rPr>
        <w:t>parties</w:t>
      </w:r>
      <w:r w:rsidRPr="000774A5">
        <w:rPr>
          <w:rFonts w:ascii="Times New Roman" w:hAnsi="Times New Roman"/>
        </w:rPr>
        <w:t>.</w:t>
      </w:r>
    </w:p>
    <w:p w:rsidR="00427659" w:rsidRPr="000774A5" w:rsidRDefault="00427659" w:rsidP="00425C31">
      <w:pPr>
        <w:widowControl/>
        <w:rPr>
          <w:rFonts w:ascii="Times New Roman" w:hAnsi="Times New Roman"/>
        </w:rPr>
      </w:pPr>
    </w:p>
    <w:p w:rsidR="00427659" w:rsidRPr="000774A5" w:rsidRDefault="00427659" w:rsidP="00233C4B">
      <w:pPr>
        <w:widowControl/>
        <w:ind w:left="720"/>
        <w:rPr>
          <w:rFonts w:ascii="Times New Roman" w:hAnsi="Times New Roman"/>
        </w:rPr>
      </w:pPr>
      <w:r w:rsidRPr="000774A5">
        <w:rPr>
          <w:rFonts w:ascii="Times New Roman" w:hAnsi="Times New Roman"/>
        </w:rPr>
        <w:t xml:space="preserve">Both state and </w:t>
      </w:r>
      <w:r w:rsidR="00270C34" w:rsidRPr="000774A5">
        <w:rPr>
          <w:rFonts w:ascii="Times New Roman" w:hAnsi="Times New Roman"/>
        </w:rPr>
        <w:t>f</w:t>
      </w:r>
      <w:r w:rsidRPr="000774A5">
        <w:rPr>
          <w:rFonts w:ascii="Times New Roman" w:hAnsi="Times New Roman"/>
        </w:rPr>
        <w:t xml:space="preserve">ederal officials use the information to evaluate how well the programs are functioning, </w:t>
      </w:r>
      <w:r w:rsidR="00270C34" w:rsidRPr="000774A5">
        <w:rPr>
          <w:rFonts w:ascii="Times New Roman" w:hAnsi="Times New Roman"/>
        </w:rPr>
        <w:t xml:space="preserve">and </w:t>
      </w:r>
      <w:r w:rsidR="009C7653" w:rsidRPr="000774A5">
        <w:rPr>
          <w:rFonts w:ascii="Times New Roman" w:hAnsi="Times New Roman"/>
        </w:rPr>
        <w:t>to</w:t>
      </w:r>
      <w:r w:rsidRPr="000774A5">
        <w:rPr>
          <w:rFonts w:ascii="Times New Roman" w:hAnsi="Times New Roman"/>
        </w:rPr>
        <w:t xml:space="preserve"> plan how to render m</w:t>
      </w:r>
      <w:r w:rsidR="009C7653" w:rsidRPr="000774A5">
        <w:rPr>
          <w:rFonts w:ascii="Times New Roman" w:hAnsi="Times New Roman"/>
        </w:rPr>
        <w:t xml:space="preserve">ore effective and less costly </w:t>
      </w:r>
      <w:r w:rsidRPr="000774A5">
        <w:rPr>
          <w:rFonts w:ascii="Times New Roman" w:hAnsi="Times New Roman"/>
        </w:rPr>
        <w:t xml:space="preserve">assistance.  The constantly evolving nature of these programs means that </w:t>
      </w:r>
      <w:r w:rsidR="009C7653" w:rsidRPr="000774A5">
        <w:rPr>
          <w:rFonts w:ascii="Times New Roman" w:hAnsi="Times New Roman"/>
        </w:rPr>
        <w:t xml:space="preserve">this </w:t>
      </w:r>
      <w:r w:rsidRPr="000774A5">
        <w:rPr>
          <w:rFonts w:ascii="Times New Roman" w:hAnsi="Times New Roman"/>
        </w:rPr>
        <w:t xml:space="preserve">information </w:t>
      </w:r>
      <w:r w:rsidR="00270C34" w:rsidRPr="000774A5">
        <w:rPr>
          <w:rFonts w:ascii="Times New Roman" w:hAnsi="Times New Roman"/>
        </w:rPr>
        <w:t xml:space="preserve">provides </w:t>
      </w:r>
      <w:r w:rsidR="009C7653" w:rsidRPr="000774A5">
        <w:rPr>
          <w:rFonts w:ascii="Times New Roman" w:hAnsi="Times New Roman"/>
        </w:rPr>
        <w:t xml:space="preserve">key </w:t>
      </w:r>
      <w:r w:rsidR="00270C34" w:rsidRPr="000774A5">
        <w:rPr>
          <w:rFonts w:ascii="Times New Roman" w:hAnsi="Times New Roman"/>
        </w:rPr>
        <w:t xml:space="preserve">details </w:t>
      </w:r>
      <w:r w:rsidR="009C7653" w:rsidRPr="000774A5">
        <w:rPr>
          <w:rFonts w:ascii="Times New Roman" w:hAnsi="Times New Roman"/>
        </w:rPr>
        <w:t xml:space="preserve">to policy makers at the </w:t>
      </w:r>
      <w:r w:rsidR="00270C34" w:rsidRPr="000774A5">
        <w:rPr>
          <w:rFonts w:ascii="Times New Roman" w:hAnsi="Times New Roman"/>
        </w:rPr>
        <w:t>f</w:t>
      </w:r>
      <w:r w:rsidR="009C7653" w:rsidRPr="000774A5">
        <w:rPr>
          <w:rFonts w:ascii="Times New Roman" w:hAnsi="Times New Roman"/>
        </w:rPr>
        <w:t>ederal, state, and</w:t>
      </w:r>
      <w:r w:rsidRPr="000774A5">
        <w:rPr>
          <w:rFonts w:ascii="Times New Roman" w:hAnsi="Times New Roman"/>
        </w:rPr>
        <w:t xml:space="preserve"> local levels.</w:t>
      </w:r>
    </w:p>
    <w:p w:rsidR="00427659" w:rsidRPr="000774A5" w:rsidRDefault="00427659" w:rsidP="00425C31">
      <w:pPr>
        <w:widowControl/>
        <w:rPr>
          <w:rFonts w:ascii="Times New Roman" w:hAnsi="Times New Roman"/>
        </w:rPr>
      </w:pPr>
    </w:p>
    <w:p w:rsidR="00427659" w:rsidRPr="000774A5" w:rsidRDefault="00427659" w:rsidP="00233C4B">
      <w:pPr>
        <w:widowControl/>
        <w:ind w:left="720"/>
        <w:rPr>
          <w:rFonts w:ascii="Times New Roman" w:hAnsi="Times New Roman"/>
        </w:rPr>
      </w:pPr>
      <w:r w:rsidRPr="000774A5">
        <w:rPr>
          <w:rFonts w:ascii="Times New Roman" w:hAnsi="Times New Roman"/>
        </w:rPr>
        <w:t>The Agency has shared th</w:t>
      </w:r>
      <w:r w:rsidR="009C7653" w:rsidRPr="000774A5">
        <w:rPr>
          <w:rFonts w:ascii="Times New Roman" w:hAnsi="Times New Roman"/>
        </w:rPr>
        <w:t xml:space="preserve">is information with all the stakeholders </w:t>
      </w:r>
      <w:r w:rsidRPr="000774A5">
        <w:rPr>
          <w:rFonts w:ascii="Times New Roman" w:hAnsi="Times New Roman"/>
        </w:rPr>
        <w:t xml:space="preserve">listed above.  The </w:t>
      </w:r>
      <w:r w:rsidR="009C7653" w:rsidRPr="000774A5">
        <w:rPr>
          <w:rFonts w:ascii="Times New Roman" w:hAnsi="Times New Roman"/>
        </w:rPr>
        <w:t xml:space="preserve">State </w:t>
      </w:r>
      <w:r w:rsidRPr="000774A5">
        <w:rPr>
          <w:rFonts w:ascii="Times New Roman" w:hAnsi="Times New Roman"/>
        </w:rPr>
        <w:t xml:space="preserve">507 programs have found this </w:t>
      </w:r>
      <w:r w:rsidR="009C7653" w:rsidRPr="000774A5">
        <w:rPr>
          <w:rFonts w:ascii="Times New Roman" w:hAnsi="Times New Roman"/>
        </w:rPr>
        <w:t xml:space="preserve">process to be a </w:t>
      </w:r>
      <w:r w:rsidRPr="000774A5">
        <w:rPr>
          <w:rFonts w:ascii="Times New Roman" w:hAnsi="Times New Roman"/>
        </w:rPr>
        <w:t xml:space="preserve">valuable </w:t>
      </w:r>
      <w:r w:rsidR="009C7653" w:rsidRPr="000774A5">
        <w:rPr>
          <w:rFonts w:ascii="Times New Roman" w:hAnsi="Times New Roman"/>
        </w:rPr>
        <w:t xml:space="preserve">tool for </w:t>
      </w:r>
      <w:r w:rsidRPr="000774A5">
        <w:rPr>
          <w:rFonts w:ascii="Times New Roman" w:hAnsi="Times New Roman"/>
        </w:rPr>
        <w:t xml:space="preserve">learning </w:t>
      </w:r>
      <w:r w:rsidR="006C6932" w:rsidRPr="000774A5">
        <w:rPr>
          <w:rFonts w:ascii="Times New Roman" w:hAnsi="Times New Roman"/>
        </w:rPr>
        <w:t xml:space="preserve">about </w:t>
      </w:r>
      <w:r w:rsidR="009C7653" w:rsidRPr="000774A5">
        <w:rPr>
          <w:rFonts w:ascii="Times New Roman" w:hAnsi="Times New Roman"/>
        </w:rPr>
        <w:t xml:space="preserve">other </w:t>
      </w:r>
      <w:r w:rsidRPr="000774A5">
        <w:rPr>
          <w:rFonts w:ascii="Times New Roman" w:hAnsi="Times New Roman"/>
        </w:rPr>
        <w:t xml:space="preserve">program's strengths and innovations.  </w:t>
      </w:r>
      <w:r w:rsidR="009C7653" w:rsidRPr="000774A5">
        <w:rPr>
          <w:rFonts w:ascii="Times New Roman" w:hAnsi="Times New Roman"/>
        </w:rPr>
        <w:t>It</w:t>
      </w:r>
      <w:r w:rsidRPr="000774A5">
        <w:rPr>
          <w:rFonts w:ascii="Times New Roman" w:hAnsi="Times New Roman"/>
        </w:rPr>
        <w:t xml:space="preserve"> promotes </w:t>
      </w:r>
      <w:r w:rsidR="009C7653" w:rsidRPr="000774A5">
        <w:rPr>
          <w:rFonts w:ascii="Times New Roman" w:hAnsi="Times New Roman"/>
        </w:rPr>
        <w:t xml:space="preserve">a continual process of </w:t>
      </w:r>
      <w:r w:rsidRPr="000774A5">
        <w:rPr>
          <w:rFonts w:ascii="Times New Roman" w:hAnsi="Times New Roman"/>
        </w:rPr>
        <w:t xml:space="preserve">sharing ideas across programs.  The EPA SBO </w:t>
      </w:r>
      <w:r w:rsidR="006C6932" w:rsidRPr="000774A5">
        <w:rPr>
          <w:rFonts w:ascii="Times New Roman" w:hAnsi="Times New Roman"/>
        </w:rPr>
        <w:t xml:space="preserve">is </w:t>
      </w:r>
      <w:r w:rsidRPr="000774A5">
        <w:rPr>
          <w:rFonts w:ascii="Times New Roman" w:hAnsi="Times New Roman"/>
        </w:rPr>
        <w:t xml:space="preserve">also a resource </w:t>
      </w:r>
      <w:r w:rsidR="006C6932" w:rsidRPr="000774A5">
        <w:rPr>
          <w:rFonts w:ascii="Times New Roman" w:hAnsi="Times New Roman"/>
        </w:rPr>
        <w:t xml:space="preserve">for </w:t>
      </w:r>
      <w:r w:rsidR="009C7653" w:rsidRPr="000774A5">
        <w:rPr>
          <w:rFonts w:ascii="Times New Roman" w:hAnsi="Times New Roman"/>
        </w:rPr>
        <w:t>stakeholders</w:t>
      </w:r>
      <w:r w:rsidRPr="000774A5">
        <w:rPr>
          <w:rFonts w:ascii="Times New Roman" w:hAnsi="Times New Roman"/>
        </w:rPr>
        <w:t xml:space="preserve"> </w:t>
      </w:r>
      <w:r w:rsidR="006C6932" w:rsidRPr="000774A5">
        <w:rPr>
          <w:rFonts w:ascii="Times New Roman" w:hAnsi="Times New Roman"/>
        </w:rPr>
        <w:t xml:space="preserve">and </w:t>
      </w:r>
      <w:r w:rsidRPr="000774A5">
        <w:rPr>
          <w:rFonts w:ascii="Times New Roman" w:hAnsi="Times New Roman"/>
        </w:rPr>
        <w:t>provid</w:t>
      </w:r>
      <w:r w:rsidR="006C6932" w:rsidRPr="000774A5">
        <w:rPr>
          <w:rFonts w:ascii="Times New Roman" w:hAnsi="Times New Roman"/>
        </w:rPr>
        <w:t>es</w:t>
      </w:r>
      <w:r w:rsidRPr="000774A5">
        <w:rPr>
          <w:rFonts w:ascii="Times New Roman" w:hAnsi="Times New Roman"/>
        </w:rPr>
        <w:t xml:space="preserve"> relevant data and narratives to policy makers at the </w:t>
      </w:r>
      <w:r w:rsidR="006C6932" w:rsidRPr="000774A5">
        <w:rPr>
          <w:rFonts w:ascii="Times New Roman" w:hAnsi="Times New Roman"/>
        </w:rPr>
        <w:t>f</w:t>
      </w:r>
      <w:r w:rsidRPr="000774A5">
        <w:rPr>
          <w:rFonts w:ascii="Times New Roman" w:hAnsi="Times New Roman"/>
        </w:rPr>
        <w:t>ederal and state levels upon request.  The SBO relies on th</w:t>
      </w:r>
      <w:r w:rsidR="009C7653" w:rsidRPr="000774A5">
        <w:rPr>
          <w:rFonts w:ascii="Times New Roman" w:hAnsi="Times New Roman"/>
        </w:rPr>
        <w:t>e</w:t>
      </w:r>
      <w:r w:rsidRPr="000774A5">
        <w:rPr>
          <w:rFonts w:ascii="Times New Roman" w:hAnsi="Times New Roman"/>
        </w:rPr>
        <w:t xml:space="preserve"> information </w:t>
      </w:r>
      <w:r w:rsidR="009C7653" w:rsidRPr="000774A5">
        <w:rPr>
          <w:rFonts w:ascii="Times New Roman" w:hAnsi="Times New Roman"/>
        </w:rPr>
        <w:t xml:space="preserve">collected to support </w:t>
      </w:r>
      <w:r w:rsidRPr="000774A5">
        <w:rPr>
          <w:rFonts w:ascii="Times New Roman" w:hAnsi="Times New Roman"/>
        </w:rPr>
        <w:t xml:space="preserve">recommendations </w:t>
      </w:r>
      <w:r w:rsidR="009C7653" w:rsidRPr="000774A5">
        <w:rPr>
          <w:rFonts w:ascii="Times New Roman" w:hAnsi="Times New Roman"/>
        </w:rPr>
        <w:t xml:space="preserve">made </w:t>
      </w:r>
      <w:r w:rsidRPr="000774A5">
        <w:rPr>
          <w:rFonts w:ascii="Times New Roman" w:hAnsi="Times New Roman"/>
        </w:rPr>
        <w:t xml:space="preserve">to other offices within the </w:t>
      </w:r>
      <w:r w:rsidR="009C7653" w:rsidRPr="000774A5">
        <w:rPr>
          <w:rFonts w:ascii="Times New Roman" w:hAnsi="Times New Roman"/>
        </w:rPr>
        <w:t xml:space="preserve">EPA </w:t>
      </w:r>
      <w:r w:rsidR="00E66BEC" w:rsidRPr="000774A5">
        <w:rPr>
          <w:rFonts w:ascii="Times New Roman" w:hAnsi="Times New Roman"/>
        </w:rPr>
        <w:t>on how to effectively assist small business</w:t>
      </w:r>
      <w:r w:rsidR="006C6932" w:rsidRPr="000774A5">
        <w:rPr>
          <w:rFonts w:ascii="Times New Roman" w:hAnsi="Times New Roman"/>
        </w:rPr>
        <w:t xml:space="preserve"> efforts to </w:t>
      </w:r>
      <w:r w:rsidR="00E66BEC" w:rsidRPr="000774A5">
        <w:rPr>
          <w:rFonts w:ascii="Times New Roman" w:hAnsi="Times New Roman"/>
        </w:rPr>
        <w:t>improve their environmental compliance</w:t>
      </w:r>
      <w:r w:rsidRPr="000774A5">
        <w:rPr>
          <w:rFonts w:ascii="Times New Roman" w:hAnsi="Times New Roman"/>
        </w:rPr>
        <w:t>.</w:t>
      </w:r>
    </w:p>
    <w:p w:rsidR="00427659" w:rsidRPr="000774A5" w:rsidRDefault="00427659" w:rsidP="00425C31">
      <w:pPr>
        <w:widowControl/>
        <w:rPr>
          <w:rFonts w:ascii="Times New Roman" w:hAnsi="Times New Roman"/>
        </w:rPr>
      </w:pPr>
    </w:p>
    <w:p w:rsidR="00427659" w:rsidRPr="000774A5" w:rsidRDefault="00427659" w:rsidP="00425C31">
      <w:pPr>
        <w:widowControl/>
        <w:tabs>
          <w:tab w:val="left" w:pos="-1440"/>
        </w:tabs>
        <w:ind w:left="720" w:hanging="720"/>
        <w:rPr>
          <w:rFonts w:ascii="Times New Roman" w:hAnsi="Times New Roman"/>
          <w:b/>
          <w:bCs/>
        </w:rPr>
      </w:pPr>
      <w:r w:rsidRPr="000774A5">
        <w:rPr>
          <w:rFonts w:ascii="Times New Roman" w:hAnsi="Times New Roman"/>
          <w:b/>
          <w:bCs/>
        </w:rPr>
        <w:t>3.</w:t>
      </w:r>
      <w:r w:rsidRPr="000774A5">
        <w:rPr>
          <w:rFonts w:ascii="Times New Roman" w:hAnsi="Times New Roman"/>
          <w:b/>
          <w:bCs/>
        </w:rPr>
        <w:tab/>
        <w:t>NON-DUPLICATION, CONSULTATIONS, AND OTHER COLLECTION CRITERIA</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3(a)</w:t>
      </w:r>
      <w:r w:rsidRPr="000774A5">
        <w:rPr>
          <w:rFonts w:ascii="Times New Roman" w:hAnsi="Times New Roman"/>
          <w:b/>
          <w:bCs/>
        </w:rPr>
        <w:tab/>
        <w:t>Non-duplication</w:t>
      </w:r>
    </w:p>
    <w:p w:rsidR="00427659" w:rsidRPr="000774A5" w:rsidRDefault="00427659" w:rsidP="00233C4B">
      <w:pPr>
        <w:widowControl/>
        <w:ind w:left="720"/>
        <w:rPr>
          <w:rFonts w:ascii="Times New Roman" w:hAnsi="Times New Roman"/>
        </w:rPr>
      </w:pPr>
      <w:r w:rsidRPr="000774A5">
        <w:rPr>
          <w:rFonts w:ascii="Times New Roman" w:hAnsi="Times New Roman"/>
        </w:rPr>
        <w:t xml:space="preserve">Information is being requested from and about programs mandated under Section 507 of the CAA of </w:t>
      </w:r>
      <w:r w:rsidR="0033139D" w:rsidRPr="000774A5">
        <w:rPr>
          <w:rFonts w:ascii="Times New Roman" w:hAnsi="Times New Roman"/>
        </w:rPr>
        <w:t>1990;</w:t>
      </w:r>
      <w:r w:rsidRPr="000774A5">
        <w:rPr>
          <w:rFonts w:ascii="Times New Roman" w:hAnsi="Times New Roman"/>
        </w:rPr>
        <w:t xml:space="preserve"> therefore, this information is unique to t</w:t>
      </w:r>
      <w:r w:rsidR="006A24A5" w:rsidRPr="000774A5">
        <w:rPr>
          <w:rFonts w:ascii="Times New Roman" w:hAnsi="Times New Roman"/>
        </w:rPr>
        <w:t>his collection.</w:t>
      </w:r>
      <w:r w:rsidR="00193C23">
        <w:rPr>
          <w:rFonts w:ascii="Times New Roman" w:hAnsi="Times New Roman"/>
        </w:rPr>
        <w:t xml:space="preserve">  </w:t>
      </w:r>
    </w:p>
    <w:p w:rsidR="00427659" w:rsidRPr="000774A5" w:rsidRDefault="00427659" w:rsidP="00425C31">
      <w:pPr>
        <w:widowControl/>
        <w:rPr>
          <w:rFonts w:ascii="Times New Roman" w:hAnsi="Times New Roman"/>
        </w:rPr>
      </w:pPr>
    </w:p>
    <w:p w:rsidR="00427659" w:rsidRPr="000774A5" w:rsidRDefault="00427659" w:rsidP="00233C4B">
      <w:pPr>
        <w:widowControl/>
        <w:ind w:left="720"/>
        <w:rPr>
          <w:rFonts w:ascii="Times New Roman" w:hAnsi="Times New Roman"/>
        </w:rPr>
      </w:pPr>
      <w:r w:rsidRPr="00284E65">
        <w:rPr>
          <w:rFonts w:ascii="Times New Roman" w:hAnsi="Times New Roman"/>
        </w:rPr>
        <w:t>During extensive review by the 507 programs,</w:t>
      </w:r>
      <w:r w:rsidR="00A9330E" w:rsidRPr="00284E65">
        <w:rPr>
          <w:rFonts w:ascii="Times New Roman" w:hAnsi="Times New Roman"/>
        </w:rPr>
        <w:t xml:space="preserve"> </w:t>
      </w:r>
      <w:r w:rsidRPr="00284E65">
        <w:rPr>
          <w:rFonts w:ascii="Times New Roman" w:hAnsi="Times New Roman"/>
        </w:rPr>
        <w:t xml:space="preserve">they expressed </w:t>
      </w:r>
      <w:r w:rsidR="006A24A5" w:rsidRPr="00284E65">
        <w:rPr>
          <w:rFonts w:ascii="Times New Roman" w:hAnsi="Times New Roman"/>
        </w:rPr>
        <w:t>a need for expansion o</w:t>
      </w:r>
      <w:r w:rsidR="009F3C35" w:rsidRPr="00284E65">
        <w:rPr>
          <w:rFonts w:ascii="Times New Roman" w:hAnsi="Times New Roman"/>
        </w:rPr>
        <w:t>f</w:t>
      </w:r>
      <w:r w:rsidR="006A24A5" w:rsidRPr="00284E65">
        <w:rPr>
          <w:rFonts w:ascii="Times New Roman" w:hAnsi="Times New Roman"/>
        </w:rPr>
        <w:t xml:space="preserve"> existing data collection efforts since this data is not available from other sources and in no</w:t>
      </w:r>
      <w:r w:rsidRPr="00284E65">
        <w:rPr>
          <w:rFonts w:ascii="Times New Roman" w:hAnsi="Times New Roman"/>
        </w:rPr>
        <w:t xml:space="preserve"> way duplicates internal state reporting requirements.  Further</w:t>
      </w:r>
      <w:r w:rsidR="006A24A5" w:rsidRPr="00284E65">
        <w:rPr>
          <w:rFonts w:ascii="Times New Roman" w:hAnsi="Times New Roman"/>
        </w:rPr>
        <w:t>more</w:t>
      </w:r>
      <w:r w:rsidRPr="00284E65">
        <w:rPr>
          <w:rFonts w:ascii="Times New Roman" w:hAnsi="Times New Roman"/>
        </w:rPr>
        <w:t xml:space="preserve">, neither the EPA Regional Offices nor Headquarters requires or has ever </w:t>
      </w:r>
      <w:r w:rsidR="006A24A5" w:rsidRPr="00284E65">
        <w:rPr>
          <w:rFonts w:ascii="Times New Roman" w:hAnsi="Times New Roman"/>
        </w:rPr>
        <w:t xml:space="preserve">undertaken efforts to collect data </w:t>
      </w:r>
      <w:r w:rsidRPr="00284E65">
        <w:rPr>
          <w:rFonts w:ascii="Times New Roman" w:hAnsi="Times New Roman"/>
        </w:rPr>
        <w:t>of this nature.</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3(b)</w:t>
      </w:r>
      <w:r w:rsidRPr="000774A5">
        <w:rPr>
          <w:rFonts w:ascii="Times New Roman" w:hAnsi="Times New Roman"/>
          <w:b/>
          <w:bCs/>
        </w:rPr>
        <w:tab/>
        <w:t>Public Notice Required Prior to ICR Submission to OMB</w:t>
      </w:r>
    </w:p>
    <w:p w:rsidR="00427659" w:rsidRPr="0049686B" w:rsidRDefault="00162F5A" w:rsidP="0049686B">
      <w:pPr>
        <w:widowControl/>
        <w:spacing w:line="225" w:lineRule="exact"/>
        <w:ind w:left="720"/>
        <w:rPr>
          <w:rFonts w:ascii="Times New Roman" w:hAnsi="Times New Roman"/>
        </w:rPr>
      </w:pPr>
      <w:r w:rsidRPr="00162F5A">
        <w:rPr>
          <w:rFonts w:ascii="Times New Roman" w:hAnsi="Times New Roman"/>
        </w:rPr>
        <w:t xml:space="preserve">Public notice on the renewal of this ICR was published in the Federal Register on November 17, 2011 under 76 </w:t>
      </w:r>
      <w:r w:rsidRPr="00162F5A">
        <w:rPr>
          <w:rFonts w:ascii="Times New Roman" w:hAnsi="Times New Roman"/>
          <w:u w:val="single"/>
        </w:rPr>
        <w:t>FR</w:t>
      </w:r>
      <w:r w:rsidRPr="00162F5A">
        <w:rPr>
          <w:rFonts w:ascii="Times New Roman" w:hAnsi="Times New Roman"/>
        </w:rPr>
        <w:t xml:space="preserve"> 71339. </w:t>
      </w:r>
      <w:r w:rsidR="00427659" w:rsidRPr="0049686B">
        <w:rPr>
          <w:rFonts w:ascii="Times New Roman" w:hAnsi="Times New Roman"/>
        </w:rPr>
        <w:t>This notice indicates that the ICR is up for renewal and that public</w:t>
      </w:r>
      <w:r w:rsidR="00A9330E" w:rsidRPr="0049686B">
        <w:rPr>
          <w:rFonts w:ascii="Times New Roman" w:hAnsi="Times New Roman"/>
        </w:rPr>
        <w:t xml:space="preserve"> </w:t>
      </w:r>
      <w:r w:rsidR="00427659" w:rsidRPr="0049686B">
        <w:rPr>
          <w:rFonts w:ascii="Times New Roman" w:hAnsi="Times New Roman"/>
        </w:rPr>
        <w:t>comments on the previous burden estimates and any proposed changes are being sought by the EPA SBO.</w:t>
      </w:r>
      <w:r w:rsidR="00193C23" w:rsidRPr="0049686B">
        <w:rPr>
          <w:rFonts w:ascii="Times New Roman" w:hAnsi="Times New Roman"/>
        </w:rPr>
        <w:t xml:space="preserve">  </w:t>
      </w:r>
      <w:r w:rsidR="00427659" w:rsidRPr="0049686B">
        <w:rPr>
          <w:rFonts w:ascii="Times New Roman" w:hAnsi="Times New Roman"/>
        </w:rPr>
        <w:t xml:space="preserve">The Federal Register notice on the 60-day public comment period for this ICR </w:t>
      </w:r>
      <w:r w:rsidR="00173696" w:rsidRPr="0049686B">
        <w:rPr>
          <w:rFonts w:ascii="Times New Roman" w:hAnsi="Times New Roman"/>
        </w:rPr>
        <w:t>is</w:t>
      </w:r>
      <w:r w:rsidR="00427659" w:rsidRPr="0049686B">
        <w:rPr>
          <w:rFonts w:ascii="Times New Roman" w:hAnsi="Times New Roman"/>
        </w:rPr>
        <w:t xml:space="preserve"> in Attachment B.</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3(c)</w:t>
      </w:r>
      <w:r w:rsidRPr="000774A5">
        <w:rPr>
          <w:rFonts w:ascii="Times New Roman" w:hAnsi="Times New Roman"/>
          <w:b/>
          <w:bCs/>
        </w:rPr>
        <w:tab/>
        <w:t>Consultations</w:t>
      </w:r>
    </w:p>
    <w:p w:rsidR="00427659" w:rsidRPr="000774A5" w:rsidRDefault="00427659" w:rsidP="00233C4B">
      <w:pPr>
        <w:widowControl/>
        <w:ind w:left="720"/>
        <w:rPr>
          <w:rFonts w:ascii="Times New Roman" w:hAnsi="Times New Roman"/>
        </w:rPr>
      </w:pPr>
      <w:r w:rsidRPr="000774A5">
        <w:rPr>
          <w:rFonts w:ascii="Times New Roman" w:hAnsi="Times New Roman"/>
        </w:rPr>
        <w:t xml:space="preserve">As previously stated, this information collection </w:t>
      </w:r>
      <w:r w:rsidR="009F3C35" w:rsidRPr="000774A5">
        <w:rPr>
          <w:rFonts w:ascii="Times New Roman" w:hAnsi="Times New Roman"/>
        </w:rPr>
        <w:t>review</w:t>
      </w:r>
      <w:r w:rsidRPr="000774A5">
        <w:rPr>
          <w:rFonts w:ascii="Times New Roman" w:hAnsi="Times New Roman"/>
        </w:rPr>
        <w:t xml:space="preserve"> has had </w:t>
      </w:r>
      <w:r w:rsidR="009F3C35" w:rsidRPr="000774A5">
        <w:rPr>
          <w:rFonts w:ascii="Times New Roman" w:hAnsi="Times New Roman"/>
        </w:rPr>
        <w:t xml:space="preserve">the in-depth </w:t>
      </w:r>
      <w:r w:rsidRPr="000774A5">
        <w:rPr>
          <w:rFonts w:ascii="Times New Roman" w:hAnsi="Times New Roman"/>
        </w:rPr>
        <w:t xml:space="preserve">involvement of many responsible state offices.  Further, </w:t>
      </w:r>
      <w:r w:rsidR="009F3C35" w:rsidRPr="000774A5">
        <w:rPr>
          <w:rFonts w:ascii="Times New Roman" w:hAnsi="Times New Roman"/>
        </w:rPr>
        <w:t>every year</w:t>
      </w:r>
      <w:r w:rsidRPr="000774A5">
        <w:rPr>
          <w:rFonts w:ascii="Times New Roman" w:hAnsi="Times New Roman"/>
        </w:rPr>
        <w:t xml:space="preserve"> at the National Small Business Ombudsman and </w:t>
      </w:r>
      <w:r w:rsidR="001D4CE1">
        <w:rPr>
          <w:rFonts w:ascii="Times New Roman" w:hAnsi="Times New Roman"/>
        </w:rPr>
        <w:t xml:space="preserve">Small Business Environmental Assistance Providers </w:t>
      </w:r>
      <w:r w:rsidRPr="000774A5">
        <w:rPr>
          <w:rFonts w:ascii="Times New Roman" w:hAnsi="Times New Roman"/>
        </w:rPr>
        <w:t xml:space="preserve">Technical Conference, both </w:t>
      </w:r>
      <w:r w:rsidR="009F3C35" w:rsidRPr="000774A5">
        <w:rPr>
          <w:rFonts w:ascii="Times New Roman" w:hAnsi="Times New Roman"/>
        </w:rPr>
        <w:t>in</w:t>
      </w:r>
      <w:r w:rsidRPr="000774A5">
        <w:rPr>
          <w:rFonts w:ascii="Times New Roman" w:hAnsi="Times New Roman"/>
        </w:rPr>
        <w:t xml:space="preserve"> prior year</w:t>
      </w:r>
      <w:r w:rsidR="009F3C35" w:rsidRPr="000774A5">
        <w:rPr>
          <w:rFonts w:ascii="Times New Roman" w:hAnsi="Times New Roman"/>
        </w:rPr>
        <w:t>s</w:t>
      </w:r>
      <w:r w:rsidRPr="000774A5">
        <w:rPr>
          <w:rFonts w:ascii="Times New Roman" w:hAnsi="Times New Roman"/>
        </w:rPr>
        <w:t xml:space="preserve"> and the upcoming year</w:t>
      </w:r>
      <w:r w:rsidR="009F3C35" w:rsidRPr="000774A5">
        <w:rPr>
          <w:rFonts w:ascii="Times New Roman" w:hAnsi="Times New Roman"/>
        </w:rPr>
        <w:t>, possible improvements in the process and the reporting from this survey</w:t>
      </w:r>
      <w:r w:rsidRPr="000774A5">
        <w:rPr>
          <w:rFonts w:ascii="Times New Roman" w:hAnsi="Times New Roman"/>
        </w:rPr>
        <w:t xml:space="preserve"> are discussed.</w:t>
      </w:r>
    </w:p>
    <w:p w:rsidR="00427659" w:rsidRPr="000774A5" w:rsidRDefault="00427659" w:rsidP="00425C31">
      <w:pPr>
        <w:widowControl/>
        <w:rPr>
          <w:rFonts w:ascii="Times New Roman" w:hAnsi="Times New Roman"/>
        </w:rPr>
      </w:pPr>
    </w:p>
    <w:p w:rsidR="00427659" w:rsidRPr="000774A5" w:rsidRDefault="00427659" w:rsidP="00233C4B">
      <w:pPr>
        <w:widowControl/>
        <w:ind w:left="720"/>
        <w:rPr>
          <w:rFonts w:ascii="Times New Roman" w:hAnsi="Times New Roman"/>
        </w:rPr>
      </w:pPr>
      <w:r w:rsidRPr="000774A5">
        <w:rPr>
          <w:rFonts w:ascii="Times New Roman" w:hAnsi="Times New Roman"/>
        </w:rPr>
        <w:t xml:space="preserve">In preparing this ICR and in revising the Reporting Form, the EPA SBO </w:t>
      </w:r>
      <w:r w:rsidR="008A3838" w:rsidRPr="000774A5">
        <w:rPr>
          <w:rFonts w:ascii="Times New Roman" w:hAnsi="Times New Roman"/>
        </w:rPr>
        <w:t>worked with a subcommittee of the National Steering Committee</w:t>
      </w:r>
      <w:r w:rsidR="00304F6C" w:rsidRPr="000774A5">
        <w:rPr>
          <w:rFonts w:ascii="Times New Roman" w:hAnsi="Times New Roman"/>
        </w:rPr>
        <w:t xml:space="preserve"> (composed of members from Clean Air Act (CAA) Section 507 Program)</w:t>
      </w:r>
      <w:r w:rsidR="008A3838" w:rsidRPr="000774A5">
        <w:rPr>
          <w:rFonts w:ascii="Times New Roman" w:hAnsi="Times New Roman"/>
        </w:rPr>
        <w:t>.  The subcommittee</w:t>
      </w:r>
      <w:r w:rsidRPr="000774A5">
        <w:rPr>
          <w:rFonts w:ascii="Times New Roman" w:hAnsi="Times New Roman"/>
        </w:rPr>
        <w:t xml:space="preserve"> consist</w:t>
      </w:r>
      <w:r w:rsidR="008A3838" w:rsidRPr="000774A5">
        <w:rPr>
          <w:rFonts w:ascii="Times New Roman" w:hAnsi="Times New Roman"/>
        </w:rPr>
        <w:t>ed</w:t>
      </w:r>
      <w:r w:rsidRPr="000774A5">
        <w:rPr>
          <w:rFonts w:ascii="Times New Roman" w:hAnsi="Times New Roman"/>
        </w:rPr>
        <w:t xml:space="preserve"> of representatives from the 507 programs.  This co</w:t>
      </w:r>
      <w:r w:rsidR="006A24A5" w:rsidRPr="000774A5">
        <w:rPr>
          <w:rFonts w:ascii="Times New Roman" w:hAnsi="Times New Roman"/>
        </w:rPr>
        <w:t>mmittee began conference calls i</w:t>
      </w:r>
      <w:r w:rsidRPr="000774A5">
        <w:rPr>
          <w:rFonts w:ascii="Times New Roman" w:hAnsi="Times New Roman"/>
        </w:rPr>
        <w:t xml:space="preserve">n </w:t>
      </w:r>
      <w:r w:rsidR="0033139D" w:rsidRPr="000774A5">
        <w:rPr>
          <w:rFonts w:ascii="Times New Roman" w:hAnsi="Times New Roman"/>
        </w:rPr>
        <w:t>November</w:t>
      </w:r>
      <w:r w:rsidR="006A24A5" w:rsidRPr="000774A5">
        <w:rPr>
          <w:rFonts w:ascii="Times New Roman" w:hAnsi="Times New Roman"/>
        </w:rPr>
        <w:t xml:space="preserve"> 20</w:t>
      </w:r>
      <w:r w:rsidR="00304F6C" w:rsidRPr="000774A5">
        <w:rPr>
          <w:rFonts w:ascii="Times New Roman" w:hAnsi="Times New Roman"/>
        </w:rPr>
        <w:t>11</w:t>
      </w:r>
      <w:r w:rsidRPr="000774A5">
        <w:rPr>
          <w:rFonts w:ascii="Times New Roman" w:hAnsi="Times New Roman"/>
        </w:rPr>
        <w:t xml:space="preserve"> to form a work group that would meet </w:t>
      </w:r>
      <w:r w:rsidR="006A24A5" w:rsidRPr="000774A5">
        <w:rPr>
          <w:rFonts w:ascii="Times New Roman" w:hAnsi="Times New Roman"/>
        </w:rPr>
        <w:t>as needed to complete the survey form</w:t>
      </w:r>
      <w:r w:rsidR="009F3C35" w:rsidRPr="000774A5">
        <w:rPr>
          <w:rFonts w:ascii="Times New Roman" w:hAnsi="Times New Roman"/>
        </w:rPr>
        <w:t xml:space="preserve">. </w:t>
      </w:r>
      <w:r w:rsidRPr="000774A5">
        <w:rPr>
          <w:rFonts w:ascii="Times New Roman" w:hAnsi="Times New Roman"/>
        </w:rPr>
        <w:t xml:space="preserve"> Committee members are:</w:t>
      </w:r>
    </w:p>
    <w:p w:rsidR="00427659" w:rsidRPr="000774A5" w:rsidRDefault="00427659" w:rsidP="00425C31">
      <w:pPr>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680"/>
      </w:tblGrid>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Renee Lesjak Bashel, Wisconsin</w:t>
            </w:r>
            <w:r w:rsidR="002D7228" w:rsidRPr="00766FCA">
              <w:rPr>
                <w:rFonts w:ascii="Times New Roman" w:hAnsi="Times New Roman"/>
                <w:sz w:val="20"/>
                <w:szCs w:val="20"/>
              </w:rPr>
              <w:t xml:space="preserve"> </w:t>
            </w:r>
            <w:r w:rsidRPr="00766FCA">
              <w:rPr>
                <w:rFonts w:ascii="Times New Roman" w:hAnsi="Times New Roman"/>
                <w:sz w:val="20"/>
                <w:szCs w:val="20"/>
              </w:rPr>
              <w:t>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608-264-6153, renee.bashel@wisconsin.gov</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Will Brunkhorst, NCAP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603-746-5175, wbrunk@comcast.net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David Carter</w:t>
            </w:r>
            <w:r w:rsidR="002D7228" w:rsidRPr="00766FCA">
              <w:rPr>
                <w:rFonts w:ascii="Times New Roman" w:hAnsi="Times New Roman"/>
                <w:sz w:val="20"/>
                <w:szCs w:val="20"/>
              </w:rPr>
              <w:t>, Kansas 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785-532-4998, dcarter@ksu.edu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Julie Churchill (Chair), Maine SBO/SBEAP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207-287-7881, julie.m.churchill@maine.gov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Kerri Cope, Kentucky 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502-564-0323, x148 kerri.cope@ky.gov</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Phyllis Copeland, South Carolina SBO/SBEAP </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803-898-0415, copelapt@dhec.sc.gov</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Nancy Crickman, Pennsylvania 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215-746-6473, </w:t>
            </w:r>
            <w:r w:rsidR="002D7228" w:rsidRPr="00766FCA">
              <w:rPr>
                <w:rFonts w:ascii="Times New Roman" w:hAnsi="Times New Roman"/>
                <w:sz w:val="20"/>
                <w:szCs w:val="20"/>
              </w:rPr>
              <w:t>c</w:t>
            </w:r>
            <w:r w:rsidRPr="00766FCA">
              <w:rPr>
                <w:rFonts w:ascii="Times New Roman" w:hAnsi="Times New Roman"/>
                <w:sz w:val="20"/>
                <w:szCs w:val="20"/>
              </w:rPr>
              <w:t xml:space="preserve">rickman@wharton.upenn.edu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Ryan Hamel</w:t>
            </w:r>
            <w:r w:rsidR="002D7228" w:rsidRPr="00766FCA">
              <w:rPr>
                <w:rFonts w:ascii="Times New Roman" w:hAnsi="Times New Roman"/>
                <w:sz w:val="20"/>
                <w:szCs w:val="20"/>
              </w:rPr>
              <w:t>, Pollution Prevention Institute</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913-715-7018, ryan.hamel@jocogov.org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Christine Hoefler, Colorado 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303-692-3148, christine.hoefler@state.co.us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Sara Johnson, New Hampshire SBO/SBEAP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603-271-1379, sara.johnson@des.nh.gov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Troy Johnson, Minnesota SBEAP  </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651-296-7767, troy.johnson@state.mn.us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Judy Mirro, Vermont SBO/SBEAP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802-241-3745, judy.mirro@state.vt.us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Elizabeth Sapio, Colorado SBO</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303-692-2135, elizabeth.sapio@state.co.us  </w:t>
            </w:r>
          </w:p>
        </w:tc>
      </w:tr>
      <w:tr w:rsidR="008A3838" w:rsidRPr="00766FCA" w:rsidTr="00233C4B">
        <w:trPr>
          <w:jc w:val="center"/>
        </w:trPr>
        <w:tc>
          <w:tcPr>
            <w:tcW w:w="4788"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Kenya Stump, Kentucky SBEAP</w:t>
            </w:r>
          </w:p>
        </w:tc>
        <w:tc>
          <w:tcPr>
            <w:tcW w:w="4680" w:type="dxa"/>
          </w:tcPr>
          <w:p w:rsidR="008A3838" w:rsidRPr="00766FCA" w:rsidRDefault="008A3838" w:rsidP="00425C31">
            <w:pPr>
              <w:rPr>
                <w:rFonts w:ascii="Times New Roman" w:hAnsi="Times New Roman"/>
                <w:sz w:val="20"/>
                <w:szCs w:val="20"/>
              </w:rPr>
            </w:pPr>
            <w:r w:rsidRPr="00766FCA">
              <w:rPr>
                <w:rFonts w:ascii="Times New Roman" w:hAnsi="Times New Roman"/>
                <w:sz w:val="20"/>
                <w:szCs w:val="20"/>
              </w:rPr>
              <w:t xml:space="preserve">502-564-0323, x134, kenya.stump@ky.gov   </w:t>
            </w:r>
          </w:p>
        </w:tc>
      </w:tr>
    </w:tbl>
    <w:p w:rsidR="0005728C" w:rsidRPr="000774A5" w:rsidRDefault="0005728C" w:rsidP="00425C31">
      <w:pPr>
        <w:widowControl/>
        <w:tabs>
          <w:tab w:val="left" w:pos="-1440"/>
        </w:tabs>
        <w:ind w:left="720" w:hanging="720"/>
        <w:rPr>
          <w:rFonts w:ascii="Times New Roman" w:hAnsi="Times New Roman"/>
        </w:rPr>
      </w:pPr>
    </w:p>
    <w:p w:rsidR="00304F6C" w:rsidRPr="000774A5" w:rsidRDefault="00304F6C" w:rsidP="00173696">
      <w:pPr>
        <w:widowControl/>
        <w:tabs>
          <w:tab w:val="left" w:pos="-1440"/>
        </w:tabs>
        <w:ind w:left="1080" w:hanging="720"/>
        <w:rPr>
          <w:rFonts w:ascii="Times New Roman" w:hAnsi="Times New Roman"/>
        </w:rPr>
      </w:pPr>
      <w:r w:rsidRPr="000774A5">
        <w:rPr>
          <w:rFonts w:ascii="Times New Roman" w:hAnsi="Times New Roman"/>
        </w:rPr>
        <w:t>EPA members of the group included:</w:t>
      </w:r>
    </w:p>
    <w:p w:rsidR="00304F6C" w:rsidRPr="000774A5" w:rsidRDefault="00304F6C" w:rsidP="00173696">
      <w:pPr>
        <w:widowControl/>
        <w:numPr>
          <w:ilvl w:val="0"/>
          <w:numId w:val="14"/>
        </w:numPr>
        <w:tabs>
          <w:tab w:val="left" w:pos="-1440"/>
        </w:tabs>
        <w:rPr>
          <w:rFonts w:ascii="Times New Roman" w:hAnsi="Times New Roman"/>
        </w:rPr>
      </w:pPr>
      <w:r w:rsidRPr="000774A5">
        <w:rPr>
          <w:rFonts w:ascii="Times New Roman" w:hAnsi="Times New Roman"/>
        </w:rPr>
        <w:t xml:space="preserve">Angela Suber, EPA SBO Team; 202-566-2827, suber.angela@epa.gov  </w:t>
      </w:r>
    </w:p>
    <w:p w:rsidR="00427659" w:rsidRPr="000774A5" w:rsidRDefault="00304F6C" w:rsidP="00173696">
      <w:pPr>
        <w:widowControl/>
        <w:numPr>
          <w:ilvl w:val="0"/>
          <w:numId w:val="14"/>
        </w:numPr>
        <w:rPr>
          <w:rFonts w:ascii="Times New Roman" w:hAnsi="Times New Roman"/>
        </w:rPr>
      </w:pPr>
      <w:r w:rsidRPr="000774A5">
        <w:rPr>
          <w:rFonts w:ascii="Times New Roman" w:hAnsi="Times New Roman"/>
        </w:rPr>
        <w:t xml:space="preserve">Paula Zampieri, EPA SBO Team; 202-566-2496, zampieri.paula@epa.gov  </w:t>
      </w:r>
    </w:p>
    <w:p w:rsidR="00304F6C" w:rsidRPr="000774A5" w:rsidRDefault="00304F6C" w:rsidP="00173696">
      <w:pPr>
        <w:widowControl/>
        <w:numPr>
          <w:ilvl w:val="0"/>
          <w:numId w:val="14"/>
        </w:numPr>
        <w:rPr>
          <w:rFonts w:ascii="Times New Roman" w:hAnsi="Times New Roman"/>
        </w:rPr>
      </w:pPr>
      <w:r w:rsidRPr="000774A5">
        <w:rPr>
          <w:rFonts w:ascii="Times New Roman" w:hAnsi="Times New Roman"/>
        </w:rPr>
        <w:lastRenderedPageBreak/>
        <w:t xml:space="preserve">Audrey G. Zelanko, </w:t>
      </w:r>
      <w:r w:rsidR="008B1737">
        <w:rPr>
          <w:rFonts w:ascii="Times New Roman" w:hAnsi="Times New Roman"/>
        </w:rPr>
        <w:t xml:space="preserve">EPA Contractor, </w:t>
      </w:r>
      <w:r w:rsidRPr="000774A5">
        <w:rPr>
          <w:rFonts w:ascii="Times New Roman" w:hAnsi="Times New Roman"/>
        </w:rPr>
        <w:t xml:space="preserve">724-452-4722, zelanko@smallbiz-enviroweb.org  </w:t>
      </w:r>
    </w:p>
    <w:p w:rsidR="00304F6C" w:rsidRPr="000774A5" w:rsidRDefault="00304F6C" w:rsidP="00425C31">
      <w:pPr>
        <w:widowControl/>
        <w:rPr>
          <w:rFonts w:ascii="Times New Roman" w:hAnsi="Times New Roman"/>
        </w:rPr>
      </w:pPr>
    </w:p>
    <w:p w:rsidR="00427659" w:rsidRPr="000774A5" w:rsidRDefault="00427659" w:rsidP="00233C4B">
      <w:pPr>
        <w:widowControl/>
        <w:ind w:left="360"/>
        <w:rPr>
          <w:rFonts w:ascii="Times New Roman" w:hAnsi="Times New Roman"/>
        </w:rPr>
      </w:pPr>
      <w:r w:rsidRPr="000774A5">
        <w:rPr>
          <w:rFonts w:ascii="Times New Roman" w:hAnsi="Times New Roman"/>
        </w:rPr>
        <w:t>Comments from all parties were very constructive.  Key suggestions included:</w:t>
      </w:r>
    </w:p>
    <w:p w:rsidR="00427659" w:rsidRPr="000774A5" w:rsidRDefault="00427659" w:rsidP="00425C31">
      <w:pPr>
        <w:widowControl/>
        <w:numPr>
          <w:ilvl w:val="0"/>
          <w:numId w:val="12"/>
        </w:numPr>
        <w:tabs>
          <w:tab w:val="left" w:pos="-1440"/>
        </w:tabs>
        <w:rPr>
          <w:rFonts w:ascii="Times New Roman" w:hAnsi="Times New Roman"/>
        </w:rPr>
      </w:pPr>
      <w:r w:rsidRPr="000774A5">
        <w:rPr>
          <w:rFonts w:ascii="Times New Roman" w:hAnsi="Times New Roman"/>
        </w:rPr>
        <w:t xml:space="preserve">Create consistent definitions for all programs reporting. </w:t>
      </w:r>
    </w:p>
    <w:p w:rsidR="00427659" w:rsidRPr="000774A5" w:rsidRDefault="006A24A5" w:rsidP="00425C31">
      <w:pPr>
        <w:widowControl/>
        <w:numPr>
          <w:ilvl w:val="0"/>
          <w:numId w:val="12"/>
        </w:numPr>
        <w:tabs>
          <w:tab w:val="left" w:pos="-1440"/>
        </w:tabs>
        <w:rPr>
          <w:rFonts w:ascii="Times New Roman" w:hAnsi="Times New Roman"/>
        </w:rPr>
      </w:pPr>
      <w:r w:rsidRPr="000774A5">
        <w:rPr>
          <w:rFonts w:ascii="Times New Roman" w:hAnsi="Times New Roman"/>
        </w:rPr>
        <w:t>Ensure that all programs report</w:t>
      </w:r>
      <w:r w:rsidR="009F3C35" w:rsidRPr="000774A5">
        <w:rPr>
          <w:rFonts w:ascii="Times New Roman" w:hAnsi="Times New Roman"/>
        </w:rPr>
        <w:t>ed</w:t>
      </w:r>
      <w:r w:rsidRPr="000774A5">
        <w:rPr>
          <w:rFonts w:ascii="Times New Roman" w:hAnsi="Times New Roman"/>
        </w:rPr>
        <w:t xml:space="preserve"> both the number of small businesses that were assisted, as well as total effort put forth by the program</w:t>
      </w:r>
      <w:r w:rsidR="00427659" w:rsidRPr="000774A5">
        <w:rPr>
          <w:rFonts w:ascii="Times New Roman" w:hAnsi="Times New Roman"/>
        </w:rPr>
        <w:t>.</w:t>
      </w:r>
    </w:p>
    <w:p w:rsidR="00427659" w:rsidRPr="000774A5" w:rsidRDefault="00427659" w:rsidP="00425C31">
      <w:pPr>
        <w:widowControl/>
        <w:numPr>
          <w:ilvl w:val="0"/>
          <w:numId w:val="12"/>
        </w:numPr>
        <w:tabs>
          <w:tab w:val="left" w:pos="-1440"/>
        </w:tabs>
        <w:rPr>
          <w:rFonts w:ascii="Times New Roman" w:hAnsi="Times New Roman"/>
        </w:rPr>
      </w:pPr>
      <w:r w:rsidRPr="000774A5">
        <w:rPr>
          <w:rFonts w:ascii="Times New Roman" w:hAnsi="Times New Roman"/>
        </w:rPr>
        <w:t>Standardize the counting method for the number of businesses helped or assisted. Programs currently use various approaches for recording data.</w:t>
      </w:r>
    </w:p>
    <w:p w:rsidR="00427659" w:rsidRPr="00EA0C95" w:rsidRDefault="00782578" w:rsidP="00425C31">
      <w:pPr>
        <w:pStyle w:val="Level1"/>
        <w:widowControl/>
        <w:numPr>
          <w:ilvl w:val="0"/>
          <w:numId w:val="12"/>
        </w:numPr>
        <w:tabs>
          <w:tab w:val="left" w:pos="-1440"/>
        </w:tabs>
        <w:rPr>
          <w:rFonts w:ascii="Times New Roman" w:hAnsi="Times New Roman"/>
        </w:rPr>
      </w:pPr>
      <w:r w:rsidRPr="00EA0C95">
        <w:rPr>
          <w:rFonts w:ascii="Times New Roman" w:hAnsi="Times New Roman"/>
        </w:rPr>
        <w:t>Expand the survey to include more outcome based data</w:t>
      </w:r>
      <w:r w:rsidR="00427659" w:rsidRPr="00EA0C95">
        <w:rPr>
          <w:rFonts w:ascii="Times New Roman" w:hAnsi="Times New Roman"/>
        </w:rPr>
        <w:t xml:space="preserve">. </w:t>
      </w:r>
    </w:p>
    <w:p w:rsidR="00427659" w:rsidRPr="000774A5" w:rsidRDefault="00427659" w:rsidP="00425C31">
      <w:pPr>
        <w:widowControl/>
        <w:rPr>
          <w:rFonts w:ascii="Times New Roman" w:hAnsi="Times New Roman"/>
        </w:rPr>
      </w:pPr>
    </w:p>
    <w:p w:rsidR="00427659" w:rsidRPr="000774A5" w:rsidRDefault="000B5A82" w:rsidP="00233C4B">
      <w:pPr>
        <w:widowControl/>
        <w:tabs>
          <w:tab w:val="left" w:pos="-1440"/>
        </w:tabs>
        <w:ind w:left="360"/>
        <w:rPr>
          <w:rFonts w:ascii="Times New Roman" w:hAnsi="Times New Roman"/>
        </w:rPr>
      </w:pPr>
      <w:r w:rsidRPr="000774A5">
        <w:rPr>
          <w:rFonts w:ascii="Times New Roman" w:hAnsi="Times New Roman"/>
        </w:rPr>
        <w:t>Following each conference call</w:t>
      </w:r>
      <w:r w:rsidR="00427659" w:rsidRPr="000774A5">
        <w:rPr>
          <w:rFonts w:ascii="Times New Roman" w:hAnsi="Times New Roman"/>
        </w:rPr>
        <w:t xml:space="preserve">, the Reporting Form was revised </w:t>
      </w:r>
      <w:r w:rsidRPr="000774A5">
        <w:rPr>
          <w:rFonts w:ascii="Times New Roman" w:hAnsi="Times New Roman"/>
        </w:rPr>
        <w:t>based on Committee directives</w:t>
      </w:r>
      <w:r w:rsidR="009F3C35" w:rsidRPr="000774A5">
        <w:rPr>
          <w:rFonts w:ascii="Times New Roman" w:hAnsi="Times New Roman"/>
        </w:rPr>
        <w:t xml:space="preserve"> and t</w:t>
      </w:r>
      <w:r w:rsidR="00427659" w:rsidRPr="000774A5">
        <w:rPr>
          <w:rFonts w:ascii="Times New Roman" w:hAnsi="Times New Roman"/>
        </w:rPr>
        <w:t>he revised form was sent to committee members via e-mail.</w:t>
      </w:r>
    </w:p>
    <w:p w:rsidR="000B5A82" w:rsidRPr="000774A5" w:rsidRDefault="000B5A82" w:rsidP="00425C31">
      <w:pPr>
        <w:widowControl/>
        <w:tabs>
          <w:tab w:val="left" w:pos="-1440"/>
        </w:tabs>
        <w:ind w:left="720"/>
        <w:rPr>
          <w:rFonts w:ascii="Times New Roman" w:hAnsi="Times New Roman"/>
        </w:rPr>
      </w:pPr>
    </w:p>
    <w:p w:rsidR="00427659" w:rsidRPr="000774A5" w:rsidRDefault="00EC59FA" w:rsidP="00233C4B">
      <w:pPr>
        <w:widowControl/>
        <w:ind w:left="360"/>
        <w:rPr>
          <w:rFonts w:ascii="Times New Roman" w:hAnsi="Times New Roman"/>
        </w:rPr>
      </w:pPr>
      <w:r w:rsidRPr="000774A5">
        <w:rPr>
          <w:rFonts w:ascii="Times New Roman" w:hAnsi="Times New Roman"/>
        </w:rPr>
        <w:t>C</w:t>
      </w:r>
      <w:r w:rsidR="00427659" w:rsidRPr="000774A5">
        <w:rPr>
          <w:rFonts w:ascii="Times New Roman" w:hAnsi="Times New Roman"/>
        </w:rPr>
        <w:t xml:space="preserve">ommittee </w:t>
      </w:r>
      <w:r w:rsidRPr="000774A5">
        <w:rPr>
          <w:rFonts w:ascii="Times New Roman" w:hAnsi="Times New Roman"/>
        </w:rPr>
        <w:t>members were asked for their estimates o</w:t>
      </w:r>
      <w:r w:rsidR="002D7228" w:rsidRPr="000774A5">
        <w:rPr>
          <w:rFonts w:ascii="Times New Roman" w:hAnsi="Times New Roman"/>
        </w:rPr>
        <w:t>f</w:t>
      </w:r>
      <w:r w:rsidRPr="000774A5">
        <w:rPr>
          <w:rFonts w:ascii="Times New Roman" w:hAnsi="Times New Roman"/>
        </w:rPr>
        <w:t xml:space="preserve"> the </w:t>
      </w:r>
      <w:r w:rsidR="00D15026" w:rsidRPr="000774A5">
        <w:rPr>
          <w:rFonts w:ascii="Times New Roman" w:hAnsi="Times New Roman"/>
        </w:rPr>
        <w:t>reporti</w:t>
      </w:r>
      <w:r w:rsidRPr="000774A5">
        <w:rPr>
          <w:rFonts w:ascii="Times New Roman" w:hAnsi="Times New Roman"/>
        </w:rPr>
        <w:t>ng burden on the state programs for this survey</w:t>
      </w:r>
      <w:r w:rsidR="00D15026" w:rsidRPr="000774A5">
        <w:rPr>
          <w:rFonts w:ascii="Times New Roman" w:hAnsi="Times New Roman"/>
        </w:rPr>
        <w:t xml:space="preserve">. </w:t>
      </w:r>
      <w:r w:rsidRPr="000774A5">
        <w:rPr>
          <w:rFonts w:ascii="Times New Roman" w:hAnsi="Times New Roman"/>
        </w:rPr>
        <w:t>The t</w:t>
      </w:r>
      <w:r w:rsidR="00427659" w:rsidRPr="000774A5">
        <w:rPr>
          <w:rFonts w:ascii="Times New Roman" w:hAnsi="Times New Roman"/>
        </w:rPr>
        <w:t xml:space="preserve">otal reporting burden </w:t>
      </w:r>
      <w:r w:rsidR="00A11DA3" w:rsidRPr="000774A5">
        <w:rPr>
          <w:rFonts w:ascii="Times New Roman" w:hAnsi="Times New Roman"/>
        </w:rPr>
        <w:t xml:space="preserve">was estimated to </w:t>
      </w:r>
      <w:r w:rsidR="00427659" w:rsidRPr="000774A5">
        <w:rPr>
          <w:rFonts w:ascii="Times New Roman" w:hAnsi="Times New Roman"/>
        </w:rPr>
        <w:t>be 40 hours per state.</w:t>
      </w:r>
      <w:r w:rsidR="00D15026" w:rsidRPr="000774A5">
        <w:rPr>
          <w:rFonts w:ascii="Times New Roman" w:hAnsi="Times New Roman"/>
        </w:rPr>
        <w:t xml:space="preserve"> </w:t>
      </w:r>
      <w:r w:rsidR="00427659" w:rsidRPr="000774A5">
        <w:rPr>
          <w:rFonts w:ascii="Times New Roman" w:hAnsi="Times New Roman"/>
        </w:rPr>
        <w:t>This work is expected to be performed by experienced professional technical staff.</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3(d)</w:t>
      </w:r>
      <w:r w:rsidRPr="000774A5">
        <w:rPr>
          <w:rFonts w:ascii="Times New Roman" w:hAnsi="Times New Roman"/>
          <w:b/>
          <w:bCs/>
        </w:rPr>
        <w:tab/>
        <w:t>Effects of Less Frequent Collection</w:t>
      </w:r>
    </w:p>
    <w:p w:rsidR="00427659" w:rsidRPr="000774A5" w:rsidRDefault="00427659" w:rsidP="00284E65">
      <w:pPr>
        <w:widowControl/>
        <w:ind w:left="720"/>
        <w:rPr>
          <w:rFonts w:ascii="Times New Roman" w:hAnsi="Times New Roman"/>
        </w:rPr>
      </w:pPr>
      <w:r w:rsidRPr="000774A5">
        <w:rPr>
          <w:rFonts w:ascii="Times New Roman" w:hAnsi="Times New Roman"/>
        </w:rPr>
        <w:t xml:space="preserve">The submission of this information on less than an annual basis will not meet the useful intent under the Section 507 of the CAA.  Annual reporting assures uniformity and consistency.  All the states </w:t>
      </w:r>
      <w:r w:rsidR="00782578">
        <w:rPr>
          <w:rFonts w:ascii="Times New Roman" w:hAnsi="Times New Roman"/>
        </w:rPr>
        <w:t xml:space="preserve">also </w:t>
      </w:r>
      <w:r w:rsidRPr="000774A5">
        <w:rPr>
          <w:rFonts w:ascii="Times New Roman" w:hAnsi="Times New Roman"/>
        </w:rPr>
        <w:t xml:space="preserve">use their annual </w:t>
      </w:r>
      <w:r w:rsidR="00BF30E4" w:rsidRPr="000774A5">
        <w:rPr>
          <w:rFonts w:ascii="Times New Roman" w:hAnsi="Times New Roman"/>
        </w:rPr>
        <w:t>submissions to the EPA SBO to</w:t>
      </w:r>
      <w:r w:rsidRPr="000774A5">
        <w:rPr>
          <w:rFonts w:ascii="Times New Roman" w:hAnsi="Times New Roman"/>
        </w:rPr>
        <w:t xml:space="preserve"> report to higher management within the state.</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720" w:hanging="720"/>
        <w:rPr>
          <w:rFonts w:ascii="Times New Roman" w:hAnsi="Times New Roman"/>
        </w:rPr>
      </w:pPr>
      <w:r w:rsidRPr="000774A5">
        <w:rPr>
          <w:rFonts w:ascii="Times New Roman" w:hAnsi="Times New Roman"/>
          <w:b/>
          <w:bCs/>
        </w:rPr>
        <w:t>3(e)</w:t>
      </w:r>
      <w:r w:rsidRPr="000774A5">
        <w:rPr>
          <w:rFonts w:ascii="Times New Roman" w:hAnsi="Times New Roman"/>
          <w:b/>
          <w:bCs/>
        </w:rPr>
        <w:tab/>
        <w:t>General Guidelines</w:t>
      </w:r>
    </w:p>
    <w:p w:rsidR="00427659" w:rsidRPr="000774A5" w:rsidRDefault="00427659" w:rsidP="00284E65">
      <w:pPr>
        <w:widowControl/>
        <w:ind w:left="720"/>
        <w:rPr>
          <w:rFonts w:ascii="Times New Roman" w:hAnsi="Times New Roman"/>
        </w:rPr>
      </w:pPr>
      <w:r w:rsidRPr="000774A5">
        <w:rPr>
          <w:rFonts w:ascii="Times New Roman" w:hAnsi="Times New Roman"/>
        </w:rPr>
        <w:t xml:space="preserve">OMB's general guidelines for information collections have been followed in gathering information from the states.  The EPA SBO requests information readily available during the conduct of the </w:t>
      </w:r>
      <w:r w:rsidRPr="00EA0C95">
        <w:rPr>
          <w:rFonts w:ascii="Times New Roman" w:hAnsi="Times New Roman"/>
        </w:rPr>
        <w:t>state's program</w:t>
      </w:r>
      <w:r w:rsidR="00782578" w:rsidRPr="00EA0C95">
        <w:rPr>
          <w:rFonts w:ascii="Times New Roman" w:hAnsi="Times New Roman"/>
        </w:rPr>
        <w:t xml:space="preserve"> and typically collected by the programs</w:t>
      </w:r>
      <w:r w:rsidRPr="00EA0C95">
        <w:rPr>
          <w:rFonts w:ascii="Times New Roman" w:hAnsi="Times New Roman"/>
        </w:rPr>
        <w:t>.  The state records are those normally</w:t>
      </w:r>
      <w:r w:rsidRPr="000774A5">
        <w:rPr>
          <w:rFonts w:ascii="Times New Roman" w:hAnsi="Times New Roman"/>
        </w:rPr>
        <w:t xml:space="preserve"> retained for good r</w:t>
      </w:r>
      <w:r w:rsidR="00755071" w:rsidRPr="000774A5">
        <w:rPr>
          <w:rFonts w:ascii="Times New Roman" w:hAnsi="Times New Roman"/>
        </w:rPr>
        <w:t>ecords management and reporting</w:t>
      </w:r>
      <w:r w:rsidR="00304F6C" w:rsidRPr="000774A5">
        <w:rPr>
          <w:rFonts w:ascii="Times New Roman" w:hAnsi="Times New Roman"/>
        </w:rPr>
        <w:t xml:space="preserve">.  </w:t>
      </w:r>
    </w:p>
    <w:p w:rsidR="00427659" w:rsidRPr="000774A5"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Respondents are requested to report annually.</w:t>
      </w:r>
    </w:p>
    <w:p w:rsidR="00427659" w:rsidRPr="000774A5"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Respondents typically have 60-90 days to prepare a written response to the collection of information request.</w:t>
      </w:r>
    </w:p>
    <w:p w:rsidR="00427659" w:rsidRPr="000774A5"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Respondents are asked to complete and su</w:t>
      </w:r>
      <w:r w:rsidR="00755071" w:rsidRPr="000774A5">
        <w:rPr>
          <w:rFonts w:ascii="Times New Roman" w:hAnsi="Times New Roman"/>
        </w:rPr>
        <w:t>bmit their Reporting Form and email it to the EPA SBO</w:t>
      </w:r>
      <w:r w:rsidRPr="000774A5">
        <w:rPr>
          <w:rFonts w:ascii="Times New Roman" w:hAnsi="Times New Roman"/>
        </w:rPr>
        <w:t>.</w:t>
      </w:r>
    </w:p>
    <w:p w:rsidR="00427659" w:rsidRPr="000774A5"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 xml:space="preserve">Respondents are not required to retain their records for more than </w:t>
      </w:r>
      <w:r w:rsidR="003A7A45" w:rsidRPr="000774A5">
        <w:rPr>
          <w:rFonts w:ascii="Times New Roman" w:hAnsi="Times New Roman"/>
        </w:rPr>
        <w:t>three</w:t>
      </w:r>
      <w:r w:rsidRPr="000774A5">
        <w:rPr>
          <w:rFonts w:ascii="Times New Roman" w:hAnsi="Times New Roman"/>
        </w:rPr>
        <w:t xml:space="preserve"> years.  The EPA SBO has not imposed any recordkeeping requirements, although the individual states may have their own recordkeeping policies.</w:t>
      </w:r>
    </w:p>
    <w:p w:rsidR="00427659" w:rsidRPr="000774A5"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Respondents are not required to participate in a statistical survey that is not designed to produce data that can be generalized to the universe of the study.</w:t>
      </w:r>
    </w:p>
    <w:p w:rsidR="00427659" w:rsidRPr="000774A5"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Respondents do not have to use any statistical data classification.</w:t>
      </w:r>
    </w:p>
    <w:p w:rsidR="00427659" w:rsidRDefault="00427659" w:rsidP="00284E65">
      <w:pPr>
        <w:widowControl/>
        <w:numPr>
          <w:ilvl w:val="0"/>
          <w:numId w:val="15"/>
        </w:numPr>
        <w:tabs>
          <w:tab w:val="left" w:pos="-1440"/>
        </w:tabs>
        <w:rPr>
          <w:rFonts w:ascii="Times New Roman" w:hAnsi="Times New Roman"/>
        </w:rPr>
      </w:pPr>
      <w:r w:rsidRPr="000774A5">
        <w:rPr>
          <w:rFonts w:ascii="Times New Roman" w:hAnsi="Times New Roman"/>
        </w:rPr>
        <w:t>Respondents do not receive a pledge of confidentiality in regard to the information collection.  All information is considered public.</w:t>
      </w:r>
    </w:p>
    <w:p w:rsidR="00321CC2" w:rsidRDefault="00321CC2" w:rsidP="00284E65">
      <w:pPr>
        <w:widowControl/>
        <w:numPr>
          <w:ilvl w:val="0"/>
          <w:numId w:val="15"/>
        </w:numPr>
        <w:tabs>
          <w:tab w:val="left" w:pos="-1440"/>
        </w:tabs>
        <w:rPr>
          <w:rFonts w:ascii="Times New Roman" w:hAnsi="Times New Roman"/>
        </w:rPr>
      </w:pPr>
      <w:r>
        <w:rPr>
          <w:rFonts w:ascii="Times New Roman" w:hAnsi="Times New Roman"/>
        </w:rPr>
        <w:t>Respondents are not asked to submit any proprietary, trade secret, or other confidential information.</w:t>
      </w:r>
    </w:p>
    <w:p w:rsidR="00E067DA" w:rsidRDefault="00E067DA">
      <w:pPr>
        <w:widowControl/>
        <w:tabs>
          <w:tab w:val="left" w:pos="-1440"/>
        </w:tabs>
        <w:ind w:left="720"/>
        <w:rPr>
          <w:rFonts w:ascii="Times New Roman" w:hAnsi="Times New Roman"/>
        </w:rPr>
      </w:pPr>
    </w:p>
    <w:p w:rsidR="00427659" w:rsidRPr="000774A5" w:rsidRDefault="00427659" w:rsidP="00766FCA">
      <w:pPr>
        <w:widowControl/>
        <w:tabs>
          <w:tab w:val="left" w:pos="-1440"/>
        </w:tabs>
        <w:ind w:left="720" w:hanging="720"/>
        <w:rPr>
          <w:rFonts w:ascii="Times New Roman" w:hAnsi="Times New Roman"/>
        </w:rPr>
      </w:pPr>
      <w:r w:rsidRPr="000774A5">
        <w:rPr>
          <w:rFonts w:ascii="Times New Roman" w:hAnsi="Times New Roman"/>
          <w:b/>
          <w:bCs/>
        </w:rPr>
        <w:t>3(f)</w:t>
      </w:r>
      <w:r w:rsidRPr="000774A5">
        <w:rPr>
          <w:rFonts w:ascii="Times New Roman" w:hAnsi="Times New Roman"/>
          <w:b/>
          <w:bCs/>
        </w:rPr>
        <w:tab/>
        <w:t>Confidentiality</w:t>
      </w:r>
      <w:r w:rsidR="0049686B">
        <w:rPr>
          <w:rFonts w:ascii="Times New Roman" w:hAnsi="Times New Roman"/>
          <w:b/>
          <w:bCs/>
        </w:rPr>
        <w:t>/Sensitive Questions</w:t>
      </w:r>
    </w:p>
    <w:p w:rsidR="00427659" w:rsidRPr="000774A5" w:rsidRDefault="00427659" w:rsidP="00284E65">
      <w:pPr>
        <w:widowControl/>
        <w:ind w:left="720"/>
        <w:rPr>
          <w:rFonts w:ascii="Times New Roman" w:hAnsi="Times New Roman"/>
        </w:rPr>
      </w:pPr>
      <w:r w:rsidRPr="000774A5">
        <w:rPr>
          <w:rFonts w:ascii="Times New Roman" w:hAnsi="Times New Roman"/>
        </w:rPr>
        <w:lastRenderedPageBreak/>
        <w:t>Information in the Annual Report is aggregated and is not of a confidential nature.  None of the information collected by this action results in or requests sensitive information of any nature from the states.</w:t>
      </w:r>
    </w:p>
    <w:p w:rsidR="0050454E" w:rsidRPr="000774A5" w:rsidRDefault="0050454E" w:rsidP="00425C31">
      <w:pPr>
        <w:widowControl/>
        <w:rPr>
          <w:rFonts w:ascii="Times New Roman" w:hAnsi="Times New Roman"/>
        </w:rPr>
      </w:pPr>
    </w:p>
    <w:p w:rsidR="00427659" w:rsidRPr="000774A5" w:rsidRDefault="00427659" w:rsidP="00425C31">
      <w:pPr>
        <w:widowControl/>
        <w:tabs>
          <w:tab w:val="left" w:pos="-1440"/>
        </w:tabs>
        <w:ind w:left="720" w:hanging="720"/>
        <w:rPr>
          <w:rFonts w:ascii="Times New Roman" w:hAnsi="Times New Roman"/>
          <w:b/>
          <w:bCs/>
        </w:rPr>
      </w:pPr>
      <w:r w:rsidRPr="000774A5">
        <w:rPr>
          <w:rFonts w:ascii="Times New Roman" w:hAnsi="Times New Roman"/>
          <w:b/>
          <w:bCs/>
        </w:rPr>
        <w:t>4.</w:t>
      </w:r>
      <w:r w:rsidRPr="000774A5">
        <w:rPr>
          <w:rFonts w:ascii="Times New Roman" w:hAnsi="Times New Roman"/>
          <w:b/>
          <w:bCs/>
        </w:rPr>
        <w:tab/>
        <w:t>THE RESPONDENTS AND THE INFORMATION REQUESTED</w:t>
      </w:r>
    </w:p>
    <w:p w:rsidR="00427659" w:rsidRPr="000774A5" w:rsidRDefault="00427659" w:rsidP="00425C31">
      <w:pPr>
        <w:widowControl/>
        <w:rPr>
          <w:rFonts w:ascii="Times New Roman" w:hAnsi="Times New Roman"/>
        </w:rPr>
      </w:pPr>
    </w:p>
    <w:p w:rsidR="00427659" w:rsidRPr="000774A5" w:rsidRDefault="00427659" w:rsidP="00766FCA">
      <w:pPr>
        <w:widowControl/>
        <w:tabs>
          <w:tab w:val="left" w:pos="-1440"/>
        </w:tabs>
        <w:ind w:left="720" w:hanging="720"/>
        <w:rPr>
          <w:rFonts w:ascii="Times New Roman" w:hAnsi="Times New Roman"/>
        </w:rPr>
      </w:pPr>
      <w:r w:rsidRPr="000774A5">
        <w:rPr>
          <w:rFonts w:ascii="Times New Roman" w:hAnsi="Times New Roman"/>
          <w:b/>
          <w:bCs/>
        </w:rPr>
        <w:t>4(a)</w:t>
      </w:r>
      <w:r w:rsidRPr="000774A5">
        <w:rPr>
          <w:rFonts w:ascii="Times New Roman" w:hAnsi="Times New Roman"/>
          <w:b/>
          <w:bCs/>
        </w:rPr>
        <w:tab/>
        <w:t>Respondents/SIC Codes</w:t>
      </w:r>
    </w:p>
    <w:p w:rsidR="00427659" w:rsidRPr="000774A5" w:rsidRDefault="00427659" w:rsidP="00193C23">
      <w:pPr>
        <w:widowControl/>
        <w:ind w:left="720"/>
        <w:rPr>
          <w:rFonts w:ascii="Times New Roman" w:hAnsi="Times New Roman"/>
        </w:rPr>
      </w:pPr>
      <w:r w:rsidRPr="000774A5">
        <w:rPr>
          <w:rFonts w:ascii="Times New Roman" w:hAnsi="Times New Roman"/>
        </w:rPr>
        <w:t xml:space="preserve">Respondents will be </w:t>
      </w:r>
      <w:r w:rsidRPr="000774A5">
        <w:rPr>
          <w:rFonts w:ascii="Times New Roman" w:hAnsi="Times New Roman"/>
          <w:i/>
          <w:iCs/>
        </w:rPr>
        <w:t>one</w:t>
      </w:r>
      <w:r w:rsidRPr="000774A5">
        <w:rPr>
          <w:rFonts w:ascii="Times New Roman" w:hAnsi="Times New Roman"/>
        </w:rPr>
        <w:t xml:space="preserve"> of the following state offices:  environmental agency (SIC 9511), commerce or economic development department (SIC 9611), governor's office (SIC 9111), or ombudsman's office (SIC 9511).  These departments/agencies typically are responsible for the conduct of the State 507 Programs. </w:t>
      </w:r>
    </w:p>
    <w:p w:rsidR="00427659" w:rsidRPr="000774A5" w:rsidRDefault="00427659" w:rsidP="00425C31">
      <w:pPr>
        <w:widowControl/>
        <w:rPr>
          <w:rFonts w:ascii="Times New Roman" w:hAnsi="Times New Roman"/>
        </w:rPr>
      </w:pPr>
    </w:p>
    <w:p w:rsidR="00427659" w:rsidRPr="000774A5" w:rsidRDefault="00427659" w:rsidP="00766FCA">
      <w:pPr>
        <w:widowControl/>
        <w:tabs>
          <w:tab w:val="left" w:pos="-1440"/>
        </w:tabs>
        <w:ind w:left="720" w:hanging="720"/>
        <w:rPr>
          <w:rFonts w:ascii="Times New Roman" w:hAnsi="Times New Roman"/>
          <w:b/>
          <w:bCs/>
        </w:rPr>
      </w:pPr>
      <w:r w:rsidRPr="000774A5">
        <w:rPr>
          <w:rFonts w:ascii="Times New Roman" w:hAnsi="Times New Roman"/>
          <w:b/>
          <w:bCs/>
        </w:rPr>
        <w:t>4(b)</w:t>
      </w:r>
      <w:r w:rsidRPr="000774A5">
        <w:rPr>
          <w:rFonts w:ascii="Times New Roman" w:hAnsi="Times New Roman"/>
          <w:b/>
          <w:bCs/>
        </w:rPr>
        <w:tab/>
        <w:t>Information Requested</w:t>
      </w:r>
    </w:p>
    <w:p w:rsidR="00427659" w:rsidRPr="000774A5" w:rsidRDefault="00427659" w:rsidP="00193C23">
      <w:pPr>
        <w:widowControl/>
        <w:ind w:left="720"/>
        <w:rPr>
          <w:rFonts w:ascii="Times New Roman" w:hAnsi="Times New Roman"/>
          <w:b/>
          <w:bCs/>
        </w:rPr>
      </w:pPr>
      <w:r w:rsidRPr="000774A5">
        <w:rPr>
          <w:rFonts w:ascii="Times New Roman" w:hAnsi="Times New Roman"/>
        </w:rPr>
        <w:t>A copy of the reporting form is attached.</w:t>
      </w:r>
    </w:p>
    <w:p w:rsidR="00427659" w:rsidRPr="000774A5" w:rsidRDefault="00427659" w:rsidP="00425C31">
      <w:pPr>
        <w:widowControl/>
        <w:rPr>
          <w:rFonts w:ascii="Times New Roman" w:hAnsi="Times New Roman"/>
          <w:b/>
          <w:bCs/>
        </w:rPr>
      </w:pPr>
    </w:p>
    <w:p w:rsidR="00427659" w:rsidRPr="000774A5" w:rsidRDefault="00766FCA" w:rsidP="00766FCA">
      <w:pPr>
        <w:widowControl/>
        <w:tabs>
          <w:tab w:val="left" w:pos="-1440"/>
        </w:tabs>
        <w:ind w:left="1440" w:hanging="720"/>
        <w:rPr>
          <w:rFonts w:ascii="Times New Roman" w:hAnsi="Times New Roman"/>
        </w:rPr>
      </w:pPr>
      <w:r>
        <w:rPr>
          <w:rFonts w:ascii="Times New Roman" w:hAnsi="Times New Roman"/>
          <w:b/>
          <w:bCs/>
        </w:rPr>
        <w:t>(i</w:t>
      </w:r>
      <w:r w:rsidR="00427659" w:rsidRPr="000774A5">
        <w:rPr>
          <w:rFonts w:ascii="Times New Roman" w:hAnsi="Times New Roman"/>
          <w:b/>
          <w:bCs/>
        </w:rPr>
        <w:t>)</w:t>
      </w:r>
      <w:r w:rsidR="00427659" w:rsidRPr="000774A5">
        <w:rPr>
          <w:rFonts w:ascii="Times New Roman" w:hAnsi="Times New Roman"/>
          <w:b/>
          <w:bCs/>
        </w:rPr>
        <w:tab/>
        <w:t>Data Items</w:t>
      </w:r>
    </w:p>
    <w:p w:rsidR="00D02CFD" w:rsidRDefault="00427659" w:rsidP="00766FCA">
      <w:pPr>
        <w:widowControl/>
        <w:ind w:left="720"/>
        <w:rPr>
          <w:rFonts w:ascii="Times New Roman" w:hAnsi="Times New Roman"/>
        </w:rPr>
      </w:pPr>
      <w:r w:rsidRPr="000774A5">
        <w:rPr>
          <w:rFonts w:ascii="Times New Roman" w:hAnsi="Times New Roman"/>
        </w:rPr>
        <w:t>States will report on the data items shown in the following table.  Each item is designated as a record keeping or reporting item; activities that are customary and usual business practices (CBP) also are indicated, as required in the following section.  The EPA SBO imposes no record keeping requirements on any respondent.  Each state may have its own requirement for retention of records.</w:t>
      </w:r>
    </w:p>
    <w:p w:rsidR="000774A5" w:rsidRDefault="000774A5" w:rsidP="00425C31">
      <w:pPr>
        <w:widowControl/>
        <w:ind w:left="1440"/>
        <w:rPr>
          <w:rFonts w:ascii="Times New Roman" w:hAnsi="Times New Roman"/>
        </w:rPr>
      </w:pPr>
    </w:p>
    <w:tbl>
      <w:tblPr>
        <w:tblW w:w="10170" w:type="dxa"/>
        <w:jc w:val="center"/>
        <w:tblInd w:w="141" w:type="dxa"/>
        <w:tblLayout w:type="fixed"/>
        <w:tblCellMar>
          <w:left w:w="141" w:type="dxa"/>
          <w:right w:w="141" w:type="dxa"/>
        </w:tblCellMar>
        <w:tblLook w:val="0000"/>
      </w:tblPr>
      <w:tblGrid>
        <w:gridCol w:w="5427"/>
        <w:gridCol w:w="2340"/>
        <w:gridCol w:w="1620"/>
        <w:gridCol w:w="783"/>
      </w:tblGrid>
      <w:tr w:rsidR="00427659" w:rsidRPr="00126472" w:rsidTr="00766FCA">
        <w:trPr>
          <w:cantSplit/>
          <w:jc w:val="center"/>
        </w:trPr>
        <w:tc>
          <w:tcPr>
            <w:tcW w:w="5427" w:type="dxa"/>
            <w:tcBorders>
              <w:top w:val="double" w:sz="7" w:space="0" w:color="000000"/>
              <w:left w:val="doub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b/>
                <w:bCs/>
                <w:sz w:val="22"/>
                <w:szCs w:val="22"/>
              </w:rPr>
            </w:pPr>
            <w:r w:rsidRPr="00126472">
              <w:rPr>
                <w:rFonts w:ascii="Times New Roman" w:hAnsi="Times New Roman"/>
                <w:b/>
                <w:bCs/>
                <w:sz w:val="22"/>
                <w:szCs w:val="22"/>
              </w:rPr>
              <w:t>DATA ITEM</w:t>
            </w:r>
          </w:p>
        </w:tc>
        <w:tc>
          <w:tcPr>
            <w:tcW w:w="2340" w:type="dxa"/>
            <w:tcBorders>
              <w:top w:val="doub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b/>
                <w:bCs/>
                <w:sz w:val="22"/>
                <w:szCs w:val="22"/>
              </w:rPr>
            </w:pPr>
            <w:r w:rsidRPr="00126472">
              <w:rPr>
                <w:rFonts w:ascii="Times New Roman" w:hAnsi="Times New Roman"/>
                <w:b/>
                <w:bCs/>
                <w:sz w:val="22"/>
                <w:szCs w:val="22"/>
              </w:rPr>
              <w:t>RECORD KEEPING</w:t>
            </w:r>
          </w:p>
        </w:tc>
        <w:tc>
          <w:tcPr>
            <w:tcW w:w="1620" w:type="dxa"/>
            <w:tcBorders>
              <w:top w:val="doub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b/>
                <w:bCs/>
                <w:sz w:val="22"/>
                <w:szCs w:val="22"/>
              </w:rPr>
            </w:pPr>
            <w:r w:rsidRPr="00126472">
              <w:rPr>
                <w:rFonts w:ascii="Times New Roman" w:hAnsi="Times New Roman"/>
                <w:b/>
                <w:bCs/>
                <w:sz w:val="22"/>
                <w:szCs w:val="22"/>
              </w:rPr>
              <w:t>REPORTING</w:t>
            </w:r>
          </w:p>
        </w:tc>
        <w:tc>
          <w:tcPr>
            <w:tcW w:w="783" w:type="dxa"/>
            <w:tcBorders>
              <w:top w:val="doub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b/>
                <w:bCs/>
                <w:sz w:val="22"/>
                <w:szCs w:val="22"/>
              </w:rPr>
              <w:t>CBP</w:t>
            </w:r>
          </w:p>
        </w:tc>
      </w:tr>
      <w:tr w:rsidR="009A550D" w:rsidRPr="00126472" w:rsidTr="00126472">
        <w:trPr>
          <w:cantSplit/>
          <w:jc w:val="center"/>
        </w:trPr>
        <w:tc>
          <w:tcPr>
            <w:tcW w:w="10170" w:type="dxa"/>
            <w:gridSpan w:val="4"/>
            <w:tcBorders>
              <w:top w:val="single" w:sz="7" w:space="0" w:color="000000"/>
              <w:left w:val="double" w:sz="7" w:space="0" w:color="000000"/>
              <w:bottom w:val="single" w:sz="6" w:space="0" w:color="FFFFFF"/>
              <w:right w:val="double" w:sz="7" w:space="0" w:color="000000"/>
            </w:tcBorders>
          </w:tcPr>
          <w:p w:rsidR="00427659" w:rsidRPr="00126472" w:rsidRDefault="00427659" w:rsidP="00425C31">
            <w:pPr>
              <w:widowControl/>
              <w:rPr>
                <w:rFonts w:ascii="Times New Roman" w:hAnsi="Times New Roman"/>
                <w:sz w:val="22"/>
                <w:szCs w:val="22"/>
              </w:rPr>
            </w:pPr>
            <w:r w:rsidRPr="00126472">
              <w:rPr>
                <w:rFonts w:ascii="Times New Roman" w:hAnsi="Times New Roman"/>
                <w:b/>
                <w:bCs/>
                <w:sz w:val="22"/>
                <w:szCs w:val="22"/>
              </w:rPr>
              <w:t>Program Information</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Name of State, Territory, or Local Agency</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Reporting Form Contact</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Combined SBO/SBAP/CAP Budget</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D91218"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D91218" w:rsidRPr="00126472" w:rsidRDefault="00D91218" w:rsidP="00425C31">
            <w:pPr>
              <w:rPr>
                <w:rFonts w:ascii="Times New Roman" w:hAnsi="Times New Roman"/>
                <w:sz w:val="22"/>
                <w:szCs w:val="22"/>
              </w:rPr>
            </w:pPr>
            <w:r w:rsidRPr="00126472">
              <w:rPr>
                <w:rFonts w:ascii="Times New Roman" w:hAnsi="Times New Roman"/>
                <w:sz w:val="22"/>
                <w:szCs w:val="22"/>
              </w:rPr>
              <w:t>Budgetary Funding Sources</w:t>
            </w:r>
          </w:p>
        </w:tc>
        <w:tc>
          <w:tcPr>
            <w:tcW w:w="2340" w:type="dxa"/>
            <w:tcBorders>
              <w:top w:val="single" w:sz="7" w:space="0" w:color="000000"/>
              <w:left w:val="single" w:sz="7" w:space="0" w:color="000000"/>
              <w:bottom w:val="single" w:sz="6" w:space="0" w:color="FFFFFF"/>
              <w:right w:val="single" w:sz="6" w:space="0" w:color="FFFFFF"/>
            </w:tcBorders>
          </w:tcPr>
          <w:p w:rsidR="00D91218" w:rsidRPr="00126472" w:rsidRDefault="00D91218" w:rsidP="00425C31">
            <w:pP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D91218" w:rsidRPr="00126472" w:rsidRDefault="00D91218" w:rsidP="00425C31">
            <w:pPr>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D91218" w:rsidRPr="00126472" w:rsidRDefault="00D91218" w:rsidP="00425C31">
            <w:pPr>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b/>
                <w:bCs/>
                <w:sz w:val="22"/>
                <w:szCs w:val="22"/>
              </w:rPr>
              <w:t>Staffing</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SBO/SBAP FTEs</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Status of CAP</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9A550D" w:rsidRPr="00126472" w:rsidTr="00126472">
        <w:trPr>
          <w:cantSplit/>
          <w:jc w:val="center"/>
        </w:trPr>
        <w:tc>
          <w:tcPr>
            <w:tcW w:w="10170" w:type="dxa"/>
            <w:gridSpan w:val="4"/>
            <w:tcBorders>
              <w:top w:val="single" w:sz="7" w:space="0" w:color="000000"/>
              <w:left w:val="double" w:sz="7" w:space="0" w:color="000000"/>
              <w:bottom w:val="single" w:sz="6" w:space="0" w:color="FFFFFF"/>
              <w:right w:val="double" w:sz="7" w:space="0" w:color="000000"/>
            </w:tcBorders>
          </w:tcPr>
          <w:p w:rsidR="00427659" w:rsidRPr="00126472" w:rsidRDefault="00427659" w:rsidP="00425C31">
            <w:pPr>
              <w:widowControl/>
              <w:rPr>
                <w:rFonts w:ascii="Times New Roman" w:hAnsi="Times New Roman"/>
                <w:sz w:val="22"/>
                <w:szCs w:val="22"/>
              </w:rPr>
            </w:pPr>
            <w:r w:rsidRPr="00126472">
              <w:rPr>
                <w:rFonts w:ascii="Times New Roman" w:hAnsi="Times New Roman"/>
                <w:b/>
                <w:bCs/>
                <w:sz w:val="22"/>
                <w:szCs w:val="22"/>
              </w:rPr>
              <w:t>Outreach and Technical Assistance</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Air-only or Multimedia Assistance</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926D76"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926D76" w:rsidRPr="00126472" w:rsidRDefault="00926D76" w:rsidP="00425C31">
            <w:pPr>
              <w:widowControl/>
              <w:rPr>
                <w:rFonts w:ascii="Times New Roman" w:hAnsi="Times New Roman"/>
                <w:sz w:val="22"/>
                <w:szCs w:val="22"/>
              </w:rPr>
            </w:pPr>
            <w:r w:rsidRPr="00126472">
              <w:rPr>
                <w:rFonts w:ascii="Times New Roman" w:hAnsi="Times New Roman"/>
                <w:sz w:val="22"/>
                <w:szCs w:val="22"/>
              </w:rPr>
              <w:t>Data on Offered Services/Activities</w:t>
            </w:r>
          </w:p>
        </w:tc>
        <w:tc>
          <w:tcPr>
            <w:tcW w:w="2340" w:type="dxa"/>
            <w:tcBorders>
              <w:top w:val="single" w:sz="7" w:space="0" w:color="000000"/>
              <w:left w:val="single" w:sz="7" w:space="0" w:color="000000"/>
              <w:bottom w:val="single" w:sz="6" w:space="0" w:color="FFFFFF"/>
              <w:right w:val="single" w:sz="6" w:space="0" w:color="FFFFFF"/>
            </w:tcBorders>
          </w:tcPr>
          <w:p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1620" w:type="dxa"/>
            <w:tcBorders>
              <w:top w:val="single" w:sz="7" w:space="0" w:color="000000"/>
              <w:left w:val="single" w:sz="7" w:space="0" w:color="000000"/>
              <w:bottom w:val="single" w:sz="6" w:space="0" w:color="FFFFFF"/>
              <w:right w:val="single" w:sz="6" w:space="0" w:color="FFFFFF"/>
            </w:tcBorders>
          </w:tcPr>
          <w:p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 xml:space="preserve"> </w:t>
            </w:r>
          </w:p>
        </w:tc>
        <w:tc>
          <w:tcPr>
            <w:tcW w:w="783" w:type="dxa"/>
            <w:tcBorders>
              <w:top w:val="single" w:sz="7" w:space="0" w:color="000000"/>
              <w:left w:val="single" w:sz="7" w:space="0" w:color="000000"/>
              <w:bottom w:val="single" w:sz="6" w:space="0" w:color="FFFFFF"/>
              <w:right w:val="double" w:sz="7" w:space="0" w:color="000000"/>
            </w:tcBorders>
          </w:tcPr>
          <w:p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 xml:space="preserve">Data on </w:t>
            </w:r>
            <w:r w:rsidR="00926D76" w:rsidRPr="00126472">
              <w:rPr>
                <w:rFonts w:ascii="Times New Roman" w:hAnsi="Times New Roman"/>
                <w:sz w:val="22"/>
                <w:szCs w:val="22"/>
              </w:rPr>
              <w:t>Promotional Activities</w:t>
            </w:r>
          </w:p>
        </w:tc>
        <w:tc>
          <w:tcPr>
            <w:tcW w:w="234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1620" w:type="dxa"/>
            <w:tcBorders>
              <w:top w:val="single" w:sz="7" w:space="0" w:color="000000"/>
              <w:left w:val="single" w:sz="7" w:space="0" w:color="000000"/>
              <w:bottom w:val="single" w:sz="6" w:space="0" w:color="FFFFFF"/>
              <w:right w:val="single" w:sz="6" w:space="0" w:color="FFFFFF"/>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 xml:space="preserve"> </w:t>
            </w:r>
          </w:p>
        </w:tc>
        <w:tc>
          <w:tcPr>
            <w:tcW w:w="783" w:type="dxa"/>
            <w:tcBorders>
              <w:top w:val="single" w:sz="7" w:space="0" w:color="000000"/>
              <w:left w:val="single" w:sz="7" w:space="0" w:color="000000"/>
              <w:bottom w:val="single" w:sz="6" w:space="0" w:color="FFFFFF"/>
              <w:right w:val="double" w:sz="7" w:space="0" w:color="000000"/>
            </w:tcBorders>
          </w:tcPr>
          <w:p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926D76" w:rsidRPr="00126472"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rsidR="00926D76" w:rsidRPr="00126472" w:rsidRDefault="00926D76" w:rsidP="00425C31">
            <w:pPr>
              <w:widowControl/>
              <w:rPr>
                <w:rFonts w:ascii="Times New Roman" w:hAnsi="Times New Roman"/>
                <w:sz w:val="22"/>
                <w:szCs w:val="22"/>
              </w:rPr>
            </w:pPr>
            <w:r w:rsidRPr="00126472">
              <w:rPr>
                <w:rFonts w:ascii="Times New Roman" w:hAnsi="Times New Roman"/>
                <w:sz w:val="22"/>
                <w:szCs w:val="22"/>
              </w:rPr>
              <w:t>Data on Website Activities</w:t>
            </w:r>
          </w:p>
        </w:tc>
        <w:tc>
          <w:tcPr>
            <w:tcW w:w="2340" w:type="dxa"/>
            <w:tcBorders>
              <w:top w:val="single" w:sz="7" w:space="0" w:color="000000"/>
              <w:left w:val="single" w:sz="7" w:space="0" w:color="000000"/>
              <w:bottom w:val="single" w:sz="6" w:space="0" w:color="FFFFFF"/>
              <w:right w:val="single" w:sz="6" w:space="0" w:color="FFFFFF"/>
            </w:tcBorders>
          </w:tcPr>
          <w:p w:rsidR="00926D76" w:rsidRPr="00126472" w:rsidRDefault="00926D76"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rsidR="00926D76" w:rsidRPr="00126472" w:rsidRDefault="00926D76" w:rsidP="00425C31">
            <w:pPr>
              <w:widowControl/>
              <w:jc w:val="center"/>
              <w:rPr>
                <w:rFonts w:ascii="Times New Roman" w:hAnsi="Times New Roman"/>
                <w:sz w:val="22"/>
                <w:szCs w:val="22"/>
              </w:rPr>
            </w:pPr>
          </w:p>
        </w:tc>
        <w:tc>
          <w:tcPr>
            <w:tcW w:w="783" w:type="dxa"/>
            <w:tcBorders>
              <w:top w:val="single" w:sz="7" w:space="0" w:color="000000"/>
              <w:left w:val="single" w:sz="7" w:space="0" w:color="000000"/>
              <w:bottom w:val="single" w:sz="6" w:space="0" w:color="FFFFFF"/>
              <w:right w:val="double" w:sz="7" w:space="0" w:color="000000"/>
            </w:tcBorders>
          </w:tcPr>
          <w:p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rsidTr="00766FCA">
        <w:trPr>
          <w:cantSplit/>
          <w:jc w:val="center"/>
        </w:trPr>
        <w:tc>
          <w:tcPr>
            <w:tcW w:w="5427" w:type="dxa"/>
            <w:tcBorders>
              <w:top w:val="single" w:sz="7" w:space="0" w:color="000000"/>
              <w:left w:val="double" w:sz="7" w:space="0" w:color="000000"/>
              <w:bottom w:val="single" w:sz="8" w:space="0" w:color="000000"/>
              <w:right w:val="single" w:sz="6" w:space="0" w:color="FFFFFF"/>
            </w:tcBorders>
          </w:tcPr>
          <w:p w:rsidR="00427659" w:rsidRPr="00126472" w:rsidRDefault="00427659" w:rsidP="00766FCA">
            <w:pPr>
              <w:widowControl/>
              <w:spacing w:after="58"/>
              <w:rPr>
                <w:rFonts w:ascii="Times New Roman" w:hAnsi="Times New Roman"/>
                <w:sz w:val="22"/>
                <w:szCs w:val="22"/>
              </w:rPr>
            </w:pPr>
            <w:r w:rsidRPr="00126472">
              <w:rPr>
                <w:rFonts w:ascii="Times New Roman" w:hAnsi="Times New Roman"/>
                <w:sz w:val="22"/>
                <w:szCs w:val="22"/>
              </w:rPr>
              <w:t xml:space="preserve">Significant Accomplishments, Awards, Highlights            </w:t>
            </w:r>
          </w:p>
        </w:tc>
        <w:tc>
          <w:tcPr>
            <w:tcW w:w="2340" w:type="dxa"/>
            <w:tcBorders>
              <w:top w:val="single" w:sz="7" w:space="0" w:color="000000"/>
              <w:left w:val="single" w:sz="7" w:space="0" w:color="000000"/>
              <w:bottom w:val="single" w:sz="8" w:space="0" w:color="000000"/>
              <w:right w:val="single" w:sz="6" w:space="0" w:color="FFFFFF"/>
            </w:tcBorders>
          </w:tcPr>
          <w:p w:rsidR="00427659" w:rsidRPr="00126472" w:rsidRDefault="00427659" w:rsidP="00425C31">
            <w:pPr>
              <w:widowControl/>
              <w:spacing w:after="58"/>
              <w:jc w:val="center"/>
              <w:rPr>
                <w:rFonts w:ascii="Times New Roman" w:hAnsi="Times New Roman"/>
                <w:sz w:val="22"/>
                <w:szCs w:val="22"/>
              </w:rPr>
            </w:pPr>
            <w:r w:rsidRPr="00126472">
              <w:rPr>
                <w:rFonts w:ascii="Times New Roman" w:hAnsi="Times New Roman"/>
                <w:sz w:val="22"/>
                <w:szCs w:val="22"/>
              </w:rPr>
              <w:t xml:space="preserve"> </w:t>
            </w:r>
          </w:p>
        </w:tc>
        <w:tc>
          <w:tcPr>
            <w:tcW w:w="1620" w:type="dxa"/>
            <w:tcBorders>
              <w:top w:val="single" w:sz="7" w:space="0" w:color="000000"/>
              <w:left w:val="single" w:sz="7" w:space="0" w:color="000000"/>
              <w:bottom w:val="single" w:sz="8" w:space="0" w:color="000000"/>
              <w:right w:val="single" w:sz="6" w:space="0" w:color="FFFFFF"/>
            </w:tcBorders>
          </w:tcPr>
          <w:p w:rsidR="00427659" w:rsidRPr="00126472" w:rsidRDefault="00427659" w:rsidP="00425C31">
            <w:pPr>
              <w:widowControl/>
              <w:spacing w:after="58"/>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8" w:space="0" w:color="000000"/>
              <w:right w:val="double" w:sz="7" w:space="0" w:color="000000"/>
            </w:tcBorders>
          </w:tcPr>
          <w:p w:rsidR="00427659" w:rsidRPr="00126472" w:rsidRDefault="00427659" w:rsidP="00425C31">
            <w:pPr>
              <w:widowControl/>
              <w:spacing w:after="58"/>
              <w:jc w:val="center"/>
              <w:rPr>
                <w:rFonts w:ascii="Times New Roman" w:hAnsi="Times New Roman"/>
                <w:sz w:val="22"/>
                <w:szCs w:val="22"/>
              </w:rPr>
            </w:pPr>
            <w:r w:rsidRPr="00126472">
              <w:rPr>
                <w:rFonts w:ascii="Times New Roman" w:hAnsi="Times New Roman"/>
                <w:sz w:val="22"/>
                <w:szCs w:val="22"/>
              </w:rPr>
              <w:t>X</w:t>
            </w:r>
          </w:p>
        </w:tc>
      </w:tr>
      <w:tr w:rsidR="00926D76" w:rsidRPr="00126472" w:rsidTr="00766FCA">
        <w:trPr>
          <w:cantSplit/>
          <w:jc w:val="center"/>
        </w:trPr>
        <w:tc>
          <w:tcPr>
            <w:tcW w:w="5427" w:type="dxa"/>
            <w:tcBorders>
              <w:top w:val="single" w:sz="4" w:space="0" w:color="auto"/>
              <w:left w:val="double" w:sz="7" w:space="0" w:color="000000"/>
              <w:bottom w:val="double" w:sz="7" w:space="0" w:color="000000"/>
              <w:right w:val="single" w:sz="6" w:space="0" w:color="FFFFFF"/>
            </w:tcBorders>
          </w:tcPr>
          <w:p w:rsidR="00926D76" w:rsidRPr="00126472" w:rsidRDefault="00304F6C" w:rsidP="00425C31">
            <w:pPr>
              <w:widowControl/>
              <w:rPr>
                <w:rFonts w:ascii="Times New Roman" w:hAnsi="Times New Roman"/>
                <w:sz w:val="22"/>
                <w:szCs w:val="22"/>
              </w:rPr>
            </w:pPr>
            <w:r w:rsidRPr="00126472">
              <w:rPr>
                <w:rFonts w:ascii="Times New Roman" w:hAnsi="Times New Roman"/>
                <w:sz w:val="22"/>
                <w:szCs w:val="22"/>
              </w:rPr>
              <w:t>Outcome</w:t>
            </w:r>
            <w:r w:rsidR="008F2653" w:rsidRPr="00126472">
              <w:rPr>
                <w:rFonts w:ascii="Times New Roman" w:hAnsi="Times New Roman"/>
                <w:sz w:val="22"/>
                <w:szCs w:val="22"/>
              </w:rPr>
              <w:t xml:space="preserve"> Measures</w:t>
            </w:r>
          </w:p>
        </w:tc>
        <w:tc>
          <w:tcPr>
            <w:tcW w:w="2340" w:type="dxa"/>
            <w:tcBorders>
              <w:top w:val="single" w:sz="4" w:space="0" w:color="auto"/>
              <w:left w:val="single" w:sz="7" w:space="0" w:color="000000"/>
              <w:bottom w:val="double" w:sz="7" w:space="0" w:color="000000"/>
              <w:right w:val="single" w:sz="6" w:space="0" w:color="FFFFFF"/>
            </w:tcBorders>
          </w:tcPr>
          <w:p w:rsidR="00926D76" w:rsidRPr="00126472" w:rsidRDefault="008F2653"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1620" w:type="dxa"/>
            <w:tcBorders>
              <w:top w:val="single" w:sz="4" w:space="0" w:color="auto"/>
              <w:left w:val="single" w:sz="7" w:space="0" w:color="000000"/>
              <w:bottom w:val="double" w:sz="7" w:space="0" w:color="000000"/>
              <w:right w:val="single" w:sz="6" w:space="0" w:color="FFFFFF"/>
            </w:tcBorders>
          </w:tcPr>
          <w:p w:rsidR="00926D76" w:rsidRPr="00126472" w:rsidRDefault="00926D76" w:rsidP="00425C31">
            <w:pPr>
              <w:widowControl/>
              <w:jc w:val="center"/>
              <w:rPr>
                <w:rFonts w:ascii="Times New Roman" w:hAnsi="Times New Roman"/>
                <w:sz w:val="22"/>
                <w:szCs w:val="22"/>
              </w:rPr>
            </w:pPr>
          </w:p>
        </w:tc>
        <w:tc>
          <w:tcPr>
            <w:tcW w:w="783" w:type="dxa"/>
            <w:tcBorders>
              <w:top w:val="single" w:sz="4" w:space="0" w:color="auto"/>
              <w:left w:val="single" w:sz="7" w:space="0" w:color="000000"/>
              <w:bottom w:val="double" w:sz="7" w:space="0" w:color="000000"/>
              <w:right w:val="double" w:sz="7" w:space="0" w:color="000000"/>
            </w:tcBorders>
          </w:tcPr>
          <w:p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r>
    </w:tbl>
    <w:p w:rsidR="00427659" w:rsidRPr="000774A5" w:rsidRDefault="00427659" w:rsidP="00425C31">
      <w:pPr>
        <w:widowControl/>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rPr>
        <w:t xml:space="preserve">Since the last clearance, changes to data items reflect </w:t>
      </w:r>
      <w:r w:rsidR="008F2653" w:rsidRPr="000774A5">
        <w:rPr>
          <w:rFonts w:ascii="Times New Roman" w:hAnsi="Times New Roman"/>
        </w:rPr>
        <w:t>the desire of State Programs to have more meaningful data to use to support their efforts and continued success</w:t>
      </w:r>
      <w:r w:rsidRPr="000774A5">
        <w:rPr>
          <w:rFonts w:ascii="Times New Roman" w:hAnsi="Times New Roman"/>
        </w:rPr>
        <w:t>.</w:t>
      </w:r>
    </w:p>
    <w:p w:rsidR="00427659" w:rsidRPr="000774A5" w:rsidRDefault="00427659" w:rsidP="00425C31">
      <w:pPr>
        <w:widowControl/>
        <w:rPr>
          <w:rFonts w:ascii="Times New Roman" w:hAnsi="Times New Roman"/>
        </w:rPr>
      </w:pPr>
    </w:p>
    <w:p w:rsidR="00427659" w:rsidRPr="000774A5" w:rsidRDefault="00427659" w:rsidP="00804523">
      <w:pPr>
        <w:widowControl/>
        <w:tabs>
          <w:tab w:val="left" w:pos="-1440"/>
        </w:tabs>
        <w:ind w:left="1440" w:hanging="720"/>
        <w:rPr>
          <w:rFonts w:ascii="Times New Roman" w:hAnsi="Times New Roman"/>
        </w:rPr>
      </w:pPr>
      <w:r w:rsidRPr="000774A5">
        <w:rPr>
          <w:rFonts w:ascii="Times New Roman" w:hAnsi="Times New Roman"/>
          <w:b/>
          <w:bCs/>
        </w:rPr>
        <w:t>(ii)</w:t>
      </w:r>
      <w:r w:rsidRPr="000774A5">
        <w:rPr>
          <w:rFonts w:ascii="Times New Roman" w:hAnsi="Times New Roman"/>
          <w:b/>
          <w:bCs/>
        </w:rPr>
        <w:tab/>
        <w:t xml:space="preserve">Respondent Activities (see </w:t>
      </w:r>
      <w:r w:rsidR="0036076D" w:rsidRPr="000774A5">
        <w:rPr>
          <w:rFonts w:ascii="Times New Roman" w:hAnsi="Times New Roman"/>
          <w:b/>
          <w:bCs/>
        </w:rPr>
        <w:t>draft</w:t>
      </w:r>
      <w:r w:rsidRPr="000774A5">
        <w:rPr>
          <w:rFonts w:ascii="Times New Roman" w:hAnsi="Times New Roman"/>
          <w:b/>
          <w:bCs/>
        </w:rPr>
        <w:t xml:space="preserve"> </w:t>
      </w:r>
      <w:r w:rsidR="0036076D" w:rsidRPr="000774A5">
        <w:rPr>
          <w:rFonts w:ascii="Times New Roman" w:hAnsi="Times New Roman"/>
          <w:b/>
          <w:bCs/>
        </w:rPr>
        <w:t>survey</w:t>
      </w:r>
      <w:r w:rsidRPr="000774A5">
        <w:rPr>
          <w:rFonts w:ascii="Times New Roman" w:hAnsi="Times New Roman"/>
          <w:b/>
          <w:bCs/>
        </w:rPr>
        <w:t xml:space="preserve"> below)</w:t>
      </w:r>
    </w:p>
    <w:p w:rsidR="00427659" w:rsidRPr="000774A5" w:rsidRDefault="00427659" w:rsidP="00766FCA">
      <w:pPr>
        <w:widowControl/>
        <w:ind w:left="720"/>
        <w:rPr>
          <w:rFonts w:ascii="Times New Roman" w:hAnsi="Times New Roman"/>
        </w:rPr>
      </w:pPr>
      <w:r w:rsidRPr="000774A5">
        <w:rPr>
          <w:rFonts w:ascii="Times New Roman" w:hAnsi="Times New Roman"/>
        </w:rPr>
        <w:lastRenderedPageBreak/>
        <w:t>The respondents will engage in the following activities to assemble, submit, and store the data items listed in the previous section.  These activities reflect the items of burden mandated by the 1995 Paperwork Reduction Act.</w:t>
      </w:r>
    </w:p>
    <w:p w:rsidR="00427659" w:rsidRPr="000774A5" w:rsidRDefault="00427659" w:rsidP="00425C31">
      <w:pPr>
        <w:widowControl/>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i/>
          <w:iCs/>
        </w:rPr>
        <w:t xml:space="preserve">Review Instructions </w:t>
      </w:r>
      <w:r w:rsidRPr="000774A5">
        <w:rPr>
          <w:rFonts w:ascii="Times New Roman" w:hAnsi="Times New Roman"/>
        </w:rPr>
        <w:t>-- Instructions are straight forward</w:t>
      </w:r>
      <w:r w:rsidR="008F2653" w:rsidRPr="000774A5">
        <w:rPr>
          <w:rFonts w:ascii="Times New Roman" w:hAnsi="Times New Roman"/>
        </w:rPr>
        <w:t xml:space="preserve">, </w:t>
      </w:r>
      <w:r w:rsidR="003A7A45" w:rsidRPr="000774A5">
        <w:rPr>
          <w:rFonts w:ascii="Times New Roman" w:hAnsi="Times New Roman"/>
        </w:rPr>
        <w:t>include</w:t>
      </w:r>
      <w:r w:rsidR="008F2653" w:rsidRPr="000774A5">
        <w:rPr>
          <w:rFonts w:ascii="Times New Roman" w:hAnsi="Times New Roman"/>
        </w:rPr>
        <w:t xml:space="preserve"> several examples</w:t>
      </w:r>
      <w:r w:rsidRPr="000774A5">
        <w:rPr>
          <w:rFonts w:ascii="Times New Roman" w:hAnsi="Times New Roman"/>
        </w:rPr>
        <w:t xml:space="preserve">, and </w:t>
      </w:r>
      <w:r w:rsidR="008F2653" w:rsidRPr="000774A5">
        <w:rPr>
          <w:rFonts w:ascii="Times New Roman" w:hAnsi="Times New Roman"/>
        </w:rPr>
        <w:t>the Form will remain the same f</w:t>
      </w:r>
      <w:r w:rsidRPr="000774A5">
        <w:rPr>
          <w:rFonts w:ascii="Times New Roman" w:hAnsi="Times New Roman"/>
        </w:rPr>
        <w:t>o</w:t>
      </w:r>
      <w:r w:rsidR="008F2653" w:rsidRPr="000774A5">
        <w:rPr>
          <w:rFonts w:ascii="Times New Roman" w:hAnsi="Times New Roman"/>
        </w:rPr>
        <w:t>r the next three years</w:t>
      </w:r>
      <w:r w:rsidRPr="000774A5">
        <w:rPr>
          <w:rFonts w:ascii="Times New Roman" w:hAnsi="Times New Roman"/>
        </w:rPr>
        <w:t>.</w:t>
      </w:r>
    </w:p>
    <w:p w:rsidR="00427659" w:rsidRPr="000774A5" w:rsidRDefault="00427659" w:rsidP="00425C31">
      <w:pPr>
        <w:widowControl/>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i/>
          <w:iCs/>
        </w:rPr>
        <w:t>Acquire, Install, and Utilize Technology and Systems</w:t>
      </w:r>
      <w:r w:rsidRPr="000774A5">
        <w:rPr>
          <w:rFonts w:ascii="Times New Roman" w:hAnsi="Times New Roman"/>
        </w:rPr>
        <w:t xml:space="preserve"> -- Information requested in this ICR is typical of information gathered as part of good business practices</w:t>
      </w:r>
      <w:r w:rsidR="008F2653" w:rsidRPr="000774A5">
        <w:rPr>
          <w:rFonts w:ascii="Times New Roman" w:hAnsi="Times New Roman"/>
        </w:rPr>
        <w:t xml:space="preserve"> and anticipates future data needs</w:t>
      </w:r>
      <w:r w:rsidRPr="000774A5">
        <w:rPr>
          <w:rFonts w:ascii="Times New Roman" w:hAnsi="Times New Roman"/>
        </w:rPr>
        <w:t xml:space="preserve">.  No special technology or systems </w:t>
      </w:r>
      <w:r w:rsidR="0033139D" w:rsidRPr="000774A5">
        <w:rPr>
          <w:rFonts w:ascii="Times New Roman" w:hAnsi="Times New Roman"/>
        </w:rPr>
        <w:t>are</w:t>
      </w:r>
      <w:r w:rsidRPr="000774A5">
        <w:rPr>
          <w:rFonts w:ascii="Times New Roman" w:hAnsi="Times New Roman"/>
        </w:rPr>
        <w:t xml:space="preserve"> required for this collection</w:t>
      </w:r>
      <w:r w:rsidR="003A7A45" w:rsidRPr="000774A5">
        <w:rPr>
          <w:rFonts w:ascii="Times New Roman" w:hAnsi="Times New Roman"/>
        </w:rPr>
        <w:t>.  H</w:t>
      </w:r>
      <w:r w:rsidR="008F2653" w:rsidRPr="000774A5">
        <w:rPr>
          <w:rFonts w:ascii="Times New Roman" w:hAnsi="Times New Roman"/>
        </w:rPr>
        <w:t xml:space="preserve">owever programs will be encouraged to share methods they have developed </w:t>
      </w:r>
      <w:r w:rsidR="003A7A45" w:rsidRPr="000774A5">
        <w:rPr>
          <w:rFonts w:ascii="Times New Roman" w:hAnsi="Times New Roman"/>
        </w:rPr>
        <w:t>to</w:t>
      </w:r>
      <w:r w:rsidR="008F2653" w:rsidRPr="000774A5">
        <w:rPr>
          <w:rFonts w:ascii="Times New Roman" w:hAnsi="Times New Roman"/>
        </w:rPr>
        <w:t xml:space="preserve"> make the data collection easier</w:t>
      </w:r>
      <w:r w:rsidRPr="000774A5">
        <w:rPr>
          <w:rFonts w:ascii="Times New Roman" w:hAnsi="Times New Roman"/>
        </w:rPr>
        <w:t>.</w:t>
      </w:r>
    </w:p>
    <w:p w:rsidR="00427659" w:rsidRPr="000774A5" w:rsidRDefault="00427659" w:rsidP="00193C23">
      <w:pPr>
        <w:widowControl/>
        <w:ind w:left="1440"/>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i/>
          <w:iCs/>
        </w:rPr>
        <w:t>Adjust the Existing Ways to Comply with Any Previously Applicable Instructions and Requirements</w:t>
      </w:r>
      <w:r w:rsidRPr="000774A5">
        <w:rPr>
          <w:rFonts w:ascii="Times New Roman" w:hAnsi="Times New Roman"/>
        </w:rPr>
        <w:t xml:space="preserve"> -- </w:t>
      </w:r>
      <w:r w:rsidR="00985FD2" w:rsidRPr="000774A5">
        <w:rPr>
          <w:rFonts w:ascii="Times New Roman" w:hAnsi="Times New Roman"/>
        </w:rPr>
        <w:t>T</w:t>
      </w:r>
      <w:r w:rsidRPr="000774A5">
        <w:rPr>
          <w:rFonts w:ascii="Times New Roman" w:hAnsi="Times New Roman"/>
        </w:rPr>
        <w:t>he Reporting Form will rema</w:t>
      </w:r>
      <w:r w:rsidR="00782578">
        <w:rPr>
          <w:rFonts w:ascii="Times New Roman" w:hAnsi="Times New Roman"/>
        </w:rPr>
        <w:t xml:space="preserve">in the same from year to year. </w:t>
      </w:r>
      <w:r w:rsidR="00985FD2" w:rsidRPr="000774A5">
        <w:rPr>
          <w:rFonts w:ascii="Times New Roman" w:hAnsi="Times New Roman"/>
        </w:rPr>
        <w:t>While it has changed from the previous version</w:t>
      </w:r>
      <w:r w:rsidR="003A7A45" w:rsidRPr="000774A5">
        <w:rPr>
          <w:rFonts w:ascii="Times New Roman" w:hAnsi="Times New Roman"/>
        </w:rPr>
        <w:t>,</w:t>
      </w:r>
      <w:r w:rsidR="00985FD2" w:rsidRPr="000774A5">
        <w:rPr>
          <w:rFonts w:ascii="Times New Roman" w:hAnsi="Times New Roman"/>
        </w:rPr>
        <w:t xml:space="preserve"> the respondents will </w:t>
      </w:r>
      <w:r w:rsidR="003A7A45" w:rsidRPr="000774A5">
        <w:rPr>
          <w:rFonts w:ascii="Times New Roman" w:hAnsi="Times New Roman"/>
        </w:rPr>
        <w:t>find</w:t>
      </w:r>
      <w:r w:rsidR="00985FD2" w:rsidRPr="000774A5">
        <w:rPr>
          <w:rFonts w:ascii="Times New Roman" w:hAnsi="Times New Roman"/>
        </w:rPr>
        <w:t xml:space="preserve"> many similarities between this version and the previous one.</w:t>
      </w:r>
    </w:p>
    <w:p w:rsidR="00427659" w:rsidRPr="000774A5" w:rsidRDefault="00427659" w:rsidP="00193C23">
      <w:pPr>
        <w:widowControl/>
        <w:ind w:left="1440"/>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i/>
          <w:iCs/>
        </w:rPr>
        <w:t>Search Data Sources</w:t>
      </w:r>
      <w:r w:rsidRPr="000774A5">
        <w:rPr>
          <w:rFonts w:ascii="Times New Roman" w:hAnsi="Times New Roman"/>
        </w:rPr>
        <w:t xml:space="preserve"> -- Gathering and updating information is an annual task</w:t>
      </w:r>
      <w:r w:rsidR="003A7A45" w:rsidRPr="000774A5">
        <w:rPr>
          <w:rFonts w:ascii="Times New Roman" w:hAnsi="Times New Roman"/>
        </w:rPr>
        <w:t xml:space="preserve"> and</w:t>
      </w:r>
      <w:r w:rsidRPr="000774A5">
        <w:rPr>
          <w:rFonts w:ascii="Times New Roman" w:hAnsi="Times New Roman"/>
        </w:rPr>
        <w:t xml:space="preserve"> states have been reporting on the activities of their programs since 1995.  </w:t>
      </w:r>
      <w:r w:rsidR="00EA0C95">
        <w:rPr>
          <w:rFonts w:ascii="Times New Roman" w:hAnsi="Times New Roman"/>
        </w:rPr>
        <w:t>Most d</w:t>
      </w:r>
      <w:r w:rsidRPr="000774A5">
        <w:rPr>
          <w:rFonts w:ascii="Times New Roman" w:hAnsi="Times New Roman"/>
        </w:rPr>
        <w:t>ata items requested</w:t>
      </w:r>
      <w:r w:rsidR="00985FD2" w:rsidRPr="000774A5">
        <w:rPr>
          <w:rFonts w:ascii="Times New Roman" w:hAnsi="Times New Roman"/>
        </w:rPr>
        <w:t xml:space="preserve"> are</w:t>
      </w:r>
      <w:r w:rsidRPr="000774A5">
        <w:rPr>
          <w:rFonts w:ascii="Times New Roman" w:hAnsi="Times New Roman"/>
        </w:rPr>
        <w:t xml:space="preserve"> in the </w:t>
      </w:r>
      <w:r w:rsidR="003A7A45" w:rsidRPr="000774A5">
        <w:rPr>
          <w:rFonts w:ascii="Times New Roman" w:hAnsi="Times New Roman"/>
        </w:rPr>
        <w:t xml:space="preserve">current </w:t>
      </w:r>
      <w:r w:rsidRPr="000774A5">
        <w:rPr>
          <w:rFonts w:ascii="Times New Roman" w:hAnsi="Times New Roman"/>
        </w:rPr>
        <w:t xml:space="preserve">Form </w:t>
      </w:r>
      <w:r w:rsidR="00985FD2" w:rsidRPr="000774A5">
        <w:rPr>
          <w:rFonts w:ascii="Times New Roman" w:hAnsi="Times New Roman"/>
        </w:rPr>
        <w:t xml:space="preserve">and </w:t>
      </w:r>
      <w:r w:rsidR="00EA0C95">
        <w:rPr>
          <w:rFonts w:ascii="Times New Roman" w:hAnsi="Times New Roman"/>
        </w:rPr>
        <w:t xml:space="preserve">all data are </w:t>
      </w:r>
      <w:r w:rsidRPr="000774A5">
        <w:rPr>
          <w:rFonts w:ascii="Times New Roman" w:hAnsi="Times New Roman"/>
        </w:rPr>
        <w:t xml:space="preserve">collected as </w:t>
      </w:r>
      <w:r w:rsidR="00985FD2" w:rsidRPr="000774A5">
        <w:rPr>
          <w:rFonts w:ascii="Times New Roman" w:hAnsi="Times New Roman"/>
        </w:rPr>
        <w:t xml:space="preserve">a </w:t>
      </w:r>
      <w:r w:rsidRPr="000774A5">
        <w:rPr>
          <w:rFonts w:ascii="Times New Roman" w:hAnsi="Times New Roman"/>
        </w:rPr>
        <w:t>customary business practice</w:t>
      </w:r>
      <w:r w:rsidR="00EA0C95">
        <w:rPr>
          <w:rFonts w:ascii="Times New Roman" w:hAnsi="Times New Roman"/>
        </w:rPr>
        <w:t>.</w:t>
      </w:r>
    </w:p>
    <w:p w:rsidR="00427659" w:rsidRPr="000774A5" w:rsidRDefault="00427659" w:rsidP="00193C23">
      <w:pPr>
        <w:widowControl/>
        <w:ind w:left="1440"/>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i/>
          <w:iCs/>
        </w:rPr>
        <w:t>Complete and Review the Collection of Information</w:t>
      </w:r>
      <w:r w:rsidRPr="000774A5">
        <w:rPr>
          <w:rFonts w:ascii="Times New Roman" w:hAnsi="Times New Roman"/>
        </w:rPr>
        <w:t xml:space="preserve"> -- Programs will provide data and one narrative to complete their submissions.  </w:t>
      </w:r>
      <w:r w:rsidR="00985FD2" w:rsidRPr="000774A5">
        <w:rPr>
          <w:rFonts w:ascii="Times New Roman" w:hAnsi="Times New Roman"/>
        </w:rPr>
        <w:t>Most of the</w:t>
      </w:r>
      <w:r w:rsidRPr="000774A5">
        <w:rPr>
          <w:rFonts w:ascii="Times New Roman" w:hAnsi="Times New Roman"/>
        </w:rPr>
        <w:t xml:space="preserve"> information should be readily available.  </w:t>
      </w:r>
      <w:r w:rsidR="00C71017" w:rsidRPr="000774A5">
        <w:rPr>
          <w:rFonts w:ascii="Times New Roman" w:hAnsi="Times New Roman"/>
        </w:rPr>
        <w:t>For their narrative submission, s</w:t>
      </w:r>
      <w:r w:rsidRPr="000774A5">
        <w:rPr>
          <w:rFonts w:ascii="Times New Roman" w:hAnsi="Times New Roman"/>
        </w:rPr>
        <w:t xml:space="preserve">tates </w:t>
      </w:r>
      <w:r w:rsidR="00985FD2" w:rsidRPr="000774A5">
        <w:rPr>
          <w:rFonts w:ascii="Times New Roman" w:hAnsi="Times New Roman"/>
        </w:rPr>
        <w:t>are encouraged to select examples that</w:t>
      </w:r>
      <w:r w:rsidRPr="000774A5">
        <w:rPr>
          <w:rFonts w:ascii="Times New Roman" w:hAnsi="Times New Roman"/>
        </w:rPr>
        <w:t xml:space="preserve"> best </w:t>
      </w:r>
      <w:r w:rsidR="00985FD2" w:rsidRPr="000774A5">
        <w:rPr>
          <w:rFonts w:ascii="Times New Roman" w:hAnsi="Times New Roman"/>
        </w:rPr>
        <w:t>demonstrate</w:t>
      </w:r>
      <w:r w:rsidRPr="000774A5">
        <w:rPr>
          <w:rFonts w:ascii="Times New Roman" w:hAnsi="Times New Roman"/>
        </w:rPr>
        <w:t xml:space="preserve"> the operations and accomplishments </w:t>
      </w:r>
      <w:r w:rsidR="00C71017" w:rsidRPr="000774A5">
        <w:rPr>
          <w:rFonts w:ascii="Times New Roman" w:hAnsi="Times New Roman"/>
        </w:rPr>
        <w:t>of</w:t>
      </w:r>
      <w:r w:rsidRPr="000774A5">
        <w:rPr>
          <w:rFonts w:ascii="Times New Roman" w:hAnsi="Times New Roman"/>
        </w:rPr>
        <w:t xml:space="preserve"> their programs</w:t>
      </w:r>
      <w:r w:rsidR="00C71017" w:rsidRPr="000774A5">
        <w:rPr>
          <w:rFonts w:ascii="Times New Roman" w:hAnsi="Times New Roman"/>
        </w:rPr>
        <w:t>.</w:t>
      </w:r>
      <w:r w:rsidRPr="000774A5">
        <w:rPr>
          <w:rFonts w:ascii="Times New Roman" w:hAnsi="Times New Roman"/>
        </w:rPr>
        <w:t xml:space="preserve">  Recording and reviewing the required information should be straightforward and procedural.  Completion and review of the Reporting Form is anticipated to be a cooperative effort among the key program staff.</w:t>
      </w:r>
    </w:p>
    <w:p w:rsidR="00427659" w:rsidRPr="000774A5" w:rsidRDefault="00427659" w:rsidP="00425C31">
      <w:pPr>
        <w:widowControl/>
        <w:rPr>
          <w:rFonts w:ascii="Times New Roman" w:hAnsi="Times New Roman"/>
        </w:rPr>
      </w:pPr>
    </w:p>
    <w:p w:rsidR="00427659" w:rsidRPr="000774A5" w:rsidRDefault="00427659" w:rsidP="00766FCA">
      <w:pPr>
        <w:widowControl/>
        <w:ind w:left="720"/>
        <w:rPr>
          <w:rFonts w:ascii="Times New Roman" w:hAnsi="Times New Roman"/>
        </w:rPr>
      </w:pPr>
      <w:r w:rsidRPr="000774A5">
        <w:rPr>
          <w:rFonts w:ascii="Times New Roman" w:hAnsi="Times New Roman"/>
          <w:i/>
          <w:iCs/>
        </w:rPr>
        <w:t>Transmit or Otherwise Disclose the Information</w:t>
      </w:r>
      <w:r w:rsidRPr="000774A5">
        <w:rPr>
          <w:rFonts w:ascii="Times New Roman" w:hAnsi="Times New Roman"/>
        </w:rPr>
        <w:t xml:space="preserve"> -- The Reporting Form will be </w:t>
      </w:r>
      <w:r w:rsidR="00985FD2" w:rsidRPr="000774A5">
        <w:rPr>
          <w:rFonts w:ascii="Times New Roman" w:hAnsi="Times New Roman"/>
        </w:rPr>
        <w:t>given to the respondents via email</w:t>
      </w:r>
      <w:r w:rsidRPr="000774A5">
        <w:rPr>
          <w:rFonts w:ascii="Times New Roman" w:hAnsi="Times New Roman"/>
        </w:rPr>
        <w:t xml:space="preserve">.  Each respondent will </w:t>
      </w:r>
      <w:r w:rsidR="00985FD2" w:rsidRPr="000774A5">
        <w:rPr>
          <w:rFonts w:ascii="Times New Roman" w:hAnsi="Times New Roman"/>
        </w:rPr>
        <w:t>then complete the information and return it to the SBO using the same method</w:t>
      </w:r>
      <w:r w:rsidRPr="000774A5">
        <w:rPr>
          <w:rFonts w:ascii="Times New Roman" w:hAnsi="Times New Roman"/>
        </w:rPr>
        <w:t>.  This approach will enable the SBO to efficiently compile the information from the individual p</w:t>
      </w:r>
      <w:r w:rsidR="00782578">
        <w:rPr>
          <w:rFonts w:ascii="Times New Roman" w:hAnsi="Times New Roman"/>
        </w:rPr>
        <w:t>rograms and prepare a periodic r</w:t>
      </w:r>
      <w:r w:rsidRPr="000774A5">
        <w:rPr>
          <w:rFonts w:ascii="Times New Roman" w:hAnsi="Times New Roman"/>
        </w:rPr>
        <w:t>eport.</w:t>
      </w:r>
    </w:p>
    <w:p w:rsidR="00427659" w:rsidRPr="000774A5" w:rsidRDefault="00427659" w:rsidP="00193C23">
      <w:pPr>
        <w:widowControl/>
        <w:ind w:left="1440"/>
        <w:rPr>
          <w:rFonts w:ascii="Times New Roman" w:hAnsi="Times New Roman"/>
        </w:rPr>
      </w:pPr>
    </w:p>
    <w:p w:rsidR="009D4735" w:rsidRPr="000774A5" w:rsidRDefault="00427659" w:rsidP="00766FCA">
      <w:pPr>
        <w:widowControl/>
        <w:ind w:left="720"/>
        <w:rPr>
          <w:rFonts w:ascii="Times New Roman" w:hAnsi="Times New Roman"/>
        </w:rPr>
      </w:pPr>
      <w:r w:rsidRPr="000774A5">
        <w:rPr>
          <w:rFonts w:ascii="Times New Roman" w:hAnsi="Times New Roman"/>
          <w:i/>
          <w:iCs/>
        </w:rPr>
        <w:t>Store, File, and Maintain</w:t>
      </w:r>
      <w:r w:rsidRPr="000774A5">
        <w:rPr>
          <w:rFonts w:ascii="Times New Roman" w:hAnsi="Times New Roman"/>
        </w:rPr>
        <w:t xml:space="preserve"> -- The EPA SBO does not mandate any requirement on file storage and retention.  Each state may set its own requirements on the length of time and the manner in which they store and retain their files.</w:t>
      </w:r>
    </w:p>
    <w:p w:rsidR="000774A5" w:rsidRDefault="000774A5" w:rsidP="00425C31">
      <w:pPr>
        <w:widowControl/>
        <w:ind w:left="1440"/>
        <w:rPr>
          <w:rFonts w:ascii="Times New Roman" w:hAnsi="Times New Roman"/>
        </w:rPr>
      </w:pPr>
    </w:p>
    <w:p w:rsidR="00D02CFD" w:rsidRPr="000774A5" w:rsidRDefault="00D02CFD" w:rsidP="00425C31">
      <w:pPr>
        <w:widowControl/>
        <w:ind w:left="1440"/>
        <w:rPr>
          <w:rFonts w:ascii="Times New Roman" w:hAnsi="Times New Roman"/>
        </w:rPr>
      </w:pPr>
    </w:p>
    <w:p w:rsidR="000774A5" w:rsidRPr="000774A5" w:rsidRDefault="000774A5" w:rsidP="00425C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0774A5">
        <w:rPr>
          <w:rFonts w:ascii="Times New Roman" w:hAnsi="Times New Roman"/>
          <w:b/>
          <w:bCs/>
        </w:rPr>
        <w:t>5.</w:t>
      </w:r>
      <w:r w:rsidRPr="000774A5">
        <w:rPr>
          <w:rFonts w:ascii="Times New Roman" w:hAnsi="Times New Roman"/>
          <w:b/>
          <w:bCs/>
        </w:rPr>
        <w:tab/>
        <w:t>THE INFORMATION COLLECTED -- AGENCY ACTIVITIES, COLLECTION METHODOLOGY, AND INFORMATION MANAGEMENT</w:t>
      </w:r>
    </w:p>
    <w:p w:rsidR="000774A5" w:rsidRPr="000774A5" w:rsidRDefault="000774A5" w:rsidP="00425C31">
      <w:pPr>
        <w:widowControl/>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5(a)</w:t>
      </w:r>
      <w:r w:rsidRPr="000774A5">
        <w:rPr>
          <w:rFonts w:ascii="Times New Roman" w:hAnsi="Times New Roman"/>
          <w:b/>
          <w:bCs/>
        </w:rPr>
        <w:tab/>
        <w:t>Agency Activities</w:t>
      </w:r>
    </w:p>
    <w:p w:rsidR="000774A5" w:rsidRPr="000774A5" w:rsidRDefault="000774A5" w:rsidP="00193C23">
      <w:pPr>
        <w:widowControl/>
        <w:ind w:left="720"/>
        <w:rPr>
          <w:rFonts w:ascii="Times New Roman" w:hAnsi="Times New Roman"/>
        </w:rPr>
      </w:pPr>
      <w:r w:rsidRPr="000774A5">
        <w:rPr>
          <w:rFonts w:ascii="Times New Roman" w:hAnsi="Times New Roman"/>
        </w:rPr>
        <w:t xml:space="preserve">The electronic Reporting Form will be available to states and territories near the beginning of each calendar year.  Respondents will have at </w:t>
      </w:r>
      <w:r w:rsidR="00321CC2">
        <w:rPr>
          <w:rFonts w:ascii="Times New Roman" w:hAnsi="Times New Roman"/>
        </w:rPr>
        <w:t xml:space="preserve">least </w:t>
      </w:r>
      <w:r w:rsidRPr="000774A5">
        <w:rPr>
          <w:rFonts w:ascii="Times New Roman" w:hAnsi="Times New Roman"/>
        </w:rPr>
        <w:t>60</w:t>
      </w:r>
      <w:r w:rsidR="00EB5376">
        <w:rPr>
          <w:rFonts w:ascii="Times New Roman" w:hAnsi="Times New Roman"/>
        </w:rPr>
        <w:t>-90</w:t>
      </w:r>
      <w:r w:rsidRPr="000774A5">
        <w:rPr>
          <w:rFonts w:ascii="Times New Roman" w:hAnsi="Times New Roman"/>
        </w:rPr>
        <w:t xml:space="preserve"> days to respond to the request for information.  The EPA’s </w:t>
      </w:r>
      <w:r>
        <w:rPr>
          <w:rFonts w:ascii="Times New Roman" w:hAnsi="Times New Roman"/>
        </w:rPr>
        <w:t xml:space="preserve">SBO </w:t>
      </w:r>
      <w:r w:rsidRPr="000774A5">
        <w:rPr>
          <w:rFonts w:ascii="Times New Roman" w:hAnsi="Times New Roman"/>
        </w:rPr>
        <w:t>will answer questions from the respondents regarding the Reporting Form.</w:t>
      </w:r>
    </w:p>
    <w:p w:rsidR="000774A5" w:rsidRPr="000774A5" w:rsidRDefault="000774A5" w:rsidP="00425C31">
      <w:pPr>
        <w:widowControl/>
        <w:ind w:left="720"/>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The EPA SBO will collect</w:t>
      </w:r>
      <w:r>
        <w:rPr>
          <w:rFonts w:ascii="Times New Roman" w:hAnsi="Times New Roman"/>
        </w:rPr>
        <w:t>,</w:t>
      </w:r>
      <w:r w:rsidRPr="000774A5">
        <w:rPr>
          <w:rFonts w:ascii="Times New Roman" w:hAnsi="Times New Roman"/>
        </w:rPr>
        <w:t xml:space="preserve"> assemble, analyze, and store the information provided by the 507 programs.  The SBD will use this information to prepare the </w:t>
      </w:r>
      <w:r w:rsidRPr="00EB5376">
        <w:rPr>
          <w:rFonts w:ascii="Times New Roman" w:hAnsi="Times New Roman"/>
        </w:rPr>
        <w:t>Report to Congress</w:t>
      </w:r>
      <w:r w:rsidRPr="000774A5">
        <w:rPr>
          <w:rFonts w:ascii="Times New Roman" w:hAnsi="Times New Roman"/>
        </w:rPr>
        <w:t>.</w:t>
      </w:r>
      <w:r w:rsidR="00804523">
        <w:rPr>
          <w:rFonts w:ascii="Times New Roman" w:hAnsi="Times New Roman"/>
        </w:rPr>
        <w:t xml:space="preserve">  </w:t>
      </w:r>
      <w:r w:rsidRPr="000774A5">
        <w:rPr>
          <w:rFonts w:ascii="Times New Roman" w:hAnsi="Times New Roman"/>
        </w:rPr>
        <w:t>The EPA SBO will publish a</w:t>
      </w:r>
      <w:r w:rsidR="00782578">
        <w:rPr>
          <w:rFonts w:ascii="Times New Roman" w:hAnsi="Times New Roman"/>
        </w:rPr>
        <w:t xml:space="preserve"> periodic r</w:t>
      </w:r>
      <w:r w:rsidRPr="000774A5">
        <w:rPr>
          <w:rFonts w:ascii="Times New Roman" w:hAnsi="Times New Roman"/>
        </w:rPr>
        <w:t>eport, which will contain summary information, a perspective on the materials provided, selected highlights, conclusions, and recommendations.  All state submittals will be included in the appendices.</w:t>
      </w:r>
      <w:r w:rsidR="00193C23">
        <w:rPr>
          <w:rFonts w:ascii="Times New Roman" w:hAnsi="Times New Roman"/>
        </w:rPr>
        <w:t xml:space="preserve">  </w:t>
      </w:r>
      <w:r w:rsidRPr="000774A5">
        <w:rPr>
          <w:rFonts w:ascii="Times New Roman" w:hAnsi="Times New Roman"/>
        </w:rPr>
        <w:t>The EPA SBO will maintain copies of state submittals and the Annual Report electronically.</w:t>
      </w:r>
    </w:p>
    <w:p w:rsidR="000774A5" w:rsidRPr="000774A5" w:rsidRDefault="000774A5" w:rsidP="00425C31">
      <w:pPr>
        <w:widowControl/>
        <w:ind w:left="720"/>
        <w:rPr>
          <w:rFonts w:ascii="Times New Roman" w:hAnsi="Times New Roman"/>
        </w:rPr>
      </w:pPr>
    </w:p>
    <w:p w:rsidR="000774A5" w:rsidRPr="000774A5" w:rsidRDefault="000774A5" w:rsidP="008045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5(b)</w:t>
      </w:r>
      <w:r w:rsidRPr="000774A5">
        <w:rPr>
          <w:rFonts w:ascii="Times New Roman" w:hAnsi="Times New Roman"/>
          <w:b/>
          <w:bCs/>
        </w:rPr>
        <w:tab/>
        <w:t>Collection Methodology and Management</w:t>
      </w:r>
    </w:p>
    <w:p w:rsidR="000774A5" w:rsidRPr="000774A5" w:rsidRDefault="000774A5" w:rsidP="00193C23">
      <w:pPr>
        <w:widowControl/>
        <w:ind w:left="720"/>
        <w:rPr>
          <w:rFonts w:ascii="Times New Roman" w:hAnsi="Times New Roman"/>
        </w:rPr>
      </w:pPr>
      <w:r w:rsidRPr="000774A5">
        <w:rPr>
          <w:rFonts w:ascii="Times New Roman" w:hAnsi="Times New Roman"/>
        </w:rPr>
        <w:t>Prior to the submission of this ICR, potential revisions to the Reporting Form received extensive review by representatives from the 507 programs.  The Reporting Form was revised following the guidance provided by a convened work group of state representatives, via conference calls.</w:t>
      </w:r>
      <w:r w:rsidR="00193C23">
        <w:rPr>
          <w:rFonts w:ascii="Times New Roman" w:hAnsi="Times New Roman"/>
        </w:rPr>
        <w:t xml:space="preserve">  </w:t>
      </w:r>
      <w:r w:rsidRPr="000774A5">
        <w:rPr>
          <w:rFonts w:ascii="Times New Roman" w:hAnsi="Times New Roman"/>
        </w:rPr>
        <w:t>Once the representatives had finalized the survey, the survey was forwarded out to all state programs for comment.  The Workgroup integrated the comments received into the final draft.</w:t>
      </w:r>
    </w:p>
    <w:p w:rsidR="000774A5" w:rsidRPr="000774A5" w:rsidRDefault="000774A5" w:rsidP="00425C31">
      <w:pPr>
        <w:widowControl/>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For each reporting year, each 507 program will receive the electronic Reporting Form via email, along with instructions for gathering data and completing the report.  Annual updating will be significantly streamlined in light of the automated nature of compiling the information.</w:t>
      </w:r>
    </w:p>
    <w:p w:rsidR="000774A5" w:rsidRPr="000774A5" w:rsidRDefault="000774A5" w:rsidP="00425C31">
      <w:pPr>
        <w:widowControl/>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Data quality will be checked upon receipt of each state's Reporting Form, during analysis, and in final review of the report.  Information and data will be processed using spreadsheet software.  Data will be entered manually.</w:t>
      </w:r>
    </w:p>
    <w:p w:rsidR="000774A5" w:rsidRPr="000774A5" w:rsidRDefault="000774A5" w:rsidP="00425C31">
      <w:pPr>
        <w:widowControl/>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Data is publicly accessible through the Periodic Report to Congress, which is available on the EPA SBO's home page.</w:t>
      </w:r>
    </w:p>
    <w:p w:rsidR="000774A5" w:rsidRPr="000774A5" w:rsidRDefault="000774A5" w:rsidP="00425C31">
      <w:pPr>
        <w:widowControl/>
        <w:ind w:left="720"/>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5(c)</w:t>
      </w:r>
      <w:r w:rsidRPr="000774A5">
        <w:rPr>
          <w:rFonts w:ascii="Times New Roman" w:hAnsi="Times New Roman"/>
          <w:b/>
          <w:bCs/>
        </w:rPr>
        <w:tab/>
        <w:t>Small Entity Flexibility</w:t>
      </w:r>
    </w:p>
    <w:p w:rsidR="000774A5" w:rsidRPr="000774A5" w:rsidRDefault="000774A5" w:rsidP="00193C23">
      <w:pPr>
        <w:widowControl/>
        <w:ind w:left="720"/>
        <w:rPr>
          <w:rFonts w:ascii="Times New Roman" w:hAnsi="Times New Roman"/>
        </w:rPr>
      </w:pPr>
      <w:r w:rsidRPr="000774A5">
        <w:rPr>
          <w:rFonts w:ascii="Times New Roman" w:hAnsi="Times New Roman"/>
        </w:rPr>
        <w:t>The completion of the Reporting Form does not require any input or action by any small entity.</w:t>
      </w:r>
    </w:p>
    <w:p w:rsidR="000774A5" w:rsidRPr="000774A5" w:rsidRDefault="000774A5" w:rsidP="00425C31">
      <w:pPr>
        <w:widowControl/>
        <w:ind w:left="720"/>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5(d)</w:t>
      </w:r>
      <w:r w:rsidRPr="000774A5">
        <w:rPr>
          <w:rFonts w:ascii="Times New Roman" w:hAnsi="Times New Roman"/>
          <w:b/>
          <w:bCs/>
        </w:rPr>
        <w:tab/>
        <w:t>Collection Schedule</w:t>
      </w:r>
    </w:p>
    <w:p w:rsidR="000774A5" w:rsidRPr="000774A5" w:rsidRDefault="000774A5" w:rsidP="00193C23">
      <w:pPr>
        <w:widowControl/>
        <w:ind w:left="720"/>
        <w:rPr>
          <w:rFonts w:ascii="Times New Roman" w:hAnsi="Times New Roman"/>
        </w:rPr>
      </w:pPr>
      <w:r w:rsidRPr="000774A5">
        <w:rPr>
          <w:rFonts w:ascii="Times New Roman" w:hAnsi="Times New Roman"/>
        </w:rPr>
        <w:t>This is an annual (calendar year) collection of information on the states’ activities, accomplishments, and data outputs under Section 507 of the CAA.  A typical reporting schedule would look as follows:</w:t>
      </w:r>
    </w:p>
    <w:p w:rsidR="000774A5" w:rsidRPr="000774A5" w:rsidRDefault="000774A5" w:rsidP="00804523">
      <w:pPr>
        <w:widowControl/>
        <w:numPr>
          <w:ilvl w:val="0"/>
          <w:numId w:val="13"/>
        </w:numPr>
        <w:autoSpaceDE/>
        <w:autoSpaceDN/>
        <w:rPr>
          <w:rFonts w:ascii="Times New Roman" w:hAnsi="Times New Roman"/>
        </w:rPr>
      </w:pPr>
      <w:r w:rsidRPr="000774A5">
        <w:rPr>
          <w:rFonts w:ascii="Times New Roman" w:hAnsi="Times New Roman"/>
        </w:rPr>
        <w:t>Electronic Reporting Form is made available to states: January</w:t>
      </w:r>
    </w:p>
    <w:p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States complete Reporting Form: January-March</w:t>
      </w:r>
    </w:p>
    <w:p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State agency submits reporting form to EPA SBO: March 31</w:t>
      </w:r>
    </w:p>
    <w:p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EPA SBO Transfers Data to Spread sheet and conducts Analysis: May</w:t>
      </w:r>
    </w:p>
    <w:p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Data is made available to state programs: July</w:t>
      </w:r>
    </w:p>
    <w:p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EPA SBO prepares the periodic report to congress and obtains final EPA approvals: Typically on a bi-annual basis</w:t>
      </w:r>
    </w:p>
    <w:p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 xml:space="preserve">EPA SBO submits </w:t>
      </w:r>
      <w:r w:rsidR="00EA0C95">
        <w:rPr>
          <w:rFonts w:ascii="Times New Roman" w:hAnsi="Times New Roman"/>
        </w:rPr>
        <w:t>r</w:t>
      </w:r>
      <w:r w:rsidRPr="000774A5">
        <w:rPr>
          <w:rFonts w:ascii="Times New Roman" w:hAnsi="Times New Roman"/>
        </w:rPr>
        <w:t>eport: August of Reporting Year and posts the document on</w:t>
      </w:r>
      <w:r w:rsidR="00321CC2">
        <w:rPr>
          <w:rFonts w:ascii="Times New Roman" w:hAnsi="Times New Roman"/>
        </w:rPr>
        <w:t>line.</w:t>
      </w:r>
    </w:p>
    <w:p w:rsidR="000774A5" w:rsidRPr="000774A5" w:rsidRDefault="000774A5" w:rsidP="00425C31">
      <w:pPr>
        <w:widowControl/>
        <w:rPr>
          <w:rFonts w:ascii="Times New Roman" w:hAnsi="Times New Roman"/>
        </w:rPr>
      </w:pPr>
    </w:p>
    <w:p w:rsidR="000774A5" w:rsidRPr="000774A5" w:rsidRDefault="000774A5" w:rsidP="00425C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0774A5">
        <w:rPr>
          <w:rFonts w:ascii="Times New Roman" w:hAnsi="Times New Roman"/>
          <w:b/>
          <w:bCs/>
        </w:rPr>
        <w:t>6.</w:t>
      </w:r>
      <w:r w:rsidRPr="000774A5">
        <w:rPr>
          <w:rFonts w:ascii="Times New Roman" w:hAnsi="Times New Roman"/>
          <w:b/>
          <w:bCs/>
        </w:rPr>
        <w:tab/>
        <w:t>ESTIMATING THE BURDEN AND COST OF THE COLLECTION</w:t>
      </w:r>
    </w:p>
    <w:p w:rsidR="000774A5" w:rsidRPr="000774A5" w:rsidRDefault="000774A5" w:rsidP="00425C31">
      <w:pPr>
        <w:widowControl/>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lastRenderedPageBreak/>
        <w:t>6(a)</w:t>
      </w:r>
      <w:r w:rsidRPr="000774A5">
        <w:rPr>
          <w:rFonts w:ascii="Times New Roman" w:hAnsi="Times New Roman"/>
          <w:b/>
          <w:bCs/>
        </w:rPr>
        <w:tab/>
        <w:t>Estimating Respondent Burden</w:t>
      </w:r>
    </w:p>
    <w:p w:rsidR="000774A5" w:rsidRPr="000774A5" w:rsidRDefault="000774A5" w:rsidP="00193C23">
      <w:pPr>
        <w:widowControl/>
        <w:ind w:left="720"/>
        <w:rPr>
          <w:rFonts w:ascii="Times New Roman" w:hAnsi="Times New Roman"/>
        </w:rPr>
      </w:pPr>
      <w:r w:rsidRPr="000774A5">
        <w:rPr>
          <w:rFonts w:ascii="Times New Roman" w:hAnsi="Times New Roman"/>
        </w:rPr>
        <w:t>Burden hour estimates are based on the results of a pretest of the original survey information and report preparation cycle</w:t>
      </w:r>
      <w:r w:rsidR="00782578">
        <w:rPr>
          <w:rFonts w:ascii="Times New Roman" w:hAnsi="Times New Roman"/>
        </w:rPr>
        <w:t>,</w:t>
      </w:r>
      <w:r w:rsidR="00C548BE">
        <w:rPr>
          <w:rFonts w:ascii="Times New Roman" w:hAnsi="Times New Roman"/>
        </w:rPr>
        <w:t xml:space="preserve"> and experience with similar past surveys</w:t>
      </w:r>
      <w:r w:rsidRPr="000774A5">
        <w:rPr>
          <w:rFonts w:ascii="Times New Roman" w:hAnsi="Times New Roman"/>
        </w:rPr>
        <w:t xml:space="preserve">.  The revised Reporting Form was discussed in detail with state ombudsmen or small business assistance program </w:t>
      </w:r>
      <w:r w:rsidR="00EA0C95">
        <w:rPr>
          <w:rFonts w:ascii="Times New Roman" w:hAnsi="Times New Roman"/>
        </w:rPr>
        <w:t>managers</w:t>
      </w:r>
      <w:r w:rsidR="00EA0C95" w:rsidRPr="000774A5">
        <w:rPr>
          <w:rFonts w:ascii="Times New Roman" w:hAnsi="Times New Roman"/>
        </w:rPr>
        <w:t xml:space="preserve"> </w:t>
      </w:r>
      <w:r w:rsidRPr="000774A5">
        <w:rPr>
          <w:rFonts w:ascii="Times New Roman" w:hAnsi="Times New Roman"/>
        </w:rPr>
        <w:t>from ten of the 53 Section 507 reporting state programs (i.e., comprising the 50 states, the District of Columbia, the Virgin Islands, and Puerto Rico).  They formulated a general consensus of how long it would take to complete the reporting form and who would likely be responsible from each state to complete the task.</w:t>
      </w:r>
    </w:p>
    <w:p w:rsidR="000774A5" w:rsidRPr="000774A5" w:rsidRDefault="000774A5" w:rsidP="00425C31">
      <w:pPr>
        <w:widowControl/>
        <w:ind w:left="720"/>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The information requested was confirmed to be normal program activity information the 507 programs collect on an ongoing basis.  Where a few state environmental agencies have delegated or contracted management of their technical assistance program, this information is part of the project management responsibilities.  This requested reporting information typically would be compiled by experienced professional or technical staff.</w:t>
      </w:r>
    </w:p>
    <w:p w:rsidR="000774A5" w:rsidRPr="000774A5" w:rsidRDefault="000774A5" w:rsidP="00193C23">
      <w:pPr>
        <w:widowControl/>
        <w:ind w:left="1440"/>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On average, the requested information can be compiled readily and maintained by the state within 40 hours (assuming the state organization continuously maintains their records in a reasonably efficient manner) using experienced professional or technical staff.  The 40-hour forecast includes 36 hours for record keeping and 4 hours for reporting the required information.</w:t>
      </w:r>
    </w:p>
    <w:p w:rsidR="000774A5" w:rsidRPr="000774A5" w:rsidRDefault="000774A5" w:rsidP="00425C31">
      <w:pPr>
        <w:widowControl/>
        <w:ind w:left="720"/>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6(b)</w:t>
      </w:r>
      <w:r w:rsidRPr="000774A5">
        <w:rPr>
          <w:rFonts w:ascii="Times New Roman" w:hAnsi="Times New Roman"/>
          <w:b/>
          <w:bCs/>
        </w:rPr>
        <w:tab/>
        <w:t>Estimating the Respondent Burden</w:t>
      </w:r>
    </w:p>
    <w:p w:rsidR="000774A5" w:rsidRPr="000774A5" w:rsidRDefault="000774A5" w:rsidP="00193C23">
      <w:pPr>
        <w:widowControl/>
        <w:ind w:left="720"/>
        <w:rPr>
          <w:rFonts w:ascii="Times New Roman" w:hAnsi="Times New Roman"/>
        </w:rPr>
      </w:pPr>
      <w:r w:rsidRPr="000774A5">
        <w:rPr>
          <w:rFonts w:ascii="Times New Roman" w:hAnsi="Times New Roman"/>
        </w:rPr>
        <w:t>Labor rates were derived from the Bureau of Labor Statistics, Employment Cost Trends, Table 4: State and Local Government by Occupational and Industry Group (</w:t>
      </w:r>
      <w:hyperlink r:id="rId8" w:history="1">
        <w:r w:rsidRPr="000774A5">
          <w:rPr>
            <w:rStyle w:val="Hyperlink"/>
            <w:rFonts w:ascii="Times New Roman" w:hAnsi="Times New Roman"/>
          </w:rPr>
          <w:t>http://data.bls.gov/cgi-bin/print.pl/news.release/ecec.t04.htm</w:t>
        </w:r>
      </w:hyperlink>
      <w:r w:rsidRPr="000774A5">
        <w:rPr>
          <w:rFonts w:ascii="Times New Roman" w:hAnsi="Times New Roman"/>
        </w:rPr>
        <w:t>). Please refer to Worksheet 1.</w:t>
      </w:r>
    </w:p>
    <w:p w:rsidR="000774A5" w:rsidRPr="000774A5" w:rsidRDefault="000774A5" w:rsidP="00425C31">
      <w:pPr>
        <w:widowControl/>
        <w:ind w:left="720"/>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6(c)</w:t>
      </w:r>
      <w:r w:rsidRPr="000774A5">
        <w:rPr>
          <w:rFonts w:ascii="Times New Roman" w:hAnsi="Times New Roman"/>
          <w:b/>
          <w:bCs/>
        </w:rPr>
        <w:tab/>
        <w:t>Estimating Agency Burden and Cost</w:t>
      </w:r>
    </w:p>
    <w:p w:rsidR="000774A5" w:rsidRPr="000774A5" w:rsidRDefault="00646E28" w:rsidP="00193C23">
      <w:pPr>
        <w:widowControl/>
        <w:ind w:left="720"/>
        <w:rPr>
          <w:rFonts w:ascii="Times New Roman" w:hAnsi="Times New Roman"/>
        </w:rPr>
      </w:pPr>
      <w:r>
        <w:rPr>
          <w:rFonts w:ascii="Times New Roman" w:hAnsi="Times New Roman"/>
        </w:rPr>
        <w:t>Agency rates are b</w:t>
      </w:r>
      <w:r w:rsidR="000774A5" w:rsidRPr="000774A5">
        <w:rPr>
          <w:rFonts w:ascii="Times New Roman" w:hAnsi="Times New Roman"/>
        </w:rPr>
        <w:t xml:space="preserve">ased on the US Office of Personnel Management </w:t>
      </w:r>
      <w:r w:rsidR="00C548BE">
        <w:rPr>
          <w:rFonts w:ascii="Times New Roman" w:hAnsi="Times New Roman"/>
        </w:rPr>
        <w:t>2012 General Sche</w:t>
      </w:r>
      <w:r>
        <w:rPr>
          <w:rFonts w:ascii="Times New Roman" w:hAnsi="Times New Roman"/>
        </w:rPr>
        <w:t>d</w:t>
      </w:r>
      <w:r w:rsidR="00C548BE">
        <w:rPr>
          <w:rFonts w:ascii="Times New Roman" w:hAnsi="Times New Roman"/>
        </w:rPr>
        <w:t>ule Locality Pay Tables</w:t>
      </w:r>
      <w:r>
        <w:rPr>
          <w:rFonts w:ascii="Times New Roman" w:hAnsi="Times New Roman"/>
        </w:rPr>
        <w:t xml:space="preserve">. </w:t>
      </w:r>
      <w:r w:rsidR="000774A5" w:rsidRPr="000774A5">
        <w:rPr>
          <w:rFonts w:ascii="Times New Roman" w:hAnsi="Times New Roman"/>
        </w:rPr>
        <w:t xml:space="preserve"> EPA estimates an average hourly regional labor cost of $</w:t>
      </w:r>
      <w:r>
        <w:rPr>
          <w:rFonts w:ascii="Times New Roman" w:hAnsi="Times New Roman"/>
        </w:rPr>
        <w:t>67.21</w:t>
      </w:r>
      <w:r w:rsidR="000774A5" w:rsidRPr="000774A5">
        <w:rPr>
          <w:rFonts w:ascii="Times New Roman" w:hAnsi="Times New Roman"/>
        </w:rPr>
        <w:t xml:space="preserve"> for GS-15,</w:t>
      </w:r>
      <w:r w:rsidR="00C548BE">
        <w:rPr>
          <w:rFonts w:ascii="Times New Roman" w:hAnsi="Times New Roman"/>
        </w:rPr>
        <w:t xml:space="preserve"> </w:t>
      </w:r>
      <w:r w:rsidR="000774A5" w:rsidRPr="000774A5">
        <w:rPr>
          <w:rFonts w:ascii="Times New Roman" w:hAnsi="Times New Roman"/>
        </w:rPr>
        <w:t>$</w:t>
      </w:r>
      <w:r>
        <w:rPr>
          <w:rFonts w:ascii="Times New Roman" w:hAnsi="Times New Roman"/>
        </w:rPr>
        <w:t>57.13</w:t>
      </w:r>
      <w:r w:rsidR="000774A5" w:rsidRPr="000774A5">
        <w:rPr>
          <w:rFonts w:ascii="Times New Roman" w:hAnsi="Times New Roman"/>
        </w:rPr>
        <w:t xml:space="preserve"> for GS-14; and $</w:t>
      </w:r>
      <w:r>
        <w:rPr>
          <w:rFonts w:ascii="Times New Roman" w:hAnsi="Times New Roman"/>
        </w:rPr>
        <w:t>40.66</w:t>
      </w:r>
      <w:r w:rsidR="000774A5" w:rsidRPr="000774A5">
        <w:rPr>
          <w:rFonts w:ascii="Times New Roman" w:hAnsi="Times New Roman"/>
        </w:rPr>
        <w:t xml:space="preserve"> for GS-</w:t>
      </w:r>
      <w:r>
        <w:rPr>
          <w:rFonts w:ascii="Times New Roman" w:hAnsi="Times New Roman"/>
        </w:rPr>
        <w:t>12 (all hourly rates are for step 5)</w:t>
      </w:r>
      <w:r w:rsidR="000774A5" w:rsidRPr="000774A5">
        <w:rPr>
          <w:rFonts w:ascii="Times New Roman" w:hAnsi="Times New Roman"/>
        </w:rPr>
        <w:t>.  Refer to Worksheet 2A.</w:t>
      </w:r>
    </w:p>
    <w:p w:rsidR="000774A5" w:rsidRPr="000774A5" w:rsidRDefault="000774A5" w:rsidP="00425C31">
      <w:pPr>
        <w:widowControl/>
        <w:ind w:left="720"/>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6(d)</w:t>
      </w:r>
      <w:r w:rsidRPr="000774A5">
        <w:rPr>
          <w:rFonts w:ascii="Times New Roman" w:hAnsi="Times New Roman"/>
          <w:b/>
          <w:bCs/>
        </w:rPr>
        <w:tab/>
        <w:t>Estimating the Respondent Universe and Total Burden and Costs</w:t>
      </w:r>
    </w:p>
    <w:p w:rsidR="000774A5" w:rsidRPr="000774A5" w:rsidRDefault="00766FCA"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rPr>
        <w:t>(i</w:t>
      </w:r>
      <w:r w:rsidR="000774A5" w:rsidRPr="000774A5">
        <w:rPr>
          <w:rFonts w:ascii="Times New Roman" w:hAnsi="Times New Roman"/>
        </w:rPr>
        <w:t>)</w:t>
      </w:r>
      <w:r w:rsidR="000774A5" w:rsidRPr="000774A5">
        <w:rPr>
          <w:rFonts w:ascii="Times New Roman" w:hAnsi="Times New Roman"/>
        </w:rPr>
        <w:tab/>
        <w:t>Respondent Burden</w:t>
      </w:r>
      <w:r w:rsidR="00DF0E74">
        <w:rPr>
          <w:rFonts w:ascii="Times New Roman" w:hAnsi="Times New Roman"/>
        </w:rPr>
        <w:t xml:space="preserve"> - </w:t>
      </w:r>
      <w:r w:rsidR="000774A5" w:rsidRPr="000774A5">
        <w:rPr>
          <w:rFonts w:ascii="Times New Roman" w:hAnsi="Times New Roman"/>
        </w:rPr>
        <w:t>Refer to Worksheet 1.</w:t>
      </w:r>
    </w:p>
    <w:p w:rsidR="000774A5" w:rsidRPr="000774A5" w:rsidRDefault="000774A5" w:rsidP="00425C31">
      <w:pPr>
        <w:widowControl/>
        <w:ind w:left="720"/>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0774A5">
        <w:rPr>
          <w:rFonts w:ascii="Times New Roman" w:hAnsi="Times New Roman"/>
        </w:rPr>
        <w:t>(ii)</w:t>
      </w:r>
      <w:r w:rsidRPr="000774A5">
        <w:rPr>
          <w:rFonts w:ascii="Times New Roman" w:hAnsi="Times New Roman"/>
        </w:rPr>
        <w:tab/>
        <w:t>Agency Burden</w:t>
      </w:r>
      <w:r w:rsidR="00DF0E74">
        <w:rPr>
          <w:rFonts w:ascii="Times New Roman" w:hAnsi="Times New Roman"/>
        </w:rPr>
        <w:t xml:space="preserve"> - </w:t>
      </w:r>
      <w:r w:rsidR="001D4CE1">
        <w:rPr>
          <w:rFonts w:ascii="Times New Roman" w:hAnsi="Times New Roman"/>
        </w:rPr>
        <w:t xml:space="preserve">Refer to Worksheets 2A and </w:t>
      </w:r>
      <w:r w:rsidRPr="000774A5">
        <w:rPr>
          <w:rFonts w:ascii="Times New Roman" w:hAnsi="Times New Roman"/>
        </w:rPr>
        <w:t>2B.</w:t>
      </w:r>
    </w:p>
    <w:p w:rsidR="000774A5" w:rsidRPr="000774A5" w:rsidRDefault="000774A5" w:rsidP="00425C31">
      <w:pPr>
        <w:widowControl/>
        <w:rPr>
          <w:rFonts w:ascii="Times New Roman" w:hAnsi="Times New Roman"/>
        </w:rPr>
      </w:pPr>
    </w:p>
    <w:p w:rsidR="000774A5" w:rsidRPr="000774A5" w:rsidRDefault="000774A5"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6(e)</w:t>
      </w:r>
      <w:r w:rsidRPr="000774A5">
        <w:rPr>
          <w:rFonts w:ascii="Times New Roman" w:hAnsi="Times New Roman"/>
          <w:b/>
          <w:bCs/>
        </w:rPr>
        <w:tab/>
        <w:t>Bottom Line Burden Hours and Cost Tables</w:t>
      </w:r>
    </w:p>
    <w:p w:rsidR="000774A5" w:rsidRPr="000774A5" w:rsidRDefault="000774A5" w:rsidP="00193C23">
      <w:pPr>
        <w:widowControl/>
        <w:ind w:left="720"/>
        <w:rPr>
          <w:rFonts w:ascii="Times New Roman" w:hAnsi="Times New Roman"/>
        </w:rPr>
      </w:pPr>
      <w:r w:rsidRPr="000774A5">
        <w:rPr>
          <w:rFonts w:ascii="Times New Roman" w:hAnsi="Times New Roman"/>
        </w:rPr>
        <w:t>Please see Worksheets 1, 2A, 2B</w:t>
      </w:r>
      <w:r w:rsidR="004714C6">
        <w:rPr>
          <w:rFonts w:ascii="Times New Roman" w:hAnsi="Times New Roman"/>
        </w:rPr>
        <w:t xml:space="preserve"> and 3</w:t>
      </w:r>
      <w:r w:rsidRPr="000774A5">
        <w:rPr>
          <w:rFonts w:ascii="Times New Roman" w:hAnsi="Times New Roman"/>
        </w:rPr>
        <w:t>.</w:t>
      </w:r>
    </w:p>
    <w:p w:rsidR="000774A5" w:rsidRPr="000774A5" w:rsidRDefault="000774A5" w:rsidP="00425C31">
      <w:pPr>
        <w:widowControl/>
        <w:ind w:left="720"/>
        <w:rPr>
          <w:rFonts w:ascii="Times New Roman" w:hAnsi="Times New Roman"/>
        </w:rPr>
      </w:pPr>
    </w:p>
    <w:p w:rsidR="000774A5" w:rsidRPr="000774A5" w:rsidRDefault="000774A5" w:rsidP="00766FCA">
      <w:pPr>
        <w:widowControl/>
        <w:ind w:left="720"/>
        <w:rPr>
          <w:rFonts w:ascii="Times New Roman" w:hAnsi="Times New Roman"/>
        </w:rPr>
      </w:pPr>
      <w:r w:rsidRPr="000774A5">
        <w:rPr>
          <w:rFonts w:ascii="Times New Roman" w:hAnsi="Times New Roman"/>
        </w:rPr>
        <w:t>Fifty-three states and territories will complete the Reporting form annually during the period covered by this ICR.  No significant variation (more than 25 percent) in the annual reporting/record keeping burden over the life of this ICR is expected for the agency or the respondents.</w:t>
      </w:r>
      <w:r w:rsidR="004714C6">
        <w:rPr>
          <w:rFonts w:ascii="Times New Roman" w:hAnsi="Times New Roman"/>
        </w:rPr>
        <w:t xml:space="preserve">  The cost over the entire period covered by the ICR is in Table 3.</w:t>
      </w:r>
    </w:p>
    <w:p w:rsidR="000774A5" w:rsidRPr="000774A5" w:rsidRDefault="000774A5" w:rsidP="00425C31">
      <w:pPr>
        <w:widowControl/>
        <w:ind w:left="720"/>
        <w:rPr>
          <w:rFonts w:ascii="Times New Roman" w:hAnsi="Times New Roman"/>
        </w:rPr>
      </w:pPr>
    </w:p>
    <w:p w:rsidR="000774A5" w:rsidRPr="000774A5" w:rsidRDefault="000774A5" w:rsidP="00193C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6(f)</w:t>
      </w:r>
      <w:r w:rsidRPr="000774A5">
        <w:rPr>
          <w:rFonts w:ascii="Times New Roman" w:hAnsi="Times New Roman"/>
          <w:b/>
          <w:bCs/>
        </w:rPr>
        <w:tab/>
        <w:t>Reasons for Change in Burden</w:t>
      </w:r>
    </w:p>
    <w:p w:rsidR="000774A5" w:rsidRPr="000774A5" w:rsidRDefault="000774A5" w:rsidP="00425C31">
      <w:pPr>
        <w:widowControl/>
        <w:ind w:left="720"/>
        <w:rPr>
          <w:rFonts w:ascii="Times New Roman" w:hAnsi="Times New Roman"/>
        </w:rPr>
      </w:pPr>
    </w:p>
    <w:p w:rsidR="000774A5" w:rsidRPr="000774A5" w:rsidRDefault="000774A5" w:rsidP="00766FCA">
      <w:pPr>
        <w:widowControl/>
        <w:ind w:left="720"/>
        <w:rPr>
          <w:rFonts w:ascii="Times New Roman" w:hAnsi="Times New Roman"/>
        </w:rPr>
      </w:pPr>
      <w:r w:rsidRPr="000774A5">
        <w:rPr>
          <w:rFonts w:ascii="Times New Roman" w:hAnsi="Times New Roman"/>
        </w:rPr>
        <w:t>There is no change in burden.</w:t>
      </w:r>
    </w:p>
    <w:p w:rsidR="000774A5" w:rsidRPr="000774A5" w:rsidRDefault="000774A5" w:rsidP="00425C31">
      <w:pPr>
        <w:widowControl/>
        <w:ind w:left="720"/>
        <w:rPr>
          <w:rFonts w:ascii="Times New Roman" w:hAnsi="Times New Roman"/>
        </w:rPr>
      </w:pPr>
    </w:p>
    <w:p w:rsidR="000774A5" w:rsidRPr="000774A5" w:rsidRDefault="000774A5" w:rsidP="00193C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0774A5">
        <w:rPr>
          <w:rFonts w:ascii="Times New Roman" w:hAnsi="Times New Roman"/>
          <w:b/>
          <w:bCs/>
        </w:rPr>
        <w:t>6(g)</w:t>
      </w:r>
      <w:r w:rsidRPr="000774A5">
        <w:rPr>
          <w:rFonts w:ascii="Times New Roman" w:hAnsi="Times New Roman"/>
          <w:b/>
          <w:bCs/>
        </w:rPr>
        <w:tab/>
        <w:t>Burden Statement</w:t>
      </w:r>
    </w:p>
    <w:p w:rsidR="000774A5" w:rsidRPr="000774A5" w:rsidRDefault="000774A5" w:rsidP="00193C23">
      <w:pPr>
        <w:widowControl/>
        <w:ind w:left="720"/>
        <w:rPr>
          <w:rFonts w:ascii="Times New Roman" w:hAnsi="Times New Roman"/>
        </w:rPr>
      </w:pPr>
      <w:r w:rsidRPr="000774A5">
        <w:rPr>
          <w:rFonts w:ascii="Times New Roman" w:hAnsi="Times New Roman"/>
        </w:rPr>
        <w:t>Public reporting burden for this collection is estimated to average 4 hours plus 36 hours of record keeping per state responder.  This includes the time for reviewing instructions, gathering information, searching data sources, completing and reviewing the collection of information, transmitting the information, and maintaining the information.</w:t>
      </w:r>
    </w:p>
    <w:p w:rsidR="000774A5" w:rsidRPr="000774A5" w:rsidRDefault="000774A5" w:rsidP="00425C31">
      <w:pPr>
        <w:widowControl/>
        <w:rPr>
          <w:rFonts w:ascii="Times New Roman" w:hAnsi="Times New Roman"/>
        </w:rPr>
      </w:pPr>
    </w:p>
    <w:p w:rsidR="000774A5" w:rsidRPr="000774A5" w:rsidRDefault="000774A5" w:rsidP="00193C23">
      <w:pPr>
        <w:widowControl/>
        <w:ind w:left="720"/>
        <w:rPr>
          <w:rFonts w:ascii="Times New Roman" w:hAnsi="Times New Roman"/>
        </w:rPr>
      </w:pPr>
      <w:r w:rsidRPr="000774A5">
        <w:rPr>
          <w:rFonts w:ascii="Times New Roman" w:hAnsi="Times New Roman"/>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 applicable instructions and requirements; train personnel to respond to the collection of information; and transmit or otherwise disclose the information.  An agency may not conduct or sponsor, and a person is not required to respond to, a collection of information unless it displays a currently valid OMB control number.  The OMB control number for EPA's regulations are listed in 40 CFR Part 9 and 48 CFR Chapter 15.</w:t>
      </w:r>
    </w:p>
    <w:p w:rsidR="000774A5" w:rsidRPr="000774A5" w:rsidRDefault="000774A5" w:rsidP="00425C31">
      <w:pPr>
        <w:widowControl/>
        <w:rPr>
          <w:rFonts w:ascii="Times New Roman" w:hAnsi="Times New Roman"/>
        </w:rPr>
      </w:pPr>
    </w:p>
    <w:p w:rsidR="00E067DA" w:rsidRDefault="00734D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ind w:left="720"/>
        <w:rPr>
          <w:rFonts w:ascii="Times New Roman" w:hAnsi="Times New Roman"/>
        </w:rPr>
      </w:pPr>
      <w:r w:rsidRPr="00734D95">
        <w:rPr>
          <w:rFonts w:ascii="Times New Roman" w:hAnsi="Times New Roman"/>
        </w:rPr>
        <w:t>To comment</w:t>
      </w:r>
      <w:r w:rsidR="000774A5" w:rsidRPr="00734D95">
        <w:rPr>
          <w:rFonts w:ascii="Times New Roman" w:hAnsi="Times New Roman"/>
        </w:rPr>
        <w:t xml:space="preserve"> on the Agency's need for this information, the accuracy of the provided burden estimates, and any suggested methods for minimizing respondent burden, including the use of Automated Collection techniques, </w:t>
      </w:r>
      <w:r w:rsidR="00162F5A">
        <w:rPr>
          <w:rFonts w:ascii="Times New Roman" w:hAnsi="Times New Roman"/>
        </w:rPr>
        <w:t xml:space="preserve">EPA has established a public docket for this ICR under Docket ID Number EPA-HQ-OA-2007-0706 , which is available for online viewing at </w:t>
      </w:r>
      <w:hyperlink r:id="rId9" w:history="1">
        <w:r w:rsidRPr="00734D95">
          <w:rPr>
            <w:rStyle w:val="Hyperlink"/>
            <w:rFonts w:ascii="Times New Roman" w:hAnsi="Times New Roman"/>
          </w:rPr>
          <w:t>www.regulations.gov</w:t>
        </w:r>
      </w:hyperlink>
      <w:r w:rsidRPr="00734D95">
        <w:rPr>
          <w:rFonts w:ascii="Times New Roman" w:hAnsi="Times New Roman"/>
        </w:rPr>
        <w:t>, or in person viewing at the EPA Docket Center (EPA/DC), EPA West, Room 3334, 1301 Constitution Avenue, NW, Washington, D.C. The EPA Docket Center Public Reading Room is open</w:t>
      </w:r>
      <w:r w:rsidR="00162F5A">
        <w:rPr>
          <w:rFonts w:ascii="Times New Roman" w:hAnsi="Times New Roman"/>
        </w:rPr>
        <w:t xml:space="preserve"> from 8:30 a.m. to 4:30 p.m., Monday through Friday, excluding legal holidays. </w:t>
      </w:r>
      <w:r w:rsidR="00162F5A" w:rsidRPr="00162F5A">
        <w:rPr>
          <w:rFonts w:ascii="Times New Roman" w:hAnsi="Times New Roman"/>
          <w:color w:val="0F0F0F"/>
        </w:rPr>
        <w:t>The telephone number for the Reading Room is (202) 566-1744, and the telephone number for the</w:t>
      </w:r>
      <w:r>
        <w:rPr>
          <w:rFonts w:ascii="Times New Roman" w:hAnsi="Times New Roman"/>
          <w:color w:val="0F0F0F"/>
        </w:rPr>
        <w:t xml:space="preserve"> OEI Docket</w:t>
      </w:r>
      <w:r w:rsidR="00162F5A" w:rsidRPr="00162F5A">
        <w:rPr>
          <w:rFonts w:ascii="Times New Roman" w:hAnsi="Times New Roman"/>
          <w:color w:val="0F0F0F"/>
        </w:rPr>
        <w:t xml:space="preserve"> is (202) 566-</w:t>
      </w:r>
      <w:r w:rsidRPr="00FF53EF">
        <w:rPr>
          <w:rFonts w:ascii="Times New Roman" w:hAnsi="Times New Roman"/>
        </w:rPr>
        <w:t>1752</w:t>
      </w:r>
      <w:r w:rsidR="00162F5A" w:rsidRPr="00FF53EF">
        <w:rPr>
          <w:rFonts w:ascii="Times New Roman" w:hAnsi="Times New Roman"/>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sidRPr="00FF53EF">
        <w:rPr>
          <w:rFonts w:ascii="Times New Roman" w:hAnsi="Times New Roman"/>
        </w:rPr>
        <w:t xml:space="preserve">-OA-2007-0706 </w:t>
      </w:r>
      <w:r w:rsidR="00162F5A" w:rsidRPr="00FF53EF">
        <w:rPr>
          <w:rFonts w:ascii="Times New Roman" w:hAnsi="Times New Roman"/>
        </w:rPr>
        <w:t xml:space="preserve">and OMB Control Number </w:t>
      </w:r>
      <w:r w:rsidRPr="00FF53EF">
        <w:rPr>
          <w:rFonts w:ascii="Times New Roman" w:hAnsi="Times New Roman"/>
        </w:rPr>
        <w:t>2060-0337</w:t>
      </w:r>
      <w:r w:rsidR="00162F5A" w:rsidRPr="00FF53EF">
        <w:rPr>
          <w:rFonts w:ascii="Times New Roman" w:hAnsi="Times New Roman"/>
        </w:rPr>
        <w:t xml:space="preserve"> in any correspondence.</w:t>
      </w:r>
    </w:p>
    <w:p w:rsidR="0050454E" w:rsidRDefault="0050454E" w:rsidP="00425C31">
      <w:pPr>
        <w:widowControl/>
        <w:rPr>
          <w:rFonts w:ascii="Times New Roman" w:hAnsi="Times New Roman"/>
          <w:color w:val="000000"/>
        </w:rPr>
      </w:pPr>
    </w:p>
    <w:p w:rsidR="00734D95" w:rsidRDefault="00734D95">
      <w:pPr>
        <w:widowControl/>
        <w:autoSpaceDE/>
        <w:autoSpaceDN/>
        <w:adjustRightInd/>
        <w:rPr>
          <w:rFonts w:ascii="Times New Roman" w:hAnsi="Times New Roman"/>
          <w:color w:val="000000"/>
        </w:rPr>
      </w:pPr>
      <w:r>
        <w:rPr>
          <w:rFonts w:ascii="Times New Roman" w:hAnsi="Times New Roman"/>
          <w:color w:val="000000"/>
        </w:rPr>
        <w:br w:type="page"/>
      </w:r>
    </w:p>
    <w:p w:rsidR="000774A5" w:rsidRPr="000774A5" w:rsidRDefault="000774A5" w:rsidP="00766FCA">
      <w:pPr>
        <w:keepNext/>
        <w:widowControl/>
        <w:jc w:val="center"/>
        <w:rPr>
          <w:rFonts w:ascii="Times New Roman" w:hAnsi="Times New Roman"/>
          <w:color w:val="000000"/>
        </w:rPr>
      </w:pPr>
      <w:r w:rsidRPr="000774A5">
        <w:rPr>
          <w:rFonts w:ascii="Times New Roman" w:hAnsi="Times New Roman"/>
          <w:b/>
          <w:bCs/>
          <w:color w:val="000000"/>
        </w:rPr>
        <w:lastRenderedPageBreak/>
        <w:t>WORKSHEET 1:  ANNUAL RESPONDENT BURDEN/COST ESTIMATE</w:t>
      </w:r>
    </w:p>
    <w:tbl>
      <w:tblPr>
        <w:tblpPr w:leftFromText="180" w:rightFromText="180" w:vertAnchor="text" w:horzAnchor="margin" w:tblpXSpec="center" w:tblpY="71"/>
        <w:tblW w:w="10620" w:type="dxa"/>
        <w:tblLayout w:type="fixed"/>
        <w:tblCellMar>
          <w:left w:w="134" w:type="dxa"/>
          <w:right w:w="134" w:type="dxa"/>
        </w:tblCellMar>
        <w:tblLook w:val="0000"/>
      </w:tblPr>
      <w:tblGrid>
        <w:gridCol w:w="1844"/>
        <w:gridCol w:w="990"/>
        <w:gridCol w:w="1440"/>
        <w:gridCol w:w="1080"/>
        <w:gridCol w:w="990"/>
        <w:gridCol w:w="1440"/>
        <w:gridCol w:w="1440"/>
        <w:gridCol w:w="1396"/>
      </w:tblGrid>
      <w:tr w:rsidR="00766FCA" w:rsidRPr="001D4CE1" w:rsidTr="00766FCA">
        <w:trPr>
          <w:cantSplit/>
          <w:trHeight w:val="1159"/>
        </w:trPr>
        <w:tc>
          <w:tcPr>
            <w:tcW w:w="1844" w:type="dxa"/>
            <w:tcBorders>
              <w:top w:val="double" w:sz="7" w:space="0" w:color="000000"/>
              <w:left w:val="double" w:sz="7" w:space="0" w:color="000000"/>
              <w:bottom w:val="nil"/>
              <w:right w:val="single" w:sz="6" w:space="0" w:color="FFFFFF"/>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Collection Activity</w:t>
            </w:r>
          </w:p>
        </w:tc>
        <w:tc>
          <w:tcPr>
            <w:tcW w:w="990" w:type="dxa"/>
            <w:tcBorders>
              <w:top w:val="double" w:sz="7" w:space="0" w:color="000000"/>
              <w:left w:val="single" w:sz="7" w:space="0" w:color="000000"/>
              <w:right w:val="single" w:sz="6" w:space="0" w:color="FFFFFF"/>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Burden Hours</w:t>
            </w:r>
          </w:p>
        </w:tc>
        <w:tc>
          <w:tcPr>
            <w:tcW w:w="1440" w:type="dxa"/>
            <w:tcBorders>
              <w:top w:val="double" w:sz="7" w:space="0" w:color="000000"/>
              <w:left w:val="single" w:sz="7" w:space="0" w:color="000000"/>
              <w:bottom w:val="nil"/>
              <w:right w:val="single" w:sz="6" w:space="0" w:color="FFFFFF"/>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Total Labor Costs Per Year*</w:t>
            </w:r>
          </w:p>
        </w:tc>
        <w:tc>
          <w:tcPr>
            <w:tcW w:w="1080" w:type="dxa"/>
            <w:tcBorders>
              <w:top w:val="double" w:sz="7" w:space="0" w:color="000000"/>
              <w:left w:val="single" w:sz="7" w:space="0" w:color="000000"/>
              <w:bottom w:val="nil"/>
              <w:right w:val="single" w:sz="6" w:space="0" w:color="FFFFFF"/>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Capital Costs</w:t>
            </w:r>
          </w:p>
        </w:tc>
        <w:tc>
          <w:tcPr>
            <w:tcW w:w="990" w:type="dxa"/>
            <w:tcBorders>
              <w:top w:val="double" w:sz="7" w:space="0" w:color="000000"/>
              <w:left w:val="single" w:sz="7" w:space="0" w:color="000000"/>
              <w:bottom w:val="nil"/>
              <w:right w:val="single" w:sz="6" w:space="0" w:color="FFFFFF"/>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O &amp; M Costs</w:t>
            </w:r>
          </w:p>
        </w:tc>
        <w:tc>
          <w:tcPr>
            <w:tcW w:w="1440" w:type="dxa"/>
            <w:tcBorders>
              <w:top w:val="double" w:sz="7" w:space="0" w:color="000000"/>
              <w:left w:val="single" w:sz="7" w:space="0" w:color="000000"/>
              <w:bottom w:val="nil"/>
              <w:right w:val="single" w:sz="6" w:space="0" w:color="FFFFFF"/>
            </w:tcBorders>
            <w:vAlign w:val="center"/>
          </w:tcPr>
          <w:p w:rsidR="00C548BE" w:rsidRPr="001D4CE1" w:rsidRDefault="00295A9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Respondent</w:t>
            </w:r>
            <w:r w:rsidR="00766FCA">
              <w:rPr>
                <w:rFonts w:ascii="Times New Roman" w:hAnsi="Times New Roman"/>
                <w:b/>
                <w:color w:val="000000"/>
                <w:sz w:val="22"/>
                <w:szCs w:val="22"/>
              </w:rPr>
              <w:t xml:space="preserve"> </w:t>
            </w:r>
            <w:r w:rsidR="00C548BE" w:rsidRPr="001D4CE1">
              <w:rPr>
                <w:rFonts w:ascii="Times New Roman" w:hAnsi="Times New Roman"/>
                <w:b/>
                <w:color w:val="000000"/>
                <w:sz w:val="22"/>
                <w:szCs w:val="22"/>
              </w:rPr>
              <w:t>Universe</w:t>
            </w:r>
          </w:p>
        </w:tc>
        <w:tc>
          <w:tcPr>
            <w:tcW w:w="1440" w:type="dxa"/>
            <w:tcBorders>
              <w:top w:val="double" w:sz="7" w:space="0" w:color="000000"/>
              <w:left w:val="single" w:sz="7" w:space="0" w:color="000000"/>
              <w:bottom w:val="nil"/>
              <w:right w:val="single" w:sz="6" w:space="0" w:color="FFFFFF"/>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Total Hours Per Year</w:t>
            </w:r>
            <w:r w:rsidR="00295A92" w:rsidRPr="001D4CE1">
              <w:rPr>
                <w:rFonts w:ascii="Times New Roman" w:hAnsi="Times New Roman"/>
                <w:b/>
                <w:color w:val="000000"/>
                <w:sz w:val="22"/>
                <w:szCs w:val="22"/>
              </w:rPr>
              <w:t>-</w:t>
            </w:r>
            <w:r w:rsidRPr="001D4CE1">
              <w:rPr>
                <w:rFonts w:ascii="Times New Roman" w:hAnsi="Times New Roman"/>
                <w:b/>
                <w:color w:val="000000"/>
                <w:sz w:val="22"/>
                <w:szCs w:val="22"/>
              </w:rPr>
              <w:t xml:space="preserve">all </w:t>
            </w:r>
            <w:r w:rsidR="00295A92" w:rsidRPr="001D4CE1">
              <w:rPr>
                <w:rFonts w:ascii="Times New Roman" w:hAnsi="Times New Roman"/>
                <w:b/>
                <w:color w:val="000000"/>
                <w:sz w:val="22"/>
                <w:szCs w:val="22"/>
              </w:rPr>
              <w:t>respondents</w:t>
            </w:r>
          </w:p>
        </w:tc>
        <w:tc>
          <w:tcPr>
            <w:tcW w:w="1396" w:type="dxa"/>
            <w:tcBorders>
              <w:top w:val="double" w:sz="7" w:space="0" w:color="000000"/>
              <w:left w:val="single" w:sz="7" w:space="0" w:color="000000"/>
              <w:bottom w:val="nil"/>
              <w:right w:val="double" w:sz="7" w:space="0" w:color="000000"/>
            </w:tcBorders>
            <w:vAlign w:val="center"/>
          </w:tcPr>
          <w:p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Total Cost Per Year</w:t>
            </w:r>
            <w:r w:rsidR="00295A92" w:rsidRPr="001D4CE1">
              <w:rPr>
                <w:rFonts w:ascii="Times New Roman" w:hAnsi="Times New Roman"/>
                <w:b/>
                <w:color w:val="000000"/>
                <w:sz w:val="22"/>
                <w:szCs w:val="22"/>
              </w:rPr>
              <w:t>-all respondents</w:t>
            </w:r>
          </w:p>
        </w:tc>
      </w:tr>
      <w:tr w:rsidR="00766FCA" w:rsidRPr="001D4CE1" w:rsidTr="00766FCA">
        <w:trPr>
          <w:cantSplit/>
        </w:trPr>
        <w:tc>
          <w:tcPr>
            <w:tcW w:w="1844" w:type="dxa"/>
            <w:tcBorders>
              <w:top w:val="double" w:sz="7" w:space="0" w:color="000000"/>
              <w:left w:val="double" w:sz="7" w:space="0" w:color="000000"/>
              <w:bottom w:val="single" w:sz="6" w:space="0" w:color="FFFFFF"/>
              <w:right w:val="single" w:sz="6" w:space="0" w:color="FFFFFF"/>
            </w:tcBorders>
          </w:tcPr>
          <w:p w:rsidR="00126472" w:rsidRPr="001D4CE1" w:rsidRDefault="00126472" w:rsidP="00425C31">
            <w:pPr>
              <w:widowControl/>
              <w:spacing w:before="60" w:after="60"/>
              <w:rPr>
                <w:rFonts w:ascii="Times New Roman" w:hAnsi="Times New Roman"/>
                <w:color w:val="000000"/>
                <w:sz w:val="22"/>
                <w:szCs w:val="22"/>
              </w:rPr>
            </w:pPr>
            <w:r w:rsidRPr="001D4CE1">
              <w:rPr>
                <w:rFonts w:ascii="Times New Roman" w:hAnsi="Times New Roman"/>
                <w:color w:val="000000"/>
                <w:sz w:val="22"/>
                <w:szCs w:val="22"/>
              </w:rPr>
              <w:t>Annual Recordkeeping burden</w:t>
            </w:r>
          </w:p>
        </w:tc>
        <w:tc>
          <w:tcPr>
            <w:tcW w:w="990" w:type="dxa"/>
            <w:tcBorders>
              <w:top w:val="doub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36</w:t>
            </w:r>
          </w:p>
        </w:tc>
        <w:tc>
          <w:tcPr>
            <w:tcW w:w="1440" w:type="dxa"/>
            <w:tcBorders>
              <w:top w:val="double" w:sz="7" w:space="0" w:color="000000"/>
              <w:left w:val="single" w:sz="7" w:space="0" w:color="000000"/>
              <w:bottom w:val="single" w:sz="6" w:space="0" w:color="FFFFFF"/>
              <w:right w:val="single" w:sz="6" w:space="0" w:color="FFFFFF"/>
            </w:tcBorders>
            <w:vAlign w:val="center"/>
          </w:tcPr>
          <w:p w:rsidR="00126472" w:rsidRPr="001D4CE1" w:rsidRDefault="00126472" w:rsidP="00D14620">
            <w:pPr>
              <w:jc w:val="center"/>
              <w:rPr>
                <w:rFonts w:ascii="Times New Roman" w:hAnsi="Times New Roman"/>
                <w:color w:val="000000"/>
                <w:sz w:val="22"/>
                <w:szCs w:val="22"/>
              </w:rPr>
            </w:pPr>
            <w:r w:rsidRPr="001D4CE1">
              <w:rPr>
                <w:rFonts w:ascii="Times New Roman" w:hAnsi="Times New Roman"/>
                <w:color w:val="000000"/>
                <w:sz w:val="22"/>
                <w:szCs w:val="22"/>
              </w:rPr>
              <w:t>$</w:t>
            </w:r>
            <w:r w:rsidR="00D14620">
              <w:rPr>
                <w:rFonts w:ascii="Times New Roman" w:hAnsi="Times New Roman"/>
                <w:color w:val="000000"/>
                <w:sz w:val="22"/>
                <w:szCs w:val="22"/>
              </w:rPr>
              <w:t>1,777.32</w:t>
            </w:r>
          </w:p>
        </w:tc>
        <w:tc>
          <w:tcPr>
            <w:tcW w:w="1080" w:type="dxa"/>
            <w:tcBorders>
              <w:top w:val="doub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990" w:type="dxa"/>
            <w:tcBorders>
              <w:top w:val="doub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1440" w:type="dxa"/>
            <w:tcBorders>
              <w:top w:val="doub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53</w:t>
            </w:r>
          </w:p>
        </w:tc>
        <w:tc>
          <w:tcPr>
            <w:tcW w:w="1440" w:type="dxa"/>
            <w:tcBorders>
              <w:top w:val="double" w:sz="7" w:space="0" w:color="000000"/>
              <w:left w:val="single" w:sz="7" w:space="0" w:color="000000"/>
              <w:bottom w:val="single" w:sz="6" w:space="0" w:color="FFFFFF"/>
              <w:right w:val="single" w:sz="6" w:space="0" w:color="FFFFFF"/>
            </w:tcBorders>
            <w:vAlign w:val="center"/>
          </w:tcPr>
          <w:p w:rsidR="00126472" w:rsidRPr="001D4CE1" w:rsidRDefault="00295A9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1</w:t>
            </w:r>
            <w:r w:rsidR="00D14620">
              <w:rPr>
                <w:rFonts w:ascii="Times New Roman" w:hAnsi="Times New Roman"/>
                <w:color w:val="000000"/>
                <w:sz w:val="22"/>
                <w:szCs w:val="22"/>
              </w:rPr>
              <w:t>,</w:t>
            </w:r>
            <w:r w:rsidRPr="001D4CE1">
              <w:rPr>
                <w:rFonts w:ascii="Times New Roman" w:hAnsi="Times New Roman"/>
                <w:color w:val="000000"/>
                <w:sz w:val="22"/>
                <w:szCs w:val="22"/>
              </w:rPr>
              <w:t>908</w:t>
            </w:r>
          </w:p>
        </w:tc>
        <w:tc>
          <w:tcPr>
            <w:tcW w:w="1396" w:type="dxa"/>
            <w:tcBorders>
              <w:top w:val="double" w:sz="7" w:space="0" w:color="000000"/>
              <w:left w:val="single" w:sz="7" w:space="0" w:color="000000"/>
              <w:bottom w:val="single" w:sz="6" w:space="0" w:color="FFFFFF"/>
              <w:right w:val="double" w:sz="7" w:space="0" w:color="000000"/>
            </w:tcBorders>
            <w:vAlign w:val="center"/>
          </w:tcPr>
          <w:p w:rsidR="00126472" w:rsidRPr="001D4CE1" w:rsidRDefault="00126472" w:rsidP="00D14620">
            <w:pPr>
              <w:widowControl/>
              <w:jc w:val="center"/>
              <w:rPr>
                <w:rFonts w:ascii="Times New Roman" w:hAnsi="Times New Roman"/>
                <w:color w:val="000000"/>
                <w:sz w:val="22"/>
                <w:szCs w:val="22"/>
              </w:rPr>
            </w:pPr>
            <w:r w:rsidRPr="001D4CE1">
              <w:rPr>
                <w:rFonts w:ascii="Times New Roman" w:hAnsi="Times New Roman"/>
                <w:color w:val="000000"/>
                <w:sz w:val="22"/>
                <w:szCs w:val="22"/>
              </w:rPr>
              <w:t>$</w:t>
            </w:r>
            <w:r w:rsidR="00D14620">
              <w:rPr>
                <w:rFonts w:ascii="Times New Roman" w:hAnsi="Times New Roman"/>
                <w:color w:val="000000"/>
                <w:sz w:val="22"/>
                <w:szCs w:val="22"/>
              </w:rPr>
              <w:t>94,197.96</w:t>
            </w:r>
          </w:p>
        </w:tc>
      </w:tr>
      <w:tr w:rsidR="00766FCA" w:rsidRPr="001D4CE1" w:rsidTr="00766FCA">
        <w:trPr>
          <w:cantSplit/>
        </w:trPr>
        <w:tc>
          <w:tcPr>
            <w:tcW w:w="1844" w:type="dxa"/>
            <w:tcBorders>
              <w:top w:val="single" w:sz="7" w:space="0" w:color="000000"/>
              <w:left w:val="double" w:sz="7" w:space="0" w:color="000000"/>
              <w:bottom w:val="single" w:sz="6" w:space="0" w:color="FFFFFF"/>
              <w:right w:val="single" w:sz="6" w:space="0" w:color="FFFFFF"/>
            </w:tcBorders>
          </w:tcPr>
          <w:p w:rsidR="00126472" w:rsidRPr="001D4CE1" w:rsidRDefault="00126472" w:rsidP="00425C31">
            <w:pPr>
              <w:widowControl/>
              <w:spacing w:before="60" w:after="60"/>
              <w:rPr>
                <w:rFonts w:ascii="Times New Roman" w:hAnsi="Times New Roman"/>
                <w:color w:val="000000"/>
                <w:sz w:val="22"/>
                <w:szCs w:val="22"/>
              </w:rPr>
            </w:pPr>
            <w:r w:rsidRPr="001D4CE1">
              <w:rPr>
                <w:rFonts w:ascii="Times New Roman" w:hAnsi="Times New Roman"/>
                <w:color w:val="000000"/>
                <w:sz w:val="22"/>
                <w:szCs w:val="22"/>
              </w:rPr>
              <w:t>Annual Reporting Burden</w:t>
            </w:r>
          </w:p>
        </w:tc>
        <w:tc>
          <w:tcPr>
            <w:tcW w:w="990" w:type="dxa"/>
            <w:tcBorders>
              <w:top w:val="sing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4</w:t>
            </w:r>
          </w:p>
        </w:tc>
        <w:tc>
          <w:tcPr>
            <w:tcW w:w="1440" w:type="dxa"/>
            <w:tcBorders>
              <w:top w:val="single" w:sz="7" w:space="0" w:color="000000"/>
              <w:left w:val="single" w:sz="7" w:space="0" w:color="000000"/>
              <w:bottom w:val="single" w:sz="6" w:space="0" w:color="FFFFFF"/>
              <w:right w:val="single" w:sz="6" w:space="0" w:color="FFFFFF"/>
            </w:tcBorders>
            <w:vAlign w:val="center"/>
          </w:tcPr>
          <w:p w:rsidR="00126472" w:rsidRPr="001D4CE1" w:rsidRDefault="00126472" w:rsidP="00D14620">
            <w:pPr>
              <w:jc w:val="center"/>
              <w:rPr>
                <w:rFonts w:ascii="Times New Roman" w:hAnsi="Times New Roman"/>
                <w:color w:val="000000"/>
                <w:sz w:val="22"/>
                <w:szCs w:val="22"/>
              </w:rPr>
            </w:pPr>
            <w:r w:rsidRPr="001D4CE1">
              <w:rPr>
                <w:rFonts w:ascii="Times New Roman" w:hAnsi="Times New Roman"/>
                <w:color w:val="000000"/>
                <w:sz w:val="22"/>
                <w:szCs w:val="22"/>
              </w:rPr>
              <w:t>$1</w:t>
            </w:r>
            <w:r w:rsidR="00D14620">
              <w:rPr>
                <w:rFonts w:ascii="Times New Roman" w:hAnsi="Times New Roman"/>
                <w:color w:val="000000"/>
                <w:sz w:val="22"/>
                <w:szCs w:val="22"/>
              </w:rPr>
              <w:t>97</w:t>
            </w:r>
            <w:r w:rsidRPr="001D4CE1">
              <w:rPr>
                <w:rFonts w:ascii="Times New Roman" w:hAnsi="Times New Roman"/>
                <w:color w:val="000000"/>
                <w:sz w:val="22"/>
                <w:szCs w:val="22"/>
              </w:rPr>
              <w:t>.</w:t>
            </w:r>
            <w:r w:rsidR="00D14620">
              <w:rPr>
                <w:rFonts w:ascii="Times New Roman" w:hAnsi="Times New Roman"/>
                <w:color w:val="000000"/>
                <w:sz w:val="22"/>
                <w:szCs w:val="22"/>
              </w:rPr>
              <w:t>48</w:t>
            </w:r>
          </w:p>
        </w:tc>
        <w:tc>
          <w:tcPr>
            <w:tcW w:w="1080" w:type="dxa"/>
            <w:tcBorders>
              <w:top w:val="sing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990" w:type="dxa"/>
            <w:tcBorders>
              <w:top w:val="sing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53</w:t>
            </w:r>
          </w:p>
        </w:tc>
        <w:tc>
          <w:tcPr>
            <w:tcW w:w="1440" w:type="dxa"/>
            <w:tcBorders>
              <w:top w:val="single" w:sz="7" w:space="0" w:color="000000"/>
              <w:left w:val="single" w:sz="7" w:space="0" w:color="000000"/>
              <w:bottom w:val="single" w:sz="6" w:space="0" w:color="FFFFFF"/>
              <w:right w:val="single" w:sz="6" w:space="0" w:color="FFFFFF"/>
            </w:tcBorders>
            <w:vAlign w:val="center"/>
          </w:tcPr>
          <w:p w:rsidR="00126472" w:rsidRPr="001D4CE1" w:rsidRDefault="00295A9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212</w:t>
            </w:r>
          </w:p>
        </w:tc>
        <w:tc>
          <w:tcPr>
            <w:tcW w:w="1396" w:type="dxa"/>
            <w:tcBorders>
              <w:top w:val="single" w:sz="7" w:space="0" w:color="000000"/>
              <w:left w:val="single" w:sz="7" w:space="0" w:color="000000"/>
              <w:bottom w:val="single" w:sz="6" w:space="0" w:color="FFFFFF"/>
              <w:right w:val="double" w:sz="7" w:space="0" w:color="000000"/>
            </w:tcBorders>
            <w:vAlign w:val="center"/>
          </w:tcPr>
          <w:p w:rsidR="00126472" w:rsidRPr="001D4CE1" w:rsidRDefault="00D14620" w:rsidP="00425C31">
            <w:pPr>
              <w:widowControl/>
              <w:jc w:val="center"/>
              <w:rPr>
                <w:rFonts w:ascii="Times New Roman" w:hAnsi="Times New Roman"/>
                <w:color w:val="000000"/>
                <w:sz w:val="22"/>
                <w:szCs w:val="22"/>
              </w:rPr>
            </w:pPr>
            <w:r>
              <w:rPr>
                <w:rFonts w:ascii="Times New Roman" w:hAnsi="Times New Roman"/>
                <w:color w:val="000000"/>
                <w:sz w:val="22"/>
                <w:szCs w:val="22"/>
              </w:rPr>
              <w:t>10,466.44</w:t>
            </w:r>
          </w:p>
        </w:tc>
      </w:tr>
      <w:tr w:rsidR="00766FCA" w:rsidRPr="001D4CE1" w:rsidTr="00766FCA">
        <w:trPr>
          <w:cantSplit/>
        </w:trPr>
        <w:tc>
          <w:tcPr>
            <w:tcW w:w="1844" w:type="dxa"/>
            <w:tcBorders>
              <w:top w:val="single" w:sz="7" w:space="0" w:color="000000"/>
              <w:left w:val="double" w:sz="7" w:space="0" w:color="000000"/>
              <w:bottom w:val="double" w:sz="7" w:space="0" w:color="000000"/>
              <w:right w:val="single" w:sz="6" w:space="0" w:color="FFFFFF"/>
            </w:tcBorders>
          </w:tcPr>
          <w:p w:rsidR="00126472" w:rsidRPr="001D4CE1" w:rsidRDefault="00126472" w:rsidP="00425C31">
            <w:pPr>
              <w:widowControl/>
              <w:spacing w:before="60" w:after="60"/>
              <w:rPr>
                <w:rFonts w:ascii="Times New Roman" w:hAnsi="Times New Roman"/>
                <w:color w:val="000000"/>
                <w:sz w:val="22"/>
                <w:szCs w:val="22"/>
              </w:rPr>
            </w:pPr>
            <w:r w:rsidRPr="001D4CE1">
              <w:rPr>
                <w:rFonts w:ascii="Times New Roman" w:hAnsi="Times New Roman"/>
                <w:color w:val="000000"/>
                <w:sz w:val="22"/>
                <w:szCs w:val="22"/>
              </w:rPr>
              <w:t>TOTALS</w:t>
            </w:r>
          </w:p>
        </w:tc>
        <w:tc>
          <w:tcPr>
            <w:tcW w:w="990" w:type="dxa"/>
            <w:tcBorders>
              <w:top w:val="single" w:sz="7" w:space="0" w:color="000000"/>
              <w:left w:val="single" w:sz="7" w:space="0" w:color="000000"/>
              <w:bottom w:val="double" w:sz="7" w:space="0" w:color="000000"/>
              <w:right w:val="single" w:sz="6" w:space="0" w:color="FFFFFF"/>
            </w:tcBorders>
            <w:vAlign w:val="center"/>
          </w:tcPr>
          <w:p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40</w:t>
            </w:r>
          </w:p>
        </w:tc>
        <w:tc>
          <w:tcPr>
            <w:tcW w:w="1440" w:type="dxa"/>
            <w:tcBorders>
              <w:top w:val="single" w:sz="7" w:space="0" w:color="000000"/>
              <w:left w:val="single" w:sz="7" w:space="0" w:color="000000"/>
              <w:bottom w:val="double" w:sz="7" w:space="0" w:color="000000"/>
              <w:right w:val="single" w:sz="6" w:space="0" w:color="FFFFFF"/>
            </w:tcBorders>
            <w:vAlign w:val="center"/>
          </w:tcPr>
          <w:p w:rsidR="00126472" w:rsidRPr="001D4CE1" w:rsidRDefault="00126472" w:rsidP="00D14620">
            <w:pPr>
              <w:jc w:val="center"/>
              <w:rPr>
                <w:rFonts w:ascii="Times New Roman" w:hAnsi="Times New Roman"/>
                <w:color w:val="000000"/>
                <w:sz w:val="22"/>
                <w:szCs w:val="22"/>
              </w:rPr>
            </w:pPr>
            <w:r w:rsidRPr="001D4CE1">
              <w:rPr>
                <w:rFonts w:ascii="Times New Roman" w:hAnsi="Times New Roman"/>
                <w:color w:val="000000"/>
                <w:sz w:val="22"/>
                <w:szCs w:val="22"/>
              </w:rPr>
              <w:t>$1,</w:t>
            </w:r>
            <w:r w:rsidR="00D14620">
              <w:rPr>
                <w:rFonts w:ascii="Times New Roman" w:hAnsi="Times New Roman"/>
                <w:color w:val="000000"/>
                <w:sz w:val="22"/>
                <w:szCs w:val="22"/>
              </w:rPr>
              <w:t>974.8</w:t>
            </w:r>
          </w:p>
        </w:tc>
        <w:tc>
          <w:tcPr>
            <w:tcW w:w="1080" w:type="dxa"/>
            <w:tcBorders>
              <w:top w:val="single" w:sz="7" w:space="0" w:color="000000"/>
              <w:left w:val="single" w:sz="7" w:space="0" w:color="000000"/>
              <w:bottom w:val="double" w:sz="7" w:space="0" w:color="000000"/>
              <w:right w:val="single" w:sz="6" w:space="0" w:color="FFFFFF"/>
            </w:tcBorders>
            <w:vAlign w:val="center"/>
          </w:tcPr>
          <w:p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990" w:type="dxa"/>
            <w:tcBorders>
              <w:top w:val="single" w:sz="7" w:space="0" w:color="000000"/>
              <w:left w:val="single" w:sz="7" w:space="0" w:color="000000"/>
              <w:bottom w:val="double" w:sz="7" w:space="0" w:color="000000"/>
              <w:right w:val="single" w:sz="6" w:space="0" w:color="FFFFFF"/>
            </w:tcBorders>
            <w:vAlign w:val="center"/>
          </w:tcPr>
          <w:p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1440" w:type="dxa"/>
            <w:tcBorders>
              <w:top w:val="single" w:sz="7" w:space="0" w:color="000000"/>
              <w:left w:val="single" w:sz="7" w:space="0" w:color="000000"/>
              <w:bottom w:val="double" w:sz="7" w:space="0" w:color="000000"/>
              <w:right w:val="single" w:sz="6" w:space="0" w:color="FFFFFF"/>
            </w:tcBorders>
            <w:vAlign w:val="center"/>
          </w:tcPr>
          <w:p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53</w:t>
            </w:r>
          </w:p>
        </w:tc>
        <w:tc>
          <w:tcPr>
            <w:tcW w:w="1440" w:type="dxa"/>
            <w:tcBorders>
              <w:top w:val="single" w:sz="7" w:space="0" w:color="000000"/>
              <w:left w:val="single" w:sz="7" w:space="0" w:color="000000"/>
              <w:bottom w:val="double" w:sz="7" w:space="0" w:color="000000"/>
              <w:right w:val="single" w:sz="6" w:space="0" w:color="FFFFFF"/>
            </w:tcBorders>
            <w:vAlign w:val="center"/>
          </w:tcPr>
          <w:p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2,120</w:t>
            </w:r>
          </w:p>
        </w:tc>
        <w:tc>
          <w:tcPr>
            <w:tcW w:w="1396" w:type="dxa"/>
            <w:tcBorders>
              <w:top w:val="single" w:sz="7" w:space="0" w:color="000000"/>
              <w:left w:val="single" w:sz="7" w:space="0" w:color="000000"/>
              <w:bottom w:val="double" w:sz="7" w:space="0" w:color="000000"/>
              <w:right w:val="double" w:sz="7" w:space="0" w:color="000000"/>
            </w:tcBorders>
            <w:vAlign w:val="center"/>
          </w:tcPr>
          <w:p w:rsidR="00126472" w:rsidRPr="001D4CE1" w:rsidRDefault="00126472" w:rsidP="00D14620">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w:t>
            </w:r>
            <w:r w:rsidR="00D14620">
              <w:rPr>
                <w:rFonts w:ascii="Times New Roman" w:hAnsi="Times New Roman"/>
                <w:color w:val="000000"/>
                <w:sz w:val="22"/>
                <w:szCs w:val="22"/>
              </w:rPr>
              <w:t>104,664.40</w:t>
            </w:r>
          </w:p>
        </w:tc>
      </w:tr>
    </w:tbl>
    <w:p w:rsidR="00126472" w:rsidRDefault="00126472" w:rsidP="00425C31">
      <w:pPr>
        <w:widowControl/>
        <w:rPr>
          <w:rFonts w:ascii="Times New Roman" w:hAnsi="Times New Roman"/>
          <w:color w:val="000000"/>
        </w:rPr>
      </w:pPr>
      <w:r w:rsidRPr="00126472">
        <w:rPr>
          <w:rFonts w:ascii="Times New Roman" w:hAnsi="Times New Roman"/>
          <w:color w:val="000000"/>
        </w:rPr>
        <w:t>*</w:t>
      </w:r>
      <w:r>
        <w:rPr>
          <w:rFonts w:ascii="Times New Roman" w:hAnsi="Times New Roman"/>
          <w:color w:val="000000"/>
        </w:rPr>
        <w:t xml:space="preserve"> Based on </w:t>
      </w:r>
      <w:r w:rsidRPr="00126472">
        <w:rPr>
          <w:rFonts w:ascii="Times New Roman" w:hAnsi="Times New Roman"/>
          <w:color w:val="000000"/>
          <w:sz w:val="22"/>
          <w:szCs w:val="22"/>
        </w:rPr>
        <w:t xml:space="preserve">Prof/Tech </w:t>
      </w:r>
      <w:r>
        <w:rPr>
          <w:rFonts w:ascii="Times New Roman" w:hAnsi="Times New Roman"/>
          <w:color w:val="000000"/>
          <w:sz w:val="22"/>
          <w:szCs w:val="22"/>
        </w:rPr>
        <w:t xml:space="preserve">rate of </w:t>
      </w:r>
      <w:r w:rsidRPr="00126472">
        <w:rPr>
          <w:rFonts w:ascii="Times New Roman" w:hAnsi="Times New Roman"/>
          <w:color w:val="000000"/>
          <w:sz w:val="22"/>
          <w:szCs w:val="22"/>
        </w:rPr>
        <w:t>$</w:t>
      </w:r>
      <w:r w:rsidR="00D14620">
        <w:rPr>
          <w:rFonts w:ascii="Times New Roman" w:hAnsi="Times New Roman"/>
          <w:color w:val="000000"/>
          <w:sz w:val="22"/>
          <w:szCs w:val="22"/>
        </w:rPr>
        <w:t>49.37</w:t>
      </w:r>
      <w:r>
        <w:rPr>
          <w:rFonts w:ascii="Times New Roman" w:hAnsi="Times New Roman"/>
          <w:color w:val="000000"/>
          <w:sz w:val="22"/>
          <w:szCs w:val="22"/>
        </w:rPr>
        <w:t xml:space="preserve"> per hour</w:t>
      </w:r>
    </w:p>
    <w:p w:rsidR="004F2E9C" w:rsidRPr="000774A5" w:rsidRDefault="004F2E9C" w:rsidP="00766FCA">
      <w:pPr>
        <w:widowControl/>
        <w:spacing w:after="120"/>
        <w:rPr>
          <w:rFonts w:ascii="Times New Roman" w:hAnsi="Times New Roman"/>
          <w:b/>
          <w:bCs/>
          <w:color w:val="000000"/>
        </w:rPr>
      </w:pPr>
    </w:p>
    <w:p w:rsidR="000774A5" w:rsidRPr="000774A5" w:rsidRDefault="000774A5" w:rsidP="00425C31">
      <w:pPr>
        <w:widowControl/>
        <w:jc w:val="center"/>
        <w:rPr>
          <w:rFonts w:ascii="Times New Roman" w:hAnsi="Times New Roman"/>
          <w:color w:val="000000"/>
        </w:rPr>
      </w:pPr>
      <w:r w:rsidRPr="000774A5">
        <w:rPr>
          <w:rFonts w:ascii="Times New Roman" w:hAnsi="Times New Roman"/>
          <w:b/>
          <w:bCs/>
          <w:color w:val="000000"/>
        </w:rPr>
        <w:t>WORKSHEET 2</w:t>
      </w:r>
      <w:r w:rsidR="001D4CE1">
        <w:rPr>
          <w:rFonts w:ascii="Times New Roman" w:hAnsi="Times New Roman"/>
          <w:b/>
          <w:bCs/>
          <w:color w:val="000000"/>
        </w:rPr>
        <w:t>A</w:t>
      </w:r>
      <w:r w:rsidRPr="000774A5">
        <w:rPr>
          <w:rFonts w:ascii="Times New Roman" w:hAnsi="Times New Roman"/>
          <w:b/>
          <w:bCs/>
          <w:color w:val="000000"/>
        </w:rPr>
        <w:t>:  ANNUAL AGENCY BURDEN/COST ESTIMATE</w:t>
      </w:r>
    </w:p>
    <w:tbl>
      <w:tblPr>
        <w:tblW w:w="0" w:type="auto"/>
        <w:jc w:val="center"/>
        <w:tblInd w:w="-240" w:type="dxa"/>
        <w:tblBorders>
          <w:top w:val="double" w:sz="4" w:space="0" w:color="auto"/>
          <w:left w:val="double" w:sz="4" w:space="0" w:color="auto"/>
          <w:bottom w:val="double" w:sz="4" w:space="0" w:color="auto"/>
          <w:right w:val="double" w:sz="4" w:space="0" w:color="auto"/>
        </w:tblBorders>
        <w:tblLook w:val="04A0"/>
      </w:tblPr>
      <w:tblGrid>
        <w:gridCol w:w="1230"/>
        <w:gridCol w:w="1707"/>
        <w:gridCol w:w="1350"/>
        <w:gridCol w:w="1260"/>
        <w:gridCol w:w="990"/>
        <w:gridCol w:w="925"/>
        <w:gridCol w:w="1508"/>
      </w:tblGrid>
      <w:tr w:rsidR="00B135E1" w:rsidRPr="002D0A09" w:rsidTr="00E55DEE">
        <w:trPr>
          <w:jc w:val="center"/>
        </w:trPr>
        <w:tc>
          <w:tcPr>
            <w:tcW w:w="1230" w:type="dxa"/>
            <w:tcBorders>
              <w:bottom w:val="double" w:sz="4" w:space="0" w:color="auto"/>
              <w:right w:val="single" w:sz="4" w:space="0" w:color="auto"/>
            </w:tcBorders>
          </w:tcPr>
          <w:p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GS Level</w:t>
            </w:r>
          </w:p>
        </w:tc>
        <w:tc>
          <w:tcPr>
            <w:tcW w:w="1707" w:type="dxa"/>
            <w:tcBorders>
              <w:left w:val="single" w:sz="4" w:space="0" w:color="auto"/>
              <w:bottom w:val="double" w:sz="4" w:space="0" w:color="auto"/>
              <w:right w:val="single" w:sz="4" w:space="0" w:color="auto"/>
            </w:tcBorders>
          </w:tcPr>
          <w:p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sz w:val="22"/>
                <w:szCs w:val="22"/>
              </w:rPr>
              <w:t>Agency Burden Hours</w:t>
            </w:r>
          </w:p>
        </w:tc>
        <w:tc>
          <w:tcPr>
            <w:tcW w:w="1350" w:type="dxa"/>
            <w:tcBorders>
              <w:left w:val="single" w:sz="4" w:space="0" w:color="auto"/>
              <w:bottom w:val="double" w:sz="4" w:space="0" w:color="auto"/>
              <w:right w:val="single" w:sz="4" w:space="0" w:color="auto"/>
            </w:tcBorders>
          </w:tcPr>
          <w:p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Federal pay rate (step 5)</w:t>
            </w:r>
          </w:p>
        </w:tc>
        <w:tc>
          <w:tcPr>
            <w:tcW w:w="1260" w:type="dxa"/>
            <w:tcBorders>
              <w:left w:val="single" w:sz="4" w:space="0" w:color="auto"/>
              <w:bottom w:val="double" w:sz="4" w:space="0" w:color="auto"/>
              <w:right w:val="single" w:sz="4" w:space="0" w:color="auto"/>
            </w:tcBorders>
          </w:tcPr>
          <w:p w:rsidR="00B135E1" w:rsidRPr="002D0A09" w:rsidRDefault="00E55DEE" w:rsidP="00E55DEE">
            <w:pPr>
              <w:widowControl/>
              <w:jc w:val="center"/>
              <w:rPr>
                <w:rFonts w:ascii="Times New Roman" w:hAnsi="Times New Roman"/>
                <w:b/>
                <w:color w:val="000000"/>
                <w:sz w:val="22"/>
                <w:szCs w:val="22"/>
              </w:rPr>
            </w:pPr>
            <w:r>
              <w:rPr>
                <w:rFonts w:ascii="Times New Roman" w:hAnsi="Times New Roman"/>
                <w:b/>
                <w:color w:val="000000"/>
                <w:sz w:val="22"/>
                <w:szCs w:val="22"/>
              </w:rPr>
              <w:t>Annual C</w:t>
            </w:r>
            <w:r w:rsidR="00B135E1" w:rsidRPr="002D0A09">
              <w:rPr>
                <w:rFonts w:ascii="Times New Roman" w:hAnsi="Times New Roman"/>
                <w:b/>
                <w:color w:val="000000"/>
                <w:sz w:val="22"/>
                <w:szCs w:val="22"/>
              </w:rPr>
              <w:t xml:space="preserve">ost </w:t>
            </w:r>
          </w:p>
        </w:tc>
        <w:tc>
          <w:tcPr>
            <w:tcW w:w="990" w:type="dxa"/>
            <w:tcBorders>
              <w:left w:val="single" w:sz="4" w:space="0" w:color="auto"/>
              <w:bottom w:val="double" w:sz="4" w:space="0" w:color="auto"/>
              <w:right w:val="single" w:sz="4" w:space="0" w:color="auto"/>
            </w:tcBorders>
          </w:tcPr>
          <w:p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Capital Costs</w:t>
            </w:r>
          </w:p>
        </w:tc>
        <w:tc>
          <w:tcPr>
            <w:tcW w:w="925" w:type="dxa"/>
            <w:tcBorders>
              <w:left w:val="single" w:sz="4" w:space="0" w:color="auto"/>
              <w:bottom w:val="double" w:sz="4" w:space="0" w:color="auto"/>
              <w:right w:val="single" w:sz="4" w:space="0" w:color="auto"/>
            </w:tcBorders>
          </w:tcPr>
          <w:p w:rsidR="00B135E1" w:rsidRPr="00193C23" w:rsidRDefault="00B135E1" w:rsidP="00193C23">
            <w:pPr>
              <w:widowControl/>
              <w:jc w:val="center"/>
              <w:rPr>
                <w:rFonts w:ascii="Times New Roman" w:hAnsi="Times New Roman"/>
                <w:b/>
                <w:sz w:val="22"/>
                <w:szCs w:val="22"/>
              </w:rPr>
            </w:pPr>
            <w:r w:rsidRPr="002D0A09">
              <w:rPr>
                <w:rFonts w:ascii="Times New Roman" w:hAnsi="Times New Roman"/>
                <w:b/>
                <w:sz w:val="22"/>
                <w:szCs w:val="22"/>
              </w:rPr>
              <w:t>O &amp; M Costs</w:t>
            </w:r>
          </w:p>
        </w:tc>
        <w:tc>
          <w:tcPr>
            <w:tcW w:w="1508" w:type="dxa"/>
            <w:tcBorders>
              <w:left w:val="single" w:sz="4" w:space="0" w:color="auto"/>
              <w:bottom w:val="double" w:sz="4" w:space="0" w:color="auto"/>
            </w:tcBorders>
          </w:tcPr>
          <w:p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Total Costs</w:t>
            </w:r>
          </w:p>
        </w:tc>
      </w:tr>
      <w:tr w:rsidR="00B135E1" w:rsidRPr="002D0A09" w:rsidTr="00E55DEE">
        <w:trPr>
          <w:jc w:val="center"/>
        </w:trPr>
        <w:tc>
          <w:tcPr>
            <w:tcW w:w="1230" w:type="dxa"/>
            <w:tcBorders>
              <w:top w:val="doub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GS15</w:t>
            </w:r>
          </w:p>
        </w:tc>
        <w:tc>
          <w:tcPr>
            <w:tcW w:w="1707" w:type="dxa"/>
            <w:tcBorders>
              <w:top w:val="doub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30</w:t>
            </w:r>
          </w:p>
        </w:tc>
        <w:tc>
          <w:tcPr>
            <w:tcW w:w="1350" w:type="dxa"/>
            <w:tcBorders>
              <w:top w:val="doub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sz w:val="22"/>
                <w:szCs w:val="22"/>
              </w:rPr>
              <w:t>$67.21/hr</w:t>
            </w:r>
          </w:p>
        </w:tc>
        <w:tc>
          <w:tcPr>
            <w:tcW w:w="1260" w:type="dxa"/>
            <w:tcBorders>
              <w:top w:val="doub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$2,016.3</w:t>
            </w:r>
          </w:p>
        </w:tc>
        <w:tc>
          <w:tcPr>
            <w:tcW w:w="990" w:type="dxa"/>
            <w:tcBorders>
              <w:top w:val="doub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doub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double" w:sz="4" w:space="0" w:color="auto"/>
              <w:left w:val="single" w:sz="4" w:space="0" w:color="auto"/>
              <w:bottom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$2,016.3</w:t>
            </w:r>
          </w:p>
        </w:tc>
      </w:tr>
      <w:tr w:rsidR="00B135E1" w:rsidRPr="002D0A09" w:rsidTr="00E55DEE">
        <w:trPr>
          <w:jc w:val="center"/>
        </w:trPr>
        <w:tc>
          <w:tcPr>
            <w:tcW w:w="1230" w:type="dxa"/>
            <w:tcBorders>
              <w:top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GS14</w:t>
            </w:r>
          </w:p>
        </w:tc>
        <w:tc>
          <w:tcPr>
            <w:tcW w:w="1707"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78</w:t>
            </w:r>
          </w:p>
        </w:tc>
        <w:tc>
          <w:tcPr>
            <w:tcW w:w="1350"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sz w:val="22"/>
                <w:szCs w:val="22"/>
              </w:rPr>
              <w:t>$57.13/hr</w:t>
            </w:r>
          </w:p>
        </w:tc>
        <w:tc>
          <w:tcPr>
            <w:tcW w:w="1260"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$4,456.14</w:t>
            </w:r>
          </w:p>
        </w:tc>
        <w:tc>
          <w:tcPr>
            <w:tcW w:w="990"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single" w:sz="4" w:space="0" w:color="auto"/>
              <w:left w:val="single" w:sz="4" w:space="0" w:color="auto"/>
              <w:bottom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$4,456.14</w:t>
            </w:r>
          </w:p>
        </w:tc>
      </w:tr>
      <w:tr w:rsidR="00B135E1" w:rsidRPr="002D0A09" w:rsidTr="00E55DEE">
        <w:trPr>
          <w:jc w:val="center"/>
        </w:trPr>
        <w:tc>
          <w:tcPr>
            <w:tcW w:w="1230" w:type="dxa"/>
            <w:tcBorders>
              <w:top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GS12</w:t>
            </w:r>
          </w:p>
        </w:tc>
        <w:tc>
          <w:tcPr>
            <w:tcW w:w="1707"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160</w:t>
            </w:r>
          </w:p>
        </w:tc>
        <w:tc>
          <w:tcPr>
            <w:tcW w:w="1350"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sz w:val="22"/>
                <w:szCs w:val="22"/>
              </w:rPr>
              <w:t>$40.66/hr</w:t>
            </w:r>
          </w:p>
        </w:tc>
        <w:tc>
          <w:tcPr>
            <w:tcW w:w="1260"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$6,505.60</w:t>
            </w:r>
          </w:p>
        </w:tc>
        <w:tc>
          <w:tcPr>
            <w:tcW w:w="990"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single" w:sz="4" w:space="0" w:color="auto"/>
              <w:left w:val="single" w:sz="4" w:space="0" w:color="auto"/>
              <w:bottom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single" w:sz="4" w:space="0" w:color="auto"/>
              <w:left w:val="single" w:sz="4" w:space="0" w:color="auto"/>
              <w:bottom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$6,505.60</w:t>
            </w:r>
          </w:p>
        </w:tc>
      </w:tr>
      <w:tr w:rsidR="000813B1" w:rsidRPr="002D0A09" w:rsidTr="00E55DEE">
        <w:trPr>
          <w:jc w:val="center"/>
        </w:trPr>
        <w:tc>
          <w:tcPr>
            <w:tcW w:w="1230" w:type="dxa"/>
            <w:tcBorders>
              <w:top w:val="single" w:sz="4" w:space="0" w:color="auto"/>
              <w:right w:val="single" w:sz="4" w:space="0" w:color="auto"/>
            </w:tcBorders>
          </w:tcPr>
          <w:p w:rsidR="000813B1" w:rsidRPr="002D0A09" w:rsidRDefault="000813B1" w:rsidP="00425C31">
            <w:pPr>
              <w:widowControl/>
              <w:jc w:val="center"/>
              <w:rPr>
                <w:rFonts w:ascii="Times New Roman" w:hAnsi="Times New Roman"/>
                <w:color w:val="000000"/>
                <w:sz w:val="22"/>
                <w:szCs w:val="22"/>
              </w:rPr>
            </w:pPr>
          </w:p>
        </w:tc>
        <w:tc>
          <w:tcPr>
            <w:tcW w:w="1707" w:type="dxa"/>
            <w:tcBorders>
              <w:top w:val="single" w:sz="4" w:space="0" w:color="auto"/>
              <w:left w:val="single" w:sz="4" w:space="0" w:color="auto"/>
              <w:right w:val="single" w:sz="4" w:space="0" w:color="auto"/>
            </w:tcBorders>
          </w:tcPr>
          <w:p w:rsidR="000813B1" w:rsidRPr="002D0A09" w:rsidRDefault="000813B1" w:rsidP="00425C31">
            <w:pPr>
              <w:widowControl/>
              <w:jc w:val="center"/>
              <w:rPr>
                <w:rFonts w:ascii="Times New Roman" w:hAnsi="Times New Roman"/>
                <w:color w:val="000000"/>
                <w:sz w:val="22"/>
                <w:szCs w:val="22"/>
              </w:rPr>
            </w:pPr>
          </w:p>
        </w:tc>
        <w:tc>
          <w:tcPr>
            <w:tcW w:w="1350" w:type="dxa"/>
            <w:tcBorders>
              <w:top w:val="single" w:sz="4" w:space="0" w:color="auto"/>
              <w:left w:val="single" w:sz="4" w:space="0" w:color="auto"/>
              <w:right w:val="single" w:sz="4" w:space="0" w:color="auto"/>
            </w:tcBorders>
            <w:shd w:val="clear" w:color="auto" w:fill="D9D9D9"/>
          </w:tcPr>
          <w:p w:rsidR="000813B1" w:rsidRPr="002D0A09" w:rsidRDefault="000813B1" w:rsidP="00425C31">
            <w:pPr>
              <w:widowControl/>
              <w:jc w:val="center"/>
              <w:rPr>
                <w:rFonts w:ascii="Times New Roman" w:hAnsi="Times New Roman"/>
                <w:color w:val="000000"/>
                <w:sz w:val="22"/>
                <w:szCs w:val="22"/>
              </w:rPr>
            </w:pPr>
          </w:p>
        </w:tc>
        <w:tc>
          <w:tcPr>
            <w:tcW w:w="1260" w:type="dxa"/>
            <w:tcBorders>
              <w:top w:val="single" w:sz="4" w:space="0" w:color="auto"/>
              <w:left w:val="single" w:sz="4" w:space="0" w:color="auto"/>
              <w:right w:val="single" w:sz="4" w:space="0" w:color="auto"/>
            </w:tcBorders>
          </w:tcPr>
          <w:p w:rsidR="000813B1" w:rsidRPr="002D0A09" w:rsidRDefault="000813B1" w:rsidP="00425C31">
            <w:pPr>
              <w:widowControl/>
              <w:jc w:val="center"/>
              <w:rPr>
                <w:rFonts w:ascii="Times New Roman" w:hAnsi="Times New Roman"/>
                <w:color w:val="000000"/>
                <w:sz w:val="22"/>
                <w:szCs w:val="22"/>
              </w:rPr>
            </w:pPr>
          </w:p>
        </w:tc>
        <w:tc>
          <w:tcPr>
            <w:tcW w:w="990" w:type="dxa"/>
            <w:tcBorders>
              <w:top w:val="single" w:sz="4" w:space="0" w:color="auto"/>
              <w:left w:val="single" w:sz="4" w:space="0" w:color="auto"/>
              <w:right w:val="single" w:sz="4" w:space="0" w:color="auto"/>
            </w:tcBorders>
          </w:tcPr>
          <w:p w:rsidR="000813B1" w:rsidRPr="002D0A09" w:rsidRDefault="000813B1" w:rsidP="00425C31">
            <w:pPr>
              <w:widowControl/>
              <w:jc w:val="center"/>
              <w:rPr>
                <w:rFonts w:ascii="Times New Roman" w:hAnsi="Times New Roman"/>
                <w:color w:val="000000"/>
                <w:sz w:val="22"/>
                <w:szCs w:val="22"/>
              </w:rPr>
            </w:pPr>
          </w:p>
        </w:tc>
        <w:tc>
          <w:tcPr>
            <w:tcW w:w="925" w:type="dxa"/>
            <w:tcBorders>
              <w:top w:val="single" w:sz="4" w:space="0" w:color="auto"/>
              <w:left w:val="single" w:sz="4" w:space="0" w:color="auto"/>
              <w:right w:val="single" w:sz="4" w:space="0" w:color="auto"/>
            </w:tcBorders>
          </w:tcPr>
          <w:p w:rsidR="000813B1" w:rsidRPr="002D0A09" w:rsidRDefault="000813B1" w:rsidP="00425C31">
            <w:pPr>
              <w:widowControl/>
              <w:jc w:val="center"/>
              <w:rPr>
                <w:rFonts w:ascii="Times New Roman" w:hAnsi="Times New Roman"/>
                <w:color w:val="000000"/>
                <w:sz w:val="22"/>
                <w:szCs w:val="22"/>
              </w:rPr>
            </w:pPr>
          </w:p>
        </w:tc>
        <w:tc>
          <w:tcPr>
            <w:tcW w:w="1508" w:type="dxa"/>
            <w:tcBorders>
              <w:top w:val="single" w:sz="4" w:space="0" w:color="auto"/>
              <w:left w:val="single" w:sz="4" w:space="0" w:color="auto"/>
            </w:tcBorders>
          </w:tcPr>
          <w:p w:rsidR="000813B1" w:rsidRPr="002D0A09" w:rsidRDefault="000813B1" w:rsidP="00425C31">
            <w:pPr>
              <w:widowControl/>
              <w:jc w:val="center"/>
              <w:rPr>
                <w:rFonts w:ascii="Times New Roman" w:hAnsi="Times New Roman"/>
                <w:color w:val="000000"/>
                <w:sz w:val="22"/>
                <w:szCs w:val="22"/>
              </w:rPr>
            </w:pPr>
          </w:p>
        </w:tc>
      </w:tr>
      <w:tr w:rsidR="00B135E1" w:rsidRPr="002D0A09" w:rsidTr="00E55DEE">
        <w:trPr>
          <w:jc w:val="center"/>
        </w:trPr>
        <w:tc>
          <w:tcPr>
            <w:tcW w:w="1230" w:type="dxa"/>
            <w:tcBorders>
              <w:top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Total</w:t>
            </w:r>
          </w:p>
        </w:tc>
        <w:tc>
          <w:tcPr>
            <w:tcW w:w="1707" w:type="dxa"/>
            <w:tcBorders>
              <w:top w:val="single" w:sz="4" w:space="0" w:color="auto"/>
              <w:left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268</w:t>
            </w:r>
          </w:p>
        </w:tc>
        <w:tc>
          <w:tcPr>
            <w:tcW w:w="1350" w:type="dxa"/>
            <w:tcBorders>
              <w:top w:val="single" w:sz="4" w:space="0" w:color="auto"/>
              <w:left w:val="single" w:sz="4" w:space="0" w:color="auto"/>
              <w:right w:val="single" w:sz="4" w:space="0" w:color="auto"/>
            </w:tcBorders>
            <w:shd w:val="clear" w:color="auto" w:fill="D9D9D9"/>
          </w:tcPr>
          <w:p w:rsidR="00B135E1" w:rsidRPr="002D0A09" w:rsidRDefault="00B135E1" w:rsidP="00425C31">
            <w:pPr>
              <w:widowControl/>
              <w:jc w:val="center"/>
              <w:rPr>
                <w:rFonts w:ascii="Times New Roman" w:hAnsi="Times New Roman"/>
                <w:color w:val="000000"/>
                <w:sz w:val="22"/>
                <w:szCs w:val="22"/>
              </w:rPr>
            </w:pPr>
          </w:p>
        </w:tc>
        <w:tc>
          <w:tcPr>
            <w:tcW w:w="1260" w:type="dxa"/>
            <w:tcBorders>
              <w:top w:val="single" w:sz="4" w:space="0" w:color="auto"/>
              <w:left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$12,978.04</w:t>
            </w:r>
          </w:p>
        </w:tc>
        <w:tc>
          <w:tcPr>
            <w:tcW w:w="990" w:type="dxa"/>
            <w:tcBorders>
              <w:top w:val="single" w:sz="4" w:space="0" w:color="auto"/>
              <w:left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single" w:sz="4" w:space="0" w:color="auto"/>
              <w:left w:val="single" w:sz="4" w:space="0" w:color="auto"/>
              <w:righ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single" w:sz="4" w:space="0" w:color="auto"/>
              <w:left w:val="single" w:sz="4" w:space="0" w:color="auto"/>
            </w:tcBorders>
          </w:tcPr>
          <w:p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$12,978.04</w:t>
            </w:r>
          </w:p>
        </w:tc>
      </w:tr>
    </w:tbl>
    <w:p w:rsidR="004E7FC6" w:rsidRDefault="004E7FC6" w:rsidP="00425C31">
      <w:pPr>
        <w:widowControl/>
        <w:rPr>
          <w:rFonts w:ascii="Times New Roman" w:hAnsi="Times New Roman"/>
          <w:color w:val="000000"/>
          <w:sz w:val="20"/>
          <w:szCs w:val="20"/>
        </w:rPr>
      </w:pPr>
    </w:p>
    <w:p w:rsidR="000774A5" w:rsidRPr="00646E28" w:rsidRDefault="00B42074" w:rsidP="00425C31">
      <w:pPr>
        <w:widowControl/>
        <w:rPr>
          <w:rFonts w:ascii="Times New Roman" w:hAnsi="Times New Roman"/>
          <w:color w:val="000000"/>
          <w:sz w:val="22"/>
          <w:szCs w:val="22"/>
        </w:rPr>
      </w:pPr>
      <w:r w:rsidRPr="00646E28">
        <w:rPr>
          <w:rFonts w:ascii="Times New Roman" w:hAnsi="Times New Roman"/>
          <w:color w:val="000000"/>
          <w:sz w:val="22"/>
          <w:szCs w:val="22"/>
        </w:rPr>
        <w:t>Activities</w:t>
      </w:r>
      <w:r w:rsidR="004E7FC6" w:rsidRPr="00646E28">
        <w:rPr>
          <w:rFonts w:ascii="Times New Roman" w:hAnsi="Times New Roman"/>
          <w:color w:val="000000"/>
          <w:sz w:val="22"/>
          <w:szCs w:val="22"/>
        </w:rPr>
        <w:t xml:space="preserve"> include </w:t>
      </w:r>
      <w:r w:rsidR="004E7FC6" w:rsidRPr="00646E28">
        <w:rPr>
          <w:rFonts w:ascii="Times New Roman" w:hAnsi="Times New Roman"/>
          <w:sz w:val="22"/>
          <w:szCs w:val="22"/>
        </w:rPr>
        <w:t>Review/update survey instrument (not including the cost of renewing the ICR every three years, Maintaining a master informational data base, answering respondent questions, Review of submissions for accuracy and completeness, preparing a report from the data, Agency review and approval process, and distributing the report.</w:t>
      </w:r>
    </w:p>
    <w:p w:rsidR="002049F0" w:rsidRDefault="002049F0" w:rsidP="00766FCA">
      <w:pPr>
        <w:widowControl/>
        <w:spacing w:after="120"/>
        <w:rPr>
          <w:rFonts w:ascii="Times New Roman" w:hAnsi="Times New Roman"/>
          <w:color w:val="000000"/>
        </w:rPr>
      </w:pPr>
    </w:p>
    <w:p w:rsidR="002049F0" w:rsidRPr="002049F0" w:rsidRDefault="002049F0" w:rsidP="00425C31">
      <w:pPr>
        <w:widowControl/>
        <w:jc w:val="center"/>
        <w:rPr>
          <w:rFonts w:ascii="Times New Roman" w:hAnsi="Times New Roman"/>
          <w:color w:val="000000"/>
          <w:szCs w:val="22"/>
        </w:rPr>
      </w:pPr>
      <w:r w:rsidRPr="002049F0">
        <w:rPr>
          <w:rFonts w:ascii="Times New Roman" w:hAnsi="Times New Roman"/>
          <w:b/>
          <w:bCs/>
          <w:color w:val="000000"/>
          <w:szCs w:val="22"/>
        </w:rPr>
        <w:t>WORKSHEET 2B:  ANNUAL CONTRACTOR BURDEN/COST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tblGrid>
      <w:tr w:rsidR="00270ED2" w:rsidRPr="002D0A09" w:rsidTr="002D0A09">
        <w:trPr>
          <w:jc w:val="center"/>
        </w:trPr>
        <w:tc>
          <w:tcPr>
            <w:tcW w:w="1915" w:type="dxa"/>
            <w:tcBorders>
              <w:top w:val="double" w:sz="4" w:space="0" w:color="auto"/>
              <w:left w:val="double" w:sz="4" w:space="0" w:color="auto"/>
              <w:bottom w:val="double" w:sz="4" w:space="0" w:color="auto"/>
            </w:tcBorders>
          </w:tcPr>
          <w:p w:rsidR="00270ED2" w:rsidRPr="002D0A09" w:rsidRDefault="00270ED2" w:rsidP="00425C31">
            <w:pPr>
              <w:widowControl/>
              <w:jc w:val="center"/>
              <w:rPr>
                <w:rFonts w:ascii="Times New Roman" w:hAnsi="Times New Roman"/>
                <w:b/>
                <w:color w:val="000000"/>
                <w:szCs w:val="22"/>
              </w:rPr>
            </w:pPr>
            <w:r w:rsidRPr="002D0A09">
              <w:rPr>
                <w:rFonts w:ascii="Times New Roman" w:hAnsi="Times New Roman"/>
                <w:b/>
                <w:color w:val="000000"/>
                <w:szCs w:val="22"/>
              </w:rPr>
              <w:t>Professional Level</w:t>
            </w:r>
          </w:p>
        </w:tc>
        <w:tc>
          <w:tcPr>
            <w:tcW w:w="1915" w:type="dxa"/>
            <w:tcBorders>
              <w:top w:val="double" w:sz="4" w:space="0" w:color="auto"/>
              <w:bottom w:val="double" w:sz="4" w:space="0" w:color="auto"/>
            </w:tcBorders>
          </w:tcPr>
          <w:p w:rsidR="00270ED2" w:rsidRPr="002D0A09" w:rsidRDefault="00270ED2" w:rsidP="00425C31">
            <w:pPr>
              <w:widowControl/>
              <w:jc w:val="center"/>
              <w:rPr>
                <w:rFonts w:ascii="Times New Roman" w:hAnsi="Times New Roman"/>
                <w:b/>
                <w:color w:val="000000"/>
                <w:szCs w:val="22"/>
              </w:rPr>
            </w:pPr>
            <w:r w:rsidRPr="002D0A09">
              <w:rPr>
                <w:rFonts w:ascii="Times New Roman" w:hAnsi="Times New Roman"/>
                <w:b/>
                <w:color w:val="000000"/>
                <w:szCs w:val="22"/>
              </w:rPr>
              <w:t>Rate</w:t>
            </w:r>
          </w:p>
        </w:tc>
        <w:tc>
          <w:tcPr>
            <w:tcW w:w="1915" w:type="dxa"/>
            <w:tcBorders>
              <w:top w:val="double" w:sz="4" w:space="0" w:color="auto"/>
              <w:bottom w:val="double" w:sz="4" w:space="0" w:color="auto"/>
            </w:tcBorders>
          </w:tcPr>
          <w:p w:rsidR="00270ED2" w:rsidRPr="002D0A09" w:rsidRDefault="00270ED2" w:rsidP="00425C31">
            <w:pPr>
              <w:widowControl/>
              <w:jc w:val="center"/>
              <w:rPr>
                <w:rFonts w:ascii="Times New Roman" w:hAnsi="Times New Roman"/>
                <w:b/>
                <w:color w:val="000000"/>
                <w:szCs w:val="22"/>
              </w:rPr>
            </w:pPr>
            <w:r w:rsidRPr="002D0A09">
              <w:rPr>
                <w:rFonts w:ascii="Times New Roman" w:hAnsi="Times New Roman"/>
                <w:b/>
                <w:color w:val="000000"/>
                <w:szCs w:val="22"/>
              </w:rPr>
              <w:t>Hours per year</w:t>
            </w:r>
          </w:p>
        </w:tc>
        <w:tc>
          <w:tcPr>
            <w:tcW w:w="1915" w:type="dxa"/>
            <w:tcBorders>
              <w:top w:val="double" w:sz="4" w:space="0" w:color="auto"/>
              <w:bottom w:val="double" w:sz="4" w:space="0" w:color="auto"/>
              <w:right w:val="double" w:sz="4" w:space="0" w:color="auto"/>
            </w:tcBorders>
          </w:tcPr>
          <w:p w:rsidR="00270ED2" w:rsidRPr="002D0A09" w:rsidRDefault="00270ED2" w:rsidP="00425C31">
            <w:pPr>
              <w:widowControl/>
              <w:jc w:val="center"/>
              <w:rPr>
                <w:rFonts w:ascii="Times New Roman" w:hAnsi="Times New Roman"/>
                <w:b/>
                <w:color w:val="000000"/>
                <w:szCs w:val="22"/>
              </w:rPr>
            </w:pPr>
            <w:r w:rsidRPr="002D0A09">
              <w:rPr>
                <w:rFonts w:ascii="Times New Roman" w:hAnsi="Times New Roman"/>
                <w:b/>
                <w:color w:val="000000"/>
                <w:szCs w:val="22"/>
              </w:rPr>
              <w:t>Cost per year</w:t>
            </w:r>
          </w:p>
        </w:tc>
      </w:tr>
      <w:tr w:rsidR="00270ED2" w:rsidRPr="002D0A09" w:rsidTr="002D0A09">
        <w:trPr>
          <w:jc w:val="center"/>
        </w:trPr>
        <w:tc>
          <w:tcPr>
            <w:tcW w:w="1915" w:type="dxa"/>
            <w:tcBorders>
              <w:top w:val="double" w:sz="4" w:space="0" w:color="auto"/>
              <w:left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PL4</w:t>
            </w:r>
          </w:p>
        </w:tc>
        <w:tc>
          <w:tcPr>
            <w:tcW w:w="1915" w:type="dxa"/>
            <w:tcBorders>
              <w:top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$80.33</w:t>
            </w:r>
          </w:p>
        </w:tc>
        <w:tc>
          <w:tcPr>
            <w:tcW w:w="1915" w:type="dxa"/>
            <w:tcBorders>
              <w:top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72</w:t>
            </w:r>
          </w:p>
        </w:tc>
        <w:tc>
          <w:tcPr>
            <w:tcW w:w="1915" w:type="dxa"/>
            <w:tcBorders>
              <w:top w:val="double" w:sz="4" w:space="0" w:color="auto"/>
              <w:right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$5,783.76</w:t>
            </w:r>
          </w:p>
        </w:tc>
      </w:tr>
      <w:tr w:rsidR="00270ED2" w:rsidRPr="002D0A09" w:rsidTr="002D0A09">
        <w:trPr>
          <w:jc w:val="center"/>
        </w:trPr>
        <w:tc>
          <w:tcPr>
            <w:tcW w:w="1915" w:type="dxa"/>
            <w:tcBorders>
              <w:left w:val="double" w:sz="4" w:space="0" w:color="auto"/>
            </w:tcBorders>
          </w:tcPr>
          <w:p w:rsidR="00270ED2" w:rsidRPr="002D0A09" w:rsidRDefault="00270ED2" w:rsidP="001C6AFC">
            <w:pPr>
              <w:widowControl/>
              <w:jc w:val="center"/>
              <w:rPr>
                <w:rFonts w:ascii="Times New Roman" w:hAnsi="Times New Roman"/>
                <w:color w:val="000000"/>
                <w:szCs w:val="22"/>
              </w:rPr>
            </w:pPr>
            <w:r w:rsidRPr="002D0A09">
              <w:rPr>
                <w:rFonts w:ascii="Times New Roman" w:hAnsi="Times New Roman"/>
                <w:color w:val="000000"/>
                <w:szCs w:val="22"/>
              </w:rPr>
              <w:t>PL</w:t>
            </w:r>
            <w:r w:rsidR="001C6AFC">
              <w:rPr>
                <w:rFonts w:ascii="Times New Roman" w:hAnsi="Times New Roman"/>
                <w:color w:val="000000"/>
                <w:szCs w:val="22"/>
              </w:rPr>
              <w:t>2</w:t>
            </w:r>
          </w:p>
        </w:tc>
        <w:tc>
          <w:tcPr>
            <w:tcW w:w="1915" w:type="dxa"/>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$53.18</w:t>
            </w:r>
          </w:p>
        </w:tc>
        <w:tc>
          <w:tcPr>
            <w:tcW w:w="1915" w:type="dxa"/>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304</w:t>
            </w:r>
          </w:p>
        </w:tc>
        <w:tc>
          <w:tcPr>
            <w:tcW w:w="1915" w:type="dxa"/>
            <w:tcBorders>
              <w:right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$16,166.72</w:t>
            </w:r>
          </w:p>
        </w:tc>
      </w:tr>
      <w:tr w:rsidR="00270ED2" w:rsidRPr="002D0A09" w:rsidTr="002D0A09">
        <w:trPr>
          <w:jc w:val="center"/>
        </w:trPr>
        <w:tc>
          <w:tcPr>
            <w:tcW w:w="1915" w:type="dxa"/>
            <w:tcBorders>
              <w:left w:val="double" w:sz="4" w:space="0" w:color="auto"/>
              <w:bottom w:val="double" w:sz="4" w:space="0" w:color="auto"/>
              <w:right w:val="sing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Total</w:t>
            </w:r>
          </w:p>
        </w:tc>
        <w:tc>
          <w:tcPr>
            <w:tcW w:w="1915" w:type="dxa"/>
            <w:tcBorders>
              <w:left w:val="single" w:sz="4" w:space="0" w:color="auto"/>
              <w:bottom w:val="double" w:sz="4" w:space="0" w:color="auto"/>
            </w:tcBorders>
            <w:shd w:val="clear" w:color="auto" w:fill="D9D9D9"/>
          </w:tcPr>
          <w:p w:rsidR="00270ED2" w:rsidRPr="002D0A09" w:rsidRDefault="00270ED2" w:rsidP="00425C31">
            <w:pPr>
              <w:widowControl/>
              <w:jc w:val="center"/>
              <w:rPr>
                <w:rFonts w:ascii="Times New Roman" w:hAnsi="Times New Roman"/>
                <w:color w:val="000000"/>
                <w:szCs w:val="22"/>
              </w:rPr>
            </w:pPr>
          </w:p>
        </w:tc>
        <w:tc>
          <w:tcPr>
            <w:tcW w:w="1915" w:type="dxa"/>
            <w:tcBorders>
              <w:bottom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376</w:t>
            </w:r>
          </w:p>
        </w:tc>
        <w:tc>
          <w:tcPr>
            <w:tcW w:w="1915" w:type="dxa"/>
            <w:tcBorders>
              <w:bottom w:val="double" w:sz="4" w:space="0" w:color="auto"/>
              <w:right w:val="double" w:sz="4" w:space="0" w:color="auto"/>
            </w:tcBorders>
          </w:tcPr>
          <w:p w:rsidR="00270ED2" w:rsidRPr="002D0A09" w:rsidRDefault="00270ED2" w:rsidP="00425C31">
            <w:pPr>
              <w:widowControl/>
              <w:jc w:val="center"/>
              <w:rPr>
                <w:rFonts w:ascii="Times New Roman" w:hAnsi="Times New Roman"/>
                <w:color w:val="000000"/>
                <w:szCs w:val="22"/>
              </w:rPr>
            </w:pPr>
            <w:r w:rsidRPr="002D0A09">
              <w:rPr>
                <w:rFonts w:ascii="Times New Roman" w:hAnsi="Times New Roman"/>
                <w:color w:val="000000"/>
                <w:szCs w:val="22"/>
              </w:rPr>
              <w:t>$21,950.48</w:t>
            </w:r>
          </w:p>
        </w:tc>
      </w:tr>
    </w:tbl>
    <w:p w:rsidR="000813B1" w:rsidRDefault="000813B1" w:rsidP="00766FCA">
      <w:pPr>
        <w:widowControl/>
        <w:spacing w:after="120"/>
        <w:rPr>
          <w:rFonts w:ascii="Times New Roman" w:hAnsi="Times New Roman"/>
          <w:color w:val="000000"/>
          <w:szCs w:val="22"/>
        </w:rPr>
      </w:pPr>
    </w:p>
    <w:p w:rsidR="000813B1" w:rsidRDefault="00C548BE" w:rsidP="00425C31">
      <w:pPr>
        <w:widowControl/>
        <w:jc w:val="center"/>
        <w:rPr>
          <w:rFonts w:ascii="Times New Roman" w:hAnsi="Times New Roman"/>
          <w:b/>
          <w:color w:val="000000"/>
          <w:szCs w:val="22"/>
        </w:rPr>
      </w:pPr>
      <w:r w:rsidRPr="00C548BE">
        <w:rPr>
          <w:rFonts w:ascii="Times New Roman" w:hAnsi="Times New Roman"/>
          <w:b/>
          <w:color w:val="000000"/>
          <w:szCs w:val="22"/>
        </w:rPr>
        <w:t>WORKSHEET 3: COSTS OVER THE ENTIRE</w:t>
      </w:r>
      <w:r>
        <w:rPr>
          <w:rFonts w:ascii="Times New Roman" w:hAnsi="Times New Roman"/>
          <w:b/>
          <w:color w:val="000000"/>
          <w:szCs w:val="22"/>
        </w:rPr>
        <w:t xml:space="preserve"> </w:t>
      </w:r>
      <w:r w:rsidRPr="00C548BE">
        <w:rPr>
          <w:rFonts w:ascii="Times New Roman" w:hAnsi="Times New Roman"/>
          <w:b/>
          <w:color w:val="000000"/>
          <w:szCs w:val="22"/>
        </w:rPr>
        <w:t>PERIOD COVERED BY THE ICR</w:t>
      </w:r>
    </w:p>
    <w:tbl>
      <w:tblPr>
        <w:tblW w:w="6671" w:type="dxa"/>
        <w:jc w:val="center"/>
        <w:tblInd w:w="97" w:type="dxa"/>
        <w:tblLook w:val="04A0"/>
      </w:tblPr>
      <w:tblGrid>
        <w:gridCol w:w="1960"/>
        <w:gridCol w:w="2101"/>
        <w:gridCol w:w="2610"/>
      </w:tblGrid>
      <w:tr w:rsidR="00646E28" w:rsidRPr="00646E28" w:rsidTr="004714C6">
        <w:trPr>
          <w:trHeight w:val="288"/>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b/>
                <w:color w:val="000000"/>
                <w:sz w:val="22"/>
                <w:szCs w:val="22"/>
              </w:rPr>
            </w:pPr>
            <w:r w:rsidRPr="00646E28">
              <w:rPr>
                <w:rFonts w:ascii="Times New Roman" w:hAnsi="Times New Roman"/>
                <w:b/>
                <w:color w:val="000000"/>
                <w:sz w:val="22"/>
                <w:szCs w:val="22"/>
              </w:rPr>
              <w:t>Total Annual Costs</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b/>
                <w:color w:val="000000"/>
                <w:sz w:val="22"/>
                <w:szCs w:val="22"/>
              </w:rPr>
            </w:pPr>
            <w:r w:rsidRPr="00646E28">
              <w:rPr>
                <w:rFonts w:ascii="Times New Roman" w:hAnsi="Times New Roman"/>
                <w:b/>
                <w:color w:val="000000"/>
                <w:sz w:val="22"/>
                <w:szCs w:val="22"/>
              </w:rPr>
              <w:t>Costs over 3 years</w:t>
            </w:r>
          </w:p>
        </w:tc>
      </w:tr>
      <w:tr w:rsidR="00646E28" w:rsidRPr="00646E28"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Agency</w:t>
            </w:r>
          </w:p>
        </w:tc>
        <w:tc>
          <w:tcPr>
            <w:tcW w:w="2101" w:type="dxa"/>
            <w:tcBorders>
              <w:top w:val="nil"/>
              <w:left w:val="nil"/>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$12,978.04</w:t>
            </w:r>
          </w:p>
        </w:tc>
        <w:tc>
          <w:tcPr>
            <w:tcW w:w="2610" w:type="dxa"/>
            <w:tcBorders>
              <w:top w:val="nil"/>
              <w:left w:val="nil"/>
              <w:bottom w:val="single" w:sz="4" w:space="0" w:color="auto"/>
              <w:right w:val="single" w:sz="4" w:space="0" w:color="auto"/>
            </w:tcBorders>
            <w:shd w:val="clear" w:color="auto" w:fill="auto"/>
            <w:noWrap/>
            <w:vAlign w:val="bottom"/>
            <w:hideMark/>
          </w:tcPr>
          <w:p w:rsidR="00646E28" w:rsidRPr="00646E28" w:rsidRDefault="004714C6" w:rsidP="00425C31">
            <w:pPr>
              <w:widowControl/>
              <w:autoSpaceDE/>
              <w:autoSpaceDN/>
              <w:adjustRightInd/>
              <w:jc w:val="center"/>
              <w:rPr>
                <w:rFonts w:ascii="Times New Roman" w:hAnsi="Times New Roman"/>
                <w:color w:val="000000"/>
                <w:sz w:val="22"/>
                <w:szCs w:val="22"/>
              </w:rPr>
            </w:pPr>
            <w:r w:rsidRPr="004714C6">
              <w:rPr>
                <w:rFonts w:ascii="Times New Roman" w:hAnsi="Times New Roman"/>
                <w:color w:val="000000"/>
                <w:sz w:val="22"/>
                <w:szCs w:val="22"/>
              </w:rPr>
              <w:t>$</w:t>
            </w:r>
            <w:r w:rsidR="00646E28" w:rsidRPr="00646E28">
              <w:rPr>
                <w:rFonts w:ascii="Times New Roman" w:hAnsi="Times New Roman"/>
                <w:color w:val="000000"/>
                <w:sz w:val="22"/>
                <w:szCs w:val="22"/>
              </w:rPr>
              <w:t>38,934.12</w:t>
            </w:r>
          </w:p>
        </w:tc>
      </w:tr>
      <w:tr w:rsidR="00646E28" w:rsidRPr="00646E28"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Contractors</w:t>
            </w:r>
          </w:p>
        </w:tc>
        <w:tc>
          <w:tcPr>
            <w:tcW w:w="2101" w:type="dxa"/>
            <w:tcBorders>
              <w:top w:val="nil"/>
              <w:left w:val="nil"/>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$21,950.48</w:t>
            </w:r>
          </w:p>
        </w:tc>
        <w:tc>
          <w:tcPr>
            <w:tcW w:w="2610" w:type="dxa"/>
            <w:tcBorders>
              <w:top w:val="nil"/>
              <w:left w:val="nil"/>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$65,851.44</w:t>
            </w:r>
          </w:p>
        </w:tc>
      </w:tr>
      <w:tr w:rsidR="00646E28" w:rsidRPr="00646E28"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 xml:space="preserve">All </w:t>
            </w:r>
            <w:r w:rsidR="004B0042" w:rsidRPr="00646E28">
              <w:rPr>
                <w:rFonts w:ascii="Times New Roman" w:hAnsi="Times New Roman"/>
                <w:color w:val="000000"/>
                <w:sz w:val="22"/>
                <w:szCs w:val="22"/>
              </w:rPr>
              <w:t>respondents</w:t>
            </w:r>
          </w:p>
        </w:tc>
        <w:tc>
          <w:tcPr>
            <w:tcW w:w="2101" w:type="dxa"/>
            <w:tcBorders>
              <w:top w:val="nil"/>
              <w:left w:val="nil"/>
              <w:bottom w:val="single" w:sz="4" w:space="0" w:color="auto"/>
              <w:right w:val="single" w:sz="4" w:space="0" w:color="auto"/>
            </w:tcBorders>
            <w:shd w:val="clear" w:color="auto" w:fill="auto"/>
            <w:noWrap/>
            <w:vAlign w:val="bottom"/>
            <w:hideMark/>
          </w:tcPr>
          <w:p w:rsidR="00646E28" w:rsidRPr="00646E28" w:rsidRDefault="00646E28" w:rsidP="00B46D0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B46D0D">
              <w:rPr>
                <w:rFonts w:ascii="Times New Roman" w:hAnsi="Times New Roman"/>
                <w:color w:val="000000"/>
                <w:sz w:val="22"/>
                <w:szCs w:val="22"/>
              </w:rPr>
              <w:t>104,664.40</w:t>
            </w:r>
          </w:p>
        </w:tc>
        <w:tc>
          <w:tcPr>
            <w:tcW w:w="2610" w:type="dxa"/>
            <w:tcBorders>
              <w:top w:val="nil"/>
              <w:left w:val="nil"/>
              <w:bottom w:val="single" w:sz="4" w:space="0" w:color="auto"/>
              <w:right w:val="single" w:sz="4" w:space="0" w:color="auto"/>
            </w:tcBorders>
            <w:shd w:val="clear" w:color="auto" w:fill="auto"/>
            <w:noWrap/>
            <w:vAlign w:val="bottom"/>
            <w:hideMark/>
          </w:tcPr>
          <w:p w:rsidR="00646E28" w:rsidRPr="00646E28" w:rsidRDefault="00646E28" w:rsidP="00B46D0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B46D0D">
              <w:rPr>
                <w:rFonts w:ascii="Times New Roman" w:hAnsi="Times New Roman"/>
                <w:color w:val="000000"/>
                <w:sz w:val="22"/>
                <w:szCs w:val="22"/>
              </w:rPr>
              <w:t>313,993.2</w:t>
            </w:r>
          </w:p>
        </w:tc>
      </w:tr>
      <w:tr w:rsidR="00646E28" w:rsidRPr="00646E28"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TOTAL</w:t>
            </w:r>
          </w:p>
        </w:tc>
        <w:tc>
          <w:tcPr>
            <w:tcW w:w="2101" w:type="dxa"/>
            <w:tcBorders>
              <w:top w:val="nil"/>
              <w:left w:val="nil"/>
              <w:bottom w:val="single" w:sz="4" w:space="0" w:color="auto"/>
              <w:right w:val="single" w:sz="4" w:space="0" w:color="auto"/>
            </w:tcBorders>
            <w:shd w:val="clear" w:color="auto" w:fill="D9D9D9"/>
            <w:noWrap/>
            <w:vAlign w:val="bottom"/>
            <w:hideMark/>
          </w:tcPr>
          <w:p w:rsidR="00646E28" w:rsidRPr="00646E28" w:rsidRDefault="00646E28" w:rsidP="00425C31">
            <w:pPr>
              <w:widowControl/>
              <w:autoSpaceDE/>
              <w:autoSpaceDN/>
              <w:adjustRightInd/>
              <w:jc w:val="center"/>
              <w:rPr>
                <w:rFonts w:ascii="Times New Roman" w:hAnsi="Times New Roman"/>
                <w:color w:val="000000"/>
                <w:sz w:val="22"/>
                <w:szCs w:val="22"/>
              </w:rPr>
            </w:pPr>
          </w:p>
        </w:tc>
        <w:tc>
          <w:tcPr>
            <w:tcW w:w="2610" w:type="dxa"/>
            <w:tcBorders>
              <w:top w:val="nil"/>
              <w:left w:val="nil"/>
              <w:bottom w:val="single" w:sz="4" w:space="0" w:color="auto"/>
              <w:right w:val="single" w:sz="4" w:space="0" w:color="auto"/>
            </w:tcBorders>
            <w:shd w:val="clear" w:color="auto" w:fill="auto"/>
            <w:noWrap/>
            <w:vAlign w:val="bottom"/>
            <w:hideMark/>
          </w:tcPr>
          <w:p w:rsidR="00646E28" w:rsidRPr="00646E28" w:rsidRDefault="00646E28" w:rsidP="00B46D0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B46D0D">
              <w:rPr>
                <w:rFonts w:ascii="Times New Roman" w:hAnsi="Times New Roman"/>
                <w:color w:val="000000"/>
                <w:sz w:val="22"/>
                <w:szCs w:val="22"/>
              </w:rPr>
              <w:t>418,778.76</w:t>
            </w:r>
          </w:p>
        </w:tc>
      </w:tr>
    </w:tbl>
    <w:p w:rsidR="00646E28" w:rsidRPr="004714C6" w:rsidRDefault="00646E28" w:rsidP="00321CC2">
      <w:pPr>
        <w:widowControl/>
        <w:rPr>
          <w:rFonts w:ascii="Times New Roman" w:hAnsi="Times New Roman"/>
          <w:b/>
          <w:color w:val="000000"/>
          <w:szCs w:val="22"/>
        </w:rPr>
      </w:pPr>
    </w:p>
    <w:sectPr w:rsidR="00646E28" w:rsidRPr="004714C6" w:rsidSect="00233C4B">
      <w:footerReference w:type="default" r:id="rId10"/>
      <w:type w:val="continuous"/>
      <w:pgSz w:w="12240" w:h="15840"/>
      <w:pgMar w:top="1152" w:right="1152" w:bottom="1152" w:left="1152"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C9" w:rsidRDefault="00823BC9">
      <w:r>
        <w:separator/>
      </w:r>
    </w:p>
  </w:endnote>
  <w:endnote w:type="continuationSeparator" w:id="0">
    <w:p w:rsidR="00823BC9" w:rsidRDefault="00823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YNN">
    <w:altName w:val="Georgia"/>
    <w:charset w:val="00"/>
    <w:family w:val="auto"/>
    <w:pitch w:val="variable"/>
    <w:sig w:usb0="8000002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7F" w:rsidRDefault="00E067DA">
    <w:pPr>
      <w:pStyle w:val="Footer"/>
      <w:jc w:val="center"/>
    </w:pPr>
    <w:fldSimple w:instr=" PAGE   \* MERGEFORMAT ">
      <w:r w:rsidR="0029272A">
        <w:rPr>
          <w:noProof/>
        </w:rPr>
        <w:t>10</w:t>
      </w:r>
    </w:fldSimple>
  </w:p>
  <w:p w:rsidR="000774A5" w:rsidRDefault="000774A5" w:rsidP="006A6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C9" w:rsidRDefault="00823BC9">
      <w:r>
        <w:separator/>
      </w:r>
    </w:p>
  </w:footnote>
  <w:footnote w:type="continuationSeparator" w:id="0">
    <w:p w:rsidR="00823BC9" w:rsidRDefault="00823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7E8866"/>
    <w:lvl w:ilvl="0">
      <w:numFmt w:val="bullet"/>
      <w:lvlText w:val="*"/>
      <w:lvlJc w:val="left"/>
    </w:lvl>
  </w:abstractNum>
  <w:abstractNum w:abstractNumId="1">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393085"/>
    <w:multiLevelType w:val="hybridMultilevel"/>
    <w:tmpl w:val="5DB0B616"/>
    <w:lvl w:ilvl="0" w:tplc="5B22B108">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B437F"/>
    <w:multiLevelType w:val="hybridMultilevel"/>
    <w:tmpl w:val="5C9EA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D36DA"/>
    <w:multiLevelType w:val="hybridMultilevel"/>
    <w:tmpl w:val="F2D219A8"/>
    <w:lvl w:ilvl="0" w:tplc="2B9090D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8227F0"/>
    <w:multiLevelType w:val="hybridMultilevel"/>
    <w:tmpl w:val="A9849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EC685E"/>
    <w:multiLevelType w:val="hybridMultilevel"/>
    <w:tmpl w:val="3BB6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DB1970"/>
    <w:multiLevelType w:val="hybridMultilevel"/>
    <w:tmpl w:val="F176F76E"/>
    <w:lvl w:ilvl="0" w:tplc="A916534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DA622D"/>
    <w:multiLevelType w:val="hybridMultilevel"/>
    <w:tmpl w:val="5704A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0690C"/>
    <w:multiLevelType w:val="hybridMultilevel"/>
    <w:tmpl w:val="5DB0B616"/>
    <w:lvl w:ilvl="0" w:tplc="D1287C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942950"/>
    <w:multiLevelType w:val="hybridMultilevel"/>
    <w:tmpl w:val="26C262A6"/>
    <w:lvl w:ilvl="0" w:tplc="8062BF1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5A110E3"/>
    <w:multiLevelType w:val="hybridMultilevel"/>
    <w:tmpl w:val="1B4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57170"/>
    <w:multiLevelType w:val="hybridMultilevel"/>
    <w:tmpl w:val="3D3A32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547ABB"/>
    <w:multiLevelType w:val="hybridMultilevel"/>
    <w:tmpl w:val="B71E6D6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0022A"/>
    <w:multiLevelType w:val="hybridMultilevel"/>
    <w:tmpl w:val="7D3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772554"/>
    <w:multiLevelType w:val="hybridMultilevel"/>
    <w:tmpl w:val="1C264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5"/>
  </w:num>
  <w:num w:numId="3">
    <w:abstractNumId w:val="10"/>
  </w:num>
  <w:num w:numId="4">
    <w:abstractNumId w:val="3"/>
  </w:num>
  <w:num w:numId="5">
    <w:abstractNumId w:val="8"/>
  </w:num>
  <w:num w:numId="6">
    <w:abstractNumId w:val="6"/>
  </w:num>
  <w:num w:numId="7">
    <w:abstractNumId w:val="11"/>
  </w:num>
  <w:num w:numId="8">
    <w:abstractNumId w:val="14"/>
  </w:num>
  <w:num w:numId="9">
    <w:abstractNumId w:val="16"/>
  </w:num>
  <w:num w:numId="10">
    <w:abstractNumId w:val="4"/>
  </w:num>
  <w:num w:numId="11">
    <w:abstractNumId w:val="7"/>
  </w:num>
  <w:num w:numId="12">
    <w:abstractNumId w:val="12"/>
  </w:num>
  <w:num w:numId="13">
    <w:abstractNumId w:val="13"/>
  </w:num>
  <w:num w:numId="14">
    <w:abstractNumId w:val="9"/>
  </w:num>
  <w:num w:numId="1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27659"/>
    <w:rsid w:val="0000189E"/>
    <w:rsid w:val="00017AE3"/>
    <w:rsid w:val="000234FC"/>
    <w:rsid w:val="0005728C"/>
    <w:rsid w:val="000774A5"/>
    <w:rsid w:val="000813B1"/>
    <w:rsid w:val="000B5A82"/>
    <w:rsid w:val="000F235F"/>
    <w:rsid w:val="00126472"/>
    <w:rsid w:val="00162F5A"/>
    <w:rsid w:val="00173696"/>
    <w:rsid w:val="001742FD"/>
    <w:rsid w:val="0018662E"/>
    <w:rsid w:val="00193C23"/>
    <w:rsid w:val="001A7D8D"/>
    <w:rsid w:val="001C6AFC"/>
    <w:rsid w:val="001C6FDE"/>
    <w:rsid w:val="001D4CE1"/>
    <w:rsid w:val="002049F0"/>
    <w:rsid w:val="00205EB4"/>
    <w:rsid w:val="002152B8"/>
    <w:rsid w:val="00220E6A"/>
    <w:rsid w:val="00233C4B"/>
    <w:rsid w:val="00270C34"/>
    <w:rsid w:val="00270ED2"/>
    <w:rsid w:val="00271583"/>
    <w:rsid w:val="00284E65"/>
    <w:rsid w:val="00286C7D"/>
    <w:rsid w:val="0029272A"/>
    <w:rsid w:val="00295A92"/>
    <w:rsid w:val="002A51E3"/>
    <w:rsid w:val="002B5C85"/>
    <w:rsid w:val="002C4C04"/>
    <w:rsid w:val="002D0A09"/>
    <w:rsid w:val="002D33CE"/>
    <w:rsid w:val="002D7228"/>
    <w:rsid w:val="00304F6C"/>
    <w:rsid w:val="00321CC2"/>
    <w:rsid w:val="00326FA5"/>
    <w:rsid w:val="0033139D"/>
    <w:rsid w:val="0036076D"/>
    <w:rsid w:val="00367556"/>
    <w:rsid w:val="003A7A45"/>
    <w:rsid w:val="003B3102"/>
    <w:rsid w:val="003C60B9"/>
    <w:rsid w:val="003C7630"/>
    <w:rsid w:val="003E4F7D"/>
    <w:rsid w:val="00425C31"/>
    <w:rsid w:val="00427659"/>
    <w:rsid w:val="004714C6"/>
    <w:rsid w:val="0049686B"/>
    <w:rsid w:val="004B0042"/>
    <w:rsid w:val="004B04AB"/>
    <w:rsid w:val="004C2783"/>
    <w:rsid w:val="004C7510"/>
    <w:rsid w:val="004E7FC6"/>
    <w:rsid w:val="004F2E9C"/>
    <w:rsid w:val="0050454E"/>
    <w:rsid w:val="00505B6B"/>
    <w:rsid w:val="00567AC5"/>
    <w:rsid w:val="005930D4"/>
    <w:rsid w:val="005B52D9"/>
    <w:rsid w:val="005D6A69"/>
    <w:rsid w:val="005E4A50"/>
    <w:rsid w:val="00620DDA"/>
    <w:rsid w:val="00646E28"/>
    <w:rsid w:val="006719F2"/>
    <w:rsid w:val="006A24A5"/>
    <w:rsid w:val="006A6521"/>
    <w:rsid w:val="006B4AD4"/>
    <w:rsid w:val="006C6932"/>
    <w:rsid w:val="006D7495"/>
    <w:rsid w:val="006E3F6C"/>
    <w:rsid w:val="007268F5"/>
    <w:rsid w:val="00734605"/>
    <w:rsid w:val="00734D95"/>
    <w:rsid w:val="00755071"/>
    <w:rsid w:val="00766FCA"/>
    <w:rsid w:val="00782578"/>
    <w:rsid w:val="007F43E0"/>
    <w:rsid w:val="00804523"/>
    <w:rsid w:val="00823BC9"/>
    <w:rsid w:val="00842863"/>
    <w:rsid w:val="008620C9"/>
    <w:rsid w:val="008A0379"/>
    <w:rsid w:val="008A3838"/>
    <w:rsid w:val="008A639B"/>
    <w:rsid w:val="008A7A0D"/>
    <w:rsid w:val="008B1737"/>
    <w:rsid w:val="008B4D7F"/>
    <w:rsid w:val="008C3734"/>
    <w:rsid w:val="008F2653"/>
    <w:rsid w:val="00926D76"/>
    <w:rsid w:val="00931A79"/>
    <w:rsid w:val="00940B52"/>
    <w:rsid w:val="009510E1"/>
    <w:rsid w:val="00955E0B"/>
    <w:rsid w:val="00962DFB"/>
    <w:rsid w:val="00973B2E"/>
    <w:rsid w:val="00985FD2"/>
    <w:rsid w:val="009A550D"/>
    <w:rsid w:val="009C7653"/>
    <w:rsid w:val="009D40E1"/>
    <w:rsid w:val="009D4735"/>
    <w:rsid w:val="009F3C35"/>
    <w:rsid w:val="00A11DA3"/>
    <w:rsid w:val="00A22416"/>
    <w:rsid w:val="00A35DE2"/>
    <w:rsid w:val="00A46248"/>
    <w:rsid w:val="00A5550F"/>
    <w:rsid w:val="00A55A76"/>
    <w:rsid w:val="00A77D19"/>
    <w:rsid w:val="00A84616"/>
    <w:rsid w:val="00A86F78"/>
    <w:rsid w:val="00A9330E"/>
    <w:rsid w:val="00B135E1"/>
    <w:rsid w:val="00B2017D"/>
    <w:rsid w:val="00B2074F"/>
    <w:rsid w:val="00B31DF0"/>
    <w:rsid w:val="00B42074"/>
    <w:rsid w:val="00B43B4E"/>
    <w:rsid w:val="00B46D0D"/>
    <w:rsid w:val="00BA2725"/>
    <w:rsid w:val="00BC38BD"/>
    <w:rsid w:val="00BE2592"/>
    <w:rsid w:val="00BF0FE9"/>
    <w:rsid w:val="00BF30E4"/>
    <w:rsid w:val="00C3427D"/>
    <w:rsid w:val="00C548BE"/>
    <w:rsid w:val="00C62F3B"/>
    <w:rsid w:val="00C63791"/>
    <w:rsid w:val="00C71017"/>
    <w:rsid w:val="00C75356"/>
    <w:rsid w:val="00C836C4"/>
    <w:rsid w:val="00C95996"/>
    <w:rsid w:val="00CD73E8"/>
    <w:rsid w:val="00CF762A"/>
    <w:rsid w:val="00D02CFD"/>
    <w:rsid w:val="00D14620"/>
    <w:rsid w:val="00D15026"/>
    <w:rsid w:val="00D2583B"/>
    <w:rsid w:val="00D82B4C"/>
    <w:rsid w:val="00D91218"/>
    <w:rsid w:val="00DA0400"/>
    <w:rsid w:val="00DB116A"/>
    <w:rsid w:val="00DE278D"/>
    <w:rsid w:val="00DF0E74"/>
    <w:rsid w:val="00DF4D00"/>
    <w:rsid w:val="00E04F79"/>
    <w:rsid w:val="00E067DA"/>
    <w:rsid w:val="00E06FEB"/>
    <w:rsid w:val="00E15D7C"/>
    <w:rsid w:val="00E267BA"/>
    <w:rsid w:val="00E37A1B"/>
    <w:rsid w:val="00E51940"/>
    <w:rsid w:val="00E53462"/>
    <w:rsid w:val="00E55DEE"/>
    <w:rsid w:val="00E66BEC"/>
    <w:rsid w:val="00E778E5"/>
    <w:rsid w:val="00EA0C95"/>
    <w:rsid w:val="00EA3DDD"/>
    <w:rsid w:val="00EB5376"/>
    <w:rsid w:val="00EC5145"/>
    <w:rsid w:val="00EC59FA"/>
    <w:rsid w:val="00EE6744"/>
    <w:rsid w:val="00EF1DC4"/>
    <w:rsid w:val="00F20852"/>
    <w:rsid w:val="00F74867"/>
    <w:rsid w:val="00F94028"/>
    <w:rsid w:val="00FB7887"/>
    <w:rsid w:val="00FF5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5A"/>
    <w:pPr>
      <w:widowControl w:val="0"/>
      <w:autoSpaceDE w:val="0"/>
      <w:autoSpaceDN w:val="0"/>
      <w:adjustRightInd w:val="0"/>
    </w:pPr>
    <w:rPr>
      <w:rFonts w:ascii="LYNN" w:hAnsi="LYNN"/>
      <w:sz w:val="24"/>
      <w:szCs w:val="24"/>
    </w:rPr>
  </w:style>
  <w:style w:type="paragraph" w:styleId="Heading1">
    <w:name w:val="heading 1"/>
    <w:basedOn w:val="Normal"/>
    <w:next w:val="Normal"/>
    <w:qFormat/>
    <w:rsid w:val="00985FD2"/>
    <w:pPr>
      <w:keepNext/>
      <w:widowControl/>
      <w:autoSpaceDE/>
      <w:autoSpaceDN/>
      <w:adjustRightInd/>
      <w:outlineLvl w:val="0"/>
    </w:pPr>
    <w:rPr>
      <w:rFonts w:ascii="CG Times" w:hAnsi="CG Times"/>
      <w:b/>
      <w:szCs w:val="20"/>
    </w:rPr>
  </w:style>
  <w:style w:type="paragraph" w:styleId="Heading2">
    <w:name w:val="heading 2"/>
    <w:basedOn w:val="Normal"/>
    <w:next w:val="Normal"/>
    <w:qFormat/>
    <w:rsid w:val="00985FD2"/>
    <w:pPr>
      <w:keepNext/>
      <w:widowControl/>
      <w:autoSpaceDE/>
      <w:autoSpaceDN/>
      <w:adjustRightInd/>
      <w:spacing w:before="84" w:after="641"/>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62F5A"/>
  </w:style>
  <w:style w:type="paragraph" w:customStyle="1" w:styleId="Level1">
    <w:name w:val="Level 1"/>
    <w:basedOn w:val="Normal"/>
    <w:rsid w:val="00162F5A"/>
    <w:pPr>
      <w:ind w:left="1440" w:hanging="720"/>
    </w:pPr>
  </w:style>
  <w:style w:type="numbering" w:customStyle="1" w:styleId="NoList1">
    <w:name w:val="No List1"/>
    <w:next w:val="NoList"/>
    <w:semiHidden/>
    <w:rsid w:val="00985FD2"/>
  </w:style>
  <w:style w:type="paragraph" w:styleId="Header">
    <w:name w:val="header"/>
    <w:basedOn w:val="Normal"/>
    <w:rsid w:val="00985FD2"/>
    <w:pPr>
      <w:widowControl/>
      <w:tabs>
        <w:tab w:val="center" w:pos="4320"/>
        <w:tab w:val="right" w:pos="8640"/>
      </w:tabs>
      <w:autoSpaceDE/>
      <w:autoSpaceDN/>
      <w:adjustRightInd/>
    </w:pPr>
    <w:rPr>
      <w:rFonts w:ascii="Times New Roman" w:hAnsi="Times New Roman"/>
      <w:szCs w:val="20"/>
    </w:rPr>
  </w:style>
  <w:style w:type="character" w:customStyle="1" w:styleId="1">
    <w:name w:val="1"/>
    <w:rsid w:val="00985FD2"/>
  </w:style>
  <w:style w:type="paragraph" w:customStyle="1" w:styleId="a">
    <w:name w:val="آ"/>
    <w:basedOn w:val="Normal"/>
    <w:rsid w:val="00985FD2"/>
    <w:pPr>
      <w:autoSpaceDE/>
      <w:autoSpaceDN/>
      <w:adjustRightInd/>
    </w:pPr>
    <w:rPr>
      <w:rFonts w:ascii="Times New Roman" w:hAnsi="Times New Roman"/>
      <w:szCs w:val="20"/>
    </w:rPr>
  </w:style>
  <w:style w:type="paragraph" w:styleId="Footer">
    <w:name w:val="footer"/>
    <w:basedOn w:val="Normal"/>
    <w:link w:val="FooterChar"/>
    <w:uiPriority w:val="99"/>
    <w:rsid w:val="00985FD2"/>
    <w:pPr>
      <w:widowControl/>
      <w:tabs>
        <w:tab w:val="center" w:pos="4320"/>
        <w:tab w:val="right" w:pos="8640"/>
      </w:tabs>
      <w:autoSpaceDE/>
      <w:autoSpaceDN/>
      <w:adjustRightInd/>
    </w:pPr>
    <w:rPr>
      <w:rFonts w:ascii="Times New Roman" w:hAnsi="Times New Roman"/>
      <w:szCs w:val="20"/>
    </w:rPr>
  </w:style>
  <w:style w:type="character" w:styleId="Strong">
    <w:name w:val="Strong"/>
    <w:basedOn w:val="DefaultParagraphFont"/>
    <w:qFormat/>
    <w:rsid w:val="00985FD2"/>
    <w:rPr>
      <w:b/>
      <w:bCs/>
    </w:rPr>
  </w:style>
  <w:style w:type="character" w:styleId="Hyperlink">
    <w:name w:val="Hyperlink"/>
    <w:basedOn w:val="DefaultParagraphFont"/>
    <w:rsid w:val="00985FD2"/>
    <w:rPr>
      <w:color w:val="0000FF"/>
      <w:u w:val="single"/>
    </w:rPr>
  </w:style>
  <w:style w:type="character" w:styleId="FollowedHyperlink">
    <w:name w:val="FollowedHyperlink"/>
    <w:basedOn w:val="DefaultParagraphFont"/>
    <w:rsid w:val="00985FD2"/>
    <w:rPr>
      <w:color w:val="800080"/>
      <w:u w:val="single"/>
    </w:rPr>
  </w:style>
  <w:style w:type="table" w:styleId="TableGrid">
    <w:name w:val="Table Grid"/>
    <w:basedOn w:val="TableNormal"/>
    <w:uiPriority w:val="59"/>
    <w:rsid w:val="00985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5FD2"/>
    <w:pPr>
      <w:widowControl/>
      <w:autoSpaceDE/>
      <w:autoSpaceDN/>
      <w:adjustRightInd/>
    </w:pPr>
    <w:rPr>
      <w:rFonts w:ascii="Tahoma" w:hAnsi="Tahoma" w:cs="Tahoma"/>
      <w:sz w:val="16"/>
      <w:szCs w:val="16"/>
    </w:rPr>
  </w:style>
  <w:style w:type="character" w:styleId="CommentReference">
    <w:name w:val="annotation reference"/>
    <w:basedOn w:val="DefaultParagraphFont"/>
    <w:semiHidden/>
    <w:rsid w:val="00985FD2"/>
    <w:rPr>
      <w:sz w:val="16"/>
      <w:szCs w:val="16"/>
    </w:rPr>
  </w:style>
  <w:style w:type="paragraph" w:styleId="CommentText">
    <w:name w:val="annotation text"/>
    <w:basedOn w:val="Normal"/>
    <w:semiHidden/>
    <w:rsid w:val="00985FD2"/>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985FD2"/>
    <w:rPr>
      <w:b/>
      <w:bCs/>
    </w:rPr>
  </w:style>
  <w:style w:type="paragraph" w:styleId="Revision">
    <w:name w:val="Revision"/>
    <w:hidden/>
    <w:uiPriority w:val="99"/>
    <w:semiHidden/>
    <w:rsid w:val="00782578"/>
    <w:rPr>
      <w:rFonts w:ascii="LYNN" w:hAnsi="LYNN"/>
      <w:sz w:val="24"/>
      <w:szCs w:val="24"/>
    </w:rPr>
  </w:style>
  <w:style w:type="character" w:customStyle="1" w:styleId="FooterChar">
    <w:name w:val="Footer Char"/>
    <w:basedOn w:val="DefaultParagraphFont"/>
    <w:link w:val="Footer"/>
    <w:uiPriority w:val="99"/>
    <w:rsid w:val="008B4D7F"/>
    <w:rPr>
      <w:sz w:val="24"/>
    </w:rPr>
  </w:style>
  <w:style w:type="paragraph" w:styleId="Title">
    <w:name w:val="Title"/>
    <w:basedOn w:val="Normal"/>
    <w:next w:val="Normal"/>
    <w:link w:val="TitleChar"/>
    <w:uiPriority w:val="99"/>
    <w:qFormat/>
    <w:rsid w:val="002B5C85"/>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2B5C85"/>
    <w:rPr>
      <w:rFonts w:ascii="Cambria" w:hAnsi="Cambria"/>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1431550">
      <w:bodyDiv w:val="1"/>
      <w:marLeft w:val="0"/>
      <w:marRight w:val="0"/>
      <w:marTop w:val="0"/>
      <w:marBottom w:val="0"/>
      <w:divBdr>
        <w:top w:val="none" w:sz="0" w:space="0" w:color="auto"/>
        <w:left w:val="none" w:sz="0" w:space="0" w:color="auto"/>
        <w:bottom w:val="none" w:sz="0" w:space="0" w:color="auto"/>
        <w:right w:val="none" w:sz="0" w:space="0" w:color="auto"/>
      </w:divBdr>
    </w:div>
    <w:div w:id="425809399">
      <w:bodyDiv w:val="1"/>
      <w:marLeft w:val="0"/>
      <w:marRight w:val="0"/>
      <w:marTop w:val="0"/>
      <w:marBottom w:val="0"/>
      <w:divBdr>
        <w:top w:val="none" w:sz="0" w:space="0" w:color="auto"/>
        <w:left w:val="none" w:sz="0" w:space="0" w:color="auto"/>
        <w:bottom w:val="none" w:sz="0" w:space="0" w:color="auto"/>
        <w:right w:val="none" w:sz="0" w:space="0" w:color="auto"/>
      </w:divBdr>
    </w:div>
    <w:div w:id="575018567">
      <w:bodyDiv w:val="1"/>
      <w:marLeft w:val="0"/>
      <w:marRight w:val="0"/>
      <w:marTop w:val="0"/>
      <w:marBottom w:val="0"/>
      <w:divBdr>
        <w:top w:val="none" w:sz="0" w:space="0" w:color="auto"/>
        <w:left w:val="none" w:sz="0" w:space="0" w:color="auto"/>
        <w:bottom w:val="none" w:sz="0" w:space="0" w:color="auto"/>
        <w:right w:val="none" w:sz="0" w:space="0" w:color="auto"/>
      </w:divBdr>
    </w:div>
    <w:div w:id="646513384">
      <w:bodyDiv w:val="1"/>
      <w:marLeft w:val="0"/>
      <w:marRight w:val="0"/>
      <w:marTop w:val="0"/>
      <w:marBottom w:val="0"/>
      <w:divBdr>
        <w:top w:val="none" w:sz="0" w:space="0" w:color="auto"/>
        <w:left w:val="none" w:sz="0" w:space="0" w:color="auto"/>
        <w:bottom w:val="none" w:sz="0" w:space="0" w:color="auto"/>
        <w:right w:val="none" w:sz="0" w:space="0" w:color="auto"/>
      </w:divBdr>
    </w:div>
    <w:div w:id="692459418">
      <w:bodyDiv w:val="1"/>
      <w:marLeft w:val="0"/>
      <w:marRight w:val="0"/>
      <w:marTop w:val="0"/>
      <w:marBottom w:val="0"/>
      <w:divBdr>
        <w:top w:val="none" w:sz="0" w:space="0" w:color="auto"/>
        <w:left w:val="none" w:sz="0" w:space="0" w:color="auto"/>
        <w:bottom w:val="none" w:sz="0" w:space="0" w:color="auto"/>
        <w:right w:val="none" w:sz="0" w:space="0" w:color="auto"/>
      </w:divBdr>
    </w:div>
    <w:div w:id="842552871">
      <w:bodyDiv w:val="1"/>
      <w:marLeft w:val="0"/>
      <w:marRight w:val="0"/>
      <w:marTop w:val="0"/>
      <w:marBottom w:val="0"/>
      <w:divBdr>
        <w:top w:val="none" w:sz="0" w:space="0" w:color="auto"/>
        <w:left w:val="none" w:sz="0" w:space="0" w:color="auto"/>
        <w:bottom w:val="none" w:sz="0" w:space="0" w:color="auto"/>
        <w:right w:val="none" w:sz="0" w:space="0" w:color="auto"/>
      </w:divBdr>
    </w:div>
    <w:div w:id="1044863054">
      <w:bodyDiv w:val="1"/>
      <w:marLeft w:val="0"/>
      <w:marRight w:val="0"/>
      <w:marTop w:val="0"/>
      <w:marBottom w:val="0"/>
      <w:divBdr>
        <w:top w:val="none" w:sz="0" w:space="0" w:color="auto"/>
        <w:left w:val="none" w:sz="0" w:space="0" w:color="auto"/>
        <w:bottom w:val="none" w:sz="0" w:space="0" w:color="auto"/>
        <w:right w:val="none" w:sz="0" w:space="0" w:color="auto"/>
      </w:divBdr>
    </w:div>
    <w:div w:id="1157188701">
      <w:bodyDiv w:val="1"/>
      <w:marLeft w:val="0"/>
      <w:marRight w:val="0"/>
      <w:marTop w:val="0"/>
      <w:marBottom w:val="0"/>
      <w:divBdr>
        <w:top w:val="none" w:sz="0" w:space="0" w:color="auto"/>
        <w:left w:val="none" w:sz="0" w:space="0" w:color="auto"/>
        <w:bottom w:val="none" w:sz="0" w:space="0" w:color="auto"/>
        <w:right w:val="none" w:sz="0" w:space="0" w:color="auto"/>
      </w:divBdr>
    </w:div>
    <w:div w:id="1371342990">
      <w:bodyDiv w:val="1"/>
      <w:marLeft w:val="0"/>
      <w:marRight w:val="0"/>
      <w:marTop w:val="0"/>
      <w:marBottom w:val="0"/>
      <w:divBdr>
        <w:top w:val="none" w:sz="0" w:space="0" w:color="auto"/>
        <w:left w:val="none" w:sz="0" w:space="0" w:color="auto"/>
        <w:bottom w:val="none" w:sz="0" w:space="0" w:color="auto"/>
        <w:right w:val="none" w:sz="0" w:space="0" w:color="auto"/>
      </w:divBdr>
    </w:div>
    <w:div w:id="1526551117">
      <w:bodyDiv w:val="1"/>
      <w:marLeft w:val="0"/>
      <w:marRight w:val="0"/>
      <w:marTop w:val="0"/>
      <w:marBottom w:val="0"/>
      <w:divBdr>
        <w:top w:val="none" w:sz="0" w:space="0" w:color="auto"/>
        <w:left w:val="none" w:sz="0" w:space="0" w:color="auto"/>
        <w:bottom w:val="none" w:sz="0" w:space="0" w:color="auto"/>
        <w:right w:val="none" w:sz="0" w:space="0" w:color="auto"/>
      </w:divBdr>
    </w:div>
    <w:div w:id="1567840831">
      <w:bodyDiv w:val="1"/>
      <w:marLeft w:val="0"/>
      <w:marRight w:val="0"/>
      <w:marTop w:val="0"/>
      <w:marBottom w:val="0"/>
      <w:divBdr>
        <w:top w:val="none" w:sz="0" w:space="0" w:color="auto"/>
        <w:left w:val="none" w:sz="0" w:space="0" w:color="auto"/>
        <w:bottom w:val="none" w:sz="0" w:space="0" w:color="auto"/>
        <w:right w:val="none" w:sz="0" w:space="0" w:color="auto"/>
      </w:divBdr>
    </w:div>
    <w:div w:id="2076928250">
      <w:bodyDiv w:val="1"/>
      <w:marLeft w:val="0"/>
      <w:marRight w:val="0"/>
      <w:marTop w:val="0"/>
      <w:marBottom w:val="0"/>
      <w:divBdr>
        <w:top w:val="none" w:sz="0" w:space="0" w:color="auto"/>
        <w:left w:val="none" w:sz="0" w:space="0" w:color="auto"/>
        <w:bottom w:val="none" w:sz="0" w:space="0" w:color="auto"/>
        <w:right w:val="none" w:sz="0" w:space="0" w:color="auto"/>
      </w:divBdr>
    </w:div>
    <w:div w:id="2113352914">
      <w:bodyDiv w:val="1"/>
      <w:marLeft w:val="0"/>
      <w:marRight w:val="0"/>
      <w:marTop w:val="0"/>
      <w:marBottom w:val="0"/>
      <w:divBdr>
        <w:top w:val="none" w:sz="0" w:space="0" w:color="auto"/>
        <w:left w:val="none" w:sz="0" w:space="0" w:color="auto"/>
        <w:bottom w:val="none" w:sz="0" w:space="0" w:color="auto"/>
        <w:right w:val="none" w:sz="0" w:space="0" w:color="auto"/>
      </w:divBdr>
    </w:div>
    <w:div w:id="21364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bls.gov/cgi-bin/print.pl/news.release/ecec.t0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C3BE-AD17-48C5-B75F-C9ED891A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25575</CharactersWithSpaces>
  <SharedDoc>false</SharedDoc>
  <HLinks>
    <vt:vector size="6" baseType="variant">
      <vt:variant>
        <vt:i4>7012469</vt:i4>
      </vt:variant>
      <vt:variant>
        <vt:i4>0</vt:i4>
      </vt:variant>
      <vt:variant>
        <vt:i4>0</vt:i4>
      </vt:variant>
      <vt:variant>
        <vt:i4>5</vt:i4>
      </vt:variant>
      <vt:variant>
        <vt:lpwstr>http://data.bls.gov/cgi-bin/print.pl/news.release/ecec.t04.htm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Tiffin Shewmake</dc:creator>
  <cp:keywords/>
  <cp:lastModifiedBy>JUMBERGE</cp:lastModifiedBy>
  <cp:revision>5</cp:revision>
  <cp:lastPrinted>2012-03-12T20:12:00Z</cp:lastPrinted>
  <dcterms:created xsi:type="dcterms:W3CDTF">2012-03-14T16:44:00Z</dcterms:created>
  <dcterms:modified xsi:type="dcterms:W3CDTF">2012-03-14T17:02:00Z</dcterms:modified>
</cp:coreProperties>
</file>