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rsidP="00915162">
      <w:pPr>
        <w:jc w:val="center"/>
        <w:rPr>
          <w:b/>
          <w:bCs/>
          <w:sz w:val="52"/>
        </w:rPr>
      </w:pPr>
      <w:r w:rsidRPr="00583461">
        <w:rPr>
          <w:b/>
          <w:bCs/>
          <w:sz w:val="52"/>
        </w:rPr>
        <w:t>SUPPORTING STATEMENT FOR THE</w:t>
      </w:r>
    </w:p>
    <w:p w:rsidR="0001347C" w:rsidRPr="00583461" w:rsidRDefault="007C7CC1" w:rsidP="00915162">
      <w:pPr>
        <w:jc w:val="center"/>
        <w:rPr>
          <w:b/>
          <w:bCs/>
          <w:sz w:val="52"/>
        </w:rPr>
      </w:pPr>
      <w:r w:rsidRPr="00583461">
        <w:rPr>
          <w:b/>
          <w:bCs/>
          <w:sz w:val="52"/>
        </w:rPr>
        <w:t>“</w:t>
      </w:r>
      <w:r w:rsidR="00180740" w:rsidRPr="00583461">
        <w:rPr>
          <w:b/>
          <w:bCs/>
          <w:sz w:val="52"/>
        </w:rPr>
        <w:t>Q</w:t>
      </w:r>
      <w:r w:rsidR="009D1026" w:rsidRPr="00583461">
        <w:rPr>
          <w:b/>
          <w:bCs/>
          <w:sz w:val="52"/>
        </w:rPr>
        <w:t>UARTERLY</w:t>
      </w:r>
      <w:r w:rsidRPr="00583461">
        <w:rPr>
          <w:b/>
          <w:bCs/>
          <w:sz w:val="52"/>
        </w:rPr>
        <w:t xml:space="preserve"> ELECTRIC</w:t>
      </w:r>
      <w:r w:rsidR="008F547F" w:rsidRPr="00583461">
        <w:rPr>
          <w:b/>
          <w:bCs/>
          <w:sz w:val="52"/>
        </w:rPr>
        <w:t>ITY</w:t>
      </w:r>
      <w:r w:rsidRPr="00583461">
        <w:rPr>
          <w:b/>
          <w:bCs/>
          <w:sz w:val="52"/>
        </w:rPr>
        <w:t xml:space="preserve"> IMPORT</w:t>
      </w:r>
      <w:r w:rsidR="00180740" w:rsidRPr="00583461">
        <w:rPr>
          <w:b/>
          <w:bCs/>
          <w:sz w:val="52"/>
        </w:rPr>
        <w:t>S</w:t>
      </w:r>
      <w:r w:rsidRPr="00583461">
        <w:rPr>
          <w:b/>
          <w:bCs/>
          <w:sz w:val="52"/>
        </w:rPr>
        <w:t xml:space="preserve"> AND EXPORT</w:t>
      </w:r>
      <w:r w:rsidR="001D0EE6">
        <w:rPr>
          <w:b/>
          <w:bCs/>
          <w:sz w:val="52"/>
        </w:rPr>
        <w:t>S REPORT</w:t>
      </w:r>
      <w:r w:rsidRPr="00583461">
        <w:rPr>
          <w:b/>
          <w:bCs/>
          <w:sz w:val="52"/>
        </w:rPr>
        <w:t xml:space="preserve">” </w:t>
      </w:r>
    </w:p>
    <w:p w:rsidR="0001347C" w:rsidRPr="00583461" w:rsidRDefault="0001347C" w:rsidP="00915162">
      <w:pPr>
        <w:jc w:val="center"/>
        <w:rPr>
          <w:b/>
          <w:bCs/>
          <w:sz w:val="48"/>
        </w:rPr>
      </w:pPr>
      <w:bookmarkStart w:id="0" w:name="_Toc524334480"/>
      <w:r w:rsidRPr="00583461">
        <w:rPr>
          <w:b/>
          <w:bCs/>
          <w:sz w:val="48"/>
        </w:rPr>
        <w:t xml:space="preserve">OMB NUMBER </w:t>
      </w:r>
      <w:bookmarkEnd w:id="0"/>
      <w:r w:rsidR="004561FA" w:rsidRPr="00583461">
        <w:rPr>
          <w:b/>
          <w:bCs/>
          <w:sz w:val="48"/>
        </w:rPr>
        <w:t>190</w:t>
      </w:r>
      <w:r w:rsidR="00324C51" w:rsidRPr="00583461">
        <w:rPr>
          <w:b/>
          <w:bCs/>
          <w:sz w:val="48"/>
        </w:rPr>
        <w:t>5</w:t>
      </w:r>
      <w:r w:rsidR="004561FA" w:rsidRPr="00583461">
        <w:rPr>
          <w:b/>
          <w:bCs/>
          <w:sz w:val="48"/>
        </w:rPr>
        <w:t>-</w:t>
      </w:r>
      <w:r w:rsidR="00180740" w:rsidRPr="00583461">
        <w:rPr>
          <w:b/>
          <w:bCs/>
          <w:sz w:val="48"/>
        </w:rPr>
        <w:t>NEW</w:t>
      </w:r>
    </w:p>
    <w:p w:rsidR="0001347C" w:rsidRPr="00583461" w:rsidRDefault="0001347C" w:rsidP="00915162">
      <w:pPr>
        <w:pStyle w:val="Title"/>
      </w:pPr>
    </w:p>
    <w:p w:rsidR="0001347C" w:rsidRPr="00583461" w:rsidRDefault="0001347C" w:rsidP="00915162">
      <w:pPr>
        <w:pStyle w:val="Title"/>
      </w:pPr>
    </w:p>
    <w:p w:rsidR="0001347C" w:rsidRPr="00583461" w:rsidRDefault="0001347C" w:rsidP="00915162">
      <w:pPr>
        <w:pStyle w:val="Title"/>
      </w:pPr>
    </w:p>
    <w:p w:rsidR="0001347C" w:rsidRPr="00583461" w:rsidRDefault="0001347C" w:rsidP="00915162">
      <w:pPr>
        <w:pStyle w:val="Title"/>
      </w:pPr>
    </w:p>
    <w:p w:rsidR="00A67FBE" w:rsidRDefault="00A67FBE" w:rsidP="00915162">
      <w:pPr>
        <w:pStyle w:val="Title"/>
        <w:ind w:firstLine="720"/>
        <w:rPr>
          <w:sz w:val="32"/>
        </w:rPr>
      </w:pPr>
    </w:p>
    <w:p w:rsidR="00A67FBE" w:rsidRPr="00583461" w:rsidRDefault="00A67FBE" w:rsidP="00915162">
      <w:pPr>
        <w:pStyle w:val="Title"/>
        <w:ind w:firstLine="720"/>
        <w:rPr>
          <w:sz w:val="32"/>
        </w:rPr>
      </w:pPr>
      <w:r>
        <w:rPr>
          <w:sz w:val="32"/>
        </w:rPr>
        <w:t>Ju</w:t>
      </w:r>
      <w:r w:rsidR="00026153">
        <w:rPr>
          <w:sz w:val="32"/>
        </w:rPr>
        <w:t>ly</w:t>
      </w:r>
      <w:r>
        <w:rPr>
          <w:sz w:val="32"/>
        </w:rPr>
        <w:t xml:space="preserve"> 2012</w:t>
      </w:r>
    </w:p>
    <w:p w:rsidR="0001347C" w:rsidRPr="00583461" w:rsidRDefault="0001347C">
      <w:pPr>
        <w:pStyle w:val="Title"/>
        <w:rPr>
          <w:sz w:val="32"/>
        </w:rPr>
      </w:pPr>
    </w:p>
    <w:p w:rsidR="0001347C" w:rsidRPr="00583461" w:rsidRDefault="0001347C">
      <w:pPr>
        <w:pStyle w:val="Title"/>
        <w:rPr>
          <w:sz w:val="32"/>
        </w:rPr>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1347C">
      <w:pPr>
        <w:pStyle w:val="Title"/>
      </w:pPr>
    </w:p>
    <w:p w:rsidR="0001347C" w:rsidRPr="00583461" w:rsidRDefault="000575F5">
      <w:pPr>
        <w:pStyle w:val="Title"/>
        <w:rPr>
          <w:sz w:val="28"/>
        </w:rPr>
      </w:pPr>
      <w:r w:rsidRPr="00583461">
        <w:rPr>
          <w:sz w:val="28"/>
        </w:rPr>
        <w:t>Office of Electricity</w:t>
      </w:r>
      <w:r w:rsidR="00180740" w:rsidRPr="00583461">
        <w:rPr>
          <w:sz w:val="28"/>
        </w:rPr>
        <w:t>, Renewables and Uranium Statistics</w:t>
      </w:r>
    </w:p>
    <w:p w:rsidR="0001347C" w:rsidRPr="00583461" w:rsidRDefault="0001347C">
      <w:pPr>
        <w:pStyle w:val="Title"/>
        <w:rPr>
          <w:sz w:val="28"/>
        </w:rPr>
      </w:pPr>
      <w:r w:rsidRPr="00583461">
        <w:rPr>
          <w:sz w:val="28"/>
        </w:rPr>
        <w:t>U.S. Department of Energy</w:t>
      </w:r>
    </w:p>
    <w:p w:rsidR="004A4CDD" w:rsidRPr="00583461" w:rsidRDefault="0001347C">
      <w:pPr>
        <w:pStyle w:val="Title"/>
      </w:pPr>
      <w:r w:rsidRPr="00583461">
        <w:rPr>
          <w:sz w:val="28"/>
        </w:rPr>
        <w:t>Washington, DC  20585</w:t>
      </w:r>
    </w:p>
    <w:p w:rsidR="0001347C" w:rsidRPr="00583461" w:rsidRDefault="004A4CDD" w:rsidP="004A4CDD">
      <w:pPr>
        <w:pStyle w:val="Title"/>
        <w:rPr>
          <w:sz w:val="36"/>
        </w:rPr>
      </w:pPr>
      <w:r w:rsidRPr="00583461">
        <w:br w:type="page"/>
      </w:r>
      <w:r w:rsidR="0001347C" w:rsidRPr="00583461">
        <w:rPr>
          <w:sz w:val="36"/>
        </w:rPr>
        <w:lastRenderedPageBreak/>
        <w:t>Contents</w:t>
      </w:r>
    </w:p>
    <w:p w:rsidR="009065CF" w:rsidRDefault="003D3A79" w:rsidP="009065CF">
      <w:pPr>
        <w:pStyle w:val="TOC2"/>
        <w:ind w:left="0"/>
        <w:rPr>
          <w:rFonts w:asciiTheme="minorHAnsi" w:eastAsiaTheme="minorEastAsia" w:hAnsiTheme="minorHAnsi" w:cstheme="minorBidi"/>
          <w:sz w:val="22"/>
          <w:szCs w:val="22"/>
        </w:rPr>
      </w:pPr>
      <w:r w:rsidRPr="00583461">
        <w:rPr>
          <w:noProof w:val="0"/>
        </w:rPr>
        <w:fldChar w:fldCharType="begin"/>
      </w:r>
      <w:r w:rsidR="0001347C" w:rsidRPr="00583461">
        <w:rPr>
          <w:noProof w:val="0"/>
        </w:rPr>
        <w:instrText xml:space="preserve"> TOC \o "1-3" \h \z </w:instrText>
      </w:r>
      <w:r w:rsidRPr="00583461">
        <w:rPr>
          <w:noProof w:val="0"/>
        </w:rPr>
        <w:fldChar w:fldCharType="separate"/>
      </w:r>
      <w:hyperlink w:anchor="_Toc318697068" w:history="1">
        <w:r w:rsidR="009065CF" w:rsidRPr="008A5D76">
          <w:rPr>
            <w:rStyle w:val="Hyperlink"/>
          </w:rPr>
          <w:t>Background and Purpose</w:t>
        </w:r>
        <w:r w:rsidR="009065CF">
          <w:rPr>
            <w:webHidden/>
          </w:rPr>
          <w:tab/>
        </w:r>
        <w:r>
          <w:rPr>
            <w:webHidden/>
          </w:rPr>
          <w:fldChar w:fldCharType="begin"/>
        </w:r>
        <w:r w:rsidR="009065CF">
          <w:rPr>
            <w:webHidden/>
          </w:rPr>
          <w:instrText xml:space="preserve"> PAGEREF _Toc318697068 \h </w:instrText>
        </w:r>
        <w:r>
          <w:rPr>
            <w:webHidden/>
          </w:rPr>
        </w:r>
        <w:r>
          <w:rPr>
            <w:webHidden/>
          </w:rPr>
          <w:fldChar w:fldCharType="separate"/>
        </w:r>
        <w:r w:rsidR="00B56605">
          <w:rPr>
            <w:webHidden/>
          </w:rPr>
          <w:t>3</w:t>
        </w:r>
        <w:r>
          <w:rPr>
            <w:webHidden/>
          </w:rPr>
          <w:fldChar w:fldCharType="end"/>
        </w:r>
      </w:hyperlink>
    </w:p>
    <w:p w:rsidR="009065CF" w:rsidRDefault="003D3A79" w:rsidP="009065CF">
      <w:pPr>
        <w:pStyle w:val="TOC2"/>
        <w:ind w:left="0"/>
        <w:rPr>
          <w:rFonts w:asciiTheme="minorHAnsi" w:eastAsiaTheme="minorEastAsia" w:hAnsiTheme="minorHAnsi" w:cstheme="minorBidi"/>
          <w:sz w:val="22"/>
          <w:szCs w:val="22"/>
        </w:rPr>
      </w:pPr>
      <w:hyperlink w:anchor="_Toc318697069" w:history="1">
        <w:r w:rsidR="009065CF" w:rsidRPr="008A5D76">
          <w:rPr>
            <w:rStyle w:val="Hyperlink"/>
          </w:rPr>
          <w:t>EIA Proposal</w:t>
        </w:r>
        <w:r w:rsidR="009065CF">
          <w:rPr>
            <w:webHidden/>
          </w:rPr>
          <w:tab/>
        </w:r>
        <w:r>
          <w:rPr>
            <w:webHidden/>
          </w:rPr>
          <w:fldChar w:fldCharType="begin"/>
        </w:r>
        <w:r w:rsidR="009065CF">
          <w:rPr>
            <w:webHidden/>
          </w:rPr>
          <w:instrText xml:space="preserve"> PAGEREF _Toc318697069 \h </w:instrText>
        </w:r>
        <w:r>
          <w:rPr>
            <w:webHidden/>
          </w:rPr>
        </w:r>
        <w:r>
          <w:rPr>
            <w:webHidden/>
          </w:rPr>
          <w:fldChar w:fldCharType="separate"/>
        </w:r>
        <w:r w:rsidR="00B56605">
          <w:rPr>
            <w:webHidden/>
          </w:rPr>
          <w:t>4</w:t>
        </w:r>
        <w:r>
          <w:rPr>
            <w:webHidden/>
          </w:rPr>
          <w:fldChar w:fldCharType="end"/>
        </w:r>
      </w:hyperlink>
    </w:p>
    <w:p w:rsidR="009065CF" w:rsidRDefault="003D3A79" w:rsidP="009065CF">
      <w:pPr>
        <w:pStyle w:val="TOC2"/>
        <w:ind w:left="0"/>
        <w:rPr>
          <w:rFonts w:asciiTheme="minorHAnsi" w:eastAsiaTheme="minorEastAsia" w:hAnsiTheme="minorHAnsi" w:cstheme="minorBidi"/>
          <w:sz w:val="22"/>
          <w:szCs w:val="22"/>
        </w:rPr>
      </w:pPr>
      <w:hyperlink w:anchor="_Toc318697071" w:history="1">
        <w:r w:rsidR="009065CF" w:rsidRPr="008A5D76">
          <w:rPr>
            <w:rStyle w:val="Hyperlink"/>
          </w:rPr>
          <w:t>A.  Justification</w:t>
        </w:r>
        <w:r w:rsidR="009065CF">
          <w:rPr>
            <w:webHidden/>
          </w:rPr>
          <w:tab/>
        </w:r>
        <w:r>
          <w:rPr>
            <w:webHidden/>
          </w:rPr>
          <w:fldChar w:fldCharType="begin"/>
        </w:r>
        <w:r w:rsidR="009065CF">
          <w:rPr>
            <w:webHidden/>
          </w:rPr>
          <w:instrText xml:space="preserve"> PAGEREF _Toc318697071 \h </w:instrText>
        </w:r>
        <w:r>
          <w:rPr>
            <w:webHidden/>
          </w:rPr>
        </w:r>
        <w:r>
          <w:rPr>
            <w:webHidden/>
          </w:rPr>
          <w:fldChar w:fldCharType="separate"/>
        </w:r>
        <w:r w:rsidR="00B56605">
          <w:rPr>
            <w:webHidden/>
          </w:rPr>
          <w:t>7</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72" w:history="1">
        <w:r w:rsidR="009065CF" w:rsidRPr="008A5D76">
          <w:rPr>
            <w:rStyle w:val="Hyperlink"/>
          </w:rPr>
          <w:t>A.1. Legal Justification</w:t>
        </w:r>
        <w:r w:rsidR="009065CF">
          <w:rPr>
            <w:webHidden/>
          </w:rPr>
          <w:tab/>
        </w:r>
        <w:r>
          <w:rPr>
            <w:webHidden/>
          </w:rPr>
          <w:fldChar w:fldCharType="begin"/>
        </w:r>
        <w:r w:rsidR="009065CF">
          <w:rPr>
            <w:webHidden/>
          </w:rPr>
          <w:instrText xml:space="preserve"> PAGEREF _Toc318697072 \h </w:instrText>
        </w:r>
        <w:r>
          <w:rPr>
            <w:webHidden/>
          </w:rPr>
        </w:r>
        <w:r>
          <w:rPr>
            <w:webHidden/>
          </w:rPr>
          <w:fldChar w:fldCharType="separate"/>
        </w:r>
        <w:r w:rsidR="00B56605">
          <w:rPr>
            <w:webHidden/>
          </w:rPr>
          <w:t>7</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73" w:history="1">
        <w:r w:rsidR="009065CF" w:rsidRPr="008A5D76">
          <w:rPr>
            <w:rStyle w:val="Hyperlink"/>
          </w:rPr>
          <w:t>A.2. Needs and Uses of Data</w:t>
        </w:r>
        <w:r w:rsidR="009065CF">
          <w:rPr>
            <w:webHidden/>
          </w:rPr>
          <w:tab/>
        </w:r>
        <w:r>
          <w:rPr>
            <w:webHidden/>
          </w:rPr>
          <w:fldChar w:fldCharType="begin"/>
        </w:r>
        <w:r w:rsidR="009065CF">
          <w:rPr>
            <w:webHidden/>
          </w:rPr>
          <w:instrText xml:space="preserve"> PAGEREF _Toc318697073 \h </w:instrText>
        </w:r>
        <w:r>
          <w:rPr>
            <w:webHidden/>
          </w:rPr>
        </w:r>
        <w:r>
          <w:rPr>
            <w:webHidden/>
          </w:rPr>
          <w:fldChar w:fldCharType="separate"/>
        </w:r>
        <w:r w:rsidR="00B56605">
          <w:rPr>
            <w:webHidden/>
          </w:rPr>
          <w:t>8</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74" w:history="1">
        <w:r w:rsidR="009065CF" w:rsidRPr="008A5D76">
          <w:rPr>
            <w:rStyle w:val="Hyperlink"/>
          </w:rPr>
          <w:t>A.3. Use of Technology</w:t>
        </w:r>
        <w:r w:rsidR="009065CF">
          <w:rPr>
            <w:webHidden/>
          </w:rPr>
          <w:tab/>
        </w:r>
        <w:r>
          <w:rPr>
            <w:webHidden/>
          </w:rPr>
          <w:fldChar w:fldCharType="begin"/>
        </w:r>
        <w:r w:rsidR="009065CF">
          <w:rPr>
            <w:webHidden/>
          </w:rPr>
          <w:instrText xml:space="preserve"> PAGEREF _Toc318697074 \h </w:instrText>
        </w:r>
        <w:r>
          <w:rPr>
            <w:webHidden/>
          </w:rPr>
        </w:r>
        <w:r>
          <w:rPr>
            <w:webHidden/>
          </w:rPr>
          <w:fldChar w:fldCharType="separate"/>
        </w:r>
        <w:r w:rsidR="00B56605">
          <w:rPr>
            <w:webHidden/>
          </w:rPr>
          <w:t>10</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75" w:history="1">
        <w:r w:rsidR="009065CF" w:rsidRPr="008A5D76">
          <w:rPr>
            <w:rStyle w:val="Hyperlink"/>
          </w:rPr>
          <w:t>A.4. Efforts to Reduce Duplication</w:t>
        </w:r>
        <w:r w:rsidR="009065CF">
          <w:rPr>
            <w:webHidden/>
          </w:rPr>
          <w:tab/>
        </w:r>
        <w:r>
          <w:rPr>
            <w:webHidden/>
          </w:rPr>
          <w:fldChar w:fldCharType="begin"/>
        </w:r>
        <w:r w:rsidR="009065CF">
          <w:rPr>
            <w:webHidden/>
          </w:rPr>
          <w:instrText xml:space="preserve"> PAGEREF _Toc318697075 \h </w:instrText>
        </w:r>
        <w:r>
          <w:rPr>
            <w:webHidden/>
          </w:rPr>
        </w:r>
        <w:r>
          <w:rPr>
            <w:webHidden/>
          </w:rPr>
          <w:fldChar w:fldCharType="separate"/>
        </w:r>
        <w:r w:rsidR="00B56605">
          <w:rPr>
            <w:webHidden/>
          </w:rPr>
          <w:t>12</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77" w:history="1">
        <w:r w:rsidR="009065CF" w:rsidRPr="008A5D76">
          <w:rPr>
            <w:rStyle w:val="Hyperlink"/>
            <w:rFonts w:cs="Arial"/>
          </w:rPr>
          <w:t>A.5. Provisions for Reducing Burden on Small Businesses</w:t>
        </w:r>
        <w:r w:rsidR="009065CF">
          <w:rPr>
            <w:webHidden/>
          </w:rPr>
          <w:tab/>
        </w:r>
        <w:r>
          <w:rPr>
            <w:webHidden/>
          </w:rPr>
          <w:fldChar w:fldCharType="begin"/>
        </w:r>
        <w:r w:rsidR="009065CF">
          <w:rPr>
            <w:webHidden/>
          </w:rPr>
          <w:instrText xml:space="preserve"> PAGEREF _Toc318697077 \h </w:instrText>
        </w:r>
        <w:r>
          <w:rPr>
            <w:webHidden/>
          </w:rPr>
        </w:r>
        <w:r>
          <w:rPr>
            <w:webHidden/>
          </w:rPr>
          <w:fldChar w:fldCharType="separate"/>
        </w:r>
        <w:r w:rsidR="00B56605">
          <w:rPr>
            <w:webHidden/>
          </w:rPr>
          <w:t>12</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78" w:history="1">
        <w:r w:rsidR="009065CF" w:rsidRPr="008A5D76">
          <w:rPr>
            <w:rStyle w:val="Hyperlink"/>
          </w:rPr>
          <w:t>A.6. Consequences of Less-Frequent Reporting</w:t>
        </w:r>
        <w:r w:rsidR="009065CF">
          <w:rPr>
            <w:webHidden/>
          </w:rPr>
          <w:tab/>
        </w:r>
        <w:r>
          <w:rPr>
            <w:webHidden/>
          </w:rPr>
          <w:fldChar w:fldCharType="begin"/>
        </w:r>
        <w:r w:rsidR="009065CF">
          <w:rPr>
            <w:webHidden/>
          </w:rPr>
          <w:instrText xml:space="preserve"> PAGEREF _Toc318697078 \h </w:instrText>
        </w:r>
        <w:r>
          <w:rPr>
            <w:webHidden/>
          </w:rPr>
        </w:r>
        <w:r>
          <w:rPr>
            <w:webHidden/>
          </w:rPr>
          <w:fldChar w:fldCharType="separate"/>
        </w:r>
        <w:r w:rsidR="00B56605">
          <w:rPr>
            <w:webHidden/>
          </w:rPr>
          <w:t>12</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79" w:history="1">
        <w:r w:rsidR="009065CF" w:rsidRPr="008A5D76">
          <w:rPr>
            <w:rStyle w:val="Hyperlink"/>
          </w:rPr>
          <w:t>A.7. Compliance with 5 CFR 1320.5</w:t>
        </w:r>
        <w:r w:rsidR="009065CF">
          <w:rPr>
            <w:webHidden/>
          </w:rPr>
          <w:tab/>
        </w:r>
        <w:r>
          <w:rPr>
            <w:webHidden/>
          </w:rPr>
          <w:fldChar w:fldCharType="begin"/>
        </w:r>
        <w:r w:rsidR="009065CF">
          <w:rPr>
            <w:webHidden/>
          </w:rPr>
          <w:instrText xml:space="preserve"> PAGEREF _Toc318697079 \h </w:instrText>
        </w:r>
        <w:r>
          <w:rPr>
            <w:webHidden/>
          </w:rPr>
        </w:r>
        <w:r>
          <w:rPr>
            <w:webHidden/>
          </w:rPr>
          <w:fldChar w:fldCharType="separate"/>
        </w:r>
        <w:r w:rsidR="00B56605">
          <w:rPr>
            <w:webHidden/>
          </w:rPr>
          <w:t>13</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80" w:history="1">
        <w:r w:rsidR="009065CF" w:rsidRPr="008A5D76">
          <w:rPr>
            <w:rStyle w:val="Hyperlink"/>
          </w:rPr>
          <w:t>A.8. Summary of Consultations outside the Agency</w:t>
        </w:r>
        <w:r w:rsidR="009065CF">
          <w:rPr>
            <w:webHidden/>
          </w:rPr>
          <w:tab/>
        </w:r>
        <w:r>
          <w:rPr>
            <w:webHidden/>
          </w:rPr>
          <w:fldChar w:fldCharType="begin"/>
        </w:r>
        <w:r w:rsidR="009065CF">
          <w:rPr>
            <w:webHidden/>
          </w:rPr>
          <w:instrText xml:space="preserve"> PAGEREF _Toc318697080 \h </w:instrText>
        </w:r>
        <w:r>
          <w:rPr>
            <w:webHidden/>
          </w:rPr>
        </w:r>
        <w:r>
          <w:rPr>
            <w:webHidden/>
          </w:rPr>
          <w:fldChar w:fldCharType="separate"/>
        </w:r>
        <w:r w:rsidR="00B56605">
          <w:rPr>
            <w:webHidden/>
          </w:rPr>
          <w:t>13</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81" w:history="1">
        <w:r w:rsidR="009065CF" w:rsidRPr="008A5D76">
          <w:rPr>
            <w:rStyle w:val="Hyperlink"/>
          </w:rPr>
          <w:t>A.9. Payments or Gifts to Respondents</w:t>
        </w:r>
        <w:r w:rsidR="009065CF">
          <w:rPr>
            <w:webHidden/>
          </w:rPr>
          <w:tab/>
        </w:r>
        <w:r>
          <w:rPr>
            <w:webHidden/>
          </w:rPr>
          <w:fldChar w:fldCharType="begin"/>
        </w:r>
        <w:r w:rsidR="009065CF">
          <w:rPr>
            <w:webHidden/>
          </w:rPr>
          <w:instrText xml:space="preserve"> PAGEREF _Toc318697081 \h </w:instrText>
        </w:r>
        <w:r>
          <w:rPr>
            <w:webHidden/>
          </w:rPr>
        </w:r>
        <w:r>
          <w:rPr>
            <w:webHidden/>
          </w:rPr>
          <w:fldChar w:fldCharType="separate"/>
        </w:r>
        <w:r w:rsidR="00B56605">
          <w:rPr>
            <w:webHidden/>
          </w:rPr>
          <w:t>13</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82" w:history="1">
        <w:r w:rsidR="009065CF" w:rsidRPr="008A5D76">
          <w:rPr>
            <w:rStyle w:val="Hyperlink"/>
          </w:rPr>
          <w:t>A.10. Provisions for Confidentiality of Information</w:t>
        </w:r>
        <w:r w:rsidR="009065CF">
          <w:rPr>
            <w:webHidden/>
          </w:rPr>
          <w:tab/>
        </w:r>
        <w:r>
          <w:rPr>
            <w:webHidden/>
          </w:rPr>
          <w:fldChar w:fldCharType="begin"/>
        </w:r>
        <w:r w:rsidR="009065CF">
          <w:rPr>
            <w:webHidden/>
          </w:rPr>
          <w:instrText xml:space="preserve"> PAGEREF _Toc318697082 \h </w:instrText>
        </w:r>
        <w:r>
          <w:rPr>
            <w:webHidden/>
          </w:rPr>
        </w:r>
        <w:r>
          <w:rPr>
            <w:webHidden/>
          </w:rPr>
          <w:fldChar w:fldCharType="separate"/>
        </w:r>
        <w:r w:rsidR="00B56605">
          <w:rPr>
            <w:webHidden/>
          </w:rPr>
          <w:t>13</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83" w:history="1">
        <w:r w:rsidR="009065CF" w:rsidRPr="008A5D76">
          <w:rPr>
            <w:rStyle w:val="Hyperlink"/>
          </w:rPr>
          <w:t>A.11. Justification for Sensitive Questions</w:t>
        </w:r>
        <w:r w:rsidR="009065CF">
          <w:rPr>
            <w:webHidden/>
          </w:rPr>
          <w:tab/>
        </w:r>
        <w:r>
          <w:rPr>
            <w:webHidden/>
          </w:rPr>
          <w:fldChar w:fldCharType="begin"/>
        </w:r>
        <w:r w:rsidR="009065CF">
          <w:rPr>
            <w:webHidden/>
          </w:rPr>
          <w:instrText xml:space="preserve"> PAGEREF _Toc318697083 \h </w:instrText>
        </w:r>
        <w:r>
          <w:rPr>
            <w:webHidden/>
          </w:rPr>
        </w:r>
        <w:r>
          <w:rPr>
            <w:webHidden/>
          </w:rPr>
          <w:fldChar w:fldCharType="separate"/>
        </w:r>
        <w:r w:rsidR="00B56605">
          <w:rPr>
            <w:webHidden/>
          </w:rPr>
          <w:t>14</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84" w:history="1">
        <w:r w:rsidR="009065CF" w:rsidRPr="008A5D76">
          <w:rPr>
            <w:rStyle w:val="Hyperlink"/>
          </w:rPr>
          <w:t>A.12. Estimate of Respondent Burden Hours and Cost</w:t>
        </w:r>
        <w:r w:rsidR="009065CF">
          <w:rPr>
            <w:webHidden/>
          </w:rPr>
          <w:tab/>
        </w:r>
        <w:r>
          <w:rPr>
            <w:webHidden/>
          </w:rPr>
          <w:fldChar w:fldCharType="begin"/>
        </w:r>
        <w:r w:rsidR="009065CF">
          <w:rPr>
            <w:webHidden/>
          </w:rPr>
          <w:instrText xml:space="preserve"> PAGEREF _Toc318697084 \h </w:instrText>
        </w:r>
        <w:r>
          <w:rPr>
            <w:webHidden/>
          </w:rPr>
        </w:r>
        <w:r>
          <w:rPr>
            <w:webHidden/>
          </w:rPr>
          <w:fldChar w:fldCharType="separate"/>
        </w:r>
        <w:r w:rsidR="00B56605">
          <w:rPr>
            <w:webHidden/>
          </w:rPr>
          <w:t>14</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85" w:history="1">
        <w:r w:rsidR="009065CF" w:rsidRPr="008A5D76">
          <w:rPr>
            <w:rStyle w:val="Hyperlink"/>
          </w:rPr>
          <w:t>A.13. Annual Reporting and Record Keeping Cost</w:t>
        </w:r>
        <w:r w:rsidR="009065CF">
          <w:rPr>
            <w:webHidden/>
          </w:rPr>
          <w:tab/>
        </w:r>
        <w:r>
          <w:rPr>
            <w:webHidden/>
          </w:rPr>
          <w:fldChar w:fldCharType="begin"/>
        </w:r>
        <w:r w:rsidR="009065CF">
          <w:rPr>
            <w:webHidden/>
          </w:rPr>
          <w:instrText xml:space="preserve"> PAGEREF _Toc318697085 \h </w:instrText>
        </w:r>
        <w:r>
          <w:rPr>
            <w:webHidden/>
          </w:rPr>
        </w:r>
        <w:r>
          <w:rPr>
            <w:webHidden/>
          </w:rPr>
          <w:fldChar w:fldCharType="separate"/>
        </w:r>
        <w:r w:rsidR="00B56605">
          <w:rPr>
            <w:webHidden/>
          </w:rPr>
          <w:t>14</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86" w:history="1">
        <w:r w:rsidR="009065CF" w:rsidRPr="008A5D76">
          <w:rPr>
            <w:rStyle w:val="Hyperlink"/>
          </w:rPr>
          <w:t>A.14. Annual Cost to the Federal Government</w:t>
        </w:r>
        <w:r w:rsidR="009065CF">
          <w:rPr>
            <w:webHidden/>
          </w:rPr>
          <w:tab/>
        </w:r>
        <w:r>
          <w:rPr>
            <w:webHidden/>
          </w:rPr>
          <w:fldChar w:fldCharType="begin"/>
        </w:r>
        <w:r w:rsidR="009065CF">
          <w:rPr>
            <w:webHidden/>
          </w:rPr>
          <w:instrText xml:space="preserve"> PAGEREF _Toc318697086 \h </w:instrText>
        </w:r>
        <w:r>
          <w:rPr>
            <w:webHidden/>
          </w:rPr>
        </w:r>
        <w:r>
          <w:rPr>
            <w:webHidden/>
          </w:rPr>
          <w:fldChar w:fldCharType="separate"/>
        </w:r>
        <w:r w:rsidR="00B56605">
          <w:rPr>
            <w:webHidden/>
          </w:rPr>
          <w:t>15</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87" w:history="1">
        <w:r w:rsidR="009065CF" w:rsidRPr="008A5D76">
          <w:rPr>
            <w:rStyle w:val="Hyperlink"/>
          </w:rPr>
          <w:t>A.15. Changes in Burden</w:t>
        </w:r>
        <w:r w:rsidR="009065CF">
          <w:rPr>
            <w:webHidden/>
          </w:rPr>
          <w:tab/>
        </w:r>
        <w:r>
          <w:rPr>
            <w:webHidden/>
          </w:rPr>
          <w:fldChar w:fldCharType="begin"/>
        </w:r>
        <w:r w:rsidR="009065CF">
          <w:rPr>
            <w:webHidden/>
          </w:rPr>
          <w:instrText xml:space="preserve"> PAGEREF _Toc318697087 \h </w:instrText>
        </w:r>
        <w:r>
          <w:rPr>
            <w:webHidden/>
          </w:rPr>
        </w:r>
        <w:r>
          <w:rPr>
            <w:webHidden/>
          </w:rPr>
          <w:fldChar w:fldCharType="separate"/>
        </w:r>
        <w:r w:rsidR="00B56605">
          <w:rPr>
            <w:webHidden/>
          </w:rPr>
          <w:t>15</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88" w:history="1">
        <w:r w:rsidR="009065CF" w:rsidRPr="008A5D76">
          <w:rPr>
            <w:rStyle w:val="Hyperlink"/>
          </w:rPr>
          <w:t>A.16. Collection, Tabulation, and Publication Plans</w:t>
        </w:r>
        <w:r w:rsidR="009065CF">
          <w:rPr>
            <w:webHidden/>
          </w:rPr>
          <w:tab/>
        </w:r>
        <w:r>
          <w:rPr>
            <w:webHidden/>
          </w:rPr>
          <w:fldChar w:fldCharType="begin"/>
        </w:r>
        <w:r w:rsidR="009065CF">
          <w:rPr>
            <w:webHidden/>
          </w:rPr>
          <w:instrText xml:space="preserve"> PAGEREF _Toc318697088 \h </w:instrText>
        </w:r>
        <w:r>
          <w:rPr>
            <w:webHidden/>
          </w:rPr>
        </w:r>
        <w:r>
          <w:rPr>
            <w:webHidden/>
          </w:rPr>
          <w:fldChar w:fldCharType="separate"/>
        </w:r>
        <w:r w:rsidR="00B56605">
          <w:rPr>
            <w:webHidden/>
          </w:rPr>
          <w:t>15</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89" w:history="1">
        <w:r w:rsidR="009065CF" w:rsidRPr="008A5D76">
          <w:rPr>
            <w:rStyle w:val="Hyperlink"/>
          </w:rPr>
          <w:t>A.17. OMB Number and Expiration Date</w:t>
        </w:r>
        <w:r w:rsidR="009065CF">
          <w:rPr>
            <w:webHidden/>
          </w:rPr>
          <w:tab/>
        </w:r>
        <w:r>
          <w:rPr>
            <w:webHidden/>
          </w:rPr>
          <w:fldChar w:fldCharType="begin"/>
        </w:r>
        <w:r w:rsidR="009065CF">
          <w:rPr>
            <w:webHidden/>
          </w:rPr>
          <w:instrText xml:space="preserve"> PAGEREF _Toc318697089 \h </w:instrText>
        </w:r>
        <w:r>
          <w:rPr>
            <w:webHidden/>
          </w:rPr>
        </w:r>
        <w:r>
          <w:rPr>
            <w:webHidden/>
          </w:rPr>
          <w:fldChar w:fldCharType="separate"/>
        </w:r>
        <w:r w:rsidR="00B56605">
          <w:rPr>
            <w:webHidden/>
          </w:rPr>
          <w:t>16</w:t>
        </w:r>
        <w:r>
          <w:rPr>
            <w:webHidden/>
          </w:rPr>
          <w:fldChar w:fldCharType="end"/>
        </w:r>
      </w:hyperlink>
    </w:p>
    <w:p w:rsidR="009065CF" w:rsidRDefault="003D3A79">
      <w:pPr>
        <w:pStyle w:val="TOC3"/>
        <w:rPr>
          <w:rFonts w:asciiTheme="minorHAnsi" w:eastAsiaTheme="minorEastAsia" w:hAnsiTheme="minorHAnsi" w:cstheme="minorBidi"/>
          <w:sz w:val="22"/>
          <w:szCs w:val="22"/>
        </w:rPr>
      </w:pPr>
      <w:hyperlink w:anchor="_Toc318697090" w:history="1">
        <w:r w:rsidR="009065CF" w:rsidRPr="008A5D76">
          <w:rPr>
            <w:rStyle w:val="Hyperlink"/>
          </w:rPr>
          <w:t>A.18. Certification Statement</w:t>
        </w:r>
        <w:r w:rsidR="009065CF">
          <w:rPr>
            <w:webHidden/>
          </w:rPr>
          <w:tab/>
        </w:r>
        <w:r>
          <w:rPr>
            <w:webHidden/>
          </w:rPr>
          <w:fldChar w:fldCharType="begin"/>
        </w:r>
        <w:r w:rsidR="009065CF">
          <w:rPr>
            <w:webHidden/>
          </w:rPr>
          <w:instrText xml:space="preserve"> PAGEREF _Toc318697090 \h </w:instrText>
        </w:r>
        <w:r>
          <w:rPr>
            <w:webHidden/>
          </w:rPr>
        </w:r>
        <w:r>
          <w:rPr>
            <w:webHidden/>
          </w:rPr>
          <w:fldChar w:fldCharType="separate"/>
        </w:r>
        <w:r w:rsidR="00B56605">
          <w:rPr>
            <w:webHidden/>
          </w:rPr>
          <w:t>16</w:t>
        </w:r>
        <w:r>
          <w:rPr>
            <w:webHidden/>
          </w:rPr>
          <w:fldChar w:fldCharType="end"/>
        </w:r>
      </w:hyperlink>
    </w:p>
    <w:p w:rsidR="009065CF" w:rsidRPr="00583461" w:rsidRDefault="003D3A79" w:rsidP="009065CF">
      <w:pPr>
        <w:pStyle w:val="TableofFigures"/>
        <w:tabs>
          <w:tab w:val="right" w:leader="dot" w:pos="9350"/>
        </w:tabs>
        <w:rPr>
          <w:rFonts w:ascii="Calibri" w:hAnsi="Calibri"/>
          <w:noProof/>
          <w:sz w:val="22"/>
          <w:szCs w:val="22"/>
        </w:rPr>
      </w:pPr>
      <w:r w:rsidRPr="00583461">
        <w:fldChar w:fldCharType="end"/>
      </w:r>
      <w:r w:rsidR="009065CF" w:rsidRPr="009065CF">
        <w:rPr>
          <w:noProof/>
        </w:rPr>
        <w:t>B. Methodology</w:t>
      </w:r>
      <w:r w:rsidR="009065CF" w:rsidRPr="00583461">
        <w:rPr>
          <w:noProof/>
          <w:webHidden/>
        </w:rPr>
        <w:tab/>
      </w:r>
      <w:r w:rsidR="009065CF">
        <w:rPr>
          <w:b/>
          <w:noProof/>
          <w:webHidden/>
        </w:rPr>
        <w:t>1</w:t>
      </w:r>
      <w:r w:rsidR="009065CF">
        <w:t>4</w:t>
      </w:r>
    </w:p>
    <w:p w:rsidR="00B51258" w:rsidRDefault="00B51258" w:rsidP="00B51258">
      <w:pPr>
        <w:pStyle w:val="Heading2"/>
        <w:jc w:val="left"/>
      </w:pPr>
    </w:p>
    <w:p w:rsidR="009065CF" w:rsidRPr="009065CF" w:rsidRDefault="009065CF" w:rsidP="009065CF"/>
    <w:p w:rsidR="0001347C" w:rsidRPr="00583461" w:rsidRDefault="0001347C">
      <w:pPr>
        <w:pStyle w:val="Heading7"/>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Cs/>
        </w:rPr>
      </w:pPr>
      <w:r w:rsidRPr="00583461">
        <w:rPr>
          <w:bCs/>
        </w:rPr>
        <w:t>Tables</w:t>
      </w:r>
    </w:p>
    <w:p w:rsidR="0001347C" w:rsidRPr="00583461" w:rsidRDefault="0001347C">
      <w:pPr>
        <w:rPr>
          <w:sz w:val="24"/>
        </w:rPr>
      </w:pPr>
    </w:p>
    <w:p w:rsidR="009B6EEE" w:rsidRPr="00583461" w:rsidRDefault="003D3A79">
      <w:pPr>
        <w:pStyle w:val="TableofFigures"/>
        <w:tabs>
          <w:tab w:val="right" w:leader="dot" w:pos="9350"/>
        </w:tabs>
        <w:rPr>
          <w:rFonts w:ascii="Calibri" w:hAnsi="Calibri"/>
          <w:noProof/>
          <w:sz w:val="22"/>
          <w:szCs w:val="22"/>
        </w:rPr>
      </w:pPr>
      <w:r w:rsidRPr="00583461">
        <w:rPr>
          <w:b/>
        </w:rPr>
        <w:fldChar w:fldCharType="begin"/>
      </w:r>
      <w:r w:rsidR="0001347C" w:rsidRPr="00583461">
        <w:rPr>
          <w:b/>
        </w:rPr>
        <w:instrText xml:space="preserve"> TOC \h \z \t "Caption" \c "Table" </w:instrText>
      </w:r>
      <w:r w:rsidRPr="00583461">
        <w:rPr>
          <w:b/>
        </w:rPr>
        <w:fldChar w:fldCharType="separate"/>
      </w:r>
      <w:hyperlink w:anchor="_Toc307985135" w:history="1">
        <w:r w:rsidR="009B6EEE" w:rsidRPr="00583461">
          <w:rPr>
            <w:rStyle w:val="Hyperlink"/>
            <w:noProof/>
          </w:rPr>
          <w:t>Table 1.  Electric Power Burden Information for OMB Number 1905-NEW</w:t>
        </w:r>
        <w:r w:rsidR="009B6EEE" w:rsidRPr="00583461">
          <w:rPr>
            <w:noProof/>
            <w:webHidden/>
          </w:rPr>
          <w:tab/>
        </w:r>
        <w:r w:rsidRPr="00583461">
          <w:rPr>
            <w:noProof/>
            <w:webHidden/>
          </w:rPr>
          <w:fldChar w:fldCharType="begin"/>
        </w:r>
        <w:r w:rsidR="009B6EEE" w:rsidRPr="00583461">
          <w:rPr>
            <w:noProof/>
            <w:webHidden/>
          </w:rPr>
          <w:instrText xml:space="preserve"> PAGEREF _Toc307985135 \h </w:instrText>
        </w:r>
        <w:r w:rsidRPr="00583461">
          <w:rPr>
            <w:noProof/>
            <w:webHidden/>
          </w:rPr>
        </w:r>
        <w:r w:rsidRPr="00583461">
          <w:rPr>
            <w:noProof/>
            <w:webHidden/>
          </w:rPr>
          <w:fldChar w:fldCharType="separate"/>
        </w:r>
        <w:r w:rsidR="00B56605">
          <w:rPr>
            <w:noProof/>
            <w:webHidden/>
          </w:rPr>
          <w:t>14</w:t>
        </w:r>
        <w:r w:rsidRPr="00583461">
          <w:rPr>
            <w:noProof/>
            <w:webHidden/>
          </w:rPr>
          <w:fldChar w:fldCharType="end"/>
        </w:r>
      </w:hyperlink>
    </w:p>
    <w:p w:rsidR="009B6EEE" w:rsidRPr="00583461" w:rsidRDefault="003D3A79">
      <w:pPr>
        <w:pStyle w:val="TableofFigures"/>
        <w:tabs>
          <w:tab w:val="right" w:leader="dot" w:pos="9350"/>
        </w:tabs>
        <w:rPr>
          <w:rFonts w:ascii="Calibri" w:hAnsi="Calibri"/>
          <w:noProof/>
          <w:sz w:val="22"/>
          <w:szCs w:val="22"/>
        </w:rPr>
      </w:pPr>
      <w:hyperlink w:anchor="_Toc307985136" w:history="1">
        <w:r w:rsidR="009B6EEE" w:rsidRPr="00583461">
          <w:rPr>
            <w:rStyle w:val="Hyperlink"/>
            <w:noProof/>
          </w:rPr>
          <w:t>Table 2.  Proposed “Quarterly Electricity Imports and Exports Report” Survey Data Collection</w:t>
        </w:r>
        <w:r w:rsidR="009B6EEE" w:rsidRPr="00583461">
          <w:rPr>
            <w:noProof/>
            <w:webHidden/>
          </w:rPr>
          <w:tab/>
        </w:r>
        <w:r w:rsidRPr="009065CF">
          <w:rPr>
            <w:b/>
            <w:noProof/>
            <w:webHidden/>
          </w:rPr>
          <w:fldChar w:fldCharType="begin"/>
        </w:r>
        <w:r w:rsidR="009B6EEE" w:rsidRPr="009065CF">
          <w:rPr>
            <w:b/>
            <w:noProof/>
            <w:webHidden/>
          </w:rPr>
          <w:instrText xml:space="preserve"> PAGEREF _Toc307985136 \h </w:instrText>
        </w:r>
        <w:r w:rsidRPr="009065CF">
          <w:rPr>
            <w:b/>
            <w:noProof/>
            <w:webHidden/>
          </w:rPr>
        </w:r>
        <w:r w:rsidRPr="009065CF">
          <w:rPr>
            <w:b/>
            <w:noProof/>
            <w:webHidden/>
          </w:rPr>
          <w:fldChar w:fldCharType="separate"/>
        </w:r>
        <w:r w:rsidR="00B56605">
          <w:rPr>
            <w:b/>
            <w:noProof/>
            <w:webHidden/>
          </w:rPr>
          <w:t>16</w:t>
        </w:r>
        <w:r w:rsidRPr="009065CF">
          <w:rPr>
            <w:b/>
            <w:noProof/>
            <w:webHidden/>
          </w:rPr>
          <w:fldChar w:fldCharType="end"/>
        </w:r>
      </w:hyperlink>
    </w:p>
    <w:p w:rsidR="00BA0524" w:rsidRPr="00583461" w:rsidRDefault="00BA0524" w:rsidP="00BA0524">
      <w:pPr>
        <w:rPr>
          <w:b/>
          <w:noProof/>
        </w:rPr>
      </w:pPr>
    </w:p>
    <w:p w:rsidR="00BA0524" w:rsidRPr="00583461" w:rsidRDefault="00BA0524" w:rsidP="00BA0524">
      <w:pPr>
        <w:rPr>
          <w:b/>
          <w:noProof/>
        </w:rPr>
      </w:pPr>
    </w:p>
    <w:p w:rsidR="00BA0524" w:rsidRPr="00583461" w:rsidRDefault="00BA0524" w:rsidP="00BA0524">
      <w:pPr>
        <w:rPr>
          <w:b/>
          <w:noProof/>
          <w:sz w:val="28"/>
          <w:szCs w:val="28"/>
        </w:rPr>
      </w:pPr>
      <w:r w:rsidRPr="00583461">
        <w:rPr>
          <w:b/>
          <w:noProof/>
          <w:sz w:val="28"/>
          <w:szCs w:val="28"/>
        </w:rPr>
        <w:t>Appendices</w:t>
      </w:r>
    </w:p>
    <w:p w:rsidR="00BA0524" w:rsidRPr="00583461" w:rsidRDefault="00BA0524" w:rsidP="00BA0524">
      <w:pPr>
        <w:tabs>
          <w:tab w:val="right" w:leader="dot" w:pos="9360"/>
        </w:tabs>
        <w:rPr>
          <w:noProof/>
        </w:rPr>
      </w:pPr>
      <w:r w:rsidRPr="00583461">
        <w:rPr>
          <w:noProof/>
        </w:rPr>
        <w:t xml:space="preserve">Appendix </w:t>
      </w:r>
      <w:r w:rsidR="00291063" w:rsidRPr="00583461">
        <w:rPr>
          <w:noProof/>
        </w:rPr>
        <w:t>A</w:t>
      </w:r>
      <w:r w:rsidRPr="00583461">
        <w:rPr>
          <w:noProof/>
        </w:rPr>
        <w:t xml:space="preserve">, </w:t>
      </w:r>
      <w:r w:rsidR="00291063" w:rsidRPr="00583461">
        <w:rPr>
          <w:noProof/>
        </w:rPr>
        <w:t>Summary of Comments on Form and Instructions</w:t>
      </w:r>
      <w:r w:rsidR="00CA4021" w:rsidRPr="00583461">
        <w:rPr>
          <w:noProof/>
        </w:rPr>
        <w:tab/>
        <w:t>1</w:t>
      </w:r>
      <w:r w:rsidR="00EA47CD">
        <w:rPr>
          <w:noProof/>
        </w:rPr>
        <w:t>6</w:t>
      </w:r>
    </w:p>
    <w:p w:rsidR="00E66417" w:rsidRPr="00583461" w:rsidRDefault="00E66417" w:rsidP="00E66417">
      <w:pPr>
        <w:tabs>
          <w:tab w:val="right" w:leader="dot" w:pos="9360"/>
        </w:tabs>
        <w:rPr>
          <w:noProof/>
        </w:rPr>
      </w:pPr>
      <w:r w:rsidRPr="00583461">
        <w:rPr>
          <w:noProof/>
        </w:rPr>
        <w:t xml:space="preserve">Appendix B, </w:t>
      </w:r>
      <w:r w:rsidR="00976414" w:rsidRPr="00583461">
        <w:rPr>
          <w:noProof/>
        </w:rPr>
        <w:t>(</w:t>
      </w:r>
      <w:r w:rsidR="006A3A38">
        <w:rPr>
          <w:noProof/>
        </w:rPr>
        <w:t xml:space="preserve">EIA-111 </w:t>
      </w:r>
      <w:r w:rsidR="002938B6">
        <w:rPr>
          <w:noProof/>
        </w:rPr>
        <w:t xml:space="preserve">Survey </w:t>
      </w:r>
      <w:r w:rsidRPr="00583461">
        <w:rPr>
          <w:noProof/>
        </w:rPr>
        <w:t>Form</w:t>
      </w:r>
      <w:r w:rsidR="00D27B1E">
        <w:rPr>
          <w:noProof/>
        </w:rPr>
        <w:t xml:space="preserve"> and Cover Letter</w:t>
      </w:r>
      <w:r w:rsidR="00976414" w:rsidRPr="00583461">
        <w:rPr>
          <w:noProof/>
        </w:rPr>
        <w:t>)</w:t>
      </w:r>
      <w:r w:rsidRPr="00583461">
        <w:rPr>
          <w:noProof/>
        </w:rPr>
        <w:tab/>
        <w:t>2</w:t>
      </w:r>
      <w:r w:rsidR="00EA47CD">
        <w:rPr>
          <w:noProof/>
        </w:rPr>
        <w:t>3</w:t>
      </w:r>
    </w:p>
    <w:p w:rsidR="00BA0524" w:rsidRPr="00583461" w:rsidRDefault="00BA0524" w:rsidP="00BA0524">
      <w:pPr>
        <w:rPr>
          <w:b/>
          <w:noProof/>
        </w:rPr>
      </w:pPr>
    </w:p>
    <w:p w:rsidR="00B51258" w:rsidRPr="00583461" w:rsidRDefault="003D3A79" w:rsidP="002A5091">
      <w:pPr>
        <w:pStyle w:val="TableofFigures"/>
        <w:tabs>
          <w:tab w:val="right" w:leader="dot" w:pos="9360"/>
        </w:tabs>
      </w:pPr>
      <w:r w:rsidRPr="00583461">
        <w:rPr>
          <w:b/>
        </w:rPr>
        <w:fldChar w:fldCharType="end"/>
      </w:r>
      <w:bookmarkStart w:id="1" w:name="_Toc524334481"/>
      <w:bookmarkStart w:id="2" w:name="_Toc524334563"/>
      <w:bookmarkStart w:id="3" w:name="_Toc524334711"/>
      <w:bookmarkStart w:id="4" w:name="_Toc524334904"/>
    </w:p>
    <w:p w:rsidR="00B8795D" w:rsidRPr="00583461" w:rsidRDefault="00B8795D" w:rsidP="00B8795D"/>
    <w:p w:rsidR="00B8795D" w:rsidRPr="00583461" w:rsidRDefault="00B8795D" w:rsidP="00B8795D"/>
    <w:p w:rsidR="00B51258" w:rsidRPr="00583461" w:rsidRDefault="00B51258">
      <w:pPr>
        <w:jc w:val="center"/>
        <w:rPr>
          <w:sz w:val="24"/>
        </w:rPr>
      </w:pPr>
    </w:p>
    <w:p w:rsidR="00B51258" w:rsidRPr="00583461" w:rsidRDefault="00B51258">
      <w:pPr>
        <w:jc w:val="center"/>
        <w:rPr>
          <w:sz w:val="24"/>
        </w:rPr>
      </w:pPr>
    </w:p>
    <w:p w:rsidR="00B51258" w:rsidRPr="00583461" w:rsidRDefault="00B51258">
      <w:pPr>
        <w:jc w:val="center"/>
        <w:rPr>
          <w:sz w:val="24"/>
        </w:rPr>
      </w:pPr>
    </w:p>
    <w:p w:rsidR="00F71C8B" w:rsidRPr="00583461" w:rsidRDefault="00F71C8B">
      <w:pPr>
        <w:jc w:val="center"/>
        <w:rPr>
          <w:b/>
          <w:bCs/>
          <w:sz w:val="32"/>
        </w:rPr>
      </w:pPr>
    </w:p>
    <w:p w:rsidR="00F71C8B" w:rsidRPr="00583461" w:rsidRDefault="00F71C8B">
      <w:pPr>
        <w:jc w:val="center"/>
        <w:rPr>
          <w:b/>
          <w:bCs/>
          <w:sz w:val="32"/>
        </w:rPr>
      </w:pPr>
    </w:p>
    <w:p w:rsidR="00BD5E92" w:rsidRPr="00583461" w:rsidRDefault="00BD5E92">
      <w:pPr>
        <w:jc w:val="center"/>
        <w:rPr>
          <w:b/>
          <w:bCs/>
          <w:sz w:val="32"/>
        </w:rPr>
      </w:pPr>
    </w:p>
    <w:p w:rsidR="00BD5E92" w:rsidRPr="00583461" w:rsidRDefault="00BD5E92">
      <w:pPr>
        <w:jc w:val="center"/>
        <w:rPr>
          <w:b/>
          <w:bCs/>
          <w:sz w:val="32"/>
        </w:rPr>
      </w:pPr>
    </w:p>
    <w:p w:rsidR="00BD5E92" w:rsidRPr="00583461" w:rsidRDefault="00BD5E92">
      <w:pPr>
        <w:jc w:val="center"/>
        <w:rPr>
          <w:b/>
          <w:bCs/>
          <w:sz w:val="32"/>
        </w:rPr>
      </w:pPr>
    </w:p>
    <w:p w:rsidR="006D1A32" w:rsidRPr="00583461" w:rsidRDefault="006D1A32">
      <w:pPr>
        <w:jc w:val="center"/>
        <w:rPr>
          <w:b/>
          <w:bCs/>
          <w:sz w:val="32"/>
        </w:rPr>
      </w:pPr>
    </w:p>
    <w:p w:rsidR="006D1A32" w:rsidRPr="00583461" w:rsidRDefault="006D1A32">
      <w:pPr>
        <w:jc w:val="center"/>
        <w:rPr>
          <w:b/>
          <w:bCs/>
          <w:sz w:val="32"/>
        </w:rPr>
      </w:pPr>
    </w:p>
    <w:p w:rsidR="00E66417" w:rsidRPr="00583461" w:rsidRDefault="00E66417">
      <w:pPr>
        <w:jc w:val="center"/>
        <w:rPr>
          <w:b/>
          <w:bCs/>
          <w:sz w:val="32"/>
        </w:rPr>
      </w:pPr>
    </w:p>
    <w:p w:rsidR="00A923AA" w:rsidRDefault="00A923AA">
      <w:pPr>
        <w:jc w:val="center"/>
        <w:rPr>
          <w:b/>
          <w:bCs/>
          <w:sz w:val="32"/>
        </w:rPr>
      </w:pPr>
    </w:p>
    <w:p w:rsidR="005C5FF3" w:rsidRPr="00583461" w:rsidRDefault="0001347C">
      <w:pPr>
        <w:jc w:val="center"/>
        <w:rPr>
          <w:b/>
          <w:bCs/>
          <w:sz w:val="32"/>
        </w:rPr>
      </w:pPr>
      <w:r w:rsidRPr="00583461">
        <w:rPr>
          <w:b/>
          <w:bCs/>
          <w:sz w:val="32"/>
        </w:rPr>
        <w:t xml:space="preserve">SUPPORTING STATEMENT FOR </w:t>
      </w:r>
      <w:r w:rsidR="00443A94" w:rsidRPr="00583461">
        <w:rPr>
          <w:b/>
          <w:bCs/>
          <w:sz w:val="32"/>
        </w:rPr>
        <w:t>FORM</w:t>
      </w:r>
      <w:bookmarkEnd w:id="1"/>
      <w:bookmarkEnd w:id="2"/>
      <w:bookmarkEnd w:id="3"/>
      <w:bookmarkEnd w:id="4"/>
      <w:r w:rsidR="00DE455B" w:rsidRPr="00583461">
        <w:rPr>
          <w:b/>
          <w:bCs/>
          <w:sz w:val="32"/>
        </w:rPr>
        <w:t xml:space="preserve"> </w:t>
      </w:r>
    </w:p>
    <w:p w:rsidR="0001347C" w:rsidRPr="00583461" w:rsidRDefault="004435B6">
      <w:pPr>
        <w:jc w:val="center"/>
        <w:rPr>
          <w:b/>
          <w:bCs/>
          <w:sz w:val="32"/>
        </w:rPr>
      </w:pPr>
      <w:r w:rsidRPr="00583461">
        <w:rPr>
          <w:b/>
          <w:bCs/>
          <w:sz w:val="32"/>
          <w:szCs w:val="32"/>
        </w:rPr>
        <w:t xml:space="preserve">EIA-111, </w:t>
      </w:r>
      <w:r w:rsidR="009D1026" w:rsidRPr="00583461">
        <w:rPr>
          <w:b/>
          <w:bCs/>
          <w:sz w:val="32"/>
          <w:szCs w:val="32"/>
        </w:rPr>
        <w:t>QUARTERLY</w:t>
      </w:r>
      <w:r w:rsidR="005C5FF3" w:rsidRPr="00583461">
        <w:rPr>
          <w:b/>
          <w:bCs/>
          <w:sz w:val="32"/>
          <w:szCs w:val="32"/>
        </w:rPr>
        <w:t xml:space="preserve"> ELECTRICITY IMPORT</w:t>
      </w:r>
      <w:r w:rsidR="009D1026" w:rsidRPr="00583461">
        <w:rPr>
          <w:b/>
          <w:bCs/>
          <w:sz w:val="32"/>
          <w:szCs w:val="32"/>
        </w:rPr>
        <w:t>S</w:t>
      </w:r>
      <w:r w:rsidR="005C5FF3" w:rsidRPr="00583461">
        <w:rPr>
          <w:b/>
          <w:bCs/>
          <w:sz w:val="32"/>
          <w:szCs w:val="32"/>
        </w:rPr>
        <w:t xml:space="preserve"> AND EXPORT</w:t>
      </w:r>
      <w:r w:rsidR="009D1026" w:rsidRPr="00583461">
        <w:rPr>
          <w:b/>
          <w:bCs/>
          <w:sz w:val="32"/>
          <w:szCs w:val="32"/>
        </w:rPr>
        <w:t>S</w:t>
      </w:r>
      <w:r w:rsidR="005C5FF3" w:rsidRPr="00583461">
        <w:rPr>
          <w:b/>
          <w:bCs/>
          <w:sz w:val="32"/>
        </w:rPr>
        <w:t xml:space="preserve"> </w:t>
      </w:r>
      <w:r w:rsidR="00DE455B" w:rsidRPr="00583461">
        <w:rPr>
          <w:b/>
          <w:bCs/>
          <w:sz w:val="32"/>
        </w:rPr>
        <w:t xml:space="preserve">REPORT </w:t>
      </w:r>
    </w:p>
    <w:p w:rsidR="0001347C" w:rsidRPr="00583461" w:rsidRDefault="0001347C">
      <w:pPr>
        <w:jc w:val="center"/>
        <w:rPr>
          <w:b/>
          <w:bCs/>
          <w:sz w:val="32"/>
        </w:rPr>
      </w:pPr>
    </w:p>
    <w:p w:rsidR="0001347C" w:rsidRPr="00583461" w:rsidRDefault="0001347C">
      <w:pPr>
        <w:jc w:val="center"/>
        <w:rPr>
          <w:b/>
          <w:bCs/>
          <w:sz w:val="32"/>
        </w:rPr>
      </w:pPr>
      <w:bookmarkStart w:id="5" w:name="_Toc524334483"/>
      <w:bookmarkStart w:id="6" w:name="_Toc524334565"/>
      <w:bookmarkStart w:id="7" w:name="_Toc524334713"/>
      <w:bookmarkStart w:id="8" w:name="_Toc524334906"/>
      <w:r w:rsidRPr="00583461">
        <w:rPr>
          <w:b/>
          <w:bCs/>
          <w:sz w:val="32"/>
        </w:rPr>
        <w:t xml:space="preserve">OMB NUMBER </w:t>
      </w:r>
      <w:bookmarkEnd w:id="5"/>
      <w:bookmarkEnd w:id="6"/>
      <w:bookmarkEnd w:id="7"/>
      <w:bookmarkEnd w:id="8"/>
      <w:r w:rsidR="004561FA" w:rsidRPr="00583461">
        <w:rPr>
          <w:b/>
          <w:bCs/>
          <w:sz w:val="32"/>
        </w:rPr>
        <w:t>190</w:t>
      </w:r>
      <w:r w:rsidR="00164B6A" w:rsidRPr="00583461">
        <w:rPr>
          <w:b/>
          <w:bCs/>
          <w:sz w:val="32"/>
        </w:rPr>
        <w:t>5</w:t>
      </w:r>
      <w:r w:rsidR="004561FA" w:rsidRPr="00583461">
        <w:rPr>
          <w:b/>
          <w:bCs/>
          <w:sz w:val="32"/>
        </w:rPr>
        <w:t>-</w:t>
      </w:r>
      <w:r w:rsidR="009D1026" w:rsidRPr="00583461">
        <w:rPr>
          <w:b/>
          <w:bCs/>
          <w:sz w:val="32"/>
        </w:rPr>
        <w:t>NEW</w:t>
      </w:r>
    </w:p>
    <w:p w:rsidR="00561F04" w:rsidRPr="00583461" w:rsidRDefault="00561F04" w:rsidP="006D74EB">
      <w:pPr>
        <w:jc w:val="center"/>
        <w:rPr>
          <w:b/>
          <w:bCs/>
          <w:sz w:val="24"/>
          <w:szCs w:val="24"/>
        </w:rPr>
      </w:pPr>
    </w:p>
    <w:p w:rsidR="008F4CBC" w:rsidRPr="00583461" w:rsidRDefault="008F4CBC" w:rsidP="006D74EB">
      <w:pPr>
        <w:jc w:val="center"/>
        <w:rPr>
          <w:b/>
          <w:bCs/>
          <w:sz w:val="24"/>
          <w:szCs w:val="24"/>
        </w:rPr>
      </w:pPr>
    </w:p>
    <w:p w:rsidR="008A2822" w:rsidRPr="00583461" w:rsidRDefault="008A2822" w:rsidP="008A2822">
      <w:pPr>
        <w:pStyle w:val="Heading2"/>
        <w:jc w:val="left"/>
        <w:rPr>
          <w:szCs w:val="28"/>
        </w:rPr>
      </w:pPr>
      <w:bookmarkStart w:id="9" w:name="_Toc318697068"/>
      <w:r w:rsidRPr="00583461">
        <w:rPr>
          <w:szCs w:val="28"/>
        </w:rPr>
        <w:t>Background and Purpose</w:t>
      </w:r>
      <w:bookmarkEnd w:id="9"/>
      <w:r w:rsidRPr="00583461">
        <w:rPr>
          <w:szCs w:val="28"/>
        </w:rPr>
        <w:t xml:space="preserve"> </w:t>
      </w:r>
    </w:p>
    <w:p w:rsidR="008A2822" w:rsidRPr="00583461" w:rsidRDefault="008A2822" w:rsidP="00946DF9">
      <w:pPr>
        <w:rPr>
          <w:sz w:val="24"/>
          <w:szCs w:val="24"/>
        </w:rPr>
      </w:pPr>
    </w:p>
    <w:p w:rsidR="00301B19" w:rsidRPr="00583461" w:rsidRDefault="004435B6" w:rsidP="00946DF9">
      <w:pPr>
        <w:rPr>
          <w:sz w:val="24"/>
          <w:szCs w:val="24"/>
        </w:rPr>
      </w:pPr>
      <w:r w:rsidRPr="00583461">
        <w:rPr>
          <w:sz w:val="24"/>
          <w:szCs w:val="24"/>
        </w:rPr>
        <w:t xml:space="preserve">The </w:t>
      </w:r>
      <w:r w:rsidR="00583461" w:rsidRPr="00583461">
        <w:rPr>
          <w:sz w:val="24"/>
          <w:szCs w:val="24"/>
        </w:rPr>
        <w:t xml:space="preserve">U.S. </w:t>
      </w:r>
      <w:r w:rsidRPr="00583461">
        <w:rPr>
          <w:sz w:val="24"/>
          <w:szCs w:val="24"/>
        </w:rPr>
        <w:t>Energy Information Administration (EIA) of</w:t>
      </w:r>
      <w:r w:rsidR="00B8577B" w:rsidRPr="00583461">
        <w:rPr>
          <w:sz w:val="24"/>
          <w:szCs w:val="24"/>
        </w:rPr>
        <w:t xml:space="preserve"> the U.S. Department of Energy</w:t>
      </w:r>
      <w:r w:rsidR="00B8577B" w:rsidRPr="00583461">
        <w:rPr>
          <w:szCs w:val="24"/>
        </w:rPr>
        <w:t xml:space="preserve"> </w:t>
      </w:r>
      <w:r w:rsidR="00D95350" w:rsidRPr="00583461">
        <w:rPr>
          <w:szCs w:val="24"/>
        </w:rPr>
        <w:t>(</w:t>
      </w:r>
      <w:r w:rsidRPr="00583461">
        <w:rPr>
          <w:sz w:val="24"/>
          <w:szCs w:val="24"/>
        </w:rPr>
        <w:t>DOE</w:t>
      </w:r>
      <w:r w:rsidR="00D95350" w:rsidRPr="00583461">
        <w:rPr>
          <w:sz w:val="24"/>
          <w:szCs w:val="24"/>
        </w:rPr>
        <w:t>)</w:t>
      </w:r>
      <w:r w:rsidRPr="00583461">
        <w:rPr>
          <w:sz w:val="24"/>
          <w:szCs w:val="24"/>
        </w:rPr>
        <w:t xml:space="preserve"> is required to make </w:t>
      </w:r>
      <w:r w:rsidR="00FA1CE3" w:rsidRPr="00583461">
        <w:rPr>
          <w:sz w:val="24"/>
          <w:szCs w:val="24"/>
        </w:rPr>
        <w:t xml:space="preserve">independent, high-quality statistical data that reflect national electric capacity, generation, sales, trade, transmission, and pricing </w:t>
      </w:r>
      <w:r w:rsidRPr="00583461">
        <w:rPr>
          <w:sz w:val="24"/>
          <w:szCs w:val="24"/>
        </w:rPr>
        <w:t xml:space="preserve">available to Federal </w:t>
      </w:r>
      <w:r w:rsidR="00454EC8" w:rsidRPr="00583461">
        <w:rPr>
          <w:sz w:val="24"/>
          <w:szCs w:val="24"/>
        </w:rPr>
        <w:t xml:space="preserve">and other </w:t>
      </w:r>
      <w:r w:rsidRPr="00583461">
        <w:rPr>
          <w:sz w:val="24"/>
          <w:szCs w:val="24"/>
        </w:rPr>
        <w:t xml:space="preserve">government agencies, the electric power industry, and the general public.  </w:t>
      </w:r>
    </w:p>
    <w:p w:rsidR="00942ADD" w:rsidRPr="00583461" w:rsidRDefault="00942ADD" w:rsidP="00946DF9">
      <w:pPr>
        <w:rPr>
          <w:sz w:val="24"/>
          <w:szCs w:val="24"/>
        </w:rPr>
      </w:pPr>
    </w:p>
    <w:p w:rsidR="0076797C" w:rsidRPr="00583461" w:rsidRDefault="00942ADD" w:rsidP="003B5C60">
      <w:pPr>
        <w:rPr>
          <w:sz w:val="24"/>
          <w:szCs w:val="24"/>
        </w:rPr>
      </w:pPr>
      <w:r w:rsidRPr="00583461">
        <w:rPr>
          <w:sz w:val="24"/>
          <w:szCs w:val="24"/>
        </w:rPr>
        <w:t xml:space="preserve">The information collection proposed in this supporting statement has been reviewed in light of applicable </w:t>
      </w:r>
      <w:r w:rsidR="00C357E0">
        <w:rPr>
          <w:sz w:val="24"/>
          <w:szCs w:val="24"/>
        </w:rPr>
        <w:t xml:space="preserve">EIA </w:t>
      </w:r>
      <w:r w:rsidR="009C6036" w:rsidRPr="00583461">
        <w:rPr>
          <w:sz w:val="24"/>
          <w:szCs w:val="24"/>
        </w:rPr>
        <w:t>information</w:t>
      </w:r>
      <w:r w:rsidRPr="00583461">
        <w:rPr>
          <w:sz w:val="24"/>
          <w:szCs w:val="24"/>
        </w:rPr>
        <w:t xml:space="preserve"> quality guidelines.  It has been determined that the information would be collected, maintained, and used in a manner consistent with the </w:t>
      </w:r>
      <w:r w:rsidR="00D95350" w:rsidRPr="00583461">
        <w:rPr>
          <w:sz w:val="24"/>
          <w:szCs w:val="24"/>
        </w:rPr>
        <w:t>Office of Management and Budget (OMB)</w:t>
      </w:r>
      <w:r w:rsidRPr="00583461">
        <w:rPr>
          <w:sz w:val="24"/>
          <w:szCs w:val="24"/>
        </w:rPr>
        <w:t>, DOE, and EIA information quality guidelines</w:t>
      </w:r>
      <w:r w:rsidR="00D3706E" w:rsidRPr="00583461">
        <w:rPr>
          <w:sz w:val="24"/>
          <w:szCs w:val="24"/>
        </w:rPr>
        <w:t>.</w:t>
      </w:r>
    </w:p>
    <w:p w:rsidR="00D3706E" w:rsidRPr="00583461" w:rsidRDefault="00D3706E" w:rsidP="003B5C60">
      <w:pPr>
        <w:rPr>
          <w:sz w:val="24"/>
          <w:szCs w:val="24"/>
        </w:rPr>
      </w:pPr>
    </w:p>
    <w:p w:rsidR="00454EC8" w:rsidRPr="001A643C" w:rsidRDefault="00344937" w:rsidP="003B5C60">
      <w:pPr>
        <w:rPr>
          <w:sz w:val="24"/>
          <w:szCs w:val="24"/>
        </w:rPr>
      </w:pPr>
      <w:r w:rsidRPr="00583461">
        <w:rPr>
          <w:sz w:val="24"/>
          <w:szCs w:val="24"/>
        </w:rPr>
        <w:t>On August</w:t>
      </w:r>
      <w:r w:rsidR="0076797C" w:rsidRPr="00583461">
        <w:rPr>
          <w:sz w:val="24"/>
          <w:szCs w:val="24"/>
        </w:rPr>
        <w:t xml:space="preserve"> 11, 2011, the OMB authorized the EIA to receive comments regarding the proposed collection under </w:t>
      </w:r>
      <w:r w:rsidR="0076797C" w:rsidRPr="001A643C">
        <w:rPr>
          <w:sz w:val="24"/>
          <w:szCs w:val="24"/>
        </w:rPr>
        <w:t xml:space="preserve">OMB No. 1905-NEW; Form Number EIA-111,  </w:t>
      </w:r>
      <w:r w:rsidR="008514F6" w:rsidRPr="001A643C">
        <w:rPr>
          <w:sz w:val="24"/>
          <w:szCs w:val="24"/>
        </w:rPr>
        <w:t>“</w:t>
      </w:r>
      <w:r w:rsidR="0076797C" w:rsidRPr="001A643C">
        <w:rPr>
          <w:sz w:val="24"/>
          <w:szCs w:val="24"/>
        </w:rPr>
        <w:t>Quarterly Electricity Imports and Exports Report</w:t>
      </w:r>
      <w:r w:rsidR="006D1A32" w:rsidRPr="001A643C">
        <w:rPr>
          <w:sz w:val="24"/>
          <w:szCs w:val="24"/>
        </w:rPr>
        <w:t>.</w:t>
      </w:r>
      <w:r w:rsidR="008514F6" w:rsidRPr="001A643C">
        <w:rPr>
          <w:sz w:val="24"/>
          <w:szCs w:val="24"/>
        </w:rPr>
        <w:t>”</w:t>
      </w:r>
      <w:r w:rsidR="008630C7">
        <w:rPr>
          <w:sz w:val="24"/>
          <w:szCs w:val="24"/>
        </w:rPr>
        <w:t xml:space="preserve"> Form </w:t>
      </w:r>
      <w:r w:rsidR="001A643C">
        <w:rPr>
          <w:sz w:val="24"/>
          <w:szCs w:val="24"/>
        </w:rPr>
        <w:t xml:space="preserve">EIA-111 </w:t>
      </w:r>
      <w:r w:rsidR="00A56ABB">
        <w:rPr>
          <w:sz w:val="24"/>
          <w:szCs w:val="24"/>
        </w:rPr>
        <w:t>will collect</w:t>
      </w:r>
      <w:r w:rsidR="001A643C">
        <w:rPr>
          <w:sz w:val="24"/>
          <w:szCs w:val="24"/>
        </w:rPr>
        <w:t xml:space="preserve"> U.S. electricity </w:t>
      </w:r>
      <w:r w:rsidR="00DA1113">
        <w:rPr>
          <w:sz w:val="24"/>
          <w:szCs w:val="24"/>
        </w:rPr>
        <w:t xml:space="preserve">import and export data and </w:t>
      </w:r>
      <w:r w:rsidR="00A56ABB">
        <w:rPr>
          <w:sz w:val="24"/>
          <w:szCs w:val="24"/>
        </w:rPr>
        <w:t>be</w:t>
      </w:r>
      <w:r w:rsidR="001A643C">
        <w:rPr>
          <w:sz w:val="24"/>
          <w:szCs w:val="24"/>
        </w:rPr>
        <w:t xml:space="preserve"> used to </w:t>
      </w:r>
      <w:r w:rsidR="00DD50F6">
        <w:rPr>
          <w:sz w:val="24"/>
          <w:szCs w:val="24"/>
        </w:rPr>
        <w:t xml:space="preserve">develop </w:t>
      </w:r>
      <w:r w:rsidR="001A643C">
        <w:rPr>
          <w:sz w:val="24"/>
          <w:szCs w:val="24"/>
        </w:rPr>
        <w:t>an accurate measure of the flow of electricity into and out of the United States</w:t>
      </w:r>
      <w:r w:rsidR="00DD50F6">
        <w:rPr>
          <w:sz w:val="24"/>
          <w:szCs w:val="24"/>
        </w:rPr>
        <w:t xml:space="preserve"> from Canada and Mexico</w:t>
      </w:r>
      <w:r w:rsidR="001A643C">
        <w:rPr>
          <w:sz w:val="24"/>
          <w:szCs w:val="24"/>
        </w:rPr>
        <w:t xml:space="preserve">. </w:t>
      </w:r>
    </w:p>
    <w:p w:rsidR="00454EC8" w:rsidRPr="001A643C" w:rsidRDefault="00454EC8" w:rsidP="003B5C60">
      <w:pPr>
        <w:rPr>
          <w:sz w:val="24"/>
          <w:szCs w:val="24"/>
        </w:rPr>
      </w:pPr>
    </w:p>
    <w:p w:rsidR="00DD50F6" w:rsidRPr="00DD50F6" w:rsidRDefault="00454EC8" w:rsidP="00DD50F6">
      <w:pPr>
        <w:rPr>
          <w:sz w:val="24"/>
        </w:rPr>
      </w:pPr>
      <w:r w:rsidRPr="001A643C">
        <w:rPr>
          <w:sz w:val="24"/>
          <w:szCs w:val="24"/>
        </w:rPr>
        <w:t>Electricity import and export</w:t>
      </w:r>
      <w:r w:rsidRPr="00583461">
        <w:rPr>
          <w:sz w:val="24"/>
          <w:szCs w:val="24"/>
        </w:rPr>
        <w:t xml:space="preserve"> data was previously collected by DOE</w:t>
      </w:r>
      <w:r w:rsidR="00426D68">
        <w:rPr>
          <w:sz w:val="24"/>
          <w:szCs w:val="24"/>
        </w:rPr>
        <w:t xml:space="preserve"> with the OE-781R form,</w:t>
      </w:r>
      <w:r w:rsidR="00DD50F6" w:rsidRPr="00DD50F6">
        <w:rPr>
          <w:sz w:val="24"/>
          <w:szCs w:val="24"/>
        </w:rPr>
        <w:t xml:space="preserve"> </w:t>
      </w:r>
      <w:r w:rsidR="005D661A">
        <w:rPr>
          <w:sz w:val="24"/>
          <w:szCs w:val="24"/>
        </w:rPr>
        <w:t xml:space="preserve">OMB Control Number </w:t>
      </w:r>
      <w:r w:rsidR="00DD50F6" w:rsidRPr="00DD50F6">
        <w:rPr>
          <w:sz w:val="24"/>
          <w:szCs w:val="24"/>
        </w:rPr>
        <w:t>1901-0296</w:t>
      </w:r>
      <w:r w:rsidR="00426D68" w:rsidRPr="00DD50F6">
        <w:rPr>
          <w:sz w:val="24"/>
          <w:szCs w:val="24"/>
        </w:rPr>
        <w:t xml:space="preserve">. </w:t>
      </w:r>
      <w:r w:rsidRPr="00DD50F6">
        <w:rPr>
          <w:sz w:val="24"/>
          <w:szCs w:val="24"/>
        </w:rPr>
        <w:t xml:space="preserve"> This</w:t>
      </w:r>
      <w:r w:rsidRPr="00583461">
        <w:rPr>
          <w:sz w:val="24"/>
          <w:szCs w:val="24"/>
        </w:rPr>
        <w:t xml:space="preserve"> survey was terminated </w:t>
      </w:r>
      <w:r w:rsidR="0012540E" w:rsidRPr="00583461">
        <w:rPr>
          <w:sz w:val="24"/>
          <w:szCs w:val="24"/>
        </w:rPr>
        <w:t xml:space="preserve">on June 1, 2011 </w:t>
      </w:r>
      <w:r w:rsidRPr="00583461">
        <w:rPr>
          <w:sz w:val="24"/>
          <w:szCs w:val="24"/>
        </w:rPr>
        <w:t>due to the excessive complexity of the survey and the high cost of maintaining the survey</w:t>
      </w:r>
      <w:r w:rsidR="00BD3F5E" w:rsidRPr="00DD50F6">
        <w:rPr>
          <w:sz w:val="24"/>
          <w:szCs w:val="24"/>
        </w:rPr>
        <w:t>.</w:t>
      </w:r>
      <w:r w:rsidR="00DD50F6" w:rsidRPr="00DD50F6">
        <w:rPr>
          <w:sz w:val="24"/>
        </w:rPr>
        <w:t xml:space="preserve"> </w:t>
      </w:r>
      <w:r w:rsidR="005D661A">
        <w:rPr>
          <w:sz w:val="24"/>
        </w:rPr>
        <w:t>EIA</w:t>
      </w:r>
      <w:r w:rsidR="00DD50F6" w:rsidRPr="00DD50F6">
        <w:rPr>
          <w:sz w:val="24"/>
        </w:rPr>
        <w:t xml:space="preserve"> directly informed all OE-781R respondents of this change.  </w:t>
      </w:r>
      <w:r w:rsidR="005D661A">
        <w:rPr>
          <w:sz w:val="24"/>
        </w:rPr>
        <w:t>EIA</w:t>
      </w:r>
      <w:r w:rsidR="00DD50F6" w:rsidRPr="00DD50F6">
        <w:rPr>
          <w:sz w:val="24"/>
        </w:rPr>
        <w:t xml:space="preserve"> also posted an alert message on the internet data collection site that informed users attempting to access the previous survey about the suspension of the survey and EIA’s plan to launch a replacement.  Additionally, EIA describes the transfer of reporting from the OE-781R to the EIA-111 on EIA’s website (http://www.eia.gov/survey/#oe-781r).</w:t>
      </w:r>
    </w:p>
    <w:p w:rsidR="00DD50F6" w:rsidRPr="00DD50F6" w:rsidRDefault="00DD50F6" w:rsidP="00DD50F6">
      <w:pPr>
        <w:ind w:left="1440"/>
        <w:rPr>
          <w:sz w:val="24"/>
        </w:rPr>
      </w:pPr>
    </w:p>
    <w:p w:rsidR="00BD3F5E" w:rsidRDefault="00DD50F6" w:rsidP="00DD50F6">
      <w:pPr>
        <w:rPr>
          <w:sz w:val="24"/>
          <w:szCs w:val="24"/>
        </w:rPr>
      </w:pPr>
      <w:r w:rsidRPr="00DD50F6">
        <w:rPr>
          <w:sz w:val="24"/>
        </w:rPr>
        <w:t>In order to meet the requirements of EIA and DOE’s Office of Electricity Delivery and Energy Reliability (OE) for a continuous data series, data will be collected retroactively from June 1, 2011 and forward.  The plan to collect data retroactively was noted in the first Federal Register Notice (FR Vol. 76, No. 155, pg. 49758; http://www.gpo.gov/fdsys/pkg/FR-2011-08-11/pdf/2011-20401.pdf).</w:t>
      </w:r>
    </w:p>
    <w:p w:rsidR="00BD3F5E" w:rsidRDefault="00BD3F5E" w:rsidP="003B5C60">
      <w:pPr>
        <w:rPr>
          <w:sz w:val="24"/>
          <w:szCs w:val="24"/>
        </w:rPr>
      </w:pPr>
    </w:p>
    <w:p w:rsidR="00BD3F5E" w:rsidRPr="00BD3F5E" w:rsidRDefault="00BD3F5E" w:rsidP="00BD3F5E">
      <w:pPr>
        <w:rPr>
          <w:sz w:val="24"/>
        </w:rPr>
      </w:pPr>
    </w:p>
    <w:p w:rsidR="00BD3F5E" w:rsidRDefault="00BD3F5E" w:rsidP="003B5C60">
      <w:pPr>
        <w:rPr>
          <w:sz w:val="24"/>
          <w:szCs w:val="24"/>
        </w:rPr>
      </w:pPr>
    </w:p>
    <w:p w:rsidR="00BD3F5E" w:rsidRDefault="00BD3F5E" w:rsidP="003B5C60">
      <w:pPr>
        <w:rPr>
          <w:sz w:val="24"/>
          <w:szCs w:val="24"/>
        </w:rPr>
      </w:pPr>
    </w:p>
    <w:p w:rsidR="008F4CBC" w:rsidRPr="00583461" w:rsidRDefault="008F4CBC" w:rsidP="003B5C60">
      <w:pPr>
        <w:pStyle w:val="Heading2"/>
        <w:jc w:val="left"/>
      </w:pPr>
      <w:bookmarkStart w:id="10" w:name="_Toc318697069"/>
      <w:r w:rsidRPr="00583461">
        <w:t>EIA Propos</w:t>
      </w:r>
      <w:r w:rsidR="00243651" w:rsidRPr="00583461">
        <w:t>al</w:t>
      </w:r>
      <w:bookmarkEnd w:id="10"/>
    </w:p>
    <w:p w:rsidR="008F4CBC" w:rsidRPr="00583461" w:rsidRDefault="008F4CBC" w:rsidP="008F4CBC">
      <w:pPr>
        <w:rPr>
          <w:sz w:val="24"/>
          <w:szCs w:val="24"/>
        </w:rPr>
      </w:pPr>
    </w:p>
    <w:p w:rsidR="00D3706E" w:rsidRPr="00583461" w:rsidRDefault="00344937" w:rsidP="00D3706E">
      <w:pPr>
        <w:rPr>
          <w:sz w:val="24"/>
          <w:szCs w:val="24"/>
        </w:rPr>
      </w:pPr>
      <w:r w:rsidRPr="00583461">
        <w:rPr>
          <w:sz w:val="24"/>
          <w:szCs w:val="24"/>
        </w:rPr>
        <w:t xml:space="preserve">EIA </w:t>
      </w:r>
      <w:r w:rsidR="00D3706E" w:rsidRPr="00583461">
        <w:rPr>
          <w:sz w:val="24"/>
          <w:szCs w:val="24"/>
        </w:rPr>
        <w:t xml:space="preserve">requests </w:t>
      </w:r>
      <w:r w:rsidR="00D3706E" w:rsidRPr="00583461">
        <w:rPr>
          <w:color w:val="000000"/>
          <w:sz w:val="24"/>
          <w:szCs w:val="24"/>
        </w:rPr>
        <w:t xml:space="preserve">a 3-year approval </w:t>
      </w:r>
      <w:r w:rsidR="00D3706E" w:rsidRPr="00583461">
        <w:rPr>
          <w:sz w:val="24"/>
          <w:szCs w:val="24"/>
        </w:rPr>
        <w:t xml:space="preserve">from the </w:t>
      </w:r>
      <w:r w:rsidR="00D95350" w:rsidRPr="00583461">
        <w:rPr>
          <w:sz w:val="24"/>
          <w:szCs w:val="24"/>
        </w:rPr>
        <w:t>OMB</w:t>
      </w:r>
      <w:r w:rsidR="00D95350" w:rsidRPr="00583461" w:rsidDel="00D95350">
        <w:rPr>
          <w:sz w:val="24"/>
          <w:szCs w:val="24"/>
        </w:rPr>
        <w:t xml:space="preserve"> </w:t>
      </w:r>
      <w:r w:rsidR="00D3706E" w:rsidRPr="00583461">
        <w:rPr>
          <w:sz w:val="24"/>
          <w:szCs w:val="24"/>
        </w:rPr>
        <w:t>for clearance of the following electric power survey form:</w:t>
      </w:r>
    </w:p>
    <w:p w:rsidR="00D3706E" w:rsidRPr="00583461" w:rsidRDefault="00D3706E" w:rsidP="00D3706E">
      <w:pPr>
        <w:rPr>
          <w:sz w:val="24"/>
          <w:szCs w:val="24"/>
        </w:rPr>
      </w:pPr>
    </w:p>
    <w:p w:rsidR="00D3706E" w:rsidRPr="00583461" w:rsidRDefault="00D3706E" w:rsidP="00D3706E">
      <w:pPr>
        <w:pStyle w:val="Heading4"/>
        <w:tabs>
          <w:tab w:val="clear" w:pos="1080"/>
          <w:tab w:val="left" w:pos="720"/>
        </w:tabs>
        <w:rPr>
          <w:i w:val="0"/>
          <w:szCs w:val="24"/>
        </w:rPr>
      </w:pPr>
      <w:r w:rsidRPr="00583461">
        <w:rPr>
          <w:szCs w:val="24"/>
        </w:rPr>
        <w:tab/>
      </w:r>
      <w:r w:rsidRPr="00583461">
        <w:rPr>
          <w:b w:val="0"/>
          <w:i w:val="0"/>
          <w:szCs w:val="24"/>
        </w:rPr>
        <w:tab/>
      </w:r>
      <w:r w:rsidRPr="00583461">
        <w:rPr>
          <w:i w:val="0"/>
          <w:szCs w:val="24"/>
        </w:rPr>
        <w:t>Form EIA-111, “Quarterly Electricity Imports and Exports Report”</w:t>
      </w:r>
    </w:p>
    <w:p w:rsidR="00D3706E" w:rsidRPr="00583461" w:rsidRDefault="00D3706E" w:rsidP="00D3706E"/>
    <w:p w:rsidR="00D3706E" w:rsidRPr="00583461" w:rsidRDefault="00D3706E" w:rsidP="00DD50F6">
      <w:pPr>
        <w:pStyle w:val="BodyText"/>
        <w:spacing w:before="120" w:after="120"/>
        <w:rPr>
          <w:color w:val="000000"/>
          <w:szCs w:val="24"/>
        </w:rPr>
      </w:pPr>
      <w:r w:rsidRPr="00583461">
        <w:rPr>
          <w:szCs w:val="24"/>
        </w:rPr>
        <w:t xml:space="preserve">This </w:t>
      </w:r>
      <w:r w:rsidR="004A2796">
        <w:rPr>
          <w:szCs w:val="24"/>
        </w:rPr>
        <w:t xml:space="preserve">form </w:t>
      </w:r>
      <w:r w:rsidRPr="00583461">
        <w:rPr>
          <w:szCs w:val="24"/>
        </w:rPr>
        <w:t xml:space="preserve">is </w:t>
      </w:r>
      <w:r w:rsidR="00454EC8" w:rsidRPr="00583461">
        <w:rPr>
          <w:szCs w:val="24"/>
        </w:rPr>
        <w:t xml:space="preserve">proposed </w:t>
      </w:r>
      <w:r w:rsidRPr="00583461">
        <w:rPr>
          <w:szCs w:val="24"/>
        </w:rPr>
        <w:t xml:space="preserve">pursuant to the authority granted to the Department of Energy by the </w:t>
      </w:r>
      <w:r w:rsidR="00031DBC" w:rsidRPr="00583461">
        <w:rPr>
          <w:szCs w:val="24"/>
        </w:rPr>
        <w:t>Federal Energy Administration Act (FEA Act)</w:t>
      </w:r>
      <w:r w:rsidRPr="00583461">
        <w:rPr>
          <w:szCs w:val="24"/>
        </w:rPr>
        <w:t xml:space="preserve"> (Public Law 93-275).  The mandatory Form EIA-111 </w:t>
      </w:r>
      <w:r w:rsidR="00454EC8" w:rsidRPr="00583461">
        <w:rPr>
          <w:szCs w:val="24"/>
        </w:rPr>
        <w:t xml:space="preserve">would </w:t>
      </w:r>
      <w:r w:rsidR="00EC1A45">
        <w:rPr>
          <w:szCs w:val="24"/>
        </w:rPr>
        <w:t>collect mo</w:t>
      </w:r>
      <w:r w:rsidR="0090656E">
        <w:rPr>
          <w:szCs w:val="24"/>
        </w:rPr>
        <w:t xml:space="preserve">nthly data on a quarterly basis </w:t>
      </w:r>
      <w:r w:rsidR="005E3C90">
        <w:rPr>
          <w:szCs w:val="24"/>
        </w:rPr>
        <w:t xml:space="preserve">and </w:t>
      </w:r>
      <w:r w:rsidR="005E3C90" w:rsidRPr="00583461">
        <w:rPr>
          <w:szCs w:val="24"/>
        </w:rPr>
        <w:t>upon</w:t>
      </w:r>
      <w:r w:rsidRPr="00583461">
        <w:rPr>
          <w:szCs w:val="24"/>
        </w:rPr>
        <w:t xml:space="preserve"> approval </w:t>
      </w:r>
      <w:r w:rsidR="0090656E">
        <w:rPr>
          <w:szCs w:val="24"/>
        </w:rPr>
        <w:t xml:space="preserve">the </w:t>
      </w:r>
      <w:r w:rsidRPr="00583461">
        <w:rPr>
          <w:szCs w:val="24"/>
        </w:rPr>
        <w:t>EIA will begin processing data in 2012.</w:t>
      </w:r>
      <w:r w:rsidR="00583461">
        <w:rPr>
          <w:szCs w:val="24"/>
        </w:rPr>
        <w:t xml:space="preserve">  Data will </w:t>
      </w:r>
      <w:r w:rsidR="00F44573">
        <w:rPr>
          <w:szCs w:val="24"/>
        </w:rPr>
        <w:t xml:space="preserve">be </w:t>
      </w:r>
      <w:r w:rsidR="00583461">
        <w:rPr>
          <w:szCs w:val="24"/>
        </w:rPr>
        <w:t xml:space="preserve">collected to include the time period </w:t>
      </w:r>
      <w:r w:rsidR="00BD4305">
        <w:rPr>
          <w:szCs w:val="24"/>
        </w:rPr>
        <w:t>June 1, 2011</w:t>
      </w:r>
      <w:r w:rsidR="00583461">
        <w:rPr>
          <w:szCs w:val="24"/>
        </w:rPr>
        <w:t xml:space="preserve"> to </w:t>
      </w:r>
      <w:r w:rsidR="00BD4305">
        <w:rPr>
          <w:szCs w:val="24"/>
        </w:rPr>
        <w:t xml:space="preserve">when the collection begins, </w:t>
      </w:r>
      <w:r w:rsidR="00583461">
        <w:rPr>
          <w:szCs w:val="24"/>
        </w:rPr>
        <w:t xml:space="preserve">to ensure there is no break in the data series required by DOE’s Office of Electricity Delivery and Energy Reliability (DOE-OE). </w:t>
      </w:r>
    </w:p>
    <w:p w:rsidR="00243651" w:rsidRPr="00583461" w:rsidRDefault="00243651" w:rsidP="00DD50F6">
      <w:pPr>
        <w:pStyle w:val="BodyText"/>
        <w:spacing w:before="120" w:after="120"/>
        <w:rPr>
          <w:szCs w:val="24"/>
        </w:rPr>
      </w:pPr>
      <w:r w:rsidRPr="00583461">
        <w:rPr>
          <w:szCs w:val="24"/>
        </w:rPr>
        <w:t>The</w:t>
      </w:r>
      <w:r w:rsidR="006B458B">
        <w:rPr>
          <w:szCs w:val="24"/>
        </w:rPr>
        <w:t xml:space="preserve"> </w:t>
      </w:r>
      <w:r w:rsidR="002D472A">
        <w:rPr>
          <w:szCs w:val="24"/>
        </w:rPr>
        <w:t>F</w:t>
      </w:r>
      <w:r w:rsidR="006B458B">
        <w:rPr>
          <w:szCs w:val="24"/>
        </w:rPr>
        <w:t xml:space="preserve">orm </w:t>
      </w:r>
      <w:r w:rsidR="002D472A">
        <w:rPr>
          <w:szCs w:val="24"/>
        </w:rPr>
        <w:t xml:space="preserve">EIA-111 </w:t>
      </w:r>
      <w:r w:rsidR="006B458B">
        <w:rPr>
          <w:szCs w:val="24"/>
        </w:rPr>
        <w:t>collects the following information</w:t>
      </w:r>
      <w:r w:rsidRPr="00583461">
        <w:rPr>
          <w:szCs w:val="24"/>
        </w:rPr>
        <w:t xml:space="preserve">: </w:t>
      </w:r>
    </w:p>
    <w:p w:rsidR="00243651" w:rsidRPr="00583461" w:rsidRDefault="00454EC8" w:rsidP="00DD50F6">
      <w:pPr>
        <w:pStyle w:val="BodyTextIndent"/>
        <w:numPr>
          <w:ilvl w:val="1"/>
          <w:numId w:val="20"/>
        </w:numPr>
        <w:spacing w:before="120" w:after="120"/>
        <w:rPr>
          <w:szCs w:val="24"/>
        </w:rPr>
      </w:pPr>
      <w:r w:rsidRPr="00583461">
        <w:rPr>
          <w:bCs/>
          <w:szCs w:val="24"/>
        </w:rPr>
        <w:t xml:space="preserve">Electricity </w:t>
      </w:r>
      <w:r w:rsidR="00243651" w:rsidRPr="00583461">
        <w:rPr>
          <w:bCs/>
          <w:szCs w:val="24"/>
        </w:rPr>
        <w:t xml:space="preserve">Imports into the U.S. </w:t>
      </w:r>
      <w:r w:rsidR="006B458B">
        <w:rPr>
          <w:bCs/>
          <w:szCs w:val="24"/>
        </w:rPr>
        <w:t>f</w:t>
      </w:r>
      <w:r w:rsidR="00243651" w:rsidRPr="00583461">
        <w:rPr>
          <w:bCs/>
          <w:szCs w:val="24"/>
        </w:rPr>
        <w:t>rom Canada or Mexico</w:t>
      </w:r>
    </w:p>
    <w:p w:rsidR="00243651" w:rsidRPr="00583461" w:rsidRDefault="00454EC8" w:rsidP="00DD50F6">
      <w:pPr>
        <w:pStyle w:val="BodyTextIndent"/>
        <w:numPr>
          <w:ilvl w:val="1"/>
          <w:numId w:val="20"/>
        </w:numPr>
        <w:spacing w:before="120" w:after="120"/>
        <w:rPr>
          <w:szCs w:val="24"/>
        </w:rPr>
      </w:pPr>
      <w:r w:rsidRPr="00583461">
        <w:rPr>
          <w:szCs w:val="24"/>
        </w:rPr>
        <w:t xml:space="preserve">Electricity </w:t>
      </w:r>
      <w:r w:rsidR="00243651" w:rsidRPr="00583461">
        <w:rPr>
          <w:szCs w:val="24"/>
        </w:rPr>
        <w:t>Exports from the U.S. into Canada or Mexico</w:t>
      </w:r>
    </w:p>
    <w:p w:rsidR="00243651" w:rsidRPr="00583461" w:rsidRDefault="00243651" w:rsidP="00DD50F6">
      <w:pPr>
        <w:pStyle w:val="BodyTextIndent"/>
        <w:numPr>
          <w:ilvl w:val="1"/>
          <w:numId w:val="20"/>
        </w:numPr>
        <w:spacing w:before="120" w:after="120"/>
        <w:rPr>
          <w:szCs w:val="24"/>
        </w:rPr>
      </w:pPr>
      <w:r w:rsidRPr="00583461">
        <w:rPr>
          <w:bCs/>
          <w:szCs w:val="24"/>
        </w:rPr>
        <w:t xml:space="preserve">Transaction Payments and Revenues </w:t>
      </w:r>
    </w:p>
    <w:p w:rsidR="00243651" w:rsidRPr="00583461" w:rsidRDefault="00243651" w:rsidP="00DD50F6">
      <w:pPr>
        <w:pStyle w:val="BodyTextIndent"/>
        <w:numPr>
          <w:ilvl w:val="1"/>
          <w:numId w:val="20"/>
        </w:numPr>
        <w:spacing w:before="120" w:after="120"/>
        <w:rPr>
          <w:szCs w:val="24"/>
        </w:rPr>
      </w:pPr>
      <w:r w:rsidRPr="00583461">
        <w:rPr>
          <w:bCs/>
          <w:szCs w:val="24"/>
        </w:rPr>
        <w:t>Category of Service</w:t>
      </w:r>
      <w:r w:rsidRPr="00583461">
        <w:rPr>
          <w:szCs w:val="24"/>
        </w:rPr>
        <w:t xml:space="preserve"> (Firm, Non-Firm, Exchange or Other)</w:t>
      </w:r>
    </w:p>
    <w:p w:rsidR="00243651" w:rsidRPr="00583461" w:rsidRDefault="00243651" w:rsidP="00DD50F6">
      <w:pPr>
        <w:pStyle w:val="BodyTextIndent"/>
        <w:numPr>
          <w:ilvl w:val="1"/>
          <w:numId w:val="20"/>
        </w:numPr>
        <w:spacing w:before="120" w:after="120"/>
        <w:rPr>
          <w:szCs w:val="24"/>
        </w:rPr>
      </w:pPr>
      <w:r w:rsidRPr="00583461">
        <w:rPr>
          <w:bCs/>
          <w:szCs w:val="24"/>
        </w:rPr>
        <w:t>Transmission Operations</w:t>
      </w:r>
      <w:r w:rsidRPr="00583461">
        <w:rPr>
          <w:szCs w:val="24"/>
        </w:rPr>
        <w:t xml:space="preserve"> (Actual and Implemented Interchange)</w:t>
      </w:r>
    </w:p>
    <w:p w:rsidR="00243651" w:rsidRPr="00583461" w:rsidRDefault="00243651" w:rsidP="00DD50F6">
      <w:pPr>
        <w:pStyle w:val="BodyTextIndent"/>
        <w:numPr>
          <w:ilvl w:val="1"/>
          <w:numId w:val="20"/>
        </w:numPr>
        <w:spacing w:before="120" w:after="120"/>
        <w:rPr>
          <w:szCs w:val="24"/>
        </w:rPr>
      </w:pPr>
      <w:r w:rsidRPr="00583461">
        <w:rPr>
          <w:szCs w:val="24"/>
        </w:rPr>
        <w:t>Exceeded Order Term Events</w:t>
      </w:r>
    </w:p>
    <w:p w:rsidR="00C357E0" w:rsidRDefault="00C357E0">
      <w:pPr>
        <w:pStyle w:val="BodyTextIndent"/>
        <w:ind w:left="0"/>
      </w:pPr>
    </w:p>
    <w:p w:rsidR="007570B9" w:rsidRPr="00583461" w:rsidRDefault="007570B9" w:rsidP="00243651">
      <w:pPr>
        <w:pStyle w:val="BodyTextIndent"/>
        <w:ind w:left="360"/>
      </w:pPr>
      <w:r w:rsidRPr="00583461">
        <w:t>The EIA-111</w:t>
      </w:r>
      <w:r w:rsidR="00425CBB" w:rsidRPr="00583461">
        <w:t xml:space="preserve"> consists of a set of schedules that arrange the collected data into groups.</w:t>
      </w:r>
      <w:r w:rsidR="002D472A">
        <w:t xml:space="preserve"> This information is collected by four schedules or sections. </w:t>
      </w:r>
    </w:p>
    <w:p w:rsidR="006D1A32" w:rsidRPr="00583461" w:rsidRDefault="006D1A32" w:rsidP="00243651">
      <w:pPr>
        <w:pStyle w:val="BodyTextIndent"/>
        <w:ind w:left="360"/>
      </w:pPr>
    </w:p>
    <w:p w:rsidR="00243651" w:rsidRPr="00583461" w:rsidRDefault="00243651" w:rsidP="00243651">
      <w:pPr>
        <w:pStyle w:val="BodyTextIndent"/>
        <w:ind w:left="360"/>
      </w:pPr>
      <w:r w:rsidRPr="00583461">
        <w:rPr>
          <w:b/>
          <w:u w:val="single"/>
        </w:rPr>
        <w:t>Schedule 1</w:t>
      </w:r>
      <w:r w:rsidRPr="00583461">
        <w:t xml:space="preserve"> </w:t>
      </w:r>
      <w:r w:rsidR="00425CBB" w:rsidRPr="00583461">
        <w:t xml:space="preserve">collects and verifies </w:t>
      </w:r>
      <w:r w:rsidRPr="00583461">
        <w:t xml:space="preserve">identification information.  </w:t>
      </w:r>
    </w:p>
    <w:p w:rsidR="00243651" w:rsidRPr="00583461" w:rsidRDefault="00243651" w:rsidP="00243651">
      <w:pPr>
        <w:pStyle w:val="BodyTextIndent"/>
        <w:ind w:left="360"/>
      </w:pPr>
    </w:p>
    <w:p w:rsidR="002C1021" w:rsidRDefault="00243651" w:rsidP="00243651">
      <w:pPr>
        <w:pStyle w:val="BodyTextIndent"/>
        <w:ind w:left="360"/>
      </w:pPr>
      <w:r w:rsidRPr="00583461">
        <w:rPr>
          <w:b/>
          <w:u w:val="single"/>
        </w:rPr>
        <w:t>Schedule 2A</w:t>
      </w:r>
      <w:r w:rsidRPr="00583461">
        <w:t xml:space="preserve"> </w:t>
      </w:r>
      <w:r w:rsidR="00425CBB" w:rsidRPr="00583461">
        <w:t xml:space="preserve">collects </w:t>
      </w:r>
      <w:r w:rsidRPr="00583461">
        <w:t xml:space="preserve">information from Purchasing and Selling Entities (PSEs) and </w:t>
      </w:r>
      <w:r w:rsidR="00695ECA" w:rsidRPr="00583461">
        <w:t>o</w:t>
      </w:r>
      <w:r w:rsidRPr="00583461">
        <w:t xml:space="preserve">rganizations having U.S. Treaty </w:t>
      </w:r>
      <w:r w:rsidR="00F64525">
        <w:t>o</w:t>
      </w:r>
      <w:r w:rsidRPr="00583461">
        <w:t xml:space="preserve">bligations for </w:t>
      </w:r>
      <w:r w:rsidRPr="00583461">
        <w:rPr>
          <w:b/>
        </w:rPr>
        <w:t>Imports into the U.S. from Canada or Mexico</w:t>
      </w:r>
      <w:r w:rsidRPr="00583461">
        <w:t xml:space="preserve">.  </w:t>
      </w:r>
      <w:r w:rsidR="009059BC">
        <w:t xml:space="preserve">Previously on Form OE-781R, </w:t>
      </w:r>
      <w:r w:rsidR="00AC1597">
        <w:t xml:space="preserve">the </w:t>
      </w:r>
      <w:r w:rsidR="009059BC">
        <w:t>EIA</w:t>
      </w:r>
      <w:r w:rsidR="00E942A6">
        <w:t xml:space="preserve"> collected</w:t>
      </w:r>
      <w:r w:rsidR="00741FF0">
        <w:rPr>
          <w:rStyle w:val="CommentReference"/>
        </w:rPr>
        <w:t xml:space="preserve"> </w:t>
      </w:r>
      <w:r w:rsidR="00741FF0">
        <w:rPr>
          <w:rStyle w:val="CommentReference"/>
          <w:sz w:val="24"/>
          <w:szCs w:val="24"/>
        </w:rPr>
        <w:t>in</w:t>
      </w:r>
      <w:r w:rsidR="00CC68E9">
        <w:t>formation only from PSEs that had export authorization</w:t>
      </w:r>
      <w:r w:rsidR="00E942A6">
        <w:t>.</w:t>
      </w:r>
      <w:r w:rsidR="00DD50F6">
        <w:rPr>
          <w:rStyle w:val="FootnoteReference"/>
        </w:rPr>
        <w:footnoteReference w:id="1"/>
      </w:r>
      <w:r w:rsidR="00E942A6">
        <w:t xml:space="preserve"> </w:t>
      </w:r>
    </w:p>
    <w:p w:rsidR="002C1021" w:rsidRDefault="002C1021" w:rsidP="00243651">
      <w:pPr>
        <w:pStyle w:val="BodyTextIndent"/>
        <w:ind w:left="360"/>
      </w:pPr>
    </w:p>
    <w:p w:rsidR="00243651" w:rsidRDefault="00E942A6" w:rsidP="00243651">
      <w:pPr>
        <w:pStyle w:val="BodyTextIndent"/>
        <w:ind w:left="360"/>
      </w:pPr>
      <w:r>
        <w:t>In comparison</w:t>
      </w:r>
      <w:r w:rsidR="005E3C90">
        <w:t xml:space="preserve">, </w:t>
      </w:r>
      <w:r w:rsidR="005E3C90" w:rsidRPr="00583461">
        <w:t>the</w:t>
      </w:r>
      <w:r w:rsidR="00695ECA" w:rsidRPr="00583461">
        <w:t xml:space="preserve"> </w:t>
      </w:r>
      <w:r w:rsidR="00CC68E9">
        <w:t xml:space="preserve">Form </w:t>
      </w:r>
      <w:r w:rsidR="00695ECA" w:rsidRPr="00583461">
        <w:t>EIA</w:t>
      </w:r>
      <w:r w:rsidR="0012540E" w:rsidRPr="00583461">
        <w:t>-111</w:t>
      </w:r>
      <w:r w:rsidR="00695ECA" w:rsidRPr="00583461">
        <w:t xml:space="preserve"> will </w:t>
      </w:r>
      <w:r w:rsidR="00243651" w:rsidRPr="00583461">
        <w:t xml:space="preserve">collect information from PSEs who may not have an </w:t>
      </w:r>
      <w:r w:rsidR="00556E25" w:rsidRPr="00583461">
        <w:t>export authorization</w:t>
      </w:r>
      <w:r w:rsidR="00915EBC">
        <w:t xml:space="preserve"> but are</w:t>
      </w:r>
      <w:r w:rsidR="00296A6A">
        <w:t xml:space="preserve"> </w:t>
      </w:r>
      <w:r w:rsidR="00243651" w:rsidRPr="00583461">
        <w:t>authorized by the National Energy Board of Canada (NEB) to export from Canada into the U.S</w:t>
      </w:r>
      <w:r w:rsidR="00A161BF" w:rsidRPr="00583461">
        <w:t xml:space="preserve">.  </w:t>
      </w:r>
      <w:r w:rsidR="00243651" w:rsidRPr="00583461">
        <w:t xml:space="preserve">By </w:t>
      </w:r>
      <w:r w:rsidR="00D95350" w:rsidRPr="00583461">
        <w:t xml:space="preserve">requiring </w:t>
      </w:r>
      <w:r w:rsidR="00243651" w:rsidRPr="00583461">
        <w:t xml:space="preserve">these PSEs to file the EIA-111, </w:t>
      </w:r>
      <w:r w:rsidR="00DA391C" w:rsidRPr="00583461">
        <w:t xml:space="preserve">we </w:t>
      </w:r>
      <w:r w:rsidR="00243651" w:rsidRPr="00583461">
        <w:t xml:space="preserve">will </w:t>
      </w:r>
      <w:r w:rsidR="00DA391C" w:rsidRPr="00583461">
        <w:t xml:space="preserve">be </w:t>
      </w:r>
      <w:r w:rsidR="00243651" w:rsidRPr="00583461">
        <w:t>improv</w:t>
      </w:r>
      <w:r w:rsidR="00DA391C" w:rsidRPr="00583461">
        <w:t xml:space="preserve">ing </w:t>
      </w:r>
      <w:r w:rsidR="00243651" w:rsidRPr="00583461">
        <w:t>the collection of data for all imports into the U.S.</w:t>
      </w:r>
    </w:p>
    <w:p w:rsidR="00BD3F5E" w:rsidRDefault="00BD3F5E" w:rsidP="00243651">
      <w:pPr>
        <w:pStyle w:val="BodyTextIndent"/>
        <w:ind w:left="360"/>
      </w:pPr>
    </w:p>
    <w:p w:rsidR="00243651" w:rsidRPr="00583461" w:rsidRDefault="000444AA" w:rsidP="00243651">
      <w:pPr>
        <w:pStyle w:val="BodyTextIndent"/>
        <w:ind w:left="360"/>
      </w:pPr>
      <w:r>
        <w:lastRenderedPageBreak/>
        <w:t xml:space="preserve">PSEs will report the volume and revenue of all imports </w:t>
      </w:r>
      <w:r w:rsidR="00243651" w:rsidRPr="00583461">
        <w:t>by Foreign Source and U.S. Sink Balancing Authority</w:t>
      </w:r>
      <w:r w:rsidR="00583461" w:rsidRPr="00583461">
        <w:rPr>
          <w:rStyle w:val="FootnoteReference"/>
          <w:szCs w:val="24"/>
        </w:rPr>
        <w:footnoteReference w:id="2"/>
      </w:r>
      <w:r w:rsidR="00243651" w:rsidRPr="00583461">
        <w:t xml:space="preserve"> Areas.  </w:t>
      </w:r>
      <w:r w:rsidR="00230A96" w:rsidRPr="00583461">
        <w:t xml:space="preserve">The </w:t>
      </w:r>
      <w:r>
        <w:t xml:space="preserve">PSEs </w:t>
      </w:r>
      <w:r w:rsidR="00230A96" w:rsidRPr="00583461">
        <w:t xml:space="preserve">that are required to file the </w:t>
      </w:r>
      <w:r w:rsidR="00296A6A">
        <w:t xml:space="preserve">Form </w:t>
      </w:r>
      <w:r w:rsidR="00230A96" w:rsidRPr="00583461">
        <w:t xml:space="preserve">EIA-111 should report the transfer facility’s Presidential </w:t>
      </w:r>
      <w:r w:rsidR="00243651" w:rsidRPr="00583461">
        <w:t>Permit</w:t>
      </w:r>
      <w:r w:rsidR="000622D3" w:rsidRPr="00583461">
        <w:rPr>
          <w:rStyle w:val="FootnoteReference"/>
        </w:rPr>
        <w:footnoteReference w:id="3"/>
      </w:r>
      <w:r w:rsidR="00243651" w:rsidRPr="00583461">
        <w:t xml:space="preserve"> </w:t>
      </w:r>
      <w:r w:rsidR="00DC258C" w:rsidRPr="00583461">
        <w:t>(PP) n</w:t>
      </w:r>
      <w:r w:rsidR="00243651" w:rsidRPr="00583461">
        <w:t>umber, e.</w:t>
      </w:r>
      <w:r w:rsidR="009C118F" w:rsidRPr="00583461">
        <w:t>g.</w:t>
      </w:r>
      <w:r w:rsidR="00243651" w:rsidRPr="00583461">
        <w:t>, PP-101-A</w:t>
      </w:r>
      <w:r w:rsidR="00CE1057">
        <w:t>.</w:t>
      </w:r>
      <w:r w:rsidR="00F44573">
        <w:t xml:space="preserve"> </w:t>
      </w:r>
      <w:r w:rsidR="00CE1057">
        <w:t xml:space="preserve"> In those rare cases where the transfer facility does not have a </w:t>
      </w:r>
      <w:r w:rsidR="00316B0B">
        <w:t>PP</w:t>
      </w:r>
      <w:r w:rsidR="00CE1057">
        <w:t xml:space="preserve">, </w:t>
      </w:r>
      <w:r w:rsidR="00316B0B">
        <w:t xml:space="preserve">the entity should </w:t>
      </w:r>
      <w:r w:rsidR="00CE1057">
        <w:t>enter</w:t>
      </w:r>
      <w:r w:rsidR="00695ECA" w:rsidRPr="00583461">
        <w:t xml:space="preserve"> </w:t>
      </w:r>
      <w:r w:rsidR="00230A96" w:rsidRPr="00583461">
        <w:t xml:space="preserve">the </w:t>
      </w:r>
      <w:r w:rsidR="00243651" w:rsidRPr="00583461">
        <w:t>Transmission</w:t>
      </w:r>
      <w:r w:rsidR="00F64525">
        <w:t xml:space="preserve"> </w:t>
      </w:r>
      <w:r w:rsidR="00243651" w:rsidRPr="00583461">
        <w:t>Service Provider</w:t>
      </w:r>
      <w:r w:rsidR="00CE1057">
        <w:t>’</w:t>
      </w:r>
      <w:r w:rsidR="00243651" w:rsidRPr="00583461">
        <w:t xml:space="preserve">s </w:t>
      </w:r>
      <w:r w:rsidR="00CE1057">
        <w:t>n</w:t>
      </w:r>
      <w:r w:rsidR="00243651" w:rsidRPr="00583461">
        <w:t>ame</w:t>
      </w:r>
      <w:r w:rsidR="00695ECA" w:rsidRPr="00583461">
        <w:t>.</w:t>
      </w:r>
      <w:r w:rsidR="007B4CD2" w:rsidRPr="00583461">
        <w:t xml:space="preserve"> </w:t>
      </w:r>
    </w:p>
    <w:p w:rsidR="00243651" w:rsidRPr="00583461" w:rsidRDefault="00243651" w:rsidP="00243651">
      <w:pPr>
        <w:pStyle w:val="BodyTextIndent"/>
        <w:ind w:left="360"/>
      </w:pPr>
    </w:p>
    <w:p w:rsidR="00243651" w:rsidRPr="00583461" w:rsidRDefault="00A01A34" w:rsidP="00243651">
      <w:pPr>
        <w:pStyle w:val="BodyTextIndent"/>
        <w:ind w:left="0" w:firstLine="360"/>
      </w:pPr>
      <w:r w:rsidRPr="00583461">
        <w:t xml:space="preserve">Key </w:t>
      </w:r>
      <w:r w:rsidR="00243651" w:rsidRPr="00583461">
        <w:t>information required:</w:t>
      </w:r>
    </w:p>
    <w:p w:rsidR="005F3D4E" w:rsidRPr="00583461" w:rsidRDefault="005F3D4E" w:rsidP="00243651">
      <w:pPr>
        <w:pStyle w:val="BodyTextIndent"/>
        <w:ind w:left="0" w:firstLine="360"/>
      </w:pPr>
    </w:p>
    <w:p w:rsidR="00243651" w:rsidRPr="00583461" w:rsidRDefault="00243651" w:rsidP="00243651">
      <w:pPr>
        <w:pStyle w:val="BodyTextIndent"/>
        <w:numPr>
          <w:ilvl w:val="0"/>
          <w:numId w:val="42"/>
        </w:numPr>
      </w:pPr>
      <w:r w:rsidRPr="00583461">
        <w:t>Category of Service (Firm, Non-firm, Exchange, Other)</w:t>
      </w:r>
    </w:p>
    <w:p w:rsidR="00243651" w:rsidRPr="00583461" w:rsidRDefault="00243651" w:rsidP="00243651">
      <w:pPr>
        <w:pStyle w:val="BodyTextIndent"/>
        <w:numPr>
          <w:ilvl w:val="0"/>
          <w:numId w:val="42"/>
        </w:numPr>
      </w:pPr>
      <w:r w:rsidRPr="00583461">
        <w:t>Energy Purchases/Exchange Imports (</w:t>
      </w:r>
      <w:proofErr w:type="spellStart"/>
      <w:r w:rsidRPr="00583461">
        <w:t>MWh</w:t>
      </w:r>
      <w:proofErr w:type="spellEnd"/>
      <w:r w:rsidRPr="00583461">
        <w:t>)</w:t>
      </w:r>
    </w:p>
    <w:p w:rsidR="00243651" w:rsidRPr="00583461" w:rsidRDefault="00243651" w:rsidP="00243651">
      <w:pPr>
        <w:pStyle w:val="BodyTextIndent"/>
        <w:numPr>
          <w:ilvl w:val="0"/>
          <w:numId w:val="42"/>
        </w:numPr>
      </w:pPr>
      <w:r w:rsidRPr="00583461">
        <w:t>Energy Payments ($U.S.)</w:t>
      </w:r>
    </w:p>
    <w:p w:rsidR="00243651" w:rsidRPr="00583461" w:rsidRDefault="00243651" w:rsidP="00243651">
      <w:pPr>
        <w:pStyle w:val="BodyTextIndent"/>
        <w:numPr>
          <w:ilvl w:val="0"/>
          <w:numId w:val="42"/>
        </w:numPr>
      </w:pPr>
      <w:r w:rsidRPr="00583461">
        <w:t>Other Payments ($U.S.)</w:t>
      </w:r>
    </w:p>
    <w:p w:rsidR="00243651" w:rsidRPr="00583461" w:rsidRDefault="00243651" w:rsidP="00243651">
      <w:pPr>
        <w:pStyle w:val="BodyTextIndent"/>
        <w:numPr>
          <w:ilvl w:val="0"/>
          <w:numId w:val="42"/>
        </w:numPr>
      </w:pPr>
      <w:r w:rsidRPr="00583461">
        <w:t>Total Payments ($U.S.)</w:t>
      </w:r>
    </w:p>
    <w:p w:rsidR="00243651" w:rsidRPr="00583461" w:rsidRDefault="00243651" w:rsidP="00243651">
      <w:pPr>
        <w:pStyle w:val="BodyTextIndent"/>
        <w:ind w:left="360"/>
      </w:pPr>
    </w:p>
    <w:p w:rsidR="00243651" w:rsidRPr="00583461" w:rsidRDefault="00243651" w:rsidP="009B6EEE">
      <w:pPr>
        <w:pStyle w:val="BodyTextIndent"/>
        <w:ind w:left="360"/>
      </w:pPr>
      <w:r w:rsidRPr="00583461">
        <w:rPr>
          <w:b/>
          <w:u w:val="single"/>
        </w:rPr>
        <w:t>Schedule 2B</w:t>
      </w:r>
      <w:r w:rsidRPr="00583461">
        <w:t xml:space="preserve"> collects information from Purchasing and Selling Entities and Organizations having U.S. </w:t>
      </w:r>
      <w:r w:rsidR="00F64525">
        <w:t>T</w:t>
      </w:r>
      <w:r w:rsidR="00583461" w:rsidRPr="00583461">
        <w:t xml:space="preserve">reaty </w:t>
      </w:r>
      <w:r w:rsidRPr="00583461">
        <w:t xml:space="preserve">obligations for </w:t>
      </w:r>
      <w:r w:rsidRPr="00583461">
        <w:rPr>
          <w:b/>
        </w:rPr>
        <w:t>Exports from the U.S. into Canada or Mexico</w:t>
      </w:r>
      <w:r w:rsidRPr="00583461">
        <w:t xml:space="preserve">.  All exporting PSEs are required to hold a </w:t>
      </w:r>
      <w:r w:rsidR="009C6036" w:rsidRPr="00583461">
        <w:t>valid</w:t>
      </w:r>
      <w:r w:rsidRPr="00583461">
        <w:t xml:space="preserve"> </w:t>
      </w:r>
      <w:r w:rsidR="00583461">
        <w:t>E</w:t>
      </w:r>
      <w:r w:rsidR="00583461" w:rsidRPr="00583461">
        <w:t xml:space="preserve">xport </w:t>
      </w:r>
      <w:r w:rsidR="00583461">
        <w:t>A</w:t>
      </w:r>
      <w:r w:rsidR="00583461" w:rsidRPr="00583461">
        <w:t>uthorization</w:t>
      </w:r>
      <w:r w:rsidR="00583461" w:rsidRPr="00583461">
        <w:rPr>
          <w:rStyle w:val="FootnoteReference"/>
        </w:rPr>
        <w:footnoteReference w:id="4"/>
      </w:r>
      <w:r w:rsidR="00583461" w:rsidRPr="00583461">
        <w:t xml:space="preserve"> </w:t>
      </w:r>
      <w:r w:rsidRPr="00583461">
        <w:t xml:space="preserve">to export electricity </w:t>
      </w:r>
      <w:r w:rsidR="00583461">
        <w:t>from</w:t>
      </w:r>
      <w:r w:rsidRPr="00583461">
        <w:t xml:space="preserve"> the U.S. and </w:t>
      </w:r>
      <w:r w:rsidR="004517F0">
        <w:t>are</w:t>
      </w:r>
      <w:r w:rsidRPr="00583461">
        <w:t xml:space="preserve"> required to file Form EIA-111.  </w:t>
      </w:r>
      <w:r w:rsidR="000444AA">
        <w:t>PSEs will report t</w:t>
      </w:r>
      <w:r w:rsidRPr="00583461">
        <w:t xml:space="preserve">he volume and </w:t>
      </w:r>
      <w:r w:rsidR="002D60ED" w:rsidRPr="00583461">
        <w:t xml:space="preserve">revenues </w:t>
      </w:r>
      <w:r w:rsidRPr="00583461">
        <w:t xml:space="preserve">of all exports by U.S. Source and Foreign Sink Balancing Authority Areas.  </w:t>
      </w:r>
      <w:r w:rsidR="006C5589" w:rsidRPr="001D3C29">
        <w:t>The</w:t>
      </w:r>
      <w:r w:rsidR="000444AA">
        <w:t xml:space="preserve"> PSEs</w:t>
      </w:r>
      <w:r w:rsidR="006C5589" w:rsidRPr="001D3C29">
        <w:t xml:space="preserve"> that are required to file the </w:t>
      </w:r>
      <w:r w:rsidR="000444AA">
        <w:t xml:space="preserve">Form </w:t>
      </w:r>
      <w:r w:rsidR="006C5589" w:rsidRPr="001D3C29">
        <w:t>EIA-111 should have a valid Export Authorization and are required to report the export authorization number, e.g., EA-101.</w:t>
      </w:r>
      <w:r w:rsidRPr="00583461">
        <w:t xml:space="preserve">  </w:t>
      </w:r>
      <w:r w:rsidR="00556E25" w:rsidRPr="00583461">
        <w:t xml:space="preserve">The reporting </w:t>
      </w:r>
      <w:r w:rsidR="000444AA">
        <w:t xml:space="preserve">PSE </w:t>
      </w:r>
      <w:r w:rsidR="00583461">
        <w:t>will</w:t>
      </w:r>
      <w:r w:rsidR="00583461" w:rsidRPr="00583461">
        <w:t xml:space="preserve"> </w:t>
      </w:r>
      <w:r w:rsidR="00556E25" w:rsidRPr="00583461">
        <w:t xml:space="preserve">also report the transfer facility’s </w:t>
      </w:r>
      <w:r w:rsidR="00316B0B">
        <w:t xml:space="preserve">PP </w:t>
      </w:r>
      <w:r w:rsidR="00556E25" w:rsidRPr="00583461">
        <w:t>number</w:t>
      </w:r>
      <w:r w:rsidR="00A161BF" w:rsidRPr="00583461">
        <w:t>.</w:t>
      </w:r>
      <w:r w:rsidR="00550F2E">
        <w:t xml:space="preserve"> In those rare cases where the transfer facility does not have a </w:t>
      </w:r>
      <w:r w:rsidR="00316B0B">
        <w:t>PP</w:t>
      </w:r>
      <w:r w:rsidR="00550F2E">
        <w:t xml:space="preserve">, </w:t>
      </w:r>
      <w:r w:rsidR="005E3C90">
        <w:t>the PSE</w:t>
      </w:r>
      <w:r w:rsidR="000444AA">
        <w:t xml:space="preserve"> </w:t>
      </w:r>
      <w:r w:rsidR="00316B0B">
        <w:t xml:space="preserve">should </w:t>
      </w:r>
      <w:r w:rsidR="00550F2E">
        <w:t>enter</w:t>
      </w:r>
      <w:r w:rsidR="00550F2E" w:rsidRPr="00583461">
        <w:t xml:space="preserve"> the Transmission Service Provider</w:t>
      </w:r>
      <w:r w:rsidR="00550F2E">
        <w:t>’</w:t>
      </w:r>
      <w:r w:rsidR="00550F2E" w:rsidRPr="00583461">
        <w:t xml:space="preserve">s </w:t>
      </w:r>
      <w:r w:rsidR="00550F2E">
        <w:t>n</w:t>
      </w:r>
      <w:r w:rsidR="00550F2E" w:rsidRPr="00583461">
        <w:t xml:space="preserve">ame. </w:t>
      </w:r>
    </w:p>
    <w:p w:rsidR="00583461" w:rsidRDefault="00583461" w:rsidP="00243651">
      <w:pPr>
        <w:pStyle w:val="BodyTextIndent"/>
        <w:ind w:left="360"/>
      </w:pPr>
    </w:p>
    <w:p w:rsidR="00243651" w:rsidRPr="00583461" w:rsidRDefault="00A01A34" w:rsidP="00243651">
      <w:pPr>
        <w:pStyle w:val="BodyTextIndent"/>
        <w:ind w:left="360"/>
      </w:pPr>
      <w:r w:rsidRPr="00583461">
        <w:t xml:space="preserve">Key </w:t>
      </w:r>
      <w:r w:rsidR="00243651" w:rsidRPr="00583461">
        <w:t>information required:</w:t>
      </w:r>
    </w:p>
    <w:p w:rsidR="005F3D4E" w:rsidRPr="00583461" w:rsidRDefault="005F3D4E" w:rsidP="00243651">
      <w:pPr>
        <w:pStyle w:val="BodyTextIndent"/>
        <w:ind w:left="360"/>
      </w:pPr>
    </w:p>
    <w:p w:rsidR="00243651" w:rsidRPr="00583461" w:rsidRDefault="00243651" w:rsidP="00243651">
      <w:pPr>
        <w:pStyle w:val="BodyTextIndent"/>
        <w:numPr>
          <w:ilvl w:val="0"/>
          <w:numId w:val="42"/>
        </w:numPr>
      </w:pPr>
      <w:r w:rsidRPr="00583461">
        <w:t xml:space="preserve">Category of Service (Firm, Non-firm, </w:t>
      </w:r>
      <w:r w:rsidR="009C6036" w:rsidRPr="00583461">
        <w:t>Exchange</w:t>
      </w:r>
      <w:r w:rsidRPr="00583461">
        <w:t>, Other)</w:t>
      </w:r>
    </w:p>
    <w:p w:rsidR="00243651" w:rsidRPr="00583461" w:rsidRDefault="00243651" w:rsidP="00243651">
      <w:pPr>
        <w:pStyle w:val="BodyTextIndent"/>
        <w:numPr>
          <w:ilvl w:val="0"/>
          <w:numId w:val="42"/>
        </w:numPr>
      </w:pPr>
      <w:r w:rsidRPr="00583461">
        <w:t>Energy Sales/Exchange Exports (</w:t>
      </w:r>
      <w:proofErr w:type="spellStart"/>
      <w:r w:rsidRPr="00583461">
        <w:t>MWh</w:t>
      </w:r>
      <w:proofErr w:type="spellEnd"/>
      <w:r w:rsidRPr="00583461">
        <w:t>)</w:t>
      </w:r>
    </w:p>
    <w:p w:rsidR="00243651" w:rsidRPr="00583461" w:rsidRDefault="00243651" w:rsidP="00243651">
      <w:pPr>
        <w:pStyle w:val="BodyTextIndent"/>
        <w:numPr>
          <w:ilvl w:val="0"/>
          <w:numId w:val="42"/>
        </w:numPr>
      </w:pPr>
      <w:r w:rsidRPr="00583461">
        <w:t>Energy Revenues ($U.S.)</w:t>
      </w:r>
    </w:p>
    <w:p w:rsidR="00243651" w:rsidRPr="00583461" w:rsidRDefault="00243651" w:rsidP="00243651">
      <w:pPr>
        <w:pStyle w:val="BodyTextIndent"/>
        <w:numPr>
          <w:ilvl w:val="0"/>
          <w:numId w:val="42"/>
        </w:numPr>
      </w:pPr>
      <w:r w:rsidRPr="00583461">
        <w:t>Other Revenues ($U.S.)</w:t>
      </w:r>
    </w:p>
    <w:p w:rsidR="00243651" w:rsidRPr="00583461" w:rsidRDefault="00243651" w:rsidP="00243651">
      <w:pPr>
        <w:pStyle w:val="BodyTextIndent"/>
        <w:numPr>
          <w:ilvl w:val="0"/>
          <w:numId w:val="42"/>
        </w:numPr>
      </w:pPr>
      <w:r w:rsidRPr="00583461">
        <w:t>Total Revenues ($U.S.)</w:t>
      </w:r>
    </w:p>
    <w:p w:rsidR="008666E7" w:rsidRPr="00583461" w:rsidRDefault="008666E7" w:rsidP="008666E7">
      <w:pPr>
        <w:pStyle w:val="BodyTextIndent"/>
        <w:ind w:left="1080"/>
      </w:pPr>
    </w:p>
    <w:p w:rsidR="00243651" w:rsidRPr="00583461" w:rsidRDefault="00243651" w:rsidP="00243651">
      <w:pPr>
        <w:pStyle w:val="BodyText"/>
        <w:ind w:left="360"/>
        <w:rPr>
          <w:szCs w:val="24"/>
        </w:rPr>
      </w:pPr>
      <w:r w:rsidRPr="00583461">
        <w:rPr>
          <w:b/>
          <w:szCs w:val="24"/>
          <w:u w:val="single"/>
        </w:rPr>
        <w:t>Schedule 3A</w:t>
      </w:r>
      <w:r w:rsidRPr="00583461">
        <w:rPr>
          <w:szCs w:val="24"/>
        </w:rPr>
        <w:t xml:space="preserve"> collects information </w:t>
      </w:r>
      <w:r w:rsidR="0073167E">
        <w:rPr>
          <w:szCs w:val="24"/>
        </w:rPr>
        <w:t>from U.S. Border Balancing Authorit</w:t>
      </w:r>
      <w:r w:rsidR="00252D41">
        <w:rPr>
          <w:szCs w:val="24"/>
        </w:rPr>
        <w:t>ies</w:t>
      </w:r>
      <w:r w:rsidR="0073167E">
        <w:rPr>
          <w:szCs w:val="24"/>
        </w:rPr>
        <w:t xml:space="preserve"> </w:t>
      </w:r>
      <w:r w:rsidRPr="00583461">
        <w:rPr>
          <w:szCs w:val="24"/>
        </w:rPr>
        <w:t xml:space="preserve">on </w:t>
      </w:r>
      <w:r w:rsidRPr="00583461">
        <w:rPr>
          <w:b/>
          <w:szCs w:val="24"/>
        </w:rPr>
        <w:t>Actual Interchange</w:t>
      </w:r>
      <w:r w:rsidRPr="00583461">
        <w:rPr>
          <w:szCs w:val="24"/>
        </w:rPr>
        <w:t xml:space="preserve">. Actual interchange is the metered value of electricity that flows from one balancing authority area to another.  Actual interchange across U.S. borders involves only the balancing authorities that are directly interconnected with foreign </w:t>
      </w:r>
      <w:r w:rsidR="00123DC3">
        <w:rPr>
          <w:szCs w:val="24"/>
        </w:rPr>
        <w:t xml:space="preserve">(Canadian or Mexican) </w:t>
      </w:r>
      <w:r w:rsidRPr="00583461">
        <w:rPr>
          <w:szCs w:val="24"/>
        </w:rPr>
        <w:t xml:space="preserve">balancing authorities.  The actual interchange is to be measured on an </w:t>
      </w:r>
      <w:r w:rsidR="009C6036" w:rsidRPr="00583461">
        <w:rPr>
          <w:szCs w:val="24"/>
        </w:rPr>
        <w:t>hourly</w:t>
      </w:r>
      <w:r w:rsidRPr="00583461">
        <w:rPr>
          <w:szCs w:val="24"/>
        </w:rPr>
        <w:t xml:space="preserve"> integrated basis in megawatt-hours</w:t>
      </w:r>
      <w:r w:rsidR="00583461">
        <w:rPr>
          <w:szCs w:val="24"/>
        </w:rPr>
        <w:t xml:space="preserve"> (</w:t>
      </w:r>
      <w:proofErr w:type="spellStart"/>
      <w:r w:rsidR="00583461">
        <w:rPr>
          <w:szCs w:val="24"/>
        </w:rPr>
        <w:t>MWh</w:t>
      </w:r>
      <w:proofErr w:type="spellEnd"/>
      <w:r w:rsidR="00583461">
        <w:rPr>
          <w:szCs w:val="24"/>
        </w:rPr>
        <w:t>)</w:t>
      </w:r>
      <w:r w:rsidRPr="00583461">
        <w:rPr>
          <w:szCs w:val="24"/>
        </w:rPr>
        <w:t>.</w:t>
      </w:r>
    </w:p>
    <w:p w:rsidR="00243651" w:rsidRPr="00583461" w:rsidRDefault="00243651" w:rsidP="00243651">
      <w:pPr>
        <w:pStyle w:val="BodyText"/>
        <w:ind w:left="360"/>
        <w:rPr>
          <w:szCs w:val="24"/>
        </w:rPr>
      </w:pPr>
    </w:p>
    <w:p w:rsidR="00243651" w:rsidRPr="00583461" w:rsidRDefault="00A01A34" w:rsidP="00243651">
      <w:pPr>
        <w:pStyle w:val="BodyText"/>
        <w:ind w:left="360"/>
        <w:rPr>
          <w:szCs w:val="24"/>
        </w:rPr>
      </w:pPr>
      <w:r w:rsidRPr="00583461">
        <w:rPr>
          <w:szCs w:val="24"/>
        </w:rPr>
        <w:lastRenderedPageBreak/>
        <w:t>Key</w:t>
      </w:r>
      <w:r w:rsidR="00243651" w:rsidRPr="00583461">
        <w:rPr>
          <w:szCs w:val="24"/>
        </w:rPr>
        <w:t xml:space="preserve"> </w:t>
      </w:r>
      <w:r w:rsidR="009C6036" w:rsidRPr="00583461">
        <w:rPr>
          <w:szCs w:val="24"/>
        </w:rPr>
        <w:t>information</w:t>
      </w:r>
      <w:r w:rsidR="00243651" w:rsidRPr="00583461">
        <w:rPr>
          <w:szCs w:val="24"/>
        </w:rPr>
        <w:t xml:space="preserve"> required:</w:t>
      </w:r>
    </w:p>
    <w:p w:rsidR="00243651" w:rsidRPr="00583461" w:rsidRDefault="00243651" w:rsidP="00243651">
      <w:pPr>
        <w:pStyle w:val="BodyText"/>
        <w:ind w:left="360"/>
        <w:rPr>
          <w:szCs w:val="24"/>
        </w:rPr>
      </w:pPr>
    </w:p>
    <w:p w:rsidR="00243651" w:rsidRPr="00583461" w:rsidRDefault="00243651" w:rsidP="00243651">
      <w:pPr>
        <w:pStyle w:val="BodyText"/>
        <w:numPr>
          <w:ilvl w:val="0"/>
          <w:numId w:val="43"/>
        </w:numPr>
        <w:rPr>
          <w:szCs w:val="24"/>
        </w:rPr>
      </w:pPr>
      <w:r w:rsidRPr="00583461">
        <w:rPr>
          <w:szCs w:val="24"/>
        </w:rPr>
        <w:t>Actual Interchange Received and Delivered (</w:t>
      </w:r>
      <w:proofErr w:type="spellStart"/>
      <w:r w:rsidRPr="00583461">
        <w:rPr>
          <w:szCs w:val="24"/>
        </w:rPr>
        <w:t>MWh</w:t>
      </w:r>
      <w:proofErr w:type="spellEnd"/>
      <w:r w:rsidRPr="00583461">
        <w:rPr>
          <w:szCs w:val="24"/>
        </w:rPr>
        <w:t>)</w:t>
      </w:r>
    </w:p>
    <w:p w:rsidR="00243651" w:rsidRDefault="00243651" w:rsidP="00243651">
      <w:pPr>
        <w:pStyle w:val="BodyText"/>
        <w:numPr>
          <w:ilvl w:val="0"/>
          <w:numId w:val="43"/>
        </w:numPr>
        <w:rPr>
          <w:szCs w:val="24"/>
        </w:rPr>
      </w:pPr>
      <w:r w:rsidRPr="00583461">
        <w:rPr>
          <w:szCs w:val="24"/>
        </w:rPr>
        <w:t xml:space="preserve">The Canadian or Mexican Balancing Authority directly interconnected with U.S. </w:t>
      </w:r>
      <w:r w:rsidR="008C36FB">
        <w:rPr>
          <w:szCs w:val="24"/>
        </w:rPr>
        <w:t xml:space="preserve">Border </w:t>
      </w:r>
      <w:r w:rsidRPr="00583461">
        <w:rPr>
          <w:szCs w:val="24"/>
        </w:rPr>
        <w:t>Balancing Authorities</w:t>
      </w:r>
    </w:p>
    <w:p w:rsidR="00243651" w:rsidRPr="00583461" w:rsidRDefault="00243651" w:rsidP="00243651">
      <w:pPr>
        <w:pStyle w:val="BodyText"/>
        <w:ind w:left="1080"/>
        <w:rPr>
          <w:szCs w:val="24"/>
        </w:rPr>
      </w:pPr>
    </w:p>
    <w:p w:rsidR="00CF60EB" w:rsidRPr="00CF60EB" w:rsidRDefault="00DD50F6" w:rsidP="00CF60EB">
      <w:pPr>
        <w:ind w:left="360"/>
        <w:rPr>
          <w:sz w:val="24"/>
        </w:rPr>
      </w:pPr>
      <w:r>
        <w:rPr>
          <w:sz w:val="24"/>
        </w:rPr>
        <w:t xml:space="preserve">Note that </w:t>
      </w:r>
      <w:r w:rsidRPr="00DD50F6">
        <w:rPr>
          <w:sz w:val="24"/>
        </w:rPr>
        <w:t>Schedules 2A and 2B collect trade data (sales revenues or payments, volume, and contract type) from wholesale buyers and sellers.  Schedules 3A and 3B collects the measured value of electricity transfers between electric systems over the border.  The respondents on these schedules are different and they are reporting different aspects of import and export activity. The former involves commercial activity and the latter involves operational activity.</w:t>
      </w:r>
    </w:p>
    <w:p w:rsidR="00CF60EB" w:rsidRDefault="00CF60EB" w:rsidP="00243651">
      <w:pPr>
        <w:pStyle w:val="BodyText"/>
        <w:ind w:left="360"/>
        <w:rPr>
          <w:b/>
          <w:szCs w:val="24"/>
          <w:u w:val="single"/>
        </w:rPr>
      </w:pPr>
    </w:p>
    <w:p w:rsidR="00CF60EB" w:rsidRDefault="00CF60EB" w:rsidP="00243651">
      <w:pPr>
        <w:pStyle w:val="BodyText"/>
        <w:ind w:left="360"/>
        <w:rPr>
          <w:b/>
          <w:szCs w:val="24"/>
          <w:u w:val="single"/>
        </w:rPr>
      </w:pPr>
    </w:p>
    <w:p w:rsidR="00243651" w:rsidRPr="00583461" w:rsidRDefault="00243651" w:rsidP="00243651">
      <w:pPr>
        <w:pStyle w:val="BodyText"/>
        <w:ind w:left="360"/>
        <w:rPr>
          <w:rFonts w:cs="Arial"/>
          <w:bCs/>
          <w:color w:val="000000"/>
        </w:rPr>
      </w:pPr>
      <w:r w:rsidRPr="00583461">
        <w:rPr>
          <w:b/>
          <w:szCs w:val="24"/>
          <w:u w:val="single"/>
        </w:rPr>
        <w:t>Schedule 3B</w:t>
      </w:r>
      <w:r w:rsidRPr="00583461">
        <w:rPr>
          <w:szCs w:val="24"/>
        </w:rPr>
        <w:t xml:space="preserve"> collects information </w:t>
      </w:r>
      <w:r w:rsidR="0073167E">
        <w:rPr>
          <w:szCs w:val="24"/>
        </w:rPr>
        <w:t>from U.S. Border Balancing Authorit</w:t>
      </w:r>
      <w:r w:rsidR="00123DC3">
        <w:rPr>
          <w:szCs w:val="24"/>
        </w:rPr>
        <w:t>ies</w:t>
      </w:r>
      <w:r w:rsidR="0073167E">
        <w:rPr>
          <w:szCs w:val="24"/>
        </w:rPr>
        <w:t xml:space="preserve"> </w:t>
      </w:r>
      <w:r w:rsidRPr="00583461">
        <w:rPr>
          <w:szCs w:val="24"/>
        </w:rPr>
        <w:t xml:space="preserve">on </w:t>
      </w:r>
      <w:r w:rsidRPr="00583461">
        <w:rPr>
          <w:b/>
          <w:szCs w:val="24"/>
        </w:rPr>
        <w:t>Implemented Interchange.</w:t>
      </w:r>
      <w:r w:rsidRPr="00583461">
        <w:rPr>
          <w:szCs w:val="24"/>
        </w:rPr>
        <w:t xml:space="preserve">  </w:t>
      </w:r>
      <w:r w:rsidR="00FD14CA" w:rsidRPr="00583461">
        <w:rPr>
          <w:szCs w:val="24"/>
        </w:rPr>
        <w:t xml:space="preserve">Implemented interchange is </w:t>
      </w:r>
      <w:r w:rsidR="00FD14CA" w:rsidRPr="00583461">
        <w:rPr>
          <w:rFonts w:cs="Arial"/>
          <w:bCs/>
          <w:color w:val="000000"/>
        </w:rPr>
        <w:t xml:space="preserve">the interchange values that the Balancing Authority enters into its Area Control error equation, i.e., uses to balance supply and demand of its electric system.   </w:t>
      </w:r>
      <w:r w:rsidRPr="00583461">
        <w:rPr>
          <w:szCs w:val="24"/>
        </w:rPr>
        <w:t xml:space="preserve">U.S. Border Balancing Authorities are required to report the implemented interchange that crosses international borders via their system.  </w:t>
      </w:r>
    </w:p>
    <w:p w:rsidR="00243651" w:rsidRPr="00583461" w:rsidRDefault="00243651" w:rsidP="00243651">
      <w:pPr>
        <w:pStyle w:val="BodyText"/>
        <w:ind w:left="360"/>
        <w:rPr>
          <w:szCs w:val="24"/>
        </w:rPr>
      </w:pPr>
    </w:p>
    <w:p w:rsidR="009B3B85" w:rsidRDefault="0012540E" w:rsidP="00243651">
      <w:pPr>
        <w:pStyle w:val="BodyText"/>
        <w:ind w:left="360"/>
        <w:rPr>
          <w:szCs w:val="24"/>
        </w:rPr>
      </w:pPr>
      <w:r w:rsidRPr="00583461">
        <w:rPr>
          <w:szCs w:val="24"/>
        </w:rPr>
        <w:t>T</w:t>
      </w:r>
      <w:r w:rsidR="00243651" w:rsidRPr="00583461">
        <w:rPr>
          <w:szCs w:val="24"/>
        </w:rPr>
        <w:t xml:space="preserve">he </w:t>
      </w:r>
      <w:r w:rsidRPr="00583461">
        <w:t>interchange transaction information (e-Tag) contains</w:t>
      </w:r>
      <w:r w:rsidR="00243651" w:rsidRPr="00583461">
        <w:rPr>
          <w:szCs w:val="24"/>
        </w:rPr>
        <w:t xml:space="preserve"> the names of the source and sink balancing authorit</w:t>
      </w:r>
      <w:r w:rsidR="000318B5" w:rsidRPr="00583461">
        <w:rPr>
          <w:szCs w:val="24"/>
        </w:rPr>
        <w:t xml:space="preserve">ies </w:t>
      </w:r>
      <w:r w:rsidR="00243651" w:rsidRPr="00583461">
        <w:rPr>
          <w:szCs w:val="24"/>
        </w:rPr>
        <w:t>and the name of the U.S. border transmission service provider.  U.S. Border Balancing Authorities receive cop</w:t>
      </w:r>
      <w:r w:rsidR="000318B5" w:rsidRPr="00583461">
        <w:rPr>
          <w:szCs w:val="24"/>
        </w:rPr>
        <w:t>ies</w:t>
      </w:r>
      <w:r w:rsidR="00243651" w:rsidRPr="00583461">
        <w:rPr>
          <w:szCs w:val="24"/>
        </w:rPr>
        <w:t xml:space="preserve"> of e-</w:t>
      </w:r>
      <w:r w:rsidR="00932891">
        <w:rPr>
          <w:szCs w:val="24"/>
        </w:rPr>
        <w:t>T</w:t>
      </w:r>
      <w:r w:rsidR="00243651" w:rsidRPr="00583461">
        <w:rPr>
          <w:szCs w:val="24"/>
        </w:rPr>
        <w:t xml:space="preserve">ags </w:t>
      </w:r>
      <w:r w:rsidR="00932891">
        <w:rPr>
          <w:szCs w:val="24"/>
        </w:rPr>
        <w:t>and can use this information to assist in completing the</w:t>
      </w:r>
      <w:r w:rsidR="00ED270D">
        <w:rPr>
          <w:szCs w:val="24"/>
        </w:rPr>
        <w:t xml:space="preserve"> Form EIA-111. </w:t>
      </w:r>
    </w:p>
    <w:p w:rsidR="00123DC3" w:rsidRPr="00583461" w:rsidRDefault="00123DC3" w:rsidP="00243651">
      <w:pPr>
        <w:pStyle w:val="BodyText"/>
        <w:ind w:left="360"/>
        <w:rPr>
          <w:szCs w:val="24"/>
        </w:rPr>
      </w:pPr>
    </w:p>
    <w:p w:rsidR="00243651" w:rsidRPr="00583461" w:rsidRDefault="00A01A34" w:rsidP="00243651">
      <w:pPr>
        <w:pStyle w:val="BodyText"/>
        <w:ind w:left="360"/>
        <w:rPr>
          <w:szCs w:val="24"/>
        </w:rPr>
      </w:pPr>
      <w:r w:rsidRPr="00583461">
        <w:rPr>
          <w:szCs w:val="24"/>
        </w:rPr>
        <w:t>Key</w:t>
      </w:r>
      <w:r w:rsidR="00243651" w:rsidRPr="00583461">
        <w:rPr>
          <w:szCs w:val="24"/>
        </w:rPr>
        <w:t xml:space="preserve"> </w:t>
      </w:r>
      <w:r w:rsidR="009C6036" w:rsidRPr="00583461">
        <w:rPr>
          <w:szCs w:val="24"/>
        </w:rPr>
        <w:t>information</w:t>
      </w:r>
      <w:r w:rsidR="00243651" w:rsidRPr="00583461">
        <w:rPr>
          <w:szCs w:val="24"/>
        </w:rPr>
        <w:t xml:space="preserve"> required:</w:t>
      </w:r>
    </w:p>
    <w:p w:rsidR="00243651" w:rsidRPr="00583461" w:rsidRDefault="00243651" w:rsidP="00243651">
      <w:pPr>
        <w:pStyle w:val="BodyText"/>
        <w:ind w:left="360"/>
        <w:rPr>
          <w:szCs w:val="24"/>
        </w:rPr>
      </w:pPr>
    </w:p>
    <w:p w:rsidR="00243651" w:rsidRPr="00583461" w:rsidRDefault="00243651" w:rsidP="00243651">
      <w:pPr>
        <w:pStyle w:val="BodyText"/>
        <w:numPr>
          <w:ilvl w:val="0"/>
          <w:numId w:val="43"/>
        </w:numPr>
        <w:rPr>
          <w:szCs w:val="24"/>
        </w:rPr>
      </w:pPr>
      <w:r w:rsidRPr="00583461">
        <w:rPr>
          <w:szCs w:val="24"/>
        </w:rPr>
        <w:t>Source and Sink Balancing Authority Areas</w:t>
      </w:r>
    </w:p>
    <w:p w:rsidR="00243651" w:rsidRPr="00583461" w:rsidRDefault="00243651" w:rsidP="00243651">
      <w:pPr>
        <w:pStyle w:val="BodyText"/>
        <w:numPr>
          <w:ilvl w:val="0"/>
          <w:numId w:val="43"/>
        </w:numPr>
        <w:rPr>
          <w:szCs w:val="24"/>
        </w:rPr>
      </w:pPr>
      <w:r w:rsidRPr="00583461">
        <w:rPr>
          <w:szCs w:val="24"/>
        </w:rPr>
        <w:t>Presidential Permit Number or the Transmission Service Provider’s name</w:t>
      </w:r>
    </w:p>
    <w:p w:rsidR="00243651" w:rsidRDefault="00243651" w:rsidP="00243651">
      <w:pPr>
        <w:pStyle w:val="BodyText"/>
        <w:numPr>
          <w:ilvl w:val="0"/>
          <w:numId w:val="43"/>
        </w:numPr>
        <w:rPr>
          <w:szCs w:val="24"/>
        </w:rPr>
      </w:pPr>
      <w:r w:rsidRPr="00583461">
        <w:rPr>
          <w:szCs w:val="24"/>
        </w:rPr>
        <w:t>Implemented Interchange – Delivered (</w:t>
      </w:r>
      <w:proofErr w:type="spellStart"/>
      <w:r w:rsidRPr="00583461">
        <w:rPr>
          <w:szCs w:val="24"/>
        </w:rPr>
        <w:t>MWh</w:t>
      </w:r>
      <w:proofErr w:type="spellEnd"/>
      <w:r w:rsidRPr="00583461">
        <w:rPr>
          <w:szCs w:val="24"/>
        </w:rPr>
        <w:t>)</w:t>
      </w:r>
    </w:p>
    <w:p w:rsidR="00FD271A" w:rsidRDefault="00FD271A" w:rsidP="00FD271A">
      <w:pPr>
        <w:pStyle w:val="BodyText"/>
        <w:ind w:left="1080"/>
        <w:rPr>
          <w:szCs w:val="24"/>
        </w:rPr>
      </w:pPr>
    </w:p>
    <w:p w:rsidR="00FD271A" w:rsidRPr="00583461" w:rsidRDefault="00FD271A" w:rsidP="00FD271A">
      <w:pPr>
        <w:pStyle w:val="BodyText"/>
        <w:ind w:left="1080"/>
        <w:rPr>
          <w:szCs w:val="24"/>
        </w:rPr>
      </w:pPr>
    </w:p>
    <w:p w:rsidR="00243651" w:rsidRPr="00583461" w:rsidRDefault="00243651" w:rsidP="003F4803">
      <w:pPr>
        <w:pStyle w:val="Heading2"/>
        <w:ind w:left="360"/>
        <w:jc w:val="left"/>
        <w:rPr>
          <w:b w:val="0"/>
          <w:sz w:val="24"/>
          <w:szCs w:val="24"/>
        </w:rPr>
      </w:pPr>
      <w:bookmarkStart w:id="11" w:name="_Toc307822274"/>
      <w:bookmarkStart w:id="12" w:name="_Toc307985110"/>
      <w:bookmarkStart w:id="13" w:name="_Toc307990634"/>
      <w:bookmarkStart w:id="14" w:name="_Toc309131406"/>
      <w:bookmarkStart w:id="15" w:name="_Toc309722598"/>
      <w:bookmarkStart w:id="16" w:name="_Toc318697070"/>
      <w:r w:rsidRPr="00583461">
        <w:rPr>
          <w:sz w:val="24"/>
          <w:szCs w:val="24"/>
          <w:u w:val="single"/>
        </w:rPr>
        <w:t>Schedule 4</w:t>
      </w:r>
      <w:r w:rsidRPr="00583461">
        <w:rPr>
          <w:b w:val="0"/>
          <w:sz w:val="24"/>
          <w:szCs w:val="24"/>
        </w:rPr>
        <w:t xml:space="preserve"> collects information </w:t>
      </w:r>
      <w:r w:rsidR="003F4803">
        <w:rPr>
          <w:b w:val="0"/>
          <w:sz w:val="24"/>
          <w:szCs w:val="24"/>
        </w:rPr>
        <w:t xml:space="preserve">from Presidential Permit Holders and DOE Export Authorization Holders </w:t>
      </w:r>
      <w:r w:rsidRPr="00583461">
        <w:rPr>
          <w:b w:val="0"/>
          <w:sz w:val="24"/>
          <w:szCs w:val="24"/>
        </w:rPr>
        <w:t xml:space="preserve">about events in which the </w:t>
      </w:r>
      <w:r w:rsidR="00C90C5A" w:rsidRPr="00583461">
        <w:rPr>
          <w:b w:val="0"/>
          <w:sz w:val="24"/>
          <w:szCs w:val="24"/>
        </w:rPr>
        <w:t>operat</w:t>
      </w:r>
      <w:r w:rsidR="0035357C" w:rsidRPr="00583461">
        <w:rPr>
          <w:b w:val="0"/>
          <w:sz w:val="24"/>
          <w:szCs w:val="24"/>
        </w:rPr>
        <w:t>ional transmission system</w:t>
      </w:r>
      <w:r w:rsidR="00C90C5A" w:rsidRPr="00583461">
        <w:rPr>
          <w:b w:val="0"/>
          <w:sz w:val="24"/>
          <w:szCs w:val="24"/>
        </w:rPr>
        <w:t xml:space="preserve"> limits specified in the </w:t>
      </w:r>
      <w:r w:rsidR="008B7FEB">
        <w:rPr>
          <w:b w:val="0"/>
          <w:sz w:val="24"/>
          <w:szCs w:val="24"/>
        </w:rPr>
        <w:t>PP</w:t>
      </w:r>
      <w:r w:rsidR="00C90C5A" w:rsidRPr="00583461">
        <w:rPr>
          <w:b w:val="0"/>
          <w:sz w:val="24"/>
          <w:szCs w:val="24"/>
        </w:rPr>
        <w:t xml:space="preserve"> or Export Authorization </w:t>
      </w:r>
      <w:r w:rsidR="00C20DD8" w:rsidRPr="00583461">
        <w:rPr>
          <w:b w:val="0"/>
          <w:sz w:val="24"/>
          <w:szCs w:val="24"/>
        </w:rPr>
        <w:t>(</w:t>
      </w:r>
      <w:r w:rsidRPr="00583461">
        <w:rPr>
          <w:b w:val="0"/>
          <w:sz w:val="24"/>
          <w:szCs w:val="24"/>
        </w:rPr>
        <w:t>Order</w:t>
      </w:r>
      <w:r w:rsidR="00C20DD8" w:rsidRPr="00583461">
        <w:rPr>
          <w:b w:val="0"/>
          <w:sz w:val="24"/>
          <w:szCs w:val="24"/>
        </w:rPr>
        <w:t>)</w:t>
      </w:r>
      <w:r w:rsidRPr="00583461">
        <w:rPr>
          <w:b w:val="0"/>
          <w:sz w:val="24"/>
          <w:szCs w:val="24"/>
        </w:rPr>
        <w:t xml:space="preserve"> was exceeded. </w:t>
      </w:r>
      <w:r w:rsidR="000318B5" w:rsidRPr="00583461">
        <w:rPr>
          <w:b w:val="0"/>
          <w:sz w:val="24"/>
          <w:szCs w:val="24"/>
        </w:rPr>
        <w:t xml:space="preserve"> </w:t>
      </w:r>
      <w:bookmarkStart w:id="17" w:name="_Toc307822275"/>
      <w:bookmarkStart w:id="18" w:name="_Toc307985111"/>
      <w:bookmarkStart w:id="19" w:name="_Toc307990635"/>
      <w:bookmarkStart w:id="20" w:name="_Toc309131407"/>
      <w:bookmarkStart w:id="21" w:name="_Toc309722599"/>
      <w:bookmarkEnd w:id="11"/>
      <w:bookmarkEnd w:id="12"/>
      <w:bookmarkEnd w:id="13"/>
      <w:bookmarkEnd w:id="14"/>
      <w:bookmarkEnd w:id="15"/>
      <w:r w:rsidR="00F163FF">
        <w:rPr>
          <w:b w:val="0"/>
          <w:sz w:val="24"/>
          <w:szCs w:val="24"/>
        </w:rPr>
        <w:t xml:space="preserve">If there </w:t>
      </w:r>
      <w:r w:rsidR="005528A8">
        <w:rPr>
          <w:b w:val="0"/>
          <w:sz w:val="24"/>
          <w:szCs w:val="24"/>
        </w:rPr>
        <w:t xml:space="preserve">are </w:t>
      </w:r>
      <w:r w:rsidR="00F163FF">
        <w:rPr>
          <w:b w:val="0"/>
          <w:sz w:val="24"/>
          <w:szCs w:val="24"/>
        </w:rPr>
        <w:t>no events, t</w:t>
      </w:r>
      <w:r w:rsidR="00F163FF" w:rsidRPr="00583461">
        <w:rPr>
          <w:b w:val="0"/>
          <w:sz w:val="24"/>
          <w:szCs w:val="24"/>
        </w:rPr>
        <w:t xml:space="preserve">he </w:t>
      </w:r>
      <w:r w:rsidRPr="00583461">
        <w:rPr>
          <w:b w:val="0"/>
          <w:sz w:val="24"/>
          <w:szCs w:val="24"/>
        </w:rPr>
        <w:t xml:space="preserve">holder of the permit or </w:t>
      </w:r>
      <w:r w:rsidR="009C6036" w:rsidRPr="00583461">
        <w:rPr>
          <w:b w:val="0"/>
          <w:sz w:val="24"/>
          <w:szCs w:val="24"/>
        </w:rPr>
        <w:t>authorization</w:t>
      </w:r>
      <w:r w:rsidRPr="00583461">
        <w:rPr>
          <w:b w:val="0"/>
          <w:sz w:val="24"/>
          <w:szCs w:val="24"/>
        </w:rPr>
        <w:t xml:space="preserve"> </w:t>
      </w:r>
      <w:r w:rsidR="006C575F" w:rsidRPr="00583461">
        <w:rPr>
          <w:b w:val="0"/>
          <w:sz w:val="24"/>
          <w:szCs w:val="24"/>
        </w:rPr>
        <w:t xml:space="preserve">is required to state </w:t>
      </w:r>
      <w:r w:rsidRPr="00583461">
        <w:rPr>
          <w:b w:val="0"/>
          <w:sz w:val="24"/>
          <w:szCs w:val="24"/>
        </w:rPr>
        <w:t>that the</w:t>
      </w:r>
      <w:r w:rsidR="00F163FF">
        <w:rPr>
          <w:b w:val="0"/>
          <w:sz w:val="24"/>
          <w:szCs w:val="24"/>
        </w:rPr>
        <w:t>re</w:t>
      </w:r>
      <w:r w:rsidRPr="00583461">
        <w:rPr>
          <w:b w:val="0"/>
          <w:sz w:val="24"/>
          <w:szCs w:val="24"/>
        </w:rPr>
        <w:t xml:space="preserve"> </w:t>
      </w:r>
      <w:r w:rsidR="001D3C29">
        <w:rPr>
          <w:b w:val="0"/>
          <w:sz w:val="24"/>
          <w:szCs w:val="24"/>
        </w:rPr>
        <w:t>were</w:t>
      </w:r>
      <w:r w:rsidR="001D3C29" w:rsidRPr="00583461">
        <w:rPr>
          <w:b w:val="0"/>
          <w:sz w:val="24"/>
          <w:szCs w:val="24"/>
        </w:rPr>
        <w:t xml:space="preserve"> </w:t>
      </w:r>
      <w:r w:rsidR="001D3C29">
        <w:rPr>
          <w:b w:val="0"/>
          <w:sz w:val="24"/>
          <w:szCs w:val="24"/>
        </w:rPr>
        <w:t>no</w:t>
      </w:r>
      <w:r w:rsidR="00F163FF">
        <w:rPr>
          <w:b w:val="0"/>
          <w:sz w:val="24"/>
          <w:szCs w:val="24"/>
        </w:rPr>
        <w:t xml:space="preserve"> events </w:t>
      </w:r>
      <w:r w:rsidR="003F4803">
        <w:rPr>
          <w:b w:val="0"/>
          <w:sz w:val="24"/>
          <w:szCs w:val="24"/>
        </w:rPr>
        <w:t>on the form.</w:t>
      </w:r>
      <w:bookmarkEnd w:id="16"/>
      <w:r w:rsidR="003F4803">
        <w:rPr>
          <w:b w:val="0"/>
          <w:sz w:val="24"/>
          <w:szCs w:val="24"/>
        </w:rPr>
        <w:t xml:space="preserve"> </w:t>
      </w:r>
      <w:bookmarkEnd w:id="17"/>
      <w:bookmarkEnd w:id="18"/>
      <w:bookmarkEnd w:id="19"/>
      <w:bookmarkEnd w:id="20"/>
      <w:bookmarkEnd w:id="21"/>
    </w:p>
    <w:p w:rsidR="00017D82" w:rsidRPr="00583461" w:rsidRDefault="00243651" w:rsidP="00017D82">
      <w:r w:rsidRPr="00583461">
        <w:tab/>
      </w:r>
      <w:bookmarkStart w:id="22" w:name="_Toc307822276"/>
      <w:bookmarkStart w:id="23" w:name="_Toc307985112"/>
      <w:bookmarkStart w:id="24" w:name="_Toc307990636"/>
      <w:bookmarkStart w:id="25" w:name="_Toc309131408"/>
      <w:bookmarkStart w:id="26" w:name="_Toc309722600"/>
    </w:p>
    <w:p w:rsidR="00243651" w:rsidRPr="00583461" w:rsidRDefault="00A01A34" w:rsidP="00017D82">
      <w:pPr>
        <w:ind w:firstLine="360"/>
        <w:rPr>
          <w:b/>
          <w:sz w:val="24"/>
          <w:szCs w:val="24"/>
        </w:rPr>
      </w:pPr>
      <w:r w:rsidRPr="00583461">
        <w:rPr>
          <w:sz w:val="24"/>
          <w:szCs w:val="24"/>
        </w:rPr>
        <w:t>Key</w:t>
      </w:r>
      <w:r w:rsidR="00243651" w:rsidRPr="00583461">
        <w:rPr>
          <w:sz w:val="24"/>
          <w:szCs w:val="24"/>
        </w:rPr>
        <w:t xml:space="preserve"> information required</w:t>
      </w:r>
      <w:bookmarkEnd w:id="22"/>
      <w:bookmarkEnd w:id="23"/>
      <w:bookmarkEnd w:id="24"/>
      <w:r w:rsidRPr="00583461">
        <w:rPr>
          <w:sz w:val="24"/>
          <w:szCs w:val="24"/>
        </w:rPr>
        <w:t>:</w:t>
      </w:r>
      <w:bookmarkEnd w:id="25"/>
      <w:bookmarkEnd w:id="26"/>
    </w:p>
    <w:p w:rsidR="00243651" w:rsidRPr="00583461" w:rsidRDefault="00243651" w:rsidP="00243651"/>
    <w:p w:rsidR="00243651" w:rsidRPr="00583461" w:rsidRDefault="00243651" w:rsidP="00243651">
      <w:pPr>
        <w:numPr>
          <w:ilvl w:val="0"/>
          <w:numId w:val="44"/>
        </w:numPr>
        <w:rPr>
          <w:sz w:val="24"/>
        </w:rPr>
      </w:pPr>
      <w:r w:rsidRPr="00583461">
        <w:rPr>
          <w:sz w:val="24"/>
        </w:rPr>
        <w:t>Presidential Permit Number or Export Authorization Number</w:t>
      </w:r>
    </w:p>
    <w:p w:rsidR="00243651" w:rsidRPr="00583461" w:rsidRDefault="00243651" w:rsidP="00243651">
      <w:pPr>
        <w:numPr>
          <w:ilvl w:val="0"/>
          <w:numId w:val="44"/>
        </w:numPr>
        <w:rPr>
          <w:sz w:val="24"/>
        </w:rPr>
      </w:pPr>
      <w:r w:rsidRPr="00583461">
        <w:rPr>
          <w:sz w:val="24"/>
        </w:rPr>
        <w:t>Date and Hours of Exceeded Event</w:t>
      </w:r>
    </w:p>
    <w:p w:rsidR="00243651" w:rsidRPr="00583461" w:rsidRDefault="00243651" w:rsidP="00243651">
      <w:pPr>
        <w:numPr>
          <w:ilvl w:val="0"/>
          <w:numId w:val="44"/>
        </w:numPr>
        <w:rPr>
          <w:sz w:val="24"/>
        </w:rPr>
      </w:pPr>
      <w:r w:rsidRPr="00583461">
        <w:rPr>
          <w:sz w:val="24"/>
        </w:rPr>
        <w:t>Specific Order Term exceeded</w:t>
      </w:r>
    </w:p>
    <w:p w:rsidR="00243651" w:rsidRPr="00583461" w:rsidRDefault="00243651" w:rsidP="00243651">
      <w:pPr>
        <w:rPr>
          <w:sz w:val="24"/>
          <w:szCs w:val="24"/>
        </w:rPr>
      </w:pPr>
    </w:p>
    <w:p w:rsidR="00243651" w:rsidRPr="00583461" w:rsidRDefault="00243651" w:rsidP="008B4980">
      <w:pPr>
        <w:ind w:firstLine="360"/>
        <w:rPr>
          <w:sz w:val="24"/>
          <w:szCs w:val="24"/>
        </w:rPr>
      </w:pPr>
      <w:r w:rsidRPr="00140C15">
        <w:rPr>
          <w:b/>
          <w:sz w:val="24"/>
          <w:szCs w:val="24"/>
          <w:u w:val="single"/>
        </w:rPr>
        <w:t>Schedule 5</w:t>
      </w:r>
      <w:r w:rsidRPr="00583461">
        <w:rPr>
          <w:sz w:val="24"/>
          <w:szCs w:val="24"/>
        </w:rPr>
        <w:t xml:space="preserve"> is where respondents can </w:t>
      </w:r>
      <w:r w:rsidRPr="00583461">
        <w:rPr>
          <w:b/>
          <w:sz w:val="24"/>
          <w:szCs w:val="24"/>
        </w:rPr>
        <w:t>Comment</w:t>
      </w:r>
      <w:r w:rsidRPr="00583461">
        <w:rPr>
          <w:sz w:val="24"/>
          <w:szCs w:val="24"/>
        </w:rPr>
        <w:t xml:space="preserve"> on the data reported in the survey.</w:t>
      </w:r>
    </w:p>
    <w:p w:rsidR="003B5C60" w:rsidRPr="00583461" w:rsidRDefault="003B5C60" w:rsidP="008F4CBC"/>
    <w:p w:rsidR="008F4CBC" w:rsidRPr="00583461" w:rsidRDefault="008F4CBC" w:rsidP="008F4CBC"/>
    <w:p w:rsidR="0001347C" w:rsidRPr="00583461" w:rsidRDefault="0001347C" w:rsidP="008F4CBC">
      <w:pPr>
        <w:pStyle w:val="Heading2"/>
        <w:jc w:val="left"/>
        <w:rPr>
          <w:szCs w:val="24"/>
        </w:rPr>
      </w:pPr>
      <w:bookmarkStart w:id="27" w:name="_Toc318697071"/>
      <w:r w:rsidRPr="00583461">
        <w:rPr>
          <w:szCs w:val="24"/>
        </w:rPr>
        <w:lastRenderedPageBreak/>
        <w:t>A.  Justification</w:t>
      </w:r>
      <w:bookmarkEnd w:id="27"/>
    </w:p>
    <w:p w:rsidR="00A40C2A" w:rsidRPr="00583461" w:rsidRDefault="00A40C2A" w:rsidP="00946DF9">
      <w:pPr>
        <w:pStyle w:val="Heading3"/>
        <w:ind w:firstLine="360"/>
        <w:rPr>
          <w:szCs w:val="24"/>
        </w:rPr>
      </w:pPr>
      <w:bookmarkStart w:id="28" w:name="_Toc524334485"/>
      <w:bookmarkStart w:id="29" w:name="_Toc524334567"/>
      <w:bookmarkStart w:id="30" w:name="_Toc524334715"/>
      <w:bookmarkStart w:id="31" w:name="_Toc524334908"/>
    </w:p>
    <w:p w:rsidR="00EE78DC" w:rsidRPr="00583461" w:rsidRDefault="00EE78DC" w:rsidP="008F4CBC">
      <w:pPr>
        <w:pStyle w:val="Heading3"/>
        <w:rPr>
          <w:szCs w:val="24"/>
        </w:rPr>
      </w:pPr>
    </w:p>
    <w:p w:rsidR="0001347C" w:rsidRPr="00583461" w:rsidRDefault="0001347C" w:rsidP="008F4CBC">
      <w:pPr>
        <w:pStyle w:val="Heading3"/>
        <w:rPr>
          <w:szCs w:val="24"/>
        </w:rPr>
      </w:pPr>
      <w:bookmarkStart w:id="32" w:name="_Toc318697072"/>
      <w:r w:rsidRPr="00583461">
        <w:rPr>
          <w:szCs w:val="24"/>
        </w:rPr>
        <w:t>A.1</w:t>
      </w:r>
      <w:r w:rsidR="001D3C29" w:rsidRPr="00583461">
        <w:rPr>
          <w:szCs w:val="24"/>
        </w:rPr>
        <w:t>. Legal</w:t>
      </w:r>
      <w:r w:rsidRPr="00583461">
        <w:rPr>
          <w:szCs w:val="24"/>
        </w:rPr>
        <w:t xml:space="preserve"> Justification</w:t>
      </w:r>
      <w:bookmarkEnd w:id="28"/>
      <w:bookmarkEnd w:id="29"/>
      <w:bookmarkEnd w:id="30"/>
      <w:bookmarkEnd w:id="31"/>
      <w:bookmarkEnd w:id="32"/>
    </w:p>
    <w:p w:rsidR="0001347C" w:rsidRPr="00583461" w:rsidRDefault="0001347C" w:rsidP="00946DF9">
      <w:pPr>
        <w:rPr>
          <w:b/>
          <w:bCs/>
          <w:sz w:val="24"/>
          <w:szCs w:val="24"/>
        </w:rPr>
      </w:pPr>
    </w:p>
    <w:p w:rsidR="006D1A32" w:rsidRPr="00583461" w:rsidRDefault="00BD623B" w:rsidP="00946DF9">
      <w:pPr>
        <w:rPr>
          <w:bCs/>
          <w:sz w:val="24"/>
          <w:szCs w:val="24"/>
        </w:rPr>
      </w:pPr>
      <w:r w:rsidRPr="00583461">
        <w:rPr>
          <w:bCs/>
          <w:sz w:val="24"/>
          <w:szCs w:val="24"/>
        </w:rPr>
        <w:t>The authority for this data collection is derived from the following provision:</w:t>
      </w:r>
    </w:p>
    <w:p w:rsidR="006D1A32" w:rsidRPr="00583461" w:rsidRDefault="006D1A32" w:rsidP="00946DF9">
      <w:pPr>
        <w:rPr>
          <w:b/>
          <w:bCs/>
          <w:sz w:val="24"/>
          <w:szCs w:val="24"/>
        </w:rPr>
      </w:pPr>
    </w:p>
    <w:p w:rsidR="0001347C" w:rsidRPr="00583461" w:rsidRDefault="0001347C" w:rsidP="00946DF9">
      <w:pPr>
        <w:pStyle w:val="BodyText"/>
        <w:rPr>
          <w:szCs w:val="24"/>
        </w:rPr>
      </w:pPr>
      <w:r w:rsidRPr="00583461">
        <w:rPr>
          <w:szCs w:val="24"/>
        </w:rPr>
        <w:t xml:space="preserve">Section 13(b), 15 U.S.C. §772(b), of the </w:t>
      </w:r>
      <w:r w:rsidR="006F42E3" w:rsidRPr="00583461">
        <w:rPr>
          <w:szCs w:val="24"/>
        </w:rPr>
        <w:t>F</w:t>
      </w:r>
      <w:r w:rsidR="00347319" w:rsidRPr="00583461">
        <w:rPr>
          <w:szCs w:val="24"/>
        </w:rPr>
        <w:t xml:space="preserve">ederal </w:t>
      </w:r>
      <w:r w:rsidR="006F42E3" w:rsidRPr="00583461">
        <w:rPr>
          <w:szCs w:val="24"/>
        </w:rPr>
        <w:t>E</w:t>
      </w:r>
      <w:r w:rsidR="00347319" w:rsidRPr="00583461">
        <w:rPr>
          <w:szCs w:val="24"/>
        </w:rPr>
        <w:t xml:space="preserve">nergy </w:t>
      </w:r>
      <w:r w:rsidR="006F42E3" w:rsidRPr="00583461">
        <w:rPr>
          <w:szCs w:val="24"/>
        </w:rPr>
        <w:t>A</w:t>
      </w:r>
      <w:r w:rsidR="00347319" w:rsidRPr="00583461">
        <w:rPr>
          <w:szCs w:val="24"/>
        </w:rPr>
        <w:t>dministration</w:t>
      </w:r>
      <w:r w:rsidR="006F42E3" w:rsidRPr="00583461">
        <w:rPr>
          <w:szCs w:val="24"/>
        </w:rPr>
        <w:t xml:space="preserve"> Act</w:t>
      </w:r>
      <w:r w:rsidR="00347319" w:rsidRPr="00583461">
        <w:rPr>
          <w:szCs w:val="24"/>
        </w:rPr>
        <w:t xml:space="preserve"> (FEA Act)</w:t>
      </w:r>
      <w:r w:rsidRPr="00583461">
        <w:rPr>
          <w:szCs w:val="24"/>
        </w:rPr>
        <w:t>, Public Law 93-275, outlines the types of individuals subject to the data collection authority delegated to the Administrator and the general parameters of the type of data which can be required.  Section 13(b) states:</w:t>
      </w:r>
    </w:p>
    <w:p w:rsidR="0001347C" w:rsidRPr="00583461" w:rsidRDefault="0001347C" w:rsidP="00946DF9">
      <w:pPr>
        <w:rPr>
          <w:sz w:val="24"/>
          <w:szCs w:val="24"/>
        </w:rPr>
      </w:pPr>
    </w:p>
    <w:p w:rsidR="0001347C" w:rsidRPr="00583461" w:rsidRDefault="0001347C" w:rsidP="00946DF9">
      <w:pPr>
        <w:pStyle w:val="BlockText"/>
        <w:ind w:right="1440"/>
        <w:rPr>
          <w:szCs w:val="24"/>
        </w:rPr>
      </w:pPr>
      <w:r w:rsidRPr="00583461">
        <w:rPr>
          <w:szCs w:val="24"/>
        </w:rP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rsidR="007A19CC" w:rsidRPr="00583461" w:rsidRDefault="007A19CC" w:rsidP="00946DF9">
      <w:pPr>
        <w:rPr>
          <w:sz w:val="24"/>
          <w:szCs w:val="24"/>
        </w:rPr>
      </w:pPr>
    </w:p>
    <w:p w:rsidR="0001347C" w:rsidRPr="00583461" w:rsidRDefault="0001347C" w:rsidP="00946DF9">
      <w:pPr>
        <w:rPr>
          <w:sz w:val="24"/>
          <w:szCs w:val="24"/>
        </w:rPr>
      </w:pPr>
      <w:r w:rsidRPr="00583461">
        <w:rPr>
          <w:sz w:val="24"/>
          <w:szCs w:val="24"/>
        </w:rPr>
        <w:t>The objectives of the FEA Act are set forth in Section 5(b), 15 U.S.C. §764(b), of the FEA Act, which states that the Secretary shall, to the extent (s)he is authorized by Section 5(a) of the FEA Act,</w:t>
      </w:r>
    </w:p>
    <w:p w:rsidR="0035357C" w:rsidRPr="00583461" w:rsidRDefault="0035357C" w:rsidP="00946DF9">
      <w:pPr>
        <w:rPr>
          <w:sz w:val="24"/>
          <w:szCs w:val="24"/>
        </w:rPr>
      </w:pPr>
    </w:p>
    <w:p w:rsidR="0001347C" w:rsidRPr="00583461"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583461">
        <w:rPr>
          <w:sz w:val="24"/>
          <w:szCs w:val="24"/>
        </w:rPr>
        <w:t>“(2) assess the adequacy of energy resources to meet demands in the immediate and longer range future for all sectors of the economy and for the general public;...</w:t>
      </w:r>
    </w:p>
    <w:p w:rsidR="0001347C" w:rsidRPr="00583461" w:rsidRDefault="0001347C" w:rsidP="00946DF9">
      <w:pPr>
        <w:ind w:right="1440"/>
        <w:rPr>
          <w:sz w:val="24"/>
          <w:szCs w:val="24"/>
        </w:rPr>
      </w:pPr>
    </w:p>
    <w:p w:rsidR="0001347C" w:rsidRPr="00583461"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583461">
        <w:rPr>
          <w:sz w:val="24"/>
          <w:szCs w:val="24"/>
        </w:rPr>
        <w:t xml:space="preserve">(9) </w:t>
      </w:r>
      <w:proofErr w:type="gramStart"/>
      <w:r w:rsidRPr="00583461">
        <w:rPr>
          <w:sz w:val="24"/>
          <w:szCs w:val="24"/>
        </w:rPr>
        <w:t>collect</w:t>
      </w:r>
      <w:proofErr w:type="gramEnd"/>
      <w:r w:rsidRPr="00583461">
        <w:rPr>
          <w:sz w:val="24"/>
          <w:szCs w:val="24"/>
        </w:rPr>
        <w:t>, evaluate, assemble, and analyze energy information on reserves, production, demand, and related economic data</w:t>
      </w:r>
      <w:r w:rsidR="002D1C21" w:rsidRPr="00583461">
        <w:rPr>
          <w:sz w:val="24"/>
          <w:szCs w:val="24"/>
        </w:rPr>
        <w:t>;</w:t>
      </w:r>
    </w:p>
    <w:p w:rsidR="0001347C" w:rsidRPr="00583461" w:rsidRDefault="0001347C" w:rsidP="00946DF9">
      <w:pPr>
        <w:ind w:right="1440"/>
        <w:rPr>
          <w:sz w:val="24"/>
          <w:szCs w:val="24"/>
        </w:rPr>
      </w:pPr>
    </w:p>
    <w:p w:rsidR="0001347C" w:rsidRPr="00583461"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583461">
        <w:rPr>
          <w:sz w:val="24"/>
          <w:szCs w:val="24"/>
        </w:rPr>
        <w:t xml:space="preserve">(12) </w:t>
      </w:r>
      <w:proofErr w:type="gramStart"/>
      <w:r w:rsidRPr="00583461">
        <w:rPr>
          <w:sz w:val="24"/>
          <w:szCs w:val="24"/>
        </w:rPr>
        <w:t>perform</w:t>
      </w:r>
      <w:proofErr w:type="gramEnd"/>
      <w:r w:rsidRPr="00583461">
        <w:rPr>
          <w:sz w:val="24"/>
          <w:szCs w:val="24"/>
        </w:rPr>
        <w:t xml:space="preserve"> such other functions as may be prescribed by law.”</w:t>
      </w:r>
    </w:p>
    <w:p w:rsidR="0014156D" w:rsidRDefault="0014156D" w:rsidP="00946DF9">
      <w:pPr>
        <w:rPr>
          <w:sz w:val="24"/>
          <w:szCs w:val="24"/>
        </w:rPr>
      </w:pPr>
    </w:p>
    <w:p w:rsidR="0001347C" w:rsidRPr="00583461" w:rsidRDefault="0001347C" w:rsidP="00946DF9">
      <w:pPr>
        <w:rPr>
          <w:sz w:val="24"/>
          <w:szCs w:val="24"/>
        </w:rPr>
      </w:pPr>
      <w:r w:rsidRPr="00583461">
        <w:rPr>
          <w:sz w:val="24"/>
          <w:szCs w:val="24"/>
        </w:rPr>
        <w:t xml:space="preserve">As the authority for invoking Section 5(b) above, Section 5(a), </w:t>
      </w:r>
      <w:r w:rsidR="003510DA" w:rsidRPr="00583461">
        <w:rPr>
          <w:sz w:val="24"/>
          <w:szCs w:val="24"/>
        </w:rPr>
        <w:t>and 15</w:t>
      </w:r>
      <w:r w:rsidRPr="00583461">
        <w:rPr>
          <w:sz w:val="24"/>
          <w:szCs w:val="24"/>
        </w:rPr>
        <w:t xml:space="preserve"> U.S.C. §764(a), of the FEA Act in turn states:</w:t>
      </w:r>
    </w:p>
    <w:p w:rsidR="0001347C" w:rsidRPr="00583461" w:rsidRDefault="00177AAD" w:rsidP="00946DF9">
      <w:pPr>
        <w:rPr>
          <w:sz w:val="24"/>
          <w:szCs w:val="24"/>
        </w:rPr>
      </w:pPr>
      <w:r>
        <w:rPr>
          <w:sz w:val="24"/>
          <w:szCs w:val="24"/>
        </w:rPr>
        <w:t xml:space="preserve">         </w:t>
      </w:r>
    </w:p>
    <w:p w:rsidR="0001347C" w:rsidRPr="00583461"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583461">
        <w:rPr>
          <w:sz w:val="24"/>
          <w:szCs w:val="24"/>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01347C" w:rsidRPr="00583461" w:rsidRDefault="0001347C" w:rsidP="00946DF9">
      <w:pPr>
        <w:ind w:right="1440"/>
        <w:rPr>
          <w:sz w:val="24"/>
          <w:szCs w:val="24"/>
        </w:rPr>
      </w:pPr>
    </w:p>
    <w:p w:rsidR="0001347C" w:rsidRPr="00583461"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583461">
        <w:rPr>
          <w:sz w:val="24"/>
          <w:szCs w:val="24"/>
        </w:rPr>
        <w:t xml:space="preserve">(1) </w:t>
      </w:r>
      <w:proofErr w:type="gramStart"/>
      <w:r w:rsidRPr="00583461">
        <w:rPr>
          <w:sz w:val="24"/>
          <w:szCs w:val="24"/>
        </w:rPr>
        <w:t>specifically</w:t>
      </w:r>
      <w:proofErr w:type="gramEnd"/>
      <w:r w:rsidRPr="00583461">
        <w:rPr>
          <w:sz w:val="24"/>
          <w:szCs w:val="24"/>
        </w:rPr>
        <w:t xml:space="preserve"> transferred to or vested in him by or pursuant to this Act;...</w:t>
      </w:r>
    </w:p>
    <w:p w:rsidR="0001347C" w:rsidRPr="00583461" w:rsidRDefault="0001347C" w:rsidP="00946DF9">
      <w:pPr>
        <w:ind w:right="1440"/>
        <w:rPr>
          <w:sz w:val="24"/>
          <w:szCs w:val="24"/>
        </w:rPr>
      </w:pPr>
    </w:p>
    <w:p w:rsidR="0001347C" w:rsidRPr="00583461"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583461">
        <w:rPr>
          <w:sz w:val="24"/>
          <w:szCs w:val="24"/>
        </w:rPr>
        <w:t xml:space="preserve">(3) </w:t>
      </w:r>
      <w:proofErr w:type="gramStart"/>
      <w:r w:rsidRPr="00583461">
        <w:rPr>
          <w:sz w:val="24"/>
          <w:szCs w:val="24"/>
        </w:rPr>
        <w:t>otherwise</w:t>
      </w:r>
      <w:proofErr w:type="gramEnd"/>
      <w:r w:rsidRPr="00583461">
        <w:rPr>
          <w:sz w:val="24"/>
          <w:szCs w:val="24"/>
        </w:rPr>
        <w:t xml:space="preserve"> specifically vested in the [Secretary] by the Congress.”</w:t>
      </w:r>
    </w:p>
    <w:p w:rsidR="0001347C" w:rsidRPr="00583461" w:rsidRDefault="0001347C" w:rsidP="00946DF9">
      <w:pPr>
        <w:rPr>
          <w:sz w:val="24"/>
          <w:szCs w:val="24"/>
        </w:rPr>
      </w:pPr>
    </w:p>
    <w:p w:rsidR="0001347C" w:rsidRPr="00583461" w:rsidRDefault="0001347C" w:rsidP="00946DF9">
      <w:pPr>
        <w:rPr>
          <w:sz w:val="24"/>
          <w:szCs w:val="24"/>
        </w:rPr>
      </w:pPr>
      <w:r w:rsidRPr="00583461">
        <w:rPr>
          <w:sz w:val="24"/>
          <w:szCs w:val="24"/>
        </w:rPr>
        <w:t xml:space="preserve">Authority for invoking Section 5(a) of the FEA Act is provided by Section 52, 15 U.S.C. §790(a) and (b), of the FEA Act, which states </w:t>
      </w:r>
      <w:proofErr w:type="gramStart"/>
      <w:r w:rsidR="009C6036" w:rsidRPr="00583461">
        <w:rPr>
          <w:sz w:val="24"/>
          <w:szCs w:val="24"/>
        </w:rPr>
        <w:t>that</w:t>
      </w:r>
      <w:proofErr w:type="gramEnd"/>
      <w:r w:rsidRPr="00583461">
        <w:rPr>
          <w:sz w:val="24"/>
          <w:szCs w:val="24"/>
        </w:rPr>
        <w:t xml:space="preserve"> the Administrator of the EIA:</w:t>
      </w:r>
    </w:p>
    <w:p w:rsidR="0001347C" w:rsidRPr="00583461" w:rsidRDefault="0001347C" w:rsidP="00946DF9">
      <w:pPr>
        <w:rPr>
          <w:sz w:val="24"/>
          <w:szCs w:val="24"/>
        </w:rPr>
      </w:pPr>
    </w:p>
    <w:p w:rsidR="0001347C" w:rsidRPr="00583461"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583461">
        <w:rPr>
          <w:sz w:val="24"/>
          <w:szCs w:val="24"/>
        </w:rPr>
        <w:t>“(</w:t>
      </w:r>
      <w:proofErr w:type="gramStart"/>
      <w:r w:rsidRPr="00583461">
        <w:rPr>
          <w:sz w:val="24"/>
          <w:szCs w:val="24"/>
        </w:rPr>
        <w:t>a</w:t>
      </w:r>
      <w:proofErr w:type="gramEnd"/>
      <w:r w:rsidRPr="00583461">
        <w:rPr>
          <w:sz w:val="24"/>
          <w:szCs w:val="24"/>
        </w:rPr>
        <w:t>)</w:t>
      </w:r>
      <w:r w:rsidR="00A161BF" w:rsidRPr="00583461">
        <w:rPr>
          <w:sz w:val="24"/>
          <w:szCs w:val="24"/>
        </w:rPr>
        <w:t>... [</w:t>
      </w:r>
      <w:r w:rsidRPr="00583461">
        <w:rPr>
          <w:sz w:val="24"/>
          <w:szCs w:val="24"/>
        </w:rPr>
        <w:t>Shall] establish a National Energy Information System</w:t>
      </w:r>
      <w:r w:rsidR="00A161BF" w:rsidRPr="00583461">
        <w:rPr>
          <w:sz w:val="24"/>
          <w:szCs w:val="24"/>
        </w:rPr>
        <w:t>... [</w:t>
      </w:r>
      <w:proofErr w:type="gramStart"/>
      <w:r w:rsidRPr="00583461">
        <w:rPr>
          <w:sz w:val="24"/>
          <w:szCs w:val="24"/>
        </w:rPr>
        <w:t>which</w:t>
      </w:r>
      <w:proofErr w:type="gramEnd"/>
      <w:r w:rsidRPr="00583461">
        <w:rPr>
          <w:sz w:val="24"/>
          <w:szCs w:val="24"/>
        </w:rPr>
        <w:t>] shall contain such information as is required to provide a description of and facilitate analysis of energy supply and consumption...</w:t>
      </w:r>
    </w:p>
    <w:p w:rsidR="0001347C" w:rsidRPr="00583461" w:rsidRDefault="0001347C" w:rsidP="00946DF9">
      <w:pPr>
        <w:ind w:right="1440"/>
        <w:rPr>
          <w:sz w:val="24"/>
          <w:szCs w:val="24"/>
        </w:rPr>
      </w:pPr>
    </w:p>
    <w:p w:rsidR="0001347C" w:rsidRPr="00583461" w:rsidRDefault="0001347C" w:rsidP="00946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1440"/>
        <w:rPr>
          <w:sz w:val="24"/>
          <w:szCs w:val="24"/>
        </w:rPr>
      </w:pPr>
      <w:r w:rsidRPr="00583461">
        <w:rPr>
          <w:sz w:val="24"/>
          <w:szCs w:val="24"/>
        </w:rPr>
        <w:t>(b) ...the System shall contain such energy information as is necessary to carry out the Administration's statistical and forecasting activities..., and such energy information as is required to define and permit analysis of...</w:t>
      </w:r>
    </w:p>
    <w:p w:rsidR="0001347C" w:rsidRPr="00583461" w:rsidRDefault="0001347C" w:rsidP="00946DF9">
      <w:pPr>
        <w:ind w:right="1440"/>
        <w:rPr>
          <w:sz w:val="24"/>
          <w:szCs w:val="24"/>
        </w:rPr>
      </w:pPr>
    </w:p>
    <w:p w:rsidR="0001347C" w:rsidRPr="00583461" w:rsidRDefault="0001347C"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r w:rsidRPr="00583461">
        <w:rPr>
          <w:sz w:val="24"/>
          <w:szCs w:val="24"/>
        </w:rPr>
        <w:t>(1) the institutional structure of the energy supply system, including patterns of ownership and control of mineral fuel and non-mineral energy resources and the production, distribution, and marketing of mineral fuels and electricity;</w:t>
      </w:r>
    </w:p>
    <w:p w:rsidR="0001347C" w:rsidRPr="00583461" w:rsidRDefault="0001347C" w:rsidP="00946DF9">
      <w:pPr>
        <w:tabs>
          <w:tab w:val="left" w:pos="1080"/>
        </w:tabs>
        <w:ind w:left="1170" w:right="1440"/>
        <w:rPr>
          <w:sz w:val="24"/>
          <w:szCs w:val="24"/>
        </w:rPr>
      </w:pPr>
    </w:p>
    <w:p w:rsidR="0001347C" w:rsidRPr="00583461" w:rsidRDefault="0001347C"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trike/>
          <w:sz w:val="24"/>
          <w:szCs w:val="24"/>
        </w:rPr>
      </w:pPr>
      <w:r w:rsidRPr="00583461">
        <w:rPr>
          <w:sz w:val="24"/>
          <w:szCs w:val="24"/>
        </w:rPr>
        <w:t xml:space="preserve">(2) </w:t>
      </w:r>
      <w:proofErr w:type="gramStart"/>
      <w:r w:rsidRPr="00583461">
        <w:rPr>
          <w:sz w:val="24"/>
          <w:szCs w:val="24"/>
        </w:rPr>
        <w:t>the</w:t>
      </w:r>
      <w:proofErr w:type="gramEnd"/>
      <w:r w:rsidRPr="00583461">
        <w:rPr>
          <w:sz w:val="24"/>
          <w:szCs w:val="24"/>
        </w:rPr>
        <w:t xml:space="preserve"> consumption of mineral fuels, non-mineral</w:t>
      </w:r>
      <w:r w:rsidR="001835EF" w:rsidRPr="00583461">
        <w:rPr>
          <w:sz w:val="24"/>
          <w:szCs w:val="24"/>
        </w:rPr>
        <w:t xml:space="preserve"> </w:t>
      </w:r>
      <w:r w:rsidRPr="00583461">
        <w:rPr>
          <w:sz w:val="24"/>
          <w:szCs w:val="24"/>
        </w:rPr>
        <w:t>energy resources, and electricity by such classes, sectors, and regions as may be appropriate for the purposes of this Act;</w:t>
      </w:r>
    </w:p>
    <w:p w:rsidR="0001347C" w:rsidRPr="00583461" w:rsidRDefault="0001347C"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p>
    <w:p w:rsidR="0001347C" w:rsidRPr="00583461" w:rsidRDefault="0001347C"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r w:rsidRPr="00583461">
        <w:rPr>
          <w:sz w:val="24"/>
          <w:szCs w:val="24"/>
        </w:rPr>
        <w:t xml:space="preserve">(3) </w:t>
      </w:r>
      <w:proofErr w:type="gramStart"/>
      <w:r w:rsidRPr="00583461">
        <w:rPr>
          <w:sz w:val="24"/>
          <w:szCs w:val="24"/>
        </w:rPr>
        <w:t>the</w:t>
      </w:r>
      <w:proofErr w:type="gramEnd"/>
      <w:r w:rsidRPr="00583461">
        <w:rPr>
          <w:sz w:val="24"/>
          <w:szCs w:val="24"/>
        </w:rPr>
        <w:t xml:space="preserve"> sensitivity of energy resource reserves, exploration, development, production, transportation, and consumption to economic factors, environmental constraints, technological improvements, and substitutability of alternate energy sources; . . . </w:t>
      </w:r>
    </w:p>
    <w:p w:rsidR="0001347C" w:rsidRPr="00583461" w:rsidRDefault="0001347C" w:rsidP="00946DF9">
      <w:pPr>
        <w:tabs>
          <w:tab w:val="left" w:pos="1080"/>
        </w:tabs>
        <w:ind w:left="1170" w:right="1440"/>
        <w:rPr>
          <w:sz w:val="24"/>
          <w:szCs w:val="24"/>
        </w:rPr>
      </w:pPr>
    </w:p>
    <w:p w:rsidR="0001347C" w:rsidRDefault="0001347C"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r w:rsidRPr="00583461">
        <w:rPr>
          <w:sz w:val="24"/>
          <w:szCs w:val="24"/>
        </w:rPr>
        <w:t>(5) ...industrial, labor, and regional impacts of changes and patterns of energy supply and consumption...”</w:t>
      </w:r>
    </w:p>
    <w:p w:rsidR="00CB7879" w:rsidRDefault="00CB7879"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p>
    <w:p w:rsidR="00CB7879" w:rsidRDefault="00CB7879" w:rsidP="00946DF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170" w:right="1440"/>
        <w:rPr>
          <w:sz w:val="24"/>
          <w:szCs w:val="24"/>
        </w:rPr>
      </w:pPr>
    </w:p>
    <w:p w:rsidR="0001347C" w:rsidRPr="00583461" w:rsidRDefault="008D0A91" w:rsidP="004B1A6C">
      <w:pPr>
        <w:pStyle w:val="Heading3"/>
        <w:rPr>
          <w:szCs w:val="24"/>
        </w:rPr>
      </w:pPr>
      <w:bookmarkStart w:id="33" w:name="_Toc524334486"/>
      <w:bookmarkStart w:id="34" w:name="_Toc524334568"/>
      <w:bookmarkStart w:id="35" w:name="_Toc524334716"/>
      <w:bookmarkStart w:id="36" w:name="_Toc524334909"/>
      <w:bookmarkStart w:id="37" w:name="_Toc318697073"/>
      <w:r w:rsidRPr="00583461">
        <w:rPr>
          <w:szCs w:val="24"/>
        </w:rPr>
        <w:t xml:space="preserve">A.2. </w:t>
      </w:r>
      <w:r w:rsidR="0001347C" w:rsidRPr="00583461">
        <w:rPr>
          <w:szCs w:val="24"/>
        </w:rPr>
        <w:t>Needs and Uses of Data</w:t>
      </w:r>
      <w:bookmarkEnd w:id="33"/>
      <w:bookmarkEnd w:id="34"/>
      <w:bookmarkEnd w:id="35"/>
      <w:bookmarkEnd w:id="36"/>
      <w:bookmarkEnd w:id="37"/>
      <w:r w:rsidR="0001347C" w:rsidRPr="00583461">
        <w:rPr>
          <w:szCs w:val="24"/>
        </w:rPr>
        <w:t xml:space="preserve">  </w:t>
      </w:r>
    </w:p>
    <w:p w:rsidR="0001347C" w:rsidRPr="00583461" w:rsidRDefault="0001347C" w:rsidP="00946DF9">
      <w:pPr>
        <w:pStyle w:val="Heading3"/>
        <w:ind w:firstLine="720"/>
        <w:rPr>
          <w:szCs w:val="24"/>
        </w:rPr>
      </w:pPr>
    </w:p>
    <w:p w:rsidR="009E059A" w:rsidRPr="00583461" w:rsidRDefault="0086558B" w:rsidP="00946DF9">
      <w:pPr>
        <w:rPr>
          <w:sz w:val="24"/>
          <w:szCs w:val="24"/>
        </w:rPr>
      </w:pPr>
      <w:r>
        <w:rPr>
          <w:sz w:val="24"/>
          <w:szCs w:val="24"/>
        </w:rPr>
        <w:t>The purpose of the Form EIA-111 is to collect data about imports and exports of electricity into and out of the U.S.</w:t>
      </w:r>
    </w:p>
    <w:p w:rsidR="00992708" w:rsidRPr="00583461" w:rsidRDefault="00992708" w:rsidP="00B932B4">
      <w:bookmarkStart w:id="38" w:name="_Toc524334487"/>
      <w:bookmarkStart w:id="39" w:name="_Toc524334569"/>
      <w:bookmarkStart w:id="40" w:name="_Toc524334717"/>
      <w:bookmarkStart w:id="41" w:name="_Toc524334910"/>
    </w:p>
    <w:p w:rsidR="00D07FE4" w:rsidRDefault="00D07FE4" w:rsidP="00992708">
      <w:pPr>
        <w:pStyle w:val="Heading4"/>
        <w:rPr>
          <w:szCs w:val="24"/>
        </w:rPr>
      </w:pPr>
    </w:p>
    <w:p w:rsidR="00992708" w:rsidRPr="00583461" w:rsidRDefault="0001347C" w:rsidP="00992708">
      <w:pPr>
        <w:pStyle w:val="Heading4"/>
        <w:rPr>
          <w:szCs w:val="24"/>
        </w:rPr>
      </w:pPr>
      <w:r w:rsidRPr="00583461">
        <w:rPr>
          <w:szCs w:val="24"/>
        </w:rPr>
        <w:t>A.2.1. Overview of Data Uses</w:t>
      </w:r>
      <w:bookmarkEnd w:id="38"/>
      <w:bookmarkEnd w:id="39"/>
      <w:bookmarkEnd w:id="40"/>
      <w:bookmarkEnd w:id="41"/>
    </w:p>
    <w:p w:rsidR="00345C17" w:rsidRPr="00583461" w:rsidRDefault="00345C17" w:rsidP="00345C17"/>
    <w:p w:rsidR="00D147C9" w:rsidRPr="00583461" w:rsidRDefault="00057633" w:rsidP="00946DF9">
      <w:pPr>
        <w:pStyle w:val="z-TopofForm"/>
        <w:rPr>
          <w:szCs w:val="24"/>
        </w:rPr>
      </w:pPr>
      <w:r w:rsidRPr="00583461">
        <w:rPr>
          <w:szCs w:val="24"/>
        </w:rPr>
        <w:t>The form</w:t>
      </w:r>
      <w:r w:rsidR="0001347C" w:rsidRPr="00583461">
        <w:rPr>
          <w:szCs w:val="24"/>
        </w:rPr>
        <w:t xml:space="preserve"> is designed to </w:t>
      </w:r>
      <w:r w:rsidR="000E16AA">
        <w:rPr>
          <w:szCs w:val="24"/>
        </w:rPr>
        <w:t>collect</w:t>
      </w:r>
      <w:r w:rsidR="0001347C" w:rsidRPr="00583461">
        <w:rPr>
          <w:szCs w:val="24"/>
        </w:rPr>
        <w:t xml:space="preserve"> data from </w:t>
      </w:r>
      <w:r w:rsidR="008F7B69" w:rsidRPr="00583461">
        <w:rPr>
          <w:szCs w:val="24"/>
        </w:rPr>
        <w:t xml:space="preserve">all </w:t>
      </w:r>
      <w:r w:rsidR="0001347C" w:rsidRPr="00583461">
        <w:rPr>
          <w:szCs w:val="24"/>
        </w:rPr>
        <w:t xml:space="preserve">entities engaged in the sale, </w:t>
      </w:r>
      <w:r w:rsidR="008F7B69" w:rsidRPr="00583461">
        <w:rPr>
          <w:szCs w:val="24"/>
        </w:rPr>
        <w:t xml:space="preserve">purchase, transfer </w:t>
      </w:r>
      <w:r w:rsidR="0001347C" w:rsidRPr="00583461">
        <w:rPr>
          <w:szCs w:val="24"/>
        </w:rPr>
        <w:t xml:space="preserve">or </w:t>
      </w:r>
      <w:r w:rsidR="008F7B69" w:rsidRPr="00583461">
        <w:rPr>
          <w:szCs w:val="24"/>
        </w:rPr>
        <w:t>operational support for cross-border transmission</w:t>
      </w:r>
      <w:r w:rsidR="000C3729" w:rsidRPr="00583461">
        <w:rPr>
          <w:szCs w:val="24"/>
        </w:rPr>
        <w:t xml:space="preserve"> </w:t>
      </w:r>
      <w:r w:rsidR="00C90C5A" w:rsidRPr="00583461">
        <w:rPr>
          <w:szCs w:val="24"/>
        </w:rPr>
        <w:t>of electricity</w:t>
      </w:r>
      <w:r w:rsidR="00D80C3D" w:rsidRPr="00583461">
        <w:rPr>
          <w:szCs w:val="24"/>
        </w:rPr>
        <w:t>.</w:t>
      </w:r>
    </w:p>
    <w:p w:rsidR="00D80C3D" w:rsidRPr="00583461" w:rsidRDefault="00D80C3D" w:rsidP="00946DF9">
      <w:pPr>
        <w:pStyle w:val="z-TopofForm"/>
        <w:rPr>
          <w:szCs w:val="24"/>
        </w:rPr>
      </w:pPr>
    </w:p>
    <w:p w:rsidR="0001347C" w:rsidRPr="00583461" w:rsidRDefault="0050505D" w:rsidP="00D147C9">
      <w:pPr>
        <w:rPr>
          <w:szCs w:val="24"/>
        </w:rPr>
      </w:pPr>
      <w:r>
        <w:rPr>
          <w:sz w:val="24"/>
          <w:szCs w:val="24"/>
        </w:rPr>
        <w:t xml:space="preserve">Form </w:t>
      </w:r>
      <w:r w:rsidR="00D147C9" w:rsidRPr="00583461">
        <w:rPr>
          <w:sz w:val="24"/>
          <w:szCs w:val="24"/>
        </w:rPr>
        <w:t xml:space="preserve">EIA-111 survey data will directly support the mission of the DOE Office of Electricity Delivery and Energy Reliability </w:t>
      </w:r>
      <w:r w:rsidR="008C36FB">
        <w:rPr>
          <w:sz w:val="24"/>
          <w:szCs w:val="24"/>
        </w:rPr>
        <w:t xml:space="preserve">(DOE-OE) </w:t>
      </w:r>
      <w:r w:rsidR="00D147C9" w:rsidRPr="00583461">
        <w:rPr>
          <w:sz w:val="24"/>
          <w:szCs w:val="24"/>
        </w:rPr>
        <w:t>which monitors compliance with the terms of Presidential Permits</w:t>
      </w:r>
      <w:r w:rsidR="008C36FB">
        <w:rPr>
          <w:sz w:val="24"/>
          <w:szCs w:val="24"/>
        </w:rPr>
        <w:t xml:space="preserve"> (PP)</w:t>
      </w:r>
      <w:r w:rsidR="00D147C9" w:rsidRPr="00583461">
        <w:rPr>
          <w:sz w:val="24"/>
          <w:szCs w:val="24"/>
        </w:rPr>
        <w:t xml:space="preserve"> and Export Authorizations.  </w:t>
      </w:r>
      <w:r w:rsidR="000760FB">
        <w:rPr>
          <w:sz w:val="24"/>
          <w:szCs w:val="24"/>
        </w:rPr>
        <w:t>DOE-</w:t>
      </w:r>
      <w:r w:rsidR="00D147C9" w:rsidRPr="00583461">
        <w:rPr>
          <w:sz w:val="24"/>
          <w:szCs w:val="24"/>
        </w:rPr>
        <w:t xml:space="preserve">OE needs </w:t>
      </w:r>
      <w:r w:rsidR="0035357C" w:rsidRPr="00583461">
        <w:rPr>
          <w:sz w:val="24"/>
          <w:szCs w:val="24"/>
        </w:rPr>
        <w:t xml:space="preserve">the import/export data </w:t>
      </w:r>
      <w:r w:rsidR="00D147C9" w:rsidRPr="00583461">
        <w:rPr>
          <w:sz w:val="24"/>
          <w:szCs w:val="24"/>
        </w:rPr>
        <w:t xml:space="preserve">to determine whether to re-approve applications to import/export electricity, furnish decision </w:t>
      </w:r>
      <w:r w:rsidR="00D147C9" w:rsidRPr="00583461">
        <w:rPr>
          <w:sz w:val="24"/>
          <w:szCs w:val="24"/>
        </w:rPr>
        <w:lastRenderedPageBreak/>
        <w:t>makers with accurate information on which to base trade policy</w:t>
      </w:r>
      <w:r w:rsidR="0035357C" w:rsidRPr="00583461">
        <w:rPr>
          <w:sz w:val="24"/>
          <w:szCs w:val="24"/>
        </w:rPr>
        <w:t>, and</w:t>
      </w:r>
      <w:r w:rsidR="00D147C9" w:rsidRPr="00583461">
        <w:rPr>
          <w:sz w:val="24"/>
          <w:szCs w:val="24"/>
        </w:rPr>
        <w:t xml:space="preserve"> to verify that the holders of </w:t>
      </w:r>
      <w:r w:rsidR="008C36FB">
        <w:rPr>
          <w:sz w:val="24"/>
          <w:szCs w:val="24"/>
        </w:rPr>
        <w:t>PPs</w:t>
      </w:r>
      <w:r w:rsidR="00D147C9" w:rsidRPr="00583461">
        <w:rPr>
          <w:sz w:val="24"/>
          <w:szCs w:val="24"/>
        </w:rPr>
        <w:t xml:space="preserve"> and electricity </w:t>
      </w:r>
      <w:r w:rsidR="00A73ACA">
        <w:rPr>
          <w:sz w:val="24"/>
          <w:szCs w:val="24"/>
        </w:rPr>
        <w:t>E</w:t>
      </w:r>
      <w:r w:rsidR="00D147C9" w:rsidRPr="00583461">
        <w:rPr>
          <w:sz w:val="24"/>
          <w:szCs w:val="24"/>
        </w:rPr>
        <w:t xml:space="preserve">xport </w:t>
      </w:r>
      <w:r w:rsidR="00A73ACA">
        <w:rPr>
          <w:sz w:val="24"/>
          <w:szCs w:val="24"/>
        </w:rPr>
        <w:t>A</w:t>
      </w:r>
      <w:r w:rsidR="00D147C9" w:rsidRPr="00583461">
        <w:rPr>
          <w:sz w:val="24"/>
          <w:szCs w:val="24"/>
        </w:rPr>
        <w:t xml:space="preserve">uthorizations have complied with the terms and conditions of the permits and </w:t>
      </w:r>
      <w:r w:rsidR="00FD0C82">
        <w:rPr>
          <w:sz w:val="24"/>
          <w:szCs w:val="24"/>
        </w:rPr>
        <w:t>E</w:t>
      </w:r>
      <w:r w:rsidR="00D147C9" w:rsidRPr="00583461">
        <w:rPr>
          <w:sz w:val="24"/>
          <w:szCs w:val="24"/>
        </w:rPr>
        <w:t xml:space="preserve">xport </w:t>
      </w:r>
      <w:r w:rsidR="00FD0C82">
        <w:rPr>
          <w:sz w:val="24"/>
          <w:szCs w:val="24"/>
        </w:rPr>
        <w:t>A</w:t>
      </w:r>
      <w:r w:rsidR="00D147C9" w:rsidRPr="00583461">
        <w:rPr>
          <w:sz w:val="24"/>
          <w:szCs w:val="24"/>
        </w:rPr>
        <w:t>uthorizations</w:t>
      </w:r>
      <w:r w:rsidR="0035357C" w:rsidRPr="00583461">
        <w:rPr>
          <w:sz w:val="24"/>
          <w:szCs w:val="24"/>
        </w:rPr>
        <w:t xml:space="preserve">.  </w:t>
      </w:r>
      <w:r w:rsidR="008C36FB">
        <w:rPr>
          <w:sz w:val="24"/>
          <w:szCs w:val="24"/>
        </w:rPr>
        <w:t>DOE-</w:t>
      </w:r>
      <w:r w:rsidR="00D147C9" w:rsidRPr="00583461">
        <w:rPr>
          <w:sz w:val="24"/>
          <w:szCs w:val="24"/>
        </w:rPr>
        <w:t xml:space="preserve">OE will also use the data to </w:t>
      </w:r>
      <w:r w:rsidR="0035357C" w:rsidRPr="00583461">
        <w:rPr>
          <w:sz w:val="24"/>
          <w:szCs w:val="24"/>
        </w:rPr>
        <w:t>en</w:t>
      </w:r>
      <w:r w:rsidR="00D147C9" w:rsidRPr="00583461">
        <w:rPr>
          <w:sz w:val="24"/>
          <w:szCs w:val="24"/>
        </w:rPr>
        <w:t xml:space="preserve">sure </w:t>
      </w:r>
      <w:r w:rsidR="0035357C" w:rsidRPr="00583461">
        <w:rPr>
          <w:sz w:val="24"/>
          <w:szCs w:val="24"/>
        </w:rPr>
        <w:t xml:space="preserve">that </w:t>
      </w:r>
      <w:r w:rsidR="00D147C9" w:rsidRPr="00583461">
        <w:rPr>
          <w:sz w:val="24"/>
          <w:szCs w:val="24"/>
        </w:rPr>
        <w:t xml:space="preserve">exports of electric energy do not impair the sufficiency of electric power supply within the United States or impede the coordinated use of the U.S. power supply network.  </w:t>
      </w:r>
    </w:p>
    <w:p w:rsidR="00BC06C1" w:rsidRPr="00583461" w:rsidRDefault="00BC06C1" w:rsidP="00946DF9">
      <w:pPr>
        <w:pStyle w:val="z-TopofForm"/>
        <w:rPr>
          <w:szCs w:val="24"/>
        </w:rPr>
      </w:pPr>
    </w:p>
    <w:p w:rsidR="0001347C" w:rsidRPr="00583461" w:rsidRDefault="001916A5" w:rsidP="00946DF9">
      <w:pPr>
        <w:pStyle w:val="z-TopofForm"/>
        <w:rPr>
          <w:szCs w:val="24"/>
        </w:rPr>
      </w:pPr>
      <w:r w:rsidRPr="00583461">
        <w:rPr>
          <w:szCs w:val="24"/>
        </w:rPr>
        <w:t>State government regu</w:t>
      </w:r>
      <w:r w:rsidR="00E45D03" w:rsidRPr="00583461">
        <w:rPr>
          <w:szCs w:val="24"/>
        </w:rPr>
        <w:t>lators and analysts use these</w:t>
      </w:r>
      <w:r w:rsidRPr="00583461">
        <w:rPr>
          <w:szCs w:val="24"/>
        </w:rPr>
        <w:t xml:space="preserve"> data for assessing </w:t>
      </w:r>
      <w:r w:rsidR="008F7B69" w:rsidRPr="00583461">
        <w:rPr>
          <w:szCs w:val="24"/>
        </w:rPr>
        <w:t xml:space="preserve">electricity input and output that impact </w:t>
      </w:r>
      <w:r w:rsidRPr="00583461">
        <w:rPr>
          <w:szCs w:val="24"/>
        </w:rPr>
        <w:t xml:space="preserve">regional- and </w:t>
      </w:r>
      <w:r w:rsidR="00045779">
        <w:rPr>
          <w:szCs w:val="24"/>
        </w:rPr>
        <w:t>s</w:t>
      </w:r>
      <w:r w:rsidR="00045779" w:rsidRPr="00583461">
        <w:rPr>
          <w:szCs w:val="24"/>
        </w:rPr>
        <w:t>tate</w:t>
      </w:r>
      <w:r w:rsidRPr="00583461">
        <w:rPr>
          <w:szCs w:val="24"/>
        </w:rPr>
        <w:t>-level market conditions</w:t>
      </w:r>
      <w:r w:rsidR="008C36FB">
        <w:rPr>
          <w:szCs w:val="24"/>
        </w:rPr>
        <w:t>. They also use this data to</w:t>
      </w:r>
      <w:r w:rsidRPr="00583461">
        <w:rPr>
          <w:szCs w:val="24"/>
        </w:rPr>
        <w:t xml:space="preserve"> </w:t>
      </w:r>
      <w:r w:rsidR="008C36FB" w:rsidRPr="00583461">
        <w:rPr>
          <w:szCs w:val="24"/>
        </w:rPr>
        <w:t>determin</w:t>
      </w:r>
      <w:r w:rsidR="008C36FB">
        <w:rPr>
          <w:szCs w:val="24"/>
        </w:rPr>
        <w:t xml:space="preserve">e </w:t>
      </w:r>
      <w:r w:rsidRPr="00583461">
        <w:rPr>
          <w:szCs w:val="24"/>
        </w:rPr>
        <w:t xml:space="preserve">energy and environmental policies and </w:t>
      </w:r>
      <w:r w:rsidR="008C36FB">
        <w:rPr>
          <w:szCs w:val="24"/>
        </w:rPr>
        <w:t xml:space="preserve">for </w:t>
      </w:r>
      <w:r w:rsidRPr="00583461">
        <w:rPr>
          <w:szCs w:val="24"/>
        </w:rPr>
        <w:t xml:space="preserve">other uses.  </w:t>
      </w:r>
      <w:r w:rsidR="0001347C" w:rsidRPr="00583461">
        <w:rPr>
          <w:szCs w:val="24"/>
        </w:rPr>
        <w:t xml:space="preserve">In the absence of the centralized and public data collection by </w:t>
      </w:r>
      <w:r w:rsidR="00A40C2A" w:rsidRPr="00583461">
        <w:rPr>
          <w:szCs w:val="24"/>
        </w:rPr>
        <w:t xml:space="preserve">the </w:t>
      </w:r>
      <w:r w:rsidR="0001347C" w:rsidRPr="00583461">
        <w:rPr>
          <w:szCs w:val="24"/>
        </w:rPr>
        <w:t xml:space="preserve">EIA, each </w:t>
      </w:r>
      <w:r w:rsidR="00045779">
        <w:rPr>
          <w:szCs w:val="24"/>
        </w:rPr>
        <w:t>s</w:t>
      </w:r>
      <w:r w:rsidR="00045779" w:rsidRPr="00583461">
        <w:rPr>
          <w:szCs w:val="24"/>
        </w:rPr>
        <w:t>tate</w:t>
      </w:r>
      <w:r w:rsidR="0001347C" w:rsidRPr="00583461">
        <w:rPr>
          <w:szCs w:val="24"/>
        </w:rPr>
        <w:t xml:space="preserve"> </w:t>
      </w:r>
      <w:r w:rsidR="0057395B">
        <w:rPr>
          <w:szCs w:val="24"/>
        </w:rPr>
        <w:t>on</w:t>
      </w:r>
      <w:r w:rsidR="00EF3B4D" w:rsidRPr="00583461">
        <w:rPr>
          <w:szCs w:val="24"/>
        </w:rPr>
        <w:t xml:space="preserve"> an international border </w:t>
      </w:r>
      <w:r w:rsidR="0001347C" w:rsidRPr="00583461">
        <w:rPr>
          <w:szCs w:val="24"/>
        </w:rPr>
        <w:t>would have to undertake its own data collection effort, in many cases requesting duplicative information from firms with</w:t>
      </w:r>
      <w:r w:rsidR="00BD512D" w:rsidRPr="00583461">
        <w:rPr>
          <w:szCs w:val="24"/>
        </w:rPr>
        <w:t>in</w:t>
      </w:r>
      <w:r w:rsidR="0001347C" w:rsidRPr="00583461">
        <w:rPr>
          <w:szCs w:val="24"/>
        </w:rPr>
        <w:t xml:space="preserve"> </w:t>
      </w:r>
      <w:r w:rsidR="009C5456" w:rsidRPr="00583461">
        <w:rPr>
          <w:szCs w:val="24"/>
        </w:rPr>
        <w:t xml:space="preserve">the </w:t>
      </w:r>
      <w:r w:rsidR="0001347C" w:rsidRPr="00583461">
        <w:rPr>
          <w:szCs w:val="24"/>
        </w:rPr>
        <w:t>ele</w:t>
      </w:r>
      <w:r w:rsidR="00EF3B4D" w:rsidRPr="00583461">
        <w:rPr>
          <w:szCs w:val="24"/>
        </w:rPr>
        <w:t xml:space="preserve">ctric power industry </w:t>
      </w:r>
      <w:r w:rsidR="0001347C" w:rsidRPr="00583461">
        <w:rPr>
          <w:szCs w:val="24"/>
        </w:rPr>
        <w:t>t</w:t>
      </w:r>
      <w:r w:rsidR="00EF3B4D" w:rsidRPr="00583461">
        <w:rPr>
          <w:szCs w:val="24"/>
        </w:rPr>
        <w:t>hat support operations of international border transmission</w:t>
      </w:r>
      <w:r w:rsidR="0001347C" w:rsidRPr="00583461">
        <w:rPr>
          <w:szCs w:val="24"/>
        </w:rPr>
        <w:t xml:space="preserve"> lines.  </w:t>
      </w:r>
      <w:r w:rsidR="00EF3B4D" w:rsidRPr="00583461">
        <w:rPr>
          <w:szCs w:val="24"/>
        </w:rPr>
        <w:t>This</w:t>
      </w:r>
      <w:r w:rsidR="0001347C" w:rsidRPr="00583461">
        <w:rPr>
          <w:szCs w:val="24"/>
        </w:rPr>
        <w:t xml:space="preserve"> data collection </w:t>
      </w:r>
      <w:r w:rsidR="00EF3B4D" w:rsidRPr="00583461">
        <w:rPr>
          <w:szCs w:val="24"/>
        </w:rPr>
        <w:t>has been designed to ensure</w:t>
      </w:r>
      <w:r w:rsidR="0001347C" w:rsidRPr="00583461">
        <w:rPr>
          <w:szCs w:val="24"/>
        </w:rPr>
        <w:t xml:space="preserve"> consistent data at minimum cost to the public and respondents.</w:t>
      </w:r>
      <w:r w:rsidR="00B71345" w:rsidRPr="00583461">
        <w:rPr>
          <w:szCs w:val="24"/>
        </w:rPr>
        <w:t xml:space="preserve">  </w:t>
      </w:r>
      <w:r w:rsidR="0001347C" w:rsidRPr="00583461">
        <w:rPr>
          <w:szCs w:val="24"/>
        </w:rPr>
        <w:t>In addition to government and p</w:t>
      </w:r>
      <w:r w:rsidR="00EF3B4D" w:rsidRPr="00583461">
        <w:rPr>
          <w:szCs w:val="24"/>
        </w:rPr>
        <w:t>ower industry customers, these</w:t>
      </w:r>
      <w:r w:rsidR="0001347C" w:rsidRPr="00583461">
        <w:rPr>
          <w:szCs w:val="24"/>
        </w:rPr>
        <w:t xml:space="preserve"> data </w:t>
      </w:r>
      <w:r w:rsidR="00EF3B4D" w:rsidRPr="00583461">
        <w:rPr>
          <w:szCs w:val="24"/>
        </w:rPr>
        <w:t>will become</w:t>
      </w:r>
      <w:r w:rsidR="0001347C" w:rsidRPr="00583461">
        <w:rPr>
          <w:szCs w:val="24"/>
        </w:rPr>
        <w:t xml:space="preserve"> the core information source for other private sector and academic analyses o</w:t>
      </w:r>
      <w:r w:rsidR="00A40C2A" w:rsidRPr="00583461">
        <w:rPr>
          <w:szCs w:val="24"/>
        </w:rPr>
        <w:t>f the electric power industry</w:t>
      </w:r>
      <w:r w:rsidR="00EF3B4D" w:rsidRPr="00583461">
        <w:rPr>
          <w:szCs w:val="24"/>
        </w:rPr>
        <w:t xml:space="preserve"> and the associated trade across international borders</w:t>
      </w:r>
      <w:r w:rsidR="00A40C2A" w:rsidRPr="00583461">
        <w:rPr>
          <w:szCs w:val="24"/>
        </w:rPr>
        <w:t>.</w:t>
      </w:r>
    </w:p>
    <w:p w:rsidR="0001347C" w:rsidRPr="00583461" w:rsidRDefault="0001347C" w:rsidP="00946DF9">
      <w:pPr>
        <w:pStyle w:val="z-TopofForm"/>
        <w:rPr>
          <w:szCs w:val="24"/>
        </w:rPr>
      </w:pPr>
    </w:p>
    <w:p w:rsidR="0001347C" w:rsidRPr="00583461" w:rsidRDefault="006F1F16" w:rsidP="00946DF9">
      <w:pPr>
        <w:pStyle w:val="z-TopofForm"/>
        <w:rPr>
          <w:szCs w:val="24"/>
        </w:rPr>
      </w:pPr>
      <w:r w:rsidRPr="00583461">
        <w:rPr>
          <w:szCs w:val="24"/>
        </w:rPr>
        <w:t>In summary, e</w:t>
      </w:r>
      <w:r w:rsidR="006F16DB" w:rsidRPr="00583461">
        <w:rPr>
          <w:szCs w:val="24"/>
        </w:rPr>
        <w:t>xamples of activities</w:t>
      </w:r>
      <w:r w:rsidR="00EF3B4D" w:rsidRPr="00583461">
        <w:rPr>
          <w:szCs w:val="24"/>
        </w:rPr>
        <w:t xml:space="preserve"> </w:t>
      </w:r>
      <w:r w:rsidR="00F628EF" w:rsidRPr="00583461">
        <w:rPr>
          <w:szCs w:val="24"/>
        </w:rPr>
        <w:t>where</w:t>
      </w:r>
      <w:r w:rsidR="00EF3B4D" w:rsidRPr="00583461">
        <w:rPr>
          <w:szCs w:val="24"/>
        </w:rPr>
        <w:t xml:space="preserve"> these data covering international electricity trade and electrical system</w:t>
      </w:r>
      <w:r w:rsidR="00A8200A" w:rsidRPr="00583461">
        <w:rPr>
          <w:szCs w:val="24"/>
        </w:rPr>
        <w:t>s</w:t>
      </w:r>
      <w:r w:rsidR="00EF3B4D" w:rsidRPr="00583461">
        <w:rPr>
          <w:szCs w:val="24"/>
        </w:rPr>
        <w:t xml:space="preserve"> </w:t>
      </w:r>
      <w:r w:rsidR="006F16DB" w:rsidRPr="00583461">
        <w:rPr>
          <w:szCs w:val="24"/>
        </w:rPr>
        <w:t>are used</w:t>
      </w:r>
      <w:r w:rsidR="00F628EF" w:rsidRPr="00583461">
        <w:rPr>
          <w:szCs w:val="24"/>
        </w:rPr>
        <w:t xml:space="preserve"> include</w:t>
      </w:r>
      <w:r w:rsidR="0001347C" w:rsidRPr="00583461">
        <w:rPr>
          <w:szCs w:val="24"/>
        </w:rPr>
        <w:t>:</w:t>
      </w:r>
    </w:p>
    <w:p w:rsidR="0001347C" w:rsidRPr="00583461" w:rsidRDefault="0001347C" w:rsidP="00946DF9">
      <w:pPr>
        <w:pStyle w:val="z-TopofForm"/>
        <w:rPr>
          <w:i/>
          <w:iCs/>
          <w:szCs w:val="24"/>
        </w:rPr>
      </w:pPr>
    </w:p>
    <w:p w:rsidR="00F71D2F" w:rsidRPr="00583461" w:rsidRDefault="00F71D2F" w:rsidP="009B6EEE">
      <w:pPr>
        <w:pStyle w:val="z-TopofForm"/>
        <w:numPr>
          <w:ilvl w:val="0"/>
          <w:numId w:val="53"/>
        </w:numPr>
        <w:rPr>
          <w:szCs w:val="24"/>
        </w:rPr>
      </w:pPr>
      <w:r w:rsidRPr="00583461">
        <w:rPr>
          <w:szCs w:val="24"/>
        </w:rPr>
        <w:t xml:space="preserve">Monitoring the compliance of permit and authorization holders </w:t>
      </w:r>
    </w:p>
    <w:p w:rsidR="0001347C" w:rsidRPr="00583461" w:rsidRDefault="0001347C" w:rsidP="009B6EEE">
      <w:pPr>
        <w:pStyle w:val="z-TopofForm"/>
        <w:numPr>
          <w:ilvl w:val="0"/>
          <w:numId w:val="53"/>
        </w:numPr>
        <w:rPr>
          <w:szCs w:val="24"/>
        </w:rPr>
      </w:pPr>
      <w:r w:rsidRPr="00583461">
        <w:rPr>
          <w:szCs w:val="24"/>
        </w:rPr>
        <w:t>Monitoring the electric power industry, its sectors, and relian</w:t>
      </w:r>
      <w:r w:rsidR="00FF37EF" w:rsidRPr="00583461">
        <w:rPr>
          <w:szCs w:val="24"/>
        </w:rPr>
        <w:t xml:space="preserve">ce on </w:t>
      </w:r>
      <w:r w:rsidR="00433DE4" w:rsidRPr="00583461">
        <w:rPr>
          <w:szCs w:val="24"/>
        </w:rPr>
        <w:t xml:space="preserve">international </w:t>
      </w:r>
      <w:r w:rsidR="00FF37EF" w:rsidRPr="00583461">
        <w:rPr>
          <w:szCs w:val="24"/>
        </w:rPr>
        <w:t>trade</w:t>
      </w:r>
    </w:p>
    <w:p w:rsidR="0001347C" w:rsidRPr="00583461" w:rsidRDefault="0001347C" w:rsidP="009B6EEE">
      <w:pPr>
        <w:pStyle w:val="z-TopofForm"/>
        <w:numPr>
          <w:ilvl w:val="0"/>
          <w:numId w:val="53"/>
        </w:numPr>
        <w:rPr>
          <w:szCs w:val="24"/>
        </w:rPr>
      </w:pPr>
      <w:r w:rsidRPr="00583461">
        <w:rPr>
          <w:szCs w:val="24"/>
        </w:rPr>
        <w:t>Analyzing the adequacy of short</w:t>
      </w:r>
      <w:r w:rsidR="00433DE4" w:rsidRPr="00583461">
        <w:rPr>
          <w:szCs w:val="24"/>
        </w:rPr>
        <w:t>-</w:t>
      </w:r>
      <w:r w:rsidRPr="00583461">
        <w:rPr>
          <w:szCs w:val="24"/>
        </w:rPr>
        <w:t xml:space="preserve"> and long-term electricity supply</w:t>
      </w:r>
    </w:p>
    <w:p w:rsidR="0001347C" w:rsidRPr="00583461" w:rsidRDefault="0001347C" w:rsidP="009B6EEE">
      <w:pPr>
        <w:pStyle w:val="z-TopofForm"/>
        <w:numPr>
          <w:ilvl w:val="0"/>
          <w:numId w:val="53"/>
        </w:numPr>
        <w:rPr>
          <w:szCs w:val="24"/>
        </w:rPr>
      </w:pPr>
      <w:r w:rsidRPr="00583461">
        <w:rPr>
          <w:szCs w:val="24"/>
        </w:rPr>
        <w:t>Verifying information provided to State</w:t>
      </w:r>
      <w:r w:rsidR="00A40C2A" w:rsidRPr="00583461">
        <w:rPr>
          <w:szCs w:val="24"/>
        </w:rPr>
        <w:t xml:space="preserve"> and other Federal agencie</w:t>
      </w:r>
      <w:r w:rsidRPr="00583461">
        <w:rPr>
          <w:szCs w:val="24"/>
        </w:rPr>
        <w:t>s in other forums</w:t>
      </w:r>
    </w:p>
    <w:p w:rsidR="0001347C" w:rsidRPr="00583461" w:rsidRDefault="00FF37EF" w:rsidP="009B6EEE">
      <w:pPr>
        <w:pStyle w:val="z-TopofForm"/>
        <w:numPr>
          <w:ilvl w:val="0"/>
          <w:numId w:val="53"/>
        </w:numPr>
        <w:rPr>
          <w:szCs w:val="24"/>
        </w:rPr>
      </w:pPr>
      <w:r w:rsidRPr="00583461">
        <w:rPr>
          <w:szCs w:val="24"/>
        </w:rPr>
        <w:t>Monitoring</w:t>
      </w:r>
      <w:r w:rsidR="0001347C" w:rsidRPr="00583461">
        <w:rPr>
          <w:szCs w:val="24"/>
        </w:rPr>
        <w:t xml:space="preserve"> open transmission line access</w:t>
      </w:r>
      <w:r w:rsidR="00EF3B4D" w:rsidRPr="00583461">
        <w:rPr>
          <w:szCs w:val="24"/>
        </w:rPr>
        <w:t xml:space="preserve"> at the international border</w:t>
      </w:r>
    </w:p>
    <w:p w:rsidR="0001347C" w:rsidRPr="00583461" w:rsidRDefault="0001347C" w:rsidP="009B6EEE">
      <w:pPr>
        <w:pStyle w:val="z-TopofForm"/>
        <w:numPr>
          <w:ilvl w:val="0"/>
          <w:numId w:val="53"/>
        </w:numPr>
        <w:rPr>
          <w:szCs w:val="24"/>
        </w:rPr>
      </w:pPr>
      <w:r w:rsidRPr="00583461">
        <w:rPr>
          <w:szCs w:val="24"/>
        </w:rPr>
        <w:t>Evaluating transmission line constraints and system reliability</w:t>
      </w:r>
    </w:p>
    <w:p w:rsidR="0001347C" w:rsidRPr="00583461" w:rsidRDefault="0001347C" w:rsidP="009B6EEE">
      <w:pPr>
        <w:pStyle w:val="z-TopofForm"/>
        <w:numPr>
          <w:ilvl w:val="0"/>
          <w:numId w:val="53"/>
        </w:numPr>
        <w:rPr>
          <w:szCs w:val="24"/>
        </w:rPr>
      </w:pPr>
      <w:r w:rsidRPr="00583461">
        <w:rPr>
          <w:szCs w:val="24"/>
        </w:rPr>
        <w:t>Forecasting short- and long-term electric</w:t>
      </w:r>
      <w:bookmarkStart w:id="42" w:name="_GoBack"/>
      <w:bookmarkEnd w:id="42"/>
      <w:r w:rsidRPr="00583461">
        <w:rPr>
          <w:szCs w:val="24"/>
        </w:rPr>
        <w:t>ity supply and demand</w:t>
      </w:r>
    </w:p>
    <w:p w:rsidR="0001347C" w:rsidRPr="00583461" w:rsidRDefault="0001347C" w:rsidP="009B6EEE">
      <w:pPr>
        <w:pStyle w:val="z-TopofForm"/>
        <w:numPr>
          <w:ilvl w:val="0"/>
          <w:numId w:val="53"/>
        </w:numPr>
        <w:rPr>
          <w:szCs w:val="24"/>
        </w:rPr>
      </w:pPr>
      <w:r w:rsidRPr="00583461">
        <w:rPr>
          <w:szCs w:val="24"/>
        </w:rPr>
        <w:t xml:space="preserve">Evaluating the need for additional electric generating </w:t>
      </w:r>
      <w:r w:rsidR="00813B1F" w:rsidRPr="00583461">
        <w:rPr>
          <w:szCs w:val="24"/>
        </w:rPr>
        <w:t xml:space="preserve">and transmission </w:t>
      </w:r>
      <w:r w:rsidRPr="00583461">
        <w:rPr>
          <w:szCs w:val="24"/>
        </w:rPr>
        <w:t>capacity</w:t>
      </w:r>
    </w:p>
    <w:p w:rsidR="00040AC5" w:rsidRPr="00583461" w:rsidRDefault="0001347C" w:rsidP="009B6EEE">
      <w:pPr>
        <w:pStyle w:val="z-TopofForm"/>
        <w:numPr>
          <w:ilvl w:val="0"/>
          <w:numId w:val="53"/>
        </w:numPr>
        <w:rPr>
          <w:szCs w:val="24"/>
        </w:rPr>
      </w:pPr>
      <w:r w:rsidRPr="00583461">
        <w:rPr>
          <w:szCs w:val="24"/>
        </w:rPr>
        <w:t>Monitoring and analyzing the economic and operational impacts of industry restructuring</w:t>
      </w:r>
    </w:p>
    <w:p w:rsidR="009B6EEE" w:rsidRPr="00583461" w:rsidRDefault="004E1E77" w:rsidP="009B6EEE">
      <w:pPr>
        <w:pStyle w:val="z-TopofForm"/>
        <w:numPr>
          <w:ilvl w:val="0"/>
          <w:numId w:val="53"/>
        </w:numPr>
        <w:rPr>
          <w:szCs w:val="24"/>
        </w:rPr>
      </w:pPr>
      <w:bookmarkStart w:id="43" w:name="_Toc524334488"/>
      <w:bookmarkStart w:id="44" w:name="_Toc524334570"/>
      <w:bookmarkStart w:id="45" w:name="_Toc524334718"/>
      <w:bookmarkStart w:id="46" w:name="_Toc524334911"/>
      <w:r w:rsidRPr="00583461">
        <w:rPr>
          <w:szCs w:val="24"/>
        </w:rPr>
        <w:t>Monitoring sales and prices of electricity for use by Public Utility Commissions when reviewing rate cases</w:t>
      </w:r>
      <w:r w:rsidR="009B6EEE" w:rsidRPr="00583461">
        <w:rPr>
          <w:szCs w:val="24"/>
        </w:rPr>
        <w:t xml:space="preserve"> </w:t>
      </w:r>
    </w:p>
    <w:p w:rsidR="009B6EEE" w:rsidRPr="00583461" w:rsidRDefault="009B6EEE" w:rsidP="009B6EEE">
      <w:pPr>
        <w:pStyle w:val="z-TopofForm"/>
        <w:numPr>
          <w:ilvl w:val="0"/>
          <w:numId w:val="53"/>
        </w:numPr>
        <w:rPr>
          <w:szCs w:val="24"/>
        </w:rPr>
      </w:pPr>
      <w:r w:rsidRPr="00583461">
        <w:rPr>
          <w:szCs w:val="24"/>
        </w:rPr>
        <w:t xml:space="preserve">Answering queries from the Congress, other Federal and </w:t>
      </w:r>
      <w:r w:rsidR="00045779">
        <w:rPr>
          <w:szCs w:val="24"/>
        </w:rPr>
        <w:t>S</w:t>
      </w:r>
      <w:r w:rsidR="00045779" w:rsidRPr="00583461">
        <w:rPr>
          <w:szCs w:val="24"/>
        </w:rPr>
        <w:t xml:space="preserve">tate </w:t>
      </w:r>
      <w:r w:rsidRPr="00583461">
        <w:rPr>
          <w:szCs w:val="24"/>
        </w:rPr>
        <w:t xml:space="preserve">agencies, the electric power industry, and the general public. </w:t>
      </w:r>
    </w:p>
    <w:p w:rsidR="00A73ACA" w:rsidRDefault="00A73ACA" w:rsidP="004B1A6C">
      <w:pPr>
        <w:rPr>
          <w:sz w:val="24"/>
          <w:szCs w:val="24"/>
        </w:rPr>
      </w:pPr>
    </w:p>
    <w:p w:rsidR="0057395B" w:rsidRDefault="004B1A6C" w:rsidP="004B1A6C">
      <w:pPr>
        <w:rPr>
          <w:sz w:val="24"/>
          <w:szCs w:val="24"/>
        </w:rPr>
      </w:pPr>
      <w:r w:rsidRPr="00583461">
        <w:rPr>
          <w:sz w:val="24"/>
          <w:szCs w:val="24"/>
        </w:rPr>
        <w:t xml:space="preserve">Other data users include electricity-related trade associations; </w:t>
      </w:r>
      <w:r w:rsidR="00040AC5" w:rsidRPr="00583461">
        <w:rPr>
          <w:sz w:val="24"/>
          <w:szCs w:val="24"/>
        </w:rPr>
        <w:t>regional transmission operators</w:t>
      </w:r>
      <w:r w:rsidRPr="00583461">
        <w:rPr>
          <w:sz w:val="24"/>
          <w:szCs w:val="24"/>
        </w:rPr>
        <w:t xml:space="preserve">; electric utility companies; nonutility </w:t>
      </w:r>
      <w:r w:rsidR="00813B1F" w:rsidRPr="00583461">
        <w:rPr>
          <w:sz w:val="24"/>
          <w:szCs w:val="24"/>
        </w:rPr>
        <w:t xml:space="preserve">electric </w:t>
      </w:r>
      <w:r w:rsidRPr="00583461">
        <w:rPr>
          <w:sz w:val="24"/>
          <w:szCs w:val="24"/>
        </w:rPr>
        <w:t>companies; energy service providers; wholesale electricity traders; electrical equipment companies; numerous local, State, and Federal government agencies; environmental associations; consumer groups; financial analysts; and the news media.</w:t>
      </w:r>
    </w:p>
    <w:p w:rsidR="004B1A6C" w:rsidRPr="00583461" w:rsidRDefault="004B1A6C" w:rsidP="004B1A6C">
      <w:pPr>
        <w:rPr>
          <w:sz w:val="24"/>
          <w:szCs w:val="24"/>
        </w:rPr>
      </w:pPr>
      <w:r w:rsidRPr="00583461">
        <w:rPr>
          <w:sz w:val="24"/>
          <w:szCs w:val="24"/>
        </w:rPr>
        <w:t xml:space="preserve"> </w:t>
      </w:r>
      <w:r w:rsidRPr="00583461">
        <w:rPr>
          <w:sz w:val="24"/>
          <w:szCs w:val="24"/>
        </w:rPr>
        <w:tab/>
      </w:r>
    </w:p>
    <w:p w:rsidR="009679D4" w:rsidRDefault="009679D4" w:rsidP="004B1A6C">
      <w:pPr>
        <w:pStyle w:val="Heading4"/>
        <w:rPr>
          <w:szCs w:val="24"/>
        </w:rPr>
      </w:pPr>
    </w:p>
    <w:p w:rsidR="0001347C" w:rsidRPr="00583461" w:rsidRDefault="003510DA" w:rsidP="004B1A6C">
      <w:pPr>
        <w:pStyle w:val="Heading4"/>
        <w:rPr>
          <w:szCs w:val="24"/>
        </w:rPr>
      </w:pPr>
      <w:r w:rsidRPr="00583461">
        <w:rPr>
          <w:szCs w:val="24"/>
        </w:rPr>
        <w:t xml:space="preserve">A.2.2. </w:t>
      </w:r>
      <w:r w:rsidR="0001347C" w:rsidRPr="00583461">
        <w:rPr>
          <w:szCs w:val="24"/>
        </w:rPr>
        <w:t>Overview of Data Collections</w:t>
      </w:r>
      <w:bookmarkEnd w:id="43"/>
      <w:bookmarkEnd w:id="44"/>
      <w:bookmarkEnd w:id="45"/>
      <w:bookmarkEnd w:id="46"/>
    </w:p>
    <w:p w:rsidR="0001347C" w:rsidRPr="00583461" w:rsidRDefault="0001347C" w:rsidP="00946DF9">
      <w:pPr>
        <w:ind w:left="360"/>
        <w:rPr>
          <w:b/>
          <w:bCs/>
          <w:sz w:val="24"/>
          <w:szCs w:val="24"/>
        </w:rPr>
      </w:pPr>
    </w:p>
    <w:p w:rsidR="000318B5" w:rsidRPr="0050407B" w:rsidRDefault="0001347C" w:rsidP="00932983">
      <w:pPr>
        <w:rPr>
          <w:szCs w:val="24"/>
        </w:rPr>
      </w:pPr>
      <w:r w:rsidRPr="0050407B">
        <w:rPr>
          <w:sz w:val="24"/>
          <w:szCs w:val="24"/>
        </w:rPr>
        <w:t xml:space="preserve">The information to be collected will provide </w:t>
      </w:r>
      <w:r w:rsidR="000318B5" w:rsidRPr="0050407B">
        <w:rPr>
          <w:sz w:val="24"/>
          <w:szCs w:val="24"/>
        </w:rPr>
        <w:t>verification of terms</w:t>
      </w:r>
      <w:r w:rsidRPr="0050407B">
        <w:rPr>
          <w:sz w:val="24"/>
          <w:szCs w:val="24"/>
        </w:rPr>
        <w:t xml:space="preserve"> for each </w:t>
      </w:r>
      <w:r w:rsidR="00F628EF" w:rsidRPr="0050407B">
        <w:rPr>
          <w:sz w:val="24"/>
          <w:szCs w:val="24"/>
        </w:rPr>
        <w:t>permit category and cover these major activities</w:t>
      </w:r>
      <w:r w:rsidRPr="0050407B">
        <w:rPr>
          <w:sz w:val="24"/>
          <w:szCs w:val="24"/>
        </w:rPr>
        <w:t xml:space="preserve">: </w:t>
      </w:r>
      <w:r w:rsidR="00A56753" w:rsidRPr="0050407B">
        <w:rPr>
          <w:szCs w:val="24"/>
        </w:rPr>
        <w:t xml:space="preserve">      </w:t>
      </w:r>
    </w:p>
    <w:p w:rsidR="0001347C" w:rsidRPr="0050407B" w:rsidRDefault="00A56753" w:rsidP="00932983">
      <w:pPr>
        <w:rPr>
          <w:szCs w:val="24"/>
        </w:rPr>
      </w:pPr>
      <w:r w:rsidRPr="0050407B">
        <w:rPr>
          <w:szCs w:val="24"/>
        </w:rPr>
        <w:t xml:space="preserve">  </w:t>
      </w:r>
    </w:p>
    <w:p w:rsidR="0001347C" w:rsidRPr="0050407B" w:rsidRDefault="008F6EF9" w:rsidP="008F6EF9">
      <w:pPr>
        <w:pStyle w:val="BodyTextIndent"/>
        <w:numPr>
          <w:ilvl w:val="0"/>
          <w:numId w:val="5"/>
        </w:numPr>
        <w:rPr>
          <w:szCs w:val="24"/>
        </w:rPr>
      </w:pPr>
      <w:r w:rsidRPr="0050407B">
        <w:rPr>
          <w:szCs w:val="24"/>
        </w:rPr>
        <w:lastRenderedPageBreak/>
        <w:t>O</w:t>
      </w:r>
      <w:r w:rsidR="00EF08FB" w:rsidRPr="0050407B">
        <w:rPr>
          <w:szCs w:val="24"/>
        </w:rPr>
        <w:t xml:space="preserve">versight of </w:t>
      </w:r>
      <w:r w:rsidR="00F6274C" w:rsidRPr="0050407B">
        <w:rPr>
          <w:szCs w:val="24"/>
        </w:rPr>
        <w:t>e</w:t>
      </w:r>
      <w:r w:rsidR="0001347C" w:rsidRPr="0050407B">
        <w:rPr>
          <w:szCs w:val="24"/>
        </w:rPr>
        <w:t>lectrici</w:t>
      </w:r>
      <w:r w:rsidR="00005DE6" w:rsidRPr="0050407B">
        <w:rPr>
          <w:szCs w:val="24"/>
        </w:rPr>
        <w:t>ty reliability</w:t>
      </w:r>
      <w:r w:rsidR="0001347C" w:rsidRPr="0050407B">
        <w:rPr>
          <w:szCs w:val="24"/>
        </w:rPr>
        <w:t xml:space="preserve"> (i.e., </w:t>
      </w:r>
      <w:r w:rsidR="00F12337" w:rsidRPr="0050407B">
        <w:rPr>
          <w:szCs w:val="24"/>
        </w:rPr>
        <w:t>electricity</w:t>
      </w:r>
      <w:r w:rsidR="00005DE6" w:rsidRPr="0050407B">
        <w:rPr>
          <w:szCs w:val="24"/>
        </w:rPr>
        <w:t xml:space="preserve"> flows at the border - actual, and </w:t>
      </w:r>
      <w:r w:rsidR="00996ADD" w:rsidRPr="0050407B">
        <w:rPr>
          <w:szCs w:val="24"/>
        </w:rPr>
        <w:t xml:space="preserve"> implemented interchange,</w:t>
      </w:r>
      <w:r w:rsidR="004D2C7D" w:rsidRPr="0050407B">
        <w:rPr>
          <w:szCs w:val="24"/>
        </w:rPr>
        <w:t xml:space="preserve"> </w:t>
      </w:r>
      <w:r w:rsidR="00F12337" w:rsidRPr="0050407B">
        <w:rPr>
          <w:szCs w:val="24"/>
        </w:rPr>
        <w:t>power flows</w:t>
      </w:r>
      <w:r w:rsidR="00005DE6" w:rsidRPr="0050407B">
        <w:rPr>
          <w:szCs w:val="24"/>
        </w:rPr>
        <w:t xml:space="preserve">, source and </w:t>
      </w:r>
      <w:r w:rsidR="004D2C7D" w:rsidRPr="0050407B">
        <w:rPr>
          <w:szCs w:val="24"/>
        </w:rPr>
        <w:t>sink balancing authority area</w:t>
      </w:r>
      <w:r w:rsidR="007A7EF0" w:rsidRPr="0050407B">
        <w:rPr>
          <w:szCs w:val="24"/>
        </w:rPr>
        <w:t>)</w:t>
      </w:r>
    </w:p>
    <w:p w:rsidR="0001347C" w:rsidRPr="0050407B" w:rsidRDefault="008F6EF9" w:rsidP="00946DF9">
      <w:pPr>
        <w:numPr>
          <w:ilvl w:val="0"/>
          <w:numId w:val="5"/>
        </w:numPr>
        <w:rPr>
          <w:sz w:val="24"/>
          <w:szCs w:val="24"/>
        </w:rPr>
      </w:pPr>
      <w:r w:rsidRPr="0050407B">
        <w:rPr>
          <w:sz w:val="24"/>
          <w:szCs w:val="24"/>
        </w:rPr>
        <w:t>E</w:t>
      </w:r>
      <w:r w:rsidR="0001347C" w:rsidRPr="0050407B">
        <w:rPr>
          <w:sz w:val="24"/>
          <w:szCs w:val="24"/>
        </w:rPr>
        <w:t>lectricity sales (i.e.,</w:t>
      </w:r>
      <w:r w:rsidR="007A7EF0" w:rsidRPr="0050407B">
        <w:rPr>
          <w:sz w:val="24"/>
          <w:szCs w:val="24"/>
        </w:rPr>
        <w:t xml:space="preserve"> energy</w:t>
      </w:r>
      <w:r w:rsidR="0001347C" w:rsidRPr="0050407B">
        <w:rPr>
          <w:sz w:val="24"/>
          <w:szCs w:val="24"/>
        </w:rPr>
        <w:t xml:space="preserve"> </w:t>
      </w:r>
      <w:r w:rsidR="007A7EF0" w:rsidRPr="0050407B">
        <w:rPr>
          <w:sz w:val="24"/>
          <w:szCs w:val="24"/>
        </w:rPr>
        <w:t>payments</w:t>
      </w:r>
      <w:r w:rsidR="0001347C" w:rsidRPr="0050407B">
        <w:rPr>
          <w:sz w:val="24"/>
          <w:szCs w:val="24"/>
        </w:rPr>
        <w:t xml:space="preserve">, </w:t>
      </w:r>
      <w:r w:rsidR="007A7EF0" w:rsidRPr="0050407B">
        <w:rPr>
          <w:sz w:val="24"/>
          <w:szCs w:val="24"/>
        </w:rPr>
        <w:t xml:space="preserve">energy </w:t>
      </w:r>
      <w:r w:rsidR="0001347C" w:rsidRPr="0050407B">
        <w:rPr>
          <w:sz w:val="24"/>
          <w:szCs w:val="24"/>
        </w:rPr>
        <w:t xml:space="preserve">revenues, and </w:t>
      </w:r>
      <w:r w:rsidR="007A7EF0" w:rsidRPr="0050407B">
        <w:rPr>
          <w:sz w:val="24"/>
          <w:szCs w:val="24"/>
        </w:rPr>
        <w:t>exchange imports and exports</w:t>
      </w:r>
      <w:r w:rsidRPr="0050407B">
        <w:rPr>
          <w:sz w:val="24"/>
          <w:szCs w:val="24"/>
        </w:rPr>
        <w:t>)</w:t>
      </w:r>
      <w:r w:rsidR="007A7EF0" w:rsidRPr="0050407B">
        <w:rPr>
          <w:sz w:val="24"/>
          <w:szCs w:val="24"/>
        </w:rPr>
        <w:t>.</w:t>
      </w:r>
    </w:p>
    <w:p w:rsidR="000C3729" w:rsidRPr="00583461" w:rsidRDefault="000C3729" w:rsidP="004B1A6C">
      <w:pPr>
        <w:pStyle w:val="Heading4"/>
        <w:rPr>
          <w:szCs w:val="24"/>
        </w:rPr>
      </w:pPr>
      <w:bookmarkStart w:id="47" w:name="_Toc524334489"/>
      <w:bookmarkStart w:id="48" w:name="_Toc524334571"/>
      <w:bookmarkStart w:id="49" w:name="_Toc524334719"/>
      <w:bookmarkStart w:id="50" w:name="_Toc524334912"/>
    </w:p>
    <w:p w:rsidR="009679D4" w:rsidRDefault="009679D4" w:rsidP="004B1A6C">
      <w:pPr>
        <w:pStyle w:val="Heading4"/>
        <w:rPr>
          <w:szCs w:val="24"/>
        </w:rPr>
      </w:pPr>
    </w:p>
    <w:p w:rsidR="0001347C" w:rsidRPr="00583461" w:rsidRDefault="008D0A91" w:rsidP="004B1A6C">
      <w:pPr>
        <w:pStyle w:val="Heading4"/>
        <w:rPr>
          <w:szCs w:val="24"/>
        </w:rPr>
      </w:pPr>
      <w:r w:rsidRPr="00583461">
        <w:rPr>
          <w:szCs w:val="24"/>
        </w:rPr>
        <w:t xml:space="preserve">A.2.3. </w:t>
      </w:r>
      <w:r w:rsidR="0001347C" w:rsidRPr="00583461">
        <w:rPr>
          <w:szCs w:val="24"/>
        </w:rPr>
        <w:t>Individual Form Data Uses</w:t>
      </w:r>
      <w:bookmarkEnd w:id="47"/>
      <w:bookmarkEnd w:id="48"/>
      <w:bookmarkEnd w:id="49"/>
      <w:bookmarkEnd w:id="50"/>
    </w:p>
    <w:p w:rsidR="0001347C" w:rsidRPr="00583461" w:rsidRDefault="0001347C" w:rsidP="00946DF9">
      <w:pPr>
        <w:rPr>
          <w:b/>
          <w:bCs/>
          <w:sz w:val="24"/>
          <w:szCs w:val="24"/>
        </w:rPr>
      </w:pPr>
    </w:p>
    <w:p w:rsidR="00D45EAD" w:rsidRPr="00583461" w:rsidRDefault="00A73ACA" w:rsidP="00D9338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T</w:t>
      </w:r>
      <w:r w:rsidR="00D9338F" w:rsidRPr="00583461">
        <w:rPr>
          <w:sz w:val="24"/>
          <w:szCs w:val="24"/>
        </w:rPr>
        <w:t xml:space="preserve">he Form EIA-111 </w:t>
      </w:r>
      <w:r>
        <w:rPr>
          <w:sz w:val="24"/>
          <w:szCs w:val="24"/>
        </w:rPr>
        <w:t xml:space="preserve">data </w:t>
      </w:r>
      <w:r w:rsidR="00D9338F" w:rsidRPr="00583461">
        <w:rPr>
          <w:sz w:val="24"/>
          <w:szCs w:val="24"/>
        </w:rPr>
        <w:t xml:space="preserve">will be collected, reviewed, tabulated and used to provide statistics on </w:t>
      </w:r>
      <w:r w:rsidR="0057395B">
        <w:rPr>
          <w:sz w:val="24"/>
          <w:szCs w:val="24"/>
        </w:rPr>
        <w:t xml:space="preserve">U.S. </w:t>
      </w:r>
      <w:r w:rsidR="00D9338F" w:rsidRPr="00583461">
        <w:rPr>
          <w:sz w:val="24"/>
          <w:szCs w:val="24"/>
        </w:rPr>
        <w:t>electricity imports and exports.  The data will appear in several EIA publications</w:t>
      </w:r>
      <w:r w:rsidR="000E16AA">
        <w:rPr>
          <w:sz w:val="24"/>
          <w:szCs w:val="24"/>
        </w:rPr>
        <w:t xml:space="preserve"> that are available from EIA’s website</w:t>
      </w:r>
      <w:r w:rsidR="00D9338F" w:rsidRPr="00583461">
        <w:rPr>
          <w:sz w:val="24"/>
          <w:szCs w:val="24"/>
        </w:rPr>
        <w:t>.  The most prominent are</w:t>
      </w:r>
      <w:r w:rsidR="00D45EAD" w:rsidRPr="00583461">
        <w:rPr>
          <w:sz w:val="24"/>
          <w:szCs w:val="24"/>
        </w:rPr>
        <w:t>:</w:t>
      </w:r>
      <w:r w:rsidR="00D9338F" w:rsidRPr="00583461">
        <w:rPr>
          <w:sz w:val="24"/>
          <w:szCs w:val="24"/>
        </w:rPr>
        <w:t xml:space="preserve"> </w:t>
      </w:r>
    </w:p>
    <w:p w:rsidR="00D45EAD" w:rsidRPr="00583461" w:rsidRDefault="00D45EAD" w:rsidP="00D9338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25775F" w:rsidRPr="00006825" w:rsidRDefault="00243651" w:rsidP="0025775F">
      <w:pPr>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r w:rsidRPr="00583461">
        <w:rPr>
          <w:sz w:val="24"/>
          <w:szCs w:val="24"/>
          <w:u w:val="single"/>
        </w:rPr>
        <w:t>Annual E</w:t>
      </w:r>
      <w:r w:rsidR="00D45EAD" w:rsidRPr="00583461">
        <w:rPr>
          <w:sz w:val="24"/>
          <w:szCs w:val="24"/>
          <w:u w:val="single"/>
        </w:rPr>
        <w:t>nergy Outlook</w:t>
      </w:r>
      <w:r w:rsidR="00D45EAD" w:rsidRPr="00583461">
        <w:rPr>
          <w:sz w:val="24"/>
          <w:szCs w:val="24"/>
        </w:rPr>
        <w:t xml:space="preserve"> </w:t>
      </w:r>
      <w:r w:rsidR="00C577AB">
        <w:rPr>
          <w:sz w:val="24"/>
          <w:szCs w:val="24"/>
        </w:rPr>
        <w:tab/>
      </w:r>
      <w:hyperlink r:id="rId8" w:history="1">
        <w:r w:rsidR="00006825" w:rsidRPr="00571DA2">
          <w:rPr>
            <w:rStyle w:val="Hyperlink"/>
            <w:sz w:val="24"/>
            <w:szCs w:val="24"/>
          </w:rPr>
          <w:t>http://www.eia.gov/forecasts/aeo/er/</w:t>
        </w:r>
      </w:hyperlink>
    </w:p>
    <w:p w:rsidR="00D45EAD" w:rsidRPr="00C577AB" w:rsidRDefault="00D9338F" w:rsidP="00D45EAD">
      <w:pPr>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u w:val="single"/>
        </w:rPr>
        <w:t>Electric Power Annual</w:t>
      </w:r>
      <w:r w:rsidR="00C577AB">
        <w:rPr>
          <w:sz w:val="24"/>
          <w:szCs w:val="24"/>
        </w:rPr>
        <w:tab/>
      </w:r>
      <w:hyperlink r:id="rId9" w:history="1">
        <w:r w:rsidR="00C577AB" w:rsidRPr="00571DA2">
          <w:rPr>
            <w:rStyle w:val="Hyperlink"/>
            <w:sz w:val="24"/>
            <w:szCs w:val="24"/>
          </w:rPr>
          <w:t>http://www.eia.gov/electricity/annual</w:t>
        </w:r>
      </w:hyperlink>
      <w:r w:rsidR="00DA5F12">
        <w:rPr>
          <w:sz w:val="24"/>
          <w:szCs w:val="24"/>
          <w:u w:val="single"/>
        </w:rPr>
        <w:t>/</w:t>
      </w:r>
    </w:p>
    <w:p w:rsidR="00D45EAD" w:rsidRPr="00C577AB" w:rsidRDefault="00D9338F" w:rsidP="00D45EAD">
      <w:pPr>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u w:val="single"/>
        </w:rPr>
        <w:t>Annual Energy Review</w:t>
      </w:r>
      <w:r w:rsidR="00C577AB">
        <w:rPr>
          <w:sz w:val="24"/>
          <w:szCs w:val="24"/>
        </w:rPr>
        <w:tab/>
      </w:r>
      <w:hyperlink r:id="rId10" w:history="1">
        <w:r w:rsidR="00C577AB" w:rsidRPr="00571DA2">
          <w:rPr>
            <w:rStyle w:val="Hyperlink"/>
            <w:sz w:val="24"/>
            <w:szCs w:val="24"/>
          </w:rPr>
          <w:t>http://www.eia.gov/totalenergy/data/annual</w:t>
        </w:r>
      </w:hyperlink>
      <w:r w:rsidR="00DA5F12">
        <w:rPr>
          <w:sz w:val="24"/>
          <w:szCs w:val="24"/>
          <w:u w:val="single"/>
        </w:rPr>
        <w:t>/</w:t>
      </w:r>
    </w:p>
    <w:p w:rsidR="00D45EAD" w:rsidRPr="00583461" w:rsidRDefault="00D45EAD" w:rsidP="00D9338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D9338F" w:rsidRPr="00583461" w:rsidRDefault="00D9338F" w:rsidP="00D9338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sz w:val="24"/>
          <w:szCs w:val="24"/>
        </w:rPr>
      </w:pPr>
      <w:r w:rsidRPr="00583461">
        <w:rPr>
          <w:sz w:val="24"/>
          <w:szCs w:val="24"/>
        </w:rPr>
        <w:t xml:space="preserve">The data will also be used in other EIA products such as the State Energy Data System and for EIA forecast models.  </w:t>
      </w:r>
    </w:p>
    <w:p w:rsidR="00D9338F" w:rsidRPr="00583461" w:rsidRDefault="00D9338F" w:rsidP="00A80FF8">
      <w:pPr>
        <w:pStyle w:val="BodyText"/>
      </w:pPr>
    </w:p>
    <w:p w:rsidR="00D9338F" w:rsidRPr="00583461" w:rsidRDefault="00D9338F" w:rsidP="00A80FF8">
      <w:pPr>
        <w:pStyle w:val="BodyText"/>
      </w:pPr>
    </w:p>
    <w:p w:rsidR="00CF3909" w:rsidRPr="00583461" w:rsidRDefault="00CF3909" w:rsidP="00863403">
      <w:pPr>
        <w:pStyle w:val="Heading3"/>
        <w:rPr>
          <w:szCs w:val="24"/>
        </w:rPr>
      </w:pPr>
      <w:bookmarkStart w:id="51" w:name="_Toc318697074"/>
      <w:bookmarkStart w:id="52" w:name="_Toc524334491"/>
      <w:bookmarkStart w:id="53" w:name="_Toc524334573"/>
      <w:bookmarkStart w:id="54" w:name="_Toc524334721"/>
      <w:bookmarkStart w:id="55" w:name="_Toc524334914"/>
      <w:r w:rsidRPr="00583461">
        <w:rPr>
          <w:szCs w:val="24"/>
        </w:rPr>
        <w:t>A.3. Use of Technology</w:t>
      </w:r>
      <w:bookmarkEnd w:id="51"/>
    </w:p>
    <w:p w:rsidR="00CF3909" w:rsidRPr="00583461" w:rsidRDefault="00CF3909" w:rsidP="00CF3909"/>
    <w:p w:rsidR="009D1A9C" w:rsidRPr="00026153" w:rsidRDefault="00217934" w:rsidP="00CF3909">
      <w:pPr>
        <w:rPr>
          <w:sz w:val="24"/>
          <w:szCs w:val="24"/>
          <w:u w:val="single"/>
        </w:rPr>
      </w:pPr>
      <w:r w:rsidRPr="00026153">
        <w:rPr>
          <w:sz w:val="24"/>
          <w:szCs w:val="24"/>
          <w:u w:val="single"/>
        </w:rPr>
        <w:t>General</w:t>
      </w:r>
    </w:p>
    <w:p w:rsidR="009D1A9C" w:rsidRDefault="009D1A9C" w:rsidP="00CF3909">
      <w:pPr>
        <w:rPr>
          <w:sz w:val="24"/>
          <w:szCs w:val="24"/>
        </w:rPr>
      </w:pPr>
    </w:p>
    <w:p w:rsidR="005D76A5" w:rsidRPr="005D76A5" w:rsidRDefault="00BC2DC7" w:rsidP="00CF3909">
      <w:pPr>
        <w:rPr>
          <w:sz w:val="24"/>
          <w:szCs w:val="24"/>
        </w:rPr>
      </w:pPr>
      <w:r w:rsidRPr="00BC2DC7">
        <w:rPr>
          <w:sz w:val="24"/>
          <w:szCs w:val="24"/>
        </w:rPr>
        <w:t>The EIA is utilizing information technology to improve reporting options for respondents to all electric power surveys.  The EIA will provide an electronic e-filing system that respondents may use to complete and submit the surveys via a secure internet browser-based system.  The e-filing system allows respondents to enter their data directly into the EIA survey database which reduces the time needed for data collection and processing.</w:t>
      </w:r>
      <w:r>
        <w:rPr>
          <w:sz w:val="24"/>
          <w:szCs w:val="24"/>
        </w:rPr>
        <w:t xml:space="preserve"> </w:t>
      </w:r>
      <w:r w:rsidRPr="00BC2DC7">
        <w:rPr>
          <w:sz w:val="24"/>
          <w:szCs w:val="24"/>
        </w:rPr>
        <w:t xml:space="preserve">The system also identifies data that fails edits prior to submission which allows respondents to make necessary correction or to explain unusual events impacting the reported data prior to submission. This reduces respondent burden by reducing the number of times a respondent must resubmit forms prior to acceptance by EIA. </w:t>
      </w:r>
      <w:r w:rsidR="005D76A5" w:rsidRPr="00BC2DC7">
        <w:rPr>
          <w:sz w:val="24"/>
          <w:szCs w:val="24"/>
        </w:rPr>
        <w:t>It also improves the timeliness of reporting the information to the public. The only equipment and software the respondent is required to have is a connection to the Internet and a standard industry web browser that supports secured socket</w:t>
      </w:r>
      <w:r w:rsidR="005D76A5" w:rsidRPr="005D76A5">
        <w:rPr>
          <w:sz w:val="24"/>
          <w:szCs w:val="24"/>
        </w:rPr>
        <w:t xml:space="preserve"> layering.  The EIA will continue to make all survey forms and instructions available for printing or downloading from the EIA web site.</w:t>
      </w:r>
    </w:p>
    <w:p w:rsidR="009679D4" w:rsidRPr="005D76A5" w:rsidRDefault="009679D4" w:rsidP="00CF3909">
      <w:pPr>
        <w:rPr>
          <w:sz w:val="24"/>
          <w:szCs w:val="24"/>
        </w:rPr>
      </w:pPr>
    </w:p>
    <w:p w:rsidR="00D07FE4" w:rsidRPr="00026153" w:rsidRDefault="00217934" w:rsidP="00A56753">
      <w:pPr>
        <w:pStyle w:val="Heading3"/>
        <w:rPr>
          <w:b w:val="0"/>
          <w:szCs w:val="24"/>
          <w:u w:val="single"/>
        </w:rPr>
      </w:pPr>
      <w:r w:rsidRPr="00026153">
        <w:rPr>
          <w:b w:val="0"/>
          <w:szCs w:val="24"/>
          <w:u w:val="single"/>
        </w:rPr>
        <w:t>Use of Pick-Lists (Including Dynamic Lists)</w:t>
      </w:r>
    </w:p>
    <w:p w:rsidR="00217934" w:rsidRDefault="00217934" w:rsidP="00026153"/>
    <w:p w:rsidR="009D1A9C" w:rsidRDefault="00D214A0" w:rsidP="009D1A9C">
      <w:pPr>
        <w:rPr>
          <w:sz w:val="24"/>
          <w:szCs w:val="24"/>
        </w:rPr>
      </w:pPr>
      <w:r>
        <w:rPr>
          <w:sz w:val="24"/>
          <w:szCs w:val="24"/>
        </w:rPr>
        <w:t xml:space="preserve">Pick-lists </w:t>
      </w:r>
      <w:r w:rsidR="00217934" w:rsidRPr="00026153">
        <w:rPr>
          <w:sz w:val="24"/>
          <w:szCs w:val="24"/>
        </w:rPr>
        <w:t xml:space="preserve">are a means of limiting a respondent’s answers to a </w:t>
      </w:r>
      <w:r>
        <w:rPr>
          <w:sz w:val="24"/>
          <w:szCs w:val="24"/>
        </w:rPr>
        <w:t xml:space="preserve">question </w:t>
      </w:r>
      <w:r w:rsidR="009D1A9C">
        <w:rPr>
          <w:sz w:val="24"/>
          <w:szCs w:val="24"/>
        </w:rPr>
        <w:t xml:space="preserve">to a </w:t>
      </w:r>
      <w:r w:rsidR="00217934" w:rsidRPr="00026153">
        <w:rPr>
          <w:sz w:val="24"/>
          <w:szCs w:val="24"/>
        </w:rPr>
        <w:t>finite set of acceptable choices.  The objectives are to reduce respondent burden and to improve data quality, while reducing the time and effort needed by EIA to edit a response.</w:t>
      </w:r>
    </w:p>
    <w:p w:rsidR="009D1A9C" w:rsidRPr="00026153" w:rsidRDefault="009D1A9C" w:rsidP="009D1A9C">
      <w:pPr>
        <w:rPr>
          <w:sz w:val="24"/>
          <w:szCs w:val="24"/>
        </w:rPr>
      </w:pPr>
    </w:p>
    <w:p w:rsidR="009D1A9C" w:rsidRDefault="00217934" w:rsidP="009D1A9C">
      <w:pPr>
        <w:rPr>
          <w:sz w:val="24"/>
          <w:szCs w:val="24"/>
        </w:rPr>
      </w:pPr>
      <w:r w:rsidRPr="00026153">
        <w:rPr>
          <w:sz w:val="24"/>
          <w:szCs w:val="24"/>
        </w:rPr>
        <w:lastRenderedPageBreak/>
        <w:t>Pick-lists</w:t>
      </w:r>
      <w:r w:rsidR="00A13C1E">
        <w:rPr>
          <w:rStyle w:val="FootnoteReference"/>
          <w:sz w:val="24"/>
          <w:szCs w:val="24"/>
        </w:rPr>
        <w:footnoteReference w:id="5"/>
      </w:r>
      <w:r w:rsidRPr="00026153">
        <w:rPr>
          <w:sz w:val="24"/>
          <w:szCs w:val="24"/>
        </w:rPr>
        <w:t xml:space="preserve"> are used in software-enabled surveys to:</w:t>
      </w:r>
    </w:p>
    <w:p w:rsidR="009D1A9C" w:rsidRPr="00026153" w:rsidRDefault="009D1A9C" w:rsidP="009D1A9C">
      <w:pPr>
        <w:rPr>
          <w:sz w:val="24"/>
          <w:szCs w:val="24"/>
        </w:rPr>
      </w:pPr>
    </w:p>
    <w:p w:rsidR="00217934" w:rsidRPr="00026153" w:rsidRDefault="00217934" w:rsidP="00026153">
      <w:pPr>
        <w:pStyle w:val="ListParagraph"/>
        <w:numPr>
          <w:ilvl w:val="0"/>
          <w:numId w:val="55"/>
        </w:numPr>
        <w:spacing w:after="200"/>
        <w:rPr>
          <w:sz w:val="24"/>
          <w:szCs w:val="24"/>
        </w:rPr>
      </w:pPr>
      <w:r w:rsidRPr="00026153">
        <w:rPr>
          <w:rFonts w:ascii="Times New Roman" w:hAnsi="Times New Roman"/>
          <w:sz w:val="24"/>
          <w:szCs w:val="24"/>
        </w:rPr>
        <w:t xml:space="preserve">Avoid typographical errors, such as mistyping the abbreviation for a state or month; </w:t>
      </w:r>
    </w:p>
    <w:p w:rsidR="00217934" w:rsidRPr="00026153" w:rsidRDefault="00217934" w:rsidP="00026153">
      <w:pPr>
        <w:pStyle w:val="ListParagraph"/>
        <w:numPr>
          <w:ilvl w:val="0"/>
          <w:numId w:val="55"/>
        </w:numPr>
        <w:spacing w:after="200"/>
        <w:rPr>
          <w:sz w:val="24"/>
          <w:szCs w:val="24"/>
        </w:rPr>
      </w:pPr>
      <w:r w:rsidRPr="00026153">
        <w:rPr>
          <w:rFonts w:ascii="Times New Roman" w:hAnsi="Times New Roman"/>
          <w:sz w:val="24"/>
          <w:szCs w:val="24"/>
        </w:rPr>
        <w:t xml:space="preserve">Assure consistent responses to questions asking standard information, such as entering a state as text or a number; </w:t>
      </w:r>
    </w:p>
    <w:p w:rsidR="00217934" w:rsidRPr="00026153" w:rsidRDefault="00217934" w:rsidP="00026153">
      <w:pPr>
        <w:pStyle w:val="ListParagraph"/>
        <w:numPr>
          <w:ilvl w:val="0"/>
          <w:numId w:val="55"/>
        </w:numPr>
        <w:spacing w:after="200"/>
        <w:rPr>
          <w:sz w:val="24"/>
          <w:szCs w:val="24"/>
        </w:rPr>
      </w:pPr>
      <w:r w:rsidRPr="00026153">
        <w:rPr>
          <w:rFonts w:ascii="Times New Roman" w:hAnsi="Times New Roman"/>
          <w:sz w:val="24"/>
          <w:szCs w:val="24"/>
        </w:rPr>
        <w:t xml:space="preserve">Assure consistent responses to questions asking for technical information when the same concept has multiple monikers (e.g., “short term” and “spot” fuel supply contracts).  </w:t>
      </w:r>
    </w:p>
    <w:p w:rsidR="009D1A9C" w:rsidRDefault="009D1A9C" w:rsidP="009D1A9C">
      <w:pPr>
        <w:rPr>
          <w:sz w:val="24"/>
          <w:szCs w:val="24"/>
        </w:rPr>
      </w:pPr>
    </w:p>
    <w:p w:rsidR="009D1A9C" w:rsidRDefault="00217934" w:rsidP="009D1A9C">
      <w:pPr>
        <w:rPr>
          <w:sz w:val="24"/>
          <w:szCs w:val="24"/>
        </w:rPr>
      </w:pPr>
      <w:r w:rsidRPr="00026153">
        <w:rPr>
          <w:sz w:val="24"/>
          <w:szCs w:val="24"/>
        </w:rPr>
        <w:t>When the pick-list requests a choice of technical information, the list typically includes an “Other” choice.  In some cases the “Other” choice is accompanied by a request for the respondent to provide additional information in a comment area in the survey.  The “Other” choice acts as a mechanism to ensure that the form is capable of collecting all possible categorie</w:t>
      </w:r>
      <w:r w:rsidR="00D214A0">
        <w:rPr>
          <w:sz w:val="24"/>
          <w:szCs w:val="24"/>
        </w:rPr>
        <w:t>s when a pick-list is variable</w:t>
      </w:r>
      <w:r w:rsidR="009D1A9C">
        <w:rPr>
          <w:sz w:val="24"/>
          <w:szCs w:val="24"/>
        </w:rPr>
        <w:t>.</w:t>
      </w:r>
    </w:p>
    <w:p w:rsidR="009D1A9C" w:rsidRPr="00026153" w:rsidRDefault="00217934" w:rsidP="009D1A9C">
      <w:pPr>
        <w:rPr>
          <w:sz w:val="24"/>
          <w:szCs w:val="24"/>
        </w:rPr>
      </w:pPr>
      <w:r w:rsidRPr="00026153">
        <w:rPr>
          <w:sz w:val="24"/>
          <w:szCs w:val="24"/>
        </w:rPr>
        <w:t xml:space="preserve"> </w:t>
      </w:r>
    </w:p>
    <w:p w:rsidR="009D1A9C" w:rsidRDefault="00217934" w:rsidP="009D1A9C">
      <w:pPr>
        <w:rPr>
          <w:sz w:val="24"/>
          <w:szCs w:val="24"/>
        </w:rPr>
      </w:pPr>
      <w:r w:rsidRPr="00026153">
        <w:rPr>
          <w:sz w:val="24"/>
          <w:szCs w:val="24"/>
        </w:rPr>
        <w:t>There are three types of pick-lists that may be used in software-enabled EIA surveys:</w:t>
      </w:r>
    </w:p>
    <w:p w:rsidR="009D1A9C" w:rsidRPr="00026153" w:rsidRDefault="009D1A9C" w:rsidP="009D1A9C">
      <w:pPr>
        <w:rPr>
          <w:sz w:val="24"/>
          <w:szCs w:val="24"/>
        </w:rPr>
      </w:pPr>
    </w:p>
    <w:p w:rsidR="00217934" w:rsidRPr="00026153" w:rsidRDefault="00217934" w:rsidP="00026153">
      <w:pPr>
        <w:pStyle w:val="ListParagraph"/>
        <w:numPr>
          <w:ilvl w:val="0"/>
          <w:numId w:val="56"/>
        </w:numPr>
        <w:spacing w:after="200"/>
        <w:rPr>
          <w:sz w:val="24"/>
          <w:szCs w:val="24"/>
        </w:rPr>
      </w:pPr>
      <w:r w:rsidRPr="00026153">
        <w:rPr>
          <w:rFonts w:ascii="Times New Roman" w:hAnsi="Times New Roman"/>
          <w:sz w:val="24"/>
          <w:szCs w:val="24"/>
        </w:rPr>
        <w:t>Static pick-lists include information which does not change, such as a list of months.</w:t>
      </w:r>
    </w:p>
    <w:p w:rsidR="00217934" w:rsidRPr="00026153" w:rsidRDefault="00217934" w:rsidP="00026153">
      <w:pPr>
        <w:pStyle w:val="ListParagraph"/>
        <w:numPr>
          <w:ilvl w:val="0"/>
          <w:numId w:val="56"/>
        </w:numPr>
        <w:spacing w:after="200"/>
        <w:rPr>
          <w:sz w:val="24"/>
          <w:szCs w:val="24"/>
        </w:rPr>
      </w:pPr>
      <w:r w:rsidRPr="00026153">
        <w:rPr>
          <w:rFonts w:ascii="Times New Roman" w:hAnsi="Times New Roman"/>
          <w:sz w:val="24"/>
          <w:szCs w:val="24"/>
        </w:rPr>
        <w:t xml:space="preserve">Variable pick-lists include choices that may be changed by EIA depending on the period of time covered by the survey or another circumstance.  </w:t>
      </w:r>
    </w:p>
    <w:p w:rsidR="00217934" w:rsidRPr="00026153" w:rsidRDefault="00217934" w:rsidP="00026153">
      <w:pPr>
        <w:pStyle w:val="ListParagraph"/>
        <w:numPr>
          <w:ilvl w:val="1"/>
          <w:numId w:val="56"/>
        </w:numPr>
        <w:spacing w:after="200"/>
        <w:rPr>
          <w:sz w:val="24"/>
          <w:szCs w:val="24"/>
        </w:rPr>
      </w:pPr>
      <w:r w:rsidRPr="00026153">
        <w:rPr>
          <w:rFonts w:ascii="Times New Roman" w:hAnsi="Times New Roman"/>
          <w:b/>
          <w:sz w:val="24"/>
          <w:szCs w:val="24"/>
        </w:rPr>
        <w:t>Time Dependent</w:t>
      </w:r>
      <w:r w:rsidRPr="00026153">
        <w:rPr>
          <w:rFonts w:ascii="Times New Roman" w:hAnsi="Times New Roman"/>
          <w:sz w:val="24"/>
          <w:szCs w:val="24"/>
        </w:rPr>
        <w:t xml:space="preserve">: </w:t>
      </w:r>
      <w:r w:rsidR="00E51178">
        <w:rPr>
          <w:rFonts w:ascii="Times New Roman" w:hAnsi="Times New Roman"/>
          <w:sz w:val="24"/>
          <w:szCs w:val="24"/>
        </w:rPr>
        <w:t xml:space="preserve">In the case of the proposed EIA-111 survey, data is collected for each month of the year on a quarterly basis.  Therefore, </w:t>
      </w:r>
      <w:r w:rsidR="008F45DE">
        <w:rPr>
          <w:rFonts w:ascii="Times New Roman" w:hAnsi="Times New Roman"/>
          <w:sz w:val="24"/>
          <w:szCs w:val="24"/>
        </w:rPr>
        <w:t>for the</w:t>
      </w:r>
      <w:r w:rsidR="00E51178">
        <w:rPr>
          <w:rFonts w:ascii="Times New Roman" w:hAnsi="Times New Roman"/>
          <w:sz w:val="24"/>
          <w:szCs w:val="24"/>
        </w:rPr>
        <w:t xml:space="preserve"> first quarter 2013</w:t>
      </w:r>
      <w:r w:rsidR="008F45DE">
        <w:rPr>
          <w:rFonts w:ascii="Times New Roman" w:hAnsi="Times New Roman"/>
          <w:sz w:val="24"/>
          <w:szCs w:val="24"/>
        </w:rPr>
        <w:t xml:space="preserve"> data collection </w:t>
      </w:r>
      <w:r w:rsidR="00093EF0">
        <w:rPr>
          <w:rFonts w:ascii="Times New Roman" w:hAnsi="Times New Roman"/>
          <w:sz w:val="24"/>
          <w:szCs w:val="24"/>
        </w:rPr>
        <w:t>the pick-</w:t>
      </w:r>
      <w:r w:rsidR="00E51178">
        <w:rPr>
          <w:rFonts w:ascii="Times New Roman" w:hAnsi="Times New Roman"/>
          <w:sz w:val="24"/>
          <w:szCs w:val="24"/>
        </w:rPr>
        <w:t>list of</w:t>
      </w:r>
      <w:r w:rsidR="008F45DE">
        <w:rPr>
          <w:rFonts w:ascii="Times New Roman" w:hAnsi="Times New Roman"/>
          <w:sz w:val="24"/>
          <w:szCs w:val="24"/>
        </w:rPr>
        <w:t xml:space="preserve"> months (such as in Schedule 2.A</w:t>
      </w:r>
      <w:r w:rsidR="00E51178">
        <w:rPr>
          <w:rFonts w:ascii="Times New Roman" w:hAnsi="Times New Roman"/>
          <w:sz w:val="24"/>
          <w:szCs w:val="24"/>
        </w:rPr>
        <w:t>.) would be limited to January, February, and March.  In the second quarter of 2013 the pick</w:t>
      </w:r>
      <w:r w:rsidR="00093EF0">
        <w:rPr>
          <w:rFonts w:ascii="Times New Roman" w:hAnsi="Times New Roman"/>
          <w:sz w:val="24"/>
          <w:szCs w:val="24"/>
        </w:rPr>
        <w:t>-</w:t>
      </w:r>
      <w:r w:rsidR="00E51178">
        <w:rPr>
          <w:rFonts w:ascii="Times New Roman" w:hAnsi="Times New Roman"/>
          <w:sz w:val="24"/>
          <w:szCs w:val="24"/>
        </w:rPr>
        <w:t xml:space="preserve"> list would </w:t>
      </w:r>
      <w:r w:rsidR="008F45DE">
        <w:rPr>
          <w:rFonts w:ascii="Times New Roman" w:hAnsi="Times New Roman"/>
          <w:sz w:val="24"/>
          <w:szCs w:val="24"/>
        </w:rPr>
        <w:t>be limited to April, May, and June; and so on</w:t>
      </w:r>
      <w:proofErr w:type="gramStart"/>
      <w:r w:rsidR="008F45DE">
        <w:rPr>
          <w:rFonts w:ascii="Times New Roman" w:hAnsi="Times New Roman"/>
          <w:sz w:val="24"/>
          <w:szCs w:val="24"/>
        </w:rPr>
        <w:t>.</w:t>
      </w:r>
      <w:r w:rsidRPr="00026153">
        <w:rPr>
          <w:rFonts w:ascii="Times New Roman" w:hAnsi="Times New Roman"/>
          <w:sz w:val="24"/>
          <w:szCs w:val="24"/>
        </w:rPr>
        <w:t>.</w:t>
      </w:r>
      <w:proofErr w:type="gramEnd"/>
    </w:p>
    <w:p w:rsidR="00217934" w:rsidRPr="00026153" w:rsidRDefault="00217934" w:rsidP="00026153">
      <w:pPr>
        <w:pStyle w:val="ListParagraph"/>
        <w:numPr>
          <w:ilvl w:val="1"/>
          <w:numId w:val="56"/>
        </w:numPr>
        <w:spacing w:after="200"/>
        <w:rPr>
          <w:sz w:val="24"/>
          <w:szCs w:val="24"/>
        </w:rPr>
      </w:pPr>
      <w:r w:rsidRPr="00026153">
        <w:rPr>
          <w:rFonts w:ascii="Times New Roman" w:hAnsi="Times New Roman"/>
          <w:b/>
          <w:sz w:val="24"/>
          <w:szCs w:val="24"/>
        </w:rPr>
        <w:t>Circumstance Dependent</w:t>
      </w:r>
      <w:r w:rsidRPr="00026153">
        <w:rPr>
          <w:rFonts w:ascii="Times New Roman" w:hAnsi="Times New Roman"/>
          <w:sz w:val="24"/>
          <w:szCs w:val="24"/>
        </w:rPr>
        <w:t xml:space="preserve">: </w:t>
      </w:r>
      <w:r w:rsidR="00093EF0">
        <w:rPr>
          <w:rFonts w:ascii="Times New Roman" w:hAnsi="Times New Roman"/>
          <w:sz w:val="24"/>
          <w:szCs w:val="24"/>
        </w:rPr>
        <w:t>The EIA-111 will include a pick-</w:t>
      </w:r>
      <w:r w:rsidR="008F45DE">
        <w:rPr>
          <w:rFonts w:ascii="Times New Roman" w:hAnsi="Times New Roman"/>
          <w:sz w:val="24"/>
          <w:szCs w:val="24"/>
        </w:rPr>
        <w:t xml:space="preserve">list of </w:t>
      </w:r>
      <w:r w:rsidRPr="00026153">
        <w:rPr>
          <w:rFonts w:ascii="Times New Roman" w:hAnsi="Times New Roman"/>
          <w:sz w:val="24"/>
          <w:szCs w:val="24"/>
        </w:rPr>
        <w:t xml:space="preserve">balancing authorities </w:t>
      </w:r>
      <w:r w:rsidR="008F45DE">
        <w:rPr>
          <w:rFonts w:ascii="Times New Roman" w:hAnsi="Times New Roman"/>
          <w:sz w:val="24"/>
          <w:szCs w:val="24"/>
        </w:rPr>
        <w:t>(such as in Schedule 2.A.)</w:t>
      </w:r>
      <w:r w:rsidRPr="00026153">
        <w:rPr>
          <w:rFonts w:ascii="Times New Roman" w:hAnsi="Times New Roman"/>
          <w:sz w:val="24"/>
          <w:szCs w:val="24"/>
        </w:rPr>
        <w:t xml:space="preserve">.  Due to consolidation the number of balancing authorities is expected to shrink in the next few years.  Therefore </w:t>
      </w:r>
      <w:r w:rsidR="00A2427F">
        <w:rPr>
          <w:rFonts w:ascii="Times New Roman" w:hAnsi="Times New Roman"/>
          <w:sz w:val="24"/>
          <w:szCs w:val="24"/>
        </w:rPr>
        <w:t>the</w:t>
      </w:r>
      <w:r w:rsidRPr="00026153">
        <w:rPr>
          <w:rFonts w:ascii="Times New Roman" w:hAnsi="Times New Roman"/>
          <w:sz w:val="24"/>
          <w:szCs w:val="24"/>
        </w:rPr>
        <w:t xml:space="preserve"> pick</w:t>
      </w:r>
      <w:r w:rsidR="00093EF0">
        <w:rPr>
          <w:rFonts w:ascii="Times New Roman" w:hAnsi="Times New Roman"/>
          <w:sz w:val="24"/>
          <w:szCs w:val="24"/>
        </w:rPr>
        <w:t>-</w:t>
      </w:r>
      <w:r w:rsidRPr="00026153">
        <w:rPr>
          <w:rFonts w:ascii="Times New Roman" w:hAnsi="Times New Roman"/>
          <w:sz w:val="24"/>
          <w:szCs w:val="24"/>
        </w:rPr>
        <w:t xml:space="preserve">list of balancing authorities included in a survey for first quarter 2014 might be shorter </w:t>
      </w:r>
      <w:r w:rsidR="00A2427F" w:rsidRPr="00A2427F">
        <w:rPr>
          <w:rFonts w:ascii="Times New Roman" w:hAnsi="Times New Roman"/>
          <w:sz w:val="24"/>
          <w:szCs w:val="24"/>
        </w:rPr>
        <w:t>than the list for first quarter 2013</w:t>
      </w:r>
      <w:r w:rsidRPr="00026153">
        <w:rPr>
          <w:rFonts w:ascii="Times New Roman" w:hAnsi="Times New Roman"/>
          <w:sz w:val="24"/>
          <w:szCs w:val="24"/>
        </w:rPr>
        <w:t xml:space="preserve"> (i.e., edited by EIA</w:t>
      </w:r>
      <w:r w:rsidR="00A2427F">
        <w:rPr>
          <w:rFonts w:ascii="Times New Roman" w:hAnsi="Times New Roman"/>
          <w:sz w:val="24"/>
          <w:szCs w:val="24"/>
        </w:rPr>
        <w:t>, as a routine maintenance function,</w:t>
      </w:r>
      <w:r w:rsidRPr="00026153">
        <w:rPr>
          <w:rFonts w:ascii="Times New Roman" w:hAnsi="Times New Roman"/>
          <w:sz w:val="24"/>
          <w:szCs w:val="24"/>
        </w:rPr>
        <w:t xml:space="preserve"> in the software application).</w:t>
      </w:r>
    </w:p>
    <w:p w:rsidR="00217934" w:rsidRPr="00026153" w:rsidRDefault="00217934" w:rsidP="00026153">
      <w:pPr>
        <w:pStyle w:val="ListParagraph"/>
        <w:numPr>
          <w:ilvl w:val="0"/>
          <w:numId w:val="56"/>
        </w:numPr>
        <w:spacing w:after="200"/>
        <w:rPr>
          <w:sz w:val="24"/>
          <w:szCs w:val="24"/>
        </w:rPr>
      </w:pPr>
      <w:r w:rsidRPr="00026153">
        <w:rPr>
          <w:rFonts w:ascii="Times New Roman" w:hAnsi="Times New Roman"/>
          <w:sz w:val="24"/>
          <w:szCs w:val="24"/>
        </w:rPr>
        <w:t>Dynamic pick-lists include a list of choices that varies depending on the respondent’s answer to another question.  For instance, assume a survey asks a utility to list all the adjacent states with which the utility has direct transmission connections:</w:t>
      </w:r>
    </w:p>
    <w:p w:rsidR="00217934" w:rsidRPr="00026153" w:rsidRDefault="00217934" w:rsidP="00026153">
      <w:pPr>
        <w:pStyle w:val="ListParagraph"/>
        <w:numPr>
          <w:ilvl w:val="1"/>
          <w:numId w:val="56"/>
        </w:numPr>
        <w:spacing w:after="200"/>
        <w:rPr>
          <w:sz w:val="24"/>
          <w:szCs w:val="24"/>
        </w:rPr>
      </w:pPr>
      <w:r w:rsidRPr="00026153">
        <w:rPr>
          <w:rFonts w:ascii="Times New Roman" w:hAnsi="Times New Roman"/>
          <w:sz w:val="24"/>
          <w:szCs w:val="24"/>
        </w:rPr>
        <w:t>If the utility had given its location in a prior question as Maine, the pick</w:t>
      </w:r>
      <w:r w:rsidR="00093EF0">
        <w:rPr>
          <w:rFonts w:ascii="Times New Roman" w:hAnsi="Times New Roman"/>
          <w:sz w:val="24"/>
          <w:szCs w:val="24"/>
        </w:rPr>
        <w:t>-</w:t>
      </w:r>
      <w:r w:rsidRPr="00026153">
        <w:rPr>
          <w:rFonts w:ascii="Times New Roman" w:hAnsi="Times New Roman"/>
          <w:sz w:val="24"/>
          <w:szCs w:val="24"/>
        </w:rPr>
        <w:t>list of adjacent states would be limited to one choice, New Hampshire, the only state adjacent to Maine.</w:t>
      </w:r>
    </w:p>
    <w:p w:rsidR="00217934" w:rsidRPr="00026153" w:rsidRDefault="00217934" w:rsidP="00026153">
      <w:pPr>
        <w:pStyle w:val="ListParagraph"/>
        <w:numPr>
          <w:ilvl w:val="1"/>
          <w:numId w:val="56"/>
        </w:numPr>
        <w:spacing w:after="200"/>
        <w:rPr>
          <w:sz w:val="24"/>
          <w:szCs w:val="24"/>
        </w:rPr>
      </w:pPr>
      <w:r w:rsidRPr="00026153">
        <w:rPr>
          <w:rFonts w:ascii="Times New Roman" w:hAnsi="Times New Roman"/>
          <w:sz w:val="24"/>
          <w:szCs w:val="24"/>
        </w:rPr>
        <w:lastRenderedPageBreak/>
        <w:t>On the other hand, if the utility had given its location as Kansas, the pick</w:t>
      </w:r>
      <w:r w:rsidR="00093EF0">
        <w:rPr>
          <w:rFonts w:ascii="Times New Roman" w:hAnsi="Times New Roman"/>
          <w:sz w:val="24"/>
          <w:szCs w:val="24"/>
        </w:rPr>
        <w:t>-</w:t>
      </w:r>
      <w:r w:rsidRPr="00026153">
        <w:rPr>
          <w:rFonts w:ascii="Times New Roman" w:hAnsi="Times New Roman"/>
          <w:sz w:val="24"/>
          <w:szCs w:val="24"/>
        </w:rPr>
        <w:t>list would include all the states adjacent to Kansas (Nebraska, Missouri, Oklahoma, and Colorado).</w:t>
      </w:r>
    </w:p>
    <w:p w:rsidR="009D1A9C" w:rsidRPr="00026153" w:rsidRDefault="00217934" w:rsidP="009D1A9C">
      <w:pPr>
        <w:rPr>
          <w:sz w:val="24"/>
          <w:szCs w:val="24"/>
        </w:rPr>
      </w:pPr>
      <w:r w:rsidRPr="00026153">
        <w:rPr>
          <w:sz w:val="24"/>
          <w:szCs w:val="24"/>
        </w:rPr>
        <w:t>In neither case would the respondent have to go through a list of 50 states and the District of Columbia to find the only possible choices.</w:t>
      </w:r>
    </w:p>
    <w:p w:rsidR="00217934" w:rsidRDefault="00217934" w:rsidP="00026153">
      <w:pPr>
        <w:rPr>
          <w:szCs w:val="24"/>
        </w:rPr>
      </w:pPr>
    </w:p>
    <w:p w:rsidR="00217934" w:rsidRPr="00217934" w:rsidRDefault="00217934" w:rsidP="00026153">
      <w:pPr>
        <w:rPr>
          <w:szCs w:val="24"/>
        </w:rPr>
      </w:pPr>
      <w:r w:rsidRPr="00026153">
        <w:rPr>
          <w:sz w:val="24"/>
          <w:szCs w:val="24"/>
        </w:rPr>
        <w:t>A dynamic pick-list is analogous to another standard technique in software-enabled surveys, the skip pattern, also used to avoid spurious responses and to reduce respondent burden.</w:t>
      </w:r>
      <w:r w:rsidR="00A2427F">
        <w:rPr>
          <w:sz w:val="24"/>
          <w:szCs w:val="24"/>
        </w:rPr>
        <w:t xml:space="preserve">  As currently configured the EIA-11</w:t>
      </w:r>
      <w:r w:rsidR="00093EF0">
        <w:rPr>
          <w:sz w:val="24"/>
          <w:szCs w:val="24"/>
        </w:rPr>
        <w:t>1 does not include dynamic pick-</w:t>
      </w:r>
      <w:r w:rsidR="00A2427F">
        <w:rPr>
          <w:sz w:val="24"/>
          <w:szCs w:val="24"/>
        </w:rPr>
        <w:t xml:space="preserve">lists, but this feature may be added </w:t>
      </w:r>
      <w:r w:rsidR="00A67FBE">
        <w:rPr>
          <w:sz w:val="24"/>
          <w:szCs w:val="24"/>
        </w:rPr>
        <w:t>to assist respondent data entry as part of routine</w:t>
      </w:r>
      <w:r w:rsidR="00A2427F">
        <w:rPr>
          <w:sz w:val="24"/>
          <w:szCs w:val="24"/>
        </w:rPr>
        <w:t xml:space="preserve"> software maintenance and upgrades.</w:t>
      </w:r>
    </w:p>
    <w:p w:rsidR="00217934" w:rsidRPr="00495646" w:rsidRDefault="00217934" w:rsidP="00026153"/>
    <w:p w:rsidR="00A13C1E" w:rsidRDefault="00A13C1E" w:rsidP="00A56753">
      <w:pPr>
        <w:pStyle w:val="Heading3"/>
        <w:rPr>
          <w:szCs w:val="24"/>
        </w:rPr>
      </w:pPr>
      <w:bookmarkStart w:id="56" w:name="_Toc318697075"/>
    </w:p>
    <w:p w:rsidR="00A56753" w:rsidRPr="00583461" w:rsidRDefault="00D147C9" w:rsidP="00A56753">
      <w:pPr>
        <w:pStyle w:val="Heading3"/>
        <w:rPr>
          <w:szCs w:val="24"/>
        </w:rPr>
      </w:pPr>
      <w:r w:rsidRPr="00583461">
        <w:rPr>
          <w:szCs w:val="24"/>
        </w:rPr>
        <w:t>A.</w:t>
      </w:r>
      <w:r w:rsidR="0001347C" w:rsidRPr="00583461">
        <w:rPr>
          <w:szCs w:val="24"/>
        </w:rPr>
        <w:t>4. Efforts to Reduce Duplication</w:t>
      </w:r>
      <w:bookmarkEnd w:id="52"/>
      <w:bookmarkEnd w:id="53"/>
      <w:bookmarkEnd w:id="54"/>
      <w:bookmarkEnd w:id="55"/>
      <w:bookmarkEnd w:id="56"/>
    </w:p>
    <w:p w:rsidR="00A56753" w:rsidRPr="00583461" w:rsidRDefault="00A56753" w:rsidP="00A56753"/>
    <w:p w:rsidR="0001347C" w:rsidRPr="00583461" w:rsidRDefault="00A83F73" w:rsidP="00946DF9">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583461">
        <w:rPr>
          <w:szCs w:val="24"/>
        </w:rPr>
        <w:t>Every effort has been</w:t>
      </w:r>
      <w:r w:rsidR="00BF257D" w:rsidRPr="00583461">
        <w:rPr>
          <w:szCs w:val="24"/>
        </w:rPr>
        <w:t xml:space="preserve"> made </w:t>
      </w:r>
      <w:r w:rsidR="0001347C" w:rsidRPr="00583461">
        <w:rPr>
          <w:szCs w:val="24"/>
        </w:rPr>
        <w:t xml:space="preserve">to ensure that data are not collected by more than one Federal government agency.  </w:t>
      </w:r>
      <w:r w:rsidR="00C73514" w:rsidRPr="00583461">
        <w:rPr>
          <w:szCs w:val="24"/>
        </w:rPr>
        <w:t>As far as we know, n</w:t>
      </w:r>
      <w:r w:rsidR="001A30D1" w:rsidRPr="00583461">
        <w:rPr>
          <w:szCs w:val="24"/>
        </w:rPr>
        <w:t xml:space="preserve">o other </w:t>
      </w:r>
      <w:r w:rsidR="0081796A" w:rsidRPr="00583461">
        <w:rPr>
          <w:szCs w:val="24"/>
        </w:rPr>
        <w:t>organization based in the United States collects cross-border power transactions and reliability information for the</w:t>
      </w:r>
      <w:r w:rsidR="009C1BB7" w:rsidRPr="00583461">
        <w:rPr>
          <w:szCs w:val="24"/>
        </w:rPr>
        <w:t xml:space="preserve"> </w:t>
      </w:r>
      <w:r w:rsidR="00CA486D">
        <w:rPr>
          <w:szCs w:val="24"/>
        </w:rPr>
        <w:t>States.</w:t>
      </w:r>
    </w:p>
    <w:p w:rsidR="0014156D" w:rsidRDefault="0014156D" w:rsidP="00946DF9">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01347C" w:rsidRPr="002D135B" w:rsidRDefault="0001347C" w:rsidP="00863403">
      <w:pPr>
        <w:pStyle w:val="Heading3"/>
        <w:rPr>
          <w:i/>
          <w:szCs w:val="24"/>
        </w:rPr>
      </w:pPr>
      <w:bookmarkStart w:id="57" w:name="_Toc524334492"/>
      <w:bookmarkStart w:id="58" w:name="_Toc524334574"/>
      <w:bookmarkStart w:id="59" w:name="_Toc524334722"/>
      <w:bookmarkStart w:id="60" w:name="_Toc524334915"/>
      <w:bookmarkStart w:id="61" w:name="_Toc309722606"/>
      <w:bookmarkStart w:id="62" w:name="_Toc318697076"/>
      <w:r w:rsidRPr="002D135B">
        <w:rPr>
          <w:i/>
          <w:szCs w:val="24"/>
        </w:rPr>
        <w:t>A.</w:t>
      </w:r>
      <w:r w:rsidR="00023CB9" w:rsidRPr="002D135B">
        <w:rPr>
          <w:i/>
          <w:szCs w:val="24"/>
        </w:rPr>
        <w:t>4.1</w:t>
      </w:r>
      <w:r w:rsidR="009E1F9E" w:rsidRPr="002D135B">
        <w:rPr>
          <w:i/>
          <w:szCs w:val="24"/>
        </w:rPr>
        <w:t>.</w:t>
      </w:r>
      <w:r w:rsidRPr="002D135B">
        <w:rPr>
          <w:i/>
          <w:szCs w:val="24"/>
        </w:rPr>
        <w:t xml:space="preserve"> Analysis of Similar Existing Information</w:t>
      </w:r>
      <w:bookmarkEnd w:id="57"/>
      <w:bookmarkEnd w:id="58"/>
      <w:bookmarkEnd w:id="59"/>
      <w:bookmarkEnd w:id="60"/>
      <w:bookmarkEnd w:id="61"/>
      <w:bookmarkEnd w:id="62"/>
    </w:p>
    <w:p w:rsidR="0001347C" w:rsidRPr="00583461" w:rsidRDefault="0001347C" w:rsidP="00946DF9">
      <w:pPr>
        <w:rPr>
          <w:sz w:val="24"/>
          <w:szCs w:val="24"/>
        </w:rPr>
      </w:pPr>
    </w:p>
    <w:p w:rsidR="00863403" w:rsidRPr="00583461" w:rsidRDefault="00CB3FE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rPr>
        <w:t>EIA</w:t>
      </w:r>
      <w:r w:rsidR="0001347C" w:rsidRPr="00583461">
        <w:rPr>
          <w:sz w:val="24"/>
          <w:szCs w:val="24"/>
        </w:rPr>
        <w:t xml:space="preserve"> evaluated all known sources of </w:t>
      </w:r>
      <w:r w:rsidR="00BC2C6A" w:rsidRPr="00583461">
        <w:rPr>
          <w:sz w:val="24"/>
          <w:szCs w:val="24"/>
        </w:rPr>
        <w:t xml:space="preserve">publicly available </w:t>
      </w:r>
      <w:r w:rsidR="0001347C" w:rsidRPr="00583461">
        <w:rPr>
          <w:sz w:val="24"/>
          <w:szCs w:val="24"/>
        </w:rPr>
        <w:t xml:space="preserve">data relating to the </w:t>
      </w:r>
      <w:r w:rsidR="00520015" w:rsidRPr="00583461">
        <w:rPr>
          <w:sz w:val="24"/>
          <w:szCs w:val="24"/>
        </w:rPr>
        <w:t>cross-</w:t>
      </w:r>
      <w:r w:rsidR="00BC2C6A" w:rsidRPr="00583461">
        <w:rPr>
          <w:sz w:val="24"/>
          <w:szCs w:val="24"/>
        </w:rPr>
        <w:t xml:space="preserve">border electricity trade and operations of </w:t>
      </w:r>
      <w:r w:rsidR="00FA12B2">
        <w:rPr>
          <w:sz w:val="24"/>
          <w:szCs w:val="24"/>
        </w:rPr>
        <w:t xml:space="preserve">the </w:t>
      </w:r>
      <w:r w:rsidR="0001347C" w:rsidRPr="00583461">
        <w:rPr>
          <w:sz w:val="24"/>
          <w:szCs w:val="24"/>
        </w:rPr>
        <w:t>electric power industry</w:t>
      </w:r>
      <w:r w:rsidR="00CA486D">
        <w:rPr>
          <w:sz w:val="24"/>
          <w:szCs w:val="24"/>
        </w:rPr>
        <w:t>.  EIA</w:t>
      </w:r>
      <w:r w:rsidR="0001347C" w:rsidRPr="00583461">
        <w:rPr>
          <w:sz w:val="24"/>
          <w:szCs w:val="24"/>
        </w:rPr>
        <w:t xml:space="preserve"> found no other source as comprehensive, tim</w:t>
      </w:r>
      <w:r w:rsidR="00A83F73" w:rsidRPr="00583461">
        <w:rPr>
          <w:sz w:val="24"/>
          <w:szCs w:val="24"/>
        </w:rPr>
        <w:t xml:space="preserve">ely, or detailed, to replace </w:t>
      </w:r>
      <w:r w:rsidR="00CA486D" w:rsidRPr="00583461">
        <w:rPr>
          <w:sz w:val="24"/>
          <w:szCs w:val="24"/>
        </w:rPr>
        <w:t>th</w:t>
      </w:r>
      <w:r w:rsidR="00CA486D">
        <w:rPr>
          <w:sz w:val="24"/>
          <w:szCs w:val="24"/>
        </w:rPr>
        <w:t>e</w:t>
      </w:r>
      <w:r w:rsidR="00CA486D" w:rsidRPr="00583461">
        <w:rPr>
          <w:sz w:val="24"/>
          <w:szCs w:val="24"/>
        </w:rPr>
        <w:t xml:space="preserve"> </w:t>
      </w:r>
      <w:r w:rsidR="00A83F73" w:rsidRPr="00583461">
        <w:rPr>
          <w:sz w:val="24"/>
          <w:szCs w:val="24"/>
        </w:rPr>
        <w:t>proposed</w:t>
      </w:r>
      <w:r w:rsidR="0001347C" w:rsidRPr="00583461">
        <w:rPr>
          <w:sz w:val="24"/>
          <w:szCs w:val="24"/>
        </w:rPr>
        <w:t xml:space="preserve"> data </w:t>
      </w:r>
      <w:r w:rsidR="00CA486D">
        <w:rPr>
          <w:sz w:val="24"/>
          <w:szCs w:val="24"/>
        </w:rPr>
        <w:t>collection</w:t>
      </w:r>
      <w:r w:rsidR="0001347C" w:rsidRPr="00583461">
        <w:rPr>
          <w:sz w:val="24"/>
          <w:szCs w:val="24"/>
        </w:rPr>
        <w:t xml:space="preserve">.  </w:t>
      </w:r>
      <w:r w:rsidRPr="00583461">
        <w:rPr>
          <w:sz w:val="24"/>
          <w:szCs w:val="24"/>
        </w:rPr>
        <w:t>EIA</w:t>
      </w:r>
      <w:r w:rsidR="0001347C" w:rsidRPr="00583461">
        <w:rPr>
          <w:sz w:val="24"/>
          <w:szCs w:val="24"/>
        </w:rPr>
        <w:t xml:space="preserve"> determined that other sources cannot replace or even approximate the information proposed for collection here because of differences in classification, inconsistency, incompleteness</w:t>
      </w:r>
      <w:r w:rsidR="007D3B12">
        <w:rPr>
          <w:sz w:val="24"/>
          <w:szCs w:val="24"/>
        </w:rPr>
        <w:t xml:space="preserve"> of data</w:t>
      </w:r>
      <w:r w:rsidR="0001347C" w:rsidRPr="00583461">
        <w:rPr>
          <w:sz w:val="24"/>
          <w:szCs w:val="24"/>
        </w:rPr>
        <w:t>, unavailability</w:t>
      </w:r>
      <w:r w:rsidR="007D3B12">
        <w:rPr>
          <w:sz w:val="24"/>
          <w:szCs w:val="24"/>
        </w:rPr>
        <w:t xml:space="preserve"> of data</w:t>
      </w:r>
      <w:r w:rsidR="0001347C" w:rsidRPr="00583461">
        <w:rPr>
          <w:sz w:val="24"/>
          <w:szCs w:val="24"/>
        </w:rPr>
        <w:t>, or lack of universal coverage.  These efforts taken together capture the entire electric power industry and keep the burden on industry to a minimum.</w:t>
      </w:r>
    </w:p>
    <w:p w:rsidR="00FA25A3" w:rsidRPr="00583461" w:rsidRDefault="00FA25A3" w:rsidP="00FA25A3"/>
    <w:p w:rsidR="006E0F16" w:rsidRPr="00583461" w:rsidRDefault="006E0F16" w:rsidP="006E0F16">
      <w:pPr>
        <w:autoSpaceDE w:val="0"/>
        <w:autoSpaceDN w:val="0"/>
        <w:adjustRightInd w:val="0"/>
        <w:rPr>
          <w:rFonts w:ascii="Arial" w:hAnsi="Arial" w:cs="Arial"/>
          <w:b/>
          <w:bCs/>
          <w:color w:val="000000"/>
          <w:sz w:val="24"/>
          <w:szCs w:val="24"/>
        </w:rPr>
      </w:pPr>
    </w:p>
    <w:p w:rsidR="006E0F16" w:rsidRPr="00A13C1E" w:rsidRDefault="00BA0524" w:rsidP="00BA0524">
      <w:pPr>
        <w:pStyle w:val="Heading3"/>
        <w:rPr>
          <w:rFonts w:cs="Arial"/>
          <w:color w:val="000000"/>
          <w:szCs w:val="24"/>
        </w:rPr>
      </w:pPr>
      <w:bookmarkStart w:id="63" w:name="_Toc318697077"/>
      <w:r w:rsidRPr="00A13C1E">
        <w:rPr>
          <w:rFonts w:cs="Arial"/>
          <w:bCs w:val="0"/>
          <w:color w:val="000000"/>
          <w:szCs w:val="24"/>
        </w:rPr>
        <w:t xml:space="preserve">A.5. </w:t>
      </w:r>
      <w:r w:rsidR="006E0F16" w:rsidRPr="00A13C1E">
        <w:rPr>
          <w:rFonts w:cs="Arial"/>
          <w:bCs w:val="0"/>
          <w:color w:val="000000"/>
          <w:szCs w:val="24"/>
        </w:rPr>
        <w:t>Provisions for Reducing Burden on Small Businesses</w:t>
      </w:r>
      <w:bookmarkEnd w:id="63"/>
      <w:r w:rsidR="006E0F16" w:rsidRPr="00A13C1E">
        <w:rPr>
          <w:rFonts w:cs="Arial"/>
          <w:bCs w:val="0"/>
          <w:color w:val="000000"/>
          <w:szCs w:val="24"/>
        </w:rPr>
        <w:t xml:space="preserve"> </w:t>
      </w:r>
    </w:p>
    <w:p w:rsidR="006E0F16" w:rsidRPr="00583461" w:rsidRDefault="006E0F16" w:rsidP="006E0F16">
      <w:pPr>
        <w:rPr>
          <w:b/>
          <w:color w:val="000000"/>
          <w:sz w:val="24"/>
          <w:szCs w:val="24"/>
        </w:rPr>
      </w:pPr>
    </w:p>
    <w:p w:rsidR="005F00E0" w:rsidRPr="00583461" w:rsidRDefault="006E0F16" w:rsidP="006E0F16">
      <w:pPr>
        <w:rPr>
          <w:color w:val="000000"/>
          <w:sz w:val="24"/>
          <w:szCs w:val="24"/>
        </w:rPr>
      </w:pPr>
      <w:r w:rsidRPr="00583461">
        <w:rPr>
          <w:color w:val="000000"/>
          <w:sz w:val="24"/>
          <w:szCs w:val="24"/>
        </w:rPr>
        <w:t xml:space="preserve">The EIA is mindful of the need to minimize burden on small business and </w:t>
      </w:r>
      <w:r w:rsidR="007D3B12">
        <w:rPr>
          <w:color w:val="000000"/>
          <w:sz w:val="24"/>
          <w:szCs w:val="24"/>
        </w:rPr>
        <w:t xml:space="preserve">to the extent possible, </w:t>
      </w:r>
      <w:r w:rsidRPr="00583461">
        <w:rPr>
          <w:color w:val="000000"/>
          <w:sz w:val="24"/>
          <w:szCs w:val="24"/>
        </w:rPr>
        <w:t>designs its data surveys</w:t>
      </w:r>
      <w:r w:rsidR="007D3B12">
        <w:rPr>
          <w:color w:val="000000"/>
          <w:sz w:val="24"/>
          <w:szCs w:val="24"/>
        </w:rPr>
        <w:t xml:space="preserve"> </w:t>
      </w:r>
      <w:r w:rsidRPr="00583461">
        <w:rPr>
          <w:color w:val="000000"/>
          <w:sz w:val="24"/>
          <w:szCs w:val="24"/>
        </w:rPr>
        <w:t xml:space="preserve">so that small operations are not unduly affected. </w:t>
      </w:r>
      <w:r w:rsidR="00DD4FD5" w:rsidRPr="00583461">
        <w:rPr>
          <w:color w:val="000000"/>
          <w:sz w:val="24"/>
          <w:szCs w:val="24"/>
        </w:rPr>
        <w:t xml:space="preserve">EIA has determined that most businesses that engage in electricity transmission are not small businesses; however, a marketer could operate on a much smaller scale than other entities.  </w:t>
      </w:r>
      <w:r w:rsidR="00A51E19">
        <w:rPr>
          <w:color w:val="000000"/>
          <w:sz w:val="24"/>
          <w:szCs w:val="24"/>
        </w:rPr>
        <w:t>In comparison to earlier data collections, t</w:t>
      </w:r>
      <w:r w:rsidR="00DD4FD5" w:rsidRPr="00583461">
        <w:rPr>
          <w:color w:val="000000"/>
          <w:sz w:val="24"/>
          <w:szCs w:val="24"/>
        </w:rPr>
        <w:t xml:space="preserve">he new </w:t>
      </w:r>
      <w:r w:rsidR="00C63874" w:rsidRPr="00583461">
        <w:rPr>
          <w:color w:val="000000"/>
          <w:sz w:val="24"/>
          <w:szCs w:val="24"/>
        </w:rPr>
        <w:t>EIA-111 f</w:t>
      </w:r>
      <w:r w:rsidR="00DD4FD5" w:rsidRPr="00583461">
        <w:rPr>
          <w:color w:val="000000"/>
          <w:sz w:val="24"/>
          <w:szCs w:val="24"/>
        </w:rPr>
        <w:t xml:space="preserve">orm has been streamlined to make reporting easier </w:t>
      </w:r>
      <w:r w:rsidR="00A51E19">
        <w:rPr>
          <w:color w:val="000000"/>
          <w:sz w:val="24"/>
          <w:szCs w:val="24"/>
        </w:rPr>
        <w:t xml:space="preserve">and </w:t>
      </w:r>
      <w:r w:rsidR="001B0439">
        <w:rPr>
          <w:color w:val="000000"/>
          <w:sz w:val="24"/>
          <w:szCs w:val="24"/>
        </w:rPr>
        <w:t xml:space="preserve">the </w:t>
      </w:r>
      <w:r w:rsidR="00A51E19">
        <w:rPr>
          <w:color w:val="000000"/>
          <w:sz w:val="24"/>
          <w:szCs w:val="24"/>
        </w:rPr>
        <w:t xml:space="preserve">burden less for each </w:t>
      </w:r>
      <w:r w:rsidR="006C1902" w:rsidRPr="00583461">
        <w:rPr>
          <w:color w:val="000000"/>
          <w:sz w:val="24"/>
          <w:szCs w:val="24"/>
        </w:rPr>
        <w:t xml:space="preserve">reporting </w:t>
      </w:r>
      <w:r w:rsidR="00DD4FD5" w:rsidRPr="00583461">
        <w:rPr>
          <w:color w:val="000000"/>
          <w:sz w:val="24"/>
          <w:szCs w:val="24"/>
        </w:rPr>
        <w:t>entity</w:t>
      </w:r>
      <w:r w:rsidR="00A51E19">
        <w:rPr>
          <w:color w:val="000000"/>
          <w:sz w:val="24"/>
          <w:szCs w:val="24"/>
        </w:rPr>
        <w:t>.</w:t>
      </w:r>
      <w:r w:rsidR="00DD4FD5" w:rsidRPr="00583461">
        <w:rPr>
          <w:color w:val="000000"/>
          <w:sz w:val="24"/>
          <w:szCs w:val="24"/>
        </w:rPr>
        <w:t xml:space="preserve"> </w:t>
      </w:r>
      <w:r w:rsidR="00E31720" w:rsidRPr="00583461">
        <w:rPr>
          <w:color w:val="000000"/>
          <w:sz w:val="24"/>
          <w:szCs w:val="24"/>
        </w:rPr>
        <w:t xml:space="preserve"> </w:t>
      </w:r>
      <w:r w:rsidR="00A13C1E">
        <w:rPr>
          <w:color w:val="000000"/>
          <w:sz w:val="24"/>
          <w:szCs w:val="24"/>
        </w:rPr>
        <w:t xml:space="preserve">The use of electronic data collection, including features such as </w:t>
      </w:r>
      <w:r w:rsidR="00093EF0">
        <w:rPr>
          <w:color w:val="000000"/>
          <w:sz w:val="24"/>
          <w:szCs w:val="24"/>
        </w:rPr>
        <w:t>pick-</w:t>
      </w:r>
      <w:r w:rsidR="00A13C1E">
        <w:rPr>
          <w:color w:val="000000"/>
          <w:sz w:val="24"/>
          <w:szCs w:val="24"/>
        </w:rPr>
        <w:t>lists (see A.3., above) is also intended to reduce the response burdens for small business.</w:t>
      </w:r>
    </w:p>
    <w:p w:rsidR="009679D4" w:rsidRDefault="009679D4" w:rsidP="00863403">
      <w:pPr>
        <w:pStyle w:val="Heading3"/>
        <w:rPr>
          <w:szCs w:val="24"/>
        </w:rPr>
      </w:pPr>
      <w:bookmarkStart w:id="64" w:name="_Toc524334494"/>
      <w:bookmarkStart w:id="65" w:name="_Toc524334576"/>
      <w:bookmarkStart w:id="66" w:name="_Toc524334724"/>
      <w:bookmarkStart w:id="67" w:name="_Toc524334917"/>
    </w:p>
    <w:p w:rsidR="00D07FE4" w:rsidRDefault="00D07FE4" w:rsidP="00863403">
      <w:pPr>
        <w:pStyle w:val="Heading3"/>
        <w:rPr>
          <w:szCs w:val="24"/>
        </w:rPr>
      </w:pPr>
    </w:p>
    <w:p w:rsidR="0001347C" w:rsidRPr="00583461" w:rsidRDefault="0001347C" w:rsidP="00863403">
      <w:pPr>
        <w:pStyle w:val="Heading3"/>
        <w:rPr>
          <w:szCs w:val="24"/>
        </w:rPr>
      </w:pPr>
      <w:bookmarkStart w:id="68" w:name="_Toc318697078"/>
      <w:r w:rsidRPr="00583461">
        <w:rPr>
          <w:szCs w:val="24"/>
        </w:rPr>
        <w:t>A.</w:t>
      </w:r>
      <w:r w:rsidR="00023CB9" w:rsidRPr="00583461">
        <w:rPr>
          <w:szCs w:val="24"/>
        </w:rPr>
        <w:t>6</w:t>
      </w:r>
      <w:r w:rsidRPr="00583461">
        <w:rPr>
          <w:szCs w:val="24"/>
        </w:rPr>
        <w:t>. Consequences of Less-Frequent Reporting</w:t>
      </w:r>
      <w:bookmarkEnd w:id="64"/>
      <w:bookmarkEnd w:id="65"/>
      <w:bookmarkEnd w:id="66"/>
      <w:bookmarkEnd w:id="67"/>
      <w:bookmarkEnd w:id="68"/>
    </w:p>
    <w:p w:rsidR="004807DB" w:rsidRPr="00583461" w:rsidRDefault="004807DB" w:rsidP="004807DB">
      <w:pPr>
        <w:rPr>
          <w:sz w:val="24"/>
          <w:szCs w:val="24"/>
        </w:rPr>
      </w:pPr>
    </w:p>
    <w:p w:rsidR="004807DB" w:rsidRPr="00583461" w:rsidRDefault="004807DB" w:rsidP="004807DB">
      <w:pPr>
        <w:rPr>
          <w:sz w:val="24"/>
          <w:szCs w:val="24"/>
        </w:rPr>
      </w:pPr>
      <w:r w:rsidRPr="00583461">
        <w:rPr>
          <w:sz w:val="24"/>
          <w:szCs w:val="24"/>
        </w:rPr>
        <w:t xml:space="preserve">Eliminating the EIA’s ability to collect monthly electric power import and export data on a quarterly basis would </w:t>
      </w:r>
      <w:r w:rsidR="00023CB9" w:rsidRPr="00583461">
        <w:rPr>
          <w:sz w:val="24"/>
          <w:szCs w:val="24"/>
        </w:rPr>
        <w:t>undermine</w:t>
      </w:r>
      <w:r w:rsidR="000E5DCF" w:rsidRPr="00583461">
        <w:rPr>
          <w:sz w:val="24"/>
          <w:szCs w:val="24"/>
        </w:rPr>
        <w:t xml:space="preserve"> </w:t>
      </w:r>
      <w:r w:rsidR="00C41C06" w:rsidRPr="00583461">
        <w:rPr>
          <w:sz w:val="24"/>
          <w:szCs w:val="24"/>
        </w:rPr>
        <w:t xml:space="preserve">its </w:t>
      </w:r>
      <w:r w:rsidR="00235A1B" w:rsidRPr="00583461">
        <w:rPr>
          <w:sz w:val="24"/>
          <w:szCs w:val="24"/>
        </w:rPr>
        <w:t xml:space="preserve">ability to advise and inform </w:t>
      </w:r>
      <w:r w:rsidRPr="00583461">
        <w:rPr>
          <w:sz w:val="24"/>
          <w:szCs w:val="24"/>
        </w:rPr>
        <w:t>Congress, State and local governments, private industry, and various offices of the Federal government</w:t>
      </w:r>
      <w:r w:rsidR="00EC73EE">
        <w:rPr>
          <w:sz w:val="24"/>
          <w:szCs w:val="24"/>
        </w:rPr>
        <w:t>.</w:t>
      </w:r>
      <w:r w:rsidR="00235A1B" w:rsidRPr="00583461">
        <w:rPr>
          <w:sz w:val="24"/>
          <w:szCs w:val="24"/>
        </w:rPr>
        <w:t xml:space="preserve"> </w:t>
      </w:r>
      <w:r w:rsidRPr="00583461">
        <w:rPr>
          <w:sz w:val="24"/>
          <w:szCs w:val="24"/>
        </w:rPr>
        <w:t xml:space="preserve"> </w:t>
      </w:r>
      <w:r w:rsidR="0028523F">
        <w:rPr>
          <w:sz w:val="24"/>
          <w:szCs w:val="24"/>
        </w:rPr>
        <w:t>L</w:t>
      </w:r>
      <w:r w:rsidR="0012041C">
        <w:rPr>
          <w:sz w:val="24"/>
          <w:szCs w:val="24"/>
        </w:rPr>
        <w:t xml:space="preserve">ess frequent reporting </w:t>
      </w:r>
      <w:r w:rsidRPr="00583461">
        <w:rPr>
          <w:sz w:val="24"/>
          <w:szCs w:val="24"/>
        </w:rPr>
        <w:t xml:space="preserve">would </w:t>
      </w:r>
      <w:r w:rsidR="0028523F">
        <w:rPr>
          <w:sz w:val="24"/>
          <w:szCs w:val="24"/>
        </w:rPr>
        <w:t xml:space="preserve">also </w:t>
      </w:r>
      <w:r w:rsidRPr="00583461">
        <w:rPr>
          <w:sz w:val="24"/>
          <w:szCs w:val="24"/>
        </w:rPr>
        <w:t>place a large</w:t>
      </w:r>
      <w:r w:rsidR="0012041C">
        <w:rPr>
          <w:sz w:val="24"/>
          <w:szCs w:val="24"/>
        </w:rPr>
        <w:t>r</w:t>
      </w:r>
      <w:r w:rsidRPr="00583461">
        <w:rPr>
          <w:sz w:val="24"/>
          <w:szCs w:val="24"/>
        </w:rPr>
        <w:t xml:space="preserve"> burden </w:t>
      </w:r>
      <w:r w:rsidR="005E3C90" w:rsidRPr="00583461">
        <w:rPr>
          <w:sz w:val="24"/>
          <w:szCs w:val="24"/>
        </w:rPr>
        <w:t>on State</w:t>
      </w:r>
      <w:r w:rsidRPr="00583461">
        <w:rPr>
          <w:sz w:val="24"/>
          <w:szCs w:val="24"/>
        </w:rPr>
        <w:t xml:space="preserve"> governments to collect and process their</w:t>
      </w:r>
      <w:r w:rsidR="00CD3E9B">
        <w:rPr>
          <w:sz w:val="24"/>
          <w:szCs w:val="24"/>
        </w:rPr>
        <w:t xml:space="preserve"> own</w:t>
      </w:r>
      <w:r w:rsidRPr="00583461">
        <w:rPr>
          <w:sz w:val="24"/>
          <w:szCs w:val="24"/>
        </w:rPr>
        <w:t xml:space="preserve"> </w:t>
      </w:r>
      <w:r w:rsidRPr="00583461">
        <w:rPr>
          <w:sz w:val="24"/>
          <w:szCs w:val="24"/>
        </w:rPr>
        <w:lastRenderedPageBreak/>
        <w:t xml:space="preserve">data </w:t>
      </w:r>
      <w:r w:rsidR="009E14D8">
        <w:rPr>
          <w:sz w:val="24"/>
          <w:szCs w:val="24"/>
        </w:rPr>
        <w:t xml:space="preserve">in addition to </w:t>
      </w:r>
      <w:r w:rsidRPr="00583461">
        <w:rPr>
          <w:sz w:val="24"/>
          <w:szCs w:val="24"/>
        </w:rPr>
        <w:t>try</w:t>
      </w:r>
      <w:r w:rsidR="009E14D8">
        <w:rPr>
          <w:sz w:val="24"/>
          <w:szCs w:val="24"/>
        </w:rPr>
        <w:t>ing</w:t>
      </w:r>
      <w:r w:rsidRPr="00583461">
        <w:rPr>
          <w:sz w:val="24"/>
          <w:szCs w:val="24"/>
        </w:rPr>
        <w:t xml:space="preserve"> to obtain similar information from other States for comparison and monitoring purposes. </w:t>
      </w:r>
      <w:r w:rsidR="009E14D8">
        <w:rPr>
          <w:sz w:val="24"/>
          <w:szCs w:val="24"/>
        </w:rPr>
        <w:t xml:space="preserve">Conversely, less frequent reporting </w:t>
      </w:r>
      <w:r w:rsidRPr="00583461">
        <w:rPr>
          <w:sz w:val="24"/>
          <w:szCs w:val="24"/>
        </w:rPr>
        <w:t xml:space="preserve">would also place a larger burden on </w:t>
      </w:r>
      <w:r w:rsidR="005E3C90" w:rsidRPr="00583461">
        <w:rPr>
          <w:sz w:val="24"/>
          <w:szCs w:val="24"/>
        </w:rPr>
        <w:t xml:space="preserve">the </w:t>
      </w:r>
      <w:r w:rsidR="005E3C90">
        <w:rPr>
          <w:sz w:val="24"/>
          <w:szCs w:val="24"/>
        </w:rPr>
        <w:t>EIA</w:t>
      </w:r>
      <w:r w:rsidR="00EC73EE">
        <w:rPr>
          <w:sz w:val="24"/>
          <w:szCs w:val="24"/>
        </w:rPr>
        <w:t>-111 respondent</w:t>
      </w:r>
      <w:r w:rsidR="009E14D8">
        <w:rPr>
          <w:sz w:val="24"/>
          <w:szCs w:val="24"/>
        </w:rPr>
        <w:t>s who would need</w:t>
      </w:r>
      <w:r w:rsidR="00EC73EE">
        <w:rPr>
          <w:sz w:val="24"/>
          <w:szCs w:val="24"/>
        </w:rPr>
        <w:t xml:space="preserve"> </w:t>
      </w:r>
      <w:r w:rsidRPr="00583461">
        <w:rPr>
          <w:sz w:val="24"/>
          <w:szCs w:val="24"/>
        </w:rPr>
        <w:t xml:space="preserve">to provide </w:t>
      </w:r>
      <w:r w:rsidR="005E3C90">
        <w:rPr>
          <w:sz w:val="24"/>
          <w:szCs w:val="24"/>
        </w:rPr>
        <w:t xml:space="preserve">their </w:t>
      </w:r>
      <w:r w:rsidR="005E3C90" w:rsidRPr="00583461">
        <w:rPr>
          <w:sz w:val="24"/>
          <w:szCs w:val="24"/>
        </w:rPr>
        <w:t>information</w:t>
      </w:r>
      <w:r w:rsidRPr="00583461">
        <w:rPr>
          <w:sz w:val="24"/>
          <w:szCs w:val="24"/>
        </w:rPr>
        <w:t xml:space="preserve"> to more than one data collection agency.</w:t>
      </w:r>
    </w:p>
    <w:p w:rsidR="0001347C"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295B06" w:rsidRDefault="00295B06"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01347C" w:rsidRPr="00583461" w:rsidRDefault="0001347C" w:rsidP="00863403">
      <w:pPr>
        <w:pStyle w:val="Heading3"/>
        <w:rPr>
          <w:szCs w:val="24"/>
        </w:rPr>
      </w:pPr>
      <w:bookmarkStart w:id="69" w:name="_Toc318697079"/>
      <w:r w:rsidRPr="00583461">
        <w:rPr>
          <w:szCs w:val="24"/>
        </w:rPr>
        <w:t>A.</w:t>
      </w:r>
      <w:r w:rsidR="004F299B" w:rsidRPr="00583461">
        <w:rPr>
          <w:szCs w:val="24"/>
        </w:rPr>
        <w:t>7</w:t>
      </w:r>
      <w:r w:rsidRPr="00583461">
        <w:rPr>
          <w:szCs w:val="24"/>
        </w:rPr>
        <w:t>. Compliance with 5 CFR 1320.5</w:t>
      </w:r>
      <w:bookmarkEnd w:id="69"/>
    </w:p>
    <w:p w:rsidR="00E42A61" w:rsidRPr="00583461" w:rsidRDefault="00E42A61" w:rsidP="00E42A61"/>
    <w:p w:rsidR="007F290A" w:rsidRPr="00583461"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rPr>
        <w:t>The data are being collected consistent with the guidelines in 5 C</w:t>
      </w:r>
      <w:r w:rsidR="002E0E62" w:rsidRPr="00583461">
        <w:rPr>
          <w:sz w:val="24"/>
          <w:szCs w:val="24"/>
        </w:rPr>
        <w:t>.</w:t>
      </w:r>
      <w:r w:rsidRPr="00583461">
        <w:rPr>
          <w:sz w:val="24"/>
          <w:szCs w:val="24"/>
        </w:rPr>
        <w:t>F</w:t>
      </w:r>
      <w:r w:rsidR="002E0E62" w:rsidRPr="00583461">
        <w:rPr>
          <w:sz w:val="24"/>
          <w:szCs w:val="24"/>
        </w:rPr>
        <w:t>.</w:t>
      </w:r>
      <w:r w:rsidRPr="00583461">
        <w:rPr>
          <w:sz w:val="24"/>
          <w:szCs w:val="24"/>
        </w:rPr>
        <w:t>R</w:t>
      </w:r>
      <w:r w:rsidR="002E0E62" w:rsidRPr="00583461">
        <w:rPr>
          <w:sz w:val="24"/>
          <w:szCs w:val="24"/>
        </w:rPr>
        <w:t>.</w:t>
      </w:r>
      <w:r w:rsidRPr="00583461">
        <w:rPr>
          <w:sz w:val="24"/>
          <w:szCs w:val="24"/>
        </w:rPr>
        <w:t xml:space="preserve"> 1320.5</w:t>
      </w:r>
      <w:r w:rsidR="00520015" w:rsidRPr="00583461">
        <w:rPr>
          <w:sz w:val="24"/>
          <w:szCs w:val="24"/>
        </w:rPr>
        <w:t>.</w:t>
      </w:r>
      <w:r w:rsidRPr="00583461">
        <w:rPr>
          <w:sz w:val="24"/>
          <w:szCs w:val="24"/>
        </w:rPr>
        <w:t xml:space="preserve"> </w:t>
      </w:r>
    </w:p>
    <w:p w:rsidR="00932983" w:rsidRPr="00583461" w:rsidRDefault="00932983" w:rsidP="00932983">
      <w:bookmarkStart w:id="70" w:name="_Toc524334496"/>
      <w:bookmarkStart w:id="71" w:name="_Toc524334578"/>
      <w:bookmarkStart w:id="72" w:name="_Toc524334726"/>
      <w:bookmarkStart w:id="73" w:name="_Toc524334919"/>
    </w:p>
    <w:p w:rsidR="00932983" w:rsidRPr="00583461" w:rsidRDefault="00932983" w:rsidP="00932983"/>
    <w:p w:rsidR="00932983" w:rsidRPr="00583461" w:rsidRDefault="0001347C" w:rsidP="00932983">
      <w:pPr>
        <w:pStyle w:val="Heading3"/>
        <w:rPr>
          <w:szCs w:val="24"/>
        </w:rPr>
      </w:pPr>
      <w:bookmarkStart w:id="74" w:name="_Toc318697080"/>
      <w:r w:rsidRPr="00583461">
        <w:rPr>
          <w:szCs w:val="24"/>
        </w:rPr>
        <w:t>A.</w:t>
      </w:r>
      <w:r w:rsidR="004F299B" w:rsidRPr="00583461">
        <w:rPr>
          <w:szCs w:val="24"/>
        </w:rPr>
        <w:t>8</w:t>
      </w:r>
      <w:r w:rsidRPr="00583461">
        <w:rPr>
          <w:szCs w:val="24"/>
        </w:rPr>
        <w:t xml:space="preserve">. Summary of Consultations </w:t>
      </w:r>
      <w:r w:rsidR="00532894" w:rsidRPr="00583461">
        <w:rPr>
          <w:szCs w:val="24"/>
        </w:rPr>
        <w:t>outside</w:t>
      </w:r>
      <w:r w:rsidRPr="00583461">
        <w:rPr>
          <w:szCs w:val="24"/>
        </w:rPr>
        <w:t xml:space="preserve"> the Agency</w:t>
      </w:r>
      <w:bookmarkEnd w:id="70"/>
      <w:bookmarkEnd w:id="71"/>
      <w:bookmarkEnd w:id="72"/>
      <w:bookmarkEnd w:id="73"/>
      <w:bookmarkEnd w:id="74"/>
    </w:p>
    <w:p w:rsidR="00932983" w:rsidRPr="00583461" w:rsidRDefault="00932983" w:rsidP="00932983"/>
    <w:p w:rsidR="0001347C" w:rsidRPr="00583461" w:rsidRDefault="007B7F96" w:rsidP="00946DF9">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color w:val="0000FF"/>
          <w:szCs w:val="24"/>
        </w:rPr>
      </w:pPr>
      <w:r w:rsidRPr="00583461">
        <w:rPr>
          <w:iCs/>
          <w:szCs w:val="24"/>
        </w:rPr>
        <w:t xml:space="preserve">Consultations </w:t>
      </w:r>
      <w:r w:rsidR="00905B35" w:rsidRPr="00583461">
        <w:rPr>
          <w:iCs/>
          <w:szCs w:val="24"/>
        </w:rPr>
        <w:t>were</w:t>
      </w:r>
      <w:r w:rsidR="0001347C" w:rsidRPr="00583461">
        <w:rPr>
          <w:iCs/>
          <w:szCs w:val="24"/>
        </w:rPr>
        <w:t xml:space="preserve"> conducted using a </w:t>
      </w:r>
      <w:r w:rsidR="0001347C" w:rsidRPr="00583461">
        <w:rPr>
          <w:iCs/>
          <w:szCs w:val="24"/>
          <w:u w:val="single"/>
        </w:rPr>
        <w:t>Federal Register</w:t>
      </w:r>
      <w:r w:rsidR="0001347C" w:rsidRPr="00583461">
        <w:rPr>
          <w:iCs/>
          <w:szCs w:val="24"/>
        </w:rPr>
        <w:t xml:space="preserve"> notice (</w:t>
      </w:r>
      <w:r w:rsidR="00627B16" w:rsidRPr="00583461">
        <w:rPr>
          <w:iCs/>
          <w:szCs w:val="24"/>
        </w:rPr>
        <w:t xml:space="preserve">FR Vol. </w:t>
      </w:r>
      <w:r w:rsidR="003C55E2" w:rsidRPr="00583461">
        <w:rPr>
          <w:iCs/>
          <w:szCs w:val="24"/>
        </w:rPr>
        <w:t>76</w:t>
      </w:r>
      <w:r w:rsidR="00627B16" w:rsidRPr="00583461">
        <w:rPr>
          <w:iCs/>
          <w:szCs w:val="24"/>
        </w:rPr>
        <w:t>, No</w:t>
      </w:r>
      <w:r w:rsidR="002E0E62" w:rsidRPr="00583461">
        <w:rPr>
          <w:iCs/>
          <w:szCs w:val="24"/>
        </w:rPr>
        <w:t>.</w:t>
      </w:r>
      <w:r w:rsidR="00627B16" w:rsidRPr="00583461">
        <w:rPr>
          <w:iCs/>
          <w:szCs w:val="24"/>
        </w:rPr>
        <w:t xml:space="preserve"> </w:t>
      </w:r>
      <w:r w:rsidR="003C55E2" w:rsidRPr="00583461">
        <w:rPr>
          <w:iCs/>
          <w:szCs w:val="24"/>
        </w:rPr>
        <w:t>155</w:t>
      </w:r>
      <w:r w:rsidR="00627B16" w:rsidRPr="00583461">
        <w:rPr>
          <w:iCs/>
          <w:szCs w:val="24"/>
        </w:rPr>
        <w:t xml:space="preserve">, pg. </w:t>
      </w:r>
      <w:r w:rsidR="003C55E2" w:rsidRPr="00583461">
        <w:rPr>
          <w:iCs/>
          <w:szCs w:val="24"/>
        </w:rPr>
        <w:t>49757</w:t>
      </w:r>
      <w:r w:rsidR="0001347C" w:rsidRPr="00583461">
        <w:rPr>
          <w:iCs/>
          <w:szCs w:val="24"/>
        </w:rPr>
        <w:t>) published</w:t>
      </w:r>
      <w:r w:rsidR="002E0E62" w:rsidRPr="00583461">
        <w:rPr>
          <w:iCs/>
          <w:szCs w:val="24"/>
        </w:rPr>
        <w:t xml:space="preserve"> on</w:t>
      </w:r>
      <w:r w:rsidR="0001347C" w:rsidRPr="00583461">
        <w:rPr>
          <w:iCs/>
          <w:szCs w:val="24"/>
        </w:rPr>
        <w:t xml:space="preserve"> </w:t>
      </w:r>
      <w:r w:rsidR="003C55E2" w:rsidRPr="00583461">
        <w:rPr>
          <w:iCs/>
          <w:szCs w:val="24"/>
        </w:rPr>
        <w:t>August 11, 2011</w:t>
      </w:r>
      <w:r w:rsidR="0001347C" w:rsidRPr="00583461">
        <w:rPr>
          <w:iCs/>
          <w:szCs w:val="24"/>
        </w:rPr>
        <w:t xml:space="preserve">.  Copies of the notice were mailed to potential respondents, industry associations, and environmental and consumer groups for comment.  </w:t>
      </w:r>
      <w:r w:rsidR="00A83F73" w:rsidRPr="00583461">
        <w:rPr>
          <w:iCs/>
          <w:szCs w:val="24"/>
        </w:rPr>
        <w:t>This supporting statement</w:t>
      </w:r>
      <w:r w:rsidRPr="00583461">
        <w:rPr>
          <w:iCs/>
          <w:szCs w:val="24"/>
        </w:rPr>
        <w:t xml:space="preserve"> will be</w:t>
      </w:r>
      <w:r w:rsidR="00E877C1" w:rsidRPr="00583461">
        <w:rPr>
          <w:iCs/>
          <w:szCs w:val="24"/>
        </w:rPr>
        <w:t xml:space="preserve"> </w:t>
      </w:r>
      <w:r w:rsidR="00A83F73" w:rsidRPr="00583461">
        <w:rPr>
          <w:iCs/>
          <w:szCs w:val="24"/>
        </w:rPr>
        <w:t xml:space="preserve">made </w:t>
      </w:r>
      <w:r w:rsidR="00FB2160" w:rsidRPr="00583461">
        <w:rPr>
          <w:iCs/>
          <w:szCs w:val="24"/>
        </w:rPr>
        <w:t>available</w:t>
      </w:r>
      <w:r w:rsidR="00E877C1" w:rsidRPr="00583461">
        <w:rPr>
          <w:iCs/>
          <w:szCs w:val="24"/>
        </w:rPr>
        <w:t xml:space="preserve"> on the EIA website, along with </w:t>
      </w:r>
      <w:r w:rsidRPr="00583461">
        <w:rPr>
          <w:iCs/>
          <w:szCs w:val="24"/>
        </w:rPr>
        <w:t>drafts of the proposed new form</w:t>
      </w:r>
      <w:r w:rsidR="00E877C1" w:rsidRPr="00583461">
        <w:rPr>
          <w:iCs/>
          <w:szCs w:val="24"/>
        </w:rPr>
        <w:t xml:space="preserve"> and instructions.  </w:t>
      </w:r>
      <w:r w:rsidR="0001347C" w:rsidRPr="00583461">
        <w:rPr>
          <w:iCs/>
          <w:szCs w:val="24"/>
        </w:rPr>
        <w:t xml:space="preserve">A summary of the comments received, along with </w:t>
      </w:r>
      <w:r w:rsidR="00E877C1" w:rsidRPr="00583461">
        <w:rPr>
          <w:iCs/>
          <w:szCs w:val="24"/>
        </w:rPr>
        <w:t xml:space="preserve">the </w:t>
      </w:r>
      <w:r w:rsidR="00A83F73" w:rsidRPr="00583461">
        <w:rPr>
          <w:iCs/>
          <w:szCs w:val="24"/>
        </w:rPr>
        <w:t>EIA responses provided</w:t>
      </w:r>
      <w:r w:rsidR="00E131B0" w:rsidRPr="00583461">
        <w:rPr>
          <w:iCs/>
          <w:szCs w:val="24"/>
        </w:rPr>
        <w:t xml:space="preserve"> are in Appendix A below</w:t>
      </w:r>
      <w:r w:rsidR="00A83F73" w:rsidRPr="00583461">
        <w:rPr>
          <w:iCs/>
          <w:szCs w:val="24"/>
        </w:rPr>
        <w:t>.</w:t>
      </w:r>
    </w:p>
    <w:p w:rsidR="0001347C" w:rsidRPr="00583461"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sz w:val="24"/>
          <w:szCs w:val="24"/>
        </w:rPr>
      </w:pPr>
    </w:p>
    <w:p w:rsidR="0001347C" w:rsidRPr="00583461" w:rsidRDefault="0001347C" w:rsidP="00863403">
      <w:pPr>
        <w:pStyle w:val="Heading3"/>
        <w:rPr>
          <w:szCs w:val="24"/>
        </w:rPr>
      </w:pPr>
      <w:bookmarkStart w:id="75" w:name="_Toc524334497"/>
      <w:bookmarkStart w:id="76" w:name="_Toc524334579"/>
      <w:bookmarkStart w:id="77" w:name="_Toc524334727"/>
      <w:bookmarkStart w:id="78" w:name="_Toc524334920"/>
      <w:bookmarkStart w:id="79" w:name="_Toc318697081"/>
      <w:r w:rsidRPr="00583461">
        <w:rPr>
          <w:szCs w:val="24"/>
        </w:rPr>
        <w:t>A.</w:t>
      </w:r>
      <w:r w:rsidR="004F299B" w:rsidRPr="00583461">
        <w:rPr>
          <w:szCs w:val="24"/>
        </w:rPr>
        <w:t>9</w:t>
      </w:r>
      <w:r w:rsidRPr="00583461">
        <w:rPr>
          <w:szCs w:val="24"/>
        </w:rPr>
        <w:t>. Payments or Gifts to Respondents</w:t>
      </w:r>
      <w:bookmarkEnd w:id="75"/>
      <w:bookmarkEnd w:id="76"/>
      <w:bookmarkEnd w:id="77"/>
      <w:bookmarkEnd w:id="78"/>
      <w:bookmarkEnd w:id="79"/>
    </w:p>
    <w:p w:rsidR="0001347C" w:rsidRPr="00583461"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01347C" w:rsidRPr="00583461"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rPr>
        <w:t xml:space="preserve">No payments or gifts are made to the respondents </w:t>
      </w:r>
      <w:r w:rsidR="00EF12E6" w:rsidRPr="00583461">
        <w:rPr>
          <w:sz w:val="24"/>
          <w:szCs w:val="24"/>
        </w:rPr>
        <w:t>of</w:t>
      </w:r>
      <w:r w:rsidRPr="00583461">
        <w:rPr>
          <w:sz w:val="24"/>
          <w:szCs w:val="24"/>
        </w:rPr>
        <w:t xml:space="preserve"> the survey.</w:t>
      </w:r>
    </w:p>
    <w:p w:rsidR="0001347C" w:rsidRPr="00583461" w:rsidRDefault="0001347C" w:rsidP="00946DF9">
      <w:pPr>
        <w:pStyle w:val="Heading3"/>
        <w:ind w:firstLine="720"/>
        <w:rPr>
          <w:szCs w:val="24"/>
        </w:rPr>
      </w:pPr>
      <w:bookmarkStart w:id="80" w:name="_Toc524334498"/>
      <w:bookmarkStart w:id="81" w:name="_Toc524334580"/>
      <w:bookmarkStart w:id="82" w:name="_Toc524334728"/>
      <w:bookmarkStart w:id="83" w:name="_Toc524334921"/>
    </w:p>
    <w:p w:rsidR="008F1E19" w:rsidRPr="00583461" w:rsidRDefault="008F1E19" w:rsidP="00863403">
      <w:pPr>
        <w:pStyle w:val="Heading3"/>
        <w:rPr>
          <w:szCs w:val="24"/>
        </w:rPr>
      </w:pPr>
    </w:p>
    <w:p w:rsidR="0001347C" w:rsidRPr="00583461" w:rsidRDefault="0001347C" w:rsidP="00863403">
      <w:pPr>
        <w:pStyle w:val="Heading3"/>
        <w:rPr>
          <w:szCs w:val="24"/>
        </w:rPr>
      </w:pPr>
      <w:bookmarkStart w:id="84" w:name="_Toc318697082"/>
      <w:r w:rsidRPr="00583461">
        <w:rPr>
          <w:szCs w:val="24"/>
        </w:rPr>
        <w:t>A.</w:t>
      </w:r>
      <w:r w:rsidR="004F299B" w:rsidRPr="00583461">
        <w:rPr>
          <w:szCs w:val="24"/>
        </w:rPr>
        <w:t>10</w:t>
      </w:r>
      <w:r w:rsidR="004F51D1" w:rsidRPr="00583461">
        <w:rPr>
          <w:szCs w:val="24"/>
        </w:rPr>
        <w:t>.</w:t>
      </w:r>
      <w:r w:rsidRPr="00583461">
        <w:rPr>
          <w:szCs w:val="24"/>
        </w:rPr>
        <w:t xml:space="preserve"> Provisions for Confidentiality of Information</w:t>
      </w:r>
      <w:bookmarkEnd w:id="80"/>
      <w:bookmarkEnd w:id="81"/>
      <w:bookmarkEnd w:id="82"/>
      <w:bookmarkEnd w:id="83"/>
      <w:bookmarkEnd w:id="84"/>
    </w:p>
    <w:p w:rsidR="001916A5" w:rsidRPr="00583461" w:rsidRDefault="001916A5" w:rsidP="00946DF9">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0318B5" w:rsidRPr="00583461" w:rsidRDefault="000318B5" w:rsidP="000318B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rPr>
        <w:t xml:space="preserve">EIA requested comments from interested parties who might be affected by public release of the data collected on the </w:t>
      </w:r>
      <w:r w:rsidR="00632718">
        <w:rPr>
          <w:sz w:val="24"/>
          <w:szCs w:val="24"/>
        </w:rPr>
        <w:t xml:space="preserve">Form </w:t>
      </w:r>
      <w:r w:rsidRPr="00583461">
        <w:rPr>
          <w:sz w:val="24"/>
          <w:szCs w:val="24"/>
        </w:rPr>
        <w:t xml:space="preserve">EIA-111.  It is the intent of the EIA to release as much information as </w:t>
      </w:r>
      <w:r w:rsidR="005E3C90" w:rsidRPr="00583461">
        <w:rPr>
          <w:sz w:val="24"/>
          <w:szCs w:val="24"/>
        </w:rPr>
        <w:t>needed to</w:t>
      </w:r>
      <w:r w:rsidR="00632718">
        <w:rPr>
          <w:sz w:val="24"/>
          <w:szCs w:val="24"/>
        </w:rPr>
        <w:t xml:space="preserve"> </w:t>
      </w:r>
      <w:r w:rsidRPr="00583461">
        <w:rPr>
          <w:sz w:val="24"/>
          <w:szCs w:val="24"/>
        </w:rPr>
        <w:t>evalu</w:t>
      </w:r>
      <w:r w:rsidR="0068451E">
        <w:rPr>
          <w:sz w:val="24"/>
          <w:szCs w:val="24"/>
        </w:rPr>
        <w:t>ate market conditions and assess</w:t>
      </w:r>
      <w:r w:rsidRPr="00583461">
        <w:rPr>
          <w:sz w:val="24"/>
          <w:szCs w:val="24"/>
        </w:rPr>
        <w:t xml:space="preserve"> future market demand and supply factors.  The EIA e</w:t>
      </w:r>
      <w:r w:rsidR="0057395B">
        <w:rPr>
          <w:sz w:val="24"/>
          <w:szCs w:val="24"/>
        </w:rPr>
        <w:t xml:space="preserve">valuated the comments </w:t>
      </w:r>
      <w:r w:rsidRPr="00583461">
        <w:rPr>
          <w:sz w:val="24"/>
          <w:szCs w:val="24"/>
        </w:rPr>
        <w:t>along with the implications of any action(s) taken, the laws governing this regulatory survey collection series, and the data needed by the Congress, other Federal agencies, States, and other users.  The laws and regulations considered are:</w:t>
      </w:r>
    </w:p>
    <w:p w:rsidR="000318B5" w:rsidRPr="00583461" w:rsidRDefault="000318B5" w:rsidP="000318B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0318B5" w:rsidRPr="00583461" w:rsidRDefault="0057395B" w:rsidP="000318B5">
      <w:pPr>
        <w:pStyle w:val="BodyText"/>
        <w:numPr>
          <w:ilvl w:val="0"/>
          <w:numId w:val="2"/>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szCs w:val="24"/>
        </w:rPr>
      </w:pPr>
      <w:r>
        <w:rPr>
          <w:szCs w:val="24"/>
        </w:rPr>
        <w:t>The</w:t>
      </w:r>
      <w:r w:rsidR="000318B5" w:rsidRPr="00583461">
        <w:rPr>
          <w:szCs w:val="24"/>
        </w:rPr>
        <w:t xml:space="preserve"> Trade Secrets Act, (18 U.S.C. 1905); </w:t>
      </w:r>
    </w:p>
    <w:p w:rsidR="000318B5" w:rsidRPr="00583461" w:rsidRDefault="0057395B" w:rsidP="000318B5">
      <w:pPr>
        <w:pStyle w:val="BodyText"/>
        <w:numPr>
          <w:ilvl w:val="0"/>
          <w:numId w:val="2"/>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szCs w:val="24"/>
        </w:rPr>
      </w:pPr>
      <w:r>
        <w:rPr>
          <w:szCs w:val="24"/>
        </w:rPr>
        <w:t>The</w:t>
      </w:r>
      <w:r w:rsidR="000318B5" w:rsidRPr="00583461">
        <w:rPr>
          <w:szCs w:val="24"/>
        </w:rPr>
        <w:t xml:space="preserve"> Freedom of Information Act (FOIA), (5 U.S.C. 552);   </w:t>
      </w:r>
    </w:p>
    <w:p w:rsidR="000318B5" w:rsidRPr="00583461" w:rsidRDefault="0057395B" w:rsidP="000318B5">
      <w:pPr>
        <w:pStyle w:val="BodyText"/>
        <w:numPr>
          <w:ilvl w:val="0"/>
          <w:numId w:val="2"/>
        </w:numPr>
        <w:tabs>
          <w:tab w:val="clear"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Cs w:val="24"/>
        </w:rPr>
      </w:pPr>
      <w:r>
        <w:rPr>
          <w:szCs w:val="24"/>
        </w:rPr>
        <w:t>The</w:t>
      </w:r>
      <w:r w:rsidR="000318B5" w:rsidRPr="00583461">
        <w:rPr>
          <w:szCs w:val="24"/>
        </w:rPr>
        <w:t xml:space="preserve"> Department of Energy, Freedom of Information Act (FOIA) Regulations, (10 C.F.R. 1004); </w:t>
      </w:r>
    </w:p>
    <w:p w:rsidR="000318B5" w:rsidRPr="00583461" w:rsidRDefault="0057395B" w:rsidP="000318B5">
      <w:pPr>
        <w:pStyle w:val="BodyText"/>
        <w:numPr>
          <w:ilvl w:val="0"/>
          <w:numId w:val="2"/>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szCs w:val="24"/>
        </w:rPr>
      </w:pPr>
      <w:r>
        <w:rPr>
          <w:szCs w:val="24"/>
        </w:rPr>
        <w:t>The</w:t>
      </w:r>
      <w:r w:rsidR="000318B5" w:rsidRPr="00583461">
        <w:rPr>
          <w:szCs w:val="24"/>
        </w:rPr>
        <w:t xml:space="preserve"> Paperwork Reduction Act, (44 U.S.C. 35); </w:t>
      </w:r>
    </w:p>
    <w:p w:rsidR="000318B5" w:rsidRPr="00583461" w:rsidRDefault="0057395B" w:rsidP="000318B5">
      <w:pPr>
        <w:pStyle w:val="BodyText"/>
        <w:numPr>
          <w:ilvl w:val="0"/>
          <w:numId w:val="2"/>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szCs w:val="24"/>
        </w:rPr>
      </w:pPr>
      <w:r>
        <w:rPr>
          <w:szCs w:val="24"/>
        </w:rPr>
        <w:t>The</w:t>
      </w:r>
      <w:r w:rsidR="000318B5" w:rsidRPr="00583461">
        <w:rPr>
          <w:szCs w:val="24"/>
        </w:rPr>
        <w:t xml:space="preserve"> Clean Air Act, (CAAA90, Public Law 101-549); and</w:t>
      </w:r>
    </w:p>
    <w:p w:rsidR="000318B5" w:rsidRPr="00583461" w:rsidRDefault="000318B5" w:rsidP="000B03FB">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5B1017" w:rsidRPr="00583461" w:rsidRDefault="00EB5591" w:rsidP="000B03FB">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DD50F6">
        <w:t xml:space="preserve">There are no changes in level of disclosure from the previous survey.  </w:t>
      </w:r>
      <w:r>
        <w:t>A</w:t>
      </w:r>
      <w:r w:rsidRPr="00DD50F6">
        <w:t xml:space="preserve">ll data collected on the prior OE-781R was </w:t>
      </w:r>
      <w:r>
        <w:t xml:space="preserve">made </w:t>
      </w:r>
      <w:r w:rsidRPr="00DD50F6">
        <w:t>public</w:t>
      </w:r>
      <w:r>
        <w:t>l</w:t>
      </w:r>
      <w:r w:rsidR="00A67FBE">
        <w:t>y available</w:t>
      </w:r>
      <w:r>
        <w:t xml:space="preserve"> by DOE</w:t>
      </w:r>
      <w:r w:rsidR="00A67FBE">
        <w:t>,</w:t>
      </w:r>
      <w:r w:rsidRPr="00DD50F6">
        <w:t xml:space="preserve"> and </w:t>
      </w:r>
      <w:r>
        <w:t xml:space="preserve">EIA will continue </w:t>
      </w:r>
      <w:r w:rsidRPr="00DD50F6">
        <w:t xml:space="preserve">the same </w:t>
      </w:r>
      <w:r>
        <w:t>policy of making the data reported on Form</w:t>
      </w:r>
      <w:r w:rsidRPr="00DD50F6">
        <w:t xml:space="preserve"> EIA-111</w:t>
      </w:r>
      <w:r>
        <w:t xml:space="preserve"> publicly available</w:t>
      </w:r>
      <w:r w:rsidRPr="00DD50F6">
        <w:t xml:space="preserve">.  </w:t>
      </w:r>
      <w:r>
        <w:t>(A</w:t>
      </w:r>
      <w:r w:rsidRPr="00DD50F6">
        <w:t>lmost all of the</w:t>
      </w:r>
      <w:r>
        <w:t xml:space="preserve"> </w:t>
      </w:r>
      <w:r w:rsidRPr="00DD50F6">
        <w:t>electric power data the agency collects</w:t>
      </w:r>
      <w:r>
        <w:t>, with the exception of a few sensitive data variables, are made publicly available through EIA’s website</w:t>
      </w:r>
      <w:r w:rsidRPr="00DD50F6">
        <w:t>.)</w:t>
      </w:r>
      <w:r>
        <w:t xml:space="preserve">  </w:t>
      </w:r>
      <w:r w:rsidRPr="003C32DC">
        <w:rPr>
          <w:szCs w:val="24"/>
        </w:rPr>
        <w:t xml:space="preserve">EIA did not receive any comments regarding the </w:t>
      </w:r>
      <w:r>
        <w:rPr>
          <w:szCs w:val="24"/>
        </w:rPr>
        <w:t xml:space="preserve">lack of </w:t>
      </w:r>
      <w:r>
        <w:rPr>
          <w:szCs w:val="24"/>
        </w:rPr>
        <w:lastRenderedPageBreak/>
        <w:t xml:space="preserve">protection </w:t>
      </w:r>
      <w:r w:rsidRPr="003C32DC">
        <w:rPr>
          <w:szCs w:val="24"/>
        </w:rPr>
        <w:t>of the</w:t>
      </w:r>
      <w:r>
        <w:rPr>
          <w:szCs w:val="24"/>
        </w:rPr>
        <w:t xml:space="preserve"> reported</w:t>
      </w:r>
      <w:r w:rsidRPr="003C32DC">
        <w:rPr>
          <w:szCs w:val="24"/>
        </w:rPr>
        <w:t xml:space="preserve"> data</w:t>
      </w:r>
      <w:r>
        <w:rPr>
          <w:szCs w:val="24"/>
        </w:rPr>
        <w:t xml:space="preserve"> and EIA’s proposal to make the data publicly available.  </w:t>
      </w:r>
      <w:r w:rsidR="0057395B">
        <w:rPr>
          <w:szCs w:val="24"/>
        </w:rPr>
        <w:t>T</w:t>
      </w:r>
      <w:r w:rsidR="005B1017" w:rsidRPr="00583461">
        <w:rPr>
          <w:szCs w:val="24"/>
        </w:rPr>
        <w:t>he survey respondents will be told the following:</w:t>
      </w:r>
    </w:p>
    <w:p w:rsidR="005B1017" w:rsidRPr="00583461" w:rsidRDefault="005B1017" w:rsidP="005B101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5B1017" w:rsidRPr="00583461" w:rsidRDefault="005B1017" w:rsidP="005B1017">
      <w:pPr>
        <w:autoSpaceDE w:val="0"/>
        <w:autoSpaceDN w:val="0"/>
        <w:adjustRightInd w:val="0"/>
        <w:ind w:left="720"/>
        <w:rPr>
          <w:sz w:val="24"/>
          <w:szCs w:val="24"/>
        </w:rPr>
      </w:pPr>
      <w:r w:rsidRPr="00583461">
        <w:rPr>
          <w:sz w:val="24"/>
          <w:szCs w:val="24"/>
        </w:rPr>
        <w:t xml:space="preserve">The information reported on Form EIA-111 will be </w:t>
      </w:r>
      <w:r w:rsidR="00B94858">
        <w:rPr>
          <w:sz w:val="24"/>
          <w:szCs w:val="24"/>
        </w:rPr>
        <w:t xml:space="preserve">considered public </w:t>
      </w:r>
      <w:r w:rsidR="00957870">
        <w:rPr>
          <w:sz w:val="24"/>
          <w:szCs w:val="24"/>
        </w:rPr>
        <w:t xml:space="preserve">information </w:t>
      </w:r>
      <w:r w:rsidR="00957870" w:rsidRPr="00583461">
        <w:rPr>
          <w:sz w:val="24"/>
          <w:szCs w:val="24"/>
        </w:rPr>
        <w:t>and</w:t>
      </w:r>
      <w:r w:rsidRPr="00583461">
        <w:rPr>
          <w:sz w:val="24"/>
          <w:szCs w:val="24"/>
        </w:rPr>
        <w:t xml:space="preserve"> may be publicly released in identifiable form.  </w:t>
      </w:r>
    </w:p>
    <w:p w:rsidR="000318B5" w:rsidRPr="00583461" w:rsidRDefault="000318B5" w:rsidP="00E51C05">
      <w:pPr>
        <w:rPr>
          <w:b/>
          <w:sz w:val="24"/>
          <w:szCs w:val="24"/>
        </w:rPr>
      </w:pPr>
    </w:p>
    <w:p w:rsidR="00A51914" w:rsidRDefault="00A51914" w:rsidP="00863403">
      <w:pPr>
        <w:pStyle w:val="Heading3"/>
        <w:rPr>
          <w:szCs w:val="24"/>
        </w:rPr>
      </w:pPr>
      <w:bookmarkStart w:id="85" w:name="_Toc78797041"/>
      <w:bookmarkStart w:id="86" w:name="_Toc81025454"/>
      <w:bookmarkStart w:id="87" w:name="_Toc318697083"/>
      <w:bookmarkStart w:id="88" w:name="_Toc524334501"/>
      <w:bookmarkStart w:id="89" w:name="_Toc524334583"/>
      <w:bookmarkStart w:id="90" w:name="_Toc524334730"/>
      <w:bookmarkStart w:id="91" w:name="_Toc524334923"/>
    </w:p>
    <w:p w:rsidR="0001347C" w:rsidRPr="00583461" w:rsidRDefault="0001347C" w:rsidP="00863403">
      <w:pPr>
        <w:pStyle w:val="Heading3"/>
        <w:rPr>
          <w:szCs w:val="24"/>
        </w:rPr>
      </w:pPr>
      <w:r w:rsidRPr="00583461">
        <w:rPr>
          <w:szCs w:val="24"/>
        </w:rPr>
        <w:t>A.1</w:t>
      </w:r>
      <w:r w:rsidR="004F299B" w:rsidRPr="00583461">
        <w:rPr>
          <w:szCs w:val="24"/>
        </w:rPr>
        <w:t>1</w:t>
      </w:r>
      <w:r w:rsidRPr="00583461">
        <w:rPr>
          <w:szCs w:val="24"/>
        </w:rPr>
        <w:t>. Justification for Sensitive Questions</w:t>
      </w:r>
      <w:bookmarkEnd w:id="85"/>
      <w:bookmarkEnd w:id="86"/>
      <w:bookmarkEnd w:id="87"/>
    </w:p>
    <w:p w:rsidR="0001347C" w:rsidRPr="00583461"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01347C"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rPr>
        <w:t>There are no questions of a sensitive nature.</w:t>
      </w:r>
    </w:p>
    <w:p w:rsidR="00A51914" w:rsidRDefault="00A51914"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A51914" w:rsidRDefault="00A51914"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A26938" w:rsidRPr="00583461" w:rsidRDefault="00A26938" w:rsidP="00863403">
      <w:pPr>
        <w:pStyle w:val="Heading3"/>
        <w:rPr>
          <w:szCs w:val="24"/>
        </w:rPr>
      </w:pPr>
      <w:bookmarkStart w:id="92" w:name="_Toc318697084"/>
      <w:r w:rsidRPr="00583461">
        <w:rPr>
          <w:szCs w:val="24"/>
        </w:rPr>
        <w:t>A.1</w:t>
      </w:r>
      <w:r w:rsidR="004F299B" w:rsidRPr="00583461">
        <w:rPr>
          <w:szCs w:val="24"/>
        </w:rPr>
        <w:t>2</w:t>
      </w:r>
      <w:r w:rsidRPr="00583461">
        <w:rPr>
          <w:szCs w:val="24"/>
        </w:rPr>
        <w:t>. Estimate of Respondent Burden Hours and Cost</w:t>
      </w:r>
      <w:bookmarkEnd w:id="92"/>
    </w:p>
    <w:p w:rsidR="00A26938" w:rsidRPr="00583461" w:rsidRDefault="00A26938"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p>
    <w:p w:rsidR="00A26938" w:rsidRDefault="0008540B"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3C32DC">
        <w:rPr>
          <w:szCs w:val="24"/>
        </w:rPr>
        <w:t xml:space="preserve">The number of respondents for the EIA-111 can fluctuate at any given time due to </w:t>
      </w:r>
      <w:r w:rsidR="00AB517B" w:rsidRPr="003C32DC">
        <w:rPr>
          <w:szCs w:val="24"/>
        </w:rPr>
        <w:t>changes in the number of valid</w:t>
      </w:r>
      <w:r w:rsidRPr="003C32DC">
        <w:rPr>
          <w:szCs w:val="24"/>
        </w:rPr>
        <w:t xml:space="preserve"> export authorizations.</w:t>
      </w:r>
      <w:r>
        <w:rPr>
          <w:szCs w:val="24"/>
        </w:rPr>
        <w:t xml:space="preserve">  </w:t>
      </w:r>
      <w:r w:rsidR="00A26938" w:rsidRPr="00583461">
        <w:rPr>
          <w:szCs w:val="24"/>
        </w:rPr>
        <w:t>The overall annual burden for thi</w:t>
      </w:r>
      <w:r w:rsidR="00137EE1" w:rsidRPr="00583461">
        <w:rPr>
          <w:szCs w:val="24"/>
        </w:rPr>
        <w:t xml:space="preserve">s package is estimated to be </w:t>
      </w:r>
      <w:r w:rsidR="0051104B">
        <w:rPr>
          <w:szCs w:val="24"/>
        </w:rPr>
        <w:t>1,038</w:t>
      </w:r>
      <w:r w:rsidR="00A26938" w:rsidRPr="00583461">
        <w:rPr>
          <w:szCs w:val="24"/>
        </w:rPr>
        <w:t xml:space="preserve">burden hours (Table </w:t>
      </w:r>
      <w:r w:rsidR="00703B8B" w:rsidRPr="00583461">
        <w:rPr>
          <w:szCs w:val="24"/>
        </w:rPr>
        <w:t>1</w:t>
      </w:r>
      <w:r w:rsidR="00A26938" w:rsidRPr="00583461">
        <w:rPr>
          <w:szCs w:val="24"/>
        </w:rPr>
        <w:t>).   As in the past, th</w:t>
      </w:r>
      <w:r w:rsidR="00E94845" w:rsidRPr="00583461">
        <w:rPr>
          <w:szCs w:val="24"/>
        </w:rPr>
        <w:t xml:space="preserve">e burden estimate includes time gathering and </w:t>
      </w:r>
      <w:r w:rsidR="009C6036" w:rsidRPr="00583461">
        <w:rPr>
          <w:szCs w:val="24"/>
        </w:rPr>
        <w:t>maintaining</w:t>
      </w:r>
      <w:r w:rsidR="00E94845" w:rsidRPr="00583461">
        <w:rPr>
          <w:szCs w:val="24"/>
        </w:rPr>
        <w:t xml:space="preserve"> the data needed, and completing and reviewing the collection of information.</w:t>
      </w:r>
    </w:p>
    <w:p w:rsidR="00DD50F6" w:rsidRDefault="00DD50F6"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DD50F6" w:rsidRDefault="00DD50F6"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DD50F6" w:rsidRDefault="00DD50F6"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DD50F6" w:rsidRDefault="00DD50F6"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DD50F6" w:rsidRPr="00583461" w:rsidRDefault="00DD50F6"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D7127" w:rsidRDefault="002D7127" w:rsidP="00737B2D">
      <w:pPr>
        <w:rPr>
          <w:b/>
          <w:sz w:val="24"/>
          <w:szCs w:val="24"/>
        </w:rPr>
      </w:pPr>
      <w:bookmarkStart w:id="93" w:name="_Toc307985135"/>
    </w:p>
    <w:p w:rsidR="00737B2D" w:rsidRPr="00583461" w:rsidRDefault="00737B2D" w:rsidP="00737B2D">
      <w:pPr>
        <w:rPr>
          <w:b/>
          <w:sz w:val="24"/>
          <w:szCs w:val="24"/>
        </w:rPr>
      </w:pPr>
      <w:proofErr w:type="gramStart"/>
      <w:r w:rsidRPr="00583461">
        <w:rPr>
          <w:b/>
          <w:sz w:val="24"/>
          <w:szCs w:val="24"/>
        </w:rPr>
        <w:t xml:space="preserve">Table </w:t>
      </w:r>
      <w:r w:rsidR="00703B8B" w:rsidRPr="00583461">
        <w:rPr>
          <w:b/>
          <w:sz w:val="24"/>
          <w:szCs w:val="24"/>
        </w:rPr>
        <w:t>1</w:t>
      </w:r>
      <w:r w:rsidRPr="00583461">
        <w:rPr>
          <w:b/>
          <w:sz w:val="24"/>
          <w:szCs w:val="24"/>
        </w:rPr>
        <w:t>.</w:t>
      </w:r>
      <w:proofErr w:type="gramEnd"/>
      <w:r w:rsidRPr="00583461">
        <w:rPr>
          <w:b/>
          <w:sz w:val="24"/>
          <w:szCs w:val="24"/>
        </w:rPr>
        <w:t xml:space="preserve">  Electric Power Burden Information for OMB Number 190</w:t>
      </w:r>
      <w:r w:rsidR="003C4524" w:rsidRPr="00583461">
        <w:rPr>
          <w:b/>
          <w:sz w:val="24"/>
          <w:szCs w:val="24"/>
        </w:rPr>
        <w:t>5</w:t>
      </w:r>
      <w:r w:rsidRPr="00583461">
        <w:rPr>
          <w:b/>
          <w:sz w:val="24"/>
          <w:szCs w:val="24"/>
        </w:rPr>
        <w:t>-</w:t>
      </w:r>
      <w:r w:rsidR="003C4524" w:rsidRPr="00583461">
        <w:rPr>
          <w:b/>
          <w:sz w:val="24"/>
          <w:szCs w:val="24"/>
        </w:rPr>
        <w:t>NEW</w:t>
      </w:r>
      <w:bookmarkEnd w:id="93"/>
    </w:p>
    <w:p w:rsidR="002E2F34" w:rsidRPr="00583461" w:rsidRDefault="002E2F34" w:rsidP="00737B2D">
      <w:pPr>
        <w:rPr>
          <w:b/>
          <w:sz w:val="24"/>
          <w:szCs w:val="24"/>
        </w:rPr>
      </w:pPr>
    </w:p>
    <w:tbl>
      <w:tblPr>
        <w:tblpPr w:leftFromText="180" w:rightFromText="180" w:vertAnchor="text" w:horzAnchor="margin" w:tblpY="67"/>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162"/>
        <w:gridCol w:w="1400"/>
        <w:gridCol w:w="1781"/>
        <w:gridCol w:w="1653"/>
        <w:gridCol w:w="1781"/>
      </w:tblGrid>
      <w:tr w:rsidR="00D22A0C" w:rsidRPr="00583461" w:rsidTr="00D22A0C">
        <w:trPr>
          <w:trHeight w:val="729"/>
        </w:trPr>
        <w:tc>
          <w:tcPr>
            <w:tcW w:w="8777" w:type="dxa"/>
            <w:gridSpan w:val="5"/>
            <w:tcBorders>
              <w:bottom w:val="single" w:sz="4" w:space="0" w:color="auto"/>
            </w:tcBorders>
            <w:shd w:val="clear" w:color="auto" w:fill="B3B3B3"/>
            <w:vAlign w:val="center"/>
          </w:tcPr>
          <w:p w:rsidR="00D22A0C" w:rsidRPr="00583461" w:rsidRDefault="00D22A0C" w:rsidP="00D22A0C">
            <w:pPr>
              <w:jc w:val="center"/>
              <w:rPr>
                <w:b/>
                <w:bCs/>
                <w:sz w:val="22"/>
                <w:szCs w:val="22"/>
              </w:rPr>
            </w:pPr>
            <w:r w:rsidRPr="00583461">
              <w:rPr>
                <w:b/>
                <w:bCs/>
                <w:sz w:val="22"/>
                <w:szCs w:val="22"/>
              </w:rPr>
              <w:t>Form  EIA-111</w:t>
            </w:r>
            <w:r w:rsidR="00F44951" w:rsidRPr="00583461">
              <w:rPr>
                <w:b/>
                <w:bCs/>
                <w:sz w:val="22"/>
                <w:szCs w:val="22"/>
              </w:rPr>
              <w:t>, “</w:t>
            </w:r>
            <w:r w:rsidRPr="00583461">
              <w:rPr>
                <w:b/>
                <w:bCs/>
                <w:sz w:val="22"/>
                <w:szCs w:val="22"/>
              </w:rPr>
              <w:t>Quarterly Electricity Imports and Exports Report</w:t>
            </w:r>
            <w:r w:rsidR="00F44951" w:rsidRPr="00583461">
              <w:rPr>
                <w:b/>
                <w:bCs/>
                <w:sz w:val="22"/>
                <w:szCs w:val="22"/>
              </w:rPr>
              <w:t>”</w:t>
            </w:r>
          </w:p>
        </w:tc>
      </w:tr>
      <w:tr w:rsidR="00D22A0C" w:rsidRPr="00583461" w:rsidTr="00D22A0C">
        <w:trPr>
          <w:trHeight w:val="729"/>
        </w:trPr>
        <w:tc>
          <w:tcPr>
            <w:tcW w:w="2162" w:type="dxa"/>
            <w:shd w:val="clear" w:color="auto" w:fill="auto"/>
            <w:vAlign w:val="center"/>
          </w:tcPr>
          <w:p w:rsidR="00D22A0C" w:rsidRPr="00583461" w:rsidRDefault="00D22A0C" w:rsidP="00D22A0C">
            <w:pPr>
              <w:jc w:val="center"/>
              <w:rPr>
                <w:b/>
                <w:bCs/>
                <w:sz w:val="18"/>
                <w:szCs w:val="18"/>
              </w:rPr>
            </w:pPr>
            <w:r w:rsidRPr="00583461">
              <w:rPr>
                <w:b/>
                <w:bCs/>
                <w:sz w:val="18"/>
                <w:szCs w:val="18"/>
              </w:rPr>
              <w:t>Number of Respondents Per Quarter</w:t>
            </w:r>
          </w:p>
        </w:tc>
        <w:tc>
          <w:tcPr>
            <w:tcW w:w="1400" w:type="dxa"/>
            <w:shd w:val="clear" w:color="auto" w:fill="auto"/>
            <w:vAlign w:val="center"/>
          </w:tcPr>
          <w:p w:rsidR="00D22A0C" w:rsidRPr="00583461" w:rsidRDefault="00D22A0C" w:rsidP="00D22A0C">
            <w:pPr>
              <w:rPr>
                <w:b/>
                <w:bCs/>
                <w:sz w:val="18"/>
                <w:szCs w:val="18"/>
              </w:rPr>
            </w:pPr>
            <w:r w:rsidRPr="00583461">
              <w:rPr>
                <w:b/>
                <w:bCs/>
                <w:sz w:val="18"/>
                <w:szCs w:val="18"/>
              </w:rPr>
              <w:t xml:space="preserve">Burden Hours per Response </w:t>
            </w:r>
          </w:p>
        </w:tc>
        <w:tc>
          <w:tcPr>
            <w:tcW w:w="1781" w:type="dxa"/>
            <w:shd w:val="clear" w:color="auto" w:fill="auto"/>
            <w:vAlign w:val="center"/>
          </w:tcPr>
          <w:p w:rsidR="00D22A0C" w:rsidRPr="00583461" w:rsidRDefault="00D22A0C" w:rsidP="00D22A0C">
            <w:pPr>
              <w:jc w:val="center"/>
              <w:rPr>
                <w:b/>
                <w:bCs/>
                <w:sz w:val="18"/>
                <w:szCs w:val="18"/>
              </w:rPr>
            </w:pPr>
            <w:r w:rsidRPr="00583461">
              <w:rPr>
                <w:b/>
                <w:bCs/>
                <w:sz w:val="18"/>
                <w:szCs w:val="18"/>
              </w:rPr>
              <w:t>Number of Responses per Year</w:t>
            </w:r>
            <w:r w:rsidR="00FA76DD" w:rsidRPr="00583461">
              <w:rPr>
                <w:b/>
                <w:bCs/>
                <w:sz w:val="18"/>
                <w:szCs w:val="18"/>
              </w:rPr>
              <w:t xml:space="preserve"> per Entity</w:t>
            </w:r>
          </w:p>
        </w:tc>
        <w:tc>
          <w:tcPr>
            <w:tcW w:w="1653" w:type="dxa"/>
            <w:shd w:val="clear" w:color="auto" w:fill="auto"/>
          </w:tcPr>
          <w:p w:rsidR="00D22A0C" w:rsidRPr="00583461" w:rsidRDefault="00D22A0C" w:rsidP="00D22A0C">
            <w:pPr>
              <w:jc w:val="center"/>
              <w:rPr>
                <w:b/>
                <w:bCs/>
                <w:sz w:val="18"/>
                <w:szCs w:val="18"/>
              </w:rPr>
            </w:pPr>
          </w:p>
          <w:p w:rsidR="00D22A0C" w:rsidRPr="00583461" w:rsidRDefault="00D22A0C" w:rsidP="00D22A0C">
            <w:pPr>
              <w:jc w:val="center"/>
              <w:rPr>
                <w:b/>
                <w:bCs/>
                <w:sz w:val="18"/>
                <w:szCs w:val="18"/>
              </w:rPr>
            </w:pPr>
            <w:r w:rsidRPr="00583461">
              <w:rPr>
                <w:b/>
                <w:bCs/>
                <w:sz w:val="18"/>
                <w:szCs w:val="18"/>
              </w:rPr>
              <w:t>Annual Number of Responses</w:t>
            </w:r>
          </w:p>
        </w:tc>
        <w:tc>
          <w:tcPr>
            <w:tcW w:w="1781" w:type="dxa"/>
            <w:shd w:val="clear" w:color="auto" w:fill="auto"/>
            <w:vAlign w:val="center"/>
          </w:tcPr>
          <w:p w:rsidR="00D22A0C" w:rsidRPr="00583461" w:rsidRDefault="00D22A0C" w:rsidP="00D22A0C">
            <w:pPr>
              <w:jc w:val="center"/>
              <w:rPr>
                <w:b/>
                <w:bCs/>
                <w:sz w:val="18"/>
                <w:szCs w:val="18"/>
              </w:rPr>
            </w:pPr>
            <w:r w:rsidRPr="00583461">
              <w:rPr>
                <w:b/>
                <w:bCs/>
                <w:sz w:val="18"/>
                <w:szCs w:val="18"/>
              </w:rPr>
              <w:t>Annual Burden Hours</w:t>
            </w:r>
          </w:p>
        </w:tc>
      </w:tr>
      <w:tr w:rsidR="00D22A0C" w:rsidRPr="00583461" w:rsidTr="00D22A0C">
        <w:trPr>
          <w:trHeight w:val="262"/>
        </w:trPr>
        <w:tc>
          <w:tcPr>
            <w:tcW w:w="2162" w:type="dxa"/>
            <w:shd w:val="clear" w:color="auto" w:fill="auto"/>
            <w:vAlign w:val="center"/>
          </w:tcPr>
          <w:p w:rsidR="00BB7349" w:rsidRPr="00583461" w:rsidRDefault="00BB7349" w:rsidP="00A70D76">
            <w:pPr>
              <w:jc w:val="center"/>
              <w:rPr>
                <w:sz w:val="22"/>
                <w:szCs w:val="22"/>
              </w:rPr>
            </w:pPr>
            <w:r w:rsidRPr="00583461">
              <w:rPr>
                <w:sz w:val="22"/>
                <w:szCs w:val="22"/>
              </w:rPr>
              <w:t>1</w:t>
            </w:r>
            <w:r w:rsidR="00A70D76">
              <w:rPr>
                <w:sz w:val="22"/>
                <w:szCs w:val="22"/>
              </w:rPr>
              <w:t>7</w:t>
            </w:r>
            <w:r w:rsidRPr="00583461">
              <w:rPr>
                <w:sz w:val="22"/>
                <w:szCs w:val="22"/>
              </w:rPr>
              <w:t>3</w:t>
            </w:r>
          </w:p>
        </w:tc>
        <w:tc>
          <w:tcPr>
            <w:tcW w:w="1400" w:type="dxa"/>
            <w:vAlign w:val="center"/>
          </w:tcPr>
          <w:p w:rsidR="00D22A0C" w:rsidRPr="00583461" w:rsidRDefault="0051104B" w:rsidP="00D22A0C">
            <w:pPr>
              <w:jc w:val="center"/>
              <w:rPr>
                <w:sz w:val="22"/>
                <w:szCs w:val="22"/>
              </w:rPr>
            </w:pPr>
            <w:r>
              <w:rPr>
                <w:sz w:val="22"/>
                <w:szCs w:val="22"/>
              </w:rPr>
              <w:t>1.5</w:t>
            </w:r>
          </w:p>
        </w:tc>
        <w:tc>
          <w:tcPr>
            <w:tcW w:w="1781" w:type="dxa"/>
            <w:shd w:val="clear" w:color="auto" w:fill="auto"/>
            <w:vAlign w:val="center"/>
          </w:tcPr>
          <w:p w:rsidR="00D22A0C" w:rsidRPr="00583461" w:rsidRDefault="00D22A0C" w:rsidP="00D22A0C">
            <w:pPr>
              <w:jc w:val="center"/>
              <w:rPr>
                <w:sz w:val="22"/>
                <w:szCs w:val="22"/>
              </w:rPr>
            </w:pPr>
            <w:r w:rsidRPr="00583461">
              <w:rPr>
                <w:sz w:val="22"/>
                <w:szCs w:val="22"/>
              </w:rPr>
              <w:t>4</w:t>
            </w:r>
          </w:p>
        </w:tc>
        <w:tc>
          <w:tcPr>
            <w:tcW w:w="1653" w:type="dxa"/>
            <w:vAlign w:val="center"/>
          </w:tcPr>
          <w:p w:rsidR="00D22A0C" w:rsidRPr="00583461" w:rsidRDefault="00A70D76" w:rsidP="00D22A0C">
            <w:pPr>
              <w:jc w:val="center"/>
              <w:rPr>
                <w:sz w:val="22"/>
                <w:szCs w:val="22"/>
              </w:rPr>
            </w:pPr>
            <w:r>
              <w:rPr>
                <w:sz w:val="22"/>
                <w:szCs w:val="22"/>
              </w:rPr>
              <w:t>69</w:t>
            </w:r>
            <w:r w:rsidR="0026566A" w:rsidRPr="00583461">
              <w:rPr>
                <w:sz w:val="22"/>
                <w:szCs w:val="22"/>
              </w:rPr>
              <w:t>2</w:t>
            </w:r>
          </w:p>
        </w:tc>
        <w:tc>
          <w:tcPr>
            <w:tcW w:w="1781" w:type="dxa"/>
            <w:shd w:val="clear" w:color="auto" w:fill="auto"/>
            <w:vAlign w:val="center"/>
          </w:tcPr>
          <w:p w:rsidR="00D22A0C" w:rsidRPr="00583461" w:rsidRDefault="0051104B" w:rsidP="00A70D76">
            <w:pPr>
              <w:jc w:val="center"/>
              <w:rPr>
                <w:sz w:val="22"/>
                <w:szCs w:val="22"/>
              </w:rPr>
            </w:pPr>
            <w:r>
              <w:rPr>
                <w:sz w:val="22"/>
                <w:szCs w:val="22"/>
              </w:rPr>
              <w:t>1038</w:t>
            </w:r>
          </w:p>
        </w:tc>
      </w:tr>
    </w:tbl>
    <w:p w:rsidR="002E2F34" w:rsidRPr="00583461"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583461"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583461"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583461"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583461"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583461"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583461"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E2F34" w:rsidRPr="00583461" w:rsidRDefault="002E2F34"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A26938" w:rsidRPr="00583461" w:rsidRDefault="00A26938"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583461">
        <w:rPr>
          <w:szCs w:val="24"/>
        </w:rPr>
        <w:t xml:space="preserve">The </w:t>
      </w:r>
      <w:r w:rsidR="00F44951" w:rsidRPr="00583461">
        <w:rPr>
          <w:szCs w:val="24"/>
        </w:rPr>
        <w:t xml:space="preserve">total annual </w:t>
      </w:r>
      <w:r w:rsidRPr="00583461">
        <w:rPr>
          <w:szCs w:val="24"/>
        </w:rPr>
        <w:t xml:space="preserve">cost </w:t>
      </w:r>
      <w:r w:rsidR="00F44951" w:rsidRPr="00583461">
        <w:rPr>
          <w:szCs w:val="24"/>
        </w:rPr>
        <w:t xml:space="preserve">of </w:t>
      </w:r>
      <w:r w:rsidRPr="00583461">
        <w:rPr>
          <w:szCs w:val="24"/>
        </w:rPr>
        <w:t xml:space="preserve">the </w:t>
      </w:r>
      <w:r w:rsidR="00F44951" w:rsidRPr="00583461">
        <w:rPr>
          <w:szCs w:val="24"/>
        </w:rPr>
        <w:t xml:space="preserve">surveys </w:t>
      </w:r>
      <w:r w:rsidRPr="00583461">
        <w:rPr>
          <w:szCs w:val="24"/>
        </w:rPr>
        <w:t>is estimated to be $</w:t>
      </w:r>
      <w:r w:rsidR="0051104B">
        <w:rPr>
          <w:szCs w:val="24"/>
        </w:rPr>
        <w:t>70,314</w:t>
      </w:r>
      <w:r w:rsidR="00137EE1" w:rsidRPr="00583461">
        <w:rPr>
          <w:szCs w:val="24"/>
        </w:rPr>
        <w:t xml:space="preserve"> (</w:t>
      </w:r>
      <w:r w:rsidRPr="00583461">
        <w:rPr>
          <w:szCs w:val="24"/>
        </w:rPr>
        <w:t>burden hours times $</w:t>
      </w:r>
      <w:r w:rsidR="00CE7B46" w:rsidRPr="00583461">
        <w:rPr>
          <w:szCs w:val="24"/>
        </w:rPr>
        <w:t>6</w:t>
      </w:r>
      <w:r w:rsidR="00C32910">
        <w:rPr>
          <w:szCs w:val="24"/>
        </w:rPr>
        <w:t>7</w:t>
      </w:r>
      <w:r w:rsidR="00CE7B46" w:rsidRPr="00583461">
        <w:rPr>
          <w:szCs w:val="24"/>
        </w:rPr>
        <w:t>.</w:t>
      </w:r>
      <w:r w:rsidR="00C32910">
        <w:rPr>
          <w:szCs w:val="24"/>
        </w:rPr>
        <w:t>74</w:t>
      </w:r>
      <w:r w:rsidRPr="00583461">
        <w:rPr>
          <w:szCs w:val="24"/>
        </w:rPr>
        <w:t xml:space="preserve"> per hour).  An average cost per hour of $</w:t>
      </w:r>
      <w:r w:rsidR="002E2F34" w:rsidRPr="00583461">
        <w:rPr>
          <w:szCs w:val="24"/>
        </w:rPr>
        <w:t>6</w:t>
      </w:r>
      <w:r w:rsidR="00C32910">
        <w:rPr>
          <w:szCs w:val="24"/>
        </w:rPr>
        <w:t>7</w:t>
      </w:r>
      <w:r w:rsidR="002E2F34" w:rsidRPr="00583461">
        <w:rPr>
          <w:szCs w:val="24"/>
        </w:rPr>
        <w:t>.</w:t>
      </w:r>
      <w:r w:rsidR="00C32910">
        <w:rPr>
          <w:szCs w:val="24"/>
        </w:rPr>
        <w:t>74</w:t>
      </w:r>
      <w:r w:rsidRPr="00583461">
        <w:rPr>
          <w:szCs w:val="24"/>
        </w:rPr>
        <w:t xml:space="preserve"> is used because that is the average loaded (salar</w:t>
      </w:r>
      <w:r w:rsidR="00A83F73" w:rsidRPr="00583461">
        <w:rPr>
          <w:szCs w:val="24"/>
        </w:rPr>
        <w:t xml:space="preserve">y plus benefits) cost for an </w:t>
      </w:r>
      <w:r w:rsidR="00CE7B46" w:rsidRPr="00583461">
        <w:rPr>
          <w:szCs w:val="24"/>
        </w:rPr>
        <w:t xml:space="preserve">EIA </w:t>
      </w:r>
      <w:r w:rsidRPr="00583461">
        <w:rPr>
          <w:szCs w:val="24"/>
        </w:rPr>
        <w:t xml:space="preserve">employee.  </w:t>
      </w:r>
      <w:r w:rsidR="00CE7B46" w:rsidRPr="00583461">
        <w:rPr>
          <w:szCs w:val="24"/>
        </w:rPr>
        <w:t xml:space="preserve">EIA </w:t>
      </w:r>
      <w:r w:rsidRPr="00583461">
        <w:rPr>
          <w:szCs w:val="24"/>
        </w:rPr>
        <w:t xml:space="preserve">assumes that the survey respondent workforce completing surveys is comparable with the </w:t>
      </w:r>
      <w:r w:rsidR="00CE7B46" w:rsidRPr="00583461">
        <w:rPr>
          <w:szCs w:val="24"/>
        </w:rPr>
        <w:t xml:space="preserve">EIA </w:t>
      </w:r>
      <w:r w:rsidRPr="00583461">
        <w:rPr>
          <w:szCs w:val="24"/>
        </w:rPr>
        <w:t xml:space="preserve">workforce. </w:t>
      </w:r>
    </w:p>
    <w:p w:rsidR="00A26938" w:rsidRPr="00583461" w:rsidRDefault="00A26938" w:rsidP="00A26938">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091706" w:rsidRPr="00583461" w:rsidRDefault="00091706" w:rsidP="005460C5">
      <w:pPr>
        <w:pStyle w:val="Heading3"/>
        <w:rPr>
          <w:szCs w:val="24"/>
        </w:rPr>
      </w:pPr>
    </w:p>
    <w:p w:rsidR="00531573" w:rsidRPr="00583461" w:rsidRDefault="00531573" w:rsidP="005460C5">
      <w:pPr>
        <w:pStyle w:val="Heading3"/>
        <w:rPr>
          <w:szCs w:val="24"/>
        </w:rPr>
      </w:pPr>
      <w:bookmarkStart w:id="94" w:name="_Toc318697085"/>
      <w:r w:rsidRPr="00583461">
        <w:rPr>
          <w:szCs w:val="24"/>
        </w:rPr>
        <w:t>A.13. Annual Reporting and Record Keeping Cost</w:t>
      </w:r>
      <w:bookmarkEnd w:id="94"/>
    </w:p>
    <w:p w:rsidR="00531573" w:rsidRPr="00583461" w:rsidRDefault="00531573" w:rsidP="0053157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A13C1E" w:rsidRPr="00A13C1E" w:rsidRDefault="00531573" w:rsidP="00A13C1E">
      <w:pPr>
        <w:rPr>
          <w:color w:val="000000"/>
          <w:sz w:val="24"/>
          <w:szCs w:val="24"/>
        </w:rPr>
      </w:pPr>
      <w:r w:rsidRPr="00A13C1E">
        <w:rPr>
          <w:sz w:val="24"/>
          <w:szCs w:val="24"/>
        </w:rPr>
        <w:t xml:space="preserve">There are </w:t>
      </w:r>
      <w:r w:rsidR="00C93FC0" w:rsidRPr="00A13C1E">
        <w:rPr>
          <w:sz w:val="24"/>
          <w:szCs w:val="24"/>
        </w:rPr>
        <w:t xml:space="preserve">no additional </w:t>
      </w:r>
      <w:r w:rsidRPr="00A13C1E">
        <w:rPr>
          <w:sz w:val="24"/>
          <w:szCs w:val="24"/>
        </w:rPr>
        <w:t xml:space="preserve">capital and start-up cost components or operations and maintenance associated with this data collection effort that is being funded by </w:t>
      </w:r>
      <w:r w:rsidR="000F000B" w:rsidRPr="00A13C1E">
        <w:rPr>
          <w:sz w:val="24"/>
          <w:szCs w:val="24"/>
        </w:rPr>
        <w:t>the EIA</w:t>
      </w:r>
      <w:r w:rsidRPr="00A13C1E">
        <w:rPr>
          <w:sz w:val="24"/>
          <w:szCs w:val="24"/>
        </w:rPr>
        <w:t>.  The information is maintained in the normal course of business.  Therefore, other than the cost of burden hours, there are no additional costs for generating, maintaining, and providing the information.</w:t>
      </w:r>
      <w:r w:rsidR="00A13C1E">
        <w:rPr>
          <w:szCs w:val="24"/>
        </w:rPr>
        <w:t xml:space="preserve">  </w:t>
      </w:r>
      <w:r w:rsidR="00217934" w:rsidRPr="00026153">
        <w:rPr>
          <w:sz w:val="24"/>
          <w:szCs w:val="24"/>
        </w:rPr>
        <w:t xml:space="preserve">EIA’s </w:t>
      </w:r>
      <w:r w:rsidR="00217934" w:rsidRPr="00026153">
        <w:rPr>
          <w:sz w:val="24"/>
          <w:szCs w:val="24"/>
        </w:rPr>
        <w:lastRenderedPageBreak/>
        <w:t xml:space="preserve">expectation is that the </w:t>
      </w:r>
      <w:r w:rsidR="00D214A0">
        <w:rPr>
          <w:color w:val="000000"/>
          <w:sz w:val="24"/>
          <w:szCs w:val="24"/>
        </w:rPr>
        <w:t xml:space="preserve">use of electronic data collection, including features such as </w:t>
      </w:r>
      <w:r w:rsidR="00093EF0">
        <w:rPr>
          <w:color w:val="000000"/>
          <w:sz w:val="24"/>
          <w:szCs w:val="24"/>
        </w:rPr>
        <w:t>pick-</w:t>
      </w:r>
      <w:r w:rsidR="00D214A0">
        <w:rPr>
          <w:color w:val="000000"/>
          <w:sz w:val="24"/>
          <w:szCs w:val="24"/>
        </w:rPr>
        <w:t xml:space="preserve">lists (see A.3., above) will help minimize the burden on respondents.  In addition, by improving data quality these features will reduce the need for respondents to </w:t>
      </w:r>
      <w:r w:rsidR="00A13C1E">
        <w:rPr>
          <w:color w:val="000000"/>
          <w:sz w:val="24"/>
          <w:szCs w:val="24"/>
        </w:rPr>
        <w:t xml:space="preserve">spend time </w:t>
      </w:r>
      <w:r w:rsidR="00D214A0">
        <w:rPr>
          <w:color w:val="000000"/>
          <w:sz w:val="24"/>
          <w:szCs w:val="24"/>
        </w:rPr>
        <w:t>resolv</w:t>
      </w:r>
      <w:r w:rsidR="00A13C1E">
        <w:rPr>
          <w:color w:val="000000"/>
          <w:sz w:val="24"/>
          <w:szCs w:val="24"/>
        </w:rPr>
        <w:t>ing</w:t>
      </w:r>
      <w:r w:rsidR="00D214A0">
        <w:rPr>
          <w:color w:val="000000"/>
          <w:sz w:val="24"/>
          <w:szCs w:val="24"/>
        </w:rPr>
        <w:t xml:space="preserve"> data errors with EIA.</w:t>
      </w:r>
    </w:p>
    <w:p w:rsidR="00531573" w:rsidRPr="00583461" w:rsidRDefault="00531573" w:rsidP="0053157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531573" w:rsidRPr="00583461" w:rsidRDefault="00531573" w:rsidP="0053157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207CE3" w:rsidRPr="00583461" w:rsidRDefault="00207CE3" w:rsidP="0053157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531573" w:rsidRPr="00583461" w:rsidRDefault="00531573" w:rsidP="005460C5">
      <w:pPr>
        <w:pStyle w:val="Heading3"/>
        <w:rPr>
          <w:szCs w:val="24"/>
        </w:rPr>
      </w:pPr>
      <w:bookmarkStart w:id="95" w:name="_Toc524334503"/>
      <w:bookmarkStart w:id="96" w:name="_Toc524334585"/>
      <w:bookmarkStart w:id="97" w:name="_Toc524334732"/>
      <w:bookmarkStart w:id="98" w:name="_Toc524334925"/>
      <w:bookmarkStart w:id="99" w:name="_Toc318697086"/>
      <w:r w:rsidRPr="00583461">
        <w:rPr>
          <w:szCs w:val="24"/>
        </w:rPr>
        <w:t>A.14. Annual Cost to the Federal Government</w:t>
      </w:r>
      <w:bookmarkEnd w:id="95"/>
      <w:bookmarkEnd w:id="96"/>
      <w:bookmarkEnd w:id="97"/>
      <w:bookmarkEnd w:id="98"/>
      <w:bookmarkEnd w:id="99"/>
    </w:p>
    <w:p w:rsidR="00B5569E" w:rsidRPr="00583461" w:rsidRDefault="00B5569E" w:rsidP="00B5569E"/>
    <w:p w:rsidR="00531573" w:rsidRDefault="00531573" w:rsidP="00B5569E">
      <w:pPr>
        <w:rPr>
          <w:sz w:val="24"/>
          <w:szCs w:val="24"/>
        </w:rPr>
      </w:pPr>
      <w:r w:rsidRPr="00583461">
        <w:rPr>
          <w:sz w:val="24"/>
          <w:szCs w:val="24"/>
        </w:rPr>
        <w:t xml:space="preserve">The annual cost is estimated at </w:t>
      </w:r>
      <w:r w:rsidR="00023429" w:rsidRPr="00583461">
        <w:rPr>
          <w:sz w:val="24"/>
          <w:szCs w:val="24"/>
        </w:rPr>
        <w:t>$114,000</w:t>
      </w:r>
      <w:r w:rsidRPr="00583461">
        <w:rPr>
          <w:sz w:val="24"/>
          <w:szCs w:val="24"/>
        </w:rPr>
        <w:t xml:space="preserve"> in FY 201</w:t>
      </w:r>
      <w:r w:rsidR="00340D11" w:rsidRPr="00583461">
        <w:rPr>
          <w:sz w:val="24"/>
          <w:szCs w:val="24"/>
        </w:rPr>
        <w:t>1</w:t>
      </w:r>
      <w:r w:rsidRPr="00583461">
        <w:rPr>
          <w:sz w:val="24"/>
          <w:szCs w:val="24"/>
        </w:rPr>
        <w:t xml:space="preserve">.  </w:t>
      </w:r>
      <w:r w:rsidR="007D3B12">
        <w:rPr>
          <w:sz w:val="24"/>
          <w:szCs w:val="24"/>
        </w:rPr>
        <w:t xml:space="preserve">This </w:t>
      </w:r>
      <w:r w:rsidR="00074EA7">
        <w:rPr>
          <w:sz w:val="24"/>
          <w:szCs w:val="24"/>
        </w:rPr>
        <w:t xml:space="preserve">cost </w:t>
      </w:r>
      <w:r w:rsidR="007D3B12">
        <w:rPr>
          <w:sz w:val="24"/>
          <w:szCs w:val="24"/>
        </w:rPr>
        <w:t xml:space="preserve">estimate includes </w:t>
      </w:r>
      <w:r w:rsidR="007D3B12" w:rsidRPr="00583461">
        <w:rPr>
          <w:sz w:val="24"/>
          <w:szCs w:val="24"/>
        </w:rPr>
        <w:t>personnel, maintenance, collection, and processing by EIA</w:t>
      </w:r>
      <w:r w:rsidR="007D3B12">
        <w:rPr>
          <w:sz w:val="24"/>
          <w:szCs w:val="24"/>
        </w:rPr>
        <w:t xml:space="preserve">. </w:t>
      </w:r>
      <w:r w:rsidR="007D3B12" w:rsidRPr="00583461">
        <w:rPr>
          <w:sz w:val="24"/>
          <w:szCs w:val="24"/>
        </w:rPr>
        <w:t xml:space="preserve"> </w:t>
      </w:r>
      <w:r w:rsidRPr="00583461">
        <w:rPr>
          <w:sz w:val="24"/>
          <w:szCs w:val="24"/>
        </w:rPr>
        <w:t xml:space="preserve">Regulatory analysis and support are outside </w:t>
      </w:r>
      <w:r w:rsidR="003C08F8" w:rsidRPr="00583461">
        <w:rPr>
          <w:sz w:val="24"/>
          <w:szCs w:val="24"/>
        </w:rPr>
        <w:t>the scope of this survey.</w:t>
      </w:r>
    </w:p>
    <w:p w:rsidR="00A51914" w:rsidRDefault="00A51914" w:rsidP="00B5569E">
      <w:pPr>
        <w:rPr>
          <w:sz w:val="24"/>
          <w:szCs w:val="24"/>
        </w:rPr>
      </w:pPr>
    </w:p>
    <w:p w:rsidR="00DD50F6" w:rsidRPr="00A51914" w:rsidRDefault="00DD50F6" w:rsidP="00DD50F6">
      <w:pPr>
        <w:rPr>
          <w:sz w:val="24"/>
          <w:szCs w:val="24"/>
        </w:rPr>
      </w:pPr>
      <w:r w:rsidRPr="00DD50F6">
        <w:rPr>
          <w:sz w:val="24"/>
        </w:rPr>
        <w:t>The estimate of $114,000 is 80% of one full time equivalent (FTE) EIA employee.</w:t>
      </w:r>
      <w:r w:rsidRPr="00DD50F6">
        <w:rPr>
          <w:rStyle w:val="FootnoteReference"/>
          <w:sz w:val="24"/>
        </w:rPr>
        <w:footnoteReference w:id="6"/>
      </w:r>
      <w:r w:rsidRPr="00DD50F6">
        <w:rPr>
          <w:sz w:val="24"/>
        </w:rPr>
        <w:t xml:space="preserve">  The 80% assumption is based on experience with the prior OE-781R survey and other EIA electricity surveys, the anticipated frame size of about 1</w:t>
      </w:r>
      <w:r w:rsidR="002A1279">
        <w:rPr>
          <w:sz w:val="24"/>
        </w:rPr>
        <w:t>73</w:t>
      </w:r>
      <w:r w:rsidRPr="00DD50F6">
        <w:rPr>
          <w:sz w:val="24"/>
        </w:rPr>
        <w:t xml:space="preserve"> respondents, and the frequency of data collection.  </w:t>
      </w:r>
      <w:r>
        <w:rPr>
          <w:sz w:val="24"/>
        </w:rPr>
        <w:t xml:space="preserve">(In comparison, </w:t>
      </w:r>
      <w:r w:rsidRPr="00DD50F6">
        <w:rPr>
          <w:sz w:val="24"/>
        </w:rPr>
        <w:t>the prior OE-781R survey required most of an EIA FTE plus two full-time contractors.</w:t>
      </w:r>
      <w:r>
        <w:rPr>
          <w:sz w:val="24"/>
        </w:rPr>
        <w:t>)</w:t>
      </w:r>
      <w:r w:rsidR="00A13C1E">
        <w:rPr>
          <w:sz w:val="24"/>
        </w:rPr>
        <w:t xml:space="preserve"> The estimate also reflects the expected benefits from the use of electronic data </w:t>
      </w:r>
      <w:proofErr w:type="gramStart"/>
      <w:r w:rsidR="00A13C1E">
        <w:rPr>
          <w:sz w:val="24"/>
        </w:rPr>
        <w:t>collection,</w:t>
      </w:r>
      <w:proofErr w:type="gramEnd"/>
      <w:r w:rsidR="00907BC2">
        <w:rPr>
          <w:sz w:val="24"/>
        </w:rPr>
        <w:t xml:space="preserve"> </w:t>
      </w:r>
      <w:r w:rsidR="00A13C1E" w:rsidRPr="00A13C1E">
        <w:rPr>
          <w:color w:val="000000"/>
          <w:sz w:val="24"/>
          <w:szCs w:val="24"/>
        </w:rPr>
        <w:t xml:space="preserve">including features such as </w:t>
      </w:r>
      <w:r w:rsidR="00093EF0">
        <w:rPr>
          <w:color w:val="000000"/>
          <w:sz w:val="24"/>
          <w:szCs w:val="24"/>
        </w:rPr>
        <w:t>pick-</w:t>
      </w:r>
      <w:r w:rsidR="00A13C1E" w:rsidRPr="00A13C1E">
        <w:rPr>
          <w:color w:val="000000"/>
          <w:sz w:val="24"/>
          <w:szCs w:val="24"/>
        </w:rPr>
        <w:t>lists (see A.3., above)</w:t>
      </w:r>
      <w:r w:rsidR="00A13C1E">
        <w:rPr>
          <w:color w:val="000000"/>
          <w:sz w:val="24"/>
          <w:szCs w:val="24"/>
        </w:rPr>
        <w:t>.  The internet data collection systems have, in EIA’s experience, improved the speed and quality of data submissions</w:t>
      </w:r>
      <w:r w:rsidR="00907BC2">
        <w:rPr>
          <w:color w:val="000000"/>
          <w:sz w:val="24"/>
          <w:szCs w:val="24"/>
        </w:rPr>
        <w:t xml:space="preserve"> and reduced the number of personnel needed to operate a survey.</w:t>
      </w:r>
      <w:r w:rsidR="00A13C1E" w:rsidRPr="00A13C1E">
        <w:rPr>
          <w:color w:val="000000"/>
          <w:sz w:val="24"/>
          <w:szCs w:val="24"/>
        </w:rPr>
        <w:t xml:space="preserve"> </w:t>
      </w:r>
      <w:r w:rsidR="00A13C1E">
        <w:rPr>
          <w:sz w:val="24"/>
        </w:rPr>
        <w:t xml:space="preserve"> </w:t>
      </w:r>
    </w:p>
    <w:p w:rsidR="008F6533" w:rsidRPr="00583461" w:rsidRDefault="008F6533" w:rsidP="008F6533"/>
    <w:p w:rsidR="00BE57DC" w:rsidRDefault="00BE57DC" w:rsidP="008F6533"/>
    <w:p w:rsidR="00531573" w:rsidRPr="00583461" w:rsidRDefault="00531573" w:rsidP="005460C5">
      <w:pPr>
        <w:pStyle w:val="Heading3"/>
        <w:rPr>
          <w:szCs w:val="24"/>
        </w:rPr>
      </w:pPr>
      <w:bookmarkStart w:id="100" w:name="_Toc309722617"/>
      <w:bookmarkStart w:id="101" w:name="_Toc318697087"/>
      <w:r w:rsidRPr="00583461">
        <w:rPr>
          <w:szCs w:val="24"/>
        </w:rPr>
        <w:t>A.15. Changes in Burden</w:t>
      </w:r>
      <w:bookmarkEnd w:id="100"/>
      <w:bookmarkEnd w:id="101"/>
    </w:p>
    <w:p w:rsidR="00531573" w:rsidRPr="00583461" w:rsidRDefault="00531573" w:rsidP="0053157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p>
    <w:p w:rsidR="00FD6804" w:rsidRDefault="00531573" w:rsidP="002E2F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rPr>
        <w:t xml:space="preserve">The </w:t>
      </w:r>
      <w:r w:rsidR="002E2F34" w:rsidRPr="00583461">
        <w:rPr>
          <w:sz w:val="24"/>
          <w:szCs w:val="24"/>
        </w:rPr>
        <w:t xml:space="preserve">total </w:t>
      </w:r>
      <w:r w:rsidR="000103BE" w:rsidRPr="00583461">
        <w:rPr>
          <w:sz w:val="24"/>
          <w:szCs w:val="24"/>
        </w:rPr>
        <w:t xml:space="preserve">annual </w:t>
      </w:r>
      <w:r w:rsidR="00E32942" w:rsidRPr="00583461">
        <w:rPr>
          <w:sz w:val="24"/>
          <w:szCs w:val="24"/>
        </w:rPr>
        <w:t xml:space="preserve">burden for the proposed Form EIA-111 is </w:t>
      </w:r>
      <w:r w:rsidR="00B7740A">
        <w:rPr>
          <w:sz w:val="24"/>
          <w:szCs w:val="24"/>
        </w:rPr>
        <w:t>1038</w:t>
      </w:r>
      <w:r w:rsidR="000103BE" w:rsidRPr="00583461">
        <w:rPr>
          <w:sz w:val="24"/>
          <w:szCs w:val="24"/>
        </w:rPr>
        <w:t xml:space="preserve"> hours</w:t>
      </w:r>
      <w:r w:rsidR="00204981" w:rsidRPr="00583461">
        <w:rPr>
          <w:sz w:val="24"/>
          <w:szCs w:val="24"/>
        </w:rPr>
        <w:t xml:space="preserve"> (OMB Number 190</w:t>
      </w:r>
      <w:r w:rsidR="00912BB5" w:rsidRPr="00583461">
        <w:rPr>
          <w:sz w:val="24"/>
          <w:szCs w:val="24"/>
        </w:rPr>
        <w:t>5</w:t>
      </w:r>
      <w:r w:rsidR="00204981" w:rsidRPr="00583461">
        <w:rPr>
          <w:sz w:val="24"/>
          <w:szCs w:val="24"/>
        </w:rPr>
        <w:t xml:space="preserve">-NEW).  The proposed burden </w:t>
      </w:r>
      <w:r w:rsidR="00B7740A">
        <w:rPr>
          <w:sz w:val="24"/>
          <w:szCs w:val="24"/>
        </w:rPr>
        <w:t>per response</w:t>
      </w:r>
      <w:r w:rsidR="00204981" w:rsidRPr="00583461">
        <w:rPr>
          <w:sz w:val="24"/>
          <w:szCs w:val="24"/>
        </w:rPr>
        <w:t xml:space="preserve"> is </w:t>
      </w:r>
      <w:r w:rsidR="00B7740A">
        <w:rPr>
          <w:sz w:val="24"/>
          <w:szCs w:val="24"/>
        </w:rPr>
        <w:t>1.5</w:t>
      </w:r>
      <w:r w:rsidR="00204981" w:rsidRPr="00583461">
        <w:rPr>
          <w:sz w:val="24"/>
          <w:szCs w:val="24"/>
        </w:rPr>
        <w:t xml:space="preserve"> hours</w:t>
      </w:r>
      <w:r w:rsidR="000103BE" w:rsidRPr="00583461">
        <w:rPr>
          <w:sz w:val="24"/>
          <w:szCs w:val="24"/>
        </w:rPr>
        <w:t>, a</w:t>
      </w:r>
      <w:r w:rsidR="00B7740A">
        <w:rPr>
          <w:sz w:val="24"/>
          <w:szCs w:val="24"/>
        </w:rPr>
        <w:t>n</w:t>
      </w:r>
      <w:r w:rsidR="000103BE" w:rsidRPr="00583461">
        <w:rPr>
          <w:sz w:val="24"/>
          <w:szCs w:val="24"/>
        </w:rPr>
        <w:t xml:space="preserve"> </w:t>
      </w:r>
      <w:r w:rsidR="00B7740A">
        <w:rPr>
          <w:sz w:val="24"/>
          <w:szCs w:val="24"/>
        </w:rPr>
        <w:t>increase</w:t>
      </w:r>
      <w:r w:rsidR="00B7740A" w:rsidRPr="00583461">
        <w:rPr>
          <w:sz w:val="24"/>
          <w:szCs w:val="24"/>
        </w:rPr>
        <w:t xml:space="preserve"> </w:t>
      </w:r>
      <w:r w:rsidR="000103BE" w:rsidRPr="00583461">
        <w:rPr>
          <w:sz w:val="24"/>
          <w:szCs w:val="24"/>
        </w:rPr>
        <w:t xml:space="preserve">of </w:t>
      </w:r>
      <w:r w:rsidR="00B7740A">
        <w:rPr>
          <w:sz w:val="24"/>
          <w:szCs w:val="24"/>
        </w:rPr>
        <w:t>0.85</w:t>
      </w:r>
      <w:r w:rsidR="000103BE" w:rsidRPr="00583461">
        <w:rPr>
          <w:sz w:val="24"/>
          <w:szCs w:val="24"/>
        </w:rPr>
        <w:t xml:space="preserve"> hours compared with the </w:t>
      </w:r>
      <w:r w:rsidR="00E32942" w:rsidRPr="00583461">
        <w:rPr>
          <w:sz w:val="24"/>
          <w:szCs w:val="24"/>
        </w:rPr>
        <w:t>previous OE-781</w:t>
      </w:r>
      <w:r w:rsidR="00204981" w:rsidRPr="00583461">
        <w:rPr>
          <w:sz w:val="24"/>
          <w:szCs w:val="24"/>
        </w:rPr>
        <w:t>R</w:t>
      </w:r>
      <w:r w:rsidR="00E32942" w:rsidRPr="00583461">
        <w:rPr>
          <w:sz w:val="24"/>
          <w:szCs w:val="24"/>
        </w:rPr>
        <w:t xml:space="preserve"> survey form</w:t>
      </w:r>
      <w:r w:rsidR="00204981" w:rsidRPr="00583461">
        <w:rPr>
          <w:sz w:val="24"/>
          <w:szCs w:val="24"/>
        </w:rPr>
        <w:t xml:space="preserve">.  </w:t>
      </w:r>
      <w:bookmarkEnd w:id="88"/>
      <w:bookmarkEnd w:id="89"/>
      <w:bookmarkEnd w:id="90"/>
      <w:bookmarkEnd w:id="91"/>
      <w:r w:rsidR="00B7740A">
        <w:rPr>
          <w:sz w:val="24"/>
          <w:szCs w:val="24"/>
        </w:rPr>
        <w:t xml:space="preserve">However, since the form EIA-111 only needs to be filed quarterly while the Form OE-781R was filed monthly, the annual burden per respondent has dropped from 7.8 hours to 6.0 hours.  </w:t>
      </w:r>
      <w:r w:rsidR="007D3B12">
        <w:rPr>
          <w:sz w:val="24"/>
          <w:szCs w:val="24"/>
        </w:rPr>
        <w:t>We reduced respondent</w:t>
      </w:r>
      <w:r w:rsidR="00CC4C13" w:rsidRPr="00583461">
        <w:rPr>
          <w:sz w:val="24"/>
          <w:szCs w:val="24"/>
        </w:rPr>
        <w:t xml:space="preserve"> burden </w:t>
      </w:r>
      <w:r w:rsidR="007D3B12">
        <w:rPr>
          <w:sz w:val="24"/>
          <w:szCs w:val="24"/>
        </w:rPr>
        <w:t>by eliminating</w:t>
      </w:r>
      <w:r w:rsidR="00DC20DB" w:rsidRPr="00583461">
        <w:rPr>
          <w:sz w:val="24"/>
          <w:szCs w:val="24"/>
        </w:rPr>
        <w:t xml:space="preserve"> several questions and </w:t>
      </w:r>
      <w:r w:rsidR="007D3B12">
        <w:rPr>
          <w:sz w:val="24"/>
          <w:szCs w:val="24"/>
        </w:rPr>
        <w:t xml:space="preserve">by </w:t>
      </w:r>
      <w:r w:rsidR="007D3B12" w:rsidRPr="00583461">
        <w:rPr>
          <w:sz w:val="24"/>
          <w:szCs w:val="24"/>
        </w:rPr>
        <w:t>remov</w:t>
      </w:r>
      <w:r w:rsidR="007D3B12">
        <w:rPr>
          <w:sz w:val="24"/>
          <w:szCs w:val="24"/>
        </w:rPr>
        <w:t>ing</w:t>
      </w:r>
      <w:r w:rsidR="007D3B12" w:rsidRPr="00583461">
        <w:rPr>
          <w:sz w:val="24"/>
          <w:szCs w:val="24"/>
        </w:rPr>
        <w:t xml:space="preserve"> </w:t>
      </w:r>
      <w:r w:rsidR="008135E4" w:rsidRPr="00583461">
        <w:rPr>
          <w:sz w:val="24"/>
          <w:szCs w:val="24"/>
        </w:rPr>
        <w:t>the need for an entity</w:t>
      </w:r>
      <w:r w:rsidR="00037410" w:rsidRPr="00583461">
        <w:rPr>
          <w:sz w:val="24"/>
          <w:szCs w:val="24"/>
        </w:rPr>
        <w:t xml:space="preserve"> </w:t>
      </w:r>
      <w:r w:rsidR="008135E4" w:rsidRPr="00583461">
        <w:rPr>
          <w:sz w:val="24"/>
          <w:szCs w:val="24"/>
        </w:rPr>
        <w:t>to report multiple times</w:t>
      </w:r>
      <w:r w:rsidR="0051664F" w:rsidRPr="00583461">
        <w:rPr>
          <w:sz w:val="24"/>
          <w:szCs w:val="24"/>
        </w:rPr>
        <w:t xml:space="preserve">.  </w:t>
      </w:r>
      <w:r w:rsidR="00023429" w:rsidRPr="00583461">
        <w:rPr>
          <w:sz w:val="24"/>
          <w:szCs w:val="24"/>
        </w:rPr>
        <w:t>The</w:t>
      </w:r>
      <w:r w:rsidR="0051664F" w:rsidRPr="00583461">
        <w:rPr>
          <w:sz w:val="24"/>
          <w:szCs w:val="24"/>
        </w:rPr>
        <w:t xml:space="preserve"> previous OE-781R</w:t>
      </w:r>
      <w:r w:rsidR="00023429" w:rsidRPr="00583461">
        <w:rPr>
          <w:sz w:val="24"/>
          <w:szCs w:val="24"/>
        </w:rPr>
        <w:t xml:space="preserve"> required</w:t>
      </w:r>
      <w:r w:rsidR="000D0283" w:rsidRPr="00583461">
        <w:rPr>
          <w:sz w:val="24"/>
          <w:szCs w:val="24"/>
        </w:rPr>
        <w:t xml:space="preserve"> </w:t>
      </w:r>
      <w:r w:rsidR="00023429" w:rsidRPr="00583461">
        <w:rPr>
          <w:sz w:val="24"/>
          <w:szCs w:val="24"/>
        </w:rPr>
        <w:t xml:space="preserve">entities to file by </w:t>
      </w:r>
      <w:r w:rsidR="00946414" w:rsidRPr="00583461">
        <w:rPr>
          <w:sz w:val="24"/>
          <w:szCs w:val="24"/>
        </w:rPr>
        <w:t>functional type</w:t>
      </w:r>
      <w:r w:rsidR="009B73F1" w:rsidRPr="00583461">
        <w:rPr>
          <w:sz w:val="24"/>
          <w:szCs w:val="24"/>
        </w:rPr>
        <w:t xml:space="preserve">; </w:t>
      </w:r>
      <w:r w:rsidR="0051664F" w:rsidRPr="00583461">
        <w:rPr>
          <w:sz w:val="24"/>
          <w:szCs w:val="24"/>
        </w:rPr>
        <w:t xml:space="preserve">therefore, </w:t>
      </w:r>
      <w:r w:rsidR="00023429" w:rsidRPr="00583461">
        <w:rPr>
          <w:sz w:val="24"/>
          <w:szCs w:val="24"/>
        </w:rPr>
        <w:t xml:space="preserve">entities with </w:t>
      </w:r>
      <w:r w:rsidR="009B73F1" w:rsidRPr="00583461">
        <w:rPr>
          <w:sz w:val="24"/>
          <w:szCs w:val="24"/>
        </w:rPr>
        <w:t>multiple</w:t>
      </w:r>
      <w:r w:rsidR="00DC20DB" w:rsidRPr="00583461">
        <w:rPr>
          <w:sz w:val="24"/>
          <w:szCs w:val="24"/>
        </w:rPr>
        <w:t xml:space="preserve"> </w:t>
      </w:r>
      <w:r w:rsidR="009B73F1" w:rsidRPr="00583461">
        <w:rPr>
          <w:sz w:val="24"/>
          <w:szCs w:val="24"/>
        </w:rPr>
        <w:t>functional types</w:t>
      </w:r>
      <w:r w:rsidR="00023429" w:rsidRPr="00583461">
        <w:rPr>
          <w:sz w:val="24"/>
          <w:szCs w:val="24"/>
        </w:rPr>
        <w:t xml:space="preserve"> </w:t>
      </w:r>
      <w:r w:rsidR="00DC20DB" w:rsidRPr="00583461">
        <w:rPr>
          <w:sz w:val="24"/>
          <w:szCs w:val="24"/>
        </w:rPr>
        <w:t>were required to file</w:t>
      </w:r>
      <w:r w:rsidR="0051664F" w:rsidRPr="00583461">
        <w:rPr>
          <w:sz w:val="24"/>
          <w:szCs w:val="24"/>
        </w:rPr>
        <w:t xml:space="preserve"> multiple times</w:t>
      </w:r>
      <w:r w:rsidR="00494F9C" w:rsidRPr="00583461">
        <w:rPr>
          <w:sz w:val="24"/>
          <w:szCs w:val="24"/>
        </w:rPr>
        <w:t xml:space="preserve">.  </w:t>
      </w:r>
      <w:r w:rsidR="00023429" w:rsidRPr="00583461">
        <w:rPr>
          <w:sz w:val="24"/>
          <w:szCs w:val="24"/>
        </w:rPr>
        <w:t xml:space="preserve">The </w:t>
      </w:r>
      <w:r w:rsidR="00494F9C" w:rsidRPr="00583461">
        <w:rPr>
          <w:sz w:val="24"/>
          <w:szCs w:val="24"/>
        </w:rPr>
        <w:t xml:space="preserve">EIA-111 </w:t>
      </w:r>
      <w:r w:rsidR="00023429" w:rsidRPr="00583461">
        <w:rPr>
          <w:sz w:val="24"/>
          <w:szCs w:val="24"/>
        </w:rPr>
        <w:t xml:space="preserve">does not </w:t>
      </w:r>
      <w:r w:rsidR="00494F9C" w:rsidRPr="00583461">
        <w:rPr>
          <w:sz w:val="24"/>
          <w:szCs w:val="24"/>
        </w:rPr>
        <w:t>require</w:t>
      </w:r>
      <w:r w:rsidR="00023429" w:rsidRPr="00583461">
        <w:rPr>
          <w:sz w:val="24"/>
          <w:szCs w:val="24"/>
        </w:rPr>
        <w:t xml:space="preserve"> filings by functional type.</w:t>
      </w:r>
      <w:r w:rsidR="00494F9C" w:rsidRPr="00583461">
        <w:rPr>
          <w:sz w:val="24"/>
          <w:szCs w:val="24"/>
        </w:rPr>
        <w:t xml:space="preserve"> </w:t>
      </w:r>
    </w:p>
    <w:p w:rsidR="00B7740A" w:rsidRDefault="00B7740A" w:rsidP="002E2F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B7740A" w:rsidRDefault="00B7740A" w:rsidP="00B7740A">
      <w:pPr>
        <w:rPr>
          <w:strike/>
          <w:sz w:val="24"/>
          <w:szCs w:val="24"/>
        </w:rPr>
      </w:pPr>
      <w:r>
        <w:rPr>
          <w:sz w:val="24"/>
          <w:szCs w:val="24"/>
        </w:rPr>
        <w:t xml:space="preserve">The OE-781R was cleared in 2009 with 247 respondents.   However, by the time OE-781R survey was discontinued, the frame consisted of 155 respondents.    The EIA-111 clearance anticipates about 173 respondents.  In both the OE-781R and the EIA-111, most of the respondents are holders of presidential permits and export authorizations from the Office of Electricity Delivery and Energy Reliability.  </w:t>
      </w:r>
    </w:p>
    <w:p w:rsidR="00B7740A" w:rsidRDefault="00B7740A" w:rsidP="00B7740A">
      <w:pPr>
        <w:rPr>
          <w:strike/>
          <w:sz w:val="24"/>
          <w:szCs w:val="24"/>
        </w:rPr>
      </w:pPr>
    </w:p>
    <w:p w:rsidR="00B7740A" w:rsidRDefault="00B7740A" w:rsidP="00B7740A">
      <w:pPr>
        <w:rPr>
          <w:sz w:val="24"/>
          <w:szCs w:val="24"/>
        </w:rPr>
      </w:pPr>
      <w:r>
        <w:rPr>
          <w:sz w:val="24"/>
          <w:szCs w:val="24"/>
        </w:rPr>
        <w:t xml:space="preserve">Changes to the respondent frame occur for criteria-based and for company-specific reasons.   Examples of criteria-based reasons include the issuance or retirement of presidential permits and export authorizations.  Examples of company-specific reasons include restructurings that either consolidate respondents or separate them.   Companies may create subsidiaries that manage the </w:t>
      </w:r>
      <w:r>
        <w:rPr>
          <w:sz w:val="24"/>
          <w:szCs w:val="24"/>
        </w:rPr>
        <w:lastRenderedPageBreak/>
        <w:t>operation of different presidential permits or export authorizations.  Alternatively, they may bring these subsidiaries back into a single reporting entity.  EIA encourages companies to align their reporting procedures with their company structures to facilitate the least burdensome and most accurate submittal of data.   The EIA-111 and OE-781R survey the same basic set of companies, but the OE-781R classified respondents by roles which created opportunities for redundancy and, in several cases, resulted in a single entity responding to the form multiple times as separate respondents.  The EIA-111 has each responding entity fill out the form as a unique respondent.</w:t>
      </w:r>
    </w:p>
    <w:p w:rsidR="00B7740A" w:rsidRDefault="00B7740A" w:rsidP="00B7740A">
      <w:pPr>
        <w:rPr>
          <w:sz w:val="24"/>
          <w:szCs w:val="24"/>
        </w:rPr>
      </w:pPr>
    </w:p>
    <w:p w:rsidR="00B7740A" w:rsidRDefault="00B7740A" w:rsidP="00B7740A">
      <w:pPr>
        <w:rPr>
          <w:sz w:val="24"/>
          <w:szCs w:val="24"/>
        </w:rPr>
      </w:pPr>
      <w:r>
        <w:rPr>
          <w:sz w:val="24"/>
          <w:szCs w:val="24"/>
        </w:rPr>
        <w:t xml:space="preserve">The EIA-111 requires the following entities to respond:  (1) entities importing power into the U.S., (2) entities with export authorizations exporting power out of the U.S.  (3) Organizations that have U.S. treaty obligations involving the exchange of power between the U.S. and Canada or Mexico, (4) U.S. Border Balancing Authorities that are directly interconnected with foreign electricity systems, and (5) Owners and operators of international electricity transmission lines authorized Presidential Permit.  </w:t>
      </w:r>
    </w:p>
    <w:p w:rsidR="00B7740A" w:rsidRDefault="00B7740A" w:rsidP="00B7740A">
      <w:pPr>
        <w:rPr>
          <w:sz w:val="24"/>
          <w:szCs w:val="24"/>
        </w:rPr>
      </w:pPr>
    </w:p>
    <w:p w:rsidR="00B7740A" w:rsidRDefault="00B7740A" w:rsidP="00B7740A">
      <w:pPr>
        <w:rPr>
          <w:sz w:val="24"/>
          <w:szCs w:val="24"/>
        </w:rPr>
      </w:pPr>
      <w:r>
        <w:rPr>
          <w:sz w:val="24"/>
          <w:szCs w:val="24"/>
        </w:rPr>
        <w:t>The OE-781R required the following entities to respond:  (1) Holders of Export Authorizations and Presidential Permits, (2) Transmission Operators engaged in international commerce, (3) Purchasing and Selling Entities engaged in international commerce, and (4)Transmission Owners engaged in international commerce.</w:t>
      </w:r>
    </w:p>
    <w:p w:rsidR="00B7740A" w:rsidRDefault="00B7740A" w:rsidP="00B7740A">
      <w:pPr>
        <w:rPr>
          <w:sz w:val="24"/>
          <w:szCs w:val="24"/>
        </w:rPr>
      </w:pPr>
    </w:p>
    <w:p w:rsidR="00B7740A" w:rsidRDefault="00B7740A" w:rsidP="00B7740A">
      <w:pPr>
        <w:rPr>
          <w:color w:val="1F497D"/>
          <w:sz w:val="22"/>
          <w:szCs w:val="22"/>
        </w:rPr>
      </w:pPr>
      <w:r>
        <w:rPr>
          <w:sz w:val="24"/>
          <w:szCs w:val="24"/>
        </w:rPr>
        <w:t xml:space="preserve">There is a significant, although not complete, overlap between the frames of OE-781R and the EIA-111.  The key distinction is that the EIA-111 </w:t>
      </w:r>
      <w:r w:rsidR="005F0ED7">
        <w:rPr>
          <w:sz w:val="24"/>
          <w:szCs w:val="24"/>
        </w:rPr>
        <w:t>requires</w:t>
      </w:r>
      <w:r>
        <w:rPr>
          <w:sz w:val="24"/>
          <w:szCs w:val="24"/>
        </w:rPr>
        <w:t xml:space="preserve"> PSEs that do not have export authorizations or presidential permits to provide data.  EIA estimates that there are 10 respondents that import electric power from Canada or Mexico without EAs or PPs, and were not included in the OE-781R frame.  The primary difference between the two survey frames is due to the changes in the industry participants during the time since the OE-781R was cleared.</w:t>
      </w:r>
    </w:p>
    <w:p w:rsidR="00B7740A" w:rsidRPr="00583461" w:rsidRDefault="00B7740A" w:rsidP="002E2F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204981" w:rsidRDefault="00204981" w:rsidP="00204981">
      <w:pPr>
        <w:rPr>
          <w:sz w:val="24"/>
          <w:szCs w:val="24"/>
        </w:rPr>
      </w:pPr>
    </w:p>
    <w:p w:rsidR="00A51914" w:rsidRDefault="00A51914" w:rsidP="005460C5">
      <w:pPr>
        <w:pStyle w:val="Heading3"/>
        <w:rPr>
          <w:szCs w:val="24"/>
        </w:rPr>
      </w:pPr>
      <w:bookmarkStart w:id="102" w:name="_Toc524334505"/>
      <w:bookmarkStart w:id="103" w:name="_Toc524334587"/>
      <w:bookmarkStart w:id="104" w:name="_Toc524334734"/>
      <w:bookmarkStart w:id="105" w:name="_Toc524334927"/>
      <w:bookmarkStart w:id="106" w:name="_Toc309722618"/>
      <w:bookmarkStart w:id="107" w:name="_Toc318697088"/>
    </w:p>
    <w:p w:rsidR="0001347C" w:rsidRPr="00583461" w:rsidRDefault="003510DA" w:rsidP="005460C5">
      <w:pPr>
        <w:pStyle w:val="Heading3"/>
        <w:rPr>
          <w:szCs w:val="24"/>
        </w:rPr>
      </w:pPr>
      <w:r w:rsidRPr="00583461">
        <w:rPr>
          <w:szCs w:val="24"/>
        </w:rPr>
        <w:t>A.16. Collection, Tabulation, and Publication Plans</w:t>
      </w:r>
      <w:bookmarkEnd w:id="102"/>
      <w:bookmarkEnd w:id="103"/>
      <w:bookmarkEnd w:id="104"/>
      <w:bookmarkEnd w:id="105"/>
      <w:bookmarkEnd w:id="106"/>
      <w:bookmarkEnd w:id="107"/>
    </w:p>
    <w:p w:rsidR="0001347C" w:rsidRPr="00583461"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01347C"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rPr>
        <w:t>The data collected on th</w:t>
      </w:r>
      <w:r w:rsidR="00FE38F3" w:rsidRPr="00583461">
        <w:rPr>
          <w:sz w:val="24"/>
          <w:szCs w:val="24"/>
        </w:rPr>
        <w:t>is form will be</w:t>
      </w:r>
      <w:r w:rsidRPr="00583461">
        <w:rPr>
          <w:sz w:val="24"/>
          <w:szCs w:val="24"/>
        </w:rPr>
        <w:t xml:space="preserve"> released in EIA reports and </w:t>
      </w:r>
      <w:r w:rsidR="00FE38F3" w:rsidRPr="00583461">
        <w:rPr>
          <w:sz w:val="24"/>
          <w:szCs w:val="24"/>
        </w:rPr>
        <w:t xml:space="preserve">they </w:t>
      </w:r>
      <w:r w:rsidR="006D0AF9" w:rsidRPr="00583461">
        <w:rPr>
          <w:sz w:val="24"/>
          <w:szCs w:val="24"/>
        </w:rPr>
        <w:t xml:space="preserve">will be made </w:t>
      </w:r>
      <w:r w:rsidRPr="00583461">
        <w:rPr>
          <w:sz w:val="24"/>
          <w:szCs w:val="24"/>
        </w:rPr>
        <w:t xml:space="preserve">available on </w:t>
      </w:r>
      <w:r w:rsidR="00D36722" w:rsidRPr="00583461">
        <w:rPr>
          <w:sz w:val="24"/>
          <w:szCs w:val="24"/>
        </w:rPr>
        <w:t xml:space="preserve">the </w:t>
      </w:r>
      <w:r w:rsidRPr="00583461">
        <w:rPr>
          <w:sz w:val="24"/>
          <w:szCs w:val="24"/>
        </w:rPr>
        <w:t xml:space="preserve">EIA website.  </w:t>
      </w:r>
    </w:p>
    <w:p w:rsidR="0051653D" w:rsidRDefault="0051653D"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51653D" w:rsidRDefault="0051653D"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51653D" w:rsidRPr="00583461" w:rsidRDefault="0051653D"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9B6EEE" w:rsidRPr="00583461" w:rsidRDefault="009B6EEE" w:rsidP="00946DF9">
      <w:pPr>
        <w:pStyle w:val="Caption"/>
        <w:rPr>
          <w:szCs w:val="24"/>
        </w:rPr>
      </w:pPr>
      <w:bookmarkStart w:id="108" w:name="_Toc524420604"/>
    </w:p>
    <w:bookmarkEnd w:id="108"/>
    <w:p w:rsidR="00FA25A3" w:rsidRPr="00583461" w:rsidRDefault="00FA25A3" w:rsidP="00FA25A3"/>
    <w:p w:rsidR="00C27A6F" w:rsidRPr="00583461" w:rsidRDefault="00C27A6F" w:rsidP="005460C5">
      <w:pPr>
        <w:pStyle w:val="Heading3"/>
        <w:rPr>
          <w:szCs w:val="24"/>
        </w:rPr>
      </w:pPr>
      <w:bookmarkStart w:id="109" w:name="_Toc524334506"/>
      <w:bookmarkStart w:id="110" w:name="_Toc524334588"/>
      <w:bookmarkStart w:id="111" w:name="_Toc524334735"/>
      <w:bookmarkStart w:id="112" w:name="_Toc524334928"/>
    </w:p>
    <w:p w:rsidR="006B58F3" w:rsidRPr="00583461" w:rsidRDefault="006B58F3" w:rsidP="005460C5">
      <w:pPr>
        <w:pStyle w:val="Heading3"/>
        <w:rPr>
          <w:szCs w:val="24"/>
        </w:rPr>
      </w:pPr>
    </w:p>
    <w:p w:rsidR="0001347C" w:rsidRPr="00583461" w:rsidRDefault="003510DA" w:rsidP="005460C5">
      <w:pPr>
        <w:pStyle w:val="Heading3"/>
        <w:rPr>
          <w:szCs w:val="24"/>
        </w:rPr>
      </w:pPr>
      <w:bookmarkStart w:id="113" w:name="_Toc318697089"/>
      <w:r w:rsidRPr="00583461">
        <w:rPr>
          <w:szCs w:val="24"/>
        </w:rPr>
        <w:t>A.17. OMB Number and Expiration Date</w:t>
      </w:r>
      <w:bookmarkEnd w:id="109"/>
      <w:bookmarkEnd w:id="110"/>
      <w:bookmarkEnd w:id="111"/>
      <w:bookmarkEnd w:id="112"/>
      <w:bookmarkEnd w:id="113"/>
    </w:p>
    <w:p w:rsidR="0001347C" w:rsidRPr="00583461"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230ABE" w:rsidRPr="00583461"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rPr>
        <w:t>The OMB number and expira</w:t>
      </w:r>
      <w:r w:rsidR="00087FF5" w:rsidRPr="00583461">
        <w:rPr>
          <w:sz w:val="24"/>
          <w:szCs w:val="24"/>
        </w:rPr>
        <w:t xml:space="preserve">tion date </w:t>
      </w:r>
      <w:r w:rsidR="004D75F8" w:rsidRPr="00583461">
        <w:rPr>
          <w:sz w:val="24"/>
          <w:szCs w:val="24"/>
        </w:rPr>
        <w:t xml:space="preserve">will be </w:t>
      </w:r>
      <w:r w:rsidR="00087FF5" w:rsidRPr="00583461">
        <w:rPr>
          <w:sz w:val="24"/>
          <w:szCs w:val="24"/>
        </w:rPr>
        <w:t xml:space="preserve">displayed on the </w:t>
      </w:r>
      <w:r w:rsidRPr="00583461">
        <w:rPr>
          <w:sz w:val="24"/>
          <w:szCs w:val="24"/>
        </w:rPr>
        <w:t xml:space="preserve">form. </w:t>
      </w:r>
      <w:r w:rsidR="004D75F8" w:rsidRPr="00583461">
        <w:rPr>
          <w:sz w:val="24"/>
          <w:szCs w:val="24"/>
        </w:rPr>
        <w:t>Currently, we have a place holder until we receive the approval from OMB (OMB Number 190</w:t>
      </w:r>
      <w:r w:rsidR="00912BB5" w:rsidRPr="00583461">
        <w:rPr>
          <w:sz w:val="24"/>
          <w:szCs w:val="24"/>
        </w:rPr>
        <w:t>5</w:t>
      </w:r>
      <w:r w:rsidR="004D75F8" w:rsidRPr="00583461">
        <w:rPr>
          <w:sz w:val="24"/>
          <w:szCs w:val="24"/>
        </w:rPr>
        <w:t>-NEW).</w:t>
      </w:r>
    </w:p>
    <w:p w:rsidR="00230ABE" w:rsidRPr="00583461" w:rsidRDefault="00230ABE"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5653D7" w:rsidRPr="00583461" w:rsidRDefault="005653D7" w:rsidP="005460C5">
      <w:pPr>
        <w:pStyle w:val="Heading3"/>
        <w:rPr>
          <w:szCs w:val="24"/>
        </w:rPr>
      </w:pPr>
      <w:bookmarkStart w:id="114" w:name="_Toc524334507"/>
      <w:bookmarkStart w:id="115" w:name="_Toc524334589"/>
      <w:bookmarkStart w:id="116" w:name="_Toc524334736"/>
      <w:bookmarkStart w:id="117" w:name="_Toc524334929"/>
    </w:p>
    <w:p w:rsidR="0001347C" w:rsidRPr="00583461" w:rsidRDefault="003510DA" w:rsidP="005460C5">
      <w:pPr>
        <w:pStyle w:val="Heading3"/>
        <w:rPr>
          <w:szCs w:val="24"/>
        </w:rPr>
      </w:pPr>
      <w:bookmarkStart w:id="118" w:name="_Toc318697090"/>
      <w:r w:rsidRPr="00583461">
        <w:rPr>
          <w:szCs w:val="24"/>
        </w:rPr>
        <w:t>A.18. Certification Statement</w:t>
      </w:r>
      <w:bookmarkEnd w:id="114"/>
      <w:bookmarkEnd w:id="115"/>
      <w:bookmarkEnd w:id="116"/>
      <w:bookmarkEnd w:id="117"/>
      <w:bookmarkEnd w:id="118"/>
    </w:p>
    <w:p w:rsidR="0001347C" w:rsidRPr="00583461" w:rsidRDefault="0001347C"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561F04" w:rsidRPr="00583461" w:rsidRDefault="003F3DC1" w:rsidP="00946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83461">
        <w:rPr>
          <w:sz w:val="24"/>
          <w:szCs w:val="24"/>
        </w:rPr>
        <w:t>This submission m</w:t>
      </w:r>
      <w:r w:rsidR="0001347C" w:rsidRPr="00583461">
        <w:rPr>
          <w:sz w:val="24"/>
          <w:szCs w:val="24"/>
        </w:rPr>
        <w:t xml:space="preserve">eets all certification requirements of the "Certification for Paperwork Reduction Act Submissions," </w:t>
      </w:r>
      <w:r w:rsidRPr="00583461">
        <w:rPr>
          <w:sz w:val="24"/>
          <w:szCs w:val="24"/>
        </w:rPr>
        <w:t>for</w:t>
      </w:r>
      <w:r w:rsidR="0001347C" w:rsidRPr="00583461">
        <w:rPr>
          <w:sz w:val="24"/>
          <w:szCs w:val="24"/>
        </w:rPr>
        <w:t xml:space="preserve"> OMB Form 83-</w:t>
      </w:r>
      <w:r w:rsidR="0064395B" w:rsidRPr="00583461">
        <w:rPr>
          <w:sz w:val="24"/>
          <w:szCs w:val="24"/>
        </w:rPr>
        <w:t>I.</w:t>
      </w:r>
    </w:p>
    <w:sectPr w:rsidR="00561F04" w:rsidRPr="00583461" w:rsidSect="00BB7593">
      <w:footerReference w:type="even" r:id="rId11"/>
      <w:footerReference w:type="default" r:id="rId12"/>
      <w:headerReference w:type="first" r:id="rId13"/>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153" w:rsidRDefault="00026153">
      <w:r>
        <w:separator/>
      </w:r>
    </w:p>
  </w:endnote>
  <w:endnote w:type="continuationSeparator" w:id="0">
    <w:p w:rsidR="00026153" w:rsidRDefault="000261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53" w:rsidRDefault="003D3A79" w:rsidP="00A357C5">
    <w:pPr>
      <w:pStyle w:val="Footer"/>
      <w:framePr w:wrap="around" w:vAnchor="text" w:hAnchor="margin" w:xAlign="right" w:y="1"/>
      <w:rPr>
        <w:rStyle w:val="PageNumber"/>
      </w:rPr>
    </w:pPr>
    <w:r>
      <w:rPr>
        <w:rStyle w:val="PageNumber"/>
      </w:rPr>
      <w:fldChar w:fldCharType="begin"/>
    </w:r>
    <w:r w:rsidR="00026153">
      <w:rPr>
        <w:rStyle w:val="PageNumber"/>
      </w:rPr>
      <w:instrText xml:space="preserve">PAGE  </w:instrText>
    </w:r>
    <w:r>
      <w:rPr>
        <w:rStyle w:val="PageNumber"/>
      </w:rPr>
      <w:fldChar w:fldCharType="end"/>
    </w:r>
  </w:p>
  <w:p w:rsidR="00026153" w:rsidRDefault="00026153" w:rsidP="00C722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53" w:rsidRDefault="00026153" w:rsidP="00DB6AE5">
    <w:pPr>
      <w:pStyle w:val="Footer"/>
      <w:tabs>
        <w:tab w:val="clear" w:pos="8640"/>
        <w:tab w:val="right" w:pos="7380"/>
      </w:tabs>
      <w:ind w:right="360"/>
      <w:jc w:val="center"/>
    </w:pPr>
    <w:r>
      <w:t>2012 “Quarterly Electricity Imports and Exports Report” Supporting Statement</w:t>
    </w:r>
  </w:p>
  <w:p w:rsidR="00026153" w:rsidRDefault="003D3A79" w:rsidP="00DB6AE5">
    <w:pPr>
      <w:pStyle w:val="Footer"/>
      <w:tabs>
        <w:tab w:val="clear" w:pos="8640"/>
        <w:tab w:val="right" w:pos="7380"/>
      </w:tabs>
      <w:ind w:right="360"/>
      <w:jc w:val="center"/>
    </w:pPr>
    <w:r>
      <w:fldChar w:fldCharType="begin"/>
    </w:r>
    <w:r w:rsidR="00026153">
      <w:instrText xml:space="preserve"> PAGE </w:instrText>
    </w:r>
    <w:r>
      <w:fldChar w:fldCharType="separate"/>
    </w:r>
    <w:r w:rsidR="00F27ADF">
      <w:rPr>
        <w:noProof/>
      </w:rPr>
      <w:t>15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153" w:rsidRDefault="00026153">
      <w:r>
        <w:separator/>
      </w:r>
    </w:p>
  </w:footnote>
  <w:footnote w:type="continuationSeparator" w:id="0">
    <w:p w:rsidR="00026153" w:rsidRDefault="00026153">
      <w:r>
        <w:continuationSeparator/>
      </w:r>
    </w:p>
  </w:footnote>
  <w:footnote w:id="1">
    <w:p w:rsidR="00026153" w:rsidRDefault="00026153">
      <w:pPr>
        <w:pStyle w:val="FootnoteText"/>
      </w:pPr>
      <w:r>
        <w:rPr>
          <w:rStyle w:val="FootnoteReference"/>
        </w:rPr>
        <w:footnoteRef/>
      </w:r>
      <w:r>
        <w:t xml:space="preserve"> </w:t>
      </w:r>
      <w:r w:rsidRPr="00DD50F6">
        <w:t xml:space="preserve">On the OE-781R, trade information – both imports and exports – was only collected from entities that had authorizations to export electricity out of the U.S.  However, since an export authorization is not required for those entities that are just importing electricity to the United States, data about these imports were missing from the data collection. The </w:t>
      </w:r>
      <w:r>
        <w:t xml:space="preserve">proposed </w:t>
      </w:r>
      <w:r w:rsidRPr="00DD50F6">
        <w:t xml:space="preserve">EIA-111 corrects this </w:t>
      </w:r>
      <w:r>
        <w:t>gap</w:t>
      </w:r>
      <w:r w:rsidRPr="00DD50F6">
        <w:t xml:space="preserve"> in the earlier survey by requiring all entities that import electricity into the US to report data, whether or not they have an export authorization. This ensures complete coverage of imports.</w:t>
      </w:r>
    </w:p>
  </w:footnote>
  <w:footnote w:id="2">
    <w:p w:rsidR="00026153" w:rsidRDefault="00026153" w:rsidP="00162145">
      <w:pPr>
        <w:autoSpaceDE w:val="0"/>
        <w:autoSpaceDN w:val="0"/>
        <w:adjustRightInd w:val="0"/>
      </w:pPr>
      <w:r>
        <w:rPr>
          <w:rStyle w:val="FootnoteReference"/>
        </w:rPr>
        <w:footnoteRef/>
      </w:r>
      <w:r>
        <w:t xml:space="preserve"> A Balancing Authority is the </w:t>
      </w:r>
      <w:r w:rsidRPr="000F28CA">
        <w:rPr>
          <w:rFonts w:eastAsiaTheme="minorHAnsi" w:cs="Verdana"/>
          <w:szCs w:val="18"/>
        </w:rPr>
        <w:t>responsible entity that integrates resource plans ahead of time, maintains load-interchange-generation balance within a Balancing Authority Area, and supports Interconnection frequency in real time.</w:t>
      </w:r>
      <w:r>
        <w:rPr>
          <w:rFonts w:eastAsiaTheme="minorHAnsi" w:cs="Verdana"/>
          <w:szCs w:val="18"/>
        </w:rPr>
        <w:t xml:space="preserve">  In the context of this data collection, a sink Balancing Authority is the load area receiving electricity imports, while a source Balancing Authority is an area from which electricity exports originate.</w:t>
      </w:r>
    </w:p>
  </w:footnote>
  <w:footnote w:id="3">
    <w:p w:rsidR="00026153" w:rsidRPr="003E78AF" w:rsidRDefault="00026153" w:rsidP="000622D3">
      <w:pPr>
        <w:pStyle w:val="NormalWeb"/>
        <w:rPr>
          <w:b w:val="0"/>
        </w:rPr>
      </w:pPr>
      <w:r w:rsidRPr="000622D3">
        <w:rPr>
          <w:rStyle w:val="FootnoteReference"/>
          <w:b w:val="0"/>
          <w:u w:val="none"/>
        </w:rPr>
        <w:footnoteRef/>
      </w:r>
      <w:r w:rsidRPr="000622D3">
        <w:rPr>
          <w:b w:val="0"/>
          <w:u w:val="none"/>
        </w:rPr>
        <w:t xml:space="preserve"> </w:t>
      </w:r>
      <w:r w:rsidRPr="003E78AF">
        <w:rPr>
          <w:b w:val="0"/>
          <w:u w:val="none"/>
        </w:rPr>
        <w:t>Presidential Permit</w:t>
      </w:r>
      <w:r>
        <w:rPr>
          <w:b w:val="0"/>
          <w:u w:val="none"/>
        </w:rPr>
        <w:t>s</w:t>
      </w:r>
      <w:r w:rsidRPr="003E78AF">
        <w:rPr>
          <w:b w:val="0"/>
          <w:u w:val="none"/>
        </w:rPr>
        <w:t xml:space="preserve"> </w:t>
      </w:r>
      <w:r>
        <w:rPr>
          <w:b w:val="0"/>
          <w:u w:val="none"/>
        </w:rPr>
        <w:t xml:space="preserve">provide authority </w:t>
      </w:r>
      <w:r w:rsidRPr="003E78AF">
        <w:rPr>
          <w:b w:val="0"/>
          <w:u w:val="none"/>
        </w:rPr>
        <w:t>to construct, operate, maintain, or connect an electric transmission facility crossing the international borders between the United States, Canada, and Mexico.</w:t>
      </w:r>
    </w:p>
  </w:footnote>
  <w:footnote w:id="4">
    <w:p w:rsidR="00026153" w:rsidRDefault="00026153" w:rsidP="00583461">
      <w:pPr>
        <w:pStyle w:val="FootnoteText"/>
      </w:pPr>
      <w:r w:rsidRPr="003E78AF">
        <w:rPr>
          <w:rStyle w:val="FootnoteReference"/>
        </w:rPr>
        <w:footnoteRef/>
      </w:r>
      <w:r w:rsidRPr="003E78AF">
        <w:t xml:space="preserve"> </w:t>
      </w:r>
      <w:r>
        <w:t xml:space="preserve">Export </w:t>
      </w:r>
      <w:r w:rsidRPr="003E78AF">
        <w:t>Authorization</w:t>
      </w:r>
      <w:r>
        <w:t>s regulate the</w:t>
      </w:r>
      <w:r w:rsidRPr="003E78AF">
        <w:t xml:space="preserve"> export </w:t>
      </w:r>
      <w:r>
        <w:t xml:space="preserve">of </w:t>
      </w:r>
      <w:r w:rsidRPr="003E78AF">
        <w:t>electric</w:t>
      </w:r>
      <w:r>
        <w:t xml:space="preserve"> </w:t>
      </w:r>
      <w:r w:rsidRPr="003E78AF">
        <w:t>energy to Canada and Mexico</w:t>
      </w:r>
      <w:r w:rsidRPr="000622D3">
        <w:rPr>
          <w:color w:val="444444"/>
        </w:rPr>
        <w:t>.</w:t>
      </w:r>
    </w:p>
  </w:footnote>
  <w:footnote w:id="5">
    <w:p w:rsidR="00026153" w:rsidRDefault="00026153">
      <w:pPr>
        <w:pStyle w:val="FootnoteText"/>
      </w:pPr>
      <w:r>
        <w:rPr>
          <w:rStyle w:val="FootnoteReference"/>
        </w:rPr>
        <w:footnoteRef/>
      </w:r>
      <w:r>
        <w:t xml:space="preserve"> </w:t>
      </w:r>
      <w:r w:rsidRPr="00A13C1E">
        <w:t>Pick-lists are sometimes referred to as “drop-down” lists because of the typical appearance of the list in a software application.</w:t>
      </w:r>
    </w:p>
  </w:footnote>
  <w:footnote w:id="6">
    <w:p w:rsidR="00026153" w:rsidRDefault="00026153" w:rsidP="00DD50F6">
      <w:pPr>
        <w:pStyle w:val="FootnoteText"/>
      </w:pPr>
      <w:r>
        <w:rPr>
          <w:rStyle w:val="FootnoteReference"/>
        </w:rPr>
        <w:footnoteRef/>
      </w:r>
      <w:r>
        <w:t xml:space="preserve"> The current estimate of the hourly rate for an EIA employee is</w:t>
      </w:r>
      <w:r w:rsidRPr="00B928C4">
        <w:t xml:space="preserve"> $67.74/hour</w:t>
      </w:r>
      <w:r>
        <w:t xml:space="preserve">.  Assuming 2,100 hours per </w:t>
      </w:r>
      <w:r w:rsidRPr="00B928C4">
        <w:t>year</w:t>
      </w:r>
      <w:r>
        <w:t xml:space="preserve"> the annual cost </w:t>
      </w:r>
      <w:r w:rsidRPr="00B928C4">
        <w:t>is $142,254</w:t>
      </w:r>
      <w:r>
        <w:t xml:space="preserve">, of which </w:t>
      </w:r>
      <w:r w:rsidRPr="00B928C4">
        <w:t>80% is $113,803.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53" w:rsidRDefault="00026153">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1">
    <w:nsid w:val="04D33CA1"/>
    <w:multiLevelType w:val="hybridMultilevel"/>
    <w:tmpl w:val="7D20BF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5F3102"/>
    <w:multiLevelType w:val="hybridMultilevel"/>
    <w:tmpl w:val="C37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82003"/>
    <w:multiLevelType w:val="hybridMultilevel"/>
    <w:tmpl w:val="B3E4E856"/>
    <w:lvl w:ilvl="0" w:tplc="04090001">
      <w:start w:val="1"/>
      <w:numFmt w:val="bullet"/>
      <w:lvlText w:val=""/>
      <w:lvlJc w:val="left"/>
      <w:pPr>
        <w:tabs>
          <w:tab w:val="num" w:pos="1368"/>
        </w:tabs>
        <w:ind w:left="1368" w:hanging="360"/>
      </w:pPr>
      <w:rPr>
        <w:rFonts w:ascii="Symbol" w:hAnsi="Symbol" w:hint="default"/>
      </w:rPr>
    </w:lvl>
    <w:lvl w:ilvl="1" w:tplc="92C041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66451A"/>
    <w:multiLevelType w:val="hybridMultilevel"/>
    <w:tmpl w:val="61D6DD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3B1A31"/>
    <w:multiLevelType w:val="hybridMultilevel"/>
    <w:tmpl w:val="E7D6A064"/>
    <w:lvl w:ilvl="0" w:tplc="D89A094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A5B486CA">
      <w:start w:val="1"/>
      <w:numFmt w:val="decimal"/>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3D25E2"/>
    <w:multiLevelType w:val="hybridMultilevel"/>
    <w:tmpl w:val="EF041B9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D97B34"/>
    <w:multiLevelType w:val="multilevel"/>
    <w:tmpl w:val="1FC05432"/>
    <w:lvl w:ilvl="0">
      <w:start w:val="1"/>
      <w:numFmt w:val="decimal"/>
      <w:lvlText w:val="%1)"/>
      <w:lvlJc w:val="left"/>
      <w:pPr>
        <w:tabs>
          <w:tab w:val="num" w:pos="1440"/>
        </w:tabs>
        <w:ind w:left="1440" w:hanging="360"/>
      </w:pPr>
    </w:lvl>
    <w:lvl w:ilvl="1">
      <w:start w:val="1"/>
      <w:numFmt w:val="low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8">
    <w:nsid w:val="1FB92AB9"/>
    <w:multiLevelType w:val="multilevel"/>
    <w:tmpl w:val="5FD24E4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12C3BC1"/>
    <w:multiLevelType w:val="hybridMultilevel"/>
    <w:tmpl w:val="696A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E64687"/>
    <w:multiLevelType w:val="hybridMultilevel"/>
    <w:tmpl w:val="B7F6CE1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082778"/>
    <w:multiLevelType w:val="hybridMultilevel"/>
    <w:tmpl w:val="238A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76304E"/>
    <w:multiLevelType w:val="hybridMultilevel"/>
    <w:tmpl w:val="A642B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637B48"/>
    <w:multiLevelType w:val="hybridMultilevel"/>
    <w:tmpl w:val="8EC23FDC"/>
    <w:lvl w:ilvl="0" w:tplc="15B87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F521872"/>
    <w:multiLevelType w:val="hybridMultilevel"/>
    <w:tmpl w:val="EFAC58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FC72B61"/>
    <w:multiLevelType w:val="hybridMultilevel"/>
    <w:tmpl w:val="CDB2D6F8"/>
    <w:lvl w:ilvl="0" w:tplc="82C08DF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nsid w:val="300D1D67"/>
    <w:multiLevelType w:val="hybridMultilevel"/>
    <w:tmpl w:val="7472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3145D6"/>
    <w:multiLevelType w:val="hybridMultilevel"/>
    <w:tmpl w:val="5948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3C6E88"/>
    <w:multiLevelType w:val="hybridMultilevel"/>
    <w:tmpl w:val="4B94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F1A23"/>
    <w:multiLevelType w:val="hybridMultilevel"/>
    <w:tmpl w:val="AA10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7265DB"/>
    <w:multiLevelType w:val="multilevel"/>
    <w:tmpl w:val="1FC05432"/>
    <w:lvl w:ilvl="0">
      <w:start w:val="1"/>
      <w:numFmt w:val="decimal"/>
      <w:lvlText w:val="%1)"/>
      <w:lvlJc w:val="left"/>
      <w:pPr>
        <w:tabs>
          <w:tab w:val="num" w:pos="1350"/>
        </w:tabs>
        <w:ind w:left="1350" w:hanging="360"/>
      </w:pPr>
    </w:lvl>
    <w:lvl w:ilvl="1">
      <w:start w:val="1"/>
      <w:numFmt w:val="lowerLetter"/>
      <w:lvlText w:val="(%2)"/>
      <w:lvlJc w:val="left"/>
      <w:pPr>
        <w:tabs>
          <w:tab w:val="num" w:pos="1422"/>
        </w:tabs>
        <w:ind w:left="1422" w:hanging="360"/>
      </w:pPr>
      <w:rPr>
        <w:rFonts w:hint="default"/>
      </w:r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1">
    <w:nsid w:val="38E5587E"/>
    <w:multiLevelType w:val="hybridMultilevel"/>
    <w:tmpl w:val="4E4E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C596C"/>
    <w:multiLevelType w:val="hybridMultilevel"/>
    <w:tmpl w:val="1604D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25CB6"/>
    <w:multiLevelType w:val="hybridMultilevel"/>
    <w:tmpl w:val="107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F6FF8"/>
    <w:multiLevelType w:val="hybridMultilevel"/>
    <w:tmpl w:val="BA02576C"/>
    <w:lvl w:ilvl="0" w:tplc="DC86979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7A7FD1"/>
    <w:multiLevelType w:val="hybridMultilevel"/>
    <w:tmpl w:val="9FFAA2D8"/>
    <w:lvl w:ilvl="0" w:tplc="04090011">
      <w:start w:val="1"/>
      <w:numFmt w:val="decimal"/>
      <w:lvlText w:val="%1)"/>
      <w:lvlJc w:val="left"/>
      <w:pPr>
        <w:tabs>
          <w:tab w:val="num" w:pos="1350"/>
        </w:tabs>
        <w:ind w:left="1350"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6">
    <w:nsid w:val="3EA50971"/>
    <w:multiLevelType w:val="hybridMultilevel"/>
    <w:tmpl w:val="CE845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EC01B53"/>
    <w:multiLevelType w:val="multilevel"/>
    <w:tmpl w:val="4C8617E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42BC6DD4"/>
    <w:multiLevelType w:val="hybridMultilevel"/>
    <w:tmpl w:val="D00CD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1F2C1B"/>
    <w:multiLevelType w:val="hybridMultilevel"/>
    <w:tmpl w:val="6412A2D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331704B"/>
    <w:multiLevelType w:val="hybridMultilevel"/>
    <w:tmpl w:val="7CE49F4E"/>
    <w:lvl w:ilvl="0" w:tplc="04090001">
      <w:start w:val="1"/>
      <w:numFmt w:val="bullet"/>
      <w:lvlText w:val=""/>
      <w:lvlJc w:val="left"/>
      <w:pPr>
        <w:tabs>
          <w:tab w:val="num" w:pos="1350"/>
        </w:tabs>
        <w:ind w:left="1350" w:hanging="360"/>
      </w:pPr>
      <w:rPr>
        <w:rFonts w:ascii="Symbol" w:hAnsi="Symbol" w:hint="default"/>
      </w:rPr>
    </w:lvl>
    <w:lvl w:ilvl="1" w:tplc="92C041EE">
      <w:start w:val="1"/>
      <w:numFmt w:val="low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1">
    <w:nsid w:val="43F3028E"/>
    <w:multiLevelType w:val="hybridMultilevel"/>
    <w:tmpl w:val="27786E66"/>
    <w:lvl w:ilvl="0" w:tplc="29D89B3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4DF6899"/>
    <w:multiLevelType w:val="hybridMultilevel"/>
    <w:tmpl w:val="1FC05432"/>
    <w:lvl w:ilvl="0" w:tplc="04090011">
      <w:start w:val="1"/>
      <w:numFmt w:val="decimal"/>
      <w:lvlText w:val="%1)"/>
      <w:lvlJc w:val="left"/>
      <w:pPr>
        <w:tabs>
          <w:tab w:val="num" w:pos="1440"/>
        </w:tabs>
        <w:ind w:left="1440" w:hanging="360"/>
      </w:pPr>
    </w:lvl>
    <w:lvl w:ilvl="1" w:tplc="92C041EE">
      <w:start w:val="1"/>
      <w:numFmt w:val="low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3">
    <w:nsid w:val="49D77F05"/>
    <w:multiLevelType w:val="hybridMultilevel"/>
    <w:tmpl w:val="1D4AE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BAB358C"/>
    <w:multiLevelType w:val="hybridMultilevel"/>
    <w:tmpl w:val="125EE74A"/>
    <w:lvl w:ilvl="0" w:tplc="04090001">
      <w:start w:val="1"/>
      <w:numFmt w:val="bullet"/>
      <w:lvlText w:val=""/>
      <w:lvlJc w:val="left"/>
      <w:pPr>
        <w:tabs>
          <w:tab w:val="num" w:pos="1368"/>
        </w:tabs>
        <w:ind w:left="1368" w:hanging="360"/>
      </w:pPr>
      <w:rPr>
        <w:rFonts w:ascii="Symbol" w:hAnsi="Symbol" w:hint="default"/>
      </w:rPr>
    </w:lvl>
    <w:lvl w:ilvl="1" w:tplc="92C041EE">
      <w:start w:val="1"/>
      <w:numFmt w:val="lowerLetter"/>
      <w:lvlText w:val="(%2)"/>
      <w:lvlJc w:val="left"/>
      <w:pPr>
        <w:tabs>
          <w:tab w:val="num" w:pos="1422"/>
        </w:tabs>
        <w:ind w:left="1422" w:hanging="36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5">
    <w:nsid w:val="508256C3"/>
    <w:multiLevelType w:val="hybridMultilevel"/>
    <w:tmpl w:val="803CEBD4"/>
    <w:lvl w:ilvl="0" w:tplc="15B873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13828B8"/>
    <w:multiLevelType w:val="hybridMultilevel"/>
    <w:tmpl w:val="C5922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658348E"/>
    <w:multiLevelType w:val="hybridMultilevel"/>
    <w:tmpl w:val="F2C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EE7E0B"/>
    <w:multiLevelType w:val="hybridMultilevel"/>
    <w:tmpl w:val="8D36D652"/>
    <w:lvl w:ilvl="0" w:tplc="2CA665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B80482C">
      <w:start w:val="1"/>
      <w:numFmt w:val="decimal"/>
      <w:lvlText w:val="(%3)"/>
      <w:lvlJc w:val="left"/>
      <w:pPr>
        <w:tabs>
          <w:tab w:val="num" w:pos="1980"/>
        </w:tabs>
        <w:ind w:left="1980" w:hanging="360"/>
      </w:pPr>
      <w:rPr>
        <w:rFonts w:hint="default"/>
      </w:rPr>
    </w:lvl>
    <w:lvl w:ilvl="3" w:tplc="1AE29856">
      <w:start w:val="3"/>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5AF41ACB"/>
    <w:multiLevelType w:val="hybridMultilevel"/>
    <w:tmpl w:val="14C2B700"/>
    <w:lvl w:ilvl="0" w:tplc="04090001">
      <w:start w:val="1"/>
      <w:numFmt w:val="bullet"/>
      <w:lvlText w:val=""/>
      <w:lvlJc w:val="left"/>
      <w:pPr>
        <w:tabs>
          <w:tab w:val="num" w:pos="1350"/>
        </w:tabs>
        <w:ind w:left="1350" w:hanging="360"/>
      </w:pPr>
      <w:rPr>
        <w:rFonts w:ascii="Symbol" w:hAnsi="Symbol" w:hint="default"/>
      </w:rPr>
    </w:lvl>
    <w:lvl w:ilvl="1" w:tplc="92C041EE">
      <w:start w:val="1"/>
      <w:numFmt w:val="lowerLetter"/>
      <w:lvlText w:val="(%2)"/>
      <w:lvlJc w:val="left"/>
      <w:pPr>
        <w:tabs>
          <w:tab w:val="num" w:pos="1422"/>
        </w:tabs>
        <w:ind w:left="1422" w:hanging="36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40">
    <w:nsid w:val="5B6A4942"/>
    <w:multiLevelType w:val="multilevel"/>
    <w:tmpl w:val="FB048E7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41">
    <w:nsid w:val="5D79232D"/>
    <w:multiLevelType w:val="hybridMultilevel"/>
    <w:tmpl w:val="3A52D770"/>
    <w:lvl w:ilvl="0" w:tplc="FB06C14E">
      <w:start w:val="1"/>
      <w:numFmt w:val="bullet"/>
      <w:lvlText w:val=""/>
      <w:lvlJc w:val="left"/>
      <w:pPr>
        <w:tabs>
          <w:tab w:val="num" w:pos="720"/>
        </w:tabs>
        <w:ind w:left="720" w:hanging="360"/>
      </w:pPr>
      <w:rPr>
        <w:rFonts w:ascii="Symbol" w:hAnsi="Symbol" w:hint="default"/>
        <w:color w:val="00000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nsid w:val="5DE85C2A"/>
    <w:multiLevelType w:val="hybridMultilevel"/>
    <w:tmpl w:val="6C1A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8F631A"/>
    <w:multiLevelType w:val="hybridMultilevel"/>
    <w:tmpl w:val="34561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FA5726"/>
    <w:multiLevelType w:val="hybridMultilevel"/>
    <w:tmpl w:val="27F2F78A"/>
    <w:lvl w:ilvl="0" w:tplc="9BE2A5D0">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nsid w:val="6413670C"/>
    <w:multiLevelType w:val="hybridMultilevel"/>
    <w:tmpl w:val="FB048E7A"/>
    <w:lvl w:ilvl="0" w:tplc="6A6870D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6">
    <w:nsid w:val="64C22445"/>
    <w:multiLevelType w:val="hybridMultilevel"/>
    <w:tmpl w:val="28DE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825E0F"/>
    <w:multiLevelType w:val="hybridMultilevel"/>
    <w:tmpl w:val="85A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89604A7"/>
    <w:multiLevelType w:val="hybridMultilevel"/>
    <w:tmpl w:val="BF4A3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9A402A0"/>
    <w:multiLevelType w:val="hybridMultilevel"/>
    <w:tmpl w:val="F9EC6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BA43DAC"/>
    <w:multiLevelType w:val="hybridMultilevel"/>
    <w:tmpl w:val="6D3ADF34"/>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nsid w:val="75C67691"/>
    <w:multiLevelType w:val="hybridMultilevel"/>
    <w:tmpl w:val="C7C204DA"/>
    <w:lvl w:ilvl="0" w:tplc="04090001">
      <w:start w:val="1"/>
      <w:numFmt w:val="bullet"/>
      <w:lvlText w:val=""/>
      <w:lvlJc w:val="left"/>
      <w:pPr>
        <w:tabs>
          <w:tab w:val="num" w:pos="1350"/>
        </w:tabs>
        <w:ind w:left="1350" w:hanging="360"/>
      </w:pPr>
      <w:rPr>
        <w:rFonts w:ascii="Symbol" w:hAnsi="Symbol" w:hint="default"/>
      </w:rPr>
    </w:lvl>
    <w:lvl w:ilvl="1" w:tplc="92C041EE">
      <w:start w:val="1"/>
      <w:numFmt w:val="low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2">
    <w:nsid w:val="776E7A12"/>
    <w:multiLevelType w:val="multilevel"/>
    <w:tmpl w:val="1FC05432"/>
    <w:lvl w:ilvl="0">
      <w:start w:val="1"/>
      <w:numFmt w:val="decimal"/>
      <w:lvlText w:val="%1)"/>
      <w:lvlJc w:val="left"/>
      <w:pPr>
        <w:tabs>
          <w:tab w:val="num" w:pos="1350"/>
        </w:tabs>
        <w:ind w:left="1350" w:hanging="360"/>
      </w:pPr>
    </w:lvl>
    <w:lvl w:ilvl="1">
      <w:start w:val="1"/>
      <w:numFmt w:val="lowerLetter"/>
      <w:lvlText w:val="(%2)"/>
      <w:lvlJc w:val="left"/>
      <w:pPr>
        <w:tabs>
          <w:tab w:val="num" w:pos="1422"/>
        </w:tabs>
        <w:ind w:left="1422" w:hanging="360"/>
      </w:pPr>
      <w:rPr>
        <w:rFonts w:hint="default"/>
      </w:r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53">
    <w:nsid w:val="7C534AB3"/>
    <w:multiLevelType w:val="hybridMultilevel"/>
    <w:tmpl w:val="CC403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C6D3DCB"/>
    <w:multiLevelType w:val="multilevel"/>
    <w:tmpl w:val="4C8617E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7E514303"/>
    <w:multiLevelType w:val="multilevel"/>
    <w:tmpl w:val="1FC05432"/>
    <w:lvl w:ilvl="0">
      <w:start w:val="1"/>
      <w:numFmt w:val="decimal"/>
      <w:lvlText w:val="%1)"/>
      <w:lvlJc w:val="left"/>
      <w:pPr>
        <w:tabs>
          <w:tab w:val="num" w:pos="1368"/>
        </w:tabs>
        <w:ind w:left="1368"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7F3278CC"/>
    <w:multiLevelType w:val="multilevel"/>
    <w:tmpl w:val="1FC05432"/>
    <w:lvl w:ilvl="0">
      <w:start w:val="1"/>
      <w:numFmt w:val="decimal"/>
      <w:lvlText w:val="%1)"/>
      <w:lvlJc w:val="left"/>
      <w:pPr>
        <w:tabs>
          <w:tab w:val="num" w:pos="1440"/>
        </w:tabs>
        <w:ind w:left="1440" w:hanging="360"/>
      </w:pPr>
    </w:lvl>
    <w:lvl w:ilvl="1">
      <w:start w:val="1"/>
      <w:numFmt w:val="low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38"/>
  </w:num>
  <w:num w:numId="2">
    <w:abstractNumId w:val="16"/>
  </w:num>
  <w:num w:numId="3">
    <w:abstractNumId w:val="5"/>
  </w:num>
  <w:num w:numId="4">
    <w:abstractNumId w:val="12"/>
  </w:num>
  <w:num w:numId="5">
    <w:abstractNumId w:val="13"/>
  </w:num>
  <w:num w:numId="6">
    <w:abstractNumId w:val="44"/>
  </w:num>
  <w:num w:numId="7">
    <w:abstractNumId w:val="1"/>
  </w:num>
  <w:num w:numId="8">
    <w:abstractNumId w:val="14"/>
  </w:num>
  <w:num w:numId="9">
    <w:abstractNumId w:val="41"/>
  </w:num>
  <w:num w:numId="10">
    <w:abstractNumId w:val="32"/>
  </w:num>
  <w:num w:numId="11">
    <w:abstractNumId w:val="25"/>
  </w:num>
  <w:num w:numId="12">
    <w:abstractNumId w:val="50"/>
  </w:num>
  <w:num w:numId="13">
    <w:abstractNumId w:val="6"/>
  </w:num>
  <w:num w:numId="14">
    <w:abstractNumId w:val="26"/>
  </w:num>
  <w:num w:numId="15">
    <w:abstractNumId w:val="53"/>
  </w:num>
  <w:num w:numId="16">
    <w:abstractNumId w:val="33"/>
  </w:num>
  <w:num w:numId="17">
    <w:abstractNumId w:val="49"/>
  </w:num>
  <w:num w:numId="18">
    <w:abstractNumId w:val="28"/>
  </w:num>
  <w:num w:numId="19">
    <w:abstractNumId w:val="9"/>
  </w:num>
  <w:num w:numId="20">
    <w:abstractNumId w:val="10"/>
  </w:num>
  <w:num w:numId="21">
    <w:abstractNumId w:val="15"/>
  </w:num>
  <w:num w:numId="22">
    <w:abstractNumId w:val="35"/>
  </w:num>
  <w:num w:numId="23">
    <w:abstractNumId w:val="31"/>
  </w:num>
  <w:num w:numId="24">
    <w:abstractNumId w:val="29"/>
  </w:num>
  <w:num w:numId="25">
    <w:abstractNumId w:val="8"/>
  </w:num>
  <w:num w:numId="26">
    <w:abstractNumId w:val="27"/>
  </w:num>
  <w:num w:numId="27">
    <w:abstractNumId w:val="45"/>
  </w:num>
  <w:num w:numId="28">
    <w:abstractNumId w:val="54"/>
  </w:num>
  <w:num w:numId="29">
    <w:abstractNumId w:val="40"/>
  </w:num>
  <w:num w:numId="30">
    <w:abstractNumId w:val="24"/>
  </w:num>
  <w:num w:numId="31">
    <w:abstractNumId w:val="55"/>
  </w:num>
  <w:num w:numId="32">
    <w:abstractNumId w:val="3"/>
  </w:num>
  <w:num w:numId="33">
    <w:abstractNumId w:val="20"/>
  </w:num>
  <w:num w:numId="34">
    <w:abstractNumId w:val="39"/>
  </w:num>
  <w:num w:numId="35">
    <w:abstractNumId w:val="52"/>
  </w:num>
  <w:num w:numId="36">
    <w:abstractNumId w:val="34"/>
  </w:num>
  <w:num w:numId="37">
    <w:abstractNumId w:val="56"/>
  </w:num>
  <w:num w:numId="38">
    <w:abstractNumId w:val="51"/>
  </w:num>
  <w:num w:numId="39">
    <w:abstractNumId w:val="7"/>
  </w:num>
  <w:num w:numId="40">
    <w:abstractNumId w:val="30"/>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num>
  <w:num w:numId="43">
    <w:abstractNumId w:val="36"/>
  </w:num>
  <w:num w:numId="44">
    <w:abstractNumId w:val="2"/>
  </w:num>
  <w:num w:numId="45">
    <w:abstractNumId w:val="43"/>
  </w:num>
  <w:num w:numId="46">
    <w:abstractNumId w:val="42"/>
  </w:num>
  <w:num w:numId="47">
    <w:abstractNumId w:val="11"/>
  </w:num>
  <w:num w:numId="48">
    <w:abstractNumId w:val="19"/>
  </w:num>
  <w:num w:numId="49">
    <w:abstractNumId w:val="17"/>
  </w:num>
  <w:num w:numId="50">
    <w:abstractNumId w:val="37"/>
  </w:num>
  <w:num w:numId="51">
    <w:abstractNumId w:val="46"/>
  </w:num>
  <w:num w:numId="52">
    <w:abstractNumId w:val="21"/>
  </w:num>
  <w:num w:numId="53">
    <w:abstractNumId w:val="18"/>
  </w:num>
  <w:num w:numId="54">
    <w:abstractNumId w:val="23"/>
  </w:num>
  <w:num w:numId="55">
    <w:abstractNumId w:val="47"/>
  </w:num>
  <w:num w:numId="56">
    <w:abstractNumId w:val="2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rsids>
    <w:rsidRoot w:val="00532778"/>
    <w:rsid w:val="000003B9"/>
    <w:rsid w:val="0000050D"/>
    <w:rsid w:val="00002786"/>
    <w:rsid w:val="00002DDA"/>
    <w:rsid w:val="00003435"/>
    <w:rsid w:val="00003A0F"/>
    <w:rsid w:val="00004CB5"/>
    <w:rsid w:val="00005DE6"/>
    <w:rsid w:val="00006825"/>
    <w:rsid w:val="000078DA"/>
    <w:rsid w:val="00007EE4"/>
    <w:rsid w:val="000103BE"/>
    <w:rsid w:val="000104BD"/>
    <w:rsid w:val="00010560"/>
    <w:rsid w:val="00010F0E"/>
    <w:rsid w:val="00011705"/>
    <w:rsid w:val="00011B70"/>
    <w:rsid w:val="000120F1"/>
    <w:rsid w:val="00012335"/>
    <w:rsid w:val="00012377"/>
    <w:rsid w:val="0001347C"/>
    <w:rsid w:val="00013530"/>
    <w:rsid w:val="00013581"/>
    <w:rsid w:val="00013859"/>
    <w:rsid w:val="00014634"/>
    <w:rsid w:val="00014C56"/>
    <w:rsid w:val="00016655"/>
    <w:rsid w:val="00017BB3"/>
    <w:rsid w:val="00017D82"/>
    <w:rsid w:val="00020F4A"/>
    <w:rsid w:val="00021A4F"/>
    <w:rsid w:val="00023353"/>
    <w:rsid w:val="00023429"/>
    <w:rsid w:val="00023CB9"/>
    <w:rsid w:val="00023E1E"/>
    <w:rsid w:val="00026153"/>
    <w:rsid w:val="000317DE"/>
    <w:rsid w:val="000318B5"/>
    <w:rsid w:val="00031DBC"/>
    <w:rsid w:val="00037410"/>
    <w:rsid w:val="000378E1"/>
    <w:rsid w:val="00037A46"/>
    <w:rsid w:val="000407EC"/>
    <w:rsid w:val="00040AC5"/>
    <w:rsid w:val="000413DD"/>
    <w:rsid w:val="00041EE2"/>
    <w:rsid w:val="0004248D"/>
    <w:rsid w:val="000429D5"/>
    <w:rsid w:val="00043344"/>
    <w:rsid w:val="000444AA"/>
    <w:rsid w:val="00045664"/>
    <w:rsid w:val="00045779"/>
    <w:rsid w:val="00045796"/>
    <w:rsid w:val="0004736E"/>
    <w:rsid w:val="00047C87"/>
    <w:rsid w:val="00047DE6"/>
    <w:rsid w:val="00047F9B"/>
    <w:rsid w:val="00050889"/>
    <w:rsid w:val="000516BB"/>
    <w:rsid w:val="00051DC1"/>
    <w:rsid w:val="00053079"/>
    <w:rsid w:val="0005442D"/>
    <w:rsid w:val="000549E0"/>
    <w:rsid w:val="00055E99"/>
    <w:rsid w:val="00056759"/>
    <w:rsid w:val="000575F5"/>
    <w:rsid w:val="00057633"/>
    <w:rsid w:val="000579F7"/>
    <w:rsid w:val="00060799"/>
    <w:rsid w:val="0006101F"/>
    <w:rsid w:val="000622D3"/>
    <w:rsid w:val="000622FA"/>
    <w:rsid w:val="000623B7"/>
    <w:rsid w:val="00065040"/>
    <w:rsid w:val="00065452"/>
    <w:rsid w:val="000657A2"/>
    <w:rsid w:val="0006793C"/>
    <w:rsid w:val="00067F9A"/>
    <w:rsid w:val="00071EB4"/>
    <w:rsid w:val="00074EA7"/>
    <w:rsid w:val="00075132"/>
    <w:rsid w:val="000760FB"/>
    <w:rsid w:val="0007628D"/>
    <w:rsid w:val="00077CA9"/>
    <w:rsid w:val="00080DF6"/>
    <w:rsid w:val="00081496"/>
    <w:rsid w:val="000818BC"/>
    <w:rsid w:val="0008270C"/>
    <w:rsid w:val="00084C73"/>
    <w:rsid w:val="0008540B"/>
    <w:rsid w:val="00085916"/>
    <w:rsid w:val="00085BC9"/>
    <w:rsid w:val="00087FF5"/>
    <w:rsid w:val="00091706"/>
    <w:rsid w:val="00091730"/>
    <w:rsid w:val="000922E2"/>
    <w:rsid w:val="000923CD"/>
    <w:rsid w:val="00093EF0"/>
    <w:rsid w:val="00095676"/>
    <w:rsid w:val="00097881"/>
    <w:rsid w:val="000A08CE"/>
    <w:rsid w:val="000A0C71"/>
    <w:rsid w:val="000A3069"/>
    <w:rsid w:val="000A4F99"/>
    <w:rsid w:val="000A5671"/>
    <w:rsid w:val="000A571D"/>
    <w:rsid w:val="000A689A"/>
    <w:rsid w:val="000A78CC"/>
    <w:rsid w:val="000A7F24"/>
    <w:rsid w:val="000B031A"/>
    <w:rsid w:val="000B03E4"/>
    <w:rsid w:val="000B03FB"/>
    <w:rsid w:val="000B0FA6"/>
    <w:rsid w:val="000B146A"/>
    <w:rsid w:val="000B168C"/>
    <w:rsid w:val="000B2576"/>
    <w:rsid w:val="000B4D71"/>
    <w:rsid w:val="000B581C"/>
    <w:rsid w:val="000B5DF8"/>
    <w:rsid w:val="000B70BD"/>
    <w:rsid w:val="000B752F"/>
    <w:rsid w:val="000B7ECE"/>
    <w:rsid w:val="000C0CA5"/>
    <w:rsid w:val="000C11EA"/>
    <w:rsid w:val="000C15F4"/>
    <w:rsid w:val="000C221A"/>
    <w:rsid w:val="000C246D"/>
    <w:rsid w:val="000C284F"/>
    <w:rsid w:val="000C3729"/>
    <w:rsid w:val="000C3E92"/>
    <w:rsid w:val="000C3F9D"/>
    <w:rsid w:val="000D0283"/>
    <w:rsid w:val="000D1C0F"/>
    <w:rsid w:val="000D2E31"/>
    <w:rsid w:val="000D30BC"/>
    <w:rsid w:val="000D3DD9"/>
    <w:rsid w:val="000D56A2"/>
    <w:rsid w:val="000D5F6F"/>
    <w:rsid w:val="000D685E"/>
    <w:rsid w:val="000D7B02"/>
    <w:rsid w:val="000E16AA"/>
    <w:rsid w:val="000E215B"/>
    <w:rsid w:val="000E39E3"/>
    <w:rsid w:val="000E5DCF"/>
    <w:rsid w:val="000E6ECB"/>
    <w:rsid w:val="000F000B"/>
    <w:rsid w:val="000F1C7C"/>
    <w:rsid w:val="000F2D20"/>
    <w:rsid w:val="000F3349"/>
    <w:rsid w:val="000F5442"/>
    <w:rsid w:val="000F56D3"/>
    <w:rsid w:val="000F6768"/>
    <w:rsid w:val="00100FA9"/>
    <w:rsid w:val="00101654"/>
    <w:rsid w:val="00106E25"/>
    <w:rsid w:val="001107A5"/>
    <w:rsid w:val="00110AE5"/>
    <w:rsid w:val="0011243D"/>
    <w:rsid w:val="00116C57"/>
    <w:rsid w:val="00117A60"/>
    <w:rsid w:val="0012041C"/>
    <w:rsid w:val="00120D49"/>
    <w:rsid w:val="001218C1"/>
    <w:rsid w:val="0012286D"/>
    <w:rsid w:val="00122872"/>
    <w:rsid w:val="00123DC3"/>
    <w:rsid w:val="00125169"/>
    <w:rsid w:val="0012540E"/>
    <w:rsid w:val="00125FC6"/>
    <w:rsid w:val="001273C6"/>
    <w:rsid w:val="00127546"/>
    <w:rsid w:val="00130D8E"/>
    <w:rsid w:val="00133154"/>
    <w:rsid w:val="00135152"/>
    <w:rsid w:val="00136359"/>
    <w:rsid w:val="001365DD"/>
    <w:rsid w:val="00136F8A"/>
    <w:rsid w:val="00137EE1"/>
    <w:rsid w:val="00140C15"/>
    <w:rsid w:val="0014156D"/>
    <w:rsid w:val="001419DA"/>
    <w:rsid w:val="00141FF9"/>
    <w:rsid w:val="00142E90"/>
    <w:rsid w:val="00143457"/>
    <w:rsid w:val="00143749"/>
    <w:rsid w:val="001455E6"/>
    <w:rsid w:val="001456DD"/>
    <w:rsid w:val="00146193"/>
    <w:rsid w:val="00147002"/>
    <w:rsid w:val="0014718A"/>
    <w:rsid w:val="00147449"/>
    <w:rsid w:val="00150064"/>
    <w:rsid w:val="00150D3A"/>
    <w:rsid w:val="00151427"/>
    <w:rsid w:val="00152D7B"/>
    <w:rsid w:val="00153979"/>
    <w:rsid w:val="00154533"/>
    <w:rsid w:val="001550D4"/>
    <w:rsid w:val="00155855"/>
    <w:rsid w:val="00155C60"/>
    <w:rsid w:val="0015621E"/>
    <w:rsid w:val="00156A8C"/>
    <w:rsid w:val="00157A1D"/>
    <w:rsid w:val="00157DD4"/>
    <w:rsid w:val="001600BF"/>
    <w:rsid w:val="0016010C"/>
    <w:rsid w:val="00160B1D"/>
    <w:rsid w:val="00161FAE"/>
    <w:rsid w:val="00162145"/>
    <w:rsid w:val="00164B6A"/>
    <w:rsid w:val="00165228"/>
    <w:rsid w:val="001658A6"/>
    <w:rsid w:val="00165987"/>
    <w:rsid w:val="001668C5"/>
    <w:rsid w:val="0016782D"/>
    <w:rsid w:val="001703B8"/>
    <w:rsid w:val="0017270F"/>
    <w:rsid w:val="00173DB5"/>
    <w:rsid w:val="00177AAD"/>
    <w:rsid w:val="00180740"/>
    <w:rsid w:val="00182909"/>
    <w:rsid w:val="001832D7"/>
    <w:rsid w:val="001835EF"/>
    <w:rsid w:val="001835F5"/>
    <w:rsid w:val="00185A40"/>
    <w:rsid w:val="00185EAB"/>
    <w:rsid w:val="00187057"/>
    <w:rsid w:val="00190564"/>
    <w:rsid w:val="001916A5"/>
    <w:rsid w:val="00192C8D"/>
    <w:rsid w:val="00193CD9"/>
    <w:rsid w:val="00193D72"/>
    <w:rsid w:val="00194627"/>
    <w:rsid w:val="001960E2"/>
    <w:rsid w:val="00197D1C"/>
    <w:rsid w:val="001A0FA7"/>
    <w:rsid w:val="001A1E96"/>
    <w:rsid w:val="001A215F"/>
    <w:rsid w:val="001A30D1"/>
    <w:rsid w:val="001A643C"/>
    <w:rsid w:val="001A7EB2"/>
    <w:rsid w:val="001B0439"/>
    <w:rsid w:val="001B0FD7"/>
    <w:rsid w:val="001B26E9"/>
    <w:rsid w:val="001B3BA4"/>
    <w:rsid w:val="001B4E31"/>
    <w:rsid w:val="001B56C5"/>
    <w:rsid w:val="001B67FD"/>
    <w:rsid w:val="001B6C63"/>
    <w:rsid w:val="001B7FB8"/>
    <w:rsid w:val="001C09E7"/>
    <w:rsid w:val="001C1D06"/>
    <w:rsid w:val="001C274D"/>
    <w:rsid w:val="001C2E19"/>
    <w:rsid w:val="001C4594"/>
    <w:rsid w:val="001C64DD"/>
    <w:rsid w:val="001C6B94"/>
    <w:rsid w:val="001C78B5"/>
    <w:rsid w:val="001C7B25"/>
    <w:rsid w:val="001C7CE3"/>
    <w:rsid w:val="001C7FA5"/>
    <w:rsid w:val="001D0EE6"/>
    <w:rsid w:val="001D0EE8"/>
    <w:rsid w:val="001D32F6"/>
    <w:rsid w:val="001D3C29"/>
    <w:rsid w:val="001D4D39"/>
    <w:rsid w:val="001D5385"/>
    <w:rsid w:val="001E14DC"/>
    <w:rsid w:val="001E2AD4"/>
    <w:rsid w:val="001E4145"/>
    <w:rsid w:val="001E44A5"/>
    <w:rsid w:val="001E4E99"/>
    <w:rsid w:val="001E5DEF"/>
    <w:rsid w:val="001E6256"/>
    <w:rsid w:val="001E7181"/>
    <w:rsid w:val="001E75C4"/>
    <w:rsid w:val="001F077B"/>
    <w:rsid w:val="001F0C7A"/>
    <w:rsid w:val="001F1F6A"/>
    <w:rsid w:val="001F40A7"/>
    <w:rsid w:val="001F7F61"/>
    <w:rsid w:val="002000CB"/>
    <w:rsid w:val="002004AC"/>
    <w:rsid w:val="002023CA"/>
    <w:rsid w:val="00202A99"/>
    <w:rsid w:val="00202F1A"/>
    <w:rsid w:val="00204310"/>
    <w:rsid w:val="0020446D"/>
    <w:rsid w:val="002047C9"/>
    <w:rsid w:val="00204981"/>
    <w:rsid w:val="00207CE3"/>
    <w:rsid w:val="00210267"/>
    <w:rsid w:val="00211A7D"/>
    <w:rsid w:val="002121BD"/>
    <w:rsid w:val="00212F39"/>
    <w:rsid w:val="00214128"/>
    <w:rsid w:val="002145FE"/>
    <w:rsid w:val="0021595F"/>
    <w:rsid w:val="002167B6"/>
    <w:rsid w:val="00217934"/>
    <w:rsid w:val="002209E0"/>
    <w:rsid w:val="00222972"/>
    <w:rsid w:val="0022526C"/>
    <w:rsid w:val="0022703C"/>
    <w:rsid w:val="002274AC"/>
    <w:rsid w:val="00227CFF"/>
    <w:rsid w:val="002307DB"/>
    <w:rsid w:val="00230905"/>
    <w:rsid w:val="00230A96"/>
    <w:rsid w:val="00230ABE"/>
    <w:rsid w:val="00230BA2"/>
    <w:rsid w:val="002332F3"/>
    <w:rsid w:val="00233BE2"/>
    <w:rsid w:val="00235A1B"/>
    <w:rsid w:val="00240F72"/>
    <w:rsid w:val="00241214"/>
    <w:rsid w:val="0024138C"/>
    <w:rsid w:val="0024200E"/>
    <w:rsid w:val="00242FD3"/>
    <w:rsid w:val="00243651"/>
    <w:rsid w:val="002444DF"/>
    <w:rsid w:val="00247A73"/>
    <w:rsid w:val="00247E70"/>
    <w:rsid w:val="00250B65"/>
    <w:rsid w:val="002515DE"/>
    <w:rsid w:val="00252397"/>
    <w:rsid w:val="00252474"/>
    <w:rsid w:val="00252D41"/>
    <w:rsid w:val="00255AEA"/>
    <w:rsid w:val="00255E7A"/>
    <w:rsid w:val="0025601B"/>
    <w:rsid w:val="0025631E"/>
    <w:rsid w:val="002563DE"/>
    <w:rsid w:val="0025661B"/>
    <w:rsid w:val="0025775F"/>
    <w:rsid w:val="00257EA0"/>
    <w:rsid w:val="00260A1F"/>
    <w:rsid w:val="00261811"/>
    <w:rsid w:val="00261E87"/>
    <w:rsid w:val="0026248C"/>
    <w:rsid w:val="0026272D"/>
    <w:rsid w:val="0026283F"/>
    <w:rsid w:val="00262AAA"/>
    <w:rsid w:val="00263927"/>
    <w:rsid w:val="00264031"/>
    <w:rsid w:val="002648C3"/>
    <w:rsid w:val="0026566A"/>
    <w:rsid w:val="002715E2"/>
    <w:rsid w:val="00271DBA"/>
    <w:rsid w:val="00272D7A"/>
    <w:rsid w:val="00273031"/>
    <w:rsid w:val="00273B31"/>
    <w:rsid w:val="00274893"/>
    <w:rsid w:val="0027511B"/>
    <w:rsid w:val="00275F60"/>
    <w:rsid w:val="00277478"/>
    <w:rsid w:val="00280256"/>
    <w:rsid w:val="002804FC"/>
    <w:rsid w:val="0028203D"/>
    <w:rsid w:val="00282934"/>
    <w:rsid w:val="00283A5F"/>
    <w:rsid w:val="00283FAD"/>
    <w:rsid w:val="0028523F"/>
    <w:rsid w:val="002875DF"/>
    <w:rsid w:val="00287AA0"/>
    <w:rsid w:val="00291063"/>
    <w:rsid w:val="002931E4"/>
    <w:rsid w:val="002938B6"/>
    <w:rsid w:val="0029426F"/>
    <w:rsid w:val="002946B2"/>
    <w:rsid w:val="002947C6"/>
    <w:rsid w:val="00294DE3"/>
    <w:rsid w:val="00295A75"/>
    <w:rsid w:val="00295B06"/>
    <w:rsid w:val="00296909"/>
    <w:rsid w:val="00296A6A"/>
    <w:rsid w:val="0029711E"/>
    <w:rsid w:val="002A054E"/>
    <w:rsid w:val="002A1279"/>
    <w:rsid w:val="002A1B6A"/>
    <w:rsid w:val="002A3BCB"/>
    <w:rsid w:val="002A5091"/>
    <w:rsid w:val="002A5327"/>
    <w:rsid w:val="002A60B4"/>
    <w:rsid w:val="002A740C"/>
    <w:rsid w:val="002B320C"/>
    <w:rsid w:val="002B3CC8"/>
    <w:rsid w:val="002B3F96"/>
    <w:rsid w:val="002B5482"/>
    <w:rsid w:val="002B6286"/>
    <w:rsid w:val="002B7B59"/>
    <w:rsid w:val="002C1021"/>
    <w:rsid w:val="002C1550"/>
    <w:rsid w:val="002C2E69"/>
    <w:rsid w:val="002C3075"/>
    <w:rsid w:val="002C326A"/>
    <w:rsid w:val="002C4E70"/>
    <w:rsid w:val="002C5C8E"/>
    <w:rsid w:val="002C6656"/>
    <w:rsid w:val="002C7C1B"/>
    <w:rsid w:val="002D0152"/>
    <w:rsid w:val="002D076C"/>
    <w:rsid w:val="002D0C42"/>
    <w:rsid w:val="002D0C62"/>
    <w:rsid w:val="002D0D16"/>
    <w:rsid w:val="002D135B"/>
    <w:rsid w:val="002D19A9"/>
    <w:rsid w:val="002D1C21"/>
    <w:rsid w:val="002D1C7A"/>
    <w:rsid w:val="002D23D7"/>
    <w:rsid w:val="002D25D4"/>
    <w:rsid w:val="002D2BAC"/>
    <w:rsid w:val="002D317B"/>
    <w:rsid w:val="002D46A2"/>
    <w:rsid w:val="002D472A"/>
    <w:rsid w:val="002D5B87"/>
    <w:rsid w:val="002D5CA2"/>
    <w:rsid w:val="002D5F60"/>
    <w:rsid w:val="002D60ED"/>
    <w:rsid w:val="002D7127"/>
    <w:rsid w:val="002D726A"/>
    <w:rsid w:val="002E0CDA"/>
    <w:rsid w:val="002E0E62"/>
    <w:rsid w:val="002E26EB"/>
    <w:rsid w:val="002E2F34"/>
    <w:rsid w:val="002F17DC"/>
    <w:rsid w:val="002F1BF9"/>
    <w:rsid w:val="002F1D7F"/>
    <w:rsid w:val="002F26D9"/>
    <w:rsid w:val="002F3405"/>
    <w:rsid w:val="002F3E40"/>
    <w:rsid w:val="002F4A79"/>
    <w:rsid w:val="002F58A2"/>
    <w:rsid w:val="002F59D0"/>
    <w:rsid w:val="002F6D30"/>
    <w:rsid w:val="003003B0"/>
    <w:rsid w:val="00301B03"/>
    <w:rsid w:val="00301B19"/>
    <w:rsid w:val="003023B5"/>
    <w:rsid w:val="0030373A"/>
    <w:rsid w:val="00303C20"/>
    <w:rsid w:val="00303E4D"/>
    <w:rsid w:val="0030484D"/>
    <w:rsid w:val="0030526C"/>
    <w:rsid w:val="003059D9"/>
    <w:rsid w:val="00305A87"/>
    <w:rsid w:val="00306162"/>
    <w:rsid w:val="00307ADA"/>
    <w:rsid w:val="00310949"/>
    <w:rsid w:val="00310A05"/>
    <w:rsid w:val="00311658"/>
    <w:rsid w:val="0031264F"/>
    <w:rsid w:val="00312AFA"/>
    <w:rsid w:val="00313003"/>
    <w:rsid w:val="003138B1"/>
    <w:rsid w:val="00313D5B"/>
    <w:rsid w:val="0031519D"/>
    <w:rsid w:val="00316B0B"/>
    <w:rsid w:val="00322089"/>
    <w:rsid w:val="0032269B"/>
    <w:rsid w:val="00322837"/>
    <w:rsid w:val="00323177"/>
    <w:rsid w:val="003248E5"/>
    <w:rsid w:val="00324A52"/>
    <w:rsid w:val="00324C51"/>
    <w:rsid w:val="00330620"/>
    <w:rsid w:val="00330B68"/>
    <w:rsid w:val="00330D0D"/>
    <w:rsid w:val="00331644"/>
    <w:rsid w:val="003326B0"/>
    <w:rsid w:val="003333E6"/>
    <w:rsid w:val="0033617D"/>
    <w:rsid w:val="0033733F"/>
    <w:rsid w:val="00340944"/>
    <w:rsid w:val="00340A7A"/>
    <w:rsid w:val="00340D11"/>
    <w:rsid w:val="00340F57"/>
    <w:rsid w:val="003423AF"/>
    <w:rsid w:val="0034268E"/>
    <w:rsid w:val="00342F47"/>
    <w:rsid w:val="00343477"/>
    <w:rsid w:val="00343627"/>
    <w:rsid w:val="0034411D"/>
    <w:rsid w:val="00344937"/>
    <w:rsid w:val="00344939"/>
    <w:rsid w:val="00344CA9"/>
    <w:rsid w:val="00345C17"/>
    <w:rsid w:val="00346DD7"/>
    <w:rsid w:val="00347319"/>
    <w:rsid w:val="00347BF9"/>
    <w:rsid w:val="0035051C"/>
    <w:rsid w:val="00350526"/>
    <w:rsid w:val="00350AD1"/>
    <w:rsid w:val="00350B8D"/>
    <w:rsid w:val="003510DA"/>
    <w:rsid w:val="003510EC"/>
    <w:rsid w:val="00351BE6"/>
    <w:rsid w:val="0035357C"/>
    <w:rsid w:val="003537B4"/>
    <w:rsid w:val="00354F50"/>
    <w:rsid w:val="003551F2"/>
    <w:rsid w:val="003565F4"/>
    <w:rsid w:val="003569B5"/>
    <w:rsid w:val="00362DE4"/>
    <w:rsid w:val="00366576"/>
    <w:rsid w:val="00366F73"/>
    <w:rsid w:val="00367CFF"/>
    <w:rsid w:val="00371E9D"/>
    <w:rsid w:val="003727AB"/>
    <w:rsid w:val="0037597C"/>
    <w:rsid w:val="00381B97"/>
    <w:rsid w:val="00382970"/>
    <w:rsid w:val="00382ADB"/>
    <w:rsid w:val="003838BC"/>
    <w:rsid w:val="00384C18"/>
    <w:rsid w:val="00384D9A"/>
    <w:rsid w:val="00385F2F"/>
    <w:rsid w:val="00386D59"/>
    <w:rsid w:val="00387A94"/>
    <w:rsid w:val="00390657"/>
    <w:rsid w:val="00390A9A"/>
    <w:rsid w:val="00392854"/>
    <w:rsid w:val="00392B5B"/>
    <w:rsid w:val="00395005"/>
    <w:rsid w:val="00396F48"/>
    <w:rsid w:val="00397CA7"/>
    <w:rsid w:val="003A13DE"/>
    <w:rsid w:val="003A2FB9"/>
    <w:rsid w:val="003A4006"/>
    <w:rsid w:val="003A4054"/>
    <w:rsid w:val="003A46E2"/>
    <w:rsid w:val="003A5BF1"/>
    <w:rsid w:val="003A67F2"/>
    <w:rsid w:val="003A788C"/>
    <w:rsid w:val="003B09FC"/>
    <w:rsid w:val="003B35C6"/>
    <w:rsid w:val="003B439B"/>
    <w:rsid w:val="003B4600"/>
    <w:rsid w:val="003B4F35"/>
    <w:rsid w:val="003B5C60"/>
    <w:rsid w:val="003C08F8"/>
    <w:rsid w:val="003C10E4"/>
    <w:rsid w:val="003C187A"/>
    <w:rsid w:val="003C1E8E"/>
    <w:rsid w:val="003C1EF1"/>
    <w:rsid w:val="003C232A"/>
    <w:rsid w:val="003C233E"/>
    <w:rsid w:val="003C32DC"/>
    <w:rsid w:val="003C4524"/>
    <w:rsid w:val="003C4774"/>
    <w:rsid w:val="003C55E2"/>
    <w:rsid w:val="003C7F10"/>
    <w:rsid w:val="003D11A0"/>
    <w:rsid w:val="003D2A80"/>
    <w:rsid w:val="003D3049"/>
    <w:rsid w:val="003D3A79"/>
    <w:rsid w:val="003D3EA6"/>
    <w:rsid w:val="003D4167"/>
    <w:rsid w:val="003D4827"/>
    <w:rsid w:val="003D7B0D"/>
    <w:rsid w:val="003E369C"/>
    <w:rsid w:val="003E5200"/>
    <w:rsid w:val="003E5EC7"/>
    <w:rsid w:val="003E69CE"/>
    <w:rsid w:val="003E78AF"/>
    <w:rsid w:val="003E7E17"/>
    <w:rsid w:val="003E7E19"/>
    <w:rsid w:val="003F0506"/>
    <w:rsid w:val="003F1D36"/>
    <w:rsid w:val="003F27E1"/>
    <w:rsid w:val="003F29C8"/>
    <w:rsid w:val="003F3DC1"/>
    <w:rsid w:val="003F4803"/>
    <w:rsid w:val="003F711B"/>
    <w:rsid w:val="0040169D"/>
    <w:rsid w:val="00401FB2"/>
    <w:rsid w:val="00405357"/>
    <w:rsid w:val="00405981"/>
    <w:rsid w:val="00405D04"/>
    <w:rsid w:val="00410E51"/>
    <w:rsid w:val="00411A22"/>
    <w:rsid w:val="00412937"/>
    <w:rsid w:val="00413D6A"/>
    <w:rsid w:val="00414D57"/>
    <w:rsid w:val="0041523D"/>
    <w:rsid w:val="00423840"/>
    <w:rsid w:val="0042400E"/>
    <w:rsid w:val="00425CBB"/>
    <w:rsid w:val="004261FF"/>
    <w:rsid w:val="0042644F"/>
    <w:rsid w:val="00426D68"/>
    <w:rsid w:val="0043160A"/>
    <w:rsid w:val="00431BD6"/>
    <w:rsid w:val="00432A8F"/>
    <w:rsid w:val="00432B4F"/>
    <w:rsid w:val="00432F82"/>
    <w:rsid w:val="004332A1"/>
    <w:rsid w:val="00433DE4"/>
    <w:rsid w:val="004366AF"/>
    <w:rsid w:val="0043687D"/>
    <w:rsid w:val="00437861"/>
    <w:rsid w:val="00437E80"/>
    <w:rsid w:val="00440417"/>
    <w:rsid w:val="00441B71"/>
    <w:rsid w:val="004435B6"/>
    <w:rsid w:val="00443A94"/>
    <w:rsid w:val="0044444B"/>
    <w:rsid w:val="00445EE4"/>
    <w:rsid w:val="00450B59"/>
    <w:rsid w:val="00450EDE"/>
    <w:rsid w:val="004517F0"/>
    <w:rsid w:val="0045449E"/>
    <w:rsid w:val="00454EC8"/>
    <w:rsid w:val="00455D41"/>
    <w:rsid w:val="004561FA"/>
    <w:rsid w:val="00456CFF"/>
    <w:rsid w:val="0045704F"/>
    <w:rsid w:val="00457927"/>
    <w:rsid w:val="00460409"/>
    <w:rsid w:val="00460743"/>
    <w:rsid w:val="004628D3"/>
    <w:rsid w:val="00462957"/>
    <w:rsid w:val="00463B02"/>
    <w:rsid w:val="004656E5"/>
    <w:rsid w:val="004657DF"/>
    <w:rsid w:val="00466CF5"/>
    <w:rsid w:val="00466DD6"/>
    <w:rsid w:val="00467406"/>
    <w:rsid w:val="004727CE"/>
    <w:rsid w:val="004736E1"/>
    <w:rsid w:val="0047387C"/>
    <w:rsid w:val="00475089"/>
    <w:rsid w:val="00475587"/>
    <w:rsid w:val="0047603B"/>
    <w:rsid w:val="00476207"/>
    <w:rsid w:val="00477A09"/>
    <w:rsid w:val="00477B02"/>
    <w:rsid w:val="00477F0A"/>
    <w:rsid w:val="004800AD"/>
    <w:rsid w:val="004807DB"/>
    <w:rsid w:val="00480985"/>
    <w:rsid w:val="00481370"/>
    <w:rsid w:val="004821D9"/>
    <w:rsid w:val="00482696"/>
    <w:rsid w:val="00483217"/>
    <w:rsid w:val="00483715"/>
    <w:rsid w:val="00484897"/>
    <w:rsid w:val="00484F16"/>
    <w:rsid w:val="00486C29"/>
    <w:rsid w:val="00490090"/>
    <w:rsid w:val="00492336"/>
    <w:rsid w:val="00492B73"/>
    <w:rsid w:val="004940B8"/>
    <w:rsid w:val="00494F9C"/>
    <w:rsid w:val="004954BF"/>
    <w:rsid w:val="00495646"/>
    <w:rsid w:val="00495B3D"/>
    <w:rsid w:val="00496D65"/>
    <w:rsid w:val="00496FFB"/>
    <w:rsid w:val="00497AE0"/>
    <w:rsid w:val="004A1855"/>
    <w:rsid w:val="004A200B"/>
    <w:rsid w:val="004A2058"/>
    <w:rsid w:val="004A2380"/>
    <w:rsid w:val="004A2796"/>
    <w:rsid w:val="004A3311"/>
    <w:rsid w:val="004A43DE"/>
    <w:rsid w:val="004A4741"/>
    <w:rsid w:val="004A4CDD"/>
    <w:rsid w:val="004A698B"/>
    <w:rsid w:val="004A716C"/>
    <w:rsid w:val="004B00C5"/>
    <w:rsid w:val="004B08F6"/>
    <w:rsid w:val="004B18A5"/>
    <w:rsid w:val="004B1A6C"/>
    <w:rsid w:val="004B23BA"/>
    <w:rsid w:val="004B3760"/>
    <w:rsid w:val="004B4776"/>
    <w:rsid w:val="004B5E68"/>
    <w:rsid w:val="004B7C82"/>
    <w:rsid w:val="004C0524"/>
    <w:rsid w:val="004C0797"/>
    <w:rsid w:val="004C196F"/>
    <w:rsid w:val="004C362F"/>
    <w:rsid w:val="004C4D92"/>
    <w:rsid w:val="004C64B3"/>
    <w:rsid w:val="004C6DE2"/>
    <w:rsid w:val="004C708E"/>
    <w:rsid w:val="004C73F6"/>
    <w:rsid w:val="004D0A95"/>
    <w:rsid w:val="004D0E05"/>
    <w:rsid w:val="004D0F63"/>
    <w:rsid w:val="004D2C7D"/>
    <w:rsid w:val="004D75F8"/>
    <w:rsid w:val="004D7FB8"/>
    <w:rsid w:val="004E1E77"/>
    <w:rsid w:val="004E4299"/>
    <w:rsid w:val="004E4B79"/>
    <w:rsid w:val="004E575E"/>
    <w:rsid w:val="004E5D93"/>
    <w:rsid w:val="004E5ECD"/>
    <w:rsid w:val="004E6B04"/>
    <w:rsid w:val="004E760E"/>
    <w:rsid w:val="004F012E"/>
    <w:rsid w:val="004F18EE"/>
    <w:rsid w:val="004F1F68"/>
    <w:rsid w:val="004F2319"/>
    <w:rsid w:val="004F299B"/>
    <w:rsid w:val="004F4693"/>
    <w:rsid w:val="004F48BA"/>
    <w:rsid w:val="004F51D1"/>
    <w:rsid w:val="004F5D68"/>
    <w:rsid w:val="0050255B"/>
    <w:rsid w:val="00502645"/>
    <w:rsid w:val="0050268A"/>
    <w:rsid w:val="00502942"/>
    <w:rsid w:val="00502EC2"/>
    <w:rsid w:val="00503099"/>
    <w:rsid w:val="0050407B"/>
    <w:rsid w:val="0050505D"/>
    <w:rsid w:val="00506B10"/>
    <w:rsid w:val="0051036D"/>
    <w:rsid w:val="00510399"/>
    <w:rsid w:val="0051085D"/>
    <w:rsid w:val="0051104B"/>
    <w:rsid w:val="005122AA"/>
    <w:rsid w:val="0051266D"/>
    <w:rsid w:val="00512E4C"/>
    <w:rsid w:val="005133BA"/>
    <w:rsid w:val="00513A95"/>
    <w:rsid w:val="00513DDD"/>
    <w:rsid w:val="00514975"/>
    <w:rsid w:val="00516187"/>
    <w:rsid w:val="0051653D"/>
    <w:rsid w:val="0051664F"/>
    <w:rsid w:val="00516A96"/>
    <w:rsid w:val="005177FB"/>
    <w:rsid w:val="00517DC1"/>
    <w:rsid w:val="00520015"/>
    <w:rsid w:val="005204A7"/>
    <w:rsid w:val="00520567"/>
    <w:rsid w:val="005225D3"/>
    <w:rsid w:val="00522812"/>
    <w:rsid w:val="00523047"/>
    <w:rsid w:val="00524746"/>
    <w:rsid w:val="00524FB3"/>
    <w:rsid w:val="005251E4"/>
    <w:rsid w:val="00525B37"/>
    <w:rsid w:val="0052615C"/>
    <w:rsid w:val="00530CA4"/>
    <w:rsid w:val="00531573"/>
    <w:rsid w:val="00532546"/>
    <w:rsid w:val="00532778"/>
    <w:rsid w:val="00532894"/>
    <w:rsid w:val="0053342F"/>
    <w:rsid w:val="00535581"/>
    <w:rsid w:val="005401F5"/>
    <w:rsid w:val="00543FB1"/>
    <w:rsid w:val="00544BE9"/>
    <w:rsid w:val="00545F4F"/>
    <w:rsid w:val="005460C5"/>
    <w:rsid w:val="005461A2"/>
    <w:rsid w:val="005463B1"/>
    <w:rsid w:val="00550F2E"/>
    <w:rsid w:val="005518A8"/>
    <w:rsid w:val="005528A8"/>
    <w:rsid w:val="00553CA2"/>
    <w:rsid w:val="00554699"/>
    <w:rsid w:val="00554A20"/>
    <w:rsid w:val="00554DBD"/>
    <w:rsid w:val="00556E25"/>
    <w:rsid w:val="00556FFC"/>
    <w:rsid w:val="0056164D"/>
    <w:rsid w:val="00561BE0"/>
    <w:rsid w:val="00561D83"/>
    <w:rsid w:val="00561F04"/>
    <w:rsid w:val="00562F1A"/>
    <w:rsid w:val="00563F2C"/>
    <w:rsid w:val="005650D1"/>
    <w:rsid w:val="005653D7"/>
    <w:rsid w:val="00565DE4"/>
    <w:rsid w:val="0056656A"/>
    <w:rsid w:val="00571A41"/>
    <w:rsid w:val="0057395B"/>
    <w:rsid w:val="00573A5C"/>
    <w:rsid w:val="00574A25"/>
    <w:rsid w:val="0057599F"/>
    <w:rsid w:val="00576A71"/>
    <w:rsid w:val="00577B4D"/>
    <w:rsid w:val="00580B0C"/>
    <w:rsid w:val="00580DB6"/>
    <w:rsid w:val="0058102F"/>
    <w:rsid w:val="005833CA"/>
    <w:rsid w:val="00583461"/>
    <w:rsid w:val="00584133"/>
    <w:rsid w:val="0058446A"/>
    <w:rsid w:val="00585390"/>
    <w:rsid w:val="0058672F"/>
    <w:rsid w:val="00590335"/>
    <w:rsid w:val="00591DBA"/>
    <w:rsid w:val="005930D2"/>
    <w:rsid w:val="00594144"/>
    <w:rsid w:val="0059691B"/>
    <w:rsid w:val="005A0543"/>
    <w:rsid w:val="005A21C0"/>
    <w:rsid w:val="005A22CE"/>
    <w:rsid w:val="005A34CD"/>
    <w:rsid w:val="005A3D7C"/>
    <w:rsid w:val="005A4DA5"/>
    <w:rsid w:val="005A5AFF"/>
    <w:rsid w:val="005A5D83"/>
    <w:rsid w:val="005B0E6D"/>
    <w:rsid w:val="005B1017"/>
    <w:rsid w:val="005B1B81"/>
    <w:rsid w:val="005B43AD"/>
    <w:rsid w:val="005B49B8"/>
    <w:rsid w:val="005B5A41"/>
    <w:rsid w:val="005B6F22"/>
    <w:rsid w:val="005B7E98"/>
    <w:rsid w:val="005C047D"/>
    <w:rsid w:val="005C118C"/>
    <w:rsid w:val="005C1ECA"/>
    <w:rsid w:val="005C22C6"/>
    <w:rsid w:val="005C2A58"/>
    <w:rsid w:val="005C40D2"/>
    <w:rsid w:val="005C5FF3"/>
    <w:rsid w:val="005C74C5"/>
    <w:rsid w:val="005D15D2"/>
    <w:rsid w:val="005D1621"/>
    <w:rsid w:val="005D1C55"/>
    <w:rsid w:val="005D1EDB"/>
    <w:rsid w:val="005D2B26"/>
    <w:rsid w:val="005D4848"/>
    <w:rsid w:val="005D4B1E"/>
    <w:rsid w:val="005D4CF4"/>
    <w:rsid w:val="005D567A"/>
    <w:rsid w:val="005D56EE"/>
    <w:rsid w:val="005D5BB8"/>
    <w:rsid w:val="005D661A"/>
    <w:rsid w:val="005D6A28"/>
    <w:rsid w:val="005D7243"/>
    <w:rsid w:val="005D76A5"/>
    <w:rsid w:val="005E0089"/>
    <w:rsid w:val="005E14B3"/>
    <w:rsid w:val="005E2364"/>
    <w:rsid w:val="005E3072"/>
    <w:rsid w:val="005E3C90"/>
    <w:rsid w:val="005E522E"/>
    <w:rsid w:val="005F00E0"/>
    <w:rsid w:val="005F0ED7"/>
    <w:rsid w:val="005F3214"/>
    <w:rsid w:val="005F38BF"/>
    <w:rsid w:val="005F3D4E"/>
    <w:rsid w:val="005F42F3"/>
    <w:rsid w:val="005F5767"/>
    <w:rsid w:val="005F57AA"/>
    <w:rsid w:val="005F5FE6"/>
    <w:rsid w:val="005F6662"/>
    <w:rsid w:val="005F6828"/>
    <w:rsid w:val="005F7459"/>
    <w:rsid w:val="005F75D6"/>
    <w:rsid w:val="00600CB9"/>
    <w:rsid w:val="00601F4D"/>
    <w:rsid w:val="006040FF"/>
    <w:rsid w:val="0060487A"/>
    <w:rsid w:val="00605B14"/>
    <w:rsid w:val="00606C47"/>
    <w:rsid w:val="006074BD"/>
    <w:rsid w:val="006106F3"/>
    <w:rsid w:val="00611B19"/>
    <w:rsid w:val="006124E9"/>
    <w:rsid w:val="0061250F"/>
    <w:rsid w:val="00614FD8"/>
    <w:rsid w:val="006152F3"/>
    <w:rsid w:val="006163D0"/>
    <w:rsid w:val="00617AED"/>
    <w:rsid w:val="00617F36"/>
    <w:rsid w:val="00622C0C"/>
    <w:rsid w:val="00622C9C"/>
    <w:rsid w:val="00622D7A"/>
    <w:rsid w:val="00623088"/>
    <w:rsid w:val="0062690F"/>
    <w:rsid w:val="00627B16"/>
    <w:rsid w:val="00630DE0"/>
    <w:rsid w:val="00632718"/>
    <w:rsid w:val="006338B5"/>
    <w:rsid w:val="0063743B"/>
    <w:rsid w:val="006377A4"/>
    <w:rsid w:val="00637FBB"/>
    <w:rsid w:val="00640163"/>
    <w:rsid w:val="00641579"/>
    <w:rsid w:val="0064229F"/>
    <w:rsid w:val="0064395B"/>
    <w:rsid w:val="00644C79"/>
    <w:rsid w:val="006452D6"/>
    <w:rsid w:val="006454EC"/>
    <w:rsid w:val="00645BA8"/>
    <w:rsid w:val="00655466"/>
    <w:rsid w:val="006557D0"/>
    <w:rsid w:val="00655EBB"/>
    <w:rsid w:val="006561B6"/>
    <w:rsid w:val="0065641F"/>
    <w:rsid w:val="006568B0"/>
    <w:rsid w:val="00657E18"/>
    <w:rsid w:val="00660BD2"/>
    <w:rsid w:val="00661104"/>
    <w:rsid w:val="00661F76"/>
    <w:rsid w:val="0066276D"/>
    <w:rsid w:val="00664400"/>
    <w:rsid w:val="00666AA5"/>
    <w:rsid w:val="0066783C"/>
    <w:rsid w:val="00670D8D"/>
    <w:rsid w:val="00675DCB"/>
    <w:rsid w:val="00675F11"/>
    <w:rsid w:val="006765BA"/>
    <w:rsid w:val="006779E8"/>
    <w:rsid w:val="00677E53"/>
    <w:rsid w:val="006829D8"/>
    <w:rsid w:val="00683DAF"/>
    <w:rsid w:val="0068451E"/>
    <w:rsid w:val="00685E00"/>
    <w:rsid w:val="0068641A"/>
    <w:rsid w:val="00687F12"/>
    <w:rsid w:val="00691C97"/>
    <w:rsid w:val="006950F5"/>
    <w:rsid w:val="00695ECA"/>
    <w:rsid w:val="0069767A"/>
    <w:rsid w:val="006979E1"/>
    <w:rsid w:val="006A12FB"/>
    <w:rsid w:val="006A1762"/>
    <w:rsid w:val="006A36B9"/>
    <w:rsid w:val="006A38A0"/>
    <w:rsid w:val="006A3A38"/>
    <w:rsid w:val="006A5685"/>
    <w:rsid w:val="006A5A18"/>
    <w:rsid w:val="006A60D1"/>
    <w:rsid w:val="006A7C43"/>
    <w:rsid w:val="006B0F95"/>
    <w:rsid w:val="006B37EC"/>
    <w:rsid w:val="006B415E"/>
    <w:rsid w:val="006B458B"/>
    <w:rsid w:val="006B58F3"/>
    <w:rsid w:val="006B61FA"/>
    <w:rsid w:val="006B69B4"/>
    <w:rsid w:val="006B6B2D"/>
    <w:rsid w:val="006B6BEF"/>
    <w:rsid w:val="006B7244"/>
    <w:rsid w:val="006C01B1"/>
    <w:rsid w:val="006C1902"/>
    <w:rsid w:val="006C367D"/>
    <w:rsid w:val="006C3801"/>
    <w:rsid w:val="006C4706"/>
    <w:rsid w:val="006C548E"/>
    <w:rsid w:val="006C5589"/>
    <w:rsid w:val="006C575F"/>
    <w:rsid w:val="006C5899"/>
    <w:rsid w:val="006C7B2D"/>
    <w:rsid w:val="006D0AF9"/>
    <w:rsid w:val="006D185C"/>
    <w:rsid w:val="006D1A32"/>
    <w:rsid w:val="006D21F1"/>
    <w:rsid w:val="006D2271"/>
    <w:rsid w:val="006D32F3"/>
    <w:rsid w:val="006D526C"/>
    <w:rsid w:val="006D590F"/>
    <w:rsid w:val="006D6074"/>
    <w:rsid w:val="006D72C0"/>
    <w:rsid w:val="006D74EB"/>
    <w:rsid w:val="006D780E"/>
    <w:rsid w:val="006E03C5"/>
    <w:rsid w:val="006E0F16"/>
    <w:rsid w:val="006E0FDD"/>
    <w:rsid w:val="006E164C"/>
    <w:rsid w:val="006E1752"/>
    <w:rsid w:val="006E1BBF"/>
    <w:rsid w:val="006E2692"/>
    <w:rsid w:val="006E32F3"/>
    <w:rsid w:val="006E5A70"/>
    <w:rsid w:val="006E73C0"/>
    <w:rsid w:val="006F0F79"/>
    <w:rsid w:val="006F11F2"/>
    <w:rsid w:val="006F16DB"/>
    <w:rsid w:val="006F1F16"/>
    <w:rsid w:val="006F3E48"/>
    <w:rsid w:val="006F42E3"/>
    <w:rsid w:val="006F4367"/>
    <w:rsid w:val="006F51F5"/>
    <w:rsid w:val="006F6ACD"/>
    <w:rsid w:val="007007A6"/>
    <w:rsid w:val="00703B87"/>
    <w:rsid w:val="00703B8B"/>
    <w:rsid w:val="007055C0"/>
    <w:rsid w:val="00707E4E"/>
    <w:rsid w:val="00710499"/>
    <w:rsid w:val="007132F4"/>
    <w:rsid w:val="0071339A"/>
    <w:rsid w:val="00717424"/>
    <w:rsid w:val="007179DE"/>
    <w:rsid w:val="00721617"/>
    <w:rsid w:val="00723805"/>
    <w:rsid w:val="00725A2F"/>
    <w:rsid w:val="00725CC7"/>
    <w:rsid w:val="007308BB"/>
    <w:rsid w:val="0073167E"/>
    <w:rsid w:val="007330E6"/>
    <w:rsid w:val="00733C23"/>
    <w:rsid w:val="00737B2D"/>
    <w:rsid w:val="007401FB"/>
    <w:rsid w:val="00740E18"/>
    <w:rsid w:val="00741FF0"/>
    <w:rsid w:val="00742EF5"/>
    <w:rsid w:val="007447F3"/>
    <w:rsid w:val="00744B54"/>
    <w:rsid w:val="00745E40"/>
    <w:rsid w:val="00747FF3"/>
    <w:rsid w:val="00750494"/>
    <w:rsid w:val="00753415"/>
    <w:rsid w:val="007536F6"/>
    <w:rsid w:val="007570B9"/>
    <w:rsid w:val="0075722D"/>
    <w:rsid w:val="00762885"/>
    <w:rsid w:val="00763433"/>
    <w:rsid w:val="007654F3"/>
    <w:rsid w:val="007658EC"/>
    <w:rsid w:val="007660F9"/>
    <w:rsid w:val="00766695"/>
    <w:rsid w:val="0076797C"/>
    <w:rsid w:val="00770127"/>
    <w:rsid w:val="00770527"/>
    <w:rsid w:val="0077054D"/>
    <w:rsid w:val="00771A43"/>
    <w:rsid w:val="00772352"/>
    <w:rsid w:val="00774A4B"/>
    <w:rsid w:val="00774E4D"/>
    <w:rsid w:val="007769EE"/>
    <w:rsid w:val="007803B9"/>
    <w:rsid w:val="0078138F"/>
    <w:rsid w:val="00782410"/>
    <w:rsid w:val="00784377"/>
    <w:rsid w:val="0078590A"/>
    <w:rsid w:val="007866B5"/>
    <w:rsid w:val="00790299"/>
    <w:rsid w:val="007923DE"/>
    <w:rsid w:val="007931A5"/>
    <w:rsid w:val="007936FE"/>
    <w:rsid w:val="00795701"/>
    <w:rsid w:val="00797C67"/>
    <w:rsid w:val="007A0D95"/>
    <w:rsid w:val="007A19CC"/>
    <w:rsid w:val="007A3111"/>
    <w:rsid w:val="007A3707"/>
    <w:rsid w:val="007A4499"/>
    <w:rsid w:val="007A565A"/>
    <w:rsid w:val="007A6ADF"/>
    <w:rsid w:val="007A77A8"/>
    <w:rsid w:val="007A7EF0"/>
    <w:rsid w:val="007B0190"/>
    <w:rsid w:val="007B2A77"/>
    <w:rsid w:val="007B4CD2"/>
    <w:rsid w:val="007B57AB"/>
    <w:rsid w:val="007B642E"/>
    <w:rsid w:val="007B677E"/>
    <w:rsid w:val="007B6ED8"/>
    <w:rsid w:val="007B7F96"/>
    <w:rsid w:val="007C0DAC"/>
    <w:rsid w:val="007C0FB9"/>
    <w:rsid w:val="007C1831"/>
    <w:rsid w:val="007C264B"/>
    <w:rsid w:val="007C2831"/>
    <w:rsid w:val="007C29AF"/>
    <w:rsid w:val="007C368E"/>
    <w:rsid w:val="007C4289"/>
    <w:rsid w:val="007C458A"/>
    <w:rsid w:val="007C4770"/>
    <w:rsid w:val="007C4CD5"/>
    <w:rsid w:val="007C560B"/>
    <w:rsid w:val="007C62B2"/>
    <w:rsid w:val="007C71F1"/>
    <w:rsid w:val="007C7584"/>
    <w:rsid w:val="007C7CC1"/>
    <w:rsid w:val="007D0501"/>
    <w:rsid w:val="007D0626"/>
    <w:rsid w:val="007D3ABB"/>
    <w:rsid w:val="007D3B12"/>
    <w:rsid w:val="007D6CA8"/>
    <w:rsid w:val="007E10C8"/>
    <w:rsid w:val="007E34A3"/>
    <w:rsid w:val="007E5C84"/>
    <w:rsid w:val="007E6A31"/>
    <w:rsid w:val="007E6C16"/>
    <w:rsid w:val="007F10BD"/>
    <w:rsid w:val="007F2224"/>
    <w:rsid w:val="007F290A"/>
    <w:rsid w:val="007F2E2A"/>
    <w:rsid w:val="007F31C3"/>
    <w:rsid w:val="007F3310"/>
    <w:rsid w:val="007F3DC5"/>
    <w:rsid w:val="007F4D87"/>
    <w:rsid w:val="007F5C2B"/>
    <w:rsid w:val="008007E7"/>
    <w:rsid w:val="0080091A"/>
    <w:rsid w:val="008017CE"/>
    <w:rsid w:val="00802C6A"/>
    <w:rsid w:val="008034AE"/>
    <w:rsid w:val="00803A83"/>
    <w:rsid w:val="00803C19"/>
    <w:rsid w:val="00803F89"/>
    <w:rsid w:val="00805E25"/>
    <w:rsid w:val="008062BD"/>
    <w:rsid w:val="008069AA"/>
    <w:rsid w:val="00807E44"/>
    <w:rsid w:val="008100EF"/>
    <w:rsid w:val="00810567"/>
    <w:rsid w:val="00810A41"/>
    <w:rsid w:val="00810E0C"/>
    <w:rsid w:val="00811300"/>
    <w:rsid w:val="00812113"/>
    <w:rsid w:val="008135E4"/>
    <w:rsid w:val="008139DA"/>
    <w:rsid w:val="00813B1F"/>
    <w:rsid w:val="00813F3C"/>
    <w:rsid w:val="00814079"/>
    <w:rsid w:val="00814E16"/>
    <w:rsid w:val="00815317"/>
    <w:rsid w:val="00816557"/>
    <w:rsid w:val="0081796A"/>
    <w:rsid w:val="00817982"/>
    <w:rsid w:val="00820E9C"/>
    <w:rsid w:val="00822FD6"/>
    <w:rsid w:val="008235EF"/>
    <w:rsid w:val="008238AB"/>
    <w:rsid w:val="00824318"/>
    <w:rsid w:val="00825A06"/>
    <w:rsid w:val="008305EB"/>
    <w:rsid w:val="00830D57"/>
    <w:rsid w:val="008313E5"/>
    <w:rsid w:val="008359B2"/>
    <w:rsid w:val="00836DB9"/>
    <w:rsid w:val="00840BD3"/>
    <w:rsid w:val="00841A87"/>
    <w:rsid w:val="0084305C"/>
    <w:rsid w:val="00843C47"/>
    <w:rsid w:val="00845598"/>
    <w:rsid w:val="00845717"/>
    <w:rsid w:val="00845F9E"/>
    <w:rsid w:val="008465EB"/>
    <w:rsid w:val="00846AE8"/>
    <w:rsid w:val="008505BC"/>
    <w:rsid w:val="008514F6"/>
    <w:rsid w:val="00853726"/>
    <w:rsid w:val="00853B8E"/>
    <w:rsid w:val="0085561D"/>
    <w:rsid w:val="00855F54"/>
    <w:rsid w:val="008560FB"/>
    <w:rsid w:val="00860953"/>
    <w:rsid w:val="00860A6A"/>
    <w:rsid w:val="00861890"/>
    <w:rsid w:val="008630C7"/>
    <w:rsid w:val="00863106"/>
    <w:rsid w:val="00863403"/>
    <w:rsid w:val="0086550B"/>
    <w:rsid w:val="0086558B"/>
    <w:rsid w:val="008666E7"/>
    <w:rsid w:val="00867706"/>
    <w:rsid w:val="008716B9"/>
    <w:rsid w:val="0087202F"/>
    <w:rsid w:val="00872162"/>
    <w:rsid w:val="0087231C"/>
    <w:rsid w:val="0087286F"/>
    <w:rsid w:val="008741DE"/>
    <w:rsid w:val="008758EF"/>
    <w:rsid w:val="008759E2"/>
    <w:rsid w:val="0087624C"/>
    <w:rsid w:val="00877716"/>
    <w:rsid w:val="008813EB"/>
    <w:rsid w:val="00881A9E"/>
    <w:rsid w:val="00881D00"/>
    <w:rsid w:val="00882DC0"/>
    <w:rsid w:val="00884C67"/>
    <w:rsid w:val="00884CA4"/>
    <w:rsid w:val="00886AFB"/>
    <w:rsid w:val="00887073"/>
    <w:rsid w:val="00890F33"/>
    <w:rsid w:val="00892F35"/>
    <w:rsid w:val="008973D2"/>
    <w:rsid w:val="008A0B5A"/>
    <w:rsid w:val="008A0CA1"/>
    <w:rsid w:val="008A199E"/>
    <w:rsid w:val="008A1A28"/>
    <w:rsid w:val="008A216A"/>
    <w:rsid w:val="008A2822"/>
    <w:rsid w:val="008A2EDB"/>
    <w:rsid w:val="008A3973"/>
    <w:rsid w:val="008A493A"/>
    <w:rsid w:val="008A5647"/>
    <w:rsid w:val="008A5FB0"/>
    <w:rsid w:val="008A6235"/>
    <w:rsid w:val="008A7BD5"/>
    <w:rsid w:val="008B1B9E"/>
    <w:rsid w:val="008B1DFD"/>
    <w:rsid w:val="008B4980"/>
    <w:rsid w:val="008B65A8"/>
    <w:rsid w:val="008B72CB"/>
    <w:rsid w:val="008B7FEB"/>
    <w:rsid w:val="008C0772"/>
    <w:rsid w:val="008C2C76"/>
    <w:rsid w:val="008C36FB"/>
    <w:rsid w:val="008C3D71"/>
    <w:rsid w:val="008C4A5C"/>
    <w:rsid w:val="008C531D"/>
    <w:rsid w:val="008C6355"/>
    <w:rsid w:val="008C7E12"/>
    <w:rsid w:val="008D0A91"/>
    <w:rsid w:val="008D15B6"/>
    <w:rsid w:val="008D1E5D"/>
    <w:rsid w:val="008D260B"/>
    <w:rsid w:val="008D2A96"/>
    <w:rsid w:val="008D3849"/>
    <w:rsid w:val="008D38F0"/>
    <w:rsid w:val="008D45C8"/>
    <w:rsid w:val="008D5306"/>
    <w:rsid w:val="008D5784"/>
    <w:rsid w:val="008D634D"/>
    <w:rsid w:val="008D63ED"/>
    <w:rsid w:val="008E0861"/>
    <w:rsid w:val="008E2689"/>
    <w:rsid w:val="008E61FD"/>
    <w:rsid w:val="008E78DE"/>
    <w:rsid w:val="008F01CE"/>
    <w:rsid w:val="008F0847"/>
    <w:rsid w:val="008F0A59"/>
    <w:rsid w:val="008F0C84"/>
    <w:rsid w:val="008F1E19"/>
    <w:rsid w:val="008F2C38"/>
    <w:rsid w:val="008F3AE7"/>
    <w:rsid w:val="008F45DE"/>
    <w:rsid w:val="008F4CBC"/>
    <w:rsid w:val="008F547F"/>
    <w:rsid w:val="008F6533"/>
    <w:rsid w:val="008F6EF9"/>
    <w:rsid w:val="008F7B69"/>
    <w:rsid w:val="00901B77"/>
    <w:rsid w:val="00902658"/>
    <w:rsid w:val="009057D2"/>
    <w:rsid w:val="009059BC"/>
    <w:rsid w:val="00905B35"/>
    <w:rsid w:val="00905FA1"/>
    <w:rsid w:val="0090656E"/>
    <w:rsid w:val="009065CA"/>
    <w:rsid w:val="009065CF"/>
    <w:rsid w:val="00906C2E"/>
    <w:rsid w:val="009077CC"/>
    <w:rsid w:val="00907BC2"/>
    <w:rsid w:val="00910181"/>
    <w:rsid w:val="00912BB5"/>
    <w:rsid w:val="009140C5"/>
    <w:rsid w:val="00914D5C"/>
    <w:rsid w:val="00915162"/>
    <w:rsid w:val="00915E64"/>
    <w:rsid w:val="00915EBC"/>
    <w:rsid w:val="00916534"/>
    <w:rsid w:val="009205DC"/>
    <w:rsid w:val="00921321"/>
    <w:rsid w:val="009217AF"/>
    <w:rsid w:val="009219AB"/>
    <w:rsid w:val="00921D67"/>
    <w:rsid w:val="00921F65"/>
    <w:rsid w:val="0092259F"/>
    <w:rsid w:val="00922F10"/>
    <w:rsid w:val="009230A0"/>
    <w:rsid w:val="00924200"/>
    <w:rsid w:val="00924C90"/>
    <w:rsid w:val="009303E4"/>
    <w:rsid w:val="009324EB"/>
    <w:rsid w:val="00932891"/>
    <w:rsid w:val="00932983"/>
    <w:rsid w:val="009342E4"/>
    <w:rsid w:val="009358C0"/>
    <w:rsid w:val="00936CB3"/>
    <w:rsid w:val="009402E0"/>
    <w:rsid w:val="009406CE"/>
    <w:rsid w:val="00941781"/>
    <w:rsid w:val="0094195B"/>
    <w:rsid w:val="00941B8A"/>
    <w:rsid w:val="00941D94"/>
    <w:rsid w:val="00942ADD"/>
    <w:rsid w:val="009438DD"/>
    <w:rsid w:val="00943ABA"/>
    <w:rsid w:val="00946414"/>
    <w:rsid w:val="009464CF"/>
    <w:rsid w:val="00946DF9"/>
    <w:rsid w:val="00947FB2"/>
    <w:rsid w:val="00950A8E"/>
    <w:rsid w:val="00951226"/>
    <w:rsid w:val="009517C7"/>
    <w:rsid w:val="00953B53"/>
    <w:rsid w:val="00953F62"/>
    <w:rsid w:val="00956CBB"/>
    <w:rsid w:val="00957870"/>
    <w:rsid w:val="009607D2"/>
    <w:rsid w:val="009614DE"/>
    <w:rsid w:val="00963520"/>
    <w:rsid w:val="00964C73"/>
    <w:rsid w:val="009653DC"/>
    <w:rsid w:val="009679D4"/>
    <w:rsid w:val="00967EBC"/>
    <w:rsid w:val="009712C2"/>
    <w:rsid w:val="0097306D"/>
    <w:rsid w:val="00973384"/>
    <w:rsid w:val="00974194"/>
    <w:rsid w:val="00976414"/>
    <w:rsid w:val="00976595"/>
    <w:rsid w:val="00981E1D"/>
    <w:rsid w:val="00981E33"/>
    <w:rsid w:val="0098268C"/>
    <w:rsid w:val="00982A5A"/>
    <w:rsid w:val="00984552"/>
    <w:rsid w:val="00986229"/>
    <w:rsid w:val="00987197"/>
    <w:rsid w:val="009907D4"/>
    <w:rsid w:val="0099087D"/>
    <w:rsid w:val="009912F2"/>
    <w:rsid w:val="00991453"/>
    <w:rsid w:val="009914FB"/>
    <w:rsid w:val="00992708"/>
    <w:rsid w:val="009929C8"/>
    <w:rsid w:val="0099581A"/>
    <w:rsid w:val="00995C0D"/>
    <w:rsid w:val="00996ADD"/>
    <w:rsid w:val="00997336"/>
    <w:rsid w:val="009A0955"/>
    <w:rsid w:val="009A0B85"/>
    <w:rsid w:val="009A1F2D"/>
    <w:rsid w:val="009A26E7"/>
    <w:rsid w:val="009A481E"/>
    <w:rsid w:val="009A5824"/>
    <w:rsid w:val="009A5E02"/>
    <w:rsid w:val="009A623E"/>
    <w:rsid w:val="009A62ED"/>
    <w:rsid w:val="009A7B24"/>
    <w:rsid w:val="009B3B85"/>
    <w:rsid w:val="009B600C"/>
    <w:rsid w:val="009B6EEE"/>
    <w:rsid w:val="009B73F1"/>
    <w:rsid w:val="009B7634"/>
    <w:rsid w:val="009B793B"/>
    <w:rsid w:val="009C0A54"/>
    <w:rsid w:val="009C118F"/>
    <w:rsid w:val="009C1BB7"/>
    <w:rsid w:val="009C21DB"/>
    <w:rsid w:val="009C232A"/>
    <w:rsid w:val="009C5456"/>
    <w:rsid w:val="009C6036"/>
    <w:rsid w:val="009C7AE1"/>
    <w:rsid w:val="009D1026"/>
    <w:rsid w:val="009D1A9C"/>
    <w:rsid w:val="009D3CDE"/>
    <w:rsid w:val="009D3D3D"/>
    <w:rsid w:val="009D3F6A"/>
    <w:rsid w:val="009D696F"/>
    <w:rsid w:val="009E046A"/>
    <w:rsid w:val="009E059A"/>
    <w:rsid w:val="009E08C0"/>
    <w:rsid w:val="009E14D8"/>
    <w:rsid w:val="009E1F9E"/>
    <w:rsid w:val="009E5AAD"/>
    <w:rsid w:val="009E6797"/>
    <w:rsid w:val="009E6EFC"/>
    <w:rsid w:val="009F0C76"/>
    <w:rsid w:val="009F2FE4"/>
    <w:rsid w:val="009F3031"/>
    <w:rsid w:val="009F79C1"/>
    <w:rsid w:val="00A01A34"/>
    <w:rsid w:val="00A02325"/>
    <w:rsid w:val="00A026FD"/>
    <w:rsid w:val="00A02E5A"/>
    <w:rsid w:val="00A03264"/>
    <w:rsid w:val="00A03506"/>
    <w:rsid w:val="00A04675"/>
    <w:rsid w:val="00A071A2"/>
    <w:rsid w:val="00A07DD9"/>
    <w:rsid w:val="00A07DF2"/>
    <w:rsid w:val="00A10225"/>
    <w:rsid w:val="00A1229A"/>
    <w:rsid w:val="00A12ED2"/>
    <w:rsid w:val="00A13C1E"/>
    <w:rsid w:val="00A13FF7"/>
    <w:rsid w:val="00A149CD"/>
    <w:rsid w:val="00A152CA"/>
    <w:rsid w:val="00A155BE"/>
    <w:rsid w:val="00A15932"/>
    <w:rsid w:val="00A161BF"/>
    <w:rsid w:val="00A1781E"/>
    <w:rsid w:val="00A2028E"/>
    <w:rsid w:val="00A20ACB"/>
    <w:rsid w:val="00A23E87"/>
    <w:rsid w:val="00A23EA3"/>
    <w:rsid w:val="00A2427F"/>
    <w:rsid w:val="00A245D4"/>
    <w:rsid w:val="00A26938"/>
    <w:rsid w:val="00A27A9E"/>
    <w:rsid w:val="00A303D4"/>
    <w:rsid w:val="00A30A8A"/>
    <w:rsid w:val="00A327AE"/>
    <w:rsid w:val="00A33BEB"/>
    <w:rsid w:val="00A34B4D"/>
    <w:rsid w:val="00A35441"/>
    <w:rsid w:val="00A357C5"/>
    <w:rsid w:val="00A36D83"/>
    <w:rsid w:val="00A37B04"/>
    <w:rsid w:val="00A40C2A"/>
    <w:rsid w:val="00A43049"/>
    <w:rsid w:val="00A43D66"/>
    <w:rsid w:val="00A44B85"/>
    <w:rsid w:val="00A44BF3"/>
    <w:rsid w:val="00A46231"/>
    <w:rsid w:val="00A472F8"/>
    <w:rsid w:val="00A51914"/>
    <w:rsid w:val="00A51E19"/>
    <w:rsid w:val="00A521B1"/>
    <w:rsid w:val="00A52313"/>
    <w:rsid w:val="00A523C6"/>
    <w:rsid w:val="00A523C7"/>
    <w:rsid w:val="00A5245E"/>
    <w:rsid w:val="00A54214"/>
    <w:rsid w:val="00A550B9"/>
    <w:rsid w:val="00A555E5"/>
    <w:rsid w:val="00A55D71"/>
    <w:rsid w:val="00A56753"/>
    <w:rsid w:val="00A56903"/>
    <w:rsid w:val="00A56ABB"/>
    <w:rsid w:val="00A57337"/>
    <w:rsid w:val="00A60139"/>
    <w:rsid w:val="00A60D73"/>
    <w:rsid w:val="00A60FF2"/>
    <w:rsid w:val="00A62279"/>
    <w:rsid w:val="00A62A2C"/>
    <w:rsid w:val="00A6330B"/>
    <w:rsid w:val="00A638E0"/>
    <w:rsid w:val="00A6543A"/>
    <w:rsid w:val="00A657CC"/>
    <w:rsid w:val="00A678E0"/>
    <w:rsid w:val="00A67FBE"/>
    <w:rsid w:val="00A67FE3"/>
    <w:rsid w:val="00A70008"/>
    <w:rsid w:val="00A70B06"/>
    <w:rsid w:val="00A70D76"/>
    <w:rsid w:val="00A7175B"/>
    <w:rsid w:val="00A71BBB"/>
    <w:rsid w:val="00A73ACA"/>
    <w:rsid w:val="00A748FB"/>
    <w:rsid w:val="00A75A7B"/>
    <w:rsid w:val="00A7738C"/>
    <w:rsid w:val="00A77D8A"/>
    <w:rsid w:val="00A80FF8"/>
    <w:rsid w:val="00A8182F"/>
    <w:rsid w:val="00A8200A"/>
    <w:rsid w:val="00A82672"/>
    <w:rsid w:val="00A8275C"/>
    <w:rsid w:val="00A83AC7"/>
    <w:rsid w:val="00A83DFB"/>
    <w:rsid w:val="00A83F73"/>
    <w:rsid w:val="00A84224"/>
    <w:rsid w:val="00A85E17"/>
    <w:rsid w:val="00A862A7"/>
    <w:rsid w:val="00A90324"/>
    <w:rsid w:val="00A917A9"/>
    <w:rsid w:val="00A923AA"/>
    <w:rsid w:val="00A944D1"/>
    <w:rsid w:val="00A95623"/>
    <w:rsid w:val="00A96405"/>
    <w:rsid w:val="00AA0D1A"/>
    <w:rsid w:val="00AA2152"/>
    <w:rsid w:val="00AA2599"/>
    <w:rsid w:val="00AA3653"/>
    <w:rsid w:val="00AA3F62"/>
    <w:rsid w:val="00AA4245"/>
    <w:rsid w:val="00AA5AD7"/>
    <w:rsid w:val="00AB2D51"/>
    <w:rsid w:val="00AB331E"/>
    <w:rsid w:val="00AB517B"/>
    <w:rsid w:val="00AB5F49"/>
    <w:rsid w:val="00AB757E"/>
    <w:rsid w:val="00AB7DF1"/>
    <w:rsid w:val="00AC1597"/>
    <w:rsid w:val="00AC4136"/>
    <w:rsid w:val="00AC635B"/>
    <w:rsid w:val="00AC6637"/>
    <w:rsid w:val="00AC68C6"/>
    <w:rsid w:val="00AC7B90"/>
    <w:rsid w:val="00AC7F30"/>
    <w:rsid w:val="00AD2EE5"/>
    <w:rsid w:val="00AD3AD4"/>
    <w:rsid w:val="00AD4EBB"/>
    <w:rsid w:val="00AD5051"/>
    <w:rsid w:val="00AD7445"/>
    <w:rsid w:val="00AE26C7"/>
    <w:rsid w:val="00AE477E"/>
    <w:rsid w:val="00AE5B14"/>
    <w:rsid w:val="00AE753C"/>
    <w:rsid w:val="00AF090E"/>
    <w:rsid w:val="00AF1108"/>
    <w:rsid w:val="00AF122C"/>
    <w:rsid w:val="00AF1BD8"/>
    <w:rsid w:val="00AF1E29"/>
    <w:rsid w:val="00AF21B2"/>
    <w:rsid w:val="00AF3BB5"/>
    <w:rsid w:val="00AF42B4"/>
    <w:rsid w:val="00AF461A"/>
    <w:rsid w:val="00AF6220"/>
    <w:rsid w:val="00B0667E"/>
    <w:rsid w:val="00B12B7E"/>
    <w:rsid w:val="00B12DC5"/>
    <w:rsid w:val="00B12E45"/>
    <w:rsid w:val="00B15834"/>
    <w:rsid w:val="00B16630"/>
    <w:rsid w:val="00B16D93"/>
    <w:rsid w:val="00B16FC9"/>
    <w:rsid w:val="00B178C4"/>
    <w:rsid w:val="00B17C38"/>
    <w:rsid w:val="00B21591"/>
    <w:rsid w:val="00B22E94"/>
    <w:rsid w:val="00B23646"/>
    <w:rsid w:val="00B25019"/>
    <w:rsid w:val="00B26736"/>
    <w:rsid w:val="00B317E7"/>
    <w:rsid w:val="00B32F89"/>
    <w:rsid w:val="00B37779"/>
    <w:rsid w:val="00B415E9"/>
    <w:rsid w:val="00B458A4"/>
    <w:rsid w:val="00B51258"/>
    <w:rsid w:val="00B5156D"/>
    <w:rsid w:val="00B535E4"/>
    <w:rsid w:val="00B538EC"/>
    <w:rsid w:val="00B54BF6"/>
    <w:rsid w:val="00B55080"/>
    <w:rsid w:val="00B555FA"/>
    <w:rsid w:val="00B5569E"/>
    <w:rsid w:val="00B55CDC"/>
    <w:rsid w:val="00B56605"/>
    <w:rsid w:val="00B573C4"/>
    <w:rsid w:val="00B60611"/>
    <w:rsid w:val="00B60756"/>
    <w:rsid w:val="00B62613"/>
    <w:rsid w:val="00B6294A"/>
    <w:rsid w:val="00B62BCB"/>
    <w:rsid w:val="00B635C2"/>
    <w:rsid w:val="00B63D2B"/>
    <w:rsid w:val="00B642E8"/>
    <w:rsid w:val="00B64E14"/>
    <w:rsid w:val="00B6513E"/>
    <w:rsid w:val="00B70F85"/>
    <w:rsid w:val="00B71345"/>
    <w:rsid w:val="00B721BF"/>
    <w:rsid w:val="00B73665"/>
    <w:rsid w:val="00B73AB7"/>
    <w:rsid w:val="00B74581"/>
    <w:rsid w:val="00B74C35"/>
    <w:rsid w:val="00B74E15"/>
    <w:rsid w:val="00B75245"/>
    <w:rsid w:val="00B76233"/>
    <w:rsid w:val="00B76708"/>
    <w:rsid w:val="00B7740A"/>
    <w:rsid w:val="00B80469"/>
    <w:rsid w:val="00B832CC"/>
    <w:rsid w:val="00B83763"/>
    <w:rsid w:val="00B8577B"/>
    <w:rsid w:val="00B85AA7"/>
    <w:rsid w:val="00B85C77"/>
    <w:rsid w:val="00B87160"/>
    <w:rsid w:val="00B8723B"/>
    <w:rsid w:val="00B8795D"/>
    <w:rsid w:val="00B912BA"/>
    <w:rsid w:val="00B932B4"/>
    <w:rsid w:val="00B93781"/>
    <w:rsid w:val="00B94858"/>
    <w:rsid w:val="00B95A74"/>
    <w:rsid w:val="00B96452"/>
    <w:rsid w:val="00B966F8"/>
    <w:rsid w:val="00B972CD"/>
    <w:rsid w:val="00BA03F9"/>
    <w:rsid w:val="00BA0524"/>
    <w:rsid w:val="00BA0546"/>
    <w:rsid w:val="00BA07F8"/>
    <w:rsid w:val="00BA14C5"/>
    <w:rsid w:val="00BA278F"/>
    <w:rsid w:val="00BA279F"/>
    <w:rsid w:val="00BA29FB"/>
    <w:rsid w:val="00BA2A18"/>
    <w:rsid w:val="00BA35A2"/>
    <w:rsid w:val="00BA4047"/>
    <w:rsid w:val="00BA71F9"/>
    <w:rsid w:val="00BB019C"/>
    <w:rsid w:val="00BB03E3"/>
    <w:rsid w:val="00BB062B"/>
    <w:rsid w:val="00BB07B3"/>
    <w:rsid w:val="00BB090F"/>
    <w:rsid w:val="00BB1C12"/>
    <w:rsid w:val="00BB20DD"/>
    <w:rsid w:val="00BB290C"/>
    <w:rsid w:val="00BB34B8"/>
    <w:rsid w:val="00BB426A"/>
    <w:rsid w:val="00BB5754"/>
    <w:rsid w:val="00BB7349"/>
    <w:rsid w:val="00BB7593"/>
    <w:rsid w:val="00BC06C1"/>
    <w:rsid w:val="00BC0854"/>
    <w:rsid w:val="00BC0A95"/>
    <w:rsid w:val="00BC13BD"/>
    <w:rsid w:val="00BC2C6A"/>
    <w:rsid w:val="00BC2DC7"/>
    <w:rsid w:val="00BC4857"/>
    <w:rsid w:val="00BC4BF4"/>
    <w:rsid w:val="00BC4D80"/>
    <w:rsid w:val="00BC730A"/>
    <w:rsid w:val="00BC7E80"/>
    <w:rsid w:val="00BD01D4"/>
    <w:rsid w:val="00BD0633"/>
    <w:rsid w:val="00BD2376"/>
    <w:rsid w:val="00BD3F5E"/>
    <w:rsid w:val="00BD4305"/>
    <w:rsid w:val="00BD5049"/>
    <w:rsid w:val="00BD512D"/>
    <w:rsid w:val="00BD534D"/>
    <w:rsid w:val="00BD5E92"/>
    <w:rsid w:val="00BD623B"/>
    <w:rsid w:val="00BD762A"/>
    <w:rsid w:val="00BE08B5"/>
    <w:rsid w:val="00BE1753"/>
    <w:rsid w:val="00BE225A"/>
    <w:rsid w:val="00BE2349"/>
    <w:rsid w:val="00BE365D"/>
    <w:rsid w:val="00BE4E1D"/>
    <w:rsid w:val="00BE57DC"/>
    <w:rsid w:val="00BE6C93"/>
    <w:rsid w:val="00BF1461"/>
    <w:rsid w:val="00BF159E"/>
    <w:rsid w:val="00BF257D"/>
    <w:rsid w:val="00BF41D5"/>
    <w:rsid w:val="00BF614D"/>
    <w:rsid w:val="00BF635A"/>
    <w:rsid w:val="00BF6A70"/>
    <w:rsid w:val="00BF7FE1"/>
    <w:rsid w:val="00C0155F"/>
    <w:rsid w:val="00C01C09"/>
    <w:rsid w:val="00C026AB"/>
    <w:rsid w:val="00C053A6"/>
    <w:rsid w:val="00C0548C"/>
    <w:rsid w:val="00C07335"/>
    <w:rsid w:val="00C10AAB"/>
    <w:rsid w:val="00C1159B"/>
    <w:rsid w:val="00C13399"/>
    <w:rsid w:val="00C149D5"/>
    <w:rsid w:val="00C16B20"/>
    <w:rsid w:val="00C175F9"/>
    <w:rsid w:val="00C17C36"/>
    <w:rsid w:val="00C20DD8"/>
    <w:rsid w:val="00C20F13"/>
    <w:rsid w:val="00C22CF8"/>
    <w:rsid w:val="00C231AC"/>
    <w:rsid w:val="00C24816"/>
    <w:rsid w:val="00C275F9"/>
    <w:rsid w:val="00C27A6F"/>
    <w:rsid w:val="00C27FBA"/>
    <w:rsid w:val="00C32910"/>
    <w:rsid w:val="00C33E95"/>
    <w:rsid w:val="00C357E0"/>
    <w:rsid w:val="00C35D99"/>
    <w:rsid w:val="00C3666D"/>
    <w:rsid w:val="00C419A0"/>
    <w:rsid w:val="00C41C06"/>
    <w:rsid w:val="00C44E01"/>
    <w:rsid w:val="00C44F8B"/>
    <w:rsid w:val="00C456C6"/>
    <w:rsid w:val="00C45AF0"/>
    <w:rsid w:val="00C47A80"/>
    <w:rsid w:val="00C50DD5"/>
    <w:rsid w:val="00C51CFA"/>
    <w:rsid w:val="00C52764"/>
    <w:rsid w:val="00C52C41"/>
    <w:rsid w:val="00C534E6"/>
    <w:rsid w:val="00C54937"/>
    <w:rsid w:val="00C54F08"/>
    <w:rsid w:val="00C559B0"/>
    <w:rsid w:val="00C55EC9"/>
    <w:rsid w:val="00C56481"/>
    <w:rsid w:val="00C577AB"/>
    <w:rsid w:val="00C621C4"/>
    <w:rsid w:val="00C624FD"/>
    <w:rsid w:val="00C625A8"/>
    <w:rsid w:val="00C63874"/>
    <w:rsid w:val="00C639B7"/>
    <w:rsid w:val="00C66166"/>
    <w:rsid w:val="00C71DBA"/>
    <w:rsid w:val="00C72294"/>
    <w:rsid w:val="00C722F8"/>
    <w:rsid w:val="00C72D85"/>
    <w:rsid w:val="00C731F6"/>
    <w:rsid w:val="00C73514"/>
    <w:rsid w:val="00C74568"/>
    <w:rsid w:val="00C75AE9"/>
    <w:rsid w:val="00C77C4F"/>
    <w:rsid w:val="00C82B8F"/>
    <w:rsid w:val="00C8347A"/>
    <w:rsid w:val="00C84154"/>
    <w:rsid w:val="00C8468E"/>
    <w:rsid w:val="00C86489"/>
    <w:rsid w:val="00C866CE"/>
    <w:rsid w:val="00C90C5A"/>
    <w:rsid w:val="00C910B6"/>
    <w:rsid w:val="00C910FA"/>
    <w:rsid w:val="00C91B6D"/>
    <w:rsid w:val="00C927D9"/>
    <w:rsid w:val="00C9326E"/>
    <w:rsid w:val="00C93FC0"/>
    <w:rsid w:val="00C94CE0"/>
    <w:rsid w:val="00C96675"/>
    <w:rsid w:val="00C9713C"/>
    <w:rsid w:val="00C976DD"/>
    <w:rsid w:val="00C97805"/>
    <w:rsid w:val="00CA164B"/>
    <w:rsid w:val="00CA2156"/>
    <w:rsid w:val="00CA2AF4"/>
    <w:rsid w:val="00CA4021"/>
    <w:rsid w:val="00CA486D"/>
    <w:rsid w:val="00CA5946"/>
    <w:rsid w:val="00CA6CF2"/>
    <w:rsid w:val="00CA78CC"/>
    <w:rsid w:val="00CB2A75"/>
    <w:rsid w:val="00CB2D75"/>
    <w:rsid w:val="00CB3FEC"/>
    <w:rsid w:val="00CB4DE2"/>
    <w:rsid w:val="00CB54BF"/>
    <w:rsid w:val="00CB5D22"/>
    <w:rsid w:val="00CB7879"/>
    <w:rsid w:val="00CC0CFE"/>
    <w:rsid w:val="00CC0EF0"/>
    <w:rsid w:val="00CC175E"/>
    <w:rsid w:val="00CC17F1"/>
    <w:rsid w:val="00CC36F2"/>
    <w:rsid w:val="00CC3E3E"/>
    <w:rsid w:val="00CC4C13"/>
    <w:rsid w:val="00CC68E9"/>
    <w:rsid w:val="00CC69A1"/>
    <w:rsid w:val="00CC7094"/>
    <w:rsid w:val="00CC727A"/>
    <w:rsid w:val="00CD3E9B"/>
    <w:rsid w:val="00CD4335"/>
    <w:rsid w:val="00CD4EB4"/>
    <w:rsid w:val="00CD5B83"/>
    <w:rsid w:val="00CD72AE"/>
    <w:rsid w:val="00CD737A"/>
    <w:rsid w:val="00CD7CC8"/>
    <w:rsid w:val="00CE020B"/>
    <w:rsid w:val="00CE06E3"/>
    <w:rsid w:val="00CE0936"/>
    <w:rsid w:val="00CE1057"/>
    <w:rsid w:val="00CE11AB"/>
    <w:rsid w:val="00CE4311"/>
    <w:rsid w:val="00CE5342"/>
    <w:rsid w:val="00CE549B"/>
    <w:rsid w:val="00CE7B46"/>
    <w:rsid w:val="00CF00B9"/>
    <w:rsid w:val="00CF07CA"/>
    <w:rsid w:val="00CF0D3A"/>
    <w:rsid w:val="00CF1C92"/>
    <w:rsid w:val="00CF1FFB"/>
    <w:rsid w:val="00CF2237"/>
    <w:rsid w:val="00CF2BF2"/>
    <w:rsid w:val="00CF30A3"/>
    <w:rsid w:val="00CF3909"/>
    <w:rsid w:val="00CF3F87"/>
    <w:rsid w:val="00CF60EB"/>
    <w:rsid w:val="00CF70C7"/>
    <w:rsid w:val="00D02A80"/>
    <w:rsid w:val="00D0334B"/>
    <w:rsid w:val="00D03E92"/>
    <w:rsid w:val="00D03F8D"/>
    <w:rsid w:val="00D05574"/>
    <w:rsid w:val="00D07486"/>
    <w:rsid w:val="00D077D1"/>
    <w:rsid w:val="00D07C3B"/>
    <w:rsid w:val="00D07FE4"/>
    <w:rsid w:val="00D104D0"/>
    <w:rsid w:val="00D1223A"/>
    <w:rsid w:val="00D147C9"/>
    <w:rsid w:val="00D15B2E"/>
    <w:rsid w:val="00D20DA9"/>
    <w:rsid w:val="00D214A0"/>
    <w:rsid w:val="00D224AD"/>
    <w:rsid w:val="00D22A0C"/>
    <w:rsid w:val="00D244B3"/>
    <w:rsid w:val="00D24A97"/>
    <w:rsid w:val="00D24E07"/>
    <w:rsid w:val="00D27B1E"/>
    <w:rsid w:val="00D30A31"/>
    <w:rsid w:val="00D30E9D"/>
    <w:rsid w:val="00D30FB0"/>
    <w:rsid w:val="00D31294"/>
    <w:rsid w:val="00D31B0A"/>
    <w:rsid w:val="00D34743"/>
    <w:rsid w:val="00D34C0D"/>
    <w:rsid w:val="00D350AF"/>
    <w:rsid w:val="00D359AC"/>
    <w:rsid w:val="00D36722"/>
    <w:rsid w:val="00D36BAC"/>
    <w:rsid w:val="00D3706E"/>
    <w:rsid w:val="00D41146"/>
    <w:rsid w:val="00D41148"/>
    <w:rsid w:val="00D41205"/>
    <w:rsid w:val="00D41276"/>
    <w:rsid w:val="00D43718"/>
    <w:rsid w:val="00D45EAD"/>
    <w:rsid w:val="00D46182"/>
    <w:rsid w:val="00D53005"/>
    <w:rsid w:val="00D53277"/>
    <w:rsid w:val="00D53344"/>
    <w:rsid w:val="00D53E72"/>
    <w:rsid w:val="00D57796"/>
    <w:rsid w:val="00D60776"/>
    <w:rsid w:val="00D609D7"/>
    <w:rsid w:val="00D60C29"/>
    <w:rsid w:val="00D610AC"/>
    <w:rsid w:val="00D623F8"/>
    <w:rsid w:val="00D64D9E"/>
    <w:rsid w:val="00D65D68"/>
    <w:rsid w:val="00D6643B"/>
    <w:rsid w:val="00D66DB6"/>
    <w:rsid w:val="00D67EB8"/>
    <w:rsid w:val="00D700DC"/>
    <w:rsid w:val="00D70691"/>
    <w:rsid w:val="00D71122"/>
    <w:rsid w:val="00D71C91"/>
    <w:rsid w:val="00D73047"/>
    <w:rsid w:val="00D73A5C"/>
    <w:rsid w:val="00D742B1"/>
    <w:rsid w:val="00D74381"/>
    <w:rsid w:val="00D744E7"/>
    <w:rsid w:val="00D754EA"/>
    <w:rsid w:val="00D76441"/>
    <w:rsid w:val="00D806D5"/>
    <w:rsid w:val="00D80C3D"/>
    <w:rsid w:val="00D80EAB"/>
    <w:rsid w:val="00D82E00"/>
    <w:rsid w:val="00D83A76"/>
    <w:rsid w:val="00D83A7B"/>
    <w:rsid w:val="00D85F56"/>
    <w:rsid w:val="00D86428"/>
    <w:rsid w:val="00D86FD5"/>
    <w:rsid w:val="00D90807"/>
    <w:rsid w:val="00D912B1"/>
    <w:rsid w:val="00D9338F"/>
    <w:rsid w:val="00D94F55"/>
    <w:rsid w:val="00D95350"/>
    <w:rsid w:val="00DA0918"/>
    <w:rsid w:val="00DA0D38"/>
    <w:rsid w:val="00DA1100"/>
    <w:rsid w:val="00DA1113"/>
    <w:rsid w:val="00DA242F"/>
    <w:rsid w:val="00DA391C"/>
    <w:rsid w:val="00DA5323"/>
    <w:rsid w:val="00DA5F12"/>
    <w:rsid w:val="00DA671C"/>
    <w:rsid w:val="00DA7291"/>
    <w:rsid w:val="00DA7C35"/>
    <w:rsid w:val="00DB10B9"/>
    <w:rsid w:val="00DB13CD"/>
    <w:rsid w:val="00DB16B9"/>
    <w:rsid w:val="00DB1A1F"/>
    <w:rsid w:val="00DB20D7"/>
    <w:rsid w:val="00DB3B70"/>
    <w:rsid w:val="00DB504E"/>
    <w:rsid w:val="00DB54E3"/>
    <w:rsid w:val="00DB6084"/>
    <w:rsid w:val="00DB6AE5"/>
    <w:rsid w:val="00DC10ED"/>
    <w:rsid w:val="00DC1625"/>
    <w:rsid w:val="00DC20DB"/>
    <w:rsid w:val="00DC258C"/>
    <w:rsid w:val="00DC373A"/>
    <w:rsid w:val="00DC38D5"/>
    <w:rsid w:val="00DC468D"/>
    <w:rsid w:val="00DC722E"/>
    <w:rsid w:val="00DD235F"/>
    <w:rsid w:val="00DD4FD5"/>
    <w:rsid w:val="00DD50F6"/>
    <w:rsid w:val="00DD7E83"/>
    <w:rsid w:val="00DE2426"/>
    <w:rsid w:val="00DE37C0"/>
    <w:rsid w:val="00DE455B"/>
    <w:rsid w:val="00DE4744"/>
    <w:rsid w:val="00DE7CA3"/>
    <w:rsid w:val="00DF0FC9"/>
    <w:rsid w:val="00DF2E48"/>
    <w:rsid w:val="00DF61E3"/>
    <w:rsid w:val="00DF7282"/>
    <w:rsid w:val="00DF7E8A"/>
    <w:rsid w:val="00E01F07"/>
    <w:rsid w:val="00E0456B"/>
    <w:rsid w:val="00E0548C"/>
    <w:rsid w:val="00E05FA7"/>
    <w:rsid w:val="00E1166F"/>
    <w:rsid w:val="00E117D0"/>
    <w:rsid w:val="00E120F0"/>
    <w:rsid w:val="00E1212D"/>
    <w:rsid w:val="00E131B0"/>
    <w:rsid w:val="00E13886"/>
    <w:rsid w:val="00E13BA1"/>
    <w:rsid w:val="00E15149"/>
    <w:rsid w:val="00E15744"/>
    <w:rsid w:val="00E15842"/>
    <w:rsid w:val="00E15CF4"/>
    <w:rsid w:val="00E15D72"/>
    <w:rsid w:val="00E16378"/>
    <w:rsid w:val="00E20AF8"/>
    <w:rsid w:val="00E20E9D"/>
    <w:rsid w:val="00E227C5"/>
    <w:rsid w:val="00E2363D"/>
    <w:rsid w:val="00E23AC3"/>
    <w:rsid w:val="00E25383"/>
    <w:rsid w:val="00E25724"/>
    <w:rsid w:val="00E3001E"/>
    <w:rsid w:val="00E31720"/>
    <w:rsid w:val="00E32942"/>
    <w:rsid w:val="00E32C7D"/>
    <w:rsid w:val="00E34280"/>
    <w:rsid w:val="00E348BC"/>
    <w:rsid w:val="00E34D09"/>
    <w:rsid w:val="00E34F28"/>
    <w:rsid w:val="00E35DDE"/>
    <w:rsid w:val="00E36C50"/>
    <w:rsid w:val="00E37230"/>
    <w:rsid w:val="00E37BDF"/>
    <w:rsid w:val="00E37F0C"/>
    <w:rsid w:val="00E401CB"/>
    <w:rsid w:val="00E40844"/>
    <w:rsid w:val="00E42A61"/>
    <w:rsid w:val="00E42A76"/>
    <w:rsid w:val="00E42C71"/>
    <w:rsid w:val="00E4366D"/>
    <w:rsid w:val="00E4396E"/>
    <w:rsid w:val="00E44397"/>
    <w:rsid w:val="00E45142"/>
    <w:rsid w:val="00E452AB"/>
    <w:rsid w:val="00E45791"/>
    <w:rsid w:val="00E45D03"/>
    <w:rsid w:val="00E472D5"/>
    <w:rsid w:val="00E509DB"/>
    <w:rsid w:val="00E51178"/>
    <w:rsid w:val="00E51C05"/>
    <w:rsid w:val="00E51D42"/>
    <w:rsid w:val="00E532C7"/>
    <w:rsid w:val="00E532D9"/>
    <w:rsid w:val="00E53E8D"/>
    <w:rsid w:val="00E53F33"/>
    <w:rsid w:val="00E5578C"/>
    <w:rsid w:val="00E56A86"/>
    <w:rsid w:val="00E56B68"/>
    <w:rsid w:val="00E57D92"/>
    <w:rsid w:val="00E57F5F"/>
    <w:rsid w:val="00E60554"/>
    <w:rsid w:val="00E609E5"/>
    <w:rsid w:val="00E60D7D"/>
    <w:rsid w:val="00E62B02"/>
    <w:rsid w:val="00E631D3"/>
    <w:rsid w:val="00E64826"/>
    <w:rsid w:val="00E64CC8"/>
    <w:rsid w:val="00E6510E"/>
    <w:rsid w:val="00E658B3"/>
    <w:rsid w:val="00E66417"/>
    <w:rsid w:val="00E66F0E"/>
    <w:rsid w:val="00E712BF"/>
    <w:rsid w:val="00E72E74"/>
    <w:rsid w:val="00E73950"/>
    <w:rsid w:val="00E73C07"/>
    <w:rsid w:val="00E74C11"/>
    <w:rsid w:val="00E75817"/>
    <w:rsid w:val="00E76382"/>
    <w:rsid w:val="00E7640B"/>
    <w:rsid w:val="00E767C3"/>
    <w:rsid w:val="00E76EB5"/>
    <w:rsid w:val="00E77978"/>
    <w:rsid w:val="00E77A3E"/>
    <w:rsid w:val="00E77BE9"/>
    <w:rsid w:val="00E77F8F"/>
    <w:rsid w:val="00E80413"/>
    <w:rsid w:val="00E814F7"/>
    <w:rsid w:val="00E821EC"/>
    <w:rsid w:val="00E83E99"/>
    <w:rsid w:val="00E84072"/>
    <w:rsid w:val="00E8708E"/>
    <w:rsid w:val="00E8717D"/>
    <w:rsid w:val="00E877C1"/>
    <w:rsid w:val="00E9022E"/>
    <w:rsid w:val="00E90356"/>
    <w:rsid w:val="00E912EC"/>
    <w:rsid w:val="00E92198"/>
    <w:rsid w:val="00E936CC"/>
    <w:rsid w:val="00E93F91"/>
    <w:rsid w:val="00E942A6"/>
    <w:rsid w:val="00E94845"/>
    <w:rsid w:val="00E95824"/>
    <w:rsid w:val="00E96918"/>
    <w:rsid w:val="00E9712C"/>
    <w:rsid w:val="00E97608"/>
    <w:rsid w:val="00EA05EE"/>
    <w:rsid w:val="00EA0627"/>
    <w:rsid w:val="00EA3A82"/>
    <w:rsid w:val="00EA47CD"/>
    <w:rsid w:val="00EA6E30"/>
    <w:rsid w:val="00EB0043"/>
    <w:rsid w:val="00EB0677"/>
    <w:rsid w:val="00EB220B"/>
    <w:rsid w:val="00EB47F0"/>
    <w:rsid w:val="00EB5591"/>
    <w:rsid w:val="00EB7226"/>
    <w:rsid w:val="00EC1A45"/>
    <w:rsid w:val="00EC276E"/>
    <w:rsid w:val="00EC3DD3"/>
    <w:rsid w:val="00EC73EE"/>
    <w:rsid w:val="00ED09C2"/>
    <w:rsid w:val="00ED1A5E"/>
    <w:rsid w:val="00ED2261"/>
    <w:rsid w:val="00ED270D"/>
    <w:rsid w:val="00ED522A"/>
    <w:rsid w:val="00ED5626"/>
    <w:rsid w:val="00ED5C9E"/>
    <w:rsid w:val="00ED60E4"/>
    <w:rsid w:val="00ED67EF"/>
    <w:rsid w:val="00ED7A6F"/>
    <w:rsid w:val="00EE03ED"/>
    <w:rsid w:val="00EE0910"/>
    <w:rsid w:val="00EE0DFA"/>
    <w:rsid w:val="00EE10E5"/>
    <w:rsid w:val="00EE682F"/>
    <w:rsid w:val="00EE6D6A"/>
    <w:rsid w:val="00EE78DC"/>
    <w:rsid w:val="00EF009D"/>
    <w:rsid w:val="00EF08FB"/>
    <w:rsid w:val="00EF0DAC"/>
    <w:rsid w:val="00EF12E6"/>
    <w:rsid w:val="00EF1C33"/>
    <w:rsid w:val="00EF1CEC"/>
    <w:rsid w:val="00EF3AAC"/>
    <w:rsid w:val="00EF3B4D"/>
    <w:rsid w:val="00EF46A4"/>
    <w:rsid w:val="00EF4E28"/>
    <w:rsid w:val="00EF5AB0"/>
    <w:rsid w:val="00EF6DAD"/>
    <w:rsid w:val="00EF6DC6"/>
    <w:rsid w:val="00EF7C4F"/>
    <w:rsid w:val="00F009A5"/>
    <w:rsid w:val="00F00DEC"/>
    <w:rsid w:val="00F02496"/>
    <w:rsid w:val="00F02850"/>
    <w:rsid w:val="00F0443C"/>
    <w:rsid w:val="00F05624"/>
    <w:rsid w:val="00F12009"/>
    <w:rsid w:val="00F1209B"/>
    <w:rsid w:val="00F120BE"/>
    <w:rsid w:val="00F12337"/>
    <w:rsid w:val="00F15985"/>
    <w:rsid w:val="00F163FF"/>
    <w:rsid w:val="00F17E76"/>
    <w:rsid w:val="00F205D6"/>
    <w:rsid w:val="00F20786"/>
    <w:rsid w:val="00F214D1"/>
    <w:rsid w:val="00F21E03"/>
    <w:rsid w:val="00F220A1"/>
    <w:rsid w:val="00F22DA3"/>
    <w:rsid w:val="00F2303C"/>
    <w:rsid w:val="00F244B5"/>
    <w:rsid w:val="00F2510D"/>
    <w:rsid w:val="00F2638C"/>
    <w:rsid w:val="00F27ADF"/>
    <w:rsid w:val="00F36A81"/>
    <w:rsid w:val="00F403CF"/>
    <w:rsid w:val="00F409FA"/>
    <w:rsid w:val="00F40B74"/>
    <w:rsid w:val="00F41862"/>
    <w:rsid w:val="00F41DC4"/>
    <w:rsid w:val="00F42274"/>
    <w:rsid w:val="00F42707"/>
    <w:rsid w:val="00F42C95"/>
    <w:rsid w:val="00F4378D"/>
    <w:rsid w:val="00F43E14"/>
    <w:rsid w:val="00F44573"/>
    <w:rsid w:val="00F44951"/>
    <w:rsid w:val="00F47AE1"/>
    <w:rsid w:val="00F502E0"/>
    <w:rsid w:val="00F50E4A"/>
    <w:rsid w:val="00F50F49"/>
    <w:rsid w:val="00F514D9"/>
    <w:rsid w:val="00F52535"/>
    <w:rsid w:val="00F53295"/>
    <w:rsid w:val="00F5337F"/>
    <w:rsid w:val="00F53EB0"/>
    <w:rsid w:val="00F53F90"/>
    <w:rsid w:val="00F55EE5"/>
    <w:rsid w:val="00F56CF0"/>
    <w:rsid w:val="00F56E8B"/>
    <w:rsid w:val="00F57894"/>
    <w:rsid w:val="00F61C26"/>
    <w:rsid w:val="00F6274C"/>
    <w:rsid w:val="00F628EF"/>
    <w:rsid w:val="00F62E87"/>
    <w:rsid w:val="00F63D90"/>
    <w:rsid w:val="00F64525"/>
    <w:rsid w:val="00F66792"/>
    <w:rsid w:val="00F67840"/>
    <w:rsid w:val="00F678A2"/>
    <w:rsid w:val="00F7090B"/>
    <w:rsid w:val="00F70A49"/>
    <w:rsid w:val="00F711FC"/>
    <w:rsid w:val="00F71C8B"/>
    <w:rsid w:val="00F71D2F"/>
    <w:rsid w:val="00F72010"/>
    <w:rsid w:val="00F74496"/>
    <w:rsid w:val="00F74A17"/>
    <w:rsid w:val="00F755F1"/>
    <w:rsid w:val="00F779F6"/>
    <w:rsid w:val="00F805FA"/>
    <w:rsid w:val="00F819A9"/>
    <w:rsid w:val="00F819C0"/>
    <w:rsid w:val="00F82AE0"/>
    <w:rsid w:val="00F833DE"/>
    <w:rsid w:val="00F83DC3"/>
    <w:rsid w:val="00F84D46"/>
    <w:rsid w:val="00F85DC1"/>
    <w:rsid w:val="00F8695B"/>
    <w:rsid w:val="00F87181"/>
    <w:rsid w:val="00F87D94"/>
    <w:rsid w:val="00F90F7C"/>
    <w:rsid w:val="00F9210B"/>
    <w:rsid w:val="00F936E3"/>
    <w:rsid w:val="00F937E1"/>
    <w:rsid w:val="00F94439"/>
    <w:rsid w:val="00F94467"/>
    <w:rsid w:val="00F94C2F"/>
    <w:rsid w:val="00F94C7B"/>
    <w:rsid w:val="00FA03A1"/>
    <w:rsid w:val="00FA0C9A"/>
    <w:rsid w:val="00FA12B2"/>
    <w:rsid w:val="00FA16DD"/>
    <w:rsid w:val="00FA1CE3"/>
    <w:rsid w:val="00FA1DEB"/>
    <w:rsid w:val="00FA25A3"/>
    <w:rsid w:val="00FA479B"/>
    <w:rsid w:val="00FA6230"/>
    <w:rsid w:val="00FA76DD"/>
    <w:rsid w:val="00FB01D9"/>
    <w:rsid w:val="00FB2160"/>
    <w:rsid w:val="00FB3088"/>
    <w:rsid w:val="00FB5291"/>
    <w:rsid w:val="00FB53F6"/>
    <w:rsid w:val="00FB716F"/>
    <w:rsid w:val="00FB75B9"/>
    <w:rsid w:val="00FB798B"/>
    <w:rsid w:val="00FC0F66"/>
    <w:rsid w:val="00FC3C75"/>
    <w:rsid w:val="00FC5C13"/>
    <w:rsid w:val="00FC65C8"/>
    <w:rsid w:val="00FD0C82"/>
    <w:rsid w:val="00FD14CA"/>
    <w:rsid w:val="00FD271A"/>
    <w:rsid w:val="00FD3269"/>
    <w:rsid w:val="00FD3AA2"/>
    <w:rsid w:val="00FD3ADD"/>
    <w:rsid w:val="00FD5677"/>
    <w:rsid w:val="00FD6804"/>
    <w:rsid w:val="00FD7401"/>
    <w:rsid w:val="00FE21D5"/>
    <w:rsid w:val="00FE38F3"/>
    <w:rsid w:val="00FE50C7"/>
    <w:rsid w:val="00FE57B0"/>
    <w:rsid w:val="00FE60E1"/>
    <w:rsid w:val="00FF10CF"/>
    <w:rsid w:val="00FF1858"/>
    <w:rsid w:val="00FF2DED"/>
    <w:rsid w:val="00FF37EF"/>
    <w:rsid w:val="00FF5DE8"/>
    <w:rsid w:val="00FF5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note text"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1E33"/>
  </w:style>
  <w:style w:type="paragraph" w:styleId="Heading1">
    <w:name w:val="heading 1"/>
    <w:basedOn w:val="Normal"/>
    <w:next w:val="Normal"/>
    <w:qFormat/>
    <w:rsid w:val="00981E33"/>
    <w:pPr>
      <w:keepNext/>
      <w:jc w:val="center"/>
      <w:outlineLvl w:val="0"/>
    </w:pPr>
    <w:rPr>
      <w:b/>
      <w:sz w:val="36"/>
    </w:rPr>
  </w:style>
  <w:style w:type="paragraph" w:styleId="Heading2">
    <w:name w:val="heading 2"/>
    <w:basedOn w:val="Normal"/>
    <w:next w:val="Normal"/>
    <w:qFormat/>
    <w:rsid w:val="00981E33"/>
    <w:pPr>
      <w:keepNext/>
      <w:jc w:val="center"/>
      <w:outlineLvl w:val="1"/>
    </w:pPr>
    <w:rPr>
      <w:b/>
      <w:sz w:val="28"/>
    </w:rPr>
  </w:style>
  <w:style w:type="paragraph" w:styleId="Heading3">
    <w:name w:val="heading 3"/>
    <w:basedOn w:val="Normal"/>
    <w:next w:val="Normal"/>
    <w:qFormat/>
    <w:rsid w:val="00981E33"/>
    <w:pPr>
      <w:keepNext/>
      <w:outlineLvl w:val="2"/>
    </w:pPr>
    <w:rPr>
      <w:b/>
      <w:bCs/>
      <w:sz w:val="24"/>
    </w:rPr>
  </w:style>
  <w:style w:type="paragraph" w:styleId="Heading4">
    <w:name w:val="heading 4"/>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b/>
      <w:bCs/>
      <w:i/>
      <w:sz w:val="24"/>
    </w:rPr>
  </w:style>
  <w:style w:type="paragraph" w:styleId="Heading5">
    <w:name w:val="heading 5"/>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b/>
      <w:bCs/>
      <w:sz w:val="24"/>
    </w:rPr>
  </w:style>
  <w:style w:type="paragraph" w:styleId="Heading6">
    <w:name w:val="heading 6"/>
    <w:basedOn w:val="Normal"/>
    <w:next w:val="Normal"/>
    <w:qFormat/>
    <w:rsid w:val="00981E33"/>
    <w:pPr>
      <w:keepNext/>
      <w:tabs>
        <w:tab w:val="left" w:pos="720"/>
        <w:tab w:val="left" w:pos="1440"/>
      </w:tabs>
      <w:ind w:left="1440" w:hanging="1440"/>
      <w:outlineLvl w:val="5"/>
    </w:pPr>
    <w:rPr>
      <w:b/>
      <w:bCs/>
      <w:szCs w:val="24"/>
    </w:rPr>
  </w:style>
  <w:style w:type="paragraph" w:styleId="Heading7">
    <w:name w:val="heading 7"/>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b/>
      <w:sz w:val="28"/>
    </w:rPr>
  </w:style>
  <w:style w:type="paragraph" w:styleId="Heading8">
    <w:name w:val="heading 8"/>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7"/>
    </w:pPr>
    <w:rPr>
      <w:iCs/>
      <w:sz w:val="24"/>
    </w:rPr>
  </w:style>
  <w:style w:type="paragraph" w:styleId="Heading9">
    <w:name w:val="heading 9"/>
    <w:basedOn w:val="Normal"/>
    <w:next w:val="Normal"/>
    <w:qFormat/>
    <w:rsid w:val="00981E33"/>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981E33"/>
    <w:rPr>
      <w:sz w:val="24"/>
    </w:rPr>
  </w:style>
  <w:style w:type="paragraph" w:styleId="z-BottomofForm">
    <w:name w:val="HTML Bottom of Form"/>
    <w:basedOn w:val="Normal"/>
    <w:rsid w:val="00981E33"/>
    <w:pPr>
      <w:jc w:val="center"/>
    </w:pPr>
    <w:rPr>
      <w:b/>
    </w:rPr>
  </w:style>
  <w:style w:type="paragraph" w:styleId="NormalWeb">
    <w:name w:val="Normal (Web)"/>
    <w:basedOn w:val="Normal"/>
    <w:uiPriority w:val="99"/>
    <w:rsid w:val="00981E33"/>
    <w:rPr>
      <w:b/>
      <w:u w:val="single"/>
    </w:rPr>
  </w:style>
  <w:style w:type="paragraph" w:customStyle="1" w:styleId="HTMLAcronym1">
    <w:name w:val="HTML Acronym1"/>
    <w:basedOn w:val="Normal"/>
    <w:rsid w:val="00981E33"/>
    <w:rPr>
      <w:b/>
    </w:rPr>
  </w:style>
  <w:style w:type="paragraph" w:styleId="HTMLAddress">
    <w:name w:val="HTML Address"/>
    <w:basedOn w:val="Normal"/>
    <w:rsid w:val="00981E33"/>
    <w:rPr>
      <w:b/>
      <w:i/>
    </w:rPr>
  </w:style>
  <w:style w:type="paragraph" w:customStyle="1" w:styleId="HTMLCite1">
    <w:name w:val="HTML Cite1"/>
    <w:basedOn w:val="Normal"/>
    <w:rsid w:val="00981E33"/>
    <w:pPr>
      <w:ind w:left="720"/>
    </w:pPr>
  </w:style>
  <w:style w:type="paragraph" w:customStyle="1" w:styleId="HTMLCode1">
    <w:name w:val="HTML Code1"/>
    <w:basedOn w:val="Normal"/>
    <w:rsid w:val="00981E33"/>
    <w:pPr>
      <w:ind w:left="720" w:right="720"/>
    </w:pPr>
  </w:style>
  <w:style w:type="paragraph" w:customStyle="1" w:styleId="HTMLDefinition1">
    <w:name w:val="HTML Definition1"/>
    <w:basedOn w:val="Normal"/>
    <w:rsid w:val="00981E33"/>
    <w:pPr>
      <w:ind w:left="1440"/>
    </w:pPr>
  </w:style>
  <w:style w:type="paragraph" w:customStyle="1" w:styleId="HTMLKeyboard1">
    <w:name w:val="HTML Keyboard1"/>
    <w:basedOn w:val="Normal"/>
    <w:rsid w:val="00981E33"/>
    <w:pPr>
      <w:ind w:left="1440" w:right="720"/>
    </w:pPr>
  </w:style>
  <w:style w:type="paragraph" w:styleId="HTMLPreformatted">
    <w:name w:val="HTML Preformatted"/>
    <w:basedOn w:val="Normal"/>
    <w:link w:val="HTMLPreformattedChar"/>
    <w:rsid w:val="00981E33"/>
    <w:rPr>
      <w:b/>
    </w:rPr>
  </w:style>
  <w:style w:type="paragraph" w:customStyle="1" w:styleId="HTMLSample1">
    <w:name w:val="HTML Sample1"/>
    <w:basedOn w:val="Normal"/>
    <w:rsid w:val="00981E33"/>
    <w:rPr>
      <w:b/>
      <w:u w:val="single"/>
    </w:rPr>
  </w:style>
  <w:style w:type="paragraph" w:customStyle="1" w:styleId="HTMLTypewriter1">
    <w:name w:val="HTML Typewriter1"/>
    <w:basedOn w:val="Normal"/>
    <w:rsid w:val="00981E33"/>
    <w:rPr>
      <w:b/>
    </w:rPr>
  </w:style>
  <w:style w:type="paragraph" w:customStyle="1" w:styleId="HTMLVariable1">
    <w:name w:val="HTML Variable1"/>
    <w:basedOn w:val="Normal"/>
    <w:rsid w:val="00981E33"/>
    <w:rPr>
      <w:b/>
    </w:rPr>
  </w:style>
  <w:style w:type="paragraph" w:customStyle="1" w:styleId="Technical5">
    <w:name w:val="Technical[5]"/>
    <w:basedOn w:val="Normal"/>
    <w:rsid w:val="00981E33"/>
    <w:rPr>
      <w:b/>
    </w:rPr>
  </w:style>
  <w:style w:type="paragraph" w:customStyle="1" w:styleId="Technical6">
    <w:name w:val="Technical[6]"/>
    <w:basedOn w:val="Normal"/>
    <w:rsid w:val="00981E33"/>
    <w:rPr>
      <w:b/>
    </w:rPr>
  </w:style>
  <w:style w:type="paragraph" w:customStyle="1" w:styleId="Technical7">
    <w:name w:val="Technical[7]"/>
    <w:basedOn w:val="Normal"/>
    <w:rsid w:val="00981E33"/>
    <w:rPr>
      <w:b/>
    </w:rPr>
  </w:style>
  <w:style w:type="paragraph" w:customStyle="1" w:styleId="Technical8">
    <w:name w:val="Technical[8]"/>
    <w:basedOn w:val="Normal"/>
    <w:rsid w:val="00981E33"/>
    <w:rPr>
      <w:b/>
    </w:rPr>
  </w:style>
  <w:style w:type="paragraph" w:customStyle="1" w:styleId="RightPar1">
    <w:name w:val="Right Par[1]"/>
    <w:basedOn w:val="Normal"/>
    <w:rsid w:val="00981E33"/>
    <w:pPr>
      <w:ind w:left="720"/>
    </w:pPr>
  </w:style>
  <w:style w:type="paragraph" w:customStyle="1" w:styleId="RightPar2">
    <w:name w:val="Right Par[2]"/>
    <w:basedOn w:val="Normal"/>
    <w:rsid w:val="00981E33"/>
    <w:pPr>
      <w:ind w:left="720"/>
    </w:pPr>
  </w:style>
  <w:style w:type="paragraph" w:customStyle="1" w:styleId="RightPar3">
    <w:name w:val="Right Par[3]"/>
    <w:basedOn w:val="Normal"/>
    <w:rsid w:val="00981E33"/>
    <w:pPr>
      <w:ind w:left="720"/>
    </w:pPr>
  </w:style>
  <w:style w:type="paragraph" w:customStyle="1" w:styleId="RightPar4">
    <w:name w:val="Right Par[4]"/>
    <w:basedOn w:val="Normal"/>
    <w:rsid w:val="00981E33"/>
    <w:pPr>
      <w:ind w:left="720"/>
    </w:pPr>
  </w:style>
  <w:style w:type="paragraph" w:customStyle="1" w:styleId="RightPar5">
    <w:name w:val="Right Par[5]"/>
    <w:basedOn w:val="Normal"/>
    <w:rsid w:val="00981E33"/>
    <w:pPr>
      <w:ind w:left="720"/>
    </w:pPr>
  </w:style>
  <w:style w:type="paragraph" w:customStyle="1" w:styleId="RightPar6">
    <w:name w:val="Right Par[6]"/>
    <w:basedOn w:val="Normal"/>
    <w:rsid w:val="00981E33"/>
    <w:pPr>
      <w:ind w:left="720"/>
    </w:pPr>
  </w:style>
  <w:style w:type="paragraph" w:customStyle="1" w:styleId="RightPar7">
    <w:name w:val="Right Par[7]"/>
    <w:basedOn w:val="Normal"/>
    <w:rsid w:val="00981E33"/>
    <w:pPr>
      <w:ind w:left="720"/>
    </w:pPr>
  </w:style>
  <w:style w:type="paragraph" w:customStyle="1" w:styleId="RightPar8">
    <w:name w:val="Right Par[8]"/>
    <w:basedOn w:val="Normal"/>
    <w:rsid w:val="00981E33"/>
    <w:pPr>
      <w:ind w:left="720"/>
    </w:pPr>
  </w:style>
  <w:style w:type="paragraph" w:customStyle="1" w:styleId="Bibliogrphy">
    <w:name w:val="Bibliogrphy"/>
    <w:basedOn w:val="Normal"/>
    <w:rsid w:val="00981E33"/>
    <w:pPr>
      <w:ind w:left="720" w:hanging="720"/>
    </w:pPr>
  </w:style>
  <w:style w:type="paragraph" w:customStyle="1" w:styleId="DocInit">
    <w:name w:val="Doc Init"/>
    <w:basedOn w:val="Normal"/>
    <w:rsid w:val="00981E33"/>
  </w:style>
  <w:style w:type="character" w:customStyle="1" w:styleId="TechInit">
    <w:name w:val="Tech Init"/>
    <w:rsid w:val="00981E33"/>
  </w:style>
  <w:style w:type="character" w:customStyle="1" w:styleId="Pleading">
    <w:name w:val="Pleading"/>
    <w:rsid w:val="00981E33"/>
  </w:style>
  <w:style w:type="character" w:customStyle="1" w:styleId="InitialStyle">
    <w:name w:val="InitialStyle"/>
    <w:rsid w:val="00981E33"/>
  </w:style>
  <w:style w:type="paragraph" w:customStyle="1" w:styleId="Heading11">
    <w:name w:val="Heading 11"/>
    <w:basedOn w:val="Normal"/>
    <w:rsid w:val="00981E33"/>
    <w:rPr>
      <w:b/>
    </w:rPr>
  </w:style>
  <w:style w:type="character" w:customStyle="1" w:styleId="DefaultPara">
    <w:name w:val="Default Para"/>
    <w:rsid w:val="00981E33"/>
  </w:style>
  <w:style w:type="paragraph" w:styleId="BodyTextIndent">
    <w:name w:val="Body Text Indent"/>
    <w:basedOn w:val="Normal"/>
    <w:rsid w:val="00981E33"/>
    <w:pPr>
      <w:ind w:left="720"/>
    </w:pPr>
    <w:rPr>
      <w:sz w:val="24"/>
    </w:rPr>
  </w:style>
  <w:style w:type="paragraph" w:styleId="BodyText">
    <w:name w:val="Body Text"/>
    <w:basedOn w:val="Normal"/>
    <w:link w:val="BodyTextChar"/>
    <w:rsid w:val="00981E33"/>
    <w:rPr>
      <w:sz w:val="24"/>
    </w:rPr>
  </w:style>
  <w:style w:type="paragraph" w:styleId="Header">
    <w:name w:val="header"/>
    <w:basedOn w:val="Normal"/>
    <w:rsid w:val="00981E33"/>
    <w:pPr>
      <w:tabs>
        <w:tab w:val="center" w:pos="4320"/>
        <w:tab w:val="right" w:pos="8640"/>
      </w:tabs>
    </w:pPr>
  </w:style>
  <w:style w:type="paragraph" w:styleId="Footer">
    <w:name w:val="footer"/>
    <w:basedOn w:val="Normal"/>
    <w:rsid w:val="00981E33"/>
    <w:pPr>
      <w:tabs>
        <w:tab w:val="center" w:pos="4320"/>
        <w:tab w:val="right" w:pos="8640"/>
      </w:tabs>
    </w:pPr>
  </w:style>
  <w:style w:type="paragraph" w:styleId="BodyText2">
    <w:name w:val="Body Tex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b/>
      <w:bCs/>
      <w:sz w:val="24"/>
      <w:u w:val="single"/>
    </w:rPr>
  </w:style>
  <w:style w:type="paragraph" w:styleId="BodyTextIndent2">
    <w:name w:val="Body Text Inden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b/>
      <w:bCs/>
      <w:sz w:val="24"/>
    </w:rPr>
  </w:style>
  <w:style w:type="paragraph" w:styleId="BodyText3">
    <w:name w:val="Body Text 3"/>
    <w:basedOn w:val="Normal"/>
    <w:rsid w:val="00981E33"/>
    <w:rPr>
      <w:b/>
      <w:bCs/>
      <w:sz w:val="24"/>
    </w:rPr>
  </w:style>
  <w:style w:type="paragraph" w:styleId="Title">
    <w:name w:val="Title"/>
    <w:basedOn w:val="Normal"/>
    <w:qFormat/>
    <w:rsid w:val="00981E33"/>
    <w:pPr>
      <w:jc w:val="center"/>
    </w:pPr>
    <w:rPr>
      <w:b/>
      <w:bCs/>
      <w:sz w:val="24"/>
    </w:rPr>
  </w:style>
  <w:style w:type="paragraph" w:styleId="BodyTextIndent3">
    <w:name w:val="Body Text Indent 3"/>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sz w:val="24"/>
    </w:rPr>
  </w:style>
  <w:style w:type="character" w:styleId="PageNumber">
    <w:name w:val="page number"/>
    <w:basedOn w:val="DefaultParagraphFont"/>
    <w:rsid w:val="00981E33"/>
  </w:style>
  <w:style w:type="paragraph" w:styleId="DocumentMap">
    <w:name w:val="Document Map"/>
    <w:basedOn w:val="Normal"/>
    <w:semiHidden/>
    <w:rsid w:val="00981E33"/>
    <w:pPr>
      <w:shd w:val="clear" w:color="auto" w:fill="000080"/>
    </w:pPr>
    <w:rPr>
      <w:rFonts w:ascii="Tahoma" w:hAnsi="Tahoma" w:cs="Tahoma"/>
    </w:rPr>
  </w:style>
  <w:style w:type="paragraph" w:styleId="BlockText">
    <w:name w:val="Block Text"/>
    <w:basedOn w:val="Normal"/>
    <w:rsid w:val="00981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sz w:val="24"/>
    </w:rPr>
  </w:style>
  <w:style w:type="paragraph" w:styleId="Caption">
    <w:name w:val="caption"/>
    <w:basedOn w:val="Normal"/>
    <w:next w:val="Normal"/>
    <w:qFormat/>
    <w:rsid w:val="00981E33"/>
    <w:pPr>
      <w:tabs>
        <w:tab w:val="left" w:pos="144"/>
        <w:tab w:val="left" w:pos="1440"/>
        <w:tab w:val="left" w:pos="2304"/>
        <w:tab w:val="left" w:pos="3744"/>
        <w:tab w:val="left" w:pos="5904"/>
        <w:tab w:val="left" w:pos="7056"/>
        <w:tab w:val="left" w:pos="8640"/>
      </w:tabs>
    </w:pPr>
    <w:rPr>
      <w:b/>
      <w:sz w:val="24"/>
    </w:rPr>
  </w:style>
  <w:style w:type="paragraph" w:styleId="FootnoteText">
    <w:name w:val="footnote text"/>
    <w:basedOn w:val="Normal"/>
    <w:link w:val="FootnoteTextChar"/>
    <w:uiPriority w:val="99"/>
    <w:semiHidden/>
    <w:rsid w:val="00981E33"/>
  </w:style>
  <w:style w:type="character" w:styleId="FootnoteReference">
    <w:name w:val="footnote reference"/>
    <w:basedOn w:val="DefaultParagraphFont"/>
    <w:uiPriority w:val="99"/>
    <w:semiHidden/>
    <w:rsid w:val="00981E33"/>
    <w:rPr>
      <w:vertAlign w:val="superscript"/>
    </w:rPr>
  </w:style>
  <w:style w:type="character" w:styleId="Hyperlink">
    <w:name w:val="Hyperlink"/>
    <w:basedOn w:val="DefaultParagraphFont"/>
    <w:uiPriority w:val="99"/>
    <w:rsid w:val="00981E33"/>
    <w:rPr>
      <w:color w:val="0000FF"/>
      <w:u w:val="single"/>
    </w:rPr>
  </w:style>
  <w:style w:type="paragraph" w:styleId="Subtitle">
    <w:name w:val="Subtitle"/>
    <w:basedOn w:val="Normal"/>
    <w:qFormat/>
    <w:rsid w:val="00981E33"/>
    <w:pPr>
      <w:jc w:val="center"/>
    </w:pPr>
    <w:rPr>
      <w:b/>
      <w:bCs/>
      <w:sz w:val="24"/>
    </w:rPr>
  </w:style>
  <w:style w:type="paragraph" w:styleId="TOC1">
    <w:name w:val="toc 1"/>
    <w:basedOn w:val="Normal"/>
    <w:next w:val="Normal"/>
    <w:autoRedefine/>
    <w:semiHidden/>
    <w:rsid w:val="00264031"/>
    <w:pPr>
      <w:tabs>
        <w:tab w:val="left" w:pos="630"/>
        <w:tab w:val="right" w:leader="dot" w:pos="9350"/>
      </w:tabs>
    </w:pPr>
    <w:rPr>
      <w:noProof/>
      <w:szCs w:val="36"/>
    </w:rPr>
  </w:style>
  <w:style w:type="paragraph" w:styleId="TOC2">
    <w:name w:val="toc 2"/>
    <w:basedOn w:val="Normal"/>
    <w:next w:val="Normal"/>
    <w:autoRedefine/>
    <w:uiPriority w:val="39"/>
    <w:rsid w:val="00981E33"/>
    <w:pPr>
      <w:tabs>
        <w:tab w:val="right" w:leader="dot" w:pos="9350"/>
      </w:tabs>
      <w:ind w:left="288"/>
    </w:pPr>
    <w:rPr>
      <w:noProof/>
    </w:rPr>
  </w:style>
  <w:style w:type="paragraph" w:styleId="TOC3">
    <w:name w:val="toc 3"/>
    <w:basedOn w:val="Normal"/>
    <w:next w:val="Normal"/>
    <w:autoRedefine/>
    <w:uiPriority w:val="39"/>
    <w:rsid w:val="002A5091"/>
    <w:pPr>
      <w:tabs>
        <w:tab w:val="left" w:pos="630"/>
        <w:tab w:val="right" w:leader="dot" w:pos="9360"/>
      </w:tabs>
    </w:pPr>
    <w:rPr>
      <w:noProof/>
    </w:rPr>
  </w:style>
  <w:style w:type="paragraph" w:styleId="TOC4">
    <w:name w:val="toc 4"/>
    <w:basedOn w:val="Normal"/>
    <w:next w:val="Normal"/>
    <w:autoRedefine/>
    <w:semiHidden/>
    <w:rsid w:val="00981E33"/>
    <w:pPr>
      <w:ind w:left="600"/>
    </w:pPr>
  </w:style>
  <w:style w:type="paragraph" w:styleId="TOC5">
    <w:name w:val="toc 5"/>
    <w:basedOn w:val="Normal"/>
    <w:next w:val="Normal"/>
    <w:autoRedefine/>
    <w:semiHidden/>
    <w:rsid w:val="00981E33"/>
    <w:pPr>
      <w:ind w:left="800"/>
    </w:pPr>
  </w:style>
  <w:style w:type="paragraph" w:styleId="TOC6">
    <w:name w:val="toc 6"/>
    <w:basedOn w:val="Normal"/>
    <w:next w:val="Normal"/>
    <w:autoRedefine/>
    <w:semiHidden/>
    <w:rsid w:val="00981E33"/>
    <w:pPr>
      <w:ind w:left="1000"/>
    </w:pPr>
  </w:style>
  <w:style w:type="paragraph" w:styleId="TOC7">
    <w:name w:val="toc 7"/>
    <w:basedOn w:val="Normal"/>
    <w:next w:val="Normal"/>
    <w:autoRedefine/>
    <w:semiHidden/>
    <w:rsid w:val="00981E33"/>
    <w:pPr>
      <w:ind w:left="1200"/>
    </w:pPr>
  </w:style>
  <w:style w:type="paragraph" w:styleId="TOC8">
    <w:name w:val="toc 8"/>
    <w:basedOn w:val="Normal"/>
    <w:next w:val="Normal"/>
    <w:autoRedefine/>
    <w:semiHidden/>
    <w:rsid w:val="00981E33"/>
    <w:pPr>
      <w:ind w:left="1400"/>
    </w:pPr>
  </w:style>
  <w:style w:type="paragraph" w:styleId="TOC9">
    <w:name w:val="toc 9"/>
    <w:basedOn w:val="Normal"/>
    <w:next w:val="Normal"/>
    <w:autoRedefine/>
    <w:semiHidden/>
    <w:rsid w:val="00981E33"/>
    <w:pPr>
      <w:ind w:left="1600"/>
    </w:pPr>
  </w:style>
  <w:style w:type="character" w:styleId="FollowedHyperlink">
    <w:name w:val="FollowedHyperlink"/>
    <w:basedOn w:val="DefaultParagraphFont"/>
    <w:rsid w:val="00981E33"/>
    <w:rPr>
      <w:color w:val="800080"/>
      <w:u w:val="single"/>
    </w:rPr>
  </w:style>
  <w:style w:type="paragraph" w:styleId="TableofFigures">
    <w:name w:val="table of figures"/>
    <w:basedOn w:val="Normal"/>
    <w:next w:val="Normal"/>
    <w:uiPriority w:val="99"/>
    <w:rsid w:val="00981E33"/>
    <w:pPr>
      <w:ind w:left="400" w:hanging="400"/>
    </w:pPr>
  </w:style>
  <w:style w:type="paragraph" w:customStyle="1" w:styleId="xl24">
    <w:name w:val="xl24"/>
    <w:basedOn w:val="Normal"/>
    <w:rsid w:val="00981E33"/>
    <w:pPr>
      <w:spacing w:before="100" w:beforeAutospacing="1" w:after="100" w:afterAutospacing="1"/>
    </w:pPr>
    <w:rPr>
      <w:rFonts w:eastAsia="Arial Unicode MS"/>
      <w:sz w:val="24"/>
      <w:szCs w:val="24"/>
    </w:rPr>
  </w:style>
  <w:style w:type="paragraph" w:customStyle="1" w:styleId="xl25">
    <w:name w:val="xl25"/>
    <w:basedOn w:val="Normal"/>
    <w:rsid w:val="00981E33"/>
    <w:pPr>
      <w:spacing w:before="100" w:beforeAutospacing="1" w:after="100" w:afterAutospacing="1"/>
      <w:textAlignment w:val="top"/>
    </w:pPr>
    <w:rPr>
      <w:rFonts w:eastAsia="Arial Unicode MS"/>
      <w:sz w:val="24"/>
      <w:szCs w:val="24"/>
    </w:rPr>
  </w:style>
  <w:style w:type="paragraph" w:customStyle="1" w:styleId="xl26">
    <w:name w:val="xl26"/>
    <w:basedOn w:val="Normal"/>
    <w:rsid w:val="00981E33"/>
    <w:pPr>
      <w:spacing w:before="100" w:beforeAutospacing="1" w:after="100" w:afterAutospacing="1"/>
    </w:pPr>
    <w:rPr>
      <w:rFonts w:eastAsia="Arial Unicode MS"/>
      <w:sz w:val="24"/>
      <w:szCs w:val="24"/>
    </w:rPr>
  </w:style>
  <w:style w:type="paragraph" w:customStyle="1" w:styleId="xl27">
    <w:name w:val="xl27"/>
    <w:basedOn w:val="Normal"/>
    <w:rsid w:val="00981E33"/>
    <w:pPr>
      <w:pBdr>
        <w:bottom w:val="single" w:sz="4" w:space="0" w:color="auto"/>
      </w:pBdr>
      <w:spacing w:before="100" w:beforeAutospacing="1" w:after="100" w:afterAutospacing="1"/>
    </w:pPr>
    <w:rPr>
      <w:rFonts w:eastAsia="Arial Unicode MS"/>
      <w:b/>
      <w:bCs/>
      <w:sz w:val="24"/>
      <w:szCs w:val="24"/>
    </w:rPr>
  </w:style>
  <w:style w:type="paragraph" w:customStyle="1" w:styleId="xl28">
    <w:name w:val="xl28"/>
    <w:basedOn w:val="Normal"/>
    <w:rsid w:val="00981E33"/>
    <w:pPr>
      <w:spacing w:before="100" w:beforeAutospacing="1" w:after="100" w:afterAutospacing="1"/>
      <w:textAlignment w:val="top"/>
    </w:pPr>
    <w:rPr>
      <w:rFonts w:eastAsia="Arial Unicode MS"/>
      <w:sz w:val="24"/>
      <w:szCs w:val="24"/>
    </w:rPr>
  </w:style>
  <w:style w:type="paragraph" w:customStyle="1" w:styleId="xl29">
    <w:name w:val="xl29"/>
    <w:basedOn w:val="Normal"/>
    <w:rsid w:val="00981E33"/>
    <w:pPr>
      <w:spacing w:before="100" w:beforeAutospacing="1" w:after="100" w:afterAutospacing="1"/>
      <w:jc w:val="center"/>
    </w:pPr>
    <w:rPr>
      <w:rFonts w:eastAsia="Arial Unicode MS"/>
      <w:b/>
      <w:bCs/>
      <w:sz w:val="24"/>
      <w:szCs w:val="24"/>
    </w:rPr>
  </w:style>
  <w:style w:type="paragraph" w:customStyle="1" w:styleId="xl30">
    <w:name w:val="xl30"/>
    <w:basedOn w:val="Normal"/>
    <w:rsid w:val="00981E33"/>
    <w:pPr>
      <w:spacing w:before="100" w:beforeAutospacing="1" w:after="100" w:afterAutospacing="1"/>
      <w:jc w:val="center"/>
    </w:pPr>
    <w:rPr>
      <w:rFonts w:eastAsia="Arial Unicode MS"/>
      <w:sz w:val="24"/>
      <w:szCs w:val="24"/>
    </w:rPr>
  </w:style>
  <w:style w:type="paragraph" w:styleId="BalloonText">
    <w:name w:val="Balloon Text"/>
    <w:basedOn w:val="Normal"/>
    <w:semiHidden/>
    <w:rsid w:val="00981E33"/>
    <w:rPr>
      <w:rFonts w:ascii="Tahoma" w:hAnsi="Tahoma" w:cs="Tahoma"/>
      <w:sz w:val="16"/>
      <w:szCs w:val="16"/>
    </w:rPr>
  </w:style>
  <w:style w:type="paragraph" w:customStyle="1" w:styleId="HTMLTopof">
    <w:name w:val="HTML Top of"/>
    <w:rsid w:val="00981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sz w:val="24"/>
      <w:szCs w:val="24"/>
    </w:rPr>
  </w:style>
  <w:style w:type="paragraph" w:styleId="Index1">
    <w:name w:val="index 1"/>
    <w:basedOn w:val="Normal"/>
    <w:next w:val="Normal"/>
    <w:autoRedefine/>
    <w:semiHidden/>
    <w:rsid w:val="00981E33"/>
    <w:pPr>
      <w:ind w:left="200" w:hanging="200"/>
    </w:pPr>
  </w:style>
  <w:style w:type="paragraph" w:styleId="PlainText">
    <w:name w:val="Plain Text"/>
    <w:basedOn w:val="Normal"/>
    <w:link w:val="PlainTextChar"/>
    <w:uiPriority w:val="99"/>
    <w:rsid w:val="00242FD3"/>
    <w:rPr>
      <w:rFonts w:ascii="Courier New" w:hAnsi="Courier New" w:cs="Courier New"/>
    </w:rPr>
  </w:style>
  <w:style w:type="table" w:styleId="TableGrid">
    <w:name w:val="Table Grid"/>
    <w:basedOn w:val="TableNormal"/>
    <w:rsid w:val="00F40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F40B74"/>
  </w:style>
  <w:style w:type="character" w:styleId="Strong">
    <w:name w:val="Strong"/>
    <w:basedOn w:val="DefaultParagraphFont"/>
    <w:qFormat/>
    <w:rsid w:val="00F40B74"/>
    <w:rPr>
      <w:b/>
      <w:bCs/>
    </w:rPr>
  </w:style>
  <w:style w:type="paragraph" w:customStyle="1" w:styleId="Default">
    <w:name w:val="Default"/>
    <w:rsid w:val="00F40B74"/>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F40B74"/>
    <w:pPr>
      <w:spacing w:line="278" w:lineRule="atLeast"/>
    </w:pPr>
    <w:rPr>
      <w:rFonts w:cs="Times New Roman"/>
      <w:color w:val="auto"/>
    </w:rPr>
  </w:style>
  <w:style w:type="paragraph" w:customStyle="1" w:styleId="CM5">
    <w:name w:val="CM5"/>
    <w:basedOn w:val="Default"/>
    <w:next w:val="Default"/>
    <w:rsid w:val="00F40B74"/>
    <w:pPr>
      <w:spacing w:after="275"/>
    </w:pPr>
    <w:rPr>
      <w:rFonts w:cs="Times New Roman"/>
      <w:color w:val="auto"/>
    </w:rPr>
  </w:style>
  <w:style w:type="paragraph" w:customStyle="1" w:styleId="CM4">
    <w:name w:val="CM4"/>
    <w:basedOn w:val="Normal"/>
    <w:next w:val="Normal"/>
    <w:rsid w:val="00F40B74"/>
    <w:pPr>
      <w:widowControl w:val="0"/>
      <w:autoSpaceDE w:val="0"/>
      <w:autoSpaceDN w:val="0"/>
      <w:adjustRightInd w:val="0"/>
      <w:spacing w:after="275"/>
    </w:pPr>
    <w:rPr>
      <w:sz w:val="24"/>
      <w:szCs w:val="24"/>
    </w:rPr>
  </w:style>
  <w:style w:type="paragraph" w:customStyle="1" w:styleId="CM1">
    <w:name w:val="CM1"/>
    <w:basedOn w:val="Normal"/>
    <w:next w:val="Normal"/>
    <w:rsid w:val="00F40B74"/>
    <w:pPr>
      <w:widowControl w:val="0"/>
      <w:autoSpaceDE w:val="0"/>
      <w:autoSpaceDN w:val="0"/>
      <w:adjustRightInd w:val="0"/>
      <w:spacing w:line="276" w:lineRule="atLeast"/>
    </w:pPr>
    <w:rPr>
      <w:sz w:val="24"/>
      <w:szCs w:val="24"/>
    </w:rPr>
  </w:style>
  <w:style w:type="character" w:customStyle="1" w:styleId="HTMLPreformattedChar">
    <w:name w:val="HTML Preformatted Char"/>
    <w:basedOn w:val="DefaultParagraphFont"/>
    <w:link w:val="HTMLPreformatted"/>
    <w:rsid w:val="00F40B74"/>
    <w:rPr>
      <w:b/>
      <w:lang w:val="en-US" w:eastAsia="en-US" w:bidi="ar-SA"/>
    </w:rPr>
  </w:style>
  <w:style w:type="paragraph" w:customStyle="1" w:styleId="CM3">
    <w:name w:val="CM3"/>
    <w:basedOn w:val="Default"/>
    <w:next w:val="Default"/>
    <w:rsid w:val="00F40B74"/>
    <w:pPr>
      <w:spacing w:line="276" w:lineRule="atLeast"/>
    </w:pPr>
    <w:rPr>
      <w:rFonts w:ascii="Arial Narrow" w:hAnsi="Arial Narrow" w:cs="Times New Roman"/>
      <w:color w:val="auto"/>
    </w:rPr>
  </w:style>
  <w:style w:type="paragraph" w:customStyle="1" w:styleId="CM6">
    <w:name w:val="CM6"/>
    <w:basedOn w:val="Normal"/>
    <w:next w:val="Normal"/>
    <w:rsid w:val="00F40B74"/>
    <w:pPr>
      <w:widowControl w:val="0"/>
      <w:autoSpaceDE w:val="0"/>
      <w:autoSpaceDN w:val="0"/>
      <w:adjustRightInd w:val="0"/>
    </w:pPr>
    <w:rPr>
      <w:rFonts w:ascii="Arial" w:hAnsi="Arial"/>
      <w:sz w:val="24"/>
      <w:szCs w:val="24"/>
    </w:rPr>
  </w:style>
  <w:style w:type="character" w:customStyle="1" w:styleId="Heading2Char">
    <w:name w:val="Heading 2 Char"/>
    <w:basedOn w:val="DefaultParagraphFont"/>
    <w:rsid w:val="000003B9"/>
    <w:rPr>
      <w:rFonts w:ascii="Arial" w:hAnsi="Arial" w:cs="Arial"/>
      <w:b/>
      <w:sz w:val="24"/>
      <w:szCs w:val="24"/>
      <w:lang w:val="en-US" w:eastAsia="en-US" w:bidi="ar-SA"/>
    </w:rPr>
  </w:style>
  <w:style w:type="paragraph" w:styleId="CommentText">
    <w:name w:val="annotation text"/>
    <w:basedOn w:val="Normal"/>
    <w:semiHidden/>
    <w:rsid w:val="000003B9"/>
  </w:style>
  <w:style w:type="character" w:customStyle="1" w:styleId="4thLevelHd">
    <w:name w:val="4th Level Hd"/>
    <w:rsid w:val="000003B9"/>
    <w:rPr>
      <w:rFonts w:ascii="Trebuchet MS" w:hAnsi="Trebuchet MS"/>
      <w:b/>
      <w:bCs/>
      <w:i/>
      <w:iCs/>
      <w:sz w:val="22"/>
      <w:szCs w:val="22"/>
    </w:rPr>
  </w:style>
  <w:style w:type="paragraph" w:styleId="EndnoteText">
    <w:name w:val="endnote text"/>
    <w:basedOn w:val="Normal"/>
    <w:next w:val="Normal"/>
    <w:autoRedefine/>
    <w:semiHidden/>
    <w:rsid w:val="000003B9"/>
    <w:rPr>
      <w:sz w:val="14"/>
    </w:rPr>
  </w:style>
  <w:style w:type="character" w:styleId="EndnoteReference">
    <w:name w:val="endnote reference"/>
    <w:basedOn w:val="DefaultParagraphFont"/>
    <w:semiHidden/>
    <w:rsid w:val="000003B9"/>
    <w:rPr>
      <w:vertAlign w:val="superscript"/>
    </w:rPr>
  </w:style>
  <w:style w:type="paragraph" w:styleId="ListBullet">
    <w:name w:val="List Bullet"/>
    <w:basedOn w:val="Normal"/>
    <w:autoRedefine/>
    <w:rsid w:val="000003B9"/>
    <w:pPr>
      <w:tabs>
        <w:tab w:val="num" w:pos="360"/>
      </w:tabs>
      <w:ind w:left="360" w:hanging="360"/>
    </w:pPr>
    <w:rPr>
      <w:sz w:val="24"/>
      <w:szCs w:val="24"/>
    </w:rPr>
  </w:style>
  <w:style w:type="paragraph" w:styleId="ListBullet2">
    <w:name w:val="List Bullet 2"/>
    <w:basedOn w:val="Normal"/>
    <w:autoRedefine/>
    <w:rsid w:val="000003B9"/>
    <w:pPr>
      <w:tabs>
        <w:tab w:val="num" w:pos="720"/>
      </w:tabs>
      <w:ind w:left="720" w:hanging="360"/>
    </w:pPr>
    <w:rPr>
      <w:sz w:val="24"/>
      <w:szCs w:val="24"/>
    </w:rPr>
  </w:style>
  <w:style w:type="paragraph" w:styleId="ListBullet3">
    <w:name w:val="List Bullet 3"/>
    <w:basedOn w:val="Normal"/>
    <w:autoRedefine/>
    <w:rsid w:val="000003B9"/>
    <w:pPr>
      <w:tabs>
        <w:tab w:val="num" w:pos="1080"/>
      </w:tabs>
      <w:ind w:left="1080" w:hanging="360"/>
    </w:pPr>
    <w:rPr>
      <w:sz w:val="24"/>
      <w:szCs w:val="24"/>
    </w:rPr>
  </w:style>
  <w:style w:type="paragraph" w:styleId="ListBullet4">
    <w:name w:val="List Bullet 4"/>
    <w:basedOn w:val="Normal"/>
    <w:autoRedefine/>
    <w:rsid w:val="000003B9"/>
    <w:pPr>
      <w:tabs>
        <w:tab w:val="num" w:pos="360"/>
      </w:tabs>
      <w:ind w:left="360" w:hanging="360"/>
    </w:pPr>
    <w:rPr>
      <w:sz w:val="24"/>
      <w:szCs w:val="24"/>
    </w:rPr>
  </w:style>
  <w:style w:type="paragraph" w:styleId="ListBullet5">
    <w:name w:val="List Bullet 5"/>
    <w:basedOn w:val="Normal"/>
    <w:autoRedefine/>
    <w:rsid w:val="000003B9"/>
    <w:pPr>
      <w:tabs>
        <w:tab w:val="num" w:pos="360"/>
      </w:tabs>
      <w:ind w:left="360" w:hanging="360"/>
    </w:pPr>
    <w:rPr>
      <w:sz w:val="24"/>
      <w:szCs w:val="24"/>
    </w:rPr>
  </w:style>
  <w:style w:type="paragraph" w:styleId="ListNumber">
    <w:name w:val="List Number"/>
    <w:basedOn w:val="Normal"/>
    <w:rsid w:val="000003B9"/>
    <w:pPr>
      <w:tabs>
        <w:tab w:val="num" w:pos="720"/>
      </w:tabs>
      <w:ind w:left="720" w:hanging="360"/>
    </w:pPr>
    <w:rPr>
      <w:sz w:val="24"/>
      <w:szCs w:val="24"/>
    </w:rPr>
  </w:style>
  <w:style w:type="paragraph" w:styleId="ListNumber2">
    <w:name w:val="List Number 2"/>
    <w:basedOn w:val="Normal"/>
    <w:rsid w:val="000003B9"/>
    <w:pPr>
      <w:tabs>
        <w:tab w:val="num" w:pos="720"/>
      </w:tabs>
      <w:ind w:left="720" w:hanging="360"/>
    </w:pPr>
    <w:rPr>
      <w:sz w:val="24"/>
      <w:szCs w:val="24"/>
    </w:rPr>
  </w:style>
  <w:style w:type="paragraph" w:styleId="ListNumber3">
    <w:name w:val="List Number 3"/>
    <w:basedOn w:val="Normal"/>
    <w:rsid w:val="000003B9"/>
    <w:pPr>
      <w:tabs>
        <w:tab w:val="num" w:pos="720"/>
      </w:tabs>
      <w:ind w:left="720" w:hanging="360"/>
    </w:pPr>
    <w:rPr>
      <w:sz w:val="24"/>
      <w:szCs w:val="24"/>
    </w:rPr>
  </w:style>
  <w:style w:type="paragraph" w:styleId="ListNumber4">
    <w:name w:val="List Number 4"/>
    <w:basedOn w:val="Normal"/>
    <w:rsid w:val="000003B9"/>
    <w:pPr>
      <w:tabs>
        <w:tab w:val="num" w:pos="1440"/>
      </w:tabs>
      <w:ind w:left="1440" w:hanging="360"/>
    </w:pPr>
    <w:rPr>
      <w:sz w:val="24"/>
      <w:szCs w:val="24"/>
    </w:rPr>
  </w:style>
  <w:style w:type="paragraph" w:styleId="ListNumber5">
    <w:name w:val="List Number 5"/>
    <w:basedOn w:val="Normal"/>
    <w:rsid w:val="000003B9"/>
    <w:pPr>
      <w:tabs>
        <w:tab w:val="num" w:pos="1350"/>
      </w:tabs>
      <w:ind w:left="1350" w:hanging="360"/>
    </w:pPr>
    <w:rPr>
      <w:sz w:val="24"/>
      <w:szCs w:val="24"/>
    </w:rPr>
  </w:style>
  <w:style w:type="paragraph" w:customStyle="1" w:styleId="Bullet1">
    <w:name w:val="Bullet1"/>
    <w:basedOn w:val="Normal"/>
    <w:rsid w:val="000003B9"/>
    <w:pPr>
      <w:tabs>
        <w:tab w:val="num" w:pos="720"/>
      </w:tabs>
      <w:spacing w:line="300" w:lineRule="auto"/>
      <w:ind w:left="720" w:hanging="360"/>
      <w:jc w:val="both"/>
    </w:pPr>
    <w:rPr>
      <w:sz w:val="22"/>
    </w:rPr>
  </w:style>
  <w:style w:type="paragraph" w:customStyle="1" w:styleId="Style1">
    <w:name w:val="Style1"/>
    <w:basedOn w:val="Normal"/>
    <w:rsid w:val="00241214"/>
    <w:rPr>
      <w:b/>
      <w:bCs/>
      <w:sz w:val="16"/>
      <w:szCs w:val="22"/>
    </w:rPr>
  </w:style>
  <w:style w:type="paragraph" w:customStyle="1" w:styleId="ReplyForwardHeaders">
    <w:name w:val="Reply/Forward Headers"/>
    <w:basedOn w:val="Normal"/>
    <w:next w:val="Normal"/>
    <w:rsid w:val="00C07335"/>
    <w:pPr>
      <w:pBdr>
        <w:left w:val="single" w:sz="18" w:space="1" w:color="auto"/>
      </w:pBdr>
      <w:shd w:val="pct10" w:color="auto" w:fill="FFFFFF"/>
      <w:ind w:left="1080" w:hanging="1080"/>
      <w:outlineLvl w:val="0"/>
    </w:pPr>
    <w:rPr>
      <w:rFonts w:ascii="Arial" w:hAnsi="Arial"/>
      <w:b/>
      <w:noProof/>
      <w:lang w:bidi="he-IL"/>
    </w:rPr>
  </w:style>
  <w:style w:type="character" w:customStyle="1" w:styleId="hl">
    <w:name w:val="hl"/>
    <w:basedOn w:val="DefaultParagraphFont"/>
    <w:rsid w:val="004A2380"/>
  </w:style>
  <w:style w:type="paragraph" w:customStyle="1" w:styleId="Level1">
    <w:name w:val="Level 1"/>
    <w:basedOn w:val="Normal"/>
    <w:rsid w:val="00173DB5"/>
    <w:pPr>
      <w:widowControl w:val="0"/>
      <w:tabs>
        <w:tab w:val="left" w:pos="-1440"/>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160" w:hanging="720"/>
      <w:outlineLvl w:val="0"/>
    </w:pPr>
    <w:rPr>
      <w:sz w:val="24"/>
      <w:szCs w:val="24"/>
    </w:rPr>
  </w:style>
  <w:style w:type="paragraph" w:customStyle="1" w:styleId="TableText">
    <w:name w:val="Table Text"/>
    <w:basedOn w:val="Normal"/>
    <w:rsid w:val="00545F4F"/>
    <w:rPr>
      <w:rFonts w:ascii="Arial" w:hAnsi="Arial"/>
    </w:rPr>
  </w:style>
  <w:style w:type="character" w:styleId="CommentReference">
    <w:name w:val="annotation reference"/>
    <w:basedOn w:val="DefaultParagraphFont"/>
    <w:semiHidden/>
    <w:rsid w:val="00E631D3"/>
    <w:rPr>
      <w:sz w:val="16"/>
      <w:szCs w:val="16"/>
    </w:rPr>
  </w:style>
  <w:style w:type="paragraph" w:styleId="CommentSubject">
    <w:name w:val="annotation subject"/>
    <w:basedOn w:val="CommentText"/>
    <w:next w:val="CommentText"/>
    <w:semiHidden/>
    <w:rsid w:val="00E631D3"/>
    <w:rPr>
      <w:b/>
      <w:bCs/>
    </w:rPr>
  </w:style>
  <w:style w:type="character" w:customStyle="1" w:styleId="PlainTextChar">
    <w:name w:val="Plain Text Char"/>
    <w:basedOn w:val="DefaultParagraphFont"/>
    <w:link w:val="PlainText"/>
    <w:uiPriority w:val="99"/>
    <w:rsid w:val="00B6294A"/>
    <w:rPr>
      <w:rFonts w:ascii="Courier New" w:hAnsi="Courier New" w:cs="Courier New"/>
    </w:rPr>
  </w:style>
  <w:style w:type="paragraph" w:styleId="ListParagraph">
    <w:name w:val="List Paragraph"/>
    <w:basedOn w:val="Normal"/>
    <w:uiPriority w:val="34"/>
    <w:qFormat/>
    <w:rsid w:val="005D7243"/>
    <w:pPr>
      <w:ind w:left="720"/>
    </w:pPr>
    <w:rPr>
      <w:rFonts w:ascii="Calibri" w:eastAsia="Calibri" w:hAnsi="Calibri"/>
      <w:sz w:val="22"/>
      <w:szCs w:val="22"/>
    </w:rPr>
  </w:style>
  <w:style w:type="character" w:customStyle="1" w:styleId="BodyTextChar">
    <w:name w:val="Body Text Char"/>
    <w:basedOn w:val="DefaultParagraphFont"/>
    <w:link w:val="BodyText"/>
    <w:rsid w:val="00E74C11"/>
    <w:rPr>
      <w:sz w:val="24"/>
    </w:rPr>
  </w:style>
  <w:style w:type="paragraph" w:styleId="Revision">
    <w:name w:val="Revision"/>
    <w:hidden/>
    <w:uiPriority w:val="99"/>
    <w:semiHidden/>
    <w:rsid w:val="000E16AA"/>
  </w:style>
  <w:style w:type="character" w:customStyle="1" w:styleId="FootnoteTextChar">
    <w:name w:val="Footnote Text Char"/>
    <w:basedOn w:val="DefaultParagraphFont"/>
    <w:link w:val="FootnoteText"/>
    <w:uiPriority w:val="99"/>
    <w:semiHidden/>
    <w:rsid w:val="00A51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note text"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1E33"/>
  </w:style>
  <w:style w:type="paragraph" w:styleId="Heading1">
    <w:name w:val="heading 1"/>
    <w:basedOn w:val="Normal"/>
    <w:next w:val="Normal"/>
    <w:qFormat/>
    <w:rsid w:val="00981E33"/>
    <w:pPr>
      <w:keepNext/>
      <w:jc w:val="center"/>
      <w:outlineLvl w:val="0"/>
    </w:pPr>
    <w:rPr>
      <w:b/>
      <w:sz w:val="36"/>
    </w:rPr>
  </w:style>
  <w:style w:type="paragraph" w:styleId="Heading2">
    <w:name w:val="heading 2"/>
    <w:basedOn w:val="Normal"/>
    <w:next w:val="Normal"/>
    <w:qFormat/>
    <w:rsid w:val="00981E33"/>
    <w:pPr>
      <w:keepNext/>
      <w:jc w:val="center"/>
      <w:outlineLvl w:val="1"/>
    </w:pPr>
    <w:rPr>
      <w:b/>
      <w:sz w:val="28"/>
    </w:rPr>
  </w:style>
  <w:style w:type="paragraph" w:styleId="Heading3">
    <w:name w:val="heading 3"/>
    <w:basedOn w:val="Normal"/>
    <w:next w:val="Normal"/>
    <w:qFormat/>
    <w:rsid w:val="00981E33"/>
    <w:pPr>
      <w:keepNext/>
      <w:outlineLvl w:val="2"/>
    </w:pPr>
    <w:rPr>
      <w:b/>
      <w:bCs/>
      <w:sz w:val="24"/>
    </w:rPr>
  </w:style>
  <w:style w:type="paragraph" w:styleId="Heading4">
    <w:name w:val="heading 4"/>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b/>
      <w:bCs/>
      <w:i/>
      <w:sz w:val="24"/>
    </w:rPr>
  </w:style>
  <w:style w:type="paragraph" w:styleId="Heading5">
    <w:name w:val="heading 5"/>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b/>
      <w:bCs/>
      <w:sz w:val="24"/>
    </w:rPr>
  </w:style>
  <w:style w:type="paragraph" w:styleId="Heading6">
    <w:name w:val="heading 6"/>
    <w:basedOn w:val="Normal"/>
    <w:next w:val="Normal"/>
    <w:qFormat/>
    <w:rsid w:val="00981E33"/>
    <w:pPr>
      <w:keepNext/>
      <w:tabs>
        <w:tab w:val="left" w:pos="720"/>
        <w:tab w:val="left" w:pos="1440"/>
      </w:tabs>
      <w:ind w:left="1440" w:hanging="1440"/>
      <w:outlineLvl w:val="5"/>
    </w:pPr>
    <w:rPr>
      <w:b/>
      <w:bCs/>
      <w:szCs w:val="24"/>
    </w:rPr>
  </w:style>
  <w:style w:type="paragraph" w:styleId="Heading7">
    <w:name w:val="heading 7"/>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b/>
      <w:sz w:val="28"/>
    </w:rPr>
  </w:style>
  <w:style w:type="paragraph" w:styleId="Heading8">
    <w:name w:val="heading 8"/>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7"/>
    </w:pPr>
    <w:rPr>
      <w:iCs/>
      <w:sz w:val="24"/>
    </w:rPr>
  </w:style>
  <w:style w:type="paragraph" w:styleId="Heading9">
    <w:name w:val="heading 9"/>
    <w:basedOn w:val="Normal"/>
    <w:next w:val="Normal"/>
    <w:qFormat/>
    <w:rsid w:val="00981E33"/>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981E33"/>
    <w:rPr>
      <w:sz w:val="24"/>
    </w:rPr>
  </w:style>
  <w:style w:type="paragraph" w:styleId="z-BottomofForm">
    <w:name w:val="HTML Bottom of Form"/>
    <w:basedOn w:val="Normal"/>
    <w:rsid w:val="00981E33"/>
    <w:pPr>
      <w:jc w:val="center"/>
    </w:pPr>
    <w:rPr>
      <w:b/>
    </w:rPr>
  </w:style>
  <w:style w:type="paragraph" w:styleId="NormalWeb">
    <w:name w:val="Normal (Web)"/>
    <w:basedOn w:val="Normal"/>
    <w:uiPriority w:val="99"/>
    <w:rsid w:val="00981E33"/>
    <w:rPr>
      <w:b/>
      <w:u w:val="single"/>
    </w:rPr>
  </w:style>
  <w:style w:type="paragraph" w:customStyle="1" w:styleId="HTMLAcronym1">
    <w:name w:val="HTML Acronym1"/>
    <w:basedOn w:val="Normal"/>
    <w:rsid w:val="00981E33"/>
    <w:rPr>
      <w:b/>
    </w:rPr>
  </w:style>
  <w:style w:type="paragraph" w:styleId="HTMLAddress">
    <w:name w:val="HTML Address"/>
    <w:basedOn w:val="Normal"/>
    <w:rsid w:val="00981E33"/>
    <w:rPr>
      <w:b/>
      <w:i/>
    </w:rPr>
  </w:style>
  <w:style w:type="paragraph" w:customStyle="1" w:styleId="HTMLCite1">
    <w:name w:val="HTML Cite1"/>
    <w:basedOn w:val="Normal"/>
    <w:rsid w:val="00981E33"/>
    <w:pPr>
      <w:ind w:left="720"/>
    </w:pPr>
  </w:style>
  <w:style w:type="paragraph" w:customStyle="1" w:styleId="HTMLCode1">
    <w:name w:val="HTML Code1"/>
    <w:basedOn w:val="Normal"/>
    <w:rsid w:val="00981E33"/>
    <w:pPr>
      <w:ind w:left="720" w:right="720"/>
    </w:pPr>
  </w:style>
  <w:style w:type="paragraph" w:customStyle="1" w:styleId="HTMLDefinition1">
    <w:name w:val="HTML Definition1"/>
    <w:basedOn w:val="Normal"/>
    <w:rsid w:val="00981E33"/>
    <w:pPr>
      <w:ind w:left="1440"/>
    </w:pPr>
  </w:style>
  <w:style w:type="paragraph" w:customStyle="1" w:styleId="HTMLKeyboard1">
    <w:name w:val="HTML Keyboard1"/>
    <w:basedOn w:val="Normal"/>
    <w:rsid w:val="00981E33"/>
    <w:pPr>
      <w:ind w:left="1440" w:right="720"/>
    </w:pPr>
  </w:style>
  <w:style w:type="paragraph" w:styleId="HTMLPreformatted">
    <w:name w:val="HTML Preformatted"/>
    <w:basedOn w:val="Normal"/>
    <w:link w:val="HTMLPreformattedChar"/>
    <w:rsid w:val="00981E33"/>
    <w:rPr>
      <w:b/>
    </w:rPr>
  </w:style>
  <w:style w:type="paragraph" w:customStyle="1" w:styleId="HTMLSample1">
    <w:name w:val="HTML Sample1"/>
    <w:basedOn w:val="Normal"/>
    <w:rsid w:val="00981E33"/>
    <w:rPr>
      <w:b/>
      <w:u w:val="single"/>
    </w:rPr>
  </w:style>
  <w:style w:type="paragraph" w:customStyle="1" w:styleId="HTMLTypewriter1">
    <w:name w:val="HTML Typewriter1"/>
    <w:basedOn w:val="Normal"/>
    <w:rsid w:val="00981E33"/>
    <w:rPr>
      <w:b/>
    </w:rPr>
  </w:style>
  <w:style w:type="paragraph" w:customStyle="1" w:styleId="HTMLVariable1">
    <w:name w:val="HTML Variable1"/>
    <w:basedOn w:val="Normal"/>
    <w:rsid w:val="00981E33"/>
    <w:rPr>
      <w:b/>
    </w:rPr>
  </w:style>
  <w:style w:type="paragraph" w:customStyle="1" w:styleId="Technical5">
    <w:name w:val="Technical[5]"/>
    <w:basedOn w:val="Normal"/>
    <w:rsid w:val="00981E33"/>
    <w:rPr>
      <w:b/>
    </w:rPr>
  </w:style>
  <w:style w:type="paragraph" w:customStyle="1" w:styleId="Technical6">
    <w:name w:val="Technical[6]"/>
    <w:basedOn w:val="Normal"/>
    <w:rsid w:val="00981E33"/>
    <w:rPr>
      <w:b/>
    </w:rPr>
  </w:style>
  <w:style w:type="paragraph" w:customStyle="1" w:styleId="Technical7">
    <w:name w:val="Technical[7]"/>
    <w:basedOn w:val="Normal"/>
    <w:rsid w:val="00981E33"/>
    <w:rPr>
      <w:b/>
    </w:rPr>
  </w:style>
  <w:style w:type="paragraph" w:customStyle="1" w:styleId="Technical8">
    <w:name w:val="Technical[8]"/>
    <w:basedOn w:val="Normal"/>
    <w:rsid w:val="00981E33"/>
    <w:rPr>
      <w:b/>
    </w:rPr>
  </w:style>
  <w:style w:type="paragraph" w:customStyle="1" w:styleId="RightPar1">
    <w:name w:val="Right Par[1]"/>
    <w:basedOn w:val="Normal"/>
    <w:rsid w:val="00981E33"/>
    <w:pPr>
      <w:ind w:left="720"/>
    </w:pPr>
  </w:style>
  <w:style w:type="paragraph" w:customStyle="1" w:styleId="RightPar2">
    <w:name w:val="Right Par[2]"/>
    <w:basedOn w:val="Normal"/>
    <w:rsid w:val="00981E33"/>
    <w:pPr>
      <w:ind w:left="720"/>
    </w:pPr>
  </w:style>
  <w:style w:type="paragraph" w:customStyle="1" w:styleId="RightPar3">
    <w:name w:val="Right Par[3]"/>
    <w:basedOn w:val="Normal"/>
    <w:rsid w:val="00981E33"/>
    <w:pPr>
      <w:ind w:left="720"/>
    </w:pPr>
  </w:style>
  <w:style w:type="paragraph" w:customStyle="1" w:styleId="RightPar4">
    <w:name w:val="Right Par[4]"/>
    <w:basedOn w:val="Normal"/>
    <w:rsid w:val="00981E33"/>
    <w:pPr>
      <w:ind w:left="720"/>
    </w:pPr>
  </w:style>
  <w:style w:type="paragraph" w:customStyle="1" w:styleId="RightPar5">
    <w:name w:val="Right Par[5]"/>
    <w:basedOn w:val="Normal"/>
    <w:rsid w:val="00981E33"/>
    <w:pPr>
      <w:ind w:left="720"/>
    </w:pPr>
  </w:style>
  <w:style w:type="paragraph" w:customStyle="1" w:styleId="RightPar6">
    <w:name w:val="Right Par[6]"/>
    <w:basedOn w:val="Normal"/>
    <w:rsid w:val="00981E33"/>
    <w:pPr>
      <w:ind w:left="720"/>
    </w:pPr>
  </w:style>
  <w:style w:type="paragraph" w:customStyle="1" w:styleId="RightPar7">
    <w:name w:val="Right Par[7]"/>
    <w:basedOn w:val="Normal"/>
    <w:rsid w:val="00981E33"/>
    <w:pPr>
      <w:ind w:left="720"/>
    </w:pPr>
  </w:style>
  <w:style w:type="paragraph" w:customStyle="1" w:styleId="RightPar8">
    <w:name w:val="Right Par[8]"/>
    <w:basedOn w:val="Normal"/>
    <w:rsid w:val="00981E33"/>
    <w:pPr>
      <w:ind w:left="720"/>
    </w:pPr>
  </w:style>
  <w:style w:type="paragraph" w:customStyle="1" w:styleId="Bibliogrphy">
    <w:name w:val="Bibliogrphy"/>
    <w:basedOn w:val="Normal"/>
    <w:rsid w:val="00981E33"/>
    <w:pPr>
      <w:ind w:left="720" w:hanging="720"/>
    </w:pPr>
  </w:style>
  <w:style w:type="paragraph" w:customStyle="1" w:styleId="DocInit">
    <w:name w:val="Doc Init"/>
    <w:basedOn w:val="Normal"/>
    <w:rsid w:val="00981E33"/>
  </w:style>
  <w:style w:type="character" w:customStyle="1" w:styleId="TechInit">
    <w:name w:val="Tech Init"/>
    <w:rsid w:val="00981E33"/>
  </w:style>
  <w:style w:type="character" w:customStyle="1" w:styleId="Pleading">
    <w:name w:val="Pleading"/>
    <w:rsid w:val="00981E33"/>
  </w:style>
  <w:style w:type="character" w:customStyle="1" w:styleId="InitialStyle">
    <w:name w:val="InitialStyle"/>
    <w:rsid w:val="00981E33"/>
  </w:style>
  <w:style w:type="paragraph" w:customStyle="1" w:styleId="Heading11">
    <w:name w:val="Heading 11"/>
    <w:basedOn w:val="Normal"/>
    <w:rsid w:val="00981E33"/>
    <w:rPr>
      <w:b/>
    </w:rPr>
  </w:style>
  <w:style w:type="character" w:customStyle="1" w:styleId="DefaultPara">
    <w:name w:val="Default Para"/>
    <w:rsid w:val="00981E33"/>
  </w:style>
  <w:style w:type="paragraph" w:styleId="BodyTextIndent">
    <w:name w:val="Body Text Indent"/>
    <w:basedOn w:val="Normal"/>
    <w:rsid w:val="00981E33"/>
    <w:pPr>
      <w:ind w:left="720"/>
    </w:pPr>
    <w:rPr>
      <w:sz w:val="24"/>
    </w:rPr>
  </w:style>
  <w:style w:type="paragraph" w:styleId="BodyText">
    <w:name w:val="Body Text"/>
    <w:basedOn w:val="Normal"/>
    <w:link w:val="BodyTextChar"/>
    <w:rsid w:val="00981E33"/>
    <w:rPr>
      <w:sz w:val="24"/>
    </w:rPr>
  </w:style>
  <w:style w:type="paragraph" w:styleId="Header">
    <w:name w:val="header"/>
    <w:basedOn w:val="Normal"/>
    <w:rsid w:val="00981E33"/>
    <w:pPr>
      <w:tabs>
        <w:tab w:val="center" w:pos="4320"/>
        <w:tab w:val="right" w:pos="8640"/>
      </w:tabs>
    </w:pPr>
  </w:style>
  <w:style w:type="paragraph" w:styleId="Footer">
    <w:name w:val="footer"/>
    <w:basedOn w:val="Normal"/>
    <w:rsid w:val="00981E33"/>
    <w:pPr>
      <w:tabs>
        <w:tab w:val="center" w:pos="4320"/>
        <w:tab w:val="right" w:pos="8640"/>
      </w:tabs>
    </w:pPr>
  </w:style>
  <w:style w:type="paragraph" w:styleId="BodyText2">
    <w:name w:val="Body Tex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b/>
      <w:bCs/>
      <w:sz w:val="24"/>
      <w:u w:val="single"/>
    </w:rPr>
  </w:style>
  <w:style w:type="paragraph" w:styleId="BodyTextIndent2">
    <w:name w:val="Body Text Inden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b/>
      <w:bCs/>
      <w:sz w:val="24"/>
    </w:rPr>
  </w:style>
  <w:style w:type="paragraph" w:styleId="BodyText3">
    <w:name w:val="Body Text 3"/>
    <w:basedOn w:val="Normal"/>
    <w:rsid w:val="00981E33"/>
    <w:rPr>
      <w:b/>
      <w:bCs/>
      <w:sz w:val="24"/>
    </w:rPr>
  </w:style>
  <w:style w:type="paragraph" w:styleId="Title">
    <w:name w:val="Title"/>
    <w:basedOn w:val="Normal"/>
    <w:qFormat/>
    <w:rsid w:val="00981E33"/>
    <w:pPr>
      <w:jc w:val="center"/>
    </w:pPr>
    <w:rPr>
      <w:b/>
      <w:bCs/>
      <w:sz w:val="24"/>
    </w:rPr>
  </w:style>
  <w:style w:type="paragraph" w:styleId="BodyTextIndent3">
    <w:name w:val="Body Text Indent 3"/>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sz w:val="24"/>
    </w:rPr>
  </w:style>
  <w:style w:type="character" w:styleId="PageNumber">
    <w:name w:val="page number"/>
    <w:basedOn w:val="DefaultParagraphFont"/>
    <w:rsid w:val="00981E33"/>
  </w:style>
  <w:style w:type="paragraph" w:styleId="DocumentMap">
    <w:name w:val="Document Map"/>
    <w:basedOn w:val="Normal"/>
    <w:semiHidden/>
    <w:rsid w:val="00981E33"/>
    <w:pPr>
      <w:shd w:val="clear" w:color="auto" w:fill="000080"/>
    </w:pPr>
    <w:rPr>
      <w:rFonts w:ascii="Tahoma" w:hAnsi="Tahoma" w:cs="Tahoma"/>
    </w:rPr>
  </w:style>
  <w:style w:type="paragraph" w:styleId="BlockText">
    <w:name w:val="Block Text"/>
    <w:basedOn w:val="Normal"/>
    <w:rsid w:val="00981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sz w:val="24"/>
    </w:rPr>
  </w:style>
  <w:style w:type="paragraph" w:styleId="Caption">
    <w:name w:val="caption"/>
    <w:basedOn w:val="Normal"/>
    <w:next w:val="Normal"/>
    <w:qFormat/>
    <w:rsid w:val="00981E33"/>
    <w:pPr>
      <w:tabs>
        <w:tab w:val="left" w:pos="144"/>
        <w:tab w:val="left" w:pos="1440"/>
        <w:tab w:val="left" w:pos="2304"/>
        <w:tab w:val="left" w:pos="3744"/>
        <w:tab w:val="left" w:pos="5904"/>
        <w:tab w:val="left" w:pos="7056"/>
        <w:tab w:val="left" w:pos="8640"/>
      </w:tabs>
    </w:pPr>
    <w:rPr>
      <w:b/>
      <w:sz w:val="24"/>
    </w:rPr>
  </w:style>
  <w:style w:type="paragraph" w:styleId="FootnoteText">
    <w:name w:val="footnote text"/>
    <w:basedOn w:val="Normal"/>
    <w:link w:val="FootnoteTextChar"/>
    <w:uiPriority w:val="99"/>
    <w:semiHidden/>
    <w:rsid w:val="00981E33"/>
  </w:style>
  <w:style w:type="character" w:styleId="FootnoteReference">
    <w:name w:val="footnote reference"/>
    <w:basedOn w:val="DefaultParagraphFont"/>
    <w:uiPriority w:val="99"/>
    <w:semiHidden/>
    <w:rsid w:val="00981E33"/>
    <w:rPr>
      <w:vertAlign w:val="superscript"/>
    </w:rPr>
  </w:style>
  <w:style w:type="character" w:styleId="Hyperlink">
    <w:name w:val="Hyperlink"/>
    <w:basedOn w:val="DefaultParagraphFont"/>
    <w:uiPriority w:val="99"/>
    <w:rsid w:val="00981E33"/>
    <w:rPr>
      <w:color w:val="0000FF"/>
      <w:u w:val="single"/>
    </w:rPr>
  </w:style>
  <w:style w:type="paragraph" w:styleId="Subtitle">
    <w:name w:val="Subtitle"/>
    <w:basedOn w:val="Normal"/>
    <w:qFormat/>
    <w:rsid w:val="00981E33"/>
    <w:pPr>
      <w:jc w:val="center"/>
    </w:pPr>
    <w:rPr>
      <w:b/>
      <w:bCs/>
      <w:sz w:val="24"/>
    </w:rPr>
  </w:style>
  <w:style w:type="paragraph" w:styleId="TOC1">
    <w:name w:val="toc 1"/>
    <w:basedOn w:val="Normal"/>
    <w:next w:val="Normal"/>
    <w:autoRedefine/>
    <w:semiHidden/>
    <w:rsid w:val="00264031"/>
    <w:pPr>
      <w:tabs>
        <w:tab w:val="left" w:pos="630"/>
        <w:tab w:val="right" w:leader="dot" w:pos="9350"/>
      </w:tabs>
    </w:pPr>
    <w:rPr>
      <w:noProof/>
      <w:szCs w:val="36"/>
    </w:rPr>
  </w:style>
  <w:style w:type="paragraph" w:styleId="TOC2">
    <w:name w:val="toc 2"/>
    <w:basedOn w:val="Normal"/>
    <w:next w:val="Normal"/>
    <w:autoRedefine/>
    <w:uiPriority w:val="39"/>
    <w:rsid w:val="00981E33"/>
    <w:pPr>
      <w:tabs>
        <w:tab w:val="right" w:leader="dot" w:pos="9350"/>
      </w:tabs>
      <w:ind w:left="288"/>
    </w:pPr>
    <w:rPr>
      <w:noProof/>
    </w:rPr>
  </w:style>
  <w:style w:type="paragraph" w:styleId="TOC3">
    <w:name w:val="toc 3"/>
    <w:basedOn w:val="Normal"/>
    <w:next w:val="Normal"/>
    <w:autoRedefine/>
    <w:uiPriority w:val="39"/>
    <w:rsid w:val="002A5091"/>
    <w:pPr>
      <w:tabs>
        <w:tab w:val="left" w:pos="630"/>
        <w:tab w:val="right" w:leader="dot" w:pos="9360"/>
      </w:tabs>
    </w:pPr>
    <w:rPr>
      <w:noProof/>
    </w:rPr>
  </w:style>
  <w:style w:type="paragraph" w:styleId="TOC4">
    <w:name w:val="toc 4"/>
    <w:basedOn w:val="Normal"/>
    <w:next w:val="Normal"/>
    <w:autoRedefine/>
    <w:semiHidden/>
    <w:rsid w:val="00981E33"/>
    <w:pPr>
      <w:ind w:left="600"/>
    </w:pPr>
  </w:style>
  <w:style w:type="paragraph" w:styleId="TOC5">
    <w:name w:val="toc 5"/>
    <w:basedOn w:val="Normal"/>
    <w:next w:val="Normal"/>
    <w:autoRedefine/>
    <w:semiHidden/>
    <w:rsid w:val="00981E33"/>
    <w:pPr>
      <w:ind w:left="800"/>
    </w:pPr>
  </w:style>
  <w:style w:type="paragraph" w:styleId="TOC6">
    <w:name w:val="toc 6"/>
    <w:basedOn w:val="Normal"/>
    <w:next w:val="Normal"/>
    <w:autoRedefine/>
    <w:semiHidden/>
    <w:rsid w:val="00981E33"/>
    <w:pPr>
      <w:ind w:left="1000"/>
    </w:pPr>
  </w:style>
  <w:style w:type="paragraph" w:styleId="TOC7">
    <w:name w:val="toc 7"/>
    <w:basedOn w:val="Normal"/>
    <w:next w:val="Normal"/>
    <w:autoRedefine/>
    <w:semiHidden/>
    <w:rsid w:val="00981E33"/>
    <w:pPr>
      <w:ind w:left="1200"/>
    </w:pPr>
  </w:style>
  <w:style w:type="paragraph" w:styleId="TOC8">
    <w:name w:val="toc 8"/>
    <w:basedOn w:val="Normal"/>
    <w:next w:val="Normal"/>
    <w:autoRedefine/>
    <w:semiHidden/>
    <w:rsid w:val="00981E33"/>
    <w:pPr>
      <w:ind w:left="1400"/>
    </w:pPr>
  </w:style>
  <w:style w:type="paragraph" w:styleId="TOC9">
    <w:name w:val="toc 9"/>
    <w:basedOn w:val="Normal"/>
    <w:next w:val="Normal"/>
    <w:autoRedefine/>
    <w:semiHidden/>
    <w:rsid w:val="00981E33"/>
    <w:pPr>
      <w:ind w:left="1600"/>
    </w:pPr>
  </w:style>
  <w:style w:type="character" w:styleId="FollowedHyperlink">
    <w:name w:val="FollowedHyperlink"/>
    <w:basedOn w:val="DefaultParagraphFont"/>
    <w:rsid w:val="00981E33"/>
    <w:rPr>
      <w:color w:val="800080"/>
      <w:u w:val="single"/>
    </w:rPr>
  </w:style>
  <w:style w:type="paragraph" w:styleId="TableofFigures">
    <w:name w:val="table of figures"/>
    <w:basedOn w:val="Normal"/>
    <w:next w:val="Normal"/>
    <w:uiPriority w:val="99"/>
    <w:rsid w:val="00981E33"/>
    <w:pPr>
      <w:ind w:left="400" w:hanging="400"/>
    </w:pPr>
  </w:style>
  <w:style w:type="paragraph" w:customStyle="1" w:styleId="xl24">
    <w:name w:val="xl24"/>
    <w:basedOn w:val="Normal"/>
    <w:rsid w:val="00981E33"/>
    <w:pPr>
      <w:spacing w:before="100" w:beforeAutospacing="1" w:after="100" w:afterAutospacing="1"/>
    </w:pPr>
    <w:rPr>
      <w:rFonts w:eastAsia="Arial Unicode MS"/>
      <w:sz w:val="24"/>
      <w:szCs w:val="24"/>
    </w:rPr>
  </w:style>
  <w:style w:type="paragraph" w:customStyle="1" w:styleId="xl25">
    <w:name w:val="xl25"/>
    <w:basedOn w:val="Normal"/>
    <w:rsid w:val="00981E33"/>
    <w:pPr>
      <w:spacing w:before="100" w:beforeAutospacing="1" w:after="100" w:afterAutospacing="1"/>
      <w:textAlignment w:val="top"/>
    </w:pPr>
    <w:rPr>
      <w:rFonts w:eastAsia="Arial Unicode MS"/>
      <w:sz w:val="24"/>
      <w:szCs w:val="24"/>
    </w:rPr>
  </w:style>
  <w:style w:type="paragraph" w:customStyle="1" w:styleId="xl26">
    <w:name w:val="xl26"/>
    <w:basedOn w:val="Normal"/>
    <w:rsid w:val="00981E33"/>
    <w:pPr>
      <w:spacing w:before="100" w:beforeAutospacing="1" w:after="100" w:afterAutospacing="1"/>
    </w:pPr>
    <w:rPr>
      <w:rFonts w:eastAsia="Arial Unicode MS"/>
      <w:sz w:val="24"/>
      <w:szCs w:val="24"/>
    </w:rPr>
  </w:style>
  <w:style w:type="paragraph" w:customStyle="1" w:styleId="xl27">
    <w:name w:val="xl27"/>
    <w:basedOn w:val="Normal"/>
    <w:rsid w:val="00981E33"/>
    <w:pPr>
      <w:pBdr>
        <w:bottom w:val="single" w:sz="4" w:space="0" w:color="auto"/>
      </w:pBdr>
      <w:spacing w:before="100" w:beforeAutospacing="1" w:after="100" w:afterAutospacing="1"/>
    </w:pPr>
    <w:rPr>
      <w:rFonts w:eastAsia="Arial Unicode MS"/>
      <w:b/>
      <w:bCs/>
      <w:sz w:val="24"/>
      <w:szCs w:val="24"/>
    </w:rPr>
  </w:style>
  <w:style w:type="paragraph" w:customStyle="1" w:styleId="xl28">
    <w:name w:val="xl28"/>
    <w:basedOn w:val="Normal"/>
    <w:rsid w:val="00981E33"/>
    <w:pPr>
      <w:spacing w:before="100" w:beforeAutospacing="1" w:after="100" w:afterAutospacing="1"/>
      <w:textAlignment w:val="top"/>
    </w:pPr>
    <w:rPr>
      <w:rFonts w:eastAsia="Arial Unicode MS"/>
      <w:sz w:val="24"/>
      <w:szCs w:val="24"/>
    </w:rPr>
  </w:style>
  <w:style w:type="paragraph" w:customStyle="1" w:styleId="xl29">
    <w:name w:val="xl29"/>
    <w:basedOn w:val="Normal"/>
    <w:rsid w:val="00981E33"/>
    <w:pPr>
      <w:spacing w:before="100" w:beforeAutospacing="1" w:after="100" w:afterAutospacing="1"/>
      <w:jc w:val="center"/>
    </w:pPr>
    <w:rPr>
      <w:rFonts w:eastAsia="Arial Unicode MS"/>
      <w:b/>
      <w:bCs/>
      <w:sz w:val="24"/>
      <w:szCs w:val="24"/>
    </w:rPr>
  </w:style>
  <w:style w:type="paragraph" w:customStyle="1" w:styleId="xl30">
    <w:name w:val="xl30"/>
    <w:basedOn w:val="Normal"/>
    <w:rsid w:val="00981E33"/>
    <w:pPr>
      <w:spacing w:before="100" w:beforeAutospacing="1" w:after="100" w:afterAutospacing="1"/>
      <w:jc w:val="center"/>
    </w:pPr>
    <w:rPr>
      <w:rFonts w:eastAsia="Arial Unicode MS"/>
      <w:sz w:val="24"/>
      <w:szCs w:val="24"/>
    </w:rPr>
  </w:style>
  <w:style w:type="paragraph" w:styleId="BalloonText">
    <w:name w:val="Balloon Text"/>
    <w:basedOn w:val="Normal"/>
    <w:semiHidden/>
    <w:rsid w:val="00981E33"/>
    <w:rPr>
      <w:rFonts w:ascii="Tahoma" w:hAnsi="Tahoma" w:cs="Tahoma"/>
      <w:sz w:val="16"/>
      <w:szCs w:val="16"/>
    </w:rPr>
  </w:style>
  <w:style w:type="paragraph" w:customStyle="1" w:styleId="HTMLTopof">
    <w:name w:val="HTML Top of"/>
    <w:rsid w:val="00981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sz w:val="24"/>
      <w:szCs w:val="24"/>
    </w:rPr>
  </w:style>
  <w:style w:type="paragraph" w:styleId="Index1">
    <w:name w:val="index 1"/>
    <w:basedOn w:val="Normal"/>
    <w:next w:val="Normal"/>
    <w:autoRedefine/>
    <w:semiHidden/>
    <w:rsid w:val="00981E33"/>
    <w:pPr>
      <w:ind w:left="200" w:hanging="200"/>
    </w:pPr>
  </w:style>
  <w:style w:type="paragraph" w:styleId="PlainText">
    <w:name w:val="Plain Text"/>
    <w:basedOn w:val="Normal"/>
    <w:link w:val="PlainTextChar"/>
    <w:uiPriority w:val="99"/>
    <w:rsid w:val="00242FD3"/>
    <w:rPr>
      <w:rFonts w:ascii="Courier New" w:hAnsi="Courier New" w:cs="Courier New"/>
    </w:rPr>
  </w:style>
  <w:style w:type="table" w:styleId="TableGrid">
    <w:name w:val="Table Grid"/>
    <w:basedOn w:val="TableNormal"/>
    <w:rsid w:val="00F40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F40B74"/>
  </w:style>
  <w:style w:type="character" w:styleId="Strong">
    <w:name w:val="Strong"/>
    <w:basedOn w:val="DefaultParagraphFont"/>
    <w:qFormat/>
    <w:rsid w:val="00F40B74"/>
    <w:rPr>
      <w:b/>
      <w:bCs/>
    </w:rPr>
  </w:style>
  <w:style w:type="paragraph" w:customStyle="1" w:styleId="Default">
    <w:name w:val="Default"/>
    <w:rsid w:val="00F40B74"/>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F40B74"/>
    <w:pPr>
      <w:spacing w:line="278" w:lineRule="atLeast"/>
    </w:pPr>
    <w:rPr>
      <w:rFonts w:cs="Times New Roman"/>
      <w:color w:val="auto"/>
    </w:rPr>
  </w:style>
  <w:style w:type="paragraph" w:customStyle="1" w:styleId="CM5">
    <w:name w:val="CM5"/>
    <w:basedOn w:val="Default"/>
    <w:next w:val="Default"/>
    <w:rsid w:val="00F40B74"/>
    <w:pPr>
      <w:spacing w:after="275"/>
    </w:pPr>
    <w:rPr>
      <w:rFonts w:cs="Times New Roman"/>
      <w:color w:val="auto"/>
    </w:rPr>
  </w:style>
  <w:style w:type="paragraph" w:customStyle="1" w:styleId="CM4">
    <w:name w:val="CM4"/>
    <w:basedOn w:val="Normal"/>
    <w:next w:val="Normal"/>
    <w:rsid w:val="00F40B74"/>
    <w:pPr>
      <w:widowControl w:val="0"/>
      <w:autoSpaceDE w:val="0"/>
      <w:autoSpaceDN w:val="0"/>
      <w:adjustRightInd w:val="0"/>
      <w:spacing w:after="275"/>
    </w:pPr>
    <w:rPr>
      <w:sz w:val="24"/>
      <w:szCs w:val="24"/>
    </w:rPr>
  </w:style>
  <w:style w:type="paragraph" w:customStyle="1" w:styleId="CM1">
    <w:name w:val="CM1"/>
    <w:basedOn w:val="Normal"/>
    <w:next w:val="Normal"/>
    <w:rsid w:val="00F40B74"/>
    <w:pPr>
      <w:widowControl w:val="0"/>
      <w:autoSpaceDE w:val="0"/>
      <w:autoSpaceDN w:val="0"/>
      <w:adjustRightInd w:val="0"/>
      <w:spacing w:line="276" w:lineRule="atLeast"/>
    </w:pPr>
    <w:rPr>
      <w:sz w:val="24"/>
      <w:szCs w:val="24"/>
    </w:rPr>
  </w:style>
  <w:style w:type="character" w:customStyle="1" w:styleId="HTMLPreformattedChar">
    <w:name w:val="HTML Preformatted Char"/>
    <w:basedOn w:val="DefaultParagraphFont"/>
    <w:link w:val="HTMLPreformatted"/>
    <w:rsid w:val="00F40B74"/>
    <w:rPr>
      <w:b/>
      <w:lang w:val="en-US" w:eastAsia="en-US" w:bidi="ar-SA"/>
    </w:rPr>
  </w:style>
  <w:style w:type="paragraph" w:customStyle="1" w:styleId="CM3">
    <w:name w:val="CM3"/>
    <w:basedOn w:val="Default"/>
    <w:next w:val="Default"/>
    <w:rsid w:val="00F40B74"/>
    <w:pPr>
      <w:spacing w:line="276" w:lineRule="atLeast"/>
    </w:pPr>
    <w:rPr>
      <w:rFonts w:ascii="Arial Narrow" w:hAnsi="Arial Narrow" w:cs="Times New Roman"/>
      <w:color w:val="auto"/>
    </w:rPr>
  </w:style>
  <w:style w:type="paragraph" w:customStyle="1" w:styleId="CM6">
    <w:name w:val="CM6"/>
    <w:basedOn w:val="Normal"/>
    <w:next w:val="Normal"/>
    <w:rsid w:val="00F40B74"/>
    <w:pPr>
      <w:widowControl w:val="0"/>
      <w:autoSpaceDE w:val="0"/>
      <w:autoSpaceDN w:val="0"/>
      <w:adjustRightInd w:val="0"/>
    </w:pPr>
    <w:rPr>
      <w:rFonts w:ascii="Arial" w:hAnsi="Arial"/>
      <w:sz w:val="24"/>
      <w:szCs w:val="24"/>
    </w:rPr>
  </w:style>
  <w:style w:type="character" w:customStyle="1" w:styleId="Heading2Char">
    <w:name w:val="Heading 2 Char"/>
    <w:basedOn w:val="DefaultParagraphFont"/>
    <w:rsid w:val="000003B9"/>
    <w:rPr>
      <w:rFonts w:ascii="Arial" w:hAnsi="Arial" w:cs="Arial"/>
      <w:b/>
      <w:sz w:val="24"/>
      <w:szCs w:val="24"/>
      <w:lang w:val="en-US" w:eastAsia="en-US" w:bidi="ar-SA"/>
    </w:rPr>
  </w:style>
  <w:style w:type="paragraph" w:styleId="CommentText">
    <w:name w:val="annotation text"/>
    <w:basedOn w:val="Normal"/>
    <w:semiHidden/>
    <w:rsid w:val="000003B9"/>
  </w:style>
  <w:style w:type="character" w:customStyle="1" w:styleId="4thLevelHd">
    <w:name w:val="4th Level Hd"/>
    <w:rsid w:val="000003B9"/>
    <w:rPr>
      <w:rFonts w:ascii="Trebuchet MS" w:hAnsi="Trebuchet MS"/>
      <w:b/>
      <w:bCs/>
      <w:i/>
      <w:iCs/>
      <w:sz w:val="22"/>
      <w:szCs w:val="22"/>
    </w:rPr>
  </w:style>
  <w:style w:type="paragraph" w:styleId="EndnoteText">
    <w:name w:val="endnote text"/>
    <w:basedOn w:val="Normal"/>
    <w:next w:val="Normal"/>
    <w:autoRedefine/>
    <w:semiHidden/>
    <w:rsid w:val="000003B9"/>
    <w:rPr>
      <w:sz w:val="14"/>
    </w:rPr>
  </w:style>
  <w:style w:type="character" w:styleId="EndnoteReference">
    <w:name w:val="endnote reference"/>
    <w:basedOn w:val="DefaultParagraphFont"/>
    <w:semiHidden/>
    <w:rsid w:val="000003B9"/>
    <w:rPr>
      <w:vertAlign w:val="superscript"/>
    </w:rPr>
  </w:style>
  <w:style w:type="paragraph" w:styleId="ListBullet">
    <w:name w:val="List Bullet"/>
    <w:basedOn w:val="Normal"/>
    <w:autoRedefine/>
    <w:rsid w:val="000003B9"/>
    <w:pPr>
      <w:tabs>
        <w:tab w:val="num" w:pos="360"/>
      </w:tabs>
      <w:ind w:left="360" w:hanging="360"/>
    </w:pPr>
    <w:rPr>
      <w:sz w:val="24"/>
      <w:szCs w:val="24"/>
    </w:rPr>
  </w:style>
  <w:style w:type="paragraph" w:styleId="ListBullet2">
    <w:name w:val="List Bullet 2"/>
    <w:basedOn w:val="Normal"/>
    <w:autoRedefine/>
    <w:rsid w:val="000003B9"/>
    <w:pPr>
      <w:tabs>
        <w:tab w:val="num" w:pos="720"/>
      </w:tabs>
      <w:ind w:left="720" w:hanging="360"/>
    </w:pPr>
    <w:rPr>
      <w:sz w:val="24"/>
      <w:szCs w:val="24"/>
    </w:rPr>
  </w:style>
  <w:style w:type="paragraph" w:styleId="ListBullet3">
    <w:name w:val="List Bullet 3"/>
    <w:basedOn w:val="Normal"/>
    <w:autoRedefine/>
    <w:rsid w:val="000003B9"/>
    <w:pPr>
      <w:tabs>
        <w:tab w:val="num" w:pos="1080"/>
      </w:tabs>
      <w:ind w:left="1080" w:hanging="360"/>
    </w:pPr>
    <w:rPr>
      <w:sz w:val="24"/>
      <w:szCs w:val="24"/>
    </w:rPr>
  </w:style>
  <w:style w:type="paragraph" w:styleId="ListBullet4">
    <w:name w:val="List Bullet 4"/>
    <w:basedOn w:val="Normal"/>
    <w:autoRedefine/>
    <w:rsid w:val="000003B9"/>
    <w:pPr>
      <w:tabs>
        <w:tab w:val="num" w:pos="360"/>
      </w:tabs>
      <w:ind w:left="360" w:hanging="360"/>
    </w:pPr>
    <w:rPr>
      <w:sz w:val="24"/>
      <w:szCs w:val="24"/>
    </w:rPr>
  </w:style>
  <w:style w:type="paragraph" w:styleId="ListBullet5">
    <w:name w:val="List Bullet 5"/>
    <w:basedOn w:val="Normal"/>
    <w:autoRedefine/>
    <w:rsid w:val="000003B9"/>
    <w:pPr>
      <w:tabs>
        <w:tab w:val="num" w:pos="360"/>
      </w:tabs>
      <w:ind w:left="360" w:hanging="360"/>
    </w:pPr>
    <w:rPr>
      <w:sz w:val="24"/>
      <w:szCs w:val="24"/>
    </w:rPr>
  </w:style>
  <w:style w:type="paragraph" w:styleId="ListNumber">
    <w:name w:val="List Number"/>
    <w:basedOn w:val="Normal"/>
    <w:rsid w:val="000003B9"/>
    <w:pPr>
      <w:tabs>
        <w:tab w:val="num" w:pos="720"/>
      </w:tabs>
      <w:ind w:left="720" w:hanging="360"/>
    </w:pPr>
    <w:rPr>
      <w:sz w:val="24"/>
      <w:szCs w:val="24"/>
    </w:rPr>
  </w:style>
  <w:style w:type="paragraph" w:styleId="ListNumber2">
    <w:name w:val="List Number 2"/>
    <w:basedOn w:val="Normal"/>
    <w:rsid w:val="000003B9"/>
    <w:pPr>
      <w:tabs>
        <w:tab w:val="num" w:pos="720"/>
      </w:tabs>
      <w:ind w:left="720" w:hanging="360"/>
    </w:pPr>
    <w:rPr>
      <w:sz w:val="24"/>
      <w:szCs w:val="24"/>
    </w:rPr>
  </w:style>
  <w:style w:type="paragraph" w:styleId="ListNumber3">
    <w:name w:val="List Number 3"/>
    <w:basedOn w:val="Normal"/>
    <w:rsid w:val="000003B9"/>
    <w:pPr>
      <w:tabs>
        <w:tab w:val="num" w:pos="720"/>
      </w:tabs>
      <w:ind w:left="720" w:hanging="360"/>
    </w:pPr>
    <w:rPr>
      <w:sz w:val="24"/>
      <w:szCs w:val="24"/>
    </w:rPr>
  </w:style>
  <w:style w:type="paragraph" w:styleId="ListNumber4">
    <w:name w:val="List Number 4"/>
    <w:basedOn w:val="Normal"/>
    <w:rsid w:val="000003B9"/>
    <w:pPr>
      <w:tabs>
        <w:tab w:val="num" w:pos="1440"/>
      </w:tabs>
      <w:ind w:left="1440" w:hanging="360"/>
    </w:pPr>
    <w:rPr>
      <w:sz w:val="24"/>
      <w:szCs w:val="24"/>
    </w:rPr>
  </w:style>
  <w:style w:type="paragraph" w:styleId="ListNumber5">
    <w:name w:val="List Number 5"/>
    <w:basedOn w:val="Normal"/>
    <w:rsid w:val="000003B9"/>
    <w:pPr>
      <w:tabs>
        <w:tab w:val="num" w:pos="1350"/>
      </w:tabs>
      <w:ind w:left="1350" w:hanging="360"/>
    </w:pPr>
    <w:rPr>
      <w:sz w:val="24"/>
      <w:szCs w:val="24"/>
    </w:rPr>
  </w:style>
  <w:style w:type="paragraph" w:customStyle="1" w:styleId="Bullet1">
    <w:name w:val="Bullet1"/>
    <w:basedOn w:val="Normal"/>
    <w:rsid w:val="000003B9"/>
    <w:pPr>
      <w:tabs>
        <w:tab w:val="num" w:pos="720"/>
      </w:tabs>
      <w:spacing w:line="300" w:lineRule="auto"/>
      <w:ind w:left="720" w:hanging="360"/>
      <w:jc w:val="both"/>
    </w:pPr>
    <w:rPr>
      <w:sz w:val="22"/>
    </w:rPr>
  </w:style>
  <w:style w:type="paragraph" w:customStyle="1" w:styleId="Style1">
    <w:name w:val="Style1"/>
    <w:basedOn w:val="Normal"/>
    <w:rsid w:val="00241214"/>
    <w:rPr>
      <w:b/>
      <w:bCs/>
      <w:sz w:val="16"/>
      <w:szCs w:val="22"/>
    </w:rPr>
  </w:style>
  <w:style w:type="paragraph" w:customStyle="1" w:styleId="ReplyForwardHeaders">
    <w:name w:val="Reply/Forward Headers"/>
    <w:basedOn w:val="Normal"/>
    <w:next w:val="Normal"/>
    <w:rsid w:val="00C07335"/>
    <w:pPr>
      <w:pBdr>
        <w:left w:val="single" w:sz="18" w:space="1" w:color="auto"/>
      </w:pBdr>
      <w:shd w:val="pct10" w:color="auto" w:fill="FFFFFF"/>
      <w:ind w:left="1080" w:hanging="1080"/>
      <w:outlineLvl w:val="0"/>
    </w:pPr>
    <w:rPr>
      <w:rFonts w:ascii="Arial" w:hAnsi="Arial"/>
      <w:b/>
      <w:noProof/>
      <w:lang w:bidi="he-IL"/>
    </w:rPr>
  </w:style>
  <w:style w:type="character" w:customStyle="1" w:styleId="hl">
    <w:name w:val="hl"/>
    <w:basedOn w:val="DefaultParagraphFont"/>
    <w:rsid w:val="004A2380"/>
  </w:style>
  <w:style w:type="paragraph" w:customStyle="1" w:styleId="Level1">
    <w:name w:val="Level 1"/>
    <w:basedOn w:val="Normal"/>
    <w:rsid w:val="00173DB5"/>
    <w:pPr>
      <w:widowControl w:val="0"/>
      <w:tabs>
        <w:tab w:val="left" w:pos="-1440"/>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160" w:hanging="720"/>
      <w:outlineLvl w:val="0"/>
    </w:pPr>
    <w:rPr>
      <w:sz w:val="24"/>
      <w:szCs w:val="24"/>
    </w:rPr>
  </w:style>
  <w:style w:type="paragraph" w:customStyle="1" w:styleId="TableText">
    <w:name w:val="Table Text"/>
    <w:basedOn w:val="Normal"/>
    <w:rsid w:val="00545F4F"/>
    <w:rPr>
      <w:rFonts w:ascii="Arial" w:hAnsi="Arial"/>
    </w:rPr>
  </w:style>
  <w:style w:type="character" w:styleId="CommentReference">
    <w:name w:val="annotation reference"/>
    <w:basedOn w:val="DefaultParagraphFont"/>
    <w:semiHidden/>
    <w:rsid w:val="00E631D3"/>
    <w:rPr>
      <w:sz w:val="16"/>
      <w:szCs w:val="16"/>
    </w:rPr>
  </w:style>
  <w:style w:type="paragraph" w:styleId="CommentSubject">
    <w:name w:val="annotation subject"/>
    <w:basedOn w:val="CommentText"/>
    <w:next w:val="CommentText"/>
    <w:semiHidden/>
    <w:rsid w:val="00E631D3"/>
    <w:rPr>
      <w:b/>
      <w:bCs/>
    </w:rPr>
  </w:style>
  <w:style w:type="character" w:customStyle="1" w:styleId="PlainTextChar">
    <w:name w:val="Plain Text Char"/>
    <w:basedOn w:val="DefaultParagraphFont"/>
    <w:link w:val="PlainText"/>
    <w:uiPriority w:val="99"/>
    <w:rsid w:val="00B6294A"/>
    <w:rPr>
      <w:rFonts w:ascii="Courier New" w:hAnsi="Courier New" w:cs="Courier New"/>
    </w:rPr>
  </w:style>
  <w:style w:type="paragraph" w:styleId="ListParagraph">
    <w:name w:val="List Paragraph"/>
    <w:basedOn w:val="Normal"/>
    <w:uiPriority w:val="34"/>
    <w:qFormat/>
    <w:rsid w:val="005D7243"/>
    <w:pPr>
      <w:ind w:left="720"/>
    </w:pPr>
    <w:rPr>
      <w:rFonts w:ascii="Calibri" w:eastAsia="Calibri" w:hAnsi="Calibri"/>
      <w:sz w:val="22"/>
      <w:szCs w:val="22"/>
    </w:rPr>
  </w:style>
  <w:style w:type="character" w:customStyle="1" w:styleId="BodyTextChar">
    <w:name w:val="Body Text Char"/>
    <w:basedOn w:val="DefaultParagraphFont"/>
    <w:link w:val="BodyText"/>
    <w:rsid w:val="00E74C11"/>
    <w:rPr>
      <w:sz w:val="24"/>
    </w:rPr>
  </w:style>
  <w:style w:type="paragraph" w:styleId="Revision">
    <w:name w:val="Revision"/>
    <w:hidden/>
    <w:uiPriority w:val="99"/>
    <w:semiHidden/>
    <w:rsid w:val="000E16AA"/>
  </w:style>
  <w:style w:type="character" w:customStyle="1" w:styleId="FootnoteTextChar">
    <w:name w:val="Footnote Text Char"/>
    <w:basedOn w:val="DefaultParagraphFont"/>
    <w:link w:val="FootnoteText"/>
    <w:uiPriority w:val="99"/>
    <w:semiHidden/>
    <w:rsid w:val="00A51914"/>
  </w:style>
</w:styles>
</file>

<file path=word/webSettings.xml><?xml version="1.0" encoding="utf-8"?>
<w:webSettings xmlns:r="http://schemas.openxmlformats.org/officeDocument/2006/relationships" xmlns:w="http://schemas.openxmlformats.org/wordprocessingml/2006/main">
  <w:divs>
    <w:div w:id="91971733">
      <w:bodyDiv w:val="1"/>
      <w:marLeft w:val="0"/>
      <w:marRight w:val="0"/>
      <w:marTop w:val="0"/>
      <w:marBottom w:val="0"/>
      <w:divBdr>
        <w:top w:val="none" w:sz="0" w:space="0" w:color="auto"/>
        <w:left w:val="none" w:sz="0" w:space="0" w:color="auto"/>
        <w:bottom w:val="none" w:sz="0" w:space="0" w:color="auto"/>
        <w:right w:val="none" w:sz="0" w:space="0" w:color="auto"/>
      </w:divBdr>
    </w:div>
    <w:div w:id="221404132">
      <w:bodyDiv w:val="1"/>
      <w:marLeft w:val="0"/>
      <w:marRight w:val="0"/>
      <w:marTop w:val="0"/>
      <w:marBottom w:val="0"/>
      <w:divBdr>
        <w:top w:val="none" w:sz="0" w:space="0" w:color="auto"/>
        <w:left w:val="none" w:sz="0" w:space="0" w:color="auto"/>
        <w:bottom w:val="none" w:sz="0" w:space="0" w:color="auto"/>
        <w:right w:val="none" w:sz="0" w:space="0" w:color="auto"/>
      </w:divBdr>
    </w:div>
    <w:div w:id="670835386">
      <w:bodyDiv w:val="1"/>
      <w:marLeft w:val="0"/>
      <w:marRight w:val="0"/>
      <w:marTop w:val="0"/>
      <w:marBottom w:val="0"/>
      <w:divBdr>
        <w:top w:val="none" w:sz="0" w:space="0" w:color="auto"/>
        <w:left w:val="none" w:sz="0" w:space="0" w:color="auto"/>
        <w:bottom w:val="none" w:sz="0" w:space="0" w:color="auto"/>
        <w:right w:val="none" w:sz="0" w:space="0" w:color="auto"/>
      </w:divBdr>
    </w:div>
    <w:div w:id="728458658">
      <w:bodyDiv w:val="1"/>
      <w:marLeft w:val="0"/>
      <w:marRight w:val="0"/>
      <w:marTop w:val="0"/>
      <w:marBottom w:val="0"/>
      <w:divBdr>
        <w:top w:val="none" w:sz="0" w:space="0" w:color="auto"/>
        <w:left w:val="none" w:sz="0" w:space="0" w:color="auto"/>
        <w:bottom w:val="none" w:sz="0" w:space="0" w:color="auto"/>
        <w:right w:val="none" w:sz="0" w:space="0" w:color="auto"/>
      </w:divBdr>
    </w:div>
    <w:div w:id="868253017">
      <w:bodyDiv w:val="1"/>
      <w:marLeft w:val="0"/>
      <w:marRight w:val="0"/>
      <w:marTop w:val="0"/>
      <w:marBottom w:val="0"/>
      <w:divBdr>
        <w:top w:val="none" w:sz="0" w:space="0" w:color="auto"/>
        <w:left w:val="none" w:sz="0" w:space="0" w:color="auto"/>
        <w:bottom w:val="none" w:sz="0" w:space="0" w:color="auto"/>
        <w:right w:val="none" w:sz="0" w:space="0" w:color="auto"/>
      </w:divBdr>
    </w:div>
    <w:div w:id="884485263">
      <w:bodyDiv w:val="1"/>
      <w:marLeft w:val="0"/>
      <w:marRight w:val="0"/>
      <w:marTop w:val="0"/>
      <w:marBottom w:val="0"/>
      <w:divBdr>
        <w:top w:val="none" w:sz="0" w:space="0" w:color="auto"/>
        <w:left w:val="none" w:sz="0" w:space="0" w:color="auto"/>
        <w:bottom w:val="none" w:sz="0" w:space="0" w:color="auto"/>
        <w:right w:val="none" w:sz="0" w:space="0" w:color="auto"/>
      </w:divBdr>
    </w:div>
    <w:div w:id="912470714">
      <w:bodyDiv w:val="1"/>
      <w:marLeft w:val="0"/>
      <w:marRight w:val="0"/>
      <w:marTop w:val="0"/>
      <w:marBottom w:val="0"/>
      <w:divBdr>
        <w:top w:val="none" w:sz="0" w:space="0" w:color="auto"/>
        <w:left w:val="none" w:sz="0" w:space="0" w:color="auto"/>
        <w:bottom w:val="none" w:sz="0" w:space="0" w:color="auto"/>
        <w:right w:val="none" w:sz="0" w:space="0" w:color="auto"/>
      </w:divBdr>
    </w:div>
    <w:div w:id="932781896">
      <w:bodyDiv w:val="1"/>
      <w:marLeft w:val="0"/>
      <w:marRight w:val="0"/>
      <w:marTop w:val="0"/>
      <w:marBottom w:val="0"/>
      <w:divBdr>
        <w:top w:val="none" w:sz="0" w:space="0" w:color="auto"/>
        <w:left w:val="none" w:sz="0" w:space="0" w:color="auto"/>
        <w:bottom w:val="none" w:sz="0" w:space="0" w:color="auto"/>
        <w:right w:val="none" w:sz="0" w:space="0" w:color="auto"/>
      </w:divBdr>
    </w:div>
    <w:div w:id="990717687">
      <w:bodyDiv w:val="1"/>
      <w:marLeft w:val="0"/>
      <w:marRight w:val="0"/>
      <w:marTop w:val="0"/>
      <w:marBottom w:val="0"/>
      <w:divBdr>
        <w:top w:val="none" w:sz="0" w:space="0" w:color="auto"/>
        <w:left w:val="none" w:sz="0" w:space="0" w:color="auto"/>
        <w:bottom w:val="none" w:sz="0" w:space="0" w:color="auto"/>
        <w:right w:val="none" w:sz="0" w:space="0" w:color="auto"/>
      </w:divBdr>
    </w:div>
    <w:div w:id="1154373429">
      <w:bodyDiv w:val="1"/>
      <w:marLeft w:val="0"/>
      <w:marRight w:val="0"/>
      <w:marTop w:val="0"/>
      <w:marBottom w:val="0"/>
      <w:divBdr>
        <w:top w:val="none" w:sz="0" w:space="0" w:color="auto"/>
        <w:left w:val="none" w:sz="0" w:space="0" w:color="auto"/>
        <w:bottom w:val="none" w:sz="0" w:space="0" w:color="auto"/>
        <w:right w:val="none" w:sz="0" w:space="0" w:color="auto"/>
      </w:divBdr>
    </w:div>
    <w:div w:id="1161771630">
      <w:bodyDiv w:val="1"/>
      <w:marLeft w:val="0"/>
      <w:marRight w:val="0"/>
      <w:marTop w:val="0"/>
      <w:marBottom w:val="0"/>
      <w:divBdr>
        <w:top w:val="none" w:sz="0" w:space="0" w:color="auto"/>
        <w:left w:val="none" w:sz="0" w:space="0" w:color="auto"/>
        <w:bottom w:val="none" w:sz="0" w:space="0" w:color="auto"/>
        <w:right w:val="none" w:sz="0" w:space="0" w:color="auto"/>
      </w:divBdr>
    </w:div>
    <w:div w:id="1176651041">
      <w:bodyDiv w:val="1"/>
      <w:marLeft w:val="0"/>
      <w:marRight w:val="0"/>
      <w:marTop w:val="0"/>
      <w:marBottom w:val="0"/>
      <w:divBdr>
        <w:top w:val="none" w:sz="0" w:space="0" w:color="auto"/>
        <w:left w:val="none" w:sz="0" w:space="0" w:color="auto"/>
        <w:bottom w:val="none" w:sz="0" w:space="0" w:color="auto"/>
        <w:right w:val="none" w:sz="0" w:space="0" w:color="auto"/>
      </w:divBdr>
    </w:div>
    <w:div w:id="1201085828">
      <w:bodyDiv w:val="1"/>
      <w:marLeft w:val="0"/>
      <w:marRight w:val="0"/>
      <w:marTop w:val="0"/>
      <w:marBottom w:val="0"/>
      <w:divBdr>
        <w:top w:val="none" w:sz="0" w:space="0" w:color="auto"/>
        <w:left w:val="none" w:sz="0" w:space="0" w:color="auto"/>
        <w:bottom w:val="none" w:sz="0" w:space="0" w:color="auto"/>
        <w:right w:val="none" w:sz="0" w:space="0" w:color="auto"/>
      </w:divBdr>
    </w:div>
    <w:div w:id="1528059481">
      <w:bodyDiv w:val="1"/>
      <w:marLeft w:val="0"/>
      <w:marRight w:val="0"/>
      <w:marTop w:val="0"/>
      <w:marBottom w:val="0"/>
      <w:divBdr>
        <w:top w:val="none" w:sz="0" w:space="0" w:color="auto"/>
        <w:left w:val="none" w:sz="0" w:space="0" w:color="auto"/>
        <w:bottom w:val="none" w:sz="0" w:space="0" w:color="auto"/>
        <w:right w:val="none" w:sz="0" w:space="0" w:color="auto"/>
      </w:divBdr>
    </w:div>
    <w:div w:id="1556546909">
      <w:bodyDiv w:val="1"/>
      <w:marLeft w:val="0"/>
      <w:marRight w:val="0"/>
      <w:marTop w:val="0"/>
      <w:marBottom w:val="0"/>
      <w:divBdr>
        <w:top w:val="none" w:sz="0" w:space="0" w:color="auto"/>
        <w:left w:val="none" w:sz="0" w:space="0" w:color="auto"/>
        <w:bottom w:val="none" w:sz="0" w:space="0" w:color="auto"/>
        <w:right w:val="none" w:sz="0" w:space="0" w:color="auto"/>
      </w:divBdr>
    </w:div>
    <w:div w:id="1584023061">
      <w:bodyDiv w:val="1"/>
      <w:marLeft w:val="0"/>
      <w:marRight w:val="0"/>
      <w:marTop w:val="0"/>
      <w:marBottom w:val="0"/>
      <w:divBdr>
        <w:top w:val="none" w:sz="0" w:space="0" w:color="auto"/>
        <w:left w:val="none" w:sz="0" w:space="0" w:color="auto"/>
        <w:bottom w:val="none" w:sz="0" w:space="0" w:color="auto"/>
        <w:right w:val="none" w:sz="0" w:space="0" w:color="auto"/>
      </w:divBdr>
    </w:div>
    <w:div w:id="1691181592">
      <w:bodyDiv w:val="1"/>
      <w:marLeft w:val="0"/>
      <w:marRight w:val="0"/>
      <w:marTop w:val="0"/>
      <w:marBottom w:val="0"/>
      <w:divBdr>
        <w:top w:val="none" w:sz="0" w:space="0" w:color="auto"/>
        <w:left w:val="none" w:sz="0" w:space="0" w:color="auto"/>
        <w:bottom w:val="none" w:sz="0" w:space="0" w:color="auto"/>
        <w:right w:val="none" w:sz="0" w:space="0" w:color="auto"/>
      </w:divBdr>
    </w:div>
    <w:div w:id="1840264904">
      <w:bodyDiv w:val="1"/>
      <w:marLeft w:val="0"/>
      <w:marRight w:val="0"/>
      <w:marTop w:val="0"/>
      <w:marBottom w:val="0"/>
      <w:divBdr>
        <w:top w:val="none" w:sz="0" w:space="0" w:color="auto"/>
        <w:left w:val="none" w:sz="0" w:space="0" w:color="auto"/>
        <w:bottom w:val="none" w:sz="0" w:space="0" w:color="auto"/>
        <w:right w:val="none" w:sz="0" w:space="0" w:color="auto"/>
      </w:divBdr>
    </w:div>
    <w:div w:id="1894151419">
      <w:bodyDiv w:val="1"/>
      <w:marLeft w:val="0"/>
      <w:marRight w:val="0"/>
      <w:marTop w:val="0"/>
      <w:marBottom w:val="0"/>
      <w:divBdr>
        <w:top w:val="none" w:sz="0" w:space="0" w:color="auto"/>
        <w:left w:val="none" w:sz="0" w:space="0" w:color="auto"/>
        <w:bottom w:val="none" w:sz="0" w:space="0" w:color="auto"/>
        <w:right w:val="none" w:sz="0" w:space="0" w:color="auto"/>
      </w:divBdr>
    </w:div>
    <w:div w:id="1927953470">
      <w:bodyDiv w:val="1"/>
      <w:marLeft w:val="0"/>
      <w:marRight w:val="0"/>
      <w:marTop w:val="0"/>
      <w:marBottom w:val="0"/>
      <w:divBdr>
        <w:top w:val="none" w:sz="0" w:space="0" w:color="auto"/>
        <w:left w:val="none" w:sz="0" w:space="0" w:color="auto"/>
        <w:bottom w:val="none" w:sz="0" w:space="0" w:color="auto"/>
        <w:right w:val="none" w:sz="0" w:space="0" w:color="auto"/>
      </w:divBdr>
    </w:div>
    <w:div w:id="19907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a.gov/forecasts/aeo/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ia.gov/totalenergy/data/annual" TargetMode="External"/><Relationship Id="rId4" Type="http://schemas.openxmlformats.org/officeDocument/2006/relationships/settings" Target="settings.xml"/><Relationship Id="rId9" Type="http://schemas.openxmlformats.org/officeDocument/2006/relationships/hyperlink" Target="http://www.eia.gov/electricity/annu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2D58B-6227-4728-A9D2-2FFEDEBD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5205</Words>
  <Characters>30919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 - OE781R</vt:lpstr>
    </vt:vector>
  </TitlesOfParts>
  <Manager>Stone, Howard</Manager>
  <Company>US DOE/EIa</Company>
  <LinksUpToDate>false</LinksUpToDate>
  <CharactersWithSpaces>36052</CharactersWithSpaces>
  <SharedDoc>false</SharedDoc>
  <HLinks>
    <vt:vector size="144" baseType="variant">
      <vt:variant>
        <vt:i4>1572925</vt:i4>
      </vt:variant>
      <vt:variant>
        <vt:i4>143</vt:i4>
      </vt:variant>
      <vt:variant>
        <vt:i4>0</vt:i4>
      </vt:variant>
      <vt:variant>
        <vt:i4>5</vt:i4>
      </vt:variant>
      <vt:variant>
        <vt:lpwstr/>
      </vt:variant>
      <vt:variant>
        <vt:lpwstr>_Toc307985136</vt:lpwstr>
      </vt:variant>
      <vt:variant>
        <vt:i4>1572925</vt:i4>
      </vt:variant>
      <vt:variant>
        <vt:i4>137</vt:i4>
      </vt:variant>
      <vt:variant>
        <vt:i4>0</vt:i4>
      </vt:variant>
      <vt:variant>
        <vt:i4>5</vt:i4>
      </vt:variant>
      <vt:variant>
        <vt:lpwstr/>
      </vt:variant>
      <vt:variant>
        <vt:lpwstr>_Toc307985135</vt:lpwstr>
      </vt:variant>
      <vt:variant>
        <vt:i4>1048638</vt:i4>
      </vt:variant>
      <vt:variant>
        <vt:i4>128</vt:i4>
      </vt:variant>
      <vt:variant>
        <vt:i4>0</vt:i4>
      </vt:variant>
      <vt:variant>
        <vt:i4>5</vt:i4>
      </vt:variant>
      <vt:variant>
        <vt:lpwstr/>
      </vt:variant>
      <vt:variant>
        <vt:lpwstr>_Toc309722620</vt:lpwstr>
      </vt:variant>
      <vt:variant>
        <vt:i4>1048638</vt:i4>
      </vt:variant>
      <vt:variant>
        <vt:i4>122</vt:i4>
      </vt:variant>
      <vt:variant>
        <vt:i4>0</vt:i4>
      </vt:variant>
      <vt:variant>
        <vt:i4>5</vt:i4>
      </vt:variant>
      <vt:variant>
        <vt:lpwstr/>
      </vt:variant>
      <vt:variant>
        <vt:lpwstr>_Toc309722620</vt:lpwstr>
      </vt:variant>
      <vt:variant>
        <vt:i4>1245246</vt:i4>
      </vt:variant>
      <vt:variant>
        <vt:i4>116</vt:i4>
      </vt:variant>
      <vt:variant>
        <vt:i4>0</vt:i4>
      </vt:variant>
      <vt:variant>
        <vt:i4>5</vt:i4>
      </vt:variant>
      <vt:variant>
        <vt:lpwstr/>
      </vt:variant>
      <vt:variant>
        <vt:lpwstr>_Toc309722619</vt:lpwstr>
      </vt:variant>
      <vt:variant>
        <vt:i4>1245246</vt:i4>
      </vt:variant>
      <vt:variant>
        <vt:i4>110</vt:i4>
      </vt:variant>
      <vt:variant>
        <vt:i4>0</vt:i4>
      </vt:variant>
      <vt:variant>
        <vt:i4>5</vt:i4>
      </vt:variant>
      <vt:variant>
        <vt:lpwstr/>
      </vt:variant>
      <vt:variant>
        <vt:lpwstr>_Toc309722618</vt:lpwstr>
      </vt:variant>
      <vt:variant>
        <vt:i4>1245246</vt:i4>
      </vt:variant>
      <vt:variant>
        <vt:i4>104</vt:i4>
      </vt:variant>
      <vt:variant>
        <vt:i4>0</vt:i4>
      </vt:variant>
      <vt:variant>
        <vt:i4>5</vt:i4>
      </vt:variant>
      <vt:variant>
        <vt:lpwstr/>
      </vt:variant>
      <vt:variant>
        <vt:lpwstr>_Toc309722617</vt:lpwstr>
      </vt:variant>
      <vt:variant>
        <vt:i4>1245246</vt:i4>
      </vt:variant>
      <vt:variant>
        <vt:i4>98</vt:i4>
      </vt:variant>
      <vt:variant>
        <vt:i4>0</vt:i4>
      </vt:variant>
      <vt:variant>
        <vt:i4>5</vt:i4>
      </vt:variant>
      <vt:variant>
        <vt:lpwstr/>
      </vt:variant>
      <vt:variant>
        <vt:lpwstr>_Toc309722616</vt:lpwstr>
      </vt:variant>
      <vt:variant>
        <vt:i4>1245246</vt:i4>
      </vt:variant>
      <vt:variant>
        <vt:i4>92</vt:i4>
      </vt:variant>
      <vt:variant>
        <vt:i4>0</vt:i4>
      </vt:variant>
      <vt:variant>
        <vt:i4>5</vt:i4>
      </vt:variant>
      <vt:variant>
        <vt:lpwstr/>
      </vt:variant>
      <vt:variant>
        <vt:lpwstr>_Toc309722615</vt:lpwstr>
      </vt:variant>
      <vt:variant>
        <vt:i4>1245246</vt:i4>
      </vt:variant>
      <vt:variant>
        <vt:i4>86</vt:i4>
      </vt:variant>
      <vt:variant>
        <vt:i4>0</vt:i4>
      </vt:variant>
      <vt:variant>
        <vt:i4>5</vt:i4>
      </vt:variant>
      <vt:variant>
        <vt:lpwstr/>
      </vt:variant>
      <vt:variant>
        <vt:lpwstr>_Toc309722614</vt:lpwstr>
      </vt:variant>
      <vt:variant>
        <vt:i4>1245246</vt:i4>
      </vt:variant>
      <vt:variant>
        <vt:i4>80</vt:i4>
      </vt:variant>
      <vt:variant>
        <vt:i4>0</vt:i4>
      </vt:variant>
      <vt:variant>
        <vt:i4>5</vt:i4>
      </vt:variant>
      <vt:variant>
        <vt:lpwstr/>
      </vt:variant>
      <vt:variant>
        <vt:lpwstr>_Toc309722613</vt:lpwstr>
      </vt:variant>
      <vt:variant>
        <vt:i4>1245246</vt:i4>
      </vt:variant>
      <vt:variant>
        <vt:i4>74</vt:i4>
      </vt:variant>
      <vt:variant>
        <vt:i4>0</vt:i4>
      </vt:variant>
      <vt:variant>
        <vt:i4>5</vt:i4>
      </vt:variant>
      <vt:variant>
        <vt:lpwstr/>
      </vt:variant>
      <vt:variant>
        <vt:lpwstr>_Toc309722612</vt:lpwstr>
      </vt:variant>
      <vt:variant>
        <vt:i4>1245246</vt:i4>
      </vt:variant>
      <vt:variant>
        <vt:i4>68</vt:i4>
      </vt:variant>
      <vt:variant>
        <vt:i4>0</vt:i4>
      </vt:variant>
      <vt:variant>
        <vt:i4>5</vt:i4>
      </vt:variant>
      <vt:variant>
        <vt:lpwstr/>
      </vt:variant>
      <vt:variant>
        <vt:lpwstr>_Toc309722611</vt:lpwstr>
      </vt:variant>
      <vt:variant>
        <vt:i4>1245246</vt:i4>
      </vt:variant>
      <vt:variant>
        <vt:i4>62</vt:i4>
      </vt:variant>
      <vt:variant>
        <vt:i4>0</vt:i4>
      </vt:variant>
      <vt:variant>
        <vt:i4>5</vt:i4>
      </vt:variant>
      <vt:variant>
        <vt:lpwstr/>
      </vt:variant>
      <vt:variant>
        <vt:lpwstr>_Toc309722610</vt:lpwstr>
      </vt:variant>
      <vt:variant>
        <vt:i4>1179710</vt:i4>
      </vt:variant>
      <vt:variant>
        <vt:i4>56</vt:i4>
      </vt:variant>
      <vt:variant>
        <vt:i4>0</vt:i4>
      </vt:variant>
      <vt:variant>
        <vt:i4>5</vt:i4>
      </vt:variant>
      <vt:variant>
        <vt:lpwstr/>
      </vt:variant>
      <vt:variant>
        <vt:lpwstr>_Toc309722609</vt:lpwstr>
      </vt:variant>
      <vt:variant>
        <vt:i4>1179710</vt:i4>
      </vt:variant>
      <vt:variant>
        <vt:i4>50</vt:i4>
      </vt:variant>
      <vt:variant>
        <vt:i4>0</vt:i4>
      </vt:variant>
      <vt:variant>
        <vt:i4>5</vt:i4>
      </vt:variant>
      <vt:variant>
        <vt:lpwstr/>
      </vt:variant>
      <vt:variant>
        <vt:lpwstr>_Toc309722608</vt:lpwstr>
      </vt:variant>
      <vt:variant>
        <vt:i4>1179710</vt:i4>
      </vt:variant>
      <vt:variant>
        <vt:i4>44</vt:i4>
      </vt:variant>
      <vt:variant>
        <vt:i4>0</vt:i4>
      </vt:variant>
      <vt:variant>
        <vt:i4>5</vt:i4>
      </vt:variant>
      <vt:variant>
        <vt:lpwstr/>
      </vt:variant>
      <vt:variant>
        <vt:lpwstr>_Toc309722607</vt:lpwstr>
      </vt:variant>
      <vt:variant>
        <vt:i4>1179710</vt:i4>
      </vt:variant>
      <vt:variant>
        <vt:i4>38</vt:i4>
      </vt:variant>
      <vt:variant>
        <vt:i4>0</vt:i4>
      </vt:variant>
      <vt:variant>
        <vt:i4>5</vt:i4>
      </vt:variant>
      <vt:variant>
        <vt:lpwstr/>
      </vt:variant>
      <vt:variant>
        <vt:lpwstr>_Toc309722605</vt:lpwstr>
      </vt:variant>
      <vt:variant>
        <vt:i4>1179710</vt:i4>
      </vt:variant>
      <vt:variant>
        <vt:i4>32</vt:i4>
      </vt:variant>
      <vt:variant>
        <vt:i4>0</vt:i4>
      </vt:variant>
      <vt:variant>
        <vt:i4>5</vt:i4>
      </vt:variant>
      <vt:variant>
        <vt:lpwstr/>
      </vt:variant>
      <vt:variant>
        <vt:lpwstr>_Toc309722604</vt:lpwstr>
      </vt:variant>
      <vt:variant>
        <vt:i4>1179710</vt:i4>
      </vt:variant>
      <vt:variant>
        <vt:i4>26</vt:i4>
      </vt:variant>
      <vt:variant>
        <vt:i4>0</vt:i4>
      </vt:variant>
      <vt:variant>
        <vt:i4>5</vt:i4>
      </vt:variant>
      <vt:variant>
        <vt:lpwstr/>
      </vt:variant>
      <vt:variant>
        <vt:lpwstr>_Toc309722603</vt:lpwstr>
      </vt:variant>
      <vt:variant>
        <vt:i4>1179710</vt:i4>
      </vt:variant>
      <vt:variant>
        <vt:i4>20</vt:i4>
      </vt:variant>
      <vt:variant>
        <vt:i4>0</vt:i4>
      </vt:variant>
      <vt:variant>
        <vt:i4>5</vt:i4>
      </vt:variant>
      <vt:variant>
        <vt:lpwstr/>
      </vt:variant>
      <vt:variant>
        <vt:lpwstr>_Toc309722602</vt:lpwstr>
      </vt:variant>
      <vt:variant>
        <vt:i4>1179710</vt:i4>
      </vt:variant>
      <vt:variant>
        <vt:i4>14</vt:i4>
      </vt:variant>
      <vt:variant>
        <vt:i4>0</vt:i4>
      </vt:variant>
      <vt:variant>
        <vt:i4>5</vt:i4>
      </vt:variant>
      <vt:variant>
        <vt:lpwstr/>
      </vt:variant>
      <vt:variant>
        <vt:lpwstr>_Toc309722601</vt:lpwstr>
      </vt:variant>
      <vt:variant>
        <vt:i4>1769533</vt:i4>
      </vt:variant>
      <vt:variant>
        <vt:i4>8</vt:i4>
      </vt:variant>
      <vt:variant>
        <vt:i4>0</vt:i4>
      </vt:variant>
      <vt:variant>
        <vt:i4>5</vt:i4>
      </vt:variant>
      <vt:variant>
        <vt:lpwstr/>
      </vt:variant>
      <vt:variant>
        <vt:lpwstr>_Toc309722597</vt:lpwstr>
      </vt:variant>
      <vt:variant>
        <vt:i4>1769533</vt:i4>
      </vt:variant>
      <vt:variant>
        <vt:i4>2</vt:i4>
      </vt:variant>
      <vt:variant>
        <vt:i4>0</vt:i4>
      </vt:variant>
      <vt:variant>
        <vt:i4>5</vt:i4>
      </vt:variant>
      <vt:variant>
        <vt:lpwstr/>
      </vt:variant>
      <vt:variant>
        <vt:lpwstr>_Toc309722596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OE781R</dc:title>
  <dc:creator>Makens, John</dc:creator>
  <cp:lastModifiedBy>JWO</cp:lastModifiedBy>
  <cp:revision>2</cp:revision>
  <cp:lastPrinted>2012-06-28T15:39:00Z</cp:lastPrinted>
  <dcterms:created xsi:type="dcterms:W3CDTF">2012-08-14T16:06:00Z</dcterms:created>
  <dcterms:modified xsi:type="dcterms:W3CDTF">2012-08-14T16:06:00Z</dcterms:modified>
</cp:coreProperties>
</file>