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3D" w:rsidRPr="007C599F" w:rsidRDefault="006C5F3D" w:rsidP="00064D91">
      <w:pPr>
        <w:rPr>
          <w:rFonts w:asciiTheme="minorHAnsi" w:hAnsiTheme="minorHAnsi" w:cstheme="minorHAnsi"/>
          <w:sz w:val="20"/>
          <w:szCs w:val="20"/>
        </w:rPr>
      </w:pPr>
      <w:bookmarkStart w:id="0" w:name="_GoBack"/>
      <w:bookmarkEnd w:id="0"/>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3060"/>
        <w:gridCol w:w="5886"/>
        <w:gridCol w:w="1620"/>
        <w:gridCol w:w="6336"/>
      </w:tblGrid>
      <w:tr w:rsidR="00680831" w:rsidRPr="001656C0" w:rsidTr="001656C0">
        <w:tc>
          <w:tcPr>
            <w:tcW w:w="474" w:type="dxa"/>
            <w:tcBorders>
              <w:bottom w:val="single" w:sz="4" w:space="0" w:color="auto"/>
            </w:tcBorders>
            <w:shd w:val="clear" w:color="auto" w:fill="BFBFBF" w:themeFill="background1" w:themeFillShade="BF"/>
          </w:tcPr>
          <w:p w:rsidR="00680831" w:rsidRPr="001656C0" w:rsidRDefault="00680831" w:rsidP="00064D91">
            <w:pPr>
              <w:ind w:firstLine="42"/>
              <w:jc w:val="center"/>
              <w:rPr>
                <w:rFonts w:asciiTheme="minorHAnsi" w:hAnsiTheme="minorHAnsi" w:cstheme="minorHAnsi"/>
                <w:i/>
                <w:sz w:val="22"/>
                <w:szCs w:val="22"/>
              </w:rPr>
            </w:pPr>
          </w:p>
        </w:tc>
        <w:tc>
          <w:tcPr>
            <w:tcW w:w="3060" w:type="dxa"/>
            <w:tcBorders>
              <w:bottom w:val="single" w:sz="4" w:space="0" w:color="auto"/>
            </w:tcBorders>
            <w:shd w:val="clear" w:color="auto" w:fill="BFBFBF" w:themeFill="background1" w:themeFillShade="BF"/>
          </w:tcPr>
          <w:p w:rsidR="00680831" w:rsidRPr="001656C0" w:rsidRDefault="00680831" w:rsidP="00064D91">
            <w:pPr>
              <w:ind w:firstLine="42"/>
              <w:jc w:val="center"/>
              <w:rPr>
                <w:rFonts w:asciiTheme="minorHAnsi" w:hAnsiTheme="minorHAnsi" w:cstheme="minorHAnsi"/>
                <w:i/>
                <w:sz w:val="22"/>
                <w:szCs w:val="22"/>
              </w:rPr>
            </w:pPr>
            <w:r w:rsidRPr="001656C0">
              <w:rPr>
                <w:rFonts w:asciiTheme="minorHAnsi" w:hAnsiTheme="minorHAnsi" w:cstheme="minorHAnsi"/>
                <w:i/>
                <w:sz w:val="22"/>
                <w:szCs w:val="22"/>
              </w:rPr>
              <w:t xml:space="preserve"> Issue/Location on Form</w:t>
            </w:r>
          </w:p>
        </w:tc>
        <w:tc>
          <w:tcPr>
            <w:tcW w:w="5886" w:type="dxa"/>
            <w:tcBorders>
              <w:bottom w:val="single" w:sz="4" w:space="0" w:color="auto"/>
            </w:tcBorders>
            <w:shd w:val="clear" w:color="auto" w:fill="BFBFBF" w:themeFill="background1" w:themeFillShade="BF"/>
          </w:tcPr>
          <w:p w:rsidR="00680831" w:rsidRPr="001656C0" w:rsidRDefault="00680831" w:rsidP="00064D91">
            <w:pPr>
              <w:jc w:val="center"/>
              <w:rPr>
                <w:rFonts w:asciiTheme="minorHAnsi" w:hAnsiTheme="minorHAnsi" w:cstheme="minorHAnsi"/>
                <w:i/>
                <w:sz w:val="22"/>
                <w:szCs w:val="22"/>
              </w:rPr>
            </w:pPr>
            <w:r w:rsidRPr="001656C0">
              <w:rPr>
                <w:rFonts w:asciiTheme="minorHAnsi" w:hAnsiTheme="minorHAnsi" w:cstheme="minorHAnsi"/>
                <w:i/>
                <w:sz w:val="22"/>
                <w:szCs w:val="22"/>
              </w:rPr>
              <w:t>Comment/Proposed Language</w:t>
            </w:r>
          </w:p>
        </w:tc>
        <w:tc>
          <w:tcPr>
            <w:tcW w:w="1620" w:type="dxa"/>
            <w:tcBorders>
              <w:bottom w:val="single" w:sz="4" w:space="0" w:color="auto"/>
            </w:tcBorders>
            <w:shd w:val="clear" w:color="auto" w:fill="BFBFBF" w:themeFill="background1" w:themeFillShade="BF"/>
          </w:tcPr>
          <w:p w:rsidR="00680831" w:rsidRPr="001656C0" w:rsidRDefault="00680831" w:rsidP="00064D91">
            <w:pPr>
              <w:jc w:val="center"/>
              <w:rPr>
                <w:rFonts w:asciiTheme="minorHAnsi" w:hAnsiTheme="minorHAnsi" w:cstheme="minorHAnsi"/>
                <w:i/>
                <w:sz w:val="22"/>
                <w:szCs w:val="22"/>
              </w:rPr>
            </w:pPr>
            <w:r w:rsidRPr="001656C0">
              <w:rPr>
                <w:rFonts w:asciiTheme="minorHAnsi" w:hAnsiTheme="minorHAnsi" w:cstheme="minorHAnsi"/>
                <w:i/>
                <w:sz w:val="22"/>
                <w:szCs w:val="22"/>
              </w:rPr>
              <w:t>ED Response</w:t>
            </w:r>
          </w:p>
        </w:tc>
        <w:tc>
          <w:tcPr>
            <w:tcW w:w="6336" w:type="dxa"/>
            <w:tcBorders>
              <w:bottom w:val="single" w:sz="4" w:space="0" w:color="auto"/>
            </w:tcBorders>
            <w:shd w:val="clear" w:color="auto" w:fill="BFBFBF" w:themeFill="background1" w:themeFillShade="BF"/>
          </w:tcPr>
          <w:p w:rsidR="00680831" w:rsidRPr="001656C0" w:rsidRDefault="00680831" w:rsidP="00064D91">
            <w:pPr>
              <w:jc w:val="center"/>
              <w:rPr>
                <w:rFonts w:asciiTheme="minorHAnsi" w:hAnsiTheme="minorHAnsi" w:cstheme="minorHAnsi"/>
                <w:i/>
                <w:sz w:val="22"/>
                <w:szCs w:val="22"/>
              </w:rPr>
            </w:pPr>
            <w:r w:rsidRPr="001656C0">
              <w:rPr>
                <w:rFonts w:asciiTheme="minorHAnsi" w:hAnsiTheme="minorHAnsi" w:cstheme="minorHAnsi"/>
                <w:i/>
                <w:sz w:val="22"/>
                <w:szCs w:val="22"/>
              </w:rPr>
              <w:t>Rationale</w:t>
            </w:r>
          </w:p>
        </w:tc>
      </w:tr>
      <w:tr w:rsidR="00680831" w:rsidRPr="001656C0" w:rsidTr="001656C0">
        <w:tc>
          <w:tcPr>
            <w:tcW w:w="474" w:type="dxa"/>
          </w:tcPr>
          <w:p w:rsidR="00680831" w:rsidRPr="001656C0" w:rsidRDefault="00680831" w:rsidP="00680831">
            <w:pPr>
              <w:rPr>
                <w:rFonts w:asciiTheme="minorHAnsi" w:hAnsiTheme="minorHAnsi" w:cstheme="minorHAnsi"/>
                <w:sz w:val="22"/>
                <w:szCs w:val="22"/>
              </w:rPr>
            </w:pPr>
            <w:r w:rsidRPr="001656C0">
              <w:rPr>
                <w:rFonts w:asciiTheme="minorHAnsi" w:hAnsiTheme="minorHAnsi" w:cstheme="minorHAnsi"/>
                <w:sz w:val="22"/>
                <w:szCs w:val="22"/>
              </w:rPr>
              <w:t>1</w:t>
            </w:r>
          </w:p>
        </w:tc>
        <w:tc>
          <w:tcPr>
            <w:tcW w:w="3060" w:type="dxa"/>
            <w:shd w:val="clear" w:color="auto" w:fill="auto"/>
          </w:tcPr>
          <w:p w:rsidR="00680831" w:rsidRPr="001656C0" w:rsidRDefault="007C599F"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t>General Comment</w:t>
            </w:r>
            <w:r w:rsidRPr="001656C0">
              <w:rPr>
                <w:rFonts w:asciiTheme="minorHAnsi" w:hAnsiTheme="minorHAnsi" w:cstheme="minorHAnsi"/>
                <w:i/>
                <w:sz w:val="22"/>
                <w:szCs w:val="22"/>
              </w:rPr>
              <w:t xml:space="preserve"> </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b/>
                <w:bCs/>
                <w:sz w:val="22"/>
                <w:szCs w:val="22"/>
              </w:rPr>
              <w:t xml:space="preserve">Adjust the layout of elements to make this form easier for borrowers to understand and complete. </w:t>
            </w:r>
            <w:r w:rsidRPr="001656C0">
              <w:rPr>
                <w:rFonts w:asciiTheme="minorHAnsi" w:hAnsiTheme="minorHAnsi" w:cstheme="minorHAnsi"/>
                <w:sz w:val="22"/>
                <w:szCs w:val="22"/>
              </w:rPr>
              <w:t xml:space="preserve">This revised form makes it more difficult for borrowers to identify where they need to report their income and whether they need to submit income information for their spouse. Simple layout changes, such as reinstating the table format for entering income information and more clearly separating the items in Section 4, would help borrowers better navigate this form and accurately report their income. Adding even a small amount of white space after each section would also make this form easier to read and follow. </w:t>
            </w:r>
          </w:p>
          <w:p w:rsidR="00680831" w:rsidRPr="001656C0" w:rsidRDefault="00680831" w:rsidP="007C599F">
            <w:pPr>
              <w:rPr>
                <w:rFonts w:asciiTheme="minorHAnsi" w:hAnsiTheme="minorHAnsi" w:cstheme="minorHAnsi"/>
                <w:sz w:val="22"/>
                <w:szCs w:val="22"/>
              </w:rPr>
            </w:pPr>
          </w:p>
        </w:tc>
        <w:tc>
          <w:tcPr>
            <w:tcW w:w="1620" w:type="dxa"/>
            <w:shd w:val="clear" w:color="auto" w:fill="auto"/>
          </w:tcPr>
          <w:p w:rsidR="00680831" w:rsidRPr="001656C0" w:rsidRDefault="001370EC" w:rsidP="007C599F">
            <w:pPr>
              <w:jc w:val="center"/>
              <w:rPr>
                <w:rFonts w:asciiTheme="minorHAnsi" w:hAnsiTheme="minorHAnsi" w:cstheme="minorHAnsi"/>
                <w:bCs/>
                <w:sz w:val="22"/>
                <w:szCs w:val="22"/>
              </w:rPr>
            </w:pPr>
            <w:r>
              <w:rPr>
                <w:rFonts w:asciiTheme="minorHAnsi" w:hAnsiTheme="minorHAnsi" w:cstheme="minorHAnsi"/>
                <w:bCs/>
                <w:sz w:val="22"/>
                <w:szCs w:val="22"/>
              </w:rPr>
              <w:t>ACCEPT</w:t>
            </w:r>
          </w:p>
        </w:tc>
        <w:tc>
          <w:tcPr>
            <w:tcW w:w="6336" w:type="dxa"/>
            <w:shd w:val="clear" w:color="auto" w:fill="auto"/>
          </w:tcPr>
          <w:p w:rsidR="00CF2843" w:rsidRDefault="001370EC" w:rsidP="001370EC">
            <w:pPr>
              <w:tabs>
                <w:tab w:val="left" w:pos="3375"/>
              </w:tabs>
              <w:rPr>
                <w:rFonts w:asciiTheme="minorHAnsi" w:hAnsiTheme="minorHAnsi" w:cstheme="minorHAnsi"/>
                <w:bCs/>
                <w:sz w:val="22"/>
                <w:szCs w:val="22"/>
              </w:rPr>
            </w:pPr>
            <w:r>
              <w:rPr>
                <w:rFonts w:asciiTheme="minorHAnsi" w:hAnsiTheme="minorHAnsi" w:cstheme="minorHAnsi"/>
                <w:bCs/>
                <w:sz w:val="22"/>
                <w:szCs w:val="22"/>
              </w:rPr>
              <w:t>The Department agrees that the proposed form lacked visual cues that would assist borrowers in determining where information actually needed to be reported.  To accommodate, the Department has now numbered items, and added “comb” fields for income, which are frequently used on the Free Application for Federal Student Aid (FAFSA), to make it clearer where borrowers will be required to complete questions or provide information.</w:t>
            </w:r>
          </w:p>
          <w:p w:rsidR="001370EC" w:rsidRDefault="001370EC" w:rsidP="001370EC">
            <w:pPr>
              <w:tabs>
                <w:tab w:val="left" w:pos="3375"/>
              </w:tabs>
              <w:rPr>
                <w:rFonts w:asciiTheme="minorHAnsi" w:hAnsiTheme="minorHAnsi" w:cstheme="minorHAnsi"/>
                <w:bCs/>
                <w:sz w:val="22"/>
                <w:szCs w:val="22"/>
              </w:rPr>
            </w:pPr>
          </w:p>
          <w:p w:rsidR="001370EC" w:rsidRPr="001656C0" w:rsidRDefault="001370EC" w:rsidP="001370EC">
            <w:pPr>
              <w:tabs>
                <w:tab w:val="left" w:pos="3375"/>
              </w:tabs>
              <w:rPr>
                <w:rFonts w:asciiTheme="minorHAnsi" w:hAnsiTheme="minorHAnsi" w:cstheme="minorHAnsi"/>
                <w:bCs/>
                <w:sz w:val="22"/>
                <w:szCs w:val="22"/>
              </w:rPr>
            </w:pPr>
            <w:r>
              <w:rPr>
                <w:rFonts w:asciiTheme="minorHAnsi" w:hAnsiTheme="minorHAnsi" w:cstheme="minorHAnsi"/>
                <w:bCs/>
                <w:sz w:val="22"/>
                <w:szCs w:val="22"/>
              </w:rPr>
              <w:t>The Department also slightly restructured the form.  Section 1 remains as it was.  Section 2 is now only about spousal identification, including the check boxes that will help borrowers determine whether the Department requires spousal income information.  Section 3 now relates to income information of the borrower and (if necessary) the spouse.</w:t>
            </w:r>
          </w:p>
        </w:tc>
      </w:tr>
      <w:tr w:rsidR="008C2639" w:rsidRPr="001656C0" w:rsidTr="001656C0">
        <w:tc>
          <w:tcPr>
            <w:tcW w:w="474" w:type="dxa"/>
          </w:tcPr>
          <w:p w:rsidR="008C2639" w:rsidRPr="001656C0" w:rsidRDefault="008C2639" w:rsidP="007C599F">
            <w:pPr>
              <w:rPr>
                <w:rFonts w:asciiTheme="minorHAnsi" w:hAnsiTheme="minorHAnsi" w:cstheme="minorHAnsi"/>
                <w:sz w:val="22"/>
                <w:szCs w:val="22"/>
              </w:rPr>
            </w:pPr>
            <w:r w:rsidRPr="001656C0">
              <w:rPr>
                <w:rFonts w:asciiTheme="minorHAnsi" w:hAnsiTheme="minorHAnsi" w:cstheme="minorHAnsi"/>
                <w:sz w:val="22"/>
                <w:szCs w:val="22"/>
              </w:rPr>
              <w:t>2</w:t>
            </w:r>
          </w:p>
        </w:tc>
        <w:tc>
          <w:tcPr>
            <w:tcW w:w="3060" w:type="dxa"/>
            <w:shd w:val="clear" w:color="auto" w:fill="auto"/>
          </w:tcPr>
          <w:p w:rsidR="008C2639" w:rsidRPr="001656C0" w:rsidRDefault="007C599F"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t>General Comment</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b/>
                <w:bCs/>
                <w:sz w:val="22"/>
                <w:szCs w:val="22"/>
              </w:rPr>
              <w:t xml:space="preserve">Place a reference to the instructions (Section 5) more prominently at the top of the first page. </w:t>
            </w:r>
            <w:r w:rsidRPr="001656C0">
              <w:rPr>
                <w:rFonts w:asciiTheme="minorHAnsi" w:hAnsiTheme="minorHAnsi" w:cstheme="minorHAnsi"/>
                <w:sz w:val="22"/>
                <w:szCs w:val="22"/>
              </w:rPr>
              <w:t xml:space="preserve">It would be most helpful to place the instructions themselves at the top of the form, as we previously recommended. However, if the instructions remain on the second page, there should at least be a clear and prominent reference to those instructions at the top of the form. We appreciate the cross-reference to Section 5 in the first paragraph of Section 2, but borrowers should be instructed to determine whether it is appropriate or necessary to fill out this form above or in Section 1. </w:t>
            </w:r>
          </w:p>
          <w:p w:rsidR="008C2639" w:rsidRPr="001656C0" w:rsidRDefault="008C2639" w:rsidP="007C599F">
            <w:pPr>
              <w:rPr>
                <w:rFonts w:asciiTheme="minorHAnsi" w:hAnsiTheme="minorHAnsi" w:cstheme="minorHAnsi"/>
                <w:sz w:val="22"/>
                <w:szCs w:val="22"/>
              </w:rPr>
            </w:pPr>
          </w:p>
        </w:tc>
        <w:tc>
          <w:tcPr>
            <w:tcW w:w="1620" w:type="dxa"/>
            <w:shd w:val="clear" w:color="auto" w:fill="auto"/>
          </w:tcPr>
          <w:p w:rsidR="008C2639" w:rsidRPr="001656C0" w:rsidRDefault="00CE2097"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8C2639" w:rsidRPr="001656C0" w:rsidRDefault="00776034" w:rsidP="007C599F">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The Department has placed a prominent reference to Section 5 in Section 1.</w:t>
            </w:r>
          </w:p>
        </w:tc>
      </w:tr>
      <w:tr w:rsidR="007C599F" w:rsidRPr="001656C0" w:rsidTr="001656C0">
        <w:tc>
          <w:tcPr>
            <w:tcW w:w="474" w:type="dxa"/>
          </w:tcPr>
          <w:p w:rsidR="007C599F" w:rsidRPr="001656C0" w:rsidRDefault="007C599F" w:rsidP="007C599F">
            <w:pPr>
              <w:rPr>
                <w:rFonts w:asciiTheme="minorHAnsi" w:hAnsiTheme="minorHAnsi" w:cstheme="minorHAnsi"/>
                <w:sz w:val="22"/>
                <w:szCs w:val="22"/>
              </w:rPr>
            </w:pPr>
            <w:r w:rsidRPr="001656C0">
              <w:rPr>
                <w:rFonts w:asciiTheme="minorHAnsi" w:hAnsiTheme="minorHAnsi" w:cstheme="minorHAnsi"/>
                <w:sz w:val="22"/>
                <w:szCs w:val="22"/>
              </w:rPr>
              <w:t>3</w:t>
            </w:r>
          </w:p>
        </w:tc>
        <w:tc>
          <w:tcPr>
            <w:tcW w:w="3060" w:type="dxa"/>
            <w:shd w:val="clear" w:color="auto" w:fill="auto"/>
          </w:tcPr>
          <w:p w:rsidR="007C599F" w:rsidRPr="001656C0" w:rsidRDefault="007C599F"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t>General Comment</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b/>
                <w:bCs/>
                <w:sz w:val="22"/>
                <w:szCs w:val="22"/>
              </w:rPr>
              <w:t xml:space="preserve">Use plain language that most borrowers can read and understand. </w:t>
            </w:r>
            <w:r w:rsidRPr="001656C0">
              <w:rPr>
                <w:rFonts w:asciiTheme="minorHAnsi" w:hAnsiTheme="minorHAnsi" w:cstheme="minorHAnsi"/>
                <w:sz w:val="22"/>
                <w:szCs w:val="22"/>
              </w:rPr>
              <w:t xml:space="preserve">Although some of the large blocks of text have been broken up in this revised form, more needs to be done to simplify the language and make the form easier to follow. See </w:t>
            </w:r>
            <w:r w:rsidRPr="001656C0">
              <w:rPr>
                <w:rFonts w:asciiTheme="minorHAnsi" w:hAnsiTheme="minorHAnsi" w:cstheme="minorHAnsi"/>
                <w:sz w:val="22"/>
                <w:szCs w:val="22"/>
              </w:rPr>
              <w:lastRenderedPageBreak/>
              <w:t xml:space="preserve">our specific recommendations below for more details. </w:t>
            </w:r>
          </w:p>
          <w:p w:rsidR="007C599F" w:rsidRPr="001656C0" w:rsidRDefault="007C599F" w:rsidP="007C599F">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7C599F" w:rsidRPr="001656C0" w:rsidRDefault="001370EC" w:rsidP="007C599F">
            <w:pPr>
              <w:jc w:val="center"/>
              <w:rPr>
                <w:rFonts w:asciiTheme="minorHAnsi" w:hAnsiTheme="minorHAnsi" w:cstheme="minorHAnsi"/>
                <w:sz w:val="22"/>
                <w:szCs w:val="22"/>
              </w:rPr>
            </w:pPr>
            <w:r>
              <w:rPr>
                <w:rFonts w:asciiTheme="minorHAnsi" w:hAnsiTheme="minorHAnsi" w:cstheme="minorHAnsi"/>
                <w:sz w:val="22"/>
                <w:szCs w:val="22"/>
              </w:rPr>
              <w:lastRenderedPageBreak/>
              <w:t>ACCEPT</w:t>
            </w:r>
          </w:p>
        </w:tc>
        <w:tc>
          <w:tcPr>
            <w:tcW w:w="6336" w:type="dxa"/>
            <w:shd w:val="clear" w:color="auto" w:fill="auto"/>
          </w:tcPr>
          <w:p w:rsidR="003E79B5" w:rsidRPr="001656C0" w:rsidRDefault="001370EC" w:rsidP="007C599F">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The Department has further broken up the large blocks of dense texts and endeavored to make instructions clear and explicit.</w:t>
            </w:r>
          </w:p>
        </w:tc>
      </w:tr>
      <w:tr w:rsidR="007C599F" w:rsidRPr="001656C0" w:rsidTr="001656C0">
        <w:tc>
          <w:tcPr>
            <w:tcW w:w="474" w:type="dxa"/>
          </w:tcPr>
          <w:p w:rsidR="007C599F" w:rsidRPr="001656C0" w:rsidRDefault="007C599F" w:rsidP="007C599F">
            <w:pPr>
              <w:rPr>
                <w:rFonts w:asciiTheme="minorHAnsi" w:hAnsiTheme="minorHAnsi" w:cstheme="minorHAnsi"/>
                <w:sz w:val="22"/>
                <w:szCs w:val="22"/>
              </w:rPr>
            </w:pPr>
            <w:r w:rsidRPr="001656C0">
              <w:rPr>
                <w:rFonts w:asciiTheme="minorHAnsi" w:hAnsiTheme="minorHAnsi" w:cstheme="minorHAnsi"/>
                <w:sz w:val="22"/>
                <w:szCs w:val="22"/>
              </w:rPr>
              <w:lastRenderedPageBreak/>
              <w:t>4</w:t>
            </w:r>
          </w:p>
        </w:tc>
        <w:tc>
          <w:tcPr>
            <w:tcW w:w="3060" w:type="dxa"/>
            <w:shd w:val="clear" w:color="auto" w:fill="auto"/>
          </w:tcPr>
          <w:p w:rsidR="007C599F" w:rsidRPr="001656C0" w:rsidRDefault="001656C0" w:rsidP="001656C0">
            <w:pPr>
              <w:rPr>
                <w:rFonts w:asciiTheme="minorHAnsi" w:hAnsiTheme="minorHAnsi" w:cstheme="minorHAnsi"/>
                <w:i/>
                <w:sz w:val="22"/>
                <w:szCs w:val="22"/>
              </w:rPr>
            </w:pPr>
            <w:r w:rsidRPr="001656C0">
              <w:rPr>
                <w:rFonts w:asciiTheme="minorHAnsi" w:hAnsiTheme="minorHAnsi" w:cstheme="minorHAnsi"/>
                <w:b/>
                <w:bCs/>
                <w:color w:val="000000"/>
                <w:sz w:val="22"/>
                <w:szCs w:val="22"/>
              </w:rPr>
              <w:t>Section 1</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Compress or reorganize the contact information fields so that they take up less vertical space, making it easier to add separation and white space in other parts of the form. </w:t>
            </w:r>
          </w:p>
          <w:p w:rsidR="007C599F" w:rsidRPr="001656C0" w:rsidRDefault="007C599F" w:rsidP="007C599F">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7C599F" w:rsidRPr="001656C0" w:rsidRDefault="001370EC" w:rsidP="007C599F">
            <w:pPr>
              <w:jc w:val="center"/>
              <w:rPr>
                <w:rFonts w:asciiTheme="minorHAnsi" w:hAnsiTheme="minorHAnsi" w:cstheme="minorHAnsi"/>
                <w:sz w:val="22"/>
                <w:szCs w:val="22"/>
              </w:rPr>
            </w:pPr>
            <w:r>
              <w:rPr>
                <w:rFonts w:asciiTheme="minorHAnsi" w:hAnsiTheme="minorHAnsi" w:cstheme="minorHAnsi"/>
                <w:sz w:val="22"/>
                <w:szCs w:val="22"/>
              </w:rPr>
              <w:t>REJECT</w:t>
            </w:r>
          </w:p>
        </w:tc>
        <w:tc>
          <w:tcPr>
            <w:tcW w:w="6336" w:type="dxa"/>
            <w:shd w:val="clear" w:color="auto" w:fill="auto"/>
          </w:tcPr>
          <w:p w:rsidR="003E79B5" w:rsidRPr="001656C0" w:rsidRDefault="001370EC" w:rsidP="003E79B5">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Many servicers use windowed envelopes to prepopulate the borrower’s name and address that necessitate section one being laid out in such a manner.</w:t>
            </w:r>
          </w:p>
        </w:tc>
      </w:tr>
      <w:tr w:rsidR="007C599F" w:rsidRPr="001656C0" w:rsidTr="001656C0">
        <w:tc>
          <w:tcPr>
            <w:tcW w:w="474" w:type="dxa"/>
          </w:tcPr>
          <w:p w:rsidR="007C599F" w:rsidRPr="001656C0" w:rsidRDefault="007C599F" w:rsidP="007C599F">
            <w:pPr>
              <w:rPr>
                <w:rFonts w:asciiTheme="minorHAnsi" w:hAnsiTheme="minorHAnsi" w:cstheme="minorHAnsi"/>
                <w:sz w:val="22"/>
                <w:szCs w:val="22"/>
              </w:rPr>
            </w:pPr>
            <w:r w:rsidRPr="001656C0">
              <w:rPr>
                <w:rFonts w:asciiTheme="minorHAnsi" w:hAnsiTheme="minorHAnsi" w:cstheme="minorHAnsi"/>
                <w:sz w:val="22"/>
                <w:szCs w:val="22"/>
              </w:rPr>
              <w:t>5</w:t>
            </w:r>
          </w:p>
        </w:tc>
        <w:tc>
          <w:tcPr>
            <w:tcW w:w="3060" w:type="dxa"/>
            <w:shd w:val="clear" w:color="auto" w:fill="auto"/>
          </w:tcPr>
          <w:p w:rsidR="007C599F" w:rsidRPr="001656C0" w:rsidRDefault="007C599F" w:rsidP="001656C0">
            <w:pPr>
              <w:rPr>
                <w:rFonts w:asciiTheme="minorHAnsi" w:hAnsiTheme="minorHAnsi" w:cstheme="minorHAnsi"/>
                <w:i/>
                <w:sz w:val="22"/>
                <w:szCs w:val="22"/>
              </w:rPr>
            </w:pPr>
            <w:r w:rsidRPr="001656C0">
              <w:rPr>
                <w:rFonts w:asciiTheme="minorHAnsi" w:hAnsiTheme="minorHAnsi" w:cstheme="minorHAnsi"/>
                <w:b/>
                <w:bCs/>
                <w:color w:val="000000"/>
                <w:sz w:val="22"/>
                <w:szCs w:val="22"/>
              </w:rPr>
              <w:t>Section</w:t>
            </w:r>
            <w:r w:rsidR="001656C0" w:rsidRPr="001656C0">
              <w:rPr>
                <w:rFonts w:asciiTheme="minorHAnsi" w:hAnsiTheme="minorHAnsi" w:cstheme="minorHAnsi"/>
                <w:b/>
                <w:bCs/>
                <w:color w:val="000000"/>
                <w:sz w:val="22"/>
                <w:szCs w:val="22"/>
              </w:rPr>
              <w:t>s</w:t>
            </w:r>
            <w:r w:rsidRPr="001656C0">
              <w:rPr>
                <w:rFonts w:asciiTheme="minorHAnsi" w:hAnsiTheme="minorHAnsi" w:cstheme="minorHAnsi"/>
                <w:b/>
                <w:bCs/>
                <w:color w:val="000000"/>
                <w:sz w:val="22"/>
                <w:szCs w:val="22"/>
              </w:rPr>
              <w:t xml:space="preserve"> 2</w:t>
            </w:r>
            <w:r w:rsidR="001656C0" w:rsidRPr="001656C0">
              <w:rPr>
                <w:rFonts w:asciiTheme="minorHAnsi" w:hAnsiTheme="minorHAnsi" w:cstheme="minorHAnsi"/>
                <w:b/>
                <w:bCs/>
                <w:color w:val="000000"/>
                <w:sz w:val="22"/>
                <w:szCs w:val="22"/>
              </w:rPr>
              <w:t xml:space="preserve"> and 3</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Restore the table format for entering income information. In the revised form, the table has been replaced by two lines that are buried in inches of text. The table visually directed the borrower’s attention to the fields for entering income information and made it easier to fill out that information. </w:t>
            </w:r>
          </w:p>
          <w:p w:rsidR="007C599F" w:rsidRPr="001656C0" w:rsidRDefault="007C599F" w:rsidP="007C599F">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7C599F" w:rsidRPr="001656C0" w:rsidRDefault="001370EC" w:rsidP="007C599F">
            <w:pPr>
              <w:jc w:val="center"/>
              <w:rPr>
                <w:rFonts w:asciiTheme="minorHAnsi" w:hAnsiTheme="minorHAnsi" w:cstheme="minorHAnsi"/>
                <w:sz w:val="22"/>
                <w:szCs w:val="22"/>
              </w:rPr>
            </w:pPr>
            <w:r>
              <w:rPr>
                <w:rFonts w:asciiTheme="minorHAnsi" w:hAnsiTheme="minorHAnsi" w:cstheme="minorHAnsi"/>
                <w:sz w:val="22"/>
                <w:szCs w:val="22"/>
              </w:rPr>
              <w:t>ACCEPT IN PART</w:t>
            </w:r>
          </w:p>
        </w:tc>
        <w:tc>
          <w:tcPr>
            <w:tcW w:w="6336" w:type="dxa"/>
            <w:shd w:val="clear" w:color="auto" w:fill="auto"/>
          </w:tcPr>
          <w:p w:rsidR="003E79B5" w:rsidRPr="001656C0" w:rsidRDefault="001370EC" w:rsidP="001370E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The Department agrees that the fields for reporting income were difficult to locate in the prior draft of the form.  To assist borrowers in locating these fields, the Department has added “comb” fields, which are frequently used on </w:t>
            </w:r>
            <w:r>
              <w:rPr>
                <w:rFonts w:asciiTheme="minorHAnsi" w:hAnsiTheme="minorHAnsi" w:cstheme="minorHAnsi"/>
                <w:bCs/>
                <w:sz w:val="22"/>
                <w:szCs w:val="22"/>
              </w:rPr>
              <w:t>the Free Application for Federal Student Aid (FAFSA).</w:t>
            </w:r>
          </w:p>
        </w:tc>
      </w:tr>
      <w:tr w:rsidR="007C599F" w:rsidRPr="001656C0" w:rsidTr="001656C0">
        <w:tc>
          <w:tcPr>
            <w:tcW w:w="474" w:type="dxa"/>
          </w:tcPr>
          <w:p w:rsidR="007C599F" w:rsidRPr="001656C0" w:rsidRDefault="007C599F" w:rsidP="007C599F">
            <w:pPr>
              <w:rPr>
                <w:rFonts w:asciiTheme="minorHAnsi" w:hAnsiTheme="minorHAnsi" w:cstheme="minorHAnsi"/>
                <w:sz w:val="22"/>
                <w:szCs w:val="22"/>
              </w:rPr>
            </w:pPr>
            <w:r w:rsidRPr="001656C0">
              <w:rPr>
                <w:rFonts w:asciiTheme="minorHAnsi" w:hAnsiTheme="minorHAnsi" w:cstheme="minorHAnsi"/>
                <w:sz w:val="22"/>
                <w:szCs w:val="22"/>
              </w:rPr>
              <w:t>6</w:t>
            </w:r>
          </w:p>
        </w:tc>
        <w:tc>
          <w:tcPr>
            <w:tcW w:w="3060" w:type="dxa"/>
            <w:shd w:val="clear" w:color="auto" w:fill="auto"/>
          </w:tcPr>
          <w:p w:rsidR="007C599F" w:rsidRPr="001656C0" w:rsidRDefault="001656C0"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t>Sections 2 and 3</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Restore the check-boxes for “Frequency of Payment.” In the revised form, it is not obvious whether borrowers should report the number of times they are paid each year or use a descriptor like “weekly.” The check-boxes are a much more self-explanatory way to report this information.</w:t>
            </w:r>
          </w:p>
          <w:p w:rsidR="007C599F" w:rsidRPr="001656C0" w:rsidRDefault="007C599F" w:rsidP="007C599F">
            <w:pPr>
              <w:autoSpaceDE w:val="0"/>
              <w:autoSpaceDN w:val="0"/>
              <w:adjustRightInd w:val="0"/>
              <w:spacing w:after="304"/>
              <w:rPr>
                <w:rFonts w:asciiTheme="minorHAnsi" w:hAnsiTheme="minorHAnsi" w:cstheme="minorHAnsi"/>
                <w:color w:val="000000"/>
                <w:sz w:val="22"/>
                <w:szCs w:val="22"/>
              </w:rPr>
            </w:pPr>
            <w:r w:rsidRPr="001656C0">
              <w:rPr>
                <w:rFonts w:asciiTheme="minorHAnsi" w:hAnsiTheme="minorHAnsi" w:cstheme="minorHAnsi"/>
                <w:color w:val="000000"/>
                <w:sz w:val="22"/>
                <w:szCs w:val="22"/>
              </w:rPr>
              <w:t xml:space="preserve"> </w:t>
            </w:r>
          </w:p>
          <w:p w:rsidR="007C599F" w:rsidRPr="001656C0" w:rsidRDefault="007C599F" w:rsidP="007C599F">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7C599F" w:rsidRPr="001656C0" w:rsidRDefault="001370EC"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3E79B5" w:rsidRPr="001656C0" w:rsidRDefault="001370EC" w:rsidP="00D6400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The Department agrees that check boxes are a clearer way of requesting this information.  The check boxes will include: (1) Weekly, (2) Every Two Weeks, (3) Twice Per Month, (4) Monthly, and (5) Annually.</w:t>
            </w:r>
          </w:p>
        </w:tc>
      </w:tr>
      <w:tr w:rsidR="007C599F" w:rsidRPr="001656C0" w:rsidTr="001656C0">
        <w:tc>
          <w:tcPr>
            <w:tcW w:w="474" w:type="dxa"/>
          </w:tcPr>
          <w:p w:rsidR="007C599F" w:rsidRPr="001656C0" w:rsidRDefault="007C599F" w:rsidP="007C599F">
            <w:pPr>
              <w:rPr>
                <w:rFonts w:asciiTheme="minorHAnsi" w:hAnsiTheme="minorHAnsi" w:cstheme="minorHAnsi"/>
                <w:sz w:val="22"/>
                <w:szCs w:val="22"/>
              </w:rPr>
            </w:pPr>
            <w:r w:rsidRPr="001656C0">
              <w:rPr>
                <w:rFonts w:asciiTheme="minorHAnsi" w:hAnsiTheme="minorHAnsi" w:cstheme="minorHAnsi"/>
                <w:sz w:val="22"/>
                <w:szCs w:val="22"/>
              </w:rPr>
              <w:t>7</w:t>
            </w:r>
          </w:p>
        </w:tc>
        <w:tc>
          <w:tcPr>
            <w:tcW w:w="3060" w:type="dxa"/>
            <w:shd w:val="clear" w:color="auto" w:fill="auto"/>
          </w:tcPr>
          <w:p w:rsidR="007C599F" w:rsidRPr="001656C0" w:rsidRDefault="001656C0"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t>Sections 2 and 3</w:t>
            </w:r>
          </w:p>
        </w:tc>
        <w:tc>
          <w:tcPr>
            <w:tcW w:w="5886" w:type="dxa"/>
            <w:shd w:val="clear" w:color="auto" w:fill="auto"/>
          </w:tcPr>
          <w:p w:rsidR="007C599F"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Reword “Amount of Taxable Income” to “Amount of Taxable Income per Pay Period” to make it clear that borrowers should not enter their total annual income if they are paid multiple times a year. Some pay stubs include the total paid per pay period as well as the cumulative total paid that year. </w:t>
            </w:r>
          </w:p>
        </w:tc>
        <w:tc>
          <w:tcPr>
            <w:tcW w:w="1620" w:type="dxa"/>
            <w:shd w:val="clear" w:color="auto" w:fill="auto"/>
          </w:tcPr>
          <w:p w:rsidR="007C599F" w:rsidRPr="001656C0" w:rsidRDefault="001370EC" w:rsidP="007C599F">
            <w:pPr>
              <w:jc w:val="center"/>
              <w:rPr>
                <w:rFonts w:asciiTheme="minorHAnsi" w:hAnsiTheme="minorHAnsi" w:cstheme="minorHAnsi"/>
                <w:sz w:val="22"/>
                <w:szCs w:val="22"/>
              </w:rPr>
            </w:pPr>
            <w:r>
              <w:rPr>
                <w:rFonts w:asciiTheme="minorHAnsi" w:hAnsiTheme="minorHAnsi" w:cstheme="minorHAnsi"/>
                <w:sz w:val="22"/>
                <w:szCs w:val="22"/>
              </w:rPr>
              <w:t>ACCEPT IN PART</w:t>
            </w:r>
          </w:p>
        </w:tc>
        <w:tc>
          <w:tcPr>
            <w:tcW w:w="6336" w:type="dxa"/>
            <w:shd w:val="clear" w:color="auto" w:fill="auto"/>
          </w:tcPr>
          <w:p w:rsidR="007C599F" w:rsidRDefault="001370EC" w:rsidP="007C599F">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The Department agrees that the fields for reporting income were ambiguous as to whether the amount to be reported was an annual amount or an amount per pay period.  In lieu of restructuring the name of the field, the Department has </w:t>
            </w:r>
            <w:r w:rsidR="006A0672">
              <w:rPr>
                <w:rFonts w:asciiTheme="minorHAnsi" w:hAnsiTheme="minorHAnsi" w:cstheme="minorHAnsi"/>
                <w:color w:val="000000"/>
                <w:sz w:val="22"/>
                <w:szCs w:val="22"/>
              </w:rPr>
              <w:t>added instructions to the top of Section 3; specifically, in the last sentence in the first paragraph, as follows:</w:t>
            </w:r>
          </w:p>
          <w:p w:rsidR="006A0672" w:rsidRDefault="006A0672" w:rsidP="007C599F">
            <w:pPr>
              <w:pStyle w:val="Header"/>
              <w:spacing w:after="40"/>
              <w:contextualSpacing/>
              <w:rPr>
                <w:rFonts w:asciiTheme="minorHAnsi" w:hAnsiTheme="minorHAnsi" w:cstheme="minorHAnsi"/>
                <w:color w:val="000000"/>
                <w:sz w:val="22"/>
                <w:szCs w:val="22"/>
              </w:rPr>
            </w:pPr>
          </w:p>
          <w:p w:rsidR="006A0672" w:rsidRPr="001656C0" w:rsidRDefault="006A0672" w:rsidP="007C599F">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“Example: for Items 8 and 11, as appropriate, if you are submitting a pay stub that indicates that your gross pay for the pay period is $800.99, report $800 in Item 8.”</w:t>
            </w: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r w:rsidRPr="001656C0">
              <w:rPr>
                <w:rFonts w:asciiTheme="minorHAnsi" w:hAnsiTheme="minorHAnsi" w:cstheme="minorHAnsi"/>
                <w:sz w:val="22"/>
                <w:szCs w:val="22"/>
              </w:rPr>
              <w:t>8</w:t>
            </w:r>
          </w:p>
        </w:tc>
        <w:tc>
          <w:tcPr>
            <w:tcW w:w="3060" w:type="dxa"/>
            <w:shd w:val="clear" w:color="auto" w:fill="auto"/>
          </w:tcPr>
          <w:p w:rsidR="001656C0" w:rsidRPr="001656C0" w:rsidRDefault="001656C0" w:rsidP="001656C0">
            <w:pPr>
              <w:rPr>
                <w:rFonts w:asciiTheme="minorHAnsi" w:hAnsiTheme="minorHAnsi" w:cstheme="minorHAnsi"/>
                <w:i/>
                <w:sz w:val="22"/>
                <w:szCs w:val="22"/>
              </w:rPr>
            </w:pPr>
            <w:r w:rsidRPr="001656C0">
              <w:rPr>
                <w:rFonts w:asciiTheme="minorHAnsi" w:hAnsiTheme="minorHAnsi" w:cstheme="minorHAnsi"/>
                <w:b/>
                <w:bCs/>
                <w:color w:val="000000"/>
                <w:sz w:val="22"/>
                <w:szCs w:val="22"/>
              </w:rPr>
              <w:t>Sections 2 and 3</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Consider adding back the second row that allowed borrowers to report more than one source of income. Some borrowers may work more than one job or otherwise receive multiple sources of income. This would require the field for employer or source of income to be added back to the table as well. </w:t>
            </w:r>
          </w:p>
          <w:p w:rsidR="001656C0" w:rsidRPr="001656C0" w:rsidRDefault="001656C0" w:rsidP="007C599F">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1656C0" w:rsidRPr="001656C0" w:rsidRDefault="006A0672" w:rsidP="007C599F">
            <w:pPr>
              <w:jc w:val="center"/>
              <w:rPr>
                <w:rFonts w:asciiTheme="minorHAnsi" w:hAnsiTheme="minorHAnsi" w:cstheme="minorHAnsi"/>
                <w:sz w:val="22"/>
                <w:szCs w:val="22"/>
              </w:rPr>
            </w:pPr>
            <w:r>
              <w:rPr>
                <w:rFonts w:asciiTheme="minorHAnsi" w:hAnsiTheme="minorHAnsi" w:cstheme="minorHAnsi"/>
                <w:sz w:val="22"/>
                <w:szCs w:val="22"/>
              </w:rPr>
              <w:t>REJECT</w:t>
            </w:r>
          </w:p>
        </w:tc>
        <w:tc>
          <w:tcPr>
            <w:tcW w:w="6336" w:type="dxa"/>
            <w:shd w:val="clear" w:color="auto" w:fill="auto"/>
          </w:tcPr>
          <w:p w:rsidR="00EC000C" w:rsidRDefault="006A0672" w:rsidP="00EC000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While the Department understand</w:t>
            </w:r>
            <w:r w:rsidR="00EC000C">
              <w:rPr>
                <w:rFonts w:asciiTheme="minorHAnsi" w:hAnsiTheme="minorHAnsi" w:cstheme="minorHAnsi"/>
                <w:color w:val="000000"/>
                <w:sz w:val="22"/>
                <w:szCs w:val="22"/>
              </w:rPr>
              <w:t>s</w:t>
            </w:r>
            <w:r>
              <w:rPr>
                <w:rFonts w:asciiTheme="minorHAnsi" w:hAnsiTheme="minorHAnsi" w:cstheme="minorHAnsi"/>
                <w:color w:val="000000"/>
                <w:sz w:val="22"/>
                <w:szCs w:val="22"/>
              </w:rPr>
              <w:t xml:space="preserve"> that some borrowers work multiple jobs and must therefore send documentation of income from multiple sources, it does not follow that the form must </w:t>
            </w:r>
            <w:r w:rsidR="00EC000C">
              <w:rPr>
                <w:rFonts w:asciiTheme="minorHAnsi" w:hAnsiTheme="minorHAnsi" w:cstheme="minorHAnsi"/>
                <w:color w:val="000000"/>
                <w:sz w:val="22"/>
                <w:szCs w:val="22"/>
              </w:rPr>
              <w:t>cover</w:t>
            </w:r>
            <w:r>
              <w:rPr>
                <w:rFonts w:asciiTheme="minorHAnsi" w:hAnsiTheme="minorHAnsi" w:cstheme="minorHAnsi"/>
                <w:color w:val="000000"/>
                <w:sz w:val="22"/>
                <w:szCs w:val="22"/>
              </w:rPr>
              <w:t xml:space="preserve"> every contingency</w:t>
            </w:r>
            <w:r w:rsidR="00EC000C">
              <w:rPr>
                <w:rFonts w:asciiTheme="minorHAnsi" w:hAnsiTheme="minorHAnsi" w:cstheme="minorHAnsi"/>
                <w:color w:val="000000"/>
                <w:sz w:val="22"/>
                <w:szCs w:val="22"/>
              </w:rPr>
              <w:t>.  Because the majority of borrowers have once source of income, the Department will retain the general approach reflected in the previous draft versions of the forms.</w:t>
            </w:r>
            <w:r w:rsidR="00EC000C">
              <w:rPr>
                <w:rFonts w:asciiTheme="minorHAnsi" w:hAnsiTheme="minorHAnsi" w:cstheme="minorHAnsi"/>
                <w:color w:val="000000"/>
                <w:sz w:val="22"/>
                <w:szCs w:val="22"/>
              </w:rPr>
              <w:br/>
            </w:r>
          </w:p>
          <w:p w:rsidR="001656C0" w:rsidRDefault="00EC000C" w:rsidP="00EC000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Instructions have been placed at the top of Section 3 (in paragraph 2) to help borrower understand how to proceed in this situation:</w:t>
            </w:r>
          </w:p>
          <w:p w:rsidR="00EC000C" w:rsidRDefault="00EC000C" w:rsidP="00EC000C">
            <w:pPr>
              <w:pStyle w:val="Header"/>
              <w:spacing w:after="40"/>
              <w:contextualSpacing/>
              <w:rPr>
                <w:rFonts w:asciiTheme="minorHAnsi" w:hAnsiTheme="minorHAnsi" w:cstheme="minorHAnsi"/>
                <w:color w:val="000000"/>
                <w:sz w:val="22"/>
                <w:szCs w:val="22"/>
              </w:rPr>
            </w:pPr>
          </w:p>
          <w:p w:rsidR="00EC000C" w:rsidRPr="00EC000C" w:rsidRDefault="00EC000C" w:rsidP="00EC000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have </w:t>
            </w:r>
            <w:r>
              <w:rPr>
                <w:rFonts w:asciiTheme="minorHAnsi" w:hAnsiTheme="minorHAnsi" w:cstheme="minorHAnsi"/>
                <w:b/>
                <w:color w:val="000000"/>
                <w:sz w:val="22"/>
                <w:szCs w:val="22"/>
              </w:rPr>
              <w:t>multiple sources of income</w:t>
            </w:r>
            <w:r>
              <w:rPr>
                <w:rFonts w:asciiTheme="minorHAnsi" w:hAnsiTheme="minorHAnsi" w:cstheme="minorHAnsi"/>
                <w:color w:val="000000"/>
                <w:sz w:val="22"/>
                <w:szCs w:val="22"/>
              </w:rPr>
              <w:t>, provide documentation of your income from each source, but only report your primary source of income in Items 8 and 11, as appropriate.”</w:t>
            </w: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r w:rsidRPr="001656C0">
              <w:rPr>
                <w:rFonts w:asciiTheme="minorHAnsi" w:hAnsiTheme="minorHAnsi" w:cstheme="minorHAnsi"/>
                <w:sz w:val="22"/>
                <w:szCs w:val="22"/>
              </w:rPr>
              <w:lastRenderedPageBreak/>
              <w:t>9</w:t>
            </w:r>
          </w:p>
        </w:tc>
        <w:tc>
          <w:tcPr>
            <w:tcW w:w="3060" w:type="dxa"/>
            <w:shd w:val="clear" w:color="auto" w:fill="auto"/>
          </w:tcPr>
          <w:p w:rsidR="001656C0" w:rsidRPr="001656C0" w:rsidRDefault="001656C0"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t>Section 2</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Reorganize the instructions in this section into two paragraphs: one paragraph describing the types of income to report and one paragraph describing how to attach supporting documentation of income. It is confusing how the list of types of income to report is separated by many blocks of text from the list of types of income to </w:t>
            </w:r>
            <w:r w:rsidRPr="001656C0">
              <w:rPr>
                <w:rFonts w:asciiTheme="minorHAnsi" w:hAnsiTheme="minorHAnsi" w:cstheme="minorHAnsi"/>
                <w:i/>
                <w:iCs/>
                <w:sz w:val="22"/>
                <w:szCs w:val="22"/>
              </w:rPr>
              <w:t xml:space="preserve">not </w:t>
            </w:r>
            <w:r w:rsidRPr="001656C0">
              <w:rPr>
                <w:rFonts w:asciiTheme="minorHAnsi" w:hAnsiTheme="minorHAnsi" w:cstheme="minorHAnsi"/>
                <w:sz w:val="22"/>
                <w:szCs w:val="22"/>
              </w:rPr>
              <w:t xml:space="preserve">report. The instructions on the types of income to report (and not report) should appear at the top of this section, before the space where borrowers enter their income information. </w:t>
            </w:r>
          </w:p>
          <w:p w:rsidR="001656C0" w:rsidRPr="001656C0" w:rsidRDefault="001656C0" w:rsidP="007C599F">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1656C0" w:rsidRPr="001656C0" w:rsidRDefault="00EC000C"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1656C0" w:rsidRPr="00EC000C" w:rsidRDefault="001656C0" w:rsidP="00D6400C">
            <w:pPr>
              <w:pStyle w:val="Header"/>
              <w:spacing w:after="40"/>
              <w:contextualSpacing/>
              <w:rPr>
                <w:rFonts w:asciiTheme="minorHAnsi" w:hAnsiTheme="minorHAnsi" w:cstheme="minorHAnsi"/>
                <w:color w:val="000000"/>
                <w:sz w:val="22"/>
                <w:szCs w:val="22"/>
              </w:rPr>
            </w:pP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r w:rsidRPr="001656C0">
              <w:rPr>
                <w:rFonts w:asciiTheme="minorHAnsi" w:hAnsiTheme="minorHAnsi" w:cstheme="minorHAnsi"/>
                <w:sz w:val="22"/>
                <w:szCs w:val="22"/>
              </w:rPr>
              <w:t>10</w:t>
            </w:r>
          </w:p>
        </w:tc>
        <w:tc>
          <w:tcPr>
            <w:tcW w:w="3060" w:type="dxa"/>
            <w:shd w:val="clear" w:color="auto" w:fill="auto"/>
          </w:tcPr>
          <w:p w:rsidR="001656C0" w:rsidRPr="001656C0" w:rsidRDefault="001656C0"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2</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Reword “Income includes income from employment, unemployment income, dividend income, interest income, tips, and alimony” to “This taxable income includes income from employment, unemployment income, dividend income, interest income, tips, and alimony.” This change would more clearly differentiate the taxable income borrowers are required to report and the untaxed income that borrowers should not report on this form. </w:t>
            </w:r>
          </w:p>
          <w:p w:rsidR="001656C0" w:rsidRPr="001656C0" w:rsidRDefault="001656C0" w:rsidP="007C599F">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1656C0" w:rsidRPr="001656C0" w:rsidRDefault="00EC000C" w:rsidP="001656C0">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1656C0" w:rsidRPr="001656C0" w:rsidRDefault="001656C0" w:rsidP="007C599F">
            <w:pPr>
              <w:pStyle w:val="Header"/>
              <w:spacing w:after="40"/>
              <w:contextualSpacing/>
              <w:rPr>
                <w:rFonts w:asciiTheme="minorHAnsi" w:hAnsiTheme="minorHAnsi" w:cstheme="minorHAnsi"/>
                <w:color w:val="000000"/>
                <w:sz w:val="22"/>
                <w:szCs w:val="22"/>
              </w:rPr>
            </w:pP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r w:rsidRPr="001656C0">
              <w:rPr>
                <w:rFonts w:asciiTheme="minorHAnsi" w:hAnsiTheme="minorHAnsi" w:cstheme="minorHAnsi"/>
                <w:sz w:val="22"/>
                <w:szCs w:val="22"/>
              </w:rPr>
              <w:t>11</w:t>
            </w:r>
          </w:p>
        </w:tc>
        <w:tc>
          <w:tcPr>
            <w:tcW w:w="3060" w:type="dxa"/>
            <w:shd w:val="clear" w:color="auto" w:fill="auto"/>
          </w:tcPr>
          <w:p w:rsidR="001656C0" w:rsidRPr="001656C0" w:rsidRDefault="001656C0"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t>Section 2</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Clarify whether there is a minimum dollar threshold for the types of taxable income to report. The revised form includes the language, “</w:t>
            </w:r>
            <w:r w:rsidRPr="001656C0">
              <w:rPr>
                <w:rFonts w:asciiTheme="minorHAnsi" w:hAnsiTheme="minorHAnsi" w:cstheme="minorHAnsi"/>
                <w:b/>
                <w:bCs/>
                <w:sz w:val="22"/>
                <w:szCs w:val="22"/>
              </w:rPr>
              <w:t xml:space="preserve">Do not report </w:t>
            </w:r>
            <w:r w:rsidRPr="001656C0">
              <w:rPr>
                <w:rFonts w:asciiTheme="minorHAnsi" w:hAnsiTheme="minorHAnsi" w:cstheme="minorHAnsi"/>
                <w:sz w:val="22"/>
                <w:szCs w:val="22"/>
              </w:rPr>
              <w:t xml:space="preserve">small sources of income, such as interest from a savings account.” Without a numerical threshold, this note contradicts the instruction to include interest income. </w:t>
            </w:r>
          </w:p>
          <w:p w:rsidR="001656C0" w:rsidRPr="001656C0" w:rsidRDefault="001656C0" w:rsidP="007C599F">
            <w:pPr>
              <w:pStyle w:val="Default"/>
              <w:rPr>
                <w:rFonts w:asciiTheme="minorHAnsi" w:hAnsiTheme="minorHAnsi" w:cstheme="minorHAnsi"/>
                <w:sz w:val="22"/>
                <w:szCs w:val="22"/>
              </w:rPr>
            </w:pPr>
          </w:p>
        </w:tc>
        <w:tc>
          <w:tcPr>
            <w:tcW w:w="1620" w:type="dxa"/>
            <w:shd w:val="clear" w:color="auto" w:fill="auto"/>
          </w:tcPr>
          <w:p w:rsidR="001656C0" w:rsidRPr="001656C0" w:rsidRDefault="00EC000C" w:rsidP="007C599F">
            <w:pPr>
              <w:jc w:val="center"/>
              <w:rPr>
                <w:rFonts w:asciiTheme="minorHAnsi" w:hAnsiTheme="minorHAnsi" w:cstheme="minorHAnsi"/>
                <w:sz w:val="22"/>
                <w:szCs w:val="22"/>
              </w:rPr>
            </w:pPr>
            <w:r>
              <w:rPr>
                <w:rFonts w:asciiTheme="minorHAnsi" w:hAnsiTheme="minorHAnsi" w:cstheme="minorHAnsi"/>
                <w:sz w:val="22"/>
                <w:szCs w:val="22"/>
              </w:rPr>
              <w:t>REJECT</w:t>
            </w:r>
          </w:p>
        </w:tc>
        <w:tc>
          <w:tcPr>
            <w:tcW w:w="6336" w:type="dxa"/>
            <w:shd w:val="clear" w:color="auto" w:fill="auto"/>
          </w:tcPr>
          <w:p w:rsidR="001656C0" w:rsidRPr="00EC000C" w:rsidRDefault="00EC000C" w:rsidP="00EC000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The Department does not have a threshold for ignoring income.  Instructions that had been previously instructed borrowers to not report </w:t>
            </w:r>
            <w:r>
              <w:rPr>
                <w:rFonts w:asciiTheme="minorHAnsi" w:hAnsiTheme="minorHAnsi" w:cstheme="minorHAnsi"/>
                <w:i/>
                <w:color w:val="000000"/>
                <w:sz w:val="22"/>
                <w:szCs w:val="22"/>
              </w:rPr>
              <w:t xml:space="preserve">de minims </w:t>
            </w:r>
            <w:r>
              <w:rPr>
                <w:rFonts w:asciiTheme="minorHAnsi" w:hAnsiTheme="minorHAnsi" w:cstheme="minorHAnsi"/>
                <w:color w:val="000000"/>
                <w:sz w:val="22"/>
                <w:szCs w:val="22"/>
              </w:rPr>
              <w:t>sources of income have been removed.</w:t>
            </w: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r w:rsidRPr="001656C0">
              <w:rPr>
                <w:rFonts w:asciiTheme="minorHAnsi" w:hAnsiTheme="minorHAnsi" w:cstheme="minorHAnsi"/>
                <w:sz w:val="22"/>
                <w:szCs w:val="22"/>
              </w:rPr>
              <w:t>12</w:t>
            </w:r>
          </w:p>
        </w:tc>
        <w:tc>
          <w:tcPr>
            <w:tcW w:w="3060" w:type="dxa"/>
            <w:shd w:val="clear" w:color="auto" w:fill="auto"/>
          </w:tcPr>
          <w:p w:rsidR="001656C0" w:rsidRPr="001656C0" w:rsidRDefault="001656C0"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2</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Clarify how many forms of documentation are required per source of income. The instructions still do not explicitly state that only one form of documentation is required per source of </w:t>
            </w:r>
            <w:r w:rsidRPr="001656C0">
              <w:rPr>
                <w:rFonts w:asciiTheme="minorHAnsi" w:hAnsiTheme="minorHAnsi" w:cstheme="minorHAnsi"/>
                <w:sz w:val="22"/>
                <w:szCs w:val="22"/>
              </w:rPr>
              <w:lastRenderedPageBreak/>
              <w:t xml:space="preserve">income. </w:t>
            </w:r>
          </w:p>
        </w:tc>
        <w:tc>
          <w:tcPr>
            <w:tcW w:w="1620" w:type="dxa"/>
            <w:shd w:val="clear" w:color="auto" w:fill="auto"/>
          </w:tcPr>
          <w:p w:rsidR="001656C0" w:rsidRPr="001656C0" w:rsidRDefault="00EC000C" w:rsidP="007C599F">
            <w:pPr>
              <w:jc w:val="center"/>
              <w:rPr>
                <w:rFonts w:asciiTheme="minorHAnsi" w:hAnsiTheme="minorHAnsi" w:cstheme="minorHAnsi"/>
                <w:sz w:val="22"/>
                <w:szCs w:val="22"/>
              </w:rPr>
            </w:pPr>
            <w:r>
              <w:rPr>
                <w:rFonts w:asciiTheme="minorHAnsi" w:hAnsiTheme="minorHAnsi" w:cstheme="minorHAnsi"/>
                <w:sz w:val="22"/>
                <w:szCs w:val="22"/>
              </w:rPr>
              <w:lastRenderedPageBreak/>
              <w:t>ACCEPT</w:t>
            </w:r>
          </w:p>
        </w:tc>
        <w:tc>
          <w:tcPr>
            <w:tcW w:w="6336" w:type="dxa"/>
            <w:shd w:val="clear" w:color="auto" w:fill="auto"/>
          </w:tcPr>
          <w:p w:rsidR="001656C0" w:rsidRDefault="00EC000C" w:rsidP="007C599F">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The Department has made this instruction explicit:</w:t>
            </w:r>
          </w:p>
          <w:p w:rsidR="00EC000C" w:rsidRDefault="00EC000C" w:rsidP="007C599F">
            <w:pPr>
              <w:pStyle w:val="Header"/>
              <w:spacing w:after="40"/>
              <w:contextualSpacing/>
              <w:rPr>
                <w:rFonts w:asciiTheme="minorHAnsi" w:hAnsiTheme="minorHAnsi" w:cstheme="minorHAnsi"/>
                <w:color w:val="000000"/>
                <w:sz w:val="22"/>
                <w:szCs w:val="22"/>
              </w:rPr>
            </w:pPr>
          </w:p>
          <w:p w:rsidR="00EC000C" w:rsidRPr="001656C0" w:rsidRDefault="00EC000C" w:rsidP="00EC000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“Provide one piece of documentation of each source of taxable </w:t>
            </w:r>
            <w:r>
              <w:rPr>
                <w:rFonts w:asciiTheme="minorHAnsi" w:hAnsiTheme="minorHAnsi" w:cstheme="minorHAnsi"/>
                <w:color w:val="000000"/>
                <w:sz w:val="22"/>
                <w:szCs w:val="22"/>
              </w:rPr>
              <w:lastRenderedPageBreak/>
              <w:t>income, such as a pay stub, bank statement, or a social security earnings statement.”</w:t>
            </w: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r w:rsidRPr="001656C0">
              <w:rPr>
                <w:rFonts w:asciiTheme="minorHAnsi" w:hAnsiTheme="minorHAnsi" w:cstheme="minorHAnsi"/>
                <w:sz w:val="22"/>
                <w:szCs w:val="22"/>
              </w:rPr>
              <w:lastRenderedPageBreak/>
              <w:t>13</w:t>
            </w:r>
          </w:p>
        </w:tc>
        <w:tc>
          <w:tcPr>
            <w:tcW w:w="3060" w:type="dxa"/>
            <w:shd w:val="clear" w:color="auto" w:fill="auto"/>
          </w:tcPr>
          <w:p w:rsidR="001656C0" w:rsidRPr="001656C0" w:rsidRDefault="001656C0"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2</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Clarify the instructions for reporting more than one source of income and move those instructions above the space where borrowers enter their income information. In the revised form, it is not clear that borrowers should submit information on additional sources of income on a separate sheet of paper. Additionally, the instruction should add “to the” to the phrase “provide documentation of that income in addition [to the] information reported above.” </w:t>
            </w:r>
          </w:p>
        </w:tc>
        <w:tc>
          <w:tcPr>
            <w:tcW w:w="1620" w:type="dxa"/>
            <w:shd w:val="clear" w:color="auto" w:fill="auto"/>
          </w:tcPr>
          <w:p w:rsidR="001656C0" w:rsidRPr="001656C0" w:rsidRDefault="00EC000C" w:rsidP="007C599F">
            <w:pPr>
              <w:jc w:val="center"/>
              <w:rPr>
                <w:rFonts w:asciiTheme="minorHAnsi" w:hAnsiTheme="minorHAnsi" w:cstheme="minorHAnsi"/>
                <w:sz w:val="22"/>
                <w:szCs w:val="22"/>
              </w:rPr>
            </w:pPr>
            <w:r>
              <w:rPr>
                <w:rFonts w:asciiTheme="minorHAnsi" w:hAnsiTheme="minorHAnsi" w:cstheme="minorHAnsi"/>
                <w:sz w:val="22"/>
                <w:szCs w:val="22"/>
              </w:rPr>
              <w:t>ACCEPT IN PART</w:t>
            </w:r>
          </w:p>
        </w:tc>
        <w:tc>
          <w:tcPr>
            <w:tcW w:w="6336" w:type="dxa"/>
            <w:shd w:val="clear" w:color="auto" w:fill="auto"/>
          </w:tcPr>
          <w:p w:rsidR="00EC000C" w:rsidRDefault="00EC000C" w:rsidP="00EC000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Instructions have been placed at the top of Section 3 (in paragraph 2) to help borrower understand how to proceed in this situation:</w:t>
            </w:r>
          </w:p>
          <w:p w:rsidR="00EC000C" w:rsidRDefault="00EC000C" w:rsidP="00EC000C">
            <w:pPr>
              <w:pStyle w:val="Header"/>
              <w:spacing w:after="40"/>
              <w:contextualSpacing/>
              <w:rPr>
                <w:rFonts w:asciiTheme="minorHAnsi" w:hAnsiTheme="minorHAnsi" w:cstheme="minorHAnsi"/>
                <w:color w:val="000000"/>
                <w:sz w:val="22"/>
                <w:szCs w:val="22"/>
              </w:rPr>
            </w:pPr>
          </w:p>
          <w:p w:rsidR="001656C0" w:rsidRPr="001656C0" w:rsidRDefault="00EC000C" w:rsidP="00EC000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have </w:t>
            </w:r>
            <w:r>
              <w:rPr>
                <w:rFonts w:asciiTheme="minorHAnsi" w:hAnsiTheme="minorHAnsi" w:cstheme="minorHAnsi"/>
                <w:b/>
                <w:color w:val="000000"/>
                <w:sz w:val="22"/>
                <w:szCs w:val="22"/>
              </w:rPr>
              <w:t>multiple sources of income</w:t>
            </w:r>
            <w:r>
              <w:rPr>
                <w:rFonts w:asciiTheme="minorHAnsi" w:hAnsiTheme="minorHAnsi" w:cstheme="minorHAnsi"/>
                <w:color w:val="000000"/>
                <w:sz w:val="22"/>
                <w:szCs w:val="22"/>
              </w:rPr>
              <w:t>, provide documentation of your income from each source, but only report your primary source of income in Items 8 and 11, as appropriate.”</w:t>
            </w: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r w:rsidRPr="001656C0">
              <w:rPr>
                <w:rFonts w:asciiTheme="minorHAnsi" w:hAnsiTheme="minorHAnsi" w:cstheme="minorHAnsi"/>
                <w:sz w:val="22"/>
                <w:szCs w:val="22"/>
              </w:rPr>
              <w:t>14</w:t>
            </w:r>
          </w:p>
        </w:tc>
        <w:tc>
          <w:tcPr>
            <w:tcW w:w="3060" w:type="dxa"/>
            <w:shd w:val="clear" w:color="auto" w:fill="auto"/>
          </w:tcPr>
          <w:p w:rsidR="001656C0" w:rsidRPr="001656C0" w:rsidRDefault="001656C0"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t>Section 2</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Restore the instruction that “Copies of the original documentation are acceptable.” In the revised form, it is not clear whether borrowers have to submit original documentation. It is far less burdensome on borrowers to be able to submit copies of their income documentation. </w:t>
            </w:r>
          </w:p>
          <w:p w:rsidR="001656C0" w:rsidRPr="001656C0" w:rsidRDefault="001656C0" w:rsidP="007C599F">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1656C0" w:rsidRPr="001656C0" w:rsidRDefault="00EC000C" w:rsidP="00EC000C">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EC000C" w:rsidRPr="001656C0" w:rsidRDefault="00EC000C" w:rsidP="001656C0">
            <w:pPr>
              <w:contextualSpacing/>
              <w:rPr>
                <w:rFonts w:asciiTheme="minorHAnsi" w:hAnsiTheme="minorHAnsi" w:cstheme="minorHAnsi"/>
                <w:color w:val="000000"/>
                <w:sz w:val="22"/>
                <w:szCs w:val="22"/>
              </w:rPr>
            </w:pP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p>
        </w:tc>
        <w:tc>
          <w:tcPr>
            <w:tcW w:w="3060" w:type="dxa"/>
            <w:shd w:val="clear" w:color="auto" w:fill="auto"/>
          </w:tcPr>
          <w:p w:rsidR="001656C0" w:rsidRPr="001656C0" w:rsidRDefault="001656C0"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3</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Separate the check-boxes determining whether borrowers have to fill out this section from the spouse identification and income lines. This section in the revised form is very visually confusing. </w:t>
            </w:r>
          </w:p>
          <w:p w:rsidR="001656C0" w:rsidRPr="001656C0" w:rsidRDefault="001656C0" w:rsidP="001656C0">
            <w:pPr>
              <w:pStyle w:val="Default"/>
              <w:rPr>
                <w:rFonts w:asciiTheme="minorHAnsi" w:hAnsiTheme="minorHAnsi" w:cstheme="minorHAnsi"/>
                <w:sz w:val="22"/>
                <w:szCs w:val="22"/>
              </w:rPr>
            </w:pPr>
          </w:p>
        </w:tc>
        <w:tc>
          <w:tcPr>
            <w:tcW w:w="1620" w:type="dxa"/>
            <w:shd w:val="clear" w:color="auto" w:fill="auto"/>
          </w:tcPr>
          <w:p w:rsidR="001656C0" w:rsidRPr="001656C0" w:rsidRDefault="00E4512B"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1656C0" w:rsidRPr="001656C0" w:rsidRDefault="001656C0" w:rsidP="001656C0">
            <w:pPr>
              <w:contextualSpacing/>
              <w:rPr>
                <w:rFonts w:asciiTheme="minorHAnsi" w:hAnsiTheme="minorHAnsi" w:cstheme="minorHAnsi"/>
                <w:color w:val="000000"/>
                <w:sz w:val="22"/>
                <w:szCs w:val="22"/>
              </w:rPr>
            </w:pP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p>
        </w:tc>
        <w:tc>
          <w:tcPr>
            <w:tcW w:w="3060" w:type="dxa"/>
            <w:shd w:val="clear" w:color="auto" w:fill="auto"/>
          </w:tcPr>
          <w:p w:rsidR="001656C0" w:rsidRPr="001656C0" w:rsidRDefault="001656C0"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3</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Reword the instructions in the header of Section 3 to “Only complete if you are married and check one or more of the boxes below.” The check-boxes are not mutually exclusive. </w:t>
            </w:r>
          </w:p>
        </w:tc>
        <w:tc>
          <w:tcPr>
            <w:tcW w:w="1620" w:type="dxa"/>
            <w:shd w:val="clear" w:color="auto" w:fill="auto"/>
          </w:tcPr>
          <w:p w:rsidR="001656C0" w:rsidRPr="001656C0" w:rsidRDefault="00E4512B" w:rsidP="007C599F">
            <w:pPr>
              <w:jc w:val="center"/>
              <w:rPr>
                <w:rFonts w:asciiTheme="minorHAnsi" w:hAnsiTheme="minorHAnsi" w:cstheme="minorHAnsi"/>
                <w:sz w:val="22"/>
                <w:szCs w:val="22"/>
              </w:rPr>
            </w:pPr>
            <w:r>
              <w:rPr>
                <w:rFonts w:asciiTheme="minorHAnsi" w:hAnsiTheme="minorHAnsi" w:cstheme="minorHAnsi"/>
                <w:sz w:val="22"/>
                <w:szCs w:val="22"/>
              </w:rPr>
              <w:t>ACCEPT IN PART</w:t>
            </w:r>
          </w:p>
        </w:tc>
        <w:tc>
          <w:tcPr>
            <w:tcW w:w="6336" w:type="dxa"/>
            <w:shd w:val="clear" w:color="auto" w:fill="auto"/>
          </w:tcPr>
          <w:p w:rsidR="001656C0" w:rsidRDefault="00E4512B"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In light of the Department having numbered each item that requires a response, the header now instructs borrowers to complete the section on spousal information if they “check box 2, 3, or 4, below.”  In addition, at the top of that section (after the header), the Department has placed the following language to avoid borrower being confused by check boxes that are not mutually exclusive:</w:t>
            </w:r>
          </w:p>
          <w:p w:rsidR="00E4512B" w:rsidRPr="001656C0" w:rsidRDefault="00E4512B"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br/>
              <w:t>“Check all boxes in this section that apply to you and your spouse.”</w:t>
            </w: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p>
        </w:tc>
        <w:tc>
          <w:tcPr>
            <w:tcW w:w="3060" w:type="dxa"/>
            <w:shd w:val="clear" w:color="auto" w:fill="auto"/>
          </w:tcPr>
          <w:p w:rsidR="001656C0" w:rsidRPr="001656C0" w:rsidRDefault="001656C0"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3</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Add a reference to the instructions in Section 2 for reporting income information and submitting documentation. We recommend the following language, “If you are required to complete this section, refer to Section 2 for instructions on the income information and documentation to provide.” </w:t>
            </w:r>
          </w:p>
        </w:tc>
        <w:tc>
          <w:tcPr>
            <w:tcW w:w="1620" w:type="dxa"/>
            <w:shd w:val="clear" w:color="auto" w:fill="auto"/>
          </w:tcPr>
          <w:p w:rsidR="001656C0" w:rsidRPr="001656C0" w:rsidRDefault="00E4512B" w:rsidP="007C599F">
            <w:pPr>
              <w:jc w:val="center"/>
              <w:rPr>
                <w:rFonts w:asciiTheme="minorHAnsi" w:hAnsiTheme="minorHAnsi" w:cstheme="minorHAnsi"/>
                <w:sz w:val="22"/>
                <w:szCs w:val="22"/>
              </w:rPr>
            </w:pPr>
            <w:r>
              <w:rPr>
                <w:rFonts w:asciiTheme="minorHAnsi" w:hAnsiTheme="minorHAnsi" w:cstheme="minorHAnsi"/>
                <w:sz w:val="22"/>
                <w:szCs w:val="22"/>
              </w:rPr>
              <w:t>ACCEPT IN PART</w:t>
            </w:r>
          </w:p>
        </w:tc>
        <w:tc>
          <w:tcPr>
            <w:tcW w:w="6336" w:type="dxa"/>
            <w:shd w:val="clear" w:color="auto" w:fill="auto"/>
          </w:tcPr>
          <w:p w:rsidR="001656C0" w:rsidRDefault="00E4512B"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As a lead-in to questions on spousal income information, the Department placed language that it thinks will be easier to understand in light of the fact that it has numbered each item:</w:t>
            </w:r>
          </w:p>
          <w:p w:rsidR="00E4512B" w:rsidRDefault="00E4512B" w:rsidP="001656C0">
            <w:pPr>
              <w:contextualSpacing/>
              <w:rPr>
                <w:rFonts w:asciiTheme="minorHAnsi" w:hAnsiTheme="minorHAnsi" w:cstheme="minorHAnsi"/>
                <w:color w:val="000000"/>
                <w:sz w:val="22"/>
                <w:szCs w:val="22"/>
              </w:rPr>
            </w:pPr>
          </w:p>
          <w:p w:rsidR="00E4512B" w:rsidRPr="001656C0" w:rsidRDefault="00E4512B"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w:t>
            </w:r>
            <w:r w:rsidRPr="00E4512B">
              <w:rPr>
                <w:rFonts w:asciiTheme="minorHAnsi" w:hAnsiTheme="minorHAnsi" w:cstheme="minorHAnsi"/>
                <w:b/>
                <w:color w:val="000000"/>
                <w:sz w:val="22"/>
                <w:szCs w:val="22"/>
              </w:rPr>
              <w:t>If you are married</w:t>
            </w:r>
            <w:r>
              <w:rPr>
                <w:rFonts w:asciiTheme="minorHAnsi" w:hAnsiTheme="minorHAnsi" w:cstheme="minorHAnsi"/>
                <w:color w:val="000000"/>
                <w:sz w:val="22"/>
                <w:szCs w:val="22"/>
              </w:rPr>
              <w:t xml:space="preserve"> and checked box 2, 3, or 4 in Section 2, you must provide documentation of your spouse’s income and complete items 11, 12, and 13; otherwise, skip to Section 4.”</w:t>
            </w:r>
          </w:p>
        </w:tc>
      </w:tr>
      <w:tr w:rsidR="001656C0" w:rsidRPr="001656C0" w:rsidTr="001656C0">
        <w:trPr>
          <w:trHeight w:val="197"/>
        </w:trPr>
        <w:tc>
          <w:tcPr>
            <w:tcW w:w="474" w:type="dxa"/>
          </w:tcPr>
          <w:p w:rsidR="001656C0" w:rsidRPr="001656C0" w:rsidRDefault="001656C0" w:rsidP="007C599F">
            <w:pPr>
              <w:rPr>
                <w:rFonts w:asciiTheme="minorHAnsi" w:hAnsiTheme="minorHAnsi" w:cstheme="minorHAnsi"/>
                <w:sz w:val="22"/>
                <w:szCs w:val="22"/>
              </w:rPr>
            </w:pPr>
          </w:p>
        </w:tc>
        <w:tc>
          <w:tcPr>
            <w:tcW w:w="3060" w:type="dxa"/>
            <w:shd w:val="clear" w:color="auto" w:fill="auto"/>
          </w:tcPr>
          <w:p w:rsidR="001656C0" w:rsidRPr="001656C0" w:rsidRDefault="001656C0"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4</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Reword “(1) if I do not provide this information to the Department I will either not be allowed to repay my loan(s) under the ICR or IBR plan or my monthly payment amount will be recalculated and no longer based on my income” to “(1) if I do not provide this information to the Department, my monthly payment amount will not be based on my income.” This language would much be easier for borrowers to understand. </w:t>
            </w:r>
          </w:p>
        </w:tc>
        <w:tc>
          <w:tcPr>
            <w:tcW w:w="1620" w:type="dxa"/>
            <w:shd w:val="clear" w:color="auto" w:fill="auto"/>
          </w:tcPr>
          <w:p w:rsidR="001656C0" w:rsidRPr="001656C0" w:rsidRDefault="00E4512B" w:rsidP="007C599F">
            <w:pPr>
              <w:jc w:val="center"/>
              <w:rPr>
                <w:rFonts w:asciiTheme="minorHAnsi" w:hAnsiTheme="minorHAnsi" w:cstheme="minorHAnsi"/>
                <w:sz w:val="22"/>
                <w:szCs w:val="22"/>
              </w:rPr>
            </w:pPr>
            <w:r>
              <w:rPr>
                <w:rFonts w:asciiTheme="minorHAnsi" w:hAnsiTheme="minorHAnsi" w:cstheme="minorHAnsi"/>
                <w:sz w:val="22"/>
                <w:szCs w:val="22"/>
              </w:rPr>
              <w:t>REJECT</w:t>
            </w:r>
          </w:p>
        </w:tc>
        <w:tc>
          <w:tcPr>
            <w:tcW w:w="6336" w:type="dxa"/>
            <w:shd w:val="clear" w:color="auto" w:fill="auto"/>
          </w:tcPr>
          <w:p w:rsidR="001656C0" w:rsidRDefault="00CE3594"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While the Department agrees that the proposed language would be easier to understand, t</w:t>
            </w:r>
            <w:r w:rsidR="00E4512B">
              <w:rPr>
                <w:rFonts w:asciiTheme="minorHAnsi" w:hAnsiTheme="minorHAnsi" w:cstheme="minorHAnsi"/>
                <w:color w:val="000000"/>
                <w:sz w:val="22"/>
                <w:szCs w:val="22"/>
              </w:rPr>
              <w:t xml:space="preserve">he proposed language does not reflect what occurs to borrowers who apply </w:t>
            </w:r>
            <w:r>
              <w:rPr>
                <w:rFonts w:asciiTheme="minorHAnsi" w:hAnsiTheme="minorHAnsi" w:cstheme="minorHAnsi"/>
                <w:color w:val="000000"/>
                <w:sz w:val="22"/>
                <w:szCs w:val="22"/>
              </w:rPr>
              <w:t xml:space="preserve">or reapply </w:t>
            </w:r>
            <w:r w:rsidR="00E4512B">
              <w:rPr>
                <w:rFonts w:asciiTheme="minorHAnsi" w:hAnsiTheme="minorHAnsi" w:cstheme="minorHAnsi"/>
                <w:color w:val="000000"/>
                <w:sz w:val="22"/>
                <w:szCs w:val="22"/>
              </w:rPr>
              <w:t>for the ICR or IBR plan</w:t>
            </w:r>
            <w:r>
              <w:rPr>
                <w:rFonts w:asciiTheme="minorHAnsi" w:hAnsiTheme="minorHAnsi" w:cstheme="minorHAnsi"/>
                <w:color w:val="000000"/>
                <w:sz w:val="22"/>
                <w:szCs w:val="22"/>
              </w:rPr>
              <w:t>,</w:t>
            </w:r>
            <w:r w:rsidR="00E4512B">
              <w:rPr>
                <w:rFonts w:asciiTheme="minorHAnsi" w:hAnsiTheme="minorHAnsi" w:cstheme="minorHAnsi"/>
                <w:color w:val="000000"/>
                <w:sz w:val="22"/>
                <w:szCs w:val="22"/>
              </w:rPr>
              <w:t xml:space="preserve"> but who do not provide documentation.</w:t>
            </w:r>
          </w:p>
          <w:p w:rsidR="00E4512B" w:rsidRDefault="00E4512B" w:rsidP="001656C0">
            <w:pPr>
              <w:contextualSpacing/>
              <w:rPr>
                <w:rFonts w:asciiTheme="minorHAnsi" w:hAnsiTheme="minorHAnsi" w:cstheme="minorHAnsi"/>
                <w:color w:val="000000"/>
                <w:sz w:val="22"/>
                <w:szCs w:val="22"/>
              </w:rPr>
            </w:pPr>
          </w:p>
          <w:p w:rsidR="00E4512B" w:rsidRPr="001656C0" w:rsidRDefault="00E4512B" w:rsidP="00CE3594">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For ICR, </w:t>
            </w:r>
            <w:r w:rsidR="00CE3594">
              <w:rPr>
                <w:rFonts w:asciiTheme="minorHAnsi" w:hAnsiTheme="minorHAnsi" w:cstheme="minorHAnsi"/>
                <w:color w:val="000000"/>
                <w:sz w:val="22"/>
                <w:szCs w:val="22"/>
              </w:rPr>
              <w:t>borrowers who do not provide income documentation are not allowed to pay on ICR.  Similarly, ICR borrowers who fail to provide income documentation are removed from the ICR plan (which is different from what occurs under the IBR plan).</w:t>
            </w:r>
            <w:r>
              <w:rPr>
                <w:rFonts w:asciiTheme="minorHAnsi" w:hAnsiTheme="minorHAnsi" w:cstheme="minorHAnsi"/>
                <w:color w:val="000000"/>
                <w:sz w:val="22"/>
                <w:szCs w:val="22"/>
              </w:rPr>
              <w:t xml:space="preserve"> </w:t>
            </w: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p>
        </w:tc>
        <w:tc>
          <w:tcPr>
            <w:tcW w:w="3060" w:type="dxa"/>
            <w:shd w:val="clear" w:color="auto" w:fill="auto"/>
          </w:tcPr>
          <w:p w:rsidR="001656C0" w:rsidRPr="001656C0" w:rsidRDefault="001656C0"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4</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Delete “appropriate” from the second sentence, “determining my appropriate repayment amount under the ICR Plan or IBR Plan.” </w:t>
            </w:r>
          </w:p>
        </w:tc>
        <w:tc>
          <w:tcPr>
            <w:tcW w:w="1620" w:type="dxa"/>
            <w:shd w:val="clear" w:color="auto" w:fill="auto"/>
          </w:tcPr>
          <w:p w:rsidR="001656C0" w:rsidRPr="001656C0" w:rsidRDefault="00CE3594"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1656C0" w:rsidRPr="001656C0" w:rsidRDefault="001656C0" w:rsidP="001656C0">
            <w:pPr>
              <w:contextualSpacing/>
              <w:rPr>
                <w:rFonts w:asciiTheme="minorHAnsi" w:hAnsiTheme="minorHAnsi" w:cstheme="minorHAnsi"/>
                <w:color w:val="000000"/>
                <w:sz w:val="22"/>
                <w:szCs w:val="22"/>
              </w:rPr>
            </w:pP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p>
        </w:tc>
        <w:tc>
          <w:tcPr>
            <w:tcW w:w="3060" w:type="dxa"/>
            <w:shd w:val="clear" w:color="auto" w:fill="auto"/>
          </w:tcPr>
          <w:p w:rsidR="001656C0" w:rsidRPr="001656C0" w:rsidRDefault="001656C0"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4</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Add “(If required)” to “Spouse’s Signature” and “Date of Spouse’s Signature” to make it more clear that not all married borrowers have to have their spouses sign this form. </w:t>
            </w:r>
          </w:p>
        </w:tc>
        <w:tc>
          <w:tcPr>
            <w:tcW w:w="1620" w:type="dxa"/>
            <w:shd w:val="clear" w:color="auto" w:fill="auto"/>
          </w:tcPr>
          <w:p w:rsidR="001656C0" w:rsidRPr="001656C0" w:rsidRDefault="00CE3594"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1656C0" w:rsidRPr="001656C0" w:rsidRDefault="001656C0" w:rsidP="001656C0">
            <w:pPr>
              <w:contextualSpacing/>
              <w:rPr>
                <w:rFonts w:asciiTheme="minorHAnsi" w:hAnsiTheme="minorHAnsi" w:cstheme="minorHAnsi"/>
                <w:color w:val="000000"/>
                <w:sz w:val="22"/>
                <w:szCs w:val="22"/>
              </w:rPr>
            </w:pP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p>
        </w:tc>
        <w:tc>
          <w:tcPr>
            <w:tcW w:w="3060" w:type="dxa"/>
            <w:shd w:val="clear" w:color="auto" w:fill="auto"/>
          </w:tcPr>
          <w:p w:rsidR="001656C0" w:rsidRPr="001656C0" w:rsidRDefault="001656C0"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5</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Increase the font size for this header to be consistent with the other section headers. </w:t>
            </w:r>
          </w:p>
          <w:p w:rsidR="001656C0" w:rsidRPr="001656C0" w:rsidRDefault="001656C0" w:rsidP="001656C0">
            <w:pPr>
              <w:pStyle w:val="Default"/>
              <w:rPr>
                <w:rFonts w:asciiTheme="minorHAnsi" w:hAnsiTheme="minorHAnsi" w:cstheme="minorHAnsi"/>
                <w:sz w:val="22"/>
                <w:szCs w:val="22"/>
              </w:rPr>
            </w:pPr>
          </w:p>
        </w:tc>
        <w:tc>
          <w:tcPr>
            <w:tcW w:w="1620" w:type="dxa"/>
            <w:shd w:val="clear" w:color="auto" w:fill="auto"/>
          </w:tcPr>
          <w:p w:rsidR="001656C0" w:rsidRPr="001656C0" w:rsidRDefault="00CE3594"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1656C0" w:rsidRPr="001656C0" w:rsidRDefault="001656C0" w:rsidP="001656C0">
            <w:pPr>
              <w:contextualSpacing/>
              <w:rPr>
                <w:rFonts w:asciiTheme="minorHAnsi" w:hAnsiTheme="minorHAnsi" w:cstheme="minorHAnsi"/>
                <w:color w:val="000000"/>
                <w:sz w:val="22"/>
                <w:szCs w:val="22"/>
              </w:rPr>
            </w:pPr>
          </w:p>
        </w:tc>
      </w:tr>
      <w:tr w:rsidR="001656C0" w:rsidRPr="001656C0" w:rsidTr="001656C0">
        <w:tc>
          <w:tcPr>
            <w:tcW w:w="474" w:type="dxa"/>
          </w:tcPr>
          <w:p w:rsidR="001656C0" w:rsidRPr="001656C0" w:rsidRDefault="001656C0" w:rsidP="007C599F">
            <w:pPr>
              <w:rPr>
                <w:rFonts w:asciiTheme="minorHAnsi" w:hAnsiTheme="minorHAnsi" w:cstheme="minorHAnsi"/>
                <w:sz w:val="22"/>
                <w:szCs w:val="22"/>
              </w:rPr>
            </w:pPr>
          </w:p>
        </w:tc>
        <w:tc>
          <w:tcPr>
            <w:tcW w:w="3060" w:type="dxa"/>
            <w:shd w:val="clear" w:color="auto" w:fill="auto"/>
          </w:tcPr>
          <w:p w:rsidR="001656C0" w:rsidRPr="001656C0" w:rsidRDefault="001656C0"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5</w:t>
            </w:r>
          </w:p>
        </w:tc>
        <w:tc>
          <w:tcPr>
            <w:tcW w:w="5886" w:type="dxa"/>
            <w:shd w:val="clear" w:color="auto" w:fill="auto"/>
          </w:tcPr>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Reword the “You may complete…” and “You are not required to complete…” sections to be parallel to make it easier for borrowers to determine when it is appropriate to use this form. We suggest replacing the language in the current draft with the following: </w:t>
            </w:r>
          </w:p>
          <w:p w:rsidR="001656C0" w:rsidRPr="001656C0" w:rsidRDefault="001656C0" w:rsidP="001656C0">
            <w:pPr>
              <w:pStyle w:val="Default"/>
              <w:rPr>
                <w:rFonts w:asciiTheme="minorHAnsi" w:hAnsiTheme="minorHAnsi" w:cstheme="minorHAnsi"/>
                <w:sz w:val="22"/>
                <w:szCs w:val="22"/>
              </w:rPr>
            </w:pPr>
          </w:p>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a. YOU MAY complete this form if you are repaying or are applying to repay your Direct Loans under the ICR or IBR Plan and: i. You filed federal taxes during the most recently completed tax year and your Adjusted Gross Income (AGI), as reported on your most recently filed federal tax return, </w:t>
            </w:r>
            <w:r w:rsidRPr="001656C0">
              <w:rPr>
                <w:rFonts w:asciiTheme="minorHAnsi" w:hAnsiTheme="minorHAnsi" w:cstheme="minorHAnsi"/>
                <w:i/>
                <w:iCs/>
                <w:sz w:val="22"/>
                <w:szCs w:val="22"/>
              </w:rPr>
              <w:t>does not reasonably reflect your current income</w:t>
            </w:r>
            <w:r w:rsidRPr="001656C0">
              <w:rPr>
                <w:rFonts w:asciiTheme="minorHAnsi" w:hAnsiTheme="minorHAnsi" w:cstheme="minorHAnsi"/>
                <w:sz w:val="22"/>
                <w:szCs w:val="22"/>
              </w:rPr>
              <w:t>, due to, for example, the loss or change in employment by you or your spouse.</w:t>
            </w:r>
          </w:p>
          <w:p w:rsidR="001656C0" w:rsidRPr="001656C0" w:rsidRDefault="001656C0" w:rsidP="001656C0">
            <w:pPr>
              <w:pStyle w:val="Default"/>
              <w:pageBreakBefore/>
              <w:rPr>
                <w:rFonts w:asciiTheme="minorHAnsi" w:hAnsiTheme="minorHAnsi" w:cstheme="minorHAnsi"/>
                <w:sz w:val="22"/>
                <w:szCs w:val="22"/>
              </w:rPr>
            </w:pPr>
          </w:p>
          <w:p w:rsidR="001656C0" w:rsidRPr="001656C0" w:rsidRDefault="001656C0"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b. YOU ARE NOT REQUIRED to complete the form if you are repaying your Direct Loans under the ICR or IBR Plan and: i. You filed federal taxes during the most recently completed tax </w:t>
            </w:r>
            <w:r w:rsidRPr="001656C0">
              <w:rPr>
                <w:rFonts w:asciiTheme="minorHAnsi" w:hAnsiTheme="minorHAnsi" w:cstheme="minorHAnsi"/>
                <w:sz w:val="22"/>
                <w:szCs w:val="22"/>
              </w:rPr>
              <w:lastRenderedPageBreak/>
              <w:t xml:space="preserve">year and your Adjusted Gross Income (AGI), as reported on your most recently filed federal tax return, reasonably reflects your current income. </w:t>
            </w:r>
          </w:p>
          <w:p w:rsidR="001656C0" w:rsidRPr="001656C0" w:rsidRDefault="001656C0" w:rsidP="001656C0">
            <w:pPr>
              <w:pStyle w:val="Default"/>
              <w:rPr>
                <w:rFonts w:asciiTheme="minorHAnsi" w:hAnsiTheme="minorHAnsi" w:cstheme="minorHAnsi"/>
                <w:sz w:val="22"/>
                <w:szCs w:val="22"/>
              </w:rPr>
            </w:pPr>
          </w:p>
          <w:p w:rsidR="001656C0" w:rsidRPr="001656C0" w:rsidRDefault="001656C0" w:rsidP="001656C0">
            <w:pPr>
              <w:pStyle w:val="Default"/>
              <w:rPr>
                <w:rFonts w:asciiTheme="minorHAnsi" w:hAnsiTheme="minorHAnsi" w:cstheme="minorHAnsi"/>
                <w:sz w:val="22"/>
                <w:szCs w:val="22"/>
              </w:rPr>
            </w:pPr>
          </w:p>
        </w:tc>
        <w:tc>
          <w:tcPr>
            <w:tcW w:w="1620" w:type="dxa"/>
            <w:shd w:val="clear" w:color="auto" w:fill="auto"/>
          </w:tcPr>
          <w:p w:rsidR="001656C0" w:rsidRPr="001656C0" w:rsidRDefault="00CE3594" w:rsidP="007C599F">
            <w:pPr>
              <w:jc w:val="center"/>
              <w:rPr>
                <w:rFonts w:asciiTheme="minorHAnsi" w:hAnsiTheme="minorHAnsi" w:cstheme="minorHAnsi"/>
                <w:sz w:val="22"/>
                <w:szCs w:val="22"/>
              </w:rPr>
            </w:pPr>
            <w:r>
              <w:rPr>
                <w:rFonts w:asciiTheme="minorHAnsi" w:hAnsiTheme="minorHAnsi" w:cstheme="minorHAnsi"/>
                <w:sz w:val="22"/>
                <w:szCs w:val="22"/>
              </w:rPr>
              <w:lastRenderedPageBreak/>
              <w:t>ACCEPT IN PART</w:t>
            </w:r>
          </w:p>
        </w:tc>
        <w:tc>
          <w:tcPr>
            <w:tcW w:w="6336" w:type="dxa"/>
            <w:shd w:val="clear" w:color="auto" w:fill="auto"/>
          </w:tcPr>
          <w:p w:rsidR="00CE3594" w:rsidRDefault="00CE3594"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The Department accepts the thrust of the comment, but will use slightly different language to prevent those who do not immediately file their taxes after the end of a calendar year from being confused as to whether they are required to submit alternative documentation of income.  </w:t>
            </w:r>
          </w:p>
          <w:p w:rsidR="00CE3594" w:rsidRDefault="00CE3594" w:rsidP="001656C0">
            <w:pPr>
              <w:contextualSpacing/>
              <w:rPr>
                <w:rFonts w:asciiTheme="minorHAnsi" w:hAnsiTheme="minorHAnsi" w:cstheme="minorHAnsi"/>
                <w:color w:val="000000"/>
                <w:sz w:val="22"/>
                <w:szCs w:val="22"/>
              </w:rPr>
            </w:pPr>
          </w:p>
          <w:p w:rsidR="001656C0" w:rsidRDefault="00CE3594"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The Department has also switched to AGI in lieu of Adjusted Gross Income after the acronym was defined.  See below:</w:t>
            </w:r>
          </w:p>
          <w:p w:rsidR="00CE3594" w:rsidRDefault="00CE3594" w:rsidP="001656C0">
            <w:pPr>
              <w:contextualSpacing/>
              <w:rPr>
                <w:rFonts w:asciiTheme="minorHAnsi" w:hAnsiTheme="minorHAnsi" w:cstheme="minorHAnsi"/>
                <w:color w:val="000000"/>
                <w:sz w:val="22"/>
                <w:szCs w:val="22"/>
              </w:rPr>
            </w:pPr>
          </w:p>
          <w:p w:rsidR="00CE3594" w:rsidRPr="00CE3594" w:rsidRDefault="00CE3594" w:rsidP="00CE3594">
            <w:pPr>
              <w:spacing w:before="120"/>
              <w:rPr>
                <w:rFonts w:asciiTheme="minorHAnsi" w:hAnsiTheme="minorHAnsi" w:cstheme="minorHAnsi"/>
                <w:snapToGrid w:val="0"/>
                <w:color w:val="000000"/>
                <w:sz w:val="22"/>
                <w:szCs w:val="22"/>
              </w:rPr>
            </w:pPr>
            <w:r w:rsidRPr="00CE3594">
              <w:rPr>
                <w:rFonts w:asciiTheme="minorHAnsi" w:hAnsiTheme="minorHAnsi" w:cstheme="minorHAnsi"/>
                <w:b/>
                <w:bCs/>
                <w:snapToGrid w:val="0"/>
                <w:color w:val="000000"/>
                <w:sz w:val="22"/>
                <w:szCs w:val="22"/>
              </w:rPr>
              <w:t xml:space="preserve">YOU MAY </w:t>
            </w:r>
            <w:r w:rsidRPr="00CE3594">
              <w:rPr>
                <w:rFonts w:asciiTheme="minorHAnsi" w:hAnsiTheme="minorHAnsi" w:cstheme="minorHAnsi"/>
                <w:snapToGrid w:val="0"/>
                <w:color w:val="000000"/>
                <w:sz w:val="22"/>
                <w:szCs w:val="22"/>
              </w:rPr>
              <w:t>complete this form if you are repaying or are applying to repay your Direct Loans under the IBR or ICR Plan and:</w:t>
            </w:r>
          </w:p>
          <w:p w:rsidR="00CE3594" w:rsidRPr="00CE3594" w:rsidRDefault="00CE3594" w:rsidP="00CE3594">
            <w:pPr>
              <w:numPr>
                <w:ilvl w:val="0"/>
                <w:numId w:val="21"/>
              </w:numPr>
              <w:tabs>
                <w:tab w:val="clear" w:pos="360"/>
              </w:tabs>
              <w:ind w:left="540"/>
              <w:rPr>
                <w:rFonts w:asciiTheme="minorHAnsi" w:hAnsiTheme="minorHAnsi" w:cstheme="minorHAnsi"/>
                <w:snapToGrid w:val="0"/>
                <w:color w:val="000000"/>
                <w:sz w:val="22"/>
                <w:szCs w:val="22"/>
              </w:rPr>
            </w:pPr>
            <w:r w:rsidRPr="00CE3594">
              <w:rPr>
                <w:rFonts w:asciiTheme="minorHAnsi" w:hAnsiTheme="minorHAnsi" w:cstheme="minorHAnsi"/>
                <w:snapToGrid w:val="0"/>
                <w:color w:val="000000"/>
                <w:sz w:val="22"/>
                <w:szCs w:val="22"/>
              </w:rPr>
              <w:t xml:space="preserve">Your AGI, as reported on your most recently filed federal tax return, </w:t>
            </w:r>
            <w:r w:rsidRPr="00CE3594">
              <w:rPr>
                <w:rFonts w:asciiTheme="minorHAnsi" w:hAnsiTheme="minorHAnsi" w:cstheme="minorHAnsi"/>
                <w:i/>
                <w:snapToGrid w:val="0"/>
                <w:color w:val="000000"/>
                <w:sz w:val="22"/>
                <w:szCs w:val="22"/>
              </w:rPr>
              <w:t>does not reasonably reflect your current income</w:t>
            </w:r>
            <w:r w:rsidRPr="00CE3594">
              <w:rPr>
                <w:rFonts w:asciiTheme="minorHAnsi" w:hAnsiTheme="minorHAnsi" w:cstheme="minorHAnsi"/>
                <w:snapToGrid w:val="0"/>
                <w:color w:val="000000"/>
                <w:sz w:val="22"/>
                <w:szCs w:val="22"/>
              </w:rPr>
              <w:t>, due to, for example, the loss or change in employment by you or your spouse.</w:t>
            </w:r>
          </w:p>
          <w:p w:rsidR="00CE3594" w:rsidRPr="00CE3594" w:rsidRDefault="00CE3594" w:rsidP="00CE3594">
            <w:pPr>
              <w:ind w:left="540"/>
              <w:rPr>
                <w:rFonts w:asciiTheme="minorHAnsi" w:hAnsiTheme="minorHAnsi" w:cstheme="minorHAnsi"/>
                <w:snapToGrid w:val="0"/>
                <w:color w:val="000000"/>
                <w:sz w:val="22"/>
                <w:szCs w:val="22"/>
              </w:rPr>
            </w:pPr>
          </w:p>
          <w:p w:rsidR="00CE3594" w:rsidRPr="00CE3594" w:rsidRDefault="00CE3594" w:rsidP="00CE3594">
            <w:pPr>
              <w:rPr>
                <w:rFonts w:asciiTheme="minorHAnsi" w:hAnsiTheme="minorHAnsi" w:cstheme="minorHAnsi"/>
                <w:snapToGrid w:val="0"/>
                <w:color w:val="000000"/>
                <w:sz w:val="22"/>
                <w:szCs w:val="22"/>
              </w:rPr>
            </w:pPr>
            <w:r w:rsidRPr="00CE3594">
              <w:rPr>
                <w:rFonts w:asciiTheme="minorHAnsi" w:hAnsiTheme="minorHAnsi" w:cstheme="minorHAnsi"/>
                <w:b/>
                <w:snapToGrid w:val="0"/>
                <w:color w:val="000000"/>
                <w:sz w:val="22"/>
                <w:szCs w:val="22"/>
              </w:rPr>
              <w:t>YOU ARE NOT REQUIRED</w:t>
            </w:r>
            <w:r w:rsidRPr="00CE3594">
              <w:rPr>
                <w:rFonts w:asciiTheme="minorHAnsi" w:hAnsiTheme="minorHAnsi" w:cstheme="minorHAnsi"/>
                <w:snapToGrid w:val="0"/>
                <w:color w:val="000000"/>
                <w:sz w:val="22"/>
                <w:szCs w:val="22"/>
              </w:rPr>
              <w:t xml:space="preserve"> to complete this form if you are repaying your Direct Loans under the IBR or ICR Plan and:</w:t>
            </w:r>
          </w:p>
          <w:p w:rsidR="00CE3594" w:rsidRPr="00CE3594" w:rsidRDefault="00CE3594" w:rsidP="00CE3594">
            <w:pPr>
              <w:numPr>
                <w:ilvl w:val="0"/>
                <w:numId w:val="21"/>
              </w:numPr>
              <w:tabs>
                <w:tab w:val="clear" w:pos="360"/>
              </w:tabs>
              <w:ind w:left="540"/>
              <w:rPr>
                <w:rFonts w:asciiTheme="minorHAnsi" w:hAnsiTheme="minorHAnsi" w:cstheme="minorHAnsi"/>
                <w:snapToGrid w:val="0"/>
                <w:color w:val="000000"/>
                <w:sz w:val="22"/>
                <w:szCs w:val="22"/>
              </w:rPr>
            </w:pPr>
            <w:r w:rsidRPr="00CE3594">
              <w:rPr>
                <w:rFonts w:asciiTheme="minorHAnsi" w:hAnsiTheme="minorHAnsi" w:cstheme="minorHAnsi"/>
                <w:snapToGrid w:val="0"/>
                <w:color w:val="000000"/>
                <w:sz w:val="22"/>
                <w:szCs w:val="22"/>
              </w:rPr>
              <w:lastRenderedPageBreak/>
              <w:t xml:space="preserve">Your AGI, as reported on your most recently filed federal tax return, </w:t>
            </w:r>
            <w:r w:rsidRPr="00CE3594">
              <w:rPr>
                <w:rFonts w:asciiTheme="minorHAnsi" w:hAnsiTheme="minorHAnsi" w:cstheme="minorHAnsi"/>
                <w:i/>
                <w:snapToGrid w:val="0"/>
                <w:color w:val="000000"/>
                <w:sz w:val="22"/>
                <w:szCs w:val="22"/>
              </w:rPr>
              <w:t>reasonably reflects your current income</w:t>
            </w:r>
            <w:r w:rsidRPr="00CE3594">
              <w:rPr>
                <w:rFonts w:asciiTheme="minorHAnsi" w:hAnsiTheme="minorHAnsi" w:cstheme="minorHAnsi"/>
                <w:snapToGrid w:val="0"/>
                <w:color w:val="000000"/>
                <w:sz w:val="22"/>
                <w:szCs w:val="22"/>
              </w:rPr>
              <w:t>.</w:t>
            </w:r>
          </w:p>
          <w:p w:rsidR="00CE3594" w:rsidRPr="001656C0" w:rsidRDefault="00CE3594" w:rsidP="001656C0">
            <w:pPr>
              <w:contextualSpacing/>
              <w:rPr>
                <w:rFonts w:asciiTheme="minorHAnsi" w:hAnsiTheme="minorHAnsi" w:cstheme="minorHAnsi"/>
                <w:color w:val="000000"/>
                <w:sz w:val="22"/>
                <w:szCs w:val="22"/>
              </w:rPr>
            </w:pPr>
          </w:p>
        </w:tc>
      </w:tr>
    </w:tbl>
    <w:p w:rsidR="006C5F3D" w:rsidRPr="007C599F" w:rsidRDefault="006C5F3D" w:rsidP="00C93D51">
      <w:pPr>
        <w:rPr>
          <w:rFonts w:asciiTheme="minorHAnsi" w:hAnsiTheme="minorHAnsi" w:cstheme="minorHAnsi"/>
          <w:sz w:val="20"/>
          <w:szCs w:val="20"/>
        </w:rPr>
      </w:pPr>
    </w:p>
    <w:sectPr w:rsidR="006C5F3D" w:rsidRPr="007C599F" w:rsidSect="008E2D84">
      <w:footerReference w:type="default" r:id="rId9"/>
      <w:headerReference w:type="first" r:id="rId10"/>
      <w:pgSz w:w="20160" w:h="12240" w:orient="landscape" w:code="5"/>
      <w:pgMar w:top="1008" w:right="864" w:bottom="72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12B" w:rsidRDefault="00E4512B" w:rsidP="008E04A3">
      <w:r>
        <w:separator/>
      </w:r>
    </w:p>
  </w:endnote>
  <w:endnote w:type="continuationSeparator" w:id="0">
    <w:p w:rsidR="00E4512B" w:rsidRDefault="00E4512B" w:rsidP="008E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2B" w:rsidRDefault="00E4512B">
    <w:pPr>
      <w:pStyle w:val="Footer"/>
      <w:jc w:val="right"/>
    </w:pPr>
    <w:r>
      <w:fldChar w:fldCharType="begin"/>
    </w:r>
    <w:r>
      <w:instrText xml:space="preserve"> PAGE   \* MERGEFORMAT </w:instrText>
    </w:r>
    <w:r>
      <w:fldChar w:fldCharType="separate"/>
    </w:r>
    <w:r w:rsidR="007E7A74">
      <w:rPr>
        <w:noProof/>
      </w:rPr>
      <w:t>6</w:t>
    </w:r>
    <w:r>
      <w:fldChar w:fldCharType="end"/>
    </w:r>
  </w:p>
  <w:p w:rsidR="00E4512B" w:rsidRPr="001733B8" w:rsidRDefault="00E4512B">
    <w:pPr>
      <w:pStyle w:val="Footer"/>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12B" w:rsidRDefault="00E4512B" w:rsidP="008E04A3">
      <w:r>
        <w:separator/>
      </w:r>
    </w:p>
  </w:footnote>
  <w:footnote w:type="continuationSeparator" w:id="0">
    <w:p w:rsidR="00E4512B" w:rsidRDefault="00E4512B" w:rsidP="008E0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2B" w:rsidRPr="001733B8" w:rsidRDefault="00E4512B" w:rsidP="00AB4A35">
    <w:pPr>
      <w:jc w:val="center"/>
      <w:rPr>
        <w:rFonts w:ascii="Calibri" w:hAnsi="Calibri" w:cs="Calibri"/>
        <w:b/>
      </w:rPr>
    </w:pPr>
    <w:r w:rsidRPr="001733B8">
      <w:rPr>
        <w:rFonts w:ascii="Calibri" w:hAnsi="Calibri" w:cs="Calibri"/>
        <w:b/>
      </w:rPr>
      <w:t>US Department of Education</w:t>
    </w:r>
  </w:p>
  <w:p w:rsidR="00E4512B" w:rsidRPr="001733B8" w:rsidRDefault="00E4512B" w:rsidP="00AB4A35">
    <w:pPr>
      <w:jc w:val="center"/>
      <w:rPr>
        <w:rFonts w:ascii="Calibri" w:hAnsi="Calibri" w:cs="Calibri"/>
      </w:rPr>
    </w:pPr>
    <w:r w:rsidRPr="001733B8">
      <w:rPr>
        <w:rFonts w:ascii="Calibri" w:hAnsi="Calibri" w:cs="Calibri"/>
      </w:rPr>
      <w:t>Response to Comments</w:t>
    </w:r>
    <w:r>
      <w:rPr>
        <w:rFonts w:ascii="Calibri" w:hAnsi="Calibri" w:cs="Calibri"/>
      </w:rPr>
      <w:t xml:space="preserve"> – 30-day Comment Period</w:t>
    </w:r>
  </w:p>
  <w:p w:rsidR="00E4512B" w:rsidRPr="001733B8" w:rsidRDefault="00E4512B" w:rsidP="00AB4A35">
    <w:pPr>
      <w:jc w:val="center"/>
      <w:rPr>
        <w:rFonts w:ascii="Calibri" w:hAnsi="Calibri" w:cs="Calibri"/>
      </w:rPr>
    </w:pPr>
    <w:r>
      <w:rPr>
        <w:rFonts w:ascii="Calibri" w:hAnsi="Calibri" w:cs="Calibri"/>
      </w:rPr>
      <w:t>Alternative Documentation of Income Form</w:t>
    </w:r>
  </w:p>
  <w:p w:rsidR="00E4512B" w:rsidRDefault="00E4512B" w:rsidP="00AB4A35">
    <w:pPr>
      <w:jc w:val="center"/>
      <w:rPr>
        <w:rFonts w:ascii="Calibri" w:hAnsi="Calibri" w:cs="Calibri"/>
      </w:rPr>
    </w:pPr>
  </w:p>
  <w:p w:rsidR="00E4512B" w:rsidRDefault="00E4512B" w:rsidP="00EC7DB4">
    <w:pPr>
      <w:jc w:val="center"/>
      <w:rPr>
        <w:rFonts w:ascii="Calibri" w:hAnsi="Calibri" w:cs="Calibri"/>
      </w:rPr>
    </w:pPr>
    <w:r>
      <w:rPr>
        <w:rFonts w:ascii="Calibri" w:hAnsi="Calibri" w:cs="Calibri"/>
      </w:rPr>
      <w:t xml:space="preserve">Comments received from: </w:t>
    </w:r>
  </w:p>
  <w:p w:rsidR="00E4512B" w:rsidRPr="001733B8" w:rsidRDefault="00E4512B" w:rsidP="00AB4A35">
    <w:pPr>
      <w:jc w:val="center"/>
      <w:rPr>
        <w:rFonts w:ascii="Calibri" w:hAnsi="Calibri" w:cs="Calibri"/>
      </w:rPr>
    </w:pPr>
    <w:r>
      <w:rPr>
        <w:rFonts w:ascii="Calibri" w:hAnsi="Calibri" w:cs="Calibri"/>
      </w:rPr>
      <w:t>The Institute for College Access and Success</w:t>
    </w:r>
  </w:p>
  <w:p w:rsidR="00E4512B" w:rsidRDefault="00E4512B" w:rsidP="00AB4A35">
    <w:pPr>
      <w:jc w:val="center"/>
    </w:pPr>
  </w:p>
  <w:p w:rsidR="00E4512B" w:rsidRDefault="00E451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AD6"/>
    <w:multiLevelType w:val="hybridMultilevel"/>
    <w:tmpl w:val="A738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051B1"/>
    <w:multiLevelType w:val="hybridMultilevel"/>
    <w:tmpl w:val="74929710"/>
    <w:lvl w:ilvl="0" w:tplc="942CF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92188"/>
    <w:multiLevelType w:val="hybridMultilevel"/>
    <w:tmpl w:val="ABC40D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F74FF"/>
    <w:multiLevelType w:val="hybridMultilevel"/>
    <w:tmpl w:val="1802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F279E"/>
    <w:multiLevelType w:val="hybridMultilevel"/>
    <w:tmpl w:val="2A347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8037F"/>
    <w:multiLevelType w:val="hybridMultilevel"/>
    <w:tmpl w:val="DFC89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A1779"/>
    <w:multiLevelType w:val="hybridMultilevel"/>
    <w:tmpl w:val="5C7C76EE"/>
    <w:lvl w:ilvl="0" w:tplc="942CFC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5C56DF"/>
    <w:multiLevelType w:val="hybridMultilevel"/>
    <w:tmpl w:val="464A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461A40"/>
    <w:multiLevelType w:val="hybridMultilevel"/>
    <w:tmpl w:val="6B9A5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3C7A08"/>
    <w:multiLevelType w:val="hybridMultilevel"/>
    <w:tmpl w:val="EA56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8D1376"/>
    <w:multiLevelType w:val="hybridMultilevel"/>
    <w:tmpl w:val="4A1C6E54"/>
    <w:lvl w:ilvl="0" w:tplc="259A0174">
      <w:start w:val="1"/>
      <w:numFmt w:val="bullet"/>
      <w:lvlText w:val=""/>
      <w:lvlJc w:val="left"/>
      <w:pPr>
        <w:ind w:left="90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1977A07"/>
    <w:multiLevelType w:val="hybridMultilevel"/>
    <w:tmpl w:val="EE0E0CC0"/>
    <w:lvl w:ilvl="0" w:tplc="26FE47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D9544E"/>
    <w:multiLevelType w:val="singleLevel"/>
    <w:tmpl w:val="037C22C4"/>
    <w:lvl w:ilvl="0">
      <w:start w:val="1"/>
      <w:numFmt w:val="bullet"/>
      <w:lvlText w:val=""/>
      <w:lvlJc w:val="left"/>
      <w:pPr>
        <w:tabs>
          <w:tab w:val="num" w:pos="360"/>
        </w:tabs>
        <w:ind w:left="360" w:hanging="360"/>
      </w:pPr>
      <w:rPr>
        <w:rFonts w:ascii="Symbol" w:hAnsi="Symbol" w:cs="Times New Roman" w:hint="default"/>
        <w:color w:val="auto"/>
        <w:sz w:val="24"/>
        <w:szCs w:val="24"/>
      </w:rPr>
    </w:lvl>
  </w:abstractNum>
  <w:abstractNum w:abstractNumId="13">
    <w:nsid w:val="60D519AD"/>
    <w:multiLevelType w:val="hybridMultilevel"/>
    <w:tmpl w:val="905A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734288"/>
    <w:multiLevelType w:val="hybridMultilevel"/>
    <w:tmpl w:val="382EC2F4"/>
    <w:lvl w:ilvl="0" w:tplc="942CF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AAB994"/>
    <w:multiLevelType w:val="hybridMultilevel"/>
    <w:tmpl w:val="C1C41C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3F328E2"/>
    <w:multiLevelType w:val="hybridMultilevel"/>
    <w:tmpl w:val="3E54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BE2D90"/>
    <w:multiLevelType w:val="hybridMultilevel"/>
    <w:tmpl w:val="3600F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8A5D2C"/>
    <w:multiLevelType w:val="hybridMultilevel"/>
    <w:tmpl w:val="6B9E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2212D"/>
    <w:multiLevelType w:val="hybridMultilevel"/>
    <w:tmpl w:val="0F3CCC32"/>
    <w:lvl w:ilvl="0" w:tplc="942CF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721D67"/>
    <w:multiLevelType w:val="hybridMultilevel"/>
    <w:tmpl w:val="59F0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C1029A"/>
    <w:multiLevelType w:val="hybridMultilevel"/>
    <w:tmpl w:val="5A3AC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425F46"/>
    <w:multiLevelType w:val="singleLevel"/>
    <w:tmpl w:val="037C22C4"/>
    <w:lvl w:ilvl="0">
      <w:start w:val="1"/>
      <w:numFmt w:val="bullet"/>
      <w:lvlText w:val=""/>
      <w:lvlJc w:val="left"/>
      <w:pPr>
        <w:tabs>
          <w:tab w:val="num" w:pos="360"/>
        </w:tabs>
        <w:ind w:left="360" w:hanging="360"/>
      </w:pPr>
      <w:rPr>
        <w:rFonts w:ascii="Symbol" w:hAnsi="Symbol" w:cs="Times New Roman" w:hint="default"/>
        <w:color w:val="auto"/>
        <w:sz w:val="24"/>
        <w:szCs w:val="24"/>
      </w:rPr>
    </w:lvl>
  </w:abstractNum>
  <w:num w:numId="1">
    <w:abstractNumId w:val="8"/>
  </w:num>
  <w:num w:numId="2">
    <w:abstractNumId w:val="20"/>
  </w:num>
  <w:num w:numId="3">
    <w:abstractNumId w:val="21"/>
  </w:num>
  <w:num w:numId="4">
    <w:abstractNumId w:val="9"/>
  </w:num>
  <w:num w:numId="5">
    <w:abstractNumId w:val="15"/>
  </w:num>
  <w:num w:numId="6">
    <w:abstractNumId w:val="18"/>
  </w:num>
  <w:num w:numId="7">
    <w:abstractNumId w:val="4"/>
  </w:num>
  <w:num w:numId="8">
    <w:abstractNumId w:val="3"/>
  </w:num>
  <w:num w:numId="9">
    <w:abstractNumId w:val="19"/>
  </w:num>
  <w:num w:numId="10">
    <w:abstractNumId w:val="6"/>
  </w:num>
  <w:num w:numId="11">
    <w:abstractNumId w:val="1"/>
  </w:num>
  <w:num w:numId="12">
    <w:abstractNumId w:val="14"/>
  </w:num>
  <w:num w:numId="13">
    <w:abstractNumId w:val="2"/>
  </w:num>
  <w:num w:numId="14">
    <w:abstractNumId w:val="5"/>
  </w:num>
  <w:num w:numId="15">
    <w:abstractNumId w:val="11"/>
  </w:num>
  <w:num w:numId="16">
    <w:abstractNumId w:val="13"/>
  </w:num>
  <w:num w:numId="17">
    <w:abstractNumId w:val="17"/>
  </w:num>
  <w:num w:numId="18">
    <w:abstractNumId w:val="16"/>
  </w:num>
  <w:num w:numId="19">
    <w:abstractNumId w:val="0"/>
  </w:num>
  <w:num w:numId="20">
    <w:abstractNumId w:val="7"/>
  </w:num>
  <w:num w:numId="21">
    <w:abstractNumId w:val="22"/>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EB"/>
    <w:rsid w:val="00005889"/>
    <w:rsid w:val="0001206C"/>
    <w:rsid w:val="0001227C"/>
    <w:rsid w:val="000144DA"/>
    <w:rsid w:val="0002109E"/>
    <w:rsid w:val="0002357D"/>
    <w:rsid w:val="000251CA"/>
    <w:rsid w:val="00030917"/>
    <w:rsid w:val="00037374"/>
    <w:rsid w:val="00041E44"/>
    <w:rsid w:val="00053E5E"/>
    <w:rsid w:val="00060138"/>
    <w:rsid w:val="00063F8D"/>
    <w:rsid w:val="00063FA4"/>
    <w:rsid w:val="00064D91"/>
    <w:rsid w:val="00077046"/>
    <w:rsid w:val="000772D6"/>
    <w:rsid w:val="00081ACC"/>
    <w:rsid w:val="00082B90"/>
    <w:rsid w:val="0008521D"/>
    <w:rsid w:val="00092BDC"/>
    <w:rsid w:val="000A1D1F"/>
    <w:rsid w:val="000A2957"/>
    <w:rsid w:val="000A6DC2"/>
    <w:rsid w:val="000C199C"/>
    <w:rsid w:val="000C6B44"/>
    <w:rsid w:val="000D2AA1"/>
    <w:rsid w:val="000E16B4"/>
    <w:rsid w:val="001013F2"/>
    <w:rsid w:val="00113B56"/>
    <w:rsid w:val="001203F9"/>
    <w:rsid w:val="0012438C"/>
    <w:rsid w:val="00125CCE"/>
    <w:rsid w:val="00127207"/>
    <w:rsid w:val="001370EC"/>
    <w:rsid w:val="00141E2C"/>
    <w:rsid w:val="00146716"/>
    <w:rsid w:val="00151E6D"/>
    <w:rsid w:val="00152558"/>
    <w:rsid w:val="0015411B"/>
    <w:rsid w:val="00155EE2"/>
    <w:rsid w:val="001575C1"/>
    <w:rsid w:val="001656C0"/>
    <w:rsid w:val="001733B8"/>
    <w:rsid w:val="0017622F"/>
    <w:rsid w:val="001762C8"/>
    <w:rsid w:val="0019125E"/>
    <w:rsid w:val="00195895"/>
    <w:rsid w:val="00195D1F"/>
    <w:rsid w:val="001A44AE"/>
    <w:rsid w:val="001B331D"/>
    <w:rsid w:val="001C6C95"/>
    <w:rsid w:val="001E1FB7"/>
    <w:rsid w:val="001F2D65"/>
    <w:rsid w:val="001F5ADF"/>
    <w:rsid w:val="00201327"/>
    <w:rsid w:val="002038D7"/>
    <w:rsid w:val="00204348"/>
    <w:rsid w:val="00204824"/>
    <w:rsid w:val="002071C8"/>
    <w:rsid w:val="0021738B"/>
    <w:rsid w:val="002353CB"/>
    <w:rsid w:val="00236AE8"/>
    <w:rsid w:val="002418F5"/>
    <w:rsid w:val="00244D26"/>
    <w:rsid w:val="002503A9"/>
    <w:rsid w:val="002562AF"/>
    <w:rsid w:val="00263027"/>
    <w:rsid w:val="00276F60"/>
    <w:rsid w:val="002845A5"/>
    <w:rsid w:val="0029703D"/>
    <w:rsid w:val="002B0666"/>
    <w:rsid w:val="002B2FB5"/>
    <w:rsid w:val="002B3411"/>
    <w:rsid w:val="002B58D9"/>
    <w:rsid w:val="002C7F1E"/>
    <w:rsid w:val="002D6E7E"/>
    <w:rsid w:val="002E0CED"/>
    <w:rsid w:val="002E2196"/>
    <w:rsid w:val="002E703E"/>
    <w:rsid w:val="002F0065"/>
    <w:rsid w:val="002F38B7"/>
    <w:rsid w:val="002F4072"/>
    <w:rsid w:val="00300E4B"/>
    <w:rsid w:val="0030267F"/>
    <w:rsid w:val="00312878"/>
    <w:rsid w:val="00313216"/>
    <w:rsid w:val="0031323A"/>
    <w:rsid w:val="003160CF"/>
    <w:rsid w:val="0032618B"/>
    <w:rsid w:val="00342E06"/>
    <w:rsid w:val="0035568D"/>
    <w:rsid w:val="003566CD"/>
    <w:rsid w:val="00362428"/>
    <w:rsid w:val="00366C27"/>
    <w:rsid w:val="00370795"/>
    <w:rsid w:val="003733D3"/>
    <w:rsid w:val="00376A08"/>
    <w:rsid w:val="00390698"/>
    <w:rsid w:val="003A084A"/>
    <w:rsid w:val="003A0F27"/>
    <w:rsid w:val="003B2F8A"/>
    <w:rsid w:val="003B4E43"/>
    <w:rsid w:val="003B76DD"/>
    <w:rsid w:val="003C399E"/>
    <w:rsid w:val="003D4230"/>
    <w:rsid w:val="003D6818"/>
    <w:rsid w:val="003D71EF"/>
    <w:rsid w:val="003E0D52"/>
    <w:rsid w:val="003E79B5"/>
    <w:rsid w:val="0040207E"/>
    <w:rsid w:val="004030FB"/>
    <w:rsid w:val="00403901"/>
    <w:rsid w:val="00406653"/>
    <w:rsid w:val="00406F57"/>
    <w:rsid w:val="004071A8"/>
    <w:rsid w:val="004071DC"/>
    <w:rsid w:val="00410EAD"/>
    <w:rsid w:val="00412DD7"/>
    <w:rsid w:val="00420A8E"/>
    <w:rsid w:val="0042344F"/>
    <w:rsid w:val="00426B91"/>
    <w:rsid w:val="00427381"/>
    <w:rsid w:val="00440908"/>
    <w:rsid w:val="00445EA3"/>
    <w:rsid w:val="00451614"/>
    <w:rsid w:val="00454E5B"/>
    <w:rsid w:val="0045553D"/>
    <w:rsid w:val="00456862"/>
    <w:rsid w:val="00456C85"/>
    <w:rsid w:val="00460C2D"/>
    <w:rsid w:val="00461230"/>
    <w:rsid w:val="004640E7"/>
    <w:rsid w:val="00467DE1"/>
    <w:rsid w:val="00474C8B"/>
    <w:rsid w:val="00475222"/>
    <w:rsid w:val="00476196"/>
    <w:rsid w:val="00476CFC"/>
    <w:rsid w:val="00495ED6"/>
    <w:rsid w:val="004966DA"/>
    <w:rsid w:val="00497552"/>
    <w:rsid w:val="004A2686"/>
    <w:rsid w:val="004B49A6"/>
    <w:rsid w:val="004C71C0"/>
    <w:rsid w:val="004D36A5"/>
    <w:rsid w:val="004F1095"/>
    <w:rsid w:val="004F599A"/>
    <w:rsid w:val="005001F4"/>
    <w:rsid w:val="005017F1"/>
    <w:rsid w:val="005019A6"/>
    <w:rsid w:val="00523E3D"/>
    <w:rsid w:val="00530256"/>
    <w:rsid w:val="0053241A"/>
    <w:rsid w:val="005371B3"/>
    <w:rsid w:val="005520EB"/>
    <w:rsid w:val="00557F37"/>
    <w:rsid w:val="00565F7A"/>
    <w:rsid w:val="005900BB"/>
    <w:rsid w:val="00592118"/>
    <w:rsid w:val="005A0AF7"/>
    <w:rsid w:val="005B704E"/>
    <w:rsid w:val="005D27F9"/>
    <w:rsid w:val="005D29A5"/>
    <w:rsid w:val="005D3371"/>
    <w:rsid w:val="005D4B1F"/>
    <w:rsid w:val="005D5032"/>
    <w:rsid w:val="005F19BB"/>
    <w:rsid w:val="005F7FB2"/>
    <w:rsid w:val="00602DFD"/>
    <w:rsid w:val="00606437"/>
    <w:rsid w:val="00611A47"/>
    <w:rsid w:val="00616F43"/>
    <w:rsid w:val="0062222A"/>
    <w:rsid w:val="00623EEB"/>
    <w:rsid w:val="00636D0C"/>
    <w:rsid w:val="0063776C"/>
    <w:rsid w:val="0064128A"/>
    <w:rsid w:val="006474F0"/>
    <w:rsid w:val="0065571E"/>
    <w:rsid w:val="0065723E"/>
    <w:rsid w:val="0066086D"/>
    <w:rsid w:val="00660FE0"/>
    <w:rsid w:val="00664D28"/>
    <w:rsid w:val="00667B48"/>
    <w:rsid w:val="00677095"/>
    <w:rsid w:val="00680831"/>
    <w:rsid w:val="006A0672"/>
    <w:rsid w:val="006A57E4"/>
    <w:rsid w:val="006C2469"/>
    <w:rsid w:val="006C3AAA"/>
    <w:rsid w:val="006C5F3D"/>
    <w:rsid w:val="006C6785"/>
    <w:rsid w:val="006D5203"/>
    <w:rsid w:val="006E6F35"/>
    <w:rsid w:val="00703FE2"/>
    <w:rsid w:val="007208C1"/>
    <w:rsid w:val="00725EAC"/>
    <w:rsid w:val="00730369"/>
    <w:rsid w:val="007353DF"/>
    <w:rsid w:val="00735EFD"/>
    <w:rsid w:val="00741CAE"/>
    <w:rsid w:val="00751E9C"/>
    <w:rsid w:val="0075728B"/>
    <w:rsid w:val="00763495"/>
    <w:rsid w:val="00776034"/>
    <w:rsid w:val="00780884"/>
    <w:rsid w:val="00781D0E"/>
    <w:rsid w:val="007836E0"/>
    <w:rsid w:val="007922E7"/>
    <w:rsid w:val="00793A7E"/>
    <w:rsid w:val="007A0687"/>
    <w:rsid w:val="007A4D64"/>
    <w:rsid w:val="007A55C6"/>
    <w:rsid w:val="007A686A"/>
    <w:rsid w:val="007A6A81"/>
    <w:rsid w:val="007B52DE"/>
    <w:rsid w:val="007C599F"/>
    <w:rsid w:val="007D7BC0"/>
    <w:rsid w:val="007E4AAD"/>
    <w:rsid w:val="007E7A74"/>
    <w:rsid w:val="007F27FB"/>
    <w:rsid w:val="00802B1C"/>
    <w:rsid w:val="008233A9"/>
    <w:rsid w:val="008314D2"/>
    <w:rsid w:val="00831797"/>
    <w:rsid w:val="00837151"/>
    <w:rsid w:val="008579F9"/>
    <w:rsid w:val="008603F4"/>
    <w:rsid w:val="008629B2"/>
    <w:rsid w:val="00880926"/>
    <w:rsid w:val="008901E4"/>
    <w:rsid w:val="008A341C"/>
    <w:rsid w:val="008B2303"/>
    <w:rsid w:val="008B3ABB"/>
    <w:rsid w:val="008C1932"/>
    <w:rsid w:val="008C2639"/>
    <w:rsid w:val="008C4496"/>
    <w:rsid w:val="008C4A9F"/>
    <w:rsid w:val="008C4C5B"/>
    <w:rsid w:val="008D04FB"/>
    <w:rsid w:val="008D07D6"/>
    <w:rsid w:val="008E04A3"/>
    <w:rsid w:val="008E2D84"/>
    <w:rsid w:val="008E4207"/>
    <w:rsid w:val="00901272"/>
    <w:rsid w:val="00915984"/>
    <w:rsid w:val="00930D1A"/>
    <w:rsid w:val="009366DA"/>
    <w:rsid w:val="00936B94"/>
    <w:rsid w:val="00937851"/>
    <w:rsid w:val="00947FF6"/>
    <w:rsid w:val="00951471"/>
    <w:rsid w:val="0095706D"/>
    <w:rsid w:val="00960073"/>
    <w:rsid w:val="00965E71"/>
    <w:rsid w:val="009805F7"/>
    <w:rsid w:val="00982104"/>
    <w:rsid w:val="009857E0"/>
    <w:rsid w:val="009877FF"/>
    <w:rsid w:val="009947DD"/>
    <w:rsid w:val="00996DE4"/>
    <w:rsid w:val="009A1B14"/>
    <w:rsid w:val="009A21B5"/>
    <w:rsid w:val="009A648D"/>
    <w:rsid w:val="009B498C"/>
    <w:rsid w:val="009B49D8"/>
    <w:rsid w:val="009C183B"/>
    <w:rsid w:val="009C4686"/>
    <w:rsid w:val="009E26DB"/>
    <w:rsid w:val="009E5936"/>
    <w:rsid w:val="009F0286"/>
    <w:rsid w:val="009F1134"/>
    <w:rsid w:val="009F4D72"/>
    <w:rsid w:val="009F54BA"/>
    <w:rsid w:val="009F6912"/>
    <w:rsid w:val="00A000D1"/>
    <w:rsid w:val="00A128DF"/>
    <w:rsid w:val="00A14FB1"/>
    <w:rsid w:val="00A164D4"/>
    <w:rsid w:val="00A20EED"/>
    <w:rsid w:val="00A2359F"/>
    <w:rsid w:val="00A26435"/>
    <w:rsid w:val="00A37378"/>
    <w:rsid w:val="00A42958"/>
    <w:rsid w:val="00A46B48"/>
    <w:rsid w:val="00A5491E"/>
    <w:rsid w:val="00A62489"/>
    <w:rsid w:val="00A72280"/>
    <w:rsid w:val="00A744B3"/>
    <w:rsid w:val="00AA2EE1"/>
    <w:rsid w:val="00AB4A35"/>
    <w:rsid w:val="00AC7C3B"/>
    <w:rsid w:val="00AD2F0E"/>
    <w:rsid w:val="00AD4F37"/>
    <w:rsid w:val="00AD5CEE"/>
    <w:rsid w:val="00AE0E1C"/>
    <w:rsid w:val="00B01A3C"/>
    <w:rsid w:val="00B01AA9"/>
    <w:rsid w:val="00B14B1B"/>
    <w:rsid w:val="00B21167"/>
    <w:rsid w:val="00B239BE"/>
    <w:rsid w:val="00B26451"/>
    <w:rsid w:val="00B35617"/>
    <w:rsid w:val="00B41867"/>
    <w:rsid w:val="00B5448C"/>
    <w:rsid w:val="00B62B1E"/>
    <w:rsid w:val="00B82BFF"/>
    <w:rsid w:val="00B935FD"/>
    <w:rsid w:val="00B9713C"/>
    <w:rsid w:val="00BA5284"/>
    <w:rsid w:val="00BB385E"/>
    <w:rsid w:val="00BC52E6"/>
    <w:rsid w:val="00BC7B74"/>
    <w:rsid w:val="00BD6153"/>
    <w:rsid w:val="00BD6CCE"/>
    <w:rsid w:val="00BE25F7"/>
    <w:rsid w:val="00BF335B"/>
    <w:rsid w:val="00BF6719"/>
    <w:rsid w:val="00BF68F3"/>
    <w:rsid w:val="00BF77ED"/>
    <w:rsid w:val="00C0278B"/>
    <w:rsid w:val="00C06DB0"/>
    <w:rsid w:val="00C20F8A"/>
    <w:rsid w:val="00C22840"/>
    <w:rsid w:val="00C273E2"/>
    <w:rsid w:val="00C3606C"/>
    <w:rsid w:val="00C40579"/>
    <w:rsid w:val="00C41A3E"/>
    <w:rsid w:val="00C507E1"/>
    <w:rsid w:val="00C524B8"/>
    <w:rsid w:val="00C62AE7"/>
    <w:rsid w:val="00C6360B"/>
    <w:rsid w:val="00C74FBE"/>
    <w:rsid w:val="00C814D6"/>
    <w:rsid w:val="00C841AE"/>
    <w:rsid w:val="00C930C1"/>
    <w:rsid w:val="00C93234"/>
    <w:rsid w:val="00C93D51"/>
    <w:rsid w:val="00C95796"/>
    <w:rsid w:val="00CA49FF"/>
    <w:rsid w:val="00CA4C21"/>
    <w:rsid w:val="00CB3745"/>
    <w:rsid w:val="00CB5104"/>
    <w:rsid w:val="00CC04B9"/>
    <w:rsid w:val="00CC4B81"/>
    <w:rsid w:val="00CC7D20"/>
    <w:rsid w:val="00CE0DC5"/>
    <w:rsid w:val="00CE2097"/>
    <w:rsid w:val="00CE3594"/>
    <w:rsid w:val="00CE4E8B"/>
    <w:rsid w:val="00CE6677"/>
    <w:rsid w:val="00CE7072"/>
    <w:rsid w:val="00CF232B"/>
    <w:rsid w:val="00CF2843"/>
    <w:rsid w:val="00CF3A63"/>
    <w:rsid w:val="00D0056F"/>
    <w:rsid w:val="00D011B1"/>
    <w:rsid w:val="00D01B0B"/>
    <w:rsid w:val="00D218F0"/>
    <w:rsid w:val="00D22A2F"/>
    <w:rsid w:val="00D409D5"/>
    <w:rsid w:val="00D54FEE"/>
    <w:rsid w:val="00D60AB5"/>
    <w:rsid w:val="00D61166"/>
    <w:rsid w:val="00D6400C"/>
    <w:rsid w:val="00D831B5"/>
    <w:rsid w:val="00D83DD2"/>
    <w:rsid w:val="00D8431E"/>
    <w:rsid w:val="00D874C2"/>
    <w:rsid w:val="00D914F6"/>
    <w:rsid w:val="00DA0052"/>
    <w:rsid w:val="00DA7429"/>
    <w:rsid w:val="00DB1135"/>
    <w:rsid w:val="00DC05B8"/>
    <w:rsid w:val="00DE45FD"/>
    <w:rsid w:val="00DE52EE"/>
    <w:rsid w:val="00DE68C6"/>
    <w:rsid w:val="00DF2F20"/>
    <w:rsid w:val="00DF3B32"/>
    <w:rsid w:val="00E011F9"/>
    <w:rsid w:val="00E03A9E"/>
    <w:rsid w:val="00E15055"/>
    <w:rsid w:val="00E217AC"/>
    <w:rsid w:val="00E25866"/>
    <w:rsid w:val="00E345A6"/>
    <w:rsid w:val="00E4512B"/>
    <w:rsid w:val="00E458FA"/>
    <w:rsid w:val="00E50B95"/>
    <w:rsid w:val="00E5115A"/>
    <w:rsid w:val="00E60273"/>
    <w:rsid w:val="00E71A56"/>
    <w:rsid w:val="00E7351C"/>
    <w:rsid w:val="00E7450F"/>
    <w:rsid w:val="00E813E9"/>
    <w:rsid w:val="00EA1A8C"/>
    <w:rsid w:val="00EA3C14"/>
    <w:rsid w:val="00EA6AED"/>
    <w:rsid w:val="00EA7C82"/>
    <w:rsid w:val="00EC000C"/>
    <w:rsid w:val="00EC7DB4"/>
    <w:rsid w:val="00ED19EE"/>
    <w:rsid w:val="00EE0D6C"/>
    <w:rsid w:val="00EE1FFC"/>
    <w:rsid w:val="00EF3CC5"/>
    <w:rsid w:val="00EF753D"/>
    <w:rsid w:val="00F0607D"/>
    <w:rsid w:val="00F34075"/>
    <w:rsid w:val="00F34667"/>
    <w:rsid w:val="00F36264"/>
    <w:rsid w:val="00F45941"/>
    <w:rsid w:val="00F50BB4"/>
    <w:rsid w:val="00F54609"/>
    <w:rsid w:val="00F75C40"/>
    <w:rsid w:val="00F83F0F"/>
    <w:rsid w:val="00FA7D13"/>
    <w:rsid w:val="00FB05FE"/>
    <w:rsid w:val="00FB6B50"/>
    <w:rsid w:val="00FC1839"/>
    <w:rsid w:val="00FC45C1"/>
    <w:rsid w:val="00FC550B"/>
    <w:rsid w:val="00FD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4A3"/>
    <w:pPr>
      <w:tabs>
        <w:tab w:val="center" w:pos="4680"/>
        <w:tab w:val="right" w:pos="9360"/>
      </w:tabs>
    </w:pPr>
  </w:style>
  <w:style w:type="character" w:customStyle="1" w:styleId="HeaderChar">
    <w:name w:val="Header Char"/>
    <w:basedOn w:val="DefaultParagraphFont"/>
    <w:link w:val="Header"/>
    <w:uiPriority w:val="99"/>
    <w:rsid w:val="008E04A3"/>
    <w:rPr>
      <w:sz w:val="24"/>
      <w:szCs w:val="24"/>
    </w:rPr>
  </w:style>
  <w:style w:type="paragraph" w:styleId="Footer">
    <w:name w:val="footer"/>
    <w:basedOn w:val="Normal"/>
    <w:link w:val="FooterChar"/>
    <w:uiPriority w:val="99"/>
    <w:unhideWhenUsed/>
    <w:rsid w:val="008E04A3"/>
    <w:pPr>
      <w:tabs>
        <w:tab w:val="center" w:pos="4680"/>
        <w:tab w:val="right" w:pos="9360"/>
      </w:tabs>
    </w:pPr>
  </w:style>
  <w:style w:type="character" w:customStyle="1" w:styleId="FooterChar">
    <w:name w:val="Footer Char"/>
    <w:basedOn w:val="DefaultParagraphFont"/>
    <w:link w:val="Footer"/>
    <w:uiPriority w:val="99"/>
    <w:rsid w:val="008E04A3"/>
    <w:rPr>
      <w:sz w:val="24"/>
      <w:szCs w:val="24"/>
    </w:rPr>
  </w:style>
  <w:style w:type="paragraph" w:styleId="BalloonText">
    <w:name w:val="Balloon Text"/>
    <w:basedOn w:val="Normal"/>
    <w:link w:val="BalloonTextChar"/>
    <w:uiPriority w:val="99"/>
    <w:semiHidden/>
    <w:unhideWhenUsed/>
    <w:rsid w:val="00D83DD2"/>
    <w:rPr>
      <w:rFonts w:ascii="Tahoma" w:hAnsi="Tahoma" w:cs="Tahoma"/>
      <w:sz w:val="16"/>
      <w:szCs w:val="16"/>
    </w:rPr>
  </w:style>
  <w:style w:type="character" w:customStyle="1" w:styleId="BalloonTextChar">
    <w:name w:val="Balloon Text Char"/>
    <w:basedOn w:val="DefaultParagraphFont"/>
    <w:link w:val="BalloonText"/>
    <w:uiPriority w:val="99"/>
    <w:semiHidden/>
    <w:rsid w:val="00D83DD2"/>
    <w:rPr>
      <w:rFonts w:ascii="Tahoma" w:hAnsi="Tahoma" w:cs="Tahoma"/>
      <w:sz w:val="16"/>
      <w:szCs w:val="16"/>
    </w:rPr>
  </w:style>
  <w:style w:type="paragraph" w:customStyle="1" w:styleId="Default">
    <w:name w:val="Default"/>
    <w:rsid w:val="00C6360B"/>
    <w:pPr>
      <w:autoSpaceDE w:val="0"/>
      <w:autoSpaceDN w:val="0"/>
      <w:adjustRightInd w:val="0"/>
    </w:pPr>
    <w:rPr>
      <w:color w:val="000000"/>
      <w:sz w:val="24"/>
      <w:szCs w:val="24"/>
    </w:rPr>
  </w:style>
  <w:style w:type="paragraph" w:styleId="NoSpacing">
    <w:name w:val="No Spacing"/>
    <w:basedOn w:val="Default"/>
    <w:next w:val="Default"/>
    <w:uiPriority w:val="1"/>
    <w:qFormat/>
    <w:rsid w:val="00C6360B"/>
    <w:rPr>
      <w:color w:val="auto"/>
    </w:rPr>
  </w:style>
  <w:style w:type="paragraph" w:styleId="BodyText">
    <w:name w:val="Body Text"/>
    <w:basedOn w:val="Normal"/>
    <w:link w:val="BodyTextChar"/>
    <w:rsid w:val="008579F9"/>
    <w:pPr>
      <w:spacing w:before="120" w:after="120"/>
    </w:pPr>
    <w:rPr>
      <w:rFonts w:ascii="Arial Narrow" w:hAnsi="Arial Narrow"/>
      <w:sz w:val="16"/>
    </w:rPr>
  </w:style>
  <w:style w:type="character" w:customStyle="1" w:styleId="BodyTextChar">
    <w:name w:val="Body Text Char"/>
    <w:basedOn w:val="DefaultParagraphFont"/>
    <w:link w:val="BodyText"/>
    <w:rsid w:val="008579F9"/>
    <w:rPr>
      <w:rFonts w:ascii="Arial Narrow" w:hAnsi="Arial Narrow"/>
      <w:sz w:val="16"/>
      <w:szCs w:val="24"/>
    </w:rPr>
  </w:style>
  <w:style w:type="paragraph" w:styleId="ListParagraph">
    <w:name w:val="List Paragraph"/>
    <w:basedOn w:val="Default"/>
    <w:next w:val="Default"/>
    <w:uiPriority w:val="72"/>
    <w:qFormat/>
    <w:rsid w:val="002F4072"/>
    <w:rPr>
      <w:color w:val="auto"/>
    </w:rPr>
  </w:style>
  <w:style w:type="character" w:styleId="CommentReference">
    <w:name w:val="annotation reference"/>
    <w:basedOn w:val="DefaultParagraphFont"/>
    <w:uiPriority w:val="99"/>
    <w:semiHidden/>
    <w:unhideWhenUsed/>
    <w:rsid w:val="006D5203"/>
    <w:rPr>
      <w:sz w:val="18"/>
      <w:szCs w:val="18"/>
    </w:rPr>
  </w:style>
  <w:style w:type="paragraph" w:styleId="CommentText">
    <w:name w:val="annotation text"/>
    <w:basedOn w:val="Normal"/>
    <w:link w:val="CommentTextChar"/>
    <w:uiPriority w:val="99"/>
    <w:semiHidden/>
    <w:unhideWhenUsed/>
    <w:rsid w:val="006D5203"/>
  </w:style>
  <w:style w:type="character" w:customStyle="1" w:styleId="CommentTextChar">
    <w:name w:val="Comment Text Char"/>
    <w:basedOn w:val="DefaultParagraphFont"/>
    <w:link w:val="CommentText"/>
    <w:uiPriority w:val="99"/>
    <w:semiHidden/>
    <w:rsid w:val="006D5203"/>
    <w:rPr>
      <w:sz w:val="24"/>
      <w:szCs w:val="24"/>
    </w:rPr>
  </w:style>
  <w:style w:type="paragraph" w:styleId="CommentSubject">
    <w:name w:val="annotation subject"/>
    <w:basedOn w:val="CommentText"/>
    <w:next w:val="CommentText"/>
    <w:link w:val="CommentSubjectChar"/>
    <w:uiPriority w:val="99"/>
    <w:semiHidden/>
    <w:unhideWhenUsed/>
    <w:rsid w:val="006D5203"/>
    <w:rPr>
      <w:b/>
      <w:bCs/>
      <w:sz w:val="20"/>
      <w:szCs w:val="20"/>
    </w:rPr>
  </w:style>
  <w:style w:type="character" w:customStyle="1" w:styleId="CommentSubjectChar">
    <w:name w:val="Comment Subject Char"/>
    <w:basedOn w:val="CommentTextChar"/>
    <w:link w:val="CommentSubject"/>
    <w:uiPriority w:val="99"/>
    <w:semiHidden/>
    <w:rsid w:val="006D5203"/>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4A3"/>
    <w:pPr>
      <w:tabs>
        <w:tab w:val="center" w:pos="4680"/>
        <w:tab w:val="right" w:pos="9360"/>
      </w:tabs>
    </w:pPr>
  </w:style>
  <w:style w:type="character" w:customStyle="1" w:styleId="HeaderChar">
    <w:name w:val="Header Char"/>
    <w:basedOn w:val="DefaultParagraphFont"/>
    <w:link w:val="Header"/>
    <w:uiPriority w:val="99"/>
    <w:rsid w:val="008E04A3"/>
    <w:rPr>
      <w:sz w:val="24"/>
      <w:szCs w:val="24"/>
    </w:rPr>
  </w:style>
  <w:style w:type="paragraph" w:styleId="Footer">
    <w:name w:val="footer"/>
    <w:basedOn w:val="Normal"/>
    <w:link w:val="FooterChar"/>
    <w:uiPriority w:val="99"/>
    <w:unhideWhenUsed/>
    <w:rsid w:val="008E04A3"/>
    <w:pPr>
      <w:tabs>
        <w:tab w:val="center" w:pos="4680"/>
        <w:tab w:val="right" w:pos="9360"/>
      </w:tabs>
    </w:pPr>
  </w:style>
  <w:style w:type="character" w:customStyle="1" w:styleId="FooterChar">
    <w:name w:val="Footer Char"/>
    <w:basedOn w:val="DefaultParagraphFont"/>
    <w:link w:val="Footer"/>
    <w:uiPriority w:val="99"/>
    <w:rsid w:val="008E04A3"/>
    <w:rPr>
      <w:sz w:val="24"/>
      <w:szCs w:val="24"/>
    </w:rPr>
  </w:style>
  <w:style w:type="paragraph" w:styleId="BalloonText">
    <w:name w:val="Balloon Text"/>
    <w:basedOn w:val="Normal"/>
    <w:link w:val="BalloonTextChar"/>
    <w:uiPriority w:val="99"/>
    <w:semiHidden/>
    <w:unhideWhenUsed/>
    <w:rsid w:val="00D83DD2"/>
    <w:rPr>
      <w:rFonts w:ascii="Tahoma" w:hAnsi="Tahoma" w:cs="Tahoma"/>
      <w:sz w:val="16"/>
      <w:szCs w:val="16"/>
    </w:rPr>
  </w:style>
  <w:style w:type="character" w:customStyle="1" w:styleId="BalloonTextChar">
    <w:name w:val="Balloon Text Char"/>
    <w:basedOn w:val="DefaultParagraphFont"/>
    <w:link w:val="BalloonText"/>
    <w:uiPriority w:val="99"/>
    <w:semiHidden/>
    <w:rsid w:val="00D83DD2"/>
    <w:rPr>
      <w:rFonts w:ascii="Tahoma" w:hAnsi="Tahoma" w:cs="Tahoma"/>
      <w:sz w:val="16"/>
      <w:szCs w:val="16"/>
    </w:rPr>
  </w:style>
  <w:style w:type="paragraph" w:customStyle="1" w:styleId="Default">
    <w:name w:val="Default"/>
    <w:rsid w:val="00C6360B"/>
    <w:pPr>
      <w:autoSpaceDE w:val="0"/>
      <w:autoSpaceDN w:val="0"/>
      <w:adjustRightInd w:val="0"/>
    </w:pPr>
    <w:rPr>
      <w:color w:val="000000"/>
      <w:sz w:val="24"/>
      <w:szCs w:val="24"/>
    </w:rPr>
  </w:style>
  <w:style w:type="paragraph" w:styleId="NoSpacing">
    <w:name w:val="No Spacing"/>
    <w:basedOn w:val="Default"/>
    <w:next w:val="Default"/>
    <w:uiPriority w:val="1"/>
    <w:qFormat/>
    <w:rsid w:val="00C6360B"/>
    <w:rPr>
      <w:color w:val="auto"/>
    </w:rPr>
  </w:style>
  <w:style w:type="paragraph" w:styleId="BodyText">
    <w:name w:val="Body Text"/>
    <w:basedOn w:val="Normal"/>
    <w:link w:val="BodyTextChar"/>
    <w:rsid w:val="008579F9"/>
    <w:pPr>
      <w:spacing w:before="120" w:after="120"/>
    </w:pPr>
    <w:rPr>
      <w:rFonts w:ascii="Arial Narrow" w:hAnsi="Arial Narrow"/>
      <w:sz w:val="16"/>
    </w:rPr>
  </w:style>
  <w:style w:type="character" w:customStyle="1" w:styleId="BodyTextChar">
    <w:name w:val="Body Text Char"/>
    <w:basedOn w:val="DefaultParagraphFont"/>
    <w:link w:val="BodyText"/>
    <w:rsid w:val="008579F9"/>
    <w:rPr>
      <w:rFonts w:ascii="Arial Narrow" w:hAnsi="Arial Narrow"/>
      <w:sz w:val="16"/>
      <w:szCs w:val="24"/>
    </w:rPr>
  </w:style>
  <w:style w:type="paragraph" w:styleId="ListParagraph">
    <w:name w:val="List Paragraph"/>
    <w:basedOn w:val="Default"/>
    <w:next w:val="Default"/>
    <w:uiPriority w:val="72"/>
    <w:qFormat/>
    <w:rsid w:val="002F4072"/>
    <w:rPr>
      <w:color w:val="auto"/>
    </w:rPr>
  </w:style>
  <w:style w:type="character" w:styleId="CommentReference">
    <w:name w:val="annotation reference"/>
    <w:basedOn w:val="DefaultParagraphFont"/>
    <w:uiPriority w:val="99"/>
    <w:semiHidden/>
    <w:unhideWhenUsed/>
    <w:rsid w:val="006D5203"/>
    <w:rPr>
      <w:sz w:val="18"/>
      <w:szCs w:val="18"/>
    </w:rPr>
  </w:style>
  <w:style w:type="paragraph" w:styleId="CommentText">
    <w:name w:val="annotation text"/>
    <w:basedOn w:val="Normal"/>
    <w:link w:val="CommentTextChar"/>
    <w:uiPriority w:val="99"/>
    <w:semiHidden/>
    <w:unhideWhenUsed/>
    <w:rsid w:val="006D5203"/>
  </w:style>
  <w:style w:type="character" w:customStyle="1" w:styleId="CommentTextChar">
    <w:name w:val="Comment Text Char"/>
    <w:basedOn w:val="DefaultParagraphFont"/>
    <w:link w:val="CommentText"/>
    <w:uiPriority w:val="99"/>
    <w:semiHidden/>
    <w:rsid w:val="006D5203"/>
    <w:rPr>
      <w:sz w:val="24"/>
      <w:szCs w:val="24"/>
    </w:rPr>
  </w:style>
  <w:style w:type="paragraph" w:styleId="CommentSubject">
    <w:name w:val="annotation subject"/>
    <w:basedOn w:val="CommentText"/>
    <w:next w:val="CommentText"/>
    <w:link w:val="CommentSubjectChar"/>
    <w:uiPriority w:val="99"/>
    <w:semiHidden/>
    <w:unhideWhenUsed/>
    <w:rsid w:val="006D5203"/>
    <w:rPr>
      <w:b/>
      <w:bCs/>
      <w:sz w:val="20"/>
      <w:szCs w:val="20"/>
    </w:rPr>
  </w:style>
  <w:style w:type="character" w:customStyle="1" w:styleId="CommentSubjectChar">
    <w:name w:val="Comment Subject Char"/>
    <w:basedOn w:val="CommentTextChar"/>
    <w:link w:val="CommentSubject"/>
    <w:uiPriority w:val="99"/>
    <w:semiHidden/>
    <w:rsid w:val="006D520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9A895-D068-4F5E-A266-A71CC936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2299</Words>
  <Characters>11591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Location</vt:lpstr>
    </vt:vector>
  </TitlesOfParts>
  <Company>Sallie Mae</Company>
  <LinksUpToDate>false</LinksUpToDate>
  <CharactersWithSpaces>13863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dc:title>
  <dc:creator>Administrator</dc:creator>
  <cp:lastModifiedBy>katrina.ingalls</cp:lastModifiedBy>
  <cp:revision>2</cp:revision>
  <cp:lastPrinted>2011-10-13T16:48:00Z</cp:lastPrinted>
  <dcterms:created xsi:type="dcterms:W3CDTF">2012-08-15T15:32:00Z</dcterms:created>
  <dcterms:modified xsi:type="dcterms:W3CDTF">2012-08-15T15:32:00Z</dcterms:modified>
</cp:coreProperties>
</file>