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7D8" w:rsidRPr="00CE3761" w:rsidRDefault="006637D8" w:rsidP="006637D8">
      <w:pPr>
        <w:jc w:val="center"/>
        <w:rPr>
          <w:b/>
          <w:sz w:val="40"/>
          <w:szCs w:val="40"/>
        </w:rPr>
      </w:pPr>
      <w:r w:rsidRPr="00CE3761">
        <w:rPr>
          <w:b/>
          <w:sz w:val="40"/>
          <w:szCs w:val="40"/>
        </w:rPr>
        <w:t xml:space="preserve">Trends in U.S. Public’s Awareness of Racial and Ethnic Health Disparities </w:t>
      </w:r>
    </w:p>
    <w:p w:rsidR="006637D8" w:rsidRPr="00CE3761" w:rsidRDefault="006637D8" w:rsidP="006637D8">
      <w:pPr>
        <w:jc w:val="center"/>
        <w:rPr>
          <w:b/>
          <w:sz w:val="44"/>
          <w:szCs w:val="44"/>
        </w:rPr>
      </w:pPr>
      <w:r w:rsidRPr="00CE3761">
        <w:rPr>
          <w:b/>
          <w:sz w:val="40"/>
          <w:szCs w:val="40"/>
        </w:rPr>
        <w:t>(</w:t>
      </w:r>
      <w:r w:rsidR="00C5120D" w:rsidRPr="00C5120D">
        <w:rPr>
          <w:b/>
          <w:sz w:val="40"/>
          <w:szCs w:val="40"/>
        </w:rPr>
        <w:t>1999- 20</w:t>
      </w:r>
      <w:r w:rsidR="00CF28D5" w:rsidRPr="0015735B">
        <w:rPr>
          <w:b/>
          <w:sz w:val="40"/>
          <w:szCs w:val="40"/>
        </w:rPr>
        <w:t>15</w:t>
      </w:r>
      <w:r w:rsidR="009E728A">
        <w:rPr>
          <w:b/>
          <w:sz w:val="40"/>
          <w:szCs w:val="40"/>
        </w:rPr>
        <w:t>)</w:t>
      </w:r>
    </w:p>
    <w:p w:rsidR="006637D8" w:rsidRPr="00CE3761" w:rsidRDefault="006637D8" w:rsidP="006637D8"/>
    <w:p w:rsidR="006637D8" w:rsidRPr="00CE3761" w:rsidRDefault="006637D8" w:rsidP="006637D8"/>
    <w:p w:rsidR="006637D8" w:rsidRDefault="006637D8" w:rsidP="006637D8">
      <w:pPr>
        <w:jc w:val="center"/>
        <w:rPr>
          <w:b/>
          <w:sz w:val="36"/>
          <w:szCs w:val="36"/>
        </w:rPr>
      </w:pPr>
      <w:r w:rsidRPr="00CE3761">
        <w:rPr>
          <w:b/>
          <w:sz w:val="36"/>
          <w:szCs w:val="36"/>
        </w:rPr>
        <w:t>Request for OMB Clearance on a</w:t>
      </w:r>
      <w:r w:rsidR="00CF28D5">
        <w:rPr>
          <w:b/>
          <w:sz w:val="36"/>
          <w:szCs w:val="36"/>
        </w:rPr>
        <w:t xml:space="preserve">n Existing </w:t>
      </w:r>
      <w:r w:rsidRPr="00CE3761">
        <w:rPr>
          <w:b/>
          <w:sz w:val="36"/>
          <w:szCs w:val="36"/>
        </w:rPr>
        <w:t>Collection</w:t>
      </w:r>
      <w:r w:rsidR="00CF28D5">
        <w:rPr>
          <w:b/>
          <w:sz w:val="36"/>
          <w:szCs w:val="36"/>
        </w:rPr>
        <w:t>:</w:t>
      </w:r>
      <w:r w:rsidR="00CF28D5" w:rsidRPr="00CF28D5">
        <w:t xml:space="preserve"> </w:t>
      </w:r>
      <w:r w:rsidR="00C5120D" w:rsidRPr="00C5120D">
        <w:rPr>
          <w:b/>
          <w:sz w:val="36"/>
          <w:szCs w:val="36"/>
        </w:rPr>
        <w:t>Control No:</w:t>
      </w:r>
      <w:r w:rsidR="00F2573C">
        <w:t xml:space="preserve"> </w:t>
      </w:r>
      <w:r w:rsidR="00CF28D5" w:rsidRPr="00CF28D5">
        <w:rPr>
          <w:b/>
          <w:sz w:val="36"/>
          <w:szCs w:val="36"/>
        </w:rPr>
        <w:t>0990-0335</w:t>
      </w:r>
      <w:r w:rsidR="00CF28D5">
        <w:rPr>
          <w:b/>
          <w:sz w:val="36"/>
          <w:szCs w:val="36"/>
        </w:rPr>
        <w:t xml:space="preserve">, Expiration </w:t>
      </w:r>
      <w:r w:rsidR="00CF28D5" w:rsidRPr="00CF28D5">
        <w:rPr>
          <w:b/>
          <w:sz w:val="36"/>
          <w:szCs w:val="36"/>
        </w:rPr>
        <w:t>03/31/2012</w:t>
      </w:r>
    </w:p>
    <w:p w:rsidR="00CF28D5" w:rsidRPr="00CE3761" w:rsidRDefault="00CF28D5" w:rsidP="006637D8">
      <w:pPr>
        <w:jc w:val="center"/>
        <w:rPr>
          <w:b/>
          <w:sz w:val="36"/>
          <w:szCs w:val="36"/>
        </w:rPr>
      </w:pPr>
    </w:p>
    <w:p w:rsidR="006637D8" w:rsidRPr="00CE3761" w:rsidRDefault="006637D8" w:rsidP="006637D8"/>
    <w:p w:rsidR="006637D8" w:rsidRPr="00CE3761" w:rsidRDefault="006637D8" w:rsidP="006637D8"/>
    <w:p w:rsidR="006637D8" w:rsidRPr="00CE3761" w:rsidRDefault="006637D8" w:rsidP="006637D8">
      <w:pPr>
        <w:jc w:val="center"/>
        <w:rPr>
          <w:b/>
          <w:i/>
          <w:sz w:val="32"/>
          <w:szCs w:val="32"/>
        </w:rPr>
      </w:pPr>
      <w:r w:rsidRPr="00CE3761">
        <w:rPr>
          <w:b/>
          <w:i/>
          <w:sz w:val="32"/>
          <w:szCs w:val="32"/>
        </w:rPr>
        <w:t>Supporting Statement</w:t>
      </w:r>
    </w:p>
    <w:p w:rsidR="006637D8" w:rsidRPr="00CE3761" w:rsidRDefault="006637D8" w:rsidP="006637D8"/>
    <w:p w:rsidR="006637D8" w:rsidRPr="00CE3761" w:rsidRDefault="006637D8" w:rsidP="006637D8"/>
    <w:p w:rsidR="006637D8" w:rsidRPr="00CE3761" w:rsidRDefault="006637D8" w:rsidP="006637D8"/>
    <w:p w:rsidR="006637D8" w:rsidRPr="00CE3761" w:rsidRDefault="006637D8" w:rsidP="006637D8"/>
    <w:p w:rsidR="006637D8" w:rsidRPr="00CE3761" w:rsidRDefault="006637D8" w:rsidP="006637D8"/>
    <w:p w:rsidR="006637D8" w:rsidRPr="00CE3761" w:rsidRDefault="006637D8" w:rsidP="006637D8"/>
    <w:p w:rsidR="006637D8" w:rsidRPr="00CE3761" w:rsidRDefault="006637D8" w:rsidP="006637D8"/>
    <w:p w:rsidR="006637D8" w:rsidRPr="00CE3761" w:rsidRDefault="006637D8" w:rsidP="006637D8"/>
    <w:p w:rsidR="006637D8" w:rsidRPr="00CE3761" w:rsidRDefault="006637D8" w:rsidP="006637D8"/>
    <w:p w:rsidR="006637D8" w:rsidRPr="00CE3761" w:rsidRDefault="002F094A" w:rsidP="006637D8">
      <w:pPr>
        <w:jc w:val="center"/>
        <w:rPr>
          <w:sz w:val="28"/>
          <w:szCs w:val="28"/>
        </w:rPr>
      </w:pPr>
      <w:r>
        <w:rPr>
          <w:sz w:val="28"/>
          <w:szCs w:val="28"/>
        </w:rPr>
        <w:t>March 23, 2012</w:t>
      </w:r>
    </w:p>
    <w:p w:rsidR="006637D8" w:rsidRPr="00CE3761" w:rsidRDefault="006637D8" w:rsidP="006637D8">
      <w:pPr>
        <w:jc w:val="center"/>
        <w:rPr>
          <w:sz w:val="28"/>
          <w:szCs w:val="28"/>
        </w:rPr>
      </w:pPr>
    </w:p>
    <w:p w:rsidR="006637D8" w:rsidRPr="00CE3761" w:rsidRDefault="006637D8" w:rsidP="006637D8">
      <w:pPr>
        <w:jc w:val="center"/>
        <w:rPr>
          <w:sz w:val="28"/>
          <w:szCs w:val="28"/>
        </w:rPr>
      </w:pPr>
    </w:p>
    <w:p w:rsidR="006637D8" w:rsidRPr="00CE3761" w:rsidRDefault="006637D8" w:rsidP="006637D8">
      <w:pPr>
        <w:jc w:val="center"/>
        <w:rPr>
          <w:sz w:val="28"/>
          <w:szCs w:val="28"/>
        </w:rPr>
      </w:pPr>
    </w:p>
    <w:p w:rsidR="006637D8" w:rsidRPr="00CE3761" w:rsidRDefault="006637D8" w:rsidP="006637D8">
      <w:pPr>
        <w:jc w:val="center"/>
        <w:rPr>
          <w:sz w:val="28"/>
          <w:szCs w:val="28"/>
        </w:rPr>
      </w:pPr>
    </w:p>
    <w:p w:rsidR="006637D8" w:rsidRPr="00CE3761" w:rsidRDefault="006637D8" w:rsidP="006637D8">
      <w:pPr>
        <w:jc w:val="center"/>
        <w:rPr>
          <w:sz w:val="28"/>
          <w:szCs w:val="28"/>
        </w:rPr>
      </w:pPr>
      <w:r w:rsidRPr="00CE3761">
        <w:rPr>
          <w:sz w:val="28"/>
          <w:szCs w:val="28"/>
        </w:rPr>
        <w:t>Submitted by:</w:t>
      </w:r>
    </w:p>
    <w:p w:rsidR="006637D8" w:rsidRPr="00CE3761" w:rsidRDefault="006637D8" w:rsidP="006637D8">
      <w:pPr>
        <w:jc w:val="center"/>
        <w:rPr>
          <w:sz w:val="28"/>
          <w:szCs w:val="28"/>
        </w:rPr>
      </w:pPr>
    </w:p>
    <w:p w:rsidR="0073023B" w:rsidRDefault="0073023B" w:rsidP="006637D8">
      <w:pPr>
        <w:jc w:val="center"/>
        <w:rPr>
          <w:sz w:val="28"/>
          <w:szCs w:val="28"/>
        </w:rPr>
      </w:pPr>
      <w:r>
        <w:rPr>
          <w:sz w:val="28"/>
          <w:szCs w:val="28"/>
        </w:rPr>
        <w:t>U.S. Department of Health and Human Services (HHS)</w:t>
      </w:r>
    </w:p>
    <w:p w:rsidR="0073023B" w:rsidRDefault="0073023B" w:rsidP="006637D8">
      <w:pPr>
        <w:jc w:val="center"/>
        <w:rPr>
          <w:sz w:val="28"/>
          <w:szCs w:val="28"/>
        </w:rPr>
      </w:pPr>
      <w:r>
        <w:rPr>
          <w:sz w:val="28"/>
          <w:szCs w:val="28"/>
        </w:rPr>
        <w:t>Office of Minority Health (OMH)</w:t>
      </w:r>
    </w:p>
    <w:p w:rsidR="0073023B" w:rsidRDefault="0073023B" w:rsidP="006637D8">
      <w:pPr>
        <w:jc w:val="center"/>
        <w:rPr>
          <w:sz w:val="28"/>
          <w:szCs w:val="28"/>
        </w:rPr>
      </w:pPr>
      <w:r>
        <w:rPr>
          <w:sz w:val="28"/>
          <w:szCs w:val="28"/>
        </w:rPr>
        <w:t>1101 Wootton Parkway, Suite 600</w:t>
      </w:r>
    </w:p>
    <w:p w:rsidR="0073023B" w:rsidRDefault="0073023B" w:rsidP="006637D8">
      <w:pPr>
        <w:jc w:val="center"/>
        <w:rPr>
          <w:sz w:val="28"/>
          <w:szCs w:val="28"/>
        </w:rPr>
      </w:pPr>
      <w:r>
        <w:rPr>
          <w:sz w:val="28"/>
          <w:szCs w:val="28"/>
        </w:rPr>
        <w:t>Rockville, MD 20852</w:t>
      </w:r>
    </w:p>
    <w:p w:rsidR="006637D8" w:rsidRDefault="006637D8" w:rsidP="006637D8">
      <w:pPr>
        <w:jc w:val="center"/>
        <w:rPr>
          <w:noProof/>
          <w:sz w:val="28"/>
          <w:szCs w:val="28"/>
        </w:rPr>
      </w:pPr>
    </w:p>
    <w:p w:rsidR="006637D8" w:rsidRDefault="006637D8" w:rsidP="006637D8">
      <w:pPr>
        <w:jc w:val="center"/>
        <w:rPr>
          <w:noProof/>
          <w:sz w:val="28"/>
          <w:szCs w:val="28"/>
        </w:rPr>
      </w:pPr>
    </w:p>
    <w:p w:rsidR="006637D8" w:rsidRDefault="006637D8" w:rsidP="006637D8">
      <w:pPr>
        <w:jc w:val="center"/>
        <w:rPr>
          <w:noProof/>
          <w:sz w:val="28"/>
          <w:szCs w:val="28"/>
        </w:rPr>
      </w:pPr>
    </w:p>
    <w:p w:rsidR="006637D8" w:rsidRDefault="006637D8" w:rsidP="006637D8">
      <w:pPr>
        <w:jc w:val="center"/>
        <w:rPr>
          <w:noProof/>
          <w:sz w:val="28"/>
          <w:szCs w:val="28"/>
        </w:rPr>
      </w:pPr>
    </w:p>
    <w:p w:rsidR="000B0428" w:rsidRDefault="000B0428">
      <w:pPr>
        <w:rPr>
          <w:b/>
        </w:rPr>
      </w:pPr>
      <w:r>
        <w:rPr>
          <w:b/>
        </w:rPr>
        <w:br w:type="page"/>
      </w:r>
    </w:p>
    <w:p w:rsidR="006637D8" w:rsidRPr="00C72E0F" w:rsidRDefault="006637D8" w:rsidP="006637D8">
      <w:pPr>
        <w:rPr>
          <w:b/>
        </w:rPr>
      </w:pPr>
      <w:r w:rsidRPr="00C72E0F">
        <w:rPr>
          <w:b/>
        </w:rPr>
        <w:lastRenderedPageBreak/>
        <w:t>TABLE OF CONTENTS</w:t>
      </w:r>
    </w:p>
    <w:p w:rsidR="006637D8" w:rsidRPr="00C72E0F" w:rsidRDefault="006637D8" w:rsidP="006637D8">
      <w:pPr>
        <w:rPr>
          <w:b/>
          <w:sz w:val="28"/>
          <w:szCs w:val="28"/>
        </w:rPr>
      </w:pPr>
    </w:p>
    <w:p w:rsidR="006637D8" w:rsidRPr="00A162F7" w:rsidRDefault="006637D8" w:rsidP="006637D8">
      <w:pPr>
        <w:numPr>
          <w:ilvl w:val="0"/>
          <w:numId w:val="15"/>
        </w:numPr>
      </w:pPr>
      <w:r w:rsidRPr="00A162F7">
        <w:t>Justification</w:t>
      </w:r>
    </w:p>
    <w:p w:rsidR="006637D8" w:rsidRPr="00A162F7" w:rsidRDefault="006637D8" w:rsidP="006637D8">
      <w:pPr>
        <w:ind w:left="1080"/>
      </w:pPr>
    </w:p>
    <w:p w:rsidR="006637D8" w:rsidRPr="00A162F7" w:rsidRDefault="004A7554" w:rsidP="006637D8">
      <w:pPr>
        <w:autoSpaceDE w:val="0"/>
        <w:autoSpaceDN w:val="0"/>
        <w:adjustRightInd w:val="0"/>
        <w:ind w:left="1800" w:hanging="720"/>
      </w:pPr>
      <w:r>
        <w:t>A.1</w:t>
      </w:r>
      <w:r>
        <w:tab/>
        <w:t>Circumstances Making the Collection of Information Necessary</w:t>
      </w:r>
    </w:p>
    <w:p w:rsidR="006637D8" w:rsidRPr="00A162F7" w:rsidRDefault="006637D8" w:rsidP="006637D8">
      <w:pPr>
        <w:autoSpaceDE w:val="0"/>
        <w:autoSpaceDN w:val="0"/>
        <w:adjustRightInd w:val="0"/>
        <w:ind w:left="1800" w:hanging="720"/>
        <w:rPr>
          <w:bCs/>
        </w:rPr>
      </w:pPr>
      <w:r w:rsidRPr="00A162F7">
        <w:t>A.2</w:t>
      </w:r>
      <w:r w:rsidRPr="00A162F7">
        <w:tab/>
      </w:r>
      <w:r w:rsidR="004A7554">
        <w:t xml:space="preserve">Purpose and </w:t>
      </w:r>
      <w:r w:rsidR="007F66DC">
        <w:t>U</w:t>
      </w:r>
      <w:r w:rsidR="004A7554">
        <w:t>se of Information Collection</w:t>
      </w:r>
    </w:p>
    <w:p w:rsidR="006637D8" w:rsidRPr="00A162F7" w:rsidRDefault="006637D8" w:rsidP="006637D8">
      <w:pPr>
        <w:tabs>
          <w:tab w:val="left" w:pos="1800"/>
        </w:tabs>
        <w:ind w:left="1800" w:hanging="720"/>
      </w:pPr>
      <w:r w:rsidRPr="00A162F7">
        <w:t>A.3</w:t>
      </w:r>
      <w:r w:rsidRPr="00A162F7">
        <w:tab/>
      </w:r>
      <w:r w:rsidR="004A7554">
        <w:t xml:space="preserve">Use of </w:t>
      </w:r>
      <w:r w:rsidRPr="00A162F7">
        <w:t>Improved Information Technology</w:t>
      </w:r>
      <w:r w:rsidR="004A7554">
        <w:t xml:space="preserve"> and Burden Reduction</w:t>
      </w:r>
    </w:p>
    <w:p w:rsidR="006637D8" w:rsidRPr="00A162F7" w:rsidRDefault="006637D8" w:rsidP="006637D8">
      <w:pPr>
        <w:tabs>
          <w:tab w:val="left" w:pos="1800"/>
        </w:tabs>
        <w:ind w:left="1800" w:hanging="720"/>
      </w:pPr>
      <w:r w:rsidRPr="00A162F7">
        <w:t>A.4</w:t>
      </w:r>
      <w:r w:rsidRPr="00A162F7">
        <w:tab/>
      </w:r>
      <w:r w:rsidR="004A7554">
        <w:t xml:space="preserve">Efforts to Identify </w:t>
      </w:r>
      <w:r w:rsidRPr="00A162F7">
        <w:t>Duplication of Similar Information</w:t>
      </w:r>
    </w:p>
    <w:p w:rsidR="006637D8" w:rsidRPr="00A162F7" w:rsidRDefault="006637D8" w:rsidP="006637D8">
      <w:pPr>
        <w:tabs>
          <w:tab w:val="left" w:pos="1800"/>
        </w:tabs>
        <w:ind w:left="1800" w:hanging="720"/>
      </w:pPr>
      <w:r w:rsidRPr="00A162F7">
        <w:t>A.5</w:t>
      </w:r>
      <w:r w:rsidRPr="00A162F7">
        <w:tab/>
      </w:r>
      <w:r w:rsidR="004A7554">
        <w:t xml:space="preserve">Impact on </w:t>
      </w:r>
      <w:r w:rsidRPr="00A162F7">
        <w:t>Small Businesses</w:t>
      </w:r>
      <w:r w:rsidR="004A7554">
        <w:t xml:space="preserve"> or Other Small Entities</w:t>
      </w:r>
    </w:p>
    <w:p w:rsidR="006637D8" w:rsidRPr="00A162F7" w:rsidRDefault="006637D8" w:rsidP="006637D8">
      <w:pPr>
        <w:tabs>
          <w:tab w:val="left" w:pos="1800"/>
        </w:tabs>
        <w:ind w:left="1800" w:hanging="720"/>
      </w:pPr>
      <w:r w:rsidRPr="00A162F7">
        <w:t>A.6</w:t>
      </w:r>
      <w:r w:rsidRPr="00A162F7">
        <w:tab/>
      </w:r>
      <w:r w:rsidR="004A7554">
        <w:t>Consequences of Less</w:t>
      </w:r>
      <w:r w:rsidR="007C553B">
        <w:t xml:space="preserve"> Frequent </w:t>
      </w:r>
      <w:r w:rsidR="007F66DC">
        <w:t xml:space="preserve">Data </w:t>
      </w:r>
      <w:r w:rsidR="007C553B">
        <w:t>Collection</w:t>
      </w:r>
      <w:r w:rsidR="004A7554">
        <w:t xml:space="preserve"> </w:t>
      </w:r>
    </w:p>
    <w:p w:rsidR="006637D8" w:rsidRPr="00A162F7" w:rsidRDefault="006637D8" w:rsidP="006637D8">
      <w:pPr>
        <w:tabs>
          <w:tab w:val="left" w:pos="1800"/>
        </w:tabs>
        <w:ind w:left="1800" w:hanging="720"/>
      </w:pPr>
      <w:r w:rsidRPr="00A162F7">
        <w:t>A.7</w:t>
      </w:r>
      <w:r w:rsidRPr="00A162F7">
        <w:tab/>
        <w:t>Special Circumstances</w:t>
      </w:r>
      <w:r w:rsidR="007C553B">
        <w:t xml:space="preserve"> Relating to the Guidelines of 5 CFR 1320.5</w:t>
      </w:r>
    </w:p>
    <w:p w:rsidR="006637D8" w:rsidRPr="007C553B" w:rsidRDefault="006637D8" w:rsidP="006637D8">
      <w:pPr>
        <w:tabs>
          <w:tab w:val="left" w:pos="1800"/>
        </w:tabs>
        <w:ind w:left="1800" w:hanging="720"/>
      </w:pPr>
      <w:r w:rsidRPr="00A162F7">
        <w:t>A.8</w:t>
      </w:r>
      <w:r w:rsidRPr="00A162F7">
        <w:tab/>
      </w:r>
      <w:r w:rsidR="007C553B">
        <w:t>Comments in Response to the Federal Register Notice/Outside Consultation</w:t>
      </w:r>
    </w:p>
    <w:p w:rsidR="006637D8" w:rsidRPr="00A162F7" w:rsidRDefault="006637D8" w:rsidP="006637D8">
      <w:pPr>
        <w:tabs>
          <w:tab w:val="left" w:pos="1800"/>
        </w:tabs>
        <w:ind w:left="1800" w:hanging="720"/>
      </w:pPr>
      <w:r w:rsidRPr="00A162F7">
        <w:t>A.9</w:t>
      </w:r>
      <w:r w:rsidRPr="00A162F7">
        <w:tab/>
      </w:r>
      <w:r w:rsidR="007C553B">
        <w:t>Explanation of any Payment/Gift to Respondents</w:t>
      </w:r>
    </w:p>
    <w:p w:rsidR="007C553B" w:rsidRPr="00A162F7" w:rsidRDefault="006637D8" w:rsidP="007C553B">
      <w:pPr>
        <w:tabs>
          <w:tab w:val="left" w:pos="1800"/>
        </w:tabs>
        <w:ind w:left="1800" w:hanging="720"/>
      </w:pPr>
      <w:r w:rsidRPr="00A162F7">
        <w:t>A.10</w:t>
      </w:r>
      <w:r w:rsidRPr="00A162F7">
        <w:tab/>
      </w:r>
      <w:r w:rsidR="007C553B">
        <w:t>Assurance of Confidentiality Provided to Respondents</w:t>
      </w:r>
    </w:p>
    <w:p w:rsidR="006637D8" w:rsidRPr="00A162F7" w:rsidRDefault="006637D8" w:rsidP="006637D8">
      <w:pPr>
        <w:tabs>
          <w:tab w:val="left" w:pos="1800"/>
        </w:tabs>
        <w:ind w:left="1800" w:hanging="720"/>
      </w:pPr>
      <w:r w:rsidRPr="00A162F7">
        <w:t xml:space="preserve">A.11 </w:t>
      </w:r>
      <w:r w:rsidRPr="00A162F7">
        <w:tab/>
      </w:r>
      <w:r w:rsidR="007C553B">
        <w:t>Justification for Sensitive Questions</w:t>
      </w:r>
    </w:p>
    <w:p w:rsidR="006637D8" w:rsidRPr="00A162F7" w:rsidRDefault="006637D8" w:rsidP="006637D8">
      <w:pPr>
        <w:tabs>
          <w:tab w:val="left" w:pos="1800"/>
        </w:tabs>
        <w:ind w:left="1800" w:hanging="720"/>
      </w:pPr>
      <w:r w:rsidRPr="00A162F7">
        <w:t>A.12</w:t>
      </w:r>
      <w:r w:rsidRPr="00A162F7">
        <w:tab/>
      </w:r>
      <w:r w:rsidR="007C553B">
        <w:t xml:space="preserve">Estimates of Annualized Hour and </w:t>
      </w:r>
      <w:r w:rsidR="007F66DC">
        <w:t>C</w:t>
      </w:r>
      <w:r w:rsidR="007C553B">
        <w:t>ost Burden</w:t>
      </w:r>
    </w:p>
    <w:p w:rsidR="006637D8" w:rsidRPr="00A162F7" w:rsidRDefault="006637D8" w:rsidP="006637D8">
      <w:pPr>
        <w:tabs>
          <w:tab w:val="left" w:pos="1800"/>
        </w:tabs>
        <w:ind w:left="1800" w:hanging="720"/>
      </w:pPr>
      <w:r w:rsidRPr="00A162F7">
        <w:t>A.13</w:t>
      </w:r>
      <w:r w:rsidRPr="00A162F7">
        <w:tab/>
      </w:r>
      <w:r w:rsidR="007C553B">
        <w:t xml:space="preserve">Estimates of other Total Annual Cost Burden to Respondents or Recordkeepers/Capital Costs </w:t>
      </w:r>
    </w:p>
    <w:p w:rsidR="006637D8" w:rsidRPr="00A162F7" w:rsidRDefault="006637D8" w:rsidP="006637D8">
      <w:pPr>
        <w:tabs>
          <w:tab w:val="left" w:pos="1800"/>
        </w:tabs>
        <w:ind w:left="1800" w:hanging="720"/>
      </w:pPr>
      <w:r w:rsidRPr="00A162F7">
        <w:t>A.14</w:t>
      </w:r>
      <w:r w:rsidRPr="00A162F7">
        <w:tab/>
      </w:r>
      <w:r w:rsidR="007C553B">
        <w:t>Annualized Cost to Federal Government</w:t>
      </w:r>
    </w:p>
    <w:p w:rsidR="006637D8" w:rsidRPr="00A162F7" w:rsidRDefault="006637D8" w:rsidP="006637D8">
      <w:pPr>
        <w:tabs>
          <w:tab w:val="left" w:pos="1800"/>
        </w:tabs>
        <w:ind w:left="1800" w:hanging="720"/>
      </w:pPr>
      <w:r w:rsidRPr="00A162F7">
        <w:t>A.15</w:t>
      </w:r>
      <w:r w:rsidRPr="00A162F7">
        <w:tab/>
      </w:r>
      <w:r w:rsidR="007C553B">
        <w:t>Explanation for Program Changes or Adjustments</w:t>
      </w:r>
    </w:p>
    <w:p w:rsidR="006637D8" w:rsidRPr="00A162F7" w:rsidRDefault="006637D8" w:rsidP="006637D8">
      <w:pPr>
        <w:tabs>
          <w:tab w:val="left" w:pos="1800"/>
        </w:tabs>
        <w:ind w:left="1800" w:hanging="720"/>
      </w:pPr>
      <w:r w:rsidRPr="00A162F7">
        <w:t>A.16</w:t>
      </w:r>
      <w:r w:rsidRPr="00A162F7">
        <w:tab/>
      </w:r>
      <w:r w:rsidR="007C553B">
        <w:t>Plans for Tabulation and Publication and Project Time Schedule</w:t>
      </w:r>
    </w:p>
    <w:p w:rsidR="006637D8" w:rsidRPr="00A162F7" w:rsidRDefault="006637D8" w:rsidP="006637D8">
      <w:pPr>
        <w:tabs>
          <w:tab w:val="left" w:pos="1800"/>
        </w:tabs>
        <w:ind w:left="1800" w:hanging="720"/>
      </w:pPr>
      <w:r w:rsidRPr="00A162F7">
        <w:t>A.17</w:t>
      </w:r>
      <w:r w:rsidRPr="00A162F7">
        <w:tab/>
      </w:r>
      <w:r w:rsidR="007C553B">
        <w:t>Reason(s) Display of OMB Expiration Date is Inappropriate</w:t>
      </w:r>
    </w:p>
    <w:p w:rsidR="006637D8" w:rsidRPr="00A162F7" w:rsidRDefault="006637D8" w:rsidP="006637D8">
      <w:pPr>
        <w:tabs>
          <w:tab w:val="left" w:pos="1800"/>
        </w:tabs>
        <w:ind w:left="1800" w:hanging="720"/>
      </w:pPr>
      <w:r w:rsidRPr="00A162F7">
        <w:t>A.18</w:t>
      </w:r>
      <w:r w:rsidRPr="00A162F7">
        <w:tab/>
      </w:r>
      <w:r w:rsidR="007C553B">
        <w:t>Exceptions to Certification for Paperwork Reduction Act Submissions</w:t>
      </w:r>
    </w:p>
    <w:p w:rsidR="006637D8" w:rsidRPr="00A162F7" w:rsidRDefault="006637D8" w:rsidP="006637D8"/>
    <w:p w:rsidR="006637D8" w:rsidRPr="00A162F7" w:rsidRDefault="006637D8" w:rsidP="006637D8">
      <w:pPr>
        <w:numPr>
          <w:ilvl w:val="0"/>
          <w:numId w:val="15"/>
        </w:numPr>
      </w:pPr>
      <w:r w:rsidRPr="00A162F7">
        <w:t>Collection of Information Employing Statistical Methods</w:t>
      </w:r>
    </w:p>
    <w:p w:rsidR="006637D8" w:rsidRPr="00A162F7" w:rsidRDefault="006637D8" w:rsidP="006637D8">
      <w:pPr>
        <w:ind w:left="360"/>
      </w:pPr>
    </w:p>
    <w:p w:rsidR="006637D8" w:rsidRPr="00A162F7" w:rsidRDefault="006637D8" w:rsidP="006637D8">
      <w:pPr>
        <w:ind w:left="1800" w:hanging="720"/>
      </w:pPr>
      <w:r w:rsidRPr="00A162F7">
        <w:t>B.1</w:t>
      </w:r>
      <w:r w:rsidRPr="00A162F7">
        <w:tab/>
        <w:t>Respondent Universe and Sampling Methods</w:t>
      </w:r>
    </w:p>
    <w:p w:rsidR="006637D8" w:rsidRPr="00A162F7" w:rsidRDefault="006637D8" w:rsidP="006637D8">
      <w:pPr>
        <w:ind w:left="1800" w:hanging="720"/>
      </w:pPr>
      <w:r w:rsidRPr="00A162F7">
        <w:t>B.2</w:t>
      </w:r>
      <w:r w:rsidRPr="00A162F7">
        <w:tab/>
      </w:r>
      <w:r w:rsidR="00675A42">
        <w:t>Procedures for the Collection of Information</w:t>
      </w:r>
    </w:p>
    <w:p w:rsidR="006637D8" w:rsidRPr="00A162F7" w:rsidRDefault="006637D8" w:rsidP="006637D8">
      <w:pPr>
        <w:ind w:left="1800" w:hanging="720"/>
      </w:pPr>
      <w:r w:rsidRPr="00A162F7">
        <w:t>B.3</w:t>
      </w:r>
      <w:r w:rsidRPr="00A162F7">
        <w:tab/>
      </w:r>
      <w:r w:rsidR="00675A42">
        <w:t>Methods to Maximize Response Rates and Deal with Nonresponse</w:t>
      </w:r>
    </w:p>
    <w:p w:rsidR="006637D8" w:rsidRPr="00A162F7" w:rsidRDefault="006637D8" w:rsidP="006637D8">
      <w:pPr>
        <w:ind w:left="1800" w:hanging="720"/>
      </w:pPr>
      <w:r w:rsidRPr="00A162F7">
        <w:t>B.4</w:t>
      </w:r>
      <w:r w:rsidRPr="00A162F7">
        <w:tab/>
        <w:t xml:space="preserve">Test of </w:t>
      </w:r>
      <w:r w:rsidR="00675A42">
        <w:t>Procedures or Methods to be Undertaken</w:t>
      </w:r>
    </w:p>
    <w:p w:rsidR="006637D8" w:rsidRPr="00A162F7" w:rsidRDefault="006637D8" w:rsidP="006637D8">
      <w:pPr>
        <w:ind w:left="1800" w:hanging="720"/>
      </w:pPr>
      <w:r w:rsidRPr="00A162F7">
        <w:t>B.5</w:t>
      </w:r>
      <w:r w:rsidRPr="00A162F7">
        <w:tab/>
      </w:r>
      <w:r w:rsidR="00675A42">
        <w:t>Individuals Consulted on Statistical Aspects and Individuals Collecting and/or Analyzing Data</w:t>
      </w:r>
    </w:p>
    <w:p w:rsidR="006637D8" w:rsidRPr="00A162F7" w:rsidRDefault="006637D8" w:rsidP="006637D8">
      <w:pPr>
        <w:ind w:left="1800" w:hanging="720"/>
      </w:pPr>
    </w:p>
    <w:p w:rsidR="006637D8" w:rsidRPr="00A162F7" w:rsidRDefault="006637D8" w:rsidP="006637D8">
      <w:pPr>
        <w:ind w:left="360" w:hanging="360"/>
        <w:rPr>
          <w:b/>
        </w:rPr>
      </w:pPr>
      <w:r w:rsidRPr="00A162F7">
        <w:tab/>
      </w:r>
      <w:r w:rsidRPr="00A162F7">
        <w:rPr>
          <w:b/>
        </w:rPr>
        <w:t>Exhibits</w:t>
      </w:r>
    </w:p>
    <w:p w:rsidR="006637D8" w:rsidRPr="00A162F7" w:rsidRDefault="006637D8" w:rsidP="006637D8">
      <w:pPr>
        <w:ind w:left="900" w:hanging="900"/>
      </w:pPr>
      <w:r w:rsidRPr="00A162F7">
        <w:tab/>
      </w:r>
    </w:p>
    <w:p w:rsidR="006637D8" w:rsidRPr="00A162F7" w:rsidRDefault="00F2439E" w:rsidP="006637D8">
      <w:pPr>
        <w:tabs>
          <w:tab w:val="left" w:pos="1800"/>
        </w:tabs>
        <w:ind w:left="1080" w:hanging="900"/>
      </w:pPr>
      <w:r w:rsidRPr="00A162F7">
        <w:tab/>
        <w:t>1.</w:t>
      </w:r>
      <w:r w:rsidRPr="00A162F7">
        <w:tab/>
        <w:t>Estimated Annualized Burden Hours</w:t>
      </w:r>
    </w:p>
    <w:p w:rsidR="00F2439E" w:rsidRPr="00A162F7" w:rsidRDefault="006637D8" w:rsidP="00F2439E">
      <w:pPr>
        <w:tabs>
          <w:tab w:val="left" w:pos="1800"/>
        </w:tabs>
        <w:ind w:left="1080" w:hanging="900"/>
      </w:pPr>
      <w:r w:rsidRPr="00A162F7">
        <w:tab/>
        <w:t>2.</w:t>
      </w:r>
      <w:r w:rsidRPr="00A162F7">
        <w:tab/>
      </w:r>
      <w:r w:rsidR="00F2439E" w:rsidRPr="00A162F7">
        <w:t>Estimated Annualized Cost to Respondents</w:t>
      </w:r>
    </w:p>
    <w:p w:rsidR="00F2439E" w:rsidRPr="00A162F7" w:rsidRDefault="00F2439E" w:rsidP="00F2439E">
      <w:pPr>
        <w:tabs>
          <w:tab w:val="left" w:pos="1800"/>
        </w:tabs>
        <w:ind w:left="1080" w:hanging="900"/>
      </w:pPr>
      <w:r w:rsidRPr="00A162F7">
        <w:tab/>
        <w:t>3.</w:t>
      </w:r>
      <w:r w:rsidRPr="00A162F7">
        <w:tab/>
        <w:t>Schedule for Completion</w:t>
      </w:r>
    </w:p>
    <w:p w:rsidR="00467410" w:rsidRDefault="006637D8" w:rsidP="006637D8">
      <w:pPr>
        <w:tabs>
          <w:tab w:val="left" w:pos="1800"/>
        </w:tabs>
        <w:ind w:left="1080" w:hanging="900"/>
      </w:pPr>
      <w:r w:rsidRPr="00A162F7">
        <w:tab/>
      </w:r>
      <w:r w:rsidR="00FD27FD">
        <w:t>4</w:t>
      </w:r>
      <w:r w:rsidRPr="00A162F7">
        <w:t>.</w:t>
      </w:r>
      <w:r w:rsidRPr="00A162F7">
        <w:tab/>
      </w:r>
      <w:r w:rsidR="00FD27FD" w:rsidRPr="00FD27FD">
        <w:t>2010 Sampling Data &amp; Response Rate</w:t>
      </w:r>
      <w:r w:rsidR="00FD27FD">
        <w:t>s</w:t>
      </w:r>
    </w:p>
    <w:p w:rsidR="00467410" w:rsidRDefault="00467410">
      <w:r>
        <w:br w:type="page"/>
      </w:r>
    </w:p>
    <w:p w:rsidR="006637D8" w:rsidRPr="00C72E0F" w:rsidRDefault="006637D8" w:rsidP="006637D8">
      <w:pPr>
        <w:rPr>
          <w:b/>
        </w:rPr>
      </w:pPr>
      <w:r w:rsidRPr="00C72E0F">
        <w:rPr>
          <w:b/>
        </w:rPr>
        <w:lastRenderedPageBreak/>
        <w:t>ATTACHMENTS</w:t>
      </w:r>
    </w:p>
    <w:p w:rsidR="006637D8" w:rsidRPr="00A162F7" w:rsidRDefault="006637D8" w:rsidP="000D72EF">
      <w:pPr>
        <w:tabs>
          <w:tab w:val="left" w:pos="360"/>
        </w:tabs>
      </w:pPr>
      <w:r w:rsidRPr="00C72E0F">
        <w:rPr>
          <w:b/>
        </w:rPr>
        <w:tab/>
      </w:r>
      <w:r w:rsidRPr="00A162F7">
        <w:tab/>
      </w:r>
    </w:p>
    <w:p w:rsidR="00F2439E" w:rsidRPr="00A162F7" w:rsidRDefault="0018782C" w:rsidP="006637D8">
      <w:pPr>
        <w:tabs>
          <w:tab w:val="left" w:pos="1080"/>
        </w:tabs>
        <w:ind w:left="1080" w:hanging="720"/>
      </w:pPr>
      <w:r>
        <w:t>A</w:t>
      </w:r>
      <w:r w:rsidR="00F2439E" w:rsidRPr="00A162F7">
        <w:tab/>
        <w:t xml:space="preserve">Government Performance and Results </w:t>
      </w:r>
      <w:r w:rsidR="00FA47F7">
        <w:t xml:space="preserve">Modernization </w:t>
      </w:r>
      <w:r w:rsidR="00F2439E" w:rsidRPr="00A162F7">
        <w:t xml:space="preserve">Act of </w:t>
      </w:r>
      <w:r w:rsidR="00FA47F7">
        <w:t>2010</w:t>
      </w:r>
    </w:p>
    <w:p w:rsidR="00F2439E" w:rsidRPr="00CB5319" w:rsidRDefault="0018782C" w:rsidP="006637D8">
      <w:pPr>
        <w:tabs>
          <w:tab w:val="left" w:pos="1080"/>
        </w:tabs>
        <w:ind w:left="1080" w:hanging="720"/>
      </w:pPr>
      <w:r>
        <w:t>B</w:t>
      </w:r>
      <w:r w:rsidR="00F2439E" w:rsidRPr="00A162F7">
        <w:tab/>
      </w:r>
      <w:r w:rsidR="00CB5319" w:rsidRPr="00CB5319">
        <w:t xml:space="preserve">Title 42, Section </w:t>
      </w:r>
      <w:r w:rsidR="004A7554">
        <w:t>6a, Subchapter XV, 300-6(a)</w:t>
      </w:r>
      <w:r w:rsidR="00CB5319" w:rsidRPr="00CB5319">
        <w:t xml:space="preserve"> of the Public Health Service Act</w:t>
      </w:r>
    </w:p>
    <w:p w:rsidR="006637D8" w:rsidRPr="00CB5319" w:rsidRDefault="0018782C" w:rsidP="00CB5319">
      <w:pPr>
        <w:tabs>
          <w:tab w:val="left" w:pos="1080"/>
        </w:tabs>
        <w:autoSpaceDE w:val="0"/>
        <w:autoSpaceDN w:val="0"/>
        <w:adjustRightInd w:val="0"/>
        <w:ind w:left="1080" w:hanging="720"/>
      </w:pPr>
      <w:r>
        <w:t>C</w:t>
      </w:r>
      <w:r w:rsidR="00CB5319" w:rsidRPr="00CB5319">
        <w:tab/>
      </w:r>
      <w:r w:rsidR="00CB5319" w:rsidRPr="00CB5319">
        <w:rPr>
          <w:i/>
          <w:iCs/>
        </w:rPr>
        <w:t>Americans’ Perceptions of Racial Disparities in Health Care</w:t>
      </w:r>
      <w:r w:rsidR="00CB5319" w:rsidRPr="00CB5319">
        <w:t>, 1999 Questionnaire prepared by Henry J. Kaiser Family Foundation and Princeton Survey Research Associates</w:t>
      </w:r>
      <w:r w:rsidR="006637D8" w:rsidRPr="00CB5319">
        <w:t xml:space="preserve"> </w:t>
      </w:r>
    </w:p>
    <w:p w:rsidR="006637D8" w:rsidRPr="00A162F7" w:rsidRDefault="0018782C" w:rsidP="00F2439E">
      <w:pPr>
        <w:tabs>
          <w:tab w:val="left" w:pos="1080"/>
        </w:tabs>
        <w:ind w:left="1080" w:hanging="720"/>
      </w:pPr>
      <w:r>
        <w:t>D</w:t>
      </w:r>
      <w:r w:rsidR="00F2439E" w:rsidRPr="00A162F7">
        <w:t>-1</w:t>
      </w:r>
      <w:r w:rsidR="006637D8" w:rsidRPr="00A162F7">
        <w:tab/>
        <w:t xml:space="preserve">Crosswalk of Revisions and Additions Made to the </w:t>
      </w:r>
      <w:r w:rsidR="00F2439E" w:rsidRPr="00A162F7">
        <w:t xml:space="preserve">1999 </w:t>
      </w:r>
      <w:r w:rsidR="006637D8" w:rsidRPr="00A162F7">
        <w:t>KFF</w:t>
      </w:r>
      <w:r w:rsidR="00F2439E" w:rsidRPr="00A162F7">
        <w:t>/PSRAI</w:t>
      </w:r>
      <w:r w:rsidR="006637D8" w:rsidRPr="00A162F7">
        <w:t xml:space="preserve"> Instrument</w:t>
      </w:r>
      <w:r w:rsidR="00F2439E" w:rsidRPr="00A162F7">
        <w:t>, General Population</w:t>
      </w:r>
    </w:p>
    <w:p w:rsidR="00F2439E" w:rsidRPr="00A162F7" w:rsidRDefault="0018782C" w:rsidP="00F2439E">
      <w:pPr>
        <w:tabs>
          <w:tab w:val="left" w:pos="1080"/>
        </w:tabs>
        <w:ind w:left="1080" w:hanging="720"/>
      </w:pPr>
      <w:r>
        <w:t>D</w:t>
      </w:r>
      <w:r w:rsidR="00F2439E" w:rsidRPr="00A162F7">
        <w:t>-2</w:t>
      </w:r>
      <w:r w:rsidR="00F2439E" w:rsidRPr="00A162F7">
        <w:tab/>
        <w:t>Crosswalk of Revisions and Additions Made to the 1999 KFF/PSRAI Instrument, Physician Population</w:t>
      </w:r>
    </w:p>
    <w:p w:rsidR="00F2439E" w:rsidRPr="00A162F7" w:rsidRDefault="0018782C" w:rsidP="00F2439E">
      <w:pPr>
        <w:ind w:left="1080" w:hanging="720"/>
      </w:pPr>
      <w:r>
        <w:t>E</w:t>
      </w:r>
      <w:r w:rsidR="00F2439E" w:rsidRPr="00A162F7">
        <w:t>-1</w:t>
      </w:r>
      <w:r w:rsidR="006637D8" w:rsidRPr="00A162F7">
        <w:tab/>
      </w:r>
      <w:r w:rsidR="00F2439E" w:rsidRPr="00A162F7">
        <w:rPr>
          <w:i/>
        </w:rPr>
        <w:t xml:space="preserve">National Survey of U.S. Public’s Awareness of Racial and Ethnic Health Disparities </w:t>
      </w:r>
      <w:r w:rsidR="00F2439E" w:rsidRPr="00A162F7">
        <w:t>Questionnaire, General Population</w:t>
      </w:r>
    </w:p>
    <w:p w:rsidR="00F2439E" w:rsidRPr="00A162F7" w:rsidRDefault="0018782C" w:rsidP="006637D8">
      <w:pPr>
        <w:ind w:left="1080" w:hanging="720"/>
      </w:pPr>
      <w:r>
        <w:t>E</w:t>
      </w:r>
      <w:r w:rsidR="006637D8" w:rsidRPr="00A162F7">
        <w:t>-2</w:t>
      </w:r>
      <w:r w:rsidR="006637D8" w:rsidRPr="00A162F7">
        <w:tab/>
      </w:r>
      <w:r w:rsidR="00F2439E" w:rsidRPr="00A162F7">
        <w:rPr>
          <w:i/>
        </w:rPr>
        <w:t xml:space="preserve">National Survey of U.S. Public’s Awareness of Racial and Ethnic Health Disparities </w:t>
      </w:r>
      <w:r w:rsidR="00F2439E" w:rsidRPr="00A162F7">
        <w:t>Questionnaire, Physician Population</w:t>
      </w:r>
    </w:p>
    <w:p w:rsidR="00F2439E" w:rsidRPr="00A162F7" w:rsidRDefault="0018782C" w:rsidP="006637D8">
      <w:pPr>
        <w:ind w:left="1080" w:hanging="720"/>
      </w:pPr>
      <w:r>
        <w:t>E</w:t>
      </w:r>
      <w:r w:rsidR="00F2439E" w:rsidRPr="00A162F7">
        <w:t xml:space="preserve">-3 </w:t>
      </w:r>
      <w:r w:rsidR="00F2439E" w:rsidRPr="00A162F7">
        <w:tab/>
        <w:t xml:space="preserve">Spanish Translation of </w:t>
      </w:r>
      <w:r w:rsidR="00F2439E" w:rsidRPr="00A162F7">
        <w:rPr>
          <w:i/>
        </w:rPr>
        <w:t xml:space="preserve">National Survey of U.S. Public’s Awareness of Racial and Ethnic Health Disparities </w:t>
      </w:r>
      <w:r w:rsidR="00F2439E" w:rsidRPr="00A162F7">
        <w:t>Questionnaire, General Population</w:t>
      </w:r>
    </w:p>
    <w:p w:rsidR="006637D8" w:rsidRPr="00A162F7" w:rsidRDefault="0018782C" w:rsidP="006637D8">
      <w:pPr>
        <w:ind w:left="1080" w:hanging="720"/>
      </w:pPr>
      <w:r>
        <w:t>F</w:t>
      </w:r>
      <w:r w:rsidR="006637D8" w:rsidRPr="00A162F7">
        <w:tab/>
        <w:t>Federal Register Notice</w:t>
      </w:r>
    </w:p>
    <w:p w:rsidR="001F30F9" w:rsidRPr="00A162F7" w:rsidRDefault="0018782C" w:rsidP="001F30F9">
      <w:pPr>
        <w:ind w:left="1080" w:hanging="720"/>
      </w:pPr>
      <w:r>
        <w:t>G</w:t>
      </w:r>
      <w:r w:rsidR="006637D8" w:rsidRPr="00A162F7">
        <w:tab/>
      </w:r>
      <w:r w:rsidR="007C553B">
        <w:t xml:space="preserve">Results from the 2008 </w:t>
      </w:r>
      <w:r w:rsidR="006637D8" w:rsidRPr="00A162F7">
        <w:t>Pilot Test</w:t>
      </w:r>
    </w:p>
    <w:p w:rsidR="00F7431C" w:rsidRPr="00A162F7" w:rsidRDefault="0018782C" w:rsidP="00F7431C">
      <w:pPr>
        <w:ind w:left="1080" w:hanging="720"/>
      </w:pPr>
      <w:r>
        <w:t>H</w:t>
      </w:r>
      <w:r w:rsidR="00F7431C" w:rsidRPr="00A162F7">
        <w:tab/>
        <w:t>General Population Survey: Telephone Interview Scripts</w:t>
      </w:r>
    </w:p>
    <w:p w:rsidR="006637D8" w:rsidRPr="00A162F7" w:rsidRDefault="0018782C" w:rsidP="006637D8">
      <w:pPr>
        <w:ind w:left="1080" w:hanging="720"/>
      </w:pPr>
      <w:r>
        <w:t>I</w:t>
      </w:r>
      <w:r w:rsidR="006637D8" w:rsidRPr="00A162F7">
        <w:tab/>
      </w:r>
      <w:r w:rsidR="002B5FAD" w:rsidRPr="009A6776">
        <w:t>Operationalization of Research Questions and Data Analysis Plan</w:t>
      </w:r>
    </w:p>
    <w:p w:rsidR="006637D8" w:rsidRPr="00A162F7" w:rsidRDefault="0018782C" w:rsidP="006637D8">
      <w:pPr>
        <w:ind w:left="1080" w:hanging="720"/>
      </w:pPr>
      <w:r>
        <w:t>J</w:t>
      </w:r>
      <w:r w:rsidR="006637D8" w:rsidRPr="00A162F7">
        <w:t>-1</w:t>
      </w:r>
      <w:r w:rsidR="006637D8" w:rsidRPr="00A162F7">
        <w:tab/>
        <w:t>Physician Survey: Pre-notification Letter</w:t>
      </w:r>
    </w:p>
    <w:p w:rsidR="006637D8" w:rsidRPr="00A162F7" w:rsidRDefault="0018782C" w:rsidP="006637D8">
      <w:pPr>
        <w:ind w:left="1080" w:hanging="720"/>
      </w:pPr>
      <w:r>
        <w:t>J</w:t>
      </w:r>
      <w:r w:rsidR="006637D8" w:rsidRPr="00A162F7">
        <w:t>-2</w:t>
      </w:r>
      <w:r w:rsidR="006637D8" w:rsidRPr="00A162F7">
        <w:tab/>
        <w:t>Physician Survey: Cover Letter for Initial Questionnaire Mailing</w:t>
      </w:r>
    </w:p>
    <w:p w:rsidR="006637D8" w:rsidRPr="00A162F7" w:rsidRDefault="0018782C" w:rsidP="006637D8">
      <w:pPr>
        <w:ind w:left="1080" w:hanging="720"/>
      </w:pPr>
      <w:r>
        <w:t>J</w:t>
      </w:r>
      <w:r w:rsidR="006637D8" w:rsidRPr="00A162F7">
        <w:t>-3</w:t>
      </w:r>
      <w:r w:rsidR="006637D8" w:rsidRPr="00A162F7">
        <w:tab/>
      </w:r>
      <w:r w:rsidR="00F7431C" w:rsidRPr="00A162F7">
        <w:t xml:space="preserve">Physician Survey: </w:t>
      </w:r>
      <w:r w:rsidR="006637D8" w:rsidRPr="00A162F7">
        <w:t>Cover Letter for Follow-up Mailings</w:t>
      </w:r>
    </w:p>
    <w:p w:rsidR="006637D8" w:rsidRPr="00A162F7" w:rsidRDefault="0018782C" w:rsidP="006637D8">
      <w:pPr>
        <w:ind w:left="1080" w:hanging="720"/>
      </w:pPr>
      <w:r>
        <w:t>J</w:t>
      </w:r>
      <w:r w:rsidR="006637D8" w:rsidRPr="00A162F7">
        <w:t>-4</w:t>
      </w:r>
      <w:r w:rsidR="006637D8" w:rsidRPr="00A162F7">
        <w:tab/>
        <w:t>Physician Survey: Telephone Prompting Scripts for Mail Non-Respondents</w:t>
      </w:r>
    </w:p>
    <w:p w:rsidR="001F30F9" w:rsidRDefault="0018782C" w:rsidP="001F30F9">
      <w:pPr>
        <w:ind w:left="1080" w:hanging="720"/>
      </w:pPr>
      <w:r>
        <w:t>K</w:t>
      </w:r>
      <w:r w:rsidR="001F30F9" w:rsidRPr="00A162F7">
        <w:tab/>
        <w:t>Frequently Asked Questions about the Survey</w:t>
      </w:r>
    </w:p>
    <w:p w:rsidR="006637D8" w:rsidRPr="00A162F7" w:rsidRDefault="0018782C" w:rsidP="006637D8">
      <w:pPr>
        <w:ind w:left="1080" w:hanging="720"/>
      </w:pPr>
      <w:r>
        <w:t>L</w:t>
      </w:r>
      <w:r w:rsidR="006637D8" w:rsidRPr="00A162F7">
        <w:tab/>
        <w:t>Description of Power and Precision</w:t>
      </w:r>
    </w:p>
    <w:p w:rsidR="006637D8" w:rsidRPr="00A162F7" w:rsidRDefault="0018782C" w:rsidP="006637D8">
      <w:pPr>
        <w:ind w:left="1080" w:hanging="720"/>
        <w:rPr>
          <w:bCs/>
        </w:rPr>
      </w:pPr>
      <w:r>
        <w:t>M</w:t>
      </w:r>
      <w:r w:rsidR="00F7431C" w:rsidRPr="00A162F7">
        <w:t>-1</w:t>
      </w:r>
      <w:r w:rsidR="006637D8" w:rsidRPr="00A162F7">
        <w:tab/>
        <w:t xml:space="preserve">New Items Added to the Revised </w:t>
      </w:r>
      <w:r w:rsidR="00F7431C" w:rsidRPr="00A162F7">
        <w:t xml:space="preserve">1999 </w:t>
      </w:r>
      <w:r w:rsidR="006637D8" w:rsidRPr="00A162F7">
        <w:t>KFF</w:t>
      </w:r>
      <w:r w:rsidR="00F7431C" w:rsidRPr="00A162F7">
        <w:t>/PSRAI</w:t>
      </w:r>
      <w:r w:rsidR="006637D8" w:rsidRPr="00A162F7">
        <w:t xml:space="preserve"> </w:t>
      </w:r>
      <w:r w:rsidR="006637D8" w:rsidRPr="00A162F7">
        <w:rPr>
          <w:bCs/>
        </w:rPr>
        <w:t>Instrument</w:t>
      </w:r>
      <w:r w:rsidR="00F7431C" w:rsidRPr="00A162F7">
        <w:rPr>
          <w:bCs/>
        </w:rPr>
        <w:t>, General Population</w:t>
      </w:r>
    </w:p>
    <w:p w:rsidR="006637D8" w:rsidRPr="00A162F7" w:rsidRDefault="0018782C" w:rsidP="006637D8">
      <w:pPr>
        <w:ind w:left="1080" w:hanging="720"/>
      </w:pPr>
      <w:r>
        <w:t>M</w:t>
      </w:r>
      <w:r w:rsidR="00F7431C" w:rsidRPr="00A162F7">
        <w:t>-2</w:t>
      </w:r>
      <w:r w:rsidR="00F7431C" w:rsidRPr="00A162F7">
        <w:tab/>
        <w:t xml:space="preserve">New Items Added to the Revised 1999 KFF/PSRAI </w:t>
      </w:r>
      <w:r w:rsidR="00F7431C" w:rsidRPr="00A162F7">
        <w:rPr>
          <w:bCs/>
        </w:rPr>
        <w:t>Instrument, Physician Population</w:t>
      </w:r>
    </w:p>
    <w:p w:rsidR="006637D8" w:rsidRDefault="0018782C" w:rsidP="006637D8">
      <w:pPr>
        <w:ind w:left="1080" w:hanging="720"/>
      </w:pPr>
      <w:r>
        <w:t>N</w:t>
      </w:r>
      <w:r w:rsidR="006637D8" w:rsidRPr="00A162F7">
        <w:tab/>
      </w:r>
      <w:r w:rsidR="00F7431C" w:rsidRPr="00A162F7">
        <w:t>Survey Instrument Booklet for Physician Population</w:t>
      </w:r>
    </w:p>
    <w:p w:rsidR="00F93648" w:rsidRDefault="0018782C" w:rsidP="006637D8">
      <w:pPr>
        <w:ind w:left="1080" w:hanging="720"/>
      </w:pPr>
      <w:r>
        <w:t>O</w:t>
      </w:r>
      <w:r w:rsidR="00F93648">
        <w:tab/>
        <w:t xml:space="preserve">Summary of </w:t>
      </w:r>
      <w:r w:rsidR="002515ED">
        <w:t>Revisions</w:t>
      </w:r>
      <w:r w:rsidR="00F93648">
        <w:t xml:space="preserve"> Made to the Survey Instrument</w:t>
      </w:r>
      <w:r w:rsidR="002515ED">
        <w:t>s</w:t>
      </w:r>
      <w:r w:rsidR="00F93648">
        <w:t xml:space="preserve"> and Study Procedures</w:t>
      </w:r>
    </w:p>
    <w:p w:rsidR="00725A11" w:rsidRPr="00A162F7" w:rsidRDefault="00725A11" w:rsidP="006637D8">
      <w:pPr>
        <w:ind w:left="1080" w:hanging="720"/>
      </w:pPr>
      <w:r>
        <w:t>P</w:t>
      </w:r>
      <w:r>
        <w:tab/>
        <w:t>Items from the 1999 KFF/PSRAI Instrument Excluded From the Revised Instrument</w:t>
      </w:r>
    </w:p>
    <w:p w:rsidR="0080590F" w:rsidRPr="00EA510F" w:rsidRDefault="006637D8" w:rsidP="004F1088">
      <w:pPr>
        <w:jc w:val="center"/>
        <w:rPr>
          <w:b/>
          <w:sz w:val="28"/>
          <w:szCs w:val="28"/>
        </w:rPr>
      </w:pPr>
      <w:r w:rsidRPr="00A162F7">
        <w:rPr>
          <w:b/>
        </w:rPr>
        <w:br w:type="page"/>
      </w:r>
      <w:r w:rsidR="00F86713" w:rsidRPr="00EA510F">
        <w:rPr>
          <w:b/>
          <w:sz w:val="28"/>
          <w:szCs w:val="28"/>
        </w:rPr>
        <w:lastRenderedPageBreak/>
        <w:t>Supporting Statement</w:t>
      </w:r>
    </w:p>
    <w:p w:rsidR="006762B5" w:rsidRPr="00EA510F" w:rsidRDefault="006762B5" w:rsidP="006762B5">
      <w:pPr>
        <w:ind w:left="540"/>
        <w:jc w:val="both"/>
        <w:rPr>
          <w:sz w:val="22"/>
          <w:szCs w:val="22"/>
        </w:rPr>
      </w:pPr>
    </w:p>
    <w:p w:rsidR="006762B5" w:rsidRPr="00EA510F" w:rsidRDefault="006762B5" w:rsidP="006762B5">
      <w:pPr>
        <w:ind w:left="540"/>
        <w:jc w:val="both"/>
        <w:rPr>
          <w:sz w:val="22"/>
          <w:szCs w:val="22"/>
        </w:rPr>
      </w:pPr>
      <w:r w:rsidRPr="00EA510F">
        <w:rPr>
          <w:sz w:val="22"/>
          <w:szCs w:val="22"/>
        </w:rPr>
        <w:t xml:space="preserve">The Office of Minority Health (OMH) </w:t>
      </w:r>
      <w:r w:rsidR="0026095B">
        <w:rPr>
          <w:sz w:val="22"/>
          <w:szCs w:val="22"/>
        </w:rPr>
        <w:t>resides in the Office of the Assistant Secretary for Health (OASH), in the U.S.</w:t>
      </w:r>
      <w:r w:rsidRPr="00EA510F">
        <w:rPr>
          <w:sz w:val="22"/>
          <w:szCs w:val="22"/>
        </w:rPr>
        <w:t xml:space="preserve"> Department of Health and Human Services (HHS).  OMH serves as a focal point for leadership, coordination, and guidance on policies and programs aimed at improving minority health and ameliorating long-standing racial and ethnic health disparities.  The proposed survey seeks to collect data for one of OMH’s annual performance measures, approved by </w:t>
      </w:r>
      <w:r w:rsidR="0026095B">
        <w:rPr>
          <w:sz w:val="22"/>
          <w:szCs w:val="22"/>
        </w:rPr>
        <w:t xml:space="preserve">the </w:t>
      </w:r>
      <w:r w:rsidRPr="00EA510F">
        <w:rPr>
          <w:sz w:val="22"/>
          <w:szCs w:val="22"/>
        </w:rPr>
        <w:t>O</w:t>
      </w:r>
      <w:r w:rsidR="0026095B">
        <w:rPr>
          <w:sz w:val="22"/>
          <w:szCs w:val="22"/>
        </w:rPr>
        <w:t>ffice of Management and Budget (OMB)</w:t>
      </w:r>
      <w:r w:rsidRPr="00EA510F">
        <w:rPr>
          <w:sz w:val="22"/>
          <w:szCs w:val="22"/>
        </w:rPr>
        <w:t xml:space="preserve"> in February 2007, following OMB’s examination of OMH using the Program Assessment Rating Tool (PART).  This measure is to “increase awareness of racial/ethnic health status and health care disparities in the general population.”  Findings from this data collection will enable OMH to track progress on this measure over time as </w:t>
      </w:r>
      <w:r w:rsidR="00A27DB8">
        <w:rPr>
          <w:sz w:val="22"/>
          <w:szCs w:val="22"/>
        </w:rPr>
        <w:t xml:space="preserve">necessitated  </w:t>
      </w:r>
      <w:r w:rsidRPr="00EA510F">
        <w:rPr>
          <w:sz w:val="22"/>
          <w:szCs w:val="22"/>
        </w:rPr>
        <w:t xml:space="preserve"> by </w:t>
      </w:r>
      <w:r w:rsidR="00A27DB8">
        <w:rPr>
          <w:sz w:val="22"/>
          <w:szCs w:val="22"/>
        </w:rPr>
        <w:t xml:space="preserve">current </w:t>
      </w:r>
      <w:r w:rsidRPr="00EA510F">
        <w:rPr>
          <w:sz w:val="22"/>
          <w:szCs w:val="22"/>
        </w:rPr>
        <w:t>OMB</w:t>
      </w:r>
      <w:r w:rsidR="000B0428">
        <w:rPr>
          <w:sz w:val="22"/>
          <w:szCs w:val="22"/>
        </w:rPr>
        <w:t>-approved program assessment</w:t>
      </w:r>
      <w:r w:rsidRPr="00EA510F">
        <w:rPr>
          <w:sz w:val="22"/>
          <w:szCs w:val="22"/>
        </w:rPr>
        <w:t xml:space="preserve"> requirements.  </w:t>
      </w:r>
    </w:p>
    <w:p w:rsidR="006762B5" w:rsidRPr="00E0690F" w:rsidRDefault="006762B5" w:rsidP="00B42267">
      <w:pPr>
        <w:ind w:left="540"/>
        <w:jc w:val="both"/>
        <w:rPr>
          <w:b/>
        </w:rPr>
      </w:pPr>
    </w:p>
    <w:p w:rsidR="00B42267" w:rsidRPr="00E0690F" w:rsidRDefault="00B42267" w:rsidP="00B42267">
      <w:pPr>
        <w:ind w:left="540"/>
        <w:jc w:val="both"/>
        <w:rPr>
          <w:b/>
        </w:rPr>
      </w:pPr>
      <w:r w:rsidRPr="00E0690F">
        <w:rPr>
          <w:b/>
        </w:rPr>
        <w:t>Background</w:t>
      </w:r>
    </w:p>
    <w:p w:rsidR="00B42267" w:rsidRPr="00EA510F" w:rsidRDefault="00B42267" w:rsidP="00B42267">
      <w:pPr>
        <w:ind w:left="540"/>
        <w:jc w:val="both"/>
        <w:rPr>
          <w:b/>
          <w:sz w:val="22"/>
          <w:szCs w:val="22"/>
        </w:rPr>
      </w:pPr>
    </w:p>
    <w:p w:rsidR="00B42267" w:rsidRPr="00EA510F" w:rsidRDefault="00B42267" w:rsidP="00B42267">
      <w:pPr>
        <w:ind w:left="540"/>
        <w:jc w:val="both"/>
        <w:rPr>
          <w:sz w:val="22"/>
          <w:szCs w:val="22"/>
        </w:rPr>
      </w:pPr>
      <w:r w:rsidRPr="00EA510F">
        <w:rPr>
          <w:sz w:val="22"/>
          <w:szCs w:val="22"/>
        </w:rPr>
        <w:t>In 2005, OMH was assessed on its compliance with G</w:t>
      </w:r>
      <w:r w:rsidR="006762B5" w:rsidRPr="00EA510F">
        <w:rPr>
          <w:sz w:val="22"/>
          <w:szCs w:val="22"/>
        </w:rPr>
        <w:t xml:space="preserve">overnment </w:t>
      </w:r>
      <w:r w:rsidRPr="00EA510F">
        <w:rPr>
          <w:sz w:val="22"/>
          <w:szCs w:val="22"/>
        </w:rPr>
        <w:t>P</w:t>
      </w:r>
      <w:r w:rsidR="006762B5" w:rsidRPr="00EA510F">
        <w:rPr>
          <w:sz w:val="22"/>
          <w:szCs w:val="22"/>
        </w:rPr>
        <w:t xml:space="preserve">erformance </w:t>
      </w:r>
      <w:r w:rsidR="006B4E1D" w:rsidRPr="00EA510F">
        <w:rPr>
          <w:sz w:val="22"/>
          <w:szCs w:val="22"/>
        </w:rPr>
        <w:t xml:space="preserve">and </w:t>
      </w:r>
      <w:r w:rsidRPr="00EA510F">
        <w:rPr>
          <w:sz w:val="22"/>
          <w:szCs w:val="22"/>
        </w:rPr>
        <w:t>R</w:t>
      </w:r>
      <w:r w:rsidR="006762B5" w:rsidRPr="00EA510F">
        <w:rPr>
          <w:sz w:val="22"/>
          <w:szCs w:val="22"/>
        </w:rPr>
        <w:t xml:space="preserve">esults </w:t>
      </w:r>
      <w:r w:rsidRPr="00EA510F">
        <w:rPr>
          <w:sz w:val="22"/>
          <w:szCs w:val="22"/>
        </w:rPr>
        <w:t>A</w:t>
      </w:r>
      <w:r w:rsidR="006762B5" w:rsidRPr="00EA510F">
        <w:rPr>
          <w:sz w:val="22"/>
          <w:szCs w:val="22"/>
        </w:rPr>
        <w:t>ct of 1993 (GPRA)</w:t>
      </w:r>
      <w:r w:rsidRPr="00EA510F">
        <w:rPr>
          <w:sz w:val="22"/>
          <w:szCs w:val="22"/>
        </w:rPr>
        <w:t xml:space="preserve"> requirements via OMB’s PART.  Subsequent to the PART assessment, OMH worked with OMB in the development of a program improvement plan, which included </w:t>
      </w:r>
      <w:r w:rsidR="000B1C1E">
        <w:rPr>
          <w:sz w:val="22"/>
          <w:szCs w:val="22"/>
        </w:rPr>
        <w:t xml:space="preserve">the identification of increased public awareness as a long-term outcome measure.  </w:t>
      </w:r>
      <w:r w:rsidRPr="00EA510F">
        <w:rPr>
          <w:sz w:val="22"/>
          <w:szCs w:val="22"/>
        </w:rPr>
        <w:t xml:space="preserve"> The lack of general awareness and understanding about the nature and extent of racial and ethnic health disparities in the U.S. and the impact that such disparities are having on the overall health of the Nation have been cited as a major barrier to the provision of programmatic, budgetary, and policy attention to these issues.  Therefore, one of the long-term</w:t>
      </w:r>
      <w:r w:rsidR="006762B5" w:rsidRPr="00EA510F">
        <w:rPr>
          <w:sz w:val="22"/>
          <w:szCs w:val="22"/>
        </w:rPr>
        <w:t xml:space="preserve">, </w:t>
      </w:r>
      <w:r w:rsidR="000B1C1E">
        <w:rPr>
          <w:sz w:val="22"/>
          <w:szCs w:val="22"/>
        </w:rPr>
        <w:t xml:space="preserve">outcome </w:t>
      </w:r>
      <w:r w:rsidR="00FD27FD" w:rsidRPr="00EA510F">
        <w:rPr>
          <w:sz w:val="22"/>
          <w:szCs w:val="22"/>
        </w:rPr>
        <w:t>measures</w:t>
      </w:r>
      <w:r w:rsidRPr="00EA510F">
        <w:rPr>
          <w:sz w:val="22"/>
          <w:szCs w:val="22"/>
        </w:rPr>
        <w:t xml:space="preserve"> agreed upon was to “increase awareness of racial/ethnic health status and health care disparities in the general population.”  </w:t>
      </w:r>
      <w:r w:rsidR="000B1C1E">
        <w:rPr>
          <w:sz w:val="22"/>
          <w:szCs w:val="22"/>
        </w:rPr>
        <w:t>This measure is currently included in the HHS Program Performance Tracking System and in the Online Performance Appendix as part of OMH’s budget planning processes.</w:t>
      </w:r>
    </w:p>
    <w:p w:rsidR="00B42267" w:rsidRPr="00EA510F" w:rsidRDefault="004716B2" w:rsidP="004716B2">
      <w:pPr>
        <w:tabs>
          <w:tab w:val="left" w:pos="540"/>
        </w:tabs>
        <w:ind w:left="540"/>
        <w:jc w:val="both"/>
        <w:rPr>
          <w:sz w:val="22"/>
          <w:szCs w:val="22"/>
        </w:rPr>
      </w:pPr>
      <w:r w:rsidRPr="00EA510F">
        <w:rPr>
          <w:sz w:val="22"/>
          <w:szCs w:val="22"/>
        </w:rPr>
        <w:tab/>
      </w:r>
    </w:p>
    <w:p w:rsidR="00A159C3" w:rsidRDefault="00B42267" w:rsidP="000312AA">
      <w:pPr>
        <w:ind w:left="540"/>
        <w:jc w:val="both"/>
        <w:rPr>
          <w:sz w:val="22"/>
          <w:szCs w:val="22"/>
        </w:rPr>
      </w:pPr>
      <w:r w:rsidRPr="00EA510F">
        <w:rPr>
          <w:sz w:val="22"/>
          <w:szCs w:val="22"/>
        </w:rPr>
        <w:t xml:space="preserve">Findings from a survey of public perceptions and experience about racial and ethnic disparities in health care conducted in 1999 by the Kaiser Family Foundation (KFF) and Princeton Survey Research Associates International (PSRAI), were used as the baseline.  However, </w:t>
      </w:r>
      <w:r w:rsidR="00A7349E">
        <w:rPr>
          <w:sz w:val="22"/>
          <w:szCs w:val="22"/>
        </w:rPr>
        <w:t>following that survey</w:t>
      </w:r>
      <w:r w:rsidRPr="00EA510F">
        <w:rPr>
          <w:sz w:val="22"/>
          <w:szCs w:val="22"/>
        </w:rPr>
        <w:t xml:space="preserve">, a number of seminal events – towards which OMH has played a key role – occurred, including, but not limited to:  the establishment of an “eliminating health disparities” goal in the national disease prevention and health promotion objectives released by HHS in 2000 (i.e., </w:t>
      </w:r>
      <w:r w:rsidRPr="00EA510F">
        <w:rPr>
          <w:i/>
          <w:sz w:val="22"/>
          <w:szCs w:val="22"/>
        </w:rPr>
        <w:t>Healthy People 2010</w:t>
      </w:r>
      <w:r w:rsidRPr="00EA510F">
        <w:rPr>
          <w:sz w:val="22"/>
          <w:szCs w:val="22"/>
        </w:rPr>
        <w:t xml:space="preserve">); release in 2003 of the OMH-funded study by the Institute of Medicine which resulted in the report, </w:t>
      </w:r>
      <w:r w:rsidRPr="00EA510F">
        <w:rPr>
          <w:i/>
          <w:sz w:val="22"/>
          <w:szCs w:val="22"/>
        </w:rPr>
        <w:t>Unequal Treatment</w:t>
      </w:r>
      <w:r w:rsidRPr="00EA510F">
        <w:rPr>
          <w:sz w:val="22"/>
          <w:szCs w:val="22"/>
        </w:rPr>
        <w:t>; t</w:t>
      </w:r>
      <w:r w:rsidR="00013FDF">
        <w:rPr>
          <w:sz w:val="22"/>
          <w:szCs w:val="22"/>
        </w:rPr>
        <w:t>hree</w:t>
      </w:r>
      <w:r w:rsidRPr="00EA510F">
        <w:rPr>
          <w:sz w:val="22"/>
          <w:szCs w:val="22"/>
        </w:rPr>
        <w:t xml:space="preserve"> OMH-sponsored national summits (2002</w:t>
      </w:r>
      <w:r w:rsidR="00013FDF">
        <w:rPr>
          <w:sz w:val="22"/>
          <w:szCs w:val="22"/>
        </w:rPr>
        <w:t>,</w:t>
      </w:r>
      <w:r w:rsidRPr="00EA510F">
        <w:rPr>
          <w:sz w:val="22"/>
          <w:szCs w:val="22"/>
        </w:rPr>
        <w:t xml:space="preserve"> 2006</w:t>
      </w:r>
      <w:r w:rsidR="00013FDF">
        <w:rPr>
          <w:sz w:val="22"/>
          <w:szCs w:val="22"/>
        </w:rPr>
        <w:t>, and 2009</w:t>
      </w:r>
      <w:r w:rsidRPr="00EA510F">
        <w:rPr>
          <w:sz w:val="22"/>
          <w:szCs w:val="22"/>
        </w:rPr>
        <w:t xml:space="preserve">) on racial and ethnic health disparities; the release (since 2003) of the annual </w:t>
      </w:r>
      <w:r w:rsidRPr="00EA510F">
        <w:rPr>
          <w:i/>
          <w:sz w:val="22"/>
          <w:szCs w:val="22"/>
        </w:rPr>
        <w:t>National Healthcare Disparities Report</w:t>
      </w:r>
      <w:r w:rsidRPr="00EA510F">
        <w:rPr>
          <w:sz w:val="22"/>
          <w:szCs w:val="22"/>
        </w:rPr>
        <w:t xml:space="preserve"> by HHS’s Agency for Healthcare Research and Quality (AHRQ)</w:t>
      </w:r>
      <w:r w:rsidR="006B240E">
        <w:rPr>
          <w:sz w:val="22"/>
          <w:szCs w:val="22"/>
        </w:rPr>
        <w:t xml:space="preserve">  the </w:t>
      </w:r>
      <w:r w:rsidR="00013FDF">
        <w:rPr>
          <w:sz w:val="22"/>
          <w:szCs w:val="22"/>
        </w:rPr>
        <w:t xml:space="preserve"> release of </w:t>
      </w:r>
      <w:r w:rsidR="00013FDF">
        <w:rPr>
          <w:i/>
          <w:sz w:val="22"/>
          <w:szCs w:val="22"/>
        </w:rPr>
        <w:t xml:space="preserve">Healthy People 2020 </w:t>
      </w:r>
      <w:r w:rsidR="00013FDF">
        <w:rPr>
          <w:sz w:val="22"/>
          <w:szCs w:val="22"/>
        </w:rPr>
        <w:t>and its goal t</w:t>
      </w:r>
      <w:r w:rsidR="00FD27FD">
        <w:rPr>
          <w:sz w:val="22"/>
          <w:szCs w:val="22"/>
        </w:rPr>
        <w:t>o</w:t>
      </w:r>
      <w:r w:rsidR="00013FDF">
        <w:rPr>
          <w:sz w:val="22"/>
          <w:szCs w:val="22"/>
        </w:rPr>
        <w:t xml:space="preserve"> “achieve health equity, eliminate health disparities, and improve the health of all groups,” and the launch in April 2011 of the </w:t>
      </w:r>
      <w:r w:rsidR="00013FDF">
        <w:rPr>
          <w:i/>
          <w:sz w:val="22"/>
          <w:szCs w:val="22"/>
        </w:rPr>
        <w:t xml:space="preserve">HHS Action Plan to Reduce Racial and Ethnic Health Disparities </w:t>
      </w:r>
      <w:r w:rsidR="00013FDF">
        <w:rPr>
          <w:sz w:val="22"/>
          <w:szCs w:val="22"/>
        </w:rPr>
        <w:t xml:space="preserve">as part of OMH’s </w:t>
      </w:r>
      <w:r w:rsidR="00013FDF">
        <w:rPr>
          <w:i/>
          <w:sz w:val="22"/>
          <w:szCs w:val="22"/>
        </w:rPr>
        <w:t>National Partnership for Action to End Health Disparities</w:t>
      </w:r>
      <w:r w:rsidR="00013FDF">
        <w:rPr>
          <w:sz w:val="22"/>
          <w:szCs w:val="22"/>
        </w:rPr>
        <w:t xml:space="preserve">.  </w:t>
      </w:r>
      <w:r w:rsidRPr="00EA510F">
        <w:rPr>
          <w:sz w:val="22"/>
          <w:szCs w:val="22"/>
        </w:rPr>
        <w:t xml:space="preserve">Although there </w:t>
      </w:r>
      <w:r w:rsidR="00703212">
        <w:rPr>
          <w:sz w:val="22"/>
          <w:szCs w:val="22"/>
        </w:rPr>
        <w:t xml:space="preserve">were </w:t>
      </w:r>
      <w:r w:rsidRPr="00EA510F">
        <w:rPr>
          <w:sz w:val="22"/>
          <w:szCs w:val="22"/>
        </w:rPr>
        <w:t>studies that utilized some of the items from the  KFF/PSRAI study that focus on awareness of health disparities</w:t>
      </w:r>
      <w:r w:rsidRPr="00EA510F">
        <w:rPr>
          <w:rStyle w:val="FootnoteReference"/>
          <w:sz w:val="22"/>
          <w:szCs w:val="22"/>
        </w:rPr>
        <w:footnoteReference w:id="1"/>
      </w:r>
      <w:r w:rsidRPr="00EA510F">
        <w:rPr>
          <w:sz w:val="22"/>
          <w:szCs w:val="22"/>
        </w:rPr>
        <w:t xml:space="preserve">, </w:t>
      </w:r>
      <w:r w:rsidR="00703212">
        <w:rPr>
          <w:sz w:val="22"/>
          <w:szCs w:val="22"/>
        </w:rPr>
        <w:t xml:space="preserve">no </w:t>
      </w:r>
      <w:r w:rsidRPr="00EA510F">
        <w:rPr>
          <w:sz w:val="22"/>
          <w:szCs w:val="22"/>
        </w:rPr>
        <w:t xml:space="preserve"> high-fidelity replication</w:t>
      </w:r>
      <w:r w:rsidR="00703212">
        <w:rPr>
          <w:sz w:val="22"/>
          <w:szCs w:val="22"/>
        </w:rPr>
        <w:t>s</w:t>
      </w:r>
      <w:r w:rsidRPr="00EA510F">
        <w:rPr>
          <w:sz w:val="22"/>
          <w:szCs w:val="22"/>
        </w:rPr>
        <w:t xml:space="preserve"> of the survey </w:t>
      </w:r>
      <w:r w:rsidR="000312AA">
        <w:rPr>
          <w:sz w:val="22"/>
          <w:szCs w:val="22"/>
        </w:rPr>
        <w:t>made</w:t>
      </w:r>
      <w:r w:rsidRPr="00EA510F">
        <w:rPr>
          <w:sz w:val="22"/>
          <w:szCs w:val="22"/>
        </w:rPr>
        <w:t xml:space="preserve"> comparisons between 1999 and current levels of awareness</w:t>
      </w:r>
      <w:r w:rsidR="000312AA">
        <w:rPr>
          <w:sz w:val="22"/>
          <w:szCs w:val="22"/>
        </w:rPr>
        <w:t xml:space="preserve">. </w:t>
      </w:r>
    </w:p>
    <w:p w:rsidR="00A159C3" w:rsidRDefault="00A159C3" w:rsidP="000312AA">
      <w:pPr>
        <w:ind w:left="540"/>
        <w:jc w:val="both"/>
        <w:rPr>
          <w:sz w:val="22"/>
          <w:szCs w:val="22"/>
        </w:rPr>
      </w:pPr>
    </w:p>
    <w:p w:rsidR="000312AA" w:rsidRPr="00EA510F" w:rsidRDefault="000312AA" w:rsidP="000312AA">
      <w:pPr>
        <w:ind w:left="540"/>
        <w:jc w:val="both"/>
        <w:rPr>
          <w:sz w:val="22"/>
          <w:szCs w:val="22"/>
        </w:rPr>
      </w:pPr>
      <w:r>
        <w:rPr>
          <w:sz w:val="22"/>
          <w:szCs w:val="22"/>
        </w:rPr>
        <w:lastRenderedPageBreak/>
        <w:t xml:space="preserve">Under the current clearance, OMH conducted replications of the KFF/PSRAI study in 2009 and 2010 using NORC at the University </w:t>
      </w:r>
      <w:proofErr w:type="gramStart"/>
      <w:r>
        <w:rPr>
          <w:sz w:val="22"/>
          <w:szCs w:val="22"/>
        </w:rPr>
        <w:t>of</w:t>
      </w:r>
      <w:proofErr w:type="gramEnd"/>
      <w:r>
        <w:rPr>
          <w:sz w:val="22"/>
          <w:szCs w:val="22"/>
        </w:rPr>
        <w:t xml:space="preserve"> Chicago</w:t>
      </w:r>
      <w:r w:rsidR="00FD27FD">
        <w:rPr>
          <w:sz w:val="22"/>
          <w:szCs w:val="22"/>
        </w:rPr>
        <w:t xml:space="preserve"> (NORC)</w:t>
      </w:r>
      <w:r>
        <w:rPr>
          <w:sz w:val="22"/>
          <w:szCs w:val="22"/>
        </w:rPr>
        <w:t xml:space="preserve"> as the contractor for data collection and analysis.  The 2009 and 2010 OMH/NORC studies</w:t>
      </w:r>
      <w:r w:rsidRPr="000312AA">
        <w:rPr>
          <w:sz w:val="22"/>
          <w:szCs w:val="22"/>
        </w:rPr>
        <w:t xml:space="preserve"> found that across all broad indicators, awareness in the general population of racial and ethnic healt</w:t>
      </w:r>
      <w:r>
        <w:rPr>
          <w:sz w:val="22"/>
          <w:szCs w:val="22"/>
        </w:rPr>
        <w:t>h disparities did increase, but only</w:t>
      </w:r>
      <w:r w:rsidRPr="000312AA">
        <w:rPr>
          <w:sz w:val="22"/>
          <w:szCs w:val="22"/>
        </w:rPr>
        <w:t xml:space="preserve"> modest</w:t>
      </w:r>
      <w:r>
        <w:rPr>
          <w:sz w:val="22"/>
          <w:szCs w:val="22"/>
        </w:rPr>
        <w:t>ly</w:t>
      </w:r>
      <w:r w:rsidRPr="000312AA">
        <w:rPr>
          <w:sz w:val="22"/>
          <w:szCs w:val="22"/>
        </w:rPr>
        <w:t>.</w:t>
      </w:r>
      <w:r>
        <w:rPr>
          <w:rStyle w:val="FootnoteReference"/>
          <w:sz w:val="22"/>
          <w:szCs w:val="22"/>
        </w:rPr>
        <w:footnoteReference w:id="2"/>
      </w:r>
      <w:r w:rsidRPr="000312AA">
        <w:rPr>
          <w:sz w:val="22"/>
          <w:szCs w:val="22"/>
        </w:rPr>
        <w:t xml:space="preserve"> </w:t>
      </w:r>
      <w:r>
        <w:rPr>
          <w:sz w:val="22"/>
          <w:szCs w:val="22"/>
        </w:rPr>
        <w:t xml:space="preserve">These studies also </w:t>
      </w:r>
      <w:r w:rsidRPr="000312AA">
        <w:rPr>
          <w:sz w:val="22"/>
          <w:szCs w:val="22"/>
        </w:rPr>
        <w:t>collected baseline data on awareness of racial and ethnic health disparities affecting the Asian Americ</w:t>
      </w:r>
      <w:r>
        <w:rPr>
          <w:sz w:val="22"/>
          <w:szCs w:val="22"/>
        </w:rPr>
        <w:t xml:space="preserve">an/Pacific Islander population, and, </w:t>
      </w:r>
      <w:r w:rsidRPr="000312AA">
        <w:rPr>
          <w:sz w:val="22"/>
          <w:szCs w:val="22"/>
        </w:rPr>
        <w:t>collected baseline data on physician awareness of racial and ethnic health disparities.</w:t>
      </w:r>
      <w:r w:rsidR="00F45118">
        <w:rPr>
          <w:sz w:val="22"/>
          <w:szCs w:val="22"/>
        </w:rPr>
        <w:t xml:space="preserve">  The proposed renewal will provide OMH the ability to continue tracking this awareness m</w:t>
      </w:r>
      <w:r w:rsidR="00FD27FD">
        <w:rPr>
          <w:sz w:val="22"/>
          <w:szCs w:val="22"/>
        </w:rPr>
        <w:t xml:space="preserve">easure over time to assess its </w:t>
      </w:r>
      <w:r w:rsidR="00F45118">
        <w:rPr>
          <w:sz w:val="22"/>
          <w:szCs w:val="22"/>
        </w:rPr>
        <w:t xml:space="preserve">long-term objective </w:t>
      </w:r>
      <w:r w:rsidR="00F45118" w:rsidRPr="00EA510F">
        <w:rPr>
          <w:sz w:val="22"/>
          <w:szCs w:val="22"/>
        </w:rPr>
        <w:t>to increase awareness of racial/ethnic health status and health care dispariti</w:t>
      </w:r>
      <w:r w:rsidR="00F45118">
        <w:rPr>
          <w:sz w:val="22"/>
          <w:szCs w:val="22"/>
        </w:rPr>
        <w:t>es in the general population.</w:t>
      </w:r>
      <w:r w:rsidR="00F45118" w:rsidRPr="00EA510F">
        <w:rPr>
          <w:sz w:val="22"/>
          <w:szCs w:val="22"/>
        </w:rPr>
        <w:t> </w:t>
      </w:r>
    </w:p>
    <w:p w:rsidR="00B42267" w:rsidRPr="00EA510F" w:rsidRDefault="00B42267" w:rsidP="00B42267">
      <w:pPr>
        <w:ind w:left="540"/>
        <w:jc w:val="both"/>
        <w:rPr>
          <w:sz w:val="22"/>
          <w:szCs w:val="22"/>
        </w:rPr>
      </w:pPr>
    </w:p>
    <w:p w:rsidR="0080590F" w:rsidRPr="00EA510F" w:rsidRDefault="0080590F" w:rsidP="00E501E4">
      <w:pPr>
        <w:numPr>
          <w:ilvl w:val="0"/>
          <w:numId w:val="9"/>
        </w:numPr>
        <w:tabs>
          <w:tab w:val="clear" w:pos="720"/>
          <w:tab w:val="num" w:pos="540"/>
        </w:tabs>
        <w:ind w:left="540" w:hanging="540"/>
        <w:jc w:val="both"/>
        <w:rPr>
          <w:b/>
          <w:sz w:val="22"/>
          <w:szCs w:val="22"/>
        </w:rPr>
      </w:pPr>
      <w:r w:rsidRPr="00EA510F">
        <w:rPr>
          <w:b/>
          <w:sz w:val="22"/>
          <w:szCs w:val="22"/>
        </w:rPr>
        <w:t>JUSTIFICATION</w:t>
      </w:r>
    </w:p>
    <w:p w:rsidR="00514FFB" w:rsidRPr="00EA510F" w:rsidRDefault="00514FFB" w:rsidP="00B42267">
      <w:pPr>
        <w:tabs>
          <w:tab w:val="left" w:pos="540"/>
        </w:tabs>
        <w:jc w:val="both"/>
        <w:rPr>
          <w:b/>
          <w:sz w:val="22"/>
          <w:szCs w:val="22"/>
        </w:rPr>
      </w:pPr>
    </w:p>
    <w:p w:rsidR="002551FF" w:rsidRDefault="002A69EC" w:rsidP="00E0690F">
      <w:pPr>
        <w:widowControl w:val="0"/>
        <w:autoSpaceDE w:val="0"/>
        <w:autoSpaceDN w:val="0"/>
        <w:adjustRightInd w:val="0"/>
        <w:ind w:firstLine="540"/>
        <w:rPr>
          <w:b/>
        </w:rPr>
      </w:pPr>
      <w:r>
        <w:rPr>
          <w:b/>
          <w:u w:val="single"/>
        </w:rPr>
        <w:t xml:space="preserve">1.  </w:t>
      </w:r>
      <w:r w:rsidR="002551FF">
        <w:rPr>
          <w:b/>
          <w:u w:val="single"/>
        </w:rPr>
        <w:t>Circumstances Making the Collection of Information Necessary</w:t>
      </w:r>
    </w:p>
    <w:p w:rsidR="0085303E" w:rsidRPr="00EA510F" w:rsidRDefault="0085303E" w:rsidP="00CD7A65">
      <w:pPr>
        <w:jc w:val="both"/>
        <w:rPr>
          <w:sz w:val="22"/>
          <w:szCs w:val="22"/>
        </w:rPr>
      </w:pPr>
    </w:p>
    <w:p w:rsidR="006B4E1D" w:rsidRPr="00EA510F" w:rsidRDefault="006B4E1D" w:rsidP="00B42267">
      <w:pPr>
        <w:ind w:left="540"/>
        <w:jc w:val="both"/>
        <w:rPr>
          <w:sz w:val="22"/>
          <w:szCs w:val="22"/>
        </w:rPr>
      </w:pPr>
      <w:r w:rsidRPr="00EA510F">
        <w:rPr>
          <w:sz w:val="22"/>
          <w:szCs w:val="22"/>
        </w:rPr>
        <w:t xml:space="preserve">The proposed </w:t>
      </w:r>
      <w:r w:rsidR="00F45118">
        <w:rPr>
          <w:sz w:val="22"/>
          <w:szCs w:val="22"/>
        </w:rPr>
        <w:t>renewal</w:t>
      </w:r>
      <w:r w:rsidR="007B4BDE" w:rsidRPr="00EA510F">
        <w:rPr>
          <w:sz w:val="22"/>
          <w:szCs w:val="22"/>
        </w:rPr>
        <w:t xml:space="preserve"> is in response to Section</w:t>
      </w:r>
      <w:r w:rsidRPr="00EA510F">
        <w:rPr>
          <w:sz w:val="22"/>
          <w:szCs w:val="22"/>
        </w:rPr>
        <w:t xml:space="preserve"> 306 of the GPRA</w:t>
      </w:r>
      <w:r w:rsidR="00ED4176" w:rsidRPr="00EA510F">
        <w:rPr>
          <w:sz w:val="22"/>
          <w:szCs w:val="22"/>
        </w:rPr>
        <w:t xml:space="preserve"> </w:t>
      </w:r>
      <w:r w:rsidR="00A159C3">
        <w:rPr>
          <w:sz w:val="22"/>
          <w:szCs w:val="22"/>
        </w:rPr>
        <w:t>(Attachment</w:t>
      </w:r>
      <w:r w:rsidR="007B4BDE" w:rsidRPr="000D2E00">
        <w:rPr>
          <w:sz w:val="22"/>
          <w:szCs w:val="22"/>
        </w:rPr>
        <w:t xml:space="preserve"> </w:t>
      </w:r>
      <w:r w:rsidR="0018782C">
        <w:rPr>
          <w:sz w:val="22"/>
          <w:szCs w:val="22"/>
        </w:rPr>
        <w:t>A</w:t>
      </w:r>
      <w:r w:rsidR="00ED4176" w:rsidRPr="00EA510F">
        <w:rPr>
          <w:sz w:val="22"/>
          <w:szCs w:val="22"/>
        </w:rPr>
        <w:t>)</w:t>
      </w:r>
      <w:r w:rsidRPr="00EA510F">
        <w:rPr>
          <w:sz w:val="22"/>
          <w:szCs w:val="22"/>
        </w:rPr>
        <w:t xml:space="preserve">, which calls for the heads of each agency to submit strategic plans to OMB that include a clearly articulated mission, as well as operational processes that will be used to measure the success of the agency at achieving its mission.  </w:t>
      </w:r>
      <w:r w:rsidR="000C2983" w:rsidRPr="00EA510F">
        <w:rPr>
          <w:i/>
          <w:sz w:val="22"/>
          <w:szCs w:val="22"/>
        </w:rPr>
        <w:t>Trends in US Public’s Awareness of Racial and Ethnic Health Disparities (</w:t>
      </w:r>
      <w:r w:rsidR="001645D2" w:rsidRPr="0015735B">
        <w:rPr>
          <w:i/>
          <w:sz w:val="22"/>
          <w:szCs w:val="22"/>
        </w:rPr>
        <w:t>1999-20</w:t>
      </w:r>
      <w:r w:rsidR="00C5120D" w:rsidRPr="00C5120D">
        <w:rPr>
          <w:i/>
          <w:sz w:val="22"/>
          <w:szCs w:val="22"/>
        </w:rPr>
        <w:t>15</w:t>
      </w:r>
      <w:r w:rsidR="000C2983" w:rsidRPr="00EA510F">
        <w:rPr>
          <w:i/>
          <w:sz w:val="22"/>
          <w:szCs w:val="22"/>
        </w:rPr>
        <w:t>)</w:t>
      </w:r>
      <w:r w:rsidR="000C2983" w:rsidRPr="00EA510F">
        <w:rPr>
          <w:sz w:val="22"/>
          <w:szCs w:val="22"/>
        </w:rPr>
        <w:t xml:space="preserve"> will provide support for OMH’s mission, as outlined below.</w:t>
      </w:r>
    </w:p>
    <w:p w:rsidR="006B4E1D" w:rsidRPr="00EA510F" w:rsidRDefault="006B4E1D" w:rsidP="00B42267">
      <w:pPr>
        <w:ind w:left="540"/>
        <w:jc w:val="both"/>
        <w:rPr>
          <w:sz w:val="22"/>
          <w:szCs w:val="22"/>
        </w:rPr>
      </w:pPr>
    </w:p>
    <w:p w:rsidR="0085303E" w:rsidRPr="00EA510F" w:rsidRDefault="00022AAD" w:rsidP="00B42267">
      <w:pPr>
        <w:ind w:left="540"/>
        <w:jc w:val="both"/>
        <w:rPr>
          <w:sz w:val="22"/>
          <w:szCs w:val="22"/>
        </w:rPr>
      </w:pPr>
      <w:r w:rsidRPr="00EA510F">
        <w:rPr>
          <w:sz w:val="22"/>
          <w:szCs w:val="22"/>
        </w:rPr>
        <w:t xml:space="preserve">Since its establishment under Title 42, </w:t>
      </w:r>
      <w:r w:rsidR="00CB7533" w:rsidRPr="00EA510F">
        <w:rPr>
          <w:sz w:val="22"/>
          <w:szCs w:val="22"/>
        </w:rPr>
        <w:t>Chapter 6a, Subchapter XV, § 300u–6(a)</w:t>
      </w:r>
      <w:r w:rsidRPr="00EA510F">
        <w:rPr>
          <w:sz w:val="22"/>
          <w:szCs w:val="22"/>
        </w:rPr>
        <w:t xml:space="preserve"> of the Public Health Service Act</w:t>
      </w:r>
      <w:r w:rsidR="00ED4176" w:rsidRPr="00EA510F">
        <w:rPr>
          <w:sz w:val="22"/>
          <w:szCs w:val="22"/>
        </w:rPr>
        <w:t xml:space="preserve"> </w:t>
      </w:r>
      <w:r w:rsidR="00A159C3">
        <w:rPr>
          <w:sz w:val="22"/>
          <w:szCs w:val="22"/>
        </w:rPr>
        <w:t>(Attachment</w:t>
      </w:r>
      <w:r w:rsidR="007B4BDE" w:rsidRPr="00EA510F">
        <w:rPr>
          <w:sz w:val="22"/>
          <w:szCs w:val="22"/>
        </w:rPr>
        <w:t xml:space="preserve"> </w:t>
      </w:r>
      <w:r w:rsidR="0018782C">
        <w:rPr>
          <w:sz w:val="22"/>
          <w:szCs w:val="22"/>
        </w:rPr>
        <w:t>B</w:t>
      </w:r>
      <w:r w:rsidR="00ED4176" w:rsidRPr="00EA510F">
        <w:rPr>
          <w:sz w:val="22"/>
          <w:szCs w:val="22"/>
        </w:rPr>
        <w:t>)</w:t>
      </w:r>
      <w:r w:rsidR="0085303E" w:rsidRPr="00EA510F">
        <w:rPr>
          <w:sz w:val="22"/>
          <w:szCs w:val="22"/>
        </w:rPr>
        <w:t>, OMH has worked to improve and protect the health of racial and ethnic minority populations through the development of health policies and programs that focus on eliminating health disparities.  Established in response to the 1985 Report of the Secretary’s Task Force on Black and Minority Health, OMH is mandated to</w:t>
      </w:r>
      <w:r w:rsidR="00CD7A65" w:rsidRPr="00EA510F">
        <w:rPr>
          <w:sz w:val="22"/>
          <w:szCs w:val="22"/>
        </w:rPr>
        <w:t xml:space="preserve"> focus on</w:t>
      </w:r>
      <w:r w:rsidR="0085303E" w:rsidRPr="00EA510F">
        <w:rPr>
          <w:sz w:val="22"/>
          <w:szCs w:val="22"/>
        </w:rPr>
        <w:t xml:space="preserve"> “…improving and protecting the health of racial and ethnic minority populations through the development of health policies and programs that will eliminate health disparities.”  Specifically, OMH advises HHS on health policy issues affecting health status and access to care among minority populations. </w:t>
      </w:r>
    </w:p>
    <w:p w:rsidR="0085303E" w:rsidRPr="00EA510F" w:rsidRDefault="0085303E" w:rsidP="00CD7A65">
      <w:pPr>
        <w:keepNext/>
        <w:keepLines/>
        <w:ind w:firstLine="720"/>
        <w:jc w:val="both"/>
        <w:rPr>
          <w:sz w:val="22"/>
          <w:szCs w:val="22"/>
        </w:rPr>
      </w:pPr>
    </w:p>
    <w:p w:rsidR="003465D3" w:rsidRPr="00EA510F" w:rsidRDefault="0085303E" w:rsidP="00B42267">
      <w:pPr>
        <w:ind w:left="540"/>
        <w:jc w:val="both"/>
        <w:rPr>
          <w:sz w:val="22"/>
          <w:szCs w:val="22"/>
        </w:rPr>
      </w:pPr>
      <w:r w:rsidRPr="00EA510F">
        <w:rPr>
          <w:sz w:val="22"/>
          <w:szCs w:val="22"/>
        </w:rPr>
        <w:t xml:space="preserve">Although persistent disparities in health status and health care have been well-documented, data indicate that the general public (including racial and ethnic minorities, health care providers, employers, and policy and decision-makers), are uninformed about the nature and extent of these disparities.  On the individual level, this lack of awareness and understanding means that members of affected communities and their health care providers may not make an effective case for tests and treatment modalities.  At the societal level, lack of awareness creates barriers that impede the flow of attention and resources that are needed to satisfactorily address these complex problems.  </w:t>
      </w:r>
    </w:p>
    <w:p w:rsidR="003465D3" w:rsidRPr="00EA510F" w:rsidRDefault="003465D3" w:rsidP="00CD7A65">
      <w:pPr>
        <w:jc w:val="both"/>
        <w:rPr>
          <w:sz w:val="22"/>
          <w:szCs w:val="22"/>
        </w:rPr>
      </w:pPr>
    </w:p>
    <w:p w:rsidR="00202EE6" w:rsidRPr="00E0690F" w:rsidRDefault="0085303E">
      <w:pPr>
        <w:pStyle w:val="BodyText"/>
        <w:ind w:left="540"/>
        <w:jc w:val="both"/>
        <w:rPr>
          <w:sz w:val="22"/>
          <w:szCs w:val="22"/>
        </w:rPr>
      </w:pPr>
      <w:r w:rsidRPr="00EA510F">
        <w:rPr>
          <w:sz w:val="22"/>
          <w:szCs w:val="22"/>
        </w:rPr>
        <w:t xml:space="preserve">In 1999, the Kaiser Family Foundation and </w:t>
      </w:r>
      <w:r w:rsidRPr="00EA510F">
        <w:rPr>
          <w:iCs/>
          <w:sz w:val="22"/>
          <w:szCs w:val="22"/>
        </w:rPr>
        <w:t>Princeton Survey Research Associates</w:t>
      </w:r>
      <w:r w:rsidRPr="00EA510F">
        <w:rPr>
          <w:sz w:val="22"/>
          <w:szCs w:val="22"/>
        </w:rPr>
        <w:t xml:space="preserve"> conducted a nationally representative survey to measure the U.S. public’s awareness of racial and ethnic disparities in health care (</w:t>
      </w:r>
      <w:r w:rsidRPr="00EA510F">
        <w:rPr>
          <w:i/>
          <w:iCs/>
          <w:sz w:val="22"/>
          <w:szCs w:val="22"/>
        </w:rPr>
        <w:t>Race, Ethnicity, and the Health Care System: Public Perceptions and Experiences</w:t>
      </w:r>
      <w:r w:rsidRPr="00EA510F">
        <w:rPr>
          <w:iCs/>
          <w:sz w:val="22"/>
          <w:szCs w:val="22"/>
        </w:rPr>
        <w:t xml:space="preserve">).  </w:t>
      </w:r>
      <w:r w:rsidRPr="00EA510F">
        <w:rPr>
          <w:sz w:val="22"/>
          <w:szCs w:val="22"/>
        </w:rPr>
        <w:t>The survey found that a majority of Americans (</w:t>
      </w:r>
      <w:r w:rsidR="00CC1AAE">
        <w:rPr>
          <w:sz w:val="22"/>
          <w:szCs w:val="22"/>
        </w:rPr>
        <w:t>55</w:t>
      </w:r>
      <w:r w:rsidRPr="00EA510F">
        <w:rPr>
          <w:sz w:val="22"/>
          <w:szCs w:val="22"/>
        </w:rPr>
        <w:t xml:space="preserve">%), including many racial and </w:t>
      </w:r>
      <w:r w:rsidRPr="00E0690F">
        <w:rPr>
          <w:sz w:val="22"/>
          <w:szCs w:val="22"/>
        </w:rPr>
        <w:t>ethnic minorities, were not aware that African Americans and Hispanics fare wo</w:t>
      </w:r>
      <w:r w:rsidR="00DE248E" w:rsidRPr="00E0690F">
        <w:rPr>
          <w:sz w:val="22"/>
          <w:szCs w:val="22"/>
        </w:rPr>
        <w:t xml:space="preserve">rse than non-Hispanic whites in: life expectancy, </w:t>
      </w:r>
      <w:r w:rsidRPr="00E0690F">
        <w:rPr>
          <w:sz w:val="22"/>
          <w:szCs w:val="22"/>
        </w:rPr>
        <w:t xml:space="preserve">infant mortality, health insurance coverage, and other key health indicators.  </w:t>
      </w:r>
      <w:r w:rsidR="00CC1AAE" w:rsidRPr="00E0690F">
        <w:rPr>
          <w:sz w:val="22"/>
          <w:szCs w:val="22"/>
        </w:rPr>
        <w:t>The 2009 and 2010 OMH/NORC studies found that across all broad indicators, awareness in the gen</w:t>
      </w:r>
      <w:bookmarkStart w:id="0" w:name="_GoBack"/>
      <w:bookmarkEnd w:id="0"/>
      <w:r w:rsidR="00CC1AAE" w:rsidRPr="00E0690F">
        <w:rPr>
          <w:sz w:val="22"/>
          <w:szCs w:val="22"/>
        </w:rPr>
        <w:t xml:space="preserve">eral population of racial and ethnic health disparities did increase from 1999 to 2010. However the increase was modest. The percent of the total population aware of disparities for </w:t>
      </w:r>
      <w:r w:rsidR="00CC1AAE" w:rsidRPr="00E0690F">
        <w:rPr>
          <w:sz w:val="22"/>
          <w:szCs w:val="22"/>
        </w:rPr>
        <w:lastRenderedPageBreak/>
        <w:t xml:space="preserve">African Americans and Hispanics/Latinos compared to Whites rose from 55 percent in 1999 to 59 percent in 2010. </w:t>
      </w:r>
    </w:p>
    <w:p w:rsidR="0085303E" w:rsidRPr="00E0690F" w:rsidRDefault="00CC1AAE" w:rsidP="000B0428">
      <w:pPr>
        <w:pStyle w:val="BodyText"/>
        <w:ind w:left="540"/>
        <w:jc w:val="both"/>
        <w:rPr>
          <w:sz w:val="22"/>
          <w:szCs w:val="22"/>
        </w:rPr>
      </w:pPr>
      <w:r w:rsidRPr="00E0690F">
        <w:rPr>
          <w:sz w:val="22"/>
          <w:szCs w:val="22"/>
        </w:rPr>
        <w:t xml:space="preserve">The 2009 and 2010 studies collected baseline data on awareness of racial and ethnic health disparities affecting the Asian American/Pacific Islander population. In 2010, a total of 18 percent of all respondents were aware of disparities between Whites and Asian Americans/Pacific Islanders, which is a statistically significant difference from the 59 percent who were aware of African American and White disparities and the 61 percent who were aware of Hispanic/Latino and White disparities. </w:t>
      </w:r>
    </w:p>
    <w:p w:rsidR="006C2C03" w:rsidRDefault="0085303E" w:rsidP="00B42267">
      <w:pPr>
        <w:ind w:left="540"/>
        <w:jc w:val="both"/>
        <w:rPr>
          <w:sz w:val="22"/>
          <w:szCs w:val="22"/>
        </w:rPr>
      </w:pPr>
      <w:r w:rsidRPr="00EA510F">
        <w:rPr>
          <w:sz w:val="22"/>
          <w:szCs w:val="22"/>
        </w:rPr>
        <w:t>Since the fielding of the KFF</w:t>
      </w:r>
      <w:r w:rsidR="004B06ED" w:rsidRPr="00EA510F">
        <w:rPr>
          <w:sz w:val="22"/>
          <w:szCs w:val="22"/>
        </w:rPr>
        <w:t>/PSRAI</w:t>
      </w:r>
      <w:r w:rsidRPr="00EA510F">
        <w:rPr>
          <w:sz w:val="22"/>
          <w:szCs w:val="22"/>
        </w:rPr>
        <w:t xml:space="preserve"> study in 1999, various initiatives and health campaigns have taken place to raise awareness of racial and ethnic disparities in health, though there has been no concerted effort to determ</w:t>
      </w:r>
      <w:r w:rsidR="003A4031">
        <w:rPr>
          <w:sz w:val="22"/>
          <w:szCs w:val="22"/>
        </w:rPr>
        <w:t>ine if public awareness has increased in concert with the increased attention on racial and ethnic health disparities.</w:t>
      </w:r>
      <w:r w:rsidRPr="00EA510F">
        <w:rPr>
          <w:sz w:val="22"/>
          <w:szCs w:val="22"/>
        </w:rPr>
        <w:t xml:space="preserve">.  OMH has been involved, either directly or indirectly, in many of these efforts.  For instance, in 2000 OMH contributed to HHS’ </w:t>
      </w:r>
      <w:r w:rsidRPr="00EA510F">
        <w:rPr>
          <w:i/>
          <w:sz w:val="22"/>
          <w:szCs w:val="22"/>
        </w:rPr>
        <w:t xml:space="preserve">Healthy People </w:t>
      </w:r>
      <w:r w:rsidRPr="00EA510F">
        <w:rPr>
          <w:sz w:val="22"/>
          <w:szCs w:val="22"/>
        </w:rPr>
        <w:t xml:space="preserve">2010, including helping to frame the overarching goal to eliminate health disparities.  OMH provided support for the 2002 Institute of Medicine (IOM) study, </w:t>
      </w:r>
      <w:r w:rsidRPr="00EA510F">
        <w:rPr>
          <w:i/>
          <w:iCs/>
          <w:sz w:val="22"/>
          <w:szCs w:val="22"/>
        </w:rPr>
        <w:t>Unequal Treatment: Confronting Racial and Ethnic Disparities in Health Care</w:t>
      </w:r>
      <w:r w:rsidRPr="00EA510F">
        <w:rPr>
          <w:iCs/>
          <w:sz w:val="22"/>
          <w:szCs w:val="22"/>
        </w:rPr>
        <w:t xml:space="preserve">, which found widespread </w:t>
      </w:r>
      <w:r w:rsidRPr="00EA510F">
        <w:rPr>
          <w:sz w:val="22"/>
          <w:szCs w:val="22"/>
        </w:rPr>
        <w:t>evidence that racial and ethnic minorities are treated differently than non-Hispanic whites in the U.S. health care system, resulting in poorer health</w:t>
      </w:r>
      <w:r w:rsidR="00CD7A65" w:rsidRPr="00EA510F">
        <w:rPr>
          <w:sz w:val="22"/>
          <w:szCs w:val="22"/>
        </w:rPr>
        <w:t xml:space="preserve"> </w:t>
      </w:r>
      <w:r w:rsidRPr="00EA510F">
        <w:rPr>
          <w:sz w:val="22"/>
          <w:szCs w:val="22"/>
        </w:rPr>
        <w:t>care and poorer health outcomes for millions of Americans.  In 2004 and 2006</w:t>
      </w:r>
      <w:r w:rsidR="00CD7A65" w:rsidRPr="00EA510F">
        <w:rPr>
          <w:sz w:val="22"/>
          <w:szCs w:val="22"/>
        </w:rPr>
        <w:t>,</w:t>
      </w:r>
      <w:r w:rsidRPr="00EA510F">
        <w:rPr>
          <w:sz w:val="22"/>
          <w:szCs w:val="22"/>
        </w:rPr>
        <w:t xml:space="preserve"> OMH convened National Health Disparities Summits, which emphasized the need for greater awareness and understanding of racial and ethnic disparities in health care and health status to generate greater attention and resources to solving these persistent and insidious issues.  </w:t>
      </w:r>
    </w:p>
    <w:p w:rsidR="006C2C03" w:rsidRDefault="006C2C03" w:rsidP="00B42267">
      <w:pPr>
        <w:ind w:left="540"/>
        <w:jc w:val="both"/>
        <w:rPr>
          <w:sz w:val="22"/>
          <w:szCs w:val="22"/>
        </w:rPr>
      </w:pPr>
    </w:p>
    <w:p w:rsidR="003A4031" w:rsidRDefault="00C5120D" w:rsidP="00B42267">
      <w:pPr>
        <w:ind w:left="540"/>
        <w:jc w:val="both"/>
        <w:rPr>
          <w:sz w:val="22"/>
          <w:szCs w:val="22"/>
        </w:rPr>
      </w:pPr>
      <w:r w:rsidRPr="00C5120D">
        <w:rPr>
          <w:sz w:val="22"/>
          <w:szCs w:val="22"/>
        </w:rPr>
        <w:t xml:space="preserve">Even in the time between the 2009 and 2010 </w:t>
      </w:r>
      <w:r w:rsidR="00213A45">
        <w:rPr>
          <w:sz w:val="22"/>
          <w:szCs w:val="22"/>
        </w:rPr>
        <w:t xml:space="preserve">OMH/NORC </w:t>
      </w:r>
      <w:r w:rsidRPr="00C5120D">
        <w:rPr>
          <w:sz w:val="22"/>
          <w:szCs w:val="22"/>
        </w:rPr>
        <w:t xml:space="preserve">data collections, several key initiatives and campaigns occurred with a focus on racial and ethnic health disparities.  The nation undertook a comprehensive health care reform effort. On March 23, 2010, President Obama signed the Patient Protection and Affordable Care Act (PPACA) into law. In addition to provisions to expand coverage, control health care costs, and improve the health care delivery system, the new law includes requirements for enhanced collection and reporting of heath disparities data and establishes health promotion and disease prevention programs focused on reducing health disparities. Additionally, in the fall of 2009, HHS issued the draft objectives for </w:t>
      </w:r>
      <w:r w:rsidRPr="00C5120D">
        <w:rPr>
          <w:i/>
          <w:sz w:val="22"/>
          <w:szCs w:val="22"/>
        </w:rPr>
        <w:t>Healthy People 2020</w:t>
      </w:r>
      <w:r w:rsidRPr="00C5120D">
        <w:rPr>
          <w:sz w:val="22"/>
          <w:szCs w:val="22"/>
        </w:rPr>
        <w:t xml:space="preserve"> which included a focus on the social determinants of health and eliminating health disparities as one of the overarching goals. In the spring of 2010, the IOM released a set of recommendations for improving the annual </w:t>
      </w:r>
      <w:r w:rsidRPr="00C5120D">
        <w:rPr>
          <w:i/>
          <w:sz w:val="22"/>
          <w:szCs w:val="22"/>
        </w:rPr>
        <w:t>National Healthcare Disparities Report,</w:t>
      </w:r>
      <w:r w:rsidRPr="00C5120D">
        <w:rPr>
          <w:sz w:val="22"/>
          <w:szCs w:val="22"/>
        </w:rPr>
        <w:t xml:space="preserve"> produced by the AHRQ, </w:t>
      </w:r>
      <w:r w:rsidRPr="00C5120D">
        <w:rPr>
          <w:iCs/>
          <w:sz w:val="22"/>
          <w:szCs w:val="22"/>
        </w:rPr>
        <w:t>which includes several recommendations for including health equity as a primary factor in assessing the quality of care in the United States</w:t>
      </w:r>
      <w:r w:rsidRPr="00C5120D">
        <w:rPr>
          <w:sz w:val="22"/>
          <w:szCs w:val="22"/>
        </w:rPr>
        <w:t>.</w:t>
      </w:r>
      <w:r w:rsidR="00213A45">
        <w:rPr>
          <w:sz w:val="22"/>
          <w:szCs w:val="22"/>
        </w:rPr>
        <w:t xml:space="preserve">  Finally, in April 2011 HHS launched the </w:t>
      </w:r>
      <w:r w:rsidR="00213A45">
        <w:rPr>
          <w:i/>
          <w:sz w:val="22"/>
          <w:szCs w:val="22"/>
        </w:rPr>
        <w:t xml:space="preserve">HHS Action Plan to Reduce Racial and Ethnic Health Disparities </w:t>
      </w:r>
      <w:r w:rsidR="00213A45">
        <w:rPr>
          <w:sz w:val="22"/>
          <w:szCs w:val="22"/>
        </w:rPr>
        <w:t xml:space="preserve">as part of OMH’s </w:t>
      </w:r>
      <w:r w:rsidR="00213A45">
        <w:rPr>
          <w:i/>
          <w:sz w:val="22"/>
          <w:szCs w:val="22"/>
        </w:rPr>
        <w:t>National Partnership for Action to End Health Disparities</w:t>
      </w:r>
      <w:r w:rsidR="00213A45">
        <w:rPr>
          <w:sz w:val="22"/>
          <w:szCs w:val="22"/>
        </w:rPr>
        <w:t>.</w:t>
      </w:r>
    </w:p>
    <w:p w:rsidR="00FE0A0F" w:rsidRDefault="00FE0A0F" w:rsidP="00B42267">
      <w:pPr>
        <w:ind w:left="540"/>
        <w:jc w:val="both"/>
        <w:rPr>
          <w:sz w:val="22"/>
          <w:szCs w:val="22"/>
        </w:rPr>
      </w:pPr>
    </w:p>
    <w:p w:rsidR="0085303E" w:rsidRPr="00EA510F" w:rsidRDefault="006C2C03" w:rsidP="00B42267">
      <w:pPr>
        <w:ind w:left="540"/>
        <w:jc w:val="both"/>
        <w:rPr>
          <w:sz w:val="22"/>
          <w:szCs w:val="22"/>
        </w:rPr>
      </w:pPr>
      <w:r>
        <w:rPr>
          <w:sz w:val="22"/>
          <w:szCs w:val="22"/>
        </w:rPr>
        <w:t>T</w:t>
      </w:r>
      <w:r w:rsidR="0085303E" w:rsidRPr="00EA510F">
        <w:rPr>
          <w:sz w:val="22"/>
          <w:szCs w:val="22"/>
        </w:rPr>
        <w:t xml:space="preserve">hese initiatives </w:t>
      </w:r>
      <w:r w:rsidR="003A4031">
        <w:rPr>
          <w:sz w:val="22"/>
          <w:szCs w:val="22"/>
        </w:rPr>
        <w:t>have the potential to reach</w:t>
      </w:r>
      <w:r w:rsidR="003A4031" w:rsidRPr="00EA510F">
        <w:rPr>
          <w:sz w:val="22"/>
          <w:szCs w:val="22"/>
        </w:rPr>
        <w:t xml:space="preserve"> </w:t>
      </w:r>
      <w:r w:rsidR="0085303E" w:rsidRPr="00EA510F">
        <w:rPr>
          <w:sz w:val="22"/>
          <w:szCs w:val="22"/>
        </w:rPr>
        <w:t xml:space="preserve">millions of Americans, </w:t>
      </w:r>
      <w:r>
        <w:rPr>
          <w:sz w:val="22"/>
          <w:szCs w:val="22"/>
        </w:rPr>
        <w:t xml:space="preserve">and this data collection will </w:t>
      </w:r>
      <w:r w:rsidR="0085303E" w:rsidRPr="00EA510F">
        <w:rPr>
          <w:sz w:val="22"/>
          <w:szCs w:val="22"/>
        </w:rPr>
        <w:t xml:space="preserve">gauge whether there </w:t>
      </w:r>
      <w:r>
        <w:rPr>
          <w:sz w:val="22"/>
          <w:szCs w:val="22"/>
        </w:rPr>
        <w:t>are corresponding</w:t>
      </w:r>
      <w:r w:rsidR="00FE0A0F">
        <w:rPr>
          <w:sz w:val="22"/>
          <w:szCs w:val="22"/>
        </w:rPr>
        <w:t xml:space="preserve"> </w:t>
      </w:r>
      <w:r w:rsidR="0085303E" w:rsidRPr="00EA510F">
        <w:rPr>
          <w:sz w:val="22"/>
          <w:szCs w:val="22"/>
        </w:rPr>
        <w:t xml:space="preserve">changes in the U.S. public’s awareness of </w:t>
      </w:r>
      <w:r w:rsidR="003465D3" w:rsidRPr="00EA510F">
        <w:rPr>
          <w:sz w:val="22"/>
          <w:szCs w:val="22"/>
        </w:rPr>
        <w:t xml:space="preserve">health </w:t>
      </w:r>
      <w:r w:rsidR="0085303E" w:rsidRPr="00EA510F">
        <w:rPr>
          <w:sz w:val="22"/>
          <w:szCs w:val="22"/>
        </w:rPr>
        <w:t>disparities.</w:t>
      </w:r>
      <w:r w:rsidR="00B91EAC">
        <w:rPr>
          <w:sz w:val="22"/>
          <w:szCs w:val="22"/>
        </w:rPr>
        <w:t xml:space="preserve">  </w:t>
      </w:r>
      <w:r w:rsidR="003465D3" w:rsidRPr="00EA510F">
        <w:rPr>
          <w:sz w:val="22"/>
          <w:szCs w:val="22"/>
        </w:rPr>
        <w:t>The proposed data collection will</w:t>
      </w:r>
      <w:r w:rsidR="0085303E" w:rsidRPr="00EA510F">
        <w:rPr>
          <w:sz w:val="22"/>
          <w:szCs w:val="22"/>
        </w:rPr>
        <w:t>:  (1) replicat</w:t>
      </w:r>
      <w:r w:rsidR="003465D3" w:rsidRPr="00EA510F">
        <w:rPr>
          <w:sz w:val="22"/>
          <w:szCs w:val="22"/>
        </w:rPr>
        <w:t>e</w:t>
      </w:r>
      <w:r w:rsidR="0085303E" w:rsidRPr="00EA510F">
        <w:rPr>
          <w:sz w:val="22"/>
          <w:szCs w:val="22"/>
        </w:rPr>
        <w:t xml:space="preserve"> the 1999 KFF</w:t>
      </w:r>
      <w:r w:rsidR="004B06ED" w:rsidRPr="00EA510F">
        <w:rPr>
          <w:sz w:val="22"/>
          <w:szCs w:val="22"/>
        </w:rPr>
        <w:t>/PSRAI</w:t>
      </w:r>
      <w:r w:rsidR="003A4031">
        <w:rPr>
          <w:sz w:val="22"/>
          <w:szCs w:val="22"/>
        </w:rPr>
        <w:t xml:space="preserve"> and 2009 and 2010 OMH/NORC</w:t>
      </w:r>
      <w:r w:rsidR="0085303E" w:rsidRPr="00EA510F">
        <w:rPr>
          <w:sz w:val="22"/>
          <w:szCs w:val="22"/>
        </w:rPr>
        <w:t xml:space="preserve"> survey</w:t>
      </w:r>
      <w:r w:rsidR="003A4031">
        <w:rPr>
          <w:sz w:val="22"/>
          <w:szCs w:val="22"/>
        </w:rPr>
        <w:t>s</w:t>
      </w:r>
      <w:r w:rsidR="0085303E" w:rsidRPr="00EA510F">
        <w:rPr>
          <w:sz w:val="22"/>
          <w:szCs w:val="22"/>
        </w:rPr>
        <w:t>, collecting a</w:t>
      </w:r>
      <w:r w:rsidR="003A4031">
        <w:rPr>
          <w:sz w:val="22"/>
          <w:szCs w:val="22"/>
        </w:rPr>
        <w:t xml:space="preserve">nother </w:t>
      </w:r>
      <w:r w:rsidR="0085303E" w:rsidRPr="00EA510F">
        <w:rPr>
          <w:sz w:val="22"/>
          <w:szCs w:val="22"/>
        </w:rPr>
        <w:t xml:space="preserve">round of data which can be used to determine if there have been any changes in the percentage of the population who are </w:t>
      </w:r>
      <w:r w:rsidR="0085303E" w:rsidRPr="00EA510F">
        <w:rPr>
          <w:i/>
          <w:sz w:val="22"/>
          <w:szCs w:val="22"/>
        </w:rPr>
        <w:t>aware</w:t>
      </w:r>
      <w:r w:rsidR="0085303E" w:rsidRPr="00EA510F">
        <w:rPr>
          <w:sz w:val="22"/>
          <w:szCs w:val="22"/>
        </w:rPr>
        <w:t xml:space="preserve"> of the existence of racial and ethnic disparities in health care; (2) strengthen the methodology</w:t>
      </w:r>
      <w:r w:rsidR="003A4031">
        <w:rPr>
          <w:sz w:val="22"/>
          <w:szCs w:val="22"/>
        </w:rPr>
        <w:t xml:space="preserve"> t</w:t>
      </w:r>
      <w:r>
        <w:rPr>
          <w:sz w:val="22"/>
          <w:szCs w:val="22"/>
        </w:rPr>
        <w:t xml:space="preserve">o reflect the changing </w:t>
      </w:r>
      <w:r w:rsidR="00FC7407">
        <w:rPr>
          <w:sz w:val="22"/>
          <w:szCs w:val="22"/>
        </w:rPr>
        <w:t xml:space="preserve">telephony </w:t>
      </w:r>
      <w:r>
        <w:rPr>
          <w:sz w:val="22"/>
          <w:szCs w:val="22"/>
        </w:rPr>
        <w:t xml:space="preserve">environment </w:t>
      </w:r>
      <w:r w:rsidR="00FC7407">
        <w:rPr>
          <w:sz w:val="22"/>
          <w:szCs w:val="22"/>
        </w:rPr>
        <w:t>and respondent attitudes toward participation</w:t>
      </w:r>
      <w:r>
        <w:rPr>
          <w:sz w:val="22"/>
          <w:szCs w:val="22"/>
        </w:rPr>
        <w:t xml:space="preserve"> </w:t>
      </w:r>
      <w:r w:rsidR="0085303E" w:rsidRPr="00EA510F">
        <w:rPr>
          <w:sz w:val="22"/>
          <w:szCs w:val="22"/>
        </w:rPr>
        <w:t xml:space="preserve">; (3) provide trend data, which will enable OMH to track progress on a related measure for performance monitoring and reporting purposes under the GPRA and </w:t>
      </w:r>
      <w:r w:rsidR="00C21FB3">
        <w:rPr>
          <w:sz w:val="22"/>
          <w:szCs w:val="22"/>
        </w:rPr>
        <w:t xml:space="preserve">program assessment </w:t>
      </w:r>
      <w:r w:rsidR="0085303E" w:rsidRPr="00EA510F">
        <w:rPr>
          <w:sz w:val="22"/>
          <w:szCs w:val="22"/>
        </w:rPr>
        <w:t xml:space="preserve"> requirements</w:t>
      </w:r>
      <w:r w:rsidR="00C21FB3">
        <w:rPr>
          <w:sz w:val="22"/>
          <w:szCs w:val="22"/>
        </w:rPr>
        <w:t xml:space="preserve">; and, (4) consider </w:t>
      </w:r>
      <w:r w:rsidR="00D92B38">
        <w:rPr>
          <w:sz w:val="22"/>
          <w:szCs w:val="22"/>
        </w:rPr>
        <w:t>other racial and ethnic groups and population subgroups of interest (e.g., American Indians/Alaska Natives) as resources permit</w:t>
      </w:r>
      <w:r w:rsidR="0085303E" w:rsidRPr="00EA510F">
        <w:rPr>
          <w:sz w:val="22"/>
          <w:szCs w:val="22"/>
        </w:rPr>
        <w:t xml:space="preserve">.     </w:t>
      </w:r>
    </w:p>
    <w:p w:rsidR="00514FFB" w:rsidRPr="00EA510F" w:rsidRDefault="00514FFB" w:rsidP="00514FFB">
      <w:pPr>
        <w:jc w:val="both"/>
        <w:rPr>
          <w:sz w:val="22"/>
          <w:szCs w:val="22"/>
        </w:rPr>
      </w:pPr>
    </w:p>
    <w:p w:rsidR="002551FF" w:rsidRDefault="002A69EC" w:rsidP="00E0690F">
      <w:pPr>
        <w:widowControl w:val="0"/>
        <w:autoSpaceDE w:val="0"/>
        <w:autoSpaceDN w:val="0"/>
        <w:adjustRightInd w:val="0"/>
        <w:ind w:firstLine="540"/>
        <w:rPr>
          <w:b/>
        </w:rPr>
      </w:pPr>
      <w:r w:rsidRPr="00E0690F">
        <w:rPr>
          <w:b/>
          <w:sz w:val="22"/>
          <w:szCs w:val="22"/>
          <w:u w:val="single"/>
        </w:rPr>
        <w:lastRenderedPageBreak/>
        <w:t xml:space="preserve">2.  </w:t>
      </w:r>
      <w:r w:rsidR="002551FF" w:rsidRPr="00E0690F">
        <w:rPr>
          <w:b/>
          <w:u w:val="single"/>
        </w:rPr>
        <w:t>Purpose</w:t>
      </w:r>
      <w:r w:rsidR="002551FF">
        <w:rPr>
          <w:b/>
          <w:u w:val="single"/>
        </w:rPr>
        <w:t xml:space="preserve"> and Use of Information Collection</w:t>
      </w:r>
    </w:p>
    <w:p w:rsidR="00A019F8" w:rsidRPr="00EA510F" w:rsidRDefault="00A019F8" w:rsidP="00CD7A65">
      <w:pPr>
        <w:ind w:left="540" w:hanging="540"/>
        <w:jc w:val="both"/>
        <w:rPr>
          <w:b/>
          <w:sz w:val="22"/>
          <w:szCs w:val="22"/>
        </w:rPr>
      </w:pPr>
    </w:p>
    <w:p w:rsidR="00A019F8" w:rsidRPr="00EA510F" w:rsidRDefault="00A019F8" w:rsidP="00B42267">
      <w:pPr>
        <w:ind w:left="540"/>
        <w:jc w:val="both"/>
        <w:rPr>
          <w:sz w:val="22"/>
          <w:szCs w:val="22"/>
        </w:rPr>
      </w:pPr>
      <w:r w:rsidRPr="00EA510F">
        <w:rPr>
          <w:sz w:val="22"/>
          <w:szCs w:val="22"/>
        </w:rPr>
        <w:t xml:space="preserve">The results from this study </w:t>
      </w:r>
      <w:r w:rsidR="00CD7A65" w:rsidRPr="00EA510F">
        <w:rPr>
          <w:sz w:val="22"/>
          <w:szCs w:val="22"/>
        </w:rPr>
        <w:t xml:space="preserve">will </w:t>
      </w:r>
      <w:r w:rsidRPr="00EA510F">
        <w:rPr>
          <w:sz w:val="22"/>
          <w:szCs w:val="22"/>
        </w:rPr>
        <w:t xml:space="preserve">have several uses.  First, the Deputy Assistant Secretary for Minority Health </w:t>
      </w:r>
      <w:r w:rsidR="00B805C8" w:rsidRPr="00EA510F">
        <w:rPr>
          <w:sz w:val="22"/>
          <w:szCs w:val="22"/>
        </w:rPr>
        <w:t xml:space="preserve">(DASMH) </w:t>
      </w:r>
      <w:r w:rsidRPr="00EA510F">
        <w:rPr>
          <w:sz w:val="22"/>
          <w:szCs w:val="22"/>
        </w:rPr>
        <w:t xml:space="preserve">will be able to use the results to </w:t>
      </w:r>
      <w:r w:rsidR="00B91EAC">
        <w:rPr>
          <w:sz w:val="22"/>
          <w:szCs w:val="22"/>
        </w:rPr>
        <w:t xml:space="preserve">continue to </w:t>
      </w:r>
      <w:r w:rsidR="00B805C8" w:rsidRPr="00EA510F">
        <w:rPr>
          <w:sz w:val="22"/>
          <w:szCs w:val="22"/>
        </w:rPr>
        <w:t xml:space="preserve">report on one of OMH’s approved </w:t>
      </w:r>
      <w:r w:rsidR="00D92B38">
        <w:rPr>
          <w:sz w:val="22"/>
          <w:szCs w:val="22"/>
        </w:rPr>
        <w:t xml:space="preserve">outcome </w:t>
      </w:r>
      <w:r w:rsidR="00B805C8" w:rsidRPr="00EA510F">
        <w:rPr>
          <w:sz w:val="22"/>
          <w:szCs w:val="22"/>
        </w:rPr>
        <w:t xml:space="preserve"> measures, and to track progress on this measure over time </w:t>
      </w:r>
      <w:r w:rsidR="00D92B38">
        <w:rPr>
          <w:sz w:val="22"/>
          <w:szCs w:val="22"/>
        </w:rPr>
        <w:t xml:space="preserve">per OMB program assessment </w:t>
      </w:r>
      <w:r w:rsidR="00213A45">
        <w:rPr>
          <w:sz w:val="22"/>
          <w:szCs w:val="22"/>
        </w:rPr>
        <w:t>requirements</w:t>
      </w:r>
      <w:r w:rsidR="00B805C8" w:rsidRPr="00EA510F">
        <w:rPr>
          <w:sz w:val="22"/>
          <w:szCs w:val="22"/>
        </w:rPr>
        <w:t xml:space="preserve">. </w:t>
      </w:r>
      <w:r w:rsidR="009C4D02" w:rsidRPr="00EA510F">
        <w:rPr>
          <w:sz w:val="22"/>
          <w:szCs w:val="22"/>
        </w:rPr>
        <w:t xml:space="preserve"> </w:t>
      </w:r>
      <w:r w:rsidR="00B805C8" w:rsidRPr="00EA510F">
        <w:rPr>
          <w:sz w:val="22"/>
          <w:szCs w:val="22"/>
        </w:rPr>
        <w:t xml:space="preserve">This data collection will also help the DASMH to </w:t>
      </w:r>
      <w:r w:rsidRPr="00EA510F">
        <w:rPr>
          <w:sz w:val="22"/>
          <w:szCs w:val="22"/>
        </w:rPr>
        <w:t xml:space="preserve">make administrative and programmatic decisions about the operations of OMH.  Additionally, OMH can use the findings about progress made in </w:t>
      </w:r>
      <w:r w:rsidR="00C5120D" w:rsidRPr="00C5120D">
        <w:rPr>
          <w:sz w:val="22"/>
          <w:szCs w:val="22"/>
        </w:rPr>
        <w:t>raising awareness</w:t>
      </w:r>
      <w:r w:rsidRPr="00EA510F">
        <w:rPr>
          <w:sz w:val="22"/>
          <w:szCs w:val="22"/>
        </w:rPr>
        <w:t xml:space="preserve"> to identify collaborative partners in the federal government, at the state and local levels, among businesses and non-profits, and among the faith community, in order to reach a wider audience</w:t>
      </w:r>
      <w:r w:rsidR="00FC7407">
        <w:rPr>
          <w:sz w:val="22"/>
          <w:szCs w:val="22"/>
        </w:rPr>
        <w:t xml:space="preserve"> in accordance with the </w:t>
      </w:r>
      <w:r w:rsidR="00D92B38">
        <w:rPr>
          <w:sz w:val="22"/>
          <w:szCs w:val="22"/>
        </w:rPr>
        <w:t>goals of the NPA</w:t>
      </w:r>
      <w:r w:rsidRPr="00EA510F">
        <w:rPr>
          <w:sz w:val="22"/>
          <w:szCs w:val="22"/>
        </w:rPr>
        <w:t xml:space="preserve">.  Further, these results can be used by program decision-makers and policy-makers, within and outside of HHS, who are interested in capturing progress made </w:t>
      </w:r>
      <w:r w:rsidR="00FC7407">
        <w:rPr>
          <w:sz w:val="22"/>
          <w:szCs w:val="22"/>
        </w:rPr>
        <w:t>since 1999</w:t>
      </w:r>
      <w:r w:rsidRPr="00EA510F">
        <w:rPr>
          <w:sz w:val="22"/>
          <w:szCs w:val="22"/>
        </w:rPr>
        <w:t xml:space="preserve"> after exposing the U.S. population to information which confirms the existence, and societal effects, of racial and ethnic </w:t>
      </w:r>
      <w:r w:rsidR="00155B7D" w:rsidRPr="00EA510F">
        <w:rPr>
          <w:sz w:val="22"/>
          <w:szCs w:val="22"/>
        </w:rPr>
        <w:t xml:space="preserve">health </w:t>
      </w:r>
      <w:r w:rsidRPr="00EA510F">
        <w:rPr>
          <w:sz w:val="22"/>
          <w:szCs w:val="22"/>
        </w:rPr>
        <w:t xml:space="preserve">disparities.  Intended users include, but are not limited to, HHS agencies, other governmental health entities at the regional, state, and local levels, institutions of higher education, foundations, and minority-serving organizations and institutions.  </w:t>
      </w:r>
    </w:p>
    <w:p w:rsidR="007F0E50" w:rsidRPr="00EA510F" w:rsidRDefault="007F0E50" w:rsidP="00B42267">
      <w:pPr>
        <w:ind w:left="540"/>
        <w:jc w:val="both"/>
        <w:rPr>
          <w:sz w:val="22"/>
          <w:szCs w:val="22"/>
        </w:rPr>
      </w:pPr>
    </w:p>
    <w:p w:rsidR="007F0E50" w:rsidRPr="00EA510F" w:rsidRDefault="00FC7407" w:rsidP="00326C79">
      <w:pPr>
        <w:ind w:left="540"/>
        <w:jc w:val="both"/>
        <w:rPr>
          <w:sz w:val="22"/>
          <w:szCs w:val="22"/>
        </w:rPr>
      </w:pPr>
      <w:r>
        <w:rPr>
          <w:sz w:val="22"/>
          <w:szCs w:val="22"/>
        </w:rPr>
        <w:t>Continuing this trend</w:t>
      </w:r>
      <w:r w:rsidR="007F0E50" w:rsidRPr="00EA510F">
        <w:rPr>
          <w:sz w:val="22"/>
          <w:szCs w:val="22"/>
        </w:rPr>
        <w:t xml:space="preserve"> study will help OMH answer the following program-related questions: </w:t>
      </w:r>
    </w:p>
    <w:p w:rsidR="007F0E50" w:rsidRPr="00EA510F" w:rsidRDefault="007F0E50" w:rsidP="007F0E50">
      <w:pPr>
        <w:jc w:val="both"/>
        <w:rPr>
          <w:sz w:val="22"/>
          <w:szCs w:val="22"/>
        </w:rPr>
      </w:pPr>
    </w:p>
    <w:p w:rsidR="007F0E50" w:rsidRPr="00EA510F" w:rsidRDefault="007F0E50" w:rsidP="007F0E50">
      <w:pPr>
        <w:widowControl w:val="0"/>
        <w:numPr>
          <w:ilvl w:val="0"/>
          <w:numId w:val="5"/>
        </w:numPr>
        <w:tabs>
          <w:tab w:val="clear" w:pos="720"/>
          <w:tab w:val="num" w:pos="900"/>
        </w:tabs>
        <w:autoSpaceDE w:val="0"/>
        <w:autoSpaceDN w:val="0"/>
        <w:adjustRightInd w:val="0"/>
        <w:ind w:left="900"/>
        <w:jc w:val="both"/>
        <w:rPr>
          <w:sz w:val="22"/>
          <w:szCs w:val="22"/>
        </w:rPr>
      </w:pPr>
      <w:r w:rsidRPr="00EA510F">
        <w:rPr>
          <w:sz w:val="22"/>
          <w:szCs w:val="22"/>
        </w:rPr>
        <w:t xml:space="preserve">To what extent is the U.S. public </w:t>
      </w:r>
      <w:r w:rsidRPr="00EA510F">
        <w:rPr>
          <w:i/>
          <w:sz w:val="22"/>
          <w:szCs w:val="22"/>
        </w:rPr>
        <w:t>aware</w:t>
      </w:r>
      <w:r w:rsidRPr="00EA510F">
        <w:rPr>
          <w:sz w:val="22"/>
          <w:szCs w:val="22"/>
        </w:rPr>
        <w:t xml:space="preserve"> of the existence of racial and ethnic differences in health status and health care, and their impact on the overall health of the Nation?</w:t>
      </w:r>
    </w:p>
    <w:p w:rsidR="007F0E50" w:rsidRPr="00EA510F" w:rsidRDefault="00FC7407" w:rsidP="007F0E50">
      <w:pPr>
        <w:widowControl w:val="0"/>
        <w:numPr>
          <w:ilvl w:val="0"/>
          <w:numId w:val="5"/>
        </w:numPr>
        <w:tabs>
          <w:tab w:val="clear" w:pos="720"/>
          <w:tab w:val="num" w:pos="900"/>
        </w:tabs>
        <w:autoSpaceDE w:val="0"/>
        <w:autoSpaceDN w:val="0"/>
        <w:adjustRightInd w:val="0"/>
        <w:ind w:left="900"/>
        <w:jc w:val="both"/>
        <w:rPr>
          <w:sz w:val="22"/>
          <w:szCs w:val="22"/>
        </w:rPr>
      </w:pPr>
      <w:r>
        <w:rPr>
          <w:sz w:val="22"/>
          <w:szCs w:val="22"/>
        </w:rPr>
        <w:t>What are the trends in</w:t>
      </w:r>
      <w:r w:rsidR="007F0E50" w:rsidRPr="00EA510F">
        <w:rPr>
          <w:sz w:val="22"/>
          <w:szCs w:val="22"/>
        </w:rPr>
        <w:t xml:space="preserve"> public awareness of health disparities in the U.S. </w:t>
      </w:r>
      <w:r>
        <w:rPr>
          <w:sz w:val="22"/>
          <w:szCs w:val="22"/>
        </w:rPr>
        <w:t>between 1999 and 2015</w:t>
      </w:r>
      <w:r w:rsidR="007F0E50" w:rsidRPr="00EA510F">
        <w:rPr>
          <w:sz w:val="22"/>
          <w:szCs w:val="22"/>
        </w:rPr>
        <w:t xml:space="preserve">? </w:t>
      </w:r>
    </w:p>
    <w:p w:rsidR="007F0E50" w:rsidRPr="00EA510F" w:rsidRDefault="007F0E50" w:rsidP="007F0E50">
      <w:pPr>
        <w:widowControl w:val="0"/>
        <w:numPr>
          <w:ilvl w:val="0"/>
          <w:numId w:val="5"/>
        </w:numPr>
        <w:tabs>
          <w:tab w:val="clear" w:pos="720"/>
          <w:tab w:val="num" w:pos="900"/>
        </w:tabs>
        <w:autoSpaceDE w:val="0"/>
        <w:autoSpaceDN w:val="0"/>
        <w:adjustRightInd w:val="0"/>
        <w:ind w:left="900"/>
        <w:jc w:val="both"/>
        <w:rPr>
          <w:sz w:val="22"/>
          <w:szCs w:val="22"/>
        </w:rPr>
      </w:pPr>
      <w:r w:rsidRPr="00EA510F">
        <w:rPr>
          <w:sz w:val="22"/>
          <w:szCs w:val="22"/>
        </w:rPr>
        <w:t>Do Americans differ by race and ethnicity in their perception of how race and ethnicity affect their own health status and health care as well as that of others?</w:t>
      </w:r>
    </w:p>
    <w:p w:rsidR="007F0E50" w:rsidRPr="00EA510F" w:rsidRDefault="007F0E50" w:rsidP="007F0E50">
      <w:pPr>
        <w:widowControl w:val="0"/>
        <w:numPr>
          <w:ilvl w:val="0"/>
          <w:numId w:val="5"/>
        </w:numPr>
        <w:tabs>
          <w:tab w:val="clear" w:pos="720"/>
          <w:tab w:val="num" w:pos="900"/>
        </w:tabs>
        <w:autoSpaceDE w:val="0"/>
        <w:autoSpaceDN w:val="0"/>
        <w:adjustRightInd w:val="0"/>
        <w:ind w:left="900"/>
        <w:jc w:val="both"/>
        <w:rPr>
          <w:sz w:val="22"/>
          <w:szCs w:val="22"/>
        </w:rPr>
      </w:pPr>
      <w:r w:rsidRPr="00EA510F">
        <w:rPr>
          <w:sz w:val="22"/>
          <w:szCs w:val="22"/>
        </w:rPr>
        <w:t>Are attitudes about racial disparities in the overall physician population comparable to those found among the general population?</w:t>
      </w:r>
    </w:p>
    <w:p w:rsidR="00A019F8" w:rsidRPr="00EA510F" w:rsidRDefault="00A019F8" w:rsidP="00CD7A65">
      <w:pPr>
        <w:jc w:val="both"/>
        <w:rPr>
          <w:b/>
          <w:sz w:val="22"/>
          <w:szCs w:val="22"/>
        </w:rPr>
      </w:pPr>
    </w:p>
    <w:p w:rsidR="002551FF" w:rsidRDefault="002A69EC" w:rsidP="00E0690F">
      <w:pPr>
        <w:widowControl w:val="0"/>
        <w:autoSpaceDE w:val="0"/>
        <w:autoSpaceDN w:val="0"/>
        <w:adjustRightInd w:val="0"/>
        <w:ind w:firstLine="540"/>
      </w:pPr>
      <w:r>
        <w:rPr>
          <w:b/>
          <w:u w:val="single"/>
        </w:rPr>
        <w:t xml:space="preserve">3.  </w:t>
      </w:r>
      <w:r w:rsidR="002551FF">
        <w:rPr>
          <w:b/>
          <w:u w:val="single"/>
        </w:rPr>
        <w:t>Use of Improved Information Technology and Burden Reduction</w:t>
      </w:r>
    </w:p>
    <w:p w:rsidR="004F6F5E" w:rsidRPr="00EA510F" w:rsidRDefault="004F6F5E" w:rsidP="00CD7A65">
      <w:pPr>
        <w:jc w:val="both"/>
        <w:rPr>
          <w:sz w:val="22"/>
          <w:szCs w:val="22"/>
        </w:rPr>
      </w:pPr>
    </w:p>
    <w:p w:rsidR="00AA76F5" w:rsidRPr="00EA510F" w:rsidRDefault="00733F49" w:rsidP="00D574DD">
      <w:pPr>
        <w:ind w:left="540"/>
        <w:jc w:val="both"/>
        <w:rPr>
          <w:sz w:val="22"/>
          <w:szCs w:val="22"/>
        </w:rPr>
      </w:pPr>
      <w:r>
        <w:rPr>
          <w:sz w:val="22"/>
          <w:szCs w:val="22"/>
        </w:rPr>
        <w:t>A contractor</w:t>
      </w:r>
      <w:r w:rsidR="00AA76F5" w:rsidRPr="00EA510F">
        <w:rPr>
          <w:sz w:val="22"/>
          <w:szCs w:val="22"/>
        </w:rPr>
        <w:t xml:space="preserve"> will contact a random sample of U.S. households by telephone, oversampling for African American, Hispanic, Asian Am</w:t>
      </w:r>
      <w:r w:rsidR="009C4D02" w:rsidRPr="00EA510F">
        <w:rPr>
          <w:sz w:val="22"/>
          <w:szCs w:val="22"/>
        </w:rPr>
        <w:t>erican/Pacific Islander</w:t>
      </w:r>
      <w:r w:rsidR="000162FC">
        <w:rPr>
          <w:sz w:val="22"/>
          <w:szCs w:val="22"/>
        </w:rPr>
        <w:t>, and other racial and ethnic minority</w:t>
      </w:r>
      <w:r w:rsidR="009C4D02" w:rsidRPr="00EA510F">
        <w:rPr>
          <w:sz w:val="22"/>
          <w:szCs w:val="22"/>
        </w:rPr>
        <w:t xml:space="preserve"> groups</w:t>
      </w:r>
      <w:r w:rsidR="000162FC">
        <w:rPr>
          <w:sz w:val="22"/>
          <w:szCs w:val="22"/>
        </w:rPr>
        <w:t xml:space="preserve"> as resources permit</w:t>
      </w:r>
      <w:r w:rsidR="009C4D02" w:rsidRPr="00EA510F">
        <w:rPr>
          <w:sz w:val="22"/>
          <w:szCs w:val="22"/>
        </w:rPr>
        <w:t xml:space="preserve">. </w:t>
      </w:r>
      <w:r w:rsidR="00AA76F5" w:rsidRPr="00EA510F">
        <w:rPr>
          <w:sz w:val="22"/>
          <w:szCs w:val="22"/>
        </w:rPr>
        <w:t xml:space="preserve">In order to program and implement the survey instrument, </w:t>
      </w:r>
      <w:r>
        <w:rPr>
          <w:sz w:val="22"/>
          <w:szCs w:val="22"/>
        </w:rPr>
        <w:t>this contractor</w:t>
      </w:r>
      <w:r w:rsidR="00AA76F5" w:rsidRPr="00EA510F">
        <w:rPr>
          <w:sz w:val="22"/>
          <w:szCs w:val="22"/>
        </w:rPr>
        <w:t xml:space="preserve"> </w:t>
      </w:r>
      <w:r>
        <w:rPr>
          <w:sz w:val="22"/>
          <w:szCs w:val="22"/>
        </w:rPr>
        <w:t>may</w:t>
      </w:r>
      <w:r w:rsidR="00AA76F5" w:rsidRPr="00EA510F">
        <w:rPr>
          <w:sz w:val="22"/>
          <w:szCs w:val="22"/>
        </w:rPr>
        <w:t xml:space="preserve"> utilize a Computer Assisted Telephone Interviewing (CATI) system. </w:t>
      </w:r>
      <w:r w:rsidR="009C4D02" w:rsidRPr="00EA510F">
        <w:rPr>
          <w:sz w:val="22"/>
          <w:szCs w:val="22"/>
        </w:rPr>
        <w:t xml:space="preserve"> </w:t>
      </w:r>
      <w:r w:rsidR="00AA76F5" w:rsidRPr="00EA510F">
        <w:rPr>
          <w:sz w:val="22"/>
          <w:szCs w:val="22"/>
        </w:rPr>
        <w:t>This software has enhanced call scheduling capabilities that supports intelligent calling rules. The CATI system features a state-of-the-art auto-dialer that has been customized for social science surveys with the goal</w:t>
      </w:r>
      <w:r w:rsidR="009C4D02" w:rsidRPr="00EA510F">
        <w:rPr>
          <w:sz w:val="22"/>
          <w:szCs w:val="22"/>
        </w:rPr>
        <w:t xml:space="preserve"> of maximizing response rates. </w:t>
      </w:r>
      <w:r w:rsidR="00AA76F5" w:rsidRPr="00EA510F">
        <w:rPr>
          <w:sz w:val="22"/>
          <w:szCs w:val="22"/>
        </w:rPr>
        <w:t xml:space="preserve">The CATI interviewing software also supports a set of validations, skip logic, hard and soft range checks, and inter-item consistency checks, facilitating the capture of high-quality data.    </w:t>
      </w:r>
    </w:p>
    <w:p w:rsidR="000B4068" w:rsidRPr="00EA510F" w:rsidRDefault="000B4068" w:rsidP="00D574DD">
      <w:pPr>
        <w:ind w:left="540"/>
        <w:jc w:val="both"/>
        <w:rPr>
          <w:sz w:val="22"/>
          <w:szCs w:val="22"/>
        </w:rPr>
      </w:pPr>
    </w:p>
    <w:p w:rsidR="00AA76F5" w:rsidRPr="00EA510F" w:rsidRDefault="00AA76F5" w:rsidP="006B2704">
      <w:pPr>
        <w:ind w:left="540"/>
        <w:jc w:val="both"/>
        <w:rPr>
          <w:sz w:val="22"/>
          <w:szCs w:val="22"/>
        </w:rPr>
      </w:pPr>
      <w:r w:rsidRPr="00EA510F">
        <w:rPr>
          <w:sz w:val="22"/>
          <w:szCs w:val="22"/>
        </w:rPr>
        <w:t xml:space="preserve">In its survey of U.S. practicing physicians, </w:t>
      </w:r>
      <w:r w:rsidR="00733F49">
        <w:rPr>
          <w:sz w:val="22"/>
          <w:szCs w:val="22"/>
        </w:rPr>
        <w:t>the contractor</w:t>
      </w:r>
      <w:r w:rsidRPr="00EA510F">
        <w:rPr>
          <w:sz w:val="22"/>
          <w:szCs w:val="22"/>
        </w:rPr>
        <w:t xml:space="preserve"> will draw a random sample of approximately </w:t>
      </w:r>
      <w:r w:rsidR="001645D2" w:rsidRPr="00733F49">
        <w:rPr>
          <w:sz w:val="22"/>
          <w:szCs w:val="22"/>
        </w:rPr>
        <w:t>700</w:t>
      </w:r>
      <w:r w:rsidRPr="00EA510F">
        <w:rPr>
          <w:sz w:val="22"/>
          <w:szCs w:val="22"/>
        </w:rPr>
        <w:t xml:space="preserve"> physicians from the American Medical Association’s (AMA’s) Masterfile. Individual respondents will review and complete a self-administered mail survey.</w:t>
      </w:r>
      <w:r w:rsidR="009C4D02" w:rsidRPr="00EA510F">
        <w:rPr>
          <w:sz w:val="22"/>
          <w:szCs w:val="22"/>
        </w:rPr>
        <w:t xml:space="preserve"> </w:t>
      </w:r>
      <w:r w:rsidRPr="00EA510F">
        <w:rPr>
          <w:sz w:val="22"/>
          <w:szCs w:val="22"/>
        </w:rPr>
        <w:t xml:space="preserve"> Physician respondents will be given a choice of data submission method, including via mail, a secure fax line or over the telephone utilizing the CATI technology. </w:t>
      </w:r>
    </w:p>
    <w:p w:rsidR="00C608EB" w:rsidRPr="00EA510F" w:rsidRDefault="00C608EB" w:rsidP="00C608EB">
      <w:pPr>
        <w:ind w:left="540"/>
        <w:jc w:val="both"/>
        <w:rPr>
          <w:sz w:val="22"/>
          <w:szCs w:val="22"/>
        </w:rPr>
      </w:pPr>
    </w:p>
    <w:p w:rsidR="002551FF" w:rsidRPr="00E0690F" w:rsidRDefault="00E0690F" w:rsidP="00E0690F">
      <w:pPr>
        <w:widowControl w:val="0"/>
        <w:autoSpaceDE w:val="0"/>
        <w:autoSpaceDN w:val="0"/>
        <w:adjustRightInd w:val="0"/>
        <w:ind w:left="540"/>
        <w:rPr>
          <w:b/>
        </w:rPr>
      </w:pPr>
      <w:r>
        <w:rPr>
          <w:b/>
          <w:u w:val="single"/>
        </w:rPr>
        <w:t xml:space="preserve">4.  </w:t>
      </w:r>
      <w:r w:rsidR="002551FF" w:rsidRPr="00E0690F">
        <w:rPr>
          <w:b/>
          <w:u w:val="single"/>
        </w:rPr>
        <w:t>Efforts to Identify Duplication and Use of Similar Information</w:t>
      </w:r>
    </w:p>
    <w:p w:rsidR="004F6F5E" w:rsidRPr="00EA510F" w:rsidRDefault="004F6F5E" w:rsidP="00CD7A65">
      <w:pPr>
        <w:jc w:val="both"/>
        <w:rPr>
          <w:sz w:val="22"/>
          <w:szCs w:val="22"/>
        </w:rPr>
      </w:pPr>
    </w:p>
    <w:p w:rsidR="00C608EB" w:rsidRPr="00EA510F" w:rsidRDefault="000546DE" w:rsidP="00C608EB">
      <w:pPr>
        <w:ind w:left="540"/>
        <w:jc w:val="both"/>
        <w:rPr>
          <w:sz w:val="22"/>
          <w:szCs w:val="22"/>
        </w:rPr>
      </w:pPr>
      <w:r w:rsidRPr="00EA510F">
        <w:rPr>
          <w:sz w:val="22"/>
          <w:szCs w:val="22"/>
        </w:rPr>
        <w:t>Th</w:t>
      </w:r>
      <w:r w:rsidR="00FC7407">
        <w:rPr>
          <w:sz w:val="22"/>
          <w:szCs w:val="22"/>
        </w:rPr>
        <w:t>is renewal</w:t>
      </w:r>
      <w:r w:rsidR="00FC7407" w:rsidRPr="00EA510F">
        <w:rPr>
          <w:sz w:val="22"/>
          <w:szCs w:val="22"/>
        </w:rPr>
        <w:t xml:space="preserve"> </w:t>
      </w:r>
      <w:r w:rsidRPr="00EA510F">
        <w:rPr>
          <w:sz w:val="22"/>
          <w:szCs w:val="22"/>
        </w:rPr>
        <w:t xml:space="preserve">does not duplicate any other </w:t>
      </w:r>
      <w:r w:rsidR="00C3717E">
        <w:rPr>
          <w:sz w:val="22"/>
          <w:szCs w:val="22"/>
        </w:rPr>
        <w:t xml:space="preserve">ongoing </w:t>
      </w:r>
      <w:r w:rsidRPr="00EA510F">
        <w:rPr>
          <w:sz w:val="22"/>
          <w:szCs w:val="22"/>
        </w:rPr>
        <w:t>studies.</w:t>
      </w:r>
      <w:r w:rsidR="009C4D02" w:rsidRPr="00EA510F">
        <w:rPr>
          <w:sz w:val="22"/>
          <w:szCs w:val="22"/>
        </w:rPr>
        <w:t xml:space="preserve"> </w:t>
      </w:r>
      <w:r w:rsidRPr="00EA510F">
        <w:rPr>
          <w:sz w:val="22"/>
          <w:szCs w:val="22"/>
        </w:rPr>
        <w:t>The contractor conducted a detailed review of the literature and found that a</w:t>
      </w:r>
      <w:r w:rsidR="002E4DC3" w:rsidRPr="00EA510F">
        <w:rPr>
          <w:sz w:val="22"/>
          <w:szCs w:val="22"/>
        </w:rPr>
        <w:t xml:space="preserve">lthough similar </w:t>
      </w:r>
      <w:r w:rsidR="00C3717B" w:rsidRPr="00EA510F">
        <w:rPr>
          <w:sz w:val="22"/>
          <w:szCs w:val="22"/>
        </w:rPr>
        <w:t>surveys</w:t>
      </w:r>
      <w:r w:rsidR="002E4DC3" w:rsidRPr="00EA510F">
        <w:rPr>
          <w:sz w:val="22"/>
          <w:szCs w:val="22"/>
        </w:rPr>
        <w:t xml:space="preserve"> have been </w:t>
      </w:r>
      <w:r w:rsidR="00C3717B" w:rsidRPr="00EA510F">
        <w:rPr>
          <w:sz w:val="22"/>
          <w:szCs w:val="22"/>
        </w:rPr>
        <w:t>fielded</w:t>
      </w:r>
      <w:r w:rsidR="002E4DC3" w:rsidRPr="00EA510F">
        <w:rPr>
          <w:sz w:val="22"/>
          <w:szCs w:val="22"/>
        </w:rPr>
        <w:t xml:space="preserve">, none have </w:t>
      </w:r>
      <w:r w:rsidR="002E4DC3" w:rsidRPr="00EA510F">
        <w:rPr>
          <w:sz w:val="22"/>
          <w:szCs w:val="22"/>
        </w:rPr>
        <w:lastRenderedPageBreak/>
        <w:t xml:space="preserve">addressed changes in the awareness of racial and ethnic </w:t>
      </w:r>
      <w:r w:rsidRPr="00EA510F">
        <w:rPr>
          <w:sz w:val="22"/>
          <w:szCs w:val="22"/>
        </w:rPr>
        <w:t xml:space="preserve">health </w:t>
      </w:r>
      <w:r w:rsidR="002E4DC3" w:rsidRPr="00EA510F">
        <w:rPr>
          <w:sz w:val="22"/>
          <w:szCs w:val="22"/>
        </w:rPr>
        <w:t>disparities, nor have they focused on public awareness and the difference in perceptions by race and ethnicity.</w:t>
      </w:r>
      <w:r w:rsidR="004F6F5E" w:rsidRPr="00EA510F">
        <w:rPr>
          <w:sz w:val="22"/>
          <w:szCs w:val="22"/>
        </w:rPr>
        <w:t xml:space="preserve"> </w:t>
      </w:r>
      <w:r w:rsidR="009C4D02" w:rsidRPr="00EA510F">
        <w:rPr>
          <w:sz w:val="22"/>
          <w:szCs w:val="22"/>
        </w:rPr>
        <w:t xml:space="preserve"> </w:t>
      </w:r>
      <w:r w:rsidRPr="00EA510F">
        <w:rPr>
          <w:sz w:val="22"/>
          <w:szCs w:val="22"/>
        </w:rPr>
        <w:t>The survey fielded by KFF</w:t>
      </w:r>
      <w:r w:rsidR="004B06ED" w:rsidRPr="00EA510F">
        <w:rPr>
          <w:sz w:val="22"/>
          <w:szCs w:val="22"/>
        </w:rPr>
        <w:t>/PSRAI</w:t>
      </w:r>
      <w:r w:rsidRPr="00EA510F">
        <w:rPr>
          <w:sz w:val="22"/>
          <w:szCs w:val="22"/>
        </w:rPr>
        <w:t xml:space="preserve"> in 1999</w:t>
      </w:r>
      <w:r w:rsidR="004F6F5E" w:rsidRPr="00EA510F">
        <w:rPr>
          <w:sz w:val="22"/>
          <w:szCs w:val="22"/>
        </w:rPr>
        <w:t xml:space="preserve"> </w:t>
      </w:r>
      <w:r w:rsidR="002E4DC3" w:rsidRPr="00EA510F">
        <w:rPr>
          <w:sz w:val="22"/>
          <w:szCs w:val="22"/>
        </w:rPr>
        <w:t>included items that focused</w:t>
      </w:r>
      <w:r w:rsidR="006C298D" w:rsidRPr="00EA510F">
        <w:rPr>
          <w:sz w:val="22"/>
          <w:szCs w:val="22"/>
        </w:rPr>
        <w:t xml:space="preserve"> on awareness of health disparities that the proposed instrument </w:t>
      </w:r>
      <w:r w:rsidR="00C3717B" w:rsidRPr="00EA510F">
        <w:rPr>
          <w:sz w:val="22"/>
          <w:szCs w:val="22"/>
        </w:rPr>
        <w:t xml:space="preserve">also </w:t>
      </w:r>
      <w:r w:rsidR="006C298D" w:rsidRPr="00EA510F">
        <w:rPr>
          <w:sz w:val="22"/>
          <w:szCs w:val="22"/>
        </w:rPr>
        <w:t>includes</w:t>
      </w:r>
      <w:r w:rsidR="004F6F5E" w:rsidRPr="00EA510F">
        <w:rPr>
          <w:sz w:val="22"/>
          <w:szCs w:val="22"/>
        </w:rPr>
        <w:t xml:space="preserve">.  </w:t>
      </w:r>
      <w:r w:rsidR="00C3717E">
        <w:rPr>
          <w:sz w:val="22"/>
          <w:szCs w:val="22"/>
        </w:rPr>
        <w:t>This</w:t>
      </w:r>
      <w:r w:rsidRPr="00EA510F">
        <w:rPr>
          <w:sz w:val="22"/>
          <w:szCs w:val="22"/>
        </w:rPr>
        <w:t xml:space="preserve"> data collection </w:t>
      </w:r>
      <w:r w:rsidR="00C3717E">
        <w:rPr>
          <w:sz w:val="22"/>
          <w:szCs w:val="22"/>
        </w:rPr>
        <w:t>provides</w:t>
      </w:r>
      <w:r w:rsidR="002E4DC3" w:rsidRPr="00EA510F">
        <w:rPr>
          <w:sz w:val="22"/>
          <w:szCs w:val="22"/>
        </w:rPr>
        <w:t xml:space="preserve"> a trend analysis to be conducted</w:t>
      </w:r>
      <w:r w:rsidR="00C3717E">
        <w:rPr>
          <w:sz w:val="22"/>
          <w:szCs w:val="22"/>
        </w:rPr>
        <w:t xml:space="preserve"> that no other studies provide.</w:t>
      </w:r>
      <w:r w:rsidR="002E4DC3" w:rsidRPr="00EA510F">
        <w:rPr>
          <w:sz w:val="22"/>
          <w:szCs w:val="22"/>
        </w:rPr>
        <w:t xml:space="preserve"> </w:t>
      </w:r>
      <w:r w:rsidR="006C298D" w:rsidRPr="00C3717E">
        <w:rPr>
          <w:sz w:val="22"/>
          <w:szCs w:val="22"/>
        </w:rPr>
        <w:t xml:space="preserve">Attachment </w:t>
      </w:r>
      <w:r w:rsidR="0018782C">
        <w:rPr>
          <w:sz w:val="22"/>
          <w:szCs w:val="22"/>
        </w:rPr>
        <w:t>C</w:t>
      </w:r>
      <w:r w:rsidR="006C298D" w:rsidRPr="00C3717E">
        <w:rPr>
          <w:sz w:val="22"/>
          <w:szCs w:val="22"/>
        </w:rPr>
        <w:t xml:space="preserve"> includes the KFF</w:t>
      </w:r>
      <w:r w:rsidR="004B06ED" w:rsidRPr="00C3717E">
        <w:rPr>
          <w:sz w:val="22"/>
          <w:szCs w:val="22"/>
        </w:rPr>
        <w:t>/PSRAI</w:t>
      </w:r>
      <w:r w:rsidR="006C298D" w:rsidRPr="00C3717E">
        <w:rPr>
          <w:sz w:val="22"/>
          <w:szCs w:val="22"/>
        </w:rPr>
        <w:t xml:space="preserve"> instrument</w:t>
      </w:r>
      <w:r w:rsidR="00C3717E" w:rsidRPr="00C3717E">
        <w:rPr>
          <w:sz w:val="22"/>
          <w:szCs w:val="22"/>
        </w:rPr>
        <w:t xml:space="preserve"> from 1999</w:t>
      </w:r>
      <w:r w:rsidR="006C298D" w:rsidRPr="00C3717E">
        <w:rPr>
          <w:sz w:val="22"/>
          <w:szCs w:val="22"/>
        </w:rPr>
        <w:t>, Attachment</w:t>
      </w:r>
      <w:r w:rsidR="0018782C">
        <w:rPr>
          <w:sz w:val="22"/>
          <w:szCs w:val="22"/>
        </w:rPr>
        <w:t>s</w:t>
      </w:r>
      <w:r w:rsidR="006C298D" w:rsidRPr="00C3717E">
        <w:rPr>
          <w:sz w:val="22"/>
          <w:szCs w:val="22"/>
        </w:rPr>
        <w:t xml:space="preserve"> </w:t>
      </w:r>
      <w:r w:rsidR="0018782C">
        <w:rPr>
          <w:sz w:val="22"/>
          <w:szCs w:val="22"/>
        </w:rPr>
        <w:t>D</w:t>
      </w:r>
      <w:r w:rsidR="00047FD6" w:rsidRPr="00C3717E">
        <w:rPr>
          <w:sz w:val="22"/>
          <w:szCs w:val="22"/>
        </w:rPr>
        <w:t xml:space="preserve">-1 and </w:t>
      </w:r>
      <w:r w:rsidR="0018782C">
        <w:rPr>
          <w:sz w:val="22"/>
          <w:szCs w:val="22"/>
        </w:rPr>
        <w:t>D</w:t>
      </w:r>
      <w:r w:rsidR="00047FD6" w:rsidRPr="00C3717E">
        <w:rPr>
          <w:sz w:val="22"/>
          <w:szCs w:val="22"/>
        </w:rPr>
        <w:t>-2 describe</w:t>
      </w:r>
      <w:r w:rsidR="006C298D" w:rsidRPr="00C3717E">
        <w:rPr>
          <w:sz w:val="22"/>
          <w:szCs w:val="22"/>
        </w:rPr>
        <w:t xml:space="preserve"> the modifications that were made to</w:t>
      </w:r>
      <w:r w:rsidR="00B805C8" w:rsidRPr="00C3717E">
        <w:rPr>
          <w:sz w:val="22"/>
          <w:szCs w:val="22"/>
        </w:rPr>
        <w:t xml:space="preserve"> the</w:t>
      </w:r>
      <w:r w:rsidR="006C298D" w:rsidRPr="00C3717E">
        <w:rPr>
          <w:sz w:val="22"/>
          <w:szCs w:val="22"/>
        </w:rPr>
        <w:t xml:space="preserve"> </w:t>
      </w:r>
      <w:r w:rsidR="00B805C8" w:rsidRPr="00C3717E">
        <w:rPr>
          <w:sz w:val="22"/>
          <w:szCs w:val="22"/>
        </w:rPr>
        <w:t>original</w:t>
      </w:r>
      <w:r w:rsidR="006C298D" w:rsidRPr="00C3717E">
        <w:rPr>
          <w:sz w:val="22"/>
          <w:szCs w:val="22"/>
        </w:rPr>
        <w:t xml:space="preserve"> instrument</w:t>
      </w:r>
      <w:r w:rsidR="00EB209F" w:rsidRPr="00C3717E">
        <w:rPr>
          <w:sz w:val="22"/>
          <w:szCs w:val="22"/>
        </w:rPr>
        <w:t xml:space="preserve">, and </w:t>
      </w:r>
      <w:r w:rsidR="00A946E3" w:rsidRPr="00C3717E">
        <w:rPr>
          <w:sz w:val="22"/>
          <w:szCs w:val="22"/>
        </w:rPr>
        <w:t xml:space="preserve">Attachments </w:t>
      </w:r>
      <w:r w:rsidR="0018782C">
        <w:rPr>
          <w:sz w:val="22"/>
          <w:szCs w:val="22"/>
        </w:rPr>
        <w:t>E</w:t>
      </w:r>
      <w:r w:rsidR="00A946E3" w:rsidRPr="00C3717E">
        <w:rPr>
          <w:sz w:val="22"/>
          <w:szCs w:val="22"/>
        </w:rPr>
        <w:t>-1</w:t>
      </w:r>
      <w:r w:rsidR="00EB209F" w:rsidRPr="00C3717E">
        <w:rPr>
          <w:sz w:val="22"/>
          <w:szCs w:val="22"/>
        </w:rPr>
        <w:t xml:space="preserve"> to </w:t>
      </w:r>
      <w:r w:rsidR="0018782C">
        <w:rPr>
          <w:sz w:val="22"/>
          <w:szCs w:val="22"/>
        </w:rPr>
        <w:t>E</w:t>
      </w:r>
      <w:r w:rsidR="00EB209F" w:rsidRPr="00C3717E">
        <w:rPr>
          <w:sz w:val="22"/>
          <w:szCs w:val="22"/>
        </w:rPr>
        <w:t xml:space="preserve">-3 include the </w:t>
      </w:r>
      <w:r w:rsidR="00A946E3" w:rsidRPr="00C3717E">
        <w:rPr>
          <w:sz w:val="22"/>
          <w:szCs w:val="22"/>
        </w:rPr>
        <w:t xml:space="preserve">General Population, Physician, </w:t>
      </w:r>
      <w:r w:rsidR="00EB209F" w:rsidRPr="00C3717E">
        <w:rPr>
          <w:sz w:val="22"/>
          <w:szCs w:val="22"/>
        </w:rPr>
        <w:t>and</w:t>
      </w:r>
      <w:r w:rsidR="00A946E3" w:rsidRPr="00C3717E">
        <w:rPr>
          <w:sz w:val="22"/>
          <w:szCs w:val="22"/>
        </w:rPr>
        <w:t xml:space="preserve"> Spa</w:t>
      </w:r>
      <w:r w:rsidR="00EB209F" w:rsidRPr="00C3717E">
        <w:rPr>
          <w:sz w:val="22"/>
          <w:szCs w:val="22"/>
        </w:rPr>
        <w:t>nish Version General Population instruments, respectively.</w:t>
      </w:r>
    </w:p>
    <w:p w:rsidR="00C608EB" w:rsidRPr="00EA510F" w:rsidRDefault="00C608EB" w:rsidP="00C608EB">
      <w:pPr>
        <w:ind w:left="540"/>
        <w:jc w:val="both"/>
        <w:rPr>
          <w:sz w:val="22"/>
          <w:szCs w:val="22"/>
        </w:rPr>
      </w:pPr>
    </w:p>
    <w:p w:rsidR="004F6F5E" w:rsidRDefault="002A69EC" w:rsidP="00E0690F">
      <w:pPr>
        <w:ind w:firstLine="540"/>
        <w:jc w:val="both"/>
        <w:rPr>
          <w:b/>
          <w:u w:val="single"/>
        </w:rPr>
      </w:pPr>
      <w:r>
        <w:rPr>
          <w:b/>
          <w:u w:val="single"/>
        </w:rPr>
        <w:t>5.  Impact on Small Businesses or Other Small Entities</w:t>
      </w:r>
    </w:p>
    <w:p w:rsidR="002A69EC" w:rsidRPr="00EA510F" w:rsidRDefault="002A69EC" w:rsidP="00CD7A65">
      <w:pPr>
        <w:jc w:val="both"/>
        <w:rPr>
          <w:sz w:val="22"/>
          <w:szCs w:val="22"/>
        </w:rPr>
      </w:pPr>
    </w:p>
    <w:p w:rsidR="004F6F5E" w:rsidRPr="00EA510F" w:rsidRDefault="004F6F5E" w:rsidP="00C608EB">
      <w:pPr>
        <w:ind w:left="540"/>
        <w:jc w:val="both"/>
        <w:rPr>
          <w:sz w:val="22"/>
          <w:szCs w:val="22"/>
        </w:rPr>
      </w:pPr>
      <w:r w:rsidRPr="00EA510F">
        <w:rPr>
          <w:sz w:val="22"/>
          <w:szCs w:val="22"/>
        </w:rPr>
        <w:t xml:space="preserve">This information collection is based upon a survey of individuals.  Information will be sought concerning individuals’ </w:t>
      </w:r>
      <w:r w:rsidR="00202797" w:rsidRPr="00EA510F">
        <w:rPr>
          <w:sz w:val="22"/>
          <w:szCs w:val="22"/>
        </w:rPr>
        <w:t>awareness of</w:t>
      </w:r>
      <w:r w:rsidRPr="00EA510F">
        <w:rPr>
          <w:sz w:val="22"/>
          <w:szCs w:val="22"/>
        </w:rPr>
        <w:t xml:space="preserve"> racial and ethnic </w:t>
      </w:r>
      <w:r w:rsidR="000546DE" w:rsidRPr="00EA510F">
        <w:rPr>
          <w:sz w:val="22"/>
          <w:szCs w:val="22"/>
        </w:rPr>
        <w:t xml:space="preserve">health </w:t>
      </w:r>
      <w:r w:rsidRPr="00EA510F">
        <w:rPr>
          <w:sz w:val="22"/>
          <w:szCs w:val="22"/>
        </w:rPr>
        <w:t>disparities</w:t>
      </w:r>
      <w:r w:rsidR="000546DE" w:rsidRPr="00EA510F">
        <w:rPr>
          <w:sz w:val="22"/>
          <w:szCs w:val="22"/>
        </w:rPr>
        <w:t>.</w:t>
      </w:r>
      <w:r w:rsidR="009C4D02" w:rsidRPr="00EA510F">
        <w:rPr>
          <w:sz w:val="22"/>
          <w:szCs w:val="22"/>
        </w:rPr>
        <w:t xml:space="preserve"> </w:t>
      </w:r>
      <w:r w:rsidRPr="00EA510F">
        <w:rPr>
          <w:sz w:val="22"/>
          <w:szCs w:val="22"/>
        </w:rPr>
        <w:t xml:space="preserve"> Respondents to this survey may be employed by small businesses</w:t>
      </w:r>
      <w:r w:rsidR="004224BF">
        <w:rPr>
          <w:sz w:val="22"/>
          <w:szCs w:val="22"/>
        </w:rPr>
        <w:t xml:space="preserve"> or may be small business owners</w:t>
      </w:r>
      <w:r w:rsidR="000162FC">
        <w:rPr>
          <w:sz w:val="22"/>
          <w:szCs w:val="22"/>
        </w:rPr>
        <w:t xml:space="preserve"> as 53% of physician respondents in the 2010 OMH/NORC survey cited “private practice” as their primary practice type</w:t>
      </w:r>
      <w:r w:rsidRPr="00EA510F">
        <w:rPr>
          <w:sz w:val="22"/>
          <w:szCs w:val="22"/>
        </w:rPr>
        <w:t>; however, the information collected will be based upon the individual’s personal perspectives.</w:t>
      </w:r>
    </w:p>
    <w:p w:rsidR="00E4037C" w:rsidRPr="00EA510F" w:rsidRDefault="00E4037C" w:rsidP="00CD7A65">
      <w:pPr>
        <w:jc w:val="both"/>
        <w:rPr>
          <w:sz w:val="22"/>
          <w:szCs w:val="22"/>
        </w:rPr>
      </w:pPr>
    </w:p>
    <w:p w:rsidR="004F6F5E" w:rsidRPr="00E0690F" w:rsidRDefault="002A69EC" w:rsidP="00E0690F">
      <w:pPr>
        <w:ind w:firstLine="540"/>
        <w:jc w:val="both"/>
        <w:rPr>
          <w:b/>
          <w:u w:val="single"/>
        </w:rPr>
      </w:pPr>
      <w:r w:rsidRPr="00E0690F">
        <w:rPr>
          <w:b/>
          <w:u w:val="single"/>
        </w:rPr>
        <w:t xml:space="preserve">6.  Consequences of Less Frequent </w:t>
      </w:r>
      <w:r w:rsidR="00675A42" w:rsidRPr="00E0690F">
        <w:rPr>
          <w:b/>
          <w:u w:val="single"/>
        </w:rPr>
        <w:t xml:space="preserve">Data </w:t>
      </w:r>
      <w:r w:rsidRPr="00E0690F">
        <w:rPr>
          <w:b/>
          <w:u w:val="single"/>
        </w:rPr>
        <w:t>Collection</w:t>
      </w:r>
    </w:p>
    <w:p w:rsidR="002A69EC" w:rsidRPr="00EA510F" w:rsidRDefault="002A69EC" w:rsidP="002A69EC">
      <w:pPr>
        <w:ind w:firstLine="540"/>
        <w:jc w:val="both"/>
        <w:rPr>
          <w:sz w:val="22"/>
          <w:szCs w:val="22"/>
        </w:rPr>
      </w:pPr>
    </w:p>
    <w:p w:rsidR="00B13DA1" w:rsidRPr="00EA510F" w:rsidRDefault="00B13DA1" w:rsidP="00C608EB">
      <w:pPr>
        <w:ind w:left="540"/>
        <w:jc w:val="both"/>
        <w:rPr>
          <w:sz w:val="22"/>
          <w:szCs w:val="22"/>
        </w:rPr>
      </w:pPr>
      <w:r w:rsidRPr="00EA510F">
        <w:rPr>
          <w:sz w:val="22"/>
          <w:szCs w:val="22"/>
        </w:rPr>
        <w:t xml:space="preserve">This data collection project will require regular </w:t>
      </w:r>
      <w:r w:rsidR="00ED4176" w:rsidRPr="00EA510F">
        <w:rPr>
          <w:sz w:val="22"/>
          <w:szCs w:val="22"/>
        </w:rPr>
        <w:t>(</w:t>
      </w:r>
      <w:r w:rsidR="007C1C8F">
        <w:rPr>
          <w:sz w:val="22"/>
          <w:szCs w:val="22"/>
        </w:rPr>
        <w:t>at minimum, every 3 years)</w:t>
      </w:r>
      <w:r w:rsidR="00ED4176" w:rsidRPr="00EA510F">
        <w:rPr>
          <w:sz w:val="22"/>
          <w:szCs w:val="22"/>
        </w:rPr>
        <w:t xml:space="preserve"> </w:t>
      </w:r>
      <w:r w:rsidRPr="00EA510F">
        <w:rPr>
          <w:sz w:val="22"/>
          <w:szCs w:val="22"/>
        </w:rPr>
        <w:t>fielding of the survey in order to develop an understanding of changing levels of awareness of health disparities over time</w:t>
      </w:r>
      <w:r w:rsidR="004F180E" w:rsidRPr="00EA510F">
        <w:rPr>
          <w:sz w:val="22"/>
          <w:szCs w:val="22"/>
        </w:rPr>
        <w:t>, in accordance with GPRA</w:t>
      </w:r>
      <w:r w:rsidRPr="00EA510F">
        <w:rPr>
          <w:sz w:val="22"/>
          <w:szCs w:val="22"/>
        </w:rPr>
        <w:t>.  However, the consequences for any particular sample in a given year are low, as we will draw new samples from the U.S. population each year</w:t>
      </w:r>
      <w:r w:rsidR="007C1C8F">
        <w:rPr>
          <w:sz w:val="22"/>
          <w:szCs w:val="22"/>
        </w:rPr>
        <w:t xml:space="preserve"> in which data collection occurs</w:t>
      </w:r>
      <w:r w:rsidRPr="00EA510F">
        <w:rPr>
          <w:sz w:val="22"/>
          <w:szCs w:val="22"/>
        </w:rPr>
        <w:t xml:space="preserve">.  </w:t>
      </w:r>
      <w:r w:rsidR="00ED4176" w:rsidRPr="00EA510F">
        <w:rPr>
          <w:sz w:val="22"/>
          <w:szCs w:val="22"/>
        </w:rPr>
        <w:t>Likewise, f</w:t>
      </w:r>
      <w:r w:rsidRPr="00EA510F">
        <w:rPr>
          <w:sz w:val="22"/>
          <w:szCs w:val="22"/>
        </w:rPr>
        <w:t xml:space="preserve">or the physician’s study, we will ensure that any physician sampled in </w:t>
      </w:r>
      <w:r w:rsidR="007C1C8F">
        <w:rPr>
          <w:sz w:val="22"/>
          <w:szCs w:val="22"/>
        </w:rPr>
        <w:t xml:space="preserve">any given </w:t>
      </w:r>
      <w:r w:rsidRPr="00EA510F">
        <w:rPr>
          <w:sz w:val="22"/>
          <w:szCs w:val="22"/>
        </w:rPr>
        <w:t xml:space="preserve">year will not be in the </w:t>
      </w:r>
      <w:r w:rsidR="00B63593" w:rsidRPr="00EA510F">
        <w:rPr>
          <w:sz w:val="22"/>
          <w:szCs w:val="22"/>
        </w:rPr>
        <w:t>sample frame</w:t>
      </w:r>
      <w:r w:rsidRPr="00EA510F">
        <w:rPr>
          <w:sz w:val="22"/>
          <w:szCs w:val="22"/>
        </w:rPr>
        <w:t xml:space="preserve"> for subsequent years.</w:t>
      </w:r>
    </w:p>
    <w:p w:rsidR="00B13DA1" w:rsidRPr="00EA510F" w:rsidRDefault="00B13DA1" w:rsidP="00C608EB">
      <w:pPr>
        <w:ind w:left="540"/>
        <w:jc w:val="both"/>
        <w:rPr>
          <w:sz w:val="22"/>
          <w:szCs w:val="22"/>
        </w:rPr>
      </w:pPr>
    </w:p>
    <w:p w:rsidR="00825DBD" w:rsidRPr="00EA510F" w:rsidRDefault="008C672C" w:rsidP="00C608EB">
      <w:pPr>
        <w:ind w:left="540"/>
        <w:jc w:val="both"/>
        <w:rPr>
          <w:sz w:val="22"/>
          <w:szCs w:val="22"/>
        </w:rPr>
      </w:pPr>
      <w:r w:rsidRPr="00EA510F">
        <w:rPr>
          <w:sz w:val="22"/>
          <w:szCs w:val="22"/>
        </w:rPr>
        <w:t xml:space="preserve">Findings from this study are intended for use by OMH to report on </w:t>
      </w:r>
      <w:r w:rsidR="00602A1D" w:rsidRPr="00EA510F">
        <w:rPr>
          <w:sz w:val="22"/>
          <w:szCs w:val="22"/>
        </w:rPr>
        <w:t>a</w:t>
      </w:r>
      <w:r w:rsidR="000162FC">
        <w:rPr>
          <w:sz w:val="22"/>
          <w:szCs w:val="22"/>
        </w:rPr>
        <w:t>n</w:t>
      </w:r>
      <w:r w:rsidR="00FE0A0F">
        <w:rPr>
          <w:sz w:val="22"/>
          <w:szCs w:val="22"/>
        </w:rPr>
        <w:t xml:space="preserve"> </w:t>
      </w:r>
      <w:r w:rsidRPr="00EA510F">
        <w:rPr>
          <w:sz w:val="22"/>
          <w:szCs w:val="22"/>
        </w:rPr>
        <w:t>approved</w:t>
      </w:r>
      <w:r w:rsidR="00825DBD" w:rsidRPr="00EA510F">
        <w:rPr>
          <w:sz w:val="22"/>
          <w:szCs w:val="22"/>
        </w:rPr>
        <w:t xml:space="preserve"> and mandated</w:t>
      </w:r>
      <w:r w:rsidRPr="00EA510F">
        <w:rPr>
          <w:sz w:val="22"/>
          <w:szCs w:val="22"/>
        </w:rPr>
        <w:t xml:space="preserve"> </w:t>
      </w:r>
      <w:r w:rsidR="00B805C8" w:rsidRPr="00EA510F">
        <w:rPr>
          <w:sz w:val="22"/>
          <w:szCs w:val="22"/>
        </w:rPr>
        <w:t>performance</w:t>
      </w:r>
      <w:r w:rsidR="00BB6B9E" w:rsidRPr="00EA510F">
        <w:rPr>
          <w:sz w:val="22"/>
          <w:szCs w:val="22"/>
        </w:rPr>
        <w:t xml:space="preserve"> measure: to</w:t>
      </w:r>
      <w:r w:rsidRPr="00EA510F">
        <w:rPr>
          <w:sz w:val="22"/>
          <w:szCs w:val="22"/>
        </w:rPr>
        <w:t xml:space="preserve"> </w:t>
      </w:r>
      <w:r w:rsidR="00B805C8" w:rsidRPr="00EA510F">
        <w:rPr>
          <w:sz w:val="22"/>
          <w:szCs w:val="22"/>
        </w:rPr>
        <w:t xml:space="preserve">increase awareness of racial/ethnic health disparities in the general population. </w:t>
      </w:r>
      <w:r w:rsidR="00825DBD" w:rsidRPr="00EA510F">
        <w:rPr>
          <w:sz w:val="22"/>
          <w:szCs w:val="22"/>
        </w:rPr>
        <w:t>No</w:t>
      </w:r>
      <w:r w:rsidR="00C9602F" w:rsidRPr="00EA510F">
        <w:rPr>
          <w:sz w:val="22"/>
          <w:szCs w:val="22"/>
        </w:rPr>
        <w:t>t</w:t>
      </w:r>
      <w:r w:rsidR="00825DBD" w:rsidRPr="00EA510F">
        <w:rPr>
          <w:sz w:val="22"/>
          <w:szCs w:val="22"/>
        </w:rPr>
        <w:t xml:space="preserve"> fielding the survey instrument will severely limit OMH’s ability to be in compliance with their </w:t>
      </w:r>
      <w:r w:rsidR="00FE0A0F">
        <w:rPr>
          <w:sz w:val="22"/>
          <w:szCs w:val="22"/>
        </w:rPr>
        <w:t>performance budgeting and</w:t>
      </w:r>
      <w:r w:rsidR="00825DBD" w:rsidRPr="00EA510F">
        <w:rPr>
          <w:sz w:val="22"/>
          <w:szCs w:val="22"/>
        </w:rPr>
        <w:t xml:space="preserve"> reporting requirements</w:t>
      </w:r>
      <w:r w:rsidR="007C1C8F">
        <w:rPr>
          <w:sz w:val="22"/>
          <w:szCs w:val="22"/>
        </w:rPr>
        <w:t xml:space="preserve"> under GPRA.</w:t>
      </w:r>
      <w:r w:rsidR="00825DBD" w:rsidRPr="00EA510F">
        <w:rPr>
          <w:sz w:val="22"/>
          <w:szCs w:val="22"/>
        </w:rPr>
        <w:t xml:space="preserve">   </w:t>
      </w:r>
    </w:p>
    <w:p w:rsidR="00825DBD" w:rsidRPr="00EA510F" w:rsidRDefault="00825DBD" w:rsidP="00CD7A65">
      <w:pPr>
        <w:jc w:val="both"/>
        <w:rPr>
          <w:sz w:val="22"/>
          <w:szCs w:val="22"/>
        </w:rPr>
      </w:pPr>
    </w:p>
    <w:p w:rsidR="008C672C" w:rsidRPr="00EA510F" w:rsidRDefault="008C672C" w:rsidP="00C608EB">
      <w:pPr>
        <w:ind w:left="540"/>
        <w:jc w:val="both"/>
        <w:rPr>
          <w:sz w:val="22"/>
          <w:szCs w:val="22"/>
        </w:rPr>
      </w:pPr>
      <w:r w:rsidRPr="00EA510F">
        <w:rPr>
          <w:sz w:val="22"/>
          <w:szCs w:val="22"/>
        </w:rPr>
        <w:t xml:space="preserve">In addition, the </w:t>
      </w:r>
      <w:r w:rsidR="00390519" w:rsidRPr="00EA510F">
        <w:rPr>
          <w:sz w:val="22"/>
          <w:szCs w:val="22"/>
        </w:rPr>
        <w:t xml:space="preserve">proposed data collection will inform and support </w:t>
      </w:r>
      <w:r w:rsidRPr="00EA510F">
        <w:rPr>
          <w:sz w:val="22"/>
          <w:szCs w:val="22"/>
        </w:rPr>
        <w:t xml:space="preserve">the HHS objectives for transforming the health care system (by reducing racial and ethnic health disparities) and the </w:t>
      </w:r>
      <w:r w:rsidR="00C5120D" w:rsidRPr="00C5120D">
        <w:rPr>
          <w:i/>
          <w:sz w:val="22"/>
          <w:szCs w:val="22"/>
        </w:rPr>
        <w:t xml:space="preserve">Healthy People 2020 </w:t>
      </w:r>
      <w:r w:rsidRPr="00EA510F">
        <w:rPr>
          <w:sz w:val="22"/>
          <w:szCs w:val="22"/>
        </w:rPr>
        <w:t xml:space="preserve">goal </w:t>
      </w:r>
      <w:r w:rsidR="00C3717E">
        <w:rPr>
          <w:sz w:val="22"/>
          <w:szCs w:val="22"/>
        </w:rPr>
        <w:t>to a</w:t>
      </w:r>
      <w:r w:rsidR="00C3717E" w:rsidRPr="00C3717E">
        <w:rPr>
          <w:sz w:val="22"/>
          <w:szCs w:val="22"/>
        </w:rPr>
        <w:t>chieve health equity, eliminate disparities, and improve the health of all groups</w:t>
      </w:r>
      <w:r w:rsidRPr="00EA510F">
        <w:rPr>
          <w:sz w:val="22"/>
          <w:szCs w:val="22"/>
        </w:rPr>
        <w:t>.  Should the survey not be completed, the opportunity to identify areas of impro</w:t>
      </w:r>
      <w:r w:rsidR="00437743" w:rsidRPr="00EA510F">
        <w:rPr>
          <w:sz w:val="22"/>
          <w:szCs w:val="22"/>
        </w:rPr>
        <w:t>vement for expanding the public</w:t>
      </w:r>
      <w:r w:rsidR="00390519" w:rsidRPr="00EA510F">
        <w:rPr>
          <w:sz w:val="22"/>
          <w:szCs w:val="22"/>
        </w:rPr>
        <w:t>’</w:t>
      </w:r>
      <w:r w:rsidR="00437743" w:rsidRPr="00EA510F">
        <w:rPr>
          <w:sz w:val="22"/>
          <w:szCs w:val="22"/>
        </w:rPr>
        <w:t>s</w:t>
      </w:r>
      <w:r w:rsidRPr="00EA510F">
        <w:rPr>
          <w:sz w:val="22"/>
          <w:szCs w:val="22"/>
        </w:rPr>
        <w:t xml:space="preserve"> and physicians’ perceptions of racial and ethnic disparities in health</w:t>
      </w:r>
      <w:r w:rsidR="00602A1D" w:rsidRPr="00EA510F">
        <w:rPr>
          <w:sz w:val="22"/>
          <w:szCs w:val="22"/>
        </w:rPr>
        <w:t xml:space="preserve"> care</w:t>
      </w:r>
      <w:r w:rsidRPr="00EA510F">
        <w:rPr>
          <w:sz w:val="22"/>
          <w:szCs w:val="22"/>
        </w:rPr>
        <w:t xml:space="preserve"> will be lost.    </w:t>
      </w:r>
    </w:p>
    <w:p w:rsidR="00C608EB" w:rsidRDefault="00C608EB" w:rsidP="00C608EB">
      <w:pPr>
        <w:ind w:left="540"/>
        <w:jc w:val="both"/>
        <w:rPr>
          <w:sz w:val="22"/>
          <w:szCs w:val="22"/>
        </w:rPr>
      </w:pPr>
    </w:p>
    <w:p w:rsidR="00C608EB" w:rsidRPr="00EA510F" w:rsidRDefault="002A69EC" w:rsidP="00E0690F">
      <w:pPr>
        <w:ind w:firstLine="540"/>
        <w:jc w:val="both"/>
        <w:rPr>
          <w:sz w:val="22"/>
          <w:szCs w:val="22"/>
        </w:rPr>
      </w:pPr>
      <w:r>
        <w:rPr>
          <w:b/>
          <w:sz w:val="22"/>
          <w:szCs w:val="22"/>
          <w:u w:val="single"/>
        </w:rPr>
        <w:t xml:space="preserve">7.  </w:t>
      </w:r>
      <w:r w:rsidR="00680CBB">
        <w:rPr>
          <w:b/>
          <w:sz w:val="22"/>
          <w:szCs w:val="22"/>
          <w:u w:val="single"/>
        </w:rPr>
        <w:t>S</w:t>
      </w:r>
      <w:r w:rsidR="00680CBB">
        <w:rPr>
          <w:b/>
          <w:u w:val="single"/>
        </w:rPr>
        <w:t>pecial Circumstances Relating to the Guidelines of 5 CFR 1320.5</w:t>
      </w:r>
    </w:p>
    <w:p w:rsidR="00C608EB" w:rsidRPr="00EA510F" w:rsidRDefault="00C608EB" w:rsidP="00C608EB">
      <w:pPr>
        <w:ind w:left="540"/>
        <w:jc w:val="both"/>
        <w:rPr>
          <w:b/>
          <w:sz w:val="22"/>
          <w:szCs w:val="22"/>
          <w:u w:val="single"/>
        </w:rPr>
      </w:pPr>
    </w:p>
    <w:p w:rsidR="00B63593" w:rsidRPr="00EA510F" w:rsidRDefault="009C4D02" w:rsidP="00B63593">
      <w:pPr>
        <w:ind w:left="540"/>
        <w:rPr>
          <w:sz w:val="22"/>
          <w:szCs w:val="22"/>
        </w:rPr>
      </w:pPr>
      <w:r w:rsidRPr="00EA510F">
        <w:rPr>
          <w:sz w:val="22"/>
          <w:szCs w:val="22"/>
        </w:rPr>
        <w:t xml:space="preserve">No special circumstances apply.  </w:t>
      </w:r>
      <w:r w:rsidR="00B63593" w:rsidRPr="00EA510F">
        <w:rPr>
          <w:sz w:val="22"/>
          <w:szCs w:val="22"/>
        </w:rPr>
        <w:t xml:space="preserve">This request complies with the information collection guidelines of 5 CFR 1320.5(d)(2).    </w:t>
      </w:r>
    </w:p>
    <w:p w:rsidR="00514FFB" w:rsidRPr="00EA510F" w:rsidRDefault="00514FFB" w:rsidP="00B63593">
      <w:pPr>
        <w:ind w:left="540"/>
        <w:rPr>
          <w:sz w:val="22"/>
          <w:szCs w:val="22"/>
        </w:rPr>
      </w:pPr>
    </w:p>
    <w:p w:rsidR="004F6F5E" w:rsidRPr="00E0690F" w:rsidRDefault="00680CBB" w:rsidP="00E0690F">
      <w:pPr>
        <w:ind w:firstLine="540"/>
        <w:jc w:val="both"/>
        <w:rPr>
          <w:b/>
          <w:u w:val="single"/>
        </w:rPr>
      </w:pPr>
      <w:r w:rsidRPr="00E0690F">
        <w:rPr>
          <w:b/>
          <w:u w:val="single"/>
        </w:rPr>
        <w:t>8.  Comments in Response to the Federal Register Notice/Outside Consultation</w:t>
      </w:r>
    </w:p>
    <w:p w:rsidR="00680CBB" w:rsidRPr="00680CBB" w:rsidRDefault="00680CBB" w:rsidP="00CD7A65">
      <w:pPr>
        <w:jc w:val="both"/>
        <w:rPr>
          <w:b/>
          <w:sz w:val="22"/>
          <w:szCs w:val="22"/>
          <w:u w:val="single"/>
        </w:rPr>
      </w:pPr>
    </w:p>
    <w:p w:rsidR="00131E44" w:rsidRPr="00EA510F" w:rsidRDefault="004F6F5E" w:rsidP="00D574DD">
      <w:pPr>
        <w:tabs>
          <w:tab w:val="left" w:pos="0"/>
        </w:tabs>
        <w:ind w:left="540"/>
        <w:jc w:val="both"/>
        <w:rPr>
          <w:sz w:val="22"/>
          <w:szCs w:val="22"/>
        </w:rPr>
      </w:pPr>
      <w:r w:rsidRPr="00EA510F">
        <w:rPr>
          <w:sz w:val="22"/>
          <w:szCs w:val="22"/>
        </w:rPr>
        <w:t xml:space="preserve">In addition to internal review by </w:t>
      </w:r>
      <w:r w:rsidR="00155B7D" w:rsidRPr="00EA510F">
        <w:rPr>
          <w:sz w:val="22"/>
          <w:szCs w:val="22"/>
        </w:rPr>
        <w:t>staff from the HHS O</w:t>
      </w:r>
      <w:r w:rsidR="004C19F0">
        <w:rPr>
          <w:sz w:val="22"/>
          <w:szCs w:val="22"/>
        </w:rPr>
        <w:t>A</w:t>
      </w:r>
      <w:r w:rsidR="00155B7D" w:rsidRPr="00EA510F">
        <w:rPr>
          <w:sz w:val="22"/>
          <w:szCs w:val="22"/>
        </w:rPr>
        <w:t>S</w:t>
      </w:r>
      <w:r w:rsidR="004C19F0">
        <w:rPr>
          <w:sz w:val="22"/>
          <w:szCs w:val="22"/>
        </w:rPr>
        <w:t>H</w:t>
      </w:r>
      <w:r w:rsidR="00155B7D" w:rsidRPr="00EA510F">
        <w:rPr>
          <w:sz w:val="22"/>
          <w:szCs w:val="22"/>
        </w:rPr>
        <w:t xml:space="preserve"> and </w:t>
      </w:r>
      <w:r w:rsidRPr="00EA510F">
        <w:rPr>
          <w:sz w:val="22"/>
          <w:szCs w:val="22"/>
        </w:rPr>
        <w:t xml:space="preserve">OMH, planning for this survey solicited input on data collection efforts from outside reviewers in </w:t>
      </w:r>
      <w:r w:rsidR="00B805C8" w:rsidRPr="00EA510F">
        <w:rPr>
          <w:sz w:val="22"/>
          <w:szCs w:val="22"/>
        </w:rPr>
        <w:t>three</w:t>
      </w:r>
      <w:r w:rsidRPr="00EA510F">
        <w:rPr>
          <w:sz w:val="22"/>
          <w:szCs w:val="22"/>
        </w:rPr>
        <w:t xml:space="preserve"> ways:</w:t>
      </w:r>
      <w:r w:rsidR="00D41002" w:rsidRPr="00EA510F">
        <w:rPr>
          <w:sz w:val="22"/>
          <w:szCs w:val="22"/>
        </w:rPr>
        <w:t xml:space="preserve"> (1) comment from the public as response to a </w:t>
      </w:r>
      <w:r w:rsidR="00D41002" w:rsidRPr="00EA510F">
        <w:rPr>
          <w:i/>
          <w:sz w:val="22"/>
          <w:szCs w:val="22"/>
        </w:rPr>
        <w:t>Federal Register Notice</w:t>
      </w:r>
      <w:r w:rsidR="00D41002" w:rsidRPr="00EA510F">
        <w:rPr>
          <w:sz w:val="22"/>
          <w:szCs w:val="22"/>
        </w:rPr>
        <w:t>; (2) consultations with respondent representatives and (3) consultations with technical experts.</w:t>
      </w:r>
      <w:r w:rsidR="00D41002" w:rsidRPr="00EA510F" w:rsidDel="00D41002">
        <w:rPr>
          <w:sz w:val="22"/>
          <w:szCs w:val="22"/>
        </w:rPr>
        <w:t xml:space="preserve"> </w:t>
      </w:r>
    </w:p>
    <w:p w:rsidR="002522C6" w:rsidRPr="00FE0A0F" w:rsidRDefault="00D41002" w:rsidP="00D574DD">
      <w:pPr>
        <w:spacing w:before="240"/>
        <w:ind w:left="540"/>
        <w:jc w:val="both"/>
        <w:rPr>
          <w:sz w:val="22"/>
          <w:szCs w:val="22"/>
        </w:rPr>
      </w:pPr>
      <w:r w:rsidRPr="00EA510F">
        <w:rPr>
          <w:sz w:val="22"/>
          <w:szCs w:val="22"/>
        </w:rPr>
        <w:lastRenderedPageBreak/>
        <w:t xml:space="preserve">A 60-day Federal Register notice </w:t>
      </w:r>
      <w:r w:rsidR="00930C88">
        <w:rPr>
          <w:sz w:val="22"/>
          <w:szCs w:val="22"/>
        </w:rPr>
        <w:t>was</w:t>
      </w:r>
      <w:r w:rsidRPr="00EA510F">
        <w:rPr>
          <w:sz w:val="22"/>
          <w:szCs w:val="22"/>
        </w:rPr>
        <w:t xml:space="preserve"> pub</w:t>
      </w:r>
      <w:r w:rsidR="00D574DD" w:rsidRPr="00EA510F">
        <w:rPr>
          <w:sz w:val="22"/>
          <w:szCs w:val="22"/>
        </w:rPr>
        <w:t>l</w:t>
      </w:r>
      <w:r w:rsidRPr="00EA510F">
        <w:rPr>
          <w:sz w:val="22"/>
          <w:szCs w:val="22"/>
        </w:rPr>
        <w:t xml:space="preserve">ished </w:t>
      </w:r>
      <w:r w:rsidRPr="00FE0A0F">
        <w:rPr>
          <w:sz w:val="22"/>
          <w:szCs w:val="22"/>
        </w:rPr>
        <w:t xml:space="preserve">in the </w:t>
      </w:r>
      <w:r w:rsidRPr="00FE0A0F">
        <w:rPr>
          <w:i/>
          <w:sz w:val="22"/>
          <w:szCs w:val="22"/>
        </w:rPr>
        <w:t>Federal Regi</w:t>
      </w:r>
      <w:r w:rsidR="00D574DD" w:rsidRPr="00FE0A0F">
        <w:rPr>
          <w:sz w:val="22"/>
          <w:szCs w:val="22"/>
        </w:rPr>
        <w:t xml:space="preserve">ster </w:t>
      </w:r>
      <w:r w:rsidR="00930C88" w:rsidRPr="00FE0A0F">
        <w:rPr>
          <w:sz w:val="22"/>
          <w:szCs w:val="22"/>
        </w:rPr>
        <w:t xml:space="preserve">on </w:t>
      </w:r>
      <w:r w:rsidR="00D76885">
        <w:rPr>
          <w:sz w:val="22"/>
          <w:szCs w:val="22"/>
        </w:rPr>
        <w:t>January 30</w:t>
      </w:r>
      <w:r w:rsidR="000162FC" w:rsidRPr="00FE0A0F">
        <w:rPr>
          <w:sz w:val="22"/>
          <w:szCs w:val="22"/>
        </w:rPr>
        <w:t>, 2012</w:t>
      </w:r>
      <w:r w:rsidR="00971683" w:rsidRPr="00FE0A0F">
        <w:rPr>
          <w:sz w:val="22"/>
          <w:szCs w:val="22"/>
        </w:rPr>
        <w:t xml:space="preserve">; Vol. </w:t>
      </w:r>
      <w:r w:rsidR="00D76885">
        <w:rPr>
          <w:sz w:val="22"/>
          <w:szCs w:val="22"/>
        </w:rPr>
        <w:t>77</w:t>
      </w:r>
      <w:r w:rsidR="00971683" w:rsidRPr="00FE0A0F">
        <w:rPr>
          <w:sz w:val="22"/>
          <w:szCs w:val="22"/>
        </w:rPr>
        <w:t xml:space="preserve">, No. </w:t>
      </w:r>
      <w:r w:rsidR="00D76885">
        <w:rPr>
          <w:sz w:val="22"/>
          <w:szCs w:val="22"/>
        </w:rPr>
        <w:t>19</w:t>
      </w:r>
      <w:r w:rsidR="00971683" w:rsidRPr="00FE0A0F">
        <w:rPr>
          <w:sz w:val="22"/>
          <w:szCs w:val="22"/>
        </w:rPr>
        <w:t>, p.</w:t>
      </w:r>
      <w:r w:rsidR="00D76885">
        <w:rPr>
          <w:sz w:val="22"/>
          <w:szCs w:val="22"/>
        </w:rPr>
        <w:t>4561</w:t>
      </w:r>
      <w:r w:rsidR="002F094A">
        <w:rPr>
          <w:sz w:val="22"/>
          <w:szCs w:val="22"/>
        </w:rPr>
        <w:t>. No</w:t>
      </w:r>
      <w:r w:rsidR="000162FC" w:rsidRPr="00FE0A0F">
        <w:rPr>
          <w:sz w:val="22"/>
          <w:szCs w:val="22"/>
        </w:rPr>
        <w:t xml:space="preserve"> </w:t>
      </w:r>
      <w:r w:rsidR="00971683" w:rsidRPr="00FE0A0F">
        <w:rPr>
          <w:sz w:val="22"/>
          <w:szCs w:val="22"/>
        </w:rPr>
        <w:t>public comments were received.</w:t>
      </w:r>
      <w:r w:rsidR="00930C88" w:rsidRPr="00FE0A0F">
        <w:rPr>
          <w:sz w:val="22"/>
          <w:szCs w:val="22"/>
        </w:rPr>
        <w:t xml:space="preserve"> </w:t>
      </w:r>
      <w:r w:rsidR="00A159C3">
        <w:rPr>
          <w:sz w:val="22"/>
          <w:szCs w:val="22"/>
        </w:rPr>
        <w:t>(Attachment</w:t>
      </w:r>
      <w:r w:rsidR="00C5120D" w:rsidRPr="00FE0A0F">
        <w:rPr>
          <w:sz w:val="22"/>
          <w:szCs w:val="22"/>
        </w:rPr>
        <w:t xml:space="preserve"> </w:t>
      </w:r>
      <w:r w:rsidR="0018782C" w:rsidRPr="00FE0A0F">
        <w:rPr>
          <w:sz w:val="22"/>
          <w:szCs w:val="22"/>
        </w:rPr>
        <w:t>F</w:t>
      </w:r>
      <w:r w:rsidR="00D574DD" w:rsidRPr="00FE0A0F">
        <w:rPr>
          <w:sz w:val="22"/>
          <w:szCs w:val="22"/>
        </w:rPr>
        <w:t xml:space="preserve">). </w:t>
      </w:r>
    </w:p>
    <w:p w:rsidR="00D41002" w:rsidRPr="00EA510F" w:rsidRDefault="002522C6" w:rsidP="00D574DD">
      <w:pPr>
        <w:spacing w:before="240"/>
        <w:ind w:left="540"/>
        <w:jc w:val="both"/>
        <w:rPr>
          <w:sz w:val="22"/>
          <w:szCs w:val="22"/>
        </w:rPr>
      </w:pPr>
      <w:r w:rsidRPr="00FE0A0F">
        <w:rPr>
          <w:sz w:val="22"/>
          <w:szCs w:val="22"/>
        </w:rPr>
        <w:t xml:space="preserve">Secondly, </w:t>
      </w:r>
      <w:r w:rsidR="004D097A" w:rsidRPr="00FE0A0F">
        <w:rPr>
          <w:sz w:val="22"/>
          <w:szCs w:val="22"/>
        </w:rPr>
        <w:t xml:space="preserve">both </w:t>
      </w:r>
      <w:r w:rsidRPr="00FE0A0F">
        <w:rPr>
          <w:sz w:val="22"/>
          <w:szCs w:val="22"/>
        </w:rPr>
        <w:t>d</w:t>
      </w:r>
      <w:r w:rsidR="004F6F5E" w:rsidRPr="00FE0A0F">
        <w:rPr>
          <w:sz w:val="22"/>
          <w:szCs w:val="22"/>
        </w:rPr>
        <w:t xml:space="preserve">ata collection instruments </w:t>
      </w:r>
      <w:r w:rsidR="004D097A" w:rsidRPr="00FE0A0F">
        <w:rPr>
          <w:sz w:val="22"/>
          <w:szCs w:val="22"/>
        </w:rPr>
        <w:t>were</w:t>
      </w:r>
      <w:r w:rsidR="00930C88" w:rsidRPr="00FE0A0F">
        <w:rPr>
          <w:sz w:val="22"/>
          <w:szCs w:val="22"/>
        </w:rPr>
        <w:t xml:space="preserve"> </w:t>
      </w:r>
      <w:r w:rsidR="004F6F5E" w:rsidRPr="00FE0A0F">
        <w:rPr>
          <w:sz w:val="22"/>
          <w:szCs w:val="22"/>
        </w:rPr>
        <w:t xml:space="preserve">piloted </w:t>
      </w:r>
      <w:r w:rsidR="00390519" w:rsidRPr="00FE0A0F">
        <w:rPr>
          <w:sz w:val="22"/>
          <w:szCs w:val="22"/>
        </w:rPr>
        <w:t xml:space="preserve">in </w:t>
      </w:r>
      <w:r w:rsidR="000162FC" w:rsidRPr="00FE0A0F">
        <w:rPr>
          <w:sz w:val="22"/>
          <w:szCs w:val="22"/>
        </w:rPr>
        <w:t>2008 and additional questions for this data collection will be piloted during the OMB review period</w:t>
      </w:r>
      <w:r w:rsidR="00FE0A0F">
        <w:rPr>
          <w:sz w:val="22"/>
          <w:szCs w:val="22"/>
        </w:rPr>
        <w:t xml:space="preserve"> </w:t>
      </w:r>
      <w:r w:rsidR="00390519" w:rsidRPr="00FE0A0F">
        <w:rPr>
          <w:sz w:val="22"/>
          <w:szCs w:val="22"/>
        </w:rPr>
        <w:t xml:space="preserve">by </w:t>
      </w:r>
      <w:r w:rsidR="004F6F5E" w:rsidRPr="00FE0A0F">
        <w:rPr>
          <w:sz w:val="22"/>
          <w:szCs w:val="22"/>
        </w:rPr>
        <w:t xml:space="preserve">conducting interviews </w:t>
      </w:r>
      <w:r w:rsidR="00BB6B9E" w:rsidRPr="00FE0A0F">
        <w:rPr>
          <w:sz w:val="22"/>
          <w:szCs w:val="22"/>
        </w:rPr>
        <w:t>with nine individuals</w:t>
      </w:r>
      <w:r w:rsidR="00B63593" w:rsidRPr="00FE0A0F">
        <w:rPr>
          <w:sz w:val="22"/>
          <w:szCs w:val="22"/>
        </w:rPr>
        <w:t xml:space="preserve"> per instrument</w:t>
      </w:r>
      <w:r w:rsidR="00BB6B9E" w:rsidRPr="00FE0A0F">
        <w:rPr>
          <w:sz w:val="22"/>
          <w:szCs w:val="22"/>
        </w:rPr>
        <w:t>.</w:t>
      </w:r>
      <w:r w:rsidR="004F6F5E" w:rsidRPr="00FE0A0F">
        <w:rPr>
          <w:sz w:val="22"/>
          <w:szCs w:val="22"/>
        </w:rPr>
        <w:t xml:space="preserve"> </w:t>
      </w:r>
      <w:r w:rsidR="00BB6B9E" w:rsidRPr="00FE0A0F">
        <w:rPr>
          <w:sz w:val="22"/>
          <w:szCs w:val="22"/>
        </w:rPr>
        <w:t>In addition to completing the draft survey questionnaire, p</w:t>
      </w:r>
      <w:r w:rsidR="004F6F5E" w:rsidRPr="00FE0A0F">
        <w:rPr>
          <w:sz w:val="22"/>
          <w:szCs w:val="22"/>
        </w:rPr>
        <w:t xml:space="preserve">ilot test respondents </w:t>
      </w:r>
      <w:r w:rsidR="00930C88" w:rsidRPr="00FE0A0F">
        <w:rPr>
          <w:sz w:val="22"/>
          <w:szCs w:val="22"/>
        </w:rPr>
        <w:t>were</w:t>
      </w:r>
      <w:r w:rsidR="004F6F5E" w:rsidRPr="00FE0A0F">
        <w:rPr>
          <w:sz w:val="22"/>
          <w:szCs w:val="22"/>
        </w:rPr>
        <w:t xml:space="preserve"> asked to participate in a brief interview to assess the questionnaire.  The interview </w:t>
      </w:r>
      <w:r w:rsidR="00B805C8" w:rsidRPr="00FE0A0F">
        <w:rPr>
          <w:sz w:val="22"/>
          <w:szCs w:val="22"/>
        </w:rPr>
        <w:t>focus</w:t>
      </w:r>
      <w:r w:rsidR="00930C88" w:rsidRPr="00FE0A0F">
        <w:rPr>
          <w:sz w:val="22"/>
          <w:szCs w:val="22"/>
        </w:rPr>
        <w:t>ed</w:t>
      </w:r>
      <w:r w:rsidR="004F6F5E" w:rsidRPr="00FE0A0F">
        <w:rPr>
          <w:sz w:val="22"/>
          <w:szCs w:val="22"/>
        </w:rPr>
        <w:t xml:space="preserve"> on: 1) the appropr</w:t>
      </w:r>
      <w:r w:rsidR="004D097A" w:rsidRPr="00FE0A0F">
        <w:rPr>
          <w:sz w:val="22"/>
          <w:szCs w:val="22"/>
        </w:rPr>
        <w:t>iateness of response categories</w:t>
      </w:r>
      <w:r w:rsidR="004F6F5E" w:rsidRPr="00FE0A0F">
        <w:rPr>
          <w:sz w:val="22"/>
          <w:szCs w:val="22"/>
        </w:rPr>
        <w:t>;</w:t>
      </w:r>
      <w:r w:rsidR="004D097A" w:rsidRPr="00FE0A0F">
        <w:rPr>
          <w:sz w:val="22"/>
          <w:szCs w:val="22"/>
        </w:rPr>
        <w:t xml:space="preserve"> 2) clarity of instructions; 3</w:t>
      </w:r>
      <w:r w:rsidR="004F6F5E" w:rsidRPr="00FE0A0F">
        <w:rPr>
          <w:sz w:val="22"/>
          <w:szCs w:val="22"/>
        </w:rPr>
        <w:t>) information recall;</w:t>
      </w:r>
      <w:r w:rsidR="004D097A" w:rsidRPr="00FE0A0F">
        <w:rPr>
          <w:sz w:val="22"/>
          <w:szCs w:val="22"/>
        </w:rPr>
        <w:t xml:space="preserve"> and</w:t>
      </w:r>
      <w:r w:rsidR="004F6F5E" w:rsidRPr="00FE0A0F">
        <w:rPr>
          <w:sz w:val="22"/>
          <w:szCs w:val="22"/>
        </w:rPr>
        <w:t xml:space="preserve"> </w:t>
      </w:r>
      <w:r w:rsidR="004D097A" w:rsidRPr="00FE0A0F">
        <w:rPr>
          <w:sz w:val="22"/>
          <w:szCs w:val="22"/>
        </w:rPr>
        <w:t>4</w:t>
      </w:r>
      <w:r w:rsidR="004F6F5E" w:rsidRPr="00FE0A0F">
        <w:rPr>
          <w:sz w:val="22"/>
          <w:szCs w:val="22"/>
        </w:rPr>
        <w:t>) question comprehension.</w:t>
      </w:r>
      <w:r w:rsidR="009C4D02" w:rsidRPr="00FE0A0F">
        <w:rPr>
          <w:sz w:val="22"/>
          <w:szCs w:val="22"/>
        </w:rPr>
        <w:t xml:space="preserve"> </w:t>
      </w:r>
      <w:r w:rsidR="00D41002" w:rsidRPr="00FE0A0F">
        <w:rPr>
          <w:sz w:val="22"/>
          <w:szCs w:val="22"/>
        </w:rPr>
        <w:t xml:space="preserve"> Results from the </w:t>
      </w:r>
      <w:r w:rsidR="000162FC" w:rsidRPr="00FE0A0F">
        <w:rPr>
          <w:sz w:val="22"/>
          <w:szCs w:val="22"/>
        </w:rPr>
        <w:t xml:space="preserve">2008 </w:t>
      </w:r>
      <w:r w:rsidR="00D41002" w:rsidRPr="00FE0A0F">
        <w:rPr>
          <w:sz w:val="22"/>
          <w:szCs w:val="22"/>
        </w:rPr>
        <w:t xml:space="preserve">pilot test </w:t>
      </w:r>
      <w:r w:rsidR="00930C88" w:rsidRPr="00FE0A0F">
        <w:rPr>
          <w:sz w:val="22"/>
          <w:szCs w:val="22"/>
        </w:rPr>
        <w:t>are</w:t>
      </w:r>
      <w:r w:rsidR="00D41002" w:rsidRPr="00FE0A0F">
        <w:rPr>
          <w:sz w:val="22"/>
          <w:szCs w:val="22"/>
        </w:rPr>
        <w:t xml:space="preserve"> i</w:t>
      </w:r>
      <w:r w:rsidR="00930C88" w:rsidRPr="00FE0A0F">
        <w:rPr>
          <w:sz w:val="22"/>
          <w:szCs w:val="22"/>
        </w:rPr>
        <w:t xml:space="preserve">ncluded as an attachment in this </w:t>
      </w:r>
      <w:r w:rsidR="00D41002" w:rsidRPr="00FE0A0F">
        <w:rPr>
          <w:sz w:val="22"/>
          <w:szCs w:val="22"/>
        </w:rPr>
        <w:t>clearance package (</w:t>
      </w:r>
      <w:r w:rsidR="00C5120D" w:rsidRPr="00FE0A0F">
        <w:rPr>
          <w:sz w:val="22"/>
          <w:szCs w:val="22"/>
        </w:rPr>
        <w:t xml:space="preserve">Attachment </w:t>
      </w:r>
      <w:r w:rsidR="0018782C" w:rsidRPr="00FE0A0F">
        <w:rPr>
          <w:sz w:val="22"/>
          <w:szCs w:val="22"/>
        </w:rPr>
        <w:t>G</w:t>
      </w:r>
      <w:r w:rsidR="00D41002" w:rsidRPr="00FE0A0F">
        <w:rPr>
          <w:sz w:val="22"/>
          <w:szCs w:val="22"/>
        </w:rPr>
        <w:t>).</w:t>
      </w:r>
      <w:r w:rsidR="00D41002" w:rsidRPr="00EA510F">
        <w:rPr>
          <w:sz w:val="22"/>
          <w:szCs w:val="22"/>
        </w:rPr>
        <w:t xml:space="preserve"> </w:t>
      </w:r>
    </w:p>
    <w:p w:rsidR="00F3736E" w:rsidRPr="00EA510F" w:rsidRDefault="004F6F5E" w:rsidP="00CD7A65">
      <w:pPr>
        <w:jc w:val="both"/>
        <w:rPr>
          <w:b/>
          <w:sz w:val="22"/>
          <w:szCs w:val="22"/>
        </w:rPr>
      </w:pPr>
      <w:r w:rsidRPr="00EA510F">
        <w:rPr>
          <w:b/>
          <w:sz w:val="22"/>
          <w:szCs w:val="22"/>
        </w:rPr>
        <w:tab/>
      </w:r>
    </w:p>
    <w:p w:rsidR="004F6F5E" w:rsidRPr="00EA510F" w:rsidRDefault="002522C6" w:rsidP="00D574DD">
      <w:pPr>
        <w:ind w:left="540"/>
        <w:jc w:val="both"/>
        <w:rPr>
          <w:sz w:val="22"/>
          <w:szCs w:val="22"/>
        </w:rPr>
      </w:pPr>
      <w:r w:rsidRPr="00EA510F">
        <w:rPr>
          <w:sz w:val="22"/>
          <w:szCs w:val="22"/>
        </w:rPr>
        <w:t>Thirdly, t</w:t>
      </w:r>
      <w:r w:rsidR="00F3736E" w:rsidRPr="00EA510F">
        <w:rPr>
          <w:sz w:val="22"/>
          <w:szCs w:val="22"/>
        </w:rPr>
        <w:t>he survey instrument</w:t>
      </w:r>
      <w:r w:rsidR="00437743" w:rsidRPr="00EA510F">
        <w:rPr>
          <w:sz w:val="22"/>
          <w:szCs w:val="22"/>
        </w:rPr>
        <w:t>s</w:t>
      </w:r>
      <w:r w:rsidR="00F3736E" w:rsidRPr="00EA510F">
        <w:rPr>
          <w:sz w:val="22"/>
          <w:szCs w:val="22"/>
        </w:rPr>
        <w:t xml:space="preserve"> and </w:t>
      </w:r>
      <w:r w:rsidR="00602A1D" w:rsidRPr="00EA510F">
        <w:rPr>
          <w:sz w:val="22"/>
          <w:szCs w:val="22"/>
        </w:rPr>
        <w:t>the</w:t>
      </w:r>
      <w:r w:rsidR="00F3736E" w:rsidRPr="00EA510F">
        <w:rPr>
          <w:sz w:val="22"/>
          <w:szCs w:val="22"/>
        </w:rPr>
        <w:t xml:space="preserve"> corresponding protocols </w:t>
      </w:r>
      <w:r w:rsidR="00930C88">
        <w:rPr>
          <w:sz w:val="22"/>
          <w:szCs w:val="22"/>
        </w:rPr>
        <w:t xml:space="preserve">have been </w:t>
      </w:r>
      <w:r w:rsidR="00F3736E" w:rsidRPr="00EA510F">
        <w:rPr>
          <w:sz w:val="22"/>
          <w:szCs w:val="22"/>
        </w:rPr>
        <w:t xml:space="preserve">reviewed and revised by an experienced group of researchers who </w:t>
      </w:r>
      <w:r w:rsidR="00602A1D" w:rsidRPr="00EA510F">
        <w:rPr>
          <w:sz w:val="22"/>
          <w:szCs w:val="22"/>
        </w:rPr>
        <w:t>are familiar with previous</w:t>
      </w:r>
      <w:r w:rsidR="00F3736E" w:rsidRPr="00EA510F">
        <w:rPr>
          <w:sz w:val="22"/>
          <w:szCs w:val="22"/>
        </w:rPr>
        <w:t xml:space="preserve"> national surveys that included some of the items (included in the proposed instrument) which speak to aw</w:t>
      </w:r>
      <w:r w:rsidR="00E569F2">
        <w:rPr>
          <w:sz w:val="22"/>
          <w:szCs w:val="22"/>
        </w:rPr>
        <w:t>areness of health disparities.</w:t>
      </w:r>
    </w:p>
    <w:p w:rsidR="00C608EB" w:rsidRPr="00EA510F" w:rsidRDefault="00C608EB" w:rsidP="00CD7A65">
      <w:pPr>
        <w:ind w:left="720"/>
        <w:jc w:val="both"/>
        <w:rPr>
          <w:sz w:val="22"/>
          <w:szCs w:val="22"/>
        </w:rPr>
      </w:pPr>
    </w:p>
    <w:p w:rsidR="00D41002" w:rsidRPr="007F1134" w:rsidRDefault="00D41002" w:rsidP="00D574DD">
      <w:pPr>
        <w:numPr>
          <w:ilvl w:val="0"/>
          <w:numId w:val="13"/>
        </w:numPr>
        <w:ind w:left="1440"/>
        <w:jc w:val="both"/>
        <w:rPr>
          <w:sz w:val="22"/>
          <w:szCs w:val="22"/>
          <w:lang w:val="es-ES"/>
        </w:rPr>
      </w:pPr>
      <w:r w:rsidRPr="007F1134">
        <w:rPr>
          <w:sz w:val="22"/>
          <w:szCs w:val="22"/>
          <w:lang w:val="es-ES"/>
        </w:rPr>
        <w:t>Cara V. James, Ph.D.</w:t>
      </w:r>
    </w:p>
    <w:p w:rsidR="00D41002" w:rsidRPr="007F1134" w:rsidRDefault="00D41002" w:rsidP="00D574DD">
      <w:pPr>
        <w:autoSpaceDE w:val="0"/>
        <w:autoSpaceDN w:val="0"/>
        <w:ind w:left="1080" w:firstLine="360"/>
        <w:jc w:val="both"/>
        <w:rPr>
          <w:sz w:val="22"/>
          <w:szCs w:val="22"/>
        </w:rPr>
      </w:pPr>
      <w:r w:rsidRPr="007F1134">
        <w:rPr>
          <w:sz w:val="22"/>
          <w:szCs w:val="22"/>
        </w:rPr>
        <w:t>Senior Policy Analyst</w:t>
      </w:r>
    </w:p>
    <w:p w:rsidR="00D41002" w:rsidRPr="007F1134" w:rsidRDefault="00D41002" w:rsidP="00D574DD">
      <w:pPr>
        <w:autoSpaceDE w:val="0"/>
        <w:autoSpaceDN w:val="0"/>
        <w:ind w:left="1080" w:firstLine="360"/>
        <w:jc w:val="both"/>
        <w:rPr>
          <w:sz w:val="22"/>
          <w:szCs w:val="22"/>
        </w:rPr>
      </w:pPr>
      <w:r w:rsidRPr="007F1134">
        <w:rPr>
          <w:sz w:val="22"/>
          <w:szCs w:val="22"/>
        </w:rPr>
        <w:t>Kaiser Family Foundation</w:t>
      </w:r>
    </w:p>
    <w:p w:rsidR="00D41002" w:rsidRPr="007F1134" w:rsidRDefault="00D41002" w:rsidP="00D574DD">
      <w:pPr>
        <w:autoSpaceDE w:val="0"/>
        <w:autoSpaceDN w:val="0"/>
        <w:ind w:left="1080" w:firstLine="360"/>
        <w:jc w:val="both"/>
        <w:rPr>
          <w:sz w:val="22"/>
          <w:szCs w:val="22"/>
        </w:rPr>
      </w:pPr>
      <w:r w:rsidRPr="007F1134">
        <w:rPr>
          <w:sz w:val="22"/>
          <w:szCs w:val="22"/>
        </w:rPr>
        <w:t>1330 G St., NW</w:t>
      </w:r>
    </w:p>
    <w:p w:rsidR="00D41002" w:rsidRPr="007F1134" w:rsidRDefault="00D41002" w:rsidP="00D41002">
      <w:pPr>
        <w:ind w:left="720" w:firstLine="720"/>
        <w:jc w:val="both"/>
        <w:rPr>
          <w:sz w:val="22"/>
          <w:szCs w:val="22"/>
        </w:rPr>
      </w:pPr>
      <w:r w:rsidRPr="007F1134">
        <w:rPr>
          <w:sz w:val="22"/>
          <w:szCs w:val="22"/>
        </w:rPr>
        <w:t>Washington, DC 20005</w:t>
      </w:r>
    </w:p>
    <w:p w:rsidR="00D41002" w:rsidRPr="00EA510F" w:rsidRDefault="00D41002" w:rsidP="00D41002">
      <w:pPr>
        <w:ind w:left="720" w:firstLine="720"/>
        <w:jc w:val="both"/>
        <w:rPr>
          <w:sz w:val="22"/>
          <w:szCs w:val="22"/>
        </w:rPr>
      </w:pPr>
      <w:r w:rsidRPr="007F1134">
        <w:rPr>
          <w:sz w:val="22"/>
          <w:szCs w:val="22"/>
        </w:rPr>
        <w:t>Phone: (202) 347-5270</w:t>
      </w:r>
    </w:p>
    <w:p w:rsidR="00D41002" w:rsidRPr="00EA510F" w:rsidRDefault="00D41002" w:rsidP="00D41002">
      <w:pPr>
        <w:ind w:left="720"/>
        <w:jc w:val="both"/>
        <w:rPr>
          <w:sz w:val="22"/>
          <w:szCs w:val="22"/>
        </w:rPr>
      </w:pPr>
    </w:p>
    <w:p w:rsidR="00D41002" w:rsidRPr="00EA510F" w:rsidRDefault="00D41002" w:rsidP="00D41002">
      <w:pPr>
        <w:numPr>
          <w:ilvl w:val="0"/>
          <w:numId w:val="6"/>
        </w:numPr>
        <w:jc w:val="both"/>
        <w:rPr>
          <w:sz w:val="22"/>
          <w:szCs w:val="22"/>
        </w:rPr>
      </w:pPr>
      <w:r w:rsidRPr="00EA510F">
        <w:rPr>
          <w:sz w:val="22"/>
          <w:szCs w:val="22"/>
        </w:rPr>
        <w:t>Elisabeth Wilson, MD, MPH</w:t>
      </w:r>
    </w:p>
    <w:p w:rsidR="00D41002" w:rsidRPr="00EA510F" w:rsidRDefault="00D41002" w:rsidP="00D41002">
      <w:pPr>
        <w:ind w:left="720" w:firstLine="720"/>
        <w:jc w:val="both"/>
        <w:rPr>
          <w:sz w:val="22"/>
          <w:szCs w:val="22"/>
        </w:rPr>
      </w:pPr>
      <w:r w:rsidRPr="00EA510F">
        <w:rPr>
          <w:sz w:val="22"/>
          <w:szCs w:val="22"/>
        </w:rPr>
        <w:t>Assistant Clinical Professor</w:t>
      </w:r>
    </w:p>
    <w:p w:rsidR="00D41002" w:rsidRPr="00EA510F" w:rsidRDefault="00D41002" w:rsidP="00D41002">
      <w:pPr>
        <w:ind w:left="720" w:firstLine="720"/>
        <w:jc w:val="both"/>
        <w:rPr>
          <w:sz w:val="22"/>
          <w:szCs w:val="22"/>
        </w:rPr>
      </w:pPr>
      <w:r w:rsidRPr="00EA510F">
        <w:rPr>
          <w:sz w:val="22"/>
          <w:szCs w:val="22"/>
        </w:rPr>
        <w:t xml:space="preserve">Family and Community Medicine </w:t>
      </w:r>
    </w:p>
    <w:p w:rsidR="00D41002" w:rsidRPr="00EA510F" w:rsidRDefault="00D41002" w:rsidP="00D41002">
      <w:pPr>
        <w:ind w:left="720" w:firstLine="720"/>
        <w:jc w:val="both"/>
        <w:rPr>
          <w:sz w:val="22"/>
          <w:szCs w:val="22"/>
        </w:rPr>
      </w:pPr>
      <w:r w:rsidRPr="00EA510F">
        <w:rPr>
          <w:sz w:val="22"/>
          <w:szCs w:val="22"/>
        </w:rPr>
        <w:t>University of California, San Francisco</w:t>
      </w:r>
    </w:p>
    <w:p w:rsidR="00D41002" w:rsidRPr="00EA510F" w:rsidRDefault="00D41002" w:rsidP="00D41002">
      <w:pPr>
        <w:ind w:left="720" w:firstLine="720"/>
        <w:jc w:val="both"/>
        <w:rPr>
          <w:sz w:val="22"/>
          <w:szCs w:val="22"/>
        </w:rPr>
      </w:pPr>
      <w:r w:rsidRPr="00EA510F">
        <w:rPr>
          <w:sz w:val="22"/>
          <w:szCs w:val="22"/>
        </w:rPr>
        <w:t>Box SFGH - B80 WD83 , 1001 Potrero Ave, SFGH 80 Wd83</w:t>
      </w:r>
    </w:p>
    <w:p w:rsidR="00D41002" w:rsidRPr="00EA510F" w:rsidRDefault="00D41002" w:rsidP="00D41002">
      <w:pPr>
        <w:ind w:left="720" w:firstLine="720"/>
        <w:jc w:val="both"/>
        <w:rPr>
          <w:sz w:val="22"/>
          <w:szCs w:val="22"/>
        </w:rPr>
      </w:pPr>
      <w:r w:rsidRPr="00EA510F">
        <w:rPr>
          <w:sz w:val="22"/>
          <w:szCs w:val="22"/>
        </w:rPr>
        <w:t xml:space="preserve">San Francisco, CA. 94143 </w:t>
      </w:r>
    </w:p>
    <w:p w:rsidR="00D41002" w:rsidRPr="00EA510F" w:rsidRDefault="00D41002" w:rsidP="00D41002">
      <w:pPr>
        <w:ind w:left="720" w:firstLine="720"/>
        <w:jc w:val="both"/>
        <w:rPr>
          <w:sz w:val="22"/>
          <w:szCs w:val="22"/>
        </w:rPr>
      </w:pPr>
      <w:r w:rsidRPr="00EA510F">
        <w:rPr>
          <w:sz w:val="22"/>
          <w:szCs w:val="22"/>
        </w:rPr>
        <w:t>Phone: (415) 206-8717</w:t>
      </w:r>
    </w:p>
    <w:p w:rsidR="002F6F49" w:rsidRDefault="002F6F49" w:rsidP="002F6F49">
      <w:pPr>
        <w:jc w:val="both"/>
        <w:rPr>
          <w:sz w:val="22"/>
          <w:szCs w:val="22"/>
        </w:rPr>
      </w:pPr>
    </w:p>
    <w:p w:rsidR="007122AF" w:rsidRDefault="00E0690F" w:rsidP="00E0690F">
      <w:pPr>
        <w:tabs>
          <w:tab w:val="left" w:pos="540"/>
        </w:tabs>
        <w:jc w:val="both"/>
        <w:rPr>
          <w:b/>
          <w:u w:val="single"/>
        </w:rPr>
      </w:pPr>
      <w:r>
        <w:rPr>
          <w:b/>
          <w:sz w:val="22"/>
          <w:szCs w:val="22"/>
        </w:rPr>
        <w:tab/>
      </w:r>
      <w:r w:rsidR="00680CBB">
        <w:rPr>
          <w:b/>
          <w:sz w:val="22"/>
          <w:szCs w:val="22"/>
          <w:u w:val="single"/>
        </w:rPr>
        <w:t xml:space="preserve">9.  </w:t>
      </w:r>
      <w:r w:rsidR="00680CBB">
        <w:rPr>
          <w:b/>
          <w:u w:val="single"/>
        </w:rPr>
        <w:t>Explanation of any Payment/Gift to Respondents</w:t>
      </w:r>
    </w:p>
    <w:p w:rsidR="00680CBB" w:rsidRPr="00EA510F" w:rsidRDefault="00680CBB" w:rsidP="007122AF">
      <w:pPr>
        <w:tabs>
          <w:tab w:val="left" w:pos="540"/>
        </w:tabs>
        <w:jc w:val="both"/>
        <w:rPr>
          <w:sz w:val="22"/>
          <w:szCs w:val="22"/>
        </w:rPr>
      </w:pPr>
    </w:p>
    <w:p w:rsidR="004221C8" w:rsidRPr="004221C8" w:rsidRDefault="004F6F5E" w:rsidP="004221C8">
      <w:pPr>
        <w:ind w:left="540"/>
        <w:jc w:val="both"/>
        <w:rPr>
          <w:sz w:val="22"/>
          <w:szCs w:val="22"/>
          <w:lang w:bidi="en-US"/>
        </w:rPr>
      </w:pPr>
      <w:r w:rsidRPr="00EA510F">
        <w:rPr>
          <w:sz w:val="22"/>
          <w:szCs w:val="22"/>
        </w:rPr>
        <w:t xml:space="preserve">NORC will include a pre-paid incentive </w:t>
      </w:r>
      <w:r w:rsidRPr="004221C8">
        <w:rPr>
          <w:sz w:val="22"/>
          <w:szCs w:val="22"/>
        </w:rPr>
        <w:t>of $</w:t>
      </w:r>
      <w:r w:rsidR="00672025" w:rsidRPr="004221C8">
        <w:rPr>
          <w:sz w:val="22"/>
          <w:szCs w:val="22"/>
        </w:rPr>
        <w:t>1</w:t>
      </w:r>
      <w:r w:rsidR="00C5120D" w:rsidRPr="00C5120D">
        <w:rPr>
          <w:sz w:val="22"/>
          <w:szCs w:val="22"/>
        </w:rPr>
        <w:t>0</w:t>
      </w:r>
      <w:r w:rsidR="00E4037C" w:rsidRPr="004221C8">
        <w:rPr>
          <w:sz w:val="22"/>
          <w:szCs w:val="22"/>
        </w:rPr>
        <w:t>0</w:t>
      </w:r>
      <w:r w:rsidRPr="00EA510F">
        <w:rPr>
          <w:sz w:val="22"/>
          <w:szCs w:val="22"/>
        </w:rPr>
        <w:t xml:space="preserve"> in the initial mailings to the sample of </w:t>
      </w:r>
      <w:r w:rsidR="001645D2" w:rsidRPr="00152390">
        <w:rPr>
          <w:sz w:val="22"/>
          <w:szCs w:val="22"/>
        </w:rPr>
        <w:t>700</w:t>
      </w:r>
      <w:r w:rsidRPr="00EA510F">
        <w:rPr>
          <w:sz w:val="22"/>
          <w:szCs w:val="22"/>
        </w:rPr>
        <w:t xml:space="preserve"> physicians.  </w:t>
      </w:r>
      <w:r w:rsidR="004221C8" w:rsidRPr="004221C8">
        <w:rPr>
          <w:sz w:val="22"/>
          <w:szCs w:val="22"/>
          <w:lang w:bidi="en-US"/>
        </w:rPr>
        <w:t>The incentive amount of $100 for physicians was selected based on results of the monetary incentive experiment conducted in the 2009 OMH/NORC study, extensive experience interviewing physicians in various settings</w:t>
      </w:r>
      <w:r w:rsidR="004221C8" w:rsidRPr="004221C8">
        <w:rPr>
          <w:sz w:val="22"/>
          <w:szCs w:val="22"/>
          <w:vertAlign w:val="superscript"/>
          <w:lang w:bidi="en-US"/>
        </w:rPr>
        <w:footnoteReference w:id="3"/>
      </w:r>
      <w:r w:rsidR="004221C8" w:rsidRPr="004221C8">
        <w:rPr>
          <w:sz w:val="22"/>
          <w:szCs w:val="22"/>
          <w:lang w:bidi="en-US"/>
        </w:rPr>
        <w:t xml:space="preserve"> and recent wage information for physicians. In the 2009 OMH/NORC incentive experiment, 58 percent of physicians who received a $150 pre-paid incentive completed and returned the questionnaire compared to only 13 percent in the no incentive group.  In support of these findings, prior research (Berk et al. 1987, 1993; Berry and Kanouse 1987) has shown that improvements in response rates with physicians were found when monetary incentives were employed. Berry and Kanouse (1987) used a $20 monetary incentive and found that the group of physicians who were paid the incentive at the time the survey was mailed had a 12-point response rate differential above that obtained from the group that was promised an incentive upon survey completion. Berk and colleagues (1993) reported a 30 percent difference where a pre-paid incentive was used compared to no incentive at all. Gunn and Rhodes (1981) tested no payment against promised payments of $25 and $50 and found corresponding response rates of 58, </w:t>
      </w:r>
      <w:r w:rsidR="004221C8" w:rsidRPr="004221C8">
        <w:rPr>
          <w:sz w:val="22"/>
          <w:szCs w:val="22"/>
          <w:lang w:bidi="en-US"/>
        </w:rPr>
        <w:lastRenderedPageBreak/>
        <w:t xml:space="preserve">69, and 77 percent. Finally, in a 2003 study, extensive telephone survey interviews with physicians were conducted with a 70 percent response rate using $150 incentives (Casalino et al. 2003).   </w:t>
      </w:r>
    </w:p>
    <w:p w:rsidR="00561B78" w:rsidRPr="00EA510F" w:rsidRDefault="00561B78" w:rsidP="006B2704">
      <w:pPr>
        <w:tabs>
          <w:tab w:val="left" w:pos="540"/>
        </w:tabs>
        <w:ind w:left="540"/>
        <w:jc w:val="both"/>
        <w:rPr>
          <w:sz w:val="22"/>
          <w:szCs w:val="22"/>
        </w:rPr>
      </w:pPr>
    </w:p>
    <w:p w:rsidR="00C608EB" w:rsidRPr="007C1C8F" w:rsidRDefault="004221C8" w:rsidP="006B2704">
      <w:pPr>
        <w:tabs>
          <w:tab w:val="left" w:pos="540"/>
        </w:tabs>
        <w:ind w:left="540"/>
        <w:jc w:val="both"/>
        <w:rPr>
          <w:sz w:val="22"/>
          <w:szCs w:val="22"/>
        </w:rPr>
      </w:pPr>
      <w:r w:rsidRPr="007C1C8F">
        <w:rPr>
          <w:sz w:val="22"/>
          <w:szCs w:val="22"/>
        </w:rPr>
        <w:t xml:space="preserve">No incentives will be offered to the general population sample.  A </w:t>
      </w:r>
      <w:r w:rsidR="00C5120D" w:rsidRPr="00C5120D">
        <w:rPr>
          <w:sz w:val="22"/>
          <w:szCs w:val="22"/>
        </w:rPr>
        <w:t xml:space="preserve">$15 incentive to convert refusals in the general population was used in the 1999 and 2009 studies, but eliminated in 2010 when the 2009 data suggested that the incentive did not yield many conversions.   </w:t>
      </w:r>
    </w:p>
    <w:p w:rsidR="00C608EB" w:rsidRPr="00E0690F" w:rsidRDefault="00C608EB" w:rsidP="00C608EB">
      <w:pPr>
        <w:tabs>
          <w:tab w:val="left" w:pos="540"/>
        </w:tabs>
        <w:ind w:left="900"/>
        <w:jc w:val="both"/>
      </w:pPr>
    </w:p>
    <w:p w:rsidR="00AC180B" w:rsidRPr="00E0690F" w:rsidRDefault="00680CBB" w:rsidP="00E0690F">
      <w:pPr>
        <w:tabs>
          <w:tab w:val="left" w:pos="1080"/>
        </w:tabs>
        <w:ind w:firstLine="540"/>
        <w:jc w:val="both"/>
      </w:pPr>
      <w:r w:rsidRPr="00E0690F">
        <w:rPr>
          <w:b/>
          <w:u w:val="single"/>
        </w:rPr>
        <w:t>10.</w:t>
      </w:r>
      <w:r w:rsidR="00E0690F" w:rsidRPr="00E0690F">
        <w:rPr>
          <w:b/>
          <w:u w:val="single"/>
        </w:rPr>
        <w:t xml:space="preserve">  </w:t>
      </w:r>
      <w:r w:rsidRPr="00E0690F">
        <w:rPr>
          <w:b/>
          <w:u w:val="single"/>
        </w:rPr>
        <w:t>Assurance of Confidentiality Provided to Respondents</w:t>
      </w:r>
    </w:p>
    <w:p w:rsidR="00675A42" w:rsidRDefault="00675A42" w:rsidP="00065D66">
      <w:pPr>
        <w:ind w:left="540"/>
        <w:jc w:val="both"/>
        <w:rPr>
          <w:sz w:val="22"/>
          <w:szCs w:val="22"/>
        </w:rPr>
      </w:pPr>
    </w:p>
    <w:p w:rsidR="00AC180B" w:rsidRPr="00EA510F" w:rsidRDefault="00407CE6" w:rsidP="00065D66">
      <w:pPr>
        <w:ind w:left="540"/>
        <w:jc w:val="both"/>
        <w:rPr>
          <w:sz w:val="22"/>
          <w:szCs w:val="22"/>
        </w:rPr>
      </w:pPr>
      <w:r w:rsidRPr="00EA510F">
        <w:rPr>
          <w:sz w:val="22"/>
          <w:szCs w:val="22"/>
        </w:rPr>
        <w:t xml:space="preserve">We will not be seeking a certificate of confidentiality, given that these data are not of a sensitive nature.  However, </w:t>
      </w:r>
      <w:r w:rsidR="000162FC">
        <w:rPr>
          <w:sz w:val="22"/>
          <w:szCs w:val="22"/>
        </w:rPr>
        <w:t>OMH</w:t>
      </w:r>
      <w:r w:rsidR="000162FC" w:rsidRPr="00EA510F">
        <w:rPr>
          <w:sz w:val="22"/>
          <w:szCs w:val="22"/>
        </w:rPr>
        <w:t xml:space="preserve"> </w:t>
      </w:r>
      <w:r w:rsidR="004F6F5E" w:rsidRPr="00EA510F">
        <w:rPr>
          <w:sz w:val="22"/>
          <w:szCs w:val="22"/>
        </w:rPr>
        <w:t xml:space="preserve">perceives respondent </w:t>
      </w:r>
      <w:r w:rsidRPr="00EA510F">
        <w:rPr>
          <w:sz w:val="22"/>
          <w:szCs w:val="22"/>
        </w:rPr>
        <w:t xml:space="preserve">privacy </w:t>
      </w:r>
      <w:r w:rsidR="004F6F5E" w:rsidRPr="00EA510F">
        <w:rPr>
          <w:sz w:val="22"/>
          <w:szCs w:val="22"/>
        </w:rPr>
        <w:t>to be of vi</w:t>
      </w:r>
      <w:r w:rsidR="00E4037C" w:rsidRPr="00EA510F">
        <w:rPr>
          <w:sz w:val="22"/>
          <w:szCs w:val="22"/>
        </w:rPr>
        <w:t>tal importance</w:t>
      </w:r>
      <w:r w:rsidR="000162FC">
        <w:rPr>
          <w:sz w:val="22"/>
          <w:szCs w:val="22"/>
        </w:rPr>
        <w:t xml:space="preserve"> and will ensure that the data collection contractor will </w:t>
      </w:r>
      <w:r w:rsidR="00986EB1">
        <w:rPr>
          <w:sz w:val="22"/>
          <w:szCs w:val="22"/>
        </w:rPr>
        <w:t>have strict corporate procedures in place to protect respondent privacy and data</w:t>
      </w:r>
      <w:r w:rsidR="00E4037C" w:rsidRPr="00EA510F">
        <w:rPr>
          <w:sz w:val="22"/>
          <w:szCs w:val="22"/>
        </w:rPr>
        <w:t xml:space="preserve">.  </w:t>
      </w:r>
    </w:p>
    <w:p w:rsidR="00AC180B" w:rsidRPr="00EA510F" w:rsidRDefault="00AC180B" w:rsidP="00065D66">
      <w:pPr>
        <w:ind w:left="900"/>
        <w:jc w:val="both"/>
        <w:rPr>
          <w:sz w:val="22"/>
          <w:szCs w:val="22"/>
        </w:rPr>
      </w:pPr>
    </w:p>
    <w:p w:rsidR="00C608EB" w:rsidRDefault="004F6F5E" w:rsidP="00065D66">
      <w:pPr>
        <w:ind w:left="540"/>
        <w:jc w:val="both"/>
      </w:pPr>
      <w:r w:rsidRPr="00EA510F">
        <w:rPr>
          <w:sz w:val="22"/>
          <w:szCs w:val="22"/>
        </w:rPr>
        <w:t xml:space="preserve">The privacy of all respondents will be protected through a number of additional measures.  All respondents will be informed that the information they provide will be kept </w:t>
      </w:r>
      <w:r w:rsidR="00407CE6" w:rsidRPr="00EA510F">
        <w:rPr>
          <w:sz w:val="22"/>
          <w:szCs w:val="22"/>
        </w:rPr>
        <w:t>private</w:t>
      </w:r>
      <w:r w:rsidRPr="00EA510F">
        <w:rPr>
          <w:sz w:val="22"/>
          <w:szCs w:val="22"/>
        </w:rPr>
        <w:t>.  They will also be made aware that their participation is strictly voluntary.  All final reports will be presented in</w:t>
      </w:r>
      <w:r w:rsidR="00C16C52">
        <w:rPr>
          <w:sz w:val="22"/>
          <w:szCs w:val="22"/>
        </w:rPr>
        <w:t xml:space="preserve"> a</w:t>
      </w:r>
      <w:r w:rsidRPr="00EA510F">
        <w:rPr>
          <w:sz w:val="22"/>
          <w:szCs w:val="22"/>
        </w:rPr>
        <w:t xml:space="preserve"> statistical format so that individual respondents cannot be identified.  Data files and reports delivered to OMH will contain study ID numbers only, and will not contain personal identifiers such as names or addresses.  At the conclusion of the study,</w:t>
      </w:r>
      <w:r w:rsidR="00602A1D" w:rsidRPr="00EA510F">
        <w:rPr>
          <w:sz w:val="22"/>
          <w:szCs w:val="22"/>
        </w:rPr>
        <w:t xml:space="preserve"> all hard cop</w:t>
      </w:r>
      <w:r w:rsidR="00065BCE" w:rsidRPr="00EA510F">
        <w:rPr>
          <w:sz w:val="22"/>
          <w:szCs w:val="22"/>
        </w:rPr>
        <w:t>y</w:t>
      </w:r>
      <w:r w:rsidR="00B853C1" w:rsidRPr="00EA510F">
        <w:rPr>
          <w:sz w:val="22"/>
          <w:szCs w:val="22"/>
        </w:rPr>
        <w:t xml:space="preserve"> documents</w:t>
      </w:r>
      <w:r w:rsidR="00602A1D" w:rsidRPr="00EA510F">
        <w:rPr>
          <w:sz w:val="22"/>
          <w:szCs w:val="22"/>
        </w:rPr>
        <w:t xml:space="preserve"> </w:t>
      </w:r>
      <w:r w:rsidR="00065BCE" w:rsidRPr="00EA510F">
        <w:rPr>
          <w:sz w:val="22"/>
          <w:szCs w:val="22"/>
        </w:rPr>
        <w:t>will be</w:t>
      </w:r>
      <w:r w:rsidR="00B853C1" w:rsidRPr="00EA510F">
        <w:rPr>
          <w:sz w:val="22"/>
          <w:szCs w:val="22"/>
        </w:rPr>
        <w:t xml:space="preserve"> stored in secure locked location</w:t>
      </w:r>
      <w:r w:rsidR="00602A1D" w:rsidRPr="00EA510F">
        <w:rPr>
          <w:sz w:val="22"/>
          <w:szCs w:val="22"/>
        </w:rPr>
        <w:t xml:space="preserve"> and/or eventually shredded. E</w:t>
      </w:r>
      <w:r w:rsidRPr="00EA510F">
        <w:rPr>
          <w:sz w:val="22"/>
          <w:szCs w:val="22"/>
        </w:rPr>
        <w:t xml:space="preserve">lectronic files will be archived in password-protected files.  </w:t>
      </w:r>
      <w:r w:rsidRPr="00EA510F">
        <w:t xml:space="preserve"> </w:t>
      </w:r>
    </w:p>
    <w:p w:rsidR="000B66AD" w:rsidRDefault="000B66AD" w:rsidP="00065D66">
      <w:pPr>
        <w:ind w:left="540"/>
        <w:jc w:val="both"/>
      </w:pPr>
    </w:p>
    <w:p w:rsidR="00C608EB" w:rsidRPr="00E0690F" w:rsidRDefault="0095678B" w:rsidP="00E0690F">
      <w:pPr>
        <w:tabs>
          <w:tab w:val="left" w:pos="1080"/>
        </w:tabs>
        <w:ind w:firstLine="540"/>
        <w:rPr>
          <w:b/>
          <w:u w:val="single"/>
        </w:rPr>
      </w:pPr>
      <w:r w:rsidRPr="00E0690F">
        <w:rPr>
          <w:b/>
          <w:u w:val="single"/>
        </w:rPr>
        <w:t xml:space="preserve">11.  Justification for </w:t>
      </w:r>
      <w:r w:rsidR="00C608EB" w:rsidRPr="00E0690F">
        <w:rPr>
          <w:b/>
          <w:u w:val="single"/>
        </w:rPr>
        <w:t>Sensitive Questions</w:t>
      </w:r>
    </w:p>
    <w:p w:rsidR="00C608EB" w:rsidRDefault="004F6F5E" w:rsidP="007122AF">
      <w:pPr>
        <w:spacing w:before="240"/>
        <w:ind w:left="540"/>
        <w:jc w:val="both"/>
        <w:rPr>
          <w:sz w:val="22"/>
          <w:szCs w:val="22"/>
        </w:rPr>
      </w:pPr>
      <w:r w:rsidRPr="00EA510F">
        <w:rPr>
          <w:sz w:val="22"/>
          <w:szCs w:val="22"/>
        </w:rPr>
        <w:t>The</w:t>
      </w:r>
      <w:r w:rsidR="00E23EEF" w:rsidRPr="00EA510F">
        <w:rPr>
          <w:sz w:val="22"/>
          <w:szCs w:val="22"/>
        </w:rPr>
        <w:t xml:space="preserve"> proposed data collection,</w:t>
      </w:r>
      <w:r w:rsidRPr="00EA510F">
        <w:rPr>
          <w:sz w:val="22"/>
          <w:szCs w:val="22"/>
        </w:rPr>
        <w:t xml:space="preserve"> </w:t>
      </w:r>
      <w:r w:rsidR="00326D1E" w:rsidRPr="00EA510F">
        <w:rPr>
          <w:i/>
          <w:sz w:val="22"/>
          <w:szCs w:val="22"/>
        </w:rPr>
        <w:t>Trends in US Public’s Awareness of Racial and Ethnic Health Disparities (</w:t>
      </w:r>
      <w:r w:rsidR="001645D2" w:rsidRPr="0015735B">
        <w:rPr>
          <w:i/>
          <w:sz w:val="22"/>
          <w:szCs w:val="22"/>
        </w:rPr>
        <w:t>1999-20</w:t>
      </w:r>
      <w:r w:rsidR="00C5120D" w:rsidRPr="00C5120D">
        <w:rPr>
          <w:i/>
          <w:sz w:val="22"/>
          <w:szCs w:val="22"/>
        </w:rPr>
        <w:t>15</w:t>
      </w:r>
      <w:r w:rsidR="00326D1E" w:rsidRPr="00EA510F">
        <w:rPr>
          <w:i/>
          <w:sz w:val="22"/>
          <w:szCs w:val="22"/>
        </w:rPr>
        <w:t>)</w:t>
      </w:r>
      <w:r w:rsidR="00065BCE" w:rsidRPr="00EA510F">
        <w:rPr>
          <w:sz w:val="22"/>
          <w:szCs w:val="22"/>
        </w:rPr>
        <w:t xml:space="preserve"> </w:t>
      </w:r>
      <w:r w:rsidRPr="00EA510F">
        <w:rPr>
          <w:sz w:val="22"/>
          <w:szCs w:val="22"/>
        </w:rPr>
        <w:t>does not contain sensitive questions.</w:t>
      </w:r>
    </w:p>
    <w:p w:rsidR="00E0690F" w:rsidRDefault="00E0690F" w:rsidP="00E0690F">
      <w:pPr>
        <w:widowControl w:val="0"/>
        <w:autoSpaceDE w:val="0"/>
        <w:autoSpaceDN w:val="0"/>
        <w:adjustRightInd w:val="0"/>
        <w:ind w:firstLine="540"/>
        <w:rPr>
          <w:b/>
          <w:u w:val="single"/>
        </w:rPr>
      </w:pPr>
    </w:p>
    <w:p w:rsidR="0095678B" w:rsidRDefault="00E0690F" w:rsidP="00E0690F">
      <w:pPr>
        <w:widowControl w:val="0"/>
        <w:autoSpaceDE w:val="0"/>
        <w:autoSpaceDN w:val="0"/>
        <w:adjustRightInd w:val="0"/>
        <w:ind w:firstLine="540"/>
      </w:pPr>
      <w:r>
        <w:rPr>
          <w:b/>
          <w:u w:val="single"/>
        </w:rPr>
        <w:t xml:space="preserve">12.  </w:t>
      </w:r>
      <w:r w:rsidR="0095678B">
        <w:rPr>
          <w:b/>
          <w:u w:val="single"/>
        </w:rPr>
        <w:t xml:space="preserve">Estimates of Annualized Hour and Cost Burden  </w:t>
      </w:r>
    </w:p>
    <w:p w:rsidR="00E4037C" w:rsidRPr="00EA510F" w:rsidRDefault="00E4037C" w:rsidP="007122AF">
      <w:pPr>
        <w:spacing w:before="240"/>
        <w:ind w:left="540"/>
        <w:jc w:val="both"/>
      </w:pPr>
      <w:r w:rsidRPr="00E97CBC">
        <w:rPr>
          <w:sz w:val="22"/>
          <w:szCs w:val="22"/>
        </w:rPr>
        <w:t xml:space="preserve">In </w:t>
      </w:r>
      <w:r w:rsidR="007E181D" w:rsidRPr="00E97CBC">
        <w:rPr>
          <w:sz w:val="22"/>
          <w:szCs w:val="22"/>
        </w:rPr>
        <w:t>Exhibit 1</w:t>
      </w:r>
      <w:r w:rsidRPr="00E97CBC">
        <w:rPr>
          <w:sz w:val="22"/>
          <w:szCs w:val="22"/>
        </w:rPr>
        <w:t xml:space="preserve">, we provide estimates of the annualized collection burden on participants for this </w:t>
      </w:r>
      <w:r w:rsidR="007122AF" w:rsidRPr="00E97CBC">
        <w:rPr>
          <w:sz w:val="22"/>
          <w:szCs w:val="22"/>
        </w:rPr>
        <w:t xml:space="preserve">effort. </w:t>
      </w:r>
      <w:r w:rsidRPr="00E97CBC">
        <w:rPr>
          <w:sz w:val="22"/>
          <w:szCs w:val="22"/>
        </w:rPr>
        <w:t>Study participants will participate in data collection one time only.</w:t>
      </w:r>
      <w:r w:rsidR="009C4D02" w:rsidRPr="00E97CBC">
        <w:rPr>
          <w:sz w:val="22"/>
          <w:szCs w:val="22"/>
        </w:rPr>
        <w:t xml:space="preserve"> </w:t>
      </w:r>
      <w:r w:rsidRPr="00E97CBC">
        <w:rPr>
          <w:sz w:val="22"/>
          <w:szCs w:val="22"/>
        </w:rPr>
        <w:t xml:space="preserve"> </w:t>
      </w:r>
      <w:r w:rsidR="007E181D" w:rsidRPr="00E97CBC">
        <w:rPr>
          <w:sz w:val="22"/>
          <w:szCs w:val="22"/>
        </w:rPr>
        <w:t>Based on internal pilot testing</w:t>
      </w:r>
      <w:r w:rsidRPr="00E97CBC">
        <w:rPr>
          <w:sz w:val="22"/>
          <w:szCs w:val="22"/>
        </w:rPr>
        <w:t xml:space="preserve"> of the instrument, it is estimated that the average amount of time required to complete the questionnaire is 1</w:t>
      </w:r>
      <w:r w:rsidR="00C40AA7">
        <w:rPr>
          <w:sz w:val="22"/>
          <w:szCs w:val="22"/>
        </w:rPr>
        <w:t>5</w:t>
      </w:r>
      <w:r w:rsidRPr="00E97CBC">
        <w:rPr>
          <w:sz w:val="22"/>
          <w:szCs w:val="22"/>
        </w:rPr>
        <w:t xml:space="preserve"> minutes.</w:t>
      </w:r>
      <w:r w:rsidRPr="00EA510F">
        <w:t xml:space="preserve"> </w:t>
      </w:r>
    </w:p>
    <w:p w:rsidR="00155B7D" w:rsidRPr="00EA510F" w:rsidRDefault="00155B7D" w:rsidP="00CD7A65">
      <w:pPr>
        <w:jc w:val="both"/>
        <w:rPr>
          <w:b/>
        </w:rPr>
      </w:pPr>
    </w:p>
    <w:p w:rsidR="00E4037C" w:rsidRPr="00EA510F" w:rsidRDefault="00AC180B" w:rsidP="00326D1E">
      <w:pPr>
        <w:ind w:left="720" w:firstLine="720"/>
        <w:jc w:val="both"/>
        <w:rPr>
          <w:b/>
          <w:sz w:val="22"/>
          <w:szCs w:val="22"/>
        </w:rPr>
      </w:pPr>
      <w:r w:rsidRPr="00EA510F">
        <w:rPr>
          <w:b/>
          <w:sz w:val="22"/>
          <w:szCs w:val="22"/>
        </w:rPr>
        <w:t>12A</w:t>
      </w:r>
      <w:r w:rsidR="007122AF" w:rsidRPr="00EA510F">
        <w:rPr>
          <w:b/>
          <w:sz w:val="22"/>
          <w:szCs w:val="22"/>
        </w:rPr>
        <w:t>.</w:t>
      </w:r>
      <w:r w:rsidR="00E4037C" w:rsidRPr="00EA510F">
        <w:rPr>
          <w:b/>
          <w:sz w:val="22"/>
          <w:szCs w:val="22"/>
        </w:rPr>
        <w:t xml:space="preserve"> </w:t>
      </w:r>
      <w:r w:rsidR="006971AB" w:rsidRPr="00EA510F">
        <w:rPr>
          <w:b/>
          <w:sz w:val="22"/>
          <w:szCs w:val="22"/>
        </w:rPr>
        <w:t>Estim</w:t>
      </w:r>
      <w:r w:rsidR="00811BC6" w:rsidRPr="00EA510F">
        <w:rPr>
          <w:b/>
          <w:sz w:val="22"/>
          <w:szCs w:val="22"/>
        </w:rPr>
        <w:t>a</w:t>
      </w:r>
      <w:r w:rsidR="006971AB" w:rsidRPr="00EA510F">
        <w:rPr>
          <w:b/>
          <w:sz w:val="22"/>
          <w:szCs w:val="22"/>
        </w:rPr>
        <w:t>ted Annualized Burden Hours</w:t>
      </w:r>
    </w:p>
    <w:p w:rsidR="00EB45C1" w:rsidRPr="00EA510F" w:rsidRDefault="00811BC6" w:rsidP="00A2300F">
      <w:pPr>
        <w:jc w:val="both"/>
        <w:rPr>
          <w:b/>
          <w:sz w:val="22"/>
          <w:szCs w:val="22"/>
        </w:rPr>
      </w:pPr>
      <w:r w:rsidRPr="00EA510F">
        <w:rPr>
          <w:b/>
        </w:rPr>
        <w:tab/>
      </w:r>
      <w:r w:rsidRPr="00EA510F">
        <w:rPr>
          <w:b/>
        </w:rPr>
        <w:tab/>
      </w:r>
      <w:r w:rsidRPr="00EA510F">
        <w:rPr>
          <w:b/>
          <w:sz w:val="22"/>
          <w:szCs w:val="22"/>
        </w:rPr>
        <w:t>Exhibit 1. Estimated Annualized Burden Hours</w:t>
      </w:r>
      <w:r w:rsidR="00D574DD" w:rsidRPr="00EA510F">
        <w:rPr>
          <w:b/>
          <w:sz w:val="22"/>
          <w:szCs w:val="22"/>
        </w:rPr>
        <w:t xml:space="preserve"> </w:t>
      </w:r>
    </w:p>
    <w:tbl>
      <w:tblPr>
        <w:tblW w:w="7638" w:type="dxa"/>
        <w:tblInd w:w="15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8"/>
        <w:gridCol w:w="1350"/>
        <w:gridCol w:w="1260"/>
        <w:gridCol w:w="1710"/>
        <w:gridCol w:w="2040"/>
      </w:tblGrid>
      <w:tr w:rsidR="00BE50C6" w:rsidRPr="00E97CBC" w:rsidTr="00D574DD">
        <w:trPr>
          <w:trHeight w:val="872"/>
        </w:trPr>
        <w:tc>
          <w:tcPr>
            <w:tcW w:w="1278" w:type="dxa"/>
            <w:tcBorders>
              <w:top w:val="single" w:sz="4" w:space="0" w:color="auto"/>
              <w:bottom w:val="single" w:sz="6" w:space="0" w:color="auto"/>
            </w:tcBorders>
            <w:shd w:val="clear" w:color="auto" w:fill="C0C0C0"/>
            <w:vAlign w:val="center"/>
          </w:tcPr>
          <w:p w:rsidR="00BE50C6" w:rsidRPr="00E97CBC" w:rsidRDefault="00BE50C6" w:rsidP="002F5DF6">
            <w:pPr>
              <w:jc w:val="center"/>
              <w:rPr>
                <w:b/>
                <w:sz w:val="20"/>
                <w:szCs w:val="20"/>
              </w:rPr>
            </w:pPr>
            <w:r w:rsidRPr="00EA510F">
              <w:rPr>
                <w:b/>
                <w:sz w:val="20"/>
                <w:szCs w:val="20"/>
              </w:rPr>
              <w:t xml:space="preserve"> </w:t>
            </w:r>
            <w:r w:rsidRPr="00E97CBC">
              <w:rPr>
                <w:b/>
                <w:sz w:val="20"/>
                <w:szCs w:val="20"/>
              </w:rPr>
              <w:t>Type of Respondent</w:t>
            </w:r>
          </w:p>
        </w:tc>
        <w:tc>
          <w:tcPr>
            <w:tcW w:w="1350" w:type="dxa"/>
            <w:tcBorders>
              <w:top w:val="single" w:sz="4" w:space="0" w:color="auto"/>
              <w:bottom w:val="single" w:sz="6" w:space="0" w:color="auto"/>
            </w:tcBorders>
            <w:shd w:val="clear" w:color="auto" w:fill="C0C0C0"/>
            <w:vAlign w:val="center"/>
          </w:tcPr>
          <w:p w:rsidR="00BE50C6" w:rsidRPr="00E97CBC" w:rsidRDefault="00BE50C6" w:rsidP="002F5DF6">
            <w:pPr>
              <w:jc w:val="center"/>
              <w:rPr>
                <w:b/>
                <w:sz w:val="20"/>
                <w:szCs w:val="20"/>
              </w:rPr>
            </w:pPr>
            <w:r w:rsidRPr="00E97CBC">
              <w:rPr>
                <w:b/>
                <w:sz w:val="20"/>
                <w:szCs w:val="20"/>
              </w:rPr>
              <w:t>No. of Respondents</w:t>
            </w:r>
            <w:r w:rsidR="00E97CBC" w:rsidRPr="00E97CBC">
              <w:rPr>
                <w:b/>
                <w:sz w:val="20"/>
                <w:szCs w:val="20"/>
              </w:rPr>
              <w:t>*</w:t>
            </w:r>
          </w:p>
        </w:tc>
        <w:tc>
          <w:tcPr>
            <w:tcW w:w="1260" w:type="dxa"/>
            <w:tcBorders>
              <w:top w:val="single" w:sz="4" w:space="0" w:color="auto"/>
              <w:bottom w:val="single" w:sz="6" w:space="0" w:color="auto"/>
            </w:tcBorders>
            <w:shd w:val="clear" w:color="auto" w:fill="C0C0C0"/>
            <w:vAlign w:val="center"/>
          </w:tcPr>
          <w:p w:rsidR="00BE50C6" w:rsidRPr="00E97CBC" w:rsidRDefault="00BE50C6" w:rsidP="002F5DF6">
            <w:pPr>
              <w:jc w:val="center"/>
              <w:rPr>
                <w:b/>
                <w:sz w:val="20"/>
                <w:szCs w:val="20"/>
              </w:rPr>
            </w:pPr>
            <w:r w:rsidRPr="00E97CBC">
              <w:rPr>
                <w:b/>
                <w:sz w:val="20"/>
                <w:szCs w:val="20"/>
              </w:rPr>
              <w:t>No. Responses per Respondent</w:t>
            </w:r>
          </w:p>
        </w:tc>
        <w:tc>
          <w:tcPr>
            <w:tcW w:w="1710" w:type="dxa"/>
            <w:tcBorders>
              <w:top w:val="single" w:sz="4" w:space="0" w:color="auto"/>
              <w:bottom w:val="single" w:sz="6" w:space="0" w:color="auto"/>
            </w:tcBorders>
            <w:shd w:val="clear" w:color="auto" w:fill="C0C0C0"/>
            <w:vAlign w:val="center"/>
          </w:tcPr>
          <w:p w:rsidR="00BE50C6" w:rsidRPr="00E97CBC" w:rsidRDefault="00BE50C6" w:rsidP="002F5DF6">
            <w:pPr>
              <w:jc w:val="center"/>
              <w:rPr>
                <w:b/>
                <w:sz w:val="20"/>
                <w:szCs w:val="20"/>
              </w:rPr>
            </w:pPr>
            <w:r w:rsidRPr="00E97CBC">
              <w:rPr>
                <w:b/>
                <w:sz w:val="20"/>
                <w:szCs w:val="20"/>
              </w:rPr>
              <w:t xml:space="preserve"> Average Burden per Response (in hours)</w:t>
            </w:r>
          </w:p>
        </w:tc>
        <w:tc>
          <w:tcPr>
            <w:tcW w:w="2040" w:type="dxa"/>
            <w:tcBorders>
              <w:top w:val="single" w:sz="4" w:space="0" w:color="auto"/>
              <w:bottom w:val="single" w:sz="6" w:space="0" w:color="auto"/>
            </w:tcBorders>
            <w:shd w:val="clear" w:color="auto" w:fill="C0C0C0"/>
            <w:vAlign w:val="center"/>
          </w:tcPr>
          <w:p w:rsidR="00BE50C6" w:rsidRPr="00E97CBC" w:rsidRDefault="00BE50C6" w:rsidP="00BE50C6">
            <w:pPr>
              <w:jc w:val="center"/>
              <w:rPr>
                <w:b/>
                <w:sz w:val="20"/>
                <w:szCs w:val="20"/>
              </w:rPr>
            </w:pPr>
            <w:r w:rsidRPr="00E97CBC">
              <w:rPr>
                <w:b/>
                <w:sz w:val="20"/>
                <w:szCs w:val="20"/>
              </w:rPr>
              <w:t>Total  Burden Hours</w:t>
            </w:r>
          </w:p>
        </w:tc>
      </w:tr>
      <w:tr w:rsidR="00BE50C6" w:rsidRPr="00E97CBC" w:rsidTr="00D574DD">
        <w:trPr>
          <w:trHeight w:val="543"/>
        </w:trPr>
        <w:tc>
          <w:tcPr>
            <w:tcW w:w="1278" w:type="dxa"/>
            <w:tcBorders>
              <w:top w:val="single" w:sz="6" w:space="0" w:color="auto"/>
            </w:tcBorders>
            <w:vAlign w:val="center"/>
          </w:tcPr>
          <w:p w:rsidR="00BE50C6" w:rsidRPr="00E97CBC" w:rsidRDefault="00BE50C6" w:rsidP="00065BCE">
            <w:pPr>
              <w:jc w:val="center"/>
              <w:rPr>
                <w:sz w:val="22"/>
                <w:szCs w:val="22"/>
              </w:rPr>
            </w:pPr>
            <w:r w:rsidRPr="00E97CBC">
              <w:rPr>
                <w:sz w:val="22"/>
                <w:szCs w:val="22"/>
              </w:rPr>
              <w:t>General Population</w:t>
            </w:r>
          </w:p>
        </w:tc>
        <w:tc>
          <w:tcPr>
            <w:tcW w:w="1350" w:type="dxa"/>
            <w:tcBorders>
              <w:top w:val="single" w:sz="6" w:space="0" w:color="auto"/>
            </w:tcBorders>
            <w:vAlign w:val="center"/>
          </w:tcPr>
          <w:p w:rsidR="00BE50C6" w:rsidRPr="00E97CBC" w:rsidRDefault="00C5120D" w:rsidP="00065BCE">
            <w:pPr>
              <w:jc w:val="center"/>
              <w:rPr>
                <w:sz w:val="22"/>
                <w:szCs w:val="22"/>
              </w:rPr>
            </w:pPr>
            <w:r w:rsidRPr="00C5120D">
              <w:rPr>
                <w:sz w:val="22"/>
                <w:szCs w:val="22"/>
              </w:rPr>
              <w:t>3,159</w:t>
            </w:r>
          </w:p>
        </w:tc>
        <w:tc>
          <w:tcPr>
            <w:tcW w:w="1260" w:type="dxa"/>
            <w:tcBorders>
              <w:top w:val="single" w:sz="6" w:space="0" w:color="auto"/>
            </w:tcBorders>
            <w:vAlign w:val="center"/>
          </w:tcPr>
          <w:p w:rsidR="00BE50C6" w:rsidRPr="00E97CBC" w:rsidRDefault="007E181D" w:rsidP="00065BCE">
            <w:pPr>
              <w:jc w:val="center"/>
              <w:rPr>
                <w:sz w:val="22"/>
                <w:szCs w:val="22"/>
              </w:rPr>
            </w:pPr>
            <w:r w:rsidRPr="00E97CBC">
              <w:rPr>
                <w:sz w:val="22"/>
                <w:szCs w:val="22"/>
              </w:rPr>
              <w:t>1</w:t>
            </w:r>
          </w:p>
        </w:tc>
        <w:tc>
          <w:tcPr>
            <w:tcW w:w="1710" w:type="dxa"/>
            <w:tcBorders>
              <w:top w:val="single" w:sz="6" w:space="0" w:color="auto"/>
            </w:tcBorders>
            <w:vAlign w:val="center"/>
          </w:tcPr>
          <w:p w:rsidR="00BE50C6" w:rsidRPr="00E97CBC" w:rsidRDefault="007E181D" w:rsidP="00065BCE">
            <w:pPr>
              <w:jc w:val="center"/>
              <w:rPr>
                <w:sz w:val="22"/>
                <w:szCs w:val="22"/>
              </w:rPr>
            </w:pPr>
            <w:r w:rsidRPr="00E97CBC">
              <w:rPr>
                <w:sz w:val="22"/>
                <w:szCs w:val="22"/>
              </w:rPr>
              <w:t>1</w:t>
            </w:r>
            <w:r w:rsidR="00C40AA7">
              <w:rPr>
                <w:sz w:val="22"/>
                <w:szCs w:val="22"/>
              </w:rPr>
              <w:t>5</w:t>
            </w:r>
            <w:r w:rsidRPr="00E97CBC">
              <w:rPr>
                <w:sz w:val="22"/>
                <w:szCs w:val="22"/>
              </w:rPr>
              <w:t>/60</w:t>
            </w:r>
          </w:p>
        </w:tc>
        <w:tc>
          <w:tcPr>
            <w:tcW w:w="2040" w:type="dxa"/>
            <w:tcBorders>
              <w:top w:val="single" w:sz="6" w:space="0" w:color="auto"/>
            </w:tcBorders>
            <w:vAlign w:val="center"/>
          </w:tcPr>
          <w:p w:rsidR="00BE50C6" w:rsidRPr="00E97CBC" w:rsidRDefault="00C5120D" w:rsidP="00065BCE">
            <w:pPr>
              <w:jc w:val="center"/>
              <w:rPr>
                <w:sz w:val="22"/>
                <w:szCs w:val="22"/>
              </w:rPr>
            </w:pPr>
            <w:r w:rsidRPr="00C5120D">
              <w:rPr>
                <w:sz w:val="22"/>
                <w:szCs w:val="22"/>
              </w:rPr>
              <w:t>7</w:t>
            </w:r>
            <w:r w:rsidR="00C40AA7">
              <w:rPr>
                <w:sz w:val="22"/>
                <w:szCs w:val="22"/>
              </w:rPr>
              <w:t>90</w:t>
            </w:r>
          </w:p>
        </w:tc>
      </w:tr>
      <w:tr w:rsidR="00BE50C6" w:rsidRPr="00E97CBC" w:rsidTr="00D574DD">
        <w:trPr>
          <w:trHeight w:val="305"/>
        </w:trPr>
        <w:tc>
          <w:tcPr>
            <w:tcW w:w="1278" w:type="dxa"/>
            <w:vAlign w:val="center"/>
          </w:tcPr>
          <w:p w:rsidR="00BE50C6" w:rsidRPr="00E97CBC" w:rsidRDefault="00BE50C6" w:rsidP="00065BCE">
            <w:pPr>
              <w:jc w:val="center"/>
              <w:rPr>
                <w:sz w:val="22"/>
                <w:szCs w:val="22"/>
              </w:rPr>
            </w:pPr>
            <w:r w:rsidRPr="00E97CBC">
              <w:rPr>
                <w:sz w:val="22"/>
                <w:szCs w:val="22"/>
              </w:rPr>
              <w:t>Physician</w:t>
            </w:r>
          </w:p>
        </w:tc>
        <w:tc>
          <w:tcPr>
            <w:tcW w:w="1350" w:type="dxa"/>
            <w:vAlign w:val="center"/>
          </w:tcPr>
          <w:p w:rsidR="00BE50C6" w:rsidRPr="00E97CBC" w:rsidRDefault="007E181D" w:rsidP="00065BCE">
            <w:pPr>
              <w:jc w:val="center"/>
              <w:rPr>
                <w:sz w:val="22"/>
                <w:szCs w:val="22"/>
              </w:rPr>
            </w:pPr>
            <w:r w:rsidRPr="00E97CBC">
              <w:rPr>
                <w:sz w:val="22"/>
                <w:szCs w:val="22"/>
              </w:rPr>
              <w:t>3</w:t>
            </w:r>
            <w:r w:rsidR="00C5120D" w:rsidRPr="00C5120D">
              <w:rPr>
                <w:sz w:val="22"/>
                <w:szCs w:val="22"/>
              </w:rPr>
              <w:t>4</w:t>
            </w:r>
            <w:r w:rsidRPr="00E97CBC">
              <w:rPr>
                <w:sz w:val="22"/>
                <w:szCs w:val="22"/>
              </w:rPr>
              <w:t>0</w:t>
            </w:r>
          </w:p>
        </w:tc>
        <w:tc>
          <w:tcPr>
            <w:tcW w:w="1260" w:type="dxa"/>
            <w:vAlign w:val="center"/>
          </w:tcPr>
          <w:p w:rsidR="00BE50C6" w:rsidRPr="00E97CBC" w:rsidRDefault="007E181D" w:rsidP="00065BCE">
            <w:pPr>
              <w:jc w:val="center"/>
              <w:rPr>
                <w:sz w:val="22"/>
                <w:szCs w:val="22"/>
              </w:rPr>
            </w:pPr>
            <w:r w:rsidRPr="00E97CBC">
              <w:rPr>
                <w:sz w:val="22"/>
                <w:szCs w:val="22"/>
              </w:rPr>
              <w:t>1</w:t>
            </w:r>
          </w:p>
        </w:tc>
        <w:tc>
          <w:tcPr>
            <w:tcW w:w="1710" w:type="dxa"/>
            <w:vAlign w:val="center"/>
          </w:tcPr>
          <w:p w:rsidR="00BE50C6" w:rsidRPr="00E97CBC" w:rsidRDefault="007E181D" w:rsidP="00065BCE">
            <w:pPr>
              <w:jc w:val="center"/>
              <w:rPr>
                <w:sz w:val="22"/>
                <w:szCs w:val="22"/>
              </w:rPr>
            </w:pPr>
            <w:r w:rsidRPr="00E97CBC">
              <w:rPr>
                <w:sz w:val="22"/>
                <w:szCs w:val="22"/>
              </w:rPr>
              <w:t>1</w:t>
            </w:r>
            <w:r w:rsidR="00C40AA7">
              <w:rPr>
                <w:sz w:val="22"/>
                <w:szCs w:val="22"/>
              </w:rPr>
              <w:t>5</w:t>
            </w:r>
            <w:r w:rsidRPr="00E97CBC">
              <w:rPr>
                <w:sz w:val="22"/>
                <w:szCs w:val="22"/>
              </w:rPr>
              <w:t>/60</w:t>
            </w:r>
          </w:p>
        </w:tc>
        <w:tc>
          <w:tcPr>
            <w:tcW w:w="2040" w:type="dxa"/>
            <w:vAlign w:val="center"/>
          </w:tcPr>
          <w:p w:rsidR="00BE50C6" w:rsidRPr="00E97CBC" w:rsidRDefault="00C40AA7" w:rsidP="00065BCE">
            <w:pPr>
              <w:jc w:val="center"/>
              <w:rPr>
                <w:sz w:val="22"/>
                <w:szCs w:val="22"/>
              </w:rPr>
            </w:pPr>
            <w:r>
              <w:rPr>
                <w:sz w:val="22"/>
                <w:szCs w:val="22"/>
              </w:rPr>
              <w:t>85</w:t>
            </w:r>
          </w:p>
        </w:tc>
      </w:tr>
      <w:tr w:rsidR="00BE50C6" w:rsidRPr="00E97CBC" w:rsidTr="00D574DD">
        <w:tc>
          <w:tcPr>
            <w:tcW w:w="1278" w:type="dxa"/>
            <w:vAlign w:val="center"/>
          </w:tcPr>
          <w:p w:rsidR="00BE50C6" w:rsidRPr="00E97CBC" w:rsidRDefault="00BE50C6" w:rsidP="00065BCE">
            <w:pPr>
              <w:jc w:val="center"/>
              <w:rPr>
                <w:b/>
                <w:sz w:val="22"/>
                <w:szCs w:val="22"/>
              </w:rPr>
            </w:pPr>
            <w:r w:rsidRPr="00E97CBC">
              <w:rPr>
                <w:b/>
                <w:sz w:val="22"/>
                <w:szCs w:val="22"/>
              </w:rPr>
              <w:t>Total</w:t>
            </w:r>
          </w:p>
        </w:tc>
        <w:tc>
          <w:tcPr>
            <w:tcW w:w="1350" w:type="dxa"/>
            <w:vAlign w:val="center"/>
          </w:tcPr>
          <w:p w:rsidR="00BE50C6" w:rsidRPr="00E97CBC" w:rsidRDefault="00BE50C6" w:rsidP="00065BCE">
            <w:pPr>
              <w:jc w:val="center"/>
              <w:rPr>
                <w:b/>
                <w:sz w:val="22"/>
                <w:szCs w:val="22"/>
              </w:rPr>
            </w:pPr>
          </w:p>
        </w:tc>
        <w:tc>
          <w:tcPr>
            <w:tcW w:w="1260" w:type="dxa"/>
            <w:vAlign w:val="center"/>
          </w:tcPr>
          <w:p w:rsidR="00BE50C6" w:rsidRPr="00E97CBC" w:rsidRDefault="00BE50C6" w:rsidP="00065BCE">
            <w:pPr>
              <w:jc w:val="center"/>
              <w:rPr>
                <w:b/>
                <w:sz w:val="22"/>
                <w:szCs w:val="22"/>
              </w:rPr>
            </w:pPr>
          </w:p>
        </w:tc>
        <w:tc>
          <w:tcPr>
            <w:tcW w:w="1710" w:type="dxa"/>
            <w:vAlign w:val="center"/>
          </w:tcPr>
          <w:p w:rsidR="00BE50C6" w:rsidRPr="00E97CBC" w:rsidRDefault="00BE50C6" w:rsidP="00065BCE">
            <w:pPr>
              <w:jc w:val="center"/>
              <w:rPr>
                <w:b/>
                <w:sz w:val="22"/>
                <w:szCs w:val="22"/>
              </w:rPr>
            </w:pPr>
          </w:p>
        </w:tc>
        <w:tc>
          <w:tcPr>
            <w:tcW w:w="2040" w:type="dxa"/>
            <w:vAlign w:val="center"/>
          </w:tcPr>
          <w:p w:rsidR="00BE50C6" w:rsidRPr="00E97CBC" w:rsidRDefault="00E97CBC" w:rsidP="00C40AA7">
            <w:pPr>
              <w:jc w:val="center"/>
              <w:rPr>
                <w:b/>
                <w:sz w:val="22"/>
                <w:szCs w:val="22"/>
              </w:rPr>
            </w:pPr>
            <w:r w:rsidRPr="00E97CBC">
              <w:rPr>
                <w:b/>
                <w:sz w:val="22"/>
                <w:szCs w:val="22"/>
              </w:rPr>
              <w:t>8</w:t>
            </w:r>
            <w:r w:rsidR="00C40AA7">
              <w:rPr>
                <w:b/>
                <w:sz w:val="22"/>
                <w:szCs w:val="22"/>
              </w:rPr>
              <w:t>75</w:t>
            </w:r>
          </w:p>
        </w:tc>
      </w:tr>
    </w:tbl>
    <w:p w:rsidR="00E4037C" w:rsidRPr="00E97CBC" w:rsidRDefault="00AC180B" w:rsidP="000B4068">
      <w:pPr>
        <w:ind w:left="720" w:hanging="720"/>
        <w:jc w:val="both"/>
      </w:pPr>
      <w:r w:rsidRPr="00E97CBC">
        <w:tab/>
      </w:r>
      <w:r w:rsidR="00E4037C" w:rsidRPr="00E97CBC">
        <w:tab/>
      </w:r>
      <w:r w:rsidR="00E97CBC" w:rsidRPr="00E97CBC">
        <w:t>*Based on actual completion rates from the 2010 OMH/NORC survey.</w:t>
      </w:r>
    </w:p>
    <w:p w:rsidR="00E97CBC" w:rsidRPr="00E97CBC" w:rsidRDefault="00E97CBC" w:rsidP="000B4068">
      <w:pPr>
        <w:ind w:left="720" w:hanging="720"/>
        <w:jc w:val="both"/>
      </w:pPr>
    </w:p>
    <w:p w:rsidR="00BE50C6" w:rsidRPr="00E97CBC" w:rsidRDefault="007122AF" w:rsidP="00D574DD">
      <w:pPr>
        <w:ind w:left="1440"/>
        <w:jc w:val="both"/>
        <w:rPr>
          <w:sz w:val="22"/>
          <w:szCs w:val="22"/>
        </w:rPr>
      </w:pPr>
      <w:r w:rsidRPr="00E97CBC">
        <w:rPr>
          <w:b/>
          <w:sz w:val="22"/>
          <w:szCs w:val="22"/>
        </w:rPr>
        <w:t xml:space="preserve">12B.  </w:t>
      </w:r>
      <w:r w:rsidR="00BE50C6" w:rsidRPr="00E97CBC">
        <w:rPr>
          <w:sz w:val="22"/>
          <w:szCs w:val="22"/>
        </w:rPr>
        <w:t xml:space="preserve">Below we provide an estimate of the annualized cost to respondents for the hour burdens for collection of the survey information. </w:t>
      </w:r>
      <w:r w:rsidR="009C4D02" w:rsidRPr="00E97CBC">
        <w:rPr>
          <w:sz w:val="22"/>
          <w:szCs w:val="22"/>
        </w:rPr>
        <w:t xml:space="preserve"> </w:t>
      </w:r>
      <w:r w:rsidR="00BE50C6" w:rsidRPr="00E97CBC">
        <w:rPr>
          <w:sz w:val="22"/>
          <w:szCs w:val="22"/>
        </w:rPr>
        <w:t>We estimate</w:t>
      </w:r>
      <w:r w:rsidR="002522C6" w:rsidRPr="00E97CBC">
        <w:rPr>
          <w:sz w:val="22"/>
          <w:szCs w:val="22"/>
        </w:rPr>
        <w:t>d</w:t>
      </w:r>
      <w:r w:rsidR="00BE50C6" w:rsidRPr="00E97CBC">
        <w:rPr>
          <w:sz w:val="22"/>
          <w:szCs w:val="22"/>
        </w:rPr>
        <w:t xml:space="preserve"> the cost for physicians using the Department of Labor website listing average wages for U.S. physicians. </w:t>
      </w:r>
      <w:r w:rsidR="009C4D02" w:rsidRPr="00E97CBC">
        <w:rPr>
          <w:sz w:val="22"/>
          <w:szCs w:val="22"/>
        </w:rPr>
        <w:t xml:space="preserve"> </w:t>
      </w:r>
      <w:r w:rsidR="00BE50C6" w:rsidRPr="00E97CBC">
        <w:rPr>
          <w:sz w:val="22"/>
          <w:szCs w:val="22"/>
        </w:rPr>
        <w:t xml:space="preserve">The </w:t>
      </w:r>
      <w:r w:rsidR="00BE50C6" w:rsidRPr="00E97CBC">
        <w:rPr>
          <w:sz w:val="22"/>
          <w:szCs w:val="22"/>
        </w:rPr>
        <w:lastRenderedPageBreak/>
        <w:t>only cost to the general population respondents will be their time.</w:t>
      </w:r>
      <w:r w:rsidR="009C4D02" w:rsidRPr="00E97CBC">
        <w:rPr>
          <w:sz w:val="22"/>
          <w:szCs w:val="22"/>
        </w:rPr>
        <w:t xml:space="preserve"> </w:t>
      </w:r>
      <w:r w:rsidR="00BE50C6" w:rsidRPr="00E97CBC">
        <w:rPr>
          <w:sz w:val="22"/>
          <w:szCs w:val="22"/>
        </w:rPr>
        <w:t xml:space="preserve"> </w:t>
      </w:r>
      <w:r w:rsidR="002522C6" w:rsidRPr="00E97CBC">
        <w:rPr>
          <w:sz w:val="22"/>
          <w:szCs w:val="22"/>
        </w:rPr>
        <w:t>As shown above in 12A., t</w:t>
      </w:r>
      <w:r w:rsidR="00BE50C6" w:rsidRPr="00E97CBC">
        <w:rPr>
          <w:sz w:val="22"/>
          <w:szCs w:val="22"/>
        </w:rPr>
        <w:t xml:space="preserve">he total burden in hours is estimated at </w:t>
      </w:r>
      <w:r w:rsidR="00E97CBC" w:rsidRPr="00E97CBC">
        <w:rPr>
          <w:sz w:val="22"/>
          <w:szCs w:val="22"/>
        </w:rPr>
        <w:t>8</w:t>
      </w:r>
      <w:r w:rsidR="00C40AA7">
        <w:rPr>
          <w:sz w:val="22"/>
          <w:szCs w:val="22"/>
        </w:rPr>
        <w:t>75</w:t>
      </w:r>
      <w:r w:rsidR="00E97CBC" w:rsidRPr="00E97CBC">
        <w:rPr>
          <w:sz w:val="22"/>
          <w:szCs w:val="22"/>
        </w:rPr>
        <w:t xml:space="preserve"> </w:t>
      </w:r>
      <w:r w:rsidR="00BE50C6" w:rsidRPr="00E97CBC">
        <w:rPr>
          <w:sz w:val="22"/>
          <w:szCs w:val="22"/>
        </w:rPr>
        <w:t xml:space="preserve">person hours.  The total imputed cost is estimated at </w:t>
      </w:r>
      <w:r w:rsidR="007E181D" w:rsidRPr="00E97CBC">
        <w:rPr>
          <w:sz w:val="22"/>
          <w:szCs w:val="22"/>
        </w:rPr>
        <w:t>$</w:t>
      </w:r>
      <w:r w:rsidR="00C40AA7">
        <w:rPr>
          <w:sz w:val="22"/>
          <w:szCs w:val="22"/>
        </w:rPr>
        <w:t>7,281.95</w:t>
      </w:r>
      <w:r w:rsidR="00BE50C6" w:rsidRPr="00E97CBC">
        <w:rPr>
          <w:sz w:val="22"/>
          <w:szCs w:val="22"/>
        </w:rPr>
        <w:t>.</w:t>
      </w:r>
    </w:p>
    <w:p w:rsidR="00E62128" w:rsidRPr="00E97CBC" w:rsidRDefault="00E62128" w:rsidP="00D574DD">
      <w:pPr>
        <w:ind w:left="1440"/>
        <w:jc w:val="both"/>
        <w:rPr>
          <w:b/>
          <w:sz w:val="22"/>
          <w:szCs w:val="22"/>
        </w:rPr>
      </w:pPr>
    </w:p>
    <w:p w:rsidR="00D574DD" w:rsidRPr="00E97CBC" w:rsidRDefault="00811BC6" w:rsidP="00D574DD">
      <w:pPr>
        <w:ind w:left="1440"/>
        <w:jc w:val="both"/>
        <w:rPr>
          <w:b/>
          <w:sz w:val="22"/>
          <w:szCs w:val="22"/>
        </w:rPr>
      </w:pPr>
      <w:r w:rsidRPr="00E97CBC">
        <w:rPr>
          <w:b/>
          <w:sz w:val="22"/>
          <w:szCs w:val="22"/>
        </w:rPr>
        <w:t>Exhibit 2. Estimated Annualized Cost to Respondents</w:t>
      </w:r>
    </w:p>
    <w:tbl>
      <w:tblPr>
        <w:tblW w:w="5598" w:type="dxa"/>
        <w:tblInd w:w="15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78"/>
        <w:gridCol w:w="1350"/>
        <w:gridCol w:w="1260"/>
        <w:gridCol w:w="1710"/>
      </w:tblGrid>
      <w:tr w:rsidR="00BE50C6" w:rsidRPr="00E97CBC" w:rsidTr="00D574DD">
        <w:trPr>
          <w:trHeight w:val="872"/>
        </w:trPr>
        <w:tc>
          <w:tcPr>
            <w:tcW w:w="1278" w:type="dxa"/>
            <w:tcBorders>
              <w:top w:val="single" w:sz="4" w:space="0" w:color="auto"/>
              <w:bottom w:val="single" w:sz="6" w:space="0" w:color="auto"/>
            </w:tcBorders>
            <w:shd w:val="clear" w:color="auto" w:fill="C0C0C0"/>
            <w:vAlign w:val="center"/>
          </w:tcPr>
          <w:p w:rsidR="00BE50C6" w:rsidRPr="00E97CBC" w:rsidRDefault="00BE50C6" w:rsidP="00BE50C6">
            <w:pPr>
              <w:jc w:val="center"/>
              <w:rPr>
                <w:b/>
                <w:sz w:val="20"/>
                <w:szCs w:val="20"/>
              </w:rPr>
            </w:pPr>
            <w:r w:rsidRPr="00E97CBC">
              <w:rPr>
                <w:b/>
                <w:sz w:val="20"/>
                <w:szCs w:val="20"/>
              </w:rPr>
              <w:t>Type of Respondent</w:t>
            </w:r>
          </w:p>
        </w:tc>
        <w:tc>
          <w:tcPr>
            <w:tcW w:w="1350" w:type="dxa"/>
            <w:tcBorders>
              <w:top w:val="single" w:sz="4" w:space="0" w:color="auto"/>
              <w:bottom w:val="single" w:sz="6" w:space="0" w:color="auto"/>
            </w:tcBorders>
            <w:shd w:val="clear" w:color="auto" w:fill="C0C0C0"/>
            <w:vAlign w:val="center"/>
          </w:tcPr>
          <w:p w:rsidR="00BE50C6" w:rsidRPr="00E97CBC" w:rsidRDefault="00BE50C6" w:rsidP="00BE50C6">
            <w:pPr>
              <w:jc w:val="center"/>
              <w:rPr>
                <w:b/>
                <w:sz w:val="20"/>
                <w:szCs w:val="20"/>
              </w:rPr>
            </w:pPr>
            <w:r w:rsidRPr="00E97CBC">
              <w:rPr>
                <w:b/>
                <w:sz w:val="20"/>
                <w:szCs w:val="20"/>
              </w:rPr>
              <w:t>Total Burden Hours</w:t>
            </w:r>
          </w:p>
        </w:tc>
        <w:tc>
          <w:tcPr>
            <w:tcW w:w="1260" w:type="dxa"/>
            <w:tcBorders>
              <w:top w:val="single" w:sz="4" w:space="0" w:color="auto"/>
              <w:bottom w:val="single" w:sz="6" w:space="0" w:color="auto"/>
            </w:tcBorders>
            <w:shd w:val="clear" w:color="auto" w:fill="C0C0C0"/>
            <w:vAlign w:val="center"/>
          </w:tcPr>
          <w:p w:rsidR="00BE50C6" w:rsidRPr="00E97CBC" w:rsidRDefault="00BE50C6" w:rsidP="00BE50C6">
            <w:pPr>
              <w:jc w:val="center"/>
              <w:rPr>
                <w:b/>
                <w:sz w:val="20"/>
                <w:szCs w:val="20"/>
              </w:rPr>
            </w:pPr>
            <w:r w:rsidRPr="00E97CBC">
              <w:rPr>
                <w:b/>
                <w:sz w:val="20"/>
                <w:szCs w:val="20"/>
              </w:rPr>
              <w:t>Hourly Wage Rate</w:t>
            </w:r>
            <w:r w:rsidRPr="00E97CBC">
              <w:rPr>
                <w:b/>
                <w:sz w:val="20"/>
                <w:szCs w:val="20"/>
                <w:vertAlign w:val="superscript"/>
              </w:rPr>
              <w:t>1</w:t>
            </w:r>
          </w:p>
        </w:tc>
        <w:tc>
          <w:tcPr>
            <w:tcW w:w="1710" w:type="dxa"/>
            <w:tcBorders>
              <w:top w:val="single" w:sz="4" w:space="0" w:color="auto"/>
              <w:bottom w:val="single" w:sz="6" w:space="0" w:color="auto"/>
            </w:tcBorders>
            <w:shd w:val="clear" w:color="auto" w:fill="C0C0C0"/>
            <w:vAlign w:val="center"/>
          </w:tcPr>
          <w:p w:rsidR="00BE50C6" w:rsidRPr="00E97CBC" w:rsidRDefault="00BE50C6" w:rsidP="00BE50C6">
            <w:pPr>
              <w:jc w:val="center"/>
              <w:rPr>
                <w:b/>
                <w:sz w:val="20"/>
                <w:szCs w:val="20"/>
              </w:rPr>
            </w:pPr>
            <w:r w:rsidRPr="00E97CBC">
              <w:rPr>
                <w:b/>
                <w:sz w:val="20"/>
                <w:szCs w:val="20"/>
              </w:rPr>
              <w:t xml:space="preserve"> Total Respondent Costs</w:t>
            </w:r>
          </w:p>
        </w:tc>
      </w:tr>
      <w:tr w:rsidR="00BE50C6" w:rsidRPr="00E97CBC" w:rsidTr="00D574DD">
        <w:trPr>
          <w:trHeight w:val="543"/>
        </w:trPr>
        <w:tc>
          <w:tcPr>
            <w:tcW w:w="1278" w:type="dxa"/>
            <w:tcBorders>
              <w:top w:val="single" w:sz="6" w:space="0" w:color="auto"/>
            </w:tcBorders>
            <w:vAlign w:val="center"/>
          </w:tcPr>
          <w:p w:rsidR="00BE50C6" w:rsidRPr="00E97CBC" w:rsidRDefault="00BE50C6" w:rsidP="00BE50C6">
            <w:pPr>
              <w:jc w:val="center"/>
              <w:rPr>
                <w:sz w:val="22"/>
                <w:szCs w:val="22"/>
              </w:rPr>
            </w:pPr>
            <w:r w:rsidRPr="00E97CBC">
              <w:rPr>
                <w:sz w:val="22"/>
                <w:szCs w:val="22"/>
              </w:rPr>
              <w:t>General Population</w:t>
            </w:r>
          </w:p>
        </w:tc>
        <w:tc>
          <w:tcPr>
            <w:tcW w:w="1350" w:type="dxa"/>
            <w:tcBorders>
              <w:top w:val="single" w:sz="6" w:space="0" w:color="auto"/>
            </w:tcBorders>
            <w:vAlign w:val="center"/>
          </w:tcPr>
          <w:p w:rsidR="00BE50C6" w:rsidRPr="00E97CBC" w:rsidRDefault="00C5120D" w:rsidP="00BE50C6">
            <w:pPr>
              <w:jc w:val="center"/>
              <w:rPr>
                <w:sz w:val="22"/>
                <w:szCs w:val="22"/>
              </w:rPr>
            </w:pPr>
            <w:r w:rsidRPr="00C5120D">
              <w:rPr>
                <w:sz w:val="22"/>
                <w:szCs w:val="22"/>
              </w:rPr>
              <w:t>7</w:t>
            </w:r>
            <w:r w:rsidR="00C40AA7">
              <w:rPr>
                <w:sz w:val="22"/>
                <w:szCs w:val="22"/>
              </w:rPr>
              <w:t>90</w:t>
            </w:r>
          </w:p>
        </w:tc>
        <w:tc>
          <w:tcPr>
            <w:tcW w:w="1260" w:type="dxa"/>
            <w:tcBorders>
              <w:top w:val="single" w:sz="6" w:space="0" w:color="auto"/>
            </w:tcBorders>
            <w:vAlign w:val="center"/>
          </w:tcPr>
          <w:p w:rsidR="00BE50C6" w:rsidRPr="00E97CBC" w:rsidRDefault="007E181D" w:rsidP="00BE50C6">
            <w:pPr>
              <w:jc w:val="center"/>
              <w:rPr>
                <w:sz w:val="22"/>
                <w:szCs w:val="22"/>
              </w:rPr>
            </w:pPr>
            <w:r w:rsidRPr="00E97CBC">
              <w:rPr>
                <w:sz w:val="22"/>
                <w:szCs w:val="22"/>
              </w:rPr>
              <w:t>n/a</w:t>
            </w:r>
          </w:p>
        </w:tc>
        <w:tc>
          <w:tcPr>
            <w:tcW w:w="1710" w:type="dxa"/>
            <w:tcBorders>
              <w:top w:val="single" w:sz="6" w:space="0" w:color="auto"/>
            </w:tcBorders>
            <w:vAlign w:val="center"/>
          </w:tcPr>
          <w:p w:rsidR="00BE50C6" w:rsidRPr="00E97CBC" w:rsidRDefault="007E181D" w:rsidP="00BE50C6">
            <w:pPr>
              <w:jc w:val="center"/>
              <w:rPr>
                <w:sz w:val="22"/>
                <w:szCs w:val="22"/>
              </w:rPr>
            </w:pPr>
            <w:r w:rsidRPr="00E97CBC">
              <w:rPr>
                <w:sz w:val="22"/>
                <w:szCs w:val="22"/>
              </w:rPr>
              <w:t>n/a</w:t>
            </w:r>
          </w:p>
        </w:tc>
      </w:tr>
      <w:tr w:rsidR="00BE50C6" w:rsidRPr="00E97CBC" w:rsidTr="00D574DD">
        <w:trPr>
          <w:trHeight w:val="305"/>
        </w:trPr>
        <w:tc>
          <w:tcPr>
            <w:tcW w:w="1278" w:type="dxa"/>
            <w:vAlign w:val="center"/>
          </w:tcPr>
          <w:p w:rsidR="00BE50C6" w:rsidRPr="00E97CBC" w:rsidRDefault="00BE50C6" w:rsidP="00BE50C6">
            <w:pPr>
              <w:jc w:val="center"/>
              <w:rPr>
                <w:sz w:val="22"/>
                <w:szCs w:val="22"/>
              </w:rPr>
            </w:pPr>
            <w:r w:rsidRPr="00E97CBC">
              <w:rPr>
                <w:sz w:val="22"/>
                <w:szCs w:val="22"/>
              </w:rPr>
              <w:t>Physician</w:t>
            </w:r>
          </w:p>
        </w:tc>
        <w:tc>
          <w:tcPr>
            <w:tcW w:w="1350" w:type="dxa"/>
            <w:vAlign w:val="center"/>
          </w:tcPr>
          <w:p w:rsidR="00BE50C6" w:rsidRPr="00E97CBC" w:rsidRDefault="00C40AA7" w:rsidP="00BE50C6">
            <w:pPr>
              <w:jc w:val="center"/>
              <w:rPr>
                <w:sz w:val="22"/>
                <w:szCs w:val="22"/>
              </w:rPr>
            </w:pPr>
            <w:r>
              <w:rPr>
                <w:sz w:val="22"/>
                <w:szCs w:val="22"/>
              </w:rPr>
              <w:t>85</w:t>
            </w:r>
          </w:p>
        </w:tc>
        <w:tc>
          <w:tcPr>
            <w:tcW w:w="1260" w:type="dxa"/>
            <w:vAlign w:val="center"/>
          </w:tcPr>
          <w:p w:rsidR="00BE50C6" w:rsidRPr="00E97CBC" w:rsidRDefault="007E181D" w:rsidP="00F77631">
            <w:pPr>
              <w:jc w:val="center"/>
              <w:rPr>
                <w:sz w:val="22"/>
                <w:szCs w:val="22"/>
              </w:rPr>
            </w:pPr>
            <w:r w:rsidRPr="00E97CBC">
              <w:rPr>
                <w:sz w:val="22"/>
                <w:szCs w:val="22"/>
              </w:rPr>
              <w:t>$</w:t>
            </w:r>
            <w:r w:rsidR="00C5120D" w:rsidRPr="00C5120D">
              <w:rPr>
                <w:sz w:val="22"/>
                <w:szCs w:val="22"/>
              </w:rPr>
              <w:t>85.67</w:t>
            </w:r>
          </w:p>
        </w:tc>
        <w:tc>
          <w:tcPr>
            <w:tcW w:w="1710" w:type="dxa"/>
            <w:vAlign w:val="center"/>
          </w:tcPr>
          <w:p w:rsidR="00BE50C6" w:rsidRPr="00E97CBC" w:rsidRDefault="007E181D" w:rsidP="00C40AA7">
            <w:pPr>
              <w:jc w:val="center"/>
              <w:rPr>
                <w:sz w:val="22"/>
                <w:szCs w:val="22"/>
              </w:rPr>
            </w:pPr>
            <w:r w:rsidRPr="00E97CBC">
              <w:rPr>
                <w:sz w:val="22"/>
                <w:szCs w:val="22"/>
              </w:rPr>
              <w:t>$</w:t>
            </w:r>
            <w:r w:rsidR="00C40AA7">
              <w:rPr>
                <w:sz w:val="22"/>
                <w:szCs w:val="22"/>
              </w:rPr>
              <w:t>7,281.95</w:t>
            </w:r>
          </w:p>
        </w:tc>
      </w:tr>
      <w:tr w:rsidR="00BE50C6" w:rsidRPr="00EA510F" w:rsidTr="00D574DD">
        <w:tc>
          <w:tcPr>
            <w:tcW w:w="1278" w:type="dxa"/>
            <w:vAlign w:val="center"/>
          </w:tcPr>
          <w:p w:rsidR="00BE50C6" w:rsidRPr="00E97CBC" w:rsidRDefault="00BE50C6" w:rsidP="00BE50C6">
            <w:pPr>
              <w:jc w:val="center"/>
              <w:rPr>
                <w:b/>
                <w:sz w:val="22"/>
                <w:szCs w:val="22"/>
              </w:rPr>
            </w:pPr>
            <w:r w:rsidRPr="00E97CBC">
              <w:rPr>
                <w:b/>
                <w:sz w:val="22"/>
                <w:szCs w:val="22"/>
              </w:rPr>
              <w:t>Total</w:t>
            </w:r>
          </w:p>
        </w:tc>
        <w:tc>
          <w:tcPr>
            <w:tcW w:w="1350" w:type="dxa"/>
            <w:vAlign w:val="center"/>
          </w:tcPr>
          <w:p w:rsidR="00BE50C6" w:rsidRPr="00E97CBC" w:rsidRDefault="00BE50C6" w:rsidP="00BE50C6">
            <w:pPr>
              <w:jc w:val="center"/>
              <w:rPr>
                <w:b/>
                <w:sz w:val="22"/>
                <w:szCs w:val="22"/>
              </w:rPr>
            </w:pPr>
          </w:p>
        </w:tc>
        <w:tc>
          <w:tcPr>
            <w:tcW w:w="1260" w:type="dxa"/>
            <w:vAlign w:val="center"/>
          </w:tcPr>
          <w:p w:rsidR="00BE50C6" w:rsidRPr="00E97CBC" w:rsidRDefault="00BE50C6" w:rsidP="00BE50C6">
            <w:pPr>
              <w:jc w:val="center"/>
              <w:rPr>
                <w:b/>
                <w:sz w:val="22"/>
                <w:szCs w:val="22"/>
              </w:rPr>
            </w:pPr>
          </w:p>
        </w:tc>
        <w:tc>
          <w:tcPr>
            <w:tcW w:w="1710" w:type="dxa"/>
            <w:vAlign w:val="center"/>
          </w:tcPr>
          <w:p w:rsidR="00BE50C6" w:rsidRPr="00E97CBC" w:rsidRDefault="007E181D" w:rsidP="00C40AA7">
            <w:pPr>
              <w:jc w:val="center"/>
              <w:rPr>
                <w:b/>
                <w:sz w:val="22"/>
                <w:szCs w:val="22"/>
              </w:rPr>
            </w:pPr>
            <w:r w:rsidRPr="00E97CBC">
              <w:rPr>
                <w:b/>
                <w:sz w:val="22"/>
                <w:szCs w:val="22"/>
              </w:rPr>
              <w:t>$</w:t>
            </w:r>
            <w:r w:rsidR="00C40AA7">
              <w:rPr>
                <w:b/>
                <w:sz w:val="22"/>
                <w:szCs w:val="22"/>
              </w:rPr>
              <w:t>7,281.95</w:t>
            </w:r>
          </w:p>
        </w:tc>
      </w:tr>
    </w:tbl>
    <w:p w:rsidR="00BE50C6" w:rsidRPr="00EA510F" w:rsidRDefault="00BE50C6" w:rsidP="006B2704">
      <w:pPr>
        <w:ind w:left="1440"/>
        <w:jc w:val="both"/>
        <w:rPr>
          <w:sz w:val="20"/>
          <w:szCs w:val="20"/>
        </w:rPr>
      </w:pPr>
      <w:r w:rsidRPr="00EA510F">
        <w:rPr>
          <w:vertAlign w:val="superscript"/>
        </w:rPr>
        <w:t>1</w:t>
      </w:r>
      <w:r w:rsidRPr="00EA510F">
        <w:rPr>
          <w:sz w:val="20"/>
          <w:szCs w:val="20"/>
        </w:rPr>
        <w:t>Based on hourly wage for U.S. Physicians</w:t>
      </w:r>
      <w:r w:rsidR="00223008">
        <w:rPr>
          <w:sz w:val="20"/>
          <w:szCs w:val="20"/>
        </w:rPr>
        <w:t xml:space="preserve"> and Surgeons</w:t>
      </w:r>
      <w:r w:rsidRPr="00EA510F">
        <w:rPr>
          <w:sz w:val="20"/>
          <w:szCs w:val="20"/>
        </w:rPr>
        <w:t>, “National Compensation Survey: Occupational Wages in the United States, June, 20</w:t>
      </w:r>
      <w:r w:rsidR="00223008">
        <w:rPr>
          <w:sz w:val="20"/>
          <w:szCs w:val="20"/>
        </w:rPr>
        <w:t>10</w:t>
      </w:r>
      <w:r w:rsidRPr="00EA510F">
        <w:rPr>
          <w:sz w:val="20"/>
          <w:szCs w:val="20"/>
        </w:rPr>
        <w:t xml:space="preserve">,” U.S. Department of Labor, Bureau of Labor Statistics.  Extracted </w:t>
      </w:r>
      <w:r w:rsidR="00223008">
        <w:rPr>
          <w:sz w:val="20"/>
          <w:szCs w:val="20"/>
        </w:rPr>
        <w:t>November 23, 2011</w:t>
      </w:r>
      <w:r w:rsidRPr="00EA510F">
        <w:rPr>
          <w:sz w:val="20"/>
          <w:szCs w:val="20"/>
        </w:rPr>
        <w:t xml:space="preserve"> from www.bls.gov.</w:t>
      </w:r>
    </w:p>
    <w:p w:rsidR="00E0690F" w:rsidRDefault="00BE50C6" w:rsidP="00E0690F">
      <w:pPr>
        <w:jc w:val="both"/>
        <w:rPr>
          <w:sz w:val="22"/>
          <w:szCs w:val="22"/>
        </w:rPr>
      </w:pPr>
      <w:r w:rsidRPr="00EA510F">
        <w:tab/>
      </w:r>
    </w:p>
    <w:p w:rsidR="005B13C3" w:rsidRPr="00E0690F" w:rsidRDefault="0095678B" w:rsidP="00E0690F">
      <w:pPr>
        <w:tabs>
          <w:tab w:val="left" w:pos="990"/>
        </w:tabs>
        <w:ind w:left="900" w:hanging="360"/>
        <w:jc w:val="both"/>
      </w:pPr>
      <w:r w:rsidRPr="00E0690F">
        <w:rPr>
          <w:b/>
          <w:u w:val="single"/>
        </w:rPr>
        <w:t>13.</w:t>
      </w:r>
      <w:r w:rsidR="00E0690F" w:rsidRPr="00E0690F">
        <w:rPr>
          <w:b/>
          <w:u w:val="single"/>
        </w:rPr>
        <w:t xml:space="preserve"> Es</w:t>
      </w:r>
      <w:r w:rsidRPr="00E0690F">
        <w:rPr>
          <w:b/>
          <w:u w:val="single"/>
        </w:rPr>
        <w:t>timates of other Total Annual Cost Burden to Respondents</w:t>
      </w:r>
      <w:r w:rsidR="007F66DC">
        <w:rPr>
          <w:b/>
          <w:u w:val="single"/>
        </w:rPr>
        <w:t xml:space="preserve"> or</w:t>
      </w:r>
      <w:r w:rsidRPr="00E0690F">
        <w:rPr>
          <w:b/>
          <w:u w:val="single"/>
        </w:rPr>
        <w:t xml:space="preserve"> </w:t>
      </w:r>
      <w:r w:rsidR="00E0690F" w:rsidRPr="00E0690F">
        <w:rPr>
          <w:b/>
          <w:u w:val="single"/>
        </w:rPr>
        <w:t>r</w:t>
      </w:r>
      <w:r w:rsidRPr="00E0690F">
        <w:rPr>
          <w:b/>
          <w:u w:val="single"/>
        </w:rPr>
        <w:t>ecordkeepers</w:t>
      </w:r>
      <w:r w:rsidR="007F66DC">
        <w:rPr>
          <w:b/>
          <w:u w:val="single"/>
        </w:rPr>
        <w:t>/</w:t>
      </w:r>
      <w:r w:rsidR="00E0690F" w:rsidRPr="00E0690F">
        <w:rPr>
          <w:b/>
          <w:u w:val="single"/>
        </w:rPr>
        <w:t xml:space="preserve"> Capital Costs</w:t>
      </w:r>
    </w:p>
    <w:p w:rsidR="0095678B" w:rsidRPr="00EA510F" w:rsidRDefault="0095678B" w:rsidP="00AC180B">
      <w:pPr>
        <w:tabs>
          <w:tab w:val="left" w:pos="900"/>
        </w:tabs>
        <w:ind w:left="540"/>
        <w:jc w:val="both"/>
        <w:rPr>
          <w:sz w:val="22"/>
          <w:szCs w:val="22"/>
        </w:rPr>
      </w:pPr>
    </w:p>
    <w:p w:rsidR="00AC180B" w:rsidRPr="00EA510F" w:rsidRDefault="005B13C3" w:rsidP="007D5745">
      <w:pPr>
        <w:ind w:left="540"/>
        <w:rPr>
          <w:b/>
          <w:sz w:val="22"/>
          <w:szCs w:val="22"/>
          <w:u w:val="single"/>
        </w:rPr>
      </w:pPr>
      <w:r w:rsidRPr="00EA510F">
        <w:rPr>
          <w:sz w:val="22"/>
          <w:szCs w:val="22"/>
        </w:rPr>
        <w:t xml:space="preserve">This section does not apply to this submission. </w:t>
      </w:r>
      <w:r w:rsidR="007D5745" w:rsidRPr="00EA510F">
        <w:rPr>
          <w:sz w:val="22"/>
          <w:szCs w:val="22"/>
        </w:rPr>
        <w:t xml:space="preserve">Data collection for this study will not result in any additional capital, start-up, maintenance, or purchase costs to respondents or record keepers.  Therefore, there is no burden to respondents other than that discussed in the previous section </w:t>
      </w:r>
      <w:r w:rsidR="007D5745" w:rsidRPr="00747E26">
        <w:rPr>
          <w:sz w:val="22"/>
          <w:szCs w:val="22"/>
        </w:rPr>
        <w:t>(</w:t>
      </w:r>
      <w:r w:rsidR="007E181D" w:rsidRPr="00747E26">
        <w:rPr>
          <w:sz w:val="22"/>
          <w:szCs w:val="22"/>
        </w:rPr>
        <w:t>A.12</w:t>
      </w:r>
      <w:r w:rsidR="007D5745" w:rsidRPr="00747E26">
        <w:rPr>
          <w:sz w:val="22"/>
          <w:szCs w:val="22"/>
        </w:rPr>
        <w:t>).</w:t>
      </w:r>
    </w:p>
    <w:p w:rsidR="00AC180B" w:rsidRPr="00EA510F" w:rsidRDefault="00AC180B" w:rsidP="00AC180B">
      <w:pPr>
        <w:tabs>
          <w:tab w:val="left" w:pos="900"/>
        </w:tabs>
        <w:ind w:left="540"/>
        <w:jc w:val="both"/>
        <w:rPr>
          <w:sz w:val="22"/>
          <w:szCs w:val="22"/>
        </w:rPr>
      </w:pPr>
    </w:p>
    <w:p w:rsidR="00AC180B" w:rsidRPr="00E0690F" w:rsidRDefault="002D091D" w:rsidP="00E0690F">
      <w:pPr>
        <w:ind w:firstLine="540"/>
        <w:jc w:val="both"/>
        <w:rPr>
          <w:b/>
          <w:u w:val="single"/>
        </w:rPr>
      </w:pPr>
      <w:r w:rsidRPr="00E0690F">
        <w:rPr>
          <w:b/>
          <w:u w:val="single"/>
        </w:rPr>
        <w:t>14.</w:t>
      </w:r>
      <w:r w:rsidR="003354EC" w:rsidRPr="00E0690F">
        <w:rPr>
          <w:b/>
          <w:u w:val="single"/>
        </w:rPr>
        <w:t xml:space="preserve">  </w:t>
      </w:r>
      <w:r w:rsidR="0095678B" w:rsidRPr="00E0690F">
        <w:rPr>
          <w:b/>
          <w:u w:val="single"/>
        </w:rPr>
        <w:t>Annualized Cost to Federal Government</w:t>
      </w:r>
    </w:p>
    <w:p w:rsidR="0095678B" w:rsidRPr="00EA510F" w:rsidRDefault="0095678B" w:rsidP="00AC180B">
      <w:pPr>
        <w:ind w:left="540"/>
        <w:jc w:val="both"/>
        <w:rPr>
          <w:sz w:val="22"/>
          <w:szCs w:val="22"/>
        </w:rPr>
      </w:pPr>
    </w:p>
    <w:p w:rsidR="00AC180B" w:rsidRPr="00EA510F" w:rsidRDefault="00E4037C" w:rsidP="00AC180B">
      <w:pPr>
        <w:ind w:left="540"/>
        <w:jc w:val="both"/>
        <w:rPr>
          <w:sz w:val="22"/>
          <w:szCs w:val="22"/>
        </w:rPr>
      </w:pPr>
      <w:r w:rsidRPr="00446F41">
        <w:rPr>
          <w:sz w:val="22"/>
          <w:szCs w:val="22"/>
        </w:rPr>
        <w:t xml:space="preserve">The overall cost to the federal government for conducting the research requiring OMB clearance will be </w:t>
      </w:r>
      <w:r w:rsidR="00C5120D" w:rsidRPr="00446F41">
        <w:rPr>
          <w:sz w:val="22"/>
          <w:szCs w:val="22"/>
        </w:rPr>
        <w:t>$</w:t>
      </w:r>
      <w:r w:rsidR="00747E26" w:rsidRPr="00446F41">
        <w:rPr>
          <w:sz w:val="22"/>
          <w:szCs w:val="22"/>
        </w:rPr>
        <w:t>600</w:t>
      </w:r>
      <w:r w:rsidR="00C5120D" w:rsidRPr="00446F41">
        <w:rPr>
          <w:sz w:val="22"/>
          <w:szCs w:val="22"/>
        </w:rPr>
        <w:t>,000</w:t>
      </w:r>
      <w:r w:rsidRPr="00446F41">
        <w:rPr>
          <w:sz w:val="22"/>
          <w:szCs w:val="22"/>
        </w:rPr>
        <w:t>.</w:t>
      </w:r>
      <w:r w:rsidR="009C4D02" w:rsidRPr="00446F41">
        <w:rPr>
          <w:sz w:val="22"/>
          <w:szCs w:val="22"/>
        </w:rPr>
        <w:t xml:space="preserve"> </w:t>
      </w:r>
      <w:r w:rsidRPr="00446F41">
        <w:rPr>
          <w:sz w:val="22"/>
          <w:szCs w:val="22"/>
        </w:rPr>
        <w:t xml:space="preserve"> This cost is associated with a contractor’s reimbursement for developing the survey protocol, selecting</w:t>
      </w:r>
      <w:r w:rsidRPr="00EA510F">
        <w:rPr>
          <w:sz w:val="22"/>
          <w:szCs w:val="22"/>
        </w:rPr>
        <w:t xml:space="preserve"> the samples, conducting data collection, processing data, producing a dataset, performing statistical analyses and writing a report on the study’s survey methods and findings.</w:t>
      </w:r>
    </w:p>
    <w:p w:rsidR="00514FFB" w:rsidRPr="00EA510F" w:rsidRDefault="00514FFB" w:rsidP="00AC180B">
      <w:pPr>
        <w:ind w:left="540"/>
        <w:jc w:val="both"/>
        <w:rPr>
          <w:sz w:val="22"/>
          <w:szCs w:val="22"/>
        </w:rPr>
      </w:pPr>
    </w:p>
    <w:p w:rsidR="004F6F5E" w:rsidRPr="00E0690F" w:rsidRDefault="003354EC" w:rsidP="00E0690F">
      <w:pPr>
        <w:ind w:firstLine="540"/>
        <w:jc w:val="both"/>
        <w:rPr>
          <w:b/>
          <w:u w:val="single"/>
        </w:rPr>
      </w:pPr>
      <w:r w:rsidRPr="00E0690F">
        <w:rPr>
          <w:b/>
          <w:u w:val="single"/>
        </w:rPr>
        <w:t>15.  Explanation for Program Changes or Adjustments</w:t>
      </w:r>
    </w:p>
    <w:p w:rsidR="003354EC" w:rsidRPr="00EA510F" w:rsidRDefault="003354EC" w:rsidP="003354EC">
      <w:pPr>
        <w:ind w:firstLine="540"/>
        <w:jc w:val="both"/>
        <w:rPr>
          <w:b/>
          <w:sz w:val="22"/>
          <w:szCs w:val="22"/>
        </w:rPr>
      </w:pPr>
    </w:p>
    <w:p w:rsidR="00D74934" w:rsidRDefault="006C2289" w:rsidP="00FE0A0F">
      <w:pPr>
        <w:ind w:left="540"/>
        <w:jc w:val="both"/>
        <w:rPr>
          <w:b/>
          <w:sz w:val="22"/>
          <w:szCs w:val="22"/>
        </w:rPr>
      </w:pPr>
      <w:r>
        <w:rPr>
          <w:sz w:val="22"/>
          <w:szCs w:val="22"/>
        </w:rPr>
        <w:t>Based on the 2009</w:t>
      </w:r>
      <w:r w:rsidR="00747E26">
        <w:rPr>
          <w:sz w:val="22"/>
          <w:szCs w:val="22"/>
        </w:rPr>
        <w:t xml:space="preserve"> and </w:t>
      </w:r>
      <w:r>
        <w:rPr>
          <w:sz w:val="22"/>
          <w:szCs w:val="22"/>
        </w:rPr>
        <w:t xml:space="preserve">2010 </w:t>
      </w:r>
      <w:r w:rsidR="00747E26">
        <w:rPr>
          <w:sz w:val="22"/>
          <w:szCs w:val="22"/>
        </w:rPr>
        <w:t xml:space="preserve">OMH/NORC </w:t>
      </w:r>
      <w:r>
        <w:rPr>
          <w:sz w:val="22"/>
          <w:szCs w:val="22"/>
        </w:rPr>
        <w:t>stud</w:t>
      </w:r>
      <w:r w:rsidR="00747E26">
        <w:rPr>
          <w:sz w:val="22"/>
          <w:szCs w:val="22"/>
        </w:rPr>
        <w:t>ies</w:t>
      </w:r>
      <w:r>
        <w:rPr>
          <w:sz w:val="22"/>
          <w:szCs w:val="22"/>
        </w:rPr>
        <w:t>, the burden of the survey exp</w:t>
      </w:r>
      <w:r w:rsidR="002E3307">
        <w:rPr>
          <w:sz w:val="22"/>
          <w:szCs w:val="22"/>
        </w:rPr>
        <w:t>erience for respondents was fif</w:t>
      </w:r>
      <w:r>
        <w:rPr>
          <w:sz w:val="22"/>
          <w:szCs w:val="22"/>
        </w:rPr>
        <w:t xml:space="preserve">teen minutes.  </w:t>
      </w:r>
      <w:r w:rsidR="00AF6631">
        <w:rPr>
          <w:sz w:val="22"/>
          <w:szCs w:val="22"/>
        </w:rPr>
        <w:t>It</w:t>
      </w:r>
      <w:r>
        <w:rPr>
          <w:sz w:val="22"/>
          <w:szCs w:val="22"/>
        </w:rPr>
        <w:t xml:space="preserve"> is anticipated that the response bur</w:t>
      </w:r>
      <w:r w:rsidR="002E3307">
        <w:rPr>
          <w:sz w:val="22"/>
          <w:szCs w:val="22"/>
        </w:rPr>
        <w:t>den will remain the same at fif</w:t>
      </w:r>
      <w:r>
        <w:rPr>
          <w:sz w:val="22"/>
          <w:szCs w:val="22"/>
        </w:rPr>
        <w:t>teen minutes</w:t>
      </w:r>
      <w:r w:rsidR="00747E26">
        <w:rPr>
          <w:sz w:val="22"/>
          <w:szCs w:val="22"/>
        </w:rPr>
        <w:t xml:space="preserve"> </w:t>
      </w:r>
      <w:r w:rsidR="00AF6631">
        <w:rPr>
          <w:sz w:val="22"/>
          <w:szCs w:val="22"/>
        </w:rPr>
        <w:t>as the same interview</w:t>
      </w:r>
      <w:r>
        <w:rPr>
          <w:sz w:val="22"/>
          <w:szCs w:val="22"/>
        </w:rPr>
        <w:t xml:space="preserve"> scripts and protocols will be utilized. </w:t>
      </w:r>
      <w:r w:rsidR="002A515F">
        <w:rPr>
          <w:sz w:val="22"/>
          <w:szCs w:val="22"/>
        </w:rPr>
        <w:t>Additionally, based on the 2009 and 2010 data collections, the size of the general public household and physician samples have been reduced.  Adequate statistical power was achieved with a national household sample of 3,159 (reduced from the original estimate of 4,100) and 340 physicians (reduced from the original estimate of 360).  This corresponds to a</w:t>
      </w:r>
      <w:r w:rsidR="00AF6631">
        <w:rPr>
          <w:sz w:val="22"/>
          <w:szCs w:val="22"/>
        </w:rPr>
        <w:t>n</w:t>
      </w:r>
      <w:r w:rsidR="002A515F">
        <w:rPr>
          <w:sz w:val="22"/>
          <w:szCs w:val="22"/>
        </w:rPr>
        <w:t xml:space="preserve"> 875 burden hour estimate – a 166 burden hour decrease </w:t>
      </w:r>
      <w:r w:rsidR="00A159C3">
        <w:rPr>
          <w:sz w:val="22"/>
          <w:szCs w:val="22"/>
        </w:rPr>
        <w:t>from the previous study</w:t>
      </w:r>
      <w:r w:rsidR="007F7C51" w:rsidRPr="00EA510F">
        <w:rPr>
          <w:sz w:val="22"/>
          <w:szCs w:val="22"/>
        </w:rPr>
        <w:t xml:space="preserve">. </w:t>
      </w:r>
    </w:p>
    <w:p w:rsidR="00FE0A0F" w:rsidRDefault="00FE0A0F" w:rsidP="00FE0A0F">
      <w:pPr>
        <w:ind w:left="540"/>
        <w:jc w:val="both"/>
        <w:rPr>
          <w:b/>
          <w:sz w:val="22"/>
          <w:szCs w:val="22"/>
        </w:rPr>
      </w:pPr>
    </w:p>
    <w:p w:rsidR="00D74934" w:rsidRPr="00EA510F" w:rsidRDefault="00D74934" w:rsidP="00CD7A65">
      <w:pPr>
        <w:jc w:val="both"/>
        <w:rPr>
          <w:b/>
          <w:sz w:val="22"/>
          <w:szCs w:val="22"/>
        </w:rPr>
      </w:pPr>
    </w:p>
    <w:p w:rsidR="00AC180B" w:rsidRPr="00E0690F" w:rsidRDefault="003354EC" w:rsidP="00E0690F">
      <w:pPr>
        <w:ind w:firstLine="540"/>
        <w:jc w:val="both"/>
        <w:rPr>
          <w:b/>
          <w:u w:val="single"/>
        </w:rPr>
      </w:pPr>
      <w:r w:rsidRPr="00E0690F">
        <w:rPr>
          <w:b/>
          <w:u w:val="single"/>
        </w:rPr>
        <w:t>16.  Plans for Tabulation and Publication and Project Time Schedule</w:t>
      </w:r>
    </w:p>
    <w:p w:rsidR="003354EC" w:rsidRPr="00EA510F" w:rsidRDefault="003354EC" w:rsidP="003354EC">
      <w:pPr>
        <w:ind w:firstLine="540"/>
        <w:jc w:val="both"/>
        <w:rPr>
          <w:b/>
          <w:sz w:val="22"/>
          <w:szCs w:val="22"/>
        </w:rPr>
      </w:pPr>
    </w:p>
    <w:p w:rsidR="002F6F49" w:rsidRDefault="00E4037C" w:rsidP="000D72EF">
      <w:pPr>
        <w:ind w:left="540"/>
        <w:jc w:val="both"/>
        <w:rPr>
          <w:b/>
        </w:rPr>
      </w:pPr>
      <w:r w:rsidRPr="00EA510F">
        <w:rPr>
          <w:sz w:val="22"/>
          <w:szCs w:val="22"/>
        </w:rPr>
        <w:t>Findings from the proposed information collection are intended to</w:t>
      </w:r>
      <w:r w:rsidR="00AC180B" w:rsidRPr="00EA510F">
        <w:rPr>
          <w:sz w:val="22"/>
          <w:szCs w:val="22"/>
        </w:rPr>
        <w:t xml:space="preserve"> be published. </w:t>
      </w:r>
      <w:r w:rsidR="009C4D02" w:rsidRPr="00EA510F">
        <w:rPr>
          <w:sz w:val="22"/>
          <w:szCs w:val="22"/>
        </w:rPr>
        <w:t xml:space="preserve"> </w:t>
      </w:r>
      <w:r w:rsidR="00AC180B" w:rsidRPr="00EA510F">
        <w:rPr>
          <w:sz w:val="22"/>
          <w:szCs w:val="22"/>
        </w:rPr>
        <w:t xml:space="preserve">A description of </w:t>
      </w:r>
      <w:r w:rsidRPr="00EA510F">
        <w:rPr>
          <w:sz w:val="22"/>
          <w:szCs w:val="22"/>
        </w:rPr>
        <w:t>how research questions will be addressed by the instrument and its corresponding protocols</w:t>
      </w:r>
      <w:r w:rsidR="00EB45C1" w:rsidRPr="00EA510F">
        <w:rPr>
          <w:sz w:val="22"/>
          <w:szCs w:val="22"/>
        </w:rPr>
        <w:t xml:space="preserve"> is </w:t>
      </w:r>
      <w:r w:rsidR="00EB45C1" w:rsidRPr="00EA510F">
        <w:rPr>
          <w:sz w:val="22"/>
          <w:szCs w:val="22"/>
        </w:rPr>
        <w:lastRenderedPageBreak/>
        <w:t xml:space="preserve">included in </w:t>
      </w:r>
      <w:r w:rsidR="00202EE6">
        <w:rPr>
          <w:sz w:val="22"/>
          <w:szCs w:val="22"/>
        </w:rPr>
        <w:t>Attachment I</w:t>
      </w:r>
      <w:r w:rsidR="008470A4">
        <w:rPr>
          <w:sz w:val="22"/>
          <w:szCs w:val="22"/>
        </w:rPr>
        <w:t xml:space="preserve">.  </w:t>
      </w:r>
      <w:r w:rsidRPr="00EA510F">
        <w:rPr>
          <w:sz w:val="22"/>
          <w:szCs w:val="22"/>
        </w:rPr>
        <w:t xml:space="preserve">The schedule for completion of this study from the date of OMB approval is presented in </w:t>
      </w:r>
      <w:r w:rsidR="007E181D" w:rsidRPr="00747E26">
        <w:rPr>
          <w:sz w:val="22"/>
          <w:szCs w:val="22"/>
        </w:rPr>
        <w:t>Exhibit 3</w:t>
      </w:r>
      <w:r w:rsidR="00915B52" w:rsidRPr="00747E26">
        <w:rPr>
          <w:sz w:val="22"/>
          <w:szCs w:val="22"/>
        </w:rPr>
        <w:t xml:space="preserve"> on</w:t>
      </w:r>
      <w:r w:rsidR="00915B52" w:rsidRPr="00EA510F">
        <w:rPr>
          <w:sz w:val="22"/>
          <w:szCs w:val="22"/>
        </w:rPr>
        <w:t xml:space="preserve"> the following page.</w:t>
      </w:r>
    </w:p>
    <w:p w:rsidR="00A159C3" w:rsidRDefault="00A159C3" w:rsidP="002F6F49">
      <w:pPr>
        <w:jc w:val="both"/>
        <w:rPr>
          <w:b/>
        </w:rPr>
      </w:pPr>
    </w:p>
    <w:p w:rsidR="00915B52" w:rsidRPr="00EA510F" w:rsidRDefault="00AC180B" w:rsidP="002F6F49">
      <w:pPr>
        <w:jc w:val="both"/>
        <w:rPr>
          <w:b/>
        </w:rPr>
      </w:pPr>
      <w:r w:rsidRPr="00EA510F">
        <w:rPr>
          <w:b/>
        </w:rPr>
        <w:br w:type="page"/>
      </w:r>
      <w:r w:rsidR="00131E44" w:rsidRPr="00EA510F">
        <w:rPr>
          <w:b/>
        </w:rPr>
        <w:lastRenderedPageBreak/>
        <w:t xml:space="preserve">Exhibit </w:t>
      </w:r>
      <w:r w:rsidR="00811BC6" w:rsidRPr="00EA510F">
        <w:rPr>
          <w:b/>
        </w:rPr>
        <w:t>3</w:t>
      </w:r>
      <w:r w:rsidR="00131E44" w:rsidRPr="00EA510F">
        <w:rPr>
          <w:b/>
        </w:rPr>
        <w:t>: Schedule for Completion</w:t>
      </w:r>
    </w:p>
    <w:tbl>
      <w:tblPr>
        <w:tblpPr w:leftFromText="180" w:rightFromText="180" w:vertAnchor="page" w:horzAnchor="margin" w:tblpXSpec="right" w:tblpY="1801"/>
        <w:tblW w:w="47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34"/>
        <w:gridCol w:w="355"/>
        <w:gridCol w:w="354"/>
        <w:gridCol w:w="361"/>
        <w:gridCol w:w="361"/>
        <w:gridCol w:w="361"/>
        <w:gridCol w:w="361"/>
        <w:gridCol w:w="361"/>
        <w:gridCol w:w="361"/>
        <w:gridCol w:w="361"/>
        <w:gridCol w:w="361"/>
        <w:gridCol w:w="361"/>
        <w:gridCol w:w="361"/>
        <w:gridCol w:w="361"/>
        <w:gridCol w:w="397"/>
      </w:tblGrid>
      <w:tr w:rsidR="009249D9" w:rsidRPr="00EA510F" w:rsidTr="00326FDD">
        <w:trPr>
          <w:cantSplit/>
          <w:trHeight w:val="1250"/>
        </w:trPr>
        <w:tc>
          <w:tcPr>
            <w:tcW w:w="2214" w:type="pct"/>
            <w:shd w:val="clear" w:color="auto" w:fill="E0E0E0"/>
            <w:vAlign w:val="center"/>
          </w:tcPr>
          <w:p w:rsidR="009249D9" w:rsidRPr="00EA510F" w:rsidRDefault="009249D9" w:rsidP="00A742C5">
            <w:pPr>
              <w:jc w:val="center"/>
              <w:rPr>
                <w:b/>
              </w:rPr>
            </w:pPr>
            <w:r w:rsidRPr="00EA510F">
              <w:rPr>
                <w:b/>
              </w:rPr>
              <w:t>Task Description</w:t>
            </w:r>
          </w:p>
        </w:tc>
        <w:tc>
          <w:tcPr>
            <w:tcW w:w="195" w:type="pct"/>
            <w:tcBorders>
              <w:bottom w:val="single" w:sz="4" w:space="0" w:color="000000"/>
            </w:tcBorders>
            <w:shd w:val="clear" w:color="auto" w:fill="E0E0E0"/>
            <w:textDirection w:val="btLr"/>
            <w:vAlign w:val="center"/>
          </w:tcPr>
          <w:p w:rsidR="009249D9" w:rsidRPr="00EA510F" w:rsidRDefault="00E90C41" w:rsidP="00A742C5">
            <w:pPr>
              <w:ind w:left="113" w:right="113"/>
              <w:rPr>
                <w:b/>
              </w:rPr>
            </w:pPr>
            <w:r w:rsidRPr="00EA510F">
              <w:rPr>
                <w:b/>
              </w:rPr>
              <w:t>Month 1</w:t>
            </w:r>
          </w:p>
        </w:tc>
        <w:tc>
          <w:tcPr>
            <w:tcW w:w="194" w:type="pct"/>
            <w:tcBorders>
              <w:bottom w:val="single" w:sz="4" w:space="0" w:color="000000"/>
            </w:tcBorders>
            <w:shd w:val="clear" w:color="auto" w:fill="E0E0E0"/>
            <w:textDirection w:val="btLr"/>
            <w:vAlign w:val="center"/>
          </w:tcPr>
          <w:p w:rsidR="009249D9" w:rsidRPr="00EA510F" w:rsidRDefault="00E90C41" w:rsidP="00A742C5">
            <w:pPr>
              <w:ind w:left="113" w:right="113"/>
              <w:rPr>
                <w:b/>
              </w:rPr>
            </w:pPr>
            <w:r w:rsidRPr="00EA510F">
              <w:rPr>
                <w:b/>
              </w:rPr>
              <w:t>Month 2</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3</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4</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5</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6</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7</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8</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9</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10</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11</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12</w:t>
            </w:r>
          </w:p>
        </w:tc>
        <w:tc>
          <w:tcPr>
            <w:tcW w:w="198" w:type="pct"/>
            <w:shd w:val="clear" w:color="auto" w:fill="E0E0E0"/>
            <w:textDirection w:val="btLr"/>
            <w:vAlign w:val="center"/>
          </w:tcPr>
          <w:p w:rsidR="009249D9" w:rsidRPr="00EA510F" w:rsidRDefault="00E90C41" w:rsidP="00A742C5">
            <w:pPr>
              <w:ind w:left="113" w:right="113"/>
              <w:rPr>
                <w:b/>
              </w:rPr>
            </w:pPr>
            <w:r w:rsidRPr="00EA510F">
              <w:rPr>
                <w:b/>
              </w:rPr>
              <w:t>Month 13</w:t>
            </w:r>
          </w:p>
        </w:tc>
        <w:tc>
          <w:tcPr>
            <w:tcW w:w="218" w:type="pct"/>
            <w:shd w:val="clear" w:color="auto" w:fill="E0E0E0"/>
            <w:textDirection w:val="btLr"/>
            <w:vAlign w:val="center"/>
          </w:tcPr>
          <w:p w:rsidR="009249D9" w:rsidRPr="00EA510F" w:rsidRDefault="00E90C41" w:rsidP="00A742C5">
            <w:pPr>
              <w:ind w:left="113" w:right="113"/>
              <w:rPr>
                <w:b/>
              </w:rPr>
            </w:pPr>
            <w:r w:rsidRPr="00EA510F">
              <w:rPr>
                <w:b/>
              </w:rPr>
              <w:t>Month 14</w:t>
            </w:r>
          </w:p>
        </w:tc>
      </w:tr>
      <w:tr w:rsidR="009249D9" w:rsidRPr="00EA510F" w:rsidTr="00326FDD">
        <w:trPr>
          <w:trHeight w:val="510"/>
        </w:trPr>
        <w:tc>
          <w:tcPr>
            <w:tcW w:w="2214" w:type="pct"/>
          </w:tcPr>
          <w:p w:rsidR="009249D9" w:rsidRPr="00EA510F" w:rsidRDefault="009249D9" w:rsidP="00A742C5">
            <w:pPr>
              <w:rPr>
                <w:sz w:val="20"/>
                <w:szCs w:val="20"/>
              </w:rPr>
            </w:pPr>
            <w:r w:rsidRPr="00EA510F">
              <w:rPr>
                <w:sz w:val="20"/>
                <w:szCs w:val="20"/>
              </w:rPr>
              <w:t>Submit OMB Clearance Package for protocols and instrument</w:t>
            </w:r>
          </w:p>
        </w:tc>
        <w:tc>
          <w:tcPr>
            <w:tcW w:w="195" w:type="pct"/>
            <w:shd w:val="clear" w:color="auto" w:fill="8C8C8C"/>
          </w:tcPr>
          <w:p w:rsidR="009249D9" w:rsidRPr="00EA510F" w:rsidRDefault="009249D9" w:rsidP="00A742C5">
            <w:pPr>
              <w:rPr>
                <w:sz w:val="20"/>
                <w:szCs w:val="20"/>
              </w:rPr>
            </w:pPr>
            <w:r w:rsidRPr="00EA510F">
              <w:rPr>
                <w:sz w:val="20"/>
                <w:szCs w:val="20"/>
              </w:rPr>
              <w:t>D</w:t>
            </w:r>
          </w:p>
        </w:tc>
        <w:tc>
          <w:tcPr>
            <w:tcW w:w="194" w:type="pct"/>
            <w:tcBorders>
              <w:bottom w:val="single" w:sz="4" w:space="0" w:color="000000"/>
            </w:tcBorders>
            <w:shd w:val="clear" w:color="auto" w:fill="FFFFFF"/>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305"/>
        </w:trPr>
        <w:tc>
          <w:tcPr>
            <w:tcW w:w="2214" w:type="pct"/>
          </w:tcPr>
          <w:p w:rsidR="009249D9" w:rsidRPr="00EA510F" w:rsidRDefault="009249D9" w:rsidP="00A742C5">
            <w:pPr>
              <w:rPr>
                <w:sz w:val="20"/>
                <w:szCs w:val="20"/>
              </w:rPr>
            </w:pPr>
            <w:r w:rsidRPr="00EA510F">
              <w:rPr>
                <w:sz w:val="20"/>
                <w:szCs w:val="20"/>
              </w:rPr>
              <w:t>Revised OMB Clearance Package</w:t>
            </w:r>
          </w:p>
        </w:tc>
        <w:tc>
          <w:tcPr>
            <w:tcW w:w="195" w:type="pct"/>
          </w:tcPr>
          <w:p w:rsidR="009249D9" w:rsidRPr="00EA510F" w:rsidRDefault="009249D9" w:rsidP="00A742C5">
            <w:pPr>
              <w:rPr>
                <w:sz w:val="20"/>
                <w:szCs w:val="20"/>
              </w:rPr>
            </w:pPr>
          </w:p>
        </w:tc>
        <w:tc>
          <w:tcPr>
            <w:tcW w:w="194"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c>
          <w:tcPr>
            <w:tcW w:w="198" w:type="pct"/>
            <w:tcBorders>
              <w:bottom w:val="single" w:sz="4" w:space="0" w:color="000000"/>
            </w:tcBorders>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350"/>
        </w:trPr>
        <w:tc>
          <w:tcPr>
            <w:tcW w:w="2214" w:type="pct"/>
          </w:tcPr>
          <w:p w:rsidR="009249D9" w:rsidRPr="00EA510F" w:rsidRDefault="00747E26" w:rsidP="00A742C5">
            <w:pPr>
              <w:rPr>
                <w:sz w:val="20"/>
                <w:szCs w:val="20"/>
              </w:rPr>
            </w:pPr>
            <w:r>
              <w:rPr>
                <w:sz w:val="20"/>
                <w:szCs w:val="20"/>
              </w:rPr>
              <w:t>Test and Revise</w:t>
            </w:r>
            <w:r w:rsidRPr="00EA510F">
              <w:rPr>
                <w:sz w:val="20"/>
                <w:szCs w:val="20"/>
              </w:rPr>
              <w:t xml:space="preserve"> </w:t>
            </w:r>
            <w:r w:rsidR="009249D9" w:rsidRPr="00EA510F">
              <w:rPr>
                <w:sz w:val="20"/>
                <w:szCs w:val="20"/>
              </w:rPr>
              <w:t>survey instrument</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r w:rsidRPr="00EA510F">
              <w:rPr>
                <w:sz w:val="20"/>
                <w:szCs w:val="20"/>
              </w:rPr>
              <w:t>D</w:t>
            </w:r>
          </w:p>
        </w:tc>
        <w:tc>
          <w:tcPr>
            <w:tcW w:w="198" w:type="pct"/>
            <w:tcBorders>
              <w:bottom w:val="single" w:sz="4" w:space="0" w:color="000000"/>
            </w:tcBorders>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242"/>
        </w:trPr>
        <w:tc>
          <w:tcPr>
            <w:tcW w:w="2214" w:type="pct"/>
          </w:tcPr>
          <w:p w:rsidR="009249D9" w:rsidRPr="00EA510F" w:rsidRDefault="009249D9" w:rsidP="00A742C5">
            <w:pPr>
              <w:rPr>
                <w:sz w:val="20"/>
                <w:szCs w:val="20"/>
              </w:rPr>
            </w:pPr>
            <w:r w:rsidRPr="00EA510F">
              <w:rPr>
                <w:sz w:val="20"/>
                <w:szCs w:val="20"/>
              </w:rPr>
              <w:t>Obtain general population sample</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242"/>
        </w:trPr>
        <w:tc>
          <w:tcPr>
            <w:tcW w:w="2214" w:type="pct"/>
          </w:tcPr>
          <w:p w:rsidR="009249D9" w:rsidRPr="00EA510F" w:rsidRDefault="009249D9" w:rsidP="00A742C5">
            <w:pPr>
              <w:rPr>
                <w:sz w:val="20"/>
                <w:szCs w:val="20"/>
              </w:rPr>
            </w:pPr>
            <w:r w:rsidRPr="00EA510F">
              <w:rPr>
                <w:sz w:val="20"/>
                <w:szCs w:val="20"/>
              </w:rPr>
              <w:t xml:space="preserve">     Initial telephone Calls</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 xml:space="preserve">     Follow up telephone calls (minimum 10)</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170"/>
        </w:trPr>
        <w:tc>
          <w:tcPr>
            <w:tcW w:w="2214" w:type="pct"/>
          </w:tcPr>
          <w:p w:rsidR="009249D9" w:rsidRPr="00EA510F" w:rsidRDefault="009249D9" w:rsidP="00A742C5">
            <w:pPr>
              <w:rPr>
                <w:sz w:val="20"/>
                <w:szCs w:val="20"/>
              </w:rPr>
            </w:pPr>
            <w:r w:rsidRPr="00EA510F">
              <w:rPr>
                <w:sz w:val="20"/>
                <w:szCs w:val="20"/>
              </w:rPr>
              <w:t>Obtain physician sample</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242"/>
        </w:trPr>
        <w:tc>
          <w:tcPr>
            <w:tcW w:w="2214" w:type="pct"/>
          </w:tcPr>
          <w:p w:rsidR="009249D9" w:rsidRPr="00EA510F" w:rsidRDefault="009249D9" w:rsidP="00A742C5">
            <w:pPr>
              <w:rPr>
                <w:sz w:val="20"/>
                <w:szCs w:val="20"/>
              </w:rPr>
            </w:pPr>
            <w:r w:rsidRPr="00EA510F">
              <w:rPr>
                <w:sz w:val="20"/>
                <w:szCs w:val="20"/>
              </w:rPr>
              <w:t xml:space="preserve">     Send pre-notification letter</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shd w:val="clear" w:color="auto" w:fill="FFFFFF"/>
          </w:tcPr>
          <w:p w:rsidR="009249D9" w:rsidRPr="00EA510F" w:rsidRDefault="009249D9" w:rsidP="00A742C5">
            <w:pPr>
              <w:rPr>
                <w:sz w:val="20"/>
                <w:szCs w:val="20"/>
              </w:rPr>
            </w:pPr>
          </w:p>
        </w:tc>
        <w:tc>
          <w:tcPr>
            <w:tcW w:w="198" w:type="pct"/>
            <w:shd w:val="clear" w:color="auto" w:fill="FFFFFF"/>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170"/>
        </w:trPr>
        <w:tc>
          <w:tcPr>
            <w:tcW w:w="2214" w:type="pct"/>
          </w:tcPr>
          <w:p w:rsidR="009249D9" w:rsidRPr="00EA510F" w:rsidRDefault="009249D9" w:rsidP="00A742C5">
            <w:pPr>
              <w:rPr>
                <w:sz w:val="20"/>
                <w:szCs w:val="20"/>
              </w:rPr>
            </w:pPr>
            <w:r w:rsidRPr="00EA510F">
              <w:rPr>
                <w:sz w:val="20"/>
                <w:szCs w:val="20"/>
              </w:rPr>
              <w:t xml:space="preserve">     Send questionnaire</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shd w:val="clear" w:color="auto" w:fill="FFFFFF"/>
          </w:tcPr>
          <w:p w:rsidR="009249D9" w:rsidRPr="00EA510F" w:rsidRDefault="009249D9" w:rsidP="00A742C5">
            <w:pPr>
              <w:rPr>
                <w:sz w:val="20"/>
                <w:szCs w:val="20"/>
              </w:rPr>
            </w:pPr>
          </w:p>
        </w:tc>
        <w:tc>
          <w:tcPr>
            <w:tcW w:w="198" w:type="pct"/>
            <w:shd w:val="clear" w:color="auto" w:fill="FFFFFF"/>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 xml:space="preserve">     Send reminder letter/2</w:t>
            </w:r>
            <w:r w:rsidRPr="00EA510F">
              <w:rPr>
                <w:sz w:val="20"/>
                <w:szCs w:val="20"/>
                <w:vertAlign w:val="superscript"/>
              </w:rPr>
              <w:t>nd</w:t>
            </w:r>
            <w:r w:rsidRPr="00EA510F">
              <w:rPr>
                <w:sz w:val="20"/>
                <w:szCs w:val="20"/>
              </w:rPr>
              <w:t xml:space="preserve"> questionnaire   </w:t>
            </w:r>
          </w:p>
          <w:p w:rsidR="009249D9" w:rsidRPr="00EA510F" w:rsidRDefault="009249D9" w:rsidP="00A742C5">
            <w:pPr>
              <w:rPr>
                <w:sz w:val="20"/>
                <w:szCs w:val="20"/>
              </w:rPr>
            </w:pPr>
            <w:r w:rsidRPr="00EA510F">
              <w:rPr>
                <w:sz w:val="20"/>
                <w:szCs w:val="20"/>
              </w:rPr>
              <w:t xml:space="preserve">     mailing</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shd w:val="clear" w:color="auto" w:fill="FFFFFF"/>
          </w:tcPr>
          <w:p w:rsidR="009249D9" w:rsidRPr="00EA510F" w:rsidRDefault="009249D9" w:rsidP="00A742C5">
            <w:pPr>
              <w:rPr>
                <w:sz w:val="20"/>
                <w:szCs w:val="20"/>
              </w:rPr>
            </w:pPr>
          </w:p>
        </w:tc>
        <w:tc>
          <w:tcPr>
            <w:tcW w:w="198" w:type="pct"/>
            <w:shd w:val="clear" w:color="auto" w:fill="FFFFFF"/>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218" w:type="pct"/>
          </w:tcPr>
          <w:p w:rsidR="009249D9" w:rsidRPr="00EA510F" w:rsidRDefault="009249D9" w:rsidP="00A742C5">
            <w:pPr>
              <w:rPr>
                <w:sz w:val="20"/>
                <w:szCs w:val="20"/>
              </w:rPr>
            </w:pPr>
          </w:p>
        </w:tc>
      </w:tr>
      <w:tr w:rsidR="009249D9" w:rsidRPr="00EA510F" w:rsidTr="00326FDD">
        <w:trPr>
          <w:trHeight w:val="332"/>
        </w:trPr>
        <w:tc>
          <w:tcPr>
            <w:tcW w:w="2214" w:type="pct"/>
          </w:tcPr>
          <w:p w:rsidR="009249D9" w:rsidRPr="00EA510F" w:rsidRDefault="009249D9" w:rsidP="00A742C5">
            <w:pPr>
              <w:rPr>
                <w:sz w:val="20"/>
                <w:szCs w:val="20"/>
              </w:rPr>
            </w:pPr>
            <w:r w:rsidRPr="00EA510F">
              <w:rPr>
                <w:sz w:val="20"/>
                <w:szCs w:val="20"/>
              </w:rPr>
              <w:t xml:space="preserve">     Telephone follow-up non-respondents</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218" w:type="pct"/>
            <w:tcBorders>
              <w:bottom w:val="single" w:sz="4" w:space="0" w:color="000000"/>
            </w:tcBorders>
          </w:tcPr>
          <w:p w:rsidR="009249D9" w:rsidRPr="00EA510F" w:rsidRDefault="009249D9" w:rsidP="00A742C5">
            <w:pPr>
              <w:rPr>
                <w:sz w:val="20"/>
                <w:szCs w:val="20"/>
              </w:rPr>
            </w:pP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Status report on survey of pop sample</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c>
          <w:tcPr>
            <w:tcW w:w="198" w:type="pct"/>
            <w:shd w:val="clear" w:color="auto" w:fill="auto"/>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218" w:type="pct"/>
            <w:tcBorders>
              <w:bottom w:val="single" w:sz="4" w:space="0" w:color="000000"/>
            </w:tcBorders>
          </w:tcPr>
          <w:p w:rsidR="009249D9" w:rsidRPr="00EA510F" w:rsidRDefault="009249D9" w:rsidP="00A742C5">
            <w:pPr>
              <w:rPr>
                <w:sz w:val="20"/>
                <w:szCs w:val="20"/>
              </w:rPr>
            </w:pP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Status report on survey of physician sample</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r w:rsidRPr="00EA510F">
              <w:rPr>
                <w:sz w:val="20"/>
                <w:szCs w:val="20"/>
              </w:rPr>
              <w:t>D</w:t>
            </w: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218" w:type="pct"/>
            <w:shd w:val="clear" w:color="auto" w:fill="FFFFFF"/>
          </w:tcPr>
          <w:p w:rsidR="009249D9" w:rsidRPr="00EA510F" w:rsidRDefault="009249D9" w:rsidP="00A742C5">
            <w:pPr>
              <w:rPr>
                <w:sz w:val="20"/>
                <w:szCs w:val="20"/>
              </w:rPr>
            </w:pP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Draft survey report outline/initial data analysis</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c>
          <w:tcPr>
            <w:tcW w:w="218" w:type="pct"/>
            <w:tcBorders>
              <w:bottom w:val="single" w:sz="4" w:space="0" w:color="000000"/>
            </w:tcBorders>
          </w:tcPr>
          <w:p w:rsidR="009249D9" w:rsidRPr="00EA510F" w:rsidRDefault="009249D9" w:rsidP="00A742C5">
            <w:pPr>
              <w:rPr>
                <w:sz w:val="20"/>
                <w:szCs w:val="20"/>
              </w:rPr>
            </w:pP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Draft survey report and full data analyses</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top w:val="single" w:sz="4" w:space="0" w:color="000000"/>
            </w:tcBorders>
            <w:shd w:val="clear" w:color="auto" w:fill="FFFFFF"/>
          </w:tcPr>
          <w:p w:rsidR="009249D9" w:rsidRPr="00EA510F" w:rsidRDefault="009249D9" w:rsidP="00A742C5">
            <w:pPr>
              <w:rPr>
                <w:sz w:val="20"/>
                <w:szCs w:val="20"/>
              </w:rPr>
            </w:pPr>
          </w:p>
        </w:tc>
        <w:tc>
          <w:tcPr>
            <w:tcW w:w="198" w:type="pct"/>
            <w:tcBorders>
              <w:top w:val="single" w:sz="4" w:space="0" w:color="000000"/>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p>
        </w:tc>
        <w:tc>
          <w:tcPr>
            <w:tcW w:w="21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Summary, deliberations on draft survey report/findings</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21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r>
      <w:tr w:rsidR="009249D9" w:rsidRPr="00EA510F" w:rsidTr="00326FDD">
        <w:trPr>
          <w:trHeight w:val="368"/>
        </w:trPr>
        <w:tc>
          <w:tcPr>
            <w:tcW w:w="2214" w:type="pct"/>
          </w:tcPr>
          <w:p w:rsidR="009249D9" w:rsidRPr="00EA510F" w:rsidRDefault="009249D9" w:rsidP="00A742C5">
            <w:pPr>
              <w:rPr>
                <w:sz w:val="20"/>
                <w:szCs w:val="20"/>
              </w:rPr>
            </w:pPr>
            <w:r w:rsidRPr="00EA510F">
              <w:rPr>
                <w:sz w:val="20"/>
                <w:szCs w:val="20"/>
              </w:rPr>
              <w:t>Final survey report and findings</w:t>
            </w:r>
          </w:p>
        </w:tc>
        <w:tc>
          <w:tcPr>
            <w:tcW w:w="195" w:type="pct"/>
          </w:tcPr>
          <w:p w:rsidR="009249D9" w:rsidRPr="00EA510F" w:rsidRDefault="009249D9" w:rsidP="00A742C5">
            <w:pPr>
              <w:rPr>
                <w:sz w:val="20"/>
                <w:szCs w:val="20"/>
              </w:rPr>
            </w:pPr>
          </w:p>
        </w:tc>
        <w:tc>
          <w:tcPr>
            <w:tcW w:w="194"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p>
        </w:tc>
        <w:tc>
          <w:tcPr>
            <w:tcW w:w="198" w:type="pct"/>
            <w:shd w:val="clear" w:color="auto" w:fill="8C8C8C"/>
          </w:tcPr>
          <w:p w:rsidR="009249D9" w:rsidRPr="00EA510F" w:rsidRDefault="009249D9" w:rsidP="00A742C5">
            <w:pPr>
              <w:rPr>
                <w:sz w:val="20"/>
                <w:szCs w:val="20"/>
              </w:rPr>
            </w:pPr>
          </w:p>
        </w:tc>
        <w:tc>
          <w:tcPr>
            <w:tcW w:w="21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 xml:space="preserve">Presentation of Survey report to DHHS </w:t>
            </w:r>
          </w:p>
        </w:tc>
        <w:tc>
          <w:tcPr>
            <w:tcW w:w="195" w:type="pct"/>
            <w:tcBorders>
              <w:bottom w:val="single" w:sz="4" w:space="0" w:color="000000"/>
            </w:tcBorders>
          </w:tcPr>
          <w:p w:rsidR="009249D9" w:rsidRPr="00EA510F" w:rsidRDefault="009249D9" w:rsidP="00A742C5">
            <w:pPr>
              <w:rPr>
                <w:sz w:val="20"/>
                <w:szCs w:val="20"/>
              </w:rPr>
            </w:pPr>
          </w:p>
        </w:tc>
        <w:tc>
          <w:tcPr>
            <w:tcW w:w="194"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198" w:type="pct"/>
            <w:tcBorders>
              <w:bottom w:val="single" w:sz="4" w:space="0" w:color="000000"/>
            </w:tcBorders>
          </w:tcPr>
          <w:p w:rsidR="009249D9" w:rsidRPr="00EA510F" w:rsidRDefault="009249D9" w:rsidP="00A742C5">
            <w:pPr>
              <w:rPr>
                <w:sz w:val="20"/>
                <w:szCs w:val="20"/>
              </w:rPr>
            </w:pPr>
          </w:p>
        </w:tc>
        <w:tc>
          <w:tcPr>
            <w:tcW w:w="21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Presentations at National Conferences*</w:t>
            </w:r>
          </w:p>
        </w:tc>
        <w:tc>
          <w:tcPr>
            <w:tcW w:w="195" w:type="pct"/>
            <w:tcBorders>
              <w:bottom w:val="single" w:sz="4" w:space="0" w:color="000000"/>
            </w:tcBorders>
            <w:shd w:val="clear" w:color="auto" w:fill="auto"/>
          </w:tcPr>
          <w:p w:rsidR="009249D9" w:rsidRPr="00EA510F" w:rsidRDefault="009249D9" w:rsidP="00A742C5">
            <w:pPr>
              <w:rPr>
                <w:sz w:val="20"/>
                <w:szCs w:val="20"/>
              </w:rPr>
            </w:pPr>
          </w:p>
        </w:tc>
        <w:tc>
          <w:tcPr>
            <w:tcW w:w="194"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198" w:type="pct"/>
            <w:tcBorders>
              <w:bottom w:val="single" w:sz="4" w:space="0" w:color="000000"/>
            </w:tcBorders>
            <w:shd w:val="clear" w:color="auto" w:fill="auto"/>
          </w:tcPr>
          <w:p w:rsidR="009249D9" w:rsidRPr="00EA510F" w:rsidRDefault="009249D9" w:rsidP="00A742C5">
            <w:pPr>
              <w:rPr>
                <w:sz w:val="20"/>
                <w:szCs w:val="20"/>
              </w:rPr>
            </w:pPr>
          </w:p>
        </w:tc>
        <w:tc>
          <w:tcPr>
            <w:tcW w:w="21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r>
      <w:tr w:rsidR="009249D9" w:rsidRPr="00EA510F" w:rsidTr="00326FDD">
        <w:trPr>
          <w:trHeight w:val="350"/>
        </w:trPr>
        <w:tc>
          <w:tcPr>
            <w:tcW w:w="2214" w:type="pct"/>
          </w:tcPr>
          <w:p w:rsidR="009249D9" w:rsidRPr="00EA510F" w:rsidRDefault="009249D9" w:rsidP="00A742C5">
            <w:pPr>
              <w:rPr>
                <w:sz w:val="20"/>
                <w:szCs w:val="20"/>
              </w:rPr>
            </w:pPr>
            <w:r w:rsidRPr="00EA510F">
              <w:rPr>
                <w:sz w:val="20"/>
                <w:szCs w:val="20"/>
              </w:rPr>
              <w:t>Progress Reports (monthly)</w:t>
            </w:r>
          </w:p>
        </w:tc>
        <w:tc>
          <w:tcPr>
            <w:tcW w:w="195"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4"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c>
          <w:tcPr>
            <w:tcW w:w="21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R</w:t>
            </w:r>
          </w:p>
        </w:tc>
      </w:tr>
      <w:tr w:rsidR="009249D9" w:rsidRPr="00EA510F" w:rsidTr="00326FDD">
        <w:trPr>
          <w:trHeight w:val="350"/>
        </w:trPr>
        <w:tc>
          <w:tcPr>
            <w:tcW w:w="2214" w:type="pct"/>
            <w:tcBorders>
              <w:bottom w:val="single" w:sz="4" w:space="0" w:color="000000"/>
            </w:tcBorders>
          </w:tcPr>
          <w:p w:rsidR="009249D9" w:rsidRPr="00EA510F" w:rsidRDefault="009249D9" w:rsidP="00A742C5">
            <w:pPr>
              <w:rPr>
                <w:sz w:val="20"/>
                <w:szCs w:val="20"/>
              </w:rPr>
            </w:pPr>
            <w:r w:rsidRPr="00EA510F">
              <w:rPr>
                <w:sz w:val="20"/>
                <w:szCs w:val="20"/>
              </w:rPr>
              <w:t>Progress Reports (quarterly)</w:t>
            </w:r>
          </w:p>
        </w:tc>
        <w:tc>
          <w:tcPr>
            <w:tcW w:w="195" w:type="pct"/>
            <w:tcBorders>
              <w:bottom w:val="single" w:sz="4" w:space="0" w:color="000000"/>
            </w:tcBorders>
            <w:shd w:val="clear" w:color="auto" w:fill="FFFFFF"/>
          </w:tcPr>
          <w:p w:rsidR="009249D9" w:rsidRPr="00EA510F" w:rsidRDefault="009249D9" w:rsidP="00A742C5">
            <w:pPr>
              <w:rPr>
                <w:sz w:val="20"/>
                <w:szCs w:val="20"/>
              </w:rPr>
            </w:pPr>
          </w:p>
        </w:tc>
        <w:tc>
          <w:tcPr>
            <w:tcW w:w="194"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198" w:type="pct"/>
            <w:tcBorders>
              <w:bottom w:val="single" w:sz="4" w:space="0" w:color="000000"/>
            </w:tcBorders>
            <w:shd w:val="clear" w:color="auto" w:fill="FFFFFF"/>
          </w:tcPr>
          <w:p w:rsidR="009249D9" w:rsidRPr="00EA510F" w:rsidRDefault="009249D9" w:rsidP="00A742C5">
            <w:pPr>
              <w:rPr>
                <w:sz w:val="20"/>
                <w:szCs w:val="20"/>
              </w:rPr>
            </w:pPr>
          </w:p>
        </w:tc>
        <w:tc>
          <w:tcPr>
            <w:tcW w:w="218" w:type="pct"/>
            <w:tcBorders>
              <w:bottom w:val="single" w:sz="4" w:space="0" w:color="000000"/>
            </w:tcBorders>
            <w:shd w:val="clear" w:color="auto" w:fill="8C8C8C"/>
          </w:tcPr>
          <w:p w:rsidR="009249D9" w:rsidRPr="00EA510F" w:rsidRDefault="009249D9" w:rsidP="00A742C5">
            <w:pPr>
              <w:rPr>
                <w:sz w:val="20"/>
                <w:szCs w:val="20"/>
              </w:rPr>
            </w:pPr>
            <w:r w:rsidRPr="00EA510F">
              <w:rPr>
                <w:sz w:val="20"/>
                <w:szCs w:val="20"/>
              </w:rPr>
              <w:t>D</w:t>
            </w:r>
          </w:p>
        </w:tc>
      </w:tr>
    </w:tbl>
    <w:p w:rsidR="00915B52" w:rsidRDefault="00E66A5F" w:rsidP="007122AF">
      <w:pPr>
        <w:ind w:firstLine="540"/>
        <w:jc w:val="both"/>
        <w:rPr>
          <w:sz w:val="20"/>
          <w:szCs w:val="20"/>
        </w:rPr>
      </w:pPr>
      <w:r w:rsidRPr="00EA510F">
        <w:rPr>
          <w:sz w:val="20"/>
          <w:szCs w:val="20"/>
        </w:rPr>
        <w:t>*To be determined.</w:t>
      </w:r>
    </w:p>
    <w:p w:rsidR="00A2300F" w:rsidRDefault="00A2300F" w:rsidP="007122AF">
      <w:pPr>
        <w:ind w:firstLine="540"/>
        <w:jc w:val="both"/>
        <w:rPr>
          <w:sz w:val="20"/>
          <w:szCs w:val="20"/>
        </w:rPr>
      </w:pPr>
    </w:p>
    <w:p w:rsidR="00A2300F" w:rsidRDefault="00A2300F" w:rsidP="007122AF">
      <w:pPr>
        <w:ind w:firstLine="540"/>
        <w:jc w:val="both"/>
        <w:rPr>
          <w:sz w:val="20"/>
          <w:szCs w:val="20"/>
        </w:rPr>
      </w:pPr>
      <w:r>
        <w:rPr>
          <w:sz w:val="20"/>
          <w:szCs w:val="20"/>
        </w:rPr>
        <w:t>Key:</w:t>
      </w:r>
    </w:p>
    <w:p w:rsidR="00A2300F" w:rsidRDefault="00A2300F" w:rsidP="007122AF">
      <w:pPr>
        <w:ind w:firstLine="540"/>
        <w:jc w:val="both"/>
        <w:rPr>
          <w:sz w:val="20"/>
          <w:szCs w:val="20"/>
        </w:rPr>
      </w:pPr>
      <w:r>
        <w:rPr>
          <w:sz w:val="20"/>
          <w:szCs w:val="20"/>
        </w:rPr>
        <w:t>D = Deliverable</w:t>
      </w:r>
    </w:p>
    <w:p w:rsidR="00A2300F" w:rsidRPr="00EA510F" w:rsidRDefault="00A2300F" w:rsidP="007122AF">
      <w:pPr>
        <w:ind w:firstLine="540"/>
        <w:jc w:val="both"/>
        <w:rPr>
          <w:sz w:val="20"/>
          <w:szCs w:val="20"/>
        </w:rPr>
      </w:pPr>
      <w:r>
        <w:rPr>
          <w:sz w:val="20"/>
          <w:szCs w:val="20"/>
        </w:rPr>
        <w:t xml:space="preserve">R = Recurring </w:t>
      </w:r>
    </w:p>
    <w:p w:rsidR="00915B52" w:rsidRPr="00EA510F" w:rsidRDefault="00915B52" w:rsidP="00CD7A65">
      <w:pPr>
        <w:jc w:val="both"/>
        <w:rPr>
          <w:b/>
        </w:rPr>
      </w:pPr>
    </w:p>
    <w:p w:rsidR="00514FFB" w:rsidRPr="00EA510F" w:rsidRDefault="00514FFB" w:rsidP="00CD7A65">
      <w:pPr>
        <w:jc w:val="both"/>
        <w:rPr>
          <w:b/>
        </w:rPr>
      </w:pPr>
    </w:p>
    <w:p w:rsidR="00AC180B" w:rsidRPr="003354EC" w:rsidRDefault="002F6F49" w:rsidP="003354EC">
      <w:pPr>
        <w:widowControl w:val="0"/>
        <w:autoSpaceDE w:val="0"/>
        <w:autoSpaceDN w:val="0"/>
        <w:adjustRightInd w:val="0"/>
        <w:ind w:firstLine="540"/>
        <w:rPr>
          <w:b/>
        </w:rPr>
      </w:pPr>
      <w:r>
        <w:rPr>
          <w:b/>
          <w:sz w:val="22"/>
          <w:szCs w:val="22"/>
          <w:u w:val="single"/>
        </w:rPr>
        <w:br w:type="page"/>
      </w:r>
      <w:r w:rsidR="003354EC">
        <w:rPr>
          <w:b/>
          <w:sz w:val="22"/>
          <w:szCs w:val="22"/>
          <w:u w:val="single"/>
        </w:rPr>
        <w:lastRenderedPageBreak/>
        <w:t xml:space="preserve">17.  </w:t>
      </w:r>
      <w:r w:rsidR="003354EC">
        <w:rPr>
          <w:b/>
          <w:u w:val="single"/>
        </w:rPr>
        <w:t>Reason(s) Display of OMB Expiration Date is Inappropriate</w:t>
      </w:r>
    </w:p>
    <w:p w:rsidR="004F6F5E" w:rsidRPr="00EA510F" w:rsidRDefault="004F6F5E" w:rsidP="00CD7A65">
      <w:pPr>
        <w:jc w:val="both"/>
        <w:rPr>
          <w:b/>
          <w:sz w:val="22"/>
          <w:szCs w:val="22"/>
        </w:rPr>
      </w:pPr>
    </w:p>
    <w:p w:rsidR="00E4037C" w:rsidRPr="00EA510F" w:rsidRDefault="00E4037C" w:rsidP="00AC180B">
      <w:pPr>
        <w:ind w:left="540"/>
        <w:jc w:val="both"/>
        <w:rPr>
          <w:sz w:val="22"/>
          <w:szCs w:val="22"/>
        </w:rPr>
      </w:pPr>
      <w:r w:rsidRPr="00EA510F">
        <w:rPr>
          <w:sz w:val="22"/>
          <w:szCs w:val="22"/>
        </w:rPr>
        <w:t>This collection of information does not seek approval to exclude the expiration date for OMB approval from any data collection instruments.</w:t>
      </w:r>
    </w:p>
    <w:p w:rsidR="007F7C51" w:rsidRPr="00EA510F" w:rsidRDefault="007F7C51" w:rsidP="00CD7A65">
      <w:pPr>
        <w:jc w:val="both"/>
        <w:rPr>
          <w:sz w:val="22"/>
          <w:szCs w:val="22"/>
        </w:rPr>
      </w:pPr>
    </w:p>
    <w:p w:rsidR="003354EC" w:rsidRDefault="003354EC" w:rsidP="003354EC">
      <w:pPr>
        <w:widowControl w:val="0"/>
        <w:autoSpaceDE w:val="0"/>
        <w:autoSpaceDN w:val="0"/>
        <w:adjustRightInd w:val="0"/>
        <w:ind w:firstLine="540"/>
        <w:rPr>
          <w:b/>
        </w:rPr>
      </w:pPr>
      <w:r>
        <w:rPr>
          <w:b/>
          <w:sz w:val="22"/>
          <w:szCs w:val="22"/>
          <w:u w:val="single"/>
        </w:rPr>
        <w:t xml:space="preserve">18.  </w:t>
      </w:r>
      <w:r>
        <w:rPr>
          <w:b/>
          <w:u w:val="single"/>
        </w:rPr>
        <w:t>Exceptions to Certification for Paperwork Reduction Act Submissions</w:t>
      </w:r>
    </w:p>
    <w:p w:rsidR="00E4037C" w:rsidRPr="00EA510F" w:rsidRDefault="00E4037C" w:rsidP="00CD7A65">
      <w:pPr>
        <w:jc w:val="both"/>
        <w:rPr>
          <w:b/>
          <w:sz w:val="22"/>
          <w:szCs w:val="22"/>
        </w:rPr>
      </w:pPr>
    </w:p>
    <w:p w:rsidR="00DE77F5" w:rsidRPr="00EA510F" w:rsidRDefault="00E4037C" w:rsidP="00555269">
      <w:pPr>
        <w:ind w:left="540"/>
        <w:jc w:val="both"/>
        <w:rPr>
          <w:sz w:val="22"/>
          <w:szCs w:val="22"/>
        </w:rPr>
      </w:pPr>
      <w:r w:rsidRPr="00EA510F">
        <w:rPr>
          <w:sz w:val="22"/>
          <w:szCs w:val="22"/>
        </w:rPr>
        <w:t>This collection of information involves no exception to the Certification of Paperwork Reduction Act Submissions.</w:t>
      </w:r>
    </w:p>
    <w:p w:rsidR="00DE77F5" w:rsidRPr="00EA510F" w:rsidRDefault="00DE77F5" w:rsidP="00DE77F5">
      <w:pPr>
        <w:rPr>
          <w:sz w:val="22"/>
          <w:szCs w:val="22"/>
        </w:rPr>
      </w:pPr>
    </w:p>
    <w:p w:rsidR="009D0359" w:rsidRDefault="009D0359" w:rsidP="009D0359">
      <w:pPr>
        <w:ind w:left="540" w:hanging="540"/>
        <w:rPr>
          <w:b/>
        </w:rPr>
      </w:pPr>
    </w:p>
    <w:p w:rsidR="002C725E" w:rsidRPr="00FE0A0F" w:rsidRDefault="002C725E" w:rsidP="009D0359">
      <w:pPr>
        <w:ind w:left="540" w:hanging="540"/>
        <w:rPr>
          <w:sz w:val="22"/>
          <w:szCs w:val="22"/>
        </w:rPr>
      </w:pPr>
      <w:r w:rsidRPr="000D72EF">
        <w:rPr>
          <w:b/>
        </w:rPr>
        <w:t>REFERENCES</w:t>
      </w:r>
    </w:p>
    <w:p w:rsidR="002C725E" w:rsidRPr="00FE0A0F" w:rsidRDefault="002C725E" w:rsidP="002C725E">
      <w:pPr>
        <w:jc w:val="both"/>
        <w:rPr>
          <w:sz w:val="22"/>
          <w:szCs w:val="22"/>
        </w:rPr>
      </w:pPr>
    </w:p>
    <w:p w:rsidR="002C725E" w:rsidRPr="00FE0A0F" w:rsidRDefault="002C725E" w:rsidP="002C725E">
      <w:pPr>
        <w:jc w:val="both"/>
        <w:rPr>
          <w:sz w:val="22"/>
          <w:szCs w:val="22"/>
        </w:rPr>
      </w:pPr>
      <w:r w:rsidRPr="00FE0A0F">
        <w:rPr>
          <w:sz w:val="22"/>
          <w:szCs w:val="22"/>
        </w:rPr>
        <w:t xml:space="preserve">Berk ML, Mathiowetz NA, Ward EP, White AA. The effect of prepaid and promised incentives: results of a controlled experiment. </w:t>
      </w:r>
      <w:r w:rsidRPr="00FE0A0F">
        <w:rPr>
          <w:i/>
          <w:sz w:val="22"/>
          <w:szCs w:val="22"/>
        </w:rPr>
        <w:t>Journal of Official Statistics</w:t>
      </w:r>
      <w:r w:rsidRPr="00FE0A0F">
        <w:rPr>
          <w:sz w:val="22"/>
          <w:szCs w:val="22"/>
        </w:rPr>
        <w:t>, 3(4): 449-457, 1987.</w:t>
      </w:r>
    </w:p>
    <w:p w:rsidR="002C725E" w:rsidRPr="00FE0A0F" w:rsidRDefault="002C725E" w:rsidP="002C725E">
      <w:pPr>
        <w:jc w:val="both"/>
        <w:rPr>
          <w:b/>
          <w:sz w:val="22"/>
          <w:szCs w:val="22"/>
        </w:rPr>
      </w:pPr>
    </w:p>
    <w:p w:rsidR="002C725E" w:rsidRPr="00FE0A0F" w:rsidRDefault="002C725E" w:rsidP="002C725E">
      <w:pPr>
        <w:jc w:val="both"/>
        <w:rPr>
          <w:sz w:val="22"/>
          <w:szCs w:val="22"/>
        </w:rPr>
      </w:pPr>
      <w:r w:rsidRPr="00FE0A0F">
        <w:rPr>
          <w:sz w:val="22"/>
          <w:szCs w:val="22"/>
        </w:rPr>
        <w:t xml:space="preserve">Berk ML, Edwards WS, Gay NL. The use of a prepaid incentive to convert nonresponders on a survey of physicians. </w:t>
      </w:r>
      <w:r w:rsidRPr="00FE0A0F">
        <w:rPr>
          <w:i/>
          <w:sz w:val="22"/>
          <w:szCs w:val="22"/>
        </w:rPr>
        <w:t>Evaluation and the Health Professions,</w:t>
      </w:r>
      <w:r w:rsidRPr="00FE0A0F">
        <w:rPr>
          <w:sz w:val="22"/>
          <w:szCs w:val="22"/>
        </w:rPr>
        <w:t xml:space="preserve"> 16(2): 239-45, 1993.</w:t>
      </w:r>
    </w:p>
    <w:p w:rsidR="002C725E" w:rsidRPr="00FE0A0F" w:rsidRDefault="002C725E" w:rsidP="002C725E">
      <w:pPr>
        <w:jc w:val="both"/>
        <w:rPr>
          <w:sz w:val="22"/>
          <w:szCs w:val="22"/>
        </w:rPr>
      </w:pPr>
    </w:p>
    <w:p w:rsidR="002C725E" w:rsidRPr="00FE0A0F" w:rsidRDefault="002C725E" w:rsidP="002C725E">
      <w:pPr>
        <w:rPr>
          <w:sz w:val="22"/>
          <w:szCs w:val="22"/>
        </w:rPr>
      </w:pPr>
      <w:r w:rsidRPr="00FE0A0F">
        <w:rPr>
          <w:rStyle w:val="h"/>
          <w:bCs/>
          <w:sz w:val="22"/>
          <w:szCs w:val="22"/>
        </w:rPr>
        <w:t xml:space="preserve">Berry, H. and Kanouse, D.E. </w:t>
      </w:r>
      <w:r w:rsidRPr="00FE0A0F">
        <w:rPr>
          <w:rStyle w:val="h"/>
          <w:bCs/>
          <w:iCs/>
          <w:sz w:val="22"/>
          <w:szCs w:val="22"/>
        </w:rPr>
        <w:t>Physician response to a mailed survey</w:t>
      </w:r>
      <w:r w:rsidRPr="00FE0A0F">
        <w:rPr>
          <w:rStyle w:val="h"/>
          <w:bCs/>
          <w:sz w:val="22"/>
          <w:szCs w:val="22"/>
        </w:rPr>
        <w:t xml:space="preserve">. </w:t>
      </w:r>
      <w:r w:rsidRPr="00FE0A0F">
        <w:rPr>
          <w:rStyle w:val="h"/>
          <w:bCs/>
          <w:i/>
          <w:sz w:val="22"/>
          <w:szCs w:val="22"/>
        </w:rPr>
        <w:t>Public Opinion Quarterly</w:t>
      </w:r>
      <w:r w:rsidRPr="00FE0A0F">
        <w:rPr>
          <w:rStyle w:val="h"/>
          <w:bCs/>
          <w:sz w:val="22"/>
          <w:szCs w:val="22"/>
        </w:rPr>
        <w:t>, 54: 102-114, 1987.</w:t>
      </w:r>
    </w:p>
    <w:p w:rsidR="00B63593" w:rsidRPr="00FE0A0F" w:rsidRDefault="00B63593" w:rsidP="00B63593">
      <w:pPr>
        <w:jc w:val="both"/>
        <w:rPr>
          <w:sz w:val="22"/>
          <w:szCs w:val="22"/>
        </w:rPr>
      </w:pPr>
    </w:p>
    <w:p w:rsidR="004C38DF" w:rsidRPr="00FE0A0F" w:rsidRDefault="004C38DF" w:rsidP="00B63593">
      <w:pPr>
        <w:jc w:val="both"/>
        <w:rPr>
          <w:sz w:val="22"/>
          <w:szCs w:val="22"/>
        </w:rPr>
      </w:pPr>
      <w:r w:rsidRPr="00FE0A0F">
        <w:rPr>
          <w:sz w:val="22"/>
          <w:szCs w:val="22"/>
        </w:rPr>
        <w:t xml:space="preserve">Casalino, L., et al. (2003). External incentives, information technology, and organized processes to improve health care quality for patients with chronic diseases. </w:t>
      </w:r>
      <w:r w:rsidR="00C5120D" w:rsidRPr="00FE0A0F">
        <w:rPr>
          <w:i/>
          <w:sz w:val="22"/>
          <w:szCs w:val="22"/>
        </w:rPr>
        <w:t>Journal of the American Medical Association</w:t>
      </w:r>
      <w:r w:rsidRPr="00FE0A0F">
        <w:rPr>
          <w:sz w:val="22"/>
          <w:szCs w:val="22"/>
        </w:rPr>
        <w:t>, 289(4):434–441.</w:t>
      </w:r>
    </w:p>
    <w:p w:rsidR="004C38DF" w:rsidRPr="00FE0A0F" w:rsidRDefault="004C38DF" w:rsidP="00B63593">
      <w:pPr>
        <w:jc w:val="both"/>
        <w:rPr>
          <w:sz w:val="22"/>
          <w:szCs w:val="22"/>
        </w:rPr>
      </w:pPr>
    </w:p>
    <w:p w:rsidR="00B63593" w:rsidRPr="00FE0A0F" w:rsidRDefault="00B63593" w:rsidP="00B63593">
      <w:pPr>
        <w:jc w:val="both"/>
        <w:rPr>
          <w:sz w:val="22"/>
          <w:szCs w:val="22"/>
        </w:rPr>
      </w:pPr>
      <w:r w:rsidRPr="00FE0A0F">
        <w:rPr>
          <w:sz w:val="22"/>
          <w:szCs w:val="22"/>
        </w:rPr>
        <w:t xml:space="preserve">Gunn, W. and I. Rhodes. Physician Response Rates to a Telephone Survey:  Effects of Monetary Incentives on Response Level.  </w:t>
      </w:r>
      <w:r w:rsidRPr="00FE0A0F">
        <w:rPr>
          <w:i/>
          <w:sz w:val="22"/>
          <w:szCs w:val="22"/>
        </w:rPr>
        <w:t>Public Opinion Quarterly</w:t>
      </w:r>
      <w:r w:rsidRPr="00FE0A0F">
        <w:rPr>
          <w:sz w:val="22"/>
          <w:szCs w:val="22"/>
        </w:rPr>
        <w:t>, 45:109-115. 1981.</w:t>
      </w:r>
    </w:p>
    <w:p w:rsidR="00B63593" w:rsidRPr="00FE0A0F" w:rsidRDefault="00B63593" w:rsidP="00B63593">
      <w:pPr>
        <w:jc w:val="both"/>
        <w:rPr>
          <w:sz w:val="22"/>
          <w:szCs w:val="22"/>
        </w:rPr>
      </w:pPr>
    </w:p>
    <w:p w:rsidR="00B63593" w:rsidRPr="00EA510F" w:rsidRDefault="00B63593" w:rsidP="00B63593">
      <w:pPr>
        <w:jc w:val="both"/>
        <w:rPr>
          <w:sz w:val="22"/>
          <w:szCs w:val="22"/>
        </w:rPr>
      </w:pPr>
      <w:r w:rsidRPr="00FE0A0F">
        <w:rPr>
          <w:sz w:val="22"/>
          <w:szCs w:val="22"/>
        </w:rPr>
        <w:t xml:space="preserve">Halpern, SD, Ubel, PA, Berlin, JA, Asch, DC. Randomized Trial of $5 Versus $10 monetary incentives, envelope size, and candy to increase physician response rates to mailed questionnaire. </w:t>
      </w:r>
      <w:r w:rsidRPr="00FE0A0F">
        <w:rPr>
          <w:i/>
          <w:sz w:val="22"/>
          <w:szCs w:val="22"/>
        </w:rPr>
        <w:t>Medical Care</w:t>
      </w:r>
      <w:r w:rsidR="00537A7A" w:rsidRPr="00FE0A0F">
        <w:rPr>
          <w:sz w:val="22"/>
          <w:szCs w:val="22"/>
        </w:rPr>
        <w:t xml:space="preserve"> 40 (</w:t>
      </w:r>
      <w:r w:rsidRPr="00FE0A0F">
        <w:rPr>
          <w:sz w:val="22"/>
          <w:szCs w:val="22"/>
        </w:rPr>
        <w:t>9</w:t>
      </w:r>
      <w:r w:rsidR="00537A7A" w:rsidRPr="00FE0A0F">
        <w:rPr>
          <w:sz w:val="22"/>
          <w:szCs w:val="22"/>
        </w:rPr>
        <w:t>)</w:t>
      </w:r>
      <w:r w:rsidRPr="00FE0A0F">
        <w:rPr>
          <w:sz w:val="22"/>
          <w:szCs w:val="22"/>
        </w:rPr>
        <w:t>:834-39</w:t>
      </w:r>
      <w:r w:rsidR="00C360FA" w:rsidRPr="00FE0A0F">
        <w:rPr>
          <w:sz w:val="22"/>
          <w:szCs w:val="22"/>
        </w:rPr>
        <w:t>, 2002</w:t>
      </w:r>
      <w:r w:rsidRPr="00FE0A0F">
        <w:rPr>
          <w:sz w:val="22"/>
          <w:szCs w:val="22"/>
        </w:rPr>
        <w:t>.</w:t>
      </w:r>
    </w:p>
    <w:p w:rsidR="00B63593" w:rsidRPr="00EA510F" w:rsidRDefault="00B63593" w:rsidP="00B63593">
      <w:pPr>
        <w:jc w:val="both"/>
        <w:rPr>
          <w:sz w:val="22"/>
          <w:szCs w:val="22"/>
        </w:rPr>
      </w:pPr>
    </w:p>
    <w:p w:rsidR="00DE77F5" w:rsidRPr="00EA510F" w:rsidRDefault="00DE77F5" w:rsidP="00366FFD">
      <w:pP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p w:rsidR="00DE77F5" w:rsidRPr="00EA510F" w:rsidRDefault="00DE77F5" w:rsidP="00DE77F5">
      <w:pPr>
        <w:jc w:val="center"/>
        <w:rPr>
          <w:sz w:val="22"/>
          <w:szCs w:val="22"/>
        </w:rPr>
      </w:pPr>
    </w:p>
    <w:sectPr w:rsidR="00DE77F5" w:rsidRPr="00EA510F" w:rsidSect="00991FE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A45" w:rsidRDefault="00BF0A45">
      <w:r>
        <w:separator/>
      </w:r>
    </w:p>
  </w:endnote>
  <w:endnote w:type="continuationSeparator" w:id="0">
    <w:p w:rsidR="00BF0A45" w:rsidRDefault="00BF0A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45" w:rsidRDefault="0054497C" w:rsidP="00991FEC">
    <w:pPr>
      <w:pStyle w:val="Footer"/>
      <w:framePr w:wrap="around" w:vAnchor="text" w:hAnchor="margin" w:xAlign="right" w:y="1"/>
      <w:rPr>
        <w:rStyle w:val="PageNumber"/>
      </w:rPr>
    </w:pPr>
    <w:r>
      <w:rPr>
        <w:rStyle w:val="PageNumber"/>
      </w:rPr>
      <w:fldChar w:fldCharType="begin"/>
    </w:r>
    <w:r w:rsidR="00BF0A45">
      <w:rPr>
        <w:rStyle w:val="PageNumber"/>
      </w:rPr>
      <w:instrText xml:space="preserve">PAGE  </w:instrText>
    </w:r>
    <w:r>
      <w:rPr>
        <w:rStyle w:val="PageNumber"/>
      </w:rPr>
      <w:fldChar w:fldCharType="end"/>
    </w:r>
  </w:p>
  <w:p w:rsidR="00BF0A45" w:rsidRDefault="00BF0A45" w:rsidP="00622D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45" w:rsidRDefault="0054497C" w:rsidP="00991FEC">
    <w:pPr>
      <w:pStyle w:val="Footer"/>
      <w:framePr w:wrap="around" w:vAnchor="text" w:hAnchor="margin" w:xAlign="right" w:y="1"/>
      <w:rPr>
        <w:rStyle w:val="PageNumber"/>
      </w:rPr>
    </w:pPr>
    <w:r>
      <w:rPr>
        <w:rStyle w:val="PageNumber"/>
      </w:rPr>
      <w:fldChar w:fldCharType="begin"/>
    </w:r>
    <w:r w:rsidR="00BF0A45">
      <w:rPr>
        <w:rStyle w:val="PageNumber"/>
      </w:rPr>
      <w:instrText xml:space="preserve">PAGE  </w:instrText>
    </w:r>
    <w:r>
      <w:rPr>
        <w:rStyle w:val="PageNumber"/>
      </w:rPr>
      <w:fldChar w:fldCharType="separate"/>
    </w:r>
    <w:r w:rsidR="009D0359">
      <w:rPr>
        <w:rStyle w:val="PageNumber"/>
        <w:noProof/>
      </w:rPr>
      <w:t>13</w:t>
    </w:r>
    <w:r>
      <w:rPr>
        <w:rStyle w:val="PageNumber"/>
      </w:rPr>
      <w:fldChar w:fldCharType="end"/>
    </w:r>
  </w:p>
  <w:p w:rsidR="00BF0A45" w:rsidRDefault="00BF0A45" w:rsidP="00622DD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A45" w:rsidRDefault="00BF0A45">
      <w:r>
        <w:separator/>
      </w:r>
    </w:p>
  </w:footnote>
  <w:footnote w:type="continuationSeparator" w:id="0">
    <w:p w:rsidR="00BF0A45" w:rsidRDefault="00BF0A45">
      <w:r>
        <w:continuationSeparator/>
      </w:r>
    </w:p>
  </w:footnote>
  <w:footnote w:id="1">
    <w:p w:rsidR="00BF0A45" w:rsidRPr="000312AA" w:rsidRDefault="00BF0A45" w:rsidP="000312AA">
      <w:pPr>
        <w:rPr>
          <w:sz w:val="20"/>
          <w:szCs w:val="20"/>
        </w:rPr>
      </w:pPr>
      <w:r w:rsidRPr="005D302E">
        <w:rPr>
          <w:rStyle w:val="FootnoteReference"/>
          <w:sz w:val="20"/>
          <w:szCs w:val="20"/>
        </w:rPr>
        <w:footnoteRef/>
      </w:r>
      <w:r w:rsidRPr="005D302E">
        <w:rPr>
          <w:sz w:val="20"/>
          <w:szCs w:val="20"/>
        </w:rPr>
        <w:t xml:space="preserve"> </w:t>
      </w:r>
      <w:r w:rsidRPr="005D302E">
        <w:rPr>
          <w:i/>
          <w:iCs/>
          <w:sz w:val="20"/>
          <w:szCs w:val="20"/>
        </w:rPr>
        <w:t xml:space="preserve">Racial and Ethnic Disparities in Healthcare:  A Public Opinion Update </w:t>
      </w:r>
      <w:r w:rsidRPr="005D302E">
        <w:rPr>
          <w:sz w:val="20"/>
          <w:szCs w:val="20"/>
        </w:rPr>
        <w:t xml:space="preserve">(2003), supported by AETNA and the National Conference for Community and Justice; </w:t>
      </w:r>
      <w:r w:rsidRPr="005D302E">
        <w:rPr>
          <w:i/>
          <w:iCs/>
          <w:sz w:val="20"/>
          <w:szCs w:val="20"/>
        </w:rPr>
        <w:t xml:space="preserve">Medical Student, Physician, and Public Perceptions of Health Care Disparities </w:t>
      </w:r>
      <w:r w:rsidRPr="005D302E">
        <w:rPr>
          <w:sz w:val="20"/>
          <w:szCs w:val="20"/>
        </w:rPr>
        <w:t>(2004)</w:t>
      </w:r>
      <w:r>
        <w:rPr>
          <w:sz w:val="20"/>
          <w:szCs w:val="20"/>
        </w:rPr>
        <w:t xml:space="preserve">; and </w:t>
      </w:r>
      <w:r w:rsidRPr="00C5120D">
        <w:rPr>
          <w:i/>
          <w:sz w:val="20"/>
          <w:szCs w:val="20"/>
        </w:rPr>
        <w:t>Awareness of racial and socioeconomic health disparities in the United States: the National Opinion Survey on Health and Health Disparities, 2008-2009</w:t>
      </w:r>
      <w:r>
        <w:rPr>
          <w:sz w:val="20"/>
          <w:szCs w:val="20"/>
        </w:rPr>
        <w:t xml:space="preserve"> (2011)</w:t>
      </w:r>
    </w:p>
    <w:p w:rsidR="00BF0A45" w:rsidRPr="005D302E" w:rsidRDefault="00BF0A45" w:rsidP="00B42267">
      <w:pPr>
        <w:pStyle w:val="FootnoteText"/>
      </w:pPr>
    </w:p>
  </w:footnote>
  <w:footnote w:id="2">
    <w:p w:rsidR="00BF0A45" w:rsidRDefault="00BF0A45" w:rsidP="00F45118">
      <w:pPr>
        <w:pStyle w:val="FootnoteText"/>
      </w:pPr>
      <w:r>
        <w:rPr>
          <w:rStyle w:val="FootnoteReference"/>
        </w:rPr>
        <w:footnoteRef/>
      </w:r>
      <w:r>
        <w:t xml:space="preserve"> Results were published in a 2011 special issue of Health Affairs.  J. K. Benz, O. Espinosa, V. Welsh, and A. Fontes </w:t>
      </w:r>
    </w:p>
    <w:p w:rsidR="00BF0A45" w:rsidRDefault="00BF0A45" w:rsidP="00F45118">
      <w:pPr>
        <w:pStyle w:val="FootnoteText"/>
      </w:pPr>
      <w:r>
        <w:t>Awareness Of Racial And Ethnic Health Disparities Has Improved Only Modestly Over A Decade</w:t>
      </w:r>
    </w:p>
    <w:p w:rsidR="00BF0A45" w:rsidRDefault="00BF0A45" w:rsidP="00F45118">
      <w:pPr>
        <w:pStyle w:val="FootnoteText"/>
      </w:pPr>
      <w:r>
        <w:t>Health Aff (Millwood) 2011 30: 1860-1867.</w:t>
      </w:r>
    </w:p>
  </w:footnote>
  <w:footnote w:id="3">
    <w:p w:rsidR="00BF0A45" w:rsidRPr="00BE1573" w:rsidRDefault="00BF0A45" w:rsidP="004221C8">
      <w:pPr>
        <w:pStyle w:val="FootnoteText"/>
      </w:pPr>
      <w:r w:rsidRPr="00BE1573">
        <w:rPr>
          <w:rStyle w:val="FootnoteReference"/>
        </w:rPr>
        <w:footnoteRef/>
      </w:r>
      <w:r w:rsidRPr="00BE1573">
        <w:t xml:space="preserve"> National Opinion Research Center and the University of California, Berkeley. “National Study of Physician Organizations and the Management of Chronic Illness.” Details can be viewed at </w:t>
      </w:r>
      <w:hyperlink r:id="rId1" w:history="1">
        <w:r w:rsidRPr="00BE1573">
          <w:rPr>
            <w:rStyle w:val="Hyperlink"/>
          </w:rPr>
          <w:t>http://nspo.berkeley.edu/index.htm</w:t>
        </w:r>
      </w:hyperlink>
      <w:r w:rsidRPr="00BE1573">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AC7"/>
    <w:multiLevelType w:val="hybridMultilevel"/>
    <w:tmpl w:val="425E8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30278FA"/>
    <w:multiLevelType w:val="hybridMultilevel"/>
    <w:tmpl w:val="A3D21F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3985587"/>
    <w:multiLevelType w:val="hybridMultilevel"/>
    <w:tmpl w:val="D2EC5E88"/>
    <w:lvl w:ilvl="0" w:tplc="1E00453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F85FD3"/>
    <w:multiLevelType w:val="hybridMultilevel"/>
    <w:tmpl w:val="2696B964"/>
    <w:lvl w:ilvl="0" w:tplc="B8D8C5D6">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6C3"/>
    <w:multiLevelType w:val="hybridMultilevel"/>
    <w:tmpl w:val="F07A27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C30F41"/>
    <w:multiLevelType w:val="hybridMultilevel"/>
    <w:tmpl w:val="6DF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808BB"/>
    <w:multiLevelType w:val="hybridMultilevel"/>
    <w:tmpl w:val="E440273C"/>
    <w:lvl w:ilvl="0" w:tplc="9FCE131C">
      <w:start w:val="4"/>
      <w:numFmt w:val="decimal"/>
      <w:lvlText w:val="%1."/>
      <w:lvlJc w:val="left"/>
      <w:pPr>
        <w:tabs>
          <w:tab w:val="num" w:pos="1080"/>
        </w:tabs>
        <w:ind w:left="108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F560C"/>
    <w:multiLevelType w:val="hybridMultilevel"/>
    <w:tmpl w:val="45BCB89C"/>
    <w:lvl w:ilvl="0" w:tplc="08A869D6">
      <w:start w:val="3"/>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DA0D13"/>
    <w:multiLevelType w:val="hybridMultilevel"/>
    <w:tmpl w:val="1FB81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F1F65"/>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CE4BF3"/>
    <w:multiLevelType w:val="hybridMultilevel"/>
    <w:tmpl w:val="3E42F896"/>
    <w:lvl w:ilvl="0" w:tplc="85C40E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D6379CC"/>
    <w:multiLevelType w:val="hybridMultilevel"/>
    <w:tmpl w:val="7BC229C0"/>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2F58744E"/>
    <w:multiLevelType w:val="hybridMultilevel"/>
    <w:tmpl w:val="F3BAD0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6F5472"/>
    <w:multiLevelType w:val="hybridMultilevel"/>
    <w:tmpl w:val="C7E05740"/>
    <w:lvl w:ilvl="0" w:tplc="EE909328">
      <w:start w:val="2"/>
      <w:numFmt w:val="decimal"/>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3435025E"/>
    <w:multiLevelType w:val="hybridMultilevel"/>
    <w:tmpl w:val="D0A27AA2"/>
    <w:lvl w:ilvl="0" w:tplc="2370C2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61C1C6A"/>
    <w:multiLevelType w:val="hybridMultilevel"/>
    <w:tmpl w:val="8F148C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A39604D"/>
    <w:multiLevelType w:val="hybridMultilevel"/>
    <w:tmpl w:val="E3D03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CED044C"/>
    <w:multiLevelType w:val="hybridMultilevel"/>
    <w:tmpl w:val="B134C98C"/>
    <w:lvl w:ilvl="0" w:tplc="76F89724">
      <w:start w:val="1"/>
      <w:numFmt w:val="decimal"/>
      <w:lvlText w:val="%1)"/>
      <w:lvlJc w:val="left"/>
      <w:pPr>
        <w:tabs>
          <w:tab w:val="num" w:pos="720"/>
        </w:tabs>
        <w:ind w:left="720" w:hanging="360"/>
      </w:pPr>
      <w:rPr>
        <w:rFonts w:ascii="Palatino Linotype" w:eastAsia="Times New Roman" w:hAnsi="Palatino Linotype"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6102222"/>
    <w:multiLevelType w:val="hybridMultilevel"/>
    <w:tmpl w:val="3398D02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167BE4"/>
    <w:multiLevelType w:val="hybridMultilevel"/>
    <w:tmpl w:val="09CE998E"/>
    <w:lvl w:ilvl="0" w:tplc="189CA0F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0">
    <w:nsid w:val="4A1D7109"/>
    <w:multiLevelType w:val="hybridMultilevel"/>
    <w:tmpl w:val="961E8300"/>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B85B2B"/>
    <w:multiLevelType w:val="hybridMultilevel"/>
    <w:tmpl w:val="99E806C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B24166"/>
    <w:multiLevelType w:val="hybridMultilevel"/>
    <w:tmpl w:val="6A222070"/>
    <w:lvl w:ilvl="0" w:tplc="08A869D6">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6D5749C"/>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74140A"/>
    <w:multiLevelType w:val="hybridMultilevel"/>
    <w:tmpl w:val="CA965462"/>
    <w:lvl w:ilvl="0" w:tplc="08A869D6">
      <w:start w:val="3"/>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69A65528"/>
    <w:multiLevelType w:val="hybridMultilevel"/>
    <w:tmpl w:val="CB2E41A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7B4DBBE">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B913EB"/>
    <w:multiLevelType w:val="hybridMultilevel"/>
    <w:tmpl w:val="E57A0F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4B4339"/>
    <w:multiLevelType w:val="hybridMultilevel"/>
    <w:tmpl w:val="AEE4FA90"/>
    <w:lvl w:ilvl="0" w:tplc="3D7E8556">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7AD0B98"/>
    <w:multiLevelType w:val="hybridMultilevel"/>
    <w:tmpl w:val="0FD6E8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82E3DE5"/>
    <w:multiLevelType w:val="hybridMultilevel"/>
    <w:tmpl w:val="7DE0A260"/>
    <w:lvl w:ilvl="0" w:tplc="C54EBAEC">
      <w:start w:val="4"/>
      <w:numFmt w:val="decimal"/>
      <w:lvlText w:val="%1."/>
      <w:lvlJc w:val="left"/>
      <w:pPr>
        <w:ind w:left="900" w:hanging="360"/>
      </w:pPr>
      <w:rPr>
        <w:rFonts w:hint="default"/>
        <w:b w:val="0"/>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1"/>
  </w:num>
  <w:num w:numId="3">
    <w:abstractNumId w:val="21"/>
  </w:num>
  <w:num w:numId="4">
    <w:abstractNumId w:val="4"/>
  </w:num>
  <w:num w:numId="5">
    <w:abstractNumId w:val="17"/>
  </w:num>
  <w:num w:numId="6">
    <w:abstractNumId w:val="16"/>
  </w:num>
  <w:num w:numId="7">
    <w:abstractNumId w:val="2"/>
  </w:num>
  <w:num w:numId="8">
    <w:abstractNumId w:val="26"/>
  </w:num>
  <w:num w:numId="9">
    <w:abstractNumId w:val="25"/>
  </w:num>
  <w:num w:numId="10">
    <w:abstractNumId w:val="7"/>
  </w:num>
  <w:num w:numId="11">
    <w:abstractNumId w:val="22"/>
  </w:num>
  <w:num w:numId="12">
    <w:abstractNumId w:val="24"/>
  </w:num>
  <w:num w:numId="13">
    <w:abstractNumId w:val="0"/>
  </w:num>
  <w:num w:numId="14">
    <w:abstractNumId w:val="28"/>
  </w:num>
  <w:num w:numId="15">
    <w:abstractNumId w:val="3"/>
  </w:num>
  <w:num w:numId="16">
    <w:abstractNumId w:val="15"/>
  </w:num>
  <w:num w:numId="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3"/>
  </w:num>
  <w:num w:numId="21">
    <w:abstractNumId w:val="18"/>
  </w:num>
  <w:num w:numId="22">
    <w:abstractNumId w:val="9"/>
  </w:num>
  <w:num w:numId="23">
    <w:abstractNumId w:val="6"/>
  </w:num>
  <w:num w:numId="24">
    <w:abstractNumId w:val="29"/>
  </w:num>
  <w:num w:numId="25">
    <w:abstractNumId w:val="5"/>
  </w:num>
  <w:num w:numId="26">
    <w:abstractNumId w:val="14"/>
  </w:num>
  <w:num w:numId="27">
    <w:abstractNumId w:val="19"/>
  </w:num>
  <w:num w:numId="28">
    <w:abstractNumId w:val="10"/>
  </w:num>
  <w:num w:numId="29">
    <w:abstractNumId w:val="8"/>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characterSpacingControl w:val="doNotCompress"/>
  <w:footnotePr>
    <w:footnote w:id="-1"/>
    <w:footnote w:id="0"/>
  </w:footnotePr>
  <w:endnotePr>
    <w:endnote w:id="-1"/>
    <w:endnote w:id="0"/>
  </w:endnotePr>
  <w:compat/>
  <w:rsids>
    <w:rsidRoot w:val="004F6F5E"/>
    <w:rsid w:val="00013FDF"/>
    <w:rsid w:val="00015DD3"/>
    <w:rsid w:val="000162FC"/>
    <w:rsid w:val="00022AAD"/>
    <w:rsid w:val="00027008"/>
    <w:rsid w:val="0002791B"/>
    <w:rsid w:val="000312AA"/>
    <w:rsid w:val="0003592E"/>
    <w:rsid w:val="0004351E"/>
    <w:rsid w:val="000438D9"/>
    <w:rsid w:val="00046C0D"/>
    <w:rsid w:val="00047FD6"/>
    <w:rsid w:val="0005018F"/>
    <w:rsid w:val="000546DE"/>
    <w:rsid w:val="000657CD"/>
    <w:rsid w:val="00065BCE"/>
    <w:rsid w:val="00065D66"/>
    <w:rsid w:val="000745C8"/>
    <w:rsid w:val="00085E4E"/>
    <w:rsid w:val="00097BA3"/>
    <w:rsid w:val="000B0428"/>
    <w:rsid w:val="000B052B"/>
    <w:rsid w:val="000B1C1E"/>
    <w:rsid w:val="000B4068"/>
    <w:rsid w:val="000B66AD"/>
    <w:rsid w:val="000B7F50"/>
    <w:rsid w:val="000C2983"/>
    <w:rsid w:val="000C3217"/>
    <w:rsid w:val="000D2E00"/>
    <w:rsid w:val="000D72EF"/>
    <w:rsid w:val="000E03FB"/>
    <w:rsid w:val="000F0185"/>
    <w:rsid w:val="0010281E"/>
    <w:rsid w:val="0011000B"/>
    <w:rsid w:val="00120354"/>
    <w:rsid w:val="00127E27"/>
    <w:rsid w:val="0013038F"/>
    <w:rsid w:val="00131E44"/>
    <w:rsid w:val="00146E25"/>
    <w:rsid w:val="0015014D"/>
    <w:rsid w:val="00152390"/>
    <w:rsid w:val="00155B7D"/>
    <w:rsid w:val="0015735B"/>
    <w:rsid w:val="001645D2"/>
    <w:rsid w:val="0018782C"/>
    <w:rsid w:val="00190B99"/>
    <w:rsid w:val="001A5685"/>
    <w:rsid w:val="001C5F8A"/>
    <w:rsid w:val="001D33E1"/>
    <w:rsid w:val="001E680D"/>
    <w:rsid w:val="001F30F9"/>
    <w:rsid w:val="001F7BA3"/>
    <w:rsid w:val="00201F12"/>
    <w:rsid w:val="00202797"/>
    <w:rsid w:val="00202EE6"/>
    <w:rsid w:val="002109D2"/>
    <w:rsid w:val="00213A45"/>
    <w:rsid w:val="00221243"/>
    <w:rsid w:val="00221D6B"/>
    <w:rsid w:val="00223008"/>
    <w:rsid w:val="00230290"/>
    <w:rsid w:val="00230A29"/>
    <w:rsid w:val="00240647"/>
    <w:rsid w:val="002515ED"/>
    <w:rsid w:val="002522C6"/>
    <w:rsid w:val="002551FF"/>
    <w:rsid w:val="00256471"/>
    <w:rsid w:val="0026095B"/>
    <w:rsid w:val="002770DE"/>
    <w:rsid w:val="002772A6"/>
    <w:rsid w:val="002A515F"/>
    <w:rsid w:val="002A69EC"/>
    <w:rsid w:val="002B3C3D"/>
    <w:rsid w:val="002B4F3D"/>
    <w:rsid w:val="002B50DE"/>
    <w:rsid w:val="002B5FAD"/>
    <w:rsid w:val="002C1FD7"/>
    <w:rsid w:val="002C2D60"/>
    <w:rsid w:val="002C332A"/>
    <w:rsid w:val="002C725E"/>
    <w:rsid w:val="002D091D"/>
    <w:rsid w:val="002E3307"/>
    <w:rsid w:val="002E4DC3"/>
    <w:rsid w:val="002F094A"/>
    <w:rsid w:val="002F22DC"/>
    <w:rsid w:val="002F3C06"/>
    <w:rsid w:val="002F3DD9"/>
    <w:rsid w:val="002F5DF6"/>
    <w:rsid w:val="002F6F49"/>
    <w:rsid w:val="003008D4"/>
    <w:rsid w:val="00323512"/>
    <w:rsid w:val="00323AEB"/>
    <w:rsid w:val="00326C79"/>
    <w:rsid w:val="00326D1E"/>
    <w:rsid w:val="00326FDD"/>
    <w:rsid w:val="003338AC"/>
    <w:rsid w:val="003354EC"/>
    <w:rsid w:val="003421C9"/>
    <w:rsid w:val="00345AA9"/>
    <w:rsid w:val="003465D3"/>
    <w:rsid w:val="00356621"/>
    <w:rsid w:val="00366FFD"/>
    <w:rsid w:val="00372489"/>
    <w:rsid w:val="00376E5C"/>
    <w:rsid w:val="00390519"/>
    <w:rsid w:val="00393695"/>
    <w:rsid w:val="003A4031"/>
    <w:rsid w:val="003B45E3"/>
    <w:rsid w:val="003E1367"/>
    <w:rsid w:val="003E5110"/>
    <w:rsid w:val="003F101B"/>
    <w:rsid w:val="003F519D"/>
    <w:rsid w:val="004025ED"/>
    <w:rsid w:val="0040698F"/>
    <w:rsid w:val="00407CE6"/>
    <w:rsid w:val="00410401"/>
    <w:rsid w:val="00417DB7"/>
    <w:rsid w:val="00421829"/>
    <w:rsid w:val="004221C8"/>
    <w:rsid w:val="004224BF"/>
    <w:rsid w:val="00432F33"/>
    <w:rsid w:val="00437743"/>
    <w:rsid w:val="00446F41"/>
    <w:rsid w:val="004542DD"/>
    <w:rsid w:val="0045431D"/>
    <w:rsid w:val="00456AD5"/>
    <w:rsid w:val="0045777E"/>
    <w:rsid w:val="00464863"/>
    <w:rsid w:val="00467410"/>
    <w:rsid w:val="004716B2"/>
    <w:rsid w:val="00481835"/>
    <w:rsid w:val="00490E86"/>
    <w:rsid w:val="00492917"/>
    <w:rsid w:val="004935E6"/>
    <w:rsid w:val="00497E2E"/>
    <w:rsid w:val="004A4659"/>
    <w:rsid w:val="004A7554"/>
    <w:rsid w:val="004B06ED"/>
    <w:rsid w:val="004C19F0"/>
    <w:rsid w:val="004C38DF"/>
    <w:rsid w:val="004D01A5"/>
    <w:rsid w:val="004D097A"/>
    <w:rsid w:val="004F1088"/>
    <w:rsid w:val="004F180E"/>
    <w:rsid w:val="004F6F5E"/>
    <w:rsid w:val="004F7D55"/>
    <w:rsid w:val="00500311"/>
    <w:rsid w:val="005052E5"/>
    <w:rsid w:val="00512A4C"/>
    <w:rsid w:val="0051422B"/>
    <w:rsid w:val="00514FFB"/>
    <w:rsid w:val="00515C3F"/>
    <w:rsid w:val="005218FF"/>
    <w:rsid w:val="0052498C"/>
    <w:rsid w:val="00536E23"/>
    <w:rsid w:val="00537A7A"/>
    <w:rsid w:val="0054497C"/>
    <w:rsid w:val="00555269"/>
    <w:rsid w:val="00561B78"/>
    <w:rsid w:val="00566860"/>
    <w:rsid w:val="00581875"/>
    <w:rsid w:val="005949B1"/>
    <w:rsid w:val="005A39BE"/>
    <w:rsid w:val="005B13C3"/>
    <w:rsid w:val="005B14B6"/>
    <w:rsid w:val="005B2268"/>
    <w:rsid w:val="005B748B"/>
    <w:rsid w:val="005C38CC"/>
    <w:rsid w:val="005D302E"/>
    <w:rsid w:val="005D4EE4"/>
    <w:rsid w:val="005E4AC8"/>
    <w:rsid w:val="005E4ECF"/>
    <w:rsid w:val="005F0AD4"/>
    <w:rsid w:val="006005D2"/>
    <w:rsid w:val="00601341"/>
    <w:rsid w:val="00602A1D"/>
    <w:rsid w:val="00621D51"/>
    <w:rsid w:val="00622DDF"/>
    <w:rsid w:val="00634673"/>
    <w:rsid w:val="006637D8"/>
    <w:rsid w:val="00672025"/>
    <w:rsid w:val="00675A42"/>
    <w:rsid w:val="006762B5"/>
    <w:rsid w:val="00680CBB"/>
    <w:rsid w:val="00691D3A"/>
    <w:rsid w:val="006942DA"/>
    <w:rsid w:val="00695835"/>
    <w:rsid w:val="006971AB"/>
    <w:rsid w:val="006A4726"/>
    <w:rsid w:val="006B14BF"/>
    <w:rsid w:val="006B240E"/>
    <w:rsid w:val="006B2704"/>
    <w:rsid w:val="006B4E1D"/>
    <w:rsid w:val="006C2289"/>
    <w:rsid w:val="006C298D"/>
    <w:rsid w:val="006C2C03"/>
    <w:rsid w:val="006C60FF"/>
    <w:rsid w:val="006D524A"/>
    <w:rsid w:val="006E59AD"/>
    <w:rsid w:val="006F5A57"/>
    <w:rsid w:val="00703212"/>
    <w:rsid w:val="0071073A"/>
    <w:rsid w:val="007122AF"/>
    <w:rsid w:val="00725A11"/>
    <w:rsid w:val="0073023B"/>
    <w:rsid w:val="00733F49"/>
    <w:rsid w:val="007443EB"/>
    <w:rsid w:val="00747822"/>
    <w:rsid w:val="00747E26"/>
    <w:rsid w:val="00752FFE"/>
    <w:rsid w:val="0075473C"/>
    <w:rsid w:val="007608E3"/>
    <w:rsid w:val="007728E2"/>
    <w:rsid w:val="007812D0"/>
    <w:rsid w:val="00781A5B"/>
    <w:rsid w:val="007947FE"/>
    <w:rsid w:val="007967D9"/>
    <w:rsid w:val="007B4BDE"/>
    <w:rsid w:val="007C1C8F"/>
    <w:rsid w:val="007C553B"/>
    <w:rsid w:val="007D3840"/>
    <w:rsid w:val="007D5745"/>
    <w:rsid w:val="007D7B7C"/>
    <w:rsid w:val="007E181D"/>
    <w:rsid w:val="007F0E50"/>
    <w:rsid w:val="007F1134"/>
    <w:rsid w:val="007F66DC"/>
    <w:rsid w:val="007F7C51"/>
    <w:rsid w:val="0080590F"/>
    <w:rsid w:val="0081005A"/>
    <w:rsid w:val="00811BC6"/>
    <w:rsid w:val="00817E1F"/>
    <w:rsid w:val="00824936"/>
    <w:rsid w:val="00825516"/>
    <w:rsid w:val="00825DBD"/>
    <w:rsid w:val="00833E10"/>
    <w:rsid w:val="00836341"/>
    <w:rsid w:val="008470A4"/>
    <w:rsid w:val="00847939"/>
    <w:rsid w:val="008479C3"/>
    <w:rsid w:val="0085303E"/>
    <w:rsid w:val="00864681"/>
    <w:rsid w:val="00864E7A"/>
    <w:rsid w:val="008731D9"/>
    <w:rsid w:val="008835FB"/>
    <w:rsid w:val="00886254"/>
    <w:rsid w:val="00897DC8"/>
    <w:rsid w:val="008A166A"/>
    <w:rsid w:val="008A32FC"/>
    <w:rsid w:val="008A7B17"/>
    <w:rsid w:val="008C672C"/>
    <w:rsid w:val="008D272A"/>
    <w:rsid w:val="008D28C9"/>
    <w:rsid w:val="008D3559"/>
    <w:rsid w:val="008E4D83"/>
    <w:rsid w:val="008F7C56"/>
    <w:rsid w:val="00904D99"/>
    <w:rsid w:val="00910AC6"/>
    <w:rsid w:val="00915B52"/>
    <w:rsid w:val="009249D9"/>
    <w:rsid w:val="00930C88"/>
    <w:rsid w:val="00933A31"/>
    <w:rsid w:val="0095678B"/>
    <w:rsid w:val="00961263"/>
    <w:rsid w:val="00961F03"/>
    <w:rsid w:val="00971683"/>
    <w:rsid w:val="00974A3C"/>
    <w:rsid w:val="00986EB1"/>
    <w:rsid w:val="00991FEC"/>
    <w:rsid w:val="00995094"/>
    <w:rsid w:val="009A124E"/>
    <w:rsid w:val="009A6776"/>
    <w:rsid w:val="009C4D02"/>
    <w:rsid w:val="009D0359"/>
    <w:rsid w:val="009E728A"/>
    <w:rsid w:val="009F2FE7"/>
    <w:rsid w:val="00A019F8"/>
    <w:rsid w:val="00A1490A"/>
    <w:rsid w:val="00A159C3"/>
    <w:rsid w:val="00A162F7"/>
    <w:rsid w:val="00A2300F"/>
    <w:rsid w:val="00A27CFD"/>
    <w:rsid w:val="00A27DB8"/>
    <w:rsid w:val="00A37BC0"/>
    <w:rsid w:val="00A45007"/>
    <w:rsid w:val="00A466DB"/>
    <w:rsid w:val="00A6078B"/>
    <w:rsid w:val="00A718AC"/>
    <w:rsid w:val="00A7349E"/>
    <w:rsid w:val="00A742C5"/>
    <w:rsid w:val="00A803FC"/>
    <w:rsid w:val="00A91264"/>
    <w:rsid w:val="00A946E3"/>
    <w:rsid w:val="00AA2EDC"/>
    <w:rsid w:val="00AA76F5"/>
    <w:rsid w:val="00AB5DE0"/>
    <w:rsid w:val="00AC180B"/>
    <w:rsid w:val="00AC27B1"/>
    <w:rsid w:val="00AC6059"/>
    <w:rsid w:val="00AD1257"/>
    <w:rsid w:val="00AD3BFD"/>
    <w:rsid w:val="00AE4F1C"/>
    <w:rsid w:val="00AF5892"/>
    <w:rsid w:val="00AF6631"/>
    <w:rsid w:val="00B0083A"/>
    <w:rsid w:val="00B0348F"/>
    <w:rsid w:val="00B13A49"/>
    <w:rsid w:val="00B13DA1"/>
    <w:rsid w:val="00B22FF8"/>
    <w:rsid w:val="00B33499"/>
    <w:rsid w:val="00B42267"/>
    <w:rsid w:val="00B424E1"/>
    <w:rsid w:val="00B47F0E"/>
    <w:rsid w:val="00B63593"/>
    <w:rsid w:val="00B663A4"/>
    <w:rsid w:val="00B75719"/>
    <w:rsid w:val="00B805C8"/>
    <w:rsid w:val="00B82960"/>
    <w:rsid w:val="00B853C1"/>
    <w:rsid w:val="00B90F10"/>
    <w:rsid w:val="00B91EAC"/>
    <w:rsid w:val="00B97983"/>
    <w:rsid w:val="00BA59B3"/>
    <w:rsid w:val="00BB22B3"/>
    <w:rsid w:val="00BB6B9E"/>
    <w:rsid w:val="00BC3F46"/>
    <w:rsid w:val="00BD0F7E"/>
    <w:rsid w:val="00BD217E"/>
    <w:rsid w:val="00BE09A1"/>
    <w:rsid w:val="00BE50C6"/>
    <w:rsid w:val="00BE66ED"/>
    <w:rsid w:val="00BF0A45"/>
    <w:rsid w:val="00C06026"/>
    <w:rsid w:val="00C07B93"/>
    <w:rsid w:val="00C16C52"/>
    <w:rsid w:val="00C21FB3"/>
    <w:rsid w:val="00C24927"/>
    <w:rsid w:val="00C35E74"/>
    <w:rsid w:val="00C360FA"/>
    <w:rsid w:val="00C3717B"/>
    <w:rsid w:val="00C3717E"/>
    <w:rsid w:val="00C373B9"/>
    <w:rsid w:val="00C40856"/>
    <w:rsid w:val="00C40AA7"/>
    <w:rsid w:val="00C42FD6"/>
    <w:rsid w:val="00C5112B"/>
    <w:rsid w:val="00C5120D"/>
    <w:rsid w:val="00C608EB"/>
    <w:rsid w:val="00C76EE1"/>
    <w:rsid w:val="00C80382"/>
    <w:rsid w:val="00C9602F"/>
    <w:rsid w:val="00C96978"/>
    <w:rsid w:val="00C97159"/>
    <w:rsid w:val="00C97303"/>
    <w:rsid w:val="00CA47C2"/>
    <w:rsid w:val="00CB5319"/>
    <w:rsid w:val="00CB7533"/>
    <w:rsid w:val="00CC1AAE"/>
    <w:rsid w:val="00CD3244"/>
    <w:rsid w:val="00CD7A65"/>
    <w:rsid w:val="00CF28D5"/>
    <w:rsid w:val="00CF68FD"/>
    <w:rsid w:val="00D3004C"/>
    <w:rsid w:val="00D346B6"/>
    <w:rsid w:val="00D40541"/>
    <w:rsid w:val="00D41002"/>
    <w:rsid w:val="00D443E2"/>
    <w:rsid w:val="00D46D53"/>
    <w:rsid w:val="00D524DB"/>
    <w:rsid w:val="00D555F4"/>
    <w:rsid w:val="00D574DD"/>
    <w:rsid w:val="00D61A48"/>
    <w:rsid w:val="00D74934"/>
    <w:rsid w:val="00D74BE9"/>
    <w:rsid w:val="00D75325"/>
    <w:rsid w:val="00D76885"/>
    <w:rsid w:val="00D8679A"/>
    <w:rsid w:val="00D92B38"/>
    <w:rsid w:val="00D93BDC"/>
    <w:rsid w:val="00D958CF"/>
    <w:rsid w:val="00DA29C6"/>
    <w:rsid w:val="00DA4FC4"/>
    <w:rsid w:val="00DC17CC"/>
    <w:rsid w:val="00DD2019"/>
    <w:rsid w:val="00DD24F5"/>
    <w:rsid w:val="00DD7D90"/>
    <w:rsid w:val="00DE00A9"/>
    <w:rsid w:val="00DE1D79"/>
    <w:rsid w:val="00DE248E"/>
    <w:rsid w:val="00DE77F5"/>
    <w:rsid w:val="00DF654A"/>
    <w:rsid w:val="00DF6F2E"/>
    <w:rsid w:val="00E0690F"/>
    <w:rsid w:val="00E20CEE"/>
    <w:rsid w:val="00E23EEF"/>
    <w:rsid w:val="00E25E6C"/>
    <w:rsid w:val="00E30BC3"/>
    <w:rsid w:val="00E3690A"/>
    <w:rsid w:val="00E4037C"/>
    <w:rsid w:val="00E405E0"/>
    <w:rsid w:val="00E45197"/>
    <w:rsid w:val="00E501E4"/>
    <w:rsid w:val="00E53AC3"/>
    <w:rsid w:val="00E569F2"/>
    <w:rsid w:val="00E62128"/>
    <w:rsid w:val="00E66A5F"/>
    <w:rsid w:val="00E75E94"/>
    <w:rsid w:val="00E80D0B"/>
    <w:rsid w:val="00E87947"/>
    <w:rsid w:val="00E90C41"/>
    <w:rsid w:val="00E9411D"/>
    <w:rsid w:val="00E97CBC"/>
    <w:rsid w:val="00EA510F"/>
    <w:rsid w:val="00EB032B"/>
    <w:rsid w:val="00EB0C67"/>
    <w:rsid w:val="00EB209F"/>
    <w:rsid w:val="00EB45C1"/>
    <w:rsid w:val="00EC2CA7"/>
    <w:rsid w:val="00ED4176"/>
    <w:rsid w:val="00ED6D79"/>
    <w:rsid w:val="00EE197F"/>
    <w:rsid w:val="00EE48F8"/>
    <w:rsid w:val="00EF0242"/>
    <w:rsid w:val="00EF7E70"/>
    <w:rsid w:val="00F23CA0"/>
    <w:rsid w:val="00F2439E"/>
    <w:rsid w:val="00F24ADB"/>
    <w:rsid w:val="00F2573C"/>
    <w:rsid w:val="00F26213"/>
    <w:rsid w:val="00F3736E"/>
    <w:rsid w:val="00F43061"/>
    <w:rsid w:val="00F45118"/>
    <w:rsid w:val="00F50EA9"/>
    <w:rsid w:val="00F51A5A"/>
    <w:rsid w:val="00F73EF8"/>
    <w:rsid w:val="00F7431C"/>
    <w:rsid w:val="00F750ED"/>
    <w:rsid w:val="00F77631"/>
    <w:rsid w:val="00F822D7"/>
    <w:rsid w:val="00F82D1F"/>
    <w:rsid w:val="00F86713"/>
    <w:rsid w:val="00F93648"/>
    <w:rsid w:val="00FA47F7"/>
    <w:rsid w:val="00FA6F98"/>
    <w:rsid w:val="00FB7241"/>
    <w:rsid w:val="00FC7407"/>
    <w:rsid w:val="00FD27FD"/>
    <w:rsid w:val="00FE0A0F"/>
    <w:rsid w:val="00FF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5D2"/>
    <w:rPr>
      <w:sz w:val="24"/>
      <w:szCs w:val="24"/>
    </w:rPr>
  </w:style>
  <w:style w:type="paragraph" w:styleId="Heading1">
    <w:name w:val="heading 1"/>
    <w:basedOn w:val="Normal"/>
    <w:next w:val="Normal"/>
    <w:link w:val="Heading1Char"/>
    <w:qFormat/>
    <w:rsid w:val="00E403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4037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F6F5E"/>
    <w:rPr>
      <w:sz w:val="16"/>
      <w:szCs w:val="16"/>
    </w:rPr>
  </w:style>
  <w:style w:type="paragraph" w:styleId="CommentText">
    <w:name w:val="annotation text"/>
    <w:basedOn w:val="Normal"/>
    <w:semiHidden/>
    <w:rsid w:val="004F6F5E"/>
    <w:rPr>
      <w:sz w:val="20"/>
      <w:szCs w:val="20"/>
    </w:rPr>
  </w:style>
  <w:style w:type="paragraph" w:customStyle="1" w:styleId="Jessica">
    <w:name w:val="Jessica"/>
    <w:basedOn w:val="BodyText"/>
    <w:rsid w:val="004F6F5E"/>
    <w:pPr>
      <w:spacing w:before="100" w:after="100"/>
      <w:jc w:val="both"/>
    </w:pPr>
    <w:rPr>
      <w:rFonts w:ascii="Garamond" w:hAnsi="Garamond" w:cs="Tahoma"/>
      <w:sz w:val="20"/>
      <w:szCs w:val="20"/>
    </w:rPr>
  </w:style>
  <w:style w:type="paragraph" w:styleId="BodyText">
    <w:name w:val="Body Text"/>
    <w:basedOn w:val="Normal"/>
    <w:rsid w:val="004F6F5E"/>
    <w:pPr>
      <w:spacing w:after="120"/>
    </w:pPr>
  </w:style>
  <w:style w:type="paragraph" w:styleId="BalloonText">
    <w:name w:val="Balloon Text"/>
    <w:basedOn w:val="Normal"/>
    <w:semiHidden/>
    <w:rsid w:val="004F6F5E"/>
    <w:rPr>
      <w:rFonts w:ascii="Tahoma" w:hAnsi="Tahoma" w:cs="Tahoma"/>
      <w:sz w:val="16"/>
      <w:szCs w:val="16"/>
    </w:rPr>
  </w:style>
  <w:style w:type="character" w:customStyle="1" w:styleId="Heading2Char">
    <w:name w:val="Heading 2 Char"/>
    <w:link w:val="Heading2"/>
    <w:rsid w:val="00E4037C"/>
    <w:rPr>
      <w:rFonts w:ascii="Arial" w:hAnsi="Arial" w:cs="Arial"/>
      <w:b/>
      <w:bCs/>
      <w:i/>
      <w:iCs/>
      <w:sz w:val="28"/>
      <w:szCs w:val="28"/>
      <w:lang w:val="en-US" w:eastAsia="en-US" w:bidi="ar-SA"/>
    </w:rPr>
  </w:style>
  <w:style w:type="paragraph" w:styleId="FootnoteText">
    <w:name w:val="footnote text"/>
    <w:basedOn w:val="Normal"/>
    <w:link w:val="FootnoteTextChar"/>
    <w:semiHidden/>
    <w:rsid w:val="00E4037C"/>
    <w:pPr>
      <w:widowControl w:val="0"/>
      <w:autoSpaceDE w:val="0"/>
      <w:autoSpaceDN w:val="0"/>
      <w:adjustRightInd w:val="0"/>
    </w:pPr>
    <w:rPr>
      <w:sz w:val="20"/>
      <w:szCs w:val="20"/>
    </w:rPr>
  </w:style>
  <w:style w:type="character" w:customStyle="1" w:styleId="FootnoteTextChar">
    <w:name w:val="Footnote Text Char"/>
    <w:link w:val="FootnoteText"/>
    <w:semiHidden/>
    <w:rsid w:val="00E4037C"/>
    <w:rPr>
      <w:lang w:val="en-US" w:eastAsia="en-US" w:bidi="ar-SA"/>
    </w:rPr>
  </w:style>
  <w:style w:type="character" w:styleId="FootnoteReference">
    <w:name w:val="footnote reference"/>
    <w:semiHidden/>
    <w:rsid w:val="00E4037C"/>
    <w:rPr>
      <w:vertAlign w:val="superscript"/>
    </w:rPr>
  </w:style>
  <w:style w:type="paragraph" w:customStyle="1" w:styleId="Text">
    <w:name w:val="Text"/>
    <w:basedOn w:val="Normal"/>
    <w:rsid w:val="00E4037C"/>
    <w:pPr>
      <w:ind w:firstLine="720"/>
    </w:pPr>
    <w:rPr>
      <w:rFonts w:ascii="Garamond" w:hAnsi="Garamond"/>
      <w:sz w:val="22"/>
      <w:szCs w:val="22"/>
    </w:rPr>
  </w:style>
  <w:style w:type="character" w:customStyle="1" w:styleId="TitletwoChar">
    <w:name w:val="Title two Char"/>
    <w:rsid w:val="00E4037C"/>
    <w:rPr>
      <w:rFonts w:ascii="Garamond" w:hAnsi="Garamond"/>
      <w:b/>
      <w:sz w:val="22"/>
      <w:szCs w:val="24"/>
      <w:lang w:val="en-US" w:eastAsia="en-US" w:bidi="ar-SA"/>
    </w:rPr>
  </w:style>
  <w:style w:type="paragraph" w:styleId="EndnoteText">
    <w:name w:val="endnote text"/>
    <w:basedOn w:val="Normal"/>
    <w:link w:val="EndnoteTextChar"/>
    <w:semiHidden/>
    <w:rsid w:val="00E4037C"/>
    <w:rPr>
      <w:sz w:val="20"/>
      <w:szCs w:val="20"/>
    </w:rPr>
  </w:style>
  <w:style w:type="character" w:customStyle="1" w:styleId="EndnoteTextChar">
    <w:name w:val="Endnote Text Char"/>
    <w:link w:val="EndnoteText"/>
    <w:semiHidden/>
    <w:rsid w:val="00E4037C"/>
    <w:rPr>
      <w:lang w:val="en-US" w:eastAsia="en-US" w:bidi="ar-SA"/>
    </w:rPr>
  </w:style>
  <w:style w:type="character" w:styleId="EndnoteReference">
    <w:name w:val="endnote reference"/>
    <w:semiHidden/>
    <w:rsid w:val="00E4037C"/>
    <w:rPr>
      <w:vertAlign w:val="superscript"/>
    </w:rPr>
  </w:style>
  <w:style w:type="character" w:customStyle="1" w:styleId="ti">
    <w:name w:val="ti"/>
    <w:basedOn w:val="DefaultParagraphFont"/>
    <w:rsid w:val="00E4037C"/>
  </w:style>
  <w:style w:type="character" w:customStyle="1" w:styleId="Heading1Char">
    <w:name w:val="Heading 1 Char"/>
    <w:link w:val="Heading1"/>
    <w:rsid w:val="00E4037C"/>
    <w:rPr>
      <w:rFonts w:ascii="Arial" w:hAnsi="Arial" w:cs="Arial"/>
      <w:b/>
      <w:bCs/>
      <w:kern w:val="32"/>
      <w:sz w:val="32"/>
      <w:szCs w:val="32"/>
      <w:lang w:val="en-US" w:eastAsia="en-US" w:bidi="ar-SA"/>
    </w:rPr>
  </w:style>
  <w:style w:type="character" w:customStyle="1" w:styleId="h">
    <w:name w:val="h"/>
    <w:basedOn w:val="DefaultParagraphFont"/>
    <w:rsid w:val="00E4037C"/>
  </w:style>
  <w:style w:type="paragraph" w:styleId="Footer">
    <w:name w:val="footer"/>
    <w:basedOn w:val="Normal"/>
    <w:rsid w:val="00622DDF"/>
    <w:pPr>
      <w:tabs>
        <w:tab w:val="center" w:pos="4320"/>
        <w:tab w:val="right" w:pos="8640"/>
      </w:tabs>
    </w:pPr>
  </w:style>
  <w:style w:type="character" w:styleId="PageNumber">
    <w:name w:val="page number"/>
    <w:basedOn w:val="DefaultParagraphFont"/>
    <w:rsid w:val="00622DDF"/>
  </w:style>
  <w:style w:type="paragraph" w:styleId="CommentSubject">
    <w:name w:val="annotation subject"/>
    <w:basedOn w:val="CommentText"/>
    <w:next w:val="CommentText"/>
    <w:semiHidden/>
    <w:rsid w:val="006D524A"/>
    <w:rPr>
      <w:b/>
      <w:bCs/>
    </w:rPr>
  </w:style>
  <w:style w:type="character" w:styleId="Hyperlink">
    <w:name w:val="Hyperlink"/>
    <w:uiPriority w:val="99"/>
    <w:unhideWhenUsed/>
    <w:rsid w:val="0080590F"/>
    <w:rPr>
      <w:color w:val="0000FF"/>
      <w:u w:val="single"/>
    </w:rPr>
  </w:style>
  <w:style w:type="character" w:styleId="FollowedHyperlink">
    <w:name w:val="FollowedHyperlink"/>
    <w:rsid w:val="006B4E1D"/>
    <w:rPr>
      <w:color w:val="800080"/>
      <w:u w:val="single"/>
    </w:rPr>
  </w:style>
  <w:style w:type="character" w:customStyle="1" w:styleId="EmailStyle371">
    <w:name w:val="EmailStyle371"/>
    <w:semiHidden/>
    <w:rsid w:val="006637D8"/>
    <w:rPr>
      <w:rFonts w:ascii="Arial" w:hAnsi="Arial" w:cs="Arial"/>
      <w:color w:val="auto"/>
      <w:sz w:val="20"/>
      <w:szCs w:val="20"/>
    </w:rPr>
  </w:style>
  <w:style w:type="table" w:styleId="TableGrid">
    <w:name w:val="Table Grid"/>
    <w:basedOn w:val="TableNormal"/>
    <w:rsid w:val="00EB0C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Left">
    <w:name w:val="Table Text Left"/>
    <w:qFormat/>
    <w:rsid w:val="00C5112B"/>
    <w:pPr>
      <w:autoSpaceDE w:val="0"/>
      <w:autoSpaceDN w:val="0"/>
      <w:adjustRightInd w:val="0"/>
      <w:spacing w:before="20" w:after="20"/>
    </w:pPr>
    <w:rPr>
      <w:rFonts w:ascii="Arial" w:eastAsia="Calibri" w:hAnsi="Arial" w:cs="Calibri"/>
      <w:color w:val="000000"/>
      <w:sz w:val="18"/>
      <w:szCs w:val="22"/>
    </w:rPr>
  </w:style>
  <w:style w:type="paragraph" w:customStyle="1" w:styleId="TableTextSubheading">
    <w:name w:val="Table Text Subheading"/>
    <w:qFormat/>
    <w:rsid w:val="00C5112B"/>
    <w:pPr>
      <w:keepNext/>
      <w:keepLines/>
      <w:autoSpaceDE w:val="0"/>
      <w:autoSpaceDN w:val="0"/>
      <w:adjustRightInd w:val="0"/>
      <w:spacing w:before="60" w:after="60"/>
      <w:jc w:val="center"/>
    </w:pPr>
    <w:rPr>
      <w:rFonts w:ascii="Arial" w:eastAsia="Calibri" w:hAnsi="Arial" w:cs="Calibri"/>
      <w:b/>
      <w:color w:val="000000"/>
      <w:szCs w:val="22"/>
    </w:rPr>
  </w:style>
  <w:style w:type="paragraph" w:customStyle="1" w:styleId="FigureTitle">
    <w:name w:val="Figure Title"/>
    <w:basedOn w:val="Normal"/>
    <w:qFormat/>
    <w:rsid w:val="00C5112B"/>
    <w:pPr>
      <w:keepNext/>
      <w:pBdr>
        <w:top w:val="single" w:sz="12" w:space="3" w:color="000000"/>
        <w:bottom w:val="single" w:sz="4" w:space="3" w:color="000000"/>
      </w:pBdr>
      <w:tabs>
        <w:tab w:val="left" w:pos="1152"/>
      </w:tabs>
      <w:spacing w:before="320" w:after="120" w:line="260" w:lineRule="exact"/>
    </w:pPr>
    <w:rPr>
      <w:rFonts w:ascii="Arial" w:hAnsi="Arial"/>
      <w:b/>
      <w:color w:val="98002E"/>
      <w:sz w:val="22"/>
      <w:szCs w:val="22"/>
      <w:lang w:bidi="en-US"/>
    </w:rPr>
  </w:style>
  <w:style w:type="paragraph" w:styleId="Revision">
    <w:name w:val="Revision"/>
    <w:hidden/>
    <w:uiPriority w:val="99"/>
    <w:semiHidden/>
    <w:rsid w:val="00467410"/>
    <w:rPr>
      <w:sz w:val="24"/>
      <w:szCs w:val="24"/>
    </w:rPr>
  </w:style>
  <w:style w:type="paragraph" w:styleId="ListParagraph">
    <w:name w:val="List Paragraph"/>
    <w:basedOn w:val="Normal"/>
    <w:uiPriority w:val="34"/>
    <w:qFormat/>
    <w:rsid w:val="00E45197"/>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5D2"/>
    <w:rPr>
      <w:sz w:val="24"/>
      <w:szCs w:val="24"/>
    </w:rPr>
  </w:style>
  <w:style w:type="paragraph" w:styleId="Heading1">
    <w:name w:val="heading 1"/>
    <w:basedOn w:val="Normal"/>
    <w:next w:val="Normal"/>
    <w:link w:val="Heading1Char"/>
    <w:qFormat/>
    <w:rsid w:val="00E403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4037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F6F5E"/>
    <w:rPr>
      <w:sz w:val="16"/>
      <w:szCs w:val="16"/>
    </w:rPr>
  </w:style>
  <w:style w:type="paragraph" w:styleId="CommentText">
    <w:name w:val="annotation text"/>
    <w:basedOn w:val="Normal"/>
    <w:semiHidden/>
    <w:rsid w:val="004F6F5E"/>
    <w:rPr>
      <w:sz w:val="20"/>
      <w:szCs w:val="20"/>
    </w:rPr>
  </w:style>
  <w:style w:type="paragraph" w:customStyle="1" w:styleId="Jessica">
    <w:name w:val="Jessica"/>
    <w:basedOn w:val="BodyText"/>
    <w:rsid w:val="004F6F5E"/>
    <w:pPr>
      <w:spacing w:before="100" w:after="100"/>
      <w:jc w:val="both"/>
    </w:pPr>
    <w:rPr>
      <w:rFonts w:ascii="Garamond" w:hAnsi="Garamond" w:cs="Tahoma"/>
      <w:sz w:val="20"/>
      <w:szCs w:val="20"/>
    </w:rPr>
  </w:style>
  <w:style w:type="paragraph" w:styleId="BodyText">
    <w:name w:val="Body Text"/>
    <w:basedOn w:val="Normal"/>
    <w:rsid w:val="004F6F5E"/>
    <w:pPr>
      <w:spacing w:after="120"/>
    </w:pPr>
  </w:style>
  <w:style w:type="paragraph" w:styleId="BalloonText">
    <w:name w:val="Balloon Text"/>
    <w:basedOn w:val="Normal"/>
    <w:semiHidden/>
    <w:rsid w:val="004F6F5E"/>
    <w:rPr>
      <w:rFonts w:ascii="Tahoma" w:hAnsi="Tahoma" w:cs="Tahoma"/>
      <w:sz w:val="16"/>
      <w:szCs w:val="16"/>
    </w:rPr>
  </w:style>
  <w:style w:type="character" w:customStyle="1" w:styleId="Heading2Char">
    <w:name w:val="Heading 2 Char"/>
    <w:link w:val="Heading2"/>
    <w:rsid w:val="00E4037C"/>
    <w:rPr>
      <w:rFonts w:ascii="Arial" w:hAnsi="Arial" w:cs="Arial"/>
      <w:b/>
      <w:bCs/>
      <w:i/>
      <w:iCs/>
      <w:sz w:val="28"/>
      <w:szCs w:val="28"/>
      <w:lang w:val="en-US" w:eastAsia="en-US" w:bidi="ar-SA"/>
    </w:rPr>
  </w:style>
  <w:style w:type="paragraph" w:styleId="FootnoteText">
    <w:name w:val="footnote text"/>
    <w:basedOn w:val="Normal"/>
    <w:link w:val="FootnoteTextChar"/>
    <w:semiHidden/>
    <w:rsid w:val="00E4037C"/>
    <w:pPr>
      <w:widowControl w:val="0"/>
      <w:autoSpaceDE w:val="0"/>
      <w:autoSpaceDN w:val="0"/>
      <w:adjustRightInd w:val="0"/>
    </w:pPr>
    <w:rPr>
      <w:sz w:val="20"/>
      <w:szCs w:val="20"/>
    </w:rPr>
  </w:style>
  <w:style w:type="character" w:customStyle="1" w:styleId="FootnoteTextChar">
    <w:name w:val="Footnote Text Char"/>
    <w:link w:val="FootnoteText"/>
    <w:semiHidden/>
    <w:rsid w:val="00E4037C"/>
    <w:rPr>
      <w:lang w:val="en-US" w:eastAsia="en-US" w:bidi="ar-SA"/>
    </w:rPr>
  </w:style>
  <w:style w:type="character" w:styleId="FootnoteReference">
    <w:name w:val="footnote reference"/>
    <w:semiHidden/>
    <w:rsid w:val="00E4037C"/>
    <w:rPr>
      <w:vertAlign w:val="superscript"/>
    </w:rPr>
  </w:style>
  <w:style w:type="paragraph" w:customStyle="1" w:styleId="Text">
    <w:name w:val="Text"/>
    <w:basedOn w:val="Normal"/>
    <w:rsid w:val="00E4037C"/>
    <w:pPr>
      <w:ind w:firstLine="720"/>
    </w:pPr>
    <w:rPr>
      <w:rFonts w:ascii="Garamond" w:hAnsi="Garamond"/>
      <w:sz w:val="22"/>
      <w:szCs w:val="22"/>
    </w:rPr>
  </w:style>
  <w:style w:type="character" w:customStyle="1" w:styleId="TitletwoChar">
    <w:name w:val="Title two Char"/>
    <w:rsid w:val="00E4037C"/>
    <w:rPr>
      <w:rFonts w:ascii="Garamond" w:hAnsi="Garamond"/>
      <w:b/>
      <w:sz w:val="22"/>
      <w:szCs w:val="24"/>
      <w:lang w:val="en-US" w:eastAsia="en-US" w:bidi="ar-SA"/>
    </w:rPr>
  </w:style>
  <w:style w:type="paragraph" w:styleId="EndnoteText">
    <w:name w:val="endnote text"/>
    <w:basedOn w:val="Normal"/>
    <w:link w:val="EndnoteTextChar"/>
    <w:semiHidden/>
    <w:rsid w:val="00E4037C"/>
    <w:rPr>
      <w:sz w:val="20"/>
      <w:szCs w:val="20"/>
    </w:rPr>
  </w:style>
  <w:style w:type="character" w:customStyle="1" w:styleId="EndnoteTextChar">
    <w:name w:val="Endnote Text Char"/>
    <w:link w:val="EndnoteText"/>
    <w:semiHidden/>
    <w:rsid w:val="00E4037C"/>
    <w:rPr>
      <w:lang w:val="en-US" w:eastAsia="en-US" w:bidi="ar-SA"/>
    </w:rPr>
  </w:style>
  <w:style w:type="character" w:styleId="EndnoteReference">
    <w:name w:val="endnote reference"/>
    <w:semiHidden/>
    <w:rsid w:val="00E4037C"/>
    <w:rPr>
      <w:vertAlign w:val="superscript"/>
    </w:rPr>
  </w:style>
  <w:style w:type="character" w:customStyle="1" w:styleId="ti">
    <w:name w:val="ti"/>
    <w:basedOn w:val="DefaultParagraphFont"/>
    <w:rsid w:val="00E4037C"/>
  </w:style>
  <w:style w:type="character" w:customStyle="1" w:styleId="Heading1Char">
    <w:name w:val="Heading 1 Char"/>
    <w:link w:val="Heading1"/>
    <w:rsid w:val="00E4037C"/>
    <w:rPr>
      <w:rFonts w:ascii="Arial" w:hAnsi="Arial" w:cs="Arial"/>
      <w:b/>
      <w:bCs/>
      <w:kern w:val="32"/>
      <w:sz w:val="32"/>
      <w:szCs w:val="32"/>
      <w:lang w:val="en-US" w:eastAsia="en-US" w:bidi="ar-SA"/>
    </w:rPr>
  </w:style>
  <w:style w:type="character" w:customStyle="1" w:styleId="h">
    <w:name w:val="h"/>
    <w:basedOn w:val="DefaultParagraphFont"/>
    <w:rsid w:val="00E4037C"/>
  </w:style>
  <w:style w:type="paragraph" w:styleId="Footer">
    <w:name w:val="footer"/>
    <w:basedOn w:val="Normal"/>
    <w:rsid w:val="00622DDF"/>
    <w:pPr>
      <w:tabs>
        <w:tab w:val="center" w:pos="4320"/>
        <w:tab w:val="right" w:pos="8640"/>
      </w:tabs>
    </w:pPr>
  </w:style>
  <w:style w:type="character" w:styleId="PageNumber">
    <w:name w:val="page number"/>
    <w:basedOn w:val="DefaultParagraphFont"/>
    <w:rsid w:val="00622DDF"/>
  </w:style>
  <w:style w:type="paragraph" w:styleId="CommentSubject">
    <w:name w:val="annotation subject"/>
    <w:basedOn w:val="CommentText"/>
    <w:next w:val="CommentText"/>
    <w:semiHidden/>
    <w:rsid w:val="006D524A"/>
    <w:rPr>
      <w:b/>
      <w:bCs/>
    </w:rPr>
  </w:style>
  <w:style w:type="character" w:styleId="Hyperlink">
    <w:name w:val="Hyperlink"/>
    <w:uiPriority w:val="99"/>
    <w:unhideWhenUsed/>
    <w:rsid w:val="0080590F"/>
    <w:rPr>
      <w:color w:val="0000FF"/>
      <w:u w:val="single"/>
    </w:rPr>
  </w:style>
  <w:style w:type="character" w:styleId="FollowedHyperlink">
    <w:name w:val="FollowedHyperlink"/>
    <w:rsid w:val="006B4E1D"/>
    <w:rPr>
      <w:color w:val="800080"/>
      <w:u w:val="single"/>
    </w:rPr>
  </w:style>
  <w:style w:type="character" w:customStyle="1" w:styleId="EmailStyle371">
    <w:name w:val="EmailStyle371"/>
    <w:semiHidden/>
    <w:rsid w:val="006637D8"/>
    <w:rPr>
      <w:rFonts w:ascii="Arial" w:hAnsi="Arial" w:cs="Arial"/>
      <w:color w:val="auto"/>
      <w:sz w:val="20"/>
      <w:szCs w:val="20"/>
    </w:rPr>
  </w:style>
  <w:style w:type="table" w:styleId="TableGrid">
    <w:name w:val="Table Grid"/>
    <w:basedOn w:val="TableNormal"/>
    <w:rsid w:val="00EB0C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Left">
    <w:name w:val="Table Text Left"/>
    <w:qFormat/>
    <w:rsid w:val="00C5112B"/>
    <w:pPr>
      <w:autoSpaceDE w:val="0"/>
      <w:autoSpaceDN w:val="0"/>
      <w:adjustRightInd w:val="0"/>
      <w:spacing w:before="20" w:after="20"/>
    </w:pPr>
    <w:rPr>
      <w:rFonts w:ascii="Arial" w:eastAsia="Calibri" w:hAnsi="Arial" w:cs="Calibri"/>
      <w:color w:val="000000"/>
      <w:sz w:val="18"/>
      <w:szCs w:val="22"/>
    </w:rPr>
  </w:style>
  <w:style w:type="paragraph" w:customStyle="1" w:styleId="TableTextSubheading">
    <w:name w:val="Table Text Subheading"/>
    <w:qFormat/>
    <w:rsid w:val="00C5112B"/>
    <w:pPr>
      <w:keepNext/>
      <w:keepLines/>
      <w:autoSpaceDE w:val="0"/>
      <w:autoSpaceDN w:val="0"/>
      <w:adjustRightInd w:val="0"/>
      <w:spacing w:before="60" w:after="60"/>
      <w:jc w:val="center"/>
    </w:pPr>
    <w:rPr>
      <w:rFonts w:ascii="Arial" w:eastAsia="Calibri" w:hAnsi="Arial" w:cs="Calibri"/>
      <w:b/>
      <w:color w:val="000000"/>
      <w:szCs w:val="22"/>
    </w:rPr>
  </w:style>
  <w:style w:type="paragraph" w:customStyle="1" w:styleId="FigureTitle">
    <w:name w:val="Figure Title"/>
    <w:basedOn w:val="Normal"/>
    <w:qFormat/>
    <w:rsid w:val="00C5112B"/>
    <w:pPr>
      <w:keepNext/>
      <w:pBdr>
        <w:top w:val="single" w:sz="12" w:space="3" w:color="000000"/>
        <w:bottom w:val="single" w:sz="4" w:space="3" w:color="000000"/>
      </w:pBdr>
      <w:tabs>
        <w:tab w:val="left" w:pos="1152"/>
      </w:tabs>
      <w:spacing w:before="320" w:after="120" w:line="260" w:lineRule="exact"/>
    </w:pPr>
    <w:rPr>
      <w:rFonts w:ascii="Arial" w:hAnsi="Arial"/>
      <w:b/>
      <w:color w:val="98002E"/>
      <w:sz w:val="22"/>
      <w:szCs w:val="22"/>
      <w:lang w:bidi="en-US"/>
    </w:rPr>
  </w:style>
  <w:style w:type="paragraph" w:styleId="Revision">
    <w:name w:val="Revision"/>
    <w:hidden/>
    <w:uiPriority w:val="99"/>
    <w:semiHidden/>
    <w:rsid w:val="00467410"/>
    <w:rPr>
      <w:sz w:val="24"/>
      <w:szCs w:val="24"/>
    </w:rPr>
  </w:style>
  <w:style w:type="paragraph" w:styleId="ListParagraph">
    <w:name w:val="List Paragraph"/>
    <w:basedOn w:val="Normal"/>
    <w:uiPriority w:val="34"/>
    <w:qFormat/>
    <w:rsid w:val="00E45197"/>
    <w:pPr>
      <w:ind w:left="720"/>
    </w:pPr>
    <w:rPr>
      <w:rFonts w:eastAsiaTheme="minorHAnsi"/>
    </w:rPr>
  </w:style>
</w:styles>
</file>

<file path=word/webSettings.xml><?xml version="1.0" encoding="utf-8"?>
<w:webSettings xmlns:r="http://schemas.openxmlformats.org/officeDocument/2006/relationships" xmlns:w="http://schemas.openxmlformats.org/wordprocessingml/2006/main">
  <w:divs>
    <w:div w:id="319820624">
      <w:bodyDiv w:val="1"/>
      <w:marLeft w:val="0"/>
      <w:marRight w:val="0"/>
      <w:marTop w:val="0"/>
      <w:marBottom w:val="0"/>
      <w:divBdr>
        <w:top w:val="none" w:sz="0" w:space="0" w:color="auto"/>
        <w:left w:val="none" w:sz="0" w:space="0" w:color="auto"/>
        <w:bottom w:val="none" w:sz="0" w:space="0" w:color="auto"/>
        <w:right w:val="none" w:sz="0" w:space="0" w:color="auto"/>
      </w:divBdr>
    </w:div>
    <w:div w:id="340276529">
      <w:bodyDiv w:val="1"/>
      <w:marLeft w:val="0"/>
      <w:marRight w:val="0"/>
      <w:marTop w:val="0"/>
      <w:marBottom w:val="0"/>
      <w:divBdr>
        <w:top w:val="none" w:sz="0" w:space="0" w:color="auto"/>
        <w:left w:val="none" w:sz="0" w:space="0" w:color="auto"/>
        <w:bottom w:val="none" w:sz="0" w:space="0" w:color="auto"/>
        <w:right w:val="none" w:sz="0" w:space="0" w:color="auto"/>
      </w:divBdr>
    </w:div>
    <w:div w:id="1239512076">
      <w:bodyDiv w:val="1"/>
      <w:marLeft w:val="0"/>
      <w:marRight w:val="0"/>
      <w:marTop w:val="0"/>
      <w:marBottom w:val="0"/>
      <w:divBdr>
        <w:top w:val="none" w:sz="0" w:space="0" w:color="auto"/>
        <w:left w:val="none" w:sz="0" w:space="0" w:color="auto"/>
        <w:bottom w:val="none" w:sz="0" w:space="0" w:color="auto"/>
        <w:right w:val="none" w:sz="0" w:space="0" w:color="auto"/>
      </w:divBdr>
    </w:div>
    <w:div w:id="1413503749">
      <w:bodyDiv w:val="1"/>
      <w:marLeft w:val="0"/>
      <w:marRight w:val="0"/>
      <w:marTop w:val="0"/>
      <w:marBottom w:val="0"/>
      <w:divBdr>
        <w:top w:val="none" w:sz="0" w:space="0" w:color="auto"/>
        <w:left w:val="none" w:sz="0" w:space="0" w:color="auto"/>
        <w:bottom w:val="none" w:sz="0" w:space="0" w:color="auto"/>
        <w:right w:val="none" w:sz="0" w:space="0" w:color="auto"/>
      </w:divBdr>
    </w:div>
    <w:div w:id="1492523173">
      <w:bodyDiv w:val="1"/>
      <w:marLeft w:val="0"/>
      <w:marRight w:val="0"/>
      <w:marTop w:val="0"/>
      <w:marBottom w:val="0"/>
      <w:divBdr>
        <w:top w:val="none" w:sz="0" w:space="0" w:color="auto"/>
        <w:left w:val="none" w:sz="0" w:space="0" w:color="auto"/>
        <w:bottom w:val="none" w:sz="0" w:space="0" w:color="auto"/>
        <w:right w:val="none" w:sz="0" w:space="0" w:color="auto"/>
      </w:divBdr>
    </w:div>
    <w:div w:id="20696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nspo.berkeley.edu/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38024-E020-41CD-B914-22DB3DDB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4923</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PART A</vt:lpstr>
    </vt:vector>
  </TitlesOfParts>
  <Company>NORC</Company>
  <LinksUpToDate>false</LinksUpToDate>
  <CharactersWithSpaces>33209</CharactersWithSpaces>
  <SharedDoc>false</SharedDoc>
  <HLinks>
    <vt:vector size="12" baseType="variant">
      <vt:variant>
        <vt:i4>6291505</vt:i4>
      </vt:variant>
      <vt:variant>
        <vt:i4>3</vt:i4>
      </vt:variant>
      <vt:variant>
        <vt:i4>0</vt:i4>
      </vt:variant>
      <vt:variant>
        <vt:i4>5</vt:i4>
      </vt:variant>
      <vt:variant>
        <vt:lpwstr>http://nspo.berkeley.edu/index.htm</vt:lpwstr>
      </vt:variant>
      <vt:variant>
        <vt:lpwstr/>
      </vt:variant>
      <vt:variant>
        <vt:i4>6422568</vt:i4>
      </vt:variant>
      <vt:variant>
        <vt:i4>0</vt:i4>
      </vt:variant>
      <vt:variant>
        <vt:i4>0</vt:i4>
      </vt:variant>
      <vt:variant>
        <vt:i4>5</vt:i4>
      </vt:variant>
      <vt:variant>
        <vt:lpwstr>http://www.whitehouse.gov/omb/expectmore/detail/10003526.2005.html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creator>piya-bhumika</dc:creator>
  <cp:lastModifiedBy>Department of Health and Human Services</cp:lastModifiedBy>
  <cp:revision>3</cp:revision>
  <cp:lastPrinted>2011-12-02T22:59:00Z</cp:lastPrinted>
  <dcterms:created xsi:type="dcterms:W3CDTF">2012-03-27T19:58:00Z</dcterms:created>
  <dcterms:modified xsi:type="dcterms:W3CDTF">2012-03-27T20:02:00Z</dcterms:modified>
</cp:coreProperties>
</file>