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36659A">
        <w:rPr>
          <w:sz w:val="28"/>
        </w:rPr>
        <w:t>0990-0391</w:t>
      </w:r>
      <w:r>
        <w:rPr>
          <w:sz w:val="28"/>
        </w:rPr>
        <w:t>)</w:t>
      </w:r>
    </w:p>
    <w:p w:rsidR="00E50293" w:rsidRPr="009239AA" w:rsidRDefault="004632AF" w:rsidP="00434E33">
      <w:pPr>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r w:rsidR="00024061">
        <w:t>Local and State health Department Involvement with Health Care Coalitions (H</w:t>
      </w:r>
      <w:r w:rsidR="00BC4EAF">
        <w:t>CC</w:t>
      </w:r>
      <w:r w:rsidR="00024061">
        <w:t xml:space="preserve">s). </w:t>
      </w:r>
    </w:p>
    <w:p w:rsidR="005E714A" w:rsidRDefault="005E714A"/>
    <w:p w:rsidR="00024061" w:rsidRDefault="00F15956">
      <w:r>
        <w:rPr>
          <w:b/>
        </w:rPr>
        <w:t>PURPOSE</w:t>
      </w:r>
      <w:r w:rsidRPr="009239AA">
        <w:rPr>
          <w:b/>
        </w:rPr>
        <w:t>:</w:t>
      </w:r>
      <w:r w:rsidR="00C14CC4" w:rsidRPr="009239AA">
        <w:rPr>
          <w:b/>
        </w:rPr>
        <w:t xml:space="preserve">  </w:t>
      </w:r>
      <w:r w:rsidR="00024061" w:rsidRPr="00024061">
        <w:t>ASPR’s Hospital</w:t>
      </w:r>
      <w:r w:rsidR="00024061">
        <w:t xml:space="preserve"> Preparedness Program (under the Office of Preparedness and Emergency Operations)  is seeking to better understand, in light of the Healthcare Preparedness Capabilities, how effectively HCCs are working with both  their State and Local Health Departments. To that effect we have engaged the Association of State and Territorial Health Officials (ASTHO) and the National Association of City Community Health Officials (NACCHO) to assist us in this endeavor. </w:t>
      </w:r>
    </w:p>
    <w:p w:rsidR="00024061" w:rsidRDefault="00024061">
      <w:r>
        <w:t xml:space="preserve"> </w:t>
      </w:r>
    </w:p>
    <w:p w:rsidR="001B0AAA" w:rsidRDefault="00024061" w:rsidP="003E7A3E">
      <w:r>
        <w:t>Through a series of Guided Discussion and Focus Group</w:t>
      </w:r>
      <w:r w:rsidR="003E7A3E">
        <w:t xml:space="preserve"> (with members volunteering to be a participant) </w:t>
      </w:r>
      <w:r>
        <w:t xml:space="preserve">with a subset of </w:t>
      </w:r>
      <w:r w:rsidR="003E7A3E">
        <w:t xml:space="preserve">each </w:t>
      </w:r>
      <w:r>
        <w:t>organization</w:t>
      </w:r>
      <w:r w:rsidR="003E7A3E">
        <w:t>’</w:t>
      </w:r>
      <w:r>
        <w:t>s membership (3 or 4 Focus Group Sessions)</w:t>
      </w:r>
      <w:r w:rsidR="003E7A3E">
        <w:t xml:space="preserve"> ASTHO and NACCHO hope to assess what types of activities the HCCS participate in, what their level of involvement is with their LHD or SHD, and what factors has caused a particular HCC to become more effective.  </w:t>
      </w:r>
      <w:r w:rsidR="00C356A9">
        <w:t xml:space="preserve">Because there is a heightened emphasis on increased local preparedness and HCC involvements in disaster and emergency response, helping to understand the how best to engage the HPP Awardees in this area is of vital importance.  </w:t>
      </w:r>
    </w:p>
    <w:p w:rsidR="00FE4174" w:rsidRDefault="00FE4174" w:rsidP="003E7A3E"/>
    <w:p w:rsidR="00FE4174" w:rsidRDefault="00FE4174" w:rsidP="003E7A3E">
      <w:r>
        <w:t xml:space="preserve">There are 4 topic areas HPP is seeking to understand in more clarity in order to better assist HCCs: </w:t>
      </w:r>
    </w:p>
    <w:p w:rsidR="00FE4174" w:rsidRDefault="00FE4174" w:rsidP="003E7A3E">
      <w:pPr>
        <w:rPr>
          <w:b/>
        </w:rPr>
      </w:pPr>
      <w:r>
        <w:rPr>
          <w:b/>
        </w:rPr>
        <w:lastRenderedPageBreak/>
        <w:t xml:space="preserve">What are the Successes or Challenges Your SHD or LHD Faces With HCCs. </w:t>
      </w:r>
    </w:p>
    <w:p w:rsidR="00FE4174" w:rsidRDefault="00FE4174" w:rsidP="003E7A3E">
      <w:pPr>
        <w:rPr>
          <w:b/>
        </w:rPr>
      </w:pPr>
      <w:r>
        <w:rPr>
          <w:b/>
        </w:rPr>
        <w:t>How Do Healthcare Coalitions Fit Into (a) Response?</w:t>
      </w:r>
    </w:p>
    <w:p w:rsidR="00FE4174" w:rsidRDefault="00FE4174" w:rsidP="003E7A3E">
      <w:pPr>
        <w:rPr>
          <w:b/>
        </w:rPr>
      </w:pPr>
      <w:r>
        <w:rPr>
          <w:b/>
        </w:rPr>
        <w:t>What is the ROI for HCCs?</w:t>
      </w:r>
    </w:p>
    <w:p w:rsidR="00FE4174" w:rsidRDefault="00FE4174" w:rsidP="003E7A3E">
      <w:pPr>
        <w:rPr>
          <w:b/>
        </w:rPr>
      </w:pPr>
      <w:r>
        <w:rPr>
          <w:b/>
        </w:rPr>
        <w:t xml:space="preserve">Have the HPP Capabilities Been a Part of Your Response Planning?   </w:t>
      </w:r>
    </w:p>
    <w:p w:rsidR="00FE4174" w:rsidRDefault="00FE4174" w:rsidP="003E7A3E">
      <w:pPr>
        <w:rPr>
          <w:b/>
        </w:rPr>
      </w:pPr>
    </w:p>
    <w:p w:rsidR="00C8488C" w:rsidRDefault="00C8488C" w:rsidP="00434E33">
      <w:pPr>
        <w:pStyle w:val="Header"/>
        <w:tabs>
          <w:tab w:val="clear" w:pos="4320"/>
          <w:tab w:val="clear" w:pos="8640"/>
        </w:tabs>
        <w:rPr>
          <w:b/>
        </w:rPr>
      </w:pPr>
    </w:p>
    <w:p w:rsidR="00C8488C" w:rsidRDefault="00BC4EAF" w:rsidP="00434E33">
      <w:pPr>
        <w:pStyle w:val="Header"/>
        <w:tabs>
          <w:tab w:val="clear" w:pos="4320"/>
          <w:tab w:val="clear" w:pos="8640"/>
        </w:tabs>
        <w:rPr>
          <w:b/>
        </w:rPr>
      </w:pPr>
      <w:r>
        <w:rPr>
          <w:b/>
        </w:rPr>
        <w:t xml:space="preserve">NOTE: Many of the parties that most likely would participate are also involved with the two organizations that would be assisting ASPR’s HPP, and this information can be very quickly provided through a series of short duration (60  - 90 minute) calls.  </w:t>
      </w:r>
    </w:p>
    <w:p w:rsidR="00BC4EAF" w:rsidRDefault="00BC4EAF"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3E7A3E">
      <w:r>
        <w:t xml:space="preserve">State Hospital Preparedness Program Coordinators (approx. 20 total, with 2 Discussion Groups of 10 each). </w:t>
      </w:r>
    </w:p>
    <w:p w:rsidR="003E7A3E" w:rsidRDefault="003E7A3E">
      <w:r>
        <w:t xml:space="preserve">Local or Community Health Department Officials (within the approximately 2 dozen identified states/ area specified by the Hospital Preparedness Program). There will be 4 – 5 Focus Groups (by area), with an expected 10 or so participants on each call.  </w:t>
      </w:r>
    </w:p>
    <w:p w:rsidR="00C8488C" w:rsidRDefault="00C8488C"/>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xml:space="preserve">[ </w:t>
      </w:r>
      <w:r w:rsidR="00BC4EAF">
        <w:rPr>
          <w:bCs/>
          <w:sz w:val="24"/>
        </w:rPr>
        <w:t>X</w:t>
      </w:r>
      <w:r w:rsidR="00F06866">
        <w:rPr>
          <w:bCs/>
          <w:sz w:val="24"/>
        </w:rPr>
        <w:t>] Small Discussion Group</w:t>
      </w:r>
    </w:p>
    <w:p w:rsidR="00F06866" w:rsidRPr="00BC4EAF" w:rsidRDefault="00935ADA" w:rsidP="0096108F">
      <w:pPr>
        <w:pStyle w:val="BodyTextIndent"/>
        <w:tabs>
          <w:tab w:val="left" w:pos="360"/>
        </w:tabs>
        <w:ind w:left="0"/>
        <w:rPr>
          <w:bCs/>
          <w:sz w:val="24"/>
        </w:rPr>
      </w:pPr>
      <w:r>
        <w:rPr>
          <w:bCs/>
          <w:sz w:val="24"/>
        </w:rPr>
        <w:t>[</w:t>
      </w:r>
      <w:r w:rsidR="003E7A3E">
        <w:rPr>
          <w:bCs/>
          <w:sz w:val="24"/>
        </w:rPr>
        <w:t>X</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3E7A3E">
        <w:rPr>
          <w:bCs/>
          <w:sz w:val="24"/>
        </w:rPr>
        <w:t>X</w:t>
      </w:r>
      <w:r w:rsidR="00F06866" w:rsidRPr="00F06866">
        <w:rPr>
          <w:bCs/>
          <w:sz w:val="24"/>
        </w:rPr>
        <w:t>]</w:t>
      </w:r>
      <w:r w:rsidR="00F06866">
        <w:rPr>
          <w:bCs/>
          <w:sz w:val="24"/>
        </w:rPr>
        <w:t xml:space="preserve"> Other</w:t>
      </w:r>
      <w:r w:rsidR="00BC4EAF">
        <w:rPr>
          <w:bCs/>
          <w:sz w:val="24"/>
        </w:rPr>
        <w:t xml:space="preserve">: </w:t>
      </w:r>
      <w:r w:rsidR="003E7A3E" w:rsidRPr="00BC4EAF">
        <w:rPr>
          <w:bCs/>
          <w:sz w:val="24"/>
        </w:rPr>
        <w:t>Guided Discussions</w:t>
      </w:r>
    </w:p>
    <w:p w:rsidR="00434E33" w:rsidRDefault="00434E33">
      <w:pPr>
        <w:pStyle w:val="Header"/>
        <w:tabs>
          <w:tab w:val="clear" w:pos="4320"/>
          <w:tab w:val="clear" w:pos="8640"/>
        </w:tabs>
      </w:pPr>
    </w:p>
    <w:p w:rsidR="00FE4174" w:rsidRDefault="00FE4174">
      <w:pPr>
        <w:rPr>
          <w:b/>
        </w:rPr>
      </w:pPr>
    </w:p>
    <w:p w:rsidR="00FE4174" w:rsidRDefault="00FE4174">
      <w:pPr>
        <w:rPr>
          <w:b/>
        </w:rPr>
      </w:pPr>
    </w:p>
    <w:p w:rsidR="00FE4174" w:rsidRDefault="00FE4174">
      <w:pPr>
        <w:rPr>
          <w:b/>
        </w:rPr>
      </w:pPr>
    </w:p>
    <w:p w:rsidR="00FE4174" w:rsidRDefault="00FE4174">
      <w:pPr>
        <w:rPr>
          <w:b/>
        </w:rPr>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FE4174" w:rsidRDefault="009C13B9" w:rsidP="009C13B9">
      <w:pPr>
        <w:rPr>
          <w:u w:val="single"/>
        </w:rPr>
      </w:pPr>
      <w:r w:rsidRPr="00BC4EAF">
        <w:rPr>
          <w:b/>
        </w:rPr>
        <w:t>Name:</w:t>
      </w:r>
      <w:r w:rsidR="00BC4EAF" w:rsidRPr="00BC4EAF">
        <w:rPr>
          <w:u w:val="single"/>
        </w:rPr>
        <w:t>George Tobin, Jr. Hospital Preparedness Program</w:t>
      </w:r>
      <w:r w:rsidR="005518E0">
        <w:rPr>
          <w:u w:val="single"/>
        </w:rPr>
        <w:t xml:space="preserve">, </w:t>
      </w:r>
      <w:r w:rsidR="005518E0" w:rsidRPr="00FE4174">
        <w:rPr>
          <w:u w:val="single"/>
        </w:rPr>
        <w:t>ASPR</w:t>
      </w:r>
      <w:r w:rsidR="00BC4EAF" w:rsidRPr="00FE4174">
        <w:rPr>
          <w:u w:val="single"/>
        </w:rPr>
        <w:t xml:space="preserve"> </w:t>
      </w:r>
      <w:r w:rsidR="00FE4174" w:rsidRPr="00FE4174">
        <w:rPr>
          <w:u w:val="single"/>
        </w:rPr>
        <w:t>(4/18/2013)</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C4EAF">
        <w:t>X</w:t>
      </w:r>
      <w:r w:rsidR="009239AA">
        <w:t xml:space="preserve"> ]  No </w:t>
      </w:r>
    </w:p>
    <w:p w:rsidR="00C86E91" w:rsidRDefault="009C13B9" w:rsidP="00C86E91">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BC4EAF">
        <w:t>X</w:t>
      </w:r>
      <w:r>
        <w:t xml:space="preserve"> ]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Pr="000C4345" w:rsidRDefault="00BC4EAF" w:rsidP="00843796">
            <w:r w:rsidRPr="000C4345">
              <w:t>State Hospital Preparedness Coordinators (ASTHO)</w:t>
            </w:r>
          </w:p>
        </w:tc>
        <w:tc>
          <w:tcPr>
            <w:tcW w:w="1530" w:type="dxa"/>
          </w:tcPr>
          <w:p w:rsidR="006832D9" w:rsidRPr="000C4345" w:rsidRDefault="000C4345" w:rsidP="00843796">
            <w:r w:rsidRPr="000C4345">
              <w:t>24</w:t>
            </w:r>
            <w:r w:rsidR="004B32D6" w:rsidRPr="000C4345">
              <w:t xml:space="preserve"> </w:t>
            </w:r>
          </w:p>
        </w:tc>
        <w:tc>
          <w:tcPr>
            <w:tcW w:w="1710" w:type="dxa"/>
          </w:tcPr>
          <w:p w:rsidR="006832D9" w:rsidRPr="000C4345" w:rsidRDefault="000C4345" w:rsidP="00843796">
            <w:r w:rsidRPr="000C4345">
              <w:t>90</w:t>
            </w:r>
            <w:r w:rsidR="00BC4EAF" w:rsidRPr="000C4345">
              <w:t xml:space="preserve"> </w:t>
            </w:r>
          </w:p>
        </w:tc>
        <w:tc>
          <w:tcPr>
            <w:tcW w:w="1003" w:type="dxa"/>
          </w:tcPr>
          <w:p w:rsidR="006832D9" w:rsidRPr="000C4345" w:rsidRDefault="00BC4EAF" w:rsidP="000C4345">
            <w:r w:rsidRPr="000C4345">
              <w:t>3</w:t>
            </w:r>
            <w:r w:rsidR="000C4345" w:rsidRPr="000C4345">
              <w:t>6</w:t>
            </w:r>
            <w:r w:rsidRPr="000C4345">
              <w:t xml:space="preserve"> </w:t>
            </w:r>
          </w:p>
        </w:tc>
      </w:tr>
      <w:tr w:rsidR="00EF2095" w:rsidTr="0001027E">
        <w:trPr>
          <w:trHeight w:val="274"/>
        </w:trPr>
        <w:tc>
          <w:tcPr>
            <w:tcW w:w="5418" w:type="dxa"/>
          </w:tcPr>
          <w:p w:rsidR="006832D9" w:rsidRPr="000C4345" w:rsidRDefault="00BC4EAF" w:rsidP="00BC4EAF">
            <w:r w:rsidRPr="000C4345">
              <w:t xml:space="preserve">Local Health Department Coordinators (NACCHO) </w:t>
            </w:r>
          </w:p>
        </w:tc>
        <w:tc>
          <w:tcPr>
            <w:tcW w:w="1530" w:type="dxa"/>
          </w:tcPr>
          <w:p w:rsidR="006832D9" w:rsidRPr="000C4345" w:rsidRDefault="000C4345" w:rsidP="000C4345">
            <w:r>
              <w:t>40</w:t>
            </w:r>
            <w:r w:rsidR="00BC4EAF" w:rsidRPr="000C4345">
              <w:t xml:space="preserve"> </w:t>
            </w:r>
          </w:p>
        </w:tc>
        <w:tc>
          <w:tcPr>
            <w:tcW w:w="1710" w:type="dxa"/>
          </w:tcPr>
          <w:p w:rsidR="006832D9" w:rsidRPr="000C4345" w:rsidRDefault="00BC4EAF" w:rsidP="000C4345">
            <w:r w:rsidRPr="000C4345">
              <w:t xml:space="preserve">90 </w:t>
            </w:r>
          </w:p>
        </w:tc>
        <w:tc>
          <w:tcPr>
            <w:tcW w:w="1003" w:type="dxa"/>
          </w:tcPr>
          <w:p w:rsidR="006832D9" w:rsidRPr="000C4345" w:rsidRDefault="000C4345" w:rsidP="000C4345">
            <w:r w:rsidRPr="000C4345">
              <w:t>60</w:t>
            </w:r>
            <w:r w:rsidR="00BC4EAF" w:rsidRPr="000C4345">
              <w:t xml:space="preserve"> </w:t>
            </w:r>
          </w:p>
        </w:tc>
      </w:tr>
      <w:tr w:rsidR="00EF2095" w:rsidTr="0001027E">
        <w:trPr>
          <w:trHeight w:val="289"/>
        </w:trPr>
        <w:tc>
          <w:tcPr>
            <w:tcW w:w="5418" w:type="dxa"/>
          </w:tcPr>
          <w:p w:rsidR="006832D9" w:rsidRPr="000C4345" w:rsidRDefault="006832D9" w:rsidP="00843796">
            <w:r w:rsidRPr="000C4345">
              <w:t>Totals</w:t>
            </w:r>
          </w:p>
        </w:tc>
        <w:tc>
          <w:tcPr>
            <w:tcW w:w="1530" w:type="dxa"/>
          </w:tcPr>
          <w:p w:rsidR="006832D9" w:rsidRPr="000C4345" w:rsidRDefault="006832D9" w:rsidP="004B32D6"/>
        </w:tc>
        <w:tc>
          <w:tcPr>
            <w:tcW w:w="1710" w:type="dxa"/>
          </w:tcPr>
          <w:p w:rsidR="006832D9" w:rsidRPr="000C4345" w:rsidRDefault="006832D9" w:rsidP="00843796"/>
        </w:tc>
        <w:tc>
          <w:tcPr>
            <w:tcW w:w="1003" w:type="dxa"/>
          </w:tcPr>
          <w:p w:rsidR="006832D9" w:rsidRPr="000C4345" w:rsidRDefault="000C4345" w:rsidP="000C4345">
            <w:r>
              <w:t>96</w:t>
            </w:r>
            <w:r w:rsidR="004B32D6" w:rsidRPr="000C4345">
              <w:t xml:space="preserve"> </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w:t>
      </w:r>
      <w:r w:rsidR="005518E0">
        <w:t xml:space="preserve">re is no annual </w:t>
      </w:r>
      <w:r w:rsidR="00C86E91">
        <w:t>cost</w:t>
      </w:r>
      <w:r w:rsidR="00BC4EAF">
        <w:t xml:space="preserve"> to the Federal government </w:t>
      </w:r>
      <w:r w:rsidR="005518E0">
        <w:t xml:space="preserve">on an on-going basis. </w:t>
      </w:r>
      <w:r w:rsidR="00BC4EAF">
        <w:t xml:space="preserve"> ASTHO and NACCHO have contracts with ASPR to assist us in various areas</w:t>
      </w:r>
      <w:r w:rsidR="005518E0">
        <w:t>. The current contract ends in September, 2013. Th</w:t>
      </w:r>
      <w:r w:rsidR="00BC4EAF">
        <w:t xml:space="preserve">is is one </w:t>
      </w:r>
      <w:r w:rsidR="005518E0">
        <w:t xml:space="preserve">aspect of the work we hope to have them do as a </w:t>
      </w:r>
      <w:r w:rsidR="00BC4EAF">
        <w:t>part of the contract</w:t>
      </w:r>
      <w:r w:rsidR="005518E0">
        <w:t xml:space="preserve">s. The total costs as a part of the contracts, should be under $10,000, mainly it is the ASTHO and NACCHO staff time to collate the Focus Group discussions and to review with HPP staff.  </w:t>
      </w:r>
    </w:p>
    <w:p w:rsidR="00ED6492" w:rsidRDefault="00ED6492">
      <w:pPr>
        <w:rPr>
          <w:b/>
          <w:bCs/>
          <w:u w:val="single"/>
        </w:rPr>
      </w:pPr>
    </w:p>
    <w:p w:rsidR="004B32D6" w:rsidRDefault="004B32D6" w:rsidP="00F06866">
      <w:pPr>
        <w:rPr>
          <w:b/>
          <w:bCs/>
          <w:u w:val="single"/>
        </w:rPr>
      </w:pPr>
    </w:p>
    <w:p w:rsidR="004B32D6" w:rsidRDefault="004B32D6" w:rsidP="00F06866">
      <w:pPr>
        <w:rPr>
          <w:b/>
          <w:bCs/>
          <w:u w:val="single"/>
        </w:rPr>
      </w:pPr>
    </w:p>
    <w:p w:rsidR="004B32D6" w:rsidRDefault="004B32D6" w:rsidP="00F06866">
      <w:pPr>
        <w:rPr>
          <w:b/>
          <w:bCs/>
          <w:u w:val="single"/>
        </w:rPr>
      </w:pPr>
    </w:p>
    <w:p w:rsidR="004B32D6" w:rsidRDefault="004B32D6" w:rsidP="00F06866">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4B32D6" w:rsidRDefault="004B32D6"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518E0">
        <w:t>X</w:t>
      </w:r>
      <w:r>
        <w:t xml:space="preserve"> ] Yes</w:t>
      </w:r>
      <w:r>
        <w:tab/>
        <w:t>[ ] No</w:t>
      </w: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9477BD" w:rsidRDefault="00C356A9" w:rsidP="00A403BB">
      <w:r>
        <w:lastRenderedPageBreak/>
        <w:t xml:space="preserve">ASPR’s Hospital Preparedness Program </w:t>
      </w:r>
      <w:r w:rsidR="009477BD">
        <w:t>i</w:t>
      </w:r>
      <w:r>
        <w:t xml:space="preserve">dentified a list of states/region where the HCCs were either not well developed /defined or were very well run. NACCHO will primarily focus on gathering small focus groups from the LHD </w:t>
      </w:r>
      <w:r w:rsidR="009477BD">
        <w:t xml:space="preserve">Preparedness Coordinators in these states: </w:t>
      </w:r>
    </w:p>
    <w:p w:rsidR="009477BD" w:rsidRDefault="009477BD" w:rsidP="009477BD"/>
    <w:tbl>
      <w:tblPr>
        <w:tblW w:w="0" w:type="auto"/>
        <w:tblInd w:w="2257" w:type="dxa"/>
        <w:tblLayout w:type="fixed"/>
        <w:tblCellMar>
          <w:left w:w="0" w:type="dxa"/>
          <w:right w:w="0" w:type="dxa"/>
        </w:tblCellMar>
        <w:tblLook w:val="04A0"/>
      </w:tblPr>
      <w:tblGrid>
        <w:gridCol w:w="1350"/>
        <w:gridCol w:w="1186"/>
        <w:gridCol w:w="2324"/>
      </w:tblGrid>
      <w:tr w:rsidR="009477BD" w:rsidRPr="000C4345" w:rsidTr="004B32D6">
        <w:trPr>
          <w:trHeight w:val="1021"/>
        </w:trPr>
        <w:tc>
          <w:tcPr>
            <w:tcW w:w="13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Region</w:t>
            </w:r>
          </w:p>
        </w:tc>
        <w:tc>
          <w:tcPr>
            <w:tcW w:w="1186"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rsidP="009477BD">
            <w:pPr>
              <w:rPr>
                <w:rFonts w:ascii="Calibri" w:eastAsiaTheme="minorHAnsi" w:hAnsi="Calibri"/>
                <w:sz w:val="22"/>
                <w:szCs w:val="22"/>
              </w:rPr>
            </w:pPr>
            <w:r w:rsidRPr="000C4345">
              <w:t xml:space="preserve">State/Advanced or Evolved HCCs  </w:t>
            </w:r>
          </w:p>
        </w:tc>
        <w:tc>
          <w:tcPr>
            <w:tcW w:w="2324"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rsidP="009477BD">
            <w:pPr>
              <w:rPr>
                <w:rFonts w:ascii="Calibri" w:eastAsiaTheme="minorHAnsi" w:hAnsi="Calibri"/>
                <w:sz w:val="22"/>
                <w:szCs w:val="22"/>
              </w:rPr>
            </w:pPr>
            <w:r w:rsidRPr="000C4345">
              <w:t xml:space="preserve">State/Less Mature or Developed HCCs </w:t>
            </w:r>
          </w:p>
        </w:tc>
      </w:tr>
      <w:tr w:rsidR="009477BD" w:rsidRPr="000C4345" w:rsidTr="004B32D6">
        <w:trPr>
          <w:trHeight w:val="262"/>
        </w:trPr>
        <w:tc>
          <w:tcPr>
            <w:tcW w:w="135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Region 1</w:t>
            </w:r>
          </w:p>
        </w:tc>
        <w:tc>
          <w:tcPr>
            <w:tcW w:w="1186"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CT</w:t>
            </w:r>
          </w:p>
        </w:tc>
        <w:tc>
          <w:tcPr>
            <w:tcW w:w="2324"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VT</w:t>
            </w:r>
          </w:p>
        </w:tc>
      </w:tr>
      <w:tr w:rsidR="009477BD" w:rsidRPr="000C4345" w:rsidTr="004B32D6">
        <w:trPr>
          <w:trHeight w:val="262"/>
        </w:trPr>
        <w:tc>
          <w:tcPr>
            <w:tcW w:w="135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Region 2</w:t>
            </w:r>
          </w:p>
        </w:tc>
        <w:tc>
          <w:tcPr>
            <w:tcW w:w="1186"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NJ</w:t>
            </w:r>
          </w:p>
        </w:tc>
        <w:tc>
          <w:tcPr>
            <w:tcW w:w="2324"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PR/NY</w:t>
            </w:r>
          </w:p>
        </w:tc>
      </w:tr>
      <w:tr w:rsidR="009477BD" w:rsidRPr="000C4345" w:rsidTr="004B32D6">
        <w:trPr>
          <w:trHeight w:val="262"/>
        </w:trPr>
        <w:tc>
          <w:tcPr>
            <w:tcW w:w="135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Region 3</w:t>
            </w:r>
          </w:p>
        </w:tc>
        <w:tc>
          <w:tcPr>
            <w:tcW w:w="1186"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VA</w:t>
            </w:r>
          </w:p>
        </w:tc>
        <w:tc>
          <w:tcPr>
            <w:tcW w:w="2324"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WV/MD</w:t>
            </w:r>
          </w:p>
        </w:tc>
      </w:tr>
      <w:tr w:rsidR="009477BD" w:rsidRPr="000C4345" w:rsidTr="004B32D6">
        <w:trPr>
          <w:trHeight w:val="262"/>
        </w:trPr>
        <w:tc>
          <w:tcPr>
            <w:tcW w:w="135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Region 4</w:t>
            </w:r>
          </w:p>
        </w:tc>
        <w:tc>
          <w:tcPr>
            <w:tcW w:w="1186"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KY</w:t>
            </w:r>
          </w:p>
        </w:tc>
        <w:tc>
          <w:tcPr>
            <w:tcW w:w="2324"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MS/AL</w:t>
            </w:r>
          </w:p>
        </w:tc>
      </w:tr>
      <w:tr w:rsidR="009477BD" w:rsidRPr="000C4345" w:rsidTr="004B32D6">
        <w:trPr>
          <w:trHeight w:val="262"/>
        </w:trPr>
        <w:tc>
          <w:tcPr>
            <w:tcW w:w="135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Region 5</w:t>
            </w:r>
          </w:p>
        </w:tc>
        <w:tc>
          <w:tcPr>
            <w:tcW w:w="1186"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MI</w:t>
            </w:r>
          </w:p>
        </w:tc>
        <w:tc>
          <w:tcPr>
            <w:tcW w:w="2324"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IL/IN</w:t>
            </w:r>
          </w:p>
        </w:tc>
      </w:tr>
      <w:tr w:rsidR="009477BD" w:rsidRPr="000C4345" w:rsidTr="004B32D6">
        <w:trPr>
          <w:trHeight w:val="262"/>
        </w:trPr>
        <w:tc>
          <w:tcPr>
            <w:tcW w:w="135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Region 6</w:t>
            </w:r>
          </w:p>
        </w:tc>
        <w:tc>
          <w:tcPr>
            <w:tcW w:w="1186"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TX/OK</w:t>
            </w:r>
          </w:p>
        </w:tc>
        <w:tc>
          <w:tcPr>
            <w:tcW w:w="2324"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NM/AR</w:t>
            </w:r>
          </w:p>
        </w:tc>
      </w:tr>
      <w:tr w:rsidR="009477BD" w:rsidRPr="000C4345" w:rsidTr="004B32D6">
        <w:trPr>
          <w:trHeight w:val="262"/>
        </w:trPr>
        <w:tc>
          <w:tcPr>
            <w:tcW w:w="135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Region 7</w:t>
            </w:r>
          </w:p>
        </w:tc>
        <w:tc>
          <w:tcPr>
            <w:tcW w:w="1186"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MO</w:t>
            </w:r>
          </w:p>
        </w:tc>
        <w:tc>
          <w:tcPr>
            <w:tcW w:w="2324"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KS/NE</w:t>
            </w:r>
          </w:p>
        </w:tc>
      </w:tr>
      <w:tr w:rsidR="009477BD" w:rsidRPr="000C4345" w:rsidTr="004B32D6">
        <w:trPr>
          <w:trHeight w:val="262"/>
        </w:trPr>
        <w:tc>
          <w:tcPr>
            <w:tcW w:w="135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 xml:space="preserve">Region </w:t>
            </w:r>
            <w:r w:rsidRPr="000C4345">
              <w:lastRenderedPageBreak/>
              <w:t>8</w:t>
            </w:r>
          </w:p>
        </w:tc>
        <w:tc>
          <w:tcPr>
            <w:tcW w:w="1186"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lastRenderedPageBreak/>
              <w:t>UT</w:t>
            </w:r>
          </w:p>
        </w:tc>
        <w:tc>
          <w:tcPr>
            <w:tcW w:w="2324"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WY/MT</w:t>
            </w:r>
          </w:p>
        </w:tc>
      </w:tr>
      <w:tr w:rsidR="009477BD" w:rsidRPr="000C4345" w:rsidTr="004B32D6">
        <w:trPr>
          <w:trHeight w:val="262"/>
        </w:trPr>
        <w:tc>
          <w:tcPr>
            <w:tcW w:w="135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lastRenderedPageBreak/>
              <w:t>Region 9</w:t>
            </w:r>
          </w:p>
        </w:tc>
        <w:tc>
          <w:tcPr>
            <w:tcW w:w="1186"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AZ</w:t>
            </w:r>
          </w:p>
        </w:tc>
        <w:tc>
          <w:tcPr>
            <w:tcW w:w="2324"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NV</w:t>
            </w:r>
          </w:p>
        </w:tc>
      </w:tr>
      <w:tr w:rsidR="009477BD" w:rsidRPr="000C4345" w:rsidTr="004B32D6">
        <w:trPr>
          <w:trHeight w:val="276"/>
        </w:trPr>
        <w:tc>
          <w:tcPr>
            <w:tcW w:w="135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Region 10</w:t>
            </w:r>
          </w:p>
        </w:tc>
        <w:tc>
          <w:tcPr>
            <w:tcW w:w="1186"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WA</w:t>
            </w:r>
          </w:p>
        </w:tc>
        <w:tc>
          <w:tcPr>
            <w:tcW w:w="2324" w:type="dxa"/>
            <w:tcBorders>
              <w:top w:val="nil"/>
              <w:left w:val="nil"/>
              <w:bottom w:val="single" w:sz="8" w:space="0" w:color="A3A3A3"/>
              <w:right w:val="single" w:sz="8" w:space="0" w:color="A3A3A3"/>
            </w:tcBorders>
            <w:tcMar>
              <w:top w:w="80" w:type="dxa"/>
              <w:left w:w="80" w:type="dxa"/>
              <w:bottom w:w="80" w:type="dxa"/>
              <w:right w:w="80" w:type="dxa"/>
            </w:tcMar>
            <w:hideMark/>
          </w:tcPr>
          <w:p w:rsidR="009477BD" w:rsidRPr="000C4345" w:rsidRDefault="009477BD">
            <w:pPr>
              <w:rPr>
                <w:rFonts w:ascii="Calibri" w:eastAsiaTheme="minorHAnsi" w:hAnsi="Calibri"/>
                <w:sz w:val="22"/>
                <w:szCs w:val="22"/>
              </w:rPr>
            </w:pPr>
            <w:r w:rsidRPr="000C4345">
              <w:t>AK</w:t>
            </w:r>
          </w:p>
        </w:tc>
      </w:tr>
    </w:tbl>
    <w:p w:rsidR="009477BD" w:rsidRDefault="009477BD" w:rsidP="00A403BB"/>
    <w:p w:rsidR="009477BD" w:rsidRDefault="009477BD" w:rsidP="00A403BB">
      <w:r>
        <w:t xml:space="preserve"> ASTHO proposed to have 2 or possibly 3 Focus Groups/Guided Discussions with SHD HPP Coordinators from these states, if they are available, since they represent a variety of states structures, level of preparedness, etc.</w:t>
      </w:r>
      <w:r w:rsidR="00FD1DD4">
        <w:t xml:space="preserve"> There would most likely be one group email sent out asking each voluntary respondent to provide some basic information, such as how long they have been in their position, which state they represent, various HPP support questions, etc.    </w:t>
      </w:r>
      <w:r>
        <w:t xml:space="preserve">   </w:t>
      </w:r>
    </w:p>
    <w:p w:rsidR="009477BD" w:rsidRDefault="009477BD" w:rsidP="00A403BB"/>
    <w:p w:rsidR="009477BD" w:rsidRPr="000C4345" w:rsidRDefault="009477BD" w:rsidP="00A403BB">
      <w:r w:rsidRPr="000C4345">
        <w:t>Alabama Alaska, Arkansas, Arizona, Connecticut, Illinois, Indiana, Kansas, Kentucky, Maryland (I have), Michigan (I have), Mississippi, Missouri, Montana, Nebraska, Nevada, New Jersey, New Mexico, New York, North Carolina, Oklahoma, Puerto Rico, Texas, Utah, Vermont, Virginia, West Virginia, Washington (state), Wyoming.</w:t>
      </w:r>
    </w:p>
    <w:p w:rsidR="009477BD" w:rsidRPr="000C4345" w:rsidRDefault="009477BD" w:rsidP="00A403BB"/>
    <w:p w:rsidR="004B32D6" w:rsidRPr="000C4345" w:rsidRDefault="004B32D6" w:rsidP="00A403BB">
      <w:pPr>
        <w:rPr>
          <w:b/>
        </w:rPr>
      </w:pPr>
    </w:p>
    <w:p w:rsidR="004B32D6" w:rsidRPr="000C4345" w:rsidRDefault="004B32D6" w:rsidP="00A403BB">
      <w:pPr>
        <w:rPr>
          <w:b/>
        </w:rPr>
      </w:pPr>
    </w:p>
    <w:p w:rsidR="004B32D6" w:rsidRPr="000C4345" w:rsidRDefault="004B32D6" w:rsidP="00A403BB">
      <w:pPr>
        <w:rPr>
          <w:b/>
        </w:rPr>
      </w:pPr>
    </w:p>
    <w:p w:rsidR="004B32D6" w:rsidRDefault="004B32D6"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lastRenderedPageBreak/>
        <w:t xml:space="preserve">[ </w:t>
      </w:r>
      <w:r w:rsidR="005518E0">
        <w:t>X</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9477BD">
        <w:t>X</w:t>
      </w:r>
      <w:r>
        <w:t xml:space="preserve"> </w:t>
      </w:r>
      <w:r w:rsidR="001B0AAA">
        <w:t xml:space="preserve"> </w:t>
      </w:r>
      <w:r>
        <w:t>] Other, Explain</w:t>
      </w:r>
      <w:r w:rsidR="009477BD">
        <w:t xml:space="preserve"> (series of 2 or 3 Guided Discussion/Focus Groups)</w:t>
      </w:r>
    </w:p>
    <w:p w:rsidR="00F24CFC" w:rsidRDefault="00F24CFC" w:rsidP="004B32D6">
      <w:pPr>
        <w:pStyle w:val="ListParagraph"/>
        <w:numPr>
          <w:ilvl w:val="0"/>
          <w:numId w:val="17"/>
        </w:numPr>
      </w:pPr>
      <w:r>
        <w:t>Will interviewers or facilitators be used?  [</w:t>
      </w:r>
      <w:r w:rsidR="005518E0">
        <w:t>X</w:t>
      </w:r>
      <w:r>
        <w:t xml:space="preserve">  ] Yes [  ] No</w:t>
      </w:r>
    </w:p>
    <w:p w:rsidR="004B32D6" w:rsidRDefault="004B32D6" w:rsidP="004B32D6"/>
    <w:p w:rsidR="004B32D6" w:rsidRDefault="004B32D6" w:rsidP="004B32D6"/>
    <w:p w:rsidR="004B32D6" w:rsidRDefault="004B32D6" w:rsidP="004B32D6">
      <w:r>
        <w:t xml:space="preserve">See Guided Discussion Question  </w:t>
      </w:r>
    </w:p>
    <w:sectPr w:rsidR="004B32D6"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D8B" w:rsidRDefault="003D1D8B">
      <w:r>
        <w:separator/>
      </w:r>
    </w:p>
  </w:endnote>
  <w:endnote w:type="continuationSeparator" w:id="0">
    <w:p w:rsidR="003D1D8B" w:rsidRDefault="003D1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4632AF">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6659A">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D8B" w:rsidRDefault="003D1D8B">
      <w:r>
        <w:separator/>
      </w:r>
    </w:p>
  </w:footnote>
  <w:footnote w:type="continuationSeparator" w:id="0">
    <w:p w:rsidR="003D1D8B" w:rsidRDefault="003D1D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1265"/>
  </w:hdrShapeDefaults>
  <w:footnotePr>
    <w:footnote w:id="-1"/>
    <w:footnote w:id="0"/>
  </w:footnotePr>
  <w:endnotePr>
    <w:endnote w:id="-1"/>
    <w:endnote w:id="0"/>
  </w:endnotePr>
  <w:compat/>
  <w:rsids>
    <w:rsidRoot w:val="00D6383F"/>
    <w:rsid w:val="0001027E"/>
    <w:rsid w:val="00023A57"/>
    <w:rsid w:val="00024061"/>
    <w:rsid w:val="00047A64"/>
    <w:rsid w:val="00067329"/>
    <w:rsid w:val="000B2838"/>
    <w:rsid w:val="000C4345"/>
    <w:rsid w:val="000D44CA"/>
    <w:rsid w:val="000E200B"/>
    <w:rsid w:val="000F68BE"/>
    <w:rsid w:val="00175F48"/>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6659A"/>
    <w:rsid w:val="003D1D8B"/>
    <w:rsid w:val="003D5BBE"/>
    <w:rsid w:val="003E3C61"/>
    <w:rsid w:val="003E7A3E"/>
    <w:rsid w:val="003F1C5B"/>
    <w:rsid w:val="00434E33"/>
    <w:rsid w:val="00441434"/>
    <w:rsid w:val="0045264C"/>
    <w:rsid w:val="004632AF"/>
    <w:rsid w:val="004876EC"/>
    <w:rsid w:val="004B32D6"/>
    <w:rsid w:val="004D6E14"/>
    <w:rsid w:val="005009B0"/>
    <w:rsid w:val="005518E0"/>
    <w:rsid w:val="005A1006"/>
    <w:rsid w:val="005E714A"/>
    <w:rsid w:val="005F693D"/>
    <w:rsid w:val="006140A0"/>
    <w:rsid w:val="00636621"/>
    <w:rsid w:val="00642B49"/>
    <w:rsid w:val="006832D9"/>
    <w:rsid w:val="0069403B"/>
    <w:rsid w:val="006F3DDE"/>
    <w:rsid w:val="00704678"/>
    <w:rsid w:val="007425E7"/>
    <w:rsid w:val="00775D6A"/>
    <w:rsid w:val="007F7080"/>
    <w:rsid w:val="00802607"/>
    <w:rsid w:val="008101A5"/>
    <w:rsid w:val="00822664"/>
    <w:rsid w:val="00843796"/>
    <w:rsid w:val="00895229"/>
    <w:rsid w:val="008B2EB3"/>
    <w:rsid w:val="008F0203"/>
    <w:rsid w:val="008F50D4"/>
    <w:rsid w:val="009239AA"/>
    <w:rsid w:val="00935ADA"/>
    <w:rsid w:val="00946B6C"/>
    <w:rsid w:val="009477BD"/>
    <w:rsid w:val="00955A71"/>
    <w:rsid w:val="0096108F"/>
    <w:rsid w:val="009A6E72"/>
    <w:rsid w:val="009C13B9"/>
    <w:rsid w:val="009D01A2"/>
    <w:rsid w:val="009F5923"/>
    <w:rsid w:val="00A403BB"/>
    <w:rsid w:val="00A61D59"/>
    <w:rsid w:val="00A674DF"/>
    <w:rsid w:val="00A83AA6"/>
    <w:rsid w:val="00A934D6"/>
    <w:rsid w:val="00AE1809"/>
    <w:rsid w:val="00B22D53"/>
    <w:rsid w:val="00B80D76"/>
    <w:rsid w:val="00BA2105"/>
    <w:rsid w:val="00BA6BF4"/>
    <w:rsid w:val="00BA7E06"/>
    <w:rsid w:val="00BB43B5"/>
    <w:rsid w:val="00BB6219"/>
    <w:rsid w:val="00BC4EAF"/>
    <w:rsid w:val="00BD290F"/>
    <w:rsid w:val="00C14CC4"/>
    <w:rsid w:val="00C33C52"/>
    <w:rsid w:val="00C356A9"/>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D1DD4"/>
    <w:rsid w:val="00FE2FA6"/>
    <w:rsid w:val="00FE3DF2"/>
    <w:rsid w:val="00FE4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40765325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1088</Words>
  <Characters>5736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DHHS</cp:lastModifiedBy>
  <cp:revision>2</cp:revision>
  <cp:lastPrinted>2010-10-04T15:59:00Z</cp:lastPrinted>
  <dcterms:created xsi:type="dcterms:W3CDTF">2013-04-23T18:07:00Z</dcterms:created>
  <dcterms:modified xsi:type="dcterms:W3CDTF">2013-04-23T18:07:00Z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