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46" w:rsidRDefault="00413780" w:rsidP="00D7629C">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rsidR="00FB7CA9" w:rsidRPr="00D7629C" w:rsidRDefault="00FB7CA9" w:rsidP="00D7629C">
      <w:pPr>
        <w:spacing w:line="240" w:lineRule="auto"/>
        <w:jc w:val="center"/>
        <w:rPr>
          <w:rFonts w:ascii="Arial" w:hAnsi="Arial" w:cs="Arial"/>
          <w:b/>
          <w:sz w:val="36"/>
          <w:szCs w:val="36"/>
        </w:rPr>
      </w:pPr>
    </w:p>
    <w:p w:rsidR="00FB7CA9" w:rsidRPr="00CB7E94" w:rsidRDefault="00661546" w:rsidP="00D7629C">
      <w:pPr>
        <w:spacing w:line="240" w:lineRule="auto"/>
        <w:jc w:val="center"/>
        <w:rPr>
          <w:rFonts w:ascii="Arial" w:hAnsi="Arial" w:cs="Arial"/>
          <w:b/>
          <w:bCs/>
          <w:sz w:val="32"/>
        </w:rPr>
      </w:pPr>
      <w:r w:rsidRPr="00CB7E94">
        <w:rPr>
          <w:rFonts w:ascii="Arial" w:hAnsi="Arial" w:cs="Arial"/>
          <w:b/>
          <w:bCs/>
          <w:sz w:val="32"/>
        </w:rPr>
        <w:t>Supporting Statement</w:t>
      </w:r>
      <w:r w:rsidR="00FB7CA9" w:rsidRPr="00CB7E94">
        <w:rPr>
          <w:rFonts w:ascii="Arial" w:hAnsi="Arial" w:cs="Arial"/>
          <w:b/>
          <w:bCs/>
          <w:sz w:val="32"/>
        </w:rPr>
        <w:t xml:space="preserve"> Part B</w:t>
      </w:r>
      <w:r w:rsidR="00D7629C" w:rsidRPr="00CB7E94">
        <w:rPr>
          <w:rFonts w:ascii="Arial" w:hAnsi="Arial" w:cs="Arial"/>
          <w:b/>
          <w:bCs/>
          <w:sz w:val="32"/>
        </w:rPr>
        <w:t xml:space="preserve"> </w:t>
      </w:r>
    </w:p>
    <w:p w:rsidR="00661546" w:rsidRDefault="00FB7CA9" w:rsidP="00D7629C">
      <w:pPr>
        <w:spacing w:line="240" w:lineRule="auto"/>
        <w:jc w:val="center"/>
        <w:rPr>
          <w:rFonts w:ascii="Arial" w:hAnsi="Arial" w:cs="Arial"/>
          <w:b/>
          <w:bCs/>
          <w:sz w:val="32"/>
        </w:rPr>
      </w:pPr>
      <w:r w:rsidRPr="00CB7E94">
        <w:rPr>
          <w:rFonts w:ascii="Arial" w:hAnsi="Arial" w:cs="Arial"/>
          <w:b/>
          <w:bCs/>
          <w:sz w:val="32"/>
        </w:rPr>
        <w:t>F</w:t>
      </w:r>
      <w:r w:rsidR="00661546" w:rsidRPr="00CB7E94">
        <w:rPr>
          <w:rFonts w:ascii="Arial" w:hAnsi="Arial" w:cs="Arial"/>
          <w:b/>
          <w:bCs/>
          <w:sz w:val="32"/>
        </w:rPr>
        <w:t xml:space="preserve">or OMB </w:t>
      </w:r>
      <w:r w:rsidRPr="00CB7E94">
        <w:rPr>
          <w:rFonts w:ascii="Arial" w:hAnsi="Arial" w:cs="Arial"/>
          <w:b/>
          <w:bCs/>
          <w:sz w:val="32"/>
        </w:rPr>
        <w:t>Approval</w:t>
      </w:r>
    </w:p>
    <w:p w:rsidR="00CB7E94" w:rsidRDefault="00CB7E94" w:rsidP="00D7629C">
      <w:pPr>
        <w:spacing w:line="240" w:lineRule="auto"/>
        <w:jc w:val="center"/>
        <w:rPr>
          <w:rFonts w:ascii="Arial" w:hAnsi="Arial" w:cs="Arial"/>
          <w:b/>
          <w:bCs/>
          <w:sz w:val="32"/>
        </w:rPr>
      </w:pPr>
    </w:p>
    <w:p w:rsidR="00CB7E94" w:rsidRDefault="0032798B" w:rsidP="00D7629C">
      <w:pPr>
        <w:spacing w:line="240" w:lineRule="auto"/>
        <w:jc w:val="center"/>
        <w:rPr>
          <w:rFonts w:ascii="Arial" w:hAnsi="Arial" w:cs="Arial"/>
          <w:b/>
          <w:bCs/>
          <w:sz w:val="28"/>
        </w:rPr>
      </w:pPr>
      <w:r>
        <w:rPr>
          <w:rFonts w:ascii="Arial" w:hAnsi="Arial" w:cs="Arial"/>
          <w:b/>
          <w:bCs/>
          <w:sz w:val="28"/>
        </w:rPr>
        <w:t>March 6</w:t>
      </w:r>
      <w:r w:rsidR="00CB7E94" w:rsidRPr="00CB7E94">
        <w:rPr>
          <w:rFonts w:ascii="Arial" w:hAnsi="Arial" w:cs="Arial"/>
          <w:b/>
          <w:bCs/>
          <w:sz w:val="28"/>
        </w:rPr>
        <w:t>, 2012</w:t>
      </w:r>
    </w:p>
    <w:p w:rsidR="003D672A" w:rsidRPr="00CB7E94" w:rsidRDefault="003D672A" w:rsidP="00D7629C">
      <w:pPr>
        <w:spacing w:line="240" w:lineRule="auto"/>
        <w:jc w:val="center"/>
        <w:rPr>
          <w:rFonts w:ascii="Arial" w:hAnsi="Arial" w:cs="Arial"/>
          <w:b/>
          <w:bCs/>
          <w:sz w:val="28"/>
        </w:rPr>
      </w:pPr>
      <w:r>
        <w:rPr>
          <w:rFonts w:ascii="Arial" w:hAnsi="Arial" w:cs="Arial"/>
          <w:b/>
          <w:bCs/>
          <w:sz w:val="28"/>
        </w:rPr>
        <w:t>Updated: November 5, 2012</w:t>
      </w:r>
    </w:p>
    <w:p w:rsidR="00FB7CA9" w:rsidRDefault="00FB7CA9" w:rsidP="00D7629C">
      <w:pPr>
        <w:pStyle w:val="AbtHeadA"/>
        <w:spacing w:after="0" w:line="240" w:lineRule="auto"/>
        <w:jc w:val="center"/>
        <w:rPr>
          <w:rFonts w:cs="Arial"/>
        </w:rPr>
        <w:sectPr w:rsidR="00FB7CA9" w:rsidSect="000A79EE">
          <w:pgSz w:w="12240" w:h="15840" w:code="1"/>
          <w:pgMar w:top="1440" w:right="1440" w:bottom="1008" w:left="1800" w:header="720" w:footer="576" w:gutter="0"/>
          <w:pgNumType w:start="1"/>
          <w:cols w:space="720"/>
        </w:sectPr>
      </w:pPr>
    </w:p>
    <w:p w:rsidR="00FB7CA9" w:rsidRDefault="00CB7E94" w:rsidP="00FB7CA9">
      <w:pPr>
        <w:pStyle w:val="AbtHeadB"/>
        <w:spacing w:after="0" w:line="240" w:lineRule="auto"/>
        <w:rPr>
          <w:rFonts w:ascii="Times New Roman" w:hAnsi="Times New Roman"/>
          <w:bCs/>
        </w:rPr>
      </w:pPr>
      <w:r>
        <w:lastRenderedPageBreak/>
        <w:t>B.</w:t>
      </w:r>
      <w:r w:rsidR="00FB7CA9">
        <w:tab/>
      </w:r>
      <w:r w:rsidRPr="00D7629C">
        <w:rPr>
          <w:rFonts w:cs="Arial"/>
        </w:rPr>
        <w:t>Collection of Information Employing Statistical Methods</w:t>
      </w:r>
    </w:p>
    <w:p w:rsidR="00733F51" w:rsidRDefault="00733F51" w:rsidP="00D7629C">
      <w:pPr>
        <w:pStyle w:val="BodyText"/>
        <w:spacing w:line="240" w:lineRule="auto"/>
      </w:pPr>
    </w:p>
    <w:p w:rsidR="00CB7E94" w:rsidRDefault="00CB7E94" w:rsidP="00D7629C">
      <w:pPr>
        <w:pStyle w:val="BodyText"/>
        <w:spacing w:line="240" w:lineRule="auto"/>
      </w:pPr>
    </w:p>
    <w:p w:rsidR="00733F51" w:rsidRDefault="00733F51" w:rsidP="00D7629C">
      <w:pPr>
        <w:pStyle w:val="AbtHeadB"/>
        <w:spacing w:after="0" w:line="240" w:lineRule="auto"/>
        <w:rPr>
          <w:rFonts w:ascii="Times New Roman" w:hAnsi="Times New Roman"/>
          <w:bCs/>
        </w:rPr>
      </w:pPr>
      <w:r>
        <w:t>B</w:t>
      </w:r>
      <w:r w:rsidR="00495E54">
        <w:t>.</w:t>
      </w:r>
      <w:r>
        <w:t>1.</w:t>
      </w:r>
      <w:r>
        <w:tab/>
        <w:t>Respondent Universe and Sampling Methods</w:t>
      </w:r>
    </w:p>
    <w:p w:rsidR="001B3208" w:rsidRDefault="001B3208" w:rsidP="00D7629C">
      <w:pPr>
        <w:pStyle w:val="BodyText"/>
        <w:spacing w:line="240" w:lineRule="auto"/>
      </w:pPr>
    </w:p>
    <w:p w:rsidR="007B4C51" w:rsidRDefault="008A0360" w:rsidP="00470834">
      <w:pPr>
        <w:pStyle w:val="BodyText"/>
        <w:spacing w:line="240" w:lineRule="auto"/>
      </w:pPr>
      <w:r>
        <w:t>In this section, an overview of the respondent universe and study population for each data collection component</w:t>
      </w:r>
      <w:r w:rsidR="000647CB">
        <w:t xml:space="preserve"> is provided</w:t>
      </w:r>
      <w:r>
        <w:t xml:space="preserve">. </w:t>
      </w:r>
      <w:r w:rsidR="000647CB">
        <w:t>T</w:t>
      </w:r>
      <w:r>
        <w:t>he relevant procedures for identifying the study population</w:t>
      </w:r>
      <w:r w:rsidR="000647CB">
        <w:t xml:space="preserve"> and</w:t>
      </w:r>
      <w:r w:rsidR="003D672A">
        <w:t xml:space="preserve"> </w:t>
      </w:r>
      <w:r w:rsidR="000647CB">
        <w:t>t</w:t>
      </w:r>
      <w:r>
        <w:t xml:space="preserve">he data collection procedures are discussed. </w:t>
      </w:r>
      <w:r w:rsidR="007B4C51">
        <w:t>There are no unusual problems requiring specialized sampling proc</w:t>
      </w:r>
      <w:r w:rsidR="00C01708">
        <w:t>ed</w:t>
      </w:r>
      <w:r w:rsidR="007B4C51">
        <w:t>ures.</w:t>
      </w:r>
    </w:p>
    <w:p w:rsidR="007B4C51" w:rsidRDefault="007B4C51" w:rsidP="00470834">
      <w:pPr>
        <w:pStyle w:val="BodyText"/>
        <w:spacing w:line="240" w:lineRule="auto"/>
      </w:pPr>
    </w:p>
    <w:p w:rsidR="007B4C51" w:rsidRDefault="007B4C51" w:rsidP="007B4C51">
      <w:pPr>
        <w:pStyle w:val="AbtHeadC"/>
        <w:spacing w:after="0" w:line="240" w:lineRule="auto"/>
      </w:pPr>
      <w:r>
        <w:t>B.</w:t>
      </w:r>
      <w:r w:rsidR="00074963">
        <w:t>1</w:t>
      </w:r>
      <w:r>
        <w:t>.1.</w:t>
      </w:r>
      <w:r>
        <w:tab/>
      </w:r>
      <w:r w:rsidR="008A0360">
        <w:t>Overview of Respondent Universe</w:t>
      </w:r>
      <w:r w:rsidR="001E618B">
        <w:t>,</w:t>
      </w:r>
      <w:r w:rsidR="008A0360">
        <w:t xml:space="preserve"> </w:t>
      </w:r>
      <w:r w:rsidR="00A8762F">
        <w:t>Study Population</w:t>
      </w:r>
      <w:r w:rsidR="001E618B">
        <w:t xml:space="preserve">, and </w:t>
      </w:r>
      <w:r w:rsidR="00CB7E94">
        <w:t xml:space="preserve">Expected </w:t>
      </w:r>
      <w:r w:rsidR="001E618B">
        <w:t>Response Rates</w:t>
      </w:r>
    </w:p>
    <w:p w:rsidR="007B4C51" w:rsidRDefault="007B4C51" w:rsidP="00470834">
      <w:pPr>
        <w:pStyle w:val="BodyText"/>
        <w:spacing w:line="240" w:lineRule="auto"/>
      </w:pPr>
    </w:p>
    <w:p w:rsidR="008A0360" w:rsidRDefault="008A0360" w:rsidP="00470834">
      <w:pPr>
        <w:pStyle w:val="BodyText"/>
        <w:spacing w:line="240" w:lineRule="auto"/>
      </w:pPr>
      <w:r>
        <w:t xml:space="preserve">This study will collect information through four components in two modes of data collection: (1) </w:t>
      </w:r>
      <w:r w:rsidR="00C01708">
        <w:t>an</w:t>
      </w:r>
      <w:r>
        <w:t xml:space="preserve"> online survey of the universe of Head Start directors and another online survey of the universe of Head Start health managers; and (2) </w:t>
      </w:r>
      <w:r w:rsidR="00C01708">
        <w:t>a</w:t>
      </w:r>
      <w:r>
        <w:t xml:space="preserve"> set of semi-structured interviews with a subset of Head Start health managers and another set of semi-structured interviews with teachers, family service workers, and home visitors.</w:t>
      </w:r>
    </w:p>
    <w:p w:rsidR="008A0360" w:rsidRDefault="008A0360" w:rsidP="00470834">
      <w:pPr>
        <w:pStyle w:val="BodyText"/>
        <w:spacing w:line="240" w:lineRule="auto"/>
      </w:pPr>
    </w:p>
    <w:p w:rsidR="006E5D0B" w:rsidRDefault="005C3D50" w:rsidP="00B119B0">
      <w:pPr>
        <w:autoSpaceDE w:val="0"/>
        <w:autoSpaceDN w:val="0"/>
        <w:adjustRightInd w:val="0"/>
        <w:spacing w:line="240" w:lineRule="auto"/>
      </w:pPr>
      <w:r>
        <w:t>The administration of the structured online survey to the universe of Head Start programs (directors and health managers) is necessitated by the expectation of a high degree of variability across Head Start programs in the health issues they face, how they structure their health service</w:t>
      </w:r>
      <w:r w:rsidR="00CB7E94">
        <w:t>s</w:t>
      </w:r>
      <w:r>
        <w:t xml:space="preserve"> area</w:t>
      </w:r>
      <w:r w:rsidR="0031393D">
        <w:t xml:space="preserve"> including staffing</w:t>
      </w:r>
      <w:r>
        <w:t>, and the approaches to planning for and implementing health-related services and programs</w:t>
      </w:r>
      <w:r w:rsidR="008A0360">
        <w:t xml:space="preserve"> (see Section A.1)</w:t>
      </w:r>
      <w:r>
        <w:t xml:space="preserve">. </w:t>
      </w:r>
      <w:r w:rsidR="0096373F">
        <w:t>At this time, it is not possible to determine what attributes of Head Start programs (e.g., size, location, demographics of the children and families served</w:t>
      </w:r>
      <w:r w:rsidR="008E6BD5">
        <w:t>, staffing model, health manager background, relationships with community providers</w:t>
      </w:r>
      <w:r w:rsidR="0096373F">
        <w:t xml:space="preserve">) are associated with variation in the health services area. Thus, </w:t>
      </w:r>
      <w:r w:rsidR="00FB465F">
        <w:t xml:space="preserve">there is not </w:t>
      </w:r>
      <w:r w:rsidR="006E5D0B">
        <w:t xml:space="preserve">sufficient information to establish a sampling </w:t>
      </w:r>
      <w:r w:rsidR="007B5012">
        <w:t>frame</w:t>
      </w:r>
      <w:r w:rsidR="00B63ECE">
        <w:t xml:space="preserve"> </w:t>
      </w:r>
      <w:r w:rsidR="006E5D0B">
        <w:t xml:space="preserve">that would capture </w:t>
      </w:r>
      <w:r w:rsidR="007B5012">
        <w:t>important subgroups</w:t>
      </w:r>
      <w:r w:rsidR="00FB465F">
        <w:t xml:space="preserve"> of Head Start programs</w:t>
      </w:r>
      <w:r w:rsidR="007B5012">
        <w:t xml:space="preserve"> (</w:t>
      </w:r>
      <w:r w:rsidR="008C66AC">
        <w:t>e.g.</w:t>
      </w:r>
      <w:r w:rsidR="00DA2411">
        <w:t xml:space="preserve">, </w:t>
      </w:r>
      <w:r w:rsidR="00FB465F">
        <w:t xml:space="preserve">subgroups defined by the </w:t>
      </w:r>
      <w:r w:rsidR="00DA2411">
        <w:t xml:space="preserve">health </w:t>
      </w:r>
      <w:r w:rsidR="00FB465F">
        <w:t xml:space="preserve">services </w:t>
      </w:r>
      <w:r w:rsidR="00DA2411">
        <w:t>area staffing</w:t>
      </w:r>
      <w:r w:rsidR="00FB465F">
        <w:t xml:space="preserve"> model</w:t>
      </w:r>
      <w:r w:rsidR="008C66AC">
        <w:t>,</w:t>
      </w:r>
      <w:r w:rsidR="00B63ECE">
        <w:t xml:space="preserve"> </w:t>
      </w:r>
      <w:r w:rsidR="00FB465F">
        <w:rPr>
          <w:szCs w:val="22"/>
        </w:rPr>
        <w:t xml:space="preserve">the </w:t>
      </w:r>
      <w:r w:rsidR="008C66AC">
        <w:rPr>
          <w:szCs w:val="22"/>
        </w:rPr>
        <w:t xml:space="preserve">organizational </w:t>
      </w:r>
      <w:r w:rsidR="00FB465F">
        <w:rPr>
          <w:szCs w:val="22"/>
        </w:rPr>
        <w:t xml:space="preserve">model for the </w:t>
      </w:r>
      <w:r w:rsidR="007B5012">
        <w:rPr>
          <w:szCs w:val="22"/>
        </w:rPr>
        <w:t>Health Services Advisory Committee</w:t>
      </w:r>
      <w:r w:rsidR="008C66AC">
        <w:rPr>
          <w:szCs w:val="22"/>
        </w:rPr>
        <w:t>, or the nature of the partnerships with community-based providers</w:t>
      </w:r>
      <w:r w:rsidR="00DA2411">
        <w:rPr>
          <w:szCs w:val="22"/>
        </w:rPr>
        <w:t>)</w:t>
      </w:r>
      <w:r w:rsidR="007B5012">
        <w:t xml:space="preserve"> </w:t>
      </w:r>
      <w:r w:rsidR="00DA2411">
        <w:t>or</w:t>
      </w:r>
      <w:r w:rsidR="00FD617D">
        <w:t xml:space="preserve"> that would adequately represent</w:t>
      </w:r>
      <w:r w:rsidR="00DA2411">
        <w:t xml:space="preserve"> the resulting breadth and depth of the health services area across Head Start programs and the full array of challenges that programs face.</w:t>
      </w:r>
      <w:r w:rsidR="00B63ECE">
        <w:t xml:space="preserve"> </w:t>
      </w:r>
      <w:r w:rsidR="00DA2411">
        <w:t xml:space="preserve">If a sampling frame </w:t>
      </w:r>
      <w:r w:rsidR="00FD617D">
        <w:t>were</w:t>
      </w:r>
      <w:r w:rsidR="00DA2411">
        <w:t xml:space="preserve"> to be created with the limited information that currently exists</w:t>
      </w:r>
      <w:r w:rsidR="006B687C">
        <w:t>,</w:t>
      </w:r>
      <w:r w:rsidR="00DA2411">
        <w:t xml:space="preserve"> the frame </w:t>
      </w:r>
      <w:r w:rsidR="006B687C">
        <w:t xml:space="preserve">is presumed to </w:t>
      </w:r>
      <w:r w:rsidR="00FD617D" w:rsidRPr="00B63ECE">
        <w:t xml:space="preserve">be insufficient </w:t>
      </w:r>
      <w:r w:rsidR="00B63ECE" w:rsidRPr="00B63ECE">
        <w:t>for</w:t>
      </w:r>
      <w:r w:rsidR="006B687C">
        <w:t xml:space="preserve"> </w:t>
      </w:r>
      <w:r w:rsidR="00B63ECE">
        <w:t>providing</w:t>
      </w:r>
      <w:r w:rsidR="00DA2411">
        <w:t xml:space="preserve"> a representative sample of important subgroups</w:t>
      </w:r>
      <w:r w:rsidR="006B687C">
        <w:t>.</w:t>
      </w:r>
      <w:r w:rsidR="00B63ECE">
        <w:t xml:space="preserve"> </w:t>
      </w:r>
      <w:r w:rsidR="00C362C8">
        <w:t>For this reason, a sample-based approach</w:t>
      </w:r>
      <w:r w:rsidR="006E5D0B">
        <w:t xml:space="preserve"> would </w:t>
      </w:r>
      <w:r w:rsidR="006B687C">
        <w:t xml:space="preserve">severely </w:t>
      </w:r>
      <w:r w:rsidR="006E5D0B">
        <w:t xml:space="preserve">limit the usefulness of the data collection effort for the Office of Head Start. In addition, to support the technical assistance efforts of the Office of Head Start, it will be </w:t>
      </w:r>
      <w:r w:rsidR="006B687C">
        <w:t>important</w:t>
      </w:r>
      <w:r w:rsidR="006E5D0B">
        <w:t xml:space="preserve"> </w:t>
      </w:r>
      <w:r w:rsidR="00070DB1">
        <w:t xml:space="preserve">to </w:t>
      </w:r>
      <w:r w:rsidR="006E5D0B">
        <w:t>examine variation among Head Start program subgroups. Therefore, the universe of Head Start grantees and delegates will be asked to participate in the Head Start Health Managers Descriptive Study.</w:t>
      </w:r>
    </w:p>
    <w:p w:rsidR="006E5D0B" w:rsidRDefault="006E5D0B" w:rsidP="00470834">
      <w:pPr>
        <w:pStyle w:val="BodyText"/>
        <w:spacing w:line="240" w:lineRule="auto"/>
      </w:pPr>
    </w:p>
    <w:p w:rsidR="00A54231" w:rsidRDefault="00D82F60" w:rsidP="00470834">
      <w:pPr>
        <w:pStyle w:val="BodyText"/>
        <w:spacing w:line="240" w:lineRule="auto"/>
      </w:pPr>
      <w:r>
        <w:t xml:space="preserve">At the same time, to ensure that respondent burden is reasonable, the online </w:t>
      </w:r>
      <w:r w:rsidR="00F02689">
        <w:t xml:space="preserve">health managers </w:t>
      </w:r>
      <w:r>
        <w:t xml:space="preserve">survey will be limited to </w:t>
      </w:r>
      <w:r w:rsidR="008372B3">
        <w:t xml:space="preserve">75 </w:t>
      </w:r>
      <w:r>
        <w:t>minute</w:t>
      </w:r>
      <w:r w:rsidR="00976E27">
        <w:t>s</w:t>
      </w:r>
      <w:r w:rsidR="00A220FA">
        <w:t xml:space="preserve"> on average</w:t>
      </w:r>
      <w:r w:rsidR="008372B3">
        <w:t xml:space="preserve">, which includes an estimated </w:t>
      </w:r>
      <w:r w:rsidR="003D672A">
        <w:t>15</w:t>
      </w:r>
      <w:r w:rsidR="008372B3">
        <w:t xml:space="preserve"> minutes to gather the needed information to complete the survey</w:t>
      </w:r>
      <w:r w:rsidR="00A220FA">
        <w:t>, a constraint that</w:t>
      </w:r>
      <w:r>
        <w:t xml:space="preserve"> will limit the ability to collect even more </w:t>
      </w:r>
      <w:proofErr w:type="spellStart"/>
      <w:r>
        <w:t>indepth</w:t>
      </w:r>
      <w:proofErr w:type="spellEnd"/>
      <w:r>
        <w:t xml:space="preserve"> information about the </w:t>
      </w:r>
      <w:r w:rsidR="00CB7E94">
        <w:t>health services area</w:t>
      </w:r>
      <w:r>
        <w:t xml:space="preserve">. </w:t>
      </w:r>
      <w:r w:rsidR="0013419B">
        <w:t xml:space="preserve">Thus, the two sets of semi-structured interviews </w:t>
      </w:r>
      <w:r w:rsidR="00F07AAA">
        <w:t xml:space="preserve">with health managers, teachers, family service workers, and home visitors </w:t>
      </w:r>
      <w:r w:rsidR="0013419B">
        <w:t>are designed t</w:t>
      </w:r>
      <w:r w:rsidR="00A220FA">
        <w:t xml:space="preserve">o allow for </w:t>
      </w:r>
      <w:r w:rsidR="003E5E27">
        <w:t xml:space="preserve">a </w:t>
      </w:r>
      <w:r w:rsidR="00A220FA">
        <w:t xml:space="preserve">more </w:t>
      </w:r>
      <w:r w:rsidR="003E5E27">
        <w:t>complete</w:t>
      </w:r>
      <w:r w:rsidR="00A220FA">
        <w:t xml:space="preserve"> exploration of program approaches, successes</w:t>
      </w:r>
      <w:r w:rsidR="006C5670">
        <w:t>,</w:t>
      </w:r>
      <w:r w:rsidR="00A220FA">
        <w:t xml:space="preserve"> and challenges, </w:t>
      </w:r>
      <w:r w:rsidR="0013419B">
        <w:t>and thereby provide even great</w:t>
      </w:r>
      <w:r w:rsidR="00F07AAA">
        <w:t>er</w:t>
      </w:r>
      <w:r w:rsidR="0013419B">
        <w:t xml:space="preserve"> insight </w:t>
      </w:r>
      <w:r w:rsidR="00632423">
        <w:t xml:space="preserve">into these issues </w:t>
      </w:r>
      <w:r w:rsidR="0013419B">
        <w:t xml:space="preserve">than what can be learned in a more structured online survey. In sum, the combination of a reasonably comprehensive but focused structured survey that covers the universe of programs with a more </w:t>
      </w:r>
      <w:proofErr w:type="spellStart"/>
      <w:r w:rsidR="0013419B">
        <w:t>indepth</w:t>
      </w:r>
      <w:proofErr w:type="spellEnd"/>
      <w:r w:rsidR="0013419B">
        <w:t xml:space="preserve"> </w:t>
      </w:r>
      <w:r w:rsidR="00632423">
        <w:t>semi-structured interview format</w:t>
      </w:r>
      <w:r w:rsidR="0013419B">
        <w:t xml:space="preserve"> for a small g</w:t>
      </w:r>
      <w:r w:rsidR="00632423">
        <w:t xml:space="preserve">roup of stakeholders </w:t>
      </w:r>
      <w:r w:rsidR="006C5670">
        <w:t>will maximize</w:t>
      </w:r>
      <w:r w:rsidR="00632423">
        <w:t xml:space="preserve"> the usefulness of the information collected</w:t>
      </w:r>
      <w:r w:rsidR="006C5670">
        <w:t xml:space="preserve">. This approach will </w:t>
      </w:r>
      <w:r w:rsidR="00632423">
        <w:t>best inform</w:t>
      </w:r>
      <w:r w:rsidR="0013419B">
        <w:t xml:space="preserve"> </w:t>
      </w:r>
      <w:r w:rsidR="003E5E27">
        <w:t xml:space="preserve">the Office of Head Start </w:t>
      </w:r>
      <w:r w:rsidR="003E5E27">
        <w:rPr>
          <w:bCs/>
        </w:rPr>
        <w:t xml:space="preserve">in its efforts to design effective technical assistance, identify </w:t>
      </w:r>
      <w:r w:rsidR="003E5E27">
        <w:rPr>
          <w:bCs/>
        </w:rPr>
        <w:lastRenderedPageBreak/>
        <w:t xml:space="preserve">strategies for </w:t>
      </w:r>
      <w:r w:rsidR="00D15A7E">
        <w:rPr>
          <w:bCs/>
        </w:rPr>
        <w:t xml:space="preserve">capacity building and </w:t>
      </w:r>
      <w:r w:rsidR="003E5E27">
        <w:rPr>
          <w:bCs/>
        </w:rPr>
        <w:t>programmatic improvement, and determine the information gaps that can be addressed in future data collection efforts.</w:t>
      </w:r>
    </w:p>
    <w:p w:rsidR="00CF6712" w:rsidRDefault="00CF6712" w:rsidP="00D7629C">
      <w:pPr>
        <w:pStyle w:val="BodyText"/>
        <w:spacing w:line="240" w:lineRule="auto"/>
      </w:pPr>
    </w:p>
    <w:p w:rsidR="003E5E27" w:rsidRDefault="003E5E27" w:rsidP="003E5E27">
      <w:pPr>
        <w:pStyle w:val="BodyText"/>
        <w:spacing w:line="240" w:lineRule="auto"/>
      </w:pPr>
      <w:r>
        <w:t>With this overview, the responde</w:t>
      </w:r>
      <w:r w:rsidR="00A8762F">
        <w:t>nt universe and sampling method</w:t>
      </w:r>
      <w:r>
        <w:t xml:space="preserve"> for </w:t>
      </w:r>
      <w:r w:rsidR="000E0791">
        <w:t>the semi-structured interviews</w:t>
      </w:r>
      <w:r w:rsidR="00C51795">
        <w:t xml:space="preserve"> is explored</w:t>
      </w:r>
      <w:r>
        <w:t xml:space="preserve">. Exhibit B.1.1 summarizes this information for each data collection component. </w:t>
      </w:r>
    </w:p>
    <w:p w:rsidR="003E5E27" w:rsidRDefault="003E5E27" w:rsidP="003E5E27">
      <w:pPr>
        <w:pStyle w:val="BodyText"/>
        <w:spacing w:line="240" w:lineRule="auto"/>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95"/>
        <w:gridCol w:w="2790"/>
        <w:gridCol w:w="2610"/>
        <w:gridCol w:w="1530"/>
      </w:tblGrid>
      <w:tr w:rsidR="003E5E27" w:rsidRPr="00432471" w:rsidTr="003E5E27">
        <w:tc>
          <w:tcPr>
            <w:tcW w:w="9025" w:type="dxa"/>
            <w:gridSpan w:val="4"/>
            <w:tcBorders>
              <w:top w:val="single" w:sz="18" w:space="0" w:color="auto"/>
              <w:left w:val="nil"/>
              <w:bottom w:val="single" w:sz="8" w:space="0" w:color="auto"/>
              <w:right w:val="nil"/>
            </w:tcBorders>
            <w:vAlign w:val="bottom"/>
          </w:tcPr>
          <w:p w:rsidR="003E5E27" w:rsidRDefault="003E5E27" w:rsidP="00CE5502">
            <w:pPr>
              <w:pStyle w:val="Table"/>
              <w:keepNext/>
              <w:keepLines/>
              <w:spacing w:line="240" w:lineRule="auto"/>
              <w:rPr>
                <w:b/>
              </w:rPr>
            </w:pPr>
            <w:r>
              <w:rPr>
                <w:b/>
              </w:rPr>
              <w:t>Exhibit B.1.1 Respondent Universe, Study Population, and Expected Response Rate by Data Collection Component</w:t>
            </w:r>
          </w:p>
        </w:tc>
      </w:tr>
      <w:tr w:rsidR="003E5E27" w:rsidRPr="00432471" w:rsidTr="003E5E27">
        <w:trPr>
          <w:trHeight w:val="279"/>
        </w:trPr>
        <w:tc>
          <w:tcPr>
            <w:tcW w:w="2095" w:type="dxa"/>
            <w:tcBorders>
              <w:top w:val="single" w:sz="18" w:space="0" w:color="auto"/>
              <w:left w:val="nil"/>
              <w:bottom w:val="single" w:sz="8" w:space="0" w:color="auto"/>
              <w:right w:val="nil"/>
            </w:tcBorders>
            <w:vAlign w:val="bottom"/>
          </w:tcPr>
          <w:p w:rsidR="003E5E27" w:rsidRPr="00432471" w:rsidRDefault="003E5E27" w:rsidP="003E5E27">
            <w:pPr>
              <w:pStyle w:val="Table"/>
              <w:spacing w:line="240" w:lineRule="auto"/>
              <w:jc w:val="center"/>
              <w:rPr>
                <w:b/>
              </w:rPr>
            </w:pPr>
            <w:r>
              <w:rPr>
                <w:b/>
              </w:rPr>
              <w:t>Component</w:t>
            </w:r>
          </w:p>
        </w:tc>
        <w:tc>
          <w:tcPr>
            <w:tcW w:w="2790" w:type="dxa"/>
            <w:tcBorders>
              <w:top w:val="single" w:sz="18" w:space="0" w:color="auto"/>
              <w:left w:val="nil"/>
              <w:bottom w:val="single" w:sz="8" w:space="0" w:color="auto"/>
              <w:right w:val="nil"/>
            </w:tcBorders>
            <w:vAlign w:val="bottom"/>
          </w:tcPr>
          <w:p w:rsidR="003E5E27" w:rsidRPr="00432471" w:rsidRDefault="003E5E27" w:rsidP="003E5E27">
            <w:pPr>
              <w:pStyle w:val="Table"/>
              <w:spacing w:line="240" w:lineRule="auto"/>
              <w:jc w:val="center"/>
              <w:rPr>
                <w:b/>
              </w:rPr>
            </w:pPr>
            <w:r>
              <w:rPr>
                <w:b/>
              </w:rPr>
              <w:t>Respondent Universe</w:t>
            </w:r>
          </w:p>
        </w:tc>
        <w:tc>
          <w:tcPr>
            <w:tcW w:w="2610" w:type="dxa"/>
            <w:tcBorders>
              <w:top w:val="single" w:sz="18" w:space="0" w:color="auto"/>
              <w:left w:val="nil"/>
              <w:bottom w:val="single" w:sz="8" w:space="0" w:color="auto"/>
              <w:right w:val="nil"/>
            </w:tcBorders>
            <w:vAlign w:val="bottom"/>
          </w:tcPr>
          <w:p w:rsidR="003E5E27" w:rsidRPr="00432471" w:rsidRDefault="003E5E27" w:rsidP="003E5E27">
            <w:pPr>
              <w:pStyle w:val="Table"/>
              <w:spacing w:line="240" w:lineRule="auto"/>
              <w:jc w:val="center"/>
              <w:rPr>
                <w:b/>
              </w:rPr>
            </w:pPr>
            <w:r>
              <w:rPr>
                <w:b/>
              </w:rPr>
              <w:t>Study Population</w:t>
            </w:r>
          </w:p>
        </w:tc>
        <w:tc>
          <w:tcPr>
            <w:tcW w:w="1530" w:type="dxa"/>
            <w:tcBorders>
              <w:top w:val="single" w:sz="18" w:space="0" w:color="auto"/>
              <w:left w:val="nil"/>
              <w:bottom w:val="single" w:sz="8" w:space="0" w:color="auto"/>
              <w:right w:val="nil"/>
            </w:tcBorders>
          </w:tcPr>
          <w:p w:rsidR="003E5E27" w:rsidRDefault="00F07AAA" w:rsidP="00F07AAA">
            <w:pPr>
              <w:pStyle w:val="Table"/>
              <w:spacing w:line="240" w:lineRule="auto"/>
              <w:ind w:left="-115" w:right="-115"/>
              <w:jc w:val="center"/>
              <w:rPr>
                <w:b/>
              </w:rPr>
            </w:pPr>
            <w:r>
              <w:rPr>
                <w:b/>
              </w:rPr>
              <w:t xml:space="preserve">Expected </w:t>
            </w:r>
            <w:r w:rsidR="003E5E27">
              <w:rPr>
                <w:b/>
              </w:rPr>
              <w:t>Response Rate</w:t>
            </w:r>
            <w:r>
              <w:rPr>
                <w:b/>
              </w:rPr>
              <w:t xml:space="preserve"> </w:t>
            </w:r>
          </w:p>
        </w:tc>
      </w:tr>
      <w:tr w:rsidR="003E5E27" w:rsidTr="003E5E27">
        <w:tc>
          <w:tcPr>
            <w:tcW w:w="2095" w:type="dxa"/>
            <w:tcBorders>
              <w:top w:val="single" w:sz="8" w:space="0" w:color="auto"/>
              <w:left w:val="nil"/>
              <w:bottom w:val="single" w:sz="8" w:space="0" w:color="auto"/>
              <w:right w:val="nil"/>
            </w:tcBorders>
          </w:tcPr>
          <w:p w:rsidR="003E5E27" w:rsidRDefault="003E5E27" w:rsidP="003E5E27">
            <w:pPr>
              <w:pStyle w:val="Table"/>
              <w:spacing w:line="240" w:lineRule="auto"/>
            </w:pPr>
            <w:r w:rsidRPr="002D6310">
              <w:t xml:space="preserve">Head Start Director Survey </w:t>
            </w:r>
          </w:p>
        </w:tc>
        <w:tc>
          <w:tcPr>
            <w:tcW w:w="2790" w:type="dxa"/>
            <w:tcBorders>
              <w:top w:val="single" w:sz="8" w:space="0" w:color="auto"/>
              <w:left w:val="nil"/>
              <w:bottom w:val="single" w:sz="8" w:space="0" w:color="auto"/>
              <w:right w:val="nil"/>
            </w:tcBorders>
          </w:tcPr>
          <w:p w:rsidR="003E5E27" w:rsidRDefault="003E5E27" w:rsidP="000E0791">
            <w:pPr>
              <w:pStyle w:val="Table"/>
              <w:spacing w:line="240" w:lineRule="auto"/>
              <w:jc w:val="center"/>
            </w:pPr>
            <w:r>
              <w:t>Head Start directors in programs administered by approximately 2,</w:t>
            </w:r>
            <w:r w:rsidR="000E0791">
              <w:t>900</w:t>
            </w:r>
            <w:r>
              <w:t xml:space="preserve"> grantee and delegate agencies</w:t>
            </w:r>
          </w:p>
        </w:tc>
        <w:tc>
          <w:tcPr>
            <w:tcW w:w="261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Respondent universe</w:t>
            </w:r>
          </w:p>
        </w:tc>
        <w:tc>
          <w:tcPr>
            <w:tcW w:w="153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90–100%</w:t>
            </w:r>
          </w:p>
        </w:tc>
      </w:tr>
      <w:tr w:rsidR="003E5E27" w:rsidTr="003E5E27">
        <w:tc>
          <w:tcPr>
            <w:tcW w:w="2095" w:type="dxa"/>
            <w:tcBorders>
              <w:top w:val="single" w:sz="8" w:space="0" w:color="auto"/>
              <w:left w:val="nil"/>
              <w:bottom w:val="single" w:sz="8" w:space="0" w:color="auto"/>
              <w:right w:val="nil"/>
            </w:tcBorders>
          </w:tcPr>
          <w:p w:rsidR="003E5E27" w:rsidRPr="00432471" w:rsidRDefault="003E5E27" w:rsidP="003E5E27">
            <w:pPr>
              <w:pStyle w:val="Table"/>
              <w:spacing w:line="240" w:lineRule="auto"/>
            </w:pPr>
            <w:r>
              <w:t>Head Start Health Manager Survey</w:t>
            </w:r>
          </w:p>
        </w:tc>
        <w:tc>
          <w:tcPr>
            <w:tcW w:w="2790" w:type="dxa"/>
            <w:tcBorders>
              <w:top w:val="single" w:sz="8" w:space="0" w:color="auto"/>
              <w:left w:val="nil"/>
              <w:bottom w:val="single" w:sz="8" w:space="0" w:color="auto"/>
              <w:right w:val="nil"/>
            </w:tcBorders>
          </w:tcPr>
          <w:p w:rsidR="003E5E27" w:rsidRPr="00432471" w:rsidRDefault="003E5E27" w:rsidP="000E0791">
            <w:pPr>
              <w:pStyle w:val="Table"/>
              <w:spacing w:line="240" w:lineRule="auto"/>
              <w:jc w:val="center"/>
            </w:pPr>
            <w:r>
              <w:t>Head Start health managers in programs administered by approximately 2,</w:t>
            </w:r>
            <w:r w:rsidR="000E0791">
              <w:t>900</w:t>
            </w:r>
            <w:r>
              <w:t xml:space="preserve"> grantee and delegate agencies</w:t>
            </w:r>
          </w:p>
        </w:tc>
        <w:tc>
          <w:tcPr>
            <w:tcW w:w="2610" w:type="dxa"/>
            <w:tcBorders>
              <w:top w:val="single" w:sz="8" w:space="0" w:color="auto"/>
              <w:left w:val="nil"/>
              <w:bottom w:val="single" w:sz="8" w:space="0" w:color="auto"/>
              <w:right w:val="nil"/>
            </w:tcBorders>
          </w:tcPr>
          <w:p w:rsidR="003E5E27" w:rsidRPr="00432471" w:rsidRDefault="003E5E27" w:rsidP="003E5E27">
            <w:pPr>
              <w:pStyle w:val="Table"/>
              <w:spacing w:line="240" w:lineRule="auto"/>
              <w:jc w:val="center"/>
            </w:pPr>
            <w:r>
              <w:t>Respondent universe</w:t>
            </w:r>
          </w:p>
        </w:tc>
        <w:tc>
          <w:tcPr>
            <w:tcW w:w="153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90–100%</w:t>
            </w:r>
          </w:p>
        </w:tc>
      </w:tr>
      <w:tr w:rsidR="003E5E27" w:rsidTr="003E5E27">
        <w:tc>
          <w:tcPr>
            <w:tcW w:w="2095" w:type="dxa"/>
            <w:tcBorders>
              <w:top w:val="single" w:sz="8" w:space="0" w:color="auto"/>
              <w:left w:val="nil"/>
              <w:bottom w:val="single" w:sz="8" w:space="0" w:color="auto"/>
              <w:right w:val="nil"/>
            </w:tcBorders>
          </w:tcPr>
          <w:p w:rsidR="003E5E27" w:rsidRPr="00780AE4" w:rsidRDefault="003E5E27" w:rsidP="003E5E27">
            <w:pPr>
              <w:pStyle w:val="Table"/>
              <w:spacing w:line="240" w:lineRule="auto"/>
            </w:pPr>
            <w:r>
              <w:t>Head Start Health Manager Interviews</w:t>
            </w:r>
          </w:p>
        </w:tc>
        <w:tc>
          <w:tcPr>
            <w:tcW w:w="2790" w:type="dxa"/>
            <w:tcBorders>
              <w:top w:val="single" w:sz="8" w:space="0" w:color="auto"/>
              <w:left w:val="nil"/>
              <w:bottom w:val="single" w:sz="8" w:space="0" w:color="auto"/>
              <w:right w:val="nil"/>
            </w:tcBorders>
          </w:tcPr>
          <w:p w:rsidR="003E5E27" w:rsidRPr="00780AE4" w:rsidRDefault="003E5E27" w:rsidP="000E0791">
            <w:pPr>
              <w:pStyle w:val="Table"/>
              <w:spacing w:line="240" w:lineRule="auto"/>
              <w:jc w:val="center"/>
            </w:pPr>
            <w:r>
              <w:t>Head Start health managers in programs administered by approximately 2,</w:t>
            </w:r>
            <w:r w:rsidR="000E0791">
              <w:t>900</w:t>
            </w:r>
            <w:r>
              <w:t xml:space="preserve"> grantee and delegate agencies</w:t>
            </w:r>
          </w:p>
        </w:tc>
        <w:tc>
          <w:tcPr>
            <w:tcW w:w="2610" w:type="dxa"/>
            <w:tcBorders>
              <w:top w:val="single" w:sz="8" w:space="0" w:color="auto"/>
              <w:left w:val="nil"/>
              <w:bottom w:val="single" w:sz="8" w:space="0" w:color="auto"/>
              <w:right w:val="nil"/>
            </w:tcBorders>
          </w:tcPr>
          <w:p w:rsidR="003E5E27" w:rsidRPr="00780AE4" w:rsidRDefault="00C51795" w:rsidP="00C51795">
            <w:pPr>
              <w:pStyle w:val="Table"/>
              <w:spacing w:line="240" w:lineRule="auto"/>
              <w:jc w:val="center"/>
            </w:pPr>
            <w:r>
              <w:t>Quota s</w:t>
            </w:r>
            <w:r w:rsidR="003E5E27">
              <w:t xml:space="preserve">ample of 40 </w:t>
            </w:r>
            <w:r w:rsidR="003E5E27">
              <w:br/>
              <w:t>health managers that completed the survey</w:t>
            </w:r>
          </w:p>
        </w:tc>
        <w:tc>
          <w:tcPr>
            <w:tcW w:w="153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90–100%</w:t>
            </w:r>
          </w:p>
        </w:tc>
      </w:tr>
      <w:tr w:rsidR="003E5E27" w:rsidTr="003E5E27">
        <w:tc>
          <w:tcPr>
            <w:tcW w:w="2095" w:type="dxa"/>
            <w:tcBorders>
              <w:top w:val="single" w:sz="8" w:space="0" w:color="auto"/>
              <w:left w:val="nil"/>
              <w:bottom w:val="single" w:sz="8" w:space="0" w:color="auto"/>
              <w:right w:val="nil"/>
            </w:tcBorders>
          </w:tcPr>
          <w:p w:rsidR="003E5E27" w:rsidRDefault="003E5E27" w:rsidP="003E5E27">
            <w:pPr>
              <w:pStyle w:val="Table"/>
              <w:spacing w:line="240" w:lineRule="auto"/>
            </w:pPr>
            <w:r>
              <w:t xml:space="preserve">Head Start Teacher, Family Service Worker, and Home </w:t>
            </w:r>
            <w:r>
              <w:br/>
              <w:t>Visitor Interviews</w:t>
            </w:r>
          </w:p>
        </w:tc>
        <w:tc>
          <w:tcPr>
            <w:tcW w:w="2790" w:type="dxa"/>
            <w:tcBorders>
              <w:top w:val="single" w:sz="8" w:space="0" w:color="auto"/>
              <w:left w:val="nil"/>
              <w:bottom w:val="single" w:sz="8" w:space="0" w:color="auto"/>
              <w:right w:val="nil"/>
            </w:tcBorders>
          </w:tcPr>
          <w:p w:rsidR="003E5E27" w:rsidRDefault="003E5E27" w:rsidP="000E0791">
            <w:pPr>
              <w:pStyle w:val="Table"/>
              <w:spacing w:line="240" w:lineRule="auto"/>
              <w:jc w:val="center"/>
            </w:pPr>
            <w:r>
              <w:t>Head Start teachers, family service workers, and home visitors in programs administered by approximately 2,</w:t>
            </w:r>
            <w:r w:rsidR="000E0791">
              <w:t xml:space="preserve">900 </w:t>
            </w:r>
            <w:r>
              <w:t>grantee and delegate agencies</w:t>
            </w:r>
          </w:p>
        </w:tc>
        <w:tc>
          <w:tcPr>
            <w:tcW w:w="261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 xml:space="preserve">Sample of 60 </w:t>
            </w:r>
            <w:r>
              <w:br/>
              <w:t>teachers, family service workers, and home visitors in programs where the health manager completed the survey</w:t>
            </w:r>
          </w:p>
        </w:tc>
        <w:tc>
          <w:tcPr>
            <w:tcW w:w="1530" w:type="dxa"/>
            <w:tcBorders>
              <w:top w:val="single" w:sz="8" w:space="0" w:color="auto"/>
              <w:left w:val="nil"/>
              <w:bottom w:val="single" w:sz="8" w:space="0" w:color="auto"/>
              <w:right w:val="nil"/>
            </w:tcBorders>
          </w:tcPr>
          <w:p w:rsidR="003E5E27" w:rsidRDefault="003E5E27" w:rsidP="003E5E27">
            <w:pPr>
              <w:pStyle w:val="Table"/>
              <w:spacing w:line="240" w:lineRule="auto"/>
              <w:jc w:val="center"/>
            </w:pPr>
            <w:r>
              <w:t>90–100%</w:t>
            </w:r>
          </w:p>
        </w:tc>
      </w:tr>
    </w:tbl>
    <w:p w:rsidR="003E5E27" w:rsidRDefault="003E5E27" w:rsidP="003E5E27">
      <w:pPr>
        <w:pStyle w:val="BodyText"/>
        <w:spacing w:line="240" w:lineRule="auto"/>
      </w:pPr>
    </w:p>
    <w:p w:rsidR="00CF6712" w:rsidRDefault="00850CF1" w:rsidP="00D7629C">
      <w:pPr>
        <w:pStyle w:val="BodyText"/>
        <w:spacing w:line="240" w:lineRule="auto"/>
      </w:pPr>
      <w:r>
        <w:rPr>
          <w:b/>
        </w:rPr>
        <w:t xml:space="preserve">Online Surveys. </w:t>
      </w:r>
      <w:r w:rsidR="00C85732">
        <w:t>For the two online surveys</w:t>
      </w:r>
      <w:r w:rsidR="00480F7D">
        <w:t xml:space="preserve">, </w:t>
      </w:r>
      <w:r w:rsidR="00C85732">
        <w:t xml:space="preserve">the universe of </w:t>
      </w:r>
      <w:r w:rsidR="000453C6">
        <w:t>H</w:t>
      </w:r>
      <w:r w:rsidR="008A42D7">
        <w:t xml:space="preserve">ead </w:t>
      </w:r>
      <w:r w:rsidR="000453C6">
        <w:t>S</w:t>
      </w:r>
      <w:r w:rsidR="008A42D7">
        <w:t>tart</w:t>
      </w:r>
      <w:r w:rsidR="00CF6712">
        <w:t xml:space="preserve"> </w:t>
      </w:r>
      <w:r w:rsidR="0043035A">
        <w:t xml:space="preserve">directors </w:t>
      </w:r>
      <w:r w:rsidR="00CF6712">
        <w:t xml:space="preserve">will be identified through the most recent </w:t>
      </w:r>
      <w:r w:rsidR="000453C6">
        <w:t>H</w:t>
      </w:r>
      <w:r w:rsidR="008A42D7">
        <w:t xml:space="preserve">ead </w:t>
      </w:r>
      <w:r w:rsidR="000453C6">
        <w:t>S</w:t>
      </w:r>
      <w:r w:rsidR="008A42D7">
        <w:t>tart</w:t>
      </w:r>
      <w:r w:rsidR="00CF6712">
        <w:t xml:space="preserve"> Pr</w:t>
      </w:r>
      <w:r w:rsidR="00780FF5">
        <w:t>ogram Information Reports (PIR).</w:t>
      </w:r>
      <w:r>
        <w:t xml:space="preserve"> The PIR database </w:t>
      </w:r>
      <w:r w:rsidR="00CF6712">
        <w:t>provide</w:t>
      </w:r>
      <w:r>
        <w:t>s</w:t>
      </w:r>
      <w:r w:rsidR="00CF6712">
        <w:t xml:space="preserve"> contact information</w:t>
      </w:r>
      <w:r>
        <w:t xml:space="preserve"> for the program director</w:t>
      </w:r>
      <w:r w:rsidR="00CF6712">
        <w:t xml:space="preserve"> for all </w:t>
      </w:r>
      <w:r w:rsidR="006A4D33">
        <w:t xml:space="preserve">2,870 </w:t>
      </w:r>
      <w:r w:rsidR="000453C6">
        <w:t>H</w:t>
      </w:r>
      <w:r w:rsidR="008A42D7">
        <w:t xml:space="preserve">ead </w:t>
      </w:r>
      <w:r w:rsidR="000453C6">
        <w:t>S</w:t>
      </w:r>
      <w:r w:rsidR="008A42D7">
        <w:t>tart</w:t>
      </w:r>
      <w:r w:rsidR="00CF6712">
        <w:t xml:space="preserve"> grantee</w:t>
      </w:r>
      <w:r w:rsidR="00200FEB">
        <w:t>s and delegates</w:t>
      </w:r>
      <w:r w:rsidR="00D96455">
        <w:t>,</w:t>
      </w:r>
      <w:r w:rsidR="00200FEB">
        <w:t xml:space="preserve"> according to the</w:t>
      </w:r>
      <w:r w:rsidR="00070DB1">
        <w:t xml:space="preserve"> 2010-2011</w:t>
      </w:r>
      <w:r w:rsidR="00200FEB">
        <w:t xml:space="preserve"> PIR</w:t>
      </w:r>
      <w:r w:rsidR="00CF6712">
        <w:t>.</w:t>
      </w:r>
      <w:r w:rsidR="00B63ECE">
        <w:t xml:space="preserve"> </w:t>
      </w:r>
      <w:r w:rsidR="00CF6712">
        <w:t xml:space="preserve">Each </w:t>
      </w:r>
      <w:r w:rsidR="0043035A">
        <w:t xml:space="preserve">director </w:t>
      </w:r>
      <w:r w:rsidR="00CF6712">
        <w:t xml:space="preserve">will be contacted </w:t>
      </w:r>
      <w:r w:rsidR="00780FF5">
        <w:t>by</w:t>
      </w:r>
      <w:r w:rsidR="00CF6712">
        <w:t xml:space="preserve"> email, with follow-up contact as needed, and will be asked to </w:t>
      </w:r>
      <w:r w:rsidR="00D96455">
        <w:t xml:space="preserve">complete a brief survey that covers basic information about the </w:t>
      </w:r>
      <w:r w:rsidR="00CB7E94">
        <w:t>health services area</w:t>
      </w:r>
      <w:r w:rsidR="00D96455">
        <w:t xml:space="preserve"> in their Head Start program. The director will also be asked to </w:t>
      </w:r>
      <w:r w:rsidR="00CF6712">
        <w:t xml:space="preserve">provide </w:t>
      </w:r>
      <w:r w:rsidR="00D96455">
        <w:t>the name</w:t>
      </w:r>
      <w:r w:rsidR="006A4D33">
        <w:t>(s)</w:t>
      </w:r>
      <w:r w:rsidR="00CF6712">
        <w:t xml:space="preserve"> and contact information for the </w:t>
      </w:r>
      <w:r w:rsidR="0043035A">
        <w:t xml:space="preserve">health manager </w:t>
      </w:r>
      <w:r w:rsidR="00CF6712">
        <w:t>of their program.</w:t>
      </w:r>
      <w:r w:rsidR="00480F7D">
        <w:t xml:space="preserve"> </w:t>
      </w:r>
      <w:r w:rsidR="00D96455">
        <w:t xml:space="preserve">This information will then be used to establish the universe of Head Start health managers for the second online survey. </w:t>
      </w:r>
      <w:r w:rsidR="00035D35">
        <w:t>With this information, each health manager will receive an email with an invitation to participate in the study</w:t>
      </w:r>
      <w:r w:rsidR="00CE3A1F">
        <w:t xml:space="preserve"> (recruitment scripts can be found in Appendix K)</w:t>
      </w:r>
      <w:r w:rsidR="00035D35">
        <w:t xml:space="preserve">. </w:t>
      </w:r>
      <w:r w:rsidR="00480F7D">
        <w:t>Based on other recent surveys of H</w:t>
      </w:r>
      <w:r w:rsidR="00AD758C">
        <w:t xml:space="preserve">ead </w:t>
      </w:r>
      <w:r w:rsidR="00480F7D">
        <w:t>S</w:t>
      </w:r>
      <w:r w:rsidR="00AD758C">
        <w:t>tart</w:t>
      </w:r>
      <w:r w:rsidR="00480F7D">
        <w:t xml:space="preserve"> program administrators</w:t>
      </w:r>
      <w:r w:rsidR="00C85732">
        <w:t>, as discussed further below</w:t>
      </w:r>
      <w:r w:rsidR="00480F7D">
        <w:t xml:space="preserve">, response rates </w:t>
      </w:r>
      <w:r w:rsidR="00C85732">
        <w:t xml:space="preserve">for the online surveys </w:t>
      </w:r>
      <w:r w:rsidR="00480F7D">
        <w:t xml:space="preserve">are expected to </w:t>
      </w:r>
      <w:r w:rsidR="00C85732">
        <w:t>be in the range of 90 to</w:t>
      </w:r>
      <w:r w:rsidR="00035D35">
        <w:t xml:space="preserve"> </w:t>
      </w:r>
      <w:r w:rsidR="00480F7D">
        <w:t>100 percent</w:t>
      </w:r>
      <w:r w:rsidR="00C85732">
        <w:t>.</w:t>
      </w:r>
    </w:p>
    <w:p w:rsidR="00314999" w:rsidRDefault="00314999" w:rsidP="00D7629C">
      <w:pPr>
        <w:pStyle w:val="BodyText"/>
        <w:spacing w:line="240" w:lineRule="auto"/>
      </w:pPr>
    </w:p>
    <w:p w:rsidR="00A8762F" w:rsidRDefault="00A8762F" w:rsidP="00A8762F">
      <w:pPr>
        <w:pStyle w:val="BodyText"/>
        <w:spacing w:line="240" w:lineRule="auto"/>
      </w:pPr>
      <w:r>
        <w:rPr>
          <w:b/>
        </w:rPr>
        <w:t xml:space="preserve">Semi-Structured Interviews. </w:t>
      </w:r>
      <w:r w:rsidRPr="00E327F6">
        <w:t>For the second component, semi-structured interviews will be conducted with 40 H</w:t>
      </w:r>
      <w:r>
        <w:t xml:space="preserve">ead </w:t>
      </w:r>
      <w:r w:rsidRPr="00E327F6">
        <w:t>S</w:t>
      </w:r>
      <w:r>
        <w:t>tart</w:t>
      </w:r>
      <w:r w:rsidRPr="00E327F6">
        <w:t xml:space="preserve"> health managers and 60 H</w:t>
      </w:r>
      <w:r>
        <w:t xml:space="preserve">ead </w:t>
      </w:r>
      <w:r w:rsidRPr="00E327F6">
        <w:t>S</w:t>
      </w:r>
      <w:r>
        <w:t>tart</w:t>
      </w:r>
      <w:r w:rsidRPr="00E327F6">
        <w:t xml:space="preserve"> teachers</w:t>
      </w:r>
      <w:r>
        <w:t>,</w:t>
      </w:r>
      <w:r w:rsidRPr="00E327F6">
        <w:t xml:space="preserve"> family service workers</w:t>
      </w:r>
      <w:r>
        <w:t>, and home visitors</w:t>
      </w:r>
      <w:r w:rsidRPr="00E327F6">
        <w:t xml:space="preserve">. </w:t>
      </w:r>
      <w:r w:rsidR="00780FF5">
        <w:t xml:space="preserve">The sampling approach for this component is discussed </w:t>
      </w:r>
      <w:r w:rsidR="00C51795">
        <w:t>in B.1.2</w:t>
      </w:r>
      <w:r w:rsidR="00780FF5">
        <w:t>.</w:t>
      </w:r>
    </w:p>
    <w:p w:rsidR="00A8762F" w:rsidRDefault="00A8762F" w:rsidP="00D7629C">
      <w:pPr>
        <w:pStyle w:val="BodyText"/>
        <w:spacing w:line="240" w:lineRule="auto"/>
      </w:pPr>
    </w:p>
    <w:p w:rsidR="001E618B" w:rsidRPr="00526D2C" w:rsidRDefault="001E618B" w:rsidP="001E618B">
      <w:pPr>
        <w:pStyle w:val="BodyText"/>
        <w:spacing w:line="240" w:lineRule="auto"/>
        <w:rPr>
          <w:szCs w:val="22"/>
        </w:rPr>
      </w:pPr>
      <w:r w:rsidRPr="00526D2C">
        <w:rPr>
          <w:szCs w:val="22"/>
        </w:rPr>
        <w:t>All four study components are expected to have a high response rate</w:t>
      </w:r>
      <w:r w:rsidR="00780FF5" w:rsidRPr="00526D2C">
        <w:rPr>
          <w:szCs w:val="22"/>
        </w:rPr>
        <w:t xml:space="preserve"> based on the response rates obtained in other </w:t>
      </w:r>
      <w:r w:rsidR="00F07AAA" w:rsidRPr="00526D2C">
        <w:rPr>
          <w:szCs w:val="22"/>
        </w:rPr>
        <w:t xml:space="preserve">recent </w:t>
      </w:r>
      <w:r w:rsidR="00780FF5" w:rsidRPr="00526D2C">
        <w:rPr>
          <w:szCs w:val="22"/>
        </w:rPr>
        <w:t>survey</w:t>
      </w:r>
      <w:r w:rsidR="007D43A3" w:rsidRPr="00526D2C">
        <w:rPr>
          <w:szCs w:val="22"/>
        </w:rPr>
        <w:t>s of administrators and other staff in Head Start programs</w:t>
      </w:r>
      <w:r w:rsidRPr="00526D2C">
        <w:rPr>
          <w:szCs w:val="22"/>
        </w:rPr>
        <w:t xml:space="preserve">. The 1993-1995 </w:t>
      </w:r>
      <w:r w:rsidRPr="00526D2C">
        <w:rPr>
          <w:bCs/>
          <w:szCs w:val="22"/>
        </w:rPr>
        <w:t xml:space="preserve">Descriptive Study of Head Start Health Services sampled 80 Head Start centers for participation </w:t>
      </w:r>
      <w:r w:rsidRPr="00526D2C">
        <w:rPr>
          <w:bCs/>
          <w:szCs w:val="22"/>
        </w:rPr>
        <w:lastRenderedPageBreak/>
        <w:t>and all 80 centers participated in the study.</w:t>
      </w:r>
      <w:r w:rsidRPr="00526D2C">
        <w:rPr>
          <w:rStyle w:val="FootnoteReference"/>
          <w:bCs/>
          <w:szCs w:val="22"/>
        </w:rPr>
        <w:footnoteReference w:id="1"/>
      </w:r>
      <w:r w:rsidRPr="00526D2C">
        <w:rPr>
          <w:bCs/>
          <w:szCs w:val="22"/>
        </w:rPr>
        <w:t xml:space="preserve"> The </w:t>
      </w:r>
      <w:r w:rsidR="005C0FD4" w:rsidRPr="00526D2C">
        <w:rPr>
          <w:bCs/>
          <w:szCs w:val="22"/>
        </w:rPr>
        <w:t>2008</w:t>
      </w:r>
      <w:r w:rsidRPr="00526D2C">
        <w:rPr>
          <w:b/>
          <w:szCs w:val="22"/>
        </w:rPr>
        <w:t xml:space="preserve"> </w:t>
      </w:r>
      <w:r w:rsidR="00526D2C" w:rsidRPr="00526D2C">
        <w:rPr>
          <w:szCs w:val="22"/>
        </w:rPr>
        <w:t>Study of Healthy Activity and Eating Practices and Environments in Head Start</w:t>
      </w:r>
      <w:r w:rsidR="00526D2C">
        <w:rPr>
          <w:szCs w:val="22"/>
        </w:rPr>
        <w:t xml:space="preserve"> (SHAPES) surveyed the universe of 1,810 Head Start program directors (excluding those in U.S. territories) and obtained </w:t>
      </w:r>
      <w:r w:rsidRPr="00526D2C">
        <w:rPr>
          <w:szCs w:val="22"/>
        </w:rPr>
        <w:t>an 87% response rate.</w:t>
      </w:r>
      <w:r w:rsidRPr="00526D2C">
        <w:rPr>
          <w:rStyle w:val="FootnoteReference"/>
          <w:szCs w:val="22"/>
        </w:rPr>
        <w:footnoteReference w:id="2"/>
      </w:r>
      <w:r w:rsidR="00B63ECE">
        <w:rPr>
          <w:szCs w:val="22"/>
        </w:rPr>
        <w:t xml:space="preserve"> </w:t>
      </w:r>
      <w:r w:rsidRPr="00526D2C">
        <w:rPr>
          <w:szCs w:val="22"/>
        </w:rPr>
        <w:t xml:space="preserve">As another example, </w:t>
      </w:r>
      <w:r w:rsidR="003C05F8" w:rsidRPr="00526D2C">
        <w:rPr>
          <w:szCs w:val="22"/>
        </w:rPr>
        <w:t>a study of</w:t>
      </w:r>
      <w:r w:rsidR="0096373F" w:rsidRPr="00526D2C">
        <w:rPr>
          <w:szCs w:val="22"/>
        </w:rPr>
        <w:t xml:space="preserve"> oral health services conducted in 2005 for</w:t>
      </w:r>
      <w:r w:rsidR="003C05F8" w:rsidRPr="00526D2C">
        <w:rPr>
          <w:szCs w:val="22"/>
        </w:rPr>
        <w:t xml:space="preserve"> the </w:t>
      </w:r>
      <w:r w:rsidR="0096373F" w:rsidRPr="00526D2C">
        <w:rPr>
          <w:szCs w:val="22"/>
        </w:rPr>
        <w:t xml:space="preserve">universe of </w:t>
      </w:r>
      <w:r w:rsidR="003C05F8" w:rsidRPr="00526D2C">
        <w:rPr>
          <w:szCs w:val="22"/>
        </w:rPr>
        <w:t>18 Early Head Start programs in North Carolina obtained a 100% response rate for program directors and health managers</w:t>
      </w:r>
      <w:r w:rsidR="007D43A3" w:rsidRPr="00526D2C">
        <w:rPr>
          <w:szCs w:val="22"/>
        </w:rPr>
        <w:t xml:space="preserve"> and </w:t>
      </w:r>
      <w:r w:rsidR="00E527B3" w:rsidRPr="00526D2C">
        <w:rPr>
          <w:szCs w:val="22"/>
        </w:rPr>
        <w:t>a 98% response rate for the program staff</w:t>
      </w:r>
      <w:r w:rsidR="003C05F8" w:rsidRPr="00526D2C">
        <w:rPr>
          <w:szCs w:val="22"/>
        </w:rPr>
        <w:t>.</w:t>
      </w:r>
      <w:r w:rsidR="008A1029" w:rsidRPr="00526D2C">
        <w:rPr>
          <w:rStyle w:val="FootnoteReference"/>
          <w:szCs w:val="22"/>
        </w:rPr>
        <w:footnoteReference w:id="3"/>
      </w:r>
      <w:r w:rsidR="003C05F8" w:rsidRPr="00526D2C">
        <w:rPr>
          <w:szCs w:val="22"/>
        </w:rPr>
        <w:t xml:space="preserve"> </w:t>
      </w:r>
    </w:p>
    <w:p w:rsidR="00A8762F" w:rsidRDefault="00A8762F" w:rsidP="00D7629C">
      <w:pPr>
        <w:pStyle w:val="BodyText"/>
        <w:spacing w:line="240" w:lineRule="auto"/>
      </w:pPr>
    </w:p>
    <w:p w:rsidR="00A8762F" w:rsidRDefault="00A8762F" w:rsidP="00A8762F">
      <w:pPr>
        <w:pStyle w:val="AbtHeadC"/>
        <w:spacing w:after="0" w:line="240" w:lineRule="auto"/>
      </w:pPr>
      <w:r>
        <w:t>B.</w:t>
      </w:r>
      <w:r w:rsidR="00153C09">
        <w:t>1</w:t>
      </w:r>
      <w:r>
        <w:t>.</w:t>
      </w:r>
      <w:r w:rsidR="00153C09">
        <w:t>2</w:t>
      </w:r>
      <w:r>
        <w:t>.</w:t>
      </w:r>
      <w:r>
        <w:tab/>
        <w:t>Statistical Methodology for Stratification and Sample Selection and Degree of Accuracy Needed</w:t>
      </w:r>
    </w:p>
    <w:p w:rsidR="00A8762F" w:rsidRDefault="00A8762F" w:rsidP="00A8762F">
      <w:pPr>
        <w:spacing w:line="240" w:lineRule="auto"/>
      </w:pPr>
    </w:p>
    <w:p w:rsidR="002B7D60" w:rsidRPr="002B7D60" w:rsidRDefault="00F07AAA" w:rsidP="002B7D60">
      <w:pPr>
        <w:spacing w:line="240" w:lineRule="auto"/>
        <w:rPr>
          <w:szCs w:val="22"/>
        </w:rPr>
      </w:pPr>
      <w:r w:rsidRPr="002B7D60">
        <w:rPr>
          <w:b/>
          <w:szCs w:val="22"/>
        </w:rPr>
        <w:t xml:space="preserve">Online Surveys. </w:t>
      </w:r>
      <w:r w:rsidR="00F66004" w:rsidRPr="00F66004">
        <w:rPr>
          <w:szCs w:val="22"/>
        </w:rPr>
        <w:t xml:space="preserve">In order to reduce the burden on health manager respondents, we divided the Health Manager survey instrument into a set of Core Questions and Supplemental Questions as shown in </w:t>
      </w:r>
      <w:r w:rsidR="003B0704">
        <w:rPr>
          <w:szCs w:val="22"/>
        </w:rPr>
        <w:t xml:space="preserve">Exhibit B.1.2 </w:t>
      </w:r>
      <w:r w:rsidR="00F66004" w:rsidRPr="00F66004">
        <w:rPr>
          <w:szCs w:val="22"/>
        </w:rPr>
        <w:t>below, separately for each module.  (Appendix M provides a list of the survey questions and marks which items are included in the core and in the supplement.)</w:t>
      </w:r>
    </w:p>
    <w:p w:rsidR="002B7D60" w:rsidRPr="002B7D60" w:rsidRDefault="002B7D60" w:rsidP="002B7D60">
      <w:pPr>
        <w:spacing w:line="240" w:lineRule="auto"/>
        <w:rPr>
          <w:szCs w:val="22"/>
        </w:rPr>
      </w:pPr>
    </w:p>
    <w:p w:rsidR="002B7D60" w:rsidRPr="002B7D60" w:rsidRDefault="00F66004" w:rsidP="002B7D60">
      <w:pPr>
        <w:spacing w:line="240" w:lineRule="auto"/>
        <w:rPr>
          <w:szCs w:val="22"/>
        </w:rPr>
      </w:pPr>
      <w:r w:rsidRPr="00F66004">
        <w:rPr>
          <w:szCs w:val="22"/>
        </w:rPr>
        <w:t>As shown in the table, there are a total of 66 questions in the Core questionnaire and 57 questions in the Supplemental questionnaire. We plan to divide the supplemental questions into four modules and, within the strata below, randomly assign each respondent to one of the four supplemental modules (S1 to S4 in the table). Thus, each supplemental question will be administered to approximately 25 percent of the sample of respondents. Supplemental questions in the same module will be grouped together and be administered as part of the survey in the current order to maintain the flow of the instrument (a feasible approach with an online instrument).  By administering supplemental questions in a given module together, responses across questions on the same topic can be analyzed together for the random subset of respondents who answered those questions.</w:t>
      </w:r>
    </w:p>
    <w:p w:rsidR="002B7D60" w:rsidRPr="002B7D60" w:rsidRDefault="002B7D60" w:rsidP="002B7D60">
      <w:pPr>
        <w:spacing w:line="240" w:lineRule="auto"/>
        <w:rPr>
          <w:szCs w:val="22"/>
        </w:rPr>
      </w:pPr>
    </w:p>
    <w:p w:rsidR="002B7D60" w:rsidRPr="002B7D60" w:rsidRDefault="00F66004" w:rsidP="002B7D60">
      <w:pPr>
        <w:spacing w:line="240" w:lineRule="auto"/>
        <w:rPr>
          <w:szCs w:val="22"/>
        </w:rPr>
      </w:pPr>
      <w:r w:rsidRPr="00F66004">
        <w:rPr>
          <w:szCs w:val="22"/>
        </w:rPr>
        <w:t>The supplemental questions will be randomly assigned at a 25% sampling rate within strata defined by the following four program characteristics to ensure that the samples responding to each supplement are representative of the overall population of health managers:</w:t>
      </w:r>
    </w:p>
    <w:p w:rsidR="002B7D60" w:rsidRPr="002B7D60" w:rsidRDefault="00F66004" w:rsidP="002B7D60">
      <w:pPr>
        <w:pStyle w:val="ListParagraph"/>
        <w:numPr>
          <w:ilvl w:val="0"/>
          <w:numId w:val="33"/>
        </w:numPr>
        <w:spacing w:after="0" w:line="240" w:lineRule="auto"/>
        <w:rPr>
          <w:rFonts w:ascii="Times New Roman" w:hAnsi="Times New Roman" w:cs="Times New Roman"/>
        </w:rPr>
      </w:pPr>
      <w:r w:rsidRPr="00F66004">
        <w:rPr>
          <w:rFonts w:ascii="Times New Roman" w:hAnsi="Times New Roman" w:cs="Times New Roman"/>
        </w:rPr>
        <w:t>Special population program (MS, AIAN, standard program),</w:t>
      </w:r>
    </w:p>
    <w:p w:rsidR="002B7D60" w:rsidRPr="002B7D60" w:rsidRDefault="00F66004" w:rsidP="002B7D60">
      <w:pPr>
        <w:pStyle w:val="ListParagraph"/>
        <w:numPr>
          <w:ilvl w:val="0"/>
          <w:numId w:val="33"/>
        </w:numPr>
        <w:spacing w:after="0" w:line="240" w:lineRule="auto"/>
        <w:rPr>
          <w:rFonts w:ascii="Times New Roman" w:hAnsi="Times New Roman" w:cs="Times New Roman"/>
        </w:rPr>
      </w:pPr>
      <w:r w:rsidRPr="00F66004">
        <w:rPr>
          <w:rFonts w:ascii="Times New Roman" w:hAnsi="Times New Roman" w:cs="Times New Roman"/>
        </w:rPr>
        <w:t xml:space="preserve">Program type (EHS or EHS/HS, HS only), </w:t>
      </w:r>
    </w:p>
    <w:p w:rsidR="002B7D60" w:rsidRPr="002B7D60" w:rsidRDefault="00F66004" w:rsidP="002B7D60">
      <w:pPr>
        <w:pStyle w:val="ListParagraph"/>
        <w:numPr>
          <w:ilvl w:val="0"/>
          <w:numId w:val="33"/>
        </w:numPr>
        <w:spacing w:after="0" w:line="240" w:lineRule="auto"/>
        <w:rPr>
          <w:rFonts w:ascii="Times New Roman" w:hAnsi="Times New Roman" w:cs="Times New Roman"/>
        </w:rPr>
      </w:pPr>
      <w:r w:rsidRPr="00F66004">
        <w:rPr>
          <w:rFonts w:ascii="Times New Roman" w:hAnsi="Times New Roman" w:cs="Times New Roman"/>
        </w:rPr>
        <w:t>Program size of grantee or delegate agency (three levels), and</w:t>
      </w:r>
    </w:p>
    <w:p w:rsidR="002B7D60" w:rsidRPr="002B7D60" w:rsidRDefault="00F66004" w:rsidP="002B7D60">
      <w:pPr>
        <w:pStyle w:val="ListParagraph"/>
        <w:numPr>
          <w:ilvl w:val="0"/>
          <w:numId w:val="33"/>
        </w:numPr>
        <w:spacing w:after="0" w:line="240" w:lineRule="auto"/>
        <w:rPr>
          <w:rFonts w:ascii="Times New Roman" w:hAnsi="Times New Roman" w:cs="Times New Roman"/>
        </w:rPr>
      </w:pPr>
      <w:r w:rsidRPr="00F66004">
        <w:rPr>
          <w:rFonts w:ascii="Times New Roman" w:hAnsi="Times New Roman" w:cs="Times New Roman"/>
        </w:rPr>
        <w:t>Percent dual language learners (three levels).</w:t>
      </w:r>
    </w:p>
    <w:p w:rsidR="002B7D60" w:rsidRPr="002B7D60" w:rsidRDefault="00F66004" w:rsidP="002B7D60">
      <w:pPr>
        <w:spacing w:line="240" w:lineRule="auto"/>
        <w:rPr>
          <w:szCs w:val="22"/>
        </w:rPr>
      </w:pPr>
      <w:r w:rsidRPr="00F66004">
        <w:rPr>
          <w:szCs w:val="22"/>
        </w:rPr>
        <w:t>This stratification will yield 54 groups where 25% of each group will be randomly assigned to one of the four supplemental modules.</w:t>
      </w:r>
    </w:p>
    <w:p w:rsidR="002B7D60" w:rsidRDefault="002B7D60" w:rsidP="002B7D60">
      <w:pPr>
        <w:spacing w:line="240" w:lineRule="auto"/>
        <w:rPr>
          <w:szCs w:val="22"/>
        </w:rPr>
      </w:pPr>
    </w:p>
    <w:p w:rsidR="00E71D10" w:rsidRDefault="00E71D10" w:rsidP="002B7D60">
      <w:pPr>
        <w:spacing w:line="240" w:lineRule="auto"/>
        <w:rPr>
          <w:szCs w:val="22"/>
        </w:rPr>
      </w:pPr>
    </w:p>
    <w:p w:rsidR="00E71D10" w:rsidRDefault="00E71D10" w:rsidP="002B7D60">
      <w:pPr>
        <w:spacing w:line="240" w:lineRule="auto"/>
        <w:rPr>
          <w:szCs w:val="22"/>
        </w:rPr>
      </w:pPr>
    </w:p>
    <w:p w:rsidR="00E71D10" w:rsidRDefault="00E71D10" w:rsidP="002B7D60">
      <w:pPr>
        <w:spacing w:line="240" w:lineRule="auto"/>
        <w:rPr>
          <w:szCs w:val="22"/>
        </w:rPr>
      </w:pPr>
    </w:p>
    <w:p w:rsidR="00E71D10" w:rsidRDefault="00E71D10" w:rsidP="002B7D60">
      <w:pPr>
        <w:spacing w:line="240" w:lineRule="auto"/>
        <w:rPr>
          <w:szCs w:val="22"/>
        </w:rPr>
      </w:pPr>
    </w:p>
    <w:p w:rsidR="00E71D10" w:rsidRPr="002B7D60" w:rsidRDefault="00E71D10" w:rsidP="002B7D60">
      <w:pPr>
        <w:spacing w:line="240" w:lineRule="auto"/>
        <w:rPr>
          <w:szCs w:val="2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1"/>
        <w:gridCol w:w="1211"/>
        <w:gridCol w:w="1440"/>
        <w:gridCol w:w="1336"/>
        <w:gridCol w:w="1336"/>
        <w:gridCol w:w="1336"/>
        <w:gridCol w:w="1336"/>
      </w:tblGrid>
      <w:tr w:rsidR="002B7D60" w:rsidRPr="002B7D60" w:rsidTr="00D12657">
        <w:tc>
          <w:tcPr>
            <w:tcW w:w="9216" w:type="dxa"/>
            <w:gridSpan w:val="7"/>
            <w:tcBorders>
              <w:top w:val="single" w:sz="24" w:space="0" w:color="auto"/>
              <w:bottom w:val="single" w:sz="24" w:space="0" w:color="auto"/>
            </w:tcBorders>
          </w:tcPr>
          <w:p w:rsidR="00262402" w:rsidRDefault="003B0704">
            <w:pPr>
              <w:rPr>
                <w:rFonts w:ascii="Times New Roman" w:eastAsia="Times New Roman" w:hAnsi="Times New Roman" w:cs="Times New Roman"/>
                <w:szCs w:val="20"/>
              </w:rPr>
            </w:pPr>
            <w:r>
              <w:rPr>
                <w:b/>
              </w:rPr>
              <w:lastRenderedPageBreak/>
              <w:t xml:space="preserve">Exhibit B.1.2 </w:t>
            </w:r>
            <w:r w:rsidR="00F66004" w:rsidRPr="00F66004">
              <w:rPr>
                <w:rFonts w:ascii="Arial" w:hAnsi="Arial" w:cs="Arial"/>
                <w:b/>
                <w:sz w:val="20"/>
              </w:rPr>
              <w:t>Number of Survey Items in Health Manager Instrument by Core/Supplement and Module</w:t>
            </w:r>
          </w:p>
        </w:tc>
      </w:tr>
      <w:tr w:rsidR="002B7D60" w:rsidRPr="002B7D60" w:rsidTr="00D12657">
        <w:tc>
          <w:tcPr>
            <w:tcW w:w="1221" w:type="dxa"/>
            <w:tcBorders>
              <w:top w:val="single" w:sz="24" w:space="0" w:color="auto"/>
              <w:bottom w:val="single" w:sz="4" w:space="0" w:color="auto"/>
            </w:tcBorders>
          </w:tcPr>
          <w:p w:rsidR="002B7D60" w:rsidRPr="003B0704" w:rsidRDefault="002B7D60" w:rsidP="002B7D60">
            <w:pPr>
              <w:spacing w:after="200" w:line="276" w:lineRule="auto"/>
              <w:rPr>
                <w:rFonts w:ascii="Arial" w:hAnsi="Arial" w:cs="Arial"/>
                <w:sz w:val="20"/>
                <w:szCs w:val="20"/>
              </w:rPr>
            </w:pPr>
          </w:p>
        </w:tc>
        <w:tc>
          <w:tcPr>
            <w:tcW w:w="1211" w:type="dxa"/>
            <w:tcBorders>
              <w:top w:val="single" w:sz="24" w:space="0" w:color="auto"/>
              <w:bottom w:val="single" w:sz="4" w:space="0" w:color="auto"/>
            </w:tcBorders>
            <w:vAlign w:val="bottom"/>
          </w:tcPr>
          <w:p w:rsidR="002B7D60" w:rsidRPr="003B0704" w:rsidRDefault="00F66004" w:rsidP="003B0704">
            <w:pPr>
              <w:jc w:val="center"/>
              <w:rPr>
                <w:rFonts w:ascii="Arial" w:hAnsi="Arial" w:cs="Arial"/>
                <w:sz w:val="20"/>
                <w:szCs w:val="20"/>
              </w:rPr>
            </w:pPr>
            <w:r w:rsidRPr="00F66004">
              <w:rPr>
                <w:rFonts w:ascii="Arial" w:hAnsi="Arial" w:cs="Arial"/>
                <w:sz w:val="20"/>
              </w:rPr>
              <w:t>Core Items</w:t>
            </w:r>
          </w:p>
        </w:tc>
        <w:tc>
          <w:tcPr>
            <w:tcW w:w="1440" w:type="dxa"/>
            <w:tcBorders>
              <w:top w:val="single" w:sz="24" w:space="0" w:color="auto"/>
              <w:bottom w:val="single" w:sz="4" w:space="0" w:color="auto"/>
            </w:tcBorders>
            <w:vAlign w:val="bottom"/>
          </w:tcPr>
          <w:p w:rsidR="002B7D60" w:rsidRPr="003B0704" w:rsidRDefault="00F66004" w:rsidP="003B0704">
            <w:pPr>
              <w:jc w:val="center"/>
              <w:rPr>
                <w:rFonts w:ascii="Arial" w:hAnsi="Arial" w:cs="Arial"/>
                <w:sz w:val="20"/>
                <w:szCs w:val="20"/>
              </w:rPr>
            </w:pPr>
            <w:r w:rsidRPr="00F66004">
              <w:rPr>
                <w:rFonts w:ascii="Arial" w:hAnsi="Arial" w:cs="Arial"/>
                <w:sz w:val="20"/>
              </w:rPr>
              <w:t>Total Supplemental Items</w:t>
            </w:r>
          </w:p>
        </w:tc>
        <w:tc>
          <w:tcPr>
            <w:tcW w:w="1336" w:type="dxa"/>
            <w:tcBorders>
              <w:top w:val="single" w:sz="24" w:space="0" w:color="auto"/>
              <w:bottom w:val="single" w:sz="4" w:space="0" w:color="auto"/>
            </w:tcBorders>
            <w:vAlign w:val="bottom"/>
          </w:tcPr>
          <w:p w:rsidR="002B7D60" w:rsidRPr="003B0704" w:rsidRDefault="00F66004" w:rsidP="00B61AFE">
            <w:pPr>
              <w:jc w:val="center"/>
              <w:rPr>
                <w:rFonts w:ascii="Arial" w:hAnsi="Arial" w:cs="Arial"/>
                <w:sz w:val="20"/>
                <w:szCs w:val="20"/>
              </w:rPr>
            </w:pPr>
            <w:r w:rsidRPr="00F66004">
              <w:rPr>
                <w:rFonts w:ascii="Arial" w:hAnsi="Arial" w:cs="Arial"/>
                <w:sz w:val="20"/>
              </w:rPr>
              <w:t>Supplement 1</w:t>
            </w:r>
          </w:p>
        </w:tc>
        <w:tc>
          <w:tcPr>
            <w:tcW w:w="1336" w:type="dxa"/>
            <w:tcBorders>
              <w:top w:val="single" w:sz="24" w:space="0" w:color="auto"/>
              <w:bottom w:val="single" w:sz="4" w:space="0" w:color="auto"/>
            </w:tcBorders>
            <w:vAlign w:val="bottom"/>
          </w:tcPr>
          <w:p w:rsidR="002B7D60" w:rsidRPr="003B0704" w:rsidRDefault="00F66004" w:rsidP="00421888">
            <w:pPr>
              <w:jc w:val="center"/>
              <w:rPr>
                <w:rFonts w:ascii="Arial" w:hAnsi="Arial" w:cs="Arial"/>
                <w:sz w:val="20"/>
                <w:szCs w:val="20"/>
              </w:rPr>
            </w:pPr>
            <w:r w:rsidRPr="00F66004">
              <w:rPr>
                <w:rFonts w:ascii="Arial" w:hAnsi="Arial" w:cs="Arial"/>
                <w:sz w:val="20"/>
              </w:rPr>
              <w:t>Supplement 2</w:t>
            </w:r>
          </w:p>
        </w:tc>
        <w:tc>
          <w:tcPr>
            <w:tcW w:w="1336" w:type="dxa"/>
            <w:tcBorders>
              <w:top w:val="single" w:sz="24" w:space="0" w:color="auto"/>
              <w:bottom w:val="single" w:sz="4" w:space="0" w:color="auto"/>
            </w:tcBorders>
            <w:vAlign w:val="bottom"/>
          </w:tcPr>
          <w:p w:rsidR="002B7D60" w:rsidRPr="003B0704" w:rsidRDefault="00F66004" w:rsidP="00421888">
            <w:pPr>
              <w:jc w:val="center"/>
              <w:rPr>
                <w:rFonts w:ascii="Arial" w:hAnsi="Arial" w:cs="Arial"/>
                <w:sz w:val="20"/>
                <w:szCs w:val="20"/>
              </w:rPr>
            </w:pPr>
            <w:r w:rsidRPr="00F66004">
              <w:rPr>
                <w:rFonts w:ascii="Arial" w:hAnsi="Arial" w:cs="Arial"/>
                <w:sz w:val="20"/>
              </w:rPr>
              <w:t>Supplement 3</w:t>
            </w:r>
          </w:p>
        </w:tc>
        <w:tc>
          <w:tcPr>
            <w:tcW w:w="1336" w:type="dxa"/>
            <w:tcBorders>
              <w:top w:val="single" w:sz="24" w:space="0" w:color="auto"/>
              <w:bottom w:val="single" w:sz="4" w:space="0" w:color="auto"/>
            </w:tcBorders>
            <w:vAlign w:val="bottom"/>
          </w:tcPr>
          <w:p w:rsidR="002B7D60" w:rsidRPr="003B0704" w:rsidRDefault="00F66004">
            <w:pPr>
              <w:jc w:val="center"/>
              <w:rPr>
                <w:rFonts w:ascii="Arial" w:hAnsi="Arial" w:cs="Arial"/>
                <w:sz w:val="20"/>
                <w:szCs w:val="20"/>
              </w:rPr>
            </w:pPr>
            <w:r w:rsidRPr="00F66004">
              <w:rPr>
                <w:rFonts w:ascii="Arial" w:hAnsi="Arial" w:cs="Arial"/>
                <w:sz w:val="20"/>
              </w:rPr>
              <w:t>Supplement 4</w:t>
            </w:r>
          </w:p>
        </w:tc>
      </w:tr>
      <w:tr w:rsidR="002B7D60" w:rsidRPr="002B7D60" w:rsidTr="003B0704">
        <w:tc>
          <w:tcPr>
            <w:tcW w:w="1221" w:type="dxa"/>
            <w:tcBorders>
              <w:top w:val="single" w:sz="4" w:space="0" w:color="auto"/>
            </w:tcBorders>
          </w:tcPr>
          <w:p w:rsidR="00262402" w:rsidRDefault="00F66004">
            <w:pPr>
              <w:spacing w:after="40" w:line="276" w:lineRule="auto"/>
              <w:rPr>
                <w:rFonts w:ascii="Arial" w:hAnsi="Arial" w:cs="Arial"/>
                <w:sz w:val="20"/>
                <w:szCs w:val="20"/>
              </w:rPr>
            </w:pPr>
            <w:r w:rsidRPr="00F66004">
              <w:rPr>
                <w:rFonts w:ascii="Arial" w:hAnsi="Arial" w:cs="Arial"/>
                <w:sz w:val="20"/>
              </w:rPr>
              <w:t>Module 1</w:t>
            </w:r>
          </w:p>
        </w:tc>
        <w:tc>
          <w:tcPr>
            <w:tcW w:w="1211"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hAnsi="Arial" w:cs="Arial"/>
                <w:sz w:val="20"/>
                <w:szCs w:val="20"/>
              </w:rPr>
            </w:pPr>
            <w:r w:rsidRPr="00F66004">
              <w:rPr>
                <w:rFonts w:ascii="Arial" w:hAnsi="Arial" w:cs="Arial"/>
                <w:sz w:val="20"/>
              </w:rPr>
              <w:t>19</w:t>
            </w:r>
          </w:p>
        </w:tc>
        <w:tc>
          <w:tcPr>
            <w:tcW w:w="1440"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13</w:t>
            </w:r>
          </w:p>
        </w:tc>
        <w:tc>
          <w:tcPr>
            <w:tcW w:w="1336"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13</w:t>
            </w:r>
          </w:p>
        </w:tc>
        <w:tc>
          <w:tcPr>
            <w:tcW w:w="1336"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Borders>
              <w:top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2</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4</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7</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7</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3</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15</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17</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13</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4</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4</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6</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11</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11</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5</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3</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3</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6</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2</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4</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4</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r>
      <w:tr w:rsidR="002B7D60" w:rsidRPr="002B7D60" w:rsidTr="003B0704">
        <w:tc>
          <w:tcPr>
            <w:tcW w:w="1221" w:type="dxa"/>
          </w:tcPr>
          <w:p w:rsidR="00262402" w:rsidRDefault="00F66004">
            <w:pPr>
              <w:spacing w:after="40" w:line="276" w:lineRule="auto"/>
              <w:rPr>
                <w:rFonts w:ascii="Arial" w:hAnsi="Arial" w:cs="Arial"/>
                <w:sz w:val="20"/>
                <w:szCs w:val="20"/>
              </w:rPr>
            </w:pPr>
            <w:r w:rsidRPr="00F66004">
              <w:rPr>
                <w:rFonts w:ascii="Arial" w:hAnsi="Arial" w:cs="Arial"/>
                <w:sz w:val="20"/>
              </w:rPr>
              <w:t>Module 7</w:t>
            </w:r>
          </w:p>
        </w:tc>
        <w:tc>
          <w:tcPr>
            <w:tcW w:w="1211"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20</w:t>
            </w:r>
          </w:p>
        </w:tc>
        <w:tc>
          <w:tcPr>
            <w:tcW w:w="1440"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2</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2</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c>
          <w:tcPr>
            <w:tcW w:w="1336" w:type="dxa"/>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0</w:t>
            </w:r>
          </w:p>
        </w:tc>
      </w:tr>
      <w:tr w:rsidR="002B7D60" w:rsidRPr="002B7D60" w:rsidTr="003B0704">
        <w:tc>
          <w:tcPr>
            <w:tcW w:w="1221" w:type="dxa"/>
            <w:tcBorders>
              <w:bottom w:val="single" w:sz="4" w:space="0" w:color="auto"/>
            </w:tcBorders>
          </w:tcPr>
          <w:p w:rsidR="00262402" w:rsidRDefault="00F66004">
            <w:pPr>
              <w:spacing w:after="40" w:line="276" w:lineRule="auto"/>
              <w:rPr>
                <w:rFonts w:ascii="Arial" w:hAnsi="Arial" w:cs="Arial"/>
                <w:sz w:val="20"/>
                <w:szCs w:val="20"/>
              </w:rPr>
            </w:pPr>
            <w:r w:rsidRPr="00F66004">
              <w:rPr>
                <w:rFonts w:ascii="Arial" w:hAnsi="Arial" w:cs="Arial"/>
                <w:sz w:val="20"/>
              </w:rPr>
              <w:t xml:space="preserve">   Total</w:t>
            </w:r>
          </w:p>
        </w:tc>
        <w:tc>
          <w:tcPr>
            <w:tcW w:w="1211"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66</w:t>
            </w:r>
          </w:p>
        </w:tc>
        <w:tc>
          <w:tcPr>
            <w:tcW w:w="1440"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57</w:t>
            </w:r>
          </w:p>
        </w:tc>
        <w:tc>
          <w:tcPr>
            <w:tcW w:w="1336"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15</w:t>
            </w:r>
          </w:p>
        </w:tc>
        <w:tc>
          <w:tcPr>
            <w:tcW w:w="1336"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14</w:t>
            </w:r>
          </w:p>
        </w:tc>
        <w:tc>
          <w:tcPr>
            <w:tcW w:w="1336"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13</w:t>
            </w:r>
          </w:p>
        </w:tc>
        <w:tc>
          <w:tcPr>
            <w:tcW w:w="1336" w:type="dxa"/>
            <w:tcBorders>
              <w:bottom w:val="single" w:sz="4" w:space="0" w:color="auto"/>
            </w:tcBorders>
          </w:tcPr>
          <w:p w:rsidR="00262402" w:rsidRDefault="00F66004">
            <w:pPr>
              <w:tabs>
                <w:tab w:val="clear" w:pos="720"/>
                <w:tab w:val="clear" w:pos="1080"/>
                <w:tab w:val="clear" w:pos="1440"/>
                <w:tab w:val="clear" w:pos="1800"/>
                <w:tab w:val="decimal" w:pos="651"/>
              </w:tabs>
              <w:spacing w:after="40"/>
              <w:rPr>
                <w:rFonts w:ascii="Arial" w:eastAsia="Times New Roman" w:hAnsi="Arial" w:cs="Arial"/>
                <w:sz w:val="20"/>
                <w:szCs w:val="20"/>
              </w:rPr>
            </w:pPr>
            <w:r w:rsidRPr="00F66004">
              <w:rPr>
                <w:rFonts w:ascii="Arial" w:hAnsi="Arial" w:cs="Arial"/>
                <w:sz w:val="20"/>
              </w:rPr>
              <w:t>15</w:t>
            </w:r>
          </w:p>
        </w:tc>
      </w:tr>
    </w:tbl>
    <w:p w:rsidR="002B7D60" w:rsidRPr="00E71D10" w:rsidRDefault="002B7D60" w:rsidP="002B7D60">
      <w:pPr>
        <w:ind w:left="1080" w:hanging="360"/>
        <w:rPr>
          <w:szCs w:val="22"/>
        </w:rPr>
      </w:pPr>
    </w:p>
    <w:p w:rsidR="003B0704" w:rsidRDefault="003B0704" w:rsidP="003B0704">
      <w:pPr>
        <w:rPr>
          <w:szCs w:val="22"/>
        </w:rPr>
      </w:pPr>
      <w:r w:rsidRPr="00E71D10">
        <w:rPr>
          <w:szCs w:val="22"/>
        </w:rPr>
        <w:t xml:space="preserve">Although the study is designed to be a descriptive analysis, </w:t>
      </w:r>
      <w:r w:rsidR="002006DE">
        <w:rPr>
          <w:szCs w:val="22"/>
        </w:rPr>
        <w:t xml:space="preserve">we have </w:t>
      </w:r>
      <w:r w:rsidR="006E6A4D">
        <w:rPr>
          <w:szCs w:val="22"/>
        </w:rPr>
        <w:t>c</w:t>
      </w:r>
      <w:r w:rsidR="00F66004" w:rsidRPr="00F66004">
        <w:rPr>
          <w:szCs w:val="22"/>
        </w:rPr>
        <w:t>onducted a power analysis</w:t>
      </w:r>
      <w:r w:rsidR="002006DE">
        <w:rPr>
          <w:szCs w:val="22"/>
        </w:rPr>
        <w:t xml:space="preserve"> t</w:t>
      </w:r>
      <w:r w:rsidR="002006DE" w:rsidRPr="0063248F">
        <w:rPr>
          <w:szCs w:val="22"/>
        </w:rPr>
        <w:t xml:space="preserve">o assess the ability of the </w:t>
      </w:r>
      <w:r w:rsidR="006E6A4D">
        <w:rPr>
          <w:szCs w:val="22"/>
        </w:rPr>
        <w:t xml:space="preserve">available </w:t>
      </w:r>
      <w:r w:rsidR="002006DE" w:rsidRPr="0063248F">
        <w:rPr>
          <w:szCs w:val="22"/>
        </w:rPr>
        <w:t>sample size</w:t>
      </w:r>
      <w:r w:rsidR="006E6A4D">
        <w:rPr>
          <w:szCs w:val="22"/>
        </w:rPr>
        <w:t>s</w:t>
      </w:r>
      <w:r w:rsidR="002006DE" w:rsidRPr="0063248F">
        <w:rPr>
          <w:szCs w:val="22"/>
        </w:rPr>
        <w:t xml:space="preserve"> to allow the detection of meaningful differences between different groups in the core module outcomes as well as the different supplement modules</w:t>
      </w:r>
      <w:r w:rsidR="002006DE">
        <w:rPr>
          <w:szCs w:val="22"/>
        </w:rPr>
        <w:t>. The analysis assumes</w:t>
      </w:r>
      <w:r w:rsidR="00F66004" w:rsidRPr="00F66004">
        <w:rPr>
          <w:szCs w:val="22"/>
        </w:rPr>
        <w:t xml:space="preserve"> an 80% power and a 0.05 significance level. With the different comparisons that will be conducted with the data, we </w:t>
      </w:r>
      <w:r w:rsidR="002006DE">
        <w:rPr>
          <w:szCs w:val="22"/>
        </w:rPr>
        <w:t>calculated</w:t>
      </w:r>
      <w:r w:rsidR="00F66004" w:rsidRPr="00F66004">
        <w:rPr>
          <w:szCs w:val="22"/>
        </w:rPr>
        <w:t xml:space="preserve"> the </w:t>
      </w:r>
      <w:r w:rsidR="002006DE">
        <w:rPr>
          <w:szCs w:val="22"/>
        </w:rPr>
        <w:t xml:space="preserve">power </w:t>
      </w:r>
      <w:r w:rsidR="00F66004" w:rsidRPr="00F66004">
        <w:rPr>
          <w:szCs w:val="22"/>
        </w:rPr>
        <w:t xml:space="preserve">analysis for comparison groups where the sample will be evenly split between the groups (e.g. small </w:t>
      </w:r>
      <w:r w:rsidR="002006DE">
        <w:rPr>
          <w:szCs w:val="22"/>
        </w:rPr>
        <w:t>versus</w:t>
      </w:r>
      <w:r w:rsidR="00F66004" w:rsidRPr="00F66004">
        <w:rPr>
          <w:szCs w:val="22"/>
        </w:rPr>
        <w:t xml:space="preserve"> large programs with a 50-50 split of the sample) as well as comparisons where imbalance between the groups can be as low as a 70-30 split (e.g. </w:t>
      </w:r>
      <w:r w:rsidR="002006DE">
        <w:rPr>
          <w:szCs w:val="22"/>
        </w:rPr>
        <w:t>programs defined by the percentage of dual language learners</w:t>
      </w:r>
      <w:r w:rsidR="00F66004" w:rsidRPr="00F66004">
        <w:rPr>
          <w:szCs w:val="22"/>
        </w:rPr>
        <w:t>).</w:t>
      </w:r>
    </w:p>
    <w:p w:rsidR="001C7A69" w:rsidRPr="003B0704" w:rsidRDefault="001C7A69" w:rsidP="003B0704">
      <w:pPr>
        <w:rPr>
          <w:szCs w:val="22"/>
        </w:rPr>
      </w:pPr>
    </w:p>
    <w:p w:rsidR="003B0704" w:rsidRPr="003B0704" w:rsidRDefault="00F66004" w:rsidP="003B0704">
      <w:pPr>
        <w:widowControl w:val="0"/>
        <w:rPr>
          <w:szCs w:val="22"/>
        </w:rPr>
      </w:pPr>
      <w:r w:rsidRPr="00F66004">
        <w:rPr>
          <w:szCs w:val="22"/>
        </w:rPr>
        <w:t>For the analysis of continuous variables</w:t>
      </w:r>
      <w:r w:rsidR="001C7A69">
        <w:rPr>
          <w:szCs w:val="22"/>
        </w:rPr>
        <w:t xml:space="preserve"> </w:t>
      </w:r>
      <w:r w:rsidR="001C7A69" w:rsidRPr="0063248F">
        <w:rPr>
          <w:szCs w:val="22"/>
        </w:rPr>
        <w:t>(</w:t>
      </w:r>
      <w:r w:rsidR="001C7A69">
        <w:rPr>
          <w:szCs w:val="22"/>
        </w:rPr>
        <w:t>e.g., the number of hours worked by the health manager)</w:t>
      </w:r>
      <w:r w:rsidRPr="00F66004">
        <w:rPr>
          <w:szCs w:val="22"/>
        </w:rPr>
        <w:t>, a detectable effect size is defined as the ratio of the mean differences in the outcomes between the two groups divided by a standard error</w:t>
      </w:r>
      <w:r w:rsidR="001C7A69">
        <w:rPr>
          <w:szCs w:val="22"/>
        </w:rPr>
        <w:t>:</w:t>
      </w:r>
    </w:p>
    <w:p w:rsidR="003B0704" w:rsidRPr="003B0704" w:rsidRDefault="003B0704" w:rsidP="003B0704">
      <w:pPr>
        <w:jc w:val="center"/>
        <w:rPr>
          <w:szCs w:val="22"/>
        </w:rPr>
      </w:pPr>
      <w:r w:rsidRPr="00E71D10">
        <w:rPr>
          <w:position w:val="-24"/>
          <w:szCs w:val="22"/>
        </w:rPr>
        <w:object w:dxaOrig="1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32pt" o:ole="" fillcolor="window">
            <v:imagedata r:id="rId11" o:title=""/>
          </v:shape>
          <o:OLEObject Type="Embed" ProgID="Equation.3" ShapeID="_x0000_i1025" DrawAspect="Content" ObjectID="_1413800019" r:id="rId12"/>
        </w:object>
      </w:r>
    </w:p>
    <w:p w:rsidR="003B0704" w:rsidRPr="003B0704" w:rsidRDefault="00F66004" w:rsidP="003B0704">
      <w:pPr>
        <w:rPr>
          <w:szCs w:val="22"/>
        </w:rPr>
      </w:pPr>
      <w:proofErr w:type="gramStart"/>
      <w:r w:rsidRPr="00F66004">
        <w:rPr>
          <w:szCs w:val="22"/>
        </w:rPr>
        <w:t>where</w:t>
      </w:r>
      <w:proofErr w:type="gramEnd"/>
      <w:r w:rsidRPr="00F66004">
        <w:rPr>
          <w:szCs w:val="22"/>
        </w:rPr>
        <w:t xml:space="preserve"> μ</w:t>
      </w:r>
      <w:r w:rsidRPr="00F66004">
        <w:rPr>
          <w:szCs w:val="22"/>
          <w:vertAlign w:val="subscript"/>
        </w:rPr>
        <w:t>1</w:t>
      </w:r>
      <w:r w:rsidRPr="00F66004">
        <w:rPr>
          <w:szCs w:val="22"/>
        </w:rPr>
        <w:t xml:space="preserve"> and μ</w:t>
      </w:r>
      <w:r w:rsidRPr="00F66004">
        <w:rPr>
          <w:szCs w:val="22"/>
          <w:vertAlign w:val="subscript"/>
        </w:rPr>
        <w:t>0</w:t>
      </w:r>
      <w:r w:rsidRPr="00F66004">
        <w:rPr>
          <w:szCs w:val="22"/>
        </w:rPr>
        <w:t xml:space="preserve"> are respectively the average outcome in groups and σ their pooled standard deviation. Cohen (</w:t>
      </w:r>
      <w:r w:rsidR="00D12657">
        <w:rPr>
          <w:i/>
          <w:szCs w:val="22"/>
        </w:rPr>
        <w:t xml:space="preserve">Statistical Power Analysis for the Behavioral </w:t>
      </w:r>
      <w:r w:rsidR="00D12657" w:rsidRPr="00B61AFE">
        <w:rPr>
          <w:i/>
          <w:szCs w:val="22"/>
        </w:rPr>
        <w:t>Sciences</w:t>
      </w:r>
      <w:r w:rsidR="00D12657">
        <w:rPr>
          <w:szCs w:val="22"/>
        </w:rPr>
        <w:t xml:space="preserve">, </w:t>
      </w:r>
      <w:r w:rsidRPr="00F66004">
        <w:rPr>
          <w:szCs w:val="22"/>
        </w:rPr>
        <w:t>1987) defines δ=0.2 as a small effect size, δ=0.5 as a medium effect size and δ=0.8 as a large effect size. Similarly, for dichotomous</w:t>
      </w:r>
      <w:r w:rsidR="001C7A69">
        <w:rPr>
          <w:szCs w:val="22"/>
        </w:rPr>
        <w:t xml:space="preserve"> outcomes</w:t>
      </w:r>
      <w:r w:rsidRPr="00F66004">
        <w:rPr>
          <w:szCs w:val="22"/>
        </w:rPr>
        <w:t xml:space="preserve"> (e.g. </w:t>
      </w:r>
      <w:r w:rsidR="001C7A69">
        <w:rPr>
          <w:szCs w:val="22"/>
        </w:rPr>
        <w:t>a yes/no outcome such as whether or not the health manager has a bachelor’s degree</w:t>
      </w:r>
      <w:r w:rsidRPr="00F66004">
        <w:rPr>
          <w:szCs w:val="22"/>
        </w:rPr>
        <w:t xml:space="preserve">), since the interest in mainly in the proportion of “Yes” to a question, a detectable effect size g is technically defined as the </w:t>
      </w:r>
      <w:proofErr w:type="spellStart"/>
      <w:r w:rsidRPr="00F66004">
        <w:rPr>
          <w:szCs w:val="22"/>
        </w:rPr>
        <w:t>arcsin</w:t>
      </w:r>
      <w:proofErr w:type="spellEnd"/>
      <w:r w:rsidRPr="00F66004">
        <w:rPr>
          <w:szCs w:val="22"/>
        </w:rPr>
        <w:t xml:space="preserve"> distance in unit between the proportion p</w:t>
      </w:r>
      <w:r w:rsidRPr="00F66004">
        <w:rPr>
          <w:szCs w:val="22"/>
          <w:vertAlign w:val="subscript"/>
        </w:rPr>
        <w:t>1</w:t>
      </w:r>
      <w:r w:rsidRPr="00F66004">
        <w:rPr>
          <w:szCs w:val="22"/>
        </w:rPr>
        <w:t xml:space="preserve"> of </w:t>
      </w:r>
      <w:r w:rsidR="001C7A69">
        <w:rPr>
          <w:szCs w:val="22"/>
        </w:rPr>
        <w:t>“Yes”</w:t>
      </w:r>
      <w:r w:rsidRPr="00F66004">
        <w:rPr>
          <w:szCs w:val="22"/>
        </w:rPr>
        <w:t xml:space="preserve"> in one group and the proportion p</w:t>
      </w:r>
      <w:r w:rsidRPr="00F66004">
        <w:rPr>
          <w:szCs w:val="22"/>
          <w:vertAlign w:val="subscript"/>
        </w:rPr>
        <w:t>0</w:t>
      </w:r>
      <w:r w:rsidRPr="00F66004">
        <w:rPr>
          <w:szCs w:val="22"/>
        </w:rPr>
        <w:t xml:space="preserve"> in the other group:</w:t>
      </w:r>
    </w:p>
    <w:p w:rsidR="003B0704" w:rsidRPr="003B0704" w:rsidRDefault="003B0704" w:rsidP="003B0704">
      <w:pPr>
        <w:jc w:val="center"/>
        <w:rPr>
          <w:szCs w:val="22"/>
        </w:rPr>
      </w:pPr>
      <w:r w:rsidRPr="00E71D10">
        <w:rPr>
          <w:position w:val="-14"/>
          <w:szCs w:val="22"/>
        </w:rPr>
        <w:object w:dxaOrig="3460" w:dyaOrig="420">
          <v:shape id="_x0000_i1026" type="#_x0000_t75" style="width:173.5pt;height:21.5pt" o:ole="" fillcolor="window">
            <v:imagedata r:id="rId13" o:title=""/>
          </v:shape>
          <o:OLEObject Type="Embed" ProgID="Equation.3" ShapeID="_x0000_i1026" DrawAspect="Content" ObjectID="_1413800020" r:id="rId14"/>
        </w:object>
      </w:r>
    </w:p>
    <w:p w:rsidR="003B0704" w:rsidRPr="003B0704" w:rsidRDefault="00F66004" w:rsidP="003B0704">
      <w:pPr>
        <w:rPr>
          <w:szCs w:val="22"/>
        </w:rPr>
      </w:pPr>
      <w:r w:rsidRPr="00F66004">
        <w:rPr>
          <w:szCs w:val="22"/>
        </w:rPr>
        <w:t>Once again the rule of thumb define in Cohen (1987) sets g=0.2 as small effect size, g=0.5 as medium effect size and g=0.8 as large effect sizes. As the effect size for dichotomous variable can vary depending on the base probability p</w:t>
      </w:r>
      <w:r w:rsidRPr="00F66004">
        <w:rPr>
          <w:szCs w:val="22"/>
          <w:vertAlign w:val="subscript"/>
        </w:rPr>
        <w:t>0</w:t>
      </w:r>
      <w:r w:rsidRPr="00F66004">
        <w:rPr>
          <w:szCs w:val="22"/>
        </w:rPr>
        <w:t>, this analysis is done for both p</w:t>
      </w:r>
      <w:r w:rsidRPr="00F66004">
        <w:rPr>
          <w:szCs w:val="22"/>
          <w:vertAlign w:val="subscript"/>
        </w:rPr>
        <w:t>0</w:t>
      </w:r>
      <w:r w:rsidRPr="00F66004">
        <w:rPr>
          <w:szCs w:val="22"/>
        </w:rPr>
        <w:t>=50% (for the conservative estimation) and p</w:t>
      </w:r>
      <w:r w:rsidRPr="00F66004">
        <w:rPr>
          <w:szCs w:val="22"/>
          <w:vertAlign w:val="subscript"/>
        </w:rPr>
        <w:t>0</w:t>
      </w:r>
      <w:r w:rsidRPr="00F66004">
        <w:rPr>
          <w:szCs w:val="22"/>
        </w:rPr>
        <w:t>=80%.</w:t>
      </w:r>
    </w:p>
    <w:p w:rsidR="00D12657" w:rsidRDefault="00D12657" w:rsidP="003B0704">
      <w:pPr>
        <w:rPr>
          <w:szCs w:val="22"/>
        </w:rPr>
      </w:pPr>
    </w:p>
    <w:p w:rsidR="003B0704" w:rsidRPr="003B0704" w:rsidRDefault="00D12657" w:rsidP="003B0704">
      <w:pPr>
        <w:rPr>
          <w:szCs w:val="22"/>
        </w:rPr>
      </w:pPr>
      <w:r>
        <w:rPr>
          <w:szCs w:val="22"/>
        </w:rPr>
        <w:t>Exhibit B.1.3</w:t>
      </w:r>
      <w:r w:rsidR="00F66004" w:rsidRPr="00F66004">
        <w:rPr>
          <w:szCs w:val="22"/>
        </w:rPr>
        <w:t xml:space="preserve"> below reports the minimum detectable effect sizes for the different module and the different sample split options.</w:t>
      </w:r>
    </w:p>
    <w:p w:rsidR="003B0704" w:rsidRPr="003B0704" w:rsidRDefault="003B0704" w:rsidP="003B0704">
      <w:pPr>
        <w:rPr>
          <w:szCs w:val="22"/>
        </w:rPr>
      </w:pPr>
    </w:p>
    <w:tbl>
      <w:tblPr>
        <w:tblStyle w:val="TableGrid"/>
        <w:tblW w:w="9276" w:type="dxa"/>
        <w:jc w:val="center"/>
        <w:tblInd w:w="468" w:type="dxa"/>
        <w:tblLook w:val="04A0"/>
      </w:tblPr>
      <w:tblGrid>
        <w:gridCol w:w="900"/>
        <w:gridCol w:w="929"/>
        <w:gridCol w:w="1411"/>
        <w:gridCol w:w="1323"/>
        <w:gridCol w:w="1127"/>
        <w:gridCol w:w="1242"/>
        <w:gridCol w:w="1102"/>
        <w:gridCol w:w="1242"/>
      </w:tblGrid>
      <w:tr w:rsidR="00D12657" w:rsidRPr="00D12657" w:rsidTr="00D12657">
        <w:trPr>
          <w:jc w:val="center"/>
        </w:trPr>
        <w:tc>
          <w:tcPr>
            <w:tcW w:w="9276" w:type="dxa"/>
            <w:gridSpan w:val="8"/>
            <w:tcBorders>
              <w:top w:val="single" w:sz="24" w:space="0" w:color="auto"/>
              <w:left w:val="nil"/>
              <w:bottom w:val="single" w:sz="24" w:space="0" w:color="auto"/>
              <w:right w:val="nil"/>
            </w:tcBorders>
            <w:vAlign w:val="center"/>
          </w:tcPr>
          <w:p w:rsidR="00262402" w:rsidRDefault="00D12657">
            <w:pPr>
              <w:keepNext/>
              <w:keepLines/>
              <w:rPr>
                <w:rFonts w:ascii="Arial" w:eastAsia="Times New Roman" w:hAnsi="Arial" w:cs="Arial"/>
                <w:sz w:val="18"/>
                <w:szCs w:val="18"/>
              </w:rPr>
            </w:pPr>
            <w:r>
              <w:rPr>
                <w:b/>
              </w:rPr>
              <w:t xml:space="preserve">Exhibit B.1.3 </w:t>
            </w:r>
            <w:r w:rsidR="00466BD7">
              <w:rPr>
                <w:rFonts w:ascii="Arial" w:hAnsi="Arial" w:cs="Arial"/>
                <w:b/>
                <w:sz w:val="20"/>
                <w:szCs w:val="20"/>
              </w:rPr>
              <w:t>Minimum Detectable Effect Size and Differences for Core and Supplemental Modules for Different Sample Split Options</w:t>
            </w:r>
          </w:p>
        </w:tc>
      </w:tr>
      <w:tr w:rsidR="00D12657" w:rsidRPr="00D12657" w:rsidTr="00466BD7">
        <w:trPr>
          <w:jc w:val="center"/>
        </w:trPr>
        <w:tc>
          <w:tcPr>
            <w:tcW w:w="900" w:type="dxa"/>
            <w:vMerge w:val="restart"/>
            <w:tcBorders>
              <w:top w:val="single" w:sz="24" w:space="0" w:color="auto"/>
              <w:left w:val="nil"/>
              <w:bottom w:val="single" w:sz="4" w:space="0" w:color="auto"/>
              <w:right w:val="nil"/>
            </w:tcBorders>
            <w:vAlign w:val="bottom"/>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Module</w:t>
            </w:r>
          </w:p>
        </w:tc>
        <w:tc>
          <w:tcPr>
            <w:tcW w:w="929" w:type="dxa"/>
            <w:vMerge w:val="restart"/>
            <w:tcBorders>
              <w:top w:val="single" w:sz="24" w:space="0" w:color="auto"/>
              <w:left w:val="nil"/>
              <w:bottom w:val="single" w:sz="4" w:space="0" w:color="auto"/>
              <w:right w:val="nil"/>
            </w:tcBorders>
            <w:vAlign w:val="bottom"/>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Total sample size</w:t>
            </w:r>
          </w:p>
        </w:tc>
        <w:tc>
          <w:tcPr>
            <w:tcW w:w="1411" w:type="dxa"/>
            <w:vMerge w:val="restart"/>
            <w:tcBorders>
              <w:top w:val="single" w:sz="24" w:space="0" w:color="auto"/>
              <w:left w:val="nil"/>
              <w:bottom w:val="single" w:sz="4" w:space="0" w:color="auto"/>
              <w:right w:val="nil"/>
            </w:tcBorders>
            <w:vAlign w:val="bottom"/>
          </w:tcPr>
          <w:p w:rsidR="00262402" w:rsidRDefault="00466BD7">
            <w:pPr>
              <w:keepNext/>
              <w:keepLines/>
              <w:spacing w:before="40" w:after="40" w:line="240" w:lineRule="auto"/>
              <w:jc w:val="center"/>
              <w:rPr>
                <w:rFonts w:ascii="Arial" w:eastAsia="Times New Roman" w:hAnsi="Arial" w:cs="Arial"/>
                <w:sz w:val="18"/>
                <w:szCs w:val="18"/>
              </w:rPr>
            </w:pPr>
            <w:r w:rsidRPr="00B61AFE">
              <w:rPr>
                <w:rFonts w:ascii="Arial" w:eastAsia="Times New Roman" w:hAnsi="Arial" w:cs="Arial"/>
                <w:sz w:val="18"/>
                <w:szCs w:val="18"/>
              </w:rPr>
              <w:t>Sample</w:t>
            </w:r>
            <w:r>
              <w:rPr>
                <w:rFonts w:ascii="Arial" w:eastAsia="Times New Roman" w:hAnsi="Arial" w:cs="Arial"/>
                <w:sz w:val="18"/>
                <w:szCs w:val="18"/>
              </w:rPr>
              <w:br/>
            </w:r>
            <w:r w:rsidR="00F66004" w:rsidRPr="00F66004">
              <w:rPr>
                <w:rFonts w:ascii="Arial" w:hAnsi="Arial" w:cs="Arial"/>
                <w:sz w:val="18"/>
                <w:szCs w:val="18"/>
              </w:rPr>
              <w:t>split</w:t>
            </w:r>
          </w:p>
        </w:tc>
        <w:tc>
          <w:tcPr>
            <w:tcW w:w="6036" w:type="dxa"/>
            <w:gridSpan w:val="5"/>
            <w:tcBorders>
              <w:top w:val="single" w:sz="2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Minimum detectable effect size and differences</w:t>
            </w:r>
          </w:p>
        </w:tc>
      </w:tr>
      <w:tr w:rsidR="00D12657" w:rsidRPr="00D12657" w:rsidTr="00D12657">
        <w:trPr>
          <w:jc w:val="center"/>
        </w:trPr>
        <w:tc>
          <w:tcPr>
            <w:tcW w:w="900"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929"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411"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323" w:type="dxa"/>
            <w:vMerge w:val="restart"/>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Continuous outcome</w:t>
            </w:r>
          </w:p>
        </w:tc>
        <w:tc>
          <w:tcPr>
            <w:tcW w:w="4713" w:type="dxa"/>
            <w:gridSpan w:val="4"/>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Categorical outcome</w:t>
            </w:r>
          </w:p>
        </w:tc>
      </w:tr>
      <w:tr w:rsidR="00D12657" w:rsidRPr="00D12657" w:rsidTr="00D12657">
        <w:trPr>
          <w:jc w:val="center"/>
        </w:trPr>
        <w:tc>
          <w:tcPr>
            <w:tcW w:w="900"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929"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411"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323"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2369" w:type="dxa"/>
            <w:gridSpan w:val="2"/>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 xml:space="preserve">Group 1 </w:t>
            </w:r>
            <w:r w:rsidR="006E6A4D">
              <w:rPr>
                <w:rFonts w:ascii="Arial" w:eastAsia="Times New Roman" w:hAnsi="Arial" w:cs="Arial"/>
                <w:sz w:val="18"/>
                <w:szCs w:val="18"/>
              </w:rPr>
              <w:t>probability</w:t>
            </w:r>
            <w:r w:rsidRPr="00F66004">
              <w:rPr>
                <w:rFonts w:ascii="Arial" w:hAnsi="Arial" w:cs="Arial"/>
                <w:sz w:val="18"/>
                <w:szCs w:val="18"/>
              </w:rPr>
              <w:t xml:space="preserve"> is 50%</w:t>
            </w:r>
          </w:p>
        </w:tc>
        <w:tc>
          <w:tcPr>
            <w:tcW w:w="2344" w:type="dxa"/>
            <w:gridSpan w:val="2"/>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 xml:space="preserve">Group 1 </w:t>
            </w:r>
            <w:r w:rsidR="006E6A4D">
              <w:rPr>
                <w:rFonts w:ascii="Arial" w:eastAsia="Times New Roman" w:hAnsi="Arial" w:cs="Arial"/>
                <w:sz w:val="18"/>
                <w:szCs w:val="18"/>
              </w:rPr>
              <w:t>probability</w:t>
            </w:r>
            <w:r w:rsidR="006E6A4D" w:rsidRPr="0063248F">
              <w:rPr>
                <w:rFonts w:ascii="Arial" w:eastAsia="Times New Roman" w:hAnsi="Arial" w:cs="Arial"/>
                <w:sz w:val="18"/>
                <w:szCs w:val="18"/>
              </w:rPr>
              <w:t xml:space="preserve"> </w:t>
            </w:r>
            <w:r w:rsidRPr="00F66004">
              <w:rPr>
                <w:rFonts w:ascii="Arial" w:hAnsi="Arial" w:cs="Arial"/>
                <w:sz w:val="18"/>
                <w:szCs w:val="18"/>
              </w:rPr>
              <w:t>is 80%</w:t>
            </w:r>
          </w:p>
        </w:tc>
      </w:tr>
      <w:tr w:rsidR="00D12657" w:rsidRPr="00D12657" w:rsidTr="00D12657">
        <w:trPr>
          <w:jc w:val="center"/>
        </w:trPr>
        <w:tc>
          <w:tcPr>
            <w:tcW w:w="900"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929"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411"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323"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 xml:space="preserve">Effect </w:t>
            </w:r>
            <w:r w:rsidRPr="00F66004">
              <w:rPr>
                <w:rFonts w:ascii="Arial" w:hAnsi="Arial" w:cs="Arial"/>
                <w:sz w:val="18"/>
                <w:szCs w:val="18"/>
              </w:rPr>
              <w:br/>
              <w:t>size</w:t>
            </w:r>
          </w:p>
        </w:tc>
        <w:tc>
          <w:tcPr>
            <w:tcW w:w="1127"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 xml:space="preserve">Effect </w:t>
            </w:r>
            <w:r w:rsidR="00466BD7">
              <w:rPr>
                <w:rFonts w:ascii="Arial" w:eastAsia="Times New Roman" w:hAnsi="Arial" w:cs="Arial"/>
                <w:sz w:val="18"/>
                <w:szCs w:val="18"/>
              </w:rPr>
              <w:br/>
            </w:r>
            <w:r w:rsidRPr="00F66004">
              <w:rPr>
                <w:rFonts w:ascii="Arial" w:hAnsi="Arial" w:cs="Arial"/>
                <w:sz w:val="18"/>
                <w:szCs w:val="18"/>
              </w:rPr>
              <w:t>size</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Detectable Difference</w:t>
            </w:r>
          </w:p>
        </w:tc>
        <w:tc>
          <w:tcPr>
            <w:tcW w:w="1102" w:type="dxa"/>
            <w:tcBorders>
              <w:top w:val="single" w:sz="4" w:space="0" w:color="auto"/>
              <w:left w:val="nil"/>
              <w:bottom w:val="single" w:sz="4" w:space="0" w:color="auto"/>
              <w:right w:val="nil"/>
            </w:tcBorders>
            <w:vAlign w:val="center"/>
          </w:tcPr>
          <w:p w:rsidR="00262402" w:rsidRDefault="00466BD7">
            <w:pPr>
              <w:keepNext/>
              <w:keepLines/>
              <w:spacing w:before="40" w:after="40" w:line="240" w:lineRule="auto"/>
              <w:jc w:val="center"/>
              <w:rPr>
                <w:rFonts w:ascii="Arial" w:eastAsia="Times New Roman" w:hAnsi="Arial" w:cs="Arial"/>
                <w:sz w:val="18"/>
                <w:szCs w:val="18"/>
              </w:rPr>
            </w:pPr>
            <w:r w:rsidRPr="00B61AFE">
              <w:rPr>
                <w:rFonts w:ascii="Arial" w:eastAsia="Times New Roman" w:hAnsi="Arial" w:cs="Arial"/>
                <w:sz w:val="18"/>
                <w:szCs w:val="18"/>
              </w:rPr>
              <w:t>Effect</w:t>
            </w:r>
            <w:r>
              <w:rPr>
                <w:rFonts w:ascii="Arial" w:eastAsia="Times New Roman" w:hAnsi="Arial" w:cs="Arial"/>
                <w:sz w:val="18"/>
                <w:szCs w:val="18"/>
              </w:rPr>
              <w:br/>
            </w:r>
            <w:r w:rsidR="00F66004" w:rsidRPr="00F66004">
              <w:rPr>
                <w:rFonts w:ascii="Arial" w:hAnsi="Arial" w:cs="Arial"/>
                <w:sz w:val="18"/>
                <w:szCs w:val="18"/>
              </w:rPr>
              <w:t>size</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Detectable Difference</w:t>
            </w:r>
          </w:p>
        </w:tc>
      </w:tr>
      <w:tr w:rsidR="00D12657" w:rsidRPr="00D12657" w:rsidTr="00D12657">
        <w:trPr>
          <w:jc w:val="center"/>
        </w:trPr>
        <w:tc>
          <w:tcPr>
            <w:tcW w:w="900" w:type="dxa"/>
            <w:vMerge w:val="restart"/>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Core</w:t>
            </w:r>
          </w:p>
        </w:tc>
        <w:tc>
          <w:tcPr>
            <w:tcW w:w="929" w:type="dxa"/>
            <w:vMerge w:val="restart"/>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2800</w:t>
            </w:r>
          </w:p>
        </w:tc>
        <w:tc>
          <w:tcPr>
            <w:tcW w:w="1411"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1400 - 1400</w:t>
            </w:r>
          </w:p>
        </w:tc>
        <w:tc>
          <w:tcPr>
            <w:tcW w:w="1323"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0.1059</w:t>
            </w:r>
          </w:p>
        </w:tc>
        <w:tc>
          <w:tcPr>
            <w:tcW w:w="1127"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0.1060</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5.3%</w:t>
            </w:r>
          </w:p>
        </w:tc>
        <w:tc>
          <w:tcPr>
            <w:tcW w:w="110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0.1062</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4.1%</w:t>
            </w:r>
          </w:p>
        </w:tc>
      </w:tr>
      <w:tr w:rsidR="00D12657" w:rsidRPr="00D12657" w:rsidTr="00D12657">
        <w:trPr>
          <w:jc w:val="center"/>
        </w:trPr>
        <w:tc>
          <w:tcPr>
            <w:tcW w:w="900"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929"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411"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840 - 1960</w:t>
            </w:r>
          </w:p>
        </w:tc>
        <w:tc>
          <w:tcPr>
            <w:tcW w:w="1323"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0.1156</w:t>
            </w:r>
          </w:p>
        </w:tc>
        <w:tc>
          <w:tcPr>
            <w:tcW w:w="1127"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0.1157</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5.8%</w:t>
            </w:r>
          </w:p>
        </w:tc>
        <w:tc>
          <w:tcPr>
            <w:tcW w:w="110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0.1150</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4.4%</w:t>
            </w:r>
          </w:p>
        </w:tc>
      </w:tr>
      <w:tr w:rsidR="00D12657" w:rsidRPr="00D12657" w:rsidTr="00D12657">
        <w:trPr>
          <w:jc w:val="center"/>
        </w:trPr>
        <w:tc>
          <w:tcPr>
            <w:tcW w:w="900" w:type="dxa"/>
            <w:vMerge w:val="restart"/>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Suppl.</w:t>
            </w:r>
          </w:p>
        </w:tc>
        <w:tc>
          <w:tcPr>
            <w:tcW w:w="929" w:type="dxa"/>
            <w:vMerge w:val="restart"/>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700</w:t>
            </w:r>
          </w:p>
        </w:tc>
        <w:tc>
          <w:tcPr>
            <w:tcW w:w="1411"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350 - 350</w:t>
            </w:r>
          </w:p>
        </w:tc>
        <w:tc>
          <w:tcPr>
            <w:tcW w:w="1323"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0.2121</w:t>
            </w:r>
          </w:p>
        </w:tc>
        <w:tc>
          <w:tcPr>
            <w:tcW w:w="1127"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0.2120</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10.6%</w:t>
            </w:r>
          </w:p>
        </w:tc>
        <w:tc>
          <w:tcPr>
            <w:tcW w:w="110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0.2125</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7.8%</w:t>
            </w:r>
          </w:p>
        </w:tc>
      </w:tr>
      <w:tr w:rsidR="00D12657" w:rsidRPr="00D12657" w:rsidTr="00D12657">
        <w:trPr>
          <w:jc w:val="center"/>
        </w:trPr>
        <w:tc>
          <w:tcPr>
            <w:tcW w:w="900"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929" w:type="dxa"/>
            <w:vMerge/>
            <w:tcBorders>
              <w:top w:val="single" w:sz="4" w:space="0" w:color="auto"/>
              <w:left w:val="nil"/>
              <w:bottom w:val="single" w:sz="4" w:space="0" w:color="auto"/>
              <w:right w:val="nil"/>
            </w:tcBorders>
            <w:vAlign w:val="center"/>
          </w:tcPr>
          <w:p w:rsidR="00262402" w:rsidRDefault="00262402">
            <w:pPr>
              <w:keepNext/>
              <w:keepLines/>
              <w:spacing w:before="40" w:after="40" w:line="240" w:lineRule="auto"/>
              <w:jc w:val="center"/>
              <w:rPr>
                <w:rFonts w:ascii="Arial" w:eastAsia="Times New Roman" w:hAnsi="Arial" w:cs="Arial"/>
                <w:sz w:val="18"/>
                <w:szCs w:val="18"/>
              </w:rPr>
            </w:pPr>
          </w:p>
        </w:tc>
        <w:tc>
          <w:tcPr>
            <w:tcW w:w="1411"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210 - 490</w:t>
            </w:r>
          </w:p>
        </w:tc>
        <w:tc>
          <w:tcPr>
            <w:tcW w:w="1323"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0.2314</w:t>
            </w:r>
          </w:p>
        </w:tc>
        <w:tc>
          <w:tcPr>
            <w:tcW w:w="1127"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0.2311</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11.5%</w:t>
            </w:r>
          </w:p>
        </w:tc>
        <w:tc>
          <w:tcPr>
            <w:tcW w:w="110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0.2285</w:t>
            </w:r>
          </w:p>
        </w:tc>
        <w:tc>
          <w:tcPr>
            <w:tcW w:w="1242" w:type="dxa"/>
            <w:tcBorders>
              <w:top w:val="single" w:sz="4" w:space="0" w:color="auto"/>
              <w:left w:val="nil"/>
              <w:bottom w:val="single" w:sz="4" w:space="0" w:color="auto"/>
              <w:right w:val="nil"/>
            </w:tcBorders>
            <w:vAlign w:val="center"/>
          </w:tcPr>
          <w:p w:rsidR="00262402" w:rsidRDefault="00F66004">
            <w:pPr>
              <w:keepNext/>
              <w:keepLines/>
              <w:spacing w:before="40" w:after="40" w:line="240" w:lineRule="auto"/>
              <w:jc w:val="center"/>
              <w:rPr>
                <w:rFonts w:ascii="Arial" w:eastAsia="Times New Roman" w:hAnsi="Arial" w:cs="Arial"/>
                <w:sz w:val="18"/>
                <w:szCs w:val="18"/>
              </w:rPr>
            </w:pPr>
            <w:r w:rsidRPr="00F66004">
              <w:rPr>
                <w:rFonts w:ascii="Arial" w:hAnsi="Arial" w:cs="Arial"/>
                <w:sz w:val="18"/>
                <w:szCs w:val="18"/>
              </w:rPr>
              <w:t>8.3%</w:t>
            </w:r>
          </w:p>
        </w:tc>
      </w:tr>
    </w:tbl>
    <w:p w:rsidR="003B0704" w:rsidRPr="003B0704" w:rsidRDefault="003B0704" w:rsidP="003B0704">
      <w:pPr>
        <w:rPr>
          <w:szCs w:val="22"/>
        </w:rPr>
      </w:pPr>
    </w:p>
    <w:p w:rsidR="003B0704" w:rsidRPr="003B0704" w:rsidRDefault="00F66004" w:rsidP="003B0704">
      <w:pPr>
        <w:rPr>
          <w:szCs w:val="22"/>
        </w:rPr>
      </w:pPr>
      <w:r w:rsidRPr="00F66004">
        <w:rPr>
          <w:szCs w:val="22"/>
        </w:rPr>
        <w:t xml:space="preserve">When using outcomes from the core module where all 2800 </w:t>
      </w:r>
      <w:r w:rsidR="00466BD7">
        <w:rPr>
          <w:szCs w:val="22"/>
        </w:rPr>
        <w:t>health managers</w:t>
      </w:r>
      <w:r w:rsidRPr="00F66004">
        <w:rPr>
          <w:szCs w:val="22"/>
        </w:rPr>
        <w:t xml:space="preserve"> can be used for analysis, a very small minimum effect size </w:t>
      </w:r>
      <w:r w:rsidR="006E6A4D">
        <w:rPr>
          <w:szCs w:val="22"/>
        </w:rPr>
        <w:t xml:space="preserve">(around 0.1) </w:t>
      </w:r>
      <w:r w:rsidRPr="00F66004">
        <w:rPr>
          <w:szCs w:val="22"/>
        </w:rPr>
        <w:t>will be detectable for continuous as well as dichotomous outcomes. This will translate in a 5.3 to 5.8% change in one group compared to the comparison group in analyses where the outcome prevalence is 50% (the conservative case scenario). For comparison group outcomes with</w:t>
      </w:r>
      <w:r w:rsidR="00466BD7">
        <w:rPr>
          <w:szCs w:val="22"/>
        </w:rPr>
        <w:t xml:space="preserve"> </w:t>
      </w:r>
      <w:proofErr w:type="gramStart"/>
      <w:r w:rsidR="00466BD7">
        <w:rPr>
          <w:szCs w:val="22"/>
        </w:rPr>
        <w:t>an</w:t>
      </w:r>
      <w:r w:rsidRPr="00F66004">
        <w:rPr>
          <w:szCs w:val="22"/>
        </w:rPr>
        <w:t xml:space="preserve"> </w:t>
      </w:r>
      <w:r w:rsidR="006E6A4D">
        <w:rPr>
          <w:szCs w:val="22"/>
        </w:rPr>
        <w:t>80</w:t>
      </w:r>
      <w:proofErr w:type="gramEnd"/>
      <w:r w:rsidR="006E6A4D">
        <w:rPr>
          <w:szCs w:val="22"/>
        </w:rPr>
        <w:t>% prevalence</w:t>
      </w:r>
      <w:r w:rsidRPr="00F66004">
        <w:rPr>
          <w:szCs w:val="22"/>
        </w:rPr>
        <w:t xml:space="preserve">, this will be equivalent to a 4.1 to 4.4% </w:t>
      </w:r>
      <w:r w:rsidR="00466BD7">
        <w:rPr>
          <w:szCs w:val="22"/>
        </w:rPr>
        <w:t xml:space="preserve">detectable </w:t>
      </w:r>
      <w:r w:rsidRPr="00F66004">
        <w:rPr>
          <w:szCs w:val="22"/>
        </w:rPr>
        <w:t xml:space="preserve">change. For the supplemental modules where 700 observations will be </w:t>
      </w:r>
      <w:r w:rsidR="00466BD7">
        <w:rPr>
          <w:szCs w:val="22"/>
        </w:rPr>
        <w:t>available</w:t>
      </w:r>
      <w:r w:rsidR="006E6A4D" w:rsidRPr="00B61AFE">
        <w:rPr>
          <w:szCs w:val="22"/>
        </w:rPr>
        <w:t>, small effect sizes</w:t>
      </w:r>
      <w:r w:rsidRPr="00F66004">
        <w:rPr>
          <w:szCs w:val="22"/>
        </w:rPr>
        <w:t xml:space="preserve"> of </w:t>
      </w:r>
      <w:r w:rsidR="00466BD7">
        <w:rPr>
          <w:szCs w:val="22"/>
        </w:rPr>
        <w:t>around</w:t>
      </w:r>
      <w:r w:rsidRPr="00F66004">
        <w:rPr>
          <w:szCs w:val="22"/>
        </w:rPr>
        <w:t xml:space="preserve"> 0.2 will be </w:t>
      </w:r>
      <w:r w:rsidR="006E6A4D">
        <w:rPr>
          <w:szCs w:val="22"/>
        </w:rPr>
        <w:t>detectable</w:t>
      </w:r>
      <w:r w:rsidRPr="00F66004">
        <w:rPr>
          <w:szCs w:val="22"/>
        </w:rPr>
        <w:t xml:space="preserve"> </w:t>
      </w:r>
      <w:r w:rsidR="006E6A4D">
        <w:rPr>
          <w:szCs w:val="22"/>
        </w:rPr>
        <w:t>for</w:t>
      </w:r>
      <w:r w:rsidRPr="00F66004">
        <w:rPr>
          <w:szCs w:val="22"/>
        </w:rPr>
        <w:t xml:space="preserve"> all</w:t>
      </w:r>
      <w:r w:rsidR="006E6A4D">
        <w:rPr>
          <w:szCs w:val="22"/>
        </w:rPr>
        <w:t xml:space="preserve"> </w:t>
      </w:r>
      <w:r w:rsidRPr="00F66004">
        <w:rPr>
          <w:szCs w:val="22"/>
        </w:rPr>
        <w:t xml:space="preserve">outcomes, an effect size that will be equivalent to a 7.8% to </w:t>
      </w:r>
      <w:proofErr w:type="gramStart"/>
      <w:r w:rsidRPr="00F66004">
        <w:rPr>
          <w:szCs w:val="22"/>
        </w:rPr>
        <w:t>a</w:t>
      </w:r>
      <w:proofErr w:type="gramEnd"/>
      <w:r w:rsidRPr="00F66004">
        <w:rPr>
          <w:szCs w:val="22"/>
        </w:rPr>
        <w:t xml:space="preserve"> 8.3% change in </w:t>
      </w:r>
      <w:r w:rsidR="006E6A4D">
        <w:rPr>
          <w:szCs w:val="22"/>
        </w:rPr>
        <w:t xml:space="preserve">the </w:t>
      </w:r>
      <w:r w:rsidRPr="00F66004">
        <w:rPr>
          <w:szCs w:val="22"/>
        </w:rPr>
        <w:t>outcome when the probability in the comparison group is at 80%.</w:t>
      </w:r>
    </w:p>
    <w:p w:rsidR="003B0704" w:rsidRPr="003B0704" w:rsidRDefault="00F66004" w:rsidP="003B0704">
      <w:pPr>
        <w:rPr>
          <w:szCs w:val="22"/>
        </w:rPr>
      </w:pPr>
      <w:r w:rsidRPr="00F66004">
        <w:rPr>
          <w:szCs w:val="22"/>
        </w:rPr>
        <w:t>Overall these sample sizes will allow us to detect very small to small effect sizes in all cases.</w:t>
      </w:r>
    </w:p>
    <w:p w:rsidR="00153C09" w:rsidRDefault="00153C09" w:rsidP="00A8762F">
      <w:pPr>
        <w:spacing w:line="240" w:lineRule="auto"/>
      </w:pPr>
    </w:p>
    <w:p w:rsidR="00720A09" w:rsidRDefault="00153C09" w:rsidP="00A8762F">
      <w:pPr>
        <w:spacing w:line="240" w:lineRule="auto"/>
      </w:pPr>
      <w:r>
        <w:rPr>
          <w:b/>
        </w:rPr>
        <w:t xml:space="preserve">Semi-Structured Interviews. </w:t>
      </w:r>
      <w:r w:rsidR="00720A09" w:rsidRPr="00E327F6">
        <w:t>The semi-structured interviews are designed to explore, in more depth, the issues raised in the web-based survey in order to provide more insight into specific topics</w:t>
      </w:r>
      <w:r w:rsidR="00720A09">
        <w:t xml:space="preserve">. To ensure that a range of perspectives are represented, we will undertake purposive sampling of Head Start health managers from among the population of health managers that respond to the Head Start Health Manager Survey. Likewise, we will construct a purposive sample of Head Start teachers, family service workers, and </w:t>
      </w:r>
      <w:r w:rsidR="00C664B0">
        <w:t xml:space="preserve">home visitors from among the Head Start programs represented </w:t>
      </w:r>
      <w:r w:rsidR="00676C96">
        <w:t>in</w:t>
      </w:r>
      <w:r w:rsidR="00C664B0">
        <w:t xml:space="preserve"> the respondents to the </w:t>
      </w:r>
      <w:r w:rsidR="00903E51">
        <w:t>health manager interviews</w:t>
      </w:r>
      <w:r w:rsidR="00C664B0">
        <w:t>.</w:t>
      </w:r>
    </w:p>
    <w:p w:rsidR="00C664B0" w:rsidRDefault="00C664B0" w:rsidP="00A8762F">
      <w:pPr>
        <w:spacing w:line="240" w:lineRule="auto"/>
      </w:pPr>
    </w:p>
    <w:p w:rsidR="00AB56E1" w:rsidRDefault="00C664B0" w:rsidP="00A8762F">
      <w:pPr>
        <w:spacing w:line="240" w:lineRule="auto"/>
      </w:pPr>
      <w:r>
        <w:t xml:space="preserve">The general approach to sampling for the semi-structured interviews </w:t>
      </w:r>
      <w:r w:rsidR="00AB56E1">
        <w:t>will be to sampl</w:t>
      </w:r>
      <w:r w:rsidR="00331E77">
        <w:t>e</w:t>
      </w:r>
      <w:r w:rsidR="00AB56E1">
        <w:t xml:space="preserve"> within Head Start program subgroups</w:t>
      </w:r>
      <w:r w:rsidR="00987EAA">
        <w:t>,</w:t>
      </w:r>
      <w:r w:rsidR="00AB56E1">
        <w:t xml:space="preserve"> </w:t>
      </w:r>
      <w:r w:rsidR="00CC41E0">
        <w:t>where we expect to define the subgroups based on</w:t>
      </w:r>
      <w:r w:rsidR="00F774D6">
        <w:t xml:space="preserve"> </w:t>
      </w:r>
      <w:r w:rsidR="00AB56E1">
        <w:t>the following characteristics</w:t>
      </w:r>
      <w:r w:rsidR="00F774D6">
        <w:t xml:space="preserve"> </w:t>
      </w:r>
      <w:r w:rsidR="00CC41E0">
        <w:t>listed in order of</w:t>
      </w:r>
      <w:r w:rsidR="00F774D6">
        <w:t xml:space="preserve"> priority</w:t>
      </w:r>
      <w:r w:rsidR="00AB56E1">
        <w:t>:</w:t>
      </w:r>
    </w:p>
    <w:p w:rsidR="00F774D6" w:rsidRDefault="00F774D6" w:rsidP="00331E77">
      <w:pPr>
        <w:pStyle w:val="ColorfulShading-Accent31"/>
        <w:numPr>
          <w:ilvl w:val="0"/>
          <w:numId w:val="32"/>
        </w:numPr>
        <w:spacing w:line="240" w:lineRule="auto"/>
      </w:pPr>
      <w:r>
        <w:t>Staffing</w:t>
      </w:r>
      <w:r w:rsidR="00CC41E0">
        <w:t xml:space="preserve"> model for</w:t>
      </w:r>
      <w:r>
        <w:t xml:space="preserve"> the health services area </w:t>
      </w:r>
    </w:p>
    <w:p w:rsidR="00F774D6" w:rsidRDefault="00F774D6" w:rsidP="00F774D6">
      <w:pPr>
        <w:pStyle w:val="ColorfulShading-Accent31"/>
        <w:numPr>
          <w:ilvl w:val="0"/>
          <w:numId w:val="32"/>
        </w:numPr>
        <w:spacing w:line="240" w:lineRule="auto"/>
      </w:pPr>
      <w:r>
        <w:t>Special populations</w:t>
      </w:r>
      <w:r w:rsidR="00CC41E0">
        <w:t xml:space="preserve"> served</w:t>
      </w:r>
      <w:r>
        <w:t xml:space="preserve"> (e.g., American Indian and Alaska Native, migrant seasonal, programs with relatively larger shares of homeless children, children in foster care, and children living with disabilities); </w:t>
      </w:r>
    </w:p>
    <w:p w:rsidR="00AB56E1" w:rsidRDefault="00AB56E1" w:rsidP="00331E77">
      <w:pPr>
        <w:pStyle w:val="ColorfulShading-Accent31"/>
        <w:numPr>
          <w:ilvl w:val="0"/>
          <w:numId w:val="32"/>
        </w:numPr>
        <w:spacing w:line="240" w:lineRule="auto"/>
      </w:pPr>
      <w:r>
        <w:t>Head Start program model (</w:t>
      </w:r>
      <w:r w:rsidR="00992A0D">
        <w:t>i.e</w:t>
      </w:r>
      <w:r>
        <w:t>., center-based Early Head Start</w:t>
      </w:r>
      <w:r w:rsidR="005F3DB0">
        <w:t xml:space="preserve"> and</w:t>
      </w:r>
      <w:r>
        <w:t xml:space="preserve"> Head Start</w:t>
      </w:r>
      <w:r w:rsidR="005F3DB0">
        <w:t xml:space="preserve"> </w:t>
      </w:r>
      <w:r w:rsidR="00331E77">
        <w:t>and home-based Early Head Start and Head Start);</w:t>
      </w:r>
      <w:r w:rsidR="00F774D6">
        <w:t xml:space="preserve"> and</w:t>
      </w:r>
    </w:p>
    <w:p w:rsidR="00AE3FEC" w:rsidRDefault="00AE3FEC" w:rsidP="00331E77">
      <w:pPr>
        <w:pStyle w:val="ColorfulShading-Accent31"/>
        <w:numPr>
          <w:ilvl w:val="0"/>
          <w:numId w:val="32"/>
        </w:numPr>
        <w:spacing w:line="240" w:lineRule="auto"/>
      </w:pPr>
      <w:r>
        <w:t>Urban versus rural location</w:t>
      </w:r>
      <w:r w:rsidR="00F774D6">
        <w:t>.</w:t>
      </w:r>
    </w:p>
    <w:p w:rsidR="00C664B0" w:rsidRDefault="00C664B0" w:rsidP="00A8762F">
      <w:pPr>
        <w:spacing w:line="240" w:lineRule="auto"/>
      </w:pPr>
      <w:r>
        <w:t>Since the goal of the interviews is to provide</w:t>
      </w:r>
      <w:r w:rsidR="00DC4D35">
        <w:t xml:space="preserve"> further</w:t>
      </w:r>
      <w:r>
        <w:t xml:space="preserve"> insight into the responses obtained through the online survey, </w:t>
      </w:r>
      <w:r w:rsidR="00AB56E1">
        <w:t>the sampling plan</w:t>
      </w:r>
      <w:r w:rsidR="00CC41E0">
        <w:t xml:space="preserve"> for the interview sites</w:t>
      </w:r>
      <w:r w:rsidR="00987EAA">
        <w:t>, including the selection of any additional program characteristics needed to ensure variability on key issues identified through data analysis of the survey,</w:t>
      </w:r>
      <w:r w:rsidR="00AB56E1">
        <w:t xml:space="preserve"> will be finalized after </w:t>
      </w:r>
      <w:r w:rsidR="00DC4D35">
        <w:t>the online survey has been in the field for 45 days. Responses from the survey at that time will be tabulated to identify any other subgroups of interest where the semi-</w:t>
      </w:r>
      <w:r w:rsidR="00DC4D35">
        <w:lastRenderedPageBreak/>
        <w:t>structured interviews can provide additional perspective on the survey responses.</w:t>
      </w:r>
      <w:r w:rsidR="00B63ECE">
        <w:t xml:space="preserve"> </w:t>
      </w:r>
      <w:r w:rsidR="002C79D2">
        <w:t>For those programs selected for an interview with a health m</w:t>
      </w:r>
      <w:r w:rsidR="00903E51">
        <w:t xml:space="preserve">anager, the interviewers will </w:t>
      </w:r>
      <w:r w:rsidR="002C79D2">
        <w:t xml:space="preserve">contact the health </w:t>
      </w:r>
      <w:r w:rsidR="002C79D2" w:rsidRPr="0032798B">
        <w:t>manager by email or telephone</w:t>
      </w:r>
      <w:r w:rsidR="002C79D2">
        <w:t xml:space="preserve"> based on the information provided about future contact at the end of the Head Start Health Manager Survey</w:t>
      </w:r>
      <w:r w:rsidR="00DD623B">
        <w:t xml:space="preserve"> (see Appendix K for recruitment materials)</w:t>
      </w:r>
      <w:r w:rsidR="002C79D2">
        <w:t xml:space="preserve">. </w:t>
      </w:r>
      <w:r w:rsidR="00903E51">
        <w:t>At the end of the health manager interview, the health manager will be asked to nominate up to two individuals</w:t>
      </w:r>
      <w:r w:rsidR="0097392C">
        <w:t xml:space="preserve"> from their program</w:t>
      </w:r>
      <w:r w:rsidR="00903E51">
        <w:t xml:space="preserve"> in each of the three positions of interest for the other set of interviews, i.e., </w:t>
      </w:r>
      <w:r w:rsidR="002C79D2">
        <w:t>teacher</w:t>
      </w:r>
      <w:r w:rsidR="00903E51">
        <w:t>s</w:t>
      </w:r>
      <w:r w:rsidR="002C79D2">
        <w:t>, family service worker</w:t>
      </w:r>
      <w:r w:rsidR="00903E51">
        <w:t>s</w:t>
      </w:r>
      <w:r w:rsidR="002C79D2">
        <w:t xml:space="preserve">, </w:t>
      </w:r>
      <w:r w:rsidR="00F27A66">
        <w:t>and</w:t>
      </w:r>
      <w:r w:rsidR="002C79D2">
        <w:t xml:space="preserve"> home visitor</w:t>
      </w:r>
      <w:r w:rsidR="00903E51">
        <w:t>s</w:t>
      </w:r>
      <w:r w:rsidR="008D5071">
        <w:t xml:space="preserve">. The interviewers will then proceed to contact </w:t>
      </w:r>
      <w:r w:rsidR="00F27A66">
        <w:t>a sample of the</w:t>
      </w:r>
      <w:r w:rsidR="008D5071">
        <w:t xml:space="preserve"> nominated individuals using the contact information provided by the health manager</w:t>
      </w:r>
      <w:r w:rsidR="00F27A66">
        <w:t>, where that sample will also be purposively selected to give us representation across the program features listed above</w:t>
      </w:r>
      <w:r w:rsidR="008D5071">
        <w:t xml:space="preserve">. </w:t>
      </w:r>
      <w:r w:rsidR="009A79B4">
        <w:t xml:space="preserve">The final sampling plan </w:t>
      </w:r>
      <w:r w:rsidR="00C4412A">
        <w:t xml:space="preserve">and decisions made </w:t>
      </w:r>
      <w:r w:rsidR="008D5071">
        <w:t xml:space="preserve">regarding the </w:t>
      </w:r>
      <w:r w:rsidR="00992A0D">
        <w:t xml:space="preserve">sample </w:t>
      </w:r>
      <w:r w:rsidR="008D5071">
        <w:t xml:space="preserve">for </w:t>
      </w:r>
      <w:r w:rsidR="00C4412A">
        <w:t xml:space="preserve">inclusion </w:t>
      </w:r>
      <w:r w:rsidR="009A79B4">
        <w:t>will be provided to OM</w:t>
      </w:r>
      <w:r w:rsidR="00C4412A">
        <w:t>B.</w:t>
      </w:r>
    </w:p>
    <w:p w:rsidR="00F07AAA" w:rsidRDefault="00F07AAA" w:rsidP="00A8762F">
      <w:pPr>
        <w:spacing w:line="240" w:lineRule="auto"/>
      </w:pPr>
    </w:p>
    <w:p w:rsidR="005137A4" w:rsidRPr="00E327F6" w:rsidRDefault="005137A4" w:rsidP="00A8762F">
      <w:pPr>
        <w:pStyle w:val="BodyText"/>
        <w:spacing w:line="240" w:lineRule="auto"/>
      </w:pPr>
      <w:r w:rsidRPr="00E327F6">
        <w:t>The qualitative interviews will allow for clarification of ideas and add dimension and context for the quantitative data</w:t>
      </w:r>
      <w:r w:rsidR="00720A09">
        <w:t xml:space="preserve"> collected in the online surveys</w:t>
      </w:r>
      <w:r w:rsidRPr="00E327F6">
        <w:t xml:space="preserve">. </w:t>
      </w:r>
      <w:r w:rsidR="00B17946" w:rsidRPr="00E327F6">
        <w:t>As</w:t>
      </w:r>
      <w:r w:rsidR="006418F8">
        <w:t xml:space="preserve"> such, the number of interviews—40 completed interviews with health managers and 60 completed interviews with teachers, family service workers, or home visitors—</w:t>
      </w:r>
      <w:r w:rsidR="00B17946" w:rsidRPr="00E327F6">
        <w:t>will be sufficient for th</w:t>
      </w:r>
      <w:r w:rsidRPr="00E327F6">
        <w:t xml:space="preserve">eme saturation and convergence according </w:t>
      </w:r>
      <w:r w:rsidR="00306D3B">
        <w:t xml:space="preserve">to </w:t>
      </w:r>
      <w:r w:rsidRPr="00E327F6">
        <w:t>the standard qualitative analysis protocols.</w:t>
      </w:r>
      <w:r w:rsidR="008E6BD5">
        <w:rPr>
          <w:rStyle w:val="FootnoteReference"/>
        </w:rPr>
        <w:footnoteReference w:id="4"/>
      </w:r>
      <w:r w:rsidR="008E6BD5">
        <w:rPr>
          <w:rStyle w:val="FootnoteReference"/>
        </w:rPr>
        <w:footnoteReference w:id="5"/>
      </w:r>
      <w:r w:rsidRPr="00E327F6">
        <w:t xml:space="preserve"> </w:t>
      </w:r>
      <w:r w:rsidR="008372B3">
        <w:t>Data codes will employ an iterative process to developing and refining themes that may emerge but were not a priori anticipated.</w:t>
      </w:r>
    </w:p>
    <w:p w:rsidR="0016414D" w:rsidRDefault="0016414D" w:rsidP="00D7629C">
      <w:pPr>
        <w:pStyle w:val="BodyText"/>
        <w:spacing w:line="240" w:lineRule="auto"/>
      </w:pPr>
    </w:p>
    <w:p w:rsidR="00733F51" w:rsidRDefault="00733F51" w:rsidP="00D7629C">
      <w:pPr>
        <w:pStyle w:val="AbtHeadB"/>
        <w:spacing w:after="0" w:line="240" w:lineRule="auto"/>
      </w:pPr>
      <w:r>
        <w:t>B</w:t>
      </w:r>
      <w:r w:rsidR="00495E54">
        <w:t>.</w:t>
      </w:r>
      <w:r>
        <w:t>2.</w:t>
      </w:r>
      <w:r>
        <w:tab/>
      </w:r>
      <w:r w:rsidR="00482E2C">
        <w:t>Procedures for</w:t>
      </w:r>
      <w:r>
        <w:t xml:space="preserve"> Collection</w:t>
      </w:r>
      <w:r w:rsidR="00482E2C">
        <w:t xml:space="preserve"> of Information</w:t>
      </w:r>
    </w:p>
    <w:p w:rsidR="001B3208" w:rsidRDefault="001B3208" w:rsidP="00D7629C">
      <w:pPr>
        <w:spacing w:line="240" w:lineRule="auto"/>
      </w:pPr>
    </w:p>
    <w:p w:rsidR="007B4C51" w:rsidRDefault="003A0F46" w:rsidP="00D7629C">
      <w:pPr>
        <w:spacing w:line="240" w:lineRule="auto"/>
      </w:pPr>
      <w:r>
        <w:t xml:space="preserve">In this section, we describe the data collection procedures for the online surveys and the semi-structured interviews. We also discuss </w:t>
      </w:r>
      <w:r w:rsidR="004C5BCC">
        <w:t xml:space="preserve">relevant estimation procedures. </w:t>
      </w:r>
      <w:r w:rsidR="007B4C51">
        <w:t xml:space="preserve">Since this is a one-time data collection, the use of periodic data collection cycles is not </w:t>
      </w:r>
      <w:r w:rsidR="004C5BCC">
        <w:t>applicable</w:t>
      </w:r>
      <w:r w:rsidR="007B4C51">
        <w:t>.</w:t>
      </w:r>
    </w:p>
    <w:p w:rsidR="00D27FA8" w:rsidRDefault="00D27FA8" w:rsidP="00D7629C">
      <w:pPr>
        <w:spacing w:line="240" w:lineRule="auto"/>
      </w:pPr>
    </w:p>
    <w:p w:rsidR="00FB7BCC" w:rsidRDefault="00FB7BCC" w:rsidP="007405A5">
      <w:pPr>
        <w:pStyle w:val="AbtHeadC"/>
        <w:spacing w:after="0" w:line="240" w:lineRule="auto"/>
      </w:pPr>
      <w:r>
        <w:t>B.2.</w:t>
      </w:r>
      <w:r w:rsidR="007B4C51">
        <w:t>1</w:t>
      </w:r>
      <w:r>
        <w:t xml:space="preserve">. </w:t>
      </w:r>
      <w:r>
        <w:tab/>
        <w:t xml:space="preserve"> </w:t>
      </w:r>
      <w:r w:rsidR="007B4C51">
        <w:t>Data Collection Procedure</w:t>
      </w:r>
    </w:p>
    <w:p w:rsidR="00FB7BCC" w:rsidRDefault="00FB7BCC" w:rsidP="007405A5">
      <w:pPr>
        <w:keepNext/>
        <w:keepLines/>
        <w:spacing w:line="240" w:lineRule="auto"/>
        <w:rPr>
          <w:b/>
        </w:rPr>
      </w:pPr>
    </w:p>
    <w:p w:rsidR="003A0F46" w:rsidRDefault="003A0F46" w:rsidP="003A0F46">
      <w:pPr>
        <w:spacing w:line="240" w:lineRule="auto"/>
      </w:pPr>
      <w:r>
        <w:t xml:space="preserve">The </w:t>
      </w:r>
      <w:proofErr w:type="gramStart"/>
      <w:r>
        <w:t>procedures for data collection differ</w:t>
      </w:r>
      <w:r w:rsidR="004C5BCC">
        <w:t>s</w:t>
      </w:r>
      <w:proofErr w:type="gramEnd"/>
      <w:r>
        <w:t xml:space="preserve"> between the two online surveys (Head Start Director Survey and Head Start Health Manager Survey) and the t</w:t>
      </w:r>
      <w:r w:rsidR="00C4412A">
        <w:t>wo</w:t>
      </w:r>
      <w:r>
        <w:t xml:space="preserve"> semi-structured interview protocols (one for health manage</w:t>
      </w:r>
      <w:r w:rsidR="00306D3B">
        <w:t>r</w:t>
      </w:r>
      <w:r>
        <w:t>s and the other for teachers, family service workers, or home visitors).</w:t>
      </w:r>
    </w:p>
    <w:p w:rsidR="003A0F46" w:rsidRDefault="003A0F46" w:rsidP="00D7629C">
      <w:pPr>
        <w:spacing w:line="240" w:lineRule="auto"/>
        <w:rPr>
          <w:b/>
        </w:rPr>
      </w:pPr>
    </w:p>
    <w:p w:rsidR="00CC5B91" w:rsidRDefault="00EC4134" w:rsidP="00D7629C">
      <w:pPr>
        <w:spacing w:line="240" w:lineRule="auto"/>
      </w:pPr>
      <w:r>
        <w:rPr>
          <w:b/>
        </w:rPr>
        <w:t xml:space="preserve">Online Surveys. </w:t>
      </w:r>
      <w:r w:rsidR="005223CE">
        <w:t xml:space="preserve">For the Head Start Director Survey and Head Start Health Manager </w:t>
      </w:r>
      <w:r w:rsidR="000C7324">
        <w:t>S</w:t>
      </w:r>
      <w:r w:rsidR="005223CE">
        <w:t>urvey</w:t>
      </w:r>
      <w:r w:rsidR="00C77C09">
        <w:t xml:space="preserve">, the primary mode of data collection will be a web-based survey administered using RAND’s </w:t>
      </w:r>
      <w:r w:rsidR="00C77C09" w:rsidRPr="00075AEA">
        <w:t>Mu</w:t>
      </w:r>
      <w:r w:rsidR="00C77C09">
        <w:t>ltimode Interviewing Capability (MMIC</w:t>
      </w:r>
      <w:r w:rsidR="00C77C09" w:rsidRPr="00765D39">
        <w:rPr>
          <w:szCs w:val="22"/>
          <w:vertAlign w:val="superscript"/>
        </w:rPr>
        <w:t>TM</w:t>
      </w:r>
      <w:r w:rsidR="00C77C09">
        <w:t>) survey system</w:t>
      </w:r>
      <w:r w:rsidR="00946843">
        <w:t xml:space="preserve">. </w:t>
      </w:r>
      <w:r w:rsidR="004C5BCC">
        <w:t xml:space="preserve">(The survey instruments are provided in Appendixes </w:t>
      </w:r>
      <w:r w:rsidR="00690947">
        <w:t>B</w:t>
      </w:r>
      <w:r w:rsidR="004C5BCC">
        <w:t xml:space="preserve"> and </w:t>
      </w:r>
      <w:r w:rsidR="00690947">
        <w:t>C</w:t>
      </w:r>
      <w:r w:rsidR="004C5BCC">
        <w:t>, respectively, while s</w:t>
      </w:r>
      <w:r w:rsidR="00CC5B91">
        <w:t xml:space="preserve">everal illustrative screen shots are shown in Appendix </w:t>
      </w:r>
      <w:r w:rsidR="00690947">
        <w:t>G</w:t>
      </w:r>
      <w:r w:rsidR="00CC5B91">
        <w:t xml:space="preserve">.) </w:t>
      </w:r>
      <w:r w:rsidR="00946843">
        <w:t xml:space="preserve">As </w:t>
      </w:r>
      <w:r w:rsidR="00946843" w:rsidRPr="0032798B">
        <w:t>noted in Section B</w:t>
      </w:r>
      <w:r w:rsidR="004C5BCC" w:rsidRPr="0032798B">
        <w:t>.</w:t>
      </w:r>
      <w:r w:rsidR="00946843" w:rsidRPr="0032798B">
        <w:t>1, all Head Start directors at the grantee and delegate level will receive an email with an invitation to participate in the survey</w:t>
      </w:r>
      <w:r w:rsidR="00CE3A1F" w:rsidRPr="0032798B">
        <w:t xml:space="preserve"> (see Appendix K for the recruitment materials)</w:t>
      </w:r>
      <w:r w:rsidR="00946843" w:rsidRPr="0032798B">
        <w:t>.</w:t>
      </w:r>
      <w:r w:rsidR="00E40216" w:rsidRPr="0032798B">
        <w:t xml:space="preserve"> The email will include a clear rationale for the study and explain how the </w:t>
      </w:r>
      <w:r w:rsidR="006E33C5">
        <w:t>director</w:t>
      </w:r>
      <w:r w:rsidR="00E40216" w:rsidRPr="0032798B">
        <w:t xml:space="preserve"> can contribute to the survey effort. The email will also include a letter of support from the Office of Head </w:t>
      </w:r>
      <w:r w:rsidR="00EF0572" w:rsidRPr="0032798B">
        <w:t>Start</w:t>
      </w:r>
      <w:r w:rsidR="009D7CC7" w:rsidRPr="0032798B">
        <w:t xml:space="preserve"> to further encourage participation</w:t>
      </w:r>
      <w:r w:rsidR="008372B3">
        <w:t xml:space="preserve"> (see </w:t>
      </w:r>
      <w:r w:rsidR="00F66004" w:rsidRPr="00F66004">
        <w:t>Appendix L</w:t>
      </w:r>
      <w:r w:rsidR="00A5417E" w:rsidRPr="002B7D60">
        <w:t xml:space="preserve"> for the</w:t>
      </w:r>
      <w:r w:rsidR="00A5417E">
        <w:t xml:space="preserve"> proposed letter to be signed by the Director of </w:t>
      </w:r>
      <w:r w:rsidR="005338D8">
        <w:t xml:space="preserve">the Office of </w:t>
      </w:r>
      <w:r w:rsidR="00A5417E">
        <w:t>Head Start</w:t>
      </w:r>
      <w:r w:rsidR="008372B3">
        <w:t>)</w:t>
      </w:r>
      <w:r w:rsidR="009D7CC7" w:rsidRPr="0032798B">
        <w:t>.</w:t>
      </w:r>
      <w:r w:rsidR="00CE3A1F" w:rsidRPr="0032798B">
        <w:t xml:space="preserve"> </w:t>
      </w:r>
      <w:r w:rsidR="009D7CC7" w:rsidRPr="0032798B">
        <w:t>Contact information will be provided for those who have questions prior to agreeing to participate</w:t>
      </w:r>
      <w:r w:rsidR="001D1AD2" w:rsidRPr="0032798B">
        <w:t xml:space="preserve"> </w:t>
      </w:r>
      <w:r w:rsidR="00676C96" w:rsidRPr="0032798B">
        <w:t>or for those who may need to conduct the survey in Spanish</w:t>
      </w:r>
      <w:r w:rsidR="009D7CC7" w:rsidRPr="0032798B">
        <w:t xml:space="preserve">. </w:t>
      </w:r>
      <w:r w:rsidR="008372B3">
        <w:t xml:space="preserve">Given the </w:t>
      </w:r>
      <w:r w:rsidR="006E33C5">
        <w:t>length of the director</w:t>
      </w:r>
      <w:r w:rsidR="008372B3">
        <w:t xml:space="preserve"> survey</w:t>
      </w:r>
      <w:r w:rsidR="006E33C5">
        <w:t xml:space="preserve"> (15 minutes)</w:t>
      </w:r>
      <w:r w:rsidR="008372B3">
        <w:t xml:space="preserve"> and need for information about the health manager that will be collected in this survey, </w:t>
      </w:r>
      <w:r w:rsidR="009D7CC7" w:rsidRPr="0032798B">
        <w:t>if a Head Start director does not respond</w:t>
      </w:r>
      <w:r w:rsidR="003F37A3" w:rsidRPr="0032798B">
        <w:t xml:space="preserve"> </w:t>
      </w:r>
      <w:r w:rsidR="009D7CC7" w:rsidRPr="0032798B">
        <w:t>to the email invitation to participate,</w:t>
      </w:r>
      <w:r w:rsidR="00994046" w:rsidRPr="0032798B">
        <w:t xml:space="preserve"> </w:t>
      </w:r>
      <w:r w:rsidR="00994046" w:rsidRPr="0032798B">
        <w:lastRenderedPageBreak/>
        <w:t>or has initiated, but not completed the survey</w:t>
      </w:r>
      <w:r w:rsidR="008372B3">
        <w:t xml:space="preserve"> within one week of receipt of the invitation</w:t>
      </w:r>
      <w:r w:rsidR="00994046" w:rsidRPr="0032798B">
        <w:t>,</w:t>
      </w:r>
      <w:r w:rsidR="009D7CC7" w:rsidRPr="0032798B">
        <w:t xml:space="preserve"> </w:t>
      </w:r>
      <w:r w:rsidR="003F37A3" w:rsidRPr="0032798B">
        <w:t>MMIC</w:t>
      </w:r>
      <w:r w:rsidR="003F37A3" w:rsidRPr="0032798B">
        <w:rPr>
          <w:szCs w:val="22"/>
          <w:vertAlign w:val="superscript"/>
        </w:rPr>
        <w:t>TM</w:t>
      </w:r>
      <w:r w:rsidR="009D7CC7" w:rsidRPr="0032798B">
        <w:t xml:space="preserve"> will be</w:t>
      </w:r>
      <w:r w:rsidR="003F37A3" w:rsidRPr="0032798B">
        <w:t xml:space="preserve"> programmed to</w:t>
      </w:r>
      <w:r w:rsidR="009D7CC7" w:rsidRPr="0032798B">
        <w:t xml:space="preserve"> </w:t>
      </w:r>
      <w:r w:rsidR="003F37A3" w:rsidRPr="0032798B">
        <w:t>send a follow-up</w:t>
      </w:r>
      <w:r w:rsidR="009D7CC7" w:rsidRPr="0032798B">
        <w:t xml:space="preserve"> email</w:t>
      </w:r>
      <w:r w:rsidR="008372B3">
        <w:t xml:space="preserve">. A second email will be sent two weeks after receipt of the </w:t>
      </w:r>
      <w:proofErr w:type="gramStart"/>
      <w:r w:rsidR="00C66F2E">
        <w:t xml:space="preserve">initial </w:t>
      </w:r>
      <w:r w:rsidR="00D72083">
        <w:t xml:space="preserve"> </w:t>
      </w:r>
      <w:r w:rsidR="008372B3">
        <w:t>invitation</w:t>
      </w:r>
      <w:proofErr w:type="gramEnd"/>
      <w:r w:rsidR="008372B3">
        <w:t xml:space="preserve">. </w:t>
      </w:r>
      <w:r w:rsidR="009D7CC7" w:rsidRPr="0032798B">
        <w:t xml:space="preserve"> Follow-up by phone</w:t>
      </w:r>
      <w:r w:rsidR="009D7CC7">
        <w:t xml:space="preserve"> will also be used for those who do not respond to the email prompts</w:t>
      </w:r>
      <w:r w:rsidR="008372B3">
        <w:t xml:space="preserve"> and will begin three weeks after receipt of the </w:t>
      </w:r>
      <w:r w:rsidR="00C66F2E">
        <w:t xml:space="preserve">initial </w:t>
      </w:r>
      <w:r w:rsidR="008372B3">
        <w:t>invitation, with priority being given to programs serving high-priority populations</w:t>
      </w:r>
      <w:r w:rsidR="00CE3A1F">
        <w:t xml:space="preserve"> (see Appendix K for phone recruitment script)</w:t>
      </w:r>
      <w:r w:rsidR="009D7CC7">
        <w:t>.</w:t>
      </w:r>
      <w:r w:rsidR="008372B3">
        <w:t xml:space="preserve">A similar process will be conducted for health managers, though the time frame is extended slightly due to the more comprehensive nature of the survey. Follow-up emails will be sent two and four weeks after the </w:t>
      </w:r>
      <w:r w:rsidR="00C66F2E">
        <w:t xml:space="preserve">initial </w:t>
      </w:r>
      <w:r w:rsidR="008372B3">
        <w:t xml:space="preserve">invitation was sent. Follow-up phone calls will also be conducted </w:t>
      </w:r>
      <w:r w:rsidR="00921542">
        <w:t>five</w:t>
      </w:r>
      <w:r w:rsidR="008372B3">
        <w:t xml:space="preserve"> weeks after the </w:t>
      </w:r>
      <w:r w:rsidR="00C66F2E">
        <w:t xml:space="preserve">initial </w:t>
      </w:r>
      <w:r w:rsidR="008372B3">
        <w:t>invitation was sent. Again, priority for these calls will be given to programs serving high-priority populations.</w:t>
      </w:r>
      <w:r w:rsidR="00921542">
        <w:t xml:space="preserve"> A final email will be sent between six and seven weeks after the </w:t>
      </w:r>
      <w:r w:rsidR="00C66F2E">
        <w:t>in</w:t>
      </w:r>
      <w:r w:rsidR="00CC41E0">
        <w:t>i</w:t>
      </w:r>
      <w:r w:rsidR="00C66F2E">
        <w:t>tial</w:t>
      </w:r>
      <w:r w:rsidR="00921542">
        <w:t xml:space="preserve"> invitation was sent.</w:t>
      </w:r>
    </w:p>
    <w:p w:rsidR="00CC5B91" w:rsidRDefault="00CC5B91" w:rsidP="00D7629C">
      <w:pPr>
        <w:spacing w:line="240" w:lineRule="auto"/>
      </w:pPr>
    </w:p>
    <w:p w:rsidR="009B779F" w:rsidRDefault="009B779F" w:rsidP="00D7629C">
      <w:pPr>
        <w:spacing w:line="240" w:lineRule="auto"/>
      </w:pPr>
      <w:r>
        <w:t>Respondents using the MMIC</w:t>
      </w:r>
      <w:r w:rsidRPr="00765D39">
        <w:rPr>
          <w:szCs w:val="22"/>
          <w:vertAlign w:val="superscript"/>
        </w:rPr>
        <w:t>TM</w:t>
      </w:r>
      <w:r>
        <w:t xml:space="preserve"> interface will be able to begin the survey, save responses, and return later to the instrument if they are not able to complete the survey in one session.</w:t>
      </w:r>
      <w:r w:rsidR="00CC5B91">
        <w:t xml:space="preserve"> At the conclusion of the survey, </w:t>
      </w:r>
      <w:r w:rsidR="004C5BCC">
        <w:t>MMIC</w:t>
      </w:r>
      <w:r w:rsidR="004C5BCC" w:rsidRPr="00765D39">
        <w:rPr>
          <w:szCs w:val="22"/>
          <w:vertAlign w:val="superscript"/>
        </w:rPr>
        <w:t>TM</w:t>
      </w:r>
      <w:r w:rsidR="004C5BCC">
        <w:t xml:space="preserve"> </w:t>
      </w:r>
      <w:r w:rsidR="00CC5B91">
        <w:t>will allow respondent</w:t>
      </w:r>
      <w:r w:rsidR="004C5BCC">
        <w:t>s</w:t>
      </w:r>
      <w:r w:rsidR="00CC5B91">
        <w:t xml:space="preserve"> to download and print their complete set of responses. </w:t>
      </w:r>
      <w:r>
        <w:t xml:space="preserve">Those who are not able to complete the survey using one of the available electronic methods (e.g., Internet, personal digital assistance, smart phone, WebTV) will be offered the opportunity to conduct the survey over the telephone with a </w:t>
      </w:r>
      <w:r w:rsidR="004C5BCC">
        <w:t>trained</w:t>
      </w:r>
      <w:r>
        <w:t xml:space="preserve"> interviewer.</w:t>
      </w:r>
      <w:r w:rsidR="00CC5B91">
        <w:t xml:space="preserve"> </w:t>
      </w:r>
    </w:p>
    <w:p w:rsidR="00D27BC3" w:rsidRDefault="00D27BC3" w:rsidP="00D7629C">
      <w:pPr>
        <w:spacing w:line="240" w:lineRule="auto"/>
      </w:pPr>
    </w:p>
    <w:p w:rsidR="00946843" w:rsidRDefault="00DD2A3A" w:rsidP="00D7629C">
      <w:pPr>
        <w:spacing w:line="240" w:lineRule="auto"/>
      </w:pPr>
      <w:r>
        <w:rPr>
          <w:b/>
        </w:rPr>
        <w:t>Semi-structured Inter</w:t>
      </w:r>
      <w:r w:rsidR="00EC4134">
        <w:rPr>
          <w:b/>
        </w:rPr>
        <w:t>v</w:t>
      </w:r>
      <w:r>
        <w:rPr>
          <w:b/>
        </w:rPr>
        <w:t>i</w:t>
      </w:r>
      <w:r w:rsidR="00EC4134">
        <w:rPr>
          <w:b/>
        </w:rPr>
        <w:t>ews.</w:t>
      </w:r>
      <w:r w:rsidR="00B63ECE">
        <w:rPr>
          <w:b/>
        </w:rPr>
        <w:t xml:space="preserve"> </w:t>
      </w:r>
      <w:r w:rsidR="00946843">
        <w:t>A te</w:t>
      </w:r>
      <w:r w:rsidR="00E40216">
        <w:t xml:space="preserve">lephone </w:t>
      </w:r>
      <w:r w:rsidR="004C5BCC">
        <w:t>interview</w:t>
      </w:r>
      <w:r w:rsidR="00E40216">
        <w:t xml:space="preserve"> will be the mode</w:t>
      </w:r>
      <w:r w:rsidR="00946843">
        <w:t xml:space="preserve"> of data collection </w:t>
      </w:r>
      <w:r w:rsidR="00E40216">
        <w:t>for</w:t>
      </w:r>
      <w:r w:rsidR="00946843">
        <w:t xml:space="preserve"> the semi-structured interviews. </w:t>
      </w:r>
      <w:r w:rsidR="00D27BC3">
        <w:t>Three trained interviewers from RAND</w:t>
      </w:r>
      <w:r w:rsidR="00676C96">
        <w:t xml:space="preserve"> (one of whom is fluent in Spanish)</w:t>
      </w:r>
      <w:r w:rsidR="00D27BC3">
        <w:t xml:space="preserve"> will conduct the interviews with </w:t>
      </w:r>
      <w:r w:rsidR="00FE3257">
        <w:t xml:space="preserve">the </w:t>
      </w:r>
      <w:r w:rsidR="00946843">
        <w:t>sample</w:t>
      </w:r>
      <w:r w:rsidR="00FE3257">
        <w:t xml:space="preserve"> of </w:t>
      </w:r>
      <w:r w:rsidR="000453C6">
        <w:t>H</w:t>
      </w:r>
      <w:r w:rsidR="00536EC7">
        <w:t xml:space="preserve">ead </w:t>
      </w:r>
      <w:r w:rsidR="000453C6">
        <w:t>S</w:t>
      </w:r>
      <w:r w:rsidR="00536EC7">
        <w:t>tart</w:t>
      </w:r>
      <w:r w:rsidR="00D27BC3">
        <w:t xml:space="preserve"> </w:t>
      </w:r>
      <w:r w:rsidR="00840EE6">
        <w:t>health manager</w:t>
      </w:r>
      <w:r w:rsidR="00FE3257">
        <w:t xml:space="preserve">s </w:t>
      </w:r>
      <w:r w:rsidR="00EC4134">
        <w:t xml:space="preserve">selected for interview </w:t>
      </w:r>
      <w:r w:rsidR="00FE3257">
        <w:t xml:space="preserve">and </w:t>
      </w:r>
      <w:r w:rsidR="00E40216">
        <w:t xml:space="preserve">the sample of </w:t>
      </w:r>
      <w:r w:rsidR="000453C6">
        <w:t>H</w:t>
      </w:r>
      <w:r w:rsidR="00536EC7">
        <w:t xml:space="preserve">ead </w:t>
      </w:r>
      <w:r w:rsidR="000453C6">
        <w:t>S</w:t>
      </w:r>
      <w:r w:rsidR="00536EC7">
        <w:t>tart</w:t>
      </w:r>
      <w:r w:rsidR="00FE3257">
        <w:t xml:space="preserve"> </w:t>
      </w:r>
      <w:r w:rsidR="00D27BC3">
        <w:t>teachers</w:t>
      </w:r>
      <w:r w:rsidR="00536EC7">
        <w:t>,</w:t>
      </w:r>
      <w:r w:rsidR="00D27BC3">
        <w:t xml:space="preserve"> family service </w:t>
      </w:r>
      <w:r w:rsidR="00FE3257">
        <w:t>workers</w:t>
      </w:r>
      <w:r w:rsidR="00536EC7">
        <w:t>, and home visitors</w:t>
      </w:r>
      <w:r w:rsidR="00946843">
        <w:t xml:space="preserve"> selected for interview (see the discussion in Section B</w:t>
      </w:r>
      <w:r w:rsidR="004C5BCC">
        <w:t>.</w:t>
      </w:r>
      <w:r w:rsidR="00946843">
        <w:t>1)</w:t>
      </w:r>
      <w:r w:rsidR="00D27BC3">
        <w:t>.</w:t>
      </w:r>
      <w:r w:rsidR="00FE3257">
        <w:t xml:space="preserve"> </w:t>
      </w:r>
      <w:r w:rsidR="00946843">
        <w:t>The two interview protocols are provided in Appendi</w:t>
      </w:r>
      <w:r w:rsidR="00DD623B">
        <w:t>c</w:t>
      </w:r>
      <w:r w:rsidR="00946843">
        <w:t xml:space="preserve">es </w:t>
      </w:r>
      <w:r w:rsidR="00690947">
        <w:t>D</w:t>
      </w:r>
      <w:r w:rsidR="00E40216">
        <w:t xml:space="preserve"> </w:t>
      </w:r>
      <w:r w:rsidR="00946843">
        <w:t xml:space="preserve">and </w:t>
      </w:r>
      <w:r w:rsidR="00690947">
        <w:t>E</w:t>
      </w:r>
      <w:r w:rsidR="00E40216">
        <w:t xml:space="preserve">. As with the online survey, those selected for the semi-structured </w:t>
      </w:r>
      <w:r w:rsidR="00E40216" w:rsidRPr="0032798B">
        <w:t>interviews will receive an email invitati</w:t>
      </w:r>
      <w:r w:rsidR="00EC4134" w:rsidRPr="0032798B">
        <w:t>on to participate in the study</w:t>
      </w:r>
      <w:r w:rsidR="00DD623B" w:rsidRPr="0032798B">
        <w:t xml:space="preserve"> (see recruitment email in Appendix K)</w:t>
      </w:r>
      <w:r w:rsidR="00EC4134" w:rsidRPr="0032798B">
        <w:t xml:space="preserve"> that is accompanied by a letter of support</w:t>
      </w:r>
      <w:r w:rsidR="00B15547" w:rsidRPr="0032798B">
        <w:t xml:space="preserve"> from the Director of the Office of Head Start</w:t>
      </w:r>
      <w:r w:rsidR="00EC4134" w:rsidRPr="0032798B">
        <w:t xml:space="preserve"> for the study</w:t>
      </w:r>
      <w:r w:rsidR="00DD623B" w:rsidRPr="0032798B">
        <w:t>. This letter will be drafted after OMB approval and will be submitted to OMB prior to fielding the study.</w:t>
      </w:r>
      <w:r w:rsidR="00690947" w:rsidRPr="0032798B">
        <w:t xml:space="preserve"> </w:t>
      </w:r>
      <w:r w:rsidR="008130F1" w:rsidRPr="0032798B">
        <w:t xml:space="preserve"> The </w:t>
      </w:r>
      <w:r w:rsidR="00676C96" w:rsidRPr="0032798B">
        <w:t>email</w:t>
      </w:r>
      <w:r w:rsidR="008130F1" w:rsidRPr="0032798B">
        <w:t xml:space="preserve"> will explain that an interviewer will call them</w:t>
      </w:r>
      <w:r w:rsidR="008130F1">
        <w:t xml:space="preserve"> to set up a time for an interview</w:t>
      </w:r>
      <w:r w:rsidR="00676C96">
        <w:t xml:space="preserve">, </w:t>
      </w:r>
      <w:r w:rsidR="008130F1">
        <w:t>answer any questions</w:t>
      </w:r>
      <w:r w:rsidR="00676C96">
        <w:t>, and determine if the respondent would prefer to conduct the interview in Spanish</w:t>
      </w:r>
      <w:r w:rsidR="008130F1">
        <w:t>. Once the interview time has been established, the interviewer will place a return call to conduct the semi-structured interview at the specified time.</w:t>
      </w:r>
      <w:r w:rsidR="002D2977">
        <w:t xml:space="preserve"> </w:t>
      </w:r>
    </w:p>
    <w:p w:rsidR="00946843" w:rsidRDefault="00946843" w:rsidP="00D7629C">
      <w:pPr>
        <w:spacing w:line="240" w:lineRule="auto"/>
      </w:pPr>
    </w:p>
    <w:p w:rsidR="00CF6712" w:rsidRDefault="00D27BC3" w:rsidP="00D7629C">
      <w:pPr>
        <w:spacing w:line="240" w:lineRule="auto"/>
      </w:pPr>
      <w:r>
        <w:t xml:space="preserve">The interviewers will </w:t>
      </w:r>
      <w:r w:rsidR="00690947">
        <w:t>participate in a one-day</w:t>
      </w:r>
      <w:r>
        <w:t xml:space="preserve"> training</w:t>
      </w:r>
      <w:r w:rsidR="00690947">
        <w:t>,</w:t>
      </w:r>
      <w:r>
        <w:t xml:space="preserve"> </w:t>
      </w:r>
      <w:r w:rsidR="00690947">
        <w:t xml:space="preserve">led by RAND experts on qualitative data collection, </w:t>
      </w:r>
      <w:r>
        <w:t>on consent procedures, rights in research, framing of questions for respondent ease and comfort with candid questions, and use of probes.</w:t>
      </w:r>
      <w:r w:rsidR="00B63ECE">
        <w:t xml:space="preserve"> </w:t>
      </w:r>
      <w:r>
        <w:t xml:space="preserve">The training will include an opportunity to practice with the interview protocol. All interviews will be audiotaped, which will allow the lead researcher for this task to review </w:t>
      </w:r>
      <w:r w:rsidR="00690947">
        <w:t xml:space="preserve">a </w:t>
      </w:r>
      <w:r w:rsidR="00FF23B8">
        <w:t xml:space="preserve">10 percent </w:t>
      </w:r>
      <w:r w:rsidR="00690947">
        <w:t xml:space="preserve">sample of </w:t>
      </w:r>
      <w:r>
        <w:t>the tapes</w:t>
      </w:r>
      <w:r w:rsidR="00FF23B8">
        <w:t xml:space="preserve"> within two days of the interview</w:t>
      </w:r>
      <w:r>
        <w:t xml:space="preserve"> to ensure that the interviewers are adhering to the protocol and standards for qualitative interviewing.</w:t>
      </w:r>
    </w:p>
    <w:p w:rsidR="007B4C51" w:rsidRDefault="007B4C51" w:rsidP="00D7629C">
      <w:pPr>
        <w:spacing w:line="240" w:lineRule="auto"/>
      </w:pPr>
    </w:p>
    <w:p w:rsidR="007B4C51" w:rsidRDefault="007B4C51" w:rsidP="007B4C51">
      <w:pPr>
        <w:pStyle w:val="AbtHeadC"/>
        <w:spacing w:after="0" w:line="240" w:lineRule="auto"/>
      </w:pPr>
      <w:r>
        <w:t>B.2.2.</w:t>
      </w:r>
      <w:r>
        <w:tab/>
        <w:t xml:space="preserve">Estimation Procedure </w:t>
      </w:r>
    </w:p>
    <w:p w:rsidR="007B4C51" w:rsidRDefault="007B4C51" w:rsidP="007B4C51">
      <w:pPr>
        <w:spacing w:line="240" w:lineRule="auto"/>
        <w:rPr>
          <w:b/>
        </w:rPr>
      </w:pPr>
    </w:p>
    <w:p w:rsidR="0002486D" w:rsidRDefault="0002486D" w:rsidP="0002486D">
      <w:pPr>
        <w:spacing w:line="240" w:lineRule="auto"/>
      </w:pPr>
      <w:r>
        <w:t>As discussed more fully in Section A.16,</w:t>
      </w:r>
      <w:r w:rsidR="005D7D63">
        <w:t xml:space="preserve"> the results of the Head Start Director Survey and Head Start Health Manager Survey will be analyzed using standard quantitative analysis methods. If </w:t>
      </w:r>
      <w:r>
        <w:t>there is any nonresponse, we will employ appropriate statistical procedures in our analysis to correct for any potential nonresponse bias. Those procedures involve reweighting the observed cases to account for any cases of nonresponse. The nonresponse weights will account for known characteristics of the missing cases based on Head Start program information available in the Program Information Report.</w:t>
      </w:r>
    </w:p>
    <w:p w:rsidR="005D7D63" w:rsidRDefault="005D7D63" w:rsidP="0002486D">
      <w:pPr>
        <w:spacing w:line="240" w:lineRule="auto"/>
      </w:pPr>
    </w:p>
    <w:p w:rsidR="005D7D63" w:rsidRDefault="005D7D63" w:rsidP="0002486D">
      <w:pPr>
        <w:spacing w:line="240" w:lineRule="auto"/>
      </w:pPr>
      <w:r>
        <w:lastRenderedPageBreak/>
        <w:t>Section A.16 also describes the use of qualitative methods to analyze the results of the semi-structured intervi</w:t>
      </w:r>
      <w:r w:rsidR="00750B71">
        <w:t xml:space="preserve">ews. As such, the construction of analytic weights is not relevant for that portion of the analysis. </w:t>
      </w:r>
    </w:p>
    <w:p w:rsidR="00CF6712" w:rsidRDefault="00CF6712" w:rsidP="00D7629C">
      <w:pPr>
        <w:spacing w:line="240" w:lineRule="auto"/>
      </w:pPr>
    </w:p>
    <w:p w:rsidR="00733F51" w:rsidRDefault="00733F51" w:rsidP="00D7629C">
      <w:pPr>
        <w:pStyle w:val="AbtHeadB"/>
        <w:spacing w:after="0" w:line="240" w:lineRule="auto"/>
      </w:pPr>
      <w:r>
        <w:t>B</w:t>
      </w:r>
      <w:r w:rsidR="00495E54">
        <w:t>.</w:t>
      </w:r>
      <w:r>
        <w:t>3.</w:t>
      </w:r>
      <w:r>
        <w:tab/>
        <w:t xml:space="preserve">Methods </w:t>
      </w:r>
      <w:r w:rsidR="00482E2C">
        <w:t xml:space="preserve">to </w:t>
      </w:r>
      <w:r>
        <w:t>Maximiz</w:t>
      </w:r>
      <w:r w:rsidR="00482E2C">
        <w:t>e</w:t>
      </w:r>
      <w:r>
        <w:t xml:space="preserve"> Response Rates</w:t>
      </w:r>
      <w:r w:rsidR="00482E2C">
        <w:t xml:space="preserve"> and Deal with Nonresponse</w:t>
      </w:r>
    </w:p>
    <w:p w:rsidR="001B3208" w:rsidRDefault="001B3208" w:rsidP="00D7629C">
      <w:pPr>
        <w:spacing w:line="240" w:lineRule="auto"/>
        <w:rPr>
          <w:szCs w:val="22"/>
        </w:rPr>
      </w:pPr>
    </w:p>
    <w:p w:rsidR="00426C01" w:rsidRDefault="00426C01" w:rsidP="00D7629C">
      <w:pPr>
        <w:spacing w:line="240" w:lineRule="auto"/>
        <w:rPr>
          <w:szCs w:val="22"/>
        </w:rPr>
      </w:pPr>
      <w:r>
        <w:rPr>
          <w:szCs w:val="22"/>
        </w:rPr>
        <w:t>The Head Start Health Manager</w:t>
      </w:r>
      <w:r w:rsidR="00BB6DE4">
        <w:rPr>
          <w:szCs w:val="22"/>
        </w:rPr>
        <w:t>s Study expects to obtain a</w:t>
      </w:r>
      <w:r>
        <w:rPr>
          <w:szCs w:val="22"/>
        </w:rPr>
        <w:t xml:space="preserve"> high response rate f</w:t>
      </w:r>
      <w:r w:rsidR="00BB6DE4">
        <w:rPr>
          <w:szCs w:val="22"/>
        </w:rPr>
        <w:t xml:space="preserve">or </w:t>
      </w:r>
      <w:r w:rsidR="00495E54">
        <w:rPr>
          <w:szCs w:val="22"/>
        </w:rPr>
        <w:t xml:space="preserve">each of the data collection components as discussed </w:t>
      </w:r>
      <w:r w:rsidR="00495E54" w:rsidRPr="007405A5">
        <w:rPr>
          <w:szCs w:val="22"/>
        </w:rPr>
        <w:t>in Section B.</w:t>
      </w:r>
      <w:r w:rsidR="007405A5" w:rsidRPr="007405A5">
        <w:rPr>
          <w:szCs w:val="22"/>
        </w:rPr>
        <w:t>1.1</w:t>
      </w:r>
      <w:r w:rsidR="00BB6DE4" w:rsidRPr="007405A5">
        <w:rPr>
          <w:szCs w:val="22"/>
        </w:rPr>
        <w:t>.</w:t>
      </w:r>
      <w:r>
        <w:rPr>
          <w:szCs w:val="22"/>
        </w:rPr>
        <w:t xml:space="preserve"> </w:t>
      </w:r>
      <w:r w:rsidR="007A2B74">
        <w:rPr>
          <w:szCs w:val="22"/>
        </w:rPr>
        <w:t xml:space="preserve">We will employ a number of strategies to maximize response. First, we will use clear and easy-to-read materials, as well as our relationships in the Office of Head Start and the experts on our Technical Work Group, to </w:t>
      </w:r>
      <w:r w:rsidR="007B534C">
        <w:rPr>
          <w:szCs w:val="22"/>
        </w:rPr>
        <w:t xml:space="preserve">enable us to explain the study to respondents targeted for both the online surveys and </w:t>
      </w:r>
      <w:r w:rsidR="00FB0A2C">
        <w:rPr>
          <w:szCs w:val="22"/>
        </w:rPr>
        <w:t>semi-structured interviews</w:t>
      </w:r>
      <w:r w:rsidR="007B534C">
        <w:rPr>
          <w:szCs w:val="22"/>
        </w:rPr>
        <w:t xml:space="preserve">. The invitation to </w:t>
      </w:r>
      <w:r w:rsidR="007B534C" w:rsidRPr="0032798B">
        <w:rPr>
          <w:szCs w:val="22"/>
        </w:rPr>
        <w:t xml:space="preserve">Head Start directors and health managers to participate in the study will begin with an email that provides the motivation for the study and </w:t>
      </w:r>
      <w:r w:rsidR="00EC4134" w:rsidRPr="0032798B">
        <w:rPr>
          <w:szCs w:val="22"/>
        </w:rPr>
        <w:t xml:space="preserve">highlights </w:t>
      </w:r>
      <w:r w:rsidR="007B534C" w:rsidRPr="0032798B">
        <w:rPr>
          <w:szCs w:val="22"/>
        </w:rPr>
        <w:t>the importance of participation in the study</w:t>
      </w:r>
      <w:r w:rsidR="00DD623B" w:rsidRPr="0032798B">
        <w:rPr>
          <w:szCs w:val="22"/>
        </w:rPr>
        <w:t xml:space="preserve"> (see Appendix K for recruitment materials)</w:t>
      </w:r>
      <w:r w:rsidR="007B534C" w:rsidRPr="0032798B">
        <w:rPr>
          <w:szCs w:val="22"/>
        </w:rPr>
        <w:t xml:space="preserve">. </w:t>
      </w:r>
      <w:r w:rsidR="00E605CA" w:rsidRPr="0032798B">
        <w:rPr>
          <w:szCs w:val="22"/>
        </w:rPr>
        <w:t>A letter from the Office of Head Start will accompany the invitation</w:t>
      </w:r>
      <w:r w:rsidR="00EC4134" w:rsidRPr="0032798B">
        <w:rPr>
          <w:szCs w:val="22"/>
        </w:rPr>
        <w:t xml:space="preserve"> to further encourage participation</w:t>
      </w:r>
      <w:r w:rsidR="00E605CA" w:rsidRPr="0032798B">
        <w:rPr>
          <w:szCs w:val="22"/>
        </w:rPr>
        <w:t xml:space="preserve">. </w:t>
      </w:r>
      <w:r w:rsidR="00DD623B" w:rsidRPr="0032798B">
        <w:t xml:space="preserve">This letter will be drafted after OMB approval and will be submitted to OMB prior to fielding the study. </w:t>
      </w:r>
      <w:r w:rsidR="00BC5C59" w:rsidRPr="0032798B">
        <w:rPr>
          <w:szCs w:val="22"/>
        </w:rPr>
        <w:t>A similar</w:t>
      </w:r>
      <w:r w:rsidR="00BC5C59">
        <w:rPr>
          <w:szCs w:val="22"/>
        </w:rPr>
        <w:t xml:space="preserve"> approach will apply to the recruitment materials for the semi-structured interviews. </w:t>
      </w:r>
      <w:r w:rsidR="007B534C">
        <w:rPr>
          <w:szCs w:val="22"/>
        </w:rPr>
        <w:t xml:space="preserve">These plans are reflected in the recruitment materials provided </w:t>
      </w:r>
      <w:r w:rsidR="007B534C" w:rsidRPr="007405A5">
        <w:rPr>
          <w:szCs w:val="22"/>
        </w:rPr>
        <w:t>in Appendix K.</w:t>
      </w:r>
      <w:r w:rsidR="007B534C">
        <w:rPr>
          <w:szCs w:val="22"/>
        </w:rPr>
        <w:t xml:space="preserve"> </w:t>
      </w:r>
    </w:p>
    <w:p w:rsidR="00E5533A" w:rsidRDefault="00E5533A" w:rsidP="00D7629C">
      <w:pPr>
        <w:spacing w:line="240" w:lineRule="auto"/>
        <w:rPr>
          <w:szCs w:val="22"/>
        </w:rPr>
      </w:pPr>
    </w:p>
    <w:p w:rsidR="00E5533A" w:rsidRDefault="00E5533A" w:rsidP="00D7629C">
      <w:pPr>
        <w:spacing w:line="240" w:lineRule="auto"/>
        <w:rPr>
          <w:szCs w:val="22"/>
        </w:rPr>
      </w:pPr>
      <w:r>
        <w:rPr>
          <w:szCs w:val="22"/>
        </w:rPr>
        <w:t xml:space="preserve">Second, as noted in Section A.2, we are seeking approval from relevant </w:t>
      </w:r>
      <w:r>
        <w:rPr>
          <w:bCs/>
          <w:szCs w:val="22"/>
        </w:rPr>
        <w:t xml:space="preserve">Institutional Review Boards of </w:t>
      </w:r>
      <w:r w:rsidRPr="007F2938">
        <w:rPr>
          <w:bCs/>
          <w:szCs w:val="22"/>
        </w:rPr>
        <w:t xml:space="preserve">American Indian </w:t>
      </w:r>
      <w:r>
        <w:rPr>
          <w:bCs/>
          <w:szCs w:val="22"/>
        </w:rPr>
        <w:t xml:space="preserve">and </w:t>
      </w:r>
      <w:r w:rsidR="002C0D89">
        <w:rPr>
          <w:bCs/>
          <w:szCs w:val="22"/>
        </w:rPr>
        <w:t>Alaska</w:t>
      </w:r>
      <w:r w:rsidRPr="007F2938">
        <w:rPr>
          <w:bCs/>
          <w:szCs w:val="22"/>
        </w:rPr>
        <w:t xml:space="preserve"> Native</w:t>
      </w:r>
      <w:r>
        <w:rPr>
          <w:bCs/>
          <w:szCs w:val="22"/>
        </w:rPr>
        <w:t xml:space="preserve"> trib</w:t>
      </w:r>
      <w:r w:rsidR="00070DB1">
        <w:rPr>
          <w:bCs/>
          <w:szCs w:val="22"/>
        </w:rPr>
        <w:t>al groups</w:t>
      </w:r>
      <w:r>
        <w:rPr>
          <w:bCs/>
          <w:szCs w:val="22"/>
        </w:rPr>
        <w:t xml:space="preserve"> in order to ensure a high rate of participation among directors, health managers, teachers, family service workers, and home visitors in </w:t>
      </w:r>
      <w:r w:rsidRPr="007F2938">
        <w:rPr>
          <w:bCs/>
          <w:szCs w:val="22"/>
        </w:rPr>
        <w:t xml:space="preserve">American Indian </w:t>
      </w:r>
      <w:r>
        <w:rPr>
          <w:bCs/>
          <w:szCs w:val="22"/>
        </w:rPr>
        <w:t xml:space="preserve">and </w:t>
      </w:r>
      <w:r w:rsidR="002C0D89">
        <w:rPr>
          <w:bCs/>
          <w:szCs w:val="22"/>
        </w:rPr>
        <w:t>Alaska</w:t>
      </w:r>
      <w:r w:rsidRPr="007F2938">
        <w:rPr>
          <w:bCs/>
          <w:szCs w:val="22"/>
        </w:rPr>
        <w:t xml:space="preserve"> Native</w:t>
      </w:r>
      <w:r>
        <w:rPr>
          <w:bCs/>
          <w:szCs w:val="22"/>
        </w:rPr>
        <w:t xml:space="preserve"> Head Start programs. </w:t>
      </w:r>
      <w:r w:rsidR="00070DB1">
        <w:rPr>
          <w:bCs/>
          <w:szCs w:val="22"/>
        </w:rPr>
        <w:t>Third, the ability to use a variety of devices for the online survey using MMIC</w:t>
      </w:r>
      <w:r w:rsidR="00070DB1" w:rsidRPr="00EB172D">
        <w:rPr>
          <w:szCs w:val="22"/>
          <w:vertAlign w:val="superscript"/>
        </w:rPr>
        <w:t>TM</w:t>
      </w:r>
      <w:r w:rsidR="00070DB1">
        <w:rPr>
          <w:bCs/>
          <w:szCs w:val="22"/>
        </w:rPr>
        <w:t xml:space="preserve"> will facilitate higher response rates. Fourth</w:t>
      </w:r>
      <w:r>
        <w:rPr>
          <w:bCs/>
          <w:szCs w:val="22"/>
        </w:rPr>
        <w:t xml:space="preserve">, a high response rate to the </w:t>
      </w:r>
      <w:r w:rsidR="00007599">
        <w:rPr>
          <w:bCs/>
          <w:szCs w:val="22"/>
        </w:rPr>
        <w:t xml:space="preserve">online surveys and the </w:t>
      </w:r>
      <w:r>
        <w:rPr>
          <w:bCs/>
          <w:szCs w:val="22"/>
        </w:rPr>
        <w:t>semi-structured interviews will be further supported by providing the option of conducting the interviews in Spanish</w:t>
      </w:r>
      <w:r w:rsidR="00007599">
        <w:rPr>
          <w:bCs/>
          <w:szCs w:val="22"/>
        </w:rPr>
        <w:t>.</w:t>
      </w:r>
      <w:r>
        <w:rPr>
          <w:bCs/>
          <w:szCs w:val="22"/>
        </w:rPr>
        <w:t xml:space="preserve"> </w:t>
      </w:r>
    </w:p>
    <w:p w:rsidR="007B534C" w:rsidRDefault="007B534C" w:rsidP="00D7629C">
      <w:pPr>
        <w:spacing w:line="240" w:lineRule="auto"/>
        <w:rPr>
          <w:szCs w:val="22"/>
        </w:rPr>
      </w:pPr>
    </w:p>
    <w:p w:rsidR="007B534C" w:rsidRDefault="00007599" w:rsidP="00D7629C">
      <w:pPr>
        <w:spacing w:line="240" w:lineRule="auto"/>
      </w:pPr>
      <w:r>
        <w:t>D</w:t>
      </w:r>
      <w:r w:rsidR="007B534C" w:rsidRPr="00053081">
        <w:t>espite encouraging participation through clear and attractive materials, we do anticipate some nonresponse</w:t>
      </w:r>
      <w:r w:rsidR="007B534C">
        <w:t xml:space="preserve"> to our initial requests to participate in the study</w:t>
      </w:r>
      <w:r w:rsidR="007B534C" w:rsidRPr="00053081">
        <w:t>.</w:t>
      </w:r>
      <w:r w:rsidR="003F04FC">
        <w:t xml:space="preserve"> Each director and health manager </w:t>
      </w:r>
      <w:r w:rsidR="00E605CA">
        <w:t xml:space="preserve">invited to participate in the online survey </w:t>
      </w:r>
      <w:r w:rsidR="003F04FC">
        <w:t>will be assigned a unique ID</w:t>
      </w:r>
      <w:r w:rsidR="00BC5C59">
        <w:t xml:space="preserve"> through of the </w:t>
      </w:r>
      <w:r w:rsidR="00BC5C59" w:rsidRPr="00075AEA">
        <w:t>Mu</w:t>
      </w:r>
      <w:r w:rsidR="00BC5C59">
        <w:t>ltimode Interviewing Capability (MMIC</w:t>
      </w:r>
      <w:r w:rsidR="00BC5C59" w:rsidRPr="00765D39">
        <w:rPr>
          <w:szCs w:val="22"/>
          <w:vertAlign w:val="superscript"/>
        </w:rPr>
        <w:t>TM</w:t>
      </w:r>
      <w:r w:rsidR="00BC5C59">
        <w:t>) survey system</w:t>
      </w:r>
      <w:r w:rsidR="00E605CA">
        <w:t>. That ID will be used</w:t>
      </w:r>
      <w:r w:rsidR="003F04FC">
        <w:t xml:space="preserve"> </w:t>
      </w:r>
      <w:r w:rsidR="00E605CA">
        <w:t>to track</w:t>
      </w:r>
      <w:r w:rsidR="00BC5C59">
        <w:t>, in real time</w:t>
      </w:r>
      <w:r w:rsidR="003F04FC">
        <w:t xml:space="preserve">, who has responded to the survey. </w:t>
      </w:r>
      <w:r w:rsidR="003F04FC" w:rsidRPr="00053081">
        <w:t xml:space="preserve">Thus, we will monitor </w:t>
      </w:r>
      <w:r w:rsidR="00BC5C59">
        <w:t>whether</w:t>
      </w:r>
      <w:r w:rsidR="003F04FC" w:rsidRPr="00053081">
        <w:t xml:space="preserve"> </w:t>
      </w:r>
      <w:r w:rsidR="003F04FC">
        <w:t>directors and health managers</w:t>
      </w:r>
      <w:r w:rsidR="003F04FC" w:rsidRPr="00053081">
        <w:t xml:space="preserve"> complete</w:t>
      </w:r>
      <w:r w:rsidR="003F04FC">
        <w:t xml:space="preserve"> the</w:t>
      </w:r>
      <w:r w:rsidR="003F04FC" w:rsidRPr="00053081">
        <w:t xml:space="preserve"> </w:t>
      </w:r>
      <w:r w:rsidR="003F04FC">
        <w:t>questionnaire</w:t>
      </w:r>
      <w:r w:rsidR="003F04FC" w:rsidRPr="00053081">
        <w:t xml:space="preserve"> in a timely manner.</w:t>
      </w:r>
      <w:r w:rsidR="003F04FC">
        <w:t xml:space="preserve"> For those who do not initially respond, we will use several strategies to encourage their participation. </w:t>
      </w:r>
      <w:r w:rsidR="00BC5C59">
        <w:t xml:space="preserve">For </w:t>
      </w:r>
      <w:r w:rsidR="00BC5C59" w:rsidRPr="0032798B">
        <w:t>instance,</w:t>
      </w:r>
      <w:r w:rsidR="003F04FC" w:rsidRPr="0032798B">
        <w:t xml:space="preserve"> </w:t>
      </w:r>
      <w:r w:rsidR="00921542">
        <w:t xml:space="preserve">we will send two follow-up emails, followed by a phone call. A final email will be sent after the call; see Section B.2.1. </w:t>
      </w:r>
      <w:proofErr w:type="gramStart"/>
      <w:r w:rsidR="00921542">
        <w:t>for</w:t>
      </w:r>
      <w:proofErr w:type="gramEnd"/>
      <w:r w:rsidR="00921542">
        <w:t xml:space="preserve"> additional information </w:t>
      </w:r>
      <w:r w:rsidR="00DD623B">
        <w:t xml:space="preserve"> (see Appendix K for recruitment materials)</w:t>
      </w:r>
      <w:r w:rsidR="003F04FC">
        <w:t>. For those who are not able to complete the survey using one of the available electronic options, we will also offer to conduct the survey over the</w:t>
      </w:r>
      <w:r w:rsidR="0021459E">
        <w:t xml:space="preserve"> telephone.</w:t>
      </w:r>
      <w:r w:rsidR="003F04FC">
        <w:t xml:space="preserve"> </w:t>
      </w:r>
      <w:r w:rsidR="00D45CE8">
        <w:t>Thus</w:t>
      </w:r>
      <w:r w:rsidR="00D45CE8" w:rsidRPr="00053081">
        <w:t xml:space="preserve">, although we will make our best efforts to avoid nonresponse, we will also have procedures in place to convert nonresponse </w:t>
      </w:r>
      <w:r w:rsidR="00D45CE8">
        <w:t>cases and</w:t>
      </w:r>
      <w:r w:rsidR="00D45CE8" w:rsidRPr="00053081">
        <w:t xml:space="preserve"> maximize completion rates</w:t>
      </w:r>
      <w:r w:rsidR="00D45CE8">
        <w:t>.</w:t>
      </w:r>
      <w:r w:rsidR="00D87141">
        <w:t xml:space="preserve"> In reporting our results, we will calculate nonresponse rates according to the standards promulgated by the </w:t>
      </w:r>
      <w:r w:rsidR="00D87141" w:rsidRPr="00015C13">
        <w:t>American Association for Public Opinion Research</w:t>
      </w:r>
      <w:r w:rsidR="00D87141">
        <w:t>.</w:t>
      </w:r>
      <w:r w:rsidR="00F51331">
        <w:t xml:space="preserve"> According to this standard, the response rate will be calculated as the ratio of the number of eligible completed cases to the number of eligible cases.</w:t>
      </w:r>
    </w:p>
    <w:p w:rsidR="00D7629C" w:rsidRDefault="00D7629C" w:rsidP="00D7629C">
      <w:pPr>
        <w:spacing w:line="240" w:lineRule="auto"/>
        <w:rPr>
          <w:szCs w:val="22"/>
        </w:rPr>
      </w:pPr>
    </w:p>
    <w:p w:rsidR="00733F51" w:rsidRDefault="00733F51" w:rsidP="00D7629C">
      <w:pPr>
        <w:pStyle w:val="AbtHeadB"/>
        <w:spacing w:after="0" w:line="240" w:lineRule="auto"/>
      </w:pPr>
      <w:r>
        <w:t>B</w:t>
      </w:r>
      <w:r w:rsidR="00495E54">
        <w:t>.</w:t>
      </w:r>
      <w:r>
        <w:t>4.</w:t>
      </w:r>
      <w:r>
        <w:tab/>
        <w:t xml:space="preserve">Tests of </w:t>
      </w:r>
      <w:r w:rsidR="00482E2C">
        <w:t xml:space="preserve">Procedures or </w:t>
      </w:r>
      <w:r>
        <w:t xml:space="preserve">Methods </w:t>
      </w:r>
      <w:r w:rsidR="00482E2C">
        <w:t>to be Undertaken</w:t>
      </w:r>
    </w:p>
    <w:p w:rsidR="001B3208" w:rsidRDefault="001B3208" w:rsidP="00D7629C">
      <w:pPr>
        <w:spacing w:line="240" w:lineRule="auto"/>
      </w:pPr>
    </w:p>
    <w:p w:rsidR="00F51331" w:rsidRDefault="00D6235F" w:rsidP="00D7629C">
      <w:pPr>
        <w:spacing w:line="240" w:lineRule="auto"/>
      </w:pPr>
      <w:r>
        <w:t>As discussed in Section A</w:t>
      </w:r>
      <w:r w:rsidR="00495E54">
        <w:t>.</w:t>
      </w:r>
      <w:r>
        <w:t xml:space="preserve">12, </w:t>
      </w:r>
      <w:r w:rsidR="00CE3199" w:rsidRPr="00686DD4">
        <w:t xml:space="preserve">pre-tests </w:t>
      </w:r>
      <w:r w:rsidR="00CE3199">
        <w:t xml:space="preserve">were conducted </w:t>
      </w:r>
      <w:r w:rsidR="00CE3199" w:rsidRPr="00686DD4">
        <w:t>with nine potential respondents</w:t>
      </w:r>
      <w:r w:rsidR="00CE3199">
        <w:t xml:space="preserve"> to the Health Manager Survey and three potential respondents to the semi-structured interviews </w:t>
      </w:r>
      <w:r w:rsidR="00E01839">
        <w:t>(one</w:t>
      </w:r>
      <w:r w:rsidR="008C6995">
        <w:t xml:space="preserve"> </w:t>
      </w:r>
      <w:r w:rsidR="00CE3199">
        <w:t xml:space="preserve">health </w:t>
      </w:r>
      <w:r w:rsidR="00CE3199">
        <w:lastRenderedPageBreak/>
        <w:t xml:space="preserve">manager and </w:t>
      </w:r>
      <w:r w:rsidR="00E01839">
        <w:t>two</w:t>
      </w:r>
      <w:r w:rsidR="00CE3199">
        <w:t xml:space="preserve"> family service workers). </w:t>
      </w:r>
      <w:r w:rsidR="00F51331">
        <w:t>All respondents were enthus</w:t>
      </w:r>
      <w:r w:rsidR="0042634D">
        <w:t xml:space="preserve">iastic about the planned survey </w:t>
      </w:r>
      <w:r w:rsidR="00F51331">
        <w:t xml:space="preserve">and </w:t>
      </w:r>
      <w:r w:rsidR="00D27FA8">
        <w:t>thought</w:t>
      </w:r>
      <w:r w:rsidR="00F51331">
        <w:t xml:space="preserve"> the </w:t>
      </w:r>
      <w:r w:rsidR="00D27FA8">
        <w:t>resulting information wo</w:t>
      </w:r>
      <w:r w:rsidR="00F51331">
        <w:t>uld be usefu</w:t>
      </w:r>
      <w:r w:rsidR="00086FFB">
        <w:t>l for the Office of Head Start.</w:t>
      </w:r>
    </w:p>
    <w:p w:rsidR="00F51331" w:rsidRDefault="00F51331" w:rsidP="00D7629C">
      <w:pPr>
        <w:spacing w:line="240" w:lineRule="auto"/>
      </w:pPr>
    </w:p>
    <w:p w:rsidR="00733F51" w:rsidRDefault="007A2B74" w:rsidP="00D7629C">
      <w:pPr>
        <w:spacing w:line="240" w:lineRule="auto"/>
      </w:pPr>
      <w:r>
        <w:t xml:space="preserve">Throughout this process, we refined the survey questionnaires and the semi-structured interview protocols. </w:t>
      </w:r>
      <w:r w:rsidR="00CE3199" w:rsidRPr="000B7C9A">
        <w:t>T</w:t>
      </w:r>
      <w:r w:rsidR="00D6235F" w:rsidRPr="000B7C9A">
        <w:t xml:space="preserve">he </w:t>
      </w:r>
      <w:r w:rsidR="000B7C9A" w:rsidRPr="000B7C9A">
        <w:t xml:space="preserve">respondent </w:t>
      </w:r>
      <w:r w:rsidR="00D6235F" w:rsidRPr="000B7C9A">
        <w:t xml:space="preserve">burden was </w:t>
      </w:r>
      <w:r>
        <w:t xml:space="preserve">also </w:t>
      </w:r>
      <w:r w:rsidR="00D6235F" w:rsidRPr="000B7C9A">
        <w:t>estimated from these tests.</w:t>
      </w:r>
      <w:r w:rsidR="00CE3199" w:rsidRPr="000B7C9A">
        <w:t xml:space="preserve"> In additi</w:t>
      </w:r>
      <w:r w:rsidR="00CE3199">
        <w:t xml:space="preserve">on, </w:t>
      </w:r>
      <w:r w:rsidR="00CE3199" w:rsidRPr="00075AEA">
        <w:t>RAND’s Mu</w:t>
      </w:r>
      <w:r w:rsidR="00CE3199">
        <w:t>ltimode Interviewing Capability (MMIC</w:t>
      </w:r>
      <w:r w:rsidR="00765D39" w:rsidRPr="00765D39">
        <w:rPr>
          <w:szCs w:val="22"/>
          <w:vertAlign w:val="superscript"/>
        </w:rPr>
        <w:t>TM</w:t>
      </w:r>
      <w:r w:rsidR="00CE3199">
        <w:t xml:space="preserve">) system has been </w:t>
      </w:r>
      <w:r w:rsidR="00E90F7A">
        <w:t xml:space="preserve">successfully </w:t>
      </w:r>
      <w:r w:rsidR="00CE3199">
        <w:t>employed in numerous other studies conducted by RAND</w:t>
      </w:r>
      <w:r w:rsidR="00765D39">
        <w:t>, including the American Life Panel</w:t>
      </w:r>
      <w:r w:rsidR="000B7C9A">
        <w:t xml:space="preserve"> and</w:t>
      </w:r>
      <w:r w:rsidR="00765D39">
        <w:t xml:space="preserve"> a large-scale survey in 12 countries with 17 different languages and 5 different scripts</w:t>
      </w:r>
      <w:r w:rsidR="00CE3199">
        <w:t>.</w:t>
      </w:r>
      <w:r w:rsidR="00747A4F">
        <w:rPr>
          <w:rStyle w:val="FootnoteReference"/>
        </w:rPr>
        <w:footnoteReference w:id="6"/>
      </w:r>
      <w:r w:rsidR="00E01839">
        <w:t xml:space="preserve"> </w:t>
      </w:r>
      <w:r w:rsidR="00E90F7A">
        <w:t>The use of MMIC</w:t>
      </w:r>
      <w:r w:rsidR="00E90F7A" w:rsidRPr="00765D39">
        <w:rPr>
          <w:szCs w:val="22"/>
          <w:vertAlign w:val="superscript"/>
        </w:rPr>
        <w:t>TM</w:t>
      </w:r>
      <w:r w:rsidR="00E90F7A">
        <w:t xml:space="preserve"> for internet interviewing reduces respondent burden relative to an in-person interview, while the use of the MMIC</w:t>
      </w:r>
      <w:r w:rsidR="00E90F7A" w:rsidRPr="00765D39">
        <w:rPr>
          <w:szCs w:val="22"/>
          <w:vertAlign w:val="superscript"/>
        </w:rPr>
        <w:t>TM</w:t>
      </w:r>
      <w:r w:rsidR="00E90F7A">
        <w:t xml:space="preserve"> </w:t>
      </w:r>
      <w:r w:rsidR="009B217C">
        <w:t xml:space="preserve">software allows for efficient survey programming and administration. </w:t>
      </w:r>
    </w:p>
    <w:p w:rsidR="00D6235F" w:rsidRDefault="00D6235F" w:rsidP="00D7629C">
      <w:pPr>
        <w:spacing w:line="240" w:lineRule="auto"/>
      </w:pPr>
    </w:p>
    <w:p w:rsidR="00733F51" w:rsidRDefault="00733F51" w:rsidP="00D7629C">
      <w:pPr>
        <w:pStyle w:val="AbtHeadB"/>
        <w:spacing w:after="0" w:line="240" w:lineRule="auto"/>
        <w:ind w:left="720" w:hanging="720"/>
      </w:pPr>
      <w:r>
        <w:t>B</w:t>
      </w:r>
      <w:r w:rsidR="00495E54">
        <w:t>.</w:t>
      </w:r>
      <w:r>
        <w:t>5.</w:t>
      </w:r>
      <w:r>
        <w:tab/>
        <w:t>Individuals Consulted on Statistical Aspects and Individuals Collecting and/or Analyzing Data</w:t>
      </w:r>
    </w:p>
    <w:p w:rsidR="001B3208" w:rsidRDefault="001B3208" w:rsidP="00D7629C">
      <w:pPr>
        <w:pStyle w:val="BodyText"/>
        <w:spacing w:line="240" w:lineRule="auto"/>
      </w:pPr>
    </w:p>
    <w:p w:rsidR="00684B3D" w:rsidRDefault="005B135F" w:rsidP="00D7629C">
      <w:pPr>
        <w:pStyle w:val="BodyText"/>
        <w:spacing w:line="240" w:lineRule="auto"/>
      </w:pPr>
      <w:r>
        <w:t xml:space="preserve">The </w:t>
      </w:r>
      <w:r w:rsidR="00CB3B9C">
        <w:t>data</w:t>
      </w:r>
      <w:r>
        <w:t xml:space="preserve"> for this study is being collected by the RAND Corporation on behalf of the </w:t>
      </w:r>
      <w:r w:rsidR="00BB6DE4">
        <w:t>Administration for Children and Families, Office of Planning, Research and Evaluation</w:t>
      </w:r>
      <w:r>
        <w:t>.</w:t>
      </w:r>
      <w:r w:rsidR="00B63ECE">
        <w:t xml:space="preserve"> </w:t>
      </w:r>
      <w:r>
        <w:t xml:space="preserve">With </w:t>
      </w:r>
      <w:r w:rsidR="00BB6DE4">
        <w:t>ACF</w:t>
      </w:r>
      <w:r>
        <w:t xml:space="preserve"> oversight, RAND is responsible for the study design, data collection, analysis, and report preparation.</w:t>
      </w:r>
      <w:r w:rsidR="00B63ECE">
        <w:t xml:space="preserve"> </w:t>
      </w:r>
      <w:r>
        <w:t>Key input to the statistical aspects of the design was received from the following individuals:</w:t>
      </w:r>
    </w:p>
    <w:p w:rsidR="00CE3199" w:rsidRDefault="00CE3199" w:rsidP="00D7629C">
      <w:pPr>
        <w:pStyle w:val="BodyText"/>
        <w:spacing w:line="240" w:lineRule="auto"/>
      </w:pPr>
    </w:p>
    <w:p w:rsidR="005B135F" w:rsidRDefault="005B135F" w:rsidP="00D7629C">
      <w:pPr>
        <w:pStyle w:val="BodyText"/>
        <w:spacing w:line="240" w:lineRule="auto"/>
      </w:pPr>
      <w:r>
        <w:t xml:space="preserve">Lynn Karoly, </w:t>
      </w:r>
      <w:r w:rsidR="004B28D0">
        <w:t>Project Director</w:t>
      </w:r>
      <w:r w:rsidR="00CB3B9C">
        <w:t>;</w:t>
      </w:r>
    </w:p>
    <w:p w:rsidR="005B135F" w:rsidRDefault="005B135F" w:rsidP="00D7629C">
      <w:pPr>
        <w:pStyle w:val="BodyText"/>
        <w:spacing w:line="240" w:lineRule="auto"/>
      </w:pPr>
      <w:r>
        <w:t>Laurie Martin, Co-</w:t>
      </w:r>
      <w:r w:rsidR="004B28D0">
        <w:t>Project Director</w:t>
      </w:r>
      <w:r w:rsidR="00CB3B9C">
        <w:t>;</w:t>
      </w:r>
    </w:p>
    <w:p w:rsidR="004B28D0" w:rsidRDefault="004B28D0" w:rsidP="004B28D0">
      <w:pPr>
        <w:pStyle w:val="BodyText"/>
        <w:spacing w:line="240" w:lineRule="auto"/>
      </w:pPr>
      <w:r>
        <w:t>Anita Chandra, Behavioral Scientist</w:t>
      </w:r>
      <w:r w:rsidR="00CB3B9C">
        <w:t>; and</w:t>
      </w:r>
    </w:p>
    <w:p w:rsidR="00684B3D" w:rsidRDefault="00C43644" w:rsidP="00D7629C">
      <w:pPr>
        <w:pStyle w:val="BodyText"/>
        <w:spacing w:line="240" w:lineRule="auto"/>
      </w:pPr>
      <w:r>
        <w:t>Claude Setodji, Statistician</w:t>
      </w:r>
      <w:r w:rsidR="00CB3B9C">
        <w:t>.</w:t>
      </w:r>
    </w:p>
    <w:p w:rsidR="00684B3D" w:rsidRDefault="00684B3D" w:rsidP="00D7629C">
      <w:pPr>
        <w:pStyle w:val="BodyText"/>
        <w:spacing w:line="240" w:lineRule="auto"/>
      </w:pPr>
    </w:p>
    <w:p w:rsidR="001E5E66" w:rsidRDefault="001E5E66" w:rsidP="00D7629C">
      <w:pPr>
        <w:pStyle w:val="BodyText"/>
        <w:spacing w:line="240" w:lineRule="auto"/>
      </w:pPr>
      <w:r>
        <w:t xml:space="preserve">The </w:t>
      </w:r>
      <w:r w:rsidR="008C6995">
        <w:t xml:space="preserve">ACF </w:t>
      </w:r>
      <w:r>
        <w:t>Project Officer, Laura Hoard, has overseen the design process</w:t>
      </w:r>
      <w:r w:rsidR="00CB3B9C">
        <w:t>.</w:t>
      </w:r>
      <w:r w:rsidR="00B63ECE">
        <w:t xml:space="preserve"> </w:t>
      </w:r>
    </w:p>
    <w:p w:rsidR="000500A0" w:rsidRDefault="000500A0" w:rsidP="000500A0">
      <w:pPr>
        <w:spacing w:line="240" w:lineRule="auto"/>
        <w:sectPr w:rsidR="000500A0" w:rsidSect="00C362C8">
          <w:headerReference w:type="default" r:id="rId15"/>
          <w:footerReference w:type="default" r:id="rId16"/>
          <w:pgSz w:w="12240" w:h="15840" w:code="1"/>
          <w:pgMar w:top="1440" w:right="1440" w:bottom="1800" w:left="1800" w:header="720" w:footer="1152" w:gutter="0"/>
          <w:pgNumType w:start="1"/>
          <w:cols w:space="720"/>
        </w:sectPr>
      </w:pPr>
    </w:p>
    <w:p w:rsidR="000500A0" w:rsidRDefault="000500A0" w:rsidP="000500A0">
      <w:pPr>
        <w:spacing w:line="240" w:lineRule="auto"/>
      </w:pPr>
    </w:p>
    <w:p w:rsidR="000500A0" w:rsidRPr="00825EEA" w:rsidRDefault="000500A0" w:rsidP="000500A0">
      <w:pPr>
        <w:spacing w:line="240" w:lineRule="auto"/>
        <w:rPr>
          <w:rFonts w:ascii="Arial" w:hAnsi="Arial" w:cs="Arial"/>
          <w:b/>
          <w:sz w:val="28"/>
        </w:rPr>
      </w:pPr>
      <w:r w:rsidRPr="00825EEA">
        <w:rPr>
          <w:rFonts w:ascii="Arial" w:hAnsi="Arial" w:cs="Arial"/>
          <w:b/>
          <w:sz w:val="28"/>
        </w:rPr>
        <w:t>List of Appendixes</w:t>
      </w:r>
      <w:r>
        <w:rPr>
          <w:rFonts w:ascii="Arial" w:hAnsi="Arial" w:cs="Arial"/>
          <w:b/>
          <w:sz w:val="28"/>
        </w:rPr>
        <w:t xml:space="preserve"> Under Separate Cover</w:t>
      </w:r>
    </w:p>
    <w:p w:rsidR="000500A0" w:rsidRDefault="000500A0" w:rsidP="000500A0">
      <w:pPr>
        <w:spacing w:line="240" w:lineRule="auto"/>
        <w:rPr>
          <w:rFonts w:ascii="Arial" w:hAnsi="Arial" w:cs="Arial"/>
        </w:rPr>
      </w:pPr>
    </w:p>
    <w:p w:rsidR="000500A0" w:rsidRPr="00825EEA" w:rsidRDefault="000500A0" w:rsidP="000500A0">
      <w:pPr>
        <w:spacing w:line="240" w:lineRule="auto"/>
        <w:rPr>
          <w:rFonts w:ascii="Arial" w:hAnsi="Arial" w:cs="Arial"/>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A</w:t>
      </w:r>
      <w:r w:rsidRPr="00825EEA">
        <w:rPr>
          <w:rFonts w:ascii="Arial" w:hAnsi="Arial" w:cs="Arial"/>
          <w:sz w:val="24"/>
        </w:rPr>
        <w:tab/>
        <w:t>Improving Head Start for School Readiness Act of 2007 (P.L. 110-134), Section 649 “Research, Demonstration, and Evaluation”</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B</w:t>
      </w:r>
      <w:r w:rsidRPr="00825EEA">
        <w:rPr>
          <w:rFonts w:ascii="Arial" w:hAnsi="Arial" w:cs="Arial"/>
          <w:sz w:val="24"/>
        </w:rPr>
        <w:tab/>
        <w:t>Head Start Director Survey Questionnaire</w:t>
      </w:r>
    </w:p>
    <w:p w:rsidR="000500A0" w:rsidRPr="00825EEA" w:rsidRDefault="000500A0" w:rsidP="000500A0">
      <w:pPr>
        <w:spacing w:line="240" w:lineRule="auto"/>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C</w:t>
      </w:r>
      <w:r w:rsidRPr="00825EEA">
        <w:rPr>
          <w:rFonts w:ascii="Arial" w:hAnsi="Arial" w:cs="Arial"/>
          <w:sz w:val="24"/>
        </w:rPr>
        <w:tab/>
        <w:t>Head Start Health Manager Survey Questionnaire</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D</w:t>
      </w:r>
      <w:r w:rsidRPr="00825EEA">
        <w:rPr>
          <w:rFonts w:ascii="Arial" w:hAnsi="Arial" w:cs="Arial"/>
          <w:sz w:val="24"/>
        </w:rPr>
        <w:tab/>
      </w:r>
      <w:r w:rsidR="00306FCA">
        <w:rPr>
          <w:rFonts w:ascii="Arial" w:hAnsi="Arial" w:cs="Arial"/>
          <w:sz w:val="24"/>
        </w:rPr>
        <w:t xml:space="preserve">Head Start Heath Manager </w:t>
      </w:r>
      <w:r w:rsidR="00306FCA" w:rsidRPr="00825EEA">
        <w:rPr>
          <w:rFonts w:ascii="Arial" w:hAnsi="Arial" w:cs="Arial"/>
          <w:sz w:val="24"/>
        </w:rPr>
        <w:t>Semi-S</w:t>
      </w:r>
      <w:r w:rsidR="00306FCA">
        <w:rPr>
          <w:rFonts w:ascii="Arial" w:hAnsi="Arial" w:cs="Arial"/>
          <w:sz w:val="24"/>
        </w:rPr>
        <w:t xml:space="preserve">tructured Interview Protocol </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E</w:t>
      </w:r>
      <w:r w:rsidRPr="00825EEA">
        <w:rPr>
          <w:rFonts w:ascii="Arial" w:hAnsi="Arial" w:cs="Arial"/>
          <w:sz w:val="24"/>
        </w:rPr>
        <w:tab/>
        <w:t>Head Start Teachers, Family Service Workers, and Home Visitors</w:t>
      </w:r>
      <w:r w:rsidR="00306FCA">
        <w:rPr>
          <w:rFonts w:ascii="Arial" w:hAnsi="Arial" w:cs="Arial"/>
          <w:sz w:val="24"/>
        </w:rPr>
        <w:t xml:space="preserve"> </w:t>
      </w:r>
      <w:r w:rsidR="00306FCA" w:rsidRPr="00825EEA">
        <w:rPr>
          <w:rFonts w:ascii="Arial" w:hAnsi="Arial" w:cs="Arial"/>
          <w:sz w:val="24"/>
        </w:rPr>
        <w:t>Semi-S</w:t>
      </w:r>
      <w:r w:rsidR="00306FCA">
        <w:rPr>
          <w:rFonts w:ascii="Arial" w:hAnsi="Arial" w:cs="Arial"/>
          <w:sz w:val="24"/>
        </w:rPr>
        <w:t>tructured Interview Protocol</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F</w:t>
      </w:r>
      <w:r w:rsidRPr="00825EEA">
        <w:rPr>
          <w:rFonts w:ascii="Arial" w:hAnsi="Arial" w:cs="Arial"/>
          <w:sz w:val="24"/>
        </w:rPr>
        <w:tab/>
      </w:r>
      <w:r>
        <w:rPr>
          <w:rFonts w:ascii="Arial" w:hAnsi="Arial" w:cs="Arial"/>
          <w:sz w:val="24"/>
        </w:rPr>
        <w:t>Research Question Matrix</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G</w:t>
      </w:r>
      <w:r w:rsidRPr="00825EEA">
        <w:rPr>
          <w:rFonts w:ascii="Arial" w:hAnsi="Arial" w:cs="Arial"/>
          <w:sz w:val="24"/>
        </w:rPr>
        <w:tab/>
        <w:t>Illustrative MMIC</w:t>
      </w:r>
      <w:r w:rsidRPr="00825EEA">
        <w:rPr>
          <w:rFonts w:ascii="Arial" w:hAnsi="Arial" w:cs="Arial"/>
          <w:sz w:val="24"/>
          <w:szCs w:val="24"/>
          <w:vertAlign w:val="superscript"/>
        </w:rPr>
        <w:t>TM</w:t>
      </w:r>
      <w:r w:rsidRPr="00825EEA">
        <w:rPr>
          <w:rFonts w:ascii="Arial" w:hAnsi="Arial" w:cs="Arial"/>
          <w:sz w:val="24"/>
        </w:rPr>
        <w:t xml:space="preserve"> (Multimode Interviewing Capability)</w:t>
      </w:r>
      <w:r w:rsidR="00B50ED3">
        <w:rPr>
          <w:rFonts w:ascii="Arial" w:hAnsi="Arial" w:cs="Arial"/>
          <w:sz w:val="24"/>
        </w:rPr>
        <w:t xml:space="preserve"> Screen Shots</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F57104" w:rsidRPr="00825EEA" w:rsidRDefault="00F57104" w:rsidP="00F57104">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H</w:t>
      </w:r>
      <w:r w:rsidRPr="00825EEA">
        <w:rPr>
          <w:rFonts w:ascii="Arial" w:hAnsi="Arial" w:cs="Arial"/>
          <w:sz w:val="24"/>
        </w:rPr>
        <w:tab/>
        <w:t xml:space="preserve">Sources for </w:t>
      </w:r>
      <w:r>
        <w:rPr>
          <w:rFonts w:ascii="Arial" w:hAnsi="Arial" w:cs="Arial"/>
          <w:sz w:val="24"/>
        </w:rPr>
        <w:t>Head Start</w:t>
      </w:r>
      <w:r w:rsidRPr="00825EEA">
        <w:rPr>
          <w:rFonts w:ascii="Arial" w:hAnsi="Arial" w:cs="Arial"/>
          <w:sz w:val="24"/>
        </w:rPr>
        <w:t xml:space="preserve"> Heal</w:t>
      </w:r>
      <w:r>
        <w:rPr>
          <w:rFonts w:ascii="Arial" w:hAnsi="Arial" w:cs="Arial"/>
          <w:sz w:val="24"/>
        </w:rPr>
        <w:t>th Manager Survey Questionnaire</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I</w:t>
      </w:r>
      <w:r w:rsidRPr="00825EEA">
        <w:rPr>
          <w:rFonts w:ascii="Arial" w:hAnsi="Arial" w:cs="Arial"/>
          <w:sz w:val="24"/>
        </w:rPr>
        <w:tab/>
        <w:t xml:space="preserve">Federal Register Notice, January 11, 2012, Volume 7, Number 7, </w:t>
      </w:r>
      <w:r>
        <w:rPr>
          <w:rFonts w:ascii="Arial" w:hAnsi="Arial" w:cs="Arial"/>
          <w:sz w:val="24"/>
        </w:rPr>
        <w:br/>
      </w:r>
      <w:r w:rsidRPr="00825EEA">
        <w:rPr>
          <w:rFonts w:ascii="Arial" w:hAnsi="Arial" w:cs="Arial"/>
          <w:sz w:val="24"/>
        </w:rPr>
        <w:t xml:space="preserve">page 1694 </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Appendix J</w:t>
      </w:r>
      <w:r w:rsidRPr="00825EEA">
        <w:rPr>
          <w:rFonts w:ascii="Arial" w:hAnsi="Arial" w:cs="Arial"/>
          <w:sz w:val="24"/>
        </w:rPr>
        <w:tab/>
        <w:t>Reponses to Federal Register Notice and Response</w:t>
      </w: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sz w:val="24"/>
        </w:rPr>
      </w:pPr>
    </w:p>
    <w:p w:rsidR="000500A0" w:rsidRDefault="000500A0" w:rsidP="000500A0">
      <w:pPr>
        <w:tabs>
          <w:tab w:val="clear" w:pos="720"/>
          <w:tab w:val="clear" w:pos="1080"/>
          <w:tab w:val="clear" w:pos="1440"/>
          <w:tab w:val="clear" w:pos="1800"/>
        </w:tabs>
        <w:spacing w:line="240" w:lineRule="auto"/>
        <w:ind w:left="1440" w:hanging="1440"/>
        <w:rPr>
          <w:rFonts w:ascii="Arial" w:hAnsi="Arial" w:cs="Arial"/>
          <w:sz w:val="24"/>
        </w:rPr>
      </w:pPr>
      <w:r w:rsidRPr="00825EEA">
        <w:rPr>
          <w:rFonts w:ascii="Arial" w:hAnsi="Arial" w:cs="Arial"/>
          <w:sz w:val="24"/>
        </w:rPr>
        <w:t xml:space="preserve">Appendix K </w:t>
      </w:r>
      <w:r w:rsidRPr="00825EEA">
        <w:rPr>
          <w:rFonts w:ascii="Arial" w:hAnsi="Arial" w:cs="Arial"/>
          <w:sz w:val="24"/>
        </w:rPr>
        <w:tab/>
        <w:t>Recruitment Scripts for Online Survey</w:t>
      </w:r>
      <w:r w:rsidR="001664AB">
        <w:rPr>
          <w:rFonts w:ascii="Arial" w:hAnsi="Arial" w:cs="Arial"/>
          <w:sz w:val="24"/>
        </w:rPr>
        <w:t>s</w:t>
      </w:r>
      <w:r w:rsidRPr="00825EEA">
        <w:rPr>
          <w:rFonts w:ascii="Arial" w:hAnsi="Arial" w:cs="Arial"/>
          <w:sz w:val="24"/>
        </w:rPr>
        <w:t xml:space="preserve"> and Semi-Structured Interviews</w:t>
      </w:r>
    </w:p>
    <w:p w:rsidR="004B6E4C" w:rsidRDefault="004B6E4C" w:rsidP="000500A0">
      <w:pPr>
        <w:tabs>
          <w:tab w:val="clear" w:pos="720"/>
          <w:tab w:val="clear" w:pos="1080"/>
          <w:tab w:val="clear" w:pos="1440"/>
          <w:tab w:val="clear" w:pos="1800"/>
        </w:tabs>
        <w:spacing w:line="240" w:lineRule="auto"/>
        <w:ind w:left="1440" w:hanging="1440"/>
        <w:rPr>
          <w:rFonts w:ascii="Arial" w:hAnsi="Arial" w:cs="Arial"/>
          <w:sz w:val="24"/>
        </w:rPr>
      </w:pPr>
    </w:p>
    <w:p w:rsidR="00B55186" w:rsidRDefault="00B55186" w:rsidP="00B55186">
      <w:pPr>
        <w:pStyle w:val="BodyText"/>
        <w:spacing w:line="240" w:lineRule="auto"/>
        <w:rPr>
          <w:rFonts w:ascii="Arial" w:hAnsi="Arial" w:cs="Arial"/>
          <w:sz w:val="24"/>
        </w:rPr>
      </w:pPr>
      <w:r w:rsidRPr="002E7E0E">
        <w:rPr>
          <w:rFonts w:ascii="Arial" w:hAnsi="Arial" w:cs="Arial"/>
          <w:sz w:val="24"/>
        </w:rPr>
        <w:t>Appendi</w:t>
      </w:r>
      <w:r>
        <w:rPr>
          <w:rFonts w:ascii="Arial" w:hAnsi="Arial" w:cs="Arial"/>
          <w:sz w:val="24"/>
        </w:rPr>
        <w:t>x</w:t>
      </w:r>
      <w:r w:rsidRPr="002E7E0E">
        <w:rPr>
          <w:rFonts w:ascii="Arial" w:hAnsi="Arial" w:cs="Arial"/>
          <w:sz w:val="24"/>
        </w:rPr>
        <w:t xml:space="preserve"> </w:t>
      </w:r>
      <w:r w:rsidRPr="002E7E0E">
        <w:rPr>
          <w:rFonts w:ascii="Arial" w:hAnsi="Arial" w:cs="Arial"/>
          <w:sz w:val="24"/>
        </w:rPr>
        <w:tab/>
        <w:t>L</w:t>
      </w:r>
      <w:r>
        <w:rPr>
          <w:rFonts w:ascii="Arial" w:hAnsi="Arial" w:cs="Arial"/>
          <w:sz w:val="24"/>
        </w:rPr>
        <w:t>1</w:t>
      </w:r>
      <w:r>
        <w:rPr>
          <w:rFonts w:ascii="Arial" w:hAnsi="Arial" w:cs="Arial"/>
          <w:sz w:val="24"/>
        </w:rPr>
        <w:tab/>
      </w:r>
      <w:r>
        <w:rPr>
          <w:rFonts w:ascii="Arial" w:hAnsi="Arial" w:cs="Arial"/>
          <w:sz w:val="24"/>
        </w:rPr>
        <w:tab/>
      </w:r>
      <w:r w:rsidRPr="002E7E0E">
        <w:rPr>
          <w:rFonts w:ascii="Arial" w:hAnsi="Arial" w:cs="Arial"/>
          <w:sz w:val="24"/>
        </w:rPr>
        <w:tab/>
        <w:t>Tribal Chairperson Letter</w:t>
      </w:r>
      <w:r>
        <w:rPr>
          <w:rFonts w:ascii="Arial" w:hAnsi="Arial" w:cs="Arial"/>
          <w:sz w:val="24"/>
        </w:rPr>
        <w:t xml:space="preserve"> </w:t>
      </w:r>
    </w:p>
    <w:p w:rsidR="00B55186" w:rsidRDefault="00B55186" w:rsidP="00B55186">
      <w:pPr>
        <w:pStyle w:val="BodyText"/>
        <w:spacing w:line="240" w:lineRule="auto"/>
        <w:rPr>
          <w:rFonts w:ascii="Arial" w:hAnsi="Arial" w:cs="Arial"/>
          <w:sz w:val="24"/>
        </w:rPr>
      </w:pPr>
      <w:r>
        <w:rPr>
          <w:rFonts w:ascii="Arial" w:hAnsi="Arial" w:cs="Arial"/>
          <w:sz w:val="24"/>
        </w:rPr>
        <w:t>Appendix L2</w:t>
      </w:r>
      <w:r>
        <w:rPr>
          <w:rFonts w:ascii="Arial" w:hAnsi="Arial" w:cs="Arial"/>
          <w:sz w:val="24"/>
        </w:rPr>
        <w:tab/>
      </w:r>
      <w:r>
        <w:rPr>
          <w:rFonts w:ascii="Arial" w:hAnsi="Arial" w:cs="Arial"/>
          <w:sz w:val="24"/>
        </w:rPr>
        <w:tab/>
      </w:r>
      <w:r>
        <w:rPr>
          <w:rFonts w:ascii="Arial" w:hAnsi="Arial" w:cs="Arial"/>
          <w:sz w:val="24"/>
        </w:rPr>
        <w:tab/>
        <w:t>Study Summary to Accompany Tribal Letters</w:t>
      </w:r>
    </w:p>
    <w:p w:rsidR="00B55186" w:rsidRDefault="00B55186" w:rsidP="00B55186">
      <w:pPr>
        <w:pStyle w:val="BodyText"/>
        <w:spacing w:line="240" w:lineRule="auto"/>
        <w:rPr>
          <w:rFonts w:ascii="Arial" w:hAnsi="Arial" w:cs="Arial"/>
          <w:sz w:val="24"/>
        </w:rPr>
      </w:pPr>
      <w:r>
        <w:rPr>
          <w:rFonts w:ascii="Arial" w:hAnsi="Arial" w:cs="Arial"/>
          <w:sz w:val="24"/>
        </w:rPr>
        <w:t>Appendix L3</w:t>
      </w:r>
      <w:r>
        <w:rPr>
          <w:rFonts w:ascii="Arial" w:hAnsi="Arial" w:cs="Arial"/>
          <w:sz w:val="24"/>
        </w:rPr>
        <w:tab/>
      </w:r>
      <w:r>
        <w:rPr>
          <w:rFonts w:ascii="Arial" w:hAnsi="Arial" w:cs="Arial"/>
          <w:sz w:val="24"/>
        </w:rPr>
        <w:tab/>
      </w:r>
      <w:r>
        <w:rPr>
          <w:rFonts w:ascii="Arial" w:hAnsi="Arial" w:cs="Arial"/>
          <w:sz w:val="24"/>
        </w:rPr>
        <w:tab/>
        <w:t>Letter to Tribal EHS/HS Administration</w:t>
      </w:r>
    </w:p>
    <w:p w:rsidR="00B55186" w:rsidRPr="002E7E0E" w:rsidRDefault="00B55186" w:rsidP="00B55186">
      <w:pPr>
        <w:pStyle w:val="BodyText"/>
        <w:spacing w:line="240" w:lineRule="auto"/>
        <w:rPr>
          <w:rFonts w:ascii="Arial" w:hAnsi="Arial" w:cs="Arial"/>
          <w:sz w:val="24"/>
        </w:rPr>
      </w:pPr>
      <w:r>
        <w:rPr>
          <w:rFonts w:ascii="Arial" w:hAnsi="Arial" w:cs="Arial"/>
          <w:sz w:val="24"/>
        </w:rPr>
        <w:t>Appendix L4</w:t>
      </w:r>
      <w:r>
        <w:rPr>
          <w:rFonts w:ascii="Arial" w:hAnsi="Arial" w:cs="Arial"/>
          <w:sz w:val="24"/>
        </w:rPr>
        <w:tab/>
      </w:r>
      <w:r>
        <w:rPr>
          <w:rFonts w:ascii="Arial" w:hAnsi="Arial" w:cs="Arial"/>
          <w:sz w:val="24"/>
        </w:rPr>
        <w:tab/>
      </w:r>
      <w:r>
        <w:rPr>
          <w:rFonts w:ascii="Arial" w:hAnsi="Arial" w:cs="Arial"/>
          <w:sz w:val="24"/>
        </w:rPr>
        <w:tab/>
        <w:t>Tribal Support Letter for AIAN IRB Process</w:t>
      </w:r>
    </w:p>
    <w:p w:rsidR="00B55186" w:rsidRPr="002E7E0E" w:rsidRDefault="00B55186" w:rsidP="00B55186">
      <w:pPr>
        <w:pStyle w:val="BodyText"/>
        <w:spacing w:line="240" w:lineRule="auto"/>
        <w:rPr>
          <w:rFonts w:ascii="Arial" w:hAnsi="Arial" w:cs="Arial"/>
          <w:sz w:val="24"/>
        </w:rPr>
      </w:pPr>
    </w:p>
    <w:p w:rsidR="00421888" w:rsidRPr="002E7E0E" w:rsidRDefault="00421888" w:rsidP="00421888">
      <w:pPr>
        <w:pStyle w:val="BodyText"/>
        <w:spacing w:line="240" w:lineRule="auto"/>
        <w:rPr>
          <w:rFonts w:ascii="Arial" w:hAnsi="Arial" w:cs="Arial"/>
          <w:sz w:val="24"/>
        </w:rPr>
      </w:pPr>
      <w:r w:rsidRPr="002E7E0E">
        <w:rPr>
          <w:rFonts w:ascii="Arial" w:hAnsi="Arial" w:cs="Arial"/>
          <w:sz w:val="24"/>
        </w:rPr>
        <w:t xml:space="preserve">Appendix </w:t>
      </w:r>
      <w:r w:rsidRPr="002E7E0E">
        <w:rPr>
          <w:rFonts w:ascii="Arial" w:hAnsi="Arial" w:cs="Arial"/>
          <w:sz w:val="24"/>
        </w:rPr>
        <w:tab/>
        <w:t>M</w:t>
      </w:r>
      <w:r w:rsidRPr="002E7E0E">
        <w:rPr>
          <w:rFonts w:ascii="Arial" w:hAnsi="Arial" w:cs="Arial"/>
          <w:sz w:val="24"/>
        </w:rPr>
        <w:tab/>
      </w:r>
      <w:r>
        <w:rPr>
          <w:rFonts w:ascii="Arial" w:hAnsi="Arial" w:cs="Arial"/>
          <w:sz w:val="24"/>
        </w:rPr>
        <w:tab/>
      </w:r>
      <w:r>
        <w:rPr>
          <w:rFonts w:ascii="Arial" w:hAnsi="Arial" w:cs="Arial"/>
          <w:sz w:val="24"/>
        </w:rPr>
        <w:tab/>
      </w:r>
      <w:r w:rsidRPr="002E7E0E">
        <w:rPr>
          <w:rFonts w:ascii="Arial" w:hAnsi="Arial" w:cs="Arial"/>
          <w:sz w:val="24"/>
        </w:rPr>
        <w:t xml:space="preserve">Survey </w:t>
      </w:r>
      <w:r>
        <w:rPr>
          <w:rFonts w:ascii="Arial" w:hAnsi="Arial" w:cs="Arial"/>
          <w:sz w:val="24"/>
        </w:rPr>
        <w:t>Q</w:t>
      </w:r>
      <w:r w:rsidRPr="002E7E0E">
        <w:rPr>
          <w:rFonts w:ascii="Arial" w:hAnsi="Arial" w:cs="Arial"/>
          <w:sz w:val="24"/>
        </w:rPr>
        <w:t xml:space="preserve">uestions by </w:t>
      </w:r>
      <w:r>
        <w:rPr>
          <w:rFonts w:ascii="Arial" w:hAnsi="Arial" w:cs="Arial"/>
          <w:sz w:val="24"/>
        </w:rPr>
        <w:t>C</w:t>
      </w:r>
      <w:r w:rsidRPr="002E7E0E">
        <w:rPr>
          <w:rFonts w:ascii="Arial" w:hAnsi="Arial" w:cs="Arial"/>
          <w:sz w:val="24"/>
        </w:rPr>
        <w:t xml:space="preserve">ore and </w:t>
      </w:r>
      <w:r>
        <w:rPr>
          <w:rFonts w:ascii="Arial" w:hAnsi="Arial" w:cs="Arial"/>
          <w:sz w:val="24"/>
        </w:rPr>
        <w:t>S</w:t>
      </w:r>
      <w:r w:rsidRPr="002E7E0E">
        <w:rPr>
          <w:rFonts w:ascii="Arial" w:hAnsi="Arial" w:cs="Arial"/>
          <w:sz w:val="24"/>
        </w:rPr>
        <w:t>upplement</w:t>
      </w:r>
    </w:p>
    <w:p w:rsidR="00B55186" w:rsidRPr="002E7E0E" w:rsidRDefault="00B55186" w:rsidP="00B55186">
      <w:pPr>
        <w:pStyle w:val="BodyText"/>
        <w:spacing w:line="240" w:lineRule="auto"/>
        <w:rPr>
          <w:rFonts w:ascii="Arial" w:hAnsi="Arial" w:cs="Arial"/>
          <w:sz w:val="24"/>
        </w:rPr>
      </w:pPr>
    </w:p>
    <w:p w:rsidR="000500A0" w:rsidRPr="00825EEA" w:rsidRDefault="000500A0" w:rsidP="000500A0">
      <w:pPr>
        <w:tabs>
          <w:tab w:val="clear" w:pos="720"/>
          <w:tab w:val="clear" w:pos="1080"/>
          <w:tab w:val="clear" w:pos="1440"/>
          <w:tab w:val="clear" w:pos="1800"/>
        </w:tabs>
        <w:spacing w:line="240" w:lineRule="auto"/>
        <w:ind w:left="1440" w:hanging="1440"/>
        <w:rPr>
          <w:rFonts w:ascii="Arial" w:hAnsi="Arial" w:cs="Arial"/>
        </w:rPr>
      </w:pPr>
    </w:p>
    <w:p w:rsidR="001E5E66" w:rsidRPr="005B135F" w:rsidRDefault="001E5E66" w:rsidP="00D7629C">
      <w:pPr>
        <w:pStyle w:val="BodyText"/>
        <w:spacing w:line="240" w:lineRule="auto"/>
      </w:pPr>
    </w:p>
    <w:sectPr w:rsidR="001E5E66" w:rsidRPr="005B135F" w:rsidSect="001367FD">
      <w:pgSz w:w="12240" w:h="15840" w:code="1"/>
      <w:pgMar w:top="1440" w:right="1440" w:bottom="1008" w:left="1800" w:header="720"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D0" w:rsidRDefault="00CA21D0">
      <w:r>
        <w:separator/>
      </w:r>
    </w:p>
  </w:endnote>
  <w:endnote w:type="continuationSeparator" w:id="0">
    <w:p w:rsidR="00CA21D0" w:rsidRDefault="00CA21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4D" w:rsidRDefault="006E6A4D">
    <w:pPr>
      <w:pStyle w:val="Footer"/>
      <w:pBdr>
        <w:top w:val="single" w:sz="8" w:space="1" w:color="auto"/>
      </w:pBdr>
      <w:tabs>
        <w:tab w:val="left" w:pos="4050"/>
      </w:tabs>
    </w:pPr>
    <w:r>
      <w:t>Part B:  Statistical Methods</w:t>
    </w:r>
    <w:r>
      <w:tab/>
    </w:r>
    <w:r>
      <w:tab/>
    </w:r>
    <w:r>
      <w:tab/>
      <w:t>B-</w:t>
    </w:r>
    <w:r w:rsidR="00262402">
      <w:rPr>
        <w:rStyle w:val="PageNumber"/>
      </w:rPr>
      <w:fldChar w:fldCharType="begin"/>
    </w:r>
    <w:r>
      <w:rPr>
        <w:rStyle w:val="PageNumber"/>
      </w:rPr>
      <w:instrText xml:space="preserve"> PAGE </w:instrText>
    </w:r>
    <w:r w:rsidR="00262402">
      <w:rPr>
        <w:rStyle w:val="PageNumber"/>
      </w:rPr>
      <w:fldChar w:fldCharType="separate"/>
    </w:r>
    <w:r w:rsidR="00E61FF9">
      <w:rPr>
        <w:rStyle w:val="PageNumber"/>
        <w:noProof/>
      </w:rPr>
      <w:t>9</w:t>
    </w:r>
    <w:r w:rsidR="0026240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D0" w:rsidRDefault="00CA21D0">
      <w:r>
        <w:separator/>
      </w:r>
    </w:p>
  </w:footnote>
  <w:footnote w:type="continuationSeparator" w:id="0">
    <w:p w:rsidR="00CA21D0" w:rsidRDefault="00CA21D0">
      <w:r>
        <w:continuationSeparator/>
      </w:r>
    </w:p>
  </w:footnote>
  <w:footnote w:id="1">
    <w:p w:rsidR="006E6A4D" w:rsidRDefault="006E6A4D" w:rsidP="001E618B">
      <w:pPr>
        <w:pStyle w:val="FootnoteText"/>
      </w:pPr>
      <w:r>
        <w:rPr>
          <w:rStyle w:val="FootnoteReference"/>
        </w:rPr>
        <w:footnoteRef/>
      </w:r>
      <w:r>
        <w:t xml:space="preserve"> </w:t>
      </w:r>
      <w:proofErr w:type="gramStart"/>
      <w:r>
        <w:t>Department of Health and Human Services.</w:t>
      </w:r>
      <w:proofErr w:type="gramEnd"/>
      <w:r>
        <w:t xml:space="preserve"> </w:t>
      </w:r>
      <w:r w:rsidRPr="00140950">
        <w:rPr>
          <w:i/>
        </w:rPr>
        <w:t>Descriptive Study of Head Start Health Services 1993-1996</w:t>
      </w:r>
      <w:r>
        <w:t xml:space="preserve">. Undated. </w:t>
      </w:r>
      <w:r w:rsidRPr="00D3267D">
        <w:t>http://www.acf.hhs.gov/programs/opre/hs/descriptive_stdy/index.html</w:t>
      </w:r>
    </w:p>
  </w:footnote>
  <w:footnote w:id="2">
    <w:p w:rsidR="006E6A4D" w:rsidRPr="00F71C6C" w:rsidRDefault="006E6A4D" w:rsidP="001E618B">
      <w:pPr>
        <w:pStyle w:val="FootnoteText"/>
      </w:pPr>
      <w:r>
        <w:rPr>
          <w:rStyle w:val="FootnoteReference"/>
        </w:rPr>
        <w:footnoteRef/>
      </w:r>
      <w:r>
        <w:t xml:space="preserve"> Whitaker, et al. (2009). A n</w:t>
      </w:r>
      <w:r w:rsidRPr="00F71C6C">
        <w:t xml:space="preserve">ational </w:t>
      </w:r>
      <w:r>
        <w:t>s</w:t>
      </w:r>
      <w:r w:rsidRPr="00F71C6C">
        <w:t xml:space="preserve">urvey of </w:t>
      </w:r>
      <w:r>
        <w:t>o</w:t>
      </w:r>
      <w:r w:rsidRPr="00F71C6C">
        <w:t xml:space="preserve">besity </w:t>
      </w:r>
      <w:r>
        <w:t>p</w:t>
      </w:r>
      <w:r w:rsidRPr="00F71C6C">
        <w:t xml:space="preserve">revention </w:t>
      </w:r>
      <w:r>
        <w:t>p</w:t>
      </w:r>
      <w:r w:rsidRPr="00F71C6C">
        <w:t>ractices in Head Start</w:t>
      </w:r>
      <w:r>
        <w:t xml:space="preserve">. </w:t>
      </w:r>
      <w:r>
        <w:rPr>
          <w:i/>
        </w:rPr>
        <w:t>Archives of Pediatrics &amp; Adolescent Medicine</w:t>
      </w:r>
      <w:r>
        <w:t xml:space="preserve"> 163(12): 1144-1150. </w:t>
      </w:r>
      <w:r w:rsidRPr="002B45FF">
        <w:t>http://www.rwjf.org/healthpolicy/product.jsp?id=52688</w:t>
      </w:r>
    </w:p>
  </w:footnote>
  <w:footnote w:id="3">
    <w:p w:rsidR="006E6A4D" w:rsidRDefault="006E6A4D">
      <w:pPr>
        <w:pStyle w:val="FootnoteText"/>
      </w:pPr>
      <w:r>
        <w:rPr>
          <w:rStyle w:val="FootnoteReference"/>
        </w:rPr>
        <w:footnoteRef/>
      </w:r>
      <w:r>
        <w:t xml:space="preserve"> </w:t>
      </w:r>
      <w:proofErr w:type="spellStart"/>
      <w:r w:rsidRPr="002F097D">
        <w:t>Kranz</w:t>
      </w:r>
      <w:proofErr w:type="spellEnd"/>
      <w:r w:rsidRPr="002F097D">
        <w:t>, A.M. et al.</w:t>
      </w:r>
      <w:r>
        <w:t xml:space="preserve"> (2011).</w:t>
      </w:r>
      <w:r w:rsidRPr="002F097D">
        <w:t xml:space="preserve"> Oral health activities of Early Head Start teachers directed toward children and parents. </w:t>
      </w:r>
      <w:r w:rsidRPr="002F097D">
        <w:rPr>
          <w:i/>
        </w:rPr>
        <w:t>Journal of Public Health Dentistry</w:t>
      </w:r>
      <w:r>
        <w:t xml:space="preserve"> 71(2): 161-69.</w:t>
      </w:r>
    </w:p>
  </w:footnote>
  <w:footnote w:id="4">
    <w:p w:rsidR="006E6A4D" w:rsidRPr="008E6BD5" w:rsidRDefault="006E6A4D">
      <w:pPr>
        <w:pStyle w:val="FootnoteText"/>
      </w:pPr>
      <w:r>
        <w:rPr>
          <w:rStyle w:val="FootnoteReference"/>
        </w:rPr>
        <w:footnoteRef/>
      </w:r>
      <w:r>
        <w:t xml:space="preserve"> </w:t>
      </w:r>
      <w:r w:rsidRPr="00B119B0">
        <w:rPr>
          <w:noProof/>
        </w:rPr>
        <w:t>Bernard, H.,</w:t>
      </w:r>
      <w:r>
        <w:rPr>
          <w:noProof/>
        </w:rPr>
        <w:t xml:space="preserve"> (2000)</w:t>
      </w:r>
      <w:r w:rsidRPr="00B119B0">
        <w:rPr>
          <w:noProof/>
        </w:rPr>
        <w:t xml:space="preserve"> </w:t>
      </w:r>
      <w:r w:rsidRPr="00B119B0">
        <w:rPr>
          <w:i/>
          <w:noProof/>
        </w:rPr>
        <w:t>Social research methods: Qualitative and quantitative approaches</w:t>
      </w:r>
      <w:r w:rsidRPr="00B119B0">
        <w:rPr>
          <w:noProof/>
        </w:rPr>
        <w:t>, Thousand Oaks, CA: Sage.</w:t>
      </w:r>
    </w:p>
  </w:footnote>
  <w:footnote w:id="5">
    <w:p w:rsidR="006E6A4D" w:rsidRDefault="006E6A4D">
      <w:pPr>
        <w:pStyle w:val="FootnoteText"/>
      </w:pPr>
      <w:r>
        <w:rPr>
          <w:rStyle w:val="FootnoteReference"/>
        </w:rPr>
        <w:footnoteRef/>
      </w:r>
      <w:r>
        <w:t xml:space="preserve"> </w:t>
      </w:r>
      <w:r w:rsidRPr="00B119B0">
        <w:rPr>
          <w:noProof/>
        </w:rPr>
        <w:t>Strauss, A. and J. Corbin</w:t>
      </w:r>
      <w:r>
        <w:rPr>
          <w:noProof/>
        </w:rPr>
        <w:t>. (1990)</w:t>
      </w:r>
      <w:r w:rsidRPr="00B119B0">
        <w:rPr>
          <w:noProof/>
        </w:rPr>
        <w:t xml:space="preserve"> </w:t>
      </w:r>
      <w:r w:rsidRPr="00B119B0">
        <w:rPr>
          <w:i/>
          <w:noProof/>
        </w:rPr>
        <w:t>Basics of qualitative research: Grounded theory procedures and techniques</w:t>
      </w:r>
      <w:r w:rsidRPr="00B119B0">
        <w:rPr>
          <w:noProof/>
        </w:rPr>
        <w:t>, Newbury Park, CA: Sage.</w:t>
      </w:r>
    </w:p>
  </w:footnote>
  <w:footnote w:id="6">
    <w:p w:rsidR="006E6A4D" w:rsidRDefault="006E6A4D">
      <w:pPr>
        <w:pStyle w:val="FootnoteText"/>
      </w:pPr>
      <w:r>
        <w:rPr>
          <w:rStyle w:val="FootnoteReference"/>
        </w:rPr>
        <w:footnoteRef/>
      </w:r>
      <w:r>
        <w:t xml:space="preserve"> RAND Corporation, MMIC</w:t>
      </w:r>
      <w:r w:rsidRPr="00765D39">
        <w:rPr>
          <w:szCs w:val="22"/>
          <w:vertAlign w:val="superscript"/>
        </w:rPr>
        <w:t>TM</w:t>
      </w:r>
      <w:r>
        <w:t xml:space="preserve">: </w:t>
      </w:r>
      <w:r w:rsidRPr="00075AEA">
        <w:t>Mu</w:t>
      </w:r>
      <w:r>
        <w:t>ltimode Interviewing Capability, 2012.</w:t>
      </w:r>
      <w:r w:rsidRPr="00747A4F">
        <w:t xml:space="preserve"> http://www.rand.org/labor/roybalfd/mmic.html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4D" w:rsidRDefault="006E6A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5321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E0F47"/>
    <w:multiLevelType w:val="hybridMultilevel"/>
    <w:tmpl w:val="94A4F0D0"/>
    <w:lvl w:ilvl="0" w:tplc="5E4CF0C6">
      <w:start w:val="1"/>
      <w:numFmt w:val="bullet"/>
      <w:lvlText w:val=""/>
      <w:lvlJc w:val="left"/>
      <w:pPr>
        <w:tabs>
          <w:tab w:val="num" w:pos="470"/>
        </w:tabs>
        <w:ind w:left="470" w:hanging="360"/>
      </w:pPr>
      <w:rPr>
        <w:rFonts w:ascii="Symbol" w:hAnsi="Symbol" w:hint="default"/>
        <w:color w:val="auto"/>
        <w:sz w:val="18"/>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14C914F0"/>
    <w:multiLevelType w:val="hybridMultilevel"/>
    <w:tmpl w:val="FE4E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894C76"/>
    <w:multiLevelType w:val="hybridMultilevel"/>
    <w:tmpl w:val="0852789C"/>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7">
    <w:nsid w:val="2744288C"/>
    <w:multiLevelType w:val="hybridMultilevel"/>
    <w:tmpl w:val="6A2A548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5D4DCB"/>
    <w:multiLevelType w:val="hybridMultilevel"/>
    <w:tmpl w:val="4B103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7456EA"/>
    <w:multiLevelType w:val="singleLevel"/>
    <w:tmpl w:val="FF18F624"/>
    <w:lvl w:ilvl="0">
      <w:start w:val="1"/>
      <w:numFmt w:val="decimal"/>
      <w:lvlText w:val="%1."/>
      <w:lvlJc w:val="left"/>
      <w:pPr>
        <w:tabs>
          <w:tab w:val="num" w:pos="432"/>
        </w:tabs>
        <w:ind w:left="360" w:hanging="288"/>
      </w:p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3EC554D5"/>
    <w:multiLevelType w:val="hybridMultilevel"/>
    <w:tmpl w:val="943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A393A"/>
    <w:multiLevelType w:val="hybridMultilevel"/>
    <w:tmpl w:val="462ED3F2"/>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0E370F"/>
    <w:multiLevelType w:val="singleLevel"/>
    <w:tmpl w:val="B20018D2"/>
    <w:lvl w:ilvl="0">
      <w:start w:val="1"/>
      <w:numFmt w:val="decimal"/>
      <w:lvlText w:val="%1."/>
      <w:lvlJc w:val="left"/>
      <w:pPr>
        <w:tabs>
          <w:tab w:val="num" w:pos="1080"/>
        </w:tabs>
        <w:ind w:left="1080" w:hanging="360"/>
      </w:pPr>
    </w:lvl>
  </w:abstractNum>
  <w:abstractNum w:abstractNumId="15">
    <w:nsid w:val="4E211291"/>
    <w:multiLevelType w:val="hybridMultilevel"/>
    <w:tmpl w:val="FDCAC65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77972"/>
    <w:multiLevelType w:val="hybridMultilevel"/>
    <w:tmpl w:val="BEAC6C3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2674A0"/>
    <w:multiLevelType w:val="hybridMultilevel"/>
    <w:tmpl w:val="E028F9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7334C1F"/>
    <w:multiLevelType w:val="hybridMultilevel"/>
    <w:tmpl w:val="1436BC5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972C46"/>
    <w:multiLevelType w:val="hybridMultilevel"/>
    <w:tmpl w:val="8AF2036E"/>
    <w:lvl w:ilvl="0" w:tplc="BE86D094">
      <w:start w:val="1"/>
      <w:numFmt w:val="bullet"/>
      <w:lvlText w:val=""/>
      <w:lvlJc w:val="left"/>
      <w:pPr>
        <w:tabs>
          <w:tab w:val="num" w:pos="1080"/>
        </w:tabs>
        <w:ind w:left="1080" w:hanging="360"/>
      </w:pPr>
      <w:rPr>
        <w:rFonts w:ascii="Symbol" w:hAnsi="Symbol" w:hint="default"/>
        <w:b/>
        <w:i w:val="0"/>
        <w:sz w:val="24"/>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nsid w:val="6ACF5C66"/>
    <w:multiLevelType w:val="hybridMultilevel"/>
    <w:tmpl w:val="83C4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8">
    <w:nsid w:val="777769B3"/>
    <w:multiLevelType w:val="singleLevel"/>
    <w:tmpl w:val="0409000F"/>
    <w:lvl w:ilvl="0">
      <w:start w:val="1"/>
      <w:numFmt w:val="decimal"/>
      <w:lvlText w:val="%1."/>
      <w:lvlJc w:val="left"/>
      <w:pPr>
        <w:tabs>
          <w:tab w:val="num" w:pos="360"/>
        </w:tabs>
        <w:ind w:left="360" w:hanging="360"/>
      </w:p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0">
    <w:nsid w:val="7CB041E7"/>
    <w:multiLevelType w:val="singleLevel"/>
    <w:tmpl w:val="0ADE279C"/>
    <w:lvl w:ilvl="0">
      <w:start w:val="1"/>
      <w:numFmt w:val="decimal"/>
      <w:lvlText w:val="%1."/>
      <w:lvlJc w:val="left"/>
      <w:pPr>
        <w:tabs>
          <w:tab w:val="num" w:pos="720"/>
        </w:tabs>
        <w:ind w:left="720" w:hanging="360"/>
      </w:pPr>
    </w:lvl>
  </w:abstractNum>
  <w:abstractNum w:abstractNumId="31">
    <w:nsid w:val="7CC8642D"/>
    <w:multiLevelType w:val="hybridMultilevel"/>
    <w:tmpl w:val="AFB892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0"/>
  </w:num>
  <w:num w:numId="3">
    <w:abstractNumId w:val="20"/>
  </w:num>
  <w:num w:numId="4">
    <w:abstractNumId w:val="11"/>
  </w:num>
  <w:num w:numId="5">
    <w:abstractNumId w:val="26"/>
  </w:num>
  <w:num w:numId="6">
    <w:abstractNumId w:val="30"/>
  </w:num>
  <w:num w:numId="7">
    <w:abstractNumId w:val="27"/>
  </w:num>
  <w:num w:numId="8">
    <w:abstractNumId w:val="14"/>
  </w:num>
  <w:num w:numId="9">
    <w:abstractNumId w:val="2"/>
  </w:num>
  <w:num w:numId="10">
    <w:abstractNumId w:val="28"/>
  </w:num>
  <w:num w:numId="11">
    <w:abstractNumId w:val="16"/>
  </w:num>
  <w:num w:numId="12">
    <w:abstractNumId w:val="5"/>
  </w:num>
  <w:num w:numId="13">
    <w:abstractNumId w:val="5"/>
  </w:num>
  <w:num w:numId="14">
    <w:abstractNumId w:val="6"/>
  </w:num>
  <w:num w:numId="15">
    <w:abstractNumId w:val="25"/>
  </w:num>
  <w:num w:numId="16">
    <w:abstractNumId w:val="29"/>
  </w:num>
  <w:num w:numId="17">
    <w:abstractNumId w:val="21"/>
  </w:num>
  <w:num w:numId="18">
    <w:abstractNumId w:val="3"/>
  </w:num>
  <w:num w:numId="19">
    <w:abstractNumId w:val="23"/>
  </w:num>
  <w:num w:numId="20">
    <w:abstractNumId w:val="8"/>
  </w:num>
  <w:num w:numId="21">
    <w:abstractNumId w:val="22"/>
  </w:num>
  <w:num w:numId="22">
    <w:abstractNumId w:val="13"/>
  </w:num>
  <w:num w:numId="23">
    <w:abstractNumId w:val="19"/>
  </w:num>
  <w:num w:numId="24">
    <w:abstractNumId w:val="18"/>
  </w:num>
  <w:num w:numId="25">
    <w:abstractNumId w:val="15"/>
  </w:num>
  <w:num w:numId="26">
    <w:abstractNumId w:val="4"/>
  </w:num>
  <w:num w:numId="27">
    <w:abstractNumId w:val="7"/>
  </w:num>
  <w:num w:numId="28">
    <w:abstractNumId w:val="31"/>
  </w:num>
  <w:num w:numId="29">
    <w:abstractNumId w:val="1"/>
  </w:num>
  <w:num w:numId="30">
    <w:abstractNumId w:val="0"/>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8" w:dllVersion="513" w:checkStyle="1"/>
  <w:proofState w:spelling="clean" w:grammar="clean"/>
  <w:stylePaneFormatFilter w:val="3F01"/>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rsids>
    <w:rsidRoot w:val="00FE05A5"/>
    <w:rsid w:val="00007599"/>
    <w:rsid w:val="00011307"/>
    <w:rsid w:val="000116BE"/>
    <w:rsid w:val="0002486D"/>
    <w:rsid w:val="00035D35"/>
    <w:rsid w:val="000453C6"/>
    <w:rsid w:val="000456DC"/>
    <w:rsid w:val="000500A0"/>
    <w:rsid w:val="00053242"/>
    <w:rsid w:val="000647CB"/>
    <w:rsid w:val="000670D3"/>
    <w:rsid w:val="00070DB1"/>
    <w:rsid w:val="00073ABC"/>
    <w:rsid w:val="00074963"/>
    <w:rsid w:val="00086FFB"/>
    <w:rsid w:val="00092976"/>
    <w:rsid w:val="000A360C"/>
    <w:rsid w:val="000A79EE"/>
    <w:rsid w:val="000B64E9"/>
    <w:rsid w:val="000B7C9A"/>
    <w:rsid w:val="000C0C25"/>
    <w:rsid w:val="000C2197"/>
    <w:rsid w:val="000C3C05"/>
    <w:rsid w:val="000C7324"/>
    <w:rsid w:val="000E0791"/>
    <w:rsid w:val="00120240"/>
    <w:rsid w:val="0013419B"/>
    <w:rsid w:val="001367FD"/>
    <w:rsid w:val="00153C09"/>
    <w:rsid w:val="0016414D"/>
    <w:rsid w:val="001664AB"/>
    <w:rsid w:val="00167ECE"/>
    <w:rsid w:val="00170F75"/>
    <w:rsid w:val="00177CC2"/>
    <w:rsid w:val="001B3208"/>
    <w:rsid w:val="001C4E91"/>
    <w:rsid w:val="001C7A69"/>
    <w:rsid w:val="001D1AD2"/>
    <w:rsid w:val="001E3E1C"/>
    <w:rsid w:val="001E5E66"/>
    <w:rsid w:val="001E618B"/>
    <w:rsid w:val="002006DE"/>
    <w:rsid w:val="00200FEB"/>
    <w:rsid w:val="00204D0C"/>
    <w:rsid w:val="00212873"/>
    <w:rsid w:val="0021459E"/>
    <w:rsid w:val="00227611"/>
    <w:rsid w:val="00262402"/>
    <w:rsid w:val="00264D03"/>
    <w:rsid w:val="00267190"/>
    <w:rsid w:val="002B45FF"/>
    <w:rsid w:val="002B7D60"/>
    <w:rsid w:val="002C0D89"/>
    <w:rsid w:val="002C79D2"/>
    <w:rsid w:val="002D1419"/>
    <w:rsid w:val="002D2977"/>
    <w:rsid w:val="002F097D"/>
    <w:rsid w:val="002F1284"/>
    <w:rsid w:val="00306D3B"/>
    <w:rsid w:val="00306FCA"/>
    <w:rsid w:val="00310BE2"/>
    <w:rsid w:val="0031242C"/>
    <w:rsid w:val="0031393D"/>
    <w:rsid w:val="00314999"/>
    <w:rsid w:val="0032798B"/>
    <w:rsid w:val="00331E77"/>
    <w:rsid w:val="00347E1C"/>
    <w:rsid w:val="00355B39"/>
    <w:rsid w:val="00396ADF"/>
    <w:rsid w:val="003A0F46"/>
    <w:rsid w:val="003A1EEF"/>
    <w:rsid w:val="003B0704"/>
    <w:rsid w:val="003C05F8"/>
    <w:rsid w:val="003D1784"/>
    <w:rsid w:val="003D19A0"/>
    <w:rsid w:val="003D672A"/>
    <w:rsid w:val="003E3976"/>
    <w:rsid w:val="003E5E27"/>
    <w:rsid w:val="003E6B6E"/>
    <w:rsid w:val="003F04FC"/>
    <w:rsid w:val="003F37A3"/>
    <w:rsid w:val="00413780"/>
    <w:rsid w:val="00421888"/>
    <w:rsid w:val="00424C83"/>
    <w:rsid w:val="00424DE2"/>
    <w:rsid w:val="0042634D"/>
    <w:rsid w:val="00426C01"/>
    <w:rsid w:val="0043035A"/>
    <w:rsid w:val="004532F3"/>
    <w:rsid w:val="0046120C"/>
    <w:rsid w:val="00466BD7"/>
    <w:rsid w:val="00470834"/>
    <w:rsid w:val="00471AF6"/>
    <w:rsid w:val="00480F7D"/>
    <w:rsid w:val="00482E2C"/>
    <w:rsid w:val="004911BF"/>
    <w:rsid w:val="00495E54"/>
    <w:rsid w:val="004A2102"/>
    <w:rsid w:val="004B28D0"/>
    <w:rsid w:val="004B6E4C"/>
    <w:rsid w:val="004C0F49"/>
    <w:rsid w:val="004C3588"/>
    <w:rsid w:val="004C3935"/>
    <w:rsid w:val="004C5BCC"/>
    <w:rsid w:val="004D55DC"/>
    <w:rsid w:val="004E1669"/>
    <w:rsid w:val="004E63B3"/>
    <w:rsid w:val="00504437"/>
    <w:rsid w:val="005137A4"/>
    <w:rsid w:val="005223CE"/>
    <w:rsid w:val="00526D2C"/>
    <w:rsid w:val="005338D8"/>
    <w:rsid w:val="00536EC7"/>
    <w:rsid w:val="00552962"/>
    <w:rsid w:val="00575789"/>
    <w:rsid w:val="005A1396"/>
    <w:rsid w:val="005A6BC3"/>
    <w:rsid w:val="005B135F"/>
    <w:rsid w:val="005C0FD4"/>
    <w:rsid w:val="005C3D50"/>
    <w:rsid w:val="005C48AD"/>
    <w:rsid w:val="005D4047"/>
    <w:rsid w:val="005D7D63"/>
    <w:rsid w:val="005E312A"/>
    <w:rsid w:val="005F3DB0"/>
    <w:rsid w:val="006149E1"/>
    <w:rsid w:val="006152D0"/>
    <w:rsid w:val="00632423"/>
    <w:rsid w:val="006418F8"/>
    <w:rsid w:val="00646BCC"/>
    <w:rsid w:val="00661546"/>
    <w:rsid w:val="00670618"/>
    <w:rsid w:val="00676C96"/>
    <w:rsid w:val="0068244D"/>
    <w:rsid w:val="00684B3D"/>
    <w:rsid w:val="00685675"/>
    <w:rsid w:val="00690947"/>
    <w:rsid w:val="006915EE"/>
    <w:rsid w:val="0069183C"/>
    <w:rsid w:val="006A4D33"/>
    <w:rsid w:val="006B344B"/>
    <w:rsid w:val="006B687C"/>
    <w:rsid w:val="006C5670"/>
    <w:rsid w:val="006D2692"/>
    <w:rsid w:val="006E33C5"/>
    <w:rsid w:val="006E5D0B"/>
    <w:rsid w:val="006E6A4D"/>
    <w:rsid w:val="00707C96"/>
    <w:rsid w:val="00720A09"/>
    <w:rsid w:val="00721722"/>
    <w:rsid w:val="00733F51"/>
    <w:rsid w:val="007405A5"/>
    <w:rsid w:val="00747A4F"/>
    <w:rsid w:val="00750B71"/>
    <w:rsid w:val="007529C4"/>
    <w:rsid w:val="00765D39"/>
    <w:rsid w:val="00780FF5"/>
    <w:rsid w:val="00792C3D"/>
    <w:rsid w:val="007A2B74"/>
    <w:rsid w:val="007A5FDC"/>
    <w:rsid w:val="007A7038"/>
    <w:rsid w:val="007A7B17"/>
    <w:rsid w:val="007B4C51"/>
    <w:rsid w:val="007B5012"/>
    <w:rsid w:val="007B534C"/>
    <w:rsid w:val="007B798D"/>
    <w:rsid w:val="007C3BCE"/>
    <w:rsid w:val="007C7B77"/>
    <w:rsid w:val="007D43A3"/>
    <w:rsid w:val="008130F1"/>
    <w:rsid w:val="008220BC"/>
    <w:rsid w:val="008372B3"/>
    <w:rsid w:val="00840EE6"/>
    <w:rsid w:val="00850CF1"/>
    <w:rsid w:val="008A0360"/>
    <w:rsid w:val="008A06AF"/>
    <w:rsid w:val="008A1029"/>
    <w:rsid w:val="008A3EE6"/>
    <w:rsid w:val="008A42D7"/>
    <w:rsid w:val="008B3C1D"/>
    <w:rsid w:val="008C232B"/>
    <w:rsid w:val="008C66AC"/>
    <w:rsid w:val="008C6995"/>
    <w:rsid w:val="008D5071"/>
    <w:rsid w:val="008E028E"/>
    <w:rsid w:val="008E6BD5"/>
    <w:rsid w:val="00903E51"/>
    <w:rsid w:val="00921542"/>
    <w:rsid w:val="00926948"/>
    <w:rsid w:val="00930C64"/>
    <w:rsid w:val="00935BDA"/>
    <w:rsid w:val="00946843"/>
    <w:rsid w:val="0096373F"/>
    <w:rsid w:val="00971545"/>
    <w:rsid w:val="0097392C"/>
    <w:rsid w:val="0097495D"/>
    <w:rsid w:val="00976E27"/>
    <w:rsid w:val="00987EAA"/>
    <w:rsid w:val="00992A0D"/>
    <w:rsid w:val="00994046"/>
    <w:rsid w:val="00994C0C"/>
    <w:rsid w:val="00995729"/>
    <w:rsid w:val="009A69A0"/>
    <w:rsid w:val="009A79B4"/>
    <w:rsid w:val="009B217C"/>
    <w:rsid w:val="009B779F"/>
    <w:rsid w:val="009D1A07"/>
    <w:rsid w:val="009D7CC7"/>
    <w:rsid w:val="009E4B6D"/>
    <w:rsid w:val="009F2036"/>
    <w:rsid w:val="009F27BE"/>
    <w:rsid w:val="00A15A69"/>
    <w:rsid w:val="00A17285"/>
    <w:rsid w:val="00A17728"/>
    <w:rsid w:val="00A220FA"/>
    <w:rsid w:val="00A30A2B"/>
    <w:rsid w:val="00A32221"/>
    <w:rsid w:val="00A32B45"/>
    <w:rsid w:val="00A5417E"/>
    <w:rsid w:val="00A54231"/>
    <w:rsid w:val="00A622B4"/>
    <w:rsid w:val="00A774C6"/>
    <w:rsid w:val="00A8762F"/>
    <w:rsid w:val="00AB39C4"/>
    <w:rsid w:val="00AB56E1"/>
    <w:rsid w:val="00AD758C"/>
    <w:rsid w:val="00AE09AC"/>
    <w:rsid w:val="00AE3FEC"/>
    <w:rsid w:val="00B119B0"/>
    <w:rsid w:val="00B1503A"/>
    <w:rsid w:val="00B15547"/>
    <w:rsid w:val="00B17946"/>
    <w:rsid w:val="00B50ED3"/>
    <w:rsid w:val="00B55186"/>
    <w:rsid w:val="00B61AFE"/>
    <w:rsid w:val="00B63ECE"/>
    <w:rsid w:val="00B739A8"/>
    <w:rsid w:val="00B87272"/>
    <w:rsid w:val="00B96DCE"/>
    <w:rsid w:val="00BA4D8A"/>
    <w:rsid w:val="00BA5538"/>
    <w:rsid w:val="00BB5A26"/>
    <w:rsid w:val="00BB6DE4"/>
    <w:rsid w:val="00BC5C59"/>
    <w:rsid w:val="00C01708"/>
    <w:rsid w:val="00C22CB8"/>
    <w:rsid w:val="00C362C8"/>
    <w:rsid w:val="00C43644"/>
    <w:rsid w:val="00C4412A"/>
    <w:rsid w:val="00C476BA"/>
    <w:rsid w:val="00C476FC"/>
    <w:rsid w:val="00C504C6"/>
    <w:rsid w:val="00C51795"/>
    <w:rsid w:val="00C664B0"/>
    <w:rsid w:val="00C66829"/>
    <w:rsid w:val="00C66F2E"/>
    <w:rsid w:val="00C74161"/>
    <w:rsid w:val="00C759E2"/>
    <w:rsid w:val="00C77C09"/>
    <w:rsid w:val="00C828FB"/>
    <w:rsid w:val="00C85732"/>
    <w:rsid w:val="00CA1F59"/>
    <w:rsid w:val="00CA21D0"/>
    <w:rsid w:val="00CB3B9C"/>
    <w:rsid w:val="00CB7E94"/>
    <w:rsid w:val="00CC41E0"/>
    <w:rsid w:val="00CC5B91"/>
    <w:rsid w:val="00CE3199"/>
    <w:rsid w:val="00CE3A1F"/>
    <w:rsid w:val="00CE5502"/>
    <w:rsid w:val="00CF6712"/>
    <w:rsid w:val="00D12657"/>
    <w:rsid w:val="00D15A7E"/>
    <w:rsid w:val="00D16258"/>
    <w:rsid w:val="00D22874"/>
    <w:rsid w:val="00D27BC3"/>
    <w:rsid w:val="00D27FA8"/>
    <w:rsid w:val="00D45CE8"/>
    <w:rsid w:val="00D6235F"/>
    <w:rsid w:val="00D72083"/>
    <w:rsid w:val="00D7629C"/>
    <w:rsid w:val="00D763E7"/>
    <w:rsid w:val="00D82F60"/>
    <w:rsid w:val="00D87141"/>
    <w:rsid w:val="00D96455"/>
    <w:rsid w:val="00DA2411"/>
    <w:rsid w:val="00DB022F"/>
    <w:rsid w:val="00DC4D35"/>
    <w:rsid w:val="00DD2A3A"/>
    <w:rsid w:val="00DD623B"/>
    <w:rsid w:val="00E01839"/>
    <w:rsid w:val="00E05CDA"/>
    <w:rsid w:val="00E0603F"/>
    <w:rsid w:val="00E237DB"/>
    <w:rsid w:val="00E26D32"/>
    <w:rsid w:val="00E2784D"/>
    <w:rsid w:val="00E3188B"/>
    <w:rsid w:val="00E327F6"/>
    <w:rsid w:val="00E40216"/>
    <w:rsid w:val="00E40CD3"/>
    <w:rsid w:val="00E527B3"/>
    <w:rsid w:val="00E5533A"/>
    <w:rsid w:val="00E605CA"/>
    <w:rsid w:val="00E61FF9"/>
    <w:rsid w:val="00E71D10"/>
    <w:rsid w:val="00E90F7A"/>
    <w:rsid w:val="00E951C3"/>
    <w:rsid w:val="00EB172D"/>
    <w:rsid w:val="00EB6A3C"/>
    <w:rsid w:val="00EC2592"/>
    <w:rsid w:val="00EC4134"/>
    <w:rsid w:val="00EC41F6"/>
    <w:rsid w:val="00EC5770"/>
    <w:rsid w:val="00ED2EC6"/>
    <w:rsid w:val="00EE477E"/>
    <w:rsid w:val="00EF0572"/>
    <w:rsid w:val="00F02689"/>
    <w:rsid w:val="00F07AAA"/>
    <w:rsid w:val="00F12145"/>
    <w:rsid w:val="00F2033A"/>
    <w:rsid w:val="00F27A66"/>
    <w:rsid w:val="00F4623B"/>
    <w:rsid w:val="00F51331"/>
    <w:rsid w:val="00F526D6"/>
    <w:rsid w:val="00F57104"/>
    <w:rsid w:val="00F66004"/>
    <w:rsid w:val="00F67A1F"/>
    <w:rsid w:val="00F71C6C"/>
    <w:rsid w:val="00F7631A"/>
    <w:rsid w:val="00F774D6"/>
    <w:rsid w:val="00F93D40"/>
    <w:rsid w:val="00FB0A2C"/>
    <w:rsid w:val="00FB465F"/>
    <w:rsid w:val="00FB7BCC"/>
    <w:rsid w:val="00FB7CA9"/>
    <w:rsid w:val="00FC1D32"/>
    <w:rsid w:val="00FC4EA7"/>
    <w:rsid w:val="00FC6831"/>
    <w:rsid w:val="00FD617D"/>
    <w:rsid w:val="00FD645C"/>
    <w:rsid w:val="00FE05A5"/>
    <w:rsid w:val="00FE3257"/>
    <w:rsid w:val="00FE39CB"/>
    <w:rsid w:val="00FF0C25"/>
    <w:rsid w:val="00FF2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DCE"/>
    <w:pPr>
      <w:tabs>
        <w:tab w:val="left" w:pos="720"/>
        <w:tab w:val="left" w:pos="1080"/>
        <w:tab w:val="left" w:pos="1440"/>
        <w:tab w:val="left" w:pos="1800"/>
      </w:tabs>
      <w:spacing w:line="264" w:lineRule="auto"/>
    </w:pPr>
    <w:rPr>
      <w:sz w:val="22"/>
    </w:rPr>
  </w:style>
  <w:style w:type="paragraph" w:styleId="Heading1">
    <w:name w:val="heading 1"/>
    <w:basedOn w:val="Normal"/>
    <w:qFormat/>
    <w:rsid w:val="00B96DCE"/>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B96DCE"/>
    <w:pPr>
      <w:keepNext/>
      <w:spacing w:before="240" w:after="60"/>
      <w:outlineLvl w:val="2"/>
    </w:pPr>
    <w:rPr>
      <w:rFonts w:ascii="Arial" w:hAnsi="Arial"/>
    </w:rPr>
  </w:style>
  <w:style w:type="paragraph" w:styleId="Heading4">
    <w:name w:val="heading 4"/>
    <w:basedOn w:val="Normal"/>
    <w:qFormat/>
    <w:rsid w:val="00B96DCE"/>
    <w:pPr>
      <w:keepNext/>
      <w:outlineLvl w:val="3"/>
    </w:pPr>
    <w:rPr>
      <w:b/>
      <w:i/>
    </w:rPr>
  </w:style>
  <w:style w:type="paragraph" w:styleId="Heading5">
    <w:name w:val="heading 5"/>
    <w:basedOn w:val="Normal"/>
    <w:qFormat/>
    <w:rsid w:val="00B96DCE"/>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6DCE"/>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B96DCE"/>
    <w:pPr>
      <w:keepNext/>
      <w:keepLines/>
      <w:spacing w:after="360"/>
      <w:outlineLvl w:val="0"/>
    </w:pPr>
    <w:rPr>
      <w:rFonts w:ascii="Arial" w:hAnsi="Arial"/>
      <w:b/>
      <w:sz w:val="36"/>
    </w:rPr>
  </w:style>
  <w:style w:type="paragraph" w:customStyle="1" w:styleId="full-govpro">
    <w:name w:val="full-govpro"/>
    <w:rsid w:val="00B96DCE"/>
    <w:pPr>
      <w:tabs>
        <w:tab w:val="left" w:pos="720"/>
        <w:tab w:val="left" w:pos="1080"/>
        <w:tab w:val="left" w:pos="1440"/>
        <w:tab w:val="left" w:pos="1800"/>
      </w:tabs>
      <w:spacing w:line="264" w:lineRule="auto"/>
    </w:pPr>
    <w:rPr>
      <w:sz w:val="22"/>
    </w:rPr>
  </w:style>
  <w:style w:type="character" w:styleId="PageNumber">
    <w:name w:val="page number"/>
    <w:rsid w:val="00B96DCE"/>
    <w:rPr>
      <w:rFonts w:ascii="Arial" w:hAnsi="Arial"/>
      <w:dstrike w:val="0"/>
      <w:color w:val="auto"/>
      <w:sz w:val="18"/>
      <w:bdr w:val="none" w:sz="0" w:space="0" w:color="auto"/>
      <w:vertAlign w:val="baseline"/>
    </w:rPr>
  </w:style>
  <w:style w:type="paragraph" w:customStyle="1" w:styleId="AbtHeadB">
    <w:name w:val="AbtHead B"/>
    <w:basedOn w:val="Normal"/>
    <w:next w:val="BodyText"/>
    <w:rsid w:val="00B96DCE"/>
    <w:pPr>
      <w:keepNext/>
      <w:keepLines/>
      <w:spacing w:after="280"/>
      <w:outlineLvl w:val="1"/>
    </w:pPr>
    <w:rPr>
      <w:rFonts w:ascii="Arial" w:hAnsi="Arial"/>
      <w:b/>
      <w:sz w:val="28"/>
    </w:rPr>
  </w:style>
  <w:style w:type="paragraph" w:customStyle="1" w:styleId="AbtHeadC">
    <w:name w:val="AbtHead C"/>
    <w:basedOn w:val="Normal"/>
    <w:next w:val="BodyText"/>
    <w:rsid w:val="00B96DCE"/>
    <w:pPr>
      <w:keepNext/>
      <w:keepLines/>
      <w:spacing w:after="240"/>
      <w:outlineLvl w:val="2"/>
    </w:pPr>
    <w:rPr>
      <w:rFonts w:ascii="Arial" w:hAnsi="Arial"/>
      <w:b/>
      <w:sz w:val="20"/>
    </w:rPr>
  </w:style>
  <w:style w:type="paragraph" w:customStyle="1" w:styleId="RefNumbers">
    <w:name w:val="Ref Numbers"/>
    <w:basedOn w:val="BodyText"/>
    <w:rsid w:val="00B96DCE"/>
    <w:pPr>
      <w:numPr>
        <w:numId w:val="15"/>
      </w:numPr>
      <w:spacing w:after="240"/>
    </w:pPr>
  </w:style>
  <w:style w:type="paragraph" w:customStyle="1" w:styleId="AbtHeadAOutlined">
    <w:name w:val="AbtHead A Outlined"/>
    <w:basedOn w:val="AbtHeadA"/>
    <w:next w:val="BodyText"/>
    <w:rsid w:val="00B96DCE"/>
    <w:pPr>
      <w:numPr>
        <w:numId w:val="17"/>
      </w:numPr>
    </w:pPr>
  </w:style>
  <w:style w:type="paragraph" w:customStyle="1" w:styleId="AbtHeadD">
    <w:name w:val="AbtHead D"/>
    <w:basedOn w:val="Normal"/>
    <w:next w:val="BodyText"/>
    <w:rsid w:val="00B96DCE"/>
    <w:pPr>
      <w:keepNext/>
      <w:keepLines/>
      <w:outlineLvl w:val="3"/>
    </w:pPr>
    <w:rPr>
      <w:b/>
      <w:i/>
    </w:rPr>
  </w:style>
  <w:style w:type="paragraph" w:styleId="Header">
    <w:name w:val="header"/>
    <w:basedOn w:val="Normal"/>
    <w:rsid w:val="00B96DCE"/>
    <w:pPr>
      <w:tabs>
        <w:tab w:val="clear" w:pos="720"/>
        <w:tab w:val="clear" w:pos="1080"/>
        <w:tab w:val="clear" w:pos="1440"/>
        <w:tab w:val="center" w:pos="4320"/>
        <w:tab w:val="right" w:pos="8640"/>
      </w:tabs>
    </w:pPr>
  </w:style>
  <w:style w:type="paragraph" w:styleId="TOC1">
    <w:name w:val="toc 1"/>
    <w:basedOn w:val="BodyText"/>
    <w:next w:val="BodyText"/>
    <w:semiHidden/>
    <w:rsid w:val="00B96DCE"/>
    <w:pPr>
      <w:tabs>
        <w:tab w:val="clear" w:pos="720"/>
        <w:tab w:val="clear" w:pos="1080"/>
        <w:tab w:val="clear" w:pos="1440"/>
        <w:tab w:val="clear" w:pos="1800"/>
      </w:tabs>
      <w:spacing w:before="240"/>
    </w:pPr>
    <w:rPr>
      <w:b/>
    </w:rPr>
  </w:style>
  <w:style w:type="character" w:styleId="CommentReference">
    <w:name w:val="annotation reference"/>
    <w:semiHidden/>
    <w:rsid w:val="00B96DCE"/>
    <w:rPr>
      <w:sz w:val="16"/>
    </w:rPr>
  </w:style>
  <w:style w:type="paragraph" w:styleId="TOC2">
    <w:name w:val="toc 2"/>
    <w:basedOn w:val="BodyText"/>
    <w:next w:val="BodyText"/>
    <w:semiHidden/>
    <w:rsid w:val="00B96DCE"/>
    <w:pPr>
      <w:tabs>
        <w:tab w:val="clear" w:pos="720"/>
        <w:tab w:val="clear" w:pos="1080"/>
        <w:tab w:val="clear" w:pos="1440"/>
        <w:tab w:val="clear" w:pos="1800"/>
      </w:tabs>
      <w:ind w:left="576"/>
    </w:pPr>
  </w:style>
  <w:style w:type="paragraph" w:styleId="TOC3">
    <w:name w:val="toc 3"/>
    <w:basedOn w:val="BodyText"/>
    <w:next w:val="BodyText"/>
    <w:semiHidden/>
    <w:rsid w:val="00B96DCE"/>
    <w:pPr>
      <w:tabs>
        <w:tab w:val="clear" w:pos="720"/>
        <w:tab w:val="clear" w:pos="1080"/>
        <w:tab w:val="clear" w:pos="1440"/>
        <w:tab w:val="clear" w:pos="1800"/>
      </w:tabs>
      <w:ind w:left="1152"/>
    </w:pPr>
  </w:style>
  <w:style w:type="paragraph" w:styleId="TOC4">
    <w:name w:val="toc 4"/>
    <w:basedOn w:val="BodyText"/>
    <w:next w:val="BodyText"/>
    <w:semiHidden/>
    <w:rsid w:val="00B96DCE"/>
    <w:pPr>
      <w:tabs>
        <w:tab w:val="clear" w:pos="720"/>
        <w:tab w:val="clear" w:pos="1080"/>
        <w:tab w:val="clear" w:pos="1440"/>
        <w:tab w:val="clear" w:pos="1800"/>
      </w:tabs>
      <w:ind w:left="1728"/>
    </w:pPr>
  </w:style>
  <w:style w:type="paragraph" w:styleId="TOC5">
    <w:name w:val="toc 5"/>
    <w:basedOn w:val="Normal"/>
    <w:next w:val="Normal"/>
    <w:autoRedefine/>
    <w:semiHidden/>
    <w:rsid w:val="00B96DCE"/>
    <w:pPr>
      <w:tabs>
        <w:tab w:val="clear" w:pos="720"/>
        <w:tab w:val="clear" w:pos="1080"/>
        <w:tab w:val="clear" w:pos="1440"/>
      </w:tabs>
      <w:ind w:left="960"/>
    </w:pPr>
  </w:style>
  <w:style w:type="paragraph" w:styleId="TOC6">
    <w:name w:val="toc 6"/>
    <w:basedOn w:val="Normal"/>
    <w:next w:val="Normal"/>
    <w:autoRedefine/>
    <w:semiHidden/>
    <w:rsid w:val="00B96DCE"/>
    <w:pPr>
      <w:tabs>
        <w:tab w:val="clear" w:pos="720"/>
        <w:tab w:val="clear" w:pos="1080"/>
        <w:tab w:val="clear" w:pos="1440"/>
      </w:tabs>
      <w:ind w:left="1200"/>
    </w:pPr>
  </w:style>
  <w:style w:type="paragraph" w:styleId="TOC7">
    <w:name w:val="toc 7"/>
    <w:basedOn w:val="Normal"/>
    <w:next w:val="Normal"/>
    <w:autoRedefine/>
    <w:semiHidden/>
    <w:rsid w:val="00B96DCE"/>
    <w:pPr>
      <w:tabs>
        <w:tab w:val="clear" w:pos="720"/>
        <w:tab w:val="clear" w:pos="1080"/>
        <w:tab w:val="clear" w:pos="1440"/>
      </w:tabs>
      <w:ind w:left="1440"/>
    </w:pPr>
  </w:style>
  <w:style w:type="paragraph" w:styleId="TOC8">
    <w:name w:val="toc 8"/>
    <w:basedOn w:val="Normal"/>
    <w:next w:val="Normal"/>
    <w:autoRedefine/>
    <w:semiHidden/>
    <w:rsid w:val="00B96DCE"/>
    <w:pPr>
      <w:tabs>
        <w:tab w:val="clear" w:pos="720"/>
        <w:tab w:val="clear" w:pos="1080"/>
        <w:tab w:val="clear" w:pos="1440"/>
      </w:tabs>
      <w:ind w:left="1680"/>
    </w:pPr>
  </w:style>
  <w:style w:type="paragraph" w:styleId="TOC9">
    <w:name w:val="toc 9"/>
    <w:basedOn w:val="Normal"/>
    <w:next w:val="Normal"/>
    <w:autoRedefine/>
    <w:semiHidden/>
    <w:rsid w:val="00B96DCE"/>
    <w:pPr>
      <w:tabs>
        <w:tab w:val="clear" w:pos="720"/>
        <w:tab w:val="clear" w:pos="1080"/>
        <w:tab w:val="clear" w:pos="1440"/>
      </w:tabs>
      <w:ind w:left="1920"/>
    </w:pPr>
  </w:style>
  <w:style w:type="character" w:customStyle="1" w:styleId="AbtHeadE">
    <w:name w:val="AbtHead E"/>
    <w:rsid w:val="00B96DCE"/>
    <w:rPr>
      <w:rFonts w:ascii="Arial" w:hAnsi="Arial"/>
      <w:b/>
      <w:sz w:val="20"/>
    </w:rPr>
  </w:style>
  <w:style w:type="paragraph" w:customStyle="1" w:styleId="Table">
    <w:name w:val="Table"/>
    <w:basedOn w:val="Normal"/>
    <w:rsid w:val="00B96DCE"/>
    <w:rPr>
      <w:rFonts w:ascii="Arial" w:hAnsi="Arial"/>
      <w:sz w:val="20"/>
    </w:rPr>
  </w:style>
  <w:style w:type="paragraph" w:styleId="BodyText">
    <w:name w:val="Body Text"/>
    <w:basedOn w:val="Normal"/>
    <w:link w:val="BodyTextChar"/>
    <w:rsid w:val="00B96DCE"/>
  </w:style>
  <w:style w:type="paragraph" w:styleId="FootnoteText">
    <w:name w:val="footnote text"/>
    <w:basedOn w:val="Normal"/>
    <w:semiHidden/>
    <w:rsid w:val="00B96DCE"/>
    <w:pPr>
      <w:spacing w:after="120"/>
      <w:ind w:left="360" w:hanging="360"/>
    </w:pPr>
    <w:rPr>
      <w:sz w:val="20"/>
    </w:rPr>
  </w:style>
  <w:style w:type="paragraph" w:customStyle="1" w:styleId="AbtHeadBOutlined">
    <w:name w:val="AbtHead B Outlined"/>
    <w:basedOn w:val="AbtHeadB"/>
    <w:next w:val="BodyText"/>
    <w:rsid w:val="00B96DCE"/>
    <w:pPr>
      <w:numPr>
        <w:ilvl w:val="1"/>
        <w:numId w:val="17"/>
      </w:numPr>
    </w:pPr>
  </w:style>
  <w:style w:type="paragraph" w:customStyle="1" w:styleId="AbtHeadCOutlined">
    <w:name w:val="AbtHead C Outlined"/>
    <w:basedOn w:val="AbtHeadC"/>
    <w:next w:val="BodyText"/>
    <w:rsid w:val="00B96DCE"/>
    <w:pPr>
      <w:numPr>
        <w:ilvl w:val="2"/>
        <w:numId w:val="17"/>
      </w:numPr>
    </w:pPr>
  </w:style>
  <w:style w:type="paragraph" w:styleId="Index1">
    <w:name w:val="index 1"/>
    <w:basedOn w:val="Normal"/>
    <w:next w:val="Normal"/>
    <w:autoRedefine/>
    <w:semiHidden/>
    <w:rsid w:val="00B96DCE"/>
    <w:pPr>
      <w:tabs>
        <w:tab w:val="clear" w:pos="720"/>
        <w:tab w:val="clear" w:pos="1080"/>
        <w:tab w:val="clear" w:pos="1440"/>
      </w:tabs>
      <w:ind w:left="220" w:hanging="220"/>
    </w:pPr>
    <w:rPr>
      <w:sz w:val="20"/>
    </w:rPr>
  </w:style>
  <w:style w:type="paragraph" w:styleId="Index2">
    <w:name w:val="index 2"/>
    <w:basedOn w:val="Normal"/>
    <w:next w:val="Normal"/>
    <w:autoRedefine/>
    <w:semiHidden/>
    <w:rsid w:val="00B96DCE"/>
    <w:pPr>
      <w:tabs>
        <w:tab w:val="clear" w:pos="720"/>
        <w:tab w:val="clear" w:pos="1080"/>
        <w:tab w:val="clear" w:pos="1440"/>
      </w:tabs>
      <w:ind w:left="440" w:hanging="220"/>
    </w:pPr>
    <w:rPr>
      <w:sz w:val="20"/>
    </w:rPr>
  </w:style>
  <w:style w:type="paragraph" w:styleId="Index3">
    <w:name w:val="index 3"/>
    <w:basedOn w:val="Normal"/>
    <w:next w:val="Normal"/>
    <w:autoRedefine/>
    <w:semiHidden/>
    <w:rsid w:val="00B96DCE"/>
    <w:pPr>
      <w:tabs>
        <w:tab w:val="clear" w:pos="720"/>
        <w:tab w:val="clear" w:pos="1080"/>
        <w:tab w:val="clear" w:pos="1440"/>
      </w:tabs>
      <w:ind w:left="660" w:hanging="220"/>
    </w:pPr>
    <w:rPr>
      <w:sz w:val="20"/>
    </w:rPr>
  </w:style>
  <w:style w:type="paragraph" w:customStyle="1" w:styleId="Numbers">
    <w:name w:val="Numbers"/>
    <w:basedOn w:val="BodyText"/>
    <w:rsid w:val="00B96DCE"/>
    <w:pPr>
      <w:numPr>
        <w:numId w:val="14"/>
      </w:numPr>
    </w:pPr>
  </w:style>
  <w:style w:type="paragraph" w:customStyle="1" w:styleId="Bullets">
    <w:name w:val="Bullets"/>
    <w:basedOn w:val="BodyText"/>
    <w:rsid w:val="00B96DCE"/>
    <w:pPr>
      <w:numPr>
        <w:numId w:val="16"/>
      </w:numPr>
    </w:pPr>
  </w:style>
  <w:style w:type="character" w:styleId="Hyperlink">
    <w:name w:val="Hyperlink"/>
    <w:uiPriority w:val="99"/>
    <w:rsid w:val="00B96DCE"/>
    <w:rPr>
      <w:color w:val="0000FF"/>
      <w:u w:val="single"/>
    </w:rPr>
  </w:style>
  <w:style w:type="character" w:customStyle="1" w:styleId="AbtHeadE-Remove">
    <w:name w:val="AbtHead E - Remove"/>
    <w:basedOn w:val="DefaultParagraphFont"/>
    <w:rsid w:val="00B96DCE"/>
  </w:style>
  <w:style w:type="character" w:styleId="FootnoteReference">
    <w:name w:val="footnote reference"/>
    <w:semiHidden/>
    <w:rsid w:val="00B96DCE"/>
    <w:rPr>
      <w:vertAlign w:val="superscript"/>
    </w:rPr>
  </w:style>
  <w:style w:type="paragraph" w:styleId="BodyTextIndent">
    <w:name w:val="Body Text Indent"/>
    <w:basedOn w:val="Normal"/>
    <w:rsid w:val="00B96DCE"/>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B96DCE"/>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B96DCE"/>
    <w:pPr>
      <w:tabs>
        <w:tab w:val="clear" w:pos="720"/>
        <w:tab w:val="clear" w:pos="1080"/>
        <w:tab w:val="clear" w:pos="1440"/>
        <w:tab w:val="clear" w:pos="1800"/>
      </w:tabs>
      <w:spacing w:line="240" w:lineRule="auto"/>
      <w:ind w:left="360"/>
    </w:pPr>
    <w:rPr>
      <w:szCs w:val="22"/>
    </w:rPr>
  </w:style>
  <w:style w:type="character" w:styleId="FollowedHyperlink">
    <w:name w:val="FollowedHyperlink"/>
    <w:rsid w:val="00B96DCE"/>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link w:val="CommentTextChar"/>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DarkList-Accent31">
    <w:name w:val="Dark List - Accent 31"/>
    <w:hidden/>
    <w:uiPriority w:val="71"/>
    <w:rsid w:val="00FE39CB"/>
    <w:rPr>
      <w:sz w:val="22"/>
    </w:rPr>
  </w:style>
  <w:style w:type="paragraph" w:customStyle="1" w:styleId="articledetails">
    <w:name w:val="articledetails"/>
    <w:basedOn w:val="Normal"/>
    <w:rsid w:val="002F097D"/>
    <w:pPr>
      <w:tabs>
        <w:tab w:val="clear" w:pos="720"/>
        <w:tab w:val="clear" w:pos="1080"/>
        <w:tab w:val="clear" w:pos="1440"/>
        <w:tab w:val="clear" w:pos="1800"/>
      </w:tabs>
      <w:spacing w:before="100" w:beforeAutospacing="1" w:after="100" w:afterAutospacing="1" w:line="240" w:lineRule="auto"/>
    </w:pPr>
    <w:rPr>
      <w:rFonts w:ascii="Times" w:hAnsi="Times"/>
      <w:sz w:val="20"/>
    </w:rPr>
  </w:style>
  <w:style w:type="paragraph" w:customStyle="1" w:styleId="ColorfulShading-Accent31">
    <w:name w:val="Colorful Shading - Accent 31"/>
    <w:basedOn w:val="Normal"/>
    <w:uiPriority w:val="72"/>
    <w:rsid w:val="00331E77"/>
    <w:pPr>
      <w:ind w:left="720"/>
      <w:contextualSpacing/>
    </w:pPr>
  </w:style>
  <w:style w:type="character" w:customStyle="1" w:styleId="CommentTextChar">
    <w:name w:val="Comment Text Char"/>
    <w:link w:val="CommentText"/>
    <w:semiHidden/>
    <w:rsid w:val="008E6BD5"/>
  </w:style>
  <w:style w:type="paragraph" w:styleId="ListParagraph">
    <w:name w:val="List Paragraph"/>
    <w:basedOn w:val="Normal"/>
    <w:uiPriority w:val="34"/>
    <w:qFormat/>
    <w:rsid w:val="002B7D60"/>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table" w:styleId="TableGrid">
    <w:name w:val="Table Grid"/>
    <w:basedOn w:val="TableNormal"/>
    <w:uiPriority w:val="59"/>
    <w:rsid w:val="002B7D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42188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DCE"/>
    <w:pPr>
      <w:tabs>
        <w:tab w:val="left" w:pos="720"/>
        <w:tab w:val="left" w:pos="1080"/>
        <w:tab w:val="left" w:pos="1440"/>
        <w:tab w:val="left" w:pos="1800"/>
      </w:tabs>
      <w:spacing w:line="264" w:lineRule="auto"/>
    </w:pPr>
    <w:rPr>
      <w:sz w:val="22"/>
    </w:rPr>
  </w:style>
  <w:style w:type="paragraph" w:styleId="Heading1">
    <w:name w:val="heading 1"/>
    <w:basedOn w:val="Normal"/>
    <w:qFormat/>
    <w:rsid w:val="00B96DCE"/>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B96DCE"/>
    <w:pPr>
      <w:keepNext/>
      <w:spacing w:before="240" w:after="60"/>
      <w:outlineLvl w:val="2"/>
    </w:pPr>
    <w:rPr>
      <w:rFonts w:ascii="Arial" w:hAnsi="Arial"/>
    </w:rPr>
  </w:style>
  <w:style w:type="paragraph" w:styleId="Heading4">
    <w:name w:val="heading 4"/>
    <w:basedOn w:val="Normal"/>
    <w:qFormat/>
    <w:rsid w:val="00B96DCE"/>
    <w:pPr>
      <w:keepNext/>
      <w:outlineLvl w:val="3"/>
    </w:pPr>
    <w:rPr>
      <w:b/>
      <w:i/>
    </w:rPr>
  </w:style>
  <w:style w:type="paragraph" w:styleId="Heading5">
    <w:name w:val="heading 5"/>
    <w:basedOn w:val="Normal"/>
    <w:qFormat/>
    <w:rsid w:val="00B96DCE"/>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6DCE"/>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B96DCE"/>
    <w:pPr>
      <w:keepNext/>
      <w:keepLines/>
      <w:spacing w:after="360"/>
      <w:outlineLvl w:val="0"/>
    </w:pPr>
    <w:rPr>
      <w:rFonts w:ascii="Arial" w:hAnsi="Arial"/>
      <w:b/>
      <w:sz w:val="36"/>
    </w:rPr>
  </w:style>
  <w:style w:type="paragraph" w:customStyle="1" w:styleId="full-govpro">
    <w:name w:val="full-govpro"/>
    <w:rsid w:val="00B96DCE"/>
    <w:pPr>
      <w:tabs>
        <w:tab w:val="left" w:pos="720"/>
        <w:tab w:val="left" w:pos="1080"/>
        <w:tab w:val="left" w:pos="1440"/>
        <w:tab w:val="left" w:pos="1800"/>
      </w:tabs>
      <w:spacing w:line="264" w:lineRule="auto"/>
    </w:pPr>
    <w:rPr>
      <w:sz w:val="22"/>
    </w:rPr>
  </w:style>
  <w:style w:type="character" w:styleId="PageNumber">
    <w:name w:val="page number"/>
    <w:rsid w:val="00B96DCE"/>
    <w:rPr>
      <w:rFonts w:ascii="Arial" w:hAnsi="Arial"/>
      <w:dstrike w:val="0"/>
      <w:color w:val="auto"/>
      <w:sz w:val="18"/>
      <w:bdr w:val="none" w:sz="0" w:space="0" w:color="auto"/>
      <w:vertAlign w:val="baseline"/>
    </w:rPr>
  </w:style>
  <w:style w:type="paragraph" w:customStyle="1" w:styleId="AbtHeadB">
    <w:name w:val="AbtHead B"/>
    <w:basedOn w:val="Normal"/>
    <w:next w:val="BodyText"/>
    <w:rsid w:val="00B96DCE"/>
    <w:pPr>
      <w:keepNext/>
      <w:keepLines/>
      <w:spacing w:after="280"/>
      <w:outlineLvl w:val="1"/>
    </w:pPr>
    <w:rPr>
      <w:rFonts w:ascii="Arial" w:hAnsi="Arial"/>
      <w:b/>
      <w:sz w:val="28"/>
    </w:rPr>
  </w:style>
  <w:style w:type="paragraph" w:customStyle="1" w:styleId="AbtHeadC">
    <w:name w:val="AbtHead C"/>
    <w:basedOn w:val="Normal"/>
    <w:next w:val="BodyText"/>
    <w:rsid w:val="00B96DCE"/>
    <w:pPr>
      <w:keepNext/>
      <w:keepLines/>
      <w:spacing w:after="240"/>
      <w:outlineLvl w:val="2"/>
    </w:pPr>
    <w:rPr>
      <w:rFonts w:ascii="Arial" w:hAnsi="Arial"/>
      <w:b/>
      <w:sz w:val="20"/>
    </w:rPr>
  </w:style>
  <w:style w:type="paragraph" w:customStyle="1" w:styleId="RefNumbers">
    <w:name w:val="Ref Numbers"/>
    <w:basedOn w:val="BodyText"/>
    <w:rsid w:val="00B96DCE"/>
    <w:pPr>
      <w:numPr>
        <w:numId w:val="15"/>
      </w:numPr>
      <w:spacing w:after="240"/>
    </w:pPr>
  </w:style>
  <w:style w:type="paragraph" w:customStyle="1" w:styleId="AbtHeadAOutlined">
    <w:name w:val="AbtHead A Outlined"/>
    <w:basedOn w:val="AbtHeadA"/>
    <w:next w:val="BodyText"/>
    <w:rsid w:val="00B96DCE"/>
    <w:pPr>
      <w:numPr>
        <w:numId w:val="17"/>
      </w:numPr>
    </w:pPr>
  </w:style>
  <w:style w:type="paragraph" w:customStyle="1" w:styleId="AbtHeadD">
    <w:name w:val="AbtHead D"/>
    <w:basedOn w:val="Normal"/>
    <w:next w:val="BodyText"/>
    <w:rsid w:val="00B96DCE"/>
    <w:pPr>
      <w:keepNext/>
      <w:keepLines/>
      <w:outlineLvl w:val="3"/>
    </w:pPr>
    <w:rPr>
      <w:b/>
      <w:i/>
    </w:rPr>
  </w:style>
  <w:style w:type="paragraph" w:styleId="Header">
    <w:name w:val="header"/>
    <w:basedOn w:val="Normal"/>
    <w:rsid w:val="00B96DCE"/>
    <w:pPr>
      <w:tabs>
        <w:tab w:val="clear" w:pos="720"/>
        <w:tab w:val="clear" w:pos="1080"/>
        <w:tab w:val="clear" w:pos="1440"/>
        <w:tab w:val="center" w:pos="4320"/>
        <w:tab w:val="right" w:pos="8640"/>
      </w:tabs>
    </w:pPr>
  </w:style>
  <w:style w:type="paragraph" w:styleId="TOC1">
    <w:name w:val="toc 1"/>
    <w:basedOn w:val="BodyText"/>
    <w:next w:val="BodyText"/>
    <w:semiHidden/>
    <w:rsid w:val="00B96DCE"/>
    <w:pPr>
      <w:tabs>
        <w:tab w:val="clear" w:pos="720"/>
        <w:tab w:val="clear" w:pos="1080"/>
        <w:tab w:val="clear" w:pos="1440"/>
        <w:tab w:val="clear" w:pos="1800"/>
      </w:tabs>
      <w:spacing w:before="240"/>
    </w:pPr>
    <w:rPr>
      <w:b/>
    </w:rPr>
  </w:style>
  <w:style w:type="character" w:styleId="CommentReference">
    <w:name w:val="annotation reference"/>
    <w:semiHidden/>
    <w:rsid w:val="00B96DCE"/>
    <w:rPr>
      <w:sz w:val="16"/>
    </w:rPr>
  </w:style>
  <w:style w:type="paragraph" w:styleId="TOC2">
    <w:name w:val="toc 2"/>
    <w:basedOn w:val="BodyText"/>
    <w:next w:val="BodyText"/>
    <w:semiHidden/>
    <w:rsid w:val="00B96DCE"/>
    <w:pPr>
      <w:tabs>
        <w:tab w:val="clear" w:pos="720"/>
        <w:tab w:val="clear" w:pos="1080"/>
        <w:tab w:val="clear" w:pos="1440"/>
        <w:tab w:val="clear" w:pos="1800"/>
      </w:tabs>
      <w:ind w:left="576"/>
    </w:pPr>
  </w:style>
  <w:style w:type="paragraph" w:styleId="TOC3">
    <w:name w:val="toc 3"/>
    <w:basedOn w:val="BodyText"/>
    <w:next w:val="BodyText"/>
    <w:semiHidden/>
    <w:rsid w:val="00B96DCE"/>
    <w:pPr>
      <w:tabs>
        <w:tab w:val="clear" w:pos="720"/>
        <w:tab w:val="clear" w:pos="1080"/>
        <w:tab w:val="clear" w:pos="1440"/>
        <w:tab w:val="clear" w:pos="1800"/>
      </w:tabs>
      <w:ind w:left="1152"/>
    </w:pPr>
  </w:style>
  <w:style w:type="paragraph" w:styleId="TOC4">
    <w:name w:val="toc 4"/>
    <w:basedOn w:val="BodyText"/>
    <w:next w:val="BodyText"/>
    <w:semiHidden/>
    <w:rsid w:val="00B96DCE"/>
    <w:pPr>
      <w:tabs>
        <w:tab w:val="clear" w:pos="720"/>
        <w:tab w:val="clear" w:pos="1080"/>
        <w:tab w:val="clear" w:pos="1440"/>
        <w:tab w:val="clear" w:pos="1800"/>
      </w:tabs>
      <w:ind w:left="1728"/>
    </w:pPr>
  </w:style>
  <w:style w:type="paragraph" w:styleId="TOC5">
    <w:name w:val="toc 5"/>
    <w:basedOn w:val="Normal"/>
    <w:next w:val="Normal"/>
    <w:autoRedefine/>
    <w:semiHidden/>
    <w:rsid w:val="00B96DCE"/>
    <w:pPr>
      <w:tabs>
        <w:tab w:val="clear" w:pos="720"/>
        <w:tab w:val="clear" w:pos="1080"/>
        <w:tab w:val="clear" w:pos="1440"/>
      </w:tabs>
      <w:ind w:left="960"/>
    </w:pPr>
  </w:style>
  <w:style w:type="paragraph" w:styleId="TOC6">
    <w:name w:val="toc 6"/>
    <w:basedOn w:val="Normal"/>
    <w:next w:val="Normal"/>
    <w:autoRedefine/>
    <w:semiHidden/>
    <w:rsid w:val="00B96DCE"/>
    <w:pPr>
      <w:tabs>
        <w:tab w:val="clear" w:pos="720"/>
        <w:tab w:val="clear" w:pos="1080"/>
        <w:tab w:val="clear" w:pos="1440"/>
      </w:tabs>
      <w:ind w:left="1200"/>
    </w:pPr>
  </w:style>
  <w:style w:type="paragraph" w:styleId="TOC7">
    <w:name w:val="toc 7"/>
    <w:basedOn w:val="Normal"/>
    <w:next w:val="Normal"/>
    <w:autoRedefine/>
    <w:semiHidden/>
    <w:rsid w:val="00B96DCE"/>
    <w:pPr>
      <w:tabs>
        <w:tab w:val="clear" w:pos="720"/>
        <w:tab w:val="clear" w:pos="1080"/>
        <w:tab w:val="clear" w:pos="1440"/>
      </w:tabs>
      <w:ind w:left="1440"/>
    </w:pPr>
  </w:style>
  <w:style w:type="paragraph" w:styleId="TOC8">
    <w:name w:val="toc 8"/>
    <w:basedOn w:val="Normal"/>
    <w:next w:val="Normal"/>
    <w:autoRedefine/>
    <w:semiHidden/>
    <w:rsid w:val="00B96DCE"/>
    <w:pPr>
      <w:tabs>
        <w:tab w:val="clear" w:pos="720"/>
        <w:tab w:val="clear" w:pos="1080"/>
        <w:tab w:val="clear" w:pos="1440"/>
      </w:tabs>
      <w:ind w:left="1680"/>
    </w:pPr>
  </w:style>
  <w:style w:type="paragraph" w:styleId="TOC9">
    <w:name w:val="toc 9"/>
    <w:basedOn w:val="Normal"/>
    <w:next w:val="Normal"/>
    <w:autoRedefine/>
    <w:semiHidden/>
    <w:rsid w:val="00B96DCE"/>
    <w:pPr>
      <w:tabs>
        <w:tab w:val="clear" w:pos="720"/>
        <w:tab w:val="clear" w:pos="1080"/>
        <w:tab w:val="clear" w:pos="1440"/>
      </w:tabs>
      <w:ind w:left="1920"/>
    </w:pPr>
  </w:style>
  <w:style w:type="character" w:customStyle="1" w:styleId="AbtHeadE">
    <w:name w:val="AbtHead E"/>
    <w:rsid w:val="00B96DCE"/>
    <w:rPr>
      <w:rFonts w:ascii="Arial" w:hAnsi="Arial"/>
      <w:b/>
      <w:sz w:val="20"/>
    </w:rPr>
  </w:style>
  <w:style w:type="paragraph" w:customStyle="1" w:styleId="Table">
    <w:name w:val="Table"/>
    <w:basedOn w:val="Normal"/>
    <w:rsid w:val="00B96DCE"/>
    <w:rPr>
      <w:rFonts w:ascii="Arial" w:hAnsi="Arial"/>
      <w:sz w:val="20"/>
    </w:rPr>
  </w:style>
  <w:style w:type="paragraph" w:styleId="BodyText">
    <w:name w:val="Body Text"/>
    <w:basedOn w:val="Normal"/>
    <w:link w:val="BodyTextChar"/>
    <w:rsid w:val="00B96DCE"/>
  </w:style>
  <w:style w:type="paragraph" w:styleId="FootnoteText">
    <w:name w:val="footnote text"/>
    <w:basedOn w:val="Normal"/>
    <w:semiHidden/>
    <w:rsid w:val="00B96DCE"/>
    <w:pPr>
      <w:spacing w:after="120"/>
      <w:ind w:left="360" w:hanging="360"/>
    </w:pPr>
    <w:rPr>
      <w:sz w:val="20"/>
    </w:rPr>
  </w:style>
  <w:style w:type="paragraph" w:customStyle="1" w:styleId="AbtHeadBOutlined">
    <w:name w:val="AbtHead B Outlined"/>
    <w:basedOn w:val="AbtHeadB"/>
    <w:next w:val="BodyText"/>
    <w:rsid w:val="00B96DCE"/>
    <w:pPr>
      <w:numPr>
        <w:ilvl w:val="1"/>
        <w:numId w:val="17"/>
      </w:numPr>
    </w:pPr>
  </w:style>
  <w:style w:type="paragraph" w:customStyle="1" w:styleId="AbtHeadCOutlined">
    <w:name w:val="AbtHead C Outlined"/>
    <w:basedOn w:val="AbtHeadC"/>
    <w:next w:val="BodyText"/>
    <w:rsid w:val="00B96DCE"/>
    <w:pPr>
      <w:numPr>
        <w:ilvl w:val="2"/>
        <w:numId w:val="17"/>
      </w:numPr>
    </w:pPr>
  </w:style>
  <w:style w:type="paragraph" w:styleId="Index1">
    <w:name w:val="index 1"/>
    <w:basedOn w:val="Normal"/>
    <w:next w:val="Normal"/>
    <w:autoRedefine/>
    <w:semiHidden/>
    <w:rsid w:val="00B96DCE"/>
    <w:pPr>
      <w:tabs>
        <w:tab w:val="clear" w:pos="720"/>
        <w:tab w:val="clear" w:pos="1080"/>
        <w:tab w:val="clear" w:pos="1440"/>
      </w:tabs>
      <w:ind w:left="220" w:hanging="220"/>
    </w:pPr>
    <w:rPr>
      <w:sz w:val="20"/>
    </w:rPr>
  </w:style>
  <w:style w:type="paragraph" w:styleId="Index2">
    <w:name w:val="index 2"/>
    <w:basedOn w:val="Normal"/>
    <w:next w:val="Normal"/>
    <w:autoRedefine/>
    <w:semiHidden/>
    <w:rsid w:val="00B96DCE"/>
    <w:pPr>
      <w:tabs>
        <w:tab w:val="clear" w:pos="720"/>
        <w:tab w:val="clear" w:pos="1080"/>
        <w:tab w:val="clear" w:pos="1440"/>
      </w:tabs>
      <w:ind w:left="440" w:hanging="220"/>
    </w:pPr>
    <w:rPr>
      <w:sz w:val="20"/>
    </w:rPr>
  </w:style>
  <w:style w:type="paragraph" w:styleId="Index3">
    <w:name w:val="index 3"/>
    <w:basedOn w:val="Normal"/>
    <w:next w:val="Normal"/>
    <w:autoRedefine/>
    <w:semiHidden/>
    <w:rsid w:val="00B96DCE"/>
    <w:pPr>
      <w:tabs>
        <w:tab w:val="clear" w:pos="720"/>
        <w:tab w:val="clear" w:pos="1080"/>
        <w:tab w:val="clear" w:pos="1440"/>
      </w:tabs>
      <w:ind w:left="660" w:hanging="220"/>
    </w:pPr>
    <w:rPr>
      <w:sz w:val="20"/>
    </w:rPr>
  </w:style>
  <w:style w:type="paragraph" w:customStyle="1" w:styleId="Numbers">
    <w:name w:val="Numbers"/>
    <w:basedOn w:val="BodyText"/>
    <w:rsid w:val="00B96DCE"/>
    <w:pPr>
      <w:numPr>
        <w:numId w:val="14"/>
      </w:numPr>
    </w:pPr>
  </w:style>
  <w:style w:type="paragraph" w:customStyle="1" w:styleId="Bullets">
    <w:name w:val="Bullets"/>
    <w:basedOn w:val="BodyText"/>
    <w:rsid w:val="00B96DCE"/>
    <w:pPr>
      <w:numPr>
        <w:numId w:val="16"/>
      </w:numPr>
    </w:pPr>
  </w:style>
  <w:style w:type="character" w:styleId="Hyperlink">
    <w:name w:val="Hyperlink"/>
    <w:uiPriority w:val="99"/>
    <w:rsid w:val="00B96DCE"/>
    <w:rPr>
      <w:color w:val="0000FF"/>
      <w:u w:val="single"/>
    </w:rPr>
  </w:style>
  <w:style w:type="character" w:customStyle="1" w:styleId="AbtHeadE-Remove">
    <w:name w:val="AbtHead E - Remove"/>
    <w:basedOn w:val="DefaultParagraphFont"/>
    <w:rsid w:val="00B96DCE"/>
  </w:style>
  <w:style w:type="character" w:styleId="FootnoteReference">
    <w:name w:val="footnote reference"/>
    <w:semiHidden/>
    <w:rsid w:val="00B96DCE"/>
    <w:rPr>
      <w:vertAlign w:val="superscript"/>
    </w:rPr>
  </w:style>
  <w:style w:type="paragraph" w:styleId="BodyTextIndent">
    <w:name w:val="Body Text Indent"/>
    <w:basedOn w:val="Normal"/>
    <w:rsid w:val="00B96DCE"/>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B96DCE"/>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B96DCE"/>
    <w:pPr>
      <w:tabs>
        <w:tab w:val="clear" w:pos="720"/>
        <w:tab w:val="clear" w:pos="1080"/>
        <w:tab w:val="clear" w:pos="1440"/>
        <w:tab w:val="clear" w:pos="1800"/>
      </w:tabs>
      <w:spacing w:line="240" w:lineRule="auto"/>
      <w:ind w:left="360"/>
    </w:pPr>
    <w:rPr>
      <w:szCs w:val="22"/>
    </w:rPr>
  </w:style>
  <w:style w:type="character" w:styleId="FollowedHyperlink">
    <w:name w:val="FollowedHyperlink"/>
    <w:rsid w:val="00B96DCE"/>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link w:val="CommentTextChar"/>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DarkList-Accent31">
    <w:name w:val="Dark List - Accent 31"/>
    <w:hidden/>
    <w:uiPriority w:val="71"/>
    <w:rsid w:val="00FE39CB"/>
    <w:rPr>
      <w:sz w:val="22"/>
    </w:rPr>
  </w:style>
  <w:style w:type="paragraph" w:customStyle="1" w:styleId="articledetails">
    <w:name w:val="articledetails"/>
    <w:basedOn w:val="Normal"/>
    <w:rsid w:val="002F097D"/>
    <w:pPr>
      <w:tabs>
        <w:tab w:val="clear" w:pos="720"/>
        <w:tab w:val="clear" w:pos="1080"/>
        <w:tab w:val="clear" w:pos="1440"/>
        <w:tab w:val="clear" w:pos="1800"/>
      </w:tabs>
      <w:spacing w:before="100" w:beforeAutospacing="1" w:after="100" w:afterAutospacing="1" w:line="240" w:lineRule="auto"/>
    </w:pPr>
    <w:rPr>
      <w:rFonts w:ascii="Times" w:hAnsi="Times"/>
      <w:sz w:val="20"/>
    </w:rPr>
  </w:style>
  <w:style w:type="paragraph" w:customStyle="1" w:styleId="ColorfulShading-Accent31">
    <w:name w:val="Colorful Shading - Accent 31"/>
    <w:basedOn w:val="Normal"/>
    <w:uiPriority w:val="72"/>
    <w:rsid w:val="00331E77"/>
    <w:pPr>
      <w:ind w:left="720"/>
      <w:contextualSpacing/>
    </w:pPr>
  </w:style>
  <w:style w:type="character" w:customStyle="1" w:styleId="CommentTextChar">
    <w:name w:val="Comment Text Char"/>
    <w:link w:val="CommentText"/>
    <w:semiHidden/>
    <w:rsid w:val="008E6BD5"/>
  </w:style>
  <w:style w:type="paragraph" w:styleId="ListParagraph">
    <w:name w:val="List Paragraph"/>
    <w:basedOn w:val="Normal"/>
    <w:uiPriority w:val="34"/>
    <w:qFormat/>
    <w:rsid w:val="002B7D60"/>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table" w:styleId="TableGrid">
    <w:name w:val="Table Grid"/>
    <w:basedOn w:val="TableNormal"/>
    <w:uiPriority w:val="59"/>
    <w:rsid w:val="002B7D6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421888"/>
    <w:rPr>
      <w:sz w:val="22"/>
    </w:rPr>
  </w:style>
</w:styles>
</file>

<file path=word/webSettings.xml><?xml version="1.0" encoding="utf-8"?>
<w:webSettings xmlns:r="http://schemas.openxmlformats.org/officeDocument/2006/relationships" xmlns:w="http://schemas.openxmlformats.org/wordprocessingml/2006/main">
  <w:divs>
    <w:div w:id="1960867266">
      <w:bodyDiv w:val="1"/>
      <w:marLeft w:val="0"/>
      <w:marRight w:val="0"/>
      <w:marTop w:val="0"/>
      <w:marBottom w:val="0"/>
      <w:divBdr>
        <w:top w:val="none" w:sz="0" w:space="0" w:color="auto"/>
        <w:left w:val="none" w:sz="0" w:space="0" w:color="auto"/>
        <w:bottom w:val="none" w:sz="0" w:space="0" w:color="auto"/>
        <w:right w:val="none" w:sz="0" w:space="0" w:color="auto"/>
      </w:divBdr>
      <w:divsChild>
        <w:div w:id="15972027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7605-1FDE-42BF-8A2A-DE9BA1C0178D}">
  <ds:schemaRefs>
    <ds:schemaRef ds:uri="http://schemas.microsoft.com/office/2006/metadata/properties"/>
    <ds:schemaRef ds:uri="eaa45b17-fd56-44b4-85b7-73d344da6853"/>
  </ds:schemaRefs>
</ds:datastoreItem>
</file>

<file path=customXml/itemProps2.xml><?xml version="1.0" encoding="utf-8"?>
<ds:datastoreItem xmlns:ds="http://schemas.openxmlformats.org/officeDocument/2006/customXml" ds:itemID="{35954CDE-2D39-4857-BF5C-26EBDB06F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2027B1-5DEB-4F1D-A325-D5B437B0898E}">
  <ds:schemaRefs>
    <ds:schemaRef ds:uri="http://schemas.microsoft.com/sharepoint/v3/contenttype/forms"/>
  </ds:schemaRefs>
</ds:datastoreItem>
</file>

<file path=customXml/itemProps4.xml><?xml version="1.0" encoding="utf-8"?>
<ds:datastoreItem xmlns:ds="http://schemas.openxmlformats.org/officeDocument/2006/customXml" ds:itemID="{99ABAF48-0FF1-4037-97D5-4BDE8B67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DHHS</cp:lastModifiedBy>
  <cp:revision>2</cp:revision>
  <cp:lastPrinted>2012-02-10T14:26:00Z</cp:lastPrinted>
  <dcterms:created xsi:type="dcterms:W3CDTF">2012-11-07T21:27:00Z</dcterms:created>
  <dcterms:modified xsi:type="dcterms:W3CDTF">2012-11-07T21:27:00Z</dcterms:modified>
  <cp:category>Templates</cp:category>
</cp:coreProperties>
</file>