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8D210" w14:textId="77777777" w:rsidR="00FB5888" w:rsidRPr="003A5F27" w:rsidRDefault="00FB5888" w:rsidP="00FB5888">
      <w:pPr>
        <w:spacing w:after="120" w:line="240" w:lineRule="auto"/>
        <w:rPr>
          <w:rFonts w:ascii="Cambria" w:hAnsi="Cambria"/>
          <w:b/>
        </w:rPr>
      </w:pPr>
    </w:p>
    <w:p w14:paraId="38EF854F" w14:textId="77777777" w:rsidR="00AA3978" w:rsidRPr="002E2442" w:rsidRDefault="00491C8A" w:rsidP="00880A88">
      <w:pPr>
        <w:spacing w:after="120" w:line="240" w:lineRule="auto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Appendix E</w:t>
      </w:r>
      <w:r w:rsidR="002E2442">
        <w:rPr>
          <w:rFonts w:ascii="Cambria" w:hAnsi="Cambria"/>
          <w:b/>
          <w:sz w:val="24"/>
        </w:rPr>
        <w:t xml:space="preserve">:  </w:t>
      </w:r>
      <w:r w:rsidR="00AA3978" w:rsidRPr="002E2442">
        <w:rPr>
          <w:rFonts w:ascii="Cambria" w:hAnsi="Cambria"/>
          <w:b/>
          <w:sz w:val="24"/>
        </w:rPr>
        <w:t>Cultural Sensitivity Assessment Tool</w:t>
      </w:r>
    </w:p>
    <w:p w14:paraId="57D9F33A" w14:textId="77777777" w:rsidR="00AD4309" w:rsidRDefault="00AD4309" w:rsidP="00AD4309">
      <w:pPr>
        <w:spacing w:after="120" w:line="240" w:lineRule="auto"/>
        <w:rPr>
          <w:rFonts w:ascii="Cambria" w:hAnsi="Cambria"/>
          <w:b/>
          <w:sz w:val="24"/>
        </w:rPr>
      </w:pPr>
    </w:p>
    <w:p w14:paraId="5F54D581" w14:textId="5AA260DB" w:rsidR="00AD4309" w:rsidRPr="00AB3901" w:rsidRDefault="00AD4309" w:rsidP="002E2442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Name of material:  </w:t>
      </w:r>
      <w:r w:rsidR="007926A4" w:rsidRPr="00AB3901">
        <w:rPr>
          <w:rFonts w:ascii="Cambria" w:hAnsi="Cambria"/>
          <w:sz w:val="24"/>
        </w:rPr>
        <w:t>Check and Report Ebola (CARE) Kit</w:t>
      </w:r>
    </w:p>
    <w:p w14:paraId="7EE66F46" w14:textId="77777777" w:rsidR="00AB3901" w:rsidRDefault="00AB3901" w:rsidP="002E2442">
      <w:pPr>
        <w:spacing w:after="0" w:line="240" w:lineRule="auto"/>
        <w:rPr>
          <w:rFonts w:ascii="Cambria" w:hAnsi="Cambria"/>
          <w:b/>
          <w:sz w:val="24"/>
        </w:rPr>
      </w:pPr>
    </w:p>
    <w:p w14:paraId="07A1120F" w14:textId="77777777" w:rsidR="00AB3901" w:rsidRPr="00AB3901" w:rsidRDefault="00AD4309" w:rsidP="002E2442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The intended audience for this material is:  </w:t>
      </w:r>
      <w:r w:rsidR="007926A4" w:rsidRPr="00AB3901">
        <w:rPr>
          <w:rFonts w:ascii="Cambria" w:hAnsi="Cambria"/>
          <w:sz w:val="24"/>
        </w:rPr>
        <w:t>Persons traveling from a country with an Ebola outbreak</w:t>
      </w:r>
    </w:p>
    <w:p w14:paraId="1729080A" w14:textId="77777777" w:rsidR="00AB3901" w:rsidRDefault="00AB3901" w:rsidP="002E2442">
      <w:pPr>
        <w:spacing w:after="0" w:line="240" w:lineRule="auto"/>
        <w:rPr>
          <w:rFonts w:ascii="Cambria" w:hAnsi="Cambria"/>
          <w:b/>
          <w:sz w:val="24"/>
        </w:rPr>
      </w:pPr>
    </w:p>
    <w:p w14:paraId="6947C252" w14:textId="33999AEC" w:rsidR="00AB3901" w:rsidRDefault="00AD4309" w:rsidP="002E2442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The communication objective</w:t>
      </w:r>
      <w:r w:rsidR="007926A4">
        <w:rPr>
          <w:rFonts w:ascii="Cambria" w:hAnsi="Cambria"/>
          <w:b/>
          <w:sz w:val="24"/>
        </w:rPr>
        <w:t>s</w:t>
      </w:r>
      <w:r>
        <w:rPr>
          <w:rFonts w:ascii="Cambria" w:hAnsi="Cambria"/>
          <w:b/>
          <w:sz w:val="24"/>
        </w:rPr>
        <w:t xml:space="preserve"> of this material is: </w:t>
      </w:r>
      <w:r w:rsidR="007926A4" w:rsidRPr="00AB3901">
        <w:rPr>
          <w:rFonts w:ascii="Cambria" w:hAnsi="Cambria"/>
          <w:sz w:val="24"/>
        </w:rPr>
        <w:t>To provide the traveler with information and tools they need to protect their health and the health of those who are close to them</w:t>
      </w:r>
      <w:r w:rsidR="00AB3901">
        <w:rPr>
          <w:rFonts w:ascii="Cambria" w:hAnsi="Cambria"/>
          <w:sz w:val="24"/>
        </w:rPr>
        <w:t xml:space="preserve"> and to</w:t>
      </w:r>
      <w:bookmarkStart w:id="0" w:name="_GoBack"/>
      <w:bookmarkEnd w:id="0"/>
      <w:r w:rsidR="007926A4" w:rsidRPr="00AB3901">
        <w:rPr>
          <w:rFonts w:ascii="Cambria" w:hAnsi="Cambria"/>
          <w:sz w:val="24"/>
        </w:rPr>
        <w:t>o help travelers look for Ebola symptoms and communicate with a health department each day for 21 days after they departed from a country that has an Ebola outbreak.</w:t>
      </w:r>
      <w:r w:rsidR="007926A4">
        <w:rPr>
          <w:rFonts w:ascii="Cambria" w:hAnsi="Cambria"/>
          <w:b/>
          <w:sz w:val="24"/>
        </w:rPr>
        <w:t xml:space="preserve">  </w:t>
      </w:r>
    </w:p>
    <w:p w14:paraId="1093F4F5" w14:textId="77777777" w:rsidR="00AB3901" w:rsidRDefault="00AB3901" w:rsidP="002E2442">
      <w:pPr>
        <w:spacing w:after="0" w:line="240" w:lineRule="auto"/>
        <w:rPr>
          <w:rFonts w:ascii="Cambria" w:hAnsi="Cambria"/>
          <w:b/>
          <w:sz w:val="24"/>
        </w:rPr>
      </w:pPr>
    </w:p>
    <w:p w14:paraId="311CB8D4" w14:textId="00F6A13B" w:rsidR="0043230A" w:rsidRPr="00AB3901" w:rsidRDefault="00AD4309" w:rsidP="002E2442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The main message of this material is: </w:t>
      </w:r>
      <w:r w:rsidR="007926A4" w:rsidRPr="00AB3901">
        <w:rPr>
          <w:rFonts w:ascii="Cambria" w:hAnsi="Cambria"/>
          <w:sz w:val="24"/>
        </w:rPr>
        <w:t>If you get sick, get care early for your best chance to get better!</w:t>
      </w:r>
    </w:p>
    <w:p w14:paraId="1C262CFB" w14:textId="77777777" w:rsidR="00AB3901" w:rsidRPr="00AD4309" w:rsidRDefault="00AB3901" w:rsidP="002E2442">
      <w:pPr>
        <w:spacing w:after="0" w:line="240" w:lineRule="auto"/>
        <w:rPr>
          <w:rFonts w:ascii="Cambria" w:hAnsi="Cambria"/>
          <w:b/>
          <w:sz w:val="24"/>
        </w:rPr>
      </w:pPr>
    </w:p>
    <w:p w14:paraId="35EB7642" w14:textId="77777777" w:rsidR="00AD4309" w:rsidRPr="00AD4309" w:rsidRDefault="0043230A" w:rsidP="00AD4309">
      <w:pPr>
        <w:spacing w:after="120" w:line="240" w:lineRule="auto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4"/>
        </w:rPr>
        <w:t xml:space="preserve">Using your </w:t>
      </w:r>
      <w:r w:rsidRPr="0043230A">
        <w:rPr>
          <w:rFonts w:ascii="Cambria" w:hAnsi="Cambria"/>
          <w:b/>
          <w:sz w:val="24"/>
          <w:u w:val="single"/>
        </w:rPr>
        <w:t>expert knowledge of the intended audience</w:t>
      </w:r>
      <w:r>
        <w:rPr>
          <w:rFonts w:ascii="Cambria" w:hAnsi="Cambria"/>
          <w:b/>
          <w:sz w:val="24"/>
        </w:rPr>
        <w:t xml:space="preserve"> and keeping in mind the </w:t>
      </w:r>
      <w:r w:rsidR="00AD4309" w:rsidRPr="0043230A">
        <w:rPr>
          <w:rFonts w:ascii="Cambria" w:hAnsi="Cambria"/>
          <w:b/>
          <w:sz w:val="24"/>
        </w:rPr>
        <w:t>information provided above about the intended audience for the material, the communication objective of the material, and t</w:t>
      </w:r>
      <w:r>
        <w:rPr>
          <w:rFonts w:ascii="Cambria" w:hAnsi="Cambria"/>
          <w:b/>
          <w:sz w:val="24"/>
        </w:rPr>
        <w:t>he main message of the material, rate how much you agree or disagree</w:t>
      </w:r>
      <w:r w:rsidR="002E2442">
        <w:rPr>
          <w:rFonts w:ascii="Cambria" w:hAnsi="Cambria"/>
          <w:b/>
          <w:sz w:val="24"/>
        </w:rPr>
        <w:t xml:space="preserve"> using the following scale</w:t>
      </w:r>
      <w:r>
        <w:rPr>
          <w:rFonts w:ascii="Cambria" w:hAnsi="Cambria"/>
          <w:b/>
          <w:sz w:val="24"/>
        </w:rPr>
        <w:t xml:space="preserve">.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955B11" w:rsidRPr="003A5F27" w14:paraId="4FBC0A86" w14:textId="77777777" w:rsidTr="00AD4309">
        <w:tc>
          <w:tcPr>
            <w:tcW w:w="2059" w:type="dxa"/>
          </w:tcPr>
          <w:p w14:paraId="25248244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Strongly Agree</w:t>
            </w:r>
          </w:p>
          <w:p w14:paraId="04A63EB4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(4)</w:t>
            </w:r>
          </w:p>
        </w:tc>
        <w:tc>
          <w:tcPr>
            <w:tcW w:w="2059" w:type="dxa"/>
          </w:tcPr>
          <w:p w14:paraId="78C02441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Agree</w:t>
            </w:r>
          </w:p>
          <w:p w14:paraId="7E3BB989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(3)</w:t>
            </w:r>
          </w:p>
        </w:tc>
        <w:tc>
          <w:tcPr>
            <w:tcW w:w="2059" w:type="dxa"/>
          </w:tcPr>
          <w:p w14:paraId="5449BA93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Disagree</w:t>
            </w:r>
          </w:p>
          <w:p w14:paraId="2B877258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(2)</w:t>
            </w:r>
          </w:p>
        </w:tc>
        <w:tc>
          <w:tcPr>
            <w:tcW w:w="2059" w:type="dxa"/>
          </w:tcPr>
          <w:p w14:paraId="063A64C0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Strongly Disagree</w:t>
            </w:r>
          </w:p>
          <w:p w14:paraId="0937D7DF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(1)</w:t>
            </w:r>
          </w:p>
        </w:tc>
        <w:tc>
          <w:tcPr>
            <w:tcW w:w="2060" w:type="dxa"/>
          </w:tcPr>
          <w:p w14:paraId="3E612961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Not applicable</w:t>
            </w:r>
          </w:p>
          <w:p w14:paraId="307D3DE3" w14:textId="77777777" w:rsidR="00955B11" w:rsidRPr="003A5F27" w:rsidRDefault="00955B11" w:rsidP="00AD4309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(0)</w:t>
            </w:r>
          </w:p>
        </w:tc>
      </w:tr>
      <w:tr w:rsidR="00955B11" w:rsidRPr="003A5F27" w14:paraId="5B216581" w14:textId="77777777" w:rsidTr="00AD4309">
        <w:tc>
          <w:tcPr>
            <w:tcW w:w="2059" w:type="dxa"/>
          </w:tcPr>
          <w:p w14:paraId="7BECA772" w14:textId="77777777" w:rsidR="00955B11" w:rsidRPr="003A5F27" w:rsidRDefault="00955B11" w:rsidP="00AD4309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absolutely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</w:t>
            </w:r>
          </w:p>
        </w:tc>
        <w:tc>
          <w:tcPr>
            <w:tcW w:w="2059" w:type="dxa"/>
          </w:tcPr>
          <w:p w14:paraId="40E0A86A" w14:textId="77777777" w:rsidR="00955B11" w:rsidRPr="003A5F27" w:rsidRDefault="00955B11" w:rsidP="00AD4309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 </w:t>
            </w:r>
            <w:r w:rsidRPr="003A5F27">
              <w:rPr>
                <w:rFonts w:ascii="Cambria" w:hAnsi="Cambria"/>
                <w:b/>
                <w:i/>
                <w:sz w:val="20"/>
              </w:rPr>
              <w:t>but could be improved</w:t>
            </w:r>
          </w:p>
        </w:tc>
        <w:tc>
          <w:tcPr>
            <w:tcW w:w="2059" w:type="dxa"/>
          </w:tcPr>
          <w:p w14:paraId="05A9C8D9" w14:textId="77777777" w:rsidR="00955B11" w:rsidRPr="003A5F27" w:rsidRDefault="00955B11" w:rsidP="00AD4309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probably not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</w:t>
            </w:r>
          </w:p>
        </w:tc>
        <w:tc>
          <w:tcPr>
            <w:tcW w:w="2059" w:type="dxa"/>
          </w:tcPr>
          <w:p w14:paraId="5D8AD43E" w14:textId="77777777" w:rsidR="00955B11" w:rsidRPr="003A5F27" w:rsidRDefault="00955B11" w:rsidP="00AD4309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absolutely not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</w:t>
            </w:r>
          </w:p>
        </w:tc>
        <w:tc>
          <w:tcPr>
            <w:tcW w:w="2060" w:type="dxa"/>
          </w:tcPr>
          <w:p w14:paraId="31FD3D32" w14:textId="77777777" w:rsidR="00955B11" w:rsidRPr="003A5F27" w:rsidRDefault="00955B11" w:rsidP="00AD4309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information </w:t>
            </w:r>
            <w:r w:rsidRPr="003A5F27">
              <w:rPr>
                <w:rFonts w:ascii="Cambria" w:hAnsi="Cambria"/>
                <w:b/>
                <w:i/>
                <w:sz w:val="20"/>
              </w:rPr>
              <w:t>does not appear</w:t>
            </w:r>
            <w:r w:rsidRPr="003A5F27">
              <w:rPr>
                <w:rFonts w:ascii="Cambria" w:hAnsi="Cambria"/>
                <w:sz w:val="20"/>
              </w:rPr>
              <w:t xml:space="preserve"> in the material or </w:t>
            </w:r>
            <w:r w:rsidRPr="003A5F27">
              <w:rPr>
                <w:rFonts w:ascii="Cambria" w:hAnsi="Cambria"/>
                <w:b/>
                <w:i/>
                <w:sz w:val="20"/>
              </w:rPr>
              <w:t>does not apply</w:t>
            </w:r>
            <w:r w:rsidRPr="003A5F27">
              <w:rPr>
                <w:rFonts w:ascii="Cambria" w:hAnsi="Cambria"/>
                <w:sz w:val="20"/>
              </w:rPr>
              <w:t xml:space="preserve"> to the material</w:t>
            </w:r>
          </w:p>
        </w:tc>
      </w:tr>
    </w:tbl>
    <w:p w14:paraId="2B3FE480" w14:textId="77777777" w:rsidR="00955B11" w:rsidRPr="004B2C99" w:rsidRDefault="00955B11" w:rsidP="00880A88">
      <w:pPr>
        <w:spacing w:after="120" w:line="240" w:lineRule="auto"/>
        <w:jc w:val="center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6"/>
        <w:gridCol w:w="1354"/>
      </w:tblGrid>
      <w:tr w:rsidR="004B2C99" w14:paraId="39A14718" w14:textId="77777777" w:rsidTr="004B2C99">
        <w:tc>
          <w:tcPr>
            <w:tcW w:w="9648" w:type="dxa"/>
          </w:tcPr>
          <w:p w14:paraId="4D2DC5C9" w14:textId="77777777" w:rsidR="004B2C99" w:rsidRDefault="00CB71C4" w:rsidP="00880A88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FORMAT</w:t>
            </w:r>
            <w:r w:rsidR="009D15CE">
              <w:rPr>
                <w:rFonts w:ascii="Cambria" w:hAnsi="Cambria"/>
                <w:b/>
              </w:rPr>
              <w:t xml:space="preserve"> OF MATERIAL</w:t>
            </w:r>
          </w:p>
        </w:tc>
        <w:tc>
          <w:tcPr>
            <w:tcW w:w="1368" w:type="dxa"/>
          </w:tcPr>
          <w:p w14:paraId="70098E34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Rating</w:t>
            </w:r>
          </w:p>
        </w:tc>
      </w:tr>
      <w:tr w:rsidR="004B2C99" w14:paraId="38862ADC" w14:textId="77777777" w:rsidTr="004B2C99">
        <w:tc>
          <w:tcPr>
            <w:tcW w:w="9648" w:type="dxa"/>
          </w:tcPr>
          <w:p w14:paraId="7B313443" w14:textId="77777777" w:rsidR="004B2C99" w:rsidRDefault="00CB71C4" w:rsidP="00CB71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 w:rsidRPr="003A5F27">
              <w:rPr>
                <w:rFonts w:ascii="Cambria" w:hAnsi="Cambria"/>
              </w:rPr>
              <w:t>Information is presented in a way that is easy to understand and follow.</w:t>
            </w:r>
          </w:p>
        </w:tc>
        <w:tc>
          <w:tcPr>
            <w:tcW w:w="1368" w:type="dxa"/>
          </w:tcPr>
          <w:p w14:paraId="29AEF8A9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4B2C99" w14:paraId="2E692E66" w14:textId="77777777" w:rsidTr="004B2C99">
        <w:tc>
          <w:tcPr>
            <w:tcW w:w="9648" w:type="dxa"/>
          </w:tcPr>
          <w:p w14:paraId="0E270DFF" w14:textId="77777777" w:rsidR="004B2C99" w:rsidRDefault="00CB71C4" w:rsidP="00CB71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 w:rsidRPr="003A5F27">
              <w:rPr>
                <w:rFonts w:ascii="Cambria" w:hAnsi="Cambria"/>
              </w:rPr>
              <w:t>The print size is easy to read.</w:t>
            </w:r>
          </w:p>
        </w:tc>
        <w:tc>
          <w:tcPr>
            <w:tcW w:w="1368" w:type="dxa"/>
          </w:tcPr>
          <w:p w14:paraId="0B509B79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4B2C99" w14:paraId="54D454BC" w14:textId="77777777" w:rsidTr="004B2C99">
        <w:tc>
          <w:tcPr>
            <w:tcW w:w="9648" w:type="dxa"/>
          </w:tcPr>
          <w:p w14:paraId="1425D6CC" w14:textId="77777777" w:rsidR="004B2C99" w:rsidRDefault="00CB71C4" w:rsidP="00CB71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 w:rsidRPr="003A5F27">
              <w:rPr>
                <w:rFonts w:ascii="Cambria" w:hAnsi="Cambria"/>
              </w:rPr>
              <w:t>The font style is easy to read.</w:t>
            </w:r>
          </w:p>
        </w:tc>
        <w:tc>
          <w:tcPr>
            <w:tcW w:w="1368" w:type="dxa"/>
          </w:tcPr>
          <w:p w14:paraId="0AAE1E7D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4B2C99" w14:paraId="75249BB3" w14:textId="77777777" w:rsidTr="004B2C99">
        <w:tc>
          <w:tcPr>
            <w:tcW w:w="9648" w:type="dxa"/>
          </w:tcPr>
          <w:p w14:paraId="70C39A65" w14:textId="77777777" w:rsidR="004B2C99" w:rsidRDefault="009D15CE" w:rsidP="00880A88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WRITTEN MESSAGE OF MATERIAL</w:t>
            </w:r>
          </w:p>
        </w:tc>
        <w:tc>
          <w:tcPr>
            <w:tcW w:w="1368" w:type="dxa"/>
          </w:tcPr>
          <w:p w14:paraId="1B06F653" w14:textId="77777777" w:rsidR="004B2C99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Rating</w:t>
            </w:r>
          </w:p>
        </w:tc>
      </w:tr>
      <w:tr w:rsidR="004B2C99" w14:paraId="049F520D" w14:textId="77777777" w:rsidTr="004B2C99">
        <w:tc>
          <w:tcPr>
            <w:tcW w:w="9648" w:type="dxa"/>
          </w:tcPr>
          <w:p w14:paraId="18762228" w14:textId="77777777" w:rsidR="004B2C99" w:rsidRDefault="009D15CE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</w:rPr>
            </w:pPr>
            <w:r w:rsidRPr="003A5F27">
              <w:rPr>
                <w:rFonts w:ascii="Cambria" w:hAnsi="Cambria"/>
                <w:sz w:val="24"/>
              </w:rPr>
              <w:t>The words, phrases, and expressions are familiar to the intended audience.</w:t>
            </w:r>
          </w:p>
        </w:tc>
        <w:tc>
          <w:tcPr>
            <w:tcW w:w="1368" w:type="dxa"/>
          </w:tcPr>
          <w:p w14:paraId="07092363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4B2C99" w14:paraId="47D26575" w14:textId="77777777" w:rsidTr="004B2C99">
        <w:tc>
          <w:tcPr>
            <w:tcW w:w="9648" w:type="dxa"/>
          </w:tcPr>
          <w:p w14:paraId="6F1B8254" w14:textId="77777777" w:rsidR="004B2C99" w:rsidRDefault="009D15CE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</w:rPr>
            </w:pPr>
            <w:r w:rsidRPr="003A5F27">
              <w:rPr>
                <w:rFonts w:ascii="Cambria" w:hAnsi="Cambria"/>
                <w:sz w:val="24"/>
              </w:rPr>
              <w:t>The words, phrases, and expressions convey the intended message.</w:t>
            </w:r>
          </w:p>
        </w:tc>
        <w:tc>
          <w:tcPr>
            <w:tcW w:w="1368" w:type="dxa"/>
          </w:tcPr>
          <w:p w14:paraId="0D63C6E8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4B2C99" w14:paraId="067D87A8" w14:textId="77777777" w:rsidTr="004B2C99">
        <w:tc>
          <w:tcPr>
            <w:tcW w:w="9648" w:type="dxa"/>
          </w:tcPr>
          <w:p w14:paraId="6D8B15AA" w14:textId="77777777" w:rsidR="004B2C99" w:rsidRDefault="009D15CE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b/>
              </w:rPr>
            </w:pPr>
            <w:r w:rsidRPr="003A5F27">
              <w:rPr>
                <w:rFonts w:ascii="Cambria" w:hAnsi="Cambria"/>
                <w:sz w:val="24"/>
              </w:rPr>
              <w:t>The medical terms are understandable to the intended audience.</w:t>
            </w:r>
          </w:p>
        </w:tc>
        <w:tc>
          <w:tcPr>
            <w:tcW w:w="1368" w:type="dxa"/>
          </w:tcPr>
          <w:p w14:paraId="0BCB04A3" w14:textId="77777777" w:rsidR="004B2C99" w:rsidRDefault="004B2C99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9D15CE" w14:paraId="2ECFE7C7" w14:textId="77777777" w:rsidTr="004B2C99">
        <w:tc>
          <w:tcPr>
            <w:tcW w:w="9648" w:type="dxa"/>
          </w:tcPr>
          <w:p w14:paraId="18C9F27A" w14:textId="77777777" w:rsidR="009D15CE" w:rsidRPr="002E2442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>The word choices carry positive meanings.</w:t>
            </w:r>
          </w:p>
        </w:tc>
        <w:tc>
          <w:tcPr>
            <w:tcW w:w="1368" w:type="dxa"/>
          </w:tcPr>
          <w:p w14:paraId="1667FFE0" w14:textId="77777777" w:rsidR="009D15CE" w:rsidRDefault="009D15CE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7AC0C2A7" w14:textId="77777777" w:rsidTr="004B2C99">
        <w:tc>
          <w:tcPr>
            <w:tcW w:w="9648" w:type="dxa"/>
          </w:tcPr>
          <w:p w14:paraId="78FB87FE" w14:textId="77777777" w:rsidR="002E2442" w:rsidRPr="003A5F27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>The words, phrases, and expressions are free from stereotypical meaning.</w:t>
            </w:r>
          </w:p>
        </w:tc>
        <w:tc>
          <w:tcPr>
            <w:tcW w:w="1368" w:type="dxa"/>
          </w:tcPr>
          <w:p w14:paraId="649D1F25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5BB4CC1F" w14:textId="77777777" w:rsidTr="004B2C99">
        <w:tc>
          <w:tcPr>
            <w:tcW w:w="9648" w:type="dxa"/>
          </w:tcPr>
          <w:p w14:paraId="4FF8764E" w14:textId="77777777" w:rsidR="002E2442" w:rsidRPr="003A5F27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>The information is accurate.</w:t>
            </w:r>
          </w:p>
        </w:tc>
        <w:tc>
          <w:tcPr>
            <w:tcW w:w="1368" w:type="dxa"/>
          </w:tcPr>
          <w:p w14:paraId="09DF6F12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488FDC62" w14:textId="77777777" w:rsidTr="004B2C99">
        <w:tc>
          <w:tcPr>
            <w:tcW w:w="9648" w:type="dxa"/>
          </w:tcPr>
          <w:p w14:paraId="42079F26" w14:textId="77777777" w:rsidR="002E2442" w:rsidRPr="002E2442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 xml:space="preserve">The numbers </w:t>
            </w:r>
            <w:r>
              <w:rPr>
                <w:rFonts w:ascii="Cambria" w:hAnsi="Cambria"/>
                <w:sz w:val="24"/>
              </w:rPr>
              <w:t xml:space="preserve">that are presented are used by </w:t>
            </w:r>
            <w:r w:rsidRPr="003A5F27">
              <w:rPr>
                <w:rFonts w:ascii="Cambria" w:hAnsi="Cambria"/>
                <w:sz w:val="24"/>
              </w:rPr>
              <w:t>the intended audience.</w:t>
            </w:r>
          </w:p>
        </w:tc>
        <w:tc>
          <w:tcPr>
            <w:tcW w:w="1368" w:type="dxa"/>
          </w:tcPr>
          <w:p w14:paraId="39713F22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5F8BC105" w14:textId="77777777" w:rsidTr="004B2C99">
        <w:tc>
          <w:tcPr>
            <w:tcW w:w="9648" w:type="dxa"/>
          </w:tcPr>
          <w:p w14:paraId="52067E0E" w14:textId="77777777" w:rsidR="002E2442" w:rsidRPr="003A5F27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 xml:space="preserve">The messages are linked to sources </w:t>
            </w:r>
            <w:r>
              <w:rPr>
                <w:rFonts w:ascii="Cambria" w:hAnsi="Cambria"/>
                <w:sz w:val="24"/>
              </w:rPr>
              <w:t xml:space="preserve">that are </w:t>
            </w:r>
            <w:r w:rsidRPr="003A5F27">
              <w:rPr>
                <w:rFonts w:ascii="Cambria" w:hAnsi="Cambria"/>
                <w:sz w:val="24"/>
              </w:rPr>
              <w:t>credible to the intended audience.</w:t>
            </w:r>
          </w:p>
        </w:tc>
        <w:tc>
          <w:tcPr>
            <w:tcW w:w="1368" w:type="dxa"/>
          </w:tcPr>
          <w:p w14:paraId="5E1ED2D9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1553B8DD" w14:textId="77777777" w:rsidTr="004B2C99">
        <w:tc>
          <w:tcPr>
            <w:tcW w:w="9648" w:type="dxa"/>
          </w:tcPr>
          <w:p w14:paraId="0F78D621" w14:textId="77777777" w:rsidR="002E2442" w:rsidRPr="003A5F27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 xml:space="preserve">The </w:t>
            </w:r>
            <w:r>
              <w:rPr>
                <w:rFonts w:ascii="Cambria" w:hAnsi="Cambria"/>
                <w:sz w:val="24"/>
              </w:rPr>
              <w:t>intended audience can get (or get to) to sources of information referred to in the material.</w:t>
            </w:r>
          </w:p>
        </w:tc>
        <w:tc>
          <w:tcPr>
            <w:tcW w:w="1368" w:type="dxa"/>
          </w:tcPr>
          <w:p w14:paraId="29BB6663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6C36333D" w14:textId="77777777" w:rsidTr="004B2C99">
        <w:tc>
          <w:tcPr>
            <w:tcW w:w="9648" w:type="dxa"/>
          </w:tcPr>
          <w:p w14:paraId="47E7A20B" w14:textId="77777777" w:rsidR="002E2442" w:rsidRPr="003A5F27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lastRenderedPageBreak/>
              <w:t>Disease signs and symptoms are presented in a way that is understandable to the intended audience.</w:t>
            </w:r>
          </w:p>
        </w:tc>
        <w:tc>
          <w:tcPr>
            <w:tcW w:w="1368" w:type="dxa"/>
          </w:tcPr>
          <w:p w14:paraId="1C405CD6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53E7471D" w14:textId="77777777" w:rsidTr="004B2C99">
        <w:tc>
          <w:tcPr>
            <w:tcW w:w="9648" w:type="dxa"/>
          </w:tcPr>
          <w:p w14:paraId="76589F85" w14:textId="77777777" w:rsidR="002E2442" w:rsidRPr="003A5F27" w:rsidRDefault="002E2442" w:rsidP="002E24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</w:rPr>
            </w:pPr>
            <w:r w:rsidRPr="003A5F27">
              <w:rPr>
                <w:rFonts w:ascii="Cambria" w:hAnsi="Cambria"/>
                <w:sz w:val="24"/>
              </w:rPr>
              <w:t>The message</w:t>
            </w:r>
            <w:r>
              <w:rPr>
                <w:rFonts w:ascii="Cambria" w:hAnsi="Cambria"/>
                <w:sz w:val="24"/>
              </w:rPr>
              <w:t xml:space="preserve">s </w:t>
            </w:r>
            <w:r w:rsidRPr="003A5F27">
              <w:rPr>
                <w:rFonts w:ascii="Cambria" w:hAnsi="Cambria"/>
                <w:sz w:val="24"/>
              </w:rPr>
              <w:t>address stereotypes and myths.</w:t>
            </w:r>
          </w:p>
        </w:tc>
        <w:tc>
          <w:tcPr>
            <w:tcW w:w="1368" w:type="dxa"/>
          </w:tcPr>
          <w:p w14:paraId="40ECB4F7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</w:tbl>
    <w:p w14:paraId="6AA00623" w14:textId="77777777" w:rsidR="00C802F8" w:rsidRDefault="00C802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C802F8" w:rsidRPr="003A5F27" w14:paraId="71A5A944" w14:textId="77777777" w:rsidTr="00AA35DA">
        <w:tc>
          <w:tcPr>
            <w:tcW w:w="2059" w:type="dxa"/>
          </w:tcPr>
          <w:p w14:paraId="18186E6B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Strongly Agree</w:t>
            </w:r>
          </w:p>
          <w:p w14:paraId="7C50C274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(4)</w:t>
            </w:r>
          </w:p>
        </w:tc>
        <w:tc>
          <w:tcPr>
            <w:tcW w:w="2059" w:type="dxa"/>
          </w:tcPr>
          <w:p w14:paraId="4140D633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Agree</w:t>
            </w:r>
          </w:p>
          <w:p w14:paraId="6F663851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(3)</w:t>
            </w:r>
          </w:p>
        </w:tc>
        <w:tc>
          <w:tcPr>
            <w:tcW w:w="2059" w:type="dxa"/>
          </w:tcPr>
          <w:p w14:paraId="3F8B7ACE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Disagree</w:t>
            </w:r>
          </w:p>
          <w:p w14:paraId="64F30295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(2)</w:t>
            </w:r>
          </w:p>
        </w:tc>
        <w:tc>
          <w:tcPr>
            <w:tcW w:w="2059" w:type="dxa"/>
          </w:tcPr>
          <w:p w14:paraId="59B6EE7C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Strongly Disagree</w:t>
            </w:r>
          </w:p>
          <w:p w14:paraId="59E7FB83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(1)</w:t>
            </w:r>
          </w:p>
        </w:tc>
        <w:tc>
          <w:tcPr>
            <w:tcW w:w="2060" w:type="dxa"/>
          </w:tcPr>
          <w:p w14:paraId="33A8C315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Not applicable</w:t>
            </w:r>
          </w:p>
          <w:p w14:paraId="6C50C515" w14:textId="77777777" w:rsidR="00C802F8" w:rsidRPr="003A5F27" w:rsidRDefault="00C802F8" w:rsidP="00AA35DA">
            <w:pPr>
              <w:spacing w:after="120"/>
              <w:jc w:val="center"/>
              <w:rPr>
                <w:rFonts w:ascii="Cambria" w:hAnsi="Cambria"/>
                <w:b/>
                <w:sz w:val="20"/>
              </w:rPr>
            </w:pPr>
            <w:r w:rsidRPr="003A5F27">
              <w:rPr>
                <w:rFonts w:ascii="Cambria" w:hAnsi="Cambria"/>
                <w:b/>
                <w:sz w:val="20"/>
              </w:rPr>
              <w:t>(0)</w:t>
            </w:r>
          </w:p>
        </w:tc>
      </w:tr>
      <w:tr w:rsidR="00C802F8" w:rsidRPr="003A5F27" w14:paraId="3AB83CC6" w14:textId="77777777" w:rsidTr="00AA35DA">
        <w:tc>
          <w:tcPr>
            <w:tcW w:w="2059" w:type="dxa"/>
          </w:tcPr>
          <w:p w14:paraId="7B5B929B" w14:textId="77777777" w:rsidR="00C802F8" w:rsidRPr="003A5F27" w:rsidRDefault="00C802F8" w:rsidP="00AA35DA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absolutely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</w:t>
            </w:r>
          </w:p>
        </w:tc>
        <w:tc>
          <w:tcPr>
            <w:tcW w:w="2059" w:type="dxa"/>
          </w:tcPr>
          <w:p w14:paraId="03143CB9" w14:textId="77777777" w:rsidR="00C802F8" w:rsidRPr="003A5F27" w:rsidRDefault="00C802F8" w:rsidP="00AA35DA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 </w:t>
            </w:r>
            <w:r w:rsidRPr="003A5F27">
              <w:rPr>
                <w:rFonts w:ascii="Cambria" w:hAnsi="Cambria"/>
                <w:b/>
                <w:i/>
                <w:sz w:val="20"/>
              </w:rPr>
              <w:t>but could be improved</w:t>
            </w:r>
          </w:p>
        </w:tc>
        <w:tc>
          <w:tcPr>
            <w:tcW w:w="2059" w:type="dxa"/>
          </w:tcPr>
          <w:p w14:paraId="3A6A34CA" w14:textId="77777777" w:rsidR="00C802F8" w:rsidRPr="003A5F27" w:rsidRDefault="00C802F8" w:rsidP="00AA35DA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probably not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</w:t>
            </w:r>
          </w:p>
        </w:tc>
        <w:tc>
          <w:tcPr>
            <w:tcW w:w="2059" w:type="dxa"/>
          </w:tcPr>
          <w:p w14:paraId="1777E9FA" w14:textId="77777777" w:rsidR="00C802F8" w:rsidRPr="003A5F27" w:rsidRDefault="00C802F8" w:rsidP="00AA35DA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material </w:t>
            </w:r>
            <w:r w:rsidRPr="003A5F27">
              <w:rPr>
                <w:rFonts w:ascii="Cambria" w:hAnsi="Cambria"/>
                <w:b/>
                <w:i/>
                <w:sz w:val="20"/>
              </w:rPr>
              <w:t>will absolutely not be accepted</w:t>
            </w:r>
            <w:r w:rsidRPr="003A5F27">
              <w:rPr>
                <w:rFonts w:ascii="Cambria" w:hAnsi="Cambria"/>
                <w:sz w:val="20"/>
              </w:rPr>
              <w:t xml:space="preserve"> by the intended audience</w:t>
            </w:r>
          </w:p>
        </w:tc>
        <w:tc>
          <w:tcPr>
            <w:tcW w:w="2060" w:type="dxa"/>
          </w:tcPr>
          <w:p w14:paraId="6E57D5F6" w14:textId="77777777" w:rsidR="00C802F8" w:rsidRPr="003A5F27" w:rsidRDefault="00C802F8" w:rsidP="00AA35DA">
            <w:pPr>
              <w:spacing w:after="120"/>
              <w:rPr>
                <w:rFonts w:ascii="Cambria" w:hAnsi="Cambria"/>
                <w:sz w:val="20"/>
              </w:rPr>
            </w:pPr>
            <w:r w:rsidRPr="003A5F27">
              <w:rPr>
                <w:rFonts w:ascii="Cambria" w:hAnsi="Cambria"/>
                <w:sz w:val="20"/>
              </w:rPr>
              <w:t xml:space="preserve">The information </w:t>
            </w:r>
            <w:r w:rsidRPr="003A5F27">
              <w:rPr>
                <w:rFonts w:ascii="Cambria" w:hAnsi="Cambria"/>
                <w:b/>
                <w:i/>
                <w:sz w:val="20"/>
              </w:rPr>
              <w:t>does not appear</w:t>
            </w:r>
            <w:r w:rsidRPr="003A5F27">
              <w:rPr>
                <w:rFonts w:ascii="Cambria" w:hAnsi="Cambria"/>
                <w:sz w:val="20"/>
              </w:rPr>
              <w:t xml:space="preserve"> in the material or </w:t>
            </w:r>
            <w:r w:rsidRPr="003A5F27">
              <w:rPr>
                <w:rFonts w:ascii="Cambria" w:hAnsi="Cambria"/>
                <w:b/>
                <w:i/>
                <w:sz w:val="20"/>
              </w:rPr>
              <w:t>does not apply</w:t>
            </w:r>
            <w:r w:rsidRPr="003A5F27">
              <w:rPr>
                <w:rFonts w:ascii="Cambria" w:hAnsi="Cambria"/>
                <w:sz w:val="20"/>
              </w:rPr>
              <w:t xml:space="preserve"> to the material</w:t>
            </w:r>
          </w:p>
        </w:tc>
      </w:tr>
    </w:tbl>
    <w:p w14:paraId="49003BE4" w14:textId="77777777" w:rsidR="00C802F8" w:rsidRDefault="00C802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6"/>
        <w:gridCol w:w="1354"/>
      </w:tblGrid>
      <w:tr w:rsidR="002E2442" w14:paraId="6164413D" w14:textId="77777777" w:rsidTr="004B2C99">
        <w:tc>
          <w:tcPr>
            <w:tcW w:w="9648" w:type="dxa"/>
          </w:tcPr>
          <w:p w14:paraId="29066A01" w14:textId="77777777" w:rsidR="002E2442" w:rsidRPr="002E2442" w:rsidRDefault="002E2442" w:rsidP="002E2442">
            <w:pPr>
              <w:spacing w:after="120"/>
              <w:rPr>
                <w:rFonts w:ascii="Cambria" w:hAnsi="Cambria"/>
                <w:sz w:val="24"/>
              </w:rPr>
            </w:pPr>
            <w:r w:rsidRPr="002E2442">
              <w:rPr>
                <w:rFonts w:ascii="Cambria" w:hAnsi="Cambria"/>
                <w:b/>
                <w:sz w:val="24"/>
                <w:szCs w:val="24"/>
              </w:rPr>
              <w:t>VISUAL MESSAGE  OF MATERIAL</w:t>
            </w:r>
          </w:p>
        </w:tc>
        <w:tc>
          <w:tcPr>
            <w:tcW w:w="1368" w:type="dxa"/>
          </w:tcPr>
          <w:p w14:paraId="761D6979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Rating</w:t>
            </w:r>
          </w:p>
        </w:tc>
      </w:tr>
      <w:tr w:rsidR="002E2442" w14:paraId="22F8E762" w14:textId="77777777" w:rsidTr="004B2C99">
        <w:tc>
          <w:tcPr>
            <w:tcW w:w="9648" w:type="dxa"/>
          </w:tcPr>
          <w:p w14:paraId="5E27ABC8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graphics enhance the learning process.</w:t>
            </w:r>
          </w:p>
        </w:tc>
        <w:tc>
          <w:tcPr>
            <w:tcW w:w="1368" w:type="dxa"/>
          </w:tcPr>
          <w:p w14:paraId="32F603B4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5154FF0C" w14:textId="77777777" w:rsidTr="004B2C99">
        <w:tc>
          <w:tcPr>
            <w:tcW w:w="9648" w:type="dxa"/>
          </w:tcPr>
          <w:p w14:paraId="41D17005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graphics illustrate contemporary activities of the intended audience.</w:t>
            </w:r>
          </w:p>
        </w:tc>
        <w:tc>
          <w:tcPr>
            <w:tcW w:w="1368" w:type="dxa"/>
          </w:tcPr>
          <w:p w14:paraId="1AC34C5B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44045223" w14:textId="77777777" w:rsidTr="004B2C99">
        <w:tc>
          <w:tcPr>
            <w:tcW w:w="9648" w:type="dxa"/>
          </w:tcPr>
          <w:p w14:paraId="44C94DD8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</w:rPr>
              <w:t>The activities carry the intended meanings of the message.</w:t>
            </w:r>
          </w:p>
        </w:tc>
        <w:tc>
          <w:tcPr>
            <w:tcW w:w="1368" w:type="dxa"/>
          </w:tcPr>
          <w:p w14:paraId="79BC332E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082ACB77" w14:textId="77777777" w:rsidTr="004B2C99">
        <w:tc>
          <w:tcPr>
            <w:tcW w:w="9648" w:type="dxa"/>
          </w:tcPr>
          <w:p w14:paraId="74CFEE3D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</w:rPr>
              <w:t>T</w:t>
            </w:r>
            <w:r w:rsidRPr="00CD45E4">
              <w:rPr>
                <w:rFonts w:ascii="Cambria" w:hAnsi="Cambria"/>
              </w:rPr>
              <w:t>he graphics clearly display the intended message</w:t>
            </w:r>
            <w:r w:rsidRPr="003A5F27">
              <w:rPr>
                <w:rFonts w:ascii="Cambria" w:hAnsi="Cambria"/>
              </w:rPr>
              <w:t>.</w:t>
            </w:r>
          </w:p>
        </w:tc>
        <w:tc>
          <w:tcPr>
            <w:tcW w:w="1368" w:type="dxa"/>
          </w:tcPr>
          <w:p w14:paraId="67F39F15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5B9E6059" w14:textId="77777777" w:rsidTr="004B2C99">
        <w:tc>
          <w:tcPr>
            <w:tcW w:w="9648" w:type="dxa"/>
          </w:tcPr>
          <w:p w14:paraId="6CCC37BE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graphics accurately depict the physical features of the intended audience.</w:t>
            </w:r>
          </w:p>
        </w:tc>
        <w:tc>
          <w:tcPr>
            <w:tcW w:w="1368" w:type="dxa"/>
          </w:tcPr>
          <w:p w14:paraId="718377F8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01A65299" w14:textId="77777777" w:rsidTr="004B2C99">
        <w:tc>
          <w:tcPr>
            <w:tcW w:w="9648" w:type="dxa"/>
          </w:tcPr>
          <w:p w14:paraId="65E32EE4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clothing is appropriate to the intended audience.</w:t>
            </w:r>
          </w:p>
        </w:tc>
        <w:tc>
          <w:tcPr>
            <w:tcW w:w="1368" w:type="dxa"/>
          </w:tcPr>
          <w:p w14:paraId="578AC4A2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0E2170D9" w14:textId="77777777" w:rsidTr="004B2C99">
        <w:tc>
          <w:tcPr>
            <w:tcW w:w="9648" w:type="dxa"/>
          </w:tcPr>
          <w:p w14:paraId="64BB5F98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Food</w:t>
            </w:r>
            <w:r>
              <w:rPr>
                <w:rFonts w:ascii="Cambria" w:hAnsi="Cambria"/>
                <w:sz w:val="24"/>
              </w:rPr>
              <w:t xml:space="preserve">s </w:t>
            </w:r>
            <w:r w:rsidRPr="00CD45E4">
              <w:rPr>
                <w:rFonts w:ascii="Cambria" w:hAnsi="Cambria"/>
                <w:sz w:val="24"/>
              </w:rPr>
              <w:t>are appropriate with the intended audience</w:t>
            </w:r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368" w:type="dxa"/>
          </w:tcPr>
          <w:p w14:paraId="034F23EA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0B9F8088" w14:textId="77777777" w:rsidTr="004B2C99">
        <w:tc>
          <w:tcPr>
            <w:tcW w:w="9648" w:type="dxa"/>
          </w:tcPr>
          <w:p w14:paraId="33F2E816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Symbols are representative of the intended audience.</w:t>
            </w:r>
          </w:p>
        </w:tc>
        <w:tc>
          <w:tcPr>
            <w:tcW w:w="1368" w:type="dxa"/>
          </w:tcPr>
          <w:p w14:paraId="08BE67C4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663887B4" w14:textId="77777777" w:rsidTr="004B2C99">
        <w:tc>
          <w:tcPr>
            <w:tcW w:w="9648" w:type="dxa"/>
          </w:tcPr>
          <w:p w14:paraId="011288F9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Customs portrayed are representative of the intended audience.</w:t>
            </w:r>
          </w:p>
        </w:tc>
        <w:tc>
          <w:tcPr>
            <w:tcW w:w="1368" w:type="dxa"/>
          </w:tcPr>
          <w:p w14:paraId="3F1D6856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05137D62" w14:textId="77777777" w:rsidTr="004B2C99">
        <w:tc>
          <w:tcPr>
            <w:tcW w:w="9648" w:type="dxa"/>
          </w:tcPr>
          <w:p w14:paraId="21BAEF3E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social network structures (family, friends, etc.) are accurately portrayed.</w:t>
            </w:r>
          </w:p>
        </w:tc>
        <w:tc>
          <w:tcPr>
            <w:tcW w:w="1368" w:type="dxa"/>
          </w:tcPr>
          <w:p w14:paraId="1B78D1C0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0C565964" w14:textId="77777777" w:rsidTr="004B2C99">
        <w:tc>
          <w:tcPr>
            <w:tcW w:w="9648" w:type="dxa"/>
          </w:tcPr>
          <w:p w14:paraId="57BDC8C8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interactions between the characters are believable.</w:t>
            </w:r>
          </w:p>
        </w:tc>
        <w:tc>
          <w:tcPr>
            <w:tcW w:w="1368" w:type="dxa"/>
          </w:tcPr>
          <w:p w14:paraId="26CC72A1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51F513A3" w14:textId="77777777" w:rsidTr="004B2C99">
        <w:tc>
          <w:tcPr>
            <w:tcW w:w="9648" w:type="dxa"/>
          </w:tcPr>
          <w:p w14:paraId="67B00F11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stature and/poise of the individual</w:t>
            </w:r>
            <w:r>
              <w:rPr>
                <w:rFonts w:ascii="Cambria" w:hAnsi="Cambria"/>
                <w:sz w:val="24"/>
              </w:rPr>
              <w:t>s</w:t>
            </w:r>
            <w:r w:rsidRPr="00CD45E4">
              <w:rPr>
                <w:rFonts w:ascii="Cambria" w:hAnsi="Cambria"/>
                <w:sz w:val="24"/>
              </w:rPr>
              <w:t xml:space="preserve"> is representa</w:t>
            </w:r>
            <w:r>
              <w:rPr>
                <w:rFonts w:ascii="Cambria" w:hAnsi="Cambria"/>
                <w:sz w:val="24"/>
              </w:rPr>
              <w:t>ti</w:t>
            </w:r>
            <w:r w:rsidRPr="00CD45E4">
              <w:rPr>
                <w:rFonts w:ascii="Cambria" w:hAnsi="Cambria"/>
                <w:sz w:val="24"/>
              </w:rPr>
              <w:t>ve of the gender and social roles of the intended audience.</w:t>
            </w:r>
          </w:p>
        </w:tc>
        <w:tc>
          <w:tcPr>
            <w:tcW w:w="1368" w:type="dxa"/>
          </w:tcPr>
          <w:p w14:paraId="683EF2CA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E2442" w14:paraId="6F957DE5" w14:textId="77777777" w:rsidTr="004B2C99">
        <w:tc>
          <w:tcPr>
            <w:tcW w:w="9648" w:type="dxa"/>
          </w:tcPr>
          <w:p w14:paraId="41FF2F67" w14:textId="77777777" w:rsidR="002E2442" w:rsidRPr="002E2442" w:rsidRDefault="002E2442" w:rsidP="002E24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mbria" w:hAnsi="Cambria"/>
                <w:sz w:val="24"/>
              </w:rPr>
            </w:pPr>
            <w:r w:rsidRPr="00CD45E4">
              <w:rPr>
                <w:rFonts w:ascii="Cambria" w:hAnsi="Cambria"/>
                <w:sz w:val="24"/>
              </w:rPr>
              <w:t>The settings</w:t>
            </w:r>
            <w:r>
              <w:rPr>
                <w:rFonts w:ascii="Cambria" w:hAnsi="Cambria"/>
                <w:sz w:val="24"/>
              </w:rPr>
              <w:t xml:space="preserve"> </w:t>
            </w:r>
            <w:r w:rsidRPr="00CD45E4">
              <w:rPr>
                <w:rFonts w:ascii="Cambria" w:hAnsi="Cambria"/>
                <w:sz w:val="24"/>
              </w:rPr>
              <w:t>are familiar.</w:t>
            </w:r>
          </w:p>
        </w:tc>
        <w:tc>
          <w:tcPr>
            <w:tcW w:w="1368" w:type="dxa"/>
          </w:tcPr>
          <w:p w14:paraId="75CA5E6D" w14:textId="77777777" w:rsidR="002E2442" w:rsidRDefault="002E2442" w:rsidP="00C802F8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</w:tbl>
    <w:p w14:paraId="550BB599" w14:textId="77777777" w:rsidR="002E2442" w:rsidRDefault="002E2442" w:rsidP="002E2442">
      <w:pPr>
        <w:rPr>
          <w:rFonts w:ascii="Cambria" w:hAnsi="Cambria"/>
          <w:b/>
        </w:rPr>
      </w:pPr>
    </w:p>
    <w:p w14:paraId="3D428EB7" w14:textId="77777777" w:rsidR="00A372B2" w:rsidRPr="00C802F8" w:rsidRDefault="00A372B2" w:rsidP="002E2442">
      <w:pPr>
        <w:rPr>
          <w:rFonts w:ascii="Cambria" w:hAnsi="Cambria"/>
          <w:b/>
          <w:sz w:val="24"/>
        </w:rPr>
      </w:pPr>
      <w:r w:rsidRPr="00C802F8">
        <w:rPr>
          <w:rFonts w:ascii="Cambria" w:hAnsi="Cambria"/>
          <w:b/>
          <w:sz w:val="24"/>
        </w:rPr>
        <w:t xml:space="preserve">What could be done to improve </w:t>
      </w:r>
      <w:r w:rsidR="00C802F8">
        <w:rPr>
          <w:rFonts w:ascii="Cambria" w:hAnsi="Cambria"/>
          <w:b/>
          <w:sz w:val="24"/>
        </w:rPr>
        <w:t xml:space="preserve">this </w:t>
      </w:r>
      <w:r w:rsidRPr="00C802F8">
        <w:rPr>
          <w:rFonts w:ascii="Cambria" w:hAnsi="Cambria"/>
          <w:b/>
          <w:sz w:val="24"/>
        </w:rPr>
        <w:t xml:space="preserve">material in a way that would make </w:t>
      </w:r>
      <w:r w:rsidR="00C802F8">
        <w:rPr>
          <w:rFonts w:ascii="Cambria" w:hAnsi="Cambria"/>
          <w:b/>
          <w:sz w:val="24"/>
        </w:rPr>
        <w:t>it m</w:t>
      </w:r>
      <w:r w:rsidRPr="00C802F8">
        <w:rPr>
          <w:rFonts w:ascii="Cambria" w:hAnsi="Cambria"/>
          <w:b/>
          <w:sz w:val="24"/>
        </w:rPr>
        <w:t xml:space="preserve">ore appropriate </w:t>
      </w:r>
      <w:r w:rsidR="00CD45E4" w:rsidRPr="00C802F8">
        <w:rPr>
          <w:rFonts w:ascii="Cambria" w:hAnsi="Cambria"/>
          <w:b/>
          <w:sz w:val="24"/>
        </w:rPr>
        <w:t xml:space="preserve">for </w:t>
      </w:r>
      <w:r w:rsidRPr="00C802F8">
        <w:rPr>
          <w:rFonts w:ascii="Cambria" w:hAnsi="Cambria"/>
          <w:b/>
          <w:sz w:val="24"/>
        </w:rPr>
        <w:t>the intended audience?</w:t>
      </w:r>
    </w:p>
    <w:p w14:paraId="3D69DE0B" w14:textId="77777777" w:rsidR="006A45DA" w:rsidRPr="003A5F27" w:rsidRDefault="006A45DA" w:rsidP="00632C68">
      <w:pPr>
        <w:spacing w:after="120" w:line="240" w:lineRule="auto"/>
        <w:rPr>
          <w:rFonts w:ascii="Cambria" w:hAnsi="Cambria"/>
          <w:sz w:val="24"/>
        </w:rPr>
      </w:pPr>
    </w:p>
    <w:sectPr w:rsidR="006A45DA" w:rsidRPr="003A5F27" w:rsidSect="00950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8CEB2" w14:textId="77777777" w:rsidR="002E2442" w:rsidRDefault="002E2442" w:rsidP="006A45DA">
      <w:pPr>
        <w:spacing w:after="0" w:line="240" w:lineRule="auto"/>
      </w:pPr>
      <w:r>
        <w:separator/>
      </w:r>
    </w:p>
  </w:endnote>
  <w:endnote w:type="continuationSeparator" w:id="0">
    <w:p w14:paraId="3DEF1A7C" w14:textId="77777777" w:rsidR="002E2442" w:rsidRDefault="002E2442" w:rsidP="006A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50353" w14:textId="77777777" w:rsidR="00D06F62" w:rsidRDefault="00D06F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295C" w14:textId="77777777" w:rsidR="002E2442" w:rsidRPr="006F3634" w:rsidRDefault="002E2442" w:rsidP="006F36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B3A9" w14:textId="77777777" w:rsidR="0095019C" w:rsidRPr="006F3634" w:rsidRDefault="0095019C" w:rsidP="006F3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22FCF" w14:textId="77777777" w:rsidR="002E2442" w:rsidRDefault="002E2442" w:rsidP="006A45DA">
      <w:pPr>
        <w:spacing w:after="0" w:line="240" w:lineRule="auto"/>
      </w:pPr>
      <w:r>
        <w:separator/>
      </w:r>
    </w:p>
  </w:footnote>
  <w:footnote w:type="continuationSeparator" w:id="0">
    <w:p w14:paraId="3C0D9FD5" w14:textId="77777777" w:rsidR="002E2442" w:rsidRDefault="002E2442" w:rsidP="006A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7B9C2" w14:textId="77777777" w:rsidR="00D06F62" w:rsidRDefault="00D06F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56210" w14:textId="77777777" w:rsidR="00D06F62" w:rsidRDefault="00D06F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5DE3" w14:textId="77777777" w:rsidR="0095019C" w:rsidRPr="006F3634" w:rsidRDefault="0095019C" w:rsidP="006F36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3351"/>
    <w:multiLevelType w:val="hybridMultilevel"/>
    <w:tmpl w:val="C234E0C8"/>
    <w:lvl w:ilvl="0" w:tplc="9C3059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0490"/>
    <w:multiLevelType w:val="hybridMultilevel"/>
    <w:tmpl w:val="A9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7BB9"/>
    <w:multiLevelType w:val="hybridMultilevel"/>
    <w:tmpl w:val="84563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D54"/>
    <w:multiLevelType w:val="hybridMultilevel"/>
    <w:tmpl w:val="519C6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F34A9E"/>
    <w:multiLevelType w:val="hybridMultilevel"/>
    <w:tmpl w:val="B9E8B342"/>
    <w:lvl w:ilvl="0" w:tplc="9C3059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70E57"/>
    <w:multiLevelType w:val="hybridMultilevel"/>
    <w:tmpl w:val="79401EDA"/>
    <w:lvl w:ilvl="0" w:tplc="EB6E8E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251EDB"/>
    <w:multiLevelType w:val="hybridMultilevel"/>
    <w:tmpl w:val="58320F1A"/>
    <w:lvl w:ilvl="0" w:tplc="982A15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B38AC"/>
    <w:multiLevelType w:val="hybridMultilevel"/>
    <w:tmpl w:val="D0AA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17AE2"/>
    <w:multiLevelType w:val="hybridMultilevel"/>
    <w:tmpl w:val="C5BC43DA"/>
    <w:lvl w:ilvl="0" w:tplc="982A15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B90B3F"/>
    <w:multiLevelType w:val="hybridMultilevel"/>
    <w:tmpl w:val="62888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D70BC"/>
    <w:multiLevelType w:val="hybridMultilevel"/>
    <w:tmpl w:val="F3CC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B77CA"/>
    <w:multiLevelType w:val="hybridMultilevel"/>
    <w:tmpl w:val="A20E8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00F24"/>
    <w:multiLevelType w:val="hybridMultilevel"/>
    <w:tmpl w:val="002AA772"/>
    <w:lvl w:ilvl="0" w:tplc="9C3059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81F18"/>
    <w:multiLevelType w:val="hybridMultilevel"/>
    <w:tmpl w:val="1892E3B6"/>
    <w:lvl w:ilvl="0" w:tplc="9C3059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364EB"/>
    <w:multiLevelType w:val="hybridMultilevel"/>
    <w:tmpl w:val="C568AD2E"/>
    <w:lvl w:ilvl="0" w:tplc="9C3059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E74C0"/>
    <w:multiLevelType w:val="hybridMultilevel"/>
    <w:tmpl w:val="C43A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C0145"/>
    <w:multiLevelType w:val="hybridMultilevel"/>
    <w:tmpl w:val="A184D436"/>
    <w:lvl w:ilvl="0" w:tplc="9C3059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17DA4"/>
    <w:multiLevelType w:val="hybridMultilevel"/>
    <w:tmpl w:val="76900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4"/>
  </w:num>
  <w:num w:numId="15">
    <w:abstractNumId w:val="16"/>
  </w:num>
  <w:num w:numId="16">
    <w:abstractNumId w:val="1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78"/>
    <w:rsid w:val="00030222"/>
    <w:rsid w:val="0010156B"/>
    <w:rsid w:val="00273ACD"/>
    <w:rsid w:val="00287EAF"/>
    <w:rsid w:val="00291CE2"/>
    <w:rsid w:val="002E2442"/>
    <w:rsid w:val="003A5F27"/>
    <w:rsid w:val="003C7564"/>
    <w:rsid w:val="0043230A"/>
    <w:rsid w:val="0046525E"/>
    <w:rsid w:val="00491C8A"/>
    <w:rsid w:val="004B2C99"/>
    <w:rsid w:val="004E47CE"/>
    <w:rsid w:val="00591ED0"/>
    <w:rsid w:val="005B4304"/>
    <w:rsid w:val="005E1B21"/>
    <w:rsid w:val="00632C68"/>
    <w:rsid w:val="006A45DA"/>
    <w:rsid w:val="006D613E"/>
    <w:rsid w:val="006F3634"/>
    <w:rsid w:val="006F7108"/>
    <w:rsid w:val="00702F9B"/>
    <w:rsid w:val="007926A4"/>
    <w:rsid w:val="007E5562"/>
    <w:rsid w:val="008130D5"/>
    <w:rsid w:val="00880A88"/>
    <w:rsid w:val="00881ED5"/>
    <w:rsid w:val="008F362C"/>
    <w:rsid w:val="009437C1"/>
    <w:rsid w:val="0095019C"/>
    <w:rsid w:val="009558AD"/>
    <w:rsid w:val="00955B11"/>
    <w:rsid w:val="009D15CE"/>
    <w:rsid w:val="009D776F"/>
    <w:rsid w:val="00A2318C"/>
    <w:rsid w:val="00A31A0A"/>
    <w:rsid w:val="00A372B2"/>
    <w:rsid w:val="00AA3978"/>
    <w:rsid w:val="00AB3901"/>
    <w:rsid w:val="00AD4309"/>
    <w:rsid w:val="00B31256"/>
    <w:rsid w:val="00B9540F"/>
    <w:rsid w:val="00BD0AE0"/>
    <w:rsid w:val="00C371BA"/>
    <w:rsid w:val="00C57451"/>
    <w:rsid w:val="00C802F8"/>
    <w:rsid w:val="00CA0D0C"/>
    <w:rsid w:val="00CB71C4"/>
    <w:rsid w:val="00CD121C"/>
    <w:rsid w:val="00CD45E4"/>
    <w:rsid w:val="00D04FFD"/>
    <w:rsid w:val="00D06F62"/>
    <w:rsid w:val="00DA1836"/>
    <w:rsid w:val="00E221CC"/>
    <w:rsid w:val="00E57DBF"/>
    <w:rsid w:val="00F56FF7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E19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5DA"/>
  </w:style>
  <w:style w:type="paragraph" w:styleId="Footer">
    <w:name w:val="footer"/>
    <w:basedOn w:val="Normal"/>
    <w:link w:val="FooterChar"/>
    <w:uiPriority w:val="99"/>
    <w:unhideWhenUsed/>
    <w:rsid w:val="006A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5DA"/>
  </w:style>
  <w:style w:type="paragraph" w:styleId="BalloonText">
    <w:name w:val="Balloon Text"/>
    <w:basedOn w:val="Normal"/>
    <w:link w:val="BalloonTextChar"/>
    <w:uiPriority w:val="99"/>
    <w:semiHidden/>
    <w:unhideWhenUsed/>
    <w:rsid w:val="0088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E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7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D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A503-9564-411D-8657-58FC669D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2015-04-02T15:04:00Z</dcterms:created>
  <dcterms:modified xsi:type="dcterms:W3CDTF">2015-04-02T15:04:00Z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